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DE68" w14:textId="77777777" w:rsidR="00ED5E90" w:rsidRDefault="00000000">
      <w:pPr>
        <w:spacing w:line="600" w:lineRule="exact"/>
        <w:jc w:val="center"/>
        <w:rPr>
          <w:rFonts w:ascii="方正大标宋简体" w:eastAsia="方正大标宋简体" w:hAnsi="方正大标宋简体" w:cs="方正大标宋简体" w:hint="eastAsia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2025年度山东省注册会计师行业</w:t>
      </w:r>
    </w:p>
    <w:p w14:paraId="3D9B1073" w14:textId="77777777" w:rsidR="00ED5E90" w:rsidRDefault="00000000">
      <w:pPr>
        <w:spacing w:line="600" w:lineRule="exact"/>
        <w:jc w:val="center"/>
        <w:rPr>
          <w:rFonts w:ascii="方正大标宋简体" w:eastAsia="方正大标宋简体" w:hAnsi="方正大标宋简体" w:cs="方正大标宋简体" w:hint="eastAsia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价值贡献白皮书</w:t>
      </w:r>
    </w:p>
    <w:p w14:paraId="00D2EF5C" w14:textId="77777777" w:rsidR="00ED5E90" w:rsidRDefault="00ED5E90">
      <w:pPr>
        <w:spacing w:line="590" w:lineRule="exact"/>
        <w:jc w:val="left"/>
        <w:rPr>
          <w:rFonts w:ascii="仿宋" w:eastAsia="仿宋" w:hAnsi="仿宋" w:cs="仿宋" w:hint="eastAsia"/>
          <w:sz w:val="32"/>
          <w:szCs w:val="32"/>
        </w:rPr>
      </w:pPr>
      <w:bookmarkStart w:id="0" w:name="_Hlk106562744"/>
    </w:p>
    <w:bookmarkEnd w:id="0"/>
    <w:p w14:paraId="37355F42" w14:textId="77777777" w:rsidR="00ED5E90" w:rsidRDefault="00000000">
      <w:pPr>
        <w:widowControl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2025年，山东省注册会计师协会</w:t>
      </w:r>
      <w:r>
        <w:rPr>
          <w:rFonts w:ascii="仿宋_GB2312" w:eastAsia="仿宋_GB2312" w:hAnsi="仿宋_GB2312" w:cs="仿宋_GB2312"/>
          <w:sz w:val="32"/>
          <w:szCs w:val="32"/>
        </w:rPr>
        <w:t>深入贯彻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财政部决策</w:t>
      </w:r>
      <w:r>
        <w:rPr>
          <w:rFonts w:ascii="仿宋_GB2312" w:eastAsia="仿宋_GB2312" w:hAnsi="仿宋_GB2312" w:cs="仿宋_GB2312"/>
          <w:sz w:val="32"/>
          <w:szCs w:val="32"/>
        </w:rPr>
        <w:t>部署，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全面</w:t>
      </w:r>
      <w:r>
        <w:rPr>
          <w:rFonts w:ascii="仿宋_GB2312" w:eastAsia="仿宋_GB2312" w:hAnsi="仿宋_GB2312" w:cs="仿宋_GB2312"/>
          <w:sz w:val="32"/>
          <w:szCs w:val="32"/>
        </w:rPr>
        <w:t>落实</w:t>
      </w:r>
      <w:r>
        <w:rPr>
          <w:rFonts w:ascii="仿宋_GB2312" w:eastAsia="仿宋_GB2312" w:hAnsi="仿宋_GB2312" w:cs="仿宋_GB2312" w:hint="eastAsia"/>
          <w:sz w:val="32"/>
          <w:szCs w:val="32"/>
        </w:rPr>
        <w:t>中注协工作要求，在省财政厅的指导下，认真履行服务、监督、管理、协调职能，坚持服务会员初心，带领全省注册会计师行业，为国家建设和社会发展贡献行业智慧和力量，彰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显行业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责任和价值。现根据2026年注册会计师任职资格检查采集的数据，形成《2025年度山东省注册会计师行业价值贡献白皮书》。</w:t>
      </w:r>
    </w:p>
    <w:p w14:paraId="159441B8" w14:textId="77777777" w:rsidR="00ED5E90" w:rsidRDefault="00000000">
      <w:pPr>
        <w:spacing w:line="590" w:lineRule="exact"/>
        <w:ind w:firstLineChars="200" w:firstLine="640"/>
        <w:jc w:val="left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/>
          <w:sz w:val="32"/>
          <w:szCs w:val="32"/>
        </w:rPr>
        <w:t>行业</w:t>
      </w:r>
      <w:r>
        <w:rPr>
          <w:rFonts w:ascii="黑体" w:eastAsia="黑体" w:hAnsi="黑体" w:cs="黑体" w:hint="eastAsia"/>
          <w:sz w:val="32"/>
          <w:szCs w:val="32"/>
        </w:rPr>
        <w:t>整体概况</w:t>
      </w:r>
    </w:p>
    <w:p w14:paraId="73A9ED82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1.行业发展规模情况</w:t>
      </w:r>
    </w:p>
    <w:p w14:paraId="590980DF" w14:textId="77777777" w:rsidR="00ED5E90" w:rsidRDefault="00000000">
      <w:pPr>
        <w:widowControl/>
        <w:spacing w:line="59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截至2025年底，我省共有749家会计师事务所，6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468名注册会计师，17,415名非执业会员，</w:t>
      </w:r>
      <w:bookmarkStart w:id="1" w:name="OLE_LINK2"/>
      <w:r>
        <w:rPr>
          <w:rFonts w:ascii="仿宋_GB2312" w:eastAsia="仿宋_GB2312" w:hAnsi="仿宋_GB2312" w:cs="仿宋_GB2312" w:hint="eastAsia"/>
          <w:sz w:val="32"/>
          <w:szCs w:val="32"/>
        </w:rPr>
        <w:t>约2.2万名行业从业人员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。2025年全省行业实现业务收入38.45亿元，完成纳税总额2.53亿元。</w:t>
      </w:r>
    </w:p>
    <w:p w14:paraId="5CA1D389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2.服务客户数量情况</w:t>
      </w:r>
    </w:p>
    <w:p w14:paraId="473D1785" w14:textId="77777777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2025年，我省注册会计师行业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共服务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客户数量约12.79万家次（人次）。从服务</w:t>
      </w:r>
      <w:r>
        <w:rPr>
          <w:rFonts w:ascii="仿宋_GB2312" w:eastAsia="仿宋_GB2312" w:hAnsi="仿宋_GB2312" w:cs="仿宋_GB2312"/>
          <w:sz w:val="32"/>
          <w:szCs w:val="32"/>
        </w:rPr>
        <w:t>客户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组织形式来看，包括行政事业单位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473家次、社会组织7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438家次、中央企业827家次、地方国有企业20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993家次、民营企业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116家次、外资企业</w:t>
      </w:r>
      <w:r>
        <w:rPr>
          <w:rFonts w:ascii="仿宋_GB2312" w:eastAsia="仿宋_GB2312" w:hAnsi="仿宋_GB2312" w:cs="仿宋_GB2312"/>
          <w:sz w:val="32"/>
          <w:szCs w:val="32"/>
        </w:rPr>
        <w:t>1,</w:t>
      </w:r>
      <w:r>
        <w:rPr>
          <w:rFonts w:ascii="仿宋_GB2312" w:eastAsia="仿宋_GB2312" w:hAnsi="仿宋_GB2312" w:cs="仿宋_GB2312" w:hint="eastAsia"/>
          <w:sz w:val="32"/>
          <w:szCs w:val="32"/>
        </w:rPr>
        <w:t>994家次及其他客户20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033家次，其中民营企业客户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服务家次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最多，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占比约为</w:t>
      </w: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0.93</w:t>
      </w:r>
      <w:r>
        <w:rPr>
          <w:rFonts w:ascii="仿宋_GB2312" w:eastAsia="仿宋_GB2312" w:hAnsi="仿宋_GB2312" w:cs="仿宋_GB2312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DBC209C" w14:textId="77777777" w:rsidR="00ED5E90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drawing>
          <wp:inline distT="0" distB="0" distL="0" distR="0" wp14:anchorId="7CB80793" wp14:editId="3B077F93">
            <wp:extent cx="5596255" cy="3191510"/>
            <wp:effectExtent l="4445" t="4445" r="19050" b="23495"/>
            <wp:docPr id="68017470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53BCB9B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3.出具报告情况</w:t>
      </w:r>
    </w:p>
    <w:p w14:paraId="61FE9EFF" w14:textId="77E3C249" w:rsidR="00ED5E90" w:rsidRDefault="00000000" w:rsidP="00D04749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2025年，我省会计师事务所出具审计、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鉴证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报告数量超过18万份，审计调整事项19.54万笔，涉及调整金额约3,000亿元，为防范财务舞弊、更正错报、提升会计信息质量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了巨大贡献；出具咨询报告数量为1.64万份，为企业提供管理咨询建议0.78万条，为优化企业内部管理、推动企业健康发展发挥了重要作用。</w:t>
      </w:r>
    </w:p>
    <w:p w14:paraId="0026847E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4.多元化经营情况</w:t>
      </w:r>
    </w:p>
    <w:p w14:paraId="60B57FCE" w14:textId="4C36C321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随着市场经济的不断发展，</w:t>
      </w:r>
      <w:r w:rsidR="00663507">
        <w:rPr>
          <w:rFonts w:ascii="仿宋_GB2312" w:eastAsia="仿宋_GB2312" w:hAnsi="仿宋_GB2312" w:cs="仿宋_GB2312"/>
          <w:sz w:val="32"/>
          <w:szCs w:val="32"/>
        </w:rPr>
        <w:t>我省</w:t>
      </w:r>
      <w:r w:rsidR="00663507">
        <w:rPr>
          <w:rFonts w:ascii="仿宋_GB2312" w:eastAsia="仿宋_GB2312" w:hAnsi="仿宋_GB2312" w:cs="仿宋_GB2312" w:hint="eastAsia"/>
          <w:sz w:val="32"/>
          <w:szCs w:val="32"/>
        </w:rPr>
        <w:t>注册会计师行业逐渐</w:t>
      </w:r>
      <w:r>
        <w:rPr>
          <w:rFonts w:ascii="仿宋_GB2312" w:eastAsia="仿宋_GB2312" w:hAnsi="仿宋_GB2312" w:cs="仿宋_GB2312" w:hint="eastAsia"/>
          <w:sz w:val="32"/>
          <w:szCs w:val="32"/>
        </w:rPr>
        <w:t>衍生出以会计师事务所为主体，</w:t>
      </w:r>
      <w:r w:rsidR="00663507">
        <w:rPr>
          <w:rFonts w:ascii="仿宋_GB2312" w:eastAsia="仿宋_GB2312" w:hAnsi="仿宋_GB2312" w:cs="仿宋_GB2312" w:hint="eastAsia"/>
          <w:sz w:val="32"/>
          <w:szCs w:val="32"/>
        </w:rPr>
        <w:t>业务范围涵盖工程、评估、税务、监理等</w:t>
      </w:r>
      <w:r>
        <w:rPr>
          <w:rFonts w:ascii="仿宋_GB2312" w:eastAsia="仿宋_GB2312" w:hAnsi="仿宋_GB2312" w:cs="仿宋_GB2312" w:hint="eastAsia"/>
          <w:sz w:val="32"/>
          <w:szCs w:val="32"/>
        </w:rPr>
        <w:t>多种资质公司联营（与会计师事务所统一经营或使用同一品牌的其他专业机构）的集团化、多元化经营模式。以会计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师事务所为代表的高端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鉴证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服务机构，是社会经济活动的监督者，资本流动的引导者，已经成为现代服务业的重要组成部分。据不完全统计，截至2025年底，全省共有260余家事务所与其他资质公司联营，包括200余家评估公司，90余家税务师事务所，110余家工程公司，监理、招标代理及咨询公司60余家。</w:t>
      </w:r>
    </w:p>
    <w:p w14:paraId="2DF4FE38" w14:textId="77777777" w:rsidR="00ED5E90" w:rsidRDefault="00000000">
      <w:pPr>
        <w:spacing w:line="590" w:lineRule="exact"/>
        <w:ind w:firstLineChars="200" w:firstLine="640"/>
        <w:jc w:val="left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二、服务国家政治建设</w:t>
      </w:r>
    </w:p>
    <w:p w14:paraId="2AC9804A" w14:textId="77777777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我省注册会计师行业坚持诚信为本，不断提升服务国家政治建设能力，为促进国家治理体系和治理能力现代化，贡献行业力量。</w:t>
      </w:r>
    </w:p>
    <w:p w14:paraId="0F4B5779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1.发挥执业监督职责，融入国家监督体系</w:t>
      </w:r>
    </w:p>
    <w:p w14:paraId="58678676" w14:textId="46E21C33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作为财会监督的重要专业力量，有效发挥会计师事务所执业监督作用，促进各类监督贯通协调。2025年，</w:t>
      </w:r>
      <w:r>
        <w:rPr>
          <w:rFonts w:ascii="仿宋_GB2312" w:eastAsia="仿宋_GB2312" w:hAnsi="仿宋_GB2312" w:cs="仿宋_GB2312"/>
          <w:sz w:val="32"/>
          <w:szCs w:val="32"/>
        </w:rPr>
        <w:t>我省会计师事务所共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开展了537个政务咨询项目，优化提升了政务服务、行政效能；服务社会保险、住房公积金稽核项目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01个，大大维护了群众养老、住房的合法权益；作为专家或专业人员，参加政府部门组织的检查高达</w:t>
      </w:r>
      <w:r>
        <w:rPr>
          <w:rFonts w:ascii="仿宋_GB2312" w:eastAsia="仿宋_GB2312" w:hAnsi="仿宋_GB2312" w:cs="仿宋_GB2312"/>
          <w:sz w:val="32"/>
          <w:szCs w:val="32"/>
        </w:rPr>
        <w:t>1,2</w:t>
      </w:r>
      <w:r>
        <w:rPr>
          <w:rFonts w:ascii="仿宋_GB2312" w:eastAsia="仿宋_GB2312" w:hAnsi="仿宋_GB2312" w:cs="仿宋_GB2312" w:hint="eastAsia"/>
          <w:sz w:val="32"/>
          <w:szCs w:val="32"/>
        </w:rPr>
        <w:t>89人次，发挥了专业支持作用，提高了行政检查效率；为政府部门提供涉税服务项目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07个，涉及查补税款总额2.38亿元，提升了税收治理效能；开展了行政事业单位、国有企业资产清查审计项目</w:t>
      </w:r>
      <w:r>
        <w:rPr>
          <w:rFonts w:ascii="仿宋_GB2312" w:eastAsia="仿宋_GB2312" w:hAnsi="仿宋_GB2312" w:cs="仿宋_GB2312"/>
          <w:sz w:val="32"/>
          <w:szCs w:val="32"/>
        </w:rPr>
        <w:t>1,</w:t>
      </w:r>
      <w:r>
        <w:rPr>
          <w:rFonts w:ascii="仿宋_GB2312" w:eastAsia="仿宋_GB2312" w:hAnsi="仿宋_GB2312" w:cs="仿宋_GB2312" w:hint="eastAsia"/>
          <w:sz w:val="32"/>
          <w:szCs w:val="32"/>
        </w:rPr>
        <w:t>141个，助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推国有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资产管理提质增效；承做</w:t>
      </w:r>
      <w:r>
        <w:rPr>
          <w:rFonts w:ascii="仿宋_GB2312" w:eastAsia="仿宋_GB2312" w:hAnsi="仿宋_GB2312" w:cs="仿宋_GB2312"/>
          <w:sz w:val="32"/>
          <w:szCs w:val="32"/>
        </w:rPr>
        <w:t>2,</w:t>
      </w:r>
      <w:r>
        <w:rPr>
          <w:rFonts w:ascii="仿宋_GB2312" w:eastAsia="仿宋_GB2312" w:hAnsi="仿宋_GB2312" w:cs="仿宋_GB2312" w:hint="eastAsia"/>
          <w:sz w:val="32"/>
          <w:szCs w:val="32"/>
        </w:rPr>
        <w:t>172个经济责任审计及离任审计项目，经注册会计师审查发现的问题数量高达20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911个，及时发现违规行为，促进保护国有资产和公共资金安全；开展混合所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有制改革项目8个，为盘活国有企业资产、改善国有企业经营绩效，发挥着重要作用。</w:t>
      </w:r>
    </w:p>
    <w:p w14:paraId="169E3DFA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  <w:highlight w:val="cyan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2.深度维护司法公正，助力国家法治建设</w:t>
      </w:r>
    </w:p>
    <w:p w14:paraId="4FBC62E1" w14:textId="6B60A2CC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通过提供司法会计鉴定服务，提升司法权威及公信力，有效维护社会经济秩序。2025年，我省会计师事务所协助</w:t>
      </w:r>
      <w:r>
        <w:rPr>
          <w:rFonts w:ascii="仿宋_GB2312" w:eastAsia="仿宋_GB2312" w:hAnsi="仿宋_GB2312" w:cs="仿宋_GB2312"/>
          <w:sz w:val="32"/>
          <w:szCs w:val="32"/>
        </w:rPr>
        <w:t>各级政府、司法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部门完成987个司法鉴定项目，其中接受公安、检察机关委托项目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22个，法院、仲裁委委托项目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27个，纪委监委委托项目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8个。涉案金额共计1,189.77亿元（其中涉嫌非法吸收公众存款、集资诈骗类鉴定金额约966.62亿元，涉嫌职务侵占、挪用资金等职务犯罪类鉴定金额11.28亿元），为当事人利益纠纷提供了重要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鉴证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参考，切实维护人民利益和司法公正。</w:t>
      </w:r>
    </w:p>
    <w:p w14:paraId="092A4163" w14:textId="77777777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highlight w:val="gree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在破产审计中，注册会计师运用职业判断，对债务人财务收支、资产负债表、特定行为及经济业务的真实性、合法性、有效性进行审查与评价，用以维护</w:t>
      </w:r>
      <w:hyperlink r:id="rId7" w:tgtFrame="https://baike.so.com/doc/_blank" w:history="1">
        <w:r w:rsidR="00ED5E90">
          <w:rPr>
            <w:rFonts w:ascii="仿宋_GB2312" w:eastAsia="仿宋_GB2312" w:hAnsi="仿宋_GB2312" w:cs="仿宋_GB2312" w:hint="eastAsia"/>
            <w:sz w:val="32"/>
            <w:szCs w:val="32"/>
          </w:rPr>
          <w:t>债权人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hyperlink r:id="rId8" w:tgtFrame="https://baike.so.com/doc/_blank" w:history="1">
        <w:r w:rsidR="00ED5E90">
          <w:rPr>
            <w:rFonts w:ascii="仿宋_GB2312" w:eastAsia="仿宋_GB2312" w:hAnsi="仿宋_GB2312" w:cs="仿宋_GB2312" w:hint="eastAsia"/>
            <w:sz w:val="32"/>
            <w:szCs w:val="32"/>
          </w:rPr>
          <w:t>债务人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和第三人的合法权益。2025年，我省22家会计师事务所担任破产管理人项目46个，确认的登记债权涉及67.27亿元；破产清算及其他破产相关业务126个，确认破产企业负债总额高达653.70亿元，为促进企业优胜劣汰、要素资源高效配置、企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纾困及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稳住员工就业发挥了关键作用。</w:t>
      </w:r>
    </w:p>
    <w:p w14:paraId="351B18CE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3.推进生态保护治理，助力乡村振兴建设</w:t>
      </w:r>
    </w:p>
    <w:p w14:paraId="6B936642" w14:textId="755256E1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highlight w:val="gree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依托专业经验，把握生态文明建设新机遇，助力乡村振兴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战略实施。2025年，我省会计师事务所提供了34个环保审计或绿色金融审计项目，为改善生态环境质量、应对气候变化贡献了专业力量。承做140个乡村振兴项目，揭示影响乡村振兴政策落地见效的体制机制问题与制度漏洞，助力美丽宜居乡村建设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走深走实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0C6E080" w14:textId="77777777" w:rsidR="00ED5E90" w:rsidRDefault="00000000">
      <w:pPr>
        <w:jc w:val="left"/>
      </w:pPr>
      <w:r>
        <w:rPr>
          <w:noProof/>
        </w:rPr>
        <w:drawing>
          <wp:inline distT="0" distB="0" distL="0" distR="0" wp14:anchorId="29B5F6E8" wp14:editId="44CDE737">
            <wp:extent cx="5464810" cy="3124835"/>
            <wp:effectExtent l="4445" t="4445" r="17145" b="13970"/>
            <wp:docPr id="69059029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89F3EFB" w14:textId="77777777" w:rsidR="00ED5E90" w:rsidRDefault="00000000">
      <w:pPr>
        <w:spacing w:line="590" w:lineRule="exact"/>
        <w:ind w:firstLineChars="200" w:firstLine="640"/>
        <w:jc w:val="left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三、服务国家经济建设</w:t>
      </w:r>
    </w:p>
    <w:p w14:paraId="503FEAAA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1.服务财政预算绩效评价及预算评审</w:t>
      </w:r>
    </w:p>
    <w:p w14:paraId="3F1A6089" w14:textId="72DBEFCB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highlight w:val="gree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通过提供绩效评价、财政预算评审等专业服务，助力完善财政政策，优化财政资源配置。2025年，为促进财政预算管理效率、资金使用效益的提升，共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38家会计师事务所承做了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,726个绩效评价项目，涉及评价资金额1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161.29亿元，助力提升绩效评价的客观公正；完成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60个预算评审项目，审计调整资金额20.25亿元，为政府投资决策提供了重要参考依据。</w:t>
      </w:r>
    </w:p>
    <w:p w14:paraId="71F64D5F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2.服务财政专项资金管理</w:t>
      </w:r>
    </w:p>
    <w:p w14:paraId="11031B0B" w14:textId="7A8B3AE6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积极贯彻财政政策要求，对财政专项资金的使用情况进行评价和验证，助力加强财政资金监督管理。2025年，我省会计师事务所配合各级政府部门完成</w:t>
      </w:r>
      <w:r>
        <w:rPr>
          <w:rFonts w:ascii="仿宋_GB2312" w:eastAsia="仿宋_GB2312" w:hAnsi="仿宋_GB2312" w:cs="仿宋_GB2312"/>
          <w:sz w:val="32"/>
          <w:szCs w:val="32"/>
        </w:rPr>
        <w:t>2,</w:t>
      </w:r>
      <w:r>
        <w:rPr>
          <w:rFonts w:ascii="仿宋_GB2312" w:eastAsia="仿宋_GB2312" w:hAnsi="仿宋_GB2312" w:cs="仿宋_GB2312" w:hint="eastAsia"/>
          <w:sz w:val="32"/>
          <w:szCs w:val="32"/>
        </w:rPr>
        <w:t>242个财政专项资金审计项目，涉及资金额649.25亿元，保障了专项资金的合法性、合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性，提高了专项资金的使用效益。参与PPP项目48个，审计涉及项目投资额347.07亿元，为确定投资成本和政府补贴提供科学依据，为提高公共产品和服务的质量和效率贡献了重要力量。</w:t>
      </w:r>
    </w:p>
    <w:p w14:paraId="3F312D45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3.服务企业资本变更</w:t>
      </w:r>
    </w:p>
    <w:p w14:paraId="5CA2735A" w14:textId="4A5F8902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highlight w:val="green"/>
        </w:rPr>
      </w:pPr>
      <w:bookmarkStart w:id="2" w:name="OLE_LINK3"/>
      <w:r>
        <w:rPr>
          <w:rFonts w:ascii="仿宋_GB2312" w:eastAsia="仿宋_GB2312" w:hAnsi="仿宋_GB2312" w:cs="仿宋_GB2312" w:hint="eastAsia"/>
          <w:sz w:val="32"/>
          <w:szCs w:val="32"/>
        </w:rPr>
        <w:t>通过严谨的审验程序，验证企业资本的真实性和合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性，有效防范出资风险，维护市场交易安全，助力企业顺利完成工商登记、股权变更等关键环节，促进商业活动高效开展。</w:t>
      </w:r>
      <w:bookmarkEnd w:id="2"/>
      <w:r>
        <w:rPr>
          <w:rFonts w:ascii="仿宋_GB2312" w:eastAsia="仿宋_GB2312" w:hAnsi="仿宋_GB2312" w:cs="仿宋_GB2312" w:hint="eastAsia"/>
          <w:sz w:val="32"/>
          <w:szCs w:val="32"/>
        </w:rPr>
        <w:t>2025年，我省会计师事务所完成</w:t>
      </w:r>
      <w:r>
        <w:rPr>
          <w:rFonts w:ascii="仿宋_GB2312" w:eastAsia="仿宋_GB2312" w:hAnsi="仿宋_GB2312" w:cs="仿宋_GB2312"/>
          <w:sz w:val="32"/>
          <w:szCs w:val="32"/>
        </w:rPr>
        <w:t>3,</w:t>
      </w:r>
      <w:r>
        <w:rPr>
          <w:rFonts w:ascii="仿宋_GB2312" w:eastAsia="仿宋_GB2312" w:hAnsi="仿宋_GB2312" w:cs="仿宋_GB2312" w:hint="eastAsia"/>
          <w:sz w:val="32"/>
          <w:szCs w:val="32"/>
        </w:rPr>
        <w:t>763个验资项目，审验出资或减资额1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287.20亿元，为验证股东出资或减资的真实性，规避抽逃资金，解决股权纠纷，提供了重要的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鉴证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价值。</w:t>
      </w:r>
    </w:p>
    <w:p w14:paraId="5F3021E1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4.服务国家科技创新</w:t>
      </w:r>
    </w:p>
    <w:p w14:paraId="54909AF1" w14:textId="6EC1573E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积极贯彻国家科技创新发展战略，深耕高新技术企业认定管理、企业研发费用专项审计等领域，保障科研资金使用合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、有效。2025年，我省会计师事务所审计了6,061个高新技术企业认定项目，审定研发费用金额386.93亿元，确定高新产品收入金额2,634.42多亿元，为促进企业科技转型创新，提升企业融资能力做出了重要贡献。</w:t>
      </w:r>
    </w:p>
    <w:p w14:paraId="4A94E019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5.服务工程建设</w:t>
      </w:r>
    </w:p>
    <w:p w14:paraId="4C660309" w14:textId="0A3CCA61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针对建设工程项目财务决算予以审核，提高建设项目管理水平。2025年，我省会计师事务所开展了4</w:t>
      </w:r>
      <w:r>
        <w:rPr>
          <w:rFonts w:ascii="仿宋_GB2312" w:eastAsia="仿宋_GB2312" w:hAnsi="仿宋_GB2312" w:cs="仿宋_GB2312"/>
          <w:sz w:val="32"/>
          <w:szCs w:val="32"/>
        </w:rPr>
        <w:t>,2</w:t>
      </w:r>
      <w:r>
        <w:rPr>
          <w:rFonts w:ascii="仿宋_GB2312" w:eastAsia="仿宋_GB2312" w:hAnsi="仿宋_GB2312" w:cs="仿宋_GB2312" w:hint="eastAsia"/>
          <w:sz w:val="32"/>
          <w:szCs w:val="32"/>
        </w:rPr>
        <w:t>72个工程决算审计项目，审计涉及工程资金额接近1,777.54亿元，为保障建设资金合理、合法使用，正确评价投资效果发挥了关键作用。</w:t>
      </w:r>
    </w:p>
    <w:p w14:paraId="008F55F4" w14:textId="77777777" w:rsidR="00ED5E90" w:rsidRDefault="00000000">
      <w:pPr>
        <w:spacing w:line="590" w:lineRule="exact"/>
        <w:ind w:firstLineChars="200" w:firstLine="640"/>
        <w:jc w:val="left"/>
        <w:outlineLvl w:val="1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6.服务政府专项债发行</w:t>
      </w:r>
    </w:p>
    <w:p w14:paraId="15E1116A" w14:textId="592CB198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通过提供审计、财务顾问等方面服务，为地方政府专项债券的发行、运作和决策提供专业支撑。2025年，我省会计师事务所参与了</w:t>
      </w:r>
      <w:r>
        <w:rPr>
          <w:rFonts w:ascii="仿宋_GB2312" w:eastAsia="仿宋_GB2312" w:hAnsi="仿宋_GB2312" w:cs="仿宋_GB2312"/>
          <w:sz w:val="32"/>
          <w:szCs w:val="32"/>
        </w:rPr>
        <w:t>1,</w:t>
      </w:r>
      <w:r>
        <w:rPr>
          <w:rFonts w:ascii="仿宋_GB2312" w:eastAsia="仿宋_GB2312" w:hAnsi="仿宋_GB2312" w:cs="仿宋_GB2312" w:hint="eastAsia"/>
          <w:sz w:val="32"/>
          <w:szCs w:val="32"/>
        </w:rPr>
        <w:t>074笔政府专项债业务，涉及资金额超过3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000亿元，助力提升资金使用效益、防范债券风险。</w:t>
      </w:r>
    </w:p>
    <w:p w14:paraId="7665C395" w14:textId="77777777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除此之外，还为企业提供涉税服务项目</w:t>
      </w:r>
      <w:r>
        <w:rPr>
          <w:rFonts w:ascii="仿宋_GB2312" w:eastAsia="仿宋_GB2312" w:hAnsi="仿宋_GB2312" w:cs="仿宋_GB2312"/>
          <w:sz w:val="32"/>
          <w:szCs w:val="32"/>
        </w:rPr>
        <w:t>1,</w:t>
      </w:r>
      <w:r>
        <w:rPr>
          <w:rFonts w:ascii="仿宋_GB2312" w:eastAsia="仿宋_GB2312" w:hAnsi="仿宋_GB2312" w:cs="仿宋_GB2312" w:hint="eastAsia"/>
          <w:sz w:val="32"/>
          <w:szCs w:val="32"/>
        </w:rPr>
        <w:t>601个，承做境外或涉外企业相关业务203个。</w:t>
      </w:r>
    </w:p>
    <w:p w14:paraId="390D19B0" w14:textId="77777777" w:rsidR="00ED5E90" w:rsidRDefault="00000000">
      <w:pPr>
        <w:ind w:firstLineChars="200" w:firstLine="420"/>
        <w:jc w:val="left"/>
      </w:pPr>
      <w:r>
        <w:rPr>
          <w:noProof/>
        </w:rPr>
        <w:drawing>
          <wp:inline distT="0" distB="0" distL="0" distR="0" wp14:anchorId="2A2C0704" wp14:editId="7615FCB7">
            <wp:extent cx="5198745" cy="2966085"/>
            <wp:effectExtent l="4445" t="4445" r="16510" b="20320"/>
            <wp:docPr id="191270412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9F3C0B" w14:textId="77777777" w:rsidR="00ED5E90" w:rsidRDefault="00000000">
      <w:pPr>
        <w:spacing w:line="590" w:lineRule="exact"/>
        <w:ind w:firstLineChars="200" w:firstLine="640"/>
        <w:jc w:val="left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四、服务资本市场建设</w:t>
      </w:r>
    </w:p>
    <w:p w14:paraId="65CF5A4B" w14:textId="22A60390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会计师事务所为证券的发行、上市、挂牌、交易等证券业务活动制作、出具财务报表审计报告、内部控制审计报告、内部控制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鉴证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报告、验资报告、盈利预测审核报告等，在维护资本市场稳定和公共利益方面发挥了重要作用，为社会投融资决策提供重要的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鉴证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参考。</w:t>
      </w:r>
    </w:p>
    <w:p w14:paraId="5EC7E974" w14:textId="77777777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2025年，我省会计师事务所共对264家上市公司进行了年报审计，审定资产总额约5.71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万亿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元；完成了257个内部控制审计项目，发现重大（重要）缺陷数量58个；开展IPO审计14个，涉及募集资金80亿元；服务债券发行业务84个，涉及融资额2,917亿元。此外，还开展了拟上市（上市辅导期）业务71个，上市公司并购重组业务21个，新三板审计项目362个。</w:t>
      </w:r>
    </w:p>
    <w:p w14:paraId="3653EACC" w14:textId="77777777" w:rsidR="00ED5E90" w:rsidRDefault="00000000">
      <w:pPr>
        <w:tabs>
          <w:tab w:val="left" w:pos="1562"/>
        </w:tabs>
        <w:rPr>
          <w:rFonts w:ascii="黑体" w:eastAsia="黑体" w:hAnsi="黑体" w:cs="黑体" w:hint="eastAsia"/>
          <w:sz w:val="32"/>
          <w:szCs w:val="32"/>
        </w:rPr>
      </w:pPr>
      <w:r>
        <w:rPr>
          <w:noProof/>
        </w:rPr>
        <w:drawing>
          <wp:inline distT="0" distB="0" distL="114300" distR="114300" wp14:anchorId="448CF7A2" wp14:editId="6F04E521">
            <wp:extent cx="5547995" cy="2640965"/>
            <wp:effectExtent l="4445" t="5080" r="10160" b="20955"/>
            <wp:docPr id="18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C635DEA" w14:textId="77777777" w:rsidR="00ED5E90" w:rsidRDefault="00000000">
      <w:pPr>
        <w:spacing w:line="590" w:lineRule="exact"/>
        <w:ind w:firstLineChars="200" w:firstLine="640"/>
        <w:jc w:val="left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五、服务国家人才强国战略</w:t>
      </w:r>
      <w:r>
        <w:rPr>
          <w:rFonts w:ascii="黑体" w:eastAsia="黑体" w:hAnsi="黑体" w:cs="黑体" w:hint="eastAsia"/>
          <w:sz w:val="32"/>
          <w:szCs w:val="32"/>
        </w:rPr>
        <w:tab/>
      </w:r>
    </w:p>
    <w:p w14:paraId="1B16B0A1" w14:textId="55E38201" w:rsidR="00ED5E90" w:rsidRDefault="00000000">
      <w:pPr>
        <w:widowControl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1.注册会计师考试和人才培养情况。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协持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续优化行业人才结构，做好人才输送与提升工作。2025年，我省注册会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计师考试考生取得专业阶段考试合格1,263人，单科合格9,122人次，平均合格率为16.98%；取得综合阶段合格1,161人，合格率为72.97%；</w:t>
      </w:r>
      <w:bookmarkStart w:id="3" w:name="OLE_LINK1"/>
      <w:r>
        <w:rPr>
          <w:rFonts w:ascii="仿宋_GB2312" w:eastAsia="仿宋_GB2312" w:hAnsi="仿宋_GB2312" w:cs="仿宋_GB2312" w:hint="eastAsia"/>
          <w:sz w:val="32"/>
          <w:szCs w:val="32"/>
        </w:rPr>
        <w:t>举办线下专题培训班12期，面授人员超过2,600人次；</w:t>
      </w:r>
      <w:bookmarkEnd w:id="3"/>
      <w:r>
        <w:rPr>
          <w:rFonts w:ascii="仿宋_GB2312" w:eastAsia="仿宋_GB2312" w:hAnsi="仿宋_GB2312" w:cs="仿宋_GB2312" w:hint="eastAsia"/>
          <w:sz w:val="32"/>
          <w:szCs w:val="32"/>
        </w:rPr>
        <w:t>组织28家会计师事务所在山东财经大学、青岛大学举办两期校园宣讲会。据统计，2025年，全行业为2,500余名在校生提供了实习岗位。</w:t>
      </w:r>
    </w:p>
    <w:p w14:paraId="5082C310" w14:textId="77777777" w:rsidR="00ED5E90" w:rsidRDefault="00000000">
      <w:pPr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2.行业人士担任社会职务情况。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行业人士充分发挥业务专长，切实履职履责，为国家建设提供专业力量。据统计，2025年，行业内共有94名在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任各级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党代会代表、人大代表或政协委员，为政府决策提供重要建议191条；244名行业内人士担任行政事业单位顾问或外聘专家，55名行业内人士担任上市公司、国有企业外部董事（监事），有效发挥执业监督职责。</w:t>
      </w:r>
    </w:p>
    <w:p w14:paraId="43822DF4" w14:textId="77777777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3.为行政事业单位、企业等组织培训情况。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2025年，我省会计师事务所为行政事业单位或企业提供业务培训服务349次，参与培训人次累计超过1.65万人次，进一步提升了相关单位内部管理效率及财务管理水平。</w:t>
      </w:r>
    </w:p>
    <w:p w14:paraId="7429CE1E" w14:textId="2D7E21C8" w:rsidR="00ED5E90" w:rsidRDefault="00000000">
      <w:pPr>
        <w:tabs>
          <w:tab w:val="left" w:pos="1562"/>
        </w:tabs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4.参与高校联合人才培养、</w:t>
      </w:r>
      <w:r>
        <w:rPr>
          <w:rFonts w:ascii="仿宋_GB2312" w:eastAsia="仿宋_GB2312" w:hAnsi="仿宋_GB2312" w:cs="仿宋_GB2312" w:hint="eastAsia"/>
          <w:sz w:val="32"/>
          <w:szCs w:val="32"/>
        </w:rPr>
        <w:t>课题研究项目情况。我省</w:t>
      </w:r>
      <w:r w:rsidR="00663507">
        <w:rPr>
          <w:rFonts w:ascii="仿宋_GB2312" w:eastAsia="仿宋_GB2312" w:hAnsi="仿宋_GB2312" w:cs="仿宋_GB2312" w:hint="eastAsia"/>
          <w:sz w:val="32"/>
          <w:szCs w:val="32"/>
        </w:rPr>
        <w:t>会计师</w:t>
      </w:r>
      <w:r>
        <w:rPr>
          <w:rFonts w:ascii="仿宋_GB2312" w:eastAsia="仿宋_GB2312" w:hAnsi="仿宋_GB2312" w:cs="仿宋_GB2312" w:hint="eastAsia"/>
          <w:sz w:val="32"/>
          <w:szCs w:val="32"/>
        </w:rPr>
        <w:t>事务所与多个高校建立了深入合作关系，截至2025年底，共建立了141个实习基地项目，有118名行业人士担任校外导师或论文评阅、答辩专家，为在校学生发放奖学金25万元，进一步深化校企合作、推进产教融合，为行业人才队伍储备新生力量。此外，行业专业人士还参加各级政府部门课题研究项目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以及在重要期刊发表学术文章共计33个（篇）。</w:t>
      </w:r>
    </w:p>
    <w:p w14:paraId="02D544FF" w14:textId="77777777" w:rsidR="00ED5E90" w:rsidRDefault="00ED5E90">
      <w:pPr>
        <w:tabs>
          <w:tab w:val="left" w:pos="1562"/>
        </w:tabs>
        <w:spacing w:line="59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AC493EC" w14:textId="77777777" w:rsidR="00ED5E90" w:rsidRDefault="00000000">
      <w:pPr>
        <w:tabs>
          <w:tab w:val="left" w:pos="1562"/>
        </w:tabs>
        <w:spacing w:line="59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D716AE" wp14:editId="3B8DD612">
            <wp:simplePos x="0" y="0"/>
            <wp:positionH relativeFrom="column">
              <wp:posOffset>57150</wp:posOffset>
            </wp:positionH>
            <wp:positionV relativeFrom="page">
              <wp:posOffset>1169035</wp:posOffset>
            </wp:positionV>
            <wp:extent cx="5550535" cy="3582670"/>
            <wp:effectExtent l="4445" t="4445" r="7620" b="13335"/>
            <wp:wrapSquare wrapText="bothSides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26BA1CB" w14:textId="77777777" w:rsidR="00ED5E90" w:rsidRDefault="00000000">
      <w:pPr>
        <w:spacing w:line="590" w:lineRule="exact"/>
        <w:ind w:firstLineChars="200" w:firstLine="640"/>
        <w:jc w:val="left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六、社会公益活动</w:t>
      </w:r>
    </w:p>
    <w:p w14:paraId="262AF085" w14:textId="77777777" w:rsidR="00ED5E90" w:rsidRDefault="00000000">
      <w:pPr>
        <w:tabs>
          <w:tab w:val="left" w:pos="1562"/>
        </w:tabs>
        <w:spacing w:line="59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长期以来，我省注册会计师行业积极通过各种方式履行社会责任，通过捐赠、慰问、帮扶、公益咨询等志愿服务形式为群众送温暖，以实际行动彰显了行业责任与担当。2025年，我省会计师事务所共捐赠物资价值62万元，捐赠现金72万元；举办公益活动次数162次，涉及行业内2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676人次参与。</w:t>
      </w:r>
    </w:p>
    <w:p w14:paraId="5859D6E3" w14:textId="77777777" w:rsidR="00ED5E90" w:rsidRDefault="00ED5E90">
      <w:pPr>
        <w:spacing w:line="590" w:lineRule="exact"/>
      </w:pPr>
    </w:p>
    <w:p w14:paraId="4EAA7785" w14:textId="5B6228B9" w:rsidR="00ED5E90" w:rsidRDefault="00000000" w:rsidP="00D04749">
      <w:pPr>
        <w:spacing w:line="590" w:lineRule="exact"/>
        <w:ind w:firstLineChars="200" w:firstLine="560"/>
        <w:jc w:val="left"/>
        <w:rPr>
          <w:rFonts w:ascii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注：以上数据为不完全统计。</w:t>
      </w:r>
    </w:p>
    <w:sectPr w:rsidR="00ED5E90">
      <w:footerReference w:type="even" r:id="rId13"/>
      <w:footerReference w:type="default" r:id="rId14"/>
      <w:pgSz w:w="11906" w:h="16838"/>
      <w:pgMar w:top="1871" w:right="1587" w:bottom="1587" w:left="1587" w:header="851" w:footer="1474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71880" w14:textId="77777777" w:rsidR="00761928" w:rsidRDefault="00761928">
      <w:r>
        <w:separator/>
      </w:r>
    </w:p>
  </w:endnote>
  <w:endnote w:type="continuationSeparator" w:id="0">
    <w:p w14:paraId="0CF7DA81" w14:textId="77777777" w:rsidR="00761928" w:rsidRDefault="0076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59D4" w14:textId="77777777" w:rsidR="00ED5E90" w:rsidRDefault="00000000">
    <w:pPr>
      <w:pStyle w:val="a3"/>
    </w:pPr>
    <w:r>
      <w:rPr>
        <w:rFonts w:asciiTheme="minorEastAsia" w:hAnsiTheme="minorEastAsia" w:cstheme="minorEastAsia" w:hint="eastAsia"/>
        <w:sz w:val="28"/>
        <w:szCs w:val="28"/>
      </w:rPr>
      <w:t xml:space="preserve">— </w:t>
    </w:r>
    <w:sdt>
      <w:sdtPr>
        <w:rPr>
          <w:rFonts w:asciiTheme="minorEastAsia" w:hAnsiTheme="minorEastAsia" w:cstheme="minorEastAsia" w:hint="eastAsia"/>
          <w:sz w:val="28"/>
          <w:szCs w:val="28"/>
        </w:rPr>
        <w:id w:val="147463582"/>
      </w:sdtPr>
      <w:sdtContent>
        <w:r>
          <w:rPr>
            <w:rFonts w:asciiTheme="minorEastAsia" w:hAnsiTheme="minorEastAsia" w:cstheme="minorEastAsia" w:hint="eastAsia"/>
            <w:sz w:val="28"/>
            <w:szCs w:val="28"/>
          </w:rPr>
          <w:fldChar w:fldCharType="begin"/>
        </w:r>
        <w:r>
          <w:rPr>
            <w:rFonts w:asciiTheme="minorEastAsia" w:hAnsiTheme="minorEastAsia" w:cstheme="minorEastAsia" w:hint="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cstheme="minorEastAsia" w:hint="eastAsia"/>
            <w:sz w:val="28"/>
            <w:szCs w:val="28"/>
          </w:rPr>
          <w:fldChar w:fldCharType="separate"/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t>11</w:t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fldChar w:fldCharType="end"/>
        </w:r>
        <w:r>
          <w:rPr>
            <w:rFonts w:asciiTheme="minorEastAsia" w:hAnsiTheme="minorEastAsia" w:cs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5E2A" w14:textId="77777777" w:rsidR="00ED5E90" w:rsidRDefault="00000000">
    <w:pPr>
      <w:pStyle w:val="a3"/>
      <w:jc w:val="right"/>
    </w:pPr>
    <w:r>
      <w:rPr>
        <w:rFonts w:asciiTheme="minorEastAsia" w:hAnsiTheme="minorEastAsia" w:cstheme="minorEastAsia" w:hint="eastAsia"/>
        <w:sz w:val="28"/>
        <w:szCs w:val="28"/>
      </w:rPr>
      <w:t xml:space="preserve">— </w:t>
    </w:r>
    <w:sdt>
      <w:sdtPr>
        <w:rPr>
          <w:rFonts w:asciiTheme="minorEastAsia" w:hAnsiTheme="minorEastAsia" w:cstheme="minorEastAsia" w:hint="eastAsia"/>
          <w:sz w:val="28"/>
          <w:szCs w:val="28"/>
        </w:rPr>
        <w:id w:val="147469465"/>
      </w:sdtPr>
      <w:sdtContent>
        <w:r>
          <w:rPr>
            <w:rFonts w:asciiTheme="minorEastAsia" w:hAnsiTheme="minorEastAsia" w:cstheme="minorEastAsia" w:hint="eastAsia"/>
            <w:sz w:val="28"/>
            <w:szCs w:val="28"/>
          </w:rPr>
          <w:fldChar w:fldCharType="begin"/>
        </w:r>
        <w:r>
          <w:rPr>
            <w:rFonts w:asciiTheme="minorEastAsia" w:hAnsiTheme="minorEastAsia" w:cstheme="minorEastAsia" w:hint="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cstheme="minorEastAsia" w:hint="eastAsia"/>
            <w:sz w:val="28"/>
            <w:szCs w:val="28"/>
          </w:rPr>
          <w:fldChar w:fldCharType="separate"/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fldChar w:fldCharType="end"/>
        </w:r>
        <w:r>
          <w:rPr>
            <w:rFonts w:asciiTheme="minorEastAsia" w:hAnsiTheme="minorEastAsia" w:cs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cstheme="minorEastAsia" w:hint="eastAsia"/>
            <w:sz w:val="28"/>
            <w:szCs w:val="28"/>
            <w:lang w:val="zh-CN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B85E" w14:textId="77777777" w:rsidR="00761928" w:rsidRDefault="00761928">
      <w:r>
        <w:separator/>
      </w:r>
    </w:p>
  </w:footnote>
  <w:footnote w:type="continuationSeparator" w:id="0">
    <w:p w14:paraId="63C3E885" w14:textId="77777777" w:rsidR="00761928" w:rsidRDefault="00761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I0ZWY5ODcxMWJhODQyODMyOGFkYjNlNDc1ZWJjMjgifQ=="/>
  </w:docVars>
  <w:rsids>
    <w:rsidRoot w:val="7367114B"/>
    <w:rsid w:val="000451A1"/>
    <w:rsid w:val="00090C79"/>
    <w:rsid w:val="000D272B"/>
    <w:rsid w:val="001177B2"/>
    <w:rsid w:val="00134F58"/>
    <w:rsid w:val="002C3CC9"/>
    <w:rsid w:val="002F4BA6"/>
    <w:rsid w:val="00663507"/>
    <w:rsid w:val="00663779"/>
    <w:rsid w:val="00761928"/>
    <w:rsid w:val="00786AD9"/>
    <w:rsid w:val="007A6636"/>
    <w:rsid w:val="00BE6987"/>
    <w:rsid w:val="00CF4E32"/>
    <w:rsid w:val="00D04749"/>
    <w:rsid w:val="00D06721"/>
    <w:rsid w:val="00D61E99"/>
    <w:rsid w:val="00DD7A25"/>
    <w:rsid w:val="00E57F7E"/>
    <w:rsid w:val="00ED5E90"/>
    <w:rsid w:val="00F34CEB"/>
    <w:rsid w:val="01213882"/>
    <w:rsid w:val="02AC7062"/>
    <w:rsid w:val="02E86DAF"/>
    <w:rsid w:val="04936A94"/>
    <w:rsid w:val="06742A00"/>
    <w:rsid w:val="07A50EA6"/>
    <w:rsid w:val="086C2D89"/>
    <w:rsid w:val="09030A93"/>
    <w:rsid w:val="0A1C2C6E"/>
    <w:rsid w:val="0A3D00B2"/>
    <w:rsid w:val="0AE24082"/>
    <w:rsid w:val="0AF17B39"/>
    <w:rsid w:val="0AFF29BA"/>
    <w:rsid w:val="0B3A3EBE"/>
    <w:rsid w:val="0C3A451F"/>
    <w:rsid w:val="0F3A1FEE"/>
    <w:rsid w:val="11372C98"/>
    <w:rsid w:val="1152203E"/>
    <w:rsid w:val="128105EC"/>
    <w:rsid w:val="13E378F1"/>
    <w:rsid w:val="15AB45E4"/>
    <w:rsid w:val="15D942D4"/>
    <w:rsid w:val="15DA7D3B"/>
    <w:rsid w:val="15E406C2"/>
    <w:rsid w:val="16C744C9"/>
    <w:rsid w:val="173E71F6"/>
    <w:rsid w:val="185C36C6"/>
    <w:rsid w:val="18F922C4"/>
    <w:rsid w:val="1901329C"/>
    <w:rsid w:val="198674E1"/>
    <w:rsid w:val="1A7F04C7"/>
    <w:rsid w:val="1AC62A5E"/>
    <w:rsid w:val="1BB37842"/>
    <w:rsid w:val="1BF956CF"/>
    <w:rsid w:val="1D0B595F"/>
    <w:rsid w:val="1D3D6A4B"/>
    <w:rsid w:val="1E450758"/>
    <w:rsid w:val="1EE900B3"/>
    <w:rsid w:val="1F027736"/>
    <w:rsid w:val="1FDB3011"/>
    <w:rsid w:val="21CC2DF5"/>
    <w:rsid w:val="24F05E5A"/>
    <w:rsid w:val="25AB0035"/>
    <w:rsid w:val="29806256"/>
    <w:rsid w:val="2AD97D9D"/>
    <w:rsid w:val="2B2D4A4E"/>
    <w:rsid w:val="2BE547EF"/>
    <w:rsid w:val="2CDA6E57"/>
    <w:rsid w:val="2E864E06"/>
    <w:rsid w:val="2EB33D5E"/>
    <w:rsid w:val="308220A2"/>
    <w:rsid w:val="32EB591A"/>
    <w:rsid w:val="331215C6"/>
    <w:rsid w:val="34E837B0"/>
    <w:rsid w:val="34F17CA6"/>
    <w:rsid w:val="3588516B"/>
    <w:rsid w:val="35F8709C"/>
    <w:rsid w:val="369054AE"/>
    <w:rsid w:val="376024A5"/>
    <w:rsid w:val="37F949C4"/>
    <w:rsid w:val="38A65E3F"/>
    <w:rsid w:val="39F63621"/>
    <w:rsid w:val="39FD7C4D"/>
    <w:rsid w:val="3B7629AF"/>
    <w:rsid w:val="3CF97798"/>
    <w:rsid w:val="3DF235DF"/>
    <w:rsid w:val="3E4800C5"/>
    <w:rsid w:val="407C5825"/>
    <w:rsid w:val="40B05EE1"/>
    <w:rsid w:val="41127D6C"/>
    <w:rsid w:val="42D952CF"/>
    <w:rsid w:val="42F94AE0"/>
    <w:rsid w:val="430A2151"/>
    <w:rsid w:val="448D21B3"/>
    <w:rsid w:val="45227BD1"/>
    <w:rsid w:val="460775BD"/>
    <w:rsid w:val="470957AC"/>
    <w:rsid w:val="481F02E8"/>
    <w:rsid w:val="486F00B0"/>
    <w:rsid w:val="48BA3267"/>
    <w:rsid w:val="4ACE3700"/>
    <w:rsid w:val="4C316F9E"/>
    <w:rsid w:val="4CA70CCA"/>
    <w:rsid w:val="4FBA78D0"/>
    <w:rsid w:val="508F3EBE"/>
    <w:rsid w:val="50B46802"/>
    <w:rsid w:val="50C109F8"/>
    <w:rsid w:val="53151FA1"/>
    <w:rsid w:val="538928F9"/>
    <w:rsid w:val="54047867"/>
    <w:rsid w:val="5476422F"/>
    <w:rsid w:val="55C62722"/>
    <w:rsid w:val="55F55AEC"/>
    <w:rsid w:val="56787ABD"/>
    <w:rsid w:val="57007FE0"/>
    <w:rsid w:val="58D21F78"/>
    <w:rsid w:val="58D5685D"/>
    <w:rsid w:val="5C4C66E1"/>
    <w:rsid w:val="5D616655"/>
    <w:rsid w:val="5E794C7D"/>
    <w:rsid w:val="5E8F4D2B"/>
    <w:rsid w:val="5F502DE5"/>
    <w:rsid w:val="60697716"/>
    <w:rsid w:val="61CA6F4D"/>
    <w:rsid w:val="61DB5503"/>
    <w:rsid w:val="61F57A10"/>
    <w:rsid w:val="63F128EE"/>
    <w:rsid w:val="66763171"/>
    <w:rsid w:val="668E3BDC"/>
    <w:rsid w:val="67AD523A"/>
    <w:rsid w:val="67AF5CF9"/>
    <w:rsid w:val="68680A31"/>
    <w:rsid w:val="688B27D8"/>
    <w:rsid w:val="692E58EA"/>
    <w:rsid w:val="69A649E9"/>
    <w:rsid w:val="6B301AA5"/>
    <w:rsid w:val="6B484BE9"/>
    <w:rsid w:val="6C1F5711"/>
    <w:rsid w:val="6C926D40"/>
    <w:rsid w:val="6D9E6AB8"/>
    <w:rsid w:val="6DD74ACE"/>
    <w:rsid w:val="6F654E86"/>
    <w:rsid w:val="6F8D32DA"/>
    <w:rsid w:val="72914761"/>
    <w:rsid w:val="72BD13F7"/>
    <w:rsid w:val="73345D5F"/>
    <w:rsid w:val="7367114B"/>
    <w:rsid w:val="7513774D"/>
    <w:rsid w:val="76391764"/>
    <w:rsid w:val="782E3BC8"/>
    <w:rsid w:val="7A811C8D"/>
    <w:rsid w:val="7A9F7983"/>
    <w:rsid w:val="7C690CDA"/>
    <w:rsid w:val="7D540B14"/>
    <w:rsid w:val="7EBB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870D74"/>
  <w15:docId w15:val="{0524678E-C38A-4FAC-A90C-DBDDC207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db5-nei">
    <w:name w:val="db5-nei"/>
    <w:basedOn w:val="a"/>
    <w:qFormat/>
    <w:pPr>
      <w:spacing w:line="600" w:lineRule="exact"/>
      <w:ind w:firstLineChars="200" w:firstLine="200"/>
    </w:pPr>
    <w:rPr>
      <w:rFonts w:ascii="Times New Roman" w:eastAsia="仿宋_GB2312" w:hAnsi="Times New Roman"/>
      <w:sz w:val="30"/>
      <w:szCs w:val="28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paragraph" w:styleId="a8">
    <w:name w:val="Revision"/>
    <w:hidden/>
    <w:uiPriority w:val="99"/>
    <w:unhideWhenUsed/>
    <w:rsid w:val="00D61E99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849251-897978.html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aike.so.com/doc/849255-897990.html" TargetMode="External"/><Relationship Id="rId12" Type="http://schemas.openxmlformats.org/officeDocument/2006/relationships/chart" Target="charts/chart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2304;&#27880;&#21327;&#24180;&#26816;\&#38468;&#20214;7&#30011;&#2227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2025&#24180;&#26816;\&#24635;&#32467;\&#38468;&#20214;7&#30011;&#2227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2304;&#27880;&#21327;&#24180;&#26816;\&#38468;&#20214;7&#30011;&#2227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2025&#24180;&#26816;\&#24635;&#32467;\&#38468;&#20214;7&#30011;&#2227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istrator\Desktop\2026&#24180;&#26816;\2026&#24180;&#26816;&#32508;&#21512;&#26448;&#26009;&#21021;&#31295;\2026&#24180;&#26816;&#20215;&#20540;&#36129;&#29486;&#34920;&#27719;&#24635;\2026.5.31&#24180;&#26816;&#27178;&#29256;&#32479;&#35745;&#27719;&#24635;%20-&#38472;&#20570;&#34920;&#26684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图</a:t>
            </a:r>
            <a:r>
              <a:rPr lang="en-US" altLang="zh-CN" sz="1200">
                <a:latin typeface="宋体" panose="02010600030101010101" charset="-122"/>
                <a:ea typeface="宋体" panose="02010600030101010101" charset="-122"/>
              </a:rPr>
              <a:t>1  2025</a:t>
            </a: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年山东省会计师事务所服务客户数量情况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 alt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图1!$B$2</c:f>
              <c:strCache>
                <c:ptCount val="1"/>
                <c:pt idx="0">
                  <c:v>客户数量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1.8154998297968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71-455C-ADD0-4617C2D710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黑体" panose="02010609060101010101" charset="-122"/>
                    <a:ea typeface="黑体" panose="02010609060101010101" charset="-122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图1!$A$3:$A$9</c:f>
              <c:strCache>
                <c:ptCount val="7"/>
                <c:pt idx="0">
                  <c:v>行政事业单位</c:v>
                </c:pt>
                <c:pt idx="1">
                  <c:v>社会组织</c:v>
                </c:pt>
                <c:pt idx="2">
                  <c:v>中央企业</c:v>
                </c:pt>
                <c:pt idx="3">
                  <c:v>地方国有企业</c:v>
                </c:pt>
                <c:pt idx="4">
                  <c:v>民营企业</c:v>
                </c:pt>
                <c:pt idx="5">
                  <c:v>外资企业</c:v>
                </c:pt>
                <c:pt idx="6">
                  <c:v>其他</c:v>
                </c:pt>
              </c:strCache>
            </c:strRef>
          </c:cat>
          <c:val>
            <c:numRef>
              <c:f>图1!$B$3:$B$9</c:f>
              <c:numCache>
                <c:formatCode>General</c:formatCode>
                <c:ptCount val="7"/>
                <c:pt idx="0">
                  <c:v>11473</c:v>
                </c:pt>
                <c:pt idx="1">
                  <c:v>7438</c:v>
                </c:pt>
                <c:pt idx="2">
                  <c:v>827</c:v>
                </c:pt>
                <c:pt idx="3">
                  <c:v>20993</c:v>
                </c:pt>
                <c:pt idx="4">
                  <c:v>65116</c:v>
                </c:pt>
                <c:pt idx="5">
                  <c:v>1994</c:v>
                </c:pt>
                <c:pt idx="6">
                  <c:v>20033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71-455C-ADD0-4617C2D710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41422976"/>
        <c:axId val="1541415776"/>
      </c:barChart>
      <c:catAx>
        <c:axId val="1541422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等线" panose="02010600030101010101" charset="-122"/>
                <a:ea typeface="等线" panose="02010600030101010101" charset="-122"/>
                <a:cs typeface="+mn-cs"/>
              </a:defRPr>
            </a:pPr>
            <a:endParaRPr lang="zh-CN"/>
          </a:p>
        </c:txPr>
        <c:crossAx val="1541415776"/>
        <c:crosses val="autoZero"/>
        <c:auto val="1"/>
        <c:lblAlgn val="ctr"/>
        <c:lblOffset val="100"/>
        <c:noMultiLvlLbl val="0"/>
      </c:catAx>
      <c:valAx>
        <c:axId val="154141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/>
                  <a:t>家次</a:t>
                </a:r>
              </a:p>
            </c:rich>
          </c:tx>
          <c:layout>
            <c:manualLayout>
              <c:xMode val="edge"/>
              <c:yMode val="edge"/>
              <c:x val="1.62530498251462E-2"/>
              <c:y val="0.1728980952589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22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图</a:t>
            </a:r>
            <a:r>
              <a:rPr lang="en-US" altLang="zh-CN" sz="1200">
                <a:latin typeface="宋体" panose="02010600030101010101" charset="-122"/>
                <a:ea typeface="宋体" panose="02010600030101010101" charset="-122"/>
              </a:rPr>
              <a:t>2 2025</a:t>
            </a: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年山东省注册会计师行业服务国家政治建设项目数量（个）</a:t>
            </a:r>
          </a:p>
        </c:rich>
      </c:tx>
      <c:layout>
        <c:manualLayout>
          <c:xMode val="edge"/>
          <c:yMode val="edge"/>
          <c:x val="0.12314612205203"/>
          <c:y val="1.64609053497941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 alt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[附件7画图.xlsx]图2!$C$2</c:f>
              <c:strCache>
                <c:ptCount val="1"/>
                <c:pt idx="0">
                  <c:v>客户数量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[附件7画图.xlsx]图2!$B$3:$B$14</c:f>
              <c:strCache>
                <c:ptCount val="12"/>
                <c:pt idx="0">
                  <c:v>乡村振兴项目</c:v>
                </c:pt>
                <c:pt idx="1">
                  <c:v>环保、绿色金融服务项目</c:v>
                </c:pt>
                <c:pt idx="2">
                  <c:v>破产清算及其他破产相关业务</c:v>
                </c:pt>
                <c:pt idx="3">
                  <c:v>担任破产管理人项目</c:v>
                </c:pt>
                <c:pt idx="4">
                  <c:v>司法鉴定项目</c:v>
                </c:pt>
                <c:pt idx="5">
                  <c:v>混合所有制改革项目</c:v>
                </c:pt>
                <c:pt idx="6">
                  <c:v>离任审计及经济责任审计项目</c:v>
                </c:pt>
                <c:pt idx="7">
                  <c:v>行政事业单位、国有企业资产清查审计项目</c:v>
                </c:pt>
                <c:pt idx="8">
                  <c:v>为政府部门提供涉税服务</c:v>
                </c:pt>
                <c:pt idx="9">
                  <c:v>派员参加政府部门组织的检查人次</c:v>
                </c:pt>
                <c:pt idx="10">
                  <c:v>服务社会保险、住房公积金稽核项目</c:v>
                </c:pt>
                <c:pt idx="11">
                  <c:v>政务咨询项目</c:v>
                </c:pt>
              </c:strCache>
            </c:strRef>
          </c:cat>
          <c:val>
            <c:numRef>
              <c:f>[附件7画图.xlsx]图2!$C$3:$C$14</c:f>
              <c:numCache>
                <c:formatCode>_ * #,##0_ ;_ * \-#,##0_ ;_ * "-"??_ ;_ @_ </c:formatCode>
                <c:ptCount val="12"/>
                <c:pt idx="0">
                  <c:v>140</c:v>
                </c:pt>
                <c:pt idx="1">
                  <c:v>34</c:v>
                </c:pt>
                <c:pt idx="2">
                  <c:v>126</c:v>
                </c:pt>
                <c:pt idx="3">
                  <c:v>46</c:v>
                </c:pt>
                <c:pt idx="4">
                  <c:v>987</c:v>
                </c:pt>
                <c:pt idx="5">
                  <c:v>8</c:v>
                </c:pt>
                <c:pt idx="6">
                  <c:v>2172</c:v>
                </c:pt>
                <c:pt idx="7">
                  <c:v>1141</c:v>
                </c:pt>
                <c:pt idx="8">
                  <c:v>107</c:v>
                </c:pt>
                <c:pt idx="9">
                  <c:v>1289</c:v>
                </c:pt>
                <c:pt idx="10">
                  <c:v>101</c:v>
                </c:pt>
                <c:pt idx="11">
                  <c:v>537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E8-4DFA-BAFA-F7CB9453AF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541422976"/>
        <c:axId val="1541415776"/>
      </c:barChart>
      <c:catAx>
        <c:axId val="1541422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15776"/>
        <c:crosses val="autoZero"/>
        <c:auto val="1"/>
        <c:lblAlgn val="ctr"/>
        <c:lblOffset val="100"/>
        <c:noMultiLvlLbl val="0"/>
      </c:catAx>
      <c:valAx>
        <c:axId val="1541415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 * #,##0_ ;_ * \-#,##0_ ;_ * &quot;-&quot;??_ ;_ @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22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图</a:t>
            </a:r>
            <a:r>
              <a:rPr lang="en-US" altLang="zh-CN" sz="1200">
                <a:latin typeface="宋体" panose="02010600030101010101" charset="-122"/>
                <a:ea typeface="宋体" panose="02010600030101010101" charset="-122"/>
              </a:rPr>
              <a:t>3 2025</a:t>
            </a: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年山东省注册会计师行业服务国家经济建设项目数量（个）</a:t>
            </a:r>
          </a:p>
        </c:rich>
      </c:tx>
      <c:layout>
        <c:manualLayout>
          <c:xMode val="edge"/>
          <c:yMode val="edge"/>
          <c:x val="0.12314612205203"/>
          <c:y val="1.64609053497941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 alt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图3!$C$2</c:f>
              <c:strCache>
                <c:ptCount val="1"/>
                <c:pt idx="0">
                  <c:v> 客户数量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黑体" panose="02010609060101010101" charset="-122"/>
                    <a:ea typeface="黑体" panose="02010609060101010101" charset="-122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图3!$B$3:$B$12</c:f>
              <c:strCache>
                <c:ptCount val="10"/>
                <c:pt idx="0">
                  <c:v>境外或涉外企业相关业务</c:v>
                </c:pt>
                <c:pt idx="1">
                  <c:v>企业涉税服务项目</c:v>
                </c:pt>
                <c:pt idx="2">
                  <c:v>政府专项债业务</c:v>
                </c:pt>
                <c:pt idx="3">
                  <c:v>工程竣工决算审计项目</c:v>
                </c:pt>
                <c:pt idx="4">
                  <c:v>高新技术企业认定项目</c:v>
                </c:pt>
                <c:pt idx="5">
                  <c:v>验资业务</c:v>
                </c:pt>
                <c:pt idx="6">
                  <c:v>参与PPP项目</c:v>
                </c:pt>
                <c:pt idx="7">
                  <c:v>财政专项资金审计项目</c:v>
                </c:pt>
                <c:pt idx="8">
                  <c:v>财政预算评审项目</c:v>
                </c:pt>
                <c:pt idx="9">
                  <c:v>财政预算绩效评价项目</c:v>
                </c:pt>
              </c:strCache>
            </c:strRef>
          </c:cat>
          <c:val>
            <c:numRef>
              <c:f>图3!$C$3:$C$12</c:f>
              <c:numCache>
                <c:formatCode>_ * #,##0_ ;_ * \-#,##0_ ;_ * "-"??_ ;_ @_ </c:formatCode>
                <c:ptCount val="10"/>
                <c:pt idx="0">
                  <c:v>203</c:v>
                </c:pt>
                <c:pt idx="1">
                  <c:v>1601</c:v>
                </c:pt>
                <c:pt idx="2">
                  <c:v>1074</c:v>
                </c:pt>
                <c:pt idx="3">
                  <c:v>4272</c:v>
                </c:pt>
                <c:pt idx="4">
                  <c:v>6061</c:v>
                </c:pt>
                <c:pt idx="5">
                  <c:v>3763</c:v>
                </c:pt>
                <c:pt idx="6">
                  <c:v>48</c:v>
                </c:pt>
                <c:pt idx="7">
                  <c:v>2242</c:v>
                </c:pt>
                <c:pt idx="8">
                  <c:v>160</c:v>
                </c:pt>
                <c:pt idx="9">
                  <c:v>1726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B4-4624-A05F-A70ED974F27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541422976"/>
        <c:axId val="1541415776"/>
      </c:barChart>
      <c:catAx>
        <c:axId val="1541422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15776"/>
        <c:crosses val="autoZero"/>
        <c:auto val="1"/>
        <c:lblAlgn val="ctr"/>
        <c:lblOffset val="100"/>
        <c:noMultiLvlLbl val="0"/>
      </c:catAx>
      <c:valAx>
        <c:axId val="1541415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 * #,##0_ ;_ * \-#,##0_ ;_ * &quot;-&quot;??_ ;_ @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22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图</a:t>
            </a:r>
            <a:r>
              <a:rPr lang="en-US" altLang="zh-CN" sz="1200">
                <a:latin typeface="宋体" panose="02010600030101010101" charset="-122"/>
                <a:ea typeface="宋体" panose="02010600030101010101" charset="-122"/>
              </a:rPr>
              <a:t>4 2025</a:t>
            </a:r>
            <a:r>
              <a:rPr lang="zh-CN" altLang="en-US" sz="1200">
                <a:latin typeface="宋体" panose="02010600030101010101" charset="-122"/>
                <a:ea typeface="宋体" panose="02010600030101010101" charset="-122"/>
              </a:rPr>
              <a:t>年山东省注册会计师行业服务资本市场项目数量（个）</a:t>
            </a:r>
          </a:p>
        </c:rich>
      </c:tx>
      <c:layout>
        <c:manualLayout>
          <c:xMode val="edge"/>
          <c:yMode val="edge"/>
          <c:x val="0.12314612205203"/>
          <c:y val="1.64609053497941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 alt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[附件7画图.xlsx]图4!$C$2</c:f>
              <c:strCache>
                <c:ptCount val="1"/>
                <c:pt idx="0">
                  <c:v>客户数量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[附件7画图.xlsx]图4!$B$3:$B$8</c:f>
              <c:strCache>
                <c:ptCount val="6"/>
                <c:pt idx="0">
                  <c:v>新三板审计</c:v>
                </c:pt>
                <c:pt idx="1">
                  <c:v>上市公司并购重组业务</c:v>
                </c:pt>
                <c:pt idx="2">
                  <c:v>服务债券发行业务</c:v>
                </c:pt>
                <c:pt idx="3">
                  <c:v>IPO审计（含上市辅导期）</c:v>
                </c:pt>
                <c:pt idx="4">
                  <c:v>内部控制审计</c:v>
                </c:pt>
                <c:pt idx="5">
                  <c:v>上市公司年报审计</c:v>
                </c:pt>
              </c:strCache>
            </c:strRef>
          </c:cat>
          <c:val>
            <c:numRef>
              <c:f>[附件7画图.xlsx]图4!$C$3:$C$8</c:f>
              <c:numCache>
                <c:formatCode>_ * #,##0_ ;_ * \-#,##0_ ;_ * "-"??_ ;_ @_ </c:formatCode>
                <c:ptCount val="6"/>
                <c:pt idx="0">
                  <c:v>362</c:v>
                </c:pt>
                <c:pt idx="1">
                  <c:v>21</c:v>
                </c:pt>
                <c:pt idx="2">
                  <c:v>84</c:v>
                </c:pt>
                <c:pt idx="3">
                  <c:v>85</c:v>
                </c:pt>
                <c:pt idx="4">
                  <c:v>257</c:v>
                </c:pt>
                <c:pt idx="5">
                  <c:v>264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E8-4C17-B760-24DAF42AA2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541422976"/>
        <c:axId val="1541415776"/>
      </c:barChart>
      <c:catAx>
        <c:axId val="1541422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15776"/>
        <c:crosses val="autoZero"/>
        <c:auto val="1"/>
        <c:lblAlgn val="ctr"/>
        <c:lblOffset val="100"/>
        <c:noMultiLvlLbl val="0"/>
      </c:catAx>
      <c:valAx>
        <c:axId val="1541415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 * #,##0_ ;_ * \-#,##0_ ;_ * &quot;-&quot;??_ ;_ @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1422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0">
                <a:latin typeface="+mn-ea"/>
                <a:cs typeface="+mn-ea"/>
              </a:rPr>
              <a:t>图</a:t>
            </a:r>
            <a:r>
              <a:rPr lang="en-US" altLang="zh-CN" sz="1200" b="0">
                <a:latin typeface="+mn-ea"/>
                <a:cs typeface="+mn-ea"/>
              </a:rPr>
              <a:t>5 </a:t>
            </a:r>
            <a:r>
              <a:rPr lang="zh-CN" altLang="en-US" sz="1200" b="0">
                <a:latin typeface="+mn-ea"/>
                <a:cs typeface="+mn-ea"/>
              </a:rPr>
              <a:t> </a:t>
            </a:r>
            <a:r>
              <a:rPr lang="en-US" altLang="zh-CN" sz="1200" b="0">
                <a:latin typeface="+mn-ea"/>
                <a:cs typeface="+mn-ea"/>
              </a:rPr>
              <a:t>2025</a:t>
            </a:r>
            <a:r>
              <a:rPr lang="zh-CN" altLang="en-US" sz="1200" b="0">
                <a:latin typeface="+mn-ea"/>
                <a:cs typeface="+mn-ea"/>
              </a:rPr>
              <a:t>年山东省注册会计师行业服务国家人才强国战略项目情况（人</a:t>
            </a:r>
            <a:r>
              <a:rPr lang="en-US" altLang="zh-CN" sz="1200" b="0">
                <a:latin typeface="+mn-ea"/>
                <a:cs typeface="+mn-ea"/>
              </a:rPr>
              <a:t>/</a:t>
            </a:r>
            <a:r>
              <a:rPr lang="zh-CN" altLang="en-US" sz="1200" b="0">
                <a:latin typeface="+mn-ea"/>
                <a:cs typeface="+mn-ea"/>
              </a:rPr>
              <a:t>次</a:t>
            </a:r>
            <a:r>
              <a:rPr lang="en-US" altLang="zh-CN" sz="1200" b="0">
                <a:latin typeface="+mn-ea"/>
                <a:cs typeface="+mn-ea"/>
              </a:rPr>
              <a:t>/</a:t>
            </a:r>
            <a:r>
              <a:rPr lang="zh-CN" altLang="en-US" sz="1200" b="0">
                <a:latin typeface="+mn-ea"/>
                <a:cs typeface="+mn-ea"/>
              </a:rPr>
              <a:t>个）</a:t>
            </a:r>
          </a:p>
          <a:p>
            <a:pPr defTabSz="914400">
              <a:defRPr/>
            </a:pPr>
            <a:endParaRPr lang="zh-CN" altLang="en-US"/>
          </a:p>
        </c:rich>
      </c:tx>
      <c:layout>
        <c:manualLayout>
          <c:xMode val="edge"/>
          <c:yMode val="edge"/>
          <c:x val="0.116062235442169"/>
          <c:y val="1.9319390287132199E-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'[2026.5.31年检横版统计汇总 -陈做表格.xlsx]柱状图数据源'!$D$37:$N$37</c:f>
              <c:strCache>
                <c:ptCount val="11"/>
                <c:pt idx="0">
                  <c:v>注册会计师专业阶段考试合格人数</c:v>
                </c:pt>
                <c:pt idx="1">
                  <c:v>注册会计师综合阶段考试合格人数</c:v>
                </c:pt>
                <c:pt idx="2">
                  <c:v>为在校生提供实习岗位人数</c:v>
                </c:pt>
                <c:pt idx="3">
                  <c:v>各级党代会代表、人大代表、政协委员</c:v>
                </c:pt>
                <c:pt idx="4">
                  <c:v>为政府决策提供重要建议</c:v>
                </c:pt>
                <c:pt idx="5">
                  <c:v>担任行政事业单位顾问或外聘专家</c:v>
                </c:pt>
                <c:pt idx="6">
                  <c:v>担任上市公司国有企业外部董事(监事)</c:v>
                </c:pt>
                <c:pt idx="7">
                  <c:v>为行政事业单位或企业提供业务培训</c:v>
                </c:pt>
                <c:pt idx="8">
                  <c:v>大学生实习基地</c:v>
                </c:pt>
                <c:pt idx="9">
                  <c:v>项目担任校外导师或论文评阅、答辩专家</c:v>
                </c:pt>
                <c:pt idx="10">
                  <c:v>参加政府课题研究以及在重要期刊文章数量</c:v>
                </c:pt>
              </c:strCache>
            </c:strRef>
          </c:cat>
          <c:val>
            <c:numRef>
              <c:f>'[2026.5.31年检横版统计汇总 -陈做表格.xlsx]柱状图数据源'!$D$38:$N$38</c:f>
              <c:numCache>
                <c:formatCode>General</c:formatCode>
                <c:ptCount val="11"/>
                <c:pt idx="0">
                  <c:v>1263</c:v>
                </c:pt>
                <c:pt idx="1">
                  <c:v>1161</c:v>
                </c:pt>
                <c:pt idx="2">
                  <c:v>2500</c:v>
                </c:pt>
                <c:pt idx="3">
                  <c:v>94</c:v>
                </c:pt>
                <c:pt idx="4">
                  <c:v>191</c:v>
                </c:pt>
                <c:pt idx="5">
                  <c:v>244</c:v>
                </c:pt>
                <c:pt idx="6">
                  <c:v>55</c:v>
                </c:pt>
                <c:pt idx="7">
                  <c:v>349</c:v>
                </c:pt>
                <c:pt idx="8">
                  <c:v>141</c:v>
                </c:pt>
                <c:pt idx="9">
                  <c:v>118</c:v>
                </c:pt>
                <c:pt idx="10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DA-432E-B3D7-7E182E0006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overlap val="-40"/>
        <c:axId val="22286295"/>
        <c:axId val="197483820"/>
      </c:barChart>
      <c:catAx>
        <c:axId val="22286295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97483820"/>
        <c:crosses val="autoZero"/>
        <c:auto val="1"/>
        <c:lblAlgn val="ctr"/>
        <c:lblOffset val="100"/>
        <c:noMultiLvlLbl val="0"/>
      </c:catAx>
      <c:valAx>
        <c:axId val="1974838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2286295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11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2100</Words>
  <Characters>2311</Characters>
  <Application>Microsoft Office Word</Application>
  <DocSecurity>0</DocSecurity>
  <Lines>100</Lines>
  <Paragraphs>48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☞淡然凝香☜</dc:creator>
  <cp:lastModifiedBy>beans grent</cp:lastModifiedBy>
  <cp:revision>4</cp:revision>
  <dcterms:created xsi:type="dcterms:W3CDTF">2023-05-25T01:25:00Z</dcterms:created>
  <dcterms:modified xsi:type="dcterms:W3CDTF">2026-06-10T01:24:00Z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EC82E48B94154DF7B437D2B3E5D8FD0F_13</vt:lpwstr>
  </property>
  <property fmtid="{D5CDD505-2E9C-101B-9397-08002B2CF9AE}" pid="4" name="KSOTemplateDocerSaveRecord">
    <vt:lpwstr>eyJoZGlkIjoiZmE0MGQ1MGI3NjRiOWU3NWQ2ZmY5MjI3NzhkN2M2ZWMiLCJ1c2VySWQiOiIzMjY5MTI4MzAifQ==</vt:lpwstr>
  </property>
</Properties>
</file>