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24AF51">
      <w:pPr>
        <w:pStyle w:val="30"/>
        <w:tabs>
          <w:tab w:val="left" w:pos="420"/>
          <w:tab w:val="right" w:leader="dot" w:pos="8296"/>
        </w:tabs>
        <w:rPr>
          <w:rFonts w:ascii="仿宋_GB2312" w:hAnsi="仿宋_GB2312" w:eastAsia="仿宋_GB2312"/>
          <w:sz w:val="30"/>
          <w:szCs w:val="30"/>
        </w:rPr>
      </w:pPr>
      <w:bookmarkStart w:id="4320" w:name="_GoBack"/>
      <w:bookmarkEnd w:id="4320"/>
    </w:p>
    <w:p w14:paraId="3CA006FA">
      <w:pPr>
        <w:pStyle w:val="30"/>
        <w:tabs>
          <w:tab w:val="left" w:pos="420"/>
          <w:tab w:val="right" w:leader="dot" w:pos="8296"/>
        </w:tabs>
        <w:jc w:val="center"/>
        <w:rPr>
          <w:rFonts w:ascii="黑体" w:hAnsi="黑体"/>
          <w:sz w:val="56"/>
        </w:rPr>
      </w:pPr>
    </w:p>
    <w:p w14:paraId="162CE4E8">
      <w:pPr>
        <w:pStyle w:val="30"/>
        <w:tabs>
          <w:tab w:val="left" w:pos="420"/>
          <w:tab w:val="right" w:leader="dot" w:pos="8296"/>
        </w:tabs>
        <w:jc w:val="center"/>
        <w:rPr>
          <w:rFonts w:ascii="黑体" w:hAnsi="黑体"/>
          <w:sz w:val="56"/>
        </w:rPr>
      </w:pPr>
    </w:p>
    <w:p w14:paraId="1015B9AE">
      <w:pPr>
        <w:pStyle w:val="30"/>
        <w:tabs>
          <w:tab w:val="left" w:pos="420"/>
          <w:tab w:val="right" w:leader="dot" w:pos="8296"/>
        </w:tabs>
        <w:jc w:val="center"/>
        <w:rPr>
          <w:rFonts w:ascii="黑体" w:hAnsi="黑体"/>
          <w:sz w:val="56"/>
        </w:rPr>
      </w:pPr>
    </w:p>
    <w:p w14:paraId="36DD1620">
      <w:pPr>
        <w:pStyle w:val="30"/>
        <w:tabs>
          <w:tab w:val="left" w:pos="420"/>
          <w:tab w:val="right" w:leader="dot" w:pos="8296"/>
        </w:tabs>
        <w:jc w:val="center"/>
        <w:rPr>
          <w:rFonts w:ascii="黑体" w:hAnsi="黑体" w:eastAsia="黑体" w:cs="黑体"/>
          <w:sz w:val="56"/>
        </w:rPr>
      </w:pPr>
      <w:r>
        <w:rPr>
          <w:rFonts w:hint="eastAsia" w:ascii="黑体" w:hAnsi="黑体" w:eastAsia="黑体" w:cs="黑体"/>
          <w:sz w:val="56"/>
        </w:rPr>
        <w:t>上海证券交易所债券交易业务</w:t>
      </w:r>
    </w:p>
    <w:p w14:paraId="2DA16491">
      <w:pPr>
        <w:pStyle w:val="30"/>
        <w:tabs>
          <w:tab w:val="left" w:pos="420"/>
          <w:tab w:val="right" w:leader="dot" w:pos="8296"/>
        </w:tabs>
        <w:jc w:val="center"/>
        <w:rPr>
          <w:rFonts w:ascii="黑体" w:hAnsi="黑体" w:eastAsia="黑体" w:cs="黑体"/>
          <w:sz w:val="56"/>
        </w:rPr>
      </w:pPr>
      <w:r>
        <w:rPr>
          <w:rFonts w:hint="eastAsia" w:ascii="黑体" w:hAnsi="黑体" w:eastAsia="黑体" w:cs="黑体"/>
          <w:sz w:val="56"/>
        </w:rPr>
        <w:t>指南第1号——交易业务</w:t>
      </w:r>
    </w:p>
    <w:p w14:paraId="5B3C36A2">
      <w:pPr>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（202</w:t>
      </w:r>
      <w:r>
        <w:rPr>
          <w:rFonts w:hint="eastAsia" w:ascii="仿宋_GB2312" w:hAnsi="仿宋_GB2312" w:eastAsia="仿宋_GB2312" w:cs="仿宋_GB2312"/>
          <w:b/>
          <w:bCs/>
          <w:sz w:val="32"/>
          <w:szCs w:val="32"/>
          <w:highlight w:val="none"/>
          <w:lang w:val="en-US" w:eastAsia="zh-CN"/>
        </w:rPr>
        <w:t>6</w:t>
      </w:r>
      <w:r>
        <w:rPr>
          <w:rFonts w:hint="eastAsia" w:ascii="仿宋_GB2312" w:hAnsi="仿宋_GB2312" w:eastAsia="仿宋_GB2312" w:cs="仿宋_GB2312"/>
          <w:b/>
          <w:bCs/>
          <w:sz w:val="32"/>
          <w:szCs w:val="32"/>
          <w:highlight w:val="none"/>
        </w:rPr>
        <w:t>年</w:t>
      </w:r>
      <w:r>
        <w:rPr>
          <w:rFonts w:hint="eastAsia" w:ascii="仿宋_GB2312" w:hAnsi="仿宋_GB2312" w:eastAsia="仿宋_GB2312" w:cs="仿宋_GB2312"/>
          <w:b/>
          <w:bCs/>
          <w:sz w:val="32"/>
          <w:szCs w:val="32"/>
          <w:highlight w:val="none"/>
          <w:lang w:val="en-US" w:eastAsia="zh-CN"/>
        </w:rPr>
        <w:t>8</w:t>
      </w:r>
      <w:r>
        <w:rPr>
          <w:rFonts w:hint="eastAsia" w:ascii="仿宋_GB2312" w:hAnsi="仿宋_GB2312" w:eastAsia="仿宋_GB2312" w:cs="仿宋_GB2312"/>
          <w:b/>
          <w:bCs/>
          <w:sz w:val="32"/>
          <w:szCs w:val="32"/>
          <w:highlight w:val="none"/>
        </w:rPr>
        <w:t>月修订）</w:t>
      </w:r>
    </w:p>
    <w:p w14:paraId="04EE8E57"/>
    <w:p w14:paraId="4F64F28C"/>
    <w:p w14:paraId="1D6843D7"/>
    <w:p w14:paraId="5E9B6653"/>
    <w:p w14:paraId="0039FE8C"/>
    <w:p w14:paraId="5F8F4BB5"/>
    <w:p w14:paraId="62F3660C"/>
    <w:p w14:paraId="4A34F923"/>
    <w:p w14:paraId="77B61A48"/>
    <w:p w14:paraId="1FF953EC"/>
    <w:p w14:paraId="4241414F">
      <w:pPr>
        <w:jc w:val="center"/>
        <w:rPr>
          <w:rFonts w:ascii="仿宋_GB2312" w:eastAsia="仿宋_GB2312"/>
          <w:sz w:val="30"/>
          <w:szCs w:val="30"/>
        </w:rPr>
      </w:pPr>
    </w:p>
    <w:p w14:paraId="3DA6CC51">
      <w:pPr>
        <w:jc w:val="center"/>
        <w:rPr>
          <w:rFonts w:ascii="仿宋_GB2312" w:eastAsia="仿宋_GB2312"/>
          <w:sz w:val="30"/>
          <w:szCs w:val="30"/>
        </w:rPr>
      </w:pPr>
    </w:p>
    <w:p w14:paraId="7BA74F6A">
      <w:pPr>
        <w:jc w:val="center"/>
        <w:rPr>
          <w:rFonts w:ascii="仿宋_GB2312" w:eastAsia="仿宋_GB2312"/>
          <w:sz w:val="30"/>
          <w:szCs w:val="30"/>
        </w:rPr>
      </w:pPr>
    </w:p>
    <w:p w14:paraId="780AB25D">
      <w:pPr>
        <w:jc w:val="center"/>
        <w:rPr>
          <w:rFonts w:ascii="仿宋_GB2312" w:eastAsia="仿宋_GB2312"/>
          <w:sz w:val="30"/>
          <w:szCs w:val="30"/>
        </w:rPr>
      </w:pPr>
    </w:p>
    <w:p w14:paraId="514BF914">
      <w:pPr>
        <w:jc w:val="center"/>
        <w:rPr>
          <w:rFonts w:ascii="仿宋_GB2312" w:eastAsia="仿宋_GB2312"/>
          <w:b/>
          <w:sz w:val="30"/>
          <w:szCs w:val="30"/>
          <w:highlight w:val="none"/>
        </w:rPr>
      </w:pPr>
      <w:r>
        <w:rPr>
          <w:rFonts w:hint="eastAsia" w:ascii="仿宋_GB2312" w:eastAsia="仿宋_GB2312"/>
          <w:b/>
          <w:sz w:val="30"/>
          <w:szCs w:val="30"/>
          <w:highlight w:val="none"/>
        </w:rPr>
        <w:t>202</w:t>
      </w:r>
      <w:r>
        <w:rPr>
          <w:rFonts w:hint="eastAsia" w:ascii="仿宋_GB2312" w:eastAsia="仿宋_GB2312"/>
          <w:b/>
          <w:sz w:val="30"/>
          <w:szCs w:val="30"/>
          <w:highlight w:val="none"/>
          <w:lang w:val="en-US" w:eastAsia="zh-CN"/>
        </w:rPr>
        <w:t>6</w:t>
      </w:r>
      <w:r>
        <w:rPr>
          <w:rFonts w:hint="eastAsia" w:ascii="仿宋_GB2312" w:eastAsia="仿宋_GB2312"/>
          <w:b/>
          <w:sz w:val="30"/>
          <w:szCs w:val="30"/>
          <w:highlight w:val="none"/>
        </w:rPr>
        <w:t>年</w:t>
      </w:r>
      <w:r>
        <w:rPr>
          <w:rFonts w:hint="eastAsia" w:ascii="仿宋_GB2312" w:eastAsia="仿宋_GB2312"/>
          <w:b/>
          <w:sz w:val="30"/>
          <w:szCs w:val="30"/>
          <w:highlight w:val="none"/>
          <w:lang w:val="en-US" w:eastAsia="zh-CN"/>
        </w:rPr>
        <w:t>8</w:t>
      </w:r>
      <w:r>
        <w:rPr>
          <w:rFonts w:hint="eastAsia" w:ascii="仿宋_GB2312" w:eastAsia="仿宋_GB2312"/>
          <w:b/>
          <w:sz w:val="30"/>
          <w:szCs w:val="30"/>
          <w:highlight w:val="none"/>
        </w:rPr>
        <w:t>月</w:t>
      </w:r>
    </w:p>
    <w:p w14:paraId="27A2B6C5">
      <w:pPr>
        <w:widowControl/>
        <w:jc w:val="left"/>
        <w:rPr>
          <w:rFonts w:ascii="仿宋_GB2312" w:eastAsia="仿宋_GB2312"/>
          <w:b/>
          <w:sz w:val="30"/>
          <w:szCs w:val="30"/>
        </w:rPr>
      </w:pPr>
      <w:r>
        <w:rPr>
          <w:rFonts w:ascii="仿宋_GB2312" w:eastAsia="仿宋_GB2312"/>
          <w:b/>
          <w:sz w:val="30"/>
          <w:szCs w:val="30"/>
        </w:rPr>
        <w:br w:type="page"/>
      </w:r>
    </w:p>
    <w:p w14:paraId="19BD6247">
      <w:pPr>
        <w:pStyle w:val="39"/>
        <w:spacing w:before="0" w:beforeAutospacing="0" w:after="0" w:afterAutospacing="0" w:line="360" w:lineRule="auto"/>
        <w:jc w:val="center"/>
        <w:outlineLvl w:val="0"/>
        <w:rPr>
          <w:b/>
          <w:sz w:val="32"/>
          <w:szCs w:val="32"/>
        </w:rPr>
      </w:pPr>
      <w:bookmarkStart w:id="0" w:name="_Toc105612272"/>
      <w:bookmarkStart w:id="1" w:name="_Toc1641100691"/>
      <w:bookmarkStart w:id="2" w:name="_Toc948616874"/>
      <w:bookmarkStart w:id="3" w:name="_Toc31763"/>
      <w:bookmarkStart w:id="4" w:name="_Toc1621378860"/>
      <w:bookmarkStart w:id="5" w:name="_Toc198811108"/>
      <w:bookmarkStart w:id="6" w:name="_Toc449808972"/>
      <w:bookmarkStart w:id="7" w:name="_Toc151136875"/>
      <w:bookmarkStart w:id="8" w:name="_Toc1412874187"/>
      <w:r>
        <w:rPr>
          <w:rFonts w:hint="eastAsia"/>
          <w:b/>
          <w:sz w:val="32"/>
          <w:szCs w:val="32"/>
        </w:rPr>
        <w:t>版本说明</w:t>
      </w:r>
      <w:bookmarkEnd w:id="0"/>
      <w:bookmarkEnd w:id="1"/>
      <w:bookmarkEnd w:id="2"/>
      <w:bookmarkEnd w:id="3"/>
      <w:bookmarkEnd w:id="4"/>
      <w:bookmarkEnd w:id="5"/>
      <w:bookmarkEnd w:id="6"/>
      <w:bookmarkEnd w:id="7"/>
      <w:bookmarkEnd w:id="8"/>
    </w:p>
    <w:tbl>
      <w:tblPr>
        <w:tblStyle w:val="43"/>
        <w:tblW w:w="83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1425"/>
        <w:gridCol w:w="850"/>
        <w:gridCol w:w="1276"/>
        <w:gridCol w:w="3765"/>
        <w:gridCol w:w="113"/>
      </w:tblGrid>
      <w:tr w14:paraId="650FC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6" w:type="dxa"/>
            <w:tcBorders>
              <w:top w:val="single" w:color="auto" w:sz="4" w:space="0"/>
              <w:left w:val="single" w:color="auto" w:sz="4" w:space="0"/>
              <w:bottom w:val="single" w:color="auto" w:sz="4" w:space="0"/>
              <w:right w:val="single" w:color="auto" w:sz="4" w:space="0"/>
            </w:tcBorders>
            <w:shd w:val="clear" w:color="auto" w:fill="E6E6E6"/>
            <w:vAlign w:val="center"/>
          </w:tcPr>
          <w:p w14:paraId="791D6BA1">
            <w:pPr>
              <w:jc w:val="center"/>
              <w:rPr>
                <w:rFonts w:ascii="宋体" w:hAnsi="宋体"/>
                <w:b/>
                <w:sz w:val="18"/>
              </w:rPr>
            </w:pPr>
            <w:r>
              <w:rPr>
                <w:rFonts w:hint="eastAsia" w:ascii="宋体" w:hAnsi="宋体"/>
                <w:b/>
                <w:sz w:val="18"/>
              </w:rPr>
              <w:t>版本号</w:t>
            </w:r>
          </w:p>
        </w:tc>
        <w:tc>
          <w:tcPr>
            <w:tcW w:w="1425" w:type="dxa"/>
            <w:tcBorders>
              <w:top w:val="single" w:color="auto" w:sz="4" w:space="0"/>
              <w:left w:val="single" w:color="auto" w:sz="4" w:space="0"/>
              <w:bottom w:val="single" w:color="auto" w:sz="4" w:space="0"/>
              <w:right w:val="single" w:color="auto" w:sz="4" w:space="0"/>
            </w:tcBorders>
            <w:shd w:val="clear" w:color="auto" w:fill="E6E6E6"/>
          </w:tcPr>
          <w:p w14:paraId="5E442DB6">
            <w:pPr>
              <w:jc w:val="center"/>
              <w:rPr>
                <w:rFonts w:ascii="宋体" w:hAnsi="宋体"/>
                <w:b/>
                <w:sz w:val="18"/>
              </w:rPr>
            </w:pPr>
            <w:r>
              <w:rPr>
                <w:rFonts w:hint="eastAsia" w:ascii="宋体" w:hAnsi="宋体"/>
                <w:b/>
                <w:sz w:val="18"/>
              </w:rPr>
              <w:t>发起部门</w:t>
            </w:r>
          </w:p>
        </w:tc>
        <w:tc>
          <w:tcPr>
            <w:tcW w:w="850" w:type="dxa"/>
            <w:tcBorders>
              <w:top w:val="single" w:color="auto" w:sz="4" w:space="0"/>
              <w:left w:val="single" w:color="auto" w:sz="4" w:space="0"/>
              <w:bottom w:val="single" w:color="auto" w:sz="4" w:space="0"/>
              <w:right w:val="single" w:color="auto" w:sz="4" w:space="0"/>
            </w:tcBorders>
            <w:shd w:val="clear" w:color="auto" w:fill="E6E6E6"/>
            <w:vAlign w:val="center"/>
          </w:tcPr>
          <w:p w14:paraId="003585C4">
            <w:pPr>
              <w:jc w:val="center"/>
              <w:rPr>
                <w:rFonts w:ascii="宋体" w:hAnsi="宋体"/>
                <w:b/>
                <w:sz w:val="18"/>
              </w:rPr>
            </w:pPr>
            <w:r>
              <w:rPr>
                <w:rFonts w:hint="eastAsia" w:ascii="宋体" w:hAnsi="宋体"/>
                <w:b/>
                <w:sz w:val="18"/>
              </w:rPr>
              <w:t>操作</w:t>
            </w:r>
          </w:p>
        </w:tc>
        <w:tc>
          <w:tcPr>
            <w:tcW w:w="1276" w:type="dxa"/>
            <w:tcBorders>
              <w:top w:val="single" w:color="auto" w:sz="4" w:space="0"/>
              <w:left w:val="single" w:color="auto" w:sz="4" w:space="0"/>
              <w:bottom w:val="single" w:color="auto" w:sz="4" w:space="0"/>
              <w:right w:val="single" w:color="auto" w:sz="4" w:space="0"/>
            </w:tcBorders>
            <w:shd w:val="clear" w:color="auto" w:fill="E6E6E6"/>
            <w:vAlign w:val="center"/>
          </w:tcPr>
          <w:p w14:paraId="34EA08C3">
            <w:pPr>
              <w:jc w:val="center"/>
              <w:rPr>
                <w:rFonts w:ascii="宋体" w:hAnsi="宋体"/>
                <w:b/>
                <w:sz w:val="18"/>
              </w:rPr>
            </w:pPr>
            <w:r>
              <w:rPr>
                <w:rFonts w:hint="eastAsia" w:ascii="宋体" w:hAnsi="宋体"/>
                <w:b/>
                <w:sz w:val="18"/>
              </w:rPr>
              <w:t>日期</w:t>
            </w:r>
          </w:p>
        </w:tc>
        <w:tc>
          <w:tcPr>
            <w:tcW w:w="3878" w:type="dxa"/>
            <w:gridSpan w:val="2"/>
            <w:tcBorders>
              <w:top w:val="single" w:color="auto" w:sz="4" w:space="0"/>
              <w:left w:val="single" w:color="auto" w:sz="4" w:space="0"/>
              <w:bottom w:val="single" w:color="auto" w:sz="4" w:space="0"/>
              <w:right w:val="single" w:color="auto" w:sz="4" w:space="0"/>
            </w:tcBorders>
            <w:shd w:val="clear" w:color="auto" w:fill="E6E6E6"/>
            <w:vAlign w:val="center"/>
          </w:tcPr>
          <w:p w14:paraId="26FD9AB2">
            <w:pPr>
              <w:jc w:val="center"/>
              <w:rPr>
                <w:rFonts w:ascii="宋体" w:hAnsi="宋体"/>
                <w:b/>
                <w:sz w:val="18"/>
              </w:rPr>
            </w:pPr>
            <w:r>
              <w:rPr>
                <w:rFonts w:hint="eastAsia" w:ascii="宋体" w:hAnsi="宋体"/>
                <w:b/>
                <w:sz w:val="18"/>
              </w:rPr>
              <w:t>说明</w:t>
            </w:r>
          </w:p>
        </w:tc>
      </w:tr>
      <w:tr w14:paraId="0F3B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jc w:val="center"/>
        </w:trPr>
        <w:tc>
          <w:tcPr>
            <w:tcW w:w="896" w:type="dxa"/>
            <w:tcBorders>
              <w:top w:val="single" w:color="auto" w:sz="4" w:space="0"/>
              <w:left w:val="single" w:color="auto" w:sz="4" w:space="0"/>
              <w:bottom w:val="single" w:color="auto" w:sz="4" w:space="0"/>
              <w:right w:val="single" w:color="auto" w:sz="4" w:space="0"/>
            </w:tcBorders>
          </w:tcPr>
          <w:p w14:paraId="10805E69">
            <w:pPr>
              <w:rPr>
                <w:rFonts w:ascii="宋体" w:hAnsi="宋体"/>
                <w:bCs/>
                <w:sz w:val="18"/>
              </w:rPr>
            </w:pPr>
            <w:r>
              <w:rPr>
                <w:bCs/>
                <w:sz w:val="18"/>
              </w:rPr>
              <w:t>V</w:t>
            </w:r>
            <w:r>
              <w:rPr>
                <w:bCs/>
                <w:iCs/>
                <w:sz w:val="18"/>
              </w:rPr>
              <w:t>1.0</w:t>
            </w:r>
          </w:p>
        </w:tc>
        <w:tc>
          <w:tcPr>
            <w:tcW w:w="1425" w:type="dxa"/>
            <w:tcBorders>
              <w:top w:val="single" w:color="auto" w:sz="4" w:space="0"/>
              <w:left w:val="single" w:color="auto" w:sz="4" w:space="0"/>
              <w:bottom w:val="single" w:color="auto" w:sz="4" w:space="0"/>
              <w:right w:val="single" w:color="auto" w:sz="4" w:space="0"/>
            </w:tcBorders>
          </w:tcPr>
          <w:p w14:paraId="2CC3AECE">
            <w:pPr>
              <w:rPr>
                <w:rFonts w:ascii="宋体" w:hAnsi="宋体"/>
                <w:bCs/>
                <w:iCs/>
                <w:sz w:val="18"/>
              </w:rPr>
            </w:pPr>
            <w:r>
              <w:rPr>
                <w:rFonts w:hint="eastAsia" w:ascii="宋体" w:hAnsi="宋体"/>
                <w:bCs/>
                <w:iCs/>
                <w:sz w:val="18"/>
              </w:rPr>
              <w:t>债券</w:t>
            </w:r>
            <w:r>
              <w:rPr>
                <w:rFonts w:ascii="宋体" w:hAnsi="宋体"/>
                <w:bCs/>
                <w:iCs/>
                <w:sz w:val="18"/>
              </w:rPr>
              <w:t>业务部</w:t>
            </w:r>
          </w:p>
        </w:tc>
        <w:tc>
          <w:tcPr>
            <w:tcW w:w="850" w:type="dxa"/>
            <w:tcBorders>
              <w:top w:val="single" w:color="auto" w:sz="4" w:space="0"/>
              <w:left w:val="single" w:color="auto" w:sz="4" w:space="0"/>
              <w:bottom w:val="single" w:color="auto" w:sz="4" w:space="0"/>
              <w:right w:val="single" w:color="auto" w:sz="4" w:space="0"/>
            </w:tcBorders>
          </w:tcPr>
          <w:p w14:paraId="3929970E">
            <w:pPr>
              <w:rPr>
                <w:rFonts w:ascii="宋体" w:hAnsi="宋体"/>
                <w:bCs/>
                <w:sz w:val="18"/>
              </w:rPr>
            </w:pPr>
            <w:r>
              <w:rPr>
                <w:rFonts w:hint="eastAsia" w:ascii="宋体" w:hAnsi="宋体"/>
                <w:bCs/>
                <w:iCs/>
                <w:sz w:val="18"/>
              </w:rPr>
              <w:t>创建</w:t>
            </w:r>
          </w:p>
        </w:tc>
        <w:tc>
          <w:tcPr>
            <w:tcW w:w="1276" w:type="dxa"/>
            <w:tcBorders>
              <w:top w:val="single" w:color="auto" w:sz="4" w:space="0"/>
              <w:left w:val="single" w:color="auto" w:sz="4" w:space="0"/>
              <w:bottom w:val="single" w:color="auto" w:sz="4" w:space="0"/>
              <w:right w:val="single" w:color="auto" w:sz="4" w:space="0"/>
            </w:tcBorders>
          </w:tcPr>
          <w:p w14:paraId="4BAE027F">
            <w:pPr>
              <w:rPr>
                <w:rFonts w:ascii="宋体" w:hAnsi="宋体"/>
                <w:bCs/>
                <w:sz w:val="18"/>
              </w:rPr>
            </w:pPr>
            <w:r>
              <w:rPr>
                <w:iCs/>
                <w:sz w:val="18"/>
              </w:rPr>
              <w:t>2022</w:t>
            </w:r>
            <w:r>
              <w:rPr>
                <w:rFonts w:hint="eastAsia"/>
                <w:iCs/>
                <w:sz w:val="18"/>
              </w:rPr>
              <w:t>年</w:t>
            </w:r>
            <w:r>
              <w:rPr>
                <w:iCs/>
                <w:sz w:val="18"/>
              </w:rPr>
              <w:t>5</w:t>
            </w:r>
            <w:r>
              <w:rPr>
                <w:rFonts w:hint="eastAsia"/>
                <w:iCs/>
                <w:sz w:val="18"/>
              </w:rPr>
              <w:t>月</w:t>
            </w:r>
          </w:p>
        </w:tc>
        <w:tc>
          <w:tcPr>
            <w:tcW w:w="3765" w:type="dxa"/>
            <w:tcBorders>
              <w:top w:val="single" w:color="auto" w:sz="4" w:space="0"/>
              <w:left w:val="single" w:color="auto" w:sz="4" w:space="0"/>
              <w:bottom w:val="single" w:color="auto" w:sz="4" w:space="0"/>
              <w:right w:val="single" w:color="auto" w:sz="4" w:space="0"/>
            </w:tcBorders>
          </w:tcPr>
          <w:p w14:paraId="6B190A56">
            <w:pPr>
              <w:rPr>
                <w:rFonts w:ascii="宋体" w:hAnsi="宋体"/>
                <w:bCs/>
                <w:sz w:val="18"/>
              </w:rPr>
            </w:pPr>
            <w:r>
              <w:rPr>
                <w:rFonts w:hint="eastAsia" w:ascii="宋体" w:hAnsi="宋体"/>
                <w:bCs/>
                <w:iCs/>
                <w:sz w:val="18"/>
              </w:rPr>
              <w:t>根据债券</w:t>
            </w:r>
            <w:r>
              <w:rPr>
                <w:rFonts w:ascii="宋体" w:hAnsi="宋体"/>
                <w:bCs/>
                <w:iCs/>
                <w:sz w:val="18"/>
              </w:rPr>
              <w:t>交易规则</w:t>
            </w:r>
            <w:r>
              <w:rPr>
                <w:rFonts w:hint="eastAsia" w:ascii="宋体" w:hAnsi="宋体"/>
                <w:bCs/>
                <w:iCs/>
                <w:sz w:val="18"/>
              </w:rPr>
              <w:t>、</w:t>
            </w:r>
            <w:r>
              <w:rPr>
                <w:rFonts w:ascii="宋体" w:hAnsi="宋体"/>
                <w:bCs/>
                <w:iCs/>
                <w:sz w:val="18"/>
              </w:rPr>
              <w:t>指引</w:t>
            </w:r>
            <w:r>
              <w:rPr>
                <w:rFonts w:hint="eastAsia" w:ascii="宋体" w:hAnsi="宋体"/>
                <w:bCs/>
                <w:iCs/>
                <w:sz w:val="18"/>
              </w:rPr>
              <w:t>及</w:t>
            </w:r>
            <w:r>
              <w:rPr>
                <w:rFonts w:ascii="宋体" w:hAnsi="宋体"/>
                <w:bCs/>
                <w:iCs/>
                <w:sz w:val="18"/>
              </w:rPr>
              <w:t>各项创新产品细则</w:t>
            </w:r>
            <w:r>
              <w:rPr>
                <w:rFonts w:hint="eastAsia" w:ascii="宋体" w:hAnsi="宋体"/>
                <w:bCs/>
                <w:iCs/>
                <w:sz w:val="18"/>
              </w:rPr>
              <w:t>，</w:t>
            </w:r>
            <w:r>
              <w:rPr>
                <w:rFonts w:ascii="宋体" w:hAnsi="宋体"/>
                <w:bCs/>
                <w:iCs/>
                <w:sz w:val="18"/>
              </w:rPr>
              <w:t>制定“</w:t>
            </w:r>
            <w:r>
              <w:rPr>
                <w:rFonts w:hint="eastAsia" w:ascii="宋体" w:hAnsi="宋体"/>
                <w:bCs/>
                <w:iCs/>
                <w:sz w:val="18"/>
              </w:rPr>
              <w:t>一本通</w:t>
            </w:r>
            <w:r>
              <w:rPr>
                <w:rFonts w:ascii="宋体" w:hAnsi="宋体"/>
                <w:bCs/>
                <w:iCs/>
                <w:sz w:val="18"/>
              </w:rPr>
              <w:t>”</w:t>
            </w:r>
            <w:r>
              <w:rPr>
                <w:rFonts w:hint="eastAsia" w:ascii="宋体" w:hAnsi="宋体"/>
                <w:bCs/>
                <w:iCs/>
                <w:sz w:val="18"/>
              </w:rPr>
              <w:t>式</w:t>
            </w:r>
            <w:r>
              <w:rPr>
                <w:rFonts w:ascii="宋体" w:hAnsi="宋体"/>
                <w:bCs/>
                <w:iCs/>
                <w:sz w:val="18"/>
              </w:rPr>
              <w:t>债券交易指南</w:t>
            </w:r>
            <w:r>
              <w:rPr>
                <w:rFonts w:hint="eastAsia" w:ascii="宋体" w:hAnsi="宋体"/>
                <w:bCs/>
                <w:iCs/>
                <w:sz w:val="18"/>
              </w:rPr>
              <w:t>。</w:t>
            </w:r>
          </w:p>
        </w:tc>
      </w:tr>
      <w:tr w14:paraId="437C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jc w:val="center"/>
        </w:trPr>
        <w:tc>
          <w:tcPr>
            <w:tcW w:w="896" w:type="dxa"/>
            <w:tcBorders>
              <w:top w:val="single" w:color="auto" w:sz="4" w:space="0"/>
              <w:left w:val="single" w:color="auto" w:sz="4" w:space="0"/>
              <w:bottom w:val="single" w:color="auto" w:sz="4" w:space="0"/>
              <w:right w:val="single" w:color="auto" w:sz="4" w:space="0"/>
            </w:tcBorders>
          </w:tcPr>
          <w:p w14:paraId="4630F09B">
            <w:pPr>
              <w:rPr>
                <w:bCs/>
                <w:sz w:val="18"/>
              </w:rPr>
            </w:pPr>
            <w:r>
              <w:rPr>
                <w:bCs/>
                <w:sz w:val="18"/>
              </w:rPr>
              <w:t>V</w:t>
            </w:r>
            <w:r>
              <w:rPr>
                <w:bCs/>
                <w:iCs/>
                <w:sz w:val="18"/>
              </w:rPr>
              <w:t>1.1</w:t>
            </w:r>
          </w:p>
        </w:tc>
        <w:tc>
          <w:tcPr>
            <w:tcW w:w="1425" w:type="dxa"/>
            <w:tcBorders>
              <w:top w:val="single" w:color="auto" w:sz="4" w:space="0"/>
              <w:left w:val="single" w:color="auto" w:sz="4" w:space="0"/>
              <w:bottom w:val="single" w:color="auto" w:sz="4" w:space="0"/>
              <w:right w:val="single" w:color="auto" w:sz="4" w:space="0"/>
            </w:tcBorders>
          </w:tcPr>
          <w:p w14:paraId="423F65CB">
            <w:pPr>
              <w:rPr>
                <w:rFonts w:ascii="宋体" w:hAnsi="宋体"/>
                <w:bCs/>
                <w:iCs/>
                <w:sz w:val="18"/>
              </w:rPr>
            </w:pPr>
            <w:r>
              <w:rPr>
                <w:rFonts w:hint="eastAsia" w:ascii="宋体" w:hAnsi="宋体"/>
                <w:bCs/>
                <w:iCs/>
                <w:sz w:val="18"/>
              </w:rPr>
              <w:t>债券</w:t>
            </w:r>
            <w:r>
              <w:rPr>
                <w:rFonts w:ascii="宋体" w:hAnsi="宋体"/>
                <w:bCs/>
                <w:iCs/>
                <w:sz w:val="18"/>
              </w:rPr>
              <w:t>业务部</w:t>
            </w:r>
          </w:p>
        </w:tc>
        <w:tc>
          <w:tcPr>
            <w:tcW w:w="850" w:type="dxa"/>
            <w:tcBorders>
              <w:top w:val="single" w:color="auto" w:sz="4" w:space="0"/>
              <w:left w:val="single" w:color="auto" w:sz="4" w:space="0"/>
              <w:bottom w:val="single" w:color="auto" w:sz="4" w:space="0"/>
              <w:right w:val="single" w:color="auto" w:sz="4" w:space="0"/>
            </w:tcBorders>
          </w:tcPr>
          <w:p w14:paraId="450E804E">
            <w:pPr>
              <w:rPr>
                <w:rFonts w:ascii="宋体" w:hAnsi="宋体"/>
                <w:bCs/>
                <w:iCs/>
                <w:sz w:val="18"/>
              </w:rPr>
            </w:pPr>
            <w:r>
              <w:rPr>
                <w:rFonts w:hint="eastAsia" w:ascii="宋体" w:hAnsi="宋体"/>
                <w:bCs/>
                <w:iCs/>
                <w:sz w:val="18"/>
              </w:rPr>
              <w:t>修订</w:t>
            </w:r>
          </w:p>
        </w:tc>
        <w:tc>
          <w:tcPr>
            <w:tcW w:w="1276" w:type="dxa"/>
            <w:tcBorders>
              <w:top w:val="single" w:color="auto" w:sz="4" w:space="0"/>
              <w:left w:val="single" w:color="auto" w:sz="4" w:space="0"/>
              <w:bottom w:val="single" w:color="auto" w:sz="4" w:space="0"/>
              <w:right w:val="single" w:color="auto" w:sz="4" w:space="0"/>
            </w:tcBorders>
          </w:tcPr>
          <w:p w14:paraId="1E93D7BC">
            <w:pPr>
              <w:rPr>
                <w:iCs/>
                <w:sz w:val="18"/>
              </w:rPr>
            </w:pPr>
            <w:r>
              <w:rPr>
                <w:iCs/>
                <w:sz w:val="18"/>
              </w:rPr>
              <w:t>2022</w:t>
            </w:r>
            <w:r>
              <w:rPr>
                <w:rFonts w:hint="eastAsia"/>
                <w:iCs/>
                <w:sz w:val="18"/>
              </w:rPr>
              <w:t>年</w:t>
            </w:r>
            <w:r>
              <w:rPr>
                <w:iCs/>
                <w:sz w:val="18"/>
              </w:rPr>
              <w:t>7</w:t>
            </w:r>
            <w:r>
              <w:rPr>
                <w:rFonts w:hint="eastAsia"/>
                <w:iCs/>
                <w:sz w:val="18"/>
              </w:rPr>
              <w:t>月</w:t>
            </w:r>
          </w:p>
        </w:tc>
        <w:tc>
          <w:tcPr>
            <w:tcW w:w="3765" w:type="dxa"/>
            <w:tcBorders>
              <w:top w:val="single" w:color="auto" w:sz="4" w:space="0"/>
              <w:left w:val="single" w:color="auto" w:sz="4" w:space="0"/>
              <w:bottom w:val="single" w:color="auto" w:sz="4" w:space="0"/>
              <w:right w:val="single" w:color="auto" w:sz="4" w:space="0"/>
            </w:tcBorders>
          </w:tcPr>
          <w:p w14:paraId="0E15E5E0">
            <w:pPr>
              <w:rPr>
                <w:rFonts w:ascii="宋体" w:hAnsi="宋体"/>
                <w:bCs/>
                <w:iCs/>
                <w:sz w:val="18"/>
              </w:rPr>
            </w:pPr>
            <w:r>
              <w:rPr>
                <w:rFonts w:hint="eastAsia" w:ascii="宋体" w:hAnsi="宋体"/>
                <w:bCs/>
                <w:iCs/>
                <w:sz w:val="18"/>
              </w:rPr>
              <w:t>1.根据《上海证券交易所信用保护工具交易业务指引（2022年修订）》实施，对指南信用保护工具内容进行修订，主要修订内容包括：明确试点初期可作为核心交易商参与CDX业务的主体；规定试点初期可采用实物结算的可交付债务范围；新增CDX交易确认书、交易要素等内容便利市场机构和投资者具体参与CDX业务。</w:t>
            </w:r>
          </w:p>
          <w:p w14:paraId="0E2F66EC">
            <w:pPr>
              <w:rPr>
                <w:rFonts w:ascii="宋体" w:hAnsi="宋体"/>
                <w:bCs/>
                <w:iCs/>
                <w:sz w:val="18"/>
              </w:rPr>
            </w:pPr>
            <w:r>
              <w:rPr>
                <w:rFonts w:hint="eastAsia" w:ascii="宋体" w:hAnsi="宋体"/>
                <w:bCs/>
                <w:iCs/>
                <w:sz w:val="18"/>
              </w:rPr>
              <w:t>2.在指南中新增对申请成为债券做市商的债券</w:t>
            </w:r>
            <w:r>
              <w:rPr>
                <w:rFonts w:ascii="宋体" w:hAnsi="宋体"/>
                <w:bCs/>
                <w:iCs/>
                <w:sz w:val="18"/>
              </w:rPr>
              <w:t>交易参与人</w:t>
            </w:r>
            <w:r>
              <w:rPr>
                <w:rFonts w:hint="eastAsia" w:ascii="宋体" w:hAnsi="宋体"/>
                <w:bCs/>
                <w:iCs/>
                <w:sz w:val="18"/>
              </w:rPr>
              <w:t>开展技术验收的流程，明确交易所债券做市技术验收规则依据和操作指南。</w:t>
            </w:r>
          </w:p>
          <w:p w14:paraId="32E263ED">
            <w:pPr>
              <w:rPr>
                <w:rFonts w:ascii="宋体" w:hAnsi="宋体"/>
                <w:bCs/>
                <w:iCs/>
                <w:sz w:val="18"/>
              </w:rPr>
            </w:pPr>
            <w:r>
              <w:rPr>
                <w:rFonts w:hint="eastAsia" w:ascii="宋体" w:hAnsi="宋体"/>
                <w:bCs/>
                <w:iCs/>
                <w:sz w:val="18"/>
              </w:rPr>
              <w:t>3.根据《上海证券交易所 中国证券登记结算有限责任公司境外机构投资者债券交易及登记结算业务实施细则》，增加境外机构投资者信息报送具体内容及要求。</w:t>
            </w:r>
          </w:p>
          <w:p w14:paraId="6F49A92F">
            <w:pPr>
              <w:rPr>
                <w:rFonts w:ascii="宋体" w:hAnsi="宋体"/>
                <w:bCs/>
                <w:iCs/>
                <w:sz w:val="18"/>
              </w:rPr>
            </w:pPr>
            <w:r>
              <w:rPr>
                <w:rFonts w:hint="eastAsia" w:ascii="宋体" w:hAnsi="宋体"/>
                <w:bCs/>
                <w:iCs/>
                <w:sz w:val="18"/>
              </w:rPr>
              <w:t>4.修订</w:t>
            </w:r>
            <w:r>
              <w:rPr>
                <w:rFonts w:ascii="宋体" w:hAnsi="宋体"/>
                <w:bCs/>
                <w:iCs/>
                <w:sz w:val="18"/>
              </w:rPr>
              <w:t>询价成交</w:t>
            </w:r>
            <w:r>
              <w:rPr>
                <w:rFonts w:hint="eastAsia" w:ascii="宋体" w:hAnsi="宋体"/>
                <w:bCs/>
                <w:iCs/>
                <w:sz w:val="18"/>
              </w:rPr>
              <w:t>的</w:t>
            </w:r>
            <w:r>
              <w:rPr>
                <w:rFonts w:ascii="宋体" w:hAnsi="宋体"/>
                <w:bCs/>
                <w:iCs/>
                <w:sz w:val="18"/>
              </w:rPr>
              <w:t>询价对象相关要求。</w:t>
            </w:r>
          </w:p>
          <w:p w14:paraId="557AAF7A">
            <w:pPr>
              <w:rPr>
                <w:rFonts w:ascii="宋体" w:hAnsi="宋体"/>
                <w:bCs/>
                <w:iCs/>
                <w:sz w:val="18"/>
              </w:rPr>
            </w:pPr>
            <w:r>
              <w:rPr>
                <w:rFonts w:ascii="宋体" w:hAnsi="宋体"/>
                <w:bCs/>
                <w:iCs/>
                <w:sz w:val="18"/>
              </w:rPr>
              <w:t>5.</w:t>
            </w:r>
            <w:r>
              <w:rPr>
                <w:rFonts w:hint="eastAsia" w:ascii="宋体" w:hAnsi="宋体"/>
                <w:bCs/>
                <w:iCs/>
                <w:sz w:val="18"/>
              </w:rPr>
              <w:t>修订</w:t>
            </w:r>
            <w:r>
              <w:rPr>
                <w:rFonts w:ascii="宋体" w:hAnsi="宋体"/>
                <w:bCs/>
                <w:iCs/>
                <w:sz w:val="18"/>
              </w:rPr>
              <w:t>转股和换股结算相关</w:t>
            </w:r>
            <w:r>
              <w:rPr>
                <w:rFonts w:hint="eastAsia" w:ascii="宋体" w:hAnsi="宋体"/>
                <w:bCs/>
                <w:iCs/>
                <w:sz w:val="18"/>
              </w:rPr>
              <w:t>安排</w:t>
            </w:r>
            <w:r>
              <w:rPr>
                <w:rFonts w:ascii="宋体" w:hAnsi="宋体"/>
                <w:bCs/>
                <w:iCs/>
                <w:sz w:val="18"/>
              </w:rPr>
              <w:t>。</w:t>
            </w:r>
          </w:p>
          <w:p w14:paraId="1087354C">
            <w:pPr>
              <w:rPr>
                <w:rFonts w:ascii="宋体" w:hAnsi="宋体"/>
                <w:bCs/>
                <w:iCs/>
                <w:sz w:val="18"/>
              </w:rPr>
            </w:pPr>
            <w:r>
              <w:rPr>
                <w:rFonts w:hint="eastAsia" w:ascii="宋体" w:hAnsi="宋体"/>
                <w:bCs/>
                <w:iCs/>
                <w:sz w:val="18"/>
              </w:rPr>
              <w:t>6.进一步明确价格偏离报告的报备流程。</w:t>
            </w:r>
          </w:p>
        </w:tc>
      </w:tr>
      <w:tr w14:paraId="422DE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jc w:val="center"/>
        </w:trPr>
        <w:tc>
          <w:tcPr>
            <w:tcW w:w="896" w:type="dxa"/>
            <w:tcBorders>
              <w:top w:val="single" w:color="auto" w:sz="4" w:space="0"/>
              <w:left w:val="single" w:color="auto" w:sz="4" w:space="0"/>
              <w:bottom w:val="single" w:color="auto" w:sz="4" w:space="0"/>
              <w:right w:val="single" w:color="auto" w:sz="4" w:space="0"/>
            </w:tcBorders>
          </w:tcPr>
          <w:p w14:paraId="0A1845CB">
            <w:pPr>
              <w:rPr>
                <w:bCs/>
                <w:sz w:val="18"/>
              </w:rPr>
            </w:pPr>
            <w:r>
              <w:rPr>
                <w:bCs/>
                <w:sz w:val="18"/>
              </w:rPr>
              <w:t>V</w:t>
            </w:r>
            <w:r>
              <w:rPr>
                <w:bCs/>
                <w:iCs/>
                <w:sz w:val="18"/>
              </w:rPr>
              <w:t>1.2</w:t>
            </w:r>
          </w:p>
        </w:tc>
        <w:tc>
          <w:tcPr>
            <w:tcW w:w="1425" w:type="dxa"/>
            <w:tcBorders>
              <w:top w:val="single" w:color="auto" w:sz="4" w:space="0"/>
              <w:left w:val="single" w:color="auto" w:sz="4" w:space="0"/>
              <w:bottom w:val="single" w:color="auto" w:sz="4" w:space="0"/>
              <w:right w:val="single" w:color="auto" w:sz="4" w:space="0"/>
            </w:tcBorders>
          </w:tcPr>
          <w:p w14:paraId="302469BD">
            <w:pPr>
              <w:rPr>
                <w:rFonts w:ascii="宋体" w:hAnsi="宋体"/>
                <w:bCs/>
                <w:iCs/>
                <w:sz w:val="18"/>
              </w:rPr>
            </w:pPr>
            <w:r>
              <w:rPr>
                <w:rFonts w:hint="eastAsia" w:ascii="宋体" w:hAnsi="宋体"/>
                <w:bCs/>
                <w:iCs/>
                <w:sz w:val="18"/>
              </w:rPr>
              <w:t>债券</w:t>
            </w:r>
            <w:r>
              <w:rPr>
                <w:rFonts w:ascii="宋体" w:hAnsi="宋体"/>
                <w:bCs/>
                <w:iCs/>
                <w:sz w:val="18"/>
              </w:rPr>
              <w:t>业务部</w:t>
            </w:r>
          </w:p>
        </w:tc>
        <w:tc>
          <w:tcPr>
            <w:tcW w:w="850" w:type="dxa"/>
            <w:tcBorders>
              <w:top w:val="single" w:color="auto" w:sz="4" w:space="0"/>
              <w:left w:val="single" w:color="auto" w:sz="4" w:space="0"/>
              <w:bottom w:val="single" w:color="auto" w:sz="4" w:space="0"/>
              <w:right w:val="single" w:color="auto" w:sz="4" w:space="0"/>
            </w:tcBorders>
          </w:tcPr>
          <w:p w14:paraId="13C90437">
            <w:pPr>
              <w:rPr>
                <w:rFonts w:ascii="宋体" w:hAnsi="宋体"/>
                <w:bCs/>
                <w:iCs/>
                <w:sz w:val="18"/>
              </w:rPr>
            </w:pPr>
            <w:r>
              <w:rPr>
                <w:rFonts w:hint="eastAsia" w:ascii="宋体" w:hAnsi="宋体"/>
                <w:bCs/>
                <w:iCs/>
                <w:sz w:val="18"/>
              </w:rPr>
              <w:t>修订</w:t>
            </w:r>
          </w:p>
        </w:tc>
        <w:tc>
          <w:tcPr>
            <w:tcW w:w="1276" w:type="dxa"/>
            <w:tcBorders>
              <w:top w:val="single" w:color="auto" w:sz="4" w:space="0"/>
              <w:left w:val="single" w:color="auto" w:sz="4" w:space="0"/>
              <w:bottom w:val="single" w:color="auto" w:sz="4" w:space="0"/>
              <w:right w:val="single" w:color="auto" w:sz="4" w:space="0"/>
            </w:tcBorders>
          </w:tcPr>
          <w:p w14:paraId="5F1567C5">
            <w:pPr>
              <w:rPr>
                <w:iCs/>
                <w:sz w:val="18"/>
              </w:rPr>
            </w:pPr>
            <w:r>
              <w:rPr>
                <w:iCs/>
                <w:sz w:val="18"/>
              </w:rPr>
              <w:t>202</w:t>
            </w:r>
            <w:r>
              <w:rPr>
                <w:rFonts w:hint="eastAsia"/>
                <w:iCs/>
                <w:sz w:val="18"/>
              </w:rPr>
              <w:t>3年</w:t>
            </w:r>
            <w:r>
              <w:rPr>
                <w:iCs/>
                <w:sz w:val="18"/>
              </w:rPr>
              <w:t>1</w:t>
            </w:r>
            <w:r>
              <w:rPr>
                <w:rFonts w:hint="eastAsia"/>
                <w:iCs/>
                <w:sz w:val="18"/>
              </w:rPr>
              <w:t>月</w:t>
            </w:r>
          </w:p>
        </w:tc>
        <w:tc>
          <w:tcPr>
            <w:tcW w:w="3765" w:type="dxa"/>
            <w:tcBorders>
              <w:top w:val="single" w:color="auto" w:sz="4" w:space="0"/>
              <w:left w:val="single" w:color="auto" w:sz="4" w:space="0"/>
              <w:bottom w:val="single" w:color="auto" w:sz="4" w:space="0"/>
              <w:right w:val="single" w:color="auto" w:sz="4" w:space="0"/>
            </w:tcBorders>
          </w:tcPr>
          <w:p w14:paraId="17FCF2ED">
            <w:pPr>
              <w:rPr>
                <w:rFonts w:ascii="宋体" w:hAnsi="宋体"/>
                <w:bCs/>
                <w:iCs/>
                <w:sz w:val="18"/>
              </w:rPr>
            </w:pPr>
            <w:r>
              <w:rPr>
                <w:rFonts w:hint="eastAsia" w:ascii="宋体" w:hAnsi="宋体"/>
                <w:bCs/>
                <w:iCs/>
                <w:sz w:val="18"/>
              </w:rPr>
              <w:t>1.根据指定交易迁移实施情况修订指定交易相关内容（4.1.2指定交易办理）。</w:t>
            </w:r>
          </w:p>
          <w:p w14:paraId="4AF97736">
            <w:pPr>
              <w:rPr>
                <w:rFonts w:ascii="宋体" w:hAnsi="宋体"/>
                <w:bCs/>
                <w:iCs/>
                <w:sz w:val="18"/>
              </w:rPr>
            </w:pPr>
            <w:r>
              <w:rPr>
                <w:rFonts w:hint="eastAsia" w:ascii="宋体" w:hAnsi="宋体"/>
                <w:bCs/>
                <w:iCs/>
                <w:sz w:val="18"/>
              </w:rPr>
              <w:t>2.吸收归并《关于上海证券交易所债券市场机构投资者接受货币经纪公司服务有关事项的通知》相关内容（4.2.2交易对手）。</w:t>
            </w:r>
          </w:p>
          <w:p w14:paraId="35F55E5A">
            <w:pPr>
              <w:rPr>
                <w:rFonts w:ascii="宋体" w:hAnsi="宋体"/>
                <w:bCs/>
                <w:iCs/>
                <w:sz w:val="18"/>
              </w:rPr>
            </w:pPr>
            <w:r>
              <w:rPr>
                <w:rFonts w:hint="eastAsia" w:ascii="宋体" w:hAnsi="宋体"/>
                <w:bCs/>
                <w:iCs/>
                <w:sz w:val="18"/>
              </w:rPr>
              <w:t>3.进一步明确做市商评价周期（6.3.5做市商管理） 。</w:t>
            </w:r>
          </w:p>
          <w:p w14:paraId="02C79FFF">
            <w:pPr>
              <w:rPr>
                <w:rFonts w:ascii="宋体" w:hAnsi="宋体"/>
                <w:bCs/>
                <w:iCs/>
                <w:sz w:val="18"/>
              </w:rPr>
            </w:pPr>
            <w:r>
              <w:rPr>
                <w:rFonts w:hint="eastAsia" w:ascii="宋体" w:hAnsi="宋体"/>
                <w:bCs/>
                <w:iCs/>
                <w:sz w:val="18"/>
              </w:rPr>
              <w:t>4.吸收归并《上海证券交易所债券质押式三方回购交易业务指南》回购双方、经纪客户所在的证券公司、结算参与人及相关人员违反三方回购相关规则的处罚措施等内容（7.4.7异常情况及违约处置） 。</w:t>
            </w:r>
          </w:p>
          <w:p w14:paraId="50E25AA7">
            <w:pPr>
              <w:rPr>
                <w:rFonts w:ascii="宋体" w:hAnsi="宋体"/>
                <w:bCs/>
                <w:iCs/>
                <w:sz w:val="18"/>
              </w:rPr>
            </w:pPr>
            <w:r>
              <w:rPr>
                <w:rFonts w:hint="eastAsia" w:ascii="宋体" w:hAnsi="宋体"/>
                <w:bCs/>
                <w:iCs/>
                <w:sz w:val="18"/>
              </w:rPr>
              <w:t>5.吸收归并《上海证券交易所债券质押式三方回购交易业务指南》三方回购交收结果的查询方式、统计数据所含要素等内容（7.4.8其他事项）。</w:t>
            </w:r>
          </w:p>
          <w:p w14:paraId="55BDFF2F">
            <w:pPr>
              <w:rPr>
                <w:rFonts w:ascii="宋体" w:hAnsi="宋体"/>
                <w:bCs/>
                <w:iCs/>
                <w:sz w:val="18"/>
              </w:rPr>
            </w:pPr>
            <w:r>
              <w:rPr>
                <w:rFonts w:hint="eastAsia" w:ascii="宋体" w:hAnsi="宋体"/>
                <w:bCs/>
                <w:iCs/>
                <w:sz w:val="18"/>
              </w:rPr>
              <w:t>6.吸收归并《关于关键期限国债开展预发行（试点）交易有关事项的通知》各关键期限国债预发行交易的证券代码、各关键期限国债预发行交易的履约保证金比例等内容（8.1.3交易流程）。</w:t>
            </w:r>
          </w:p>
          <w:p w14:paraId="79E1257A">
            <w:pPr>
              <w:rPr>
                <w:rFonts w:ascii="宋体" w:hAnsi="宋体"/>
                <w:bCs/>
                <w:iCs/>
                <w:sz w:val="18"/>
              </w:rPr>
            </w:pPr>
            <w:r>
              <w:rPr>
                <w:rFonts w:hint="eastAsia" w:ascii="宋体" w:hAnsi="宋体"/>
                <w:bCs/>
                <w:iCs/>
                <w:sz w:val="18"/>
              </w:rPr>
              <w:t>7.吸收归并《上海证券交易所债券担保品处置平台业务操作指南》相关内容（8.4担保品处置）。</w:t>
            </w:r>
          </w:p>
          <w:p w14:paraId="1522B812">
            <w:pPr>
              <w:rPr>
                <w:rFonts w:ascii="宋体" w:hAnsi="宋体"/>
                <w:bCs/>
                <w:iCs/>
                <w:sz w:val="18"/>
              </w:rPr>
            </w:pPr>
            <w:r>
              <w:rPr>
                <w:rFonts w:hint="eastAsia" w:ascii="宋体" w:hAnsi="宋体"/>
                <w:bCs/>
                <w:iCs/>
                <w:sz w:val="18"/>
              </w:rPr>
              <w:t>8.补充核心交易系统备用通道相关介绍（9.7核心交易系统备用通道）。</w:t>
            </w:r>
          </w:p>
          <w:p w14:paraId="4524FB17">
            <w:pPr>
              <w:rPr>
                <w:rFonts w:ascii="宋体" w:hAnsi="宋体"/>
                <w:bCs/>
                <w:iCs/>
                <w:sz w:val="18"/>
              </w:rPr>
            </w:pPr>
            <w:r>
              <w:rPr>
                <w:rFonts w:hint="eastAsia" w:ascii="宋体" w:hAnsi="宋体"/>
                <w:bCs/>
                <w:iCs/>
                <w:sz w:val="18"/>
              </w:rPr>
              <w:t>9. 吸收归并《上海证券交易所债券质押式三方回购交易业务指南》三方回购9个类型对应代码、简称等内容（10.3.2成交统计行情）。</w:t>
            </w:r>
          </w:p>
          <w:p w14:paraId="19E3A490">
            <w:pPr>
              <w:rPr>
                <w:rFonts w:ascii="宋体" w:hAnsi="宋体"/>
                <w:bCs/>
                <w:iCs/>
                <w:sz w:val="18"/>
              </w:rPr>
            </w:pPr>
            <w:r>
              <w:rPr>
                <w:rFonts w:hint="eastAsia" w:ascii="宋体" w:hAnsi="宋体"/>
                <w:bCs/>
                <w:iCs/>
                <w:sz w:val="18"/>
              </w:rPr>
              <w:t>10.吸收归并《上海证券交易所债券质押式三方回购交易业务指南》中相关附件，主要包括：《附件18 三方回购投资者适当性备案表》《附件19 投资者适当性备案渠道》；吸收归并《上海证券交易所债券担保品处置平台业务操作指南》中相关附件，主要包括《附件36 上海证券交易所债券担保品处置平台功能简介》《附件37 债券担保品处置平台用户数字证书办理流程》《附件38 拟参与债券担保品处置的指定报价团成员名单》《附件39 处置现场负责人及进入处置场所的人员名单》《附件40 上交所债券担保品处置服务联系人》《附件41 处置结果公告（样张）》（附件） 。</w:t>
            </w:r>
          </w:p>
        </w:tc>
      </w:tr>
      <w:tr w14:paraId="6E7B2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jc w:val="center"/>
        </w:trPr>
        <w:tc>
          <w:tcPr>
            <w:tcW w:w="896" w:type="dxa"/>
            <w:tcBorders>
              <w:top w:val="single" w:color="auto" w:sz="4" w:space="0"/>
              <w:left w:val="single" w:color="auto" w:sz="4" w:space="0"/>
              <w:bottom w:val="single" w:color="auto" w:sz="4" w:space="0"/>
              <w:right w:val="single" w:color="auto" w:sz="4" w:space="0"/>
            </w:tcBorders>
          </w:tcPr>
          <w:p w14:paraId="3EE2BF76">
            <w:pPr>
              <w:rPr>
                <w:bCs/>
                <w:sz w:val="18"/>
              </w:rPr>
            </w:pPr>
            <w:r>
              <w:rPr>
                <w:rFonts w:hint="eastAsia"/>
                <w:bCs/>
                <w:sz w:val="18"/>
              </w:rPr>
              <w:t>V1.3</w:t>
            </w:r>
          </w:p>
        </w:tc>
        <w:tc>
          <w:tcPr>
            <w:tcW w:w="1425" w:type="dxa"/>
            <w:tcBorders>
              <w:top w:val="single" w:color="auto" w:sz="4" w:space="0"/>
              <w:left w:val="single" w:color="auto" w:sz="4" w:space="0"/>
              <w:bottom w:val="single" w:color="auto" w:sz="4" w:space="0"/>
              <w:right w:val="single" w:color="auto" w:sz="4" w:space="0"/>
            </w:tcBorders>
          </w:tcPr>
          <w:p w14:paraId="54777518">
            <w:pPr>
              <w:rPr>
                <w:rFonts w:ascii="宋体" w:hAnsi="宋体"/>
                <w:bCs/>
                <w:iCs/>
                <w:sz w:val="18"/>
              </w:rPr>
            </w:pPr>
            <w:r>
              <w:rPr>
                <w:rFonts w:hint="eastAsia" w:ascii="宋体" w:hAnsi="宋体"/>
                <w:bCs/>
                <w:iCs/>
                <w:sz w:val="18"/>
              </w:rPr>
              <w:t>债券</w:t>
            </w:r>
            <w:r>
              <w:rPr>
                <w:rFonts w:ascii="宋体" w:hAnsi="宋体"/>
                <w:bCs/>
                <w:iCs/>
                <w:sz w:val="18"/>
              </w:rPr>
              <w:t>业务部</w:t>
            </w:r>
          </w:p>
        </w:tc>
        <w:tc>
          <w:tcPr>
            <w:tcW w:w="850" w:type="dxa"/>
            <w:tcBorders>
              <w:top w:val="single" w:color="auto" w:sz="4" w:space="0"/>
              <w:left w:val="single" w:color="auto" w:sz="4" w:space="0"/>
              <w:bottom w:val="single" w:color="auto" w:sz="4" w:space="0"/>
              <w:right w:val="single" w:color="auto" w:sz="4" w:space="0"/>
            </w:tcBorders>
          </w:tcPr>
          <w:p w14:paraId="5925F961">
            <w:pPr>
              <w:rPr>
                <w:rFonts w:ascii="宋体" w:hAnsi="宋体"/>
                <w:bCs/>
                <w:iCs/>
                <w:sz w:val="18"/>
              </w:rPr>
            </w:pPr>
            <w:r>
              <w:rPr>
                <w:rFonts w:hint="eastAsia" w:ascii="宋体" w:hAnsi="宋体"/>
                <w:bCs/>
                <w:iCs/>
                <w:sz w:val="18"/>
              </w:rPr>
              <w:t>修订</w:t>
            </w:r>
          </w:p>
        </w:tc>
        <w:tc>
          <w:tcPr>
            <w:tcW w:w="1276" w:type="dxa"/>
            <w:tcBorders>
              <w:top w:val="single" w:color="auto" w:sz="4" w:space="0"/>
              <w:left w:val="single" w:color="auto" w:sz="4" w:space="0"/>
              <w:bottom w:val="single" w:color="auto" w:sz="4" w:space="0"/>
              <w:right w:val="single" w:color="auto" w:sz="4" w:space="0"/>
            </w:tcBorders>
          </w:tcPr>
          <w:p w14:paraId="2CD1C85B">
            <w:pPr>
              <w:rPr>
                <w:iCs/>
                <w:sz w:val="18"/>
              </w:rPr>
            </w:pPr>
            <w:r>
              <w:rPr>
                <w:iCs/>
                <w:sz w:val="18"/>
              </w:rPr>
              <w:t>202</w:t>
            </w:r>
            <w:r>
              <w:rPr>
                <w:rFonts w:hint="eastAsia"/>
                <w:iCs/>
                <w:sz w:val="18"/>
              </w:rPr>
              <w:t>3年</w:t>
            </w:r>
            <w:r>
              <w:rPr>
                <w:iCs/>
                <w:sz w:val="18"/>
              </w:rPr>
              <w:t>10</w:t>
            </w:r>
            <w:r>
              <w:rPr>
                <w:rFonts w:hint="eastAsia"/>
                <w:iCs/>
                <w:sz w:val="18"/>
              </w:rPr>
              <w:t>月</w:t>
            </w:r>
          </w:p>
        </w:tc>
        <w:tc>
          <w:tcPr>
            <w:tcW w:w="3765" w:type="dxa"/>
            <w:tcBorders>
              <w:top w:val="single" w:color="auto" w:sz="4" w:space="0"/>
              <w:left w:val="single" w:color="auto" w:sz="4" w:space="0"/>
              <w:bottom w:val="single" w:color="auto" w:sz="4" w:space="0"/>
              <w:right w:val="single" w:color="auto" w:sz="4" w:space="0"/>
            </w:tcBorders>
          </w:tcPr>
          <w:p w14:paraId="7645A10A">
            <w:pPr>
              <w:rPr>
                <w:rFonts w:ascii="宋体" w:hAnsi="宋体"/>
                <w:bCs/>
                <w:iCs/>
                <w:sz w:val="18"/>
              </w:rPr>
            </w:pPr>
            <w:r>
              <w:rPr>
                <w:rFonts w:hint="eastAsia" w:ascii="宋体" w:hAnsi="宋体"/>
                <w:bCs/>
                <w:iCs/>
                <w:sz w:val="18"/>
              </w:rPr>
              <w:t>1.根据证监会关于</w:t>
            </w:r>
            <w:r>
              <w:rPr>
                <w:rFonts w:ascii="宋体" w:hAnsi="宋体"/>
                <w:bCs/>
                <w:iCs/>
                <w:sz w:val="18"/>
              </w:rPr>
              <w:t>企业债监管职责划转相关安排修改企业债相关条款。</w:t>
            </w:r>
            <w:r>
              <w:rPr>
                <w:rFonts w:hint="eastAsia" w:ascii="宋体" w:hAnsi="宋体"/>
                <w:bCs/>
                <w:iCs/>
                <w:sz w:val="18"/>
              </w:rPr>
              <w:t>如无</w:t>
            </w:r>
            <w:r>
              <w:rPr>
                <w:rFonts w:ascii="宋体" w:hAnsi="宋体"/>
                <w:bCs/>
                <w:iCs/>
                <w:sz w:val="18"/>
              </w:rPr>
              <w:t>特殊说明，本指南所称公司债券包含企业债券。</w:t>
            </w:r>
          </w:p>
          <w:p w14:paraId="0DFF0913">
            <w:pPr>
              <w:rPr>
                <w:rFonts w:ascii="宋体" w:hAnsi="宋体"/>
                <w:bCs/>
                <w:iCs/>
                <w:sz w:val="18"/>
              </w:rPr>
            </w:pPr>
            <w:r>
              <w:rPr>
                <w:rFonts w:ascii="宋体" w:hAnsi="宋体"/>
                <w:bCs/>
                <w:iCs/>
                <w:sz w:val="18"/>
              </w:rPr>
              <w:t>2.</w:t>
            </w:r>
            <w:r>
              <w:rPr>
                <w:rFonts w:hint="eastAsia" w:ascii="宋体" w:hAnsi="宋体"/>
                <w:bCs/>
                <w:iCs/>
                <w:sz w:val="18"/>
              </w:rPr>
              <w:t>根据投资者适当性</w:t>
            </w:r>
            <w:r>
              <w:rPr>
                <w:rFonts w:ascii="宋体" w:hAnsi="宋体"/>
                <w:bCs/>
                <w:iCs/>
                <w:sz w:val="18"/>
              </w:rPr>
              <w:t>规则</w:t>
            </w:r>
            <w:r>
              <w:rPr>
                <w:rFonts w:hint="eastAsia" w:ascii="宋体" w:hAnsi="宋体"/>
                <w:bCs/>
                <w:iCs/>
                <w:sz w:val="18"/>
              </w:rPr>
              <w:t>调整情况对指南</w:t>
            </w:r>
            <w:r>
              <w:rPr>
                <w:rFonts w:ascii="宋体" w:hAnsi="宋体"/>
                <w:bCs/>
                <w:iCs/>
                <w:sz w:val="18"/>
              </w:rPr>
              <w:t>做适应性调整。</w:t>
            </w:r>
          </w:p>
          <w:p w14:paraId="0A6D2B1B">
            <w:pPr>
              <w:tabs>
                <w:tab w:val="left" w:pos="312"/>
              </w:tabs>
              <w:rPr>
                <w:rFonts w:ascii="宋体" w:hAnsi="宋体"/>
                <w:bCs/>
                <w:iCs/>
                <w:sz w:val="18"/>
              </w:rPr>
            </w:pPr>
            <w:r>
              <w:rPr>
                <w:rFonts w:ascii="宋体" w:hAnsi="宋体"/>
                <w:bCs/>
                <w:iCs/>
                <w:sz w:val="18"/>
              </w:rPr>
              <w:t>3.</w:t>
            </w:r>
            <w:r>
              <w:rPr>
                <w:rFonts w:hint="eastAsia" w:ascii="宋体" w:hAnsi="宋体"/>
                <w:bCs/>
                <w:iCs/>
                <w:sz w:val="18"/>
              </w:rPr>
              <w:t>补充优化债券做市技术验收申请的相关要求（6.3.2债券做市商申请、附件8、附件10）。</w:t>
            </w:r>
          </w:p>
          <w:p w14:paraId="209BCEED">
            <w:pPr>
              <w:tabs>
                <w:tab w:val="left" w:pos="312"/>
              </w:tabs>
              <w:rPr>
                <w:rFonts w:ascii="宋体" w:hAnsi="宋体"/>
                <w:bCs/>
                <w:iCs/>
                <w:sz w:val="18"/>
              </w:rPr>
            </w:pPr>
            <w:r>
              <w:rPr>
                <w:rFonts w:hint="eastAsia" w:ascii="宋体" w:hAnsi="宋体"/>
                <w:bCs/>
                <w:iCs/>
                <w:sz w:val="18"/>
              </w:rPr>
              <w:t>4.完善基准做市品种的相关表述（6.3.3做市品种）。</w:t>
            </w:r>
          </w:p>
          <w:p w14:paraId="7FCEBB2F">
            <w:pPr>
              <w:rPr>
                <w:rFonts w:ascii="宋体" w:hAnsi="宋体"/>
                <w:bCs/>
                <w:iCs/>
                <w:sz w:val="18"/>
              </w:rPr>
            </w:pPr>
            <w:r>
              <w:rPr>
                <w:rFonts w:ascii="宋体" w:hAnsi="宋体"/>
                <w:bCs/>
                <w:iCs/>
                <w:sz w:val="18"/>
              </w:rPr>
              <w:t>5</w:t>
            </w:r>
            <w:r>
              <w:rPr>
                <w:rFonts w:hint="eastAsia" w:ascii="宋体" w:hAnsi="宋体"/>
                <w:bCs/>
                <w:iCs/>
                <w:sz w:val="18"/>
              </w:rPr>
              <w:t>.将本所要求做市商在《做市交易业务技术测试和专项检查申请书》中作出的承诺补充在附件中（附件7）。</w:t>
            </w:r>
          </w:p>
        </w:tc>
      </w:tr>
      <w:tr w14:paraId="0D0C1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jc w:val="center"/>
        </w:trPr>
        <w:tc>
          <w:tcPr>
            <w:tcW w:w="896" w:type="dxa"/>
            <w:tcBorders>
              <w:top w:val="single" w:color="auto" w:sz="4" w:space="0"/>
              <w:left w:val="single" w:color="auto" w:sz="4" w:space="0"/>
              <w:bottom w:val="single" w:color="auto" w:sz="4" w:space="0"/>
              <w:right w:val="single" w:color="auto" w:sz="4" w:space="0"/>
            </w:tcBorders>
          </w:tcPr>
          <w:p w14:paraId="62013FA5">
            <w:pPr>
              <w:rPr>
                <w:bCs/>
                <w:sz w:val="18"/>
              </w:rPr>
            </w:pPr>
            <w:r>
              <w:rPr>
                <w:bCs/>
                <w:sz w:val="18"/>
              </w:rPr>
              <w:t>V1.3</w:t>
            </w:r>
          </w:p>
        </w:tc>
        <w:tc>
          <w:tcPr>
            <w:tcW w:w="1425" w:type="dxa"/>
            <w:tcBorders>
              <w:top w:val="single" w:color="auto" w:sz="4" w:space="0"/>
              <w:left w:val="single" w:color="auto" w:sz="4" w:space="0"/>
              <w:bottom w:val="single" w:color="auto" w:sz="4" w:space="0"/>
              <w:right w:val="single" w:color="auto" w:sz="4" w:space="0"/>
            </w:tcBorders>
          </w:tcPr>
          <w:p w14:paraId="7C5D647F">
            <w:pPr>
              <w:rPr>
                <w:rFonts w:ascii="宋体" w:hAnsi="宋体"/>
                <w:bCs/>
                <w:iCs/>
                <w:sz w:val="18"/>
              </w:rPr>
            </w:pPr>
            <w:r>
              <w:rPr>
                <w:rFonts w:hint="eastAsia" w:ascii="宋体" w:hAnsi="宋体"/>
                <w:bCs/>
                <w:iCs/>
                <w:sz w:val="18"/>
              </w:rPr>
              <w:t>债券</w:t>
            </w:r>
            <w:r>
              <w:rPr>
                <w:rFonts w:ascii="宋体" w:hAnsi="宋体"/>
                <w:bCs/>
                <w:iCs/>
                <w:sz w:val="18"/>
              </w:rPr>
              <w:t>业务部</w:t>
            </w:r>
          </w:p>
        </w:tc>
        <w:tc>
          <w:tcPr>
            <w:tcW w:w="850" w:type="dxa"/>
            <w:tcBorders>
              <w:top w:val="single" w:color="auto" w:sz="4" w:space="0"/>
              <w:left w:val="single" w:color="auto" w:sz="4" w:space="0"/>
              <w:bottom w:val="single" w:color="auto" w:sz="4" w:space="0"/>
              <w:right w:val="single" w:color="auto" w:sz="4" w:space="0"/>
            </w:tcBorders>
          </w:tcPr>
          <w:p w14:paraId="597A7456">
            <w:pPr>
              <w:rPr>
                <w:rFonts w:ascii="宋体" w:hAnsi="宋体"/>
                <w:bCs/>
                <w:iCs/>
                <w:sz w:val="18"/>
              </w:rPr>
            </w:pPr>
            <w:r>
              <w:rPr>
                <w:rFonts w:hint="eastAsia" w:ascii="宋体" w:hAnsi="宋体"/>
                <w:bCs/>
                <w:iCs/>
                <w:sz w:val="18"/>
              </w:rPr>
              <w:t>修订</w:t>
            </w:r>
          </w:p>
        </w:tc>
        <w:tc>
          <w:tcPr>
            <w:tcW w:w="1276" w:type="dxa"/>
            <w:tcBorders>
              <w:top w:val="single" w:color="auto" w:sz="4" w:space="0"/>
              <w:left w:val="single" w:color="auto" w:sz="4" w:space="0"/>
              <w:bottom w:val="single" w:color="auto" w:sz="4" w:space="0"/>
              <w:right w:val="single" w:color="auto" w:sz="4" w:space="0"/>
            </w:tcBorders>
          </w:tcPr>
          <w:p w14:paraId="1D118271">
            <w:pPr>
              <w:rPr>
                <w:iCs/>
                <w:sz w:val="18"/>
              </w:rPr>
            </w:pPr>
            <w:r>
              <w:rPr>
                <w:iCs/>
                <w:sz w:val="18"/>
              </w:rPr>
              <w:t>202</w:t>
            </w:r>
            <w:r>
              <w:rPr>
                <w:rFonts w:hint="eastAsia"/>
                <w:iCs/>
                <w:sz w:val="18"/>
              </w:rPr>
              <w:t>3年11月</w:t>
            </w:r>
          </w:p>
        </w:tc>
        <w:tc>
          <w:tcPr>
            <w:tcW w:w="3765" w:type="dxa"/>
            <w:tcBorders>
              <w:top w:val="single" w:color="auto" w:sz="4" w:space="0"/>
              <w:left w:val="single" w:color="auto" w:sz="4" w:space="0"/>
              <w:bottom w:val="single" w:color="auto" w:sz="4" w:space="0"/>
              <w:right w:val="single" w:color="auto" w:sz="4" w:space="0"/>
            </w:tcBorders>
          </w:tcPr>
          <w:p w14:paraId="64A7D7FF">
            <w:pPr>
              <w:rPr>
                <w:rFonts w:ascii="宋体" w:hAnsi="宋体"/>
                <w:bCs/>
                <w:iCs/>
                <w:sz w:val="18"/>
              </w:rPr>
            </w:pPr>
            <w:r>
              <w:rPr>
                <w:rFonts w:hint="eastAsia" w:ascii="宋体" w:hAnsi="宋体"/>
                <w:bCs/>
                <w:iCs/>
                <w:sz w:val="18"/>
              </w:rPr>
              <w:t>1.根据</w:t>
            </w:r>
            <w:r>
              <w:rPr>
                <w:rFonts w:ascii="宋体" w:hAnsi="宋体"/>
                <w:bCs/>
                <w:iCs/>
                <w:sz w:val="18"/>
              </w:rPr>
              <w:t>新发布的</w:t>
            </w:r>
            <w:r>
              <w:rPr>
                <w:rFonts w:hint="eastAsia" w:ascii="宋体" w:hAnsi="宋体"/>
                <w:bCs/>
                <w:iCs/>
                <w:sz w:val="18"/>
              </w:rPr>
              <w:t>《上海证券交易所</w:t>
            </w:r>
            <w:r>
              <w:rPr>
                <w:rFonts w:ascii="宋体" w:hAnsi="宋体"/>
                <w:bCs/>
                <w:iCs/>
                <w:sz w:val="18"/>
              </w:rPr>
              <w:t xml:space="preserve"> </w:t>
            </w:r>
            <w:r>
              <w:rPr>
                <w:rFonts w:hint="eastAsia" w:ascii="宋体" w:hAnsi="宋体"/>
                <w:bCs/>
                <w:iCs/>
                <w:sz w:val="18"/>
              </w:rPr>
              <w:t>中国证券登记结算有限责任公司债券借贷业务办法</w:t>
            </w:r>
            <w:r>
              <w:rPr>
                <w:rFonts w:ascii="宋体" w:hAnsi="宋体"/>
                <w:bCs/>
                <w:iCs/>
                <w:sz w:val="18"/>
              </w:rPr>
              <w:t>》</w:t>
            </w:r>
            <w:r>
              <w:rPr>
                <w:rFonts w:hint="eastAsia" w:ascii="宋体" w:hAnsi="宋体"/>
                <w:bCs/>
                <w:iCs/>
                <w:sz w:val="18"/>
              </w:rPr>
              <w:t>修订债券借贷</w:t>
            </w:r>
            <w:r>
              <w:rPr>
                <w:rFonts w:ascii="宋体" w:hAnsi="宋体"/>
                <w:bCs/>
                <w:iCs/>
                <w:sz w:val="18"/>
              </w:rPr>
              <w:t>业务相关内容</w:t>
            </w:r>
            <w:r>
              <w:rPr>
                <w:rFonts w:hint="eastAsia" w:ascii="宋体" w:hAnsi="宋体"/>
                <w:bCs/>
                <w:iCs/>
                <w:sz w:val="18"/>
              </w:rPr>
              <w:t>（8</w:t>
            </w:r>
            <w:r>
              <w:rPr>
                <w:rFonts w:ascii="宋体" w:hAnsi="宋体"/>
                <w:bCs/>
                <w:iCs/>
                <w:sz w:val="18"/>
              </w:rPr>
              <w:t>.2</w:t>
            </w:r>
            <w:r>
              <w:rPr>
                <w:rFonts w:hint="eastAsia" w:ascii="宋体" w:hAnsi="宋体"/>
                <w:bCs/>
                <w:iCs/>
                <w:sz w:val="18"/>
              </w:rPr>
              <w:t>债券</w:t>
            </w:r>
            <w:r>
              <w:rPr>
                <w:rFonts w:ascii="宋体" w:hAnsi="宋体"/>
                <w:bCs/>
                <w:iCs/>
                <w:sz w:val="18"/>
              </w:rPr>
              <w:t>借贷</w:t>
            </w:r>
            <w:r>
              <w:rPr>
                <w:rFonts w:hint="eastAsia" w:ascii="宋体" w:hAnsi="宋体"/>
                <w:bCs/>
                <w:iCs/>
                <w:sz w:val="18"/>
              </w:rPr>
              <w:t>与</w:t>
            </w:r>
            <w:r>
              <w:rPr>
                <w:rFonts w:ascii="宋体" w:hAnsi="宋体"/>
                <w:bCs/>
                <w:iCs/>
                <w:sz w:val="18"/>
              </w:rPr>
              <w:t>附件20、附件21</w:t>
            </w:r>
            <w:r>
              <w:rPr>
                <w:rFonts w:hint="eastAsia" w:ascii="宋体" w:hAnsi="宋体"/>
                <w:bCs/>
                <w:iCs/>
                <w:sz w:val="18"/>
              </w:rPr>
              <w:t>）。</w:t>
            </w:r>
          </w:p>
          <w:p w14:paraId="6FDAE42F">
            <w:pPr>
              <w:rPr>
                <w:rFonts w:ascii="宋体" w:hAnsi="宋体"/>
                <w:bCs/>
                <w:iCs/>
                <w:sz w:val="18"/>
              </w:rPr>
            </w:pPr>
            <w:r>
              <w:rPr>
                <w:rFonts w:ascii="宋体" w:hAnsi="宋体"/>
                <w:bCs/>
                <w:iCs/>
                <w:sz w:val="18"/>
              </w:rPr>
              <w:t>2.</w:t>
            </w:r>
            <w:r>
              <w:rPr>
                <w:rFonts w:hint="eastAsia" w:ascii="宋体" w:hAnsi="宋体"/>
                <w:bCs/>
                <w:iCs/>
                <w:sz w:val="18"/>
              </w:rPr>
              <w:t xml:space="preserve"> 进一步补充交易业务互联网申报通道相关介绍（9.7交易业务互联网申报通道）</w:t>
            </w:r>
          </w:p>
        </w:tc>
      </w:tr>
      <w:tr w14:paraId="35395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jc w:val="center"/>
        </w:trPr>
        <w:tc>
          <w:tcPr>
            <w:tcW w:w="896" w:type="dxa"/>
            <w:tcBorders>
              <w:top w:val="single" w:color="auto" w:sz="4" w:space="0"/>
              <w:left w:val="single" w:color="auto" w:sz="4" w:space="0"/>
              <w:bottom w:val="single" w:color="auto" w:sz="4" w:space="0"/>
              <w:right w:val="single" w:color="auto" w:sz="4" w:space="0"/>
            </w:tcBorders>
          </w:tcPr>
          <w:p w14:paraId="7088E350">
            <w:pPr>
              <w:rPr>
                <w:bCs/>
                <w:sz w:val="18"/>
              </w:rPr>
            </w:pPr>
            <w:r>
              <w:rPr>
                <w:bCs/>
                <w:sz w:val="18"/>
              </w:rPr>
              <w:t>V1.4</w:t>
            </w:r>
          </w:p>
        </w:tc>
        <w:tc>
          <w:tcPr>
            <w:tcW w:w="1425" w:type="dxa"/>
            <w:tcBorders>
              <w:top w:val="single" w:color="auto" w:sz="4" w:space="0"/>
              <w:left w:val="single" w:color="auto" w:sz="4" w:space="0"/>
              <w:bottom w:val="single" w:color="auto" w:sz="4" w:space="0"/>
              <w:right w:val="single" w:color="auto" w:sz="4" w:space="0"/>
            </w:tcBorders>
          </w:tcPr>
          <w:p w14:paraId="409690A4">
            <w:pPr>
              <w:rPr>
                <w:rFonts w:ascii="宋体" w:hAnsi="宋体"/>
                <w:bCs/>
                <w:iCs/>
                <w:sz w:val="18"/>
              </w:rPr>
            </w:pPr>
            <w:r>
              <w:rPr>
                <w:rFonts w:hint="eastAsia" w:ascii="宋体" w:hAnsi="宋体"/>
                <w:bCs/>
                <w:iCs/>
                <w:sz w:val="18"/>
              </w:rPr>
              <w:t>债券</w:t>
            </w:r>
            <w:r>
              <w:rPr>
                <w:rFonts w:ascii="宋体" w:hAnsi="宋体"/>
                <w:bCs/>
                <w:iCs/>
                <w:sz w:val="18"/>
              </w:rPr>
              <w:t>业务</w:t>
            </w:r>
            <w:r>
              <w:rPr>
                <w:rFonts w:hint="eastAsia" w:ascii="宋体" w:hAnsi="宋体"/>
                <w:bCs/>
                <w:iCs/>
                <w:sz w:val="18"/>
              </w:rPr>
              <w:t>中心</w:t>
            </w:r>
          </w:p>
        </w:tc>
        <w:tc>
          <w:tcPr>
            <w:tcW w:w="850" w:type="dxa"/>
            <w:tcBorders>
              <w:top w:val="single" w:color="auto" w:sz="4" w:space="0"/>
              <w:left w:val="single" w:color="auto" w:sz="4" w:space="0"/>
              <w:bottom w:val="single" w:color="auto" w:sz="4" w:space="0"/>
              <w:right w:val="single" w:color="auto" w:sz="4" w:space="0"/>
            </w:tcBorders>
          </w:tcPr>
          <w:p w14:paraId="4E91F61B">
            <w:pPr>
              <w:rPr>
                <w:rFonts w:ascii="宋体" w:hAnsi="宋体"/>
                <w:bCs/>
                <w:iCs/>
                <w:sz w:val="18"/>
              </w:rPr>
            </w:pPr>
            <w:r>
              <w:rPr>
                <w:rFonts w:hint="eastAsia" w:ascii="宋体" w:hAnsi="宋体"/>
                <w:bCs/>
                <w:iCs/>
                <w:sz w:val="18"/>
              </w:rPr>
              <w:t>修订</w:t>
            </w:r>
          </w:p>
        </w:tc>
        <w:tc>
          <w:tcPr>
            <w:tcW w:w="1276" w:type="dxa"/>
            <w:tcBorders>
              <w:top w:val="single" w:color="auto" w:sz="4" w:space="0"/>
              <w:left w:val="single" w:color="auto" w:sz="4" w:space="0"/>
              <w:bottom w:val="single" w:color="auto" w:sz="4" w:space="0"/>
              <w:right w:val="single" w:color="auto" w:sz="4" w:space="0"/>
            </w:tcBorders>
          </w:tcPr>
          <w:p w14:paraId="50AE8B36">
            <w:pPr>
              <w:rPr>
                <w:iCs/>
                <w:sz w:val="18"/>
              </w:rPr>
            </w:pPr>
            <w:r>
              <w:rPr>
                <w:iCs/>
                <w:sz w:val="18"/>
              </w:rPr>
              <w:t>202</w:t>
            </w:r>
            <w:r>
              <w:rPr>
                <w:rFonts w:hint="eastAsia"/>
                <w:iCs/>
                <w:sz w:val="18"/>
              </w:rPr>
              <w:t>4年9月</w:t>
            </w:r>
          </w:p>
        </w:tc>
        <w:tc>
          <w:tcPr>
            <w:tcW w:w="3765" w:type="dxa"/>
            <w:tcBorders>
              <w:top w:val="single" w:color="auto" w:sz="4" w:space="0"/>
              <w:left w:val="single" w:color="auto" w:sz="4" w:space="0"/>
              <w:bottom w:val="single" w:color="auto" w:sz="4" w:space="0"/>
              <w:right w:val="single" w:color="auto" w:sz="4" w:space="0"/>
            </w:tcBorders>
          </w:tcPr>
          <w:p w14:paraId="7AA8642C">
            <w:pPr>
              <w:rPr>
                <w:rFonts w:ascii="宋体" w:hAnsi="宋体"/>
                <w:bCs/>
                <w:iCs/>
                <w:sz w:val="18"/>
              </w:rPr>
            </w:pPr>
            <w:r>
              <w:rPr>
                <w:rFonts w:hint="eastAsia" w:ascii="宋体" w:hAnsi="宋体"/>
                <w:bCs/>
                <w:iCs/>
                <w:sz w:val="18"/>
              </w:rPr>
              <w:t>完善基准做市品种的相关表述（6.3.3做市品种）</w:t>
            </w:r>
          </w:p>
        </w:tc>
      </w:tr>
      <w:tr w14:paraId="1C9A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jc w:val="center"/>
        </w:trPr>
        <w:tc>
          <w:tcPr>
            <w:tcW w:w="896" w:type="dxa"/>
            <w:tcBorders>
              <w:top w:val="single" w:color="auto" w:sz="4" w:space="0"/>
              <w:left w:val="single" w:color="auto" w:sz="4" w:space="0"/>
              <w:bottom w:val="single" w:color="auto" w:sz="4" w:space="0"/>
              <w:right w:val="single" w:color="auto" w:sz="4" w:space="0"/>
            </w:tcBorders>
          </w:tcPr>
          <w:p w14:paraId="45E180BA">
            <w:pPr>
              <w:rPr>
                <w:rFonts w:hint="eastAsia" w:eastAsia="宋体"/>
                <w:bCs/>
                <w:sz w:val="18"/>
                <w:lang w:eastAsia="zh-CN"/>
              </w:rPr>
            </w:pPr>
            <w:r>
              <w:rPr>
                <w:bCs/>
                <w:sz w:val="18"/>
              </w:rPr>
              <w:t>V1.</w:t>
            </w:r>
            <w:r>
              <w:rPr>
                <w:rFonts w:hint="eastAsia"/>
                <w:bCs/>
                <w:sz w:val="18"/>
                <w:lang w:val="en-US" w:eastAsia="zh-CN"/>
              </w:rPr>
              <w:t>5</w:t>
            </w:r>
          </w:p>
        </w:tc>
        <w:tc>
          <w:tcPr>
            <w:tcW w:w="1425" w:type="dxa"/>
            <w:tcBorders>
              <w:top w:val="single" w:color="auto" w:sz="4" w:space="0"/>
              <w:left w:val="single" w:color="auto" w:sz="4" w:space="0"/>
              <w:bottom w:val="single" w:color="auto" w:sz="4" w:space="0"/>
              <w:right w:val="single" w:color="auto" w:sz="4" w:space="0"/>
            </w:tcBorders>
          </w:tcPr>
          <w:p w14:paraId="4C2BA8BC">
            <w:pPr>
              <w:rPr>
                <w:rFonts w:hint="eastAsia" w:ascii="宋体" w:hAnsi="宋体"/>
                <w:bCs/>
                <w:iCs/>
                <w:sz w:val="18"/>
              </w:rPr>
            </w:pPr>
            <w:r>
              <w:rPr>
                <w:rFonts w:hint="eastAsia" w:ascii="宋体" w:hAnsi="宋体"/>
                <w:bCs/>
                <w:iCs/>
                <w:sz w:val="18"/>
              </w:rPr>
              <w:t>债券</w:t>
            </w:r>
            <w:r>
              <w:rPr>
                <w:rFonts w:ascii="宋体" w:hAnsi="宋体"/>
                <w:bCs/>
                <w:iCs/>
                <w:sz w:val="18"/>
              </w:rPr>
              <w:t>业务</w:t>
            </w:r>
            <w:r>
              <w:rPr>
                <w:rFonts w:hint="eastAsia" w:ascii="宋体" w:hAnsi="宋体"/>
                <w:bCs/>
                <w:iCs/>
                <w:sz w:val="18"/>
              </w:rPr>
              <w:t>中心</w:t>
            </w:r>
          </w:p>
        </w:tc>
        <w:tc>
          <w:tcPr>
            <w:tcW w:w="850" w:type="dxa"/>
            <w:tcBorders>
              <w:top w:val="single" w:color="auto" w:sz="4" w:space="0"/>
              <w:left w:val="single" w:color="auto" w:sz="4" w:space="0"/>
              <w:bottom w:val="single" w:color="auto" w:sz="4" w:space="0"/>
              <w:right w:val="single" w:color="auto" w:sz="4" w:space="0"/>
            </w:tcBorders>
          </w:tcPr>
          <w:p w14:paraId="5C0150A6">
            <w:pPr>
              <w:rPr>
                <w:rFonts w:hint="eastAsia" w:ascii="宋体" w:hAnsi="宋体"/>
                <w:bCs/>
                <w:iCs/>
                <w:sz w:val="18"/>
              </w:rPr>
            </w:pPr>
            <w:r>
              <w:rPr>
                <w:rFonts w:hint="eastAsia" w:ascii="宋体" w:hAnsi="宋体"/>
                <w:bCs/>
                <w:iCs/>
                <w:sz w:val="18"/>
              </w:rPr>
              <w:t>修订</w:t>
            </w:r>
          </w:p>
        </w:tc>
        <w:tc>
          <w:tcPr>
            <w:tcW w:w="1276" w:type="dxa"/>
            <w:tcBorders>
              <w:top w:val="single" w:color="auto" w:sz="4" w:space="0"/>
              <w:left w:val="single" w:color="auto" w:sz="4" w:space="0"/>
              <w:bottom w:val="single" w:color="auto" w:sz="4" w:space="0"/>
              <w:right w:val="single" w:color="auto" w:sz="4" w:space="0"/>
            </w:tcBorders>
          </w:tcPr>
          <w:p w14:paraId="64F75097">
            <w:pPr>
              <w:rPr>
                <w:iCs/>
                <w:sz w:val="18"/>
              </w:rPr>
            </w:pPr>
            <w:r>
              <w:rPr>
                <w:iCs/>
                <w:sz w:val="18"/>
              </w:rPr>
              <w:t>202</w:t>
            </w:r>
            <w:r>
              <w:rPr>
                <w:rFonts w:hint="eastAsia"/>
                <w:iCs/>
                <w:sz w:val="18"/>
                <w:lang w:val="en-US" w:eastAsia="zh-CN"/>
              </w:rPr>
              <w:t>5</w:t>
            </w:r>
            <w:r>
              <w:rPr>
                <w:rFonts w:hint="eastAsia"/>
                <w:iCs/>
                <w:sz w:val="18"/>
              </w:rPr>
              <w:t>年</w:t>
            </w:r>
            <w:r>
              <w:rPr>
                <w:rFonts w:hint="eastAsia"/>
                <w:iCs/>
                <w:sz w:val="18"/>
                <w:lang w:val="en-US" w:eastAsia="zh-CN"/>
              </w:rPr>
              <w:t>3</w:t>
            </w:r>
            <w:r>
              <w:rPr>
                <w:rFonts w:hint="eastAsia"/>
                <w:iCs/>
                <w:sz w:val="18"/>
              </w:rPr>
              <w:t>月</w:t>
            </w:r>
          </w:p>
        </w:tc>
        <w:tc>
          <w:tcPr>
            <w:tcW w:w="3765" w:type="dxa"/>
            <w:tcBorders>
              <w:top w:val="single" w:color="auto" w:sz="4" w:space="0"/>
              <w:left w:val="single" w:color="auto" w:sz="4" w:space="0"/>
              <w:bottom w:val="single" w:color="auto" w:sz="4" w:space="0"/>
              <w:right w:val="single" w:color="auto" w:sz="4" w:space="0"/>
            </w:tcBorders>
          </w:tcPr>
          <w:p w14:paraId="0A75F3B8">
            <w:pPr>
              <w:rPr>
                <w:rFonts w:hint="eastAsia" w:ascii="宋体" w:hAnsi="宋体"/>
                <w:bCs/>
                <w:iCs/>
                <w:sz w:val="18"/>
              </w:rPr>
            </w:pPr>
            <w:r>
              <w:rPr>
                <w:rFonts w:hint="eastAsia" w:ascii="宋体" w:hAnsi="宋体"/>
                <w:bCs/>
                <w:iCs/>
                <w:sz w:val="18"/>
                <w:lang w:eastAsia="zh-CN"/>
              </w:rPr>
              <w:t>调整</w:t>
            </w:r>
            <w:r>
              <w:rPr>
                <w:rFonts w:hint="eastAsia" w:ascii="宋体" w:hAnsi="宋体"/>
                <w:bCs/>
                <w:iCs/>
                <w:sz w:val="18"/>
              </w:rPr>
              <w:t>基准做市品种相关表述（6.3.3做市品种）</w:t>
            </w:r>
          </w:p>
        </w:tc>
      </w:tr>
      <w:tr w14:paraId="1E5CE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jc w:val="center"/>
        </w:trPr>
        <w:tc>
          <w:tcPr>
            <w:tcW w:w="896" w:type="dxa"/>
            <w:tcBorders>
              <w:top w:val="single" w:color="auto" w:sz="4" w:space="0"/>
              <w:left w:val="single" w:color="auto" w:sz="4" w:space="0"/>
              <w:bottom w:val="single" w:color="auto" w:sz="4" w:space="0"/>
              <w:right w:val="single" w:color="auto" w:sz="4" w:space="0"/>
            </w:tcBorders>
          </w:tcPr>
          <w:p w14:paraId="10F02DD8">
            <w:pPr>
              <w:rPr>
                <w:rFonts w:hint="eastAsia" w:eastAsia="宋体"/>
                <w:bCs/>
                <w:sz w:val="18"/>
                <w:lang w:val="en-US" w:eastAsia="zh-CN"/>
              </w:rPr>
            </w:pPr>
            <w:r>
              <w:rPr>
                <w:bCs/>
                <w:sz w:val="18"/>
              </w:rPr>
              <w:t>V1.</w:t>
            </w:r>
            <w:r>
              <w:rPr>
                <w:rFonts w:hint="eastAsia"/>
                <w:bCs/>
                <w:sz w:val="18"/>
                <w:lang w:val="en-US" w:eastAsia="zh-CN"/>
              </w:rPr>
              <w:t>6</w:t>
            </w:r>
          </w:p>
        </w:tc>
        <w:tc>
          <w:tcPr>
            <w:tcW w:w="1425" w:type="dxa"/>
            <w:tcBorders>
              <w:top w:val="single" w:color="auto" w:sz="4" w:space="0"/>
              <w:left w:val="single" w:color="auto" w:sz="4" w:space="0"/>
              <w:bottom w:val="single" w:color="auto" w:sz="4" w:space="0"/>
              <w:right w:val="single" w:color="auto" w:sz="4" w:space="0"/>
            </w:tcBorders>
          </w:tcPr>
          <w:p w14:paraId="4FC99C22">
            <w:pPr>
              <w:rPr>
                <w:rFonts w:hint="eastAsia" w:ascii="宋体" w:hAnsi="宋体"/>
                <w:bCs/>
                <w:iCs/>
                <w:sz w:val="18"/>
              </w:rPr>
            </w:pPr>
            <w:r>
              <w:rPr>
                <w:rFonts w:hint="eastAsia" w:ascii="宋体" w:hAnsi="宋体"/>
                <w:bCs/>
                <w:iCs/>
                <w:sz w:val="18"/>
              </w:rPr>
              <w:t>债券</w:t>
            </w:r>
            <w:r>
              <w:rPr>
                <w:rFonts w:ascii="宋体" w:hAnsi="宋体"/>
                <w:bCs/>
                <w:iCs/>
                <w:sz w:val="18"/>
              </w:rPr>
              <w:t>业务</w:t>
            </w:r>
            <w:r>
              <w:rPr>
                <w:rFonts w:hint="eastAsia" w:ascii="宋体" w:hAnsi="宋体"/>
                <w:bCs/>
                <w:iCs/>
                <w:sz w:val="18"/>
              </w:rPr>
              <w:t>中心</w:t>
            </w:r>
          </w:p>
        </w:tc>
        <w:tc>
          <w:tcPr>
            <w:tcW w:w="850" w:type="dxa"/>
            <w:tcBorders>
              <w:top w:val="single" w:color="auto" w:sz="4" w:space="0"/>
              <w:left w:val="single" w:color="auto" w:sz="4" w:space="0"/>
              <w:bottom w:val="single" w:color="auto" w:sz="4" w:space="0"/>
              <w:right w:val="single" w:color="auto" w:sz="4" w:space="0"/>
            </w:tcBorders>
          </w:tcPr>
          <w:p w14:paraId="7BBF0571">
            <w:pPr>
              <w:rPr>
                <w:rFonts w:hint="eastAsia" w:ascii="宋体" w:hAnsi="宋体"/>
                <w:bCs/>
                <w:iCs/>
                <w:sz w:val="18"/>
              </w:rPr>
            </w:pPr>
            <w:r>
              <w:rPr>
                <w:rFonts w:hint="eastAsia" w:ascii="宋体" w:hAnsi="宋体"/>
                <w:bCs/>
                <w:iCs/>
                <w:sz w:val="18"/>
              </w:rPr>
              <w:t>修订</w:t>
            </w:r>
          </w:p>
        </w:tc>
        <w:tc>
          <w:tcPr>
            <w:tcW w:w="1276" w:type="dxa"/>
            <w:tcBorders>
              <w:top w:val="single" w:color="auto" w:sz="4" w:space="0"/>
              <w:left w:val="single" w:color="auto" w:sz="4" w:space="0"/>
              <w:bottom w:val="single" w:color="auto" w:sz="4" w:space="0"/>
              <w:right w:val="single" w:color="auto" w:sz="4" w:space="0"/>
            </w:tcBorders>
          </w:tcPr>
          <w:p w14:paraId="7B9C7D71">
            <w:pPr>
              <w:rPr>
                <w:iCs/>
                <w:sz w:val="18"/>
              </w:rPr>
            </w:pPr>
            <w:r>
              <w:rPr>
                <w:iCs/>
                <w:sz w:val="18"/>
              </w:rPr>
              <w:t>202</w:t>
            </w:r>
            <w:r>
              <w:rPr>
                <w:rFonts w:hint="eastAsia"/>
                <w:iCs/>
                <w:sz w:val="18"/>
                <w:lang w:val="en-US" w:eastAsia="zh-CN"/>
              </w:rPr>
              <w:t>5</w:t>
            </w:r>
            <w:r>
              <w:rPr>
                <w:rFonts w:hint="eastAsia"/>
                <w:iCs/>
                <w:sz w:val="18"/>
              </w:rPr>
              <w:t>年</w:t>
            </w:r>
            <w:r>
              <w:rPr>
                <w:rFonts w:hint="eastAsia"/>
                <w:iCs/>
                <w:sz w:val="18"/>
                <w:lang w:val="en-US" w:eastAsia="zh-CN"/>
              </w:rPr>
              <w:t>5</w:t>
            </w:r>
            <w:r>
              <w:rPr>
                <w:rFonts w:hint="eastAsia"/>
                <w:iCs/>
                <w:sz w:val="18"/>
              </w:rPr>
              <w:t>月</w:t>
            </w:r>
          </w:p>
        </w:tc>
        <w:tc>
          <w:tcPr>
            <w:tcW w:w="3765" w:type="dxa"/>
            <w:tcBorders>
              <w:top w:val="single" w:color="auto" w:sz="4" w:space="0"/>
              <w:left w:val="single" w:color="auto" w:sz="4" w:space="0"/>
              <w:bottom w:val="single" w:color="auto" w:sz="4" w:space="0"/>
              <w:right w:val="single" w:color="auto" w:sz="4" w:space="0"/>
            </w:tcBorders>
          </w:tcPr>
          <w:p w14:paraId="6CB4F7D5">
            <w:pPr>
              <w:rPr>
                <w:rFonts w:hint="eastAsia" w:ascii="宋体" w:hAnsi="宋体"/>
                <w:bCs/>
                <w:iCs/>
                <w:sz w:val="18"/>
              </w:rPr>
            </w:pPr>
            <w:r>
              <w:rPr>
                <w:rFonts w:hint="eastAsia" w:ascii="宋体" w:hAnsi="宋体"/>
                <w:bCs/>
                <w:iCs/>
                <w:sz w:val="18"/>
                <w:lang w:eastAsia="zh-CN"/>
              </w:rPr>
              <w:t>调整</w:t>
            </w:r>
            <w:r>
              <w:rPr>
                <w:rFonts w:hint="eastAsia" w:ascii="宋体" w:hAnsi="宋体"/>
                <w:bCs/>
                <w:iCs/>
                <w:sz w:val="18"/>
              </w:rPr>
              <w:t>基准做市品种相关表述（6.3.3做市品种）</w:t>
            </w:r>
          </w:p>
        </w:tc>
      </w:tr>
      <w:tr w14:paraId="01FBD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jc w:val="center"/>
        </w:trPr>
        <w:tc>
          <w:tcPr>
            <w:tcW w:w="896" w:type="dxa"/>
            <w:tcBorders>
              <w:top w:val="single" w:color="auto" w:sz="4" w:space="0"/>
              <w:left w:val="single" w:color="auto" w:sz="4" w:space="0"/>
              <w:bottom w:val="single" w:color="auto" w:sz="4" w:space="0"/>
              <w:right w:val="single" w:color="auto" w:sz="4" w:space="0"/>
            </w:tcBorders>
            <w:shd w:val="clear" w:color="auto" w:fill="auto"/>
            <w:vAlign w:val="top"/>
          </w:tcPr>
          <w:p w14:paraId="30AF0A94">
            <w:pPr>
              <w:rPr>
                <w:rFonts w:hint="eastAsia" w:ascii="Times New Roman" w:hAnsi="Times New Roman" w:eastAsia="宋体" w:cs="Times New Roman"/>
                <w:bCs/>
                <w:kern w:val="2"/>
                <w:sz w:val="18"/>
                <w:szCs w:val="21"/>
                <w:lang w:val="en-US" w:eastAsia="zh-CN" w:bidi="ar-SA"/>
              </w:rPr>
            </w:pPr>
            <w:r>
              <w:rPr>
                <w:bCs/>
                <w:sz w:val="18"/>
              </w:rPr>
              <w:t>V1.</w:t>
            </w:r>
            <w:r>
              <w:rPr>
                <w:rFonts w:hint="eastAsia"/>
                <w:bCs/>
                <w:sz w:val="18"/>
                <w:lang w:val="en-US" w:eastAsia="zh-CN"/>
              </w:rPr>
              <w:t>7</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top"/>
          </w:tcPr>
          <w:p w14:paraId="773022C4">
            <w:pPr>
              <w:rPr>
                <w:rFonts w:hint="eastAsia" w:ascii="宋体" w:hAnsi="宋体" w:eastAsia="宋体" w:cs="Times New Roman"/>
                <w:bCs/>
                <w:iCs/>
                <w:kern w:val="2"/>
                <w:sz w:val="18"/>
                <w:szCs w:val="21"/>
                <w:lang w:val="en-US" w:eastAsia="zh-CN" w:bidi="ar-SA"/>
              </w:rPr>
            </w:pPr>
            <w:r>
              <w:rPr>
                <w:rFonts w:hint="eastAsia" w:ascii="宋体" w:hAnsi="宋体"/>
                <w:bCs/>
                <w:iCs/>
                <w:sz w:val="18"/>
              </w:rPr>
              <w:t>债券</w:t>
            </w:r>
            <w:r>
              <w:rPr>
                <w:rFonts w:ascii="宋体" w:hAnsi="宋体"/>
                <w:bCs/>
                <w:iCs/>
                <w:sz w:val="18"/>
              </w:rPr>
              <w:t>业务</w:t>
            </w:r>
            <w:r>
              <w:rPr>
                <w:rFonts w:hint="eastAsia" w:ascii="宋体" w:hAnsi="宋体"/>
                <w:bCs/>
                <w:iCs/>
                <w:sz w:val="18"/>
              </w:rPr>
              <w:t>中心</w:t>
            </w:r>
          </w:p>
        </w:tc>
        <w:tc>
          <w:tcPr>
            <w:tcW w:w="850" w:type="dxa"/>
            <w:tcBorders>
              <w:top w:val="single" w:color="auto" w:sz="4" w:space="0"/>
              <w:left w:val="single" w:color="auto" w:sz="4" w:space="0"/>
              <w:bottom w:val="single" w:color="auto" w:sz="4" w:space="0"/>
              <w:right w:val="single" w:color="auto" w:sz="4" w:space="0"/>
            </w:tcBorders>
            <w:shd w:val="clear" w:color="auto" w:fill="auto"/>
            <w:vAlign w:val="top"/>
          </w:tcPr>
          <w:p w14:paraId="30C25BDB">
            <w:pPr>
              <w:rPr>
                <w:rFonts w:hint="eastAsia" w:ascii="宋体" w:hAnsi="宋体" w:eastAsia="宋体" w:cs="Times New Roman"/>
                <w:bCs/>
                <w:iCs/>
                <w:kern w:val="2"/>
                <w:sz w:val="18"/>
                <w:szCs w:val="21"/>
                <w:lang w:val="en-US" w:eastAsia="zh-CN" w:bidi="ar-SA"/>
              </w:rPr>
            </w:pPr>
            <w:r>
              <w:rPr>
                <w:rFonts w:hint="eastAsia" w:ascii="宋体" w:hAnsi="宋体"/>
                <w:bCs/>
                <w:iCs/>
                <w:sz w:val="18"/>
              </w:rPr>
              <w:t>修订</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top"/>
          </w:tcPr>
          <w:p w14:paraId="4EAF690A">
            <w:pPr>
              <w:rPr>
                <w:rFonts w:ascii="Times New Roman" w:hAnsi="Times New Roman" w:eastAsia="宋体" w:cs="Times New Roman"/>
                <w:iCs/>
                <w:kern w:val="2"/>
                <w:sz w:val="18"/>
                <w:szCs w:val="21"/>
                <w:lang w:val="en-US" w:eastAsia="zh-CN" w:bidi="ar-SA"/>
              </w:rPr>
            </w:pPr>
            <w:r>
              <w:rPr>
                <w:iCs/>
                <w:sz w:val="18"/>
              </w:rPr>
              <w:t>202</w:t>
            </w:r>
            <w:r>
              <w:rPr>
                <w:rFonts w:hint="eastAsia"/>
                <w:iCs/>
                <w:sz w:val="18"/>
                <w:lang w:val="en-US" w:eastAsia="zh-CN"/>
              </w:rPr>
              <w:t>5</w:t>
            </w:r>
            <w:r>
              <w:rPr>
                <w:rFonts w:hint="eastAsia"/>
                <w:iCs/>
                <w:sz w:val="18"/>
              </w:rPr>
              <w:t>年</w:t>
            </w:r>
            <w:r>
              <w:rPr>
                <w:rFonts w:hint="eastAsia"/>
                <w:iCs/>
                <w:sz w:val="18"/>
                <w:lang w:val="en-US" w:eastAsia="zh-CN"/>
              </w:rPr>
              <w:t>12</w:t>
            </w:r>
            <w:r>
              <w:rPr>
                <w:rFonts w:hint="eastAsia"/>
                <w:iCs/>
                <w:sz w:val="18"/>
              </w:rPr>
              <w:t>月</w:t>
            </w:r>
          </w:p>
        </w:tc>
        <w:tc>
          <w:tcPr>
            <w:tcW w:w="3765" w:type="dxa"/>
            <w:tcBorders>
              <w:top w:val="single" w:color="auto" w:sz="4" w:space="0"/>
              <w:left w:val="single" w:color="auto" w:sz="4" w:space="0"/>
              <w:bottom w:val="single" w:color="auto" w:sz="4" w:space="0"/>
              <w:right w:val="single" w:color="auto" w:sz="4" w:space="0"/>
            </w:tcBorders>
            <w:shd w:val="clear" w:color="auto" w:fill="auto"/>
            <w:vAlign w:val="top"/>
          </w:tcPr>
          <w:p w14:paraId="295433A3">
            <w:pPr>
              <w:rPr>
                <w:rFonts w:hint="eastAsia" w:ascii="宋体" w:hAnsi="宋体"/>
                <w:bCs/>
                <w:iCs/>
                <w:sz w:val="18"/>
                <w:lang w:val="en-US" w:eastAsia="zh-CN"/>
              </w:rPr>
            </w:pPr>
            <w:r>
              <w:rPr>
                <w:rFonts w:hint="eastAsia" w:ascii="宋体" w:hAnsi="宋体"/>
                <w:bCs/>
                <w:iCs/>
                <w:sz w:val="18"/>
                <w:lang w:val="en-US" w:eastAsia="zh-CN"/>
              </w:rPr>
              <w:t>优化交易系统中特定债券要素展示（6.4.4 交易方式）</w:t>
            </w:r>
          </w:p>
          <w:p w14:paraId="437CE708">
            <w:pPr>
              <w:rPr>
                <w:rFonts w:hint="eastAsia" w:ascii="宋体" w:hAnsi="宋体"/>
                <w:bCs/>
                <w:iCs/>
                <w:sz w:val="18"/>
                <w:lang w:val="en-US" w:eastAsia="zh-CN"/>
              </w:rPr>
            </w:pPr>
            <w:r>
              <w:rPr>
                <w:rFonts w:hint="eastAsia" w:ascii="宋体" w:hAnsi="宋体"/>
                <w:bCs/>
                <w:iCs/>
                <w:sz w:val="18"/>
                <w:lang w:val="en-US" w:eastAsia="zh-CN"/>
              </w:rPr>
              <w:t>增加非交易过户业务（9.8 非交易过户）</w:t>
            </w:r>
          </w:p>
          <w:p w14:paraId="01AD36F1">
            <w:pPr>
              <w:rPr>
                <w:rFonts w:hint="eastAsia" w:ascii="宋体" w:hAnsi="宋体" w:eastAsia="宋体" w:cs="Times New Roman"/>
                <w:bCs/>
                <w:iCs/>
                <w:kern w:val="2"/>
                <w:sz w:val="18"/>
                <w:szCs w:val="21"/>
                <w:lang w:val="en-US" w:eastAsia="zh-CN" w:bidi="ar-SA"/>
              </w:rPr>
            </w:pPr>
            <w:r>
              <w:rPr>
                <w:rFonts w:hint="eastAsia" w:ascii="宋体" w:hAnsi="宋体"/>
                <w:bCs/>
                <w:iCs/>
                <w:sz w:val="18"/>
                <w:lang w:val="en-US" w:eastAsia="zh-CN"/>
              </w:rPr>
              <w:t>明确应急成交受理邮箱（12.5应急申报与成交）</w:t>
            </w:r>
          </w:p>
        </w:tc>
      </w:tr>
      <w:tr w14:paraId="59B5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jc w:val="center"/>
        </w:trPr>
        <w:tc>
          <w:tcPr>
            <w:tcW w:w="896" w:type="dxa"/>
            <w:tcBorders>
              <w:top w:val="single" w:color="auto" w:sz="4" w:space="0"/>
              <w:left w:val="single" w:color="auto" w:sz="4" w:space="0"/>
              <w:bottom w:val="single" w:color="auto" w:sz="4" w:space="0"/>
              <w:right w:val="single" w:color="auto" w:sz="4" w:space="0"/>
            </w:tcBorders>
            <w:shd w:val="clear" w:color="auto" w:fill="auto"/>
            <w:vAlign w:val="top"/>
          </w:tcPr>
          <w:p w14:paraId="5C110D86">
            <w:pPr>
              <w:rPr>
                <w:bCs/>
                <w:sz w:val="18"/>
              </w:rPr>
            </w:pPr>
            <w:r>
              <w:rPr>
                <w:bCs/>
                <w:sz w:val="18"/>
              </w:rPr>
              <w:t>V1.</w:t>
            </w:r>
            <w:r>
              <w:rPr>
                <w:rFonts w:hint="eastAsia"/>
                <w:bCs/>
                <w:sz w:val="18"/>
                <w:lang w:val="en-US" w:eastAsia="zh-CN"/>
              </w:rPr>
              <w:t>8</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top"/>
          </w:tcPr>
          <w:p w14:paraId="0A6601DA">
            <w:pPr>
              <w:rPr>
                <w:rFonts w:hint="eastAsia" w:ascii="宋体" w:hAnsi="宋体"/>
                <w:bCs/>
                <w:iCs/>
                <w:sz w:val="18"/>
              </w:rPr>
            </w:pPr>
            <w:r>
              <w:rPr>
                <w:rFonts w:hint="eastAsia" w:ascii="宋体" w:hAnsi="宋体"/>
                <w:bCs/>
                <w:iCs/>
                <w:sz w:val="18"/>
              </w:rPr>
              <w:t>债券</w:t>
            </w:r>
            <w:r>
              <w:rPr>
                <w:rFonts w:ascii="宋体" w:hAnsi="宋体"/>
                <w:bCs/>
                <w:iCs/>
                <w:sz w:val="18"/>
              </w:rPr>
              <w:t>业务</w:t>
            </w:r>
            <w:r>
              <w:rPr>
                <w:rFonts w:hint="eastAsia" w:ascii="宋体" w:hAnsi="宋体"/>
                <w:bCs/>
                <w:iCs/>
                <w:sz w:val="18"/>
              </w:rPr>
              <w:t>中心</w:t>
            </w:r>
          </w:p>
        </w:tc>
        <w:tc>
          <w:tcPr>
            <w:tcW w:w="850" w:type="dxa"/>
            <w:tcBorders>
              <w:top w:val="single" w:color="auto" w:sz="4" w:space="0"/>
              <w:left w:val="single" w:color="auto" w:sz="4" w:space="0"/>
              <w:bottom w:val="single" w:color="auto" w:sz="4" w:space="0"/>
              <w:right w:val="single" w:color="auto" w:sz="4" w:space="0"/>
            </w:tcBorders>
            <w:shd w:val="clear" w:color="auto" w:fill="auto"/>
            <w:vAlign w:val="top"/>
          </w:tcPr>
          <w:p w14:paraId="32EA5B37">
            <w:pPr>
              <w:rPr>
                <w:rFonts w:hint="eastAsia" w:ascii="宋体" w:hAnsi="宋体"/>
                <w:bCs/>
                <w:iCs/>
                <w:sz w:val="18"/>
              </w:rPr>
            </w:pPr>
            <w:r>
              <w:rPr>
                <w:rFonts w:hint="eastAsia" w:ascii="宋体" w:hAnsi="宋体"/>
                <w:bCs/>
                <w:iCs/>
                <w:sz w:val="18"/>
              </w:rPr>
              <w:t>修订</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top"/>
          </w:tcPr>
          <w:p w14:paraId="22B86B71">
            <w:pPr>
              <w:rPr>
                <w:iCs/>
                <w:sz w:val="18"/>
              </w:rPr>
            </w:pPr>
            <w:r>
              <w:rPr>
                <w:iCs/>
                <w:sz w:val="18"/>
              </w:rPr>
              <w:t>202</w:t>
            </w:r>
            <w:r>
              <w:rPr>
                <w:rFonts w:hint="eastAsia"/>
                <w:iCs/>
                <w:sz w:val="18"/>
                <w:lang w:val="en-US" w:eastAsia="zh-CN"/>
              </w:rPr>
              <w:t>6</w:t>
            </w:r>
            <w:r>
              <w:rPr>
                <w:rFonts w:hint="eastAsia"/>
                <w:iCs/>
                <w:sz w:val="18"/>
              </w:rPr>
              <w:t>年</w:t>
            </w:r>
            <w:r>
              <w:rPr>
                <w:rFonts w:hint="eastAsia"/>
                <w:iCs/>
                <w:sz w:val="18"/>
                <w:lang w:val="en-US" w:eastAsia="zh-CN"/>
              </w:rPr>
              <w:t>2</w:t>
            </w:r>
            <w:r>
              <w:rPr>
                <w:rFonts w:hint="eastAsia"/>
                <w:iCs/>
                <w:sz w:val="18"/>
              </w:rPr>
              <w:t>月</w:t>
            </w:r>
          </w:p>
        </w:tc>
        <w:tc>
          <w:tcPr>
            <w:tcW w:w="3765" w:type="dxa"/>
            <w:tcBorders>
              <w:top w:val="single" w:color="auto" w:sz="4" w:space="0"/>
              <w:left w:val="single" w:color="auto" w:sz="4" w:space="0"/>
              <w:bottom w:val="single" w:color="auto" w:sz="4" w:space="0"/>
              <w:right w:val="single" w:color="auto" w:sz="4" w:space="0"/>
            </w:tcBorders>
            <w:shd w:val="clear" w:color="auto" w:fill="auto"/>
            <w:vAlign w:val="top"/>
          </w:tcPr>
          <w:p w14:paraId="10A3B9D9">
            <w:pPr>
              <w:rPr>
                <w:rFonts w:hint="eastAsia" w:ascii="宋体" w:hAnsi="宋体"/>
                <w:bCs/>
                <w:iCs/>
                <w:sz w:val="18"/>
                <w:lang w:val="en-US" w:eastAsia="zh-CN"/>
              </w:rPr>
            </w:pPr>
            <w:r>
              <w:rPr>
                <w:rFonts w:hint="eastAsia" w:ascii="宋体" w:hAnsi="宋体"/>
                <w:bCs/>
                <w:iCs/>
                <w:sz w:val="18"/>
                <w:lang w:eastAsia="zh-CN"/>
              </w:rPr>
              <w:t>调整</w:t>
            </w:r>
            <w:r>
              <w:rPr>
                <w:rFonts w:hint="eastAsia" w:ascii="宋体" w:hAnsi="宋体"/>
                <w:bCs/>
                <w:iCs/>
                <w:sz w:val="18"/>
              </w:rPr>
              <w:t>基准做市品种相关表述（6.3.3做市品种）</w:t>
            </w:r>
          </w:p>
        </w:tc>
      </w:tr>
      <w:tr w14:paraId="6453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jc w:val="center"/>
        </w:trPr>
        <w:tc>
          <w:tcPr>
            <w:tcW w:w="896" w:type="dxa"/>
            <w:tcBorders>
              <w:top w:val="single" w:color="auto" w:sz="4" w:space="0"/>
              <w:left w:val="single" w:color="auto" w:sz="4" w:space="0"/>
              <w:bottom w:val="single" w:color="auto" w:sz="4" w:space="0"/>
              <w:right w:val="single" w:color="auto" w:sz="4" w:space="0"/>
            </w:tcBorders>
            <w:shd w:val="clear" w:color="auto" w:fill="auto"/>
            <w:vAlign w:val="top"/>
          </w:tcPr>
          <w:p w14:paraId="26FAB5A8">
            <w:pPr>
              <w:rPr>
                <w:bCs/>
                <w:sz w:val="18"/>
              </w:rPr>
            </w:pPr>
            <w:r>
              <w:rPr>
                <w:rFonts w:hint="eastAsia"/>
                <w:bCs/>
                <w:sz w:val="18"/>
                <w:lang w:val="en-US" w:eastAsia="zh-CN"/>
              </w:rPr>
              <w:t>V1.9</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top"/>
          </w:tcPr>
          <w:p w14:paraId="03A5FC50">
            <w:pPr>
              <w:rPr>
                <w:rFonts w:hint="eastAsia" w:ascii="宋体" w:hAnsi="宋体"/>
                <w:bCs/>
                <w:iCs/>
                <w:sz w:val="18"/>
              </w:rPr>
            </w:pPr>
            <w:r>
              <w:rPr>
                <w:rFonts w:hint="eastAsia" w:ascii="宋体" w:hAnsi="宋体"/>
                <w:bCs/>
                <w:iCs/>
                <w:sz w:val="18"/>
                <w:lang w:eastAsia="zh-CN"/>
              </w:rPr>
              <w:t>债券业务中心</w:t>
            </w:r>
          </w:p>
        </w:tc>
        <w:tc>
          <w:tcPr>
            <w:tcW w:w="850" w:type="dxa"/>
            <w:tcBorders>
              <w:top w:val="single" w:color="auto" w:sz="4" w:space="0"/>
              <w:left w:val="single" w:color="auto" w:sz="4" w:space="0"/>
              <w:bottom w:val="single" w:color="auto" w:sz="4" w:space="0"/>
              <w:right w:val="single" w:color="auto" w:sz="4" w:space="0"/>
            </w:tcBorders>
            <w:shd w:val="clear" w:color="auto" w:fill="auto"/>
            <w:vAlign w:val="top"/>
          </w:tcPr>
          <w:p w14:paraId="0A0373BE">
            <w:pPr>
              <w:rPr>
                <w:rFonts w:hint="eastAsia" w:ascii="宋体" w:hAnsi="宋体"/>
                <w:bCs/>
                <w:iCs/>
                <w:sz w:val="18"/>
              </w:rPr>
            </w:pPr>
            <w:r>
              <w:rPr>
                <w:rFonts w:hint="eastAsia" w:ascii="宋体" w:hAnsi="宋体"/>
                <w:bCs/>
                <w:iCs/>
                <w:sz w:val="18"/>
                <w:lang w:eastAsia="zh-CN"/>
              </w:rPr>
              <w:t>修订</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top"/>
          </w:tcPr>
          <w:p w14:paraId="1DF7B9BF">
            <w:pPr>
              <w:rPr>
                <w:iCs/>
                <w:sz w:val="18"/>
              </w:rPr>
            </w:pPr>
            <w:r>
              <w:rPr>
                <w:rFonts w:hint="eastAsia"/>
                <w:iCs/>
                <w:sz w:val="18"/>
                <w:lang w:val="en-US" w:eastAsia="zh-CN"/>
              </w:rPr>
              <w:t>2026年5月</w:t>
            </w:r>
          </w:p>
        </w:tc>
        <w:tc>
          <w:tcPr>
            <w:tcW w:w="3765" w:type="dxa"/>
            <w:tcBorders>
              <w:top w:val="single" w:color="auto" w:sz="4" w:space="0"/>
              <w:left w:val="single" w:color="auto" w:sz="4" w:space="0"/>
              <w:bottom w:val="single" w:color="auto" w:sz="4" w:space="0"/>
              <w:right w:val="single" w:color="auto" w:sz="4" w:space="0"/>
            </w:tcBorders>
            <w:shd w:val="clear" w:color="auto" w:fill="auto"/>
            <w:vAlign w:val="top"/>
          </w:tcPr>
          <w:p w14:paraId="068E031D">
            <w:pPr>
              <w:rPr>
                <w:rFonts w:hint="eastAsia" w:ascii="宋体" w:hAnsi="宋体"/>
                <w:bCs/>
                <w:iCs/>
                <w:sz w:val="18"/>
                <w:lang w:val="en-US" w:eastAsia="zh-CN"/>
              </w:rPr>
            </w:pPr>
            <w:r>
              <w:rPr>
                <w:rFonts w:hint="eastAsia" w:ascii="宋体" w:hAnsi="宋体"/>
                <w:bCs/>
                <w:iCs/>
                <w:sz w:val="18"/>
                <w:lang w:val="en-US" w:eastAsia="zh-CN"/>
              </w:rPr>
              <w:t>7.3.5调整协议回购“质押券范围与存续期孳息”内容</w:t>
            </w:r>
          </w:p>
          <w:p w14:paraId="0B4233F6">
            <w:pPr>
              <w:rPr>
                <w:rFonts w:hint="eastAsia" w:ascii="宋体" w:hAnsi="宋体"/>
                <w:bCs/>
                <w:iCs/>
                <w:sz w:val="18"/>
                <w:lang w:eastAsia="zh-CN"/>
              </w:rPr>
            </w:pPr>
            <w:r>
              <w:rPr>
                <w:rFonts w:hint="eastAsia" w:ascii="宋体" w:hAnsi="宋体"/>
                <w:bCs/>
                <w:iCs/>
                <w:sz w:val="18"/>
                <w:lang w:val="en-US" w:eastAsia="zh-CN"/>
              </w:rPr>
              <w:t>7.3.8增加协议回购场外资金结算合规性承诺的相关要求</w:t>
            </w:r>
          </w:p>
        </w:tc>
      </w:tr>
      <w:tr w14:paraId="31306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3" w:type="dxa"/>
          <w:jc w:val="center"/>
        </w:trPr>
        <w:tc>
          <w:tcPr>
            <w:tcW w:w="896" w:type="dxa"/>
            <w:tcBorders>
              <w:top w:val="single" w:color="auto" w:sz="4" w:space="0"/>
              <w:left w:val="single" w:color="auto" w:sz="4" w:space="0"/>
              <w:bottom w:val="single" w:color="auto" w:sz="4" w:space="0"/>
              <w:right w:val="single" w:color="auto" w:sz="4" w:space="0"/>
            </w:tcBorders>
            <w:shd w:val="clear" w:color="auto" w:fill="auto"/>
            <w:vAlign w:val="top"/>
          </w:tcPr>
          <w:p w14:paraId="650271C5">
            <w:pPr>
              <w:rPr>
                <w:rFonts w:hint="default" w:eastAsia="宋体"/>
                <w:bCs/>
                <w:sz w:val="18"/>
                <w:lang w:val="en-US" w:eastAsia="zh-CN"/>
              </w:rPr>
            </w:pPr>
            <w:r>
              <w:rPr>
                <w:rFonts w:hint="eastAsia"/>
                <w:bCs/>
                <w:sz w:val="18"/>
                <w:highlight w:val="none"/>
                <w:lang w:val="en-US" w:eastAsia="zh-CN"/>
              </w:rPr>
              <w:t>V2.0</w:t>
            </w:r>
          </w:p>
        </w:tc>
        <w:tc>
          <w:tcPr>
            <w:tcW w:w="1425" w:type="dxa"/>
            <w:tcBorders>
              <w:top w:val="single" w:color="auto" w:sz="4" w:space="0"/>
              <w:left w:val="single" w:color="auto" w:sz="4" w:space="0"/>
              <w:bottom w:val="single" w:color="auto" w:sz="4" w:space="0"/>
              <w:right w:val="single" w:color="auto" w:sz="4" w:space="0"/>
            </w:tcBorders>
            <w:shd w:val="clear" w:color="auto" w:fill="auto"/>
            <w:vAlign w:val="top"/>
          </w:tcPr>
          <w:p w14:paraId="4B1B6880">
            <w:pPr>
              <w:rPr>
                <w:rFonts w:hint="eastAsia" w:ascii="宋体" w:hAnsi="宋体"/>
                <w:bCs/>
                <w:iCs/>
                <w:sz w:val="18"/>
              </w:rPr>
            </w:pPr>
            <w:r>
              <w:rPr>
                <w:rFonts w:hint="eastAsia" w:ascii="宋体" w:hAnsi="宋体"/>
                <w:bCs/>
                <w:iCs/>
                <w:sz w:val="18"/>
              </w:rPr>
              <w:t>债券</w:t>
            </w:r>
            <w:r>
              <w:rPr>
                <w:rFonts w:ascii="宋体" w:hAnsi="宋体"/>
                <w:bCs/>
                <w:iCs/>
                <w:sz w:val="18"/>
              </w:rPr>
              <w:t>业务</w:t>
            </w:r>
            <w:r>
              <w:rPr>
                <w:rFonts w:hint="eastAsia" w:ascii="宋体" w:hAnsi="宋体"/>
                <w:bCs/>
                <w:iCs/>
                <w:sz w:val="18"/>
              </w:rPr>
              <w:t>中心</w:t>
            </w:r>
          </w:p>
        </w:tc>
        <w:tc>
          <w:tcPr>
            <w:tcW w:w="850" w:type="dxa"/>
            <w:tcBorders>
              <w:top w:val="single" w:color="auto" w:sz="4" w:space="0"/>
              <w:left w:val="single" w:color="auto" w:sz="4" w:space="0"/>
              <w:bottom w:val="single" w:color="auto" w:sz="4" w:space="0"/>
              <w:right w:val="single" w:color="auto" w:sz="4" w:space="0"/>
            </w:tcBorders>
            <w:shd w:val="clear" w:color="auto" w:fill="auto"/>
            <w:vAlign w:val="top"/>
          </w:tcPr>
          <w:p w14:paraId="2B69E63D">
            <w:pPr>
              <w:rPr>
                <w:rFonts w:hint="eastAsia" w:ascii="宋体" w:hAnsi="宋体"/>
                <w:bCs/>
                <w:iCs/>
                <w:sz w:val="18"/>
              </w:rPr>
            </w:pPr>
            <w:r>
              <w:rPr>
                <w:rFonts w:hint="eastAsia" w:ascii="宋体" w:hAnsi="宋体"/>
                <w:bCs/>
                <w:iCs/>
                <w:sz w:val="18"/>
              </w:rPr>
              <w:t>修订</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top"/>
          </w:tcPr>
          <w:p w14:paraId="1A5EA80D">
            <w:pPr>
              <w:rPr>
                <w:iCs/>
                <w:sz w:val="18"/>
              </w:rPr>
            </w:pPr>
            <w:r>
              <w:rPr>
                <w:iCs/>
                <w:sz w:val="18"/>
              </w:rPr>
              <w:t>202</w:t>
            </w:r>
            <w:r>
              <w:rPr>
                <w:rFonts w:hint="eastAsia"/>
                <w:iCs/>
                <w:sz w:val="18"/>
                <w:lang w:val="en-US" w:eastAsia="zh-CN"/>
              </w:rPr>
              <w:t>6</w:t>
            </w:r>
            <w:r>
              <w:rPr>
                <w:rFonts w:hint="eastAsia"/>
                <w:iCs/>
                <w:sz w:val="18"/>
              </w:rPr>
              <w:t>年</w:t>
            </w:r>
            <w:r>
              <w:rPr>
                <w:rFonts w:hint="eastAsia"/>
                <w:iCs/>
                <w:sz w:val="18"/>
                <w:lang w:val="en-US" w:eastAsia="zh-CN"/>
              </w:rPr>
              <w:t>8</w:t>
            </w:r>
            <w:r>
              <w:rPr>
                <w:rFonts w:hint="eastAsia"/>
                <w:iCs/>
                <w:sz w:val="18"/>
              </w:rPr>
              <w:t>月</w:t>
            </w:r>
          </w:p>
        </w:tc>
        <w:tc>
          <w:tcPr>
            <w:tcW w:w="3765" w:type="dxa"/>
            <w:tcBorders>
              <w:top w:val="single" w:color="auto" w:sz="4" w:space="0"/>
              <w:left w:val="single" w:color="auto" w:sz="4" w:space="0"/>
              <w:bottom w:val="single" w:color="auto" w:sz="4" w:space="0"/>
              <w:right w:val="single" w:color="auto" w:sz="4" w:space="0"/>
            </w:tcBorders>
            <w:shd w:val="clear" w:color="auto" w:fill="auto"/>
            <w:vAlign w:val="top"/>
          </w:tcPr>
          <w:p w14:paraId="353B3747">
            <w:pPr>
              <w:rPr>
                <w:rFonts w:hint="eastAsia" w:ascii="宋体" w:hAnsi="宋体"/>
                <w:bCs/>
                <w:iCs/>
                <w:sz w:val="18"/>
                <w:highlight w:val="none"/>
                <w:lang w:eastAsia="zh-CN"/>
              </w:rPr>
            </w:pPr>
            <w:r>
              <w:rPr>
                <w:rFonts w:hint="eastAsia" w:ascii="宋体" w:hAnsi="宋体"/>
                <w:bCs/>
                <w:iCs/>
                <w:sz w:val="18"/>
                <w:highlight w:val="none"/>
                <w:lang w:val="en-US" w:eastAsia="zh-CN"/>
              </w:rPr>
              <w:t>1.</w:t>
            </w:r>
            <w:r>
              <w:rPr>
                <w:rFonts w:hint="eastAsia" w:ascii="宋体" w:hAnsi="宋体"/>
                <w:bCs/>
                <w:iCs/>
                <w:sz w:val="18"/>
                <w:highlight w:val="none"/>
                <w:lang w:eastAsia="zh-CN"/>
              </w:rPr>
              <w:t>根据新固定收益系统切换上线适应性调整，主要修订内容包括：</w:t>
            </w:r>
          </w:p>
          <w:p w14:paraId="36872178">
            <w:pPr>
              <w:rPr>
                <w:rFonts w:hint="eastAsia" w:ascii="宋体" w:hAnsi="宋体"/>
                <w:bCs/>
                <w:iCs/>
                <w:sz w:val="18"/>
                <w:highlight w:val="none"/>
                <w:lang w:eastAsia="zh-CN"/>
              </w:rPr>
            </w:pPr>
            <w:r>
              <w:rPr>
                <w:rFonts w:hint="eastAsia" w:ascii="宋体" w:hAnsi="宋体"/>
                <w:bCs/>
                <w:iCs/>
                <w:sz w:val="18"/>
                <w:highlight w:val="none"/>
                <w:lang w:val="en-US" w:eastAsia="zh-CN"/>
              </w:rPr>
              <w:t>（1）</w:t>
            </w:r>
            <w:r>
              <w:rPr>
                <w:rFonts w:hint="eastAsia" w:ascii="宋体" w:hAnsi="宋体"/>
                <w:bCs/>
                <w:iCs/>
                <w:sz w:val="18"/>
                <w:highlight w:val="none"/>
                <w:lang w:eastAsia="zh-CN"/>
              </w:rPr>
              <w:t>债券交易参与人申请方式及系统接入调整（</w:t>
            </w:r>
            <w:r>
              <w:rPr>
                <w:rFonts w:hint="eastAsia" w:ascii="宋体" w:hAnsi="宋体"/>
                <w:bCs/>
                <w:iCs/>
                <w:sz w:val="18"/>
                <w:highlight w:val="none"/>
                <w:lang w:val="en-US" w:eastAsia="zh-CN"/>
              </w:rPr>
              <w:t>2.1债券交易参与人、2.3系统接入前准备</w:t>
            </w:r>
            <w:r>
              <w:rPr>
                <w:rFonts w:hint="eastAsia" w:ascii="宋体" w:hAnsi="宋体"/>
                <w:bCs/>
                <w:iCs/>
                <w:sz w:val="18"/>
                <w:highlight w:val="none"/>
                <w:lang w:eastAsia="zh-CN"/>
              </w:rPr>
              <w:t>）</w:t>
            </w:r>
          </w:p>
          <w:p w14:paraId="3544AF19">
            <w:pPr>
              <w:rPr>
                <w:rFonts w:hint="eastAsia" w:ascii="宋体" w:hAnsi="宋体"/>
                <w:bCs/>
                <w:iCs/>
                <w:sz w:val="18"/>
                <w:highlight w:val="none"/>
                <w:lang w:val="en-US" w:eastAsia="zh-CN"/>
              </w:rPr>
            </w:pPr>
            <w:r>
              <w:rPr>
                <w:rFonts w:hint="eastAsia" w:ascii="宋体" w:hAnsi="宋体"/>
                <w:bCs/>
                <w:iCs/>
                <w:sz w:val="18"/>
                <w:highlight w:val="none"/>
                <w:lang w:val="en-US" w:eastAsia="zh-CN"/>
              </w:rPr>
              <w:t>（2）交易要素调整（债券交易方式中5.2-5.6；回购交易中7.2-7.4）</w:t>
            </w:r>
          </w:p>
          <w:p w14:paraId="70BDA297">
            <w:pPr>
              <w:rPr>
                <w:rFonts w:hint="eastAsia" w:ascii="宋体" w:hAnsi="宋体"/>
                <w:bCs/>
                <w:iCs/>
                <w:sz w:val="18"/>
                <w:highlight w:val="none"/>
                <w:lang w:val="en-US" w:eastAsia="zh-CN"/>
              </w:rPr>
            </w:pPr>
            <w:r>
              <w:rPr>
                <w:rFonts w:hint="eastAsia" w:ascii="宋体" w:hAnsi="宋体"/>
                <w:bCs/>
                <w:iCs/>
                <w:sz w:val="18"/>
                <w:highlight w:val="none"/>
                <w:lang w:val="en-US" w:eastAsia="zh-CN"/>
              </w:rPr>
              <w:t>（3）非交易业务申报要素调整（非交易类服务中9.2-9.7）</w:t>
            </w:r>
          </w:p>
          <w:p w14:paraId="728F073C">
            <w:pPr>
              <w:rPr>
                <w:rFonts w:hint="eastAsia" w:ascii="宋体" w:hAnsi="宋体"/>
                <w:bCs/>
                <w:iCs/>
                <w:sz w:val="18"/>
                <w:highlight w:val="none"/>
                <w:lang w:val="en-US" w:eastAsia="zh-CN"/>
              </w:rPr>
            </w:pPr>
            <w:r>
              <w:rPr>
                <w:rFonts w:hint="eastAsia" w:ascii="宋体" w:hAnsi="宋体"/>
                <w:bCs/>
                <w:iCs/>
                <w:sz w:val="18"/>
                <w:highlight w:val="none"/>
                <w:lang w:val="en-US" w:eastAsia="zh-CN"/>
              </w:rPr>
              <w:t>（4）行情发送要素调整（债券行情展示中10.2-10.4）</w:t>
            </w:r>
          </w:p>
          <w:p w14:paraId="6E5ED6CD">
            <w:pPr>
              <w:rPr>
                <w:rFonts w:hint="eastAsia" w:ascii="宋体" w:hAnsi="宋体"/>
                <w:bCs/>
                <w:iCs/>
                <w:sz w:val="18"/>
                <w:highlight w:val="none"/>
                <w:lang w:val="en-US" w:eastAsia="zh-CN"/>
              </w:rPr>
            </w:pPr>
            <w:r>
              <w:rPr>
                <w:rFonts w:hint="eastAsia" w:ascii="宋体" w:hAnsi="宋体"/>
                <w:bCs/>
                <w:iCs/>
                <w:sz w:val="18"/>
                <w:highlight w:val="none"/>
                <w:lang w:val="en-US" w:eastAsia="zh-CN"/>
              </w:rPr>
              <w:t>2.新增做市债券划转服务（6.3.4做市业务）</w:t>
            </w:r>
          </w:p>
          <w:p w14:paraId="6C4E1461">
            <w:pPr>
              <w:rPr>
                <w:rFonts w:hint="default" w:ascii="宋体" w:hAnsi="宋体"/>
                <w:bCs/>
                <w:iCs/>
                <w:sz w:val="18"/>
                <w:highlight w:val="yellow"/>
                <w:lang w:val="en-US" w:eastAsia="zh-CN"/>
              </w:rPr>
            </w:pPr>
            <w:r>
              <w:rPr>
                <w:rFonts w:hint="eastAsia" w:ascii="宋体" w:hAnsi="宋体"/>
                <w:bCs/>
                <w:iCs/>
                <w:sz w:val="18"/>
                <w:highlight w:val="none"/>
                <w:lang w:val="en-US" w:eastAsia="zh-CN"/>
              </w:rPr>
              <w:t>3.补充协议回购/三方回购担保品处置过户相关内容（7.3.8违约处置）</w:t>
            </w:r>
          </w:p>
        </w:tc>
      </w:tr>
    </w:tbl>
    <w:p w14:paraId="643A0EAF">
      <w:pPr>
        <w:jc w:val="center"/>
        <w:rPr>
          <w:rFonts w:ascii="仿宋_GB2312" w:eastAsia="仿宋_GB2312"/>
          <w:b/>
          <w:sz w:val="30"/>
          <w:szCs w:val="30"/>
        </w:rPr>
      </w:pPr>
    </w:p>
    <w:p w14:paraId="61C3E034">
      <w:pPr>
        <w:widowControl/>
        <w:jc w:val="left"/>
        <w:rPr>
          <w:rFonts w:ascii="仿宋_GB2312" w:eastAsia="仿宋_GB2312"/>
          <w:b/>
          <w:sz w:val="30"/>
          <w:szCs w:val="30"/>
        </w:rPr>
      </w:pPr>
      <w:r>
        <w:rPr>
          <w:rFonts w:ascii="仿宋_GB2312" w:eastAsia="仿宋_GB2312"/>
          <w:b/>
          <w:sz w:val="30"/>
          <w:szCs w:val="30"/>
        </w:rPr>
        <w:br w:type="page"/>
      </w:r>
    </w:p>
    <w:p w14:paraId="78548613">
      <w:pPr>
        <w:jc w:val="center"/>
        <w:rPr>
          <w:rFonts w:ascii="黑体" w:hAnsi="黑体"/>
          <w:b/>
          <w:sz w:val="30"/>
          <w:szCs w:val="30"/>
        </w:rPr>
      </w:pPr>
      <w:r>
        <w:rPr>
          <w:rFonts w:hint="eastAsia" w:ascii="黑体" w:hAnsi="黑体"/>
          <w:b/>
          <w:sz w:val="30"/>
          <w:szCs w:val="30"/>
        </w:rPr>
        <w:t>目录</w:t>
      </w:r>
    </w:p>
    <w:p w14:paraId="75A642CD">
      <w:pPr>
        <w:pStyle w:val="30"/>
        <w:tabs>
          <w:tab w:val="right" w:leader="dot" w:pos="8306"/>
        </w:tabs>
      </w:pPr>
      <w:r>
        <w:rPr>
          <w:rFonts w:ascii="黑体" w:hAnsi="黑体"/>
          <w:b w:val="0"/>
          <w:sz w:val="30"/>
          <w:szCs w:val="30"/>
        </w:rPr>
        <w:fldChar w:fldCharType="begin"/>
      </w:r>
      <w:r>
        <w:rPr>
          <w:rFonts w:ascii="黑体" w:hAnsi="黑体"/>
          <w:b w:val="0"/>
          <w:sz w:val="30"/>
          <w:szCs w:val="30"/>
        </w:rPr>
        <w:instrText xml:space="preserve"> TOC \o "1-2" \h \z \u </w:instrText>
      </w:r>
      <w:r>
        <w:rPr>
          <w:rFonts w:ascii="黑体" w:hAnsi="黑体"/>
          <w:b w:val="0"/>
          <w:sz w:val="30"/>
          <w:szCs w:val="30"/>
        </w:rPr>
        <w:fldChar w:fldCharType="separate"/>
      </w:r>
      <w:r>
        <w:rPr>
          <w:rFonts w:ascii="黑体" w:hAnsi="黑体"/>
          <w:szCs w:val="30"/>
        </w:rPr>
        <w:fldChar w:fldCharType="begin"/>
      </w:r>
      <w:r>
        <w:rPr>
          <w:rFonts w:ascii="黑体" w:hAnsi="黑体"/>
          <w:szCs w:val="30"/>
        </w:rPr>
        <w:instrText xml:space="preserve"> HYPERLINK \l _Toc1412874187 </w:instrText>
      </w:r>
      <w:r>
        <w:rPr>
          <w:rFonts w:ascii="黑体" w:hAnsi="黑体"/>
          <w:szCs w:val="30"/>
        </w:rPr>
        <w:fldChar w:fldCharType="separate"/>
      </w:r>
      <w:r>
        <w:rPr>
          <w:rFonts w:hint="eastAsia"/>
          <w:szCs w:val="32"/>
        </w:rPr>
        <w:t>版本说明</w:t>
      </w:r>
      <w:r>
        <w:tab/>
      </w:r>
      <w:r>
        <w:fldChar w:fldCharType="begin"/>
      </w:r>
      <w:r>
        <w:instrText xml:space="preserve"> PAGEREF _Toc1412874187 \h </w:instrText>
      </w:r>
      <w:r>
        <w:fldChar w:fldCharType="separate"/>
      </w:r>
      <w:r>
        <w:t>2</w:t>
      </w:r>
      <w:r>
        <w:fldChar w:fldCharType="end"/>
      </w:r>
      <w:r>
        <w:rPr>
          <w:rFonts w:ascii="黑体" w:hAnsi="黑体"/>
          <w:szCs w:val="30"/>
        </w:rPr>
        <w:fldChar w:fldCharType="end"/>
      </w:r>
    </w:p>
    <w:p w14:paraId="4343CF4B">
      <w:pPr>
        <w:pStyle w:val="30"/>
        <w:tabs>
          <w:tab w:val="right" w:leader="dot" w:pos="8306"/>
        </w:tabs>
      </w:pPr>
      <w:r>
        <w:rPr>
          <w:rFonts w:ascii="黑体" w:hAnsi="黑体"/>
          <w:szCs w:val="30"/>
        </w:rPr>
        <w:fldChar w:fldCharType="begin"/>
      </w:r>
      <w:r>
        <w:rPr>
          <w:rFonts w:ascii="黑体" w:hAnsi="黑体"/>
          <w:szCs w:val="30"/>
        </w:rPr>
        <w:instrText xml:space="preserve"> HYPERLINK \l _Toc823606805 </w:instrText>
      </w:r>
      <w:r>
        <w:rPr>
          <w:rFonts w:ascii="黑体" w:hAnsi="黑体"/>
          <w:szCs w:val="30"/>
        </w:rPr>
        <w:fldChar w:fldCharType="separate"/>
      </w:r>
      <w:r>
        <w:rPr>
          <w:rFonts w:hint="eastAsia" w:ascii="黑体" w:hAnsi="黑体" w:eastAsia="黑体" w:cs="黑体"/>
          <w:bCs/>
        </w:rPr>
        <w:t>引言</w:t>
      </w:r>
      <w:r>
        <w:tab/>
      </w:r>
      <w:r>
        <w:fldChar w:fldCharType="begin"/>
      </w:r>
      <w:r>
        <w:instrText xml:space="preserve"> PAGEREF _Toc823606805 \h </w:instrText>
      </w:r>
      <w:r>
        <w:fldChar w:fldCharType="separate"/>
      </w:r>
      <w:r>
        <w:t>9</w:t>
      </w:r>
      <w:r>
        <w:fldChar w:fldCharType="end"/>
      </w:r>
      <w:r>
        <w:rPr>
          <w:rFonts w:ascii="黑体" w:hAnsi="黑体"/>
          <w:szCs w:val="30"/>
        </w:rPr>
        <w:fldChar w:fldCharType="end"/>
      </w:r>
    </w:p>
    <w:p w14:paraId="580C5304">
      <w:pPr>
        <w:pStyle w:val="30"/>
        <w:tabs>
          <w:tab w:val="right" w:leader="dot" w:pos="8306"/>
        </w:tabs>
      </w:pPr>
      <w:r>
        <w:rPr>
          <w:rFonts w:ascii="黑体" w:hAnsi="黑体"/>
          <w:szCs w:val="30"/>
        </w:rPr>
        <w:fldChar w:fldCharType="begin"/>
      </w:r>
      <w:r>
        <w:rPr>
          <w:rFonts w:ascii="黑体" w:hAnsi="黑体"/>
          <w:szCs w:val="30"/>
        </w:rPr>
        <w:instrText xml:space="preserve"> HYPERLINK \l _Toc1618808536 </w:instrText>
      </w:r>
      <w:r>
        <w:rPr>
          <w:rFonts w:ascii="黑体" w:hAnsi="黑体"/>
          <w:szCs w:val="30"/>
        </w:rPr>
        <w:fldChar w:fldCharType="separate"/>
      </w:r>
      <w:r>
        <w:rPr>
          <w:rFonts w:hint="eastAsia" w:ascii="黑体" w:hAnsi="黑体" w:eastAsia="黑体" w:cs="黑体"/>
          <w:szCs w:val="36"/>
        </w:rPr>
        <w:t xml:space="preserve">1. </w:t>
      </w:r>
      <w:r>
        <w:rPr>
          <w:rFonts w:hint="eastAsia" w:ascii="黑体" w:hAnsi="黑体" w:eastAsia="黑体" w:cs="黑体"/>
        </w:rPr>
        <w:t>上交所债券交易市场总体介绍</w:t>
      </w:r>
      <w:r>
        <w:tab/>
      </w:r>
      <w:r>
        <w:fldChar w:fldCharType="begin"/>
      </w:r>
      <w:r>
        <w:instrText xml:space="preserve"> PAGEREF _Toc1618808536 \h </w:instrText>
      </w:r>
      <w:r>
        <w:fldChar w:fldCharType="separate"/>
      </w:r>
      <w:r>
        <w:t>10</w:t>
      </w:r>
      <w:r>
        <w:fldChar w:fldCharType="end"/>
      </w:r>
      <w:r>
        <w:rPr>
          <w:rFonts w:ascii="黑体" w:hAnsi="黑体"/>
          <w:szCs w:val="30"/>
        </w:rPr>
        <w:fldChar w:fldCharType="end"/>
      </w:r>
    </w:p>
    <w:p w14:paraId="641C4E3A">
      <w:pPr>
        <w:pStyle w:val="36"/>
        <w:tabs>
          <w:tab w:val="right" w:leader="dot" w:pos="8306"/>
        </w:tabs>
      </w:pPr>
      <w:r>
        <w:rPr>
          <w:rFonts w:ascii="黑体" w:hAnsi="黑体"/>
          <w:szCs w:val="30"/>
        </w:rPr>
        <w:fldChar w:fldCharType="begin"/>
      </w:r>
      <w:r>
        <w:rPr>
          <w:rFonts w:ascii="黑体" w:hAnsi="黑体"/>
          <w:szCs w:val="30"/>
        </w:rPr>
        <w:instrText xml:space="preserve"> HYPERLINK \l _Toc370996754 </w:instrText>
      </w:r>
      <w:r>
        <w:rPr>
          <w:rFonts w:ascii="黑体" w:hAnsi="黑体"/>
          <w:szCs w:val="30"/>
        </w:rPr>
        <w:fldChar w:fldCharType="separate"/>
      </w:r>
      <w:r>
        <w:rPr>
          <w:rFonts w:hint="eastAsia" w:ascii="仿宋_GB2312" w:eastAsia="仿宋_GB2312"/>
          <w:szCs w:val="30"/>
        </w:rPr>
        <w:t>1.1. 概况</w:t>
      </w:r>
      <w:r>
        <w:tab/>
      </w:r>
      <w:r>
        <w:fldChar w:fldCharType="begin"/>
      </w:r>
      <w:r>
        <w:instrText xml:space="preserve"> PAGEREF _Toc370996754 \h </w:instrText>
      </w:r>
      <w:r>
        <w:fldChar w:fldCharType="separate"/>
      </w:r>
      <w:r>
        <w:t>10</w:t>
      </w:r>
      <w:r>
        <w:fldChar w:fldCharType="end"/>
      </w:r>
      <w:r>
        <w:rPr>
          <w:rFonts w:ascii="黑体" w:hAnsi="黑体"/>
          <w:szCs w:val="30"/>
        </w:rPr>
        <w:fldChar w:fldCharType="end"/>
      </w:r>
    </w:p>
    <w:p w14:paraId="5B4A0206">
      <w:pPr>
        <w:pStyle w:val="36"/>
        <w:tabs>
          <w:tab w:val="right" w:leader="dot" w:pos="8306"/>
        </w:tabs>
      </w:pPr>
      <w:r>
        <w:rPr>
          <w:rFonts w:ascii="黑体" w:hAnsi="黑体"/>
          <w:szCs w:val="30"/>
        </w:rPr>
        <w:fldChar w:fldCharType="begin"/>
      </w:r>
      <w:r>
        <w:rPr>
          <w:rFonts w:ascii="黑体" w:hAnsi="黑体"/>
          <w:szCs w:val="30"/>
        </w:rPr>
        <w:instrText xml:space="preserve"> HYPERLINK \l _Toc203503627 </w:instrText>
      </w:r>
      <w:r>
        <w:rPr>
          <w:rFonts w:ascii="黑体" w:hAnsi="黑体"/>
          <w:szCs w:val="30"/>
        </w:rPr>
        <w:fldChar w:fldCharType="separate"/>
      </w:r>
      <w:r>
        <w:rPr>
          <w:rFonts w:hint="eastAsia" w:ascii="仿宋_GB2312" w:eastAsia="仿宋_GB2312"/>
          <w:szCs w:val="30"/>
        </w:rPr>
        <w:t>1.2. 债券交易业务</w:t>
      </w:r>
      <w:r>
        <w:tab/>
      </w:r>
      <w:r>
        <w:fldChar w:fldCharType="begin"/>
      </w:r>
      <w:r>
        <w:instrText xml:space="preserve"> PAGEREF _Toc203503627 \h </w:instrText>
      </w:r>
      <w:r>
        <w:fldChar w:fldCharType="separate"/>
      </w:r>
      <w:r>
        <w:t>11</w:t>
      </w:r>
      <w:r>
        <w:fldChar w:fldCharType="end"/>
      </w:r>
      <w:r>
        <w:rPr>
          <w:rFonts w:ascii="黑体" w:hAnsi="黑体"/>
          <w:szCs w:val="30"/>
        </w:rPr>
        <w:fldChar w:fldCharType="end"/>
      </w:r>
    </w:p>
    <w:p w14:paraId="779FD9FE">
      <w:pPr>
        <w:pStyle w:val="36"/>
        <w:tabs>
          <w:tab w:val="right" w:leader="dot" w:pos="8306"/>
        </w:tabs>
      </w:pPr>
      <w:r>
        <w:rPr>
          <w:rFonts w:ascii="黑体" w:hAnsi="黑体"/>
          <w:szCs w:val="30"/>
        </w:rPr>
        <w:fldChar w:fldCharType="begin"/>
      </w:r>
      <w:r>
        <w:rPr>
          <w:rFonts w:ascii="黑体" w:hAnsi="黑体"/>
          <w:szCs w:val="30"/>
        </w:rPr>
        <w:instrText xml:space="preserve"> HYPERLINK \l _Toc1017076540 </w:instrText>
      </w:r>
      <w:r>
        <w:rPr>
          <w:rFonts w:ascii="黑体" w:hAnsi="黑体"/>
          <w:szCs w:val="30"/>
        </w:rPr>
        <w:fldChar w:fldCharType="separate"/>
      </w:r>
      <w:r>
        <w:rPr>
          <w:rFonts w:hint="eastAsia" w:ascii="仿宋_GB2312" w:eastAsia="仿宋_GB2312"/>
          <w:szCs w:val="30"/>
        </w:rPr>
        <w:t>1.3. 债券投资者</w:t>
      </w:r>
      <w:r>
        <w:tab/>
      </w:r>
      <w:r>
        <w:fldChar w:fldCharType="begin"/>
      </w:r>
      <w:r>
        <w:instrText xml:space="preserve"> PAGEREF _Toc1017076540 \h </w:instrText>
      </w:r>
      <w:r>
        <w:fldChar w:fldCharType="separate"/>
      </w:r>
      <w:r>
        <w:t>13</w:t>
      </w:r>
      <w:r>
        <w:fldChar w:fldCharType="end"/>
      </w:r>
      <w:r>
        <w:rPr>
          <w:rFonts w:ascii="黑体" w:hAnsi="黑体"/>
          <w:szCs w:val="30"/>
        </w:rPr>
        <w:fldChar w:fldCharType="end"/>
      </w:r>
    </w:p>
    <w:p w14:paraId="569BC9A2">
      <w:pPr>
        <w:pStyle w:val="36"/>
        <w:tabs>
          <w:tab w:val="right" w:leader="dot" w:pos="8306"/>
        </w:tabs>
      </w:pPr>
      <w:r>
        <w:rPr>
          <w:rFonts w:ascii="黑体" w:hAnsi="黑体"/>
          <w:szCs w:val="30"/>
        </w:rPr>
        <w:fldChar w:fldCharType="begin"/>
      </w:r>
      <w:r>
        <w:rPr>
          <w:rFonts w:ascii="黑体" w:hAnsi="黑体"/>
          <w:szCs w:val="30"/>
        </w:rPr>
        <w:instrText xml:space="preserve"> HYPERLINK \l _Toc1696197901 </w:instrText>
      </w:r>
      <w:r>
        <w:rPr>
          <w:rFonts w:ascii="黑体" w:hAnsi="黑体"/>
          <w:szCs w:val="30"/>
        </w:rPr>
        <w:fldChar w:fldCharType="separate"/>
      </w:r>
      <w:r>
        <w:rPr>
          <w:rFonts w:hint="eastAsia" w:ascii="仿宋_GB2312" w:eastAsia="仿宋_GB2312"/>
          <w:szCs w:val="30"/>
        </w:rPr>
        <w:t>1.4. 参与方式</w:t>
      </w:r>
      <w:r>
        <w:tab/>
      </w:r>
      <w:r>
        <w:fldChar w:fldCharType="begin"/>
      </w:r>
      <w:r>
        <w:instrText xml:space="preserve"> PAGEREF _Toc1696197901 \h </w:instrText>
      </w:r>
      <w:r>
        <w:fldChar w:fldCharType="separate"/>
      </w:r>
      <w:r>
        <w:t>13</w:t>
      </w:r>
      <w:r>
        <w:fldChar w:fldCharType="end"/>
      </w:r>
      <w:r>
        <w:rPr>
          <w:rFonts w:ascii="黑体" w:hAnsi="黑体"/>
          <w:szCs w:val="30"/>
        </w:rPr>
        <w:fldChar w:fldCharType="end"/>
      </w:r>
    </w:p>
    <w:p w14:paraId="412B8807">
      <w:pPr>
        <w:pStyle w:val="30"/>
        <w:tabs>
          <w:tab w:val="right" w:leader="dot" w:pos="8306"/>
        </w:tabs>
      </w:pPr>
      <w:r>
        <w:rPr>
          <w:rFonts w:ascii="黑体" w:hAnsi="黑体"/>
          <w:szCs w:val="30"/>
        </w:rPr>
        <w:fldChar w:fldCharType="begin"/>
      </w:r>
      <w:r>
        <w:rPr>
          <w:rFonts w:ascii="黑体" w:hAnsi="黑体"/>
          <w:szCs w:val="30"/>
        </w:rPr>
        <w:instrText xml:space="preserve"> HYPERLINK \l _Toc705174540 </w:instrText>
      </w:r>
      <w:r>
        <w:rPr>
          <w:rFonts w:ascii="黑体" w:hAnsi="黑体"/>
          <w:szCs w:val="30"/>
        </w:rPr>
        <w:fldChar w:fldCharType="separate"/>
      </w:r>
      <w:r>
        <w:rPr>
          <w:rFonts w:hint="eastAsia" w:ascii="黑体" w:hAnsi="黑体" w:eastAsia="黑体"/>
          <w:szCs w:val="36"/>
        </w:rPr>
        <w:t xml:space="preserve">2. </w:t>
      </w:r>
      <w:r>
        <w:rPr>
          <w:rFonts w:hint="eastAsia" w:ascii="黑体" w:hAnsi="黑体" w:eastAsia="黑体" w:cs="黑体"/>
        </w:rPr>
        <w:t>债券交易参与人</w:t>
      </w:r>
      <w:r>
        <w:tab/>
      </w:r>
      <w:r>
        <w:fldChar w:fldCharType="begin"/>
      </w:r>
      <w:r>
        <w:instrText xml:space="preserve"> PAGEREF _Toc705174540 \h </w:instrText>
      </w:r>
      <w:r>
        <w:fldChar w:fldCharType="separate"/>
      </w:r>
      <w:r>
        <w:t>17</w:t>
      </w:r>
      <w:r>
        <w:fldChar w:fldCharType="end"/>
      </w:r>
      <w:r>
        <w:rPr>
          <w:rFonts w:ascii="黑体" w:hAnsi="黑体"/>
          <w:szCs w:val="30"/>
        </w:rPr>
        <w:fldChar w:fldCharType="end"/>
      </w:r>
    </w:p>
    <w:p w14:paraId="7146DBF0">
      <w:pPr>
        <w:pStyle w:val="36"/>
        <w:tabs>
          <w:tab w:val="right" w:leader="dot" w:pos="8306"/>
        </w:tabs>
      </w:pPr>
      <w:r>
        <w:rPr>
          <w:rFonts w:ascii="黑体" w:hAnsi="黑体"/>
          <w:szCs w:val="30"/>
        </w:rPr>
        <w:fldChar w:fldCharType="begin"/>
      </w:r>
      <w:r>
        <w:rPr>
          <w:rFonts w:ascii="黑体" w:hAnsi="黑体"/>
          <w:szCs w:val="30"/>
        </w:rPr>
        <w:instrText xml:space="preserve"> HYPERLINK \l _Toc2109936625 </w:instrText>
      </w:r>
      <w:r>
        <w:rPr>
          <w:rFonts w:ascii="黑体" w:hAnsi="黑体"/>
          <w:szCs w:val="30"/>
        </w:rPr>
        <w:fldChar w:fldCharType="separate"/>
      </w:r>
      <w:r>
        <w:rPr>
          <w:rFonts w:hint="eastAsia" w:ascii="仿宋_GB2312" w:eastAsia="仿宋_GB2312"/>
          <w:szCs w:val="30"/>
        </w:rPr>
        <w:t xml:space="preserve">2.1. </w:t>
      </w:r>
      <w:r>
        <w:rPr>
          <w:rFonts w:ascii="仿宋_GB2312" w:hAnsi="黑体" w:eastAsia="仿宋_GB2312"/>
          <w:szCs w:val="30"/>
        </w:rPr>
        <w:t>债券交易参与人</w:t>
      </w:r>
      <w:r>
        <w:rPr>
          <w:rFonts w:hint="eastAsia" w:ascii="仿宋_GB2312" w:hAnsi="黑体" w:eastAsia="仿宋_GB2312"/>
          <w:szCs w:val="30"/>
        </w:rPr>
        <w:t>申请</w:t>
      </w:r>
      <w:r>
        <w:tab/>
      </w:r>
      <w:r>
        <w:fldChar w:fldCharType="begin"/>
      </w:r>
      <w:r>
        <w:instrText xml:space="preserve"> PAGEREF _Toc2109936625 \h </w:instrText>
      </w:r>
      <w:r>
        <w:fldChar w:fldCharType="separate"/>
      </w:r>
      <w:r>
        <w:t>17</w:t>
      </w:r>
      <w:r>
        <w:fldChar w:fldCharType="end"/>
      </w:r>
      <w:r>
        <w:rPr>
          <w:rFonts w:ascii="黑体" w:hAnsi="黑体"/>
          <w:szCs w:val="30"/>
        </w:rPr>
        <w:fldChar w:fldCharType="end"/>
      </w:r>
    </w:p>
    <w:p w14:paraId="69D94077">
      <w:pPr>
        <w:pStyle w:val="36"/>
        <w:tabs>
          <w:tab w:val="right" w:leader="dot" w:pos="8306"/>
        </w:tabs>
      </w:pPr>
      <w:r>
        <w:rPr>
          <w:rFonts w:ascii="黑体" w:hAnsi="黑体"/>
          <w:szCs w:val="30"/>
        </w:rPr>
        <w:fldChar w:fldCharType="begin"/>
      </w:r>
      <w:r>
        <w:rPr>
          <w:rFonts w:ascii="黑体" w:hAnsi="黑体"/>
          <w:szCs w:val="30"/>
        </w:rPr>
        <w:instrText xml:space="preserve"> HYPERLINK \l _Toc305727801 </w:instrText>
      </w:r>
      <w:r>
        <w:rPr>
          <w:rFonts w:ascii="黑体" w:hAnsi="黑体"/>
          <w:szCs w:val="30"/>
        </w:rPr>
        <w:fldChar w:fldCharType="separate"/>
      </w:r>
      <w:r>
        <w:rPr>
          <w:rFonts w:hint="eastAsia" w:ascii="仿宋_GB2312" w:hAnsi="黑体" w:eastAsia="仿宋_GB2312"/>
          <w:szCs w:val="30"/>
        </w:rPr>
        <w:t xml:space="preserve">2.2. </w:t>
      </w:r>
      <w:r>
        <w:rPr>
          <w:rFonts w:ascii="仿宋_GB2312" w:hAnsi="黑体" w:eastAsia="仿宋_GB2312"/>
          <w:szCs w:val="30"/>
        </w:rPr>
        <w:t>债券交易参与人变更</w:t>
      </w:r>
      <w:r>
        <w:rPr>
          <w:rFonts w:hint="eastAsia" w:ascii="仿宋_GB2312" w:hAnsi="黑体" w:eastAsia="仿宋_GB2312"/>
          <w:szCs w:val="30"/>
        </w:rPr>
        <w:t>与终止</w:t>
      </w:r>
      <w:r>
        <w:tab/>
      </w:r>
      <w:r>
        <w:fldChar w:fldCharType="begin"/>
      </w:r>
      <w:r>
        <w:instrText xml:space="preserve"> PAGEREF _Toc305727801 \h </w:instrText>
      </w:r>
      <w:r>
        <w:fldChar w:fldCharType="separate"/>
      </w:r>
      <w:r>
        <w:t>24</w:t>
      </w:r>
      <w:r>
        <w:fldChar w:fldCharType="end"/>
      </w:r>
      <w:r>
        <w:rPr>
          <w:rFonts w:ascii="黑体" w:hAnsi="黑体"/>
          <w:szCs w:val="30"/>
        </w:rPr>
        <w:fldChar w:fldCharType="end"/>
      </w:r>
    </w:p>
    <w:p w14:paraId="5EC17F59">
      <w:pPr>
        <w:pStyle w:val="36"/>
        <w:tabs>
          <w:tab w:val="right" w:leader="dot" w:pos="8306"/>
        </w:tabs>
      </w:pPr>
      <w:r>
        <w:rPr>
          <w:rFonts w:ascii="黑体" w:hAnsi="黑体"/>
          <w:szCs w:val="30"/>
        </w:rPr>
        <w:fldChar w:fldCharType="begin"/>
      </w:r>
      <w:r>
        <w:rPr>
          <w:rFonts w:ascii="黑体" w:hAnsi="黑体"/>
          <w:szCs w:val="30"/>
        </w:rPr>
        <w:instrText xml:space="preserve"> HYPERLINK \l _Toc2006079285 </w:instrText>
      </w:r>
      <w:r>
        <w:rPr>
          <w:rFonts w:ascii="黑体" w:hAnsi="黑体"/>
          <w:szCs w:val="30"/>
        </w:rPr>
        <w:fldChar w:fldCharType="separate"/>
      </w:r>
      <w:r>
        <w:rPr>
          <w:rFonts w:hint="eastAsia" w:ascii="仿宋_GB2312" w:eastAsia="仿宋_GB2312"/>
          <w:szCs w:val="30"/>
        </w:rPr>
        <w:t>2.3. 系统接入前准备</w:t>
      </w:r>
      <w:r>
        <w:tab/>
      </w:r>
      <w:r>
        <w:fldChar w:fldCharType="begin"/>
      </w:r>
      <w:r>
        <w:instrText xml:space="preserve"> PAGEREF _Toc2006079285 \h </w:instrText>
      </w:r>
      <w:r>
        <w:fldChar w:fldCharType="separate"/>
      </w:r>
      <w:r>
        <w:t>26</w:t>
      </w:r>
      <w:r>
        <w:fldChar w:fldCharType="end"/>
      </w:r>
      <w:r>
        <w:rPr>
          <w:rFonts w:ascii="黑体" w:hAnsi="黑体"/>
          <w:szCs w:val="30"/>
        </w:rPr>
        <w:fldChar w:fldCharType="end"/>
      </w:r>
    </w:p>
    <w:p w14:paraId="57BA5838">
      <w:pPr>
        <w:pStyle w:val="30"/>
        <w:tabs>
          <w:tab w:val="right" w:leader="dot" w:pos="8306"/>
        </w:tabs>
      </w:pPr>
      <w:r>
        <w:rPr>
          <w:rFonts w:ascii="黑体" w:hAnsi="黑体"/>
          <w:szCs w:val="30"/>
        </w:rPr>
        <w:fldChar w:fldCharType="begin"/>
      </w:r>
      <w:r>
        <w:rPr>
          <w:rFonts w:ascii="黑体" w:hAnsi="黑体"/>
          <w:szCs w:val="30"/>
        </w:rPr>
        <w:instrText xml:space="preserve"> HYPERLINK \l _Toc216771743 </w:instrText>
      </w:r>
      <w:r>
        <w:rPr>
          <w:rFonts w:ascii="黑体" w:hAnsi="黑体"/>
          <w:szCs w:val="30"/>
        </w:rPr>
        <w:fldChar w:fldCharType="separate"/>
      </w:r>
      <w:r>
        <w:rPr>
          <w:rFonts w:hint="eastAsia" w:ascii="黑体" w:hAnsi="黑体" w:eastAsia="黑体"/>
          <w:szCs w:val="36"/>
        </w:rPr>
        <w:t xml:space="preserve">3. </w:t>
      </w:r>
      <w:r>
        <w:rPr>
          <w:rFonts w:hint="eastAsia" w:ascii="黑体" w:hAnsi="黑体" w:eastAsia="黑体" w:cs="黑体"/>
        </w:rPr>
        <w:t>债券经纪业务</w:t>
      </w:r>
      <w:r>
        <w:tab/>
      </w:r>
      <w:r>
        <w:fldChar w:fldCharType="begin"/>
      </w:r>
      <w:r>
        <w:instrText xml:space="preserve"> PAGEREF _Toc216771743 \h </w:instrText>
      </w:r>
      <w:r>
        <w:fldChar w:fldCharType="separate"/>
      </w:r>
      <w:r>
        <w:t>32</w:t>
      </w:r>
      <w:r>
        <w:fldChar w:fldCharType="end"/>
      </w:r>
      <w:r>
        <w:rPr>
          <w:rFonts w:ascii="黑体" w:hAnsi="黑体"/>
          <w:szCs w:val="30"/>
        </w:rPr>
        <w:fldChar w:fldCharType="end"/>
      </w:r>
    </w:p>
    <w:p w14:paraId="111EE85A">
      <w:pPr>
        <w:pStyle w:val="36"/>
        <w:tabs>
          <w:tab w:val="right" w:leader="dot" w:pos="8306"/>
        </w:tabs>
      </w:pPr>
      <w:r>
        <w:rPr>
          <w:rFonts w:ascii="黑体" w:hAnsi="黑体"/>
          <w:szCs w:val="30"/>
        </w:rPr>
        <w:fldChar w:fldCharType="begin"/>
      </w:r>
      <w:r>
        <w:rPr>
          <w:rFonts w:ascii="黑体" w:hAnsi="黑体"/>
          <w:szCs w:val="30"/>
        </w:rPr>
        <w:instrText xml:space="preserve"> HYPERLINK \l _Toc1948772463 </w:instrText>
      </w:r>
      <w:r>
        <w:rPr>
          <w:rFonts w:ascii="黑体" w:hAnsi="黑体"/>
          <w:szCs w:val="30"/>
        </w:rPr>
        <w:fldChar w:fldCharType="separate"/>
      </w:r>
      <w:r>
        <w:rPr>
          <w:rFonts w:hint="eastAsia" w:ascii="仿宋_GB2312" w:eastAsia="仿宋_GB2312"/>
          <w:szCs w:val="30"/>
        </w:rPr>
        <w:t>3.1. 投资者适当性</w:t>
      </w:r>
      <w:r>
        <w:tab/>
      </w:r>
      <w:r>
        <w:fldChar w:fldCharType="begin"/>
      </w:r>
      <w:r>
        <w:instrText xml:space="preserve"> PAGEREF _Toc1948772463 \h </w:instrText>
      </w:r>
      <w:r>
        <w:fldChar w:fldCharType="separate"/>
      </w:r>
      <w:r>
        <w:t>32</w:t>
      </w:r>
      <w:r>
        <w:fldChar w:fldCharType="end"/>
      </w:r>
      <w:r>
        <w:rPr>
          <w:rFonts w:ascii="黑体" w:hAnsi="黑体"/>
          <w:szCs w:val="30"/>
        </w:rPr>
        <w:fldChar w:fldCharType="end"/>
      </w:r>
    </w:p>
    <w:p w14:paraId="521FC782">
      <w:pPr>
        <w:pStyle w:val="36"/>
        <w:tabs>
          <w:tab w:val="right" w:leader="dot" w:pos="8306"/>
        </w:tabs>
      </w:pPr>
      <w:r>
        <w:rPr>
          <w:rFonts w:ascii="黑体" w:hAnsi="黑体"/>
          <w:szCs w:val="30"/>
        </w:rPr>
        <w:fldChar w:fldCharType="begin"/>
      </w:r>
      <w:r>
        <w:rPr>
          <w:rFonts w:ascii="黑体" w:hAnsi="黑体"/>
          <w:szCs w:val="30"/>
        </w:rPr>
        <w:instrText xml:space="preserve"> HYPERLINK \l _Toc1460016547 </w:instrText>
      </w:r>
      <w:r>
        <w:rPr>
          <w:rFonts w:ascii="黑体" w:hAnsi="黑体"/>
          <w:szCs w:val="30"/>
        </w:rPr>
        <w:fldChar w:fldCharType="separate"/>
      </w:r>
      <w:r>
        <w:rPr>
          <w:rFonts w:hint="eastAsia" w:ascii="仿宋_GB2312" w:eastAsia="仿宋_GB2312"/>
          <w:szCs w:val="30"/>
        </w:rPr>
        <w:t>3.2. 委托交易</w:t>
      </w:r>
      <w:r>
        <w:tab/>
      </w:r>
      <w:r>
        <w:fldChar w:fldCharType="begin"/>
      </w:r>
      <w:r>
        <w:instrText xml:space="preserve"> PAGEREF _Toc1460016547 \h </w:instrText>
      </w:r>
      <w:r>
        <w:fldChar w:fldCharType="separate"/>
      </w:r>
      <w:r>
        <w:t>36</w:t>
      </w:r>
      <w:r>
        <w:fldChar w:fldCharType="end"/>
      </w:r>
      <w:r>
        <w:rPr>
          <w:rFonts w:ascii="黑体" w:hAnsi="黑体"/>
          <w:szCs w:val="30"/>
        </w:rPr>
        <w:fldChar w:fldCharType="end"/>
      </w:r>
    </w:p>
    <w:p w14:paraId="089B02D9">
      <w:pPr>
        <w:pStyle w:val="36"/>
        <w:tabs>
          <w:tab w:val="right" w:leader="dot" w:pos="8306"/>
        </w:tabs>
      </w:pPr>
      <w:r>
        <w:rPr>
          <w:rFonts w:ascii="黑体" w:hAnsi="黑体"/>
          <w:szCs w:val="30"/>
        </w:rPr>
        <w:fldChar w:fldCharType="begin"/>
      </w:r>
      <w:r>
        <w:rPr>
          <w:rFonts w:ascii="黑体" w:hAnsi="黑体"/>
          <w:szCs w:val="30"/>
        </w:rPr>
        <w:instrText xml:space="preserve"> HYPERLINK \l _Toc1859415864 </w:instrText>
      </w:r>
      <w:r>
        <w:rPr>
          <w:rFonts w:ascii="黑体" w:hAnsi="黑体"/>
          <w:szCs w:val="30"/>
        </w:rPr>
        <w:fldChar w:fldCharType="separate"/>
      </w:r>
      <w:r>
        <w:rPr>
          <w:rFonts w:hint="eastAsia" w:ascii="仿宋_GB2312" w:eastAsia="仿宋_GB2312"/>
          <w:szCs w:val="30"/>
        </w:rPr>
        <w:t>3.3. 券商</w:t>
      </w:r>
      <w:r>
        <w:rPr>
          <w:rFonts w:ascii="仿宋_GB2312" w:eastAsia="仿宋_GB2312"/>
          <w:szCs w:val="30"/>
        </w:rPr>
        <w:t>结算</w:t>
      </w:r>
      <w:r>
        <w:tab/>
      </w:r>
      <w:r>
        <w:fldChar w:fldCharType="begin"/>
      </w:r>
      <w:r>
        <w:instrText xml:space="preserve"> PAGEREF _Toc1859415864 \h </w:instrText>
      </w:r>
      <w:r>
        <w:fldChar w:fldCharType="separate"/>
      </w:r>
      <w:r>
        <w:t>45</w:t>
      </w:r>
      <w:r>
        <w:fldChar w:fldCharType="end"/>
      </w:r>
      <w:r>
        <w:rPr>
          <w:rFonts w:ascii="黑体" w:hAnsi="黑体"/>
          <w:szCs w:val="30"/>
        </w:rPr>
        <w:fldChar w:fldCharType="end"/>
      </w:r>
    </w:p>
    <w:p w14:paraId="451D9664">
      <w:pPr>
        <w:pStyle w:val="30"/>
        <w:tabs>
          <w:tab w:val="right" w:leader="dot" w:pos="8306"/>
        </w:tabs>
      </w:pPr>
      <w:r>
        <w:rPr>
          <w:rFonts w:ascii="黑体" w:hAnsi="黑体"/>
          <w:szCs w:val="30"/>
        </w:rPr>
        <w:fldChar w:fldCharType="begin"/>
      </w:r>
      <w:r>
        <w:rPr>
          <w:rFonts w:ascii="黑体" w:hAnsi="黑体"/>
          <w:szCs w:val="30"/>
        </w:rPr>
        <w:instrText xml:space="preserve"> HYPERLINK \l _Toc1062077749 </w:instrText>
      </w:r>
      <w:r>
        <w:rPr>
          <w:rFonts w:ascii="黑体" w:hAnsi="黑体"/>
          <w:szCs w:val="30"/>
        </w:rPr>
        <w:fldChar w:fldCharType="separate"/>
      </w:r>
      <w:r>
        <w:rPr>
          <w:rFonts w:hint="eastAsia" w:ascii="黑体" w:hAnsi="黑体" w:eastAsia="黑体"/>
          <w:szCs w:val="36"/>
        </w:rPr>
        <w:t xml:space="preserve">4. </w:t>
      </w:r>
      <w:r>
        <w:rPr>
          <w:rFonts w:hint="eastAsia" w:ascii="黑体" w:hAnsi="黑体" w:eastAsia="黑体" w:cs="黑体"/>
        </w:rPr>
        <w:t>债券交易一般要求</w:t>
      </w:r>
      <w:r>
        <w:tab/>
      </w:r>
      <w:r>
        <w:fldChar w:fldCharType="begin"/>
      </w:r>
      <w:r>
        <w:instrText xml:space="preserve"> PAGEREF _Toc1062077749 \h </w:instrText>
      </w:r>
      <w:r>
        <w:fldChar w:fldCharType="separate"/>
      </w:r>
      <w:r>
        <w:t>46</w:t>
      </w:r>
      <w:r>
        <w:fldChar w:fldCharType="end"/>
      </w:r>
      <w:r>
        <w:rPr>
          <w:rFonts w:ascii="黑体" w:hAnsi="黑体"/>
          <w:szCs w:val="30"/>
        </w:rPr>
        <w:fldChar w:fldCharType="end"/>
      </w:r>
    </w:p>
    <w:p w14:paraId="2E27E02B">
      <w:pPr>
        <w:pStyle w:val="36"/>
        <w:tabs>
          <w:tab w:val="right" w:leader="dot" w:pos="8306"/>
        </w:tabs>
      </w:pPr>
      <w:r>
        <w:rPr>
          <w:rFonts w:ascii="黑体" w:hAnsi="黑体"/>
          <w:szCs w:val="30"/>
        </w:rPr>
        <w:fldChar w:fldCharType="begin"/>
      </w:r>
      <w:r>
        <w:rPr>
          <w:rFonts w:ascii="黑体" w:hAnsi="黑体"/>
          <w:szCs w:val="30"/>
        </w:rPr>
        <w:instrText xml:space="preserve"> HYPERLINK \l _Toc289520641 </w:instrText>
      </w:r>
      <w:r>
        <w:rPr>
          <w:rFonts w:ascii="黑体" w:hAnsi="黑体"/>
          <w:szCs w:val="30"/>
        </w:rPr>
        <w:fldChar w:fldCharType="separate"/>
      </w:r>
      <w:r>
        <w:rPr>
          <w:rFonts w:hint="eastAsia" w:ascii="仿宋_GB2312" w:eastAsia="仿宋_GB2312"/>
          <w:szCs w:val="30"/>
        </w:rPr>
        <w:t>4.1. 指定交易</w:t>
      </w:r>
      <w:r>
        <w:tab/>
      </w:r>
      <w:r>
        <w:fldChar w:fldCharType="begin"/>
      </w:r>
      <w:r>
        <w:instrText xml:space="preserve"> PAGEREF _Toc289520641 \h </w:instrText>
      </w:r>
      <w:r>
        <w:fldChar w:fldCharType="separate"/>
      </w:r>
      <w:r>
        <w:t>46</w:t>
      </w:r>
      <w:r>
        <w:fldChar w:fldCharType="end"/>
      </w:r>
      <w:r>
        <w:rPr>
          <w:rFonts w:ascii="黑体" w:hAnsi="黑体"/>
          <w:szCs w:val="30"/>
        </w:rPr>
        <w:fldChar w:fldCharType="end"/>
      </w:r>
    </w:p>
    <w:p w14:paraId="64453E91">
      <w:pPr>
        <w:pStyle w:val="36"/>
        <w:tabs>
          <w:tab w:val="right" w:leader="dot" w:pos="8306"/>
        </w:tabs>
      </w:pPr>
      <w:r>
        <w:rPr>
          <w:rFonts w:ascii="黑体" w:hAnsi="黑体"/>
          <w:szCs w:val="30"/>
        </w:rPr>
        <w:fldChar w:fldCharType="begin"/>
      </w:r>
      <w:r>
        <w:rPr>
          <w:rFonts w:ascii="黑体" w:hAnsi="黑体"/>
          <w:szCs w:val="30"/>
        </w:rPr>
        <w:instrText xml:space="preserve"> HYPERLINK \l _Toc220567522 </w:instrText>
      </w:r>
      <w:r>
        <w:rPr>
          <w:rFonts w:ascii="黑体" w:hAnsi="黑体"/>
          <w:szCs w:val="30"/>
        </w:rPr>
        <w:fldChar w:fldCharType="separate"/>
      </w:r>
      <w:r>
        <w:rPr>
          <w:rFonts w:hint="eastAsia" w:ascii="仿宋_GB2312" w:eastAsia="仿宋_GB2312"/>
          <w:szCs w:val="30"/>
        </w:rPr>
        <w:t>4.2. 交易</w:t>
      </w:r>
      <w:r>
        <w:rPr>
          <w:rFonts w:ascii="仿宋_GB2312" w:eastAsia="仿宋_GB2312"/>
          <w:szCs w:val="30"/>
        </w:rPr>
        <w:t>对手</w:t>
      </w:r>
      <w:r>
        <w:tab/>
      </w:r>
      <w:r>
        <w:fldChar w:fldCharType="begin"/>
      </w:r>
      <w:r>
        <w:instrText xml:space="preserve"> PAGEREF _Toc220567522 \h </w:instrText>
      </w:r>
      <w:r>
        <w:fldChar w:fldCharType="separate"/>
      </w:r>
      <w:r>
        <w:t>48</w:t>
      </w:r>
      <w:r>
        <w:fldChar w:fldCharType="end"/>
      </w:r>
      <w:r>
        <w:rPr>
          <w:rFonts w:ascii="黑体" w:hAnsi="黑体"/>
          <w:szCs w:val="30"/>
        </w:rPr>
        <w:fldChar w:fldCharType="end"/>
      </w:r>
    </w:p>
    <w:p w14:paraId="27244381">
      <w:pPr>
        <w:pStyle w:val="36"/>
        <w:tabs>
          <w:tab w:val="right" w:leader="dot" w:pos="8306"/>
        </w:tabs>
      </w:pPr>
      <w:r>
        <w:rPr>
          <w:rFonts w:ascii="黑体" w:hAnsi="黑体"/>
          <w:szCs w:val="30"/>
        </w:rPr>
        <w:fldChar w:fldCharType="begin"/>
      </w:r>
      <w:r>
        <w:rPr>
          <w:rFonts w:ascii="黑体" w:hAnsi="黑体"/>
          <w:szCs w:val="30"/>
        </w:rPr>
        <w:instrText xml:space="preserve"> HYPERLINK \l _Toc557429388 </w:instrText>
      </w:r>
      <w:r>
        <w:rPr>
          <w:rFonts w:ascii="黑体" w:hAnsi="黑体"/>
          <w:szCs w:val="30"/>
        </w:rPr>
        <w:fldChar w:fldCharType="separate"/>
      </w:r>
      <w:r>
        <w:rPr>
          <w:rFonts w:hint="eastAsia" w:ascii="仿宋_GB2312" w:eastAsia="仿宋_GB2312"/>
          <w:szCs w:val="30"/>
        </w:rPr>
        <w:t>4.3. 交易前端控制</w:t>
      </w:r>
      <w:r>
        <w:tab/>
      </w:r>
      <w:r>
        <w:fldChar w:fldCharType="begin"/>
      </w:r>
      <w:r>
        <w:instrText xml:space="preserve"> PAGEREF _Toc557429388 \h </w:instrText>
      </w:r>
      <w:r>
        <w:fldChar w:fldCharType="separate"/>
      </w:r>
      <w:r>
        <w:t>49</w:t>
      </w:r>
      <w:r>
        <w:fldChar w:fldCharType="end"/>
      </w:r>
      <w:r>
        <w:rPr>
          <w:rFonts w:ascii="黑体" w:hAnsi="黑体"/>
          <w:szCs w:val="30"/>
        </w:rPr>
        <w:fldChar w:fldCharType="end"/>
      </w:r>
    </w:p>
    <w:p w14:paraId="1B16F518">
      <w:pPr>
        <w:pStyle w:val="36"/>
        <w:tabs>
          <w:tab w:val="right" w:leader="dot" w:pos="8306"/>
        </w:tabs>
      </w:pPr>
      <w:r>
        <w:rPr>
          <w:rFonts w:ascii="黑体" w:hAnsi="黑体"/>
          <w:szCs w:val="30"/>
        </w:rPr>
        <w:fldChar w:fldCharType="begin"/>
      </w:r>
      <w:r>
        <w:rPr>
          <w:rFonts w:ascii="黑体" w:hAnsi="黑体"/>
          <w:szCs w:val="30"/>
        </w:rPr>
        <w:instrText xml:space="preserve"> HYPERLINK \l _Toc69377513 </w:instrText>
      </w:r>
      <w:r>
        <w:rPr>
          <w:rFonts w:ascii="黑体" w:hAnsi="黑体"/>
          <w:szCs w:val="30"/>
        </w:rPr>
        <w:fldChar w:fldCharType="separate"/>
      </w:r>
      <w:r>
        <w:rPr>
          <w:rFonts w:hint="eastAsia" w:ascii="仿宋_GB2312" w:eastAsia="仿宋_GB2312"/>
          <w:szCs w:val="30"/>
        </w:rPr>
        <w:t>4.4. 交易日和交易时间</w:t>
      </w:r>
      <w:r>
        <w:tab/>
      </w:r>
      <w:r>
        <w:fldChar w:fldCharType="begin"/>
      </w:r>
      <w:r>
        <w:instrText xml:space="preserve"> PAGEREF _Toc69377513 \h </w:instrText>
      </w:r>
      <w:r>
        <w:fldChar w:fldCharType="separate"/>
      </w:r>
      <w:r>
        <w:t>52</w:t>
      </w:r>
      <w:r>
        <w:fldChar w:fldCharType="end"/>
      </w:r>
      <w:r>
        <w:rPr>
          <w:rFonts w:ascii="黑体" w:hAnsi="黑体"/>
          <w:szCs w:val="30"/>
        </w:rPr>
        <w:fldChar w:fldCharType="end"/>
      </w:r>
    </w:p>
    <w:p w14:paraId="41B617D8">
      <w:pPr>
        <w:pStyle w:val="36"/>
        <w:tabs>
          <w:tab w:val="right" w:leader="dot" w:pos="8306"/>
        </w:tabs>
      </w:pPr>
      <w:r>
        <w:rPr>
          <w:rFonts w:ascii="黑体" w:hAnsi="黑体"/>
          <w:szCs w:val="30"/>
        </w:rPr>
        <w:fldChar w:fldCharType="begin"/>
      </w:r>
      <w:r>
        <w:rPr>
          <w:rFonts w:ascii="黑体" w:hAnsi="黑体"/>
          <w:szCs w:val="30"/>
        </w:rPr>
        <w:instrText xml:space="preserve"> HYPERLINK \l _Toc631788796 </w:instrText>
      </w:r>
      <w:r>
        <w:rPr>
          <w:rFonts w:ascii="黑体" w:hAnsi="黑体"/>
          <w:szCs w:val="30"/>
        </w:rPr>
        <w:fldChar w:fldCharType="separate"/>
      </w:r>
      <w:r>
        <w:rPr>
          <w:rFonts w:hint="eastAsia" w:ascii="仿宋_GB2312" w:eastAsia="仿宋_GB2312"/>
          <w:szCs w:val="30"/>
        </w:rPr>
        <w:t>4.5. 交易方式分类管理</w:t>
      </w:r>
      <w:r>
        <w:tab/>
      </w:r>
      <w:r>
        <w:fldChar w:fldCharType="begin"/>
      </w:r>
      <w:r>
        <w:instrText xml:space="preserve"> PAGEREF _Toc631788796 \h </w:instrText>
      </w:r>
      <w:r>
        <w:fldChar w:fldCharType="separate"/>
      </w:r>
      <w:r>
        <w:t>53</w:t>
      </w:r>
      <w:r>
        <w:fldChar w:fldCharType="end"/>
      </w:r>
      <w:r>
        <w:rPr>
          <w:rFonts w:ascii="黑体" w:hAnsi="黑体"/>
          <w:szCs w:val="30"/>
        </w:rPr>
        <w:fldChar w:fldCharType="end"/>
      </w:r>
    </w:p>
    <w:p w14:paraId="2D3E1528">
      <w:pPr>
        <w:pStyle w:val="36"/>
        <w:tabs>
          <w:tab w:val="right" w:leader="dot" w:pos="8306"/>
        </w:tabs>
      </w:pPr>
      <w:r>
        <w:rPr>
          <w:rFonts w:ascii="黑体" w:hAnsi="黑体"/>
          <w:szCs w:val="30"/>
        </w:rPr>
        <w:fldChar w:fldCharType="begin"/>
      </w:r>
      <w:r>
        <w:rPr>
          <w:rFonts w:ascii="黑体" w:hAnsi="黑体"/>
          <w:szCs w:val="30"/>
        </w:rPr>
        <w:instrText xml:space="preserve"> HYPERLINK \l _Toc1396317152 </w:instrText>
      </w:r>
      <w:r>
        <w:rPr>
          <w:rFonts w:ascii="黑体" w:hAnsi="黑体"/>
          <w:szCs w:val="30"/>
        </w:rPr>
        <w:fldChar w:fldCharType="separate"/>
      </w:r>
      <w:r>
        <w:rPr>
          <w:rFonts w:hint="eastAsia" w:ascii="仿宋_GB2312" w:eastAsia="仿宋_GB2312"/>
          <w:szCs w:val="30"/>
        </w:rPr>
        <w:t>4.6. 交易</w:t>
      </w:r>
      <w:r>
        <w:rPr>
          <w:rFonts w:ascii="仿宋_GB2312" w:eastAsia="仿宋_GB2312"/>
          <w:szCs w:val="30"/>
        </w:rPr>
        <w:t>申报</w:t>
      </w:r>
      <w:r>
        <w:tab/>
      </w:r>
      <w:r>
        <w:fldChar w:fldCharType="begin"/>
      </w:r>
      <w:r>
        <w:instrText xml:space="preserve"> PAGEREF _Toc1396317152 \h </w:instrText>
      </w:r>
      <w:r>
        <w:fldChar w:fldCharType="separate"/>
      </w:r>
      <w:r>
        <w:t>55</w:t>
      </w:r>
      <w:r>
        <w:fldChar w:fldCharType="end"/>
      </w:r>
      <w:r>
        <w:rPr>
          <w:rFonts w:ascii="黑体" w:hAnsi="黑体"/>
          <w:szCs w:val="30"/>
        </w:rPr>
        <w:fldChar w:fldCharType="end"/>
      </w:r>
    </w:p>
    <w:p w14:paraId="241D0D23">
      <w:pPr>
        <w:pStyle w:val="36"/>
        <w:tabs>
          <w:tab w:val="right" w:leader="dot" w:pos="8306"/>
        </w:tabs>
      </w:pPr>
      <w:r>
        <w:rPr>
          <w:rFonts w:ascii="黑体" w:hAnsi="黑体"/>
          <w:szCs w:val="30"/>
        </w:rPr>
        <w:fldChar w:fldCharType="begin"/>
      </w:r>
      <w:r>
        <w:rPr>
          <w:rFonts w:ascii="黑体" w:hAnsi="黑体"/>
          <w:szCs w:val="30"/>
        </w:rPr>
        <w:instrText xml:space="preserve"> HYPERLINK \l _Toc1505984074 </w:instrText>
      </w:r>
      <w:r>
        <w:rPr>
          <w:rFonts w:ascii="黑体" w:hAnsi="黑体"/>
          <w:szCs w:val="30"/>
        </w:rPr>
        <w:fldChar w:fldCharType="separate"/>
      </w:r>
      <w:r>
        <w:rPr>
          <w:rFonts w:hint="eastAsia" w:ascii="仿宋_GB2312" w:eastAsia="仿宋_GB2312"/>
          <w:szCs w:val="30"/>
        </w:rPr>
        <w:t>4.7. 成交</w:t>
      </w:r>
      <w:r>
        <w:tab/>
      </w:r>
      <w:r>
        <w:fldChar w:fldCharType="begin"/>
      </w:r>
      <w:r>
        <w:instrText xml:space="preserve"> PAGEREF _Toc1505984074 \h </w:instrText>
      </w:r>
      <w:r>
        <w:fldChar w:fldCharType="separate"/>
      </w:r>
      <w:r>
        <w:t>62</w:t>
      </w:r>
      <w:r>
        <w:fldChar w:fldCharType="end"/>
      </w:r>
      <w:r>
        <w:rPr>
          <w:rFonts w:ascii="黑体" w:hAnsi="黑体"/>
          <w:szCs w:val="30"/>
        </w:rPr>
        <w:fldChar w:fldCharType="end"/>
      </w:r>
    </w:p>
    <w:p w14:paraId="3B149F03">
      <w:pPr>
        <w:pStyle w:val="36"/>
        <w:tabs>
          <w:tab w:val="right" w:leader="dot" w:pos="8306"/>
        </w:tabs>
      </w:pPr>
      <w:r>
        <w:rPr>
          <w:rFonts w:ascii="黑体" w:hAnsi="黑体"/>
          <w:szCs w:val="30"/>
        </w:rPr>
        <w:fldChar w:fldCharType="begin"/>
      </w:r>
      <w:r>
        <w:rPr>
          <w:rFonts w:ascii="黑体" w:hAnsi="黑体"/>
          <w:szCs w:val="30"/>
        </w:rPr>
        <w:instrText xml:space="preserve"> HYPERLINK \l _Toc1573914612 </w:instrText>
      </w:r>
      <w:r>
        <w:rPr>
          <w:rFonts w:ascii="黑体" w:hAnsi="黑体"/>
          <w:szCs w:val="30"/>
        </w:rPr>
        <w:fldChar w:fldCharType="separate"/>
      </w:r>
      <w:r>
        <w:rPr>
          <w:rFonts w:hint="eastAsia" w:ascii="仿宋_GB2312" w:eastAsia="仿宋_GB2312"/>
          <w:szCs w:val="30"/>
        </w:rPr>
        <w:t>4.8. 结算</w:t>
      </w:r>
      <w:r>
        <w:tab/>
      </w:r>
      <w:r>
        <w:fldChar w:fldCharType="begin"/>
      </w:r>
      <w:r>
        <w:instrText xml:space="preserve"> PAGEREF _Toc1573914612 \h </w:instrText>
      </w:r>
      <w:r>
        <w:fldChar w:fldCharType="separate"/>
      </w:r>
      <w:r>
        <w:t>63</w:t>
      </w:r>
      <w:r>
        <w:fldChar w:fldCharType="end"/>
      </w:r>
      <w:r>
        <w:rPr>
          <w:rFonts w:ascii="黑体" w:hAnsi="黑体"/>
          <w:szCs w:val="30"/>
        </w:rPr>
        <w:fldChar w:fldCharType="end"/>
      </w:r>
    </w:p>
    <w:p w14:paraId="2DEA7B0B">
      <w:pPr>
        <w:pStyle w:val="30"/>
        <w:tabs>
          <w:tab w:val="right" w:leader="dot" w:pos="8306"/>
        </w:tabs>
      </w:pPr>
      <w:r>
        <w:rPr>
          <w:rFonts w:ascii="黑体" w:hAnsi="黑体"/>
          <w:szCs w:val="30"/>
        </w:rPr>
        <w:fldChar w:fldCharType="begin"/>
      </w:r>
      <w:r>
        <w:rPr>
          <w:rFonts w:ascii="黑体" w:hAnsi="黑体"/>
          <w:szCs w:val="30"/>
        </w:rPr>
        <w:instrText xml:space="preserve"> HYPERLINK \l _Toc1138392198 </w:instrText>
      </w:r>
      <w:r>
        <w:rPr>
          <w:rFonts w:ascii="黑体" w:hAnsi="黑体"/>
          <w:szCs w:val="30"/>
        </w:rPr>
        <w:fldChar w:fldCharType="separate"/>
      </w:r>
      <w:r>
        <w:rPr>
          <w:rFonts w:hint="eastAsia" w:ascii="黑体" w:hAnsi="黑体" w:eastAsia="黑体"/>
          <w:szCs w:val="36"/>
        </w:rPr>
        <w:t xml:space="preserve">5. </w:t>
      </w:r>
      <w:r>
        <w:rPr>
          <w:rFonts w:hint="eastAsia" w:ascii="黑体" w:hAnsi="黑体" w:eastAsia="黑体" w:cs="黑体"/>
        </w:rPr>
        <w:t>债券交易方式</w:t>
      </w:r>
      <w:r>
        <w:tab/>
      </w:r>
      <w:r>
        <w:fldChar w:fldCharType="begin"/>
      </w:r>
      <w:r>
        <w:instrText xml:space="preserve"> PAGEREF _Toc1138392198 \h </w:instrText>
      </w:r>
      <w:r>
        <w:fldChar w:fldCharType="separate"/>
      </w:r>
      <w:r>
        <w:t>64</w:t>
      </w:r>
      <w:r>
        <w:fldChar w:fldCharType="end"/>
      </w:r>
      <w:r>
        <w:rPr>
          <w:rFonts w:ascii="黑体" w:hAnsi="黑体"/>
          <w:szCs w:val="30"/>
        </w:rPr>
        <w:fldChar w:fldCharType="end"/>
      </w:r>
    </w:p>
    <w:p w14:paraId="0CBCFCCF">
      <w:pPr>
        <w:pStyle w:val="36"/>
        <w:tabs>
          <w:tab w:val="right" w:leader="dot" w:pos="8306"/>
        </w:tabs>
      </w:pPr>
      <w:r>
        <w:rPr>
          <w:rFonts w:ascii="黑体" w:hAnsi="黑体"/>
          <w:szCs w:val="30"/>
        </w:rPr>
        <w:fldChar w:fldCharType="begin"/>
      </w:r>
      <w:r>
        <w:rPr>
          <w:rFonts w:ascii="黑体" w:hAnsi="黑体"/>
          <w:szCs w:val="30"/>
        </w:rPr>
        <w:instrText xml:space="preserve"> HYPERLINK \l _Toc898651497 </w:instrText>
      </w:r>
      <w:r>
        <w:rPr>
          <w:rFonts w:ascii="黑体" w:hAnsi="黑体"/>
          <w:szCs w:val="30"/>
        </w:rPr>
        <w:fldChar w:fldCharType="separate"/>
      </w:r>
      <w:r>
        <w:rPr>
          <w:rFonts w:hint="eastAsia" w:ascii="仿宋_GB2312" w:eastAsia="仿宋_GB2312"/>
          <w:szCs w:val="30"/>
        </w:rPr>
        <w:t>5.1. 匹配成交</w:t>
      </w:r>
      <w:r>
        <w:tab/>
      </w:r>
      <w:r>
        <w:fldChar w:fldCharType="begin"/>
      </w:r>
      <w:r>
        <w:instrText xml:space="preserve"> PAGEREF _Toc898651497 \h </w:instrText>
      </w:r>
      <w:r>
        <w:fldChar w:fldCharType="separate"/>
      </w:r>
      <w:r>
        <w:t>64</w:t>
      </w:r>
      <w:r>
        <w:fldChar w:fldCharType="end"/>
      </w:r>
      <w:r>
        <w:rPr>
          <w:rFonts w:ascii="黑体" w:hAnsi="黑体"/>
          <w:szCs w:val="30"/>
        </w:rPr>
        <w:fldChar w:fldCharType="end"/>
      </w:r>
    </w:p>
    <w:p w14:paraId="57807896">
      <w:pPr>
        <w:pStyle w:val="36"/>
        <w:tabs>
          <w:tab w:val="right" w:leader="dot" w:pos="8306"/>
        </w:tabs>
      </w:pPr>
      <w:r>
        <w:rPr>
          <w:rFonts w:ascii="黑体" w:hAnsi="黑体"/>
          <w:szCs w:val="30"/>
        </w:rPr>
        <w:fldChar w:fldCharType="begin"/>
      </w:r>
      <w:r>
        <w:rPr>
          <w:rFonts w:ascii="黑体" w:hAnsi="黑体"/>
          <w:szCs w:val="30"/>
        </w:rPr>
        <w:instrText xml:space="preserve"> HYPERLINK \l _Toc1043388609 </w:instrText>
      </w:r>
      <w:r>
        <w:rPr>
          <w:rFonts w:ascii="黑体" w:hAnsi="黑体"/>
          <w:szCs w:val="30"/>
        </w:rPr>
        <w:fldChar w:fldCharType="separate"/>
      </w:r>
      <w:r>
        <w:rPr>
          <w:rFonts w:hint="eastAsia" w:ascii="仿宋_GB2312" w:eastAsia="仿宋_GB2312"/>
          <w:szCs w:val="30"/>
        </w:rPr>
        <w:t>5.2. 协商成交</w:t>
      </w:r>
      <w:r>
        <w:tab/>
      </w:r>
      <w:r>
        <w:fldChar w:fldCharType="begin"/>
      </w:r>
      <w:r>
        <w:instrText xml:space="preserve"> PAGEREF _Toc1043388609 \h </w:instrText>
      </w:r>
      <w:r>
        <w:fldChar w:fldCharType="separate"/>
      </w:r>
      <w:r>
        <w:t>69</w:t>
      </w:r>
      <w:r>
        <w:fldChar w:fldCharType="end"/>
      </w:r>
      <w:r>
        <w:rPr>
          <w:rFonts w:ascii="黑体" w:hAnsi="黑体"/>
          <w:szCs w:val="30"/>
        </w:rPr>
        <w:fldChar w:fldCharType="end"/>
      </w:r>
    </w:p>
    <w:p w14:paraId="404232C0">
      <w:pPr>
        <w:pStyle w:val="36"/>
        <w:tabs>
          <w:tab w:val="right" w:leader="dot" w:pos="8306"/>
        </w:tabs>
      </w:pPr>
      <w:r>
        <w:rPr>
          <w:rFonts w:ascii="黑体" w:hAnsi="黑体"/>
          <w:szCs w:val="30"/>
        </w:rPr>
        <w:fldChar w:fldCharType="begin"/>
      </w:r>
      <w:r>
        <w:rPr>
          <w:rFonts w:ascii="黑体" w:hAnsi="黑体"/>
          <w:szCs w:val="30"/>
        </w:rPr>
        <w:instrText xml:space="preserve"> HYPERLINK \l _Toc1058421525 </w:instrText>
      </w:r>
      <w:r>
        <w:rPr>
          <w:rFonts w:ascii="黑体" w:hAnsi="黑体"/>
          <w:szCs w:val="30"/>
        </w:rPr>
        <w:fldChar w:fldCharType="separate"/>
      </w:r>
      <w:r>
        <w:rPr>
          <w:rFonts w:hint="eastAsia" w:ascii="仿宋_GB2312" w:eastAsia="仿宋_GB2312"/>
          <w:szCs w:val="30"/>
        </w:rPr>
        <w:t>5.3. 点击成交</w:t>
      </w:r>
      <w:r>
        <w:tab/>
      </w:r>
      <w:r>
        <w:fldChar w:fldCharType="begin"/>
      </w:r>
      <w:r>
        <w:instrText xml:space="preserve"> PAGEREF _Toc1058421525 \h </w:instrText>
      </w:r>
      <w:r>
        <w:fldChar w:fldCharType="separate"/>
      </w:r>
      <w:r>
        <w:t>74</w:t>
      </w:r>
      <w:r>
        <w:fldChar w:fldCharType="end"/>
      </w:r>
      <w:r>
        <w:rPr>
          <w:rFonts w:ascii="黑体" w:hAnsi="黑体"/>
          <w:szCs w:val="30"/>
        </w:rPr>
        <w:fldChar w:fldCharType="end"/>
      </w:r>
    </w:p>
    <w:p w14:paraId="0CA6DA77">
      <w:pPr>
        <w:pStyle w:val="36"/>
        <w:tabs>
          <w:tab w:val="right" w:leader="dot" w:pos="8306"/>
        </w:tabs>
      </w:pPr>
      <w:r>
        <w:rPr>
          <w:rFonts w:ascii="黑体" w:hAnsi="黑体"/>
          <w:szCs w:val="30"/>
        </w:rPr>
        <w:fldChar w:fldCharType="begin"/>
      </w:r>
      <w:r>
        <w:rPr>
          <w:rFonts w:ascii="黑体" w:hAnsi="黑体"/>
          <w:szCs w:val="30"/>
        </w:rPr>
        <w:instrText xml:space="preserve"> HYPERLINK \l _Toc1918346849 </w:instrText>
      </w:r>
      <w:r>
        <w:rPr>
          <w:rFonts w:ascii="黑体" w:hAnsi="黑体"/>
          <w:szCs w:val="30"/>
        </w:rPr>
        <w:fldChar w:fldCharType="separate"/>
      </w:r>
      <w:r>
        <w:rPr>
          <w:rFonts w:hint="eastAsia" w:ascii="仿宋_GB2312" w:eastAsia="仿宋_GB2312"/>
          <w:szCs w:val="30"/>
        </w:rPr>
        <w:t>5.4. 询价成交</w:t>
      </w:r>
      <w:r>
        <w:tab/>
      </w:r>
      <w:r>
        <w:fldChar w:fldCharType="begin"/>
      </w:r>
      <w:r>
        <w:instrText xml:space="preserve"> PAGEREF _Toc1918346849 \h </w:instrText>
      </w:r>
      <w:r>
        <w:fldChar w:fldCharType="separate"/>
      </w:r>
      <w:r>
        <w:t>81</w:t>
      </w:r>
      <w:r>
        <w:fldChar w:fldCharType="end"/>
      </w:r>
      <w:r>
        <w:rPr>
          <w:rFonts w:ascii="黑体" w:hAnsi="黑体"/>
          <w:szCs w:val="30"/>
        </w:rPr>
        <w:fldChar w:fldCharType="end"/>
      </w:r>
    </w:p>
    <w:p w14:paraId="63ACB668">
      <w:pPr>
        <w:pStyle w:val="36"/>
        <w:tabs>
          <w:tab w:val="right" w:leader="dot" w:pos="8306"/>
        </w:tabs>
      </w:pPr>
      <w:r>
        <w:rPr>
          <w:rFonts w:ascii="黑体" w:hAnsi="黑体"/>
          <w:szCs w:val="30"/>
        </w:rPr>
        <w:fldChar w:fldCharType="begin"/>
      </w:r>
      <w:r>
        <w:rPr>
          <w:rFonts w:ascii="黑体" w:hAnsi="黑体"/>
          <w:szCs w:val="30"/>
        </w:rPr>
        <w:instrText xml:space="preserve"> HYPERLINK \l _Toc700881974 </w:instrText>
      </w:r>
      <w:r>
        <w:rPr>
          <w:rFonts w:ascii="黑体" w:hAnsi="黑体"/>
          <w:szCs w:val="30"/>
        </w:rPr>
        <w:fldChar w:fldCharType="separate"/>
      </w:r>
      <w:r>
        <w:rPr>
          <w:rFonts w:hint="eastAsia" w:ascii="仿宋_GB2312" w:eastAsia="仿宋_GB2312"/>
          <w:szCs w:val="30"/>
        </w:rPr>
        <w:t>5.5. 竞买成交</w:t>
      </w:r>
      <w:r>
        <w:tab/>
      </w:r>
      <w:r>
        <w:fldChar w:fldCharType="begin"/>
      </w:r>
      <w:r>
        <w:instrText xml:space="preserve"> PAGEREF _Toc700881974 \h </w:instrText>
      </w:r>
      <w:r>
        <w:fldChar w:fldCharType="separate"/>
      </w:r>
      <w:r>
        <w:t>86</w:t>
      </w:r>
      <w:r>
        <w:fldChar w:fldCharType="end"/>
      </w:r>
      <w:r>
        <w:rPr>
          <w:rFonts w:ascii="黑体" w:hAnsi="黑体"/>
          <w:szCs w:val="30"/>
        </w:rPr>
        <w:fldChar w:fldCharType="end"/>
      </w:r>
    </w:p>
    <w:p w14:paraId="50C01F71">
      <w:pPr>
        <w:pStyle w:val="36"/>
        <w:tabs>
          <w:tab w:val="right" w:leader="dot" w:pos="8306"/>
        </w:tabs>
      </w:pPr>
      <w:r>
        <w:rPr>
          <w:rFonts w:ascii="黑体" w:hAnsi="黑体"/>
          <w:szCs w:val="30"/>
        </w:rPr>
        <w:fldChar w:fldCharType="begin"/>
      </w:r>
      <w:r>
        <w:rPr>
          <w:rFonts w:ascii="黑体" w:hAnsi="黑体"/>
          <w:szCs w:val="30"/>
        </w:rPr>
        <w:instrText xml:space="preserve"> HYPERLINK \l _Toc84635389 </w:instrText>
      </w:r>
      <w:r>
        <w:rPr>
          <w:rFonts w:ascii="黑体" w:hAnsi="黑体"/>
          <w:szCs w:val="30"/>
        </w:rPr>
        <w:fldChar w:fldCharType="separate"/>
      </w:r>
      <w:r>
        <w:rPr>
          <w:rFonts w:hint="eastAsia" w:ascii="仿宋_GB2312" w:eastAsia="仿宋_GB2312"/>
          <w:szCs w:val="30"/>
        </w:rPr>
        <w:t>5.6. 意向申报</w:t>
      </w:r>
      <w:r>
        <w:tab/>
      </w:r>
      <w:r>
        <w:fldChar w:fldCharType="begin"/>
      </w:r>
      <w:r>
        <w:instrText xml:space="preserve"> PAGEREF _Toc84635389 \h </w:instrText>
      </w:r>
      <w:r>
        <w:fldChar w:fldCharType="separate"/>
      </w:r>
      <w:r>
        <w:t>94</w:t>
      </w:r>
      <w:r>
        <w:fldChar w:fldCharType="end"/>
      </w:r>
      <w:r>
        <w:rPr>
          <w:rFonts w:ascii="黑体" w:hAnsi="黑体"/>
          <w:szCs w:val="30"/>
        </w:rPr>
        <w:fldChar w:fldCharType="end"/>
      </w:r>
    </w:p>
    <w:p w14:paraId="46EAF5DF">
      <w:pPr>
        <w:pStyle w:val="30"/>
        <w:tabs>
          <w:tab w:val="right" w:leader="dot" w:pos="8306"/>
        </w:tabs>
      </w:pPr>
      <w:r>
        <w:rPr>
          <w:rFonts w:ascii="黑体" w:hAnsi="黑体"/>
          <w:szCs w:val="30"/>
        </w:rPr>
        <w:fldChar w:fldCharType="begin"/>
      </w:r>
      <w:r>
        <w:rPr>
          <w:rFonts w:ascii="黑体" w:hAnsi="黑体"/>
          <w:szCs w:val="30"/>
        </w:rPr>
        <w:instrText xml:space="preserve"> HYPERLINK \l _Toc1183737388 </w:instrText>
      </w:r>
      <w:r>
        <w:rPr>
          <w:rFonts w:ascii="黑体" w:hAnsi="黑体"/>
          <w:szCs w:val="30"/>
        </w:rPr>
        <w:fldChar w:fldCharType="separate"/>
      </w:r>
      <w:r>
        <w:rPr>
          <w:rFonts w:hint="eastAsia" w:ascii="黑体" w:hAnsi="黑体" w:eastAsia="黑体"/>
          <w:szCs w:val="36"/>
        </w:rPr>
        <w:t xml:space="preserve">6. </w:t>
      </w:r>
      <w:r>
        <w:rPr>
          <w:rFonts w:hint="eastAsia" w:ascii="黑体" w:hAnsi="黑体" w:eastAsia="黑体" w:cs="黑体"/>
        </w:rPr>
        <w:t>债券现券交易</w:t>
      </w:r>
      <w:r>
        <w:tab/>
      </w:r>
      <w:r>
        <w:fldChar w:fldCharType="begin"/>
      </w:r>
      <w:r>
        <w:instrText xml:space="preserve"> PAGEREF _Toc1183737388 \h </w:instrText>
      </w:r>
      <w:r>
        <w:fldChar w:fldCharType="separate"/>
      </w:r>
      <w:r>
        <w:t>98</w:t>
      </w:r>
      <w:r>
        <w:fldChar w:fldCharType="end"/>
      </w:r>
      <w:r>
        <w:rPr>
          <w:rFonts w:ascii="黑体" w:hAnsi="黑体"/>
          <w:szCs w:val="30"/>
        </w:rPr>
        <w:fldChar w:fldCharType="end"/>
      </w:r>
    </w:p>
    <w:p w14:paraId="3FE19A9E">
      <w:pPr>
        <w:pStyle w:val="36"/>
        <w:tabs>
          <w:tab w:val="right" w:leader="dot" w:pos="8306"/>
        </w:tabs>
      </w:pPr>
      <w:r>
        <w:rPr>
          <w:rFonts w:ascii="黑体" w:hAnsi="黑体"/>
          <w:szCs w:val="30"/>
        </w:rPr>
        <w:fldChar w:fldCharType="begin"/>
      </w:r>
      <w:r>
        <w:rPr>
          <w:rFonts w:ascii="黑体" w:hAnsi="黑体"/>
          <w:szCs w:val="30"/>
        </w:rPr>
        <w:instrText xml:space="preserve"> HYPERLINK \l _Toc1524488779 </w:instrText>
      </w:r>
      <w:r>
        <w:rPr>
          <w:rFonts w:ascii="黑体" w:hAnsi="黑体"/>
          <w:szCs w:val="30"/>
        </w:rPr>
        <w:fldChar w:fldCharType="separate"/>
      </w:r>
      <w:r>
        <w:rPr>
          <w:rFonts w:hint="eastAsia" w:ascii="仿宋_GB2312" w:eastAsia="仿宋_GB2312"/>
          <w:szCs w:val="30"/>
        </w:rPr>
        <w:t>6.1. 交易品种</w:t>
      </w:r>
      <w:r>
        <w:tab/>
      </w:r>
      <w:r>
        <w:fldChar w:fldCharType="begin"/>
      </w:r>
      <w:r>
        <w:instrText xml:space="preserve"> PAGEREF _Toc1524488779 \h </w:instrText>
      </w:r>
      <w:r>
        <w:fldChar w:fldCharType="separate"/>
      </w:r>
      <w:r>
        <w:t>98</w:t>
      </w:r>
      <w:r>
        <w:fldChar w:fldCharType="end"/>
      </w:r>
      <w:r>
        <w:rPr>
          <w:rFonts w:ascii="黑体" w:hAnsi="黑体"/>
          <w:szCs w:val="30"/>
        </w:rPr>
        <w:fldChar w:fldCharType="end"/>
      </w:r>
    </w:p>
    <w:p w14:paraId="7BC98BEC">
      <w:pPr>
        <w:pStyle w:val="36"/>
        <w:tabs>
          <w:tab w:val="right" w:leader="dot" w:pos="8306"/>
        </w:tabs>
      </w:pPr>
      <w:r>
        <w:rPr>
          <w:rFonts w:ascii="黑体" w:hAnsi="黑体"/>
          <w:szCs w:val="30"/>
        </w:rPr>
        <w:fldChar w:fldCharType="begin"/>
      </w:r>
      <w:r>
        <w:rPr>
          <w:rFonts w:ascii="黑体" w:hAnsi="黑体"/>
          <w:szCs w:val="30"/>
        </w:rPr>
        <w:instrText xml:space="preserve"> HYPERLINK \l _Toc1703443926 </w:instrText>
      </w:r>
      <w:r>
        <w:rPr>
          <w:rFonts w:ascii="黑体" w:hAnsi="黑体"/>
          <w:szCs w:val="30"/>
        </w:rPr>
        <w:fldChar w:fldCharType="separate"/>
      </w:r>
      <w:r>
        <w:rPr>
          <w:rFonts w:hint="eastAsia" w:ascii="仿宋_GB2312" w:eastAsia="仿宋_GB2312"/>
          <w:szCs w:val="30"/>
        </w:rPr>
        <w:t>6.2. 现券交易申报与成交</w:t>
      </w:r>
      <w:r>
        <w:tab/>
      </w:r>
      <w:r>
        <w:fldChar w:fldCharType="begin"/>
      </w:r>
      <w:r>
        <w:instrText xml:space="preserve"> PAGEREF _Toc1703443926 \h </w:instrText>
      </w:r>
      <w:r>
        <w:fldChar w:fldCharType="separate"/>
      </w:r>
      <w:r>
        <w:t>100</w:t>
      </w:r>
      <w:r>
        <w:fldChar w:fldCharType="end"/>
      </w:r>
      <w:r>
        <w:rPr>
          <w:rFonts w:ascii="黑体" w:hAnsi="黑体"/>
          <w:szCs w:val="30"/>
        </w:rPr>
        <w:fldChar w:fldCharType="end"/>
      </w:r>
    </w:p>
    <w:p w14:paraId="0F595E1F">
      <w:pPr>
        <w:pStyle w:val="36"/>
        <w:tabs>
          <w:tab w:val="right" w:leader="dot" w:pos="8306"/>
        </w:tabs>
      </w:pPr>
      <w:r>
        <w:rPr>
          <w:rFonts w:ascii="黑体" w:hAnsi="黑体"/>
          <w:szCs w:val="30"/>
        </w:rPr>
        <w:fldChar w:fldCharType="begin"/>
      </w:r>
      <w:r>
        <w:rPr>
          <w:rFonts w:ascii="黑体" w:hAnsi="黑体"/>
          <w:szCs w:val="30"/>
        </w:rPr>
        <w:instrText xml:space="preserve"> HYPERLINK \l _Toc1554734142 </w:instrText>
      </w:r>
      <w:r>
        <w:rPr>
          <w:rFonts w:ascii="黑体" w:hAnsi="黑体"/>
          <w:szCs w:val="30"/>
        </w:rPr>
        <w:fldChar w:fldCharType="separate"/>
      </w:r>
      <w:r>
        <w:rPr>
          <w:rFonts w:hint="eastAsia" w:ascii="仿宋_GB2312" w:eastAsia="仿宋_GB2312"/>
          <w:szCs w:val="30"/>
        </w:rPr>
        <w:t>6.3. 债券做市</w:t>
      </w:r>
      <w:r>
        <w:tab/>
      </w:r>
      <w:r>
        <w:fldChar w:fldCharType="begin"/>
      </w:r>
      <w:r>
        <w:instrText xml:space="preserve"> PAGEREF _Toc1554734142 \h </w:instrText>
      </w:r>
      <w:r>
        <w:fldChar w:fldCharType="separate"/>
      </w:r>
      <w:r>
        <w:t>100</w:t>
      </w:r>
      <w:r>
        <w:fldChar w:fldCharType="end"/>
      </w:r>
      <w:r>
        <w:rPr>
          <w:rFonts w:ascii="黑体" w:hAnsi="黑体"/>
          <w:szCs w:val="30"/>
        </w:rPr>
        <w:fldChar w:fldCharType="end"/>
      </w:r>
    </w:p>
    <w:p w14:paraId="3A8DC00C">
      <w:pPr>
        <w:pStyle w:val="36"/>
        <w:tabs>
          <w:tab w:val="right" w:leader="dot" w:pos="8306"/>
        </w:tabs>
      </w:pPr>
      <w:r>
        <w:rPr>
          <w:rFonts w:ascii="黑体" w:hAnsi="黑体"/>
          <w:szCs w:val="30"/>
        </w:rPr>
        <w:fldChar w:fldCharType="begin"/>
      </w:r>
      <w:r>
        <w:rPr>
          <w:rFonts w:ascii="黑体" w:hAnsi="黑体"/>
          <w:szCs w:val="30"/>
        </w:rPr>
        <w:instrText xml:space="preserve"> HYPERLINK \l _Toc1727992406 </w:instrText>
      </w:r>
      <w:r>
        <w:rPr>
          <w:rFonts w:ascii="黑体" w:hAnsi="黑体"/>
          <w:szCs w:val="30"/>
        </w:rPr>
        <w:fldChar w:fldCharType="separate"/>
      </w:r>
      <w:r>
        <w:rPr>
          <w:rFonts w:hint="eastAsia" w:ascii="仿宋_GB2312" w:eastAsia="仿宋_GB2312"/>
          <w:szCs w:val="30"/>
        </w:rPr>
        <w:t>6.4. 特定债券转让</w:t>
      </w:r>
      <w:r>
        <w:tab/>
      </w:r>
      <w:r>
        <w:fldChar w:fldCharType="begin"/>
      </w:r>
      <w:r>
        <w:instrText xml:space="preserve"> PAGEREF _Toc1727992406 \h </w:instrText>
      </w:r>
      <w:r>
        <w:fldChar w:fldCharType="separate"/>
      </w:r>
      <w:r>
        <w:t>114</w:t>
      </w:r>
      <w:r>
        <w:fldChar w:fldCharType="end"/>
      </w:r>
      <w:r>
        <w:rPr>
          <w:rFonts w:ascii="黑体" w:hAnsi="黑体"/>
          <w:szCs w:val="30"/>
        </w:rPr>
        <w:fldChar w:fldCharType="end"/>
      </w:r>
    </w:p>
    <w:p w14:paraId="7EAF999D">
      <w:pPr>
        <w:pStyle w:val="36"/>
        <w:tabs>
          <w:tab w:val="right" w:leader="dot" w:pos="8306"/>
        </w:tabs>
      </w:pPr>
      <w:r>
        <w:rPr>
          <w:rFonts w:ascii="黑体" w:hAnsi="黑体"/>
          <w:szCs w:val="30"/>
        </w:rPr>
        <w:fldChar w:fldCharType="begin"/>
      </w:r>
      <w:r>
        <w:rPr>
          <w:rFonts w:ascii="黑体" w:hAnsi="黑体"/>
          <w:szCs w:val="30"/>
        </w:rPr>
        <w:instrText xml:space="preserve"> HYPERLINK \l _Toc573036818 </w:instrText>
      </w:r>
      <w:r>
        <w:rPr>
          <w:rFonts w:ascii="黑体" w:hAnsi="黑体"/>
          <w:szCs w:val="30"/>
        </w:rPr>
        <w:fldChar w:fldCharType="separate"/>
      </w:r>
      <w:r>
        <w:rPr>
          <w:rFonts w:hint="eastAsia" w:ascii="仿宋_GB2312" w:eastAsia="仿宋_GB2312"/>
          <w:szCs w:val="30"/>
        </w:rPr>
        <w:t xml:space="preserve">6.5. </w:t>
      </w:r>
      <w:r>
        <w:rPr>
          <w:rFonts w:ascii="仿宋_GB2312" w:eastAsia="仿宋_GB2312"/>
          <w:szCs w:val="30"/>
        </w:rPr>
        <w:t>盘中临时停牌</w:t>
      </w:r>
      <w:r>
        <w:tab/>
      </w:r>
      <w:r>
        <w:fldChar w:fldCharType="begin"/>
      </w:r>
      <w:r>
        <w:instrText xml:space="preserve"> PAGEREF _Toc573036818 \h </w:instrText>
      </w:r>
      <w:r>
        <w:fldChar w:fldCharType="separate"/>
      </w:r>
      <w:r>
        <w:t>117</w:t>
      </w:r>
      <w:r>
        <w:fldChar w:fldCharType="end"/>
      </w:r>
      <w:r>
        <w:rPr>
          <w:rFonts w:ascii="黑体" w:hAnsi="黑体"/>
          <w:szCs w:val="30"/>
        </w:rPr>
        <w:fldChar w:fldCharType="end"/>
      </w:r>
    </w:p>
    <w:p w14:paraId="4D99B4A0">
      <w:pPr>
        <w:pStyle w:val="30"/>
        <w:tabs>
          <w:tab w:val="right" w:leader="dot" w:pos="8306"/>
        </w:tabs>
      </w:pPr>
      <w:r>
        <w:rPr>
          <w:rFonts w:ascii="黑体" w:hAnsi="黑体"/>
          <w:szCs w:val="30"/>
        </w:rPr>
        <w:fldChar w:fldCharType="begin"/>
      </w:r>
      <w:r>
        <w:rPr>
          <w:rFonts w:ascii="黑体" w:hAnsi="黑体"/>
          <w:szCs w:val="30"/>
        </w:rPr>
        <w:instrText xml:space="preserve"> HYPERLINK \l _Toc1103448395 </w:instrText>
      </w:r>
      <w:r>
        <w:rPr>
          <w:rFonts w:ascii="黑体" w:hAnsi="黑体"/>
          <w:szCs w:val="30"/>
        </w:rPr>
        <w:fldChar w:fldCharType="separate"/>
      </w:r>
      <w:r>
        <w:rPr>
          <w:rFonts w:hint="eastAsia" w:ascii="黑体" w:hAnsi="黑体" w:eastAsia="黑体"/>
          <w:szCs w:val="36"/>
        </w:rPr>
        <w:t xml:space="preserve">7. </w:t>
      </w:r>
      <w:r>
        <w:rPr>
          <w:rFonts w:hint="eastAsia" w:ascii="黑体" w:hAnsi="黑体" w:eastAsia="黑体" w:cs="黑体"/>
        </w:rPr>
        <w:t>债券回购交易</w:t>
      </w:r>
      <w:r>
        <w:tab/>
      </w:r>
      <w:r>
        <w:fldChar w:fldCharType="begin"/>
      </w:r>
      <w:r>
        <w:instrText xml:space="preserve"> PAGEREF _Toc1103448395 \h </w:instrText>
      </w:r>
      <w:r>
        <w:fldChar w:fldCharType="separate"/>
      </w:r>
      <w:r>
        <w:t>119</w:t>
      </w:r>
      <w:r>
        <w:fldChar w:fldCharType="end"/>
      </w:r>
      <w:r>
        <w:rPr>
          <w:rFonts w:ascii="黑体" w:hAnsi="黑体"/>
          <w:szCs w:val="30"/>
        </w:rPr>
        <w:fldChar w:fldCharType="end"/>
      </w:r>
    </w:p>
    <w:p w14:paraId="79ED1006">
      <w:pPr>
        <w:pStyle w:val="36"/>
        <w:tabs>
          <w:tab w:val="right" w:leader="dot" w:pos="8306"/>
        </w:tabs>
      </w:pPr>
      <w:r>
        <w:rPr>
          <w:rFonts w:ascii="黑体" w:hAnsi="黑体"/>
          <w:szCs w:val="30"/>
        </w:rPr>
        <w:fldChar w:fldCharType="begin"/>
      </w:r>
      <w:r>
        <w:rPr>
          <w:rFonts w:ascii="黑体" w:hAnsi="黑体"/>
          <w:szCs w:val="30"/>
        </w:rPr>
        <w:instrText xml:space="preserve"> HYPERLINK \l _Toc285683298 </w:instrText>
      </w:r>
      <w:r>
        <w:rPr>
          <w:rFonts w:ascii="黑体" w:hAnsi="黑体"/>
          <w:szCs w:val="30"/>
        </w:rPr>
        <w:fldChar w:fldCharType="separate"/>
      </w:r>
      <w:r>
        <w:rPr>
          <w:rFonts w:hint="eastAsia" w:ascii="仿宋_GB2312" w:eastAsia="仿宋_GB2312"/>
          <w:szCs w:val="30"/>
        </w:rPr>
        <w:t>7.1. 一般规定</w:t>
      </w:r>
      <w:r>
        <w:tab/>
      </w:r>
      <w:r>
        <w:fldChar w:fldCharType="begin"/>
      </w:r>
      <w:r>
        <w:instrText xml:space="preserve"> PAGEREF _Toc285683298 \h </w:instrText>
      </w:r>
      <w:r>
        <w:fldChar w:fldCharType="separate"/>
      </w:r>
      <w:r>
        <w:t>119</w:t>
      </w:r>
      <w:r>
        <w:fldChar w:fldCharType="end"/>
      </w:r>
      <w:r>
        <w:rPr>
          <w:rFonts w:ascii="黑体" w:hAnsi="黑体"/>
          <w:szCs w:val="30"/>
        </w:rPr>
        <w:fldChar w:fldCharType="end"/>
      </w:r>
    </w:p>
    <w:p w14:paraId="1F644ED3">
      <w:pPr>
        <w:pStyle w:val="36"/>
        <w:tabs>
          <w:tab w:val="right" w:leader="dot" w:pos="8306"/>
        </w:tabs>
      </w:pPr>
      <w:r>
        <w:rPr>
          <w:rFonts w:ascii="黑体" w:hAnsi="黑体"/>
          <w:szCs w:val="30"/>
        </w:rPr>
        <w:fldChar w:fldCharType="begin"/>
      </w:r>
      <w:r>
        <w:rPr>
          <w:rFonts w:ascii="黑体" w:hAnsi="黑体"/>
          <w:szCs w:val="30"/>
        </w:rPr>
        <w:instrText xml:space="preserve"> HYPERLINK \l _Toc535489795 </w:instrText>
      </w:r>
      <w:r>
        <w:rPr>
          <w:rFonts w:ascii="黑体" w:hAnsi="黑体"/>
          <w:szCs w:val="30"/>
        </w:rPr>
        <w:fldChar w:fldCharType="separate"/>
      </w:r>
      <w:r>
        <w:rPr>
          <w:rFonts w:hint="eastAsia" w:ascii="仿宋_GB2312" w:eastAsia="仿宋_GB2312"/>
          <w:szCs w:val="30"/>
        </w:rPr>
        <w:t>7.2. 债券通用质押式回购</w:t>
      </w:r>
      <w:r>
        <w:tab/>
      </w:r>
      <w:r>
        <w:fldChar w:fldCharType="begin"/>
      </w:r>
      <w:r>
        <w:instrText xml:space="preserve"> PAGEREF _Toc535489795 \h </w:instrText>
      </w:r>
      <w:r>
        <w:fldChar w:fldCharType="separate"/>
      </w:r>
      <w:r>
        <w:t>123</w:t>
      </w:r>
      <w:r>
        <w:fldChar w:fldCharType="end"/>
      </w:r>
      <w:r>
        <w:rPr>
          <w:rFonts w:ascii="黑体" w:hAnsi="黑体"/>
          <w:szCs w:val="30"/>
        </w:rPr>
        <w:fldChar w:fldCharType="end"/>
      </w:r>
    </w:p>
    <w:p w14:paraId="2448A417">
      <w:pPr>
        <w:pStyle w:val="36"/>
        <w:tabs>
          <w:tab w:val="right" w:leader="dot" w:pos="8306"/>
        </w:tabs>
      </w:pPr>
      <w:r>
        <w:rPr>
          <w:rFonts w:ascii="黑体" w:hAnsi="黑体"/>
          <w:szCs w:val="30"/>
        </w:rPr>
        <w:fldChar w:fldCharType="begin"/>
      </w:r>
      <w:r>
        <w:rPr>
          <w:rFonts w:ascii="黑体" w:hAnsi="黑体"/>
          <w:szCs w:val="30"/>
        </w:rPr>
        <w:instrText xml:space="preserve"> HYPERLINK \l _Toc1409176197 </w:instrText>
      </w:r>
      <w:r>
        <w:rPr>
          <w:rFonts w:ascii="黑体" w:hAnsi="黑体"/>
          <w:szCs w:val="30"/>
        </w:rPr>
        <w:fldChar w:fldCharType="separate"/>
      </w:r>
      <w:r>
        <w:rPr>
          <w:rFonts w:hint="eastAsia" w:ascii="仿宋_GB2312" w:eastAsia="仿宋_GB2312"/>
          <w:szCs w:val="30"/>
        </w:rPr>
        <w:t>7.3. 债券质押式协议回购</w:t>
      </w:r>
      <w:r>
        <w:tab/>
      </w:r>
      <w:r>
        <w:fldChar w:fldCharType="begin"/>
      </w:r>
      <w:r>
        <w:instrText xml:space="preserve"> PAGEREF _Toc1409176197 \h </w:instrText>
      </w:r>
      <w:r>
        <w:fldChar w:fldCharType="separate"/>
      </w:r>
      <w:r>
        <w:t>138</w:t>
      </w:r>
      <w:r>
        <w:fldChar w:fldCharType="end"/>
      </w:r>
      <w:r>
        <w:rPr>
          <w:rFonts w:ascii="黑体" w:hAnsi="黑体"/>
          <w:szCs w:val="30"/>
        </w:rPr>
        <w:fldChar w:fldCharType="end"/>
      </w:r>
    </w:p>
    <w:p w14:paraId="7D48834A">
      <w:pPr>
        <w:pStyle w:val="36"/>
        <w:tabs>
          <w:tab w:val="right" w:leader="dot" w:pos="8306"/>
        </w:tabs>
      </w:pPr>
      <w:r>
        <w:rPr>
          <w:rFonts w:ascii="黑体" w:hAnsi="黑体"/>
          <w:szCs w:val="30"/>
        </w:rPr>
        <w:fldChar w:fldCharType="begin"/>
      </w:r>
      <w:r>
        <w:rPr>
          <w:rFonts w:ascii="黑体" w:hAnsi="黑体"/>
          <w:szCs w:val="30"/>
        </w:rPr>
        <w:instrText xml:space="preserve"> HYPERLINK \l _Toc144278935 </w:instrText>
      </w:r>
      <w:r>
        <w:rPr>
          <w:rFonts w:ascii="黑体" w:hAnsi="黑体"/>
          <w:szCs w:val="30"/>
        </w:rPr>
        <w:fldChar w:fldCharType="separate"/>
      </w:r>
      <w:r>
        <w:rPr>
          <w:rFonts w:hint="eastAsia" w:ascii="仿宋_GB2312" w:eastAsia="仿宋_GB2312"/>
          <w:szCs w:val="30"/>
        </w:rPr>
        <w:t>7.4. 债券质押式三方回购</w:t>
      </w:r>
      <w:r>
        <w:tab/>
      </w:r>
      <w:r>
        <w:fldChar w:fldCharType="begin"/>
      </w:r>
      <w:r>
        <w:instrText xml:space="preserve"> PAGEREF _Toc144278935 \h </w:instrText>
      </w:r>
      <w:r>
        <w:fldChar w:fldCharType="separate"/>
      </w:r>
      <w:r>
        <w:t>149</w:t>
      </w:r>
      <w:r>
        <w:fldChar w:fldCharType="end"/>
      </w:r>
      <w:r>
        <w:rPr>
          <w:rFonts w:ascii="黑体" w:hAnsi="黑体"/>
          <w:szCs w:val="30"/>
        </w:rPr>
        <w:fldChar w:fldCharType="end"/>
      </w:r>
    </w:p>
    <w:p w14:paraId="149D41A2">
      <w:pPr>
        <w:pStyle w:val="30"/>
        <w:tabs>
          <w:tab w:val="right" w:leader="dot" w:pos="8306"/>
        </w:tabs>
      </w:pPr>
      <w:r>
        <w:rPr>
          <w:rFonts w:ascii="黑体" w:hAnsi="黑体"/>
          <w:szCs w:val="30"/>
        </w:rPr>
        <w:fldChar w:fldCharType="begin"/>
      </w:r>
      <w:r>
        <w:rPr>
          <w:rFonts w:ascii="黑体" w:hAnsi="黑体"/>
          <w:szCs w:val="30"/>
        </w:rPr>
        <w:instrText xml:space="preserve"> HYPERLINK \l _Toc752261538 </w:instrText>
      </w:r>
      <w:r>
        <w:rPr>
          <w:rFonts w:ascii="黑体" w:hAnsi="黑体"/>
          <w:szCs w:val="30"/>
        </w:rPr>
        <w:fldChar w:fldCharType="separate"/>
      </w:r>
      <w:r>
        <w:rPr>
          <w:rFonts w:hint="eastAsia" w:ascii="黑体" w:hAnsi="黑体" w:eastAsia="黑体"/>
          <w:szCs w:val="36"/>
        </w:rPr>
        <w:t xml:space="preserve">8. </w:t>
      </w:r>
      <w:r>
        <w:rPr>
          <w:rFonts w:hint="eastAsia" w:ascii="黑体" w:hAnsi="黑体" w:eastAsia="黑体" w:cs="黑体"/>
        </w:rPr>
        <w:t>其他交易类型</w:t>
      </w:r>
      <w:r>
        <w:tab/>
      </w:r>
      <w:r>
        <w:fldChar w:fldCharType="begin"/>
      </w:r>
      <w:r>
        <w:instrText xml:space="preserve"> PAGEREF _Toc752261538 \h </w:instrText>
      </w:r>
      <w:r>
        <w:fldChar w:fldCharType="separate"/>
      </w:r>
      <w:r>
        <w:t>176</w:t>
      </w:r>
      <w:r>
        <w:fldChar w:fldCharType="end"/>
      </w:r>
      <w:r>
        <w:rPr>
          <w:rFonts w:ascii="黑体" w:hAnsi="黑体"/>
          <w:szCs w:val="30"/>
        </w:rPr>
        <w:fldChar w:fldCharType="end"/>
      </w:r>
    </w:p>
    <w:p w14:paraId="6AE6BBF3">
      <w:pPr>
        <w:pStyle w:val="36"/>
        <w:tabs>
          <w:tab w:val="right" w:leader="dot" w:pos="8306"/>
        </w:tabs>
      </w:pPr>
      <w:r>
        <w:rPr>
          <w:rFonts w:ascii="黑体" w:hAnsi="黑体"/>
          <w:szCs w:val="30"/>
        </w:rPr>
        <w:fldChar w:fldCharType="begin"/>
      </w:r>
      <w:r>
        <w:rPr>
          <w:rFonts w:ascii="黑体" w:hAnsi="黑体"/>
          <w:szCs w:val="30"/>
        </w:rPr>
        <w:instrText xml:space="preserve"> HYPERLINK \l _Toc1210465012 </w:instrText>
      </w:r>
      <w:r>
        <w:rPr>
          <w:rFonts w:ascii="黑体" w:hAnsi="黑体"/>
          <w:szCs w:val="30"/>
        </w:rPr>
        <w:fldChar w:fldCharType="separate"/>
      </w:r>
      <w:r>
        <w:rPr>
          <w:rFonts w:hint="eastAsia" w:ascii="仿宋_GB2312" w:eastAsia="仿宋_GB2312"/>
          <w:szCs w:val="30"/>
        </w:rPr>
        <w:t>8.1. 国债预发行</w:t>
      </w:r>
      <w:r>
        <w:tab/>
      </w:r>
      <w:r>
        <w:fldChar w:fldCharType="begin"/>
      </w:r>
      <w:r>
        <w:instrText xml:space="preserve"> PAGEREF _Toc1210465012 \h </w:instrText>
      </w:r>
      <w:r>
        <w:fldChar w:fldCharType="separate"/>
      </w:r>
      <w:r>
        <w:t>176</w:t>
      </w:r>
      <w:r>
        <w:fldChar w:fldCharType="end"/>
      </w:r>
      <w:r>
        <w:rPr>
          <w:rFonts w:ascii="黑体" w:hAnsi="黑体"/>
          <w:szCs w:val="30"/>
        </w:rPr>
        <w:fldChar w:fldCharType="end"/>
      </w:r>
    </w:p>
    <w:p w14:paraId="3D2E90FE">
      <w:pPr>
        <w:pStyle w:val="36"/>
        <w:tabs>
          <w:tab w:val="right" w:leader="dot" w:pos="8306"/>
        </w:tabs>
      </w:pPr>
      <w:r>
        <w:rPr>
          <w:rFonts w:ascii="黑体" w:hAnsi="黑体"/>
          <w:szCs w:val="30"/>
        </w:rPr>
        <w:fldChar w:fldCharType="begin"/>
      </w:r>
      <w:r>
        <w:rPr>
          <w:rFonts w:ascii="黑体" w:hAnsi="黑体"/>
          <w:szCs w:val="30"/>
        </w:rPr>
        <w:instrText xml:space="preserve"> HYPERLINK \l _Toc1604295482 </w:instrText>
      </w:r>
      <w:r>
        <w:rPr>
          <w:rFonts w:ascii="黑体" w:hAnsi="黑体"/>
          <w:szCs w:val="30"/>
        </w:rPr>
        <w:fldChar w:fldCharType="separate"/>
      </w:r>
      <w:r>
        <w:rPr>
          <w:rFonts w:hint="eastAsia" w:ascii="仿宋_GB2312" w:eastAsia="仿宋_GB2312"/>
          <w:szCs w:val="30"/>
        </w:rPr>
        <w:t>8.2. 债券借贷</w:t>
      </w:r>
      <w:r>
        <w:tab/>
      </w:r>
      <w:r>
        <w:fldChar w:fldCharType="begin"/>
      </w:r>
      <w:r>
        <w:instrText xml:space="preserve"> PAGEREF _Toc1604295482 \h </w:instrText>
      </w:r>
      <w:r>
        <w:fldChar w:fldCharType="separate"/>
      </w:r>
      <w:r>
        <w:t>185</w:t>
      </w:r>
      <w:r>
        <w:fldChar w:fldCharType="end"/>
      </w:r>
      <w:r>
        <w:rPr>
          <w:rFonts w:ascii="黑体" w:hAnsi="黑体"/>
          <w:szCs w:val="30"/>
        </w:rPr>
        <w:fldChar w:fldCharType="end"/>
      </w:r>
    </w:p>
    <w:p w14:paraId="0ABA580F">
      <w:pPr>
        <w:pStyle w:val="36"/>
        <w:tabs>
          <w:tab w:val="right" w:leader="dot" w:pos="8306"/>
        </w:tabs>
      </w:pPr>
      <w:r>
        <w:rPr>
          <w:rFonts w:ascii="黑体" w:hAnsi="黑体"/>
          <w:szCs w:val="30"/>
        </w:rPr>
        <w:fldChar w:fldCharType="begin"/>
      </w:r>
      <w:r>
        <w:rPr>
          <w:rFonts w:ascii="黑体" w:hAnsi="黑体"/>
          <w:szCs w:val="30"/>
        </w:rPr>
        <w:instrText xml:space="preserve"> HYPERLINK \l _Toc464193754 </w:instrText>
      </w:r>
      <w:r>
        <w:rPr>
          <w:rFonts w:ascii="黑体" w:hAnsi="黑体"/>
          <w:szCs w:val="30"/>
        </w:rPr>
        <w:fldChar w:fldCharType="separate"/>
      </w:r>
      <w:r>
        <w:rPr>
          <w:rFonts w:hint="eastAsia" w:ascii="仿宋_GB2312" w:eastAsia="仿宋_GB2312"/>
          <w:szCs w:val="30"/>
        </w:rPr>
        <w:t>8.3. 信用保护工具</w:t>
      </w:r>
      <w:r>
        <w:tab/>
      </w:r>
      <w:r>
        <w:fldChar w:fldCharType="begin"/>
      </w:r>
      <w:r>
        <w:instrText xml:space="preserve"> PAGEREF _Toc464193754 \h </w:instrText>
      </w:r>
      <w:r>
        <w:fldChar w:fldCharType="separate"/>
      </w:r>
      <w:r>
        <w:t>200</w:t>
      </w:r>
      <w:r>
        <w:fldChar w:fldCharType="end"/>
      </w:r>
      <w:r>
        <w:rPr>
          <w:rFonts w:ascii="黑体" w:hAnsi="黑体"/>
          <w:szCs w:val="30"/>
        </w:rPr>
        <w:fldChar w:fldCharType="end"/>
      </w:r>
    </w:p>
    <w:p w14:paraId="6C4A6A2A">
      <w:pPr>
        <w:pStyle w:val="36"/>
        <w:tabs>
          <w:tab w:val="right" w:leader="dot" w:pos="8306"/>
        </w:tabs>
      </w:pPr>
      <w:r>
        <w:rPr>
          <w:rFonts w:ascii="黑体" w:hAnsi="黑体"/>
          <w:szCs w:val="30"/>
        </w:rPr>
        <w:fldChar w:fldCharType="begin"/>
      </w:r>
      <w:r>
        <w:rPr>
          <w:rFonts w:ascii="黑体" w:hAnsi="黑体"/>
          <w:szCs w:val="30"/>
        </w:rPr>
        <w:instrText xml:space="preserve"> HYPERLINK \l _Toc125059113 </w:instrText>
      </w:r>
      <w:r>
        <w:rPr>
          <w:rFonts w:ascii="黑体" w:hAnsi="黑体"/>
          <w:szCs w:val="30"/>
        </w:rPr>
        <w:fldChar w:fldCharType="separate"/>
      </w:r>
      <w:r>
        <w:rPr>
          <w:rFonts w:hint="eastAsia" w:ascii="仿宋_GB2312" w:eastAsia="仿宋_GB2312" w:cs="宋体"/>
          <w:szCs w:val="30"/>
        </w:rPr>
        <w:t xml:space="preserve">8.4. </w:t>
      </w:r>
      <w:r>
        <w:rPr>
          <w:rFonts w:hint="eastAsia" w:eastAsia="仿宋_GB2312" w:cs="宋体"/>
          <w:szCs w:val="30"/>
        </w:rPr>
        <w:t>担保品处置</w:t>
      </w:r>
      <w:r>
        <w:tab/>
      </w:r>
      <w:r>
        <w:fldChar w:fldCharType="begin"/>
      </w:r>
      <w:r>
        <w:instrText xml:space="preserve"> PAGEREF _Toc125059113 \h </w:instrText>
      </w:r>
      <w:r>
        <w:fldChar w:fldCharType="separate"/>
      </w:r>
      <w:r>
        <w:t>221</w:t>
      </w:r>
      <w:r>
        <w:fldChar w:fldCharType="end"/>
      </w:r>
      <w:r>
        <w:rPr>
          <w:rFonts w:ascii="黑体" w:hAnsi="黑体"/>
          <w:szCs w:val="30"/>
        </w:rPr>
        <w:fldChar w:fldCharType="end"/>
      </w:r>
    </w:p>
    <w:p w14:paraId="4A0F4D1C">
      <w:pPr>
        <w:pStyle w:val="30"/>
        <w:tabs>
          <w:tab w:val="right" w:leader="dot" w:pos="8306"/>
        </w:tabs>
      </w:pPr>
      <w:r>
        <w:rPr>
          <w:rFonts w:ascii="黑体" w:hAnsi="黑体"/>
          <w:szCs w:val="30"/>
        </w:rPr>
        <w:fldChar w:fldCharType="begin"/>
      </w:r>
      <w:r>
        <w:rPr>
          <w:rFonts w:ascii="黑体" w:hAnsi="黑体"/>
          <w:szCs w:val="30"/>
        </w:rPr>
        <w:instrText xml:space="preserve"> HYPERLINK \l _Toc1893816124 </w:instrText>
      </w:r>
      <w:r>
        <w:rPr>
          <w:rFonts w:ascii="黑体" w:hAnsi="黑体"/>
          <w:szCs w:val="30"/>
        </w:rPr>
        <w:fldChar w:fldCharType="separate"/>
      </w:r>
      <w:r>
        <w:rPr>
          <w:rFonts w:hint="eastAsia" w:ascii="黑体" w:hAnsi="黑体" w:eastAsia="黑体"/>
          <w:szCs w:val="36"/>
        </w:rPr>
        <w:t xml:space="preserve">9. </w:t>
      </w:r>
      <w:r>
        <w:rPr>
          <w:rFonts w:hint="eastAsia" w:ascii="黑体" w:hAnsi="黑体" w:eastAsia="黑体" w:cs="黑体"/>
        </w:rPr>
        <w:t>非交易类服务</w:t>
      </w:r>
      <w:r>
        <w:tab/>
      </w:r>
      <w:r>
        <w:fldChar w:fldCharType="begin"/>
      </w:r>
      <w:r>
        <w:instrText xml:space="preserve"> PAGEREF _Toc1893816124 \h </w:instrText>
      </w:r>
      <w:r>
        <w:fldChar w:fldCharType="separate"/>
      </w:r>
      <w:r>
        <w:t>235</w:t>
      </w:r>
      <w:r>
        <w:fldChar w:fldCharType="end"/>
      </w:r>
      <w:r>
        <w:rPr>
          <w:rFonts w:ascii="黑体" w:hAnsi="黑体"/>
          <w:szCs w:val="30"/>
        </w:rPr>
        <w:fldChar w:fldCharType="end"/>
      </w:r>
    </w:p>
    <w:p w14:paraId="45BABE9B">
      <w:pPr>
        <w:pStyle w:val="36"/>
        <w:tabs>
          <w:tab w:val="right" w:leader="dot" w:pos="8306"/>
        </w:tabs>
      </w:pPr>
      <w:r>
        <w:rPr>
          <w:rFonts w:ascii="黑体" w:hAnsi="黑体"/>
          <w:szCs w:val="30"/>
        </w:rPr>
        <w:fldChar w:fldCharType="begin"/>
      </w:r>
      <w:r>
        <w:rPr>
          <w:rFonts w:ascii="黑体" w:hAnsi="黑体"/>
          <w:szCs w:val="30"/>
        </w:rPr>
        <w:instrText xml:space="preserve"> HYPERLINK \l _Toc684761277 </w:instrText>
      </w:r>
      <w:r>
        <w:rPr>
          <w:rFonts w:ascii="黑体" w:hAnsi="黑体"/>
          <w:szCs w:val="30"/>
        </w:rPr>
        <w:fldChar w:fldCharType="separate"/>
      </w:r>
      <w:r>
        <w:rPr>
          <w:rFonts w:hint="eastAsia" w:ascii="仿宋_GB2312" w:eastAsia="仿宋_GB2312"/>
          <w:szCs w:val="30"/>
        </w:rPr>
        <w:t>9.1. 分期偿还</w:t>
      </w:r>
      <w:r>
        <w:tab/>
      </w:r>
      <w:r>
        <w:fldChar w:fldCharType="begin"/>
      </w:r>
      <w:r>
        <w:instrText xml:space="preserve"> PAGEREF _Toc684761277 \h </w:instrText>
      </w:r>
      <w:r>
        <w:fldChar w:fldCharType="separate"/>
      </w:r>
      <w:r>
        <w:t>235</w:t>
      </w:r>
      <w:r>
        <w:fldChar w:fldCharType="end"/>
      </w:r>
      <w:r>
        <w:rPr>
          <w:rFonts w:ascii="黑体" w:hAnsi="黑体"/>
          <w:szCs w:val="30"/>
        </w:rPr>
        <w:fldChar w:fldCharType="end"/>
      </w:r>
    </w:p>
    <w:p w14:paraId="5E66D652">
      <w:pPr>
        <w:pStyle w:val="36"/>
        <w:tabs>
          <w:tab w:val="right" w:leader="dot" w:pos="8306"/>
        </w:tabs>
      </w:pPr>
      <w:r>
        <w:rPr>
          <w:rFonts w:ascii="黑体" w:hAnsi="黑体"/>
          <w:szCs w:val="30"/>
        </w:rPr>
        <w:fldChar w:fldCharType="begin"/>
      </w:r>
      <w:r>
        <w:rPr>
          <w:rFonts w:ascii="黑体" w:hAnsi="黑体"/>
          <w:szCs w:val="30"/>
        </w:rPr>
        <w:instrText xml:space="preserve"> HYPERLINK \l _Toc682488501 </w:instrText>
      </w:r>
      <w:r>
        <w:rPr>
          <w:rFonts w:ascii="黑体" w:hAnsi="黑体"/>
          <w:szCs w:val="30"/>
        </w:rPr>
        <w:fldChar w:fldCharType="separate"/>
      </w:r>
      <w:r>
        <w:rPr>
          <w:rFonts w:hint="eastAsia" w:ascii="仿宋_GB2312" w:eastAsia="仿宋_GB2312"/>
          <w:szCs w:val="30"/>
        </w:rPr>
        <w:t>9.2. 债券回售</w:t>
      </w:r>
      <w:r>
        <w:tab/>
      </w:r>
      <w:r>
        <w:fldChar w:fldCharType="begin"/>
      </w:r>
      <w:r>
        <w:instrText xml:space="preserve"> PAGEREF _Toc682488501 \h </w:instrText>
      </w:r>
      <w:r>
        <w:fldChar w:fldCharType="separate"/>
      </w:r>
      <w:r>
        <w:t>236</w:t>
      </w:r>
      <w:r>
        <w:fldChar w:fldCharType="end"/>
      </w:r>
      <w:r>
        <w:rPr>
          <w:rFonts w:ascii="黑体" w:hAnsi="黑体"/>
          <w:szCs w:val="30"/>
        </w:rPr>
        <w:fldChar w:fldCharType="end"/>
      </w:r>
    </w:p>
    <w:p w14:paraId="1DB89ED6">
      <w:pPr>
        <w:pStyle w:val="36"/>
        <w:tabs>
          <w:tab w:val="right" w:leader="dot" w:pos="8306"/>
        </w:tabs>
      </w:pPr>
      <w:r>
        <w:rPr>
          <w:rFonts w:ascii="黑体" w:hAnsi="黑体"/>
          <w:szCs w:val="30"/>
        </w:rPr>
        <w:fldChar w:fldCharType="begin"/>
      </w:r>
      <w:r>
        <w:rPr>
          <w:rFonts w:ascii="黑体" w:hAnsi="黑体"/>
          <w:szCs w:val="30"/>
        </w:rPr>
        <w:instrText xml:space="preserve"> HYPERLINK \l _Toc1963193637 </w:instrText>
      </w:r>
      <w:r>
        <w:rPr>
          <w:rFonts w:ascii="黑体" w:hAnsi="黑体"/>
          <w:szCs w:val="30"/>
        </w:rPr>
        <w:fldChar w:fldCharType="separate"/>
      </w:r>
      <w:r>
        <w:rPr>
          <w:rFonts w:hint="eastAsia" w:ascii="仿宋_GB2312" w:eastAsia="仿宋_GB2312"/>
          <w:szCs w:val="30"/>
        </w:rPr>
        <w:t>9.3. 债券回售后转售</w:t>
      </w:r>
      <w:r>
        <w:tab/>
      </w:r>
      <w:r>
        <w:fldChar w:fldCharType="begin"/>
      </w:r>
      <w:r>
        <w:instrText xml:space="preserve"> PAGEREF _Toc1963193637 \h </w:instrText>
      </w:r>
      <w:r>
        <w:fldChar w:fldCharType="separate"/>
      </w:r>
      <w:r>
        <w:t>240</w:t>
      </w:r>
      <w:r>
        <w:fldChar w:fldCharType="end"/>
      </w:r>
      <w:r>
        <w:rPr>
          <w:rFonts w:ascii="黑体" w:hAnsi="黑体"/>
          <w:szCs w:val="30"/>
        </w:rPr>
        <w:fldChar w:fldCharType="end"/>
      </w:r>
    </w:p>
    <w:p w14:paraId="1269EDB5">
      <w:pPr>
        <w:pStyle w:val="36"/>
        <w:tabs>
          <w:tab w:val="right" w:leader="dot" w:pos="8306"/>
        </w:tabs>
      </w:pPr>
      <w:r>
        <w:rPr>
          <w:rFonts w:ascii="黑体" w:hAnsi="黑体"/>
          <w:szCs w:val="30"/>
        </w:rPr>
        <w:fldChar w:fldCharType="begin"/>
      </w:r>
      <w:r>
        <w:rPr>
          <w:rFonts w:ascii="黑体" w:hAnsi="黑体"/>
          <w:szCs w:val="30"/>
        </w:rPr>
        <w:instrText xml:space="preserve"> HYPERLINK \l _Toc1316550073 </w:instrText>
      </w:r>
      <w:r>
        <w:rPr>
          <w:rFonts w:ascii="黑体" w:hAnsi="黑体"/>
          <w:szCs w:val="30"/>
        </w:rPr>
        <w:fldChar w:fldCharType="separate"/>
      </w:r>
      <w:r>
        <w:rPr>
          <w:rFonts w:hint="eastAsia" w:ascii="仿宋_GB2312" w:eastAsia="仿宋_GB2312"/>
          <w:szCs w:val="30"/>
        </w:rPr>
        <w:t>9.4. 债券转股</w:t>
      </w:r>
      <w:r>
        <w:tab/>
      </w:r>
      <w:r>
        <w:fldChar w:fldCharType="begin"/>
      </w:r>
      <w:r>
        <w:instrText xml:space="preserve"> PAGEREF _Toc1316550073 \h </w:instrText>
      </w:r>
      <w:r>
        <w:fldChar w:fldCharType="separate"/>
      </w:r>
      <w:r>
        <w:t>241</w:t>
      </w:r>
      <w:r>
        <w:fldChar w:fldCharType="end"/>
      </w:r>
      <w:r>
        <w:rPr>
          <w:rFonts w:ascii="黑体" w:hAnsi="黑体"/>
          <w:szCs w:val="30"/>
        </w:rPr>
        <w:fldChar w:fldCharType="end"/>
      </w:r>
    </w:p>
    <w:p w14:paraId="2EA73308">
      <w:pPr>
        <w:pStyle w:val="36"/>
        <w:tabs>
          <w:tab w:val="right" w:leader="dot" w:pos="8306"/>
        </w:tabs>
      </w:pPr>
      <w:r>
        <w:rPr>
          <w:rFonts w:ascii="黑体" w:hAnsi="黑体"/>
          <w:szCs w:val="30"/>
        </w:rPr>
        <w:fldChar w:fldCharType="begin"/>
      </w:r>
      <w:r>
        <w:rPr>
          <w:rFonts w:ascii="黑体" w:hAnsi="黑体"/>
          <w:szCs w:val="30"/>
        </w:rPr>
        <w:instrText xml:space="preserve"> HYPERLINK \l _Toc2078805654 </w:instrText>
      </w:r>
      <w:r>
        <w:rPr>
          <w:rFonts w:ascii="黑体" w:hAnsi="黑体"/>
          <w:szCs w:val="30"/>
        </w:rPr>
        <w:fldChar w:fldCharType="separate"/>
      </w:r>
      <w:r>
        <w:rPr>
          <w:rFonts w:hint="eastAsia" w:ascii="仿宋_GB2312" w:eastAsia="仿宋_GB2312"/>
          <w:szCs w:val="30"/>
        </w:rPr>
        <w:t>9.5. 债券换股</w:t>
      </w:r>
      <w:r>
        <w:tab/>
      </w:r>
      <w:r>
        <w:fldChar w:fldCharType="begin"/>
      </w:r>
      <w:r>
        <w:instrText xml:space="preserve"> PAGEREF _Toc2078805654 \h </w:instrText>
      </w:r>
      <w:r>
        <w:fldChar w:fldCharType="separate"/>
      </w:r>
      <w:r>
        <w:t>244</w:t>
      </w:r>
      <w:r>
        <w:fldChar w:fldCharType="end"/>
      </w:r>
      <w:r>
        <w:rPr>
          <w:rFonts w:ascii="黑体" w:hAnsi="黑体"/>
          <w:szCs w:val="30"/>
        </w:rPr>
        <w:fldChar w:fldCharType="end"/>
      </w:r>
    </w:p>
    <w:p w14:paraId="496223DB">
      <w:pPr>
        <w:pStyle w:val="36"/>
        <w:tabs>
          <w:tab w:val="right" w:leader="dot" w:pos="8306"/>
        </w:tabs>
      </w:pPr>
      <w:r>
        <w:rPr>
          <w:rFonts w:ascii="黑体" w:hAnsi="黑体"/>
          <w:szCs w:val="30"/>
        </w:rPr>
        <w:fldChar w:fldCharType="begin"/>
      </w:r>
      <w:r>
        <w:rPr>
          <w:rFonts w:ascii="黑体" w:hAnsi="黑体"/>
          <w:szCs w:val="30"/>
        </w:rPr>
        <w:instrText xml:space="preserve"> HYPERLINK \l _Toc1321694063 </w:instrText>
      </w:r>
      <w:r>
        <w:rPr>
          <w:rFonts w:ascii="黑体" w:hAnsi="黑体"/>
          <w:szCs w:val="30"/>
        </w:rPr>
        <w:fldChar w:fldCharType="separate"/>
      </w:r>
      <w:r>
        <w:rPr>
          <w:rFonts w:hint="eastAsia" w:ascii="仿宋_GB2312" w:eastAsia="仿宋_GB2312"/>
          <w:szCs w:val="30"/>
        </w:rPr>
        <w:t>9.6. 债券转托管</w:t>
      </w:r>
      <w:r>
        <w:tab/>
      </w:r>
      <w:r>
        <w:fldChar w:fldCharType="begin"/>
      </w:r>
      <w:r>
        <w:instrText xml:space="preserve"> PAGEREF _Toc1321694063 \h </w:instrText>
      </w:r>
      <w:r>
        <w:fldChar w:fldCharType="separate"/>
      </w:r>
      <w:r>
        <w:t>247</w:t>
      </w:r>
      <w:r>
        <w:fldChar w:fldCharType="end"/>
      </w:r>
      <w:r>
        <w:rPr>
          <w:rFonts w:ascii="黑体" w:hAnsi="黑体"/>
          <w:szCs w:val="30"/>
        </w:rPr>
        <w:fldChar w:fldCharType="end"/>
      </w:r>
    </w:p>
    <w:p w14:paraId="5E6682CC">
      <w:pPr>
        <w:pStyle w:val="36"/>
        <w:tabs>
          <w:tab w:val="right" w:leader="dot" w:pos="8306"/>
        </w:tabs>
      </w:pPr>
      <w:r>
        <w:rPr>
          <w:rFonts w:ascii="黑体" w:hAnsi="黑体"/>
          <w:szCs w:val="30"/>
        </w:rPr>
        <w:fldChar w:fldCharType="begin"/>
      </w:r>
      <w:r>
        <w:rPr>
          <w:rFonts w:ascii="黑体" w:hAnsi="黑体"/>
          <w:szCs w:val="30"/>
        </w:rPr>
        <w:instrText xml:space="preserve"> HYPERLINK \l _Toc742981037 </w:instrText>
      </w:r>
      <w:r>
        <w:rPr>
          <w:rFonts w:ascii="黑体" w:hAnsi="黑体"/>
          <w:szCs w:val="30"/>
        </w:rPr>
        <w:fldChar w:fldCharType="separate"/>
      </w:r>
      <w:r>
        <w:rPr>
          <w:rFonts w:hint="eastAsia" w:ascii="仿宋_GB2312" w:eastAsia="仿宋_GB2312"/>
          <w:szCs w:val="30"/>
        </w:rPr>
        <w:t>9.7. 核心交易</w:t>
      </w:r>
      <w:r>
        <w:rPr>
          <w:rFonts w:ascii="仿宋_GB2312" w:eastAsia="仿宋_GB2312"/>
          <w:szCs w:val="30"/>
        </w:rPr>
        <w:t>系统备用通道</w:t>
      </w:r>
      <w:r>
        <w:tab/>
      </w:r>
      <w:r>
        <w:fldChar w:fldCharType="begin"/>
      </w:r>
      <w:r>
        <w:instrText xml:space="preserve"> PAGEREF _Toc742981037 \h </w:instrText>
      </w:r>
      <w:r>
        <w:fldChar w:fldCharType="separate"/>
      </w:r>
      <w:r>
        <w:t>249</w:t>
      </w:r>
      <w:r>
        <w:fldChar w:fldCharType="end"/>
      </w:r>
      <w:r>
        <w:rPr>
          <w:rFonts w:ascii="黑体" w:hAnsi="黑体"/>
          <w:szCs w:val="30"/>
        </w:rPr>
        <w:fldChar w:fldCharType="end"/>
      </w:r>
    </w:p>
    <w:p w14:paraId="2511BC1F">
      <w:pPr>
        <w:pStyle w:val="36"/>
        <w:tabs>
          <w:tab w:val="right" w:leader="dot" w:pos="8306"/>
        </w:tabs>
      </w:pPr>
      <w:r>
        <w:rPr>
          <w:rFonts w:ascii="黑体" w:hAnsi="黑体"/>
          <w:szCs w:val="30"/>
        </w:rPr>
        <w:fldChar w:fldCharType="begin"/>
      </w:r>
      <w:r>
        <w:rPr>
          <w:rFonts w:ascii="黑体" w:hAnsi="黑体"/>
          <w:szCs w:val="30"/>
        </w:rPr>
        <w:instrText xml:space="preserve"> HYPERLINK \l _Toc1069714204 </w:instrText>
      </w:r>
      <w:r>
        <w:rPr>
          <w:rFonts w:ascii="黑体" w:hAnsi="黑体"/>
          <w:szCs w:val="30"/>
        </w:rPr>
        <w:fldChar w:fldCharType="separate"/>
      </w:r>
      <w:r>
        <w:rPr>
          <w:rFonts w:hint="eastAsia" w:ascii="仿宋_GB2312" w:eastAsia="仿宋_GB2312"/>
          <w:szCs w:val="30"/>
        </w:rPr>
        <w:t xml:space="preserve">9.8. </w:t>
      </w:r>
      <w:r>
        <w:rPr>
          <w:rFonts w:hint="eastAsia" w:ascii="仿宋_GB2312" w:eastAsia="仿宋_GB2312"/>
          <w:szCs w:val="30"/>
          <w:lang w:eastAsia="zh-CN"/>
        </w:rPr>
        <w:t>非</w:t>
      </w:r>
      <w:r>
        <w:rPr>
          <w:rFonts w:hint="eastAsia" w:ascii="仿宋_GB2312" w:eastAsia="仿宋_GB2312"/>
          <w:szCs w:val="30"/>
        </w:rPr>
        <w:t>交易</w:t>
      </w:r>
      <w:r>
        <w:rPr>
          <w:rFonts w:hint="eastAsia" w:ascii="仿宋_GB2312" w:eastAsia="仿宋_GB2312"/>
          <w:szCs w:val="30"/>
          <w:lang w:eastAsia="zh-CN"/>
        </w:rPr>
        <w:t>过户</w:t>
      </w:r>
      <w:r>
        <w:tab/>
      </w:r>
      <w:r>
        <w:fldChar w:fldCharType="begin"/>
      </w:r>
      <w:r>
        <w:instrText xml:space="preserve"> PAGEREF _Toc1069714204 \h </w:instrText>
      </w:r>
      <w:r>
        <w:fldChar w:fldCharType="separate"/>
      </w:r>
      <w:r>
        <w:t>250</w:t>
      </w:r>
      <w:r>
        <w:fldChar w:fldCharType="end"/>
      </w:r>
      <w:r>
        <w:rPr>
          <w:rFonts w:ascii="黑体" w:hAnsi="黑体"/>
          <w:szCs w:val="30"/>
        </w:rPr>
        <w:fldChar w:fldCharType="end"/>
      </w:r>
    </w:p>
    <w:p w14:paraId="0D1B8BD4">
      <w:pPr>
        <w:pStyle w:val="30"/>
        <w:tabs>
          <w:tab w:val="right" w:leader="dot" w:pos="8306"/>
        </w:tabs>
      </w:pPr>
      <w:r>
        <w:rPr>
          <w:rFonts w:ascii="黑体" w:hAnsi="黑体"/>
          <w:szCs w:val="30"/>
        </w:rPr>
        <w:fldChar w:fldCharType="begin"/>
      </w:r>
      <w:r>
        <w:rPr>
          <w:rFonts w:ascii="黑体" w:hAnsi="黑体"/>
          <w:szCs w:val="30"/>
        </w:rPr>
        <w:instrText xml:space="preserve"> HYPERLINK \l _Toc72861912 </w:instrText>
      </w:r>
      <w:r>
        <w:rPr>
          <w:rFonts w:ascii="黑体" w:hAnsi="黑体"/>
          <w:szCs w:val="30"/>
        </w:rPr>
        <w:fldChar w:fldCharType="separate"/>
      </w:r>
      <w:r>
        <w:rPr>
          <w:rFonts w:hint="eastAsia" w:ascii="黑体" w:hAnsi="黑体" w:eastAsia="黑体"/>
          <w:szCs w:val="36"/>
        </w:rPr>
        <w:t xml:space="preserve">10. </w:t>
      </w:r>
      <w:r>
        <w:rPr>
          <w:rFonts w:hint="eastAsia" w:ascii="黑体" w:hAnsi="黑体" w:eastAsia="黑体" w:cs="黑体"/>
        </w:rPr>
        <w:t>债券行情展示</w:t>
      </w:r>
      <w:r>
        <w:tab/>
      </w:r>
      <w:r>
        <w:fldChar w:fldCharType="begin"/>
      </w:r>
      <w:r>
        <w:instrText xml:space="preserve"> PAGEREF _Toc72861912 \h </w:instrText>
      </w:r>
      <w:r>
        <w:fldChar w:fldCharType="separate"/>
      </w:r>
      <w:r>
        <w:t>253</w:t>
      </w:r>
      <w:r>
        <w:fldChar w:fldCharType="end"/>
      </w:r>
      <w:r>
        <w:rPr>
          <w:rFonts w:ascii="黑体" w:hAnsi="黑体"/>
          <w:szCs w:val="30"/>
        </w:rPr>
        <w:fldChar w:fldCharType="end"/>
      </w:r>
    </w:p>
    <w:p w14:paraId="291BD1B7">
      <w:pPr>
        <w:pStyle w:val="36"/>
        <w:tabs>
          <w:tab w:val="right" w:leader="dot" w:pos="8306"/>
        </w:tabs>
      </w:pPr>
      <w:r>
        <w:rPr>
          <w:rFonts w:ascii="黑体" w:hAnsi="黑体"/>
          <w:szCs w:val="30"/>
        </w:rPr>
        <w:fldChar w:fldCharType="begin"/>
      </w:r>
      <w:r>
        <w:rPr>
          <w:rFonts w:ascii="黑体" w:hAnsi="黑体"/>
          <w:szCs w:val="30"/>
        </w:rPr>
        <w:instrText xml:space="preserve"> HYPERLINK \l _Toc1786369647 </w:instrText>
      </w:r>
      <w:r>
        <w:rPr>
          <w:rFonts w:ascii="黑体" w:hAnsi="黑体"/>
          <w:szCs w:val="30"/>
        </w:rPr>
        <w:fldChar w:fldCharType="separate"/>
      </w:r>
      <w:r>
        <w:rPr>
          <w:rFonts w:hint="eastAsia" w:ascii="仿宋_GB2312" w:eastAsia="仿宋_GB2312"/>
          <w:szCs w:val="30"/>
        </w:rPr>
        <w:t>10.1. 概述</w:t>
      </w:r>
      <w:r>
        <w:tab/>
      </w:r>
      <w:r>
        <w:fldChar w:fldCharType="begin"/>
      </w:r>
      <w:r>
        <w:instrText xml:space="preserve"> PAGEREF _Toc1786369647 \h </w:instrText>
      </w:r>
      <w:r>
        <w:fldChar w:fldCharType="separate"/>
      </w:r>
      <w:r>
        <w:t>253</w:t>
      </w:r>
      <w:r>
        <w:fldChar w:fldCharType="end"/>
      </w:r>
      <w:r>
        <w:rPr>
          <w:rFonts w:ascii="黑体" w:hAnsi="黑体"/>
          <w:szCs w:val="30"/>
        </w:rPr>
        <w:fldChar w:fldCharType="end"/>
      </w:r>
    </w:p>
    <w:p w14:paraId="39777542">
      <w:pPr>
        <w:pStyle w:val="36"/>
        <w:tabs>
          <w:tab w:val="right" w:leader="dot" w:pos="8306"/>
        </w:tabs>
      </w:pPr>
      <w:r>
        <w:rPr>
          <w:rFonts w:ascii="黑体" w:hAnsi="黑体"/>
          <w:szCs w:val="30"/>
        </w:rPr>
        <w:fldChar w:fldCharType="begin"/>
      </w:r>
      <w:r>
        <w:rPr>
          <w:rFonts w:ascii="黑体" w:hAnsi="黑体"/>
          <w:szCs w:val="30"/>
        </w:rPr>
        <w:instrText xml:space="preserve"> HYPERLINK \l _Toc2128135729 </w:instrText>
      </w:r>
      <w:r>
        <w:rPr>
          <w:rFonts w:ascii="黑体" w:hAnsi="黑体"/>
          <w:szCs w:val="30"/>
        </w:rPr>
        <w:fldChar w:fldCharType="separate"/>
      </w:r>
      <w:r>
        <w:rPr>
          <w:rFonts w:hint="eastAsia" w:ascii="仿宋_GB2312" w:eastAsia="仿宋_GB2312"/>
          <w:szCs w:val="30"/>
        </w:rPr>
        <w:t>10.2. 实时数据</w:t>
      </w:r>
      <w:r>
        <w:tab/>
      </w:r>
      <w:r>
        <w:fldChar w:fldCharType="begin"/>
      </w:r>
      <w:r>
        <w:instrText xml:space="preserve"> PAGEREF _Toc2128135729 \h </w:instrText>
      </w:r>
      <w:r>
        <w:fldChar w:fldCharType="separate"/>
      </w:r>
      <w:r>
        <w:t>253</w:t>
      </w:r>
      <w:r>
        <w:fldChar w:fldCharType="end"/>
      </w:r>
      <w:r>
        <w:rPr>
          <w:rFonts w:ascii="黑体" w:hAnsi="黑体"/>
          <w:szCs w:val="30"/>
        </w:rPr>
        <w:fldChar w:fldCharType="end"/>
      </w:r>
    </w:p>
    <w:p w14:paraId="2AF066FB">
      <w:pPr>
        <w:pStyle w:val="36"/>
        <w:tabs>
          <w:tab w:val="right" w:leader="dot" w:pos="8306"/>
        </w:tabs>
      </w:pPr>
      <w:r>
        <w:rPr>
          <w:rFonts w:ascii="黑体" w:hAnsi="黑体"/>
          <w:szCs w:val="30"/>
        </w:rPr>
        <w:fldChar w:fldCharType="begin"/>
      </w:r>
      <w:r>
        <w:rPr>
          <w:rFonts w:ascii="黑体" w:hAnsi="黑体"/>
          <w:szCs w:val="30"/>
        </w:rPr>
        <w:instrText xml:space="preserve"> HYPERLINK \l _Toc1991208762 </w:instrText>
      </w:r>
      <w:r>
        <w:rPr>
          <w:rFonts w:ascii="黑体" w:hAnsi="黑体"/>
          <w:szCs w:val="30"/>
        </w:rPr>
        <w:fldChar w:fldCharType="separate"/>
      </w:r>
      <w:r>
        <w:rPr>
          <w:rFonts w:hint="eastAsia" w:ascii="仿宋_GB2312" w:eastAsia="仿宋_GB2312"/>
          <w:szCs w:val="30"/>
        </w:rPr>
        <w:t>10.3. 统计行情</w:t>
      </w:r>
      <w:r>
        <w:tab/>
      </w:r>
      <w:r>
        <w:fldChar w:fldCharType="begin"/>
      </w:r>
      <w:r>
        <w:instrText xml:space="preserve"> PAGEREF _Toc1991208762 \h </w:instrText>
      </w:r>
      <w:r>
        <w:fldChar w:fldCharType="separate"/>
      </w:r>
      <w:r>
        <w:t>266</w:t>
      </w:r>
      <w:r>
        <w:fldChar w:fldCharType="end"/>
      </w:r>
      <w:r>
        <w:rPr>
          <w:rFonts w:ascii="黑体" w:hAnsi="黑体"/>
          <w:szCs w:val="30"/>
        </w:rPr>
        <w:fldChar w:fldCharType="end"/>
      </w:r>
    </w:p>
    <w:p w14:paraId="5676EC92">
      <w:pPr>
        <w:pStyle w:val="36"/>
        <w:tabs>
          <w:tab w:val="right" w:leader="dot" w:pos="8306"/>
        </w:tabs>
      </w:pPr>
      <w:r>
        <w:rPr>
          <w:rFonts w:ascii="黑体" w:hAnsi="黑体"/>
          <w:szCs w:val="30"/>
        </w:rPr>
        <w:fldChar w:fldCharType="begin"/>
      </w:r>
      <w:r>
        <w:rPr>
          <w:rFonts w:ascii="黑体" w:hAnsi="黑体"/>
          <w:szCs w:val="30"/>
        </w:rPr>
        <w:instrText xml:space="preserve"> HYPERLINK \l _Toc339767973 </w:instrText>
      </w:r>
      <w:r>
        <w:rPr>
          <w:rFonts w:ascii="黑体" w:hAnsi="黑体"/>
          <w:szCs w:val="30"/>
        </w:rPr>
        <w:fldChar w:fldCharType="separate"/>
      </w:r>
      <w:r>
        <w:rPr>
          <w:rFonts w:hint="eastAsia" w:ascii="仿宋_GB2312" w:eastAsia="仿宋_GB2312"/>
          <w:szCs w:val="30"/>
        </w:rPr>
        <w:t>10.4. 参考数据</w:t>
      </w:r>
      <w:r>
        <w:tab/>
      </w:r>
      <w:r>
        <w:fldChar w:fldCharType="begin"/>
      </w:r>
      <w:r>
        <w:instrText xml:space="preserve"> PAGEREF _Toc339767973 \h </w:instrText>
      </w:r>
      <w:r>
        <w:fldChar w:fldCharType="separate"/>
      </w:r>
      <w:r>
        <w:t>276</w:t>
      </w:r>
      <w:r>
        <w:fldChar w:fldCharType="end"/>
      </w:r>
      <w:r>
        <w:rPr>
          <w:rFonts w:ascii="黑体" w:hAnsi="黑体"/>
          <w:szCs w:val="30"/>
        </w:rPr>
        <w:fldChar w:fldCharType="end"/>
      </w:r>
    </w:p>
    <w:p w14:paraId="53A0A6B6">
      <w:pPr>
        <w:pStyle w:val="36"/>
        <w:tabs>
          <w:tab w:val="right" w:leader="dot" w:pos="8306"/>
        </w:tabs>
      </w:pPr>
      <w:r>
        <w:rPr>
          <w:rFonts w:ascii="黑体" w:hAnsi="黑体"/>
          <w:szCs w:val="30"/>
        </w:rPr>
        <w:fldChar w:fldCharType="begin"/>
      </w:r>
      <w:r>
        <w:rPr>
          <w:rFonts w:ascii="黑体" w:hAnsi="黑体"/>
          <w:szCs w:val="30"/>
        </w:rPr>
        <w:instrText xml:space="preserve"> HYPERLINK \l _Toc65287471 </w:instrText>
      </w:r>
      <w:r>
        <w:rPr>
          <w:rFonts w:ascii="黑体" w:hAnsi="黑体"/>
          <w:szCs w:val="30"/>
        </w:rPr>
        <w:fldChar w:fldCharType="separate"/>
      </w:r>
      <w:r>
        <w:rPr>
          <w:rFonts w:hint="eastAsia" w:ascii="仿宋_GB2312" w:eastAsia="仿宋_GB2312"/>
          <w:szCs w:val="30"/>
        </w:rPr>
        <w:t>10.5. 交易信息权属</w:t>
      </w:r>
      <w:r>
        <w:tab/>
      </w:r>
      <w:r>
        <w:fldChar w:fldCharType="begin"/>
      </w:r>
      <w:r>
        <w:instrText xml:space="preserve"> PAGEREF _Toc65287471 \h </w:instrText>
      </w:r>
      <w:r>
        <w:fldChar w:fldCharType="separate"/>
      </w:r>
      <w:r>
        <w:t>278</w:t>
      </w:r>
      <w:r>
        <w:fldChar w:fldCharType="end"/>
      </w:r>
      <w:r>
        <w:rPr>
          <w:rFonts w:ascii="黑体" w:hAnsi="黑体"/>
          <w:szCs w:val="30"/>
        </w:rPr>
        <w:fldChar w:fldCharType="end"/>
      </w:r>
    </w:p>
    <w:p w14:paraId="3C4374C3">
      <w:pPr>
        <w:pStyle w:val="36"/>
        <w:tabs>
          <w:tab w:val="right" w:leader="dot" w:pos="8306"/>
        </w:tabs>
      </w:pPr>
      <w:r>
        <w:rPr>
          <w:rFonts w:ascii="黑体" w:hAnsi="黑体"/>
          <w:szCs w:val="30"/>
        </w:rPr>
        <w:fldChar w:fldCharType="begin"/>
      </w:r>
      <w:r>
        <w:rPr>
          <w:rFonts w:ascii="黑体" w:hAnsi="黑体"/>
          <w:szCs w:val="30"/>
        </w:rPr>
        <w:instrText xml:space="preserve"> HYPERLINK \l _Toc1027462502 </w:instrText>
      </w:r>
      <w:r>
        <w:rPr>
          <w:rFonts w:ascii="黑体" w:hAnsi="黑体"/>
          <w:szCs w:val="30"/>
        </w:rPr>
        <w:fldChar w:fldCharType="separate"/>
      </w:r>
      <w:r>
        <w:rPr>
          <w:rFonts w:hint="eastAsia" w:ascii="仿宋_GB2312" w:eastAsia="仿宋_GB2312"/>
          <w:szCs w:val="30"/>
        </w:rPr>
        <w:t>10.6. 债券指数及其他</w:t>
      </w:r>
      <w:r>
        <w:tab/>
      </w:r>
      <w:r>
        <w:fldChar w:fldCharType="begin"/>
      </w:r>
      <w:r>
        <w:instrText xml:space="preserve"> PAGEREF _Toc1027462502 \h </w:instrText>
      </w:r>
      <w:r>
        <w:fldChar w:fldCharType="separate"/>
      </w:r>
      <w:r>
        <w:t>278</w:t>
      </w:r>
      <w:r>
        <w:fldChar w:fldCharType="end"/>
      </w:r>
      <w:r>
        <w:rPr>
          <w:rFonts w:ascii="黑体" w:hAnsi="黑体"/>
          <w:szCs w:val="30"/>
        </w:rPr>
        <w:fldChar w:fldCharType="end"/>
      </w:r>
    </w:p>
    <w:p w14:paraId="57812EBF">
      <w:pPr>
        <w:pStyle w:val="30"/>
        <w:tabs>
          <w:tab w:val="right" w:leader="dot" w:pos="8306"/>
        </w:tabs>
      </w:pPr>
      <w:r>
        <w:rPr>
          <w:rFonts w:ascii="黑体" w:hAnsi="黑体"/>
          <w:szCs w:val="30"/>
        </w:rPr>
        <w:fldChar w:fldCharType="begin"/>
      </w:r>
      <w:r>
        <w:rPr>
          <w:rFonts w:ascii="黑体" w:hAnsi="黑体"/>
          <w:szCs w:val="30"/>
        </w:rPr>
        <w:instrText xml:space="preserve"> HYPERLINK \l _Toc1864256752 </w:instrText>
      </w:r>
      <w:r>
        <w:rPr>
          <w:rFonts w:ascii="黑体" w:hAnsi="黑体"/>
          <w:szCs w:val="30"/>
        </w:rPr>
        <w:fldChar w:fldCharType="separate"/>
      </w:r>
      <w:r>
        <w:rPr>
          <w:rFonts w:hint="eastAsia" w:ascii="黑体" w:hAnsi="黑体" w:eastAsia="黑体"/>
          <w:szCs w:val="36"/>
        </w:rPr>
        <w:t xml:space="preserve">11. </w:t>
      </w:r>
      <w:r>
        <w:rPr>
          <w:rFonts w:hint="eastAsia" w:ascii="黑体" w:hAnsi="黑体" w:eastAsia="黑体" w:cs="黑体"/>
        </w:rPr>
        <w:t>交易行为监督</w:t>
      </w:r>
      <w:r>
        <w:tab/>
      </w:r>
      <w:r>
        <w:fldChar w:fldCharType="begin"/>
      </w:r>
      <w:r>
        <w:instrText xml:space="preserve"> PAGEREF _Toc1864256752 \h </w:instrText>
      </w:r>
      <w:r>
        <w:fldChar w:fldCharType="separate"/>
      </w:r>
      <w:r>
        <w:t>282</w:t>
      </w:r>
      <w:r>
        <w:fldChar w:fldCharType="end"/>
      </w:r>
      <w:r>
        <w:rPr>
          <w:rFonts w:ascii="黑体" w:hAnsi="黑体"/>
          <w:szCs w:val="30"/>
        </w:rPr>
        <w:fldChar w:fldCharType="end"/>
      </w:r>
    </w:p>
    <w:p w14:paraId="68FD016F">
      <w:pPr>
        <w:pStyle w:val="36"/>
        <w:tabs>
          <w:tab w:val="right" w:leader="dot" w:pos="8306"/>
        </w:tabs>
      </w:pPr>
      <w:r>
        <w:rPr>
          <w:rFonts w:ascii="黑体" w:hAnsi="黑体"/>
          <w:szCs w:val="30"/>
        </w:rPr>
        <w:fldChar w:fldCharType="begin"/>
      </w:r>
      <w:r>
        <w:rPr>
          <w:rFonts w:ascii="黑体" w:hAnsi="黑体"/>
          <w:szCs w:val="30"/>
        </w:rPr>
        <w:instrText xml:space="preserve"> HYPERLINK \l _Toc1768731397 </w:instrText>
      </w:r>
      <w:r>
        <w:rPr>
          <w:rFonts w:ascii="黑体" w:hAnsi="黑体"/>
          <w:szCs w:val="30"/>
        </w:rPr>
        <w:fldChar w:fldCharType="separate"/>
      </w:r>
      <w:r>
        <w:rPr>
          <w:rFonts w:hint="eastAsia" w:ascii="仿宋_GB2312" w:eastAsia="仿宋_GB2312"/>
          <w:szCs w:val="30"/>
        </w:rPr>
        <w:t>11.1. 交易异常行为监督</w:t>
      </w:r>
      <w:r>
        <w:tab/>
      </w:r>
      <w:r>
        <w:fldChar w:fldCharType="begin"/>
      </w:r>
      <w:r>
        <w:instrText xml:space="preserve"> PAGEREF _Toc1768731397 \h </w:instrText>
      </w:r>
      <w:r>
        <w:fldChar w:fldCharType="separate"/>
      </w:r>
      <w:r>
        <w:t>282</w:t>
      </w:r>
      <w:r>
        <w:fldChar w:fldCharType="end"/>
      </w:r>
      <w:r>
        <w:rPr>
          <w:rFonts w:ascii="黑体" w:hAnsi="黑体"/>
          <w:szCs w:val="30"/>
        </w:rPr>
        <w:fldChar w:fldCharType="end"/>
      </w:r>
    </w:p>
    <w:p w14:paraId="6295D5A6">
      <w:pPr>
        <w:pStyle w:val="36"/>
        <w:tabs>
          <w:tab w:val="right" w:leader="dot" w:pos="8306"/>
        </w:tabs>
      </w:pPr>
      <w:r>
        <w:rPr>
          <w:rFonts w:ascii="黑体" w:hAnsi="黑体"/>
          <w:szCs w:val="30"/>
        </w:rPr>
        <w:fldChar w:fldCharType="begin"/>
      </w:r>
      <w:r>
        <w:rPr>
          <w:rFonts w:ascii="黑体" w:hAnsi="黑体"/>
          <w:szCs w:val="30"/>
        </w:rPr>
        <w:instrText xml:space="preserve"> HYPERLINK \l _Toc434712997 </w:instrText>
      </w:r>
      <w:r>
        <w:rPr>
          <w:rFonts w:ascii="黑体" w:hAnsi="黑体"/>
          <w:szCs w:val="30"/>
        </w:rPr>
        <w:fldChar w:fldCharType="separate"/>
      </w:r>
      <w:r>
        <w:rPr>
          <w:rFonts w:hint="eastAsia" w:ascii="仿宋_GB2312" w:eastAsia="仿宋_GB2312"/>
          <w:szCs w:val="30"/>
        </w:rPr>
        <w:t>11.2. 价格偏离报告</w:t>
      </w:r>
      <w:r>
        <w:tab/>
      </w:r>
      <w:r>
        <w:fldChar w:fldCharType="begin"/>
      </w:r>
      <w:r>
        <w:instrText xml:space="preserve"> PAGEREF _Toc434712997 \h </w:instrText>
      </w:r>
      <w:r>
        <w:fldChar w:fldCharType="separate"/>
      </w:r>
      <w:r>
        <w:t>283</w:t>
      </w:r>
      <w:r>
        <w:fldChar w:fldCharType="end"/>
      </w:r>
      <w:r>
        <w:rPr>
          <w:rFonts w:ascii="黑体" w:hAnsi="黑体"/>
          <w:szCs w:val="30"/>
        </w:rPr>
        <w:fldChar w:fldCharType="end"/>
      </w:r>
    </w:p>
    <w:p w14:paraId="14D00F7A">
      <w:pPr>
        <w:pStyle w:val="36"/>
        <w:tabs>
          <w:tab w:val="right" w:leader="dot" w:pos="8306"/>
        </w:tabs>
      </w:pPr>
      <w:r>
        <w:rPr>
          <w:rFonts w:ascii="黑体" w:hAnsi="黑体"/>
          <w:szCs w:val="30"/>
        </w:rPr>
        <w:fldChar w:fldCharType="begin"/>
      </w:r>
      <w:r>
        <w:rPr>
          <w:rFonts w:ascii="黑体" w:hAnsi="黑体"/>
          <w:szCs w:val="30"/>
        </w:rPr>
        <w:instrText xml:space="preserve"> HYPERLINK \l _Toc1444765510 </w:instrText>
      </w:r>
      <w:r>
        <w:rPr>
          <w:rFonts w:ascii="黑体" w:hAnsi="黑体"/>
          <w:szCs w:val="30"/>
        </w:rPr>
        <w:fldChar w:fldCharType="separate"/>
      </w:r>
      <w:r>
        <w:rPr>
          <w:rFonts w:hint="eastAsia" w:ascii="仿宋_GB2312" w:eastAsia="仿宋_GB2312"/>
          <w:szCs w:val="30"/>
        </w:rPr>
        <w:t>11.3. 日常工作措施、监管措施和纪律处分</w:t>
      </w:r>
      <w:r>
        <w:tab/>
      </w:r>
      <w:r>
        <w:fldChar w:fldCharType="begin"/>
      </w:r>
      <w:r>
        <w:instrText xml:space="preserve"> PAGEREF _Toc1444765510 \h </w:instrText>
      </w:r>
      <w:r>
        <w:fldChar w:fldCharType="separate"/>
      </w:r>
      <w:r>
        <w:t>285</w:t>
      </w:r>
      <w:r>
        <w:fldChar w:fldCharType="end"/>
      </w:r>
      <w:r>
        <w:rPr>
          <w:rFonts w:ascii="黑体" w:hAnsi="黑体"/>
          <w:szCs w:val="30"/>
        </w:rPr>
        <w:fldChar w:fldCharType="end"/>
      </w:r>
    </w:p>
    <w:p w14:paraId="544BB79E">
      <w:pPr>
        <w:pStyle w:val="36"/>
        <w:tabs>
          <w:tab w:val="right" w:leader="dot" w:pos="8306"/>
        </w:tabs>
      </w:pPr>
      <w:r>
        <w:rPr>
          <w:rFonts w:ascii="黑体" w:hAnsi="黑体"/>
          <w:szCs w:val="30"/>
        </w:rPr>
        <w:fldChar w:fldCharType="begin"/>
      </w:r>
      <w:r>
        <w:rPr>
          <w:rFonts w:ascii="黑体" w:hAnsi="黑体"/>
          <w:szCs w:val="30"/>
        </w:rPr>
        <w:instrText xml:space="preserve"> HYPERLINK \l _Toc194284567 </w:instrText>
      </w:r>
      <w:r>
        <w:rPr>
          <w:rFonts w:ascii="黑体" w:hAnsi="黑体"/>
          <w:szCs w:val="30"/>
        </w:rPr>
        <w:fldChar w:fldCharType="separate"/>
      </w:r>
      <w:r>
        <w:rPr>
          <w:rFonts w:hint="eastAsia" w:ascii="仿宋_GB2312" w:eastAsia="仿宋_GB2312"/>
          <w:szCs w:val="30"/>
        </w:rPr>
        <w:t>11.4. 其他</w:t>
      </w:r>
      <w:r>
        <w:tab/>
      </w:r>
      <w:r>
        <w:fldChar w:fldCharType="begin"/>
      </w:r>
      <w:r>
        <w:instrText xml:space="preserve"> PAGEREF _Toc194284567 \h </w:instrText>
      </w:r>
      <w:r>
        <w:fldChar w:fldCharType="separate"/>
      </w:r>
      <w:r>
        <w:t>288</w:t>
      </w:r>
      <w:r>
        <w:fldChar w:fldCharType="end"/>
      </w:r>
      <w:r>
        <w:rPr>
          <w:rFonts w:ascii="黑体" w:hAnsi="黑体"/>
          <w:szCs w:val="30"/>
        </w:rPr>
        <w:fldChar w:fldCharType="end"/>
      </w:r>
    </w:p>
    <w:p w14:paraId="72E5C564">
      <w:pPr>
        <w:pStyle w:val="30"/>
        <w:tabs>
          <w:tab w:val="right" w:leader="dot" w:pos="8306"/>
        </w:tabs>
      </w:pPr>
      <w:r>
        <w:rPr>
          <w:rFonts w:ascii="黑体" w:hAnsi="黑体"/>
          <w:szCs w:val="30"/>
        </w:rPr>
        <w:fldChar w:fldCharType="begin"/>
      </w:r>
      <w:r>
        <w:rPr>
          <w:rFonts w:ascii="黑体" w:hAnsi="黑体"/>
          <w:szCs w:val="30"/>
        </w:rPr>
        <w:instrText xml:space="preserve"> HYPERLINK \l _Toc1538161392 </w:instrText>
      </w:r>
      <w:r>
        <w:rPr>
          <w:rFonts w:ascii="黑体" w:hAnsi="黑体"/>
          <w:szCs w:val="30"/>
        </w:rPr>
        <w:fldChar w:fldCharType="separate"/>
      </w:r>
      <w:r>
        <w:rPr>
          <w:rFonts w:hint="eastAsia" w:ascii="黑体" w:hAnsi="黑体" w:eastAsia="黑体"/>
          <w:szCs w:val="36"/>
        </w:rPr>
        <w:t xml:space="preserve">12. </w:t>
      </w:r>
      <w:r>
        <w:rPr>
          <w:rFonts w:hint="eastAsia" w:ascii="黑体" w:hAnsi="黑体" w:eastAsia="黑体" w:cs="黑体"/>
        </w:rPr>
        <w:t>应急交易及交易异常情况处理</w:t>
      </w:r>
      <w:r>
        <w:tab/>
      </w:r>
      <w:r>
        <w:fldChar w:fldCharType="begin"/>
      </w:r>
      <w:r>
        <w:instrText xml:space="preserve"> PAGEREF _Toc1538161392 \h </w:instrText>
      </w:r>
      <w:r>
        <w:fldChar w:fldCharType="separate"/>
      </w:r>
      <w:r>
        <w:t>290</w:t>
      </w:r>
      <w:r>
        <w:fldChar w:fldCharType="end"/>
      </w:r>
      <w:r>
        <w:rPr>
          <w:rFonts w:ascii="黑体" w:hAnsi="黑体"/>
          <w:szCs w:val="30"/>
        </w:rPr>
        <w:fldChar w:fldCharType="end"/>
      </w:r>
    </w:p>
    <w:p w14:paraId="6897AC38">
      <w:pPr>
        <w:pStyle w:val="36"/>
        <w:tabs>
          <w:tab w:val="right" w:leader="dot" w:pos="8306"/>
        </w:tabs>
      </w:pPr>
      <w:r>
        <w:rPr>
          <w:rFonts w:ascii="黑体" w:hAnsi="黑体"/>
          <w:szCs w:val="30"/>
        </w:rPr>
        <w:fldChar w:fldCharType="begin"/>
      </w:r>
      <w:r>
        <w:rPr>
          <w:rFonts w:ascii="黑体" w:hAnsi="黑体"/>
          <w:szCs w:val="30"/>
        </w:rPr>
        <w:instrText xml:space="preserve"> HYPERLINK \l _Toc1730448809 </w:instrText>
      </w:r>
      <w:r>
        <w:rPr>
          <w:rFonts w:ascii="黑体" w:hAnsi="黑体"/>
          <w:szCs w:val="30"/>
        </w:rPr>
        <w:fldChar w:fldCharType="separate"/>
      </w:r>
      <w:r>
        <w:rPr>
          <w:rFonts w:hint="eastAsia" w:ascii="仿宋_GB2312" w:eastAsia="仿宋_GB2312"/>
          <w:szCs w:val="30"/>
        </w:rPr>
        <w:t>12.1. 债券交易停复牌管理</w:t>
      </w:r>
      <w:r>
        <w:tab/>
      </w:r>
      <w:r>
        <w:fldChar w:fldCharType="begin"/>
      </w:r>
      <w:r>
        <w:instrText xml:space="preserve"> PAGEREF _Toc1730448809 \h </w:instrText>
      </w:r>
      <w:r>
        <w:fldChar w:fldCharType="separate"/>
      </w:r>
      <w:r>
        <w:t>290</w:t>
      </w:r>
      <w:r>
        <w:fldChar w:fldCharType="end"/>
      </w:r>
      <w:r>
        <w:rPr>
          <w:rFonts w:ascii="黑体" w:hAnsi="黑体"/>
          <w:szCs w:val="30"/>
        </w:rPr>
        <w:fldChar w:fldCharType="end"/>
      </w:r>
    </w:p>
    <w:p w14:paraId="488850B5">
      <w:pPr>
        <w:pStyle w:val="36"/>
        <w:tabs>
          <w:tab w:val="right" w:leader="dot" w:pos="8306"/>
        </w:tabs>
      </w:pPr>
      <w:r>
        <w:rPr>
          <w:rFonts w:ascii="黑体" w:hAnsi="黑体"/>
          <w:szCs w:val="30"/>
        </w:rPr>
        <w:fldChar w:fldCharType="begin"/>
      </w:r>
      <w:r>
        <w:rPr>
          <w:rFonts w:ascii="黑体" w:hAnsi="黑体"/>
          <w:szCs w:val="30"/>
        </w:rPr>
        <w:instrText xml:space="preserve"> HYPERLINK \l _Toc729774362 </w:instrText>
      </w:r>
      <w:r>
        <w:rPr>
          <w:rFonts w:ascii="黑体" w:hAnsi="黑体"/>
          <w:szCs w:val="30"/>
        </w:rPr>
        <w:fldChar w:fldCharType="separate"/>
      </w:r>
      <w:r>
        <w:rPr>
          <w:rFonts w:hint="eastAsia" w:ascii="仿宋_GB2312" w:eastAsia="仿宋_GB2312"/>
          <w:szCs w:val="30"/>
        </w:rPr>
        <w:t>12.2. 债券交易突发性事件</w:t>
      </w:r>
      <w:r>
        <w:tab/>
      </w:r>
      <w:r>
        <w:fldChar w:fldCharType="begin"/>
      </w:r>
      <w:r>
        <w:instrText xml:space="preserve"> PAGEREF _Toc729774362 \h </w:instrText>
      </w:r>
      <w:r>
        <w:fldChar w:fldCharType="separate"/>
      </w:r>
      <w:r>
        <w:t>290</w:t>
      </w:r>
      <w:r>
        <w:fldChar w:fldCharType="end"/>
      </w:r>
      <w:r>
        <w:rPr>
          <w:rFonts w:ascii="黑体" w:hAnsi="黑体"/>
          <w:szCs w:val="30"/>
        </w:rPr>
        <w:fldChar w:fldCharType="end"/>
      </w:r>
    </w:p>
    <w:p w14:paraId="33B9AB93">
      <w:pPr>
        <w:pStyle w:val="36"/>
        <w:tabs>
          <w:tab w:val="right" w:leader="dot" w:pos="8306"/>
        </w:tabs>
      </w:pPr>
      <w:r>
        <w:rPr>
          <w:rFonts w:ascii="黑体" w:hAnsi="黑体"/>
          <w:szCs w:val="30"/>
        </w:rPr>
        <w:fldChar w:fldCharType="begin"/>
      </w:r>
      <w:r>
        <w:rPr>
          <w:rFonts w:ascii="黑体" w:hAnsi="黑体"/>
          <w:szCs w:val="30"/>
        </w:rPr>
        <w:instrText xml:space="preserve"> HYPERLINK \l _Toc799853941 </w:instrText>
      </w:r>
      <w:r>
        <w:rPr>
          <w:rFonts w:ascii="黑体" w:hAnsi="黑体"/>
          <w:szCs w:val="30"/>
        </w:rPr>
        <w:fldChar w:fldCharType="separate"/>
      </w:r>
      <w:r>
        <w:rPr>
          <w:rFonts w:hint="eastAsia" w:ascii="仿宋_GB2312" w:eastAsia="仿宋_GB2312"/>
          <w:szCs w:val="30"/>
        </w:rPr>
        <w:t>12.3. 债券交易重大异常波动</w:t>
      </w:r>
      <w:r>
        <w:tab/>
      </w:r>
      <w:r>
        <w:fldChar w:fldCharType="begin"/>
      </w:r>
      <w:r>
        <w:instrText xml:space="preserve"> PAGEREF _Toc799853941 \h </w:instrText>
      </w:r>
      <w:r>
        <w:fldChar w:fldCharType="separate"/>
      </w:r>
      <w:r>
        <w:t>292</w:t>
      </w:r>
      <w:r>
        <w:fldChar w:fldCharType="end"/>
      </w:r>
      <w:r>
        <w:rPr>
          <w:rFonts w:ascii="黑体" w:hAnsi="黑体"/>
          <w:szCs w:val="30"/>
        </w:rPr>
        <w:fldChar w:fldCharType="end"/>
      </w:r>
    </w:p>
    <w:p w14:paraId="7D646583">
      <w:pPr>
        <w:pStyle w:val="36"/>
        <w:tabs>
          <w:tab w:val="right" w:leader="dot" w:pos="8306"/>
        </w:tabs>
      </w:pPr>
      <w:r>
        <w:rPr>
          <w:rFonts w:ascii="黑体" w:hAnsi="黑体"/>
          <w:szCs w:val="30"/>
        </w:rPr>
        <w:fldChar w:fldCharType="begin"/>
      </w:r>
      <w:r>
        <w:rPr>
          <w:rFonts w:ascii="黑体" w:hAnsi="黑体"/>
          <w:szCs w:val="30"/>
        </w:rPr>
        <w:instrText xml:space="preserve"> HYPERLINK \l _Toc1874727744 </w:instrText>
      </w:r>
      <w:r>
        <w:rPr>
          <w:rFonts w:ascii="黑体" w:hAnsi="黑体"/>
          <w:szCs w:val="30"/>
        </w:rPr>
        <w:fldChar w:fldCharType="separate"/>
      </w:r>
      <w:r>
        <w:rPr>
          <w:rFonts w:hint="eastAsia" w:ascii="仿宋_GB2312" w:eastAsia="仿宋_GB2312"/>
          <w:szCs w:val="30"/>
        </w:rPr>
        <w:t>12.4. 交易异常处置措施</w:t>
      </w:r>
      <w:r>
        <w:tab/>
      </w:r>
      <w:r>
        <w:fldChar w:fldCharType="begin"/>
      </w:r>
      <w:r>
        <w:instrText xml:space="preserve"> PAGEREF _Toc1874727744 \h </w:instrText>
      </w:r>
      <w:r>
        <w:fldChar w:fldCharType="separate"/>
      </w:r>
      <w:r>
        <w:t>292</w:t>
      </w:r>
      <w:r>
        <w:fldChar w:fldCharType="end"/>
      </w:r>
      <w:r>
        <w:rPr>
          <w:rFonts w:ascii="黑体" w:hAnsi="黑体"/>
          <w:szCs w:val="30"/>
        </w:rPr>
        <w:fldChar w:fldCharType="end"/>
      </w:r>
    </w:p>
    <w:p w14:paraId="5C5FC1D5">
      <w:pPr>
        <w:pStyle w:val="36"/>
        <w:tabs>
          <w:tab w:val="right" w:leader="dot" w:pos="8306"/>
        </w:tabs>
      </w:pPr>
      <w:r>
        <w:rPr>
          <w:rFonts w:ascii="黑体" w:hAnsi="黑体"/>
          <w:szCs w:val="30"/>
        </w:rPr>
        <w:fldChar w:fldCharType="begin"/>
      </w:r>
      <w:r>
        <w:rPr>
          <w:rFonts w:ascii="黑体" w:hAnsi="黑体"/>
          <w:szCs w:val="30"/>
        </w:rPr>
        <w:instrText xml:space="preserve"> HYPERLINK \l _Toc1482035901 </w:instrText>
      </w:r>
      <w:r>
        <w:rPr>
          <w:rFonts w:ascii="黑体" w:hAnsi="黑体"/>
          <w:szCs w:val="30"/>
        </w:rPr>
        <w:fldChar w:fldCharType="separate"/>
      </w:r>
      <w:r>
        <w:rPr>
          <w:rFonts w:hint="eastAsia" w:ascii="仿宋_GB2312" w:eastAsia="仿宋_GB2312"/>
          <w:szCs w:val="30"/>
        </w:rPr>
        <w:t>12.5. 应急申报与成交</w:t>
      </w:r>
      <w:r>
        <w:tab/>
      </w:r>
      <w:r>
        <w:fldChar w:fldCharType="begin"/>
      </w:r>
      <w:r>
        <w:instrText xml:space="preserve"> PAGEREF _Toc1482035901 \h </w:instrText>
      </w:r>
      <w:r>
        <w:fldChar w:fldCharType="separate"/>
      </w:r>
      <w:r>
        <w:t>293</w:t>
      </w:r>
      <w:r>
        <w:fldChar w:fldCharType="end"/>
      </w:r>
      <w:r>
        <w:rPr>
          <w:rFonts w:ascii="黑体" w:hAnsi="黑体"/>
          <w:szCs w:val="30"/>
        </w:rPr>
        <w:fldChar w:fldCharType="end"/>
      </w:r>
    </w:p>
    <w:p w14:paraId="1B4B1483">
      <w:pPr>
        <w:pStyle w:val="36"/>
        <w:tabs>
          <w:tab w:val="right" w:leader="dot" w:pos="8306"/>
        </w:tabs>
      </w:pPr>
      <w:r>
        <w:rPr>
          <w:rFonts w:ascii="黑体" w:hAnsi="黑体"/>
          <w:szCs w:val="30"/>
        </w:rPr>
        <w:fldChar w:fldCharType="begin"/>
      </w:r>
      <w:r>
        <w:rPr>
          <w:rFonts w:ascii="黑体" w:hAnsi="黑体"/>
          <w:szCs w:val="30"/>
        </w:rPr>
        <w:instrText xml:space="preserve"> HYPERLINK \l _Toc2010318953 </w:instrText>
      </w:r>
      <w:r>
        <w:rPr>
          <w:rFonts w:ascii="黑体" w:hAnsi="黑体"/>
          <w:szCs w:val="30"/>
        </w:rPr>
        <w:fldChar w:fldCharType="separate"/>
      </w:r>
      <w:r>
        <w:rPr>
          <w:rFonts w:hint="eastAsia" w:ascii="仿宋_GB2312" w:eastAsia="仿宋_GB2312"/>
          <w:szCs w:val="30"/>
        </w:rPr>
        <w:t>12.6. 交易解除</w:t>
      </w:r>
      <w:r>
        <w:tab/>
      </w:r>
      <w:r>
        <w:fldChar w:fldCharType="begin"/>
      </w:r>
      <w:r>
        <w:instrText xml:space="preserve"> PAGEREF _Toc2010318953 \h </w:instrText>
      </w:r>
      <w:r>
        <w:fldChar w:fldCharType="separate"/>
      </w:r>
      <w:r>
        <w:t>293</w:t>
      </w:r>
      <w:r>
        <w:fldChar w:fldCharType="end"/>
      </w:r>
      <w:r>
        <w:rPr>
          <w:rFonts w:ascii="黑体" w:hAnsi="黑体"/>
          <w:szCs w:val="30"/>
        </w:rPr>
        <w:fldChar w:fldCharType="end"/>
      </w:r>
    </w:p>
    <w:p w14:paraId="44096624">
      <w:pPr>
        <w:pStyle w:val="36"/>
        <w:tabs>
          <w:tab w:val="right" w:leader="dot" w:pos="8306"/>
        </w:tabs>
      </w:pPr>
      <w:r>
        <w:rPr>
          <w:rFonts w:ascii="黑体" w:hAnsi="黑体"/>
          <w:szCs w:val="30"/>
        </w:rPr>
        <w:fldChar w:fldCharType="begin"/>
      </w:r>
      <w:r>
        <w:rPr>
          <w:rFonts w:ascii="黑体" w:hAnsi="黑体"/>
          <w:szCs w:val="30"/>
        </w:rPr>
        <w:instrText xml:space="preserve"> HYPERLINK \l _Toc1331539579 </w:instrText>
      </w:r>
      <w:r>
        <w:rPr>
          <w:rFonts w:ascii="黑体" w:hAnsi="黑体"/>
          <w:szCs w:val="30"/>
        </w:rPr>
        <w:fldChar w:fldCharType="separate"/>
      </w:r>
      <w:r>
        <w:rPr>
          <w:rFonts w:hint="eastAsia" w:ascii="仿宋_GB2312" w:hAnsi="黑体" w:eastAsia="仿宋_GB2312"/>
          <w:szCs w:val="30"/>
        </w:rPr>
        <w:t>附件</w:t>
      </w:r>
      <w:r>
        <w:rPr>
          <w:rFonts w:ascii="仿宋_GB2312" w:hAnsi="黑体" w:eastAsia="仿宋_GB2312"/>
          <w:szCs w:val="30"/>
        </w:rPr>
        <w:t xml:space="preserve">1 </w:t>
      </w:r>
      <w:r>
        <w:rPr>
          <w:rFonts w:hint="eastAsia" w:ascii="仿宋_GB2312" w:hAnsi="黑体" w:eastAsia="仿宋_GB2312"/>
          <w:szCs w:val="30"/>
        </w:rPr>
        <w:t>债券交易参与人申请表</w:t>
      </w:r>
      <w:r>
        <w:tab/>
      </w:r>
      <w:r>
        <w:fldChar w:fldCharType="begin"/>
      </w:r>
      <w:r>
        <w:instrText xml:space="preserve"> PAGEREF _Toc1331539579 \h </w:instrText>
      </w:r>
      <w:r>
        <w:fldChar w:fldCharType="separate"/>
      </w:r>
      <w:r>
        <w:t>295</w:t>
      </w:r>
      <w:r>
        <w:fldChar w:fldCharType="end"/>
      </w:r>
      <w:r>
        <w:rPr>
          <w:rFonts w:ascii="黑体" w:hAnsi="黑体"/>
          <w:szCs w:val="30"/>
        </w:rPr>
        <w:fldChar w:fldCharType="end"/>
      </w:r>
    </w:p>
    <w:p w14:paraId="242E01F2">
      <w:pPr>
        <w:pStyle w:val="36"/>
        <w:tabs>
          <w:tab w:val="right" w:leader="dot" w:pos="8306"/>
        </w:tabs>
      </w:pPr>
      <w:r>
        <w:rPr>
          <w:rFonts w:ascii="黑体" w:hAnsi="黑体"/>
          <w:szCs w:val="30"/>
        </w:rPr>
        <w:fldChar w:fldCharType="begin"/>
      </w:r>
      <w:r>
        <w:rPr>
          <w:rFonts w:ascii="黑体" w:hAnsi="黑体"/>
          <w:szCs w:val="30"/>
        </w:rPr>
        <w:instrText xml:space="preserve"> HYPERLINK \l _Toc1946229655 </w:instrText>
      </w:r>
      <w:r>
        <w:rPr>
          <w:rFonts w:ascii="黑体" w:hAnsi="黑体"/>
          <w:szCs w:val="30"/>
        </w:rPr>
        <w:fldChar w:fldCharType="separate"/>
      </w:r>
      <w:r>
        <w:rPr>
          <w:rFonts w:hint="eastAsia" w:ascii="仿宋_GB2312" w:hAnsi="黑体" w:eastAsia="仿宋_GB2312"/>
          <w:szCs w:val="30"/>
        </w:rPr>
        <w:t>附件</w:t>
      </w:r>
      <w:r>
        <w:rPr>
          <w:rFonts w:ascii="仿宋_GB2312" w:hAnsi="黑体" w:eastAsia="仿宋_GB2312"/>
          <w:szCs w:val="30"/>
        </w:rPr>
        <w:t xml:space="preserve">2 </w:t>
      </w:r>
      <w:r>
        <w:rPr>
          <w:rFonts w:hint="eastAsia" w:ascii="仿宋_GB2312" w:hAnsi="黑体" w:eastAsia="仿宋_GB2312"/>
          <w:szCs w:val="30"/>
        </w:rPr>
        <w:t>会籍系统资格申请报告</w:t>
      </w:r>
      <w:r>
        <w:tab/>
      </w:r>
      <w:r>
        <w:fldChar w:fldCharType="begin"/>
      </w:r>
      <w:r>
        <w:instrText xml:space="preserve"> PAGEREF _Toc1946229655 \h </w:instrText>
      </w:r>
      <w:r>
        <w:fldChar w:fldCharType="separate"/>
      </w:r>
      <w:r>
        <w:t>297</w:t>
      </w:r>
      <w:r>
        <w:fldChar w:fldCharType="end"/>
      </w:r>
      <w:r>
        <w:rPr>
          <w:rFonts w:ascii="黑体" w:hAnsi="黑体"/>
          <w:szCs w:val="30"/>
        </w:rPr>
        <w:fldChar w:fldCharType="end"/>
      </w:r>
    </w:p>
    <w:p w14:paraId="5D09E873">
      <w:pPr>
        <w:pStyle w:val="36"/>
        <w:tabs>
          <w:tab w:val="right" w:leader="dot" w:pos="8306"/>
        </w:tabs>
      </w:pPr>
      <w:r>
        <w:rPr>
          <w:rFonts w:ascii="黑体" w:hAnsi="黑体"/>
          <w:szCs w:val="30"/>
        </w:rPr>
        <w:fldChar w:fldCharType="begin"/>
      </w:r>
      <w:r>
        <w:rPr>
          <w:rFonts w:ascii="黑体" w:hAnsi="黑体"/>
          <w:szCs w:val="30"/>
        </w:rPr>
        <w:instrText xml:space="preserve"> HYPERLINK \l _Toc2135378067 </w:instrText>
      </w:r>
      <w:r>
        <w:rPr>
          <w:rFonts w:ascii="黑体" w:hAnsi="黑体"/>
          <w:szCs w:val="30"/>
        </w:rPr>
        <w:fldChar w:fldCharType="separate"/>
      </w:r>
      <w:r>
        <w:rPr>
          <w:rFonts w:hint="eastAsia" w:ascii="仿宋_GB2312" w:hAnsi="黑体" w:eastAsia="仿宋_GB2312"/>
          <w:szCs w:val="30"/>
        </w:rPr>
        <w:t>附件3 债券交易参与人业务联络人基本信息表</w:t>
      </w:r>
      <w:r>
        <w:tab/>
      </w:r>
      <w:r>
        <w:fldChar w:fldCharType="begin"/>
      </w:r>
      <w:r>
        <w:instrText xml:space="preserve"> PAGEREF _Toc2135378067 \h </w:instrText>
      </w:r>
      <w:r>
        <w:fldChar w:fldCharType="separate"/>
      </w:r>
      <w:r>
        <w:t>298</w:t>
      </w:r>
      <w:r>
        <w:fldChar w:fldCharType="end"/>
      </w:r>
      <w:r>
        <w:rPr>
          <w:rFonts w:ascii="黑体" w:hAnsi="黑体"/>
          <w:szCs w:val="30"/>
        </w:rPr>
        <w:fldChar w:fldCharType="end"/>
      </w:r>
    </w:p>
    <w:p w14:paraId="3C2D960E">
      <w:pPr>
        <w:pStyle w:val="36"/>
        <w:tabs>
          <w:tab w:val="right" w:leader="dot" w:pos="8306"/>
        </w:tabs>
      </w:pPr>
      <w:r>
        <w:rPr>
          <w:rFonts w:ascii="黑体" w:hAnsi="黑体"/>
          <w:szCs w:val="30"/>
        </w:rPr>
        <w:fldChar w:fldCharType="begin"/>
      </w:r>
      <w:r>
        <w:rPr>
          <w:rFonts w:ascii="黑体" w:hAnsi="黑体"/>
          <w:szCs w:val="30"/>
        </w:rPr>
        <w:instrText xml:space="preserve"> HYPERLINK \l _Toc1077872055 </w:instrText>
      </w:r>
      <w:r>
        <w:rPr>
          <w:rFonts w:ascii="黑体" w:hAnsi="黑体"/>
          <w:szCs w:val="30"/>
        </w:rPr>
        <w:fldChar w:fldCharType="separate"/>
      </w:r>
      <w:r>
        <w:rPr>
          <w:rFonts w:hint="eastAsia" w:ascii="仿宋_GB2312" w:hAnsi="黑体" w:eastAsia="仿宋_GB2312"/>
          <w:szCs w:val="30"/>
        </w:rPr>
        <w:t>附件4 境外机构投资者信息报送表</w:t>
      </w:r>
      <w:r>
        <w:tab/>
      </w:r>
      <w:r>
        <w:fldChar w:fldCharType="begin"/>
      </w:r>
      <w:r>
        <w:instrText xml:space="preserve"> PAGEREF _Toc1077872055 \h </w:instrText>
      </w:r>
      <w:r>
        <w:fldChar w:fldCharType="separate"/>
      </w:r>
      <w:r>
        <w:t>299</w:t>
      </w:r>
      <w:r>
        <w:fldChar w:fldCharType="end"/>
      </w:r>
      <w:r>
        <w:rPr>
          <w:rFonts w:ascii="黑体" w:hAnsi="黑体"/>
          <w:szCs w:val="30"/>
        </w:rPr>
        <w:fldChar w:fldCharType="end"/>
      </w:r>
    </w:p>
    <w:p w14:paraId="27B733E3">
      <w:pPr>
        <w:pStyle w:val="36"/>
        <w:tabs>
          <w:tab w:val="right" w:leader="dot" w:pos="8306"/>
        </w:tabs>
      </w:pPr>
      <w:r>
        <w:rPr>
          <w:rFonts w:ascii="黑体" w:hAnsi="黑体"/>
          <w:szCs w:val="30"/>
        </w:rPr>
        <w:fldChar w:fldCharType="begin"/>
      </w:r>
      <w:r>
        <w:rPr>
          <w:rFonts w:ascii="黑体" w:hAnsi="黑体"/>
          <w:szCs w:val="30"/>
        </w:rPr>
        <w:instrText xml:space="preserve"> HYPERLINK \l _Toc483507284 </w:instrText>
      </w:r>
      <w:r>
        <w:rPr>
          <w:rFonts w:ascii="黑体" w:hAnsi="黑体"/>
          <w:szCs w:val="30"/>
        </w:rPr>
        <w:fldChar w:fldCharType="separate"/>
      </w:r>
      <w:r>
        <w:rPr>
          <w:rFonts w:hint="eastAsia" w:ascii="仿宋_GB2312" w:hAnsi="黑体" w:eastAsia="仿宋_GB2312"/>
          <w:szCs w:val="30"/>
        </w:rPr>
        <w:t>附件5 资金前端控制设置流程说明</w:t>
      </w:r>
      <w:r>
        <w:tab/>
      </w:r>
      <w:r>
        <w:fldChar w:fldCharType="begin"/>
      </w:r>
      <w:r>
        <w:instrText xml:space="preserve"> PAGEREF _Toc483507284 \h </w:instrText>
      </w:r>
      <w:r>
        <w:fldChar w:fldCharType="separate"/>
      </w:r>
      <w:r>
        <w:t>302</w:t>
      </w:r>
      <w:r>
        <w:fldChar w:fldCharType="end"/>
      </w:r>
      <w:r>
        <w:rPr>
          <w:rFonts w:ascii="黑体" w:hAnsi="黑体"/>
          <w:szCs w:val="30"/>
        </w:rPr>
        <w:fldChar w:fldCharType="end"/>
      </w:r>
    </w:p>
    <w:p w14:paraId="02247E30">
      <w:pPr>
        <w:pStyle w:val="36"/>
        <w:tabs>
          <w:tab w:val="right" w:leader="dot" w:pos="8306"/>
        </w:tabs>
      </w:pPr>
      <w:r>
        <w:rPr>
          <w:rFonts w:ascii="黑体" w:hAnsi="黑体"/>
          <w:szCs w:val="30"/>
        </w:rPr>
        <w:fldChar w:fldCharType="begin"/>
      </w:r>
      <w:r>
        <w:rPr>
          <w:rFonts w:ascii="黑体" w:hAnsi="黑体"/>
          <w:szCs w:val="30"/>
        </w:rPr>
        <w:instrText xml:space="preserve"> HYPERLINK \l _Toc670382920 </w:instrText>
      </w:r>
      <w:r>
        <w:rPr>
          <w:rFonts w:ascii="黑体" w:hAnsi="黑体"/>
          <w:szCs w:val="30"/>
        </w:rPr>
        <w:fldChar w:fldCharType="separate"/>
      </w:r>
      <w:r>
        <w:rPr>
          <w:rFonts w:hint="eastAsia" w:ascii="仿宋_GB2312" w:hAnsi="黑体" w:eastAsia="仿宋_GB2312"/>
          <w:szCs w:val="30"/>
        </w:rPr>
        <w:t>附件6-1 竞买预约提示</w:t>
      </w:r>
      <w:r>
        <w:tab/>
      </w:r>
      <w:r>
        <w:fldChar w:fldCharType="begin"/>
      </w:r>
      <w:r>
        <w:instrText xml:space="preserve"> PAGEREF _Toc670382920 \h </w:instrText>
      </w:r>
      <w:r>
        <w:fldChar w:fldCharType="separate"/>
      </w:r>
      <w:r>
        <w:t>307</w:t>
      </w:r>
      <w:r>
        <w:fldChar w:fldCharType="end"/>
      </w:r>
      <w:r>
        <w:rPr>
          <w:rFonts w:ascii="黑体" w:hAnsi="黑体"/>
          <w:szCs w:val="30"/>
        </w:rPr>
        <w:fldChar w:fldCharType="end"/>
      </w:r>
    </w:p>
    <w:p w14:paraId="21072CB6">
      <w:pPr>
        <w:pStyle w:val="36"/>
        <w:tabs>
          <w:tab w:val="right" w:leader="dot" w:pos="8306"/>
        </w:tabs>
      </w:pPr>
      <w:r>
        <w:rPr>
          <w:rFonts w:ascii="黑体" w:hAnsi="黑体"/>
          <w:szCs w:val="30"/>
        </w:rPr>
        <w:fldChar w:fldCharType="begin"/>
      </w:r>
      <w:r>
        <w:rPr>
          <w:rFonts w:ascii="黑体" w:hAnsi="黑体"/>
          <w:szCs w:val="30"/>
        </w:rPr>
        <w:instrText xml:space="preserve"> HYPERLINK \l _Toc893582044 </w:instrText>
      </w:r>
      <w:r>
        <w:rPr>
          <w:rFonts w:ascii="黑体" w:hAnsi="黑体"/>
          <w:szCs w:val="30"/>
        </w:rPr>
        <w:fldChar w:fldCharType="separate"/>
      </w:r>
      <w:r>
        <w:rPr>
          <w:rFonts w:hint="eastAsia" w:ascii="仿宋_GB2312" w:eastAsia="仿宋_GB2312"/>
          <w:szCs w:val="30"/>
        </w:rPr>
        <w:t>附件6-2 竞买预约撤销提示</w:t>
      </w:r>
      <w:r>
        <w:tab/>
      </w:r>
      <w:r>
        <w:fldChar w:fldCharType="begin"/>
      </w:r>
      <w:r>
        <w:instrText xml:space="preserve"> PAGEREF _Toc893582044 \h </w:instrText>
      </w:r>
      <w:r>
        <w:fldChar w:fldCharType="separate"/>
      </w:r>
      <w:r>
        <w:t>307</w:t>
      </w:r>
      <w:r>
        <w:fldChar w:fldCharType="end"/>
      </w:r>
      <w:r>
        <w:rPr>
          <w:rFonts w:ascii="黑体" w:hAnsi="黑体"/>
          <w:szCs w:val="30"/>
        </w:rPr>
        <w:fldChar w:fldCharType="end"/>
      </w:r>
    </w:p>
    <w:p w14:paraId="30024982">
      <w:pPr>
        <w:pStyle w:val="36"/>
        <w:tabs>
          <w:tab w:val="right" w:leader="dot" w:pos="8306"/>
        </w:tabs>
      </w:pPr>
      <w:r>
        <w:rPr>
          <w:rFonts w:ascii="黑体" w:hAnsi="黑体"/>
          <w:szCs w:val="30"/>
        </w:rPr>
        <w:fldChar w:fldCharType="begin"/>
      </w:r>
      <w:r>
        <w:rPr>
          <w:rFonts w:ascii="黑体" w:hAnsi="黑体"/>
          <w:szCs w:val="30"/>
        </w:rPr>
        <w:instrText xml:space="preserve"> HYPERLINK \l _Toc1800057358 </w:instrText>
      </w:r>
      <w:r>
        <w:rPr>
          <w:rFonts w:ascii="黑体" w:hAnsi="黑体"/>
          <w:szCs w:val="30"/>
        </w:rPr>
        <w:fldChar w:fldCharType="separate"/>
      </w:r>
      <w:r>
        <w:rPr>
          <w:rFonts w:hint="eastAsia" w:ascii="仿宋_GB2312" w:hAnsi="黑体" w:eastAsia="仿宋_GB2312"/>
          <w:szCs w:val="30"/>
        </w:rPr>
        <w:t>附件6-3 竞买取消提示</w:t>
      </w:r>
      <w:r>
        <w:tab/>
      </w:r>
      <w:r>
        <w:fldChar w:fldCharType="begin"/>
      </w:r>
      <w:r>
        <w:instrText xml:space="preserve"> PAGEREF _Toc1800057358 \h </w:instrText>
      </w:r>
      <w:r>
        <w:fldChar w:fldCharType="separate"/>
      </w:r>
      <w:r>
        <w:t>308</w:t>
      </w:r>
      <w:r>
        <w:fldChar w:fldCharType="end"/>
      </w:r>
      <w:r>
        <w:rPr>
          <w:rFonts w:ascii="黑体" w:hAnsi="黑体"/>
          <w:szCs w:val="30"/>
        </w:rPr>
        <w:fldChar w:fldCharType="end"/>
      </w:r>
    </w:p>
    <w:p w14:paraId="696E2F14">
      <w:pPr>
        <w:pStyle w:val="36"/>
        <w:tabs>
          <w:tab w:val="right" w:leader="dot" w:pos="8306"/>
        </w:tabs>
      </w:pPr>
      <w:r>
        <w:rPr>
          <w:rFonts w:ascii="黑体" w:hAnsi="黑体"/>
          <w:szCs w:val="30"/>
        </w:rPr>
        <w:fldChar w:fldCharType="begin"/>
      </w:r>
      <w:r>
        <w:rPr>
          <w:rFonts w:ascii="黑体" w:hAnsi="黑体"/>
          <w:szCs w:val="30"/>
        </w:rPr>
        <w:instrText xml:space="preserve"> HYPERLINK \l _Toc601704926 </w:instrText>
      </w:r>
      <w:r>
        <w:rPr>
          <w:rFonts w:ascii="黑体" w:hAnsi="黑体"/>
          <w:szCs w:val="30"/>
        </w:rPr>
        <w:fldChar w:fldCharType="separate"/>
      </w:r>
      <w:r>
        <w:rPr>
          <w:rFonts w:hint="eastAsia" w:ascii="仿宋_GB2312" w:hAnsi="黑体" w:eastAsia="仿宋_GB2312"/>
          <w:szCs w:val="30"/>
        </w:rPr>
        <w:t>附件6-4 竞买结果提示</w:t>
      </w:r>
      <w:r>
        <w:tab/>
      </w:r>
      <w:r>
        <w:fldChar w:fldCharType="begin"/>
      </w:r>
      <w:r>
        <w:instrText xml:space="preserve"> PAGEREF _Toc601704926 \h </w:instrText>
      </w:r>
      <w:r>
        <w:fldChar w:fldCharType="separate"/>
      </w:r>
      <w:r>
        <w:t>309</w:t>
      </w:r>
      <w:r>
        <w:fldChar w:fldCharType="end"/>
      </w:r>
      <w:r>
        <w:rPr>
          <w:rFonts w:ascii="黑体" w:hAnsi="黑体"/>
          <w:szCs w:val="30"/>
        </w:rPr>
        <w:fldChar w:fldCharType="end"/>
      </w:r>
    </w:p>
    <w:p w14:paraId="0033115D">
      <w:pPr>
        <w:pStyle w:val="36"/>
        <w:tabs>
          <w:tab w:val="right" w:leader="dot" w:pos="8306"/>
        </w:tabs>
      </w:pPr>
      <w:r>
        <w:rPr>
          <w:rFonts w:ascii="黑体" w:hAnsi="黑体"/>
          <w:szCs w:val="30"/>
        </w:rPr>
        <w:fldChar w:fldCharType="begin"/>
      </w:r>
      <w:r>
        <w:rPr>
          <w:rFonts w:ascii="黑体" w:hAnsi="黑体"/>
          <w:szCs w:val="30"/>
        </w:rPr>
        <w:instrText xml:space="preserve"> HYPERLINK \l _Toc67792459 </w:instrText>
      </w:r>
      <w:r>
        <w:rPr>
          <w:rFonts w:ascii="黑体" w:hAnsi="黑体"/>
          <w:szCs w:val="30"/>
        </w:rPr>
        <w:fldChar w:fldCharType="separate"/>
      </w:r>
      <w:r>
        <w:rPr>
          <w:rFonts w:hint="eastAsia" w:ascii="仿宋_GB2312" w:hAnsi="黑体" w:eastAsia="仿宋_GB2312"/>
          <w:szCs w:val="30"/>
        </w:rPr>
        <w:t>附件7 做市交易业务技术测试和专项检查申请</w:t>
      </w:r>
      <w:r>
        <w:rPr>
          <w:rFonts w:hint="eastAsia" w:ascii="仿宋_GB2312" w:eastAsia="仿宋_GB2312"/>
          <w:szCs w:val="30"/>
        </w:rPr>
        <w:t>书</w:t>
      </w:r>
      <w:r>
        <w:tab/>
      </w:r>
      <w:r>
        <w:fldChar w:fldCharType="begin"/>
      </w:r>
      <w:r>
        <w:instrText xml:space="preserve"> PAGEREF _Toc67792459 \h </w:instrText>
      </w:r>
      <w:r>
        <w:fldChar w:fldCharType="separate"/>
      </w:r>
      <w:r>
        <w:t>310</w:t>
      </w:r>
      <w:r>
        <w:fldChar w:fldCharType="end"/>
      </w:r>
      <w:r>
        <w:rPr>
          <w:rFonts w:ascii="黑体" w:hAnsi="黑体"/>
          <w:szCs w:val="30"/>
        </w:rPr>
        <w:fldChar w:fldCharType="end"/>
      </w:r>
    </w:p>
    <w:p w14:paraId="7E1A46C2">
      <w:pPr>
        <w:pStyle w:val="36"/>
        <w:tabs>
          <w:tab w:val="right" w:leader="dot" w:pos="8306"/>
        </w:tabs>
      </w:pPr>
      <w:r>
        <w:rPr>
          <w:rFonts w:ascii="黑体" w:hAnsi="黑体"/>
          <w:szCs w:val="30"/>
        </w:rPr>
        <w:fldChar w:fldCharType="begin"/>
      </w:r>
      <w:r>
        <w:rPr>
          <w:rFonts w:ascii="黑体" w:hAnsi="黑体"/>
          <w:szCs w:val="30"/>
        </w:rPr>
        <w:instrText xml:space="preserve"> HYPERLINK \l _Toc395554747 </w:instrText>
      </w:r>
      <w:r>
        <w:rPr>
          <w:rFonts w:ascii="黑体" w:hAnsi="黑体"/>
          <w:szCs w:val="30"/>
        </w:rPr>
        <w:fldChar w:fldCharType="separate"/>
      </w:r>
      <w:r>
        <w:rPr>
          <w:rFonts w:hint="eastAsia" w:ascii="仿宋_GB2312" w:hAnsi="黑体" w:eastAsia="仿宋_GB2312"/>
          <w:szCs w:val="30"/>
        </w:rPr>
        <w:t>附件8 做市交易业务实施方案与管理制度必备要点</w:t>
      </w:r>
      <w:r>
        <w:tab/>
      </w:r>
      <w:r>
        <w:fldChar w:fldCharType="begin"/>
      </w:r>
      <w:r>
        <w:instrText xml:space="preserve"> PAGEREF _Toc395554747 \h </w:instrText>
      </w:r>
      <w:r>
        <w:fldChar w:fldCharType="separate"/>
      </w:r>
      <w:r>
        <w:t>311</w:t>
      </w:r>
      <w:r>
        <w:fldChar w:fldCharType="end"/>
      </w:r>
      <w:r>
        <w:rPr>
          <w:rFonts w:ascii="黑体" w:hAnsi="黑体"/>
          <w:szCs w:val="30"/>
        </w:rPr>
        <w:fldChar w:fldCharType="end"/>
      </w:r>
    </w:p>
    <w:p w14:paraId="573B6FC4">
      <w:pPr>
        <w:pStyle w:val="36"/>
        <w:tabs>
          <w:tab w:val="right" w:leader="dot" w:pos="8306"/>
        </w:tabs>
      </w:pPr>
      <w:r>
        <w:rPr>
          <w:rFonts w:ascii="黑体" w:hAnsi="黑体"/>
          <w:szCs w:val="30"/>
        </w:rPr>
        <w:fldChar w:fldCharType="begin"/>
      </w:r>
      <w:r>
        <w:rPr>
          <w:rFonts w:ascii="黑体" w:hAnsi="黑体"/>
          <w:szCs w:val="30"/>
        </w:rPr>
        <w:instrText xml:space="preserve"> HYPERLINK \l _Toc1671419130 </w:instrText>
      </w:r>
      <w:r>
        <w:rPr>
          <w:rFonts w:ascii="黑体" w:hAnsi="黑体"/>
          <w:szCs w:val="30"/>
        </w:rPr>
        <w:fldChar w:fldCharType="separate"/>
      </w:r>
      <w:r>
        <w:rPr>
          <w:rFonts w:hint="eastAsia" w:ascii="仿宋_GB2312" w:hAnsi="黑体" w:eastAsia="仿宋_GB2312"/>
          <w:szCs w:val="30"/>
        </w:rPr>
        <w:t>附件9 债券做市交易业务人员情况表</w:t>
      </w:r>
      <w:r>
        <w:tab/>
      </w:r>
      <w:r>
        <w:fldChar w:fldCharType="begin"/>
      </w:r>
      <w:r>
        <w:instrText xml:space="preserve"> PAGEREF _Toc1671419130 \h </w:instrText>
      </w:r>
      <w:r>
        <w:fldChar w:fldCharType="separate"/>
      </w:r>
      <w:r>
        <w:t>313</w:t>
      </w:r>
      <w:r>
        <w:fldChar w:fldCharType="end"/>
      </w:r>
      <w:r>
        <w:rPr>
          <w:rFonts w:ascii="黑体" w:hAnsi="黑体"/>
          <w:szCs w:val="30"/>
        </w:rPr>
        <w:fldChar w:fldCharType="end"/>
      </w:r>
    </w:p>
    <w:p w14:paraId="74A98CA3">
      <w:pPr>
        <w:pStyle w:val="36"/>
        <w:tabs>
          <w:tab w:val="right" w:leader="dot" w:pos="8306"/>
        </w:tabs>
      </w:pPr>
      <w:r>
        <w:rPr>
          <w:rFonts w:ascii="黑体" w:hAnsi="黑体"/>
          <w:szCs w:val="30"/>
        </w:rPr>
        <w:fldChar w:fldCharType="begin"/>
      </w:r>
      <w:r>
        <w:rPr>
          <w:rFonts w:ascii="黑体" w:hAnsi="黑体"/>
          <w:szCs w:val="30"/>
        </w:rPr>
        <w:instrText xml:space="preserve"> HYPERLINK \l _Toc140654372 </w:instrText>
      </w:r>
      <w:r>
        <w:rPr>
          <w:rFonts w:ascii="黑体" w:hAnsi="黑体"/>
          <w:szCs w:val="30"/>
        </w:rPr>
        <w:fldChar w:fldCharType="separate"/>
      </w:r>
      <w:r>
        <w:rPr>
          <w:rFonts w:hint="eastAsia" w:ascii="仿宋_GB2312" w:hAnsi="黑体" w:eastAsia="仿宋_GB2312"/>
          <w:szCs w:val="30"/>
        </w:rPr>
        <w:t>附件10 上海证券交易所债券做市交易业务检查工作底稿</w:t>
      </w:r>
      <w:r>
        <w:tab/>
      </w:r>
      <w:r>
        <w:fldChar w:fldCharType="begin"/>
      </w:r>
      <w:r>
        <w:instrText xml:space="preserve"> PAGEREF _Toc140654372 \h </w:instrText>
      </w:r>
      <w:r>
        <w:fldChar w:fldCharType="separate"/>
      </w:r>
      <w:r>
        <w:t>315</w:t>
      </w:r>
      <w:r>
        <w:fldChar w:fldCharType="end"/>
      </w:r>
      <w:r>
        <w:rPr>
          <w:rFonts w:ascii="黑体" w:hAnsi="黑体"/>
          <w:szCs w:val="30"/>
        </w:rPr>
        <w:fldChar w:fldCharType="end"/>
      </w:r>
    </w:p>
    <w:p w14:paraId="2C4B1758">
      <w:pPr>
        <w:pStyle w:val="36"/>
        <w:tabs>
          <w:tab w:val="right" w:leader="dot" w:pos="8306"/>
        </w:tabs>
      </w:pPr>
      <w:r>
        <w:rPr>
          <w:rFonts w:ascii="黑体" w:hAnsi="黑体"/>
          <w:szCs w:val="30"/>
        </w:rPr>
        <w:fldChar w:fldCharType="begin"/>
      </w:r>
      <w:r>
        <w:rPr>
          <w:rFonts w:ascii="黑体" w:hAnsi="黑体"/>
          <w:szCs w:val="30"/>
        </w:rPr>
        <w:instrText xml:space="preserve"> HYPERLINK \l _Toc34440746 </w:instrText>
      </w:r>
      <w:r>
        <w:rPr>
          <w:rFonts w:ascii="黑体" w:hAnsi="黑体"/>
          <w:szCs w:val="30"/>
        </w:rPr>
        <w:fldChar w:fldCharType="separate"/>
      </w:r>
      <w:r>
        <w:rPr>
          <w:rFonts w:hint="eastAsia" w:ascii="仿宋_GB2312" w:hAnsi="黑体" w:eastAsia="仿宋_GB2312"/>
          <w:szCs w:val="30"/>
        </w:rPr>
        <w:t>附件11 债券基准做市业务方案</w:t>
      </w:r>
      <w:r>
        <w:tab/>
      </w:r>
      <w:r>
        <w:fldChar w:fldCharType="begin"/>
      </w:r>
      <w:r>
        <w:instrText xml:space="preserve"> PAGEREF _Toc34440746 \h </w:instrText>
      </w:r>
      <w:r>
        <w:fldChar w:fldCharType="separate"/>
      </w:r>
      <w:r>
        <w:t>317</w:t>
      </w:r>
      <w:r>
        <w:fldChar w:fldCharType="end"/>
      </w:r>
      <w:r>
        <w:rPr>
          <w:rFonts w:ascii="黑体" w:hAnsi="黑体"/>
          <w:szCs w:val="30"/>
        </w:rPr>
        <w:fldChar w:fldCharType="end"/>
      </w:r>
    </w:p>
    <w:p w14:paraId="258B4DBB">
      <w:pPr>
        <w:pStyle w:val="36"/>
        <w:tabs>
          <w:tab w:val="right" w:leader="dot" w:pos="8306"/>
        </w:tabs>
      </w:pPr>
      <w:r>
        <w:rPr>
          <w:rFonts w:ascii="黑体" w:hAnsi="黑体"/>
          <w:szCs w:val="30"/>
        </w:rPr>
        <w:fldChar w:fldCharType="begin"/>
      </w:r>
      <w:r>
        <w:rPr>
          <w:rFonts w:ascii="黑体" w:hAnsi="黑体"/>
          <w:szCs w:val="30"/>
        </w:rPr>
        <w:instrText xml:space="preserve"> HYPERLINK \l _Toc1652071212 </w:instrText>
      </w:r>
      <w:r>
        <w:rPr>
          <w:rFonts w:ascii="黑体" w:hAnsi="黑体"/>
          <w:szCs w:val="30"/>
        </w:rPr>
        <w:fldChar w:fldCharType="separate"/>
      </w:r>
      <w:r>
        <w:rPr>
          <w:rFonts w:hint="eastAsia" w:ascii="仿宋_GB2312" w:hAnsi="黑体" w:eastAsia="仿宋_GB2312"/>
          <w:szCs w:val="30"/>
        </w:rPr>
        <w:t>附件12 债券一般做市商登记表</w:t>
      </w:r>
      <w:r>
        <w:tab/>
      </w:r>
      <w:r>
        <w:fldChar w:fldCharType="begin"/>
      </w:r>
      <w:r>
        <w:instrText xml:space="preserve"> PAGEREF _Toc1652071212 \h </w:instrText>
      </w:r>
      <w:r>
        <w:fldChar w:fldCharType="separate"/>
      </w:r>
      <w:r>
        <w:t>322</w:t>
      </w:r>
      <w:r>
        <w:fldChar w:fldCharType="end"/>
      </w:r>
      <w:r>
        <w:rPr>
          <w:rFonts w:ascii="黑体" w:hAnsi="黑体"/>
          <w:szCs w:val="30"/>
        </w:rPr>
        <w:fldChar w:fldCharType="end"/>
      </w:r>
    </w:p>
    <w:p w14:paraId="6849B727">
      <w:pPr>
        <w:pStyle w:val="36"/>
        <w:tabs>
          <w:tab w:val="right" w:leader="dot" w:pos="8306"/>
        </w:tabs>
      </w:pPr>
      <w:r>
        <w:rPr>
          <w:rFonts w:ascii="黑体" w:hAnsi="黑体"/>
          <w:szCs w:val="30"/>
        </w:rPr>
        <w:fldChar w:fldCharType="begin"/>
      </w:r>
      <w:r>
        <w:rPr>
          <w:rFonts w:ascii="黑体" w:hAnsi="黑体"/>
          <w:szCs w:val="30"/>
        </w:rPr>
        <w:instrText xml:space="preserve"> HYPERLINK \l _Toc2131863134 </w:instrText>
      </w:r>
      <w:r>
        <w:rPr>
          <w:rFonts w:ascii="黑体" w:hAnsi="黑体"/>
          <w:szCs w:val="30"/>
        </w:rPr>
        <w:fldChar w:fldCharType="separate"/>
      </w:r>
      <w:r>
        <w:rPr>
          <w:rFonts w:hint="eastAsia" w:ascii="仿宋_GB2312" w:hAnsi="黑体" w:eastAsia="仿宋_GB2312"/>
          <w:szCs w:val="30"/>
        </w:rPr>
        <w:t>附件13 债券做市账户登记表</w:t>
      </w:r>
      <w:r>
        <w:tab/>
      </w:r>
      <w:r>
        <w:fldChar w:fldCharType="begin"/>
      </w:r>
      <w:r>
        <w:instrText xml:space="preserve"> PAGEREF _Toc2131863134 \h </w:instrText>
      </w:r>
      <w:r>
        <w:fldChar w:fldCharType="separate"/>
      </w:r>
      <w:r>
        <w:t>324</w:t>
      </w:r>
      <w:r>
        <w:fldChar w:fldCharType="end"/>
      </w:r>
      <w:r>
        <w:rPr>
          <w:rFonts w:ascii="黑体" w:hAnsi="黑体"/>
          <w:szCs w:val="30"/>
        </w:rPr>
        <w:fldChar w:fldCharType="end"/>
      </w:r>
    </w:p>
    <w:p w14:paraId="5CC1B9EB">
      <w:pPr>
        <w:pStyle w:val="36"/>
        <w:tabs>
          <w:tab w:val="right" w:leader="dot" w:pos="8306"/>
        </w:tabs>
      </w:pPr>
      <w:r>
        <w:rPr>
          <w:rFonts w:ascii="黑体" w:hAnsi="黑体"/>
          <w:szCs w:val="30"/>
        </w:rPr>
        <w:fldChar w:fldCharType="begin"/>
      </w:r>
      <w:r>
        <w:rPr>
          <w:rFonts w:ascii="黑体" w:hAnsi="黑体"/>
          <w:szCs w:val="30"/>
        </w:rPr>
        <w:instrText xml:space="preserve"> HYPERLINK \l _Toc374208719 </w:instrText>
      </w:r>
      <w:r>
        <w:rPr>
          <w:rFonts w:ascii="黑体" w:hAnsi="黑体"/>
          <w:szCs w:val="30"/>
        </w:rPr>
        <w:fldChar w:fldCharType="separate"/>
      </w:r>
      <w:r>
        <w:rPr>
          <w:rFonts w:hint="eastAsia" w:ascii="仿宋_GB2312" w:hAnsi="黑体" w:eastAsia="仿宋_GB2312"/>
          <w:szCs w:val="30"/>
        </w:rPr>
        <w:t>附件14 债券做市账户变更表</w:t>
      </w:r>
      <w:r>
        <w:tab/>
      </w:r>
      <w:r>
        <w:fldChar w:fldCharType="begin"/>
      </w:r>
      <w:r>
        <w:instrText xml:space="preserve"> PAGEREF _Toc374208719 \h </w:instrText>
      </w:r>
      <w:r>
        <w:fldChar w:fldCharType="separate"/>
      </w:r>
      <w:r>
        <w:t>326</w:t>
      </w:r>
      <w:r>
        <w:fldChar w:fldCharType="end"/>
      </w:r>
      <w:r>
        <w:rPr>
          <w:rFonts w:ascii="黑体" w:hAnsi="黑体"/>
          <w:szCs w:val="30"/>
        </w:rPr>
        <w:fldChar w:fldCharType="end"/>
      </w:r>
    </w:p>
    <w:p w14:paraId="108E26B8">
      <w:pPr>
        <w:pStyle w:val="36"/>
        <w:tabs>
          <w:tab w:val="right" w:leader="dot" w:pos="8306"/>
        </w:tabs>
      </w:pPr>
      <w:r>
        <w:rPr>
          <w:rFonts w:ascii="黑体" w:hAnsi="黑体"/>
          <w:szCs w:val="30"/>
        </w:rPr>
        <w:fldChar w:fldCharType="begin"/>
      </w:r>
      <w:r>
        <w:rPr>
          <w:rFonts w:ascii="黑体" w:hAnsi="黑体"/>
          <w:szCs w:val="30"/>
        </w:rPr>
        <w:instrText xml:space="preserve"> HYPERLINK \l _Toc1717358683 </w:instrText>
      </w:r>
      <w:r>
        <w:rPr>
          <w:rFonts w:ascii="黑体" w:hAnsi="黑体"/>
          <w:szCs w:val="30"/>
        </w:rPr>
        <w:fldChar w:fldCharType="separate"/>
      </w:r>
      <w:r>
        <w:rPr>
          <w:rFonts w:hint="eastAsia" w:ascii="仿宋_GB2312" w:hAnsi="黑体" w:eastAsia="仿宋_GB2312"/>
          <w:szCs w:val="30"/>
        </w:rPr>
        <w:t>附件15 添加债券做市标的登记表</w:t>
      </w:r>
      <w:r>
        <w:tab/>
      </w:r>
      <w:r>
        <w:fldChar w:fldCharType="begin"/>
      </w:r>
      <w:r>
        <w:instrText xml:space="preserve"> PAGEREF _Toc1717358683 \h </w:instrText>
      </w:r>
      <w:r>
        <w:fldChar w:fldCharType="separate"/>
      </w:r>
      <w:r>
        <w:t>328</w:t>
      </w:r>
      <w:r>
        <w:fldChar w:fldCharType="end"/>
      </w:r>
      <w:r>
        <w:rPr>
          <w:rFonts w:ascii="黑体" w:hAnsi="黑体"/>
          <w:szCs w:val="30"/>
        </w:rPr>
        <w:fldChar w:fldCharType="end"/>
      </w:r>
    </w:p>
    <w:p w14:paraId="4C7F17D0">
      <w:pPr>
        <w:pStyle w:val="36"/>
        <w:tabs>
          <w:tab w:val="right" w:leader="dot" w:pos="8306"/>
        </w:tabs>
      </w:pPr>
      <w:r>
        <w:rPr>
          <w:rFonts w:ascii="黑体" w:hAnsi="黑体"/>
          <w:szCs w:val="30"/>
        </w:rPr>
        <w:fldChar w:fldCharType="begin"/>
      </w:r>
      <w:r>
        <w:rPr>
          <w:rFonts w:ascii="黑体" w:hAnsi="黑体"/>
          <w:szCs w:val="30"/>
        </w:rPr>
        <w:instrText xml:space="preserve"> HYPERLINK \l _Toc1011841988 </w:instrText>
      </w:r>
      <w:r>
        <w:rPr>
          <w:rFonts w:ascii="黑体" w:hAnsi="黑体"/>
          <w:szCs w:val="30"/>
        </w:rPr>
        <w:fldChar w:fldCharType="separate"/>
      </w:r>
      <w:r>
        <w:rPr>
          <w:rFonts w:hint="eastAsia" w:ascii="仿宋_GB2312" w:hAnsi="黑体" w:eastAsia="仿宋_GB2312"/>
          <w:szCs w:val="30"/>
        </w:rPr>
        <w:t>附件16 取消债券做市标的登记表</w:t>
      </w:r>
      <w:r>
        <w:tab/>
      </w:r>
      <w:r>
        <w:fldChar w:fldCharType="begin"/>
      </w:r>
      <w:r>
        <w:instrText xml:space="preserve"> PAGEREF _Toc1011841988 \h </w:instrText>
      </w:r>
      <w:r>
        <w:fldChar w:fldCharType="separate"/>
      </w:r>
      <w:r>
        <w:t>330</w:t>
      </w:r>
      <w:r>
        <w:fldChar w:fldCharType="end"/>
      </w:r>
      <w:r>
        <w:rPr>
          <w:rFonts w:ascii="黑体" w:hAnsi="黑体"/>
          <w:szCs w:val="30"/>
        </w:rPr>
        <w:fldChar w:fldCharType="end"/>
      </w:r>
    </w:p>
    <w:p w14:paraId="656BE867">
      <w:pPr>
        <w:pStyle w:val="36"/>
        <w:tabs>
          <w:tab w:val="right" w:leader="dot" w:pos="8306"/>
        </w:tabs>
      </w:pPr>
      <w:r>
        <w:rPr>
          <w:rFonts w:ascii="黑体" w:hAnsi="黑体"/>
          <w:szCs w:val="30"/>
        </w:rPr>
        <w:fldChar w:fldCharType="begin"/>
      </w:r>
      <w:r>
        <w:rPr>
          <w:rFonts w:ascii="黑体" w:hAnsi="黑体"/>
          <w:szCs w:val="30"/>
        </w:rPr>
        <w:instrText xml:space="preserve"> HYPERLINK \l _Toc90981823 </w:instrText>
      </w:r>
      <w:r>
        <w:rPr>
          <w:rFonts w:ascii="黑体" w:hAnsi="黑体"/>
          <w:szCs w:val="30"/>
        </w:rPr>
        <w:fldChar w:fldCharType="separate"/>
      </w:r>
      <w:r>
        <w:rPr>
          <w:rFonts w:hint="eastAsia" w:ascii="仿宋_GB2312" w:hAnsi="黑体" w:eastAsia="仿宋_GB2312"/>
          <w:szCs w:val="30"/>
        </w:rPr>
        <w:t>附件17 终止债券做市业务申请表</w:t>
      </w:r>
      <w:r>
        <w:tab/>
      </w:r>
      <w:r>
        <w:fldChar w:fldCharType="begin"/>
      </w:r>
      <w:r>
        <w:instrText xml:space="preserve"> PAGEREF _Toc90981823 \h </w:instrText>
      </w:r>
      <w:r>
        <w:fldChar w:fldCharType="separate"/>
      </w:r>
      <w:r>
        <w:t>332</w:t>
      </w:r>
      <w:r>
        <w:fldChar w:fldCharType="end"/>
      </w:r>
      <w:r>
        <w:rPr>
          <w:rFonts w:ascii="黑体" w:hAnsi="黑体"/>
          <w:szCs w:val="30"/>
        </w:rPr>
        <w:fldChar w:fldCharType="end"/>
      </w:r>
    </w:p>
    <w:p w14:paraId="6F86C7D2">
      <w:pPr>
        <w:pStyle w:val="36"/>
        <w:tabs>
          <w:tab w:val="right" w:leader="dot" w:pos="8306"/>
        </w:tabs>
      </w:pPr>
      <w:r>
        <w:rPr>
          <w:rFonts w:ascii="黑体" w:hAnsi="黑体"/>
          <w:szCs w:val="30"/>
        </w:rPr>
        <w:fldChar w:fldCharType="begin"/>
      </w:r>
      <w:r>
        <w:rPr>
          <w:rFonts w:ascii="黑体" w:hAnsi="黑体"/>
          <w:szCs w:val="30"/>
        </w:rPr>
        <w:instrText xml:space="preserve"> HYPERLINK \l _Toc1338606432 </w:instrText>
      </w:r>
      <w:r>
        <w:rPr>
          <w:rFonts w:ascii="黑体" w:hAnsi="黑体"/>
          <w:szCs w:val="30"/>
        </w:rPr>
        <w:fldChar w:fldCharType="separate"/>
      </w:r>
      <w:r>
        <w:rPr>
          <w:rFonts w:hint="eastAsia" w:ascii="仿宋_GB2312" w:hAnsi="黑体" w:eastAsia="仿宋_GB2312"/>
          <w:szCs w:val="30"/>
        </w:rPr>
        <w:t>附件18 三方回购投资者适当性备案表</w:t>
      </w:r>
      <w:r>
        <w:tab/>
      </w:r>
      <w:r>
        <w:fldChar w:fldCharType="begin"/>
      </w:r>
      <w:r>
        <w:instrText xml:space="preserve"> PAGEREF _Toc1338606432 \h </w:instrText>
      </w:r>
      <w:r>
        <w:fldChar w:fldCharType="separate"/>
      </w:r>
      <w:r>
        <w:t>333</w:t>
      </w:r>
      <w:r>
        <w:fldChar w:fldCharType="end"/>
      </w:r>
      <w:r>
        <w:rPr>
          <w:rFonts w:ascii="黑体" w:hAnsi="黑体"/>
          <w:szCs w:val="30"/>
        </w:rPr>
        <w:fldChar w:fldCharType="end"/>
      </w:r>
    </w:p>
    <w:p w14:paraId="0C786E38">
      <w:pPr>
        <w:pStyle w:val="36"/>
        <w:tabs>
          <w:tab w:val="right" w:leader="dot" w:pos="8306"/>
        </w:tabs>
      </w:pPr>
      <w:r>
        <w:rPr>
          <w:rFonts w:ascii="黑体" w:hAnsi="黑体"/>
          <w:szCs w:val="30"/>
        </w:rPr>
        <w:fldChar w:fldCharType="begin"/>
      </w:r>
      <w:r>
        <w:rPr>
          <w:rFonts w:ascii="黑体" w:hAnsi="黑体"/>
          <w:szCs w:val="30"/>
        </w:rPr>
        <w:instrText xml:space="preserve"> HYPERLINK \l _Toc1446554985 </w:instrText>
      </w:r>
      <w:r>
        <w:rPr>
          <w:rFonts w:ascii="黑体" w:hAnsi="黑体"/>
          <w:szCs w:val="30"/>
        </w:rPr>
        <w:fldChar w:fldCharType="separate"/>
      </w:r>
      <w:r>
        <w:rPr>
          <w:rFonts w:hint="eastAsia" w:ascii="仿宋_GB2312" w:hAnsi="黑体" w:eastAsia="仿宋_GB2312"/>
          <w:szCs w:val="30"/>
        </w:rPr>
        <w:t>附件19 投资者适当性备案渠道</w:t>
      </w:r>
      <w:r>
        <w:tab/>
      </w:r>
      <w:r>
        <w:fldChar w:fldCharType="begin"/>
      </w:r>
      <w:r>
        <w:instrText xml:space="preserve"> PAGEREF _Toc1446554985 \h </w:instrText>
      </w:r>
      <w:r>
        <w:fldChar w:fldCharType="separate"/>
      </w:r>
      <w:r>
        <w:t>338</w:t>
      </w:r>
      <w:r>
        <w:fldChar w:fldCharType="end"/>
      </w:r>
      <w:r>
        <w:rPr>
          <w:rFonts w:ascii="黑体" w:hAnsi="黑体"/>
          <w:szCs w:val="30"/>
        </w:rPr>
        <w:fldChar w:fldCharType="end"/>
      </w:r>
    </w:p>
    <w:p w14:paraId="122EB3CC">
      <w:pPr>
        <w:pStyle w:val="36"/>
        <w:tabs>
          <w:tab w:val="right" w:leader="dot" w:pos="8306"/>
        </w:tabs>
      </w:pPr>
      <w:r>
        <w:rPr>
          <w:rFonts w:ascii="黑体" w:hAnsi="黑体"/>
          <w:szCs w:val="30"/>
        </w:rPr>
        <w:fldChar w:fldCharType="begin"/>
      </w:r>
      <w:r>
        <w:rPr>
          <w:rFonts w:ascii="黑体" w:hAnsi="黑体"/>
          <w:szCs w:val="30"/>
        </w:rPr>
        <w:instrText xml:space="preserve"> HYPERLINK \l _Toc1535747334 </w:instrText>
      </w:r>
      <w:r>
        <w:rPr>
          <w:rFonts w:ascii="黑体" w:hAnsi="黑体"/>
          <w:szCs w:val="30"/>
        </w:rPr>
        <w:fldChar w:fldCharType="separate"/>
      </w:r>
      <w:r>
        <w:rPr>
          <w:rFonts w:hint="eastAsia" w:ascii="仿宋_GB2312" w:hAnsi="黑体" w:eastAsia="仿宋_GB2312"/>
          <w:szCs w:val="30"/>
        </w:rPr>
        <w:t>附件20 债券借贷业务用户登记表</w:t>
      </w:r>
      <w:r>
        <w:tab/>
      </w:r>
      <w:r>
        <w:fldChar w:fldCharType="begin"/>
      </w:r>
      <w:r>
        <w:instrText xml:space="preserve"> PAGEREF _Toc1535747334 \h </w:instrText>
      </w:r>
      <w:r>
        <w:fldChar w:fldCharType="separate"/>
      </w:r>
      <w:r>
        <w:t>342</w:t>
      </w:r>
      <w:r>
        <w:fldChar w:fldCharType="end"/>
      </w:r>
      <w:r>
        <w:rPr>
          <w:rFonts w:ascii="黑体" w:hAnsi="黑体"/>
          <w:szCs w:val="30"/>
        </w:rPr>
        <w:fldChar w:fldCharType="end"/>
      </w:r>
    </w:p>
    <w:p w14:paraId="096785FE">
      <w:pPr>
        <w:pStyle w:val="36"/>
        <w:tabs>
          <w:tab w:val="right" w:leader="dot" w:pos="8306"/>
        </w:tabs>
      </w:pPr>
      <w:r>
        <w:rPr>
          <w:rFonts w:ascii="黑体" w:hAnsi="黑体"/>
          <w:szCs w:val="30"/>
        </w:rPr>
        <w:fldChar w:fldCharType="begin"/>
      </w:r>
      <w:r>
        <w:rPr>
          <w:rFonts w:ascii="黑体" w:hAnsi="黑体"/>
          <w:szCs w:val="30"/>
        </w:rPr>
        <w:instrText xml:space="preserve"> HYPERLINK \l _Toc1532890999 </w:instrText>
      </w:r>
      <w:r>
        <w:rPr>
          <w:rFonts w:ascii="黑体" w:hAnsi="黑体"/>
          <w:szCs w:val="30"/>
        </w:rPr>
        <w:fldChar w:fldCharType="separate"/>
      </w:r>
      <w:r>
        <w:rPr>
          <w:rFonts w:hint="eastAsia" w:ascii="仿宋_GB2312" w:hAnsi="黑体" w:eastAsia="仿宋_GB2312"/>
          <w:szCs w:val="30"/>
        </w:rPr>
        <w:t>附件21 债券借贷业务主协议</w:t>
      </w:r>
      <w:r>
        <w:tab/>
      </w:r>
      <w:r>
        <w:fldChar w:fldCharType="begin"/>
      </w:r>
      <w:r>
        <w:instrText xml:space="preserve"> PAGEREF _Toc1532890999 \h </w:instrText>
      </w:r>
      <w:r>
        <w:fldChar w:fldCharType="separate"/>
      </w:r>
      <w:r>
        <w:t>343</w:t>
      </w:r>
      <w:r>
        <w:fldChar w:fldCharType="end"/>
      </w:r>
      <w:r>
        <w:rPr>
          <w:rFonts w:ascii="黑体" w:hAnsi="黑体"/>
          <w:szCs w:val="30"/>
        </w:rPr>
        <w:fldChar w:fldCharType="end"/>
      </w:r>
    </w:p>
    <w:p w14:paraId="50667E76">
      <w:pPr>
        <w:pStyle w:val="36"/>
        <w:tabs>
          <w:tab w:val="right" w:leader="dot" w:pos="8306"/>
        </w:tabs>
      </w:pPr>
      <w:r>
        <w:rPr>
          <w:rFonts w:ascii="黑体" w:hAnsi="黑体"/>
          <w:szCs w:val="30"/>
        </w:rPr>
        <w:fldChar w:fldCharType="begin"/>
      </w:r>
      <w:r>
        <w:rPr>
          <w:rFonts w:ascii="黑体" w:hAnsi="黑体"/>
          <w:szCs w:val="30"/>
        </w:rPr>
        <w:instrText xml:space="preserve"> HYPERLINK \l _Toc837232730 </w:instrText>
      </w:r>
      <w:r>
        <w:rPr>
          <w:rFonts w:ascii="黑体" w:hAnsi="黑体"/>
          <w:szCs w:val="30"/>
        </w:rPr>
        <w:fldChar w:fldCharType="separate"/>
      </w:r>
      <w:r>
        <w:rPr>
          <w:rFonts w:hint="eastAsia" w:ascii="仿宋_GB2312" w:hAnsi="黑体" w:eastAsia="仿宋_GB2312"/>
          <w:szCs w:val="30"/>
        </w:rPr>
        <w:t>附件22 信用保护合约核心交易商/凭证创设机构资质申请信息表</w:t>
      </w:r>
      <w:r>
        <w:tab/>
      </w:r>
      <w:r>
        <w:fldChar w:fldCharType="begin"/>
      </w:r>
      <w:r>
        <w:instrText xml:space="preserve"> PAGEREF _Toc837232730 \h </w:instrText>
      </w:r>
      <w:r>
        <w:fldChar w:fldCharType="separate"/>
      </w:r>
      <w:r>
        <w:t>362</w:t>
      </w:r>
      <w:r>
        <w:fldChar w:fldCharType="end"/>
      </w:r>
      <w:r>
        <w:rPr>
          <w:rFonts w:ascii="黑体" w:hAnsi="黑体"/>
          <w:szCs w:val="30"/>
        </w:rPr>
        <w:fldChar w:fldCharType="end"/>
      </w:r>
    </w:p>
    <w:p w14:paraId="1677EC38">
      <w:pPr>
        <w:pStyle w:val="36"/>
        <w:tabs>
          <w:tab w:val="right" w:leader="dot" w:pos="8306"/>
        </w:tabs>
      </w:pPr>
      <w:r>
        <w:rPr>
          <w:rFonts w:ascii="黑体" w:hAnsi="黑体"/>
          <w:szCs w:val="30"/>
        </w:rPr>
        <w:fldChar w:fldCharType="begin"/>
      </w:r>
      <w:r>
        <w:rPr>
          <w:rFonts w:ascii="黑体" w:hAnsi="黑体"/>
          <w:szCs w:val="30"/>
        </w:rPr>
        <w:instrText xml:space="preserve"> HYPERLINK \l _Toc1118712495 </w:instrText>
      </w:r>
      <w:r>
        <w:rPr>
          <w:rFonts w:ascii="黑体" w:hAnsi="黑体"/>
          <w:szCs w:val="30"/>
        </w:rPr>
        <w:fldChar w:fldCharType="separate"/>
      </w:r>
      <w:r>
        <w:rPr>
          <w:rFonts w:hint="eastAsia" w:ascii="仿宋_GB2312" w:hAnsi="黑体" w:eastAsia="仿宋_GB2312"/>
          <w:szCs w:val="30"/>
        </w:rPr>
        <w:t>附件23 XXXX信用保护合约交易确认书</w:t>
      </w:r>
      <w:r>
        <w:tab/>
      </w:r>
      <w:r>
        <w:fldChar w:fldCharType="begin"/>
      </w:r>
      <w:r>
        <w:instrText xml:space="preserve"> PAGEREF _Toc1118712495 \h </w:instrText>
      </w:r>
      <w:r>
        <w:fldChar w:fldCharType="separate"/>
      </w:r>
      <w:r>
        <w:t>365</w:t>
      </w:r>
      <w:r>
        <w:fldChar w:fldCharType="end"/>
      </w:r>
      <w:r>
        <w:rPr>
          <w:rFonts w:ascii="黑体" w:hAnsi="黑体"/>
          <w:szCs w:val="30"/>
        </w:rPr>
        <w:fldChar w:fldCharType="end"/>
      </w:r>
    </w:p>
    <w:p w14:paraId="527EAB0E">
      <w:pPr>
        <w:pStyle w:val="36"/>
        <w:tabs>
          <w:tab w:val="right" w:leader="dot" w:pos="8306"/>
        </w:tabs>
      </w:pPr>
      <w:r>
        <w:rPr>
          <w:rFonts w:ascii="黑体" w:hAnsi="黑体"/>
          <w:szCs w:val="30"/>
        </w:rPr>
        <w:fldChar w:fldCharType="begin"/>
      </w:r>
      <w:r>
        <w:rPr>
          <w:rFonts w:ascii="黑体" w:hAnsi="黑体"/>
          <w:szCs w:val="30"/>
        </w:rPr>
        <w:instrText xml:space="preserve"> HYPERLINK \l _Toc115181713 </w:instrText>
      </w:r>
      <w:r>
        <w:rPr>
          <w:rFonts w:ascii="黑体" w:hAnsi="黑体"/>
          <w:szCs w:val="30"/>
        </w:rPr>
        <w:fldChar w:fldCharType="separate"/>
      </w:r>
      <w:r>
        <w:rPr>
          <w:rFonts w:hint="eastAsia" w:ascii="仿宋_GB2312" w:hAnsi="黑体" w:eastAsia="仿宋_GB2312"/>
          <w:szCs w:val="30"/>
        </w:rPr>
        <w:t>附件24 组合型信用保护合约要素表</w:t>
      </w:r>
      <w:r>
        <w:tab/>
      </w:r>
      <w:r>
        <w:fldChar w:fldCharType="begin"/>
      </w:r>
      <w:r>
        <w:instrText xml:space="preserve"> PAGEREF _Toc115181713 \h </w:instrText>
      </w:r>
      <w:r>
        <w:fldChar w:fldCharType="separate"/>
      </w:r>
      <w:r>
        <w:t>390</w:t>
      </w:r>
      <w:r>
        <w:fldChar w:fldCharType="end"/>
      </w:r>
      <w:r>
        <w:rPr>
          <w:rFonts w:ascii="黑体" w:hAnsi="黑体"/>
          <w:szCs w:val="30"/>
        </w:rPr>
        <w:fldChar w:fldCharType="end"/>
      </w:r>
    </w:p>
    <w:p w14:paraId="75548A02">
      <w:pPr>
        <w:pStyle w:val="36"/>
        <w:tabs>
          <w:tab w:val="right" w:leader="dot" w:pos="8306"/>
        </w:tabs>
      </w:pPr>
      <w:r>
        <w:rPr>
          <w:rFonts w:ascii="黑体" w:hAnsi="黑体"/>
          <w:szCs w:val="30"/>
        </w:rPr>
        <w:fldChar w:fldCharType="begin"/>
      </w:r>
      <w:r>
        <w:rPr>
          <w:rFonts w:ascii="黑体" w:hAnsi="黑体"/>
          <w:szCs w:val="30"/>
        </w:rPr>
        <w:instrText xml:space="preserve"> HYPERLINK \l _Toc1637086671 </w:instrText>
      </w:r>
      <w:r>
        <w:rPr>
          <w:rFonts w:ascii="黑体" w:hAnsi="黑体"/>
          <w:szCs w:val="30"/>
        </w:rPr>
        <w:fldChar w:fldCharType="separate"/>
      </w:r>
      <w:r>
        <w:rPr>
          <w:rFonts w:hint="eastAsia" w:ascii="仿宋_GB2312" w:hAnsi="黑体" w:eastAsia="仿宋_GB2312"/>
          <w:szCs w:val="30"/>
        </w:rPr>
        <w:t>附件25 信用保护凭证创设说明书参考格式</w:t>
      </w:r>
      <w:r>
        <w:tab/>
      </w:r>
      <w:r>
        <w:fldChar w:fldCharType="begin"/>
      </w:r>
      <w:r>
        <w:instrText xml:space="preserve"> PAGEREF _Toc1637086671 \h </w:instrText>
      </w:r>
      <w:r>
        <w:fldChar w:fldCharType="separate"/>
      </w:r>
      <w:r>
        <w:t>392</w:t>
      </w:r>
      <w:r>
        <w:fldChar w:fldCharType="end"/>
      </w:r>
      <w:r>
        <w:rPr>
          <w:rFonts w:ascii="黑体" w:hAnsi="黑体"/>
          <w:szCs w:val="30"/>
        </w:rPr>
        <w:fldChar w:fldCharType="end"/>
      </w:r>
    </w:p>
    <w:p w14:paraId="4346985E">
      <w:pPr>
        <w:pStyle w:val="36"/>
        <w:tabs>
          <w:tab w:val="right" w:leader="dot" w:pos="8306"/>
        </w:tabs>
      </w:pPr>
      <w:r>
        <w:rPr>
          <w:rFonts w:ascii="黑体" w:hAnsi="黑体"/>
          <w:szCs w:val="30"/>
        </w:rPr>
        <w:fldChar w:fldCharType="begin"/>
      </w:r>
      <w:r>
        <w:rPr>
          <w:rFonts w:ascii="黑体" w:hAnsi="黑体"/>
          <w:szCs w:val="30"/>
        </w:rPr>
        <w:instrText xml:space="preserve"> HYPERLINK \l _Toc845956591 </w:instrText>
      </w:r>
      <w:r>
        <w:rPr>
          <w:rFonts w:ascii="黑体" w:hAnsi="黑体"/>
          <w:szCs w:val="30"/>
        </w:rPr>
        <w:fldChar w:fldCharType="separate"/>
      </w:r>
      <w:r>
        <w:rPr>
          <w:rFonts w:hint="eastAsia" w:ascii="仿宋_GB2312" w:hAnsi="黑体" w:eastAsia="仿宋_GB2312"/>
          <w:szCs w:val="30"/>
        </w:rPr>
        <w:t>附件26 信用保护凭证创设情况公告</w:t>
      </w:r>
      <w:r>
        <w:tab/>
      </w:r>
      <w:r>
        <w:fldChar w:fldCharType="begin"/>
      </w:r>
      <w:r>
        <w:instrText xml:space="preserve"> PAGEREF _Toc845956591 \h </w:instrText>
      </w:r>
      <w:r>
        <w:fldChar w:fldCharType="separate"/>
      </w:r>
      <w:r>
        <w:t>399</w:t>
      </w:r>
      <w:r>
        <w:fldChar w:fldCharType="end"/>
      </w:r>
      <w:r>
        <w:rPr>
          <w:rFonts w:ascii="黑体" w:hAnsi="黑体"/>
          <w:szCs w:val="30"/>
        </w:rPr>
        <w:fldChar w:fldCharType="end"/>
      </w:r>
    </w:p>
    <w:p w14:paraId="536A0014">
      <w:pPr>
        <w:pStyle w:val="36"/>
        <w:tabs>
          <w:tab w:val="right" w:leader="dot" w:pos="8306"/>
        </w:tabs>
      </w:pPr>
      <w:r>
        <w:rPr>
          <w:rFonts w:ascii="黑体" w:hAnsi="黑体"/>
          <w:szCs w:val="30"/>
        </w:rPr>
        <w:fldChar w:fldCharType="begin"/>
      </w:r>
      <w:r>
        <w:rPr>
          <w:rFonts w:ascii="黑体" w:hAnsi="黑体"/>
          <w:szCs w:val="30"/>
        </w:rPr>
        <w:instrText xml:space="preserve"> HYPERLINK \l _Toc1597217614 </w:instrText>
      </w:r>
      <w:r>
        <w:rPr>
          <w:rFonts w:ascii="黑体" w:hAnsi="黑体"/>
          <w:szCs w:val="30"/>
        </w:rPr>
        <w:fldChar w:fldCharType="separate"/>
      </w:r>
      <w:r>
        <w:rPr>
          <w:rFonts w:hint="eastAsia" w:ascii="仿宋_GB2312" w:hAnsi="黑体" w:eastAsia="仿宋_GB2312"/>
          <w:szCs w:val="30"/>
        </w:rPr>
        <w:t>附件27 信用保护凭证挂牌转让申请书</w:t>
      </w:r>
      <w:r>
        <w:tab/>
      </w:r>
      <w:r>
        <w:fldChar w:fldCharType="begin"/>
      </w:r>
      <w:r>
        <w:instrText xml:space="preserve"> PAGEREF _Toc1597217614 \h </w:instrText>
      </w:r>
      <w:r>
        <w:fldChar w:fldCharType="separate"/>
      </w:r>
      <w:r>
        <w:t>400</w:t>
      </w:r>
      <w:r>
        <w:fldChar w:fldCharType="end"/>
      </w:r>
      <w:r>
        <w:rPr>
          <w:rFonts w:ascii="黑体" w:hAnsi="黑体"/>
          <w:szCs w:val="30"/>
        </w:rPr>
        <w:fldChar w:fldCharType="end"/>
      </w:r>
    </w:p>
    <w:p w14:paraId="46EBB968">
      <w:pPr>
        <w:pStyle w:val="36"/>
        <w:tabs>
          <w:tab w:val="right" w:leader="dot" w:pos="8306"/>
        </w:tabs>
      </w:pPr>
      <w:r>
        <w:rPr>
          <w:rFonts w:ascii="黑体" w:hAnsi="黑体"/>
          <w:szCs w:val="30"/>
        </w:rPr>
        <w:fldChar w:fldCharType="begin"/>
      </w:r>
      <w:r>
        <w:rPr>
          <w:rFonts w:ascii="黑体" w:hAnsi="黑体"/>
          <w:szCs w:val="30"/>
        </w:rPr>
        <w:instrText xml:space="preserve"> HYPERLINK \l _Toc1499921977 </w:instrText>
      </w:r>
      <w:r>
        <w:rPr>
          <w:rFonts w:ascii="黑体" w:hAnsi="黑体"/>
          <w:szCs w:val="30"/>
        </w:rPr>
        <w:fldChar w:fldCharType="separate"/>
      </w:r>
      <w:r>
        <w:rPr>
          <w:rFonts w:hint="eastAsia" w:ascii="仿宋_GB2312" w:hAnsi="黑体" w:eastAsia="仿宋_GB2312"/>
          <w:szCs w:val="30"/>
        </w:rPr>
        <w:t>附件28 创设款到账确认书</w:t>
      </w:r>
      <w:r>
        <w:tab/>
      </w:r>
      <w:r>
        <w:fldChar w:fldCharType="begin"/>
      </w:r>
      <w:r>
        <w:instrText xml:space="preserve"> PAGEREF _Toc1499921977 \h </w:instrText>
      </w:r>
      <w:r>
        <w:fldChar w:fldCharType="separate"/>
      </w:r>
      <w:r>
        <w:t>401</w:t>
      </w:r>
      <w:r>
        <w:fldChar w:fldCharType="end"/>
      </w:r>
      <w:r>
        <w:rPr>
          <w:rFonts w:ascii="黑体" w:hAnsi="黑体"/>
          <w:szCs w:val="30"/>
        </w:rPr>
        <w:fldChar w:fldCharType="end"/>
      </w:r>
    </w:p>
    <w:p w14:paraId="7BF3D930">
      <w:pPr>
        <w:pStyle w:val="36"/>
        <w:tabs>
          <w:tab w:val="right" w:leader="dot" w:pos="8306"/>
        </w:tabs>
      </w:pPr>
      <w:r>
        <w:rPr>
          <w:rFonts w:ascii="黑体" w:hAnsi="黑体"/>
          <w:szCs w:val="30"/>
        </w:rPr>
        <w:fldChar w:fldCharType="begin"/>
      </w:r>
      <w:r>
        <w:rPr>
          <w:rFonts w:ascii="黑体" w:hAnsi="黑体"/>
          <w:szCs w:val="30"/>
        </w:rPr>
        <w:instrText xml:space="preserve"> HYPERLINK \l _Toc30012522 </w:instrText>
      </w:r>
      <w:r>
        <w:rPr>
          <w:rFonts w:ascii="黑体" w:hAnsi="黑体"/>
          <w:szCs w:val="30"/>
        </w:rPr>
        <w:fldChar w:fldCharType="separate"/>
      </w:r>
      <w:r>
        <w:rPr>
          <w:rFonts w:hint="eastAsia" w:ascii="仿宋_GB2312" w:hAnsi="黑体" w:eastAsia="仿宋_GB2312"/>
          <w:szCs w:val="30"/>
        </w:rPr>
        <w:t>附件29 信用保护凭证在上海证券交易所挂牌转让的公告</w:t>
      </w:r>
      <w:r>
        <w:tab/>
      </w:r>
      <w:r>
        <w:fldChar w:fldCharType="begin"/>
      </w:r>
      <w:r>
        <w:instrText xml:space="preserve"> PAGEREF _Toc30012522 \h </w:instrText>
      </w:r>
      <w:r>
        <w:fldChar w:fldCharType="separate"/>
      </w:r>
      <w:r>
        <w:t>402</w:t>
      </w:r>
      <w:r>
        <w:fldChar w:fldCharType="end"/>
      </w:r>
      <w:r>
        <w:rPr>
          <w:rFonts w:ascii="黑体" w:hAnsi="黑体"/>
          <w:szCs w:val="30"/>
        </w:rPr>
        <w:fldChar w:fldCharType="end"/>
      </w:r>
    </w:p>
    <w:p w14:paraId="224DB5BF">
      <w:pPr>
        <w:pStyle w:val="36"/>
        <w:tabs>
          <w:tab w:val="right" w:leader="dot" w:pos="8306"/>
        </w:tabs>
      </w:pPr>
      <w:r>
        <w:rPr>
          <w:rFonts w:ascii="黑体" w:hAnsi="黑体"/>
          <w:szCs w:val="30"/>
        </w:rPr>
        <w:fldChar w:fldCharType="begin"/>
      </w:r>
      <w:r>
        <w:rPr>
          <w:rFonts w:ascii="黑体" w:hAnsi="黑体"/>
          <w:szCs w:val="30"/>
        </w:rPr>
        <w:instrText xml:space="preserve"> HYPERLINK \l _Toc1395963622 </w:instrText>
      </w:r>
      <w:r>
        <w:rPr>
          <w:rFonts w:ascii="黑体" w:hAnsi="黑体"/>
          <w:szCs w:val="30"/>
        </w:rPr>
        <w:fldChar w:fldCharType="separate"/>
      </w:r>
      <w:r>
        <w:rPr>
          <w:rFonts w:hint="eastAsia" w:ascii="仿宋_GB2312" w:hAnsi="黑体" w:eastAsia="仿宋_GB2312"/>
          <w:szCs w:val="30"/>
        </w:rPr>
        <w:t>附件30 信用保护工具信用事件通知书参考模板</w:t>
      </w:r>
      <w:r>
        <w:tab/>
      </w:r>
      <w:r>
        <w:fldChar w:fldCharType="begin"/>
      </w:r>
      <w:r>
        <w:instrText xml:space="preserve"> PAGEREF _Toc1395963622 \h </w:instrText>
      </w:r>
      <w:r>
        <w:fldChar w:fldCharType="separate"/>
      </w:r>
      <w:r>
        <w:t>403</w:t>
      </w:r>
      <w:r>
        <w:fldChar w:fldCharType="end"/>
      </w:r>
      <w:r>
        <w:rPr>
          <w:rFonts w:ascii="黑体" w:hAnsi="黑体"/>
          <w:szCs w:val="30"/>
        </w:rPr>
        <w:fldChar w:fldCharType="end"/>
      </w:r>
    </w:p>
    <w:p w14:paraId="1CE71693">
      <w:pPr>
        <w:pStyle w:val="36"/>
        <w:tabs>
          <w:tab w:val="right" w:leader="dot" w:pos="8306"/>
        </w:tabs>
      </w:pPr>
      <w:r>
        <w:rPr>
          <w:rFonts w:ascii="黑体" w:hAnsi="黑体"/>
          <w:szCs w:val="30"/>
        </w:rPr>
        <w:fldChar w:fldCharType="begin"/>
      </w:r>
      <w:r>
        <w:rPr>
          <w:rFonts w:ascii="黑体" w:hAnsi="黑体"/>
          <w:szCs w:val="30"/>
        </w:rPr>
        <w:instrText xml:space="preserve"> HYPERLINK \l _Toc1487816396 </w:instrText>
      </w:r>
      <w:r>
        <w:rPr>
          <w:rFonts w:ascii="黑体" w:hAnsi="黑体"/>
          <w:szCs w:val="30"/>
        </w:rPr>
        <w:fldChar w:fldCharType="separate"/>
      </w:r>
      <w:r>
        <w:rPr>
          <w:rFonts w:hint="eastAsia" w:ascii="仿宋_GB2312" w:hAnsi="黑体" w:eastAsia="仿宋_GB2312"/>
          <w:szCs w:val="30"/>
        </w:rPr>
        <w:t>附件31 信用保护工具公共信息通知书参考模板</w:t>
      </w:r>
      <w:r>
        <w:tab/>
      </w:r>
      <w:r>
        <w:fldChar w:fldCharType="begin"/>
      </w:r>
      <w:r>
        <w:instrText xml:space="preserve"> PAGEREF _Toc1487816396 \h </w:instrText>
      </w:r>
      <w:r>
        <w:fldChar w:fldCharType="separate"/>
      </w:r>
      <w:r>
        <w:t>406</w:t>
      </w:r>
      <w:r>
        <w:fldChar w:fldCharType="end"/>
      </w:r>
      <w:r>
        <w:rPr>
          <w:rFonts w:ascii="黑体" w:hAnsi="黑体"/>
          <w:szCs w:val="30"/>
        </w:rPr>
        <w:fldChar w:fldCharType="end"/>
      </w:r>
    </w:p>
    <w:p w14:paraId="1D1FA50E">
      <w:pPr>
        <w:pStyle w:val="36"/>
        <w:tabs>
          <w:tab w:val="right" w:leader="dot" w:pos="8306"/>
        </w:tabs>
      </w:pPr>
      <w:r>
        <w:rPr>
          <w:rFonts w:ascii="黑体" w:hAnsi="黑体"/>
          <w:szCs w:val="30"/>
        </w:rPr>
        <w:fldChar w:fldCharType="begin"/>
      </w:r>
      <w:r>
        <w:rPr>
          <w:rFonts w:ascii="黑体" w:hAnsi="黑体"/>
          <w:szCs w:val="30"/>
        </w:rPr>
        <w:instrText xml:space="preserve"> HYPERLINK \l _Toc1107884577 </w:instrText>
      </w:r>
      <w:r>
        <w:rPr>
          <w:rFonts w:ascii="黑体" w:hAnsi="黑体"/>
          <w:szCs w:val="30"/>
        </w:rPr>
        <w:fldChar w:fldCharType="separate"/>
      </w:r>
      <w:r>
        <w:rPr>
          <w:rFonts w:hint="eastAsia" w:ascii="仿宋_GB2312" w:hAnsi="黑体" w:eastAsia="仿宋_GB2312"/>
          <w:szCs w:val="30"/>
        </w:rPr>
        <w:t>附件32 信用保护工具结算通知书参考模板</w:t>
      </w:r>
      <w:r>
        <w:tab/>
      </w:r>
      <w:r>
        <w:fldChar w:fldCharType="begin"/>
      </w:r>
      <w:r>
        <w:instrText xml:space="preserve"> PAGEREF _Toc1107884577 \h </w:instrText>
      </w:r>
      <w:r>
        <w:fldChar w:fldCharType="separate"/>
      </w:r>
      <w:r>
        <w:t>408</w:t>
      </w:r>
      <w:r>
        <w:fldChar w:fldCharType="end"/>
      </w:r>
      <w:r>
        <w:rPr>
          <w:rFonts w:ascii="黑体" w:hAnsi="黑体"/>
          <w:szCs w:val="30"/>
        </w:rPr>
        <w:fldChar w:fldCharType="end"/>
      </w:r>
    </w:p>
    <w:p w14:paraId="3BDD711F">
      <w:pPr>
        <w:pStyle w:val="36"/>
        <w:tabs>
          <w:tab w:val="right" w:leader="dot" w:pos="8306"/>
        </w:tabs>
      </w:pPr>
      <w:r>
        <w:rPr>
          <w:rFonts w:ascii="黑体" w:hAnsi="黑体"/>
          <w:szCs w:val="30"/>
        </w:rPr>
        <w:fldChar w:fldCharType="begin"/>
      </w:r>
      <w:r>
        <w:rPr>
          <w:rFonts w:ascii="黑体" w:hAnsi="黑体"/>
          <w:szCs w:val="30"/>
        </w:rPr>
        <w:instrText xml:space="preserve"> HYPERLINK \l _Toc1879470906 </w:instrText>
      </w:r>
      <w:r>
        <w:rPr>
          <w:rFonts w:ascii="黑体" w:hAnsi="黑体"/>
          <w:szCs w:val="30"/>
        </w:rPr>
        <w:fldChar w:fldCharType="separate"/>
      </w:r>
      <w:r>
        <w:rPr>
          <w:rFonts w:hint="eastAsia" w:ascii="仿宋_GB2312" w:hAnsi="黑体" w:eastAsia="仿宋_GB2312"/>
          <w:szCs w:val="30"/>
        </w:rPr>
        <w:t>附件33 上海证券交易所债券担保品处置平台功能简介</w:t>
      </w:r>
      <w:r>
        <w:tab/>
      </w:r>
      <w:r>
        <w:fldChar w:fldCharType="begin"/>
      </w:r>
      <w:r>
        <w:instrText xml:space="preserve"> PAGEREF _Toc1879470906 \h </w:instrText>
      </w:r>
      <w:r>
        <w:fldChar w:fldCharType="separate"/>
      </w:r>
      <w:r>
        <w:t>411</w:t>
      </w:r>
      <w:r>
        <w:fldChar w:fldCharType="end"/>
      </w:r>
      <w:r>
        <w:rPr>
          <w:rFonts w:ascii="黑体" w:hAnsi="黑体"/>
          <w:szCs w:val="30"/>
        </w:rPr>
        <w:fldChar w:fldCharType="end"/>
      </w:r>
    </w:p>
    <w:p w14:paraId="33648F4A">
      <w:pPr>
        <w:pStyle w:val="36"/>
        <w:tabs>
          <w:tab w:val="right" w:leader="dot" w:pos="8306"/>
        </w:tabs>
      </w:pPr>
      <w:r>
        <w:rPr>
          <w:rFonts w:ascii="黑体" w:hAnsi="黑体"/>
          <w:szCs w:val="30"/>
        </w:rPr>
        <w:fldChar w:fldCharType="begin"/>
      </w:r>
      <w:r>
        <w:rPr>
          <w:rFonts w:ascii="黑体" w:hAnsi="黑体"/>
          <w:szCs w:val="30"/>
        </w:rPr>
        <w:instrText xml:space="preserve"> HYPERLINK \l _Toc10715668 </w:instrText>
      </w:r>
      <w:r>
        <w:rPr>
          <w:rFonts w:ascii="黑体" w:hAnsi="黑体"/>
          <w:szCs w:val="30"/>
        </w:rPr>
        <w:fldChar w:fldCharType="separate"/>
      </w:r>
      <w:r>
        <w:rPr>
          <w:rFonts w:hint="eastAsia" w:ascii="仿宋_GB2312" w:hAnsi="黑体" w:eastAsia="仿宋_GB2312"/>
          <w:szCs w:val="30"/>
        </w:rPr>
        <w:t>附件34 债券担保品处置平台用户数字证书办理流程</w:t>
      </w:r>
      <w:r>
        <w:tab/>
      </w:r>
      <w:r>
        <w:fldChar w:fldCharType="begin"/>
      </w:r>
      <w:r>
        <w:instrText xml:space="preserve"> PAGEREF _Toc10715668 \h </w:instrText>
      </w:r>
      <w:r>
        <w:fldChar w:fldCharType="separate"/>
      </w:r>
      <w:r>
        <w:t>424</w:t>
      </w:r>
      <w:r>
        <w:fldChar w:fldCharType="end"/>
      </w:r>
      <w:r>
        <w:rPr>
          <w:rFonts w:ascii="黑体" w:hAnsi="黑体"/>
          <w:szCs w:val="30"/>
        </w:rPr>
        <w:fldChar w:fldCharType="end"/>
      </w:r>
    </w:p>
    <w:p w14:paraId="732B615B">
      <w:pPr>
        <w:pStyle w:val="36"/>
        <w:tabs>
          <w:tab w:val="right" w:leader="dot" w:pos="8306"/>
        </w:tabs>
      </w:pPr>
      <w:r>
        <w:rPr>
          <w:rFonts w:ascii="黑体" w:hAnsi="黑体"/>
          <w:szCs w:val="30"/>
        </w:rPr>
        <w:fldChar w:fldCharType="begin"/>
      </w:r>
      <w:r>
        <w:rPr>
          <w:rFonts w:ascii="黑体" w:hAnsi="黑体"/>
          <w:szCs w:val="30"/>
        </w:rPr>
        <w:instrText xml:space="preserve"> HYPERLINK \l _Toc2001466621 </w:instrText>
      </w:r>
      <w:r>
        <w:rPr>
          <w:rFonts w:ascii="黑体" w:hAnsi="黑体"/>
          <w:szCs w:val="30"/>
        </w:rPr>
        <w:fldChar w:fldCharType="separate"/>
      </w:r>
      <w:r>
        <w:rPr>
          <w:rFonts w:hint="eastAsia" w:ascii="仿宋_GB2312" w:hAnsi="黑体" w:eastAsia="仿宋_GB2312"/>
          <w:szCs w:val="30"/>
        </w:rPr>
        <w:t>附件35 拟参与债券担保品处置的指定报价团成员名单</w:t>
      </w:r>
      <w:r>
        <w:tab/>
      </w:r>
      <w:r>
        <w:fldChar w:fldCharType="begin"/>
      </w:r>
      <w:r>
        <w:instrText xml:space="preserve"> PAGEREF _Toc2001466621 \h </w:instrText>
      </w:r>
      <w:r>
        <w:fldChar w:fldCharType="separate"/>
      </w:r>
      <w:r>
        <w:t>428</w:t>
      </w:r>
      <w:r>
        <w:fldChar w:fldCharType="end"/>
      </w:r>
      <w:r>
        <w:rPr>
          <w:rFonts w:ascii="黑体" w:hAnsi="黑体"/>
          <w:szCs w:val="30"/>
        </w:rPr>
        <w:fldChar w:fldCharType="end"/>
      </w:r>
    </w:p>
    <w:p w14:paraId="7482EA9B">
      <w:pPr>
        <w:pStyle w:val="36"/>
        <w:tabs>
          <w:tab w:val="right" w:leader="dot" w:pos="8306"/>
        </w:tabs>
      </w:pPr>
      <w:r>
        <w:rPr>
          <w:rFonts w:ascii="黑体" w:hAnsi="黑体"/>
          <w:szCs w:val="30"/>
        </w:rPr>
        <w:fldChar w:fldCharType="begin"/>
      </w:r>
      <w:r>
        <w:rPr>
          <w:rFonts w:ascii="黑体" w:hAnsi="黑体"/>
          <w:szCs w:val="30"/>
        </w:rPr>
        <w:instrText xml:space="preserve"> HYPERLINK \l _Toc1532044616 </w:instrText>
      </w:r>
      <w:r>
        <w:rPr>
          <w:rFonts w:ascii="黑体" w:hAnsi="黑体"/>
          <w:szCs w:val="30"/>
        </w:rPr>
        <w:fldChar w:fldCharType="separate"/>
      </w:r>
      <w:r>
        <w:rPr>
          <w:rFonts w:hint="eastAsia" w:ascii="仿宋_GB2312" w:hAnsi="黑体" w:eastAsia="仿宋_GB2312"/>
          <w:szCs w:val="30"/>
        </w:rPr>
        <w:t>附件36 处置现场负责人及进入处置场所的人员名单</w:t>
      </w:r>
      <w:r>
        <w:tab/>
      </w:r>
      <w:r>
        <w:fldChar w:fldCharType="begin"/>
      </w:r>
      <w:r>
        <w:instrText xml:space="preserve"> PAGEREF _Toc1532044616 \h </w:instrText>
      </w:r>
      <w:r>
        <w:fldChar w:fldCharType="separate"/>
      </w:r>
      <w:r>
        <w:t>429</w:t>
      </w:r>
      <w:r>
        <w:fldChar w:fldCharType="end"/>
      </w:r>
      <w:r>
        <w:rPr>
          <w:rFonts w:ascii="黑体" w:hAnsi="黑体"/>
          <w:szCs w:val="30"/>
        </w:rPr>
        <w:fldChar w:fldCharType="end"/>
      </w:r>
    </w:p>
    <w:p w14:paraId="0E0C0B4F">
      <w:pPr>
        <w:pStyle w:val="36"/>
        <w:tabs>
          <w:tab w:val="right" w:leader="dot" w:pos="8306"/>
        </w:tabs>
      </w:pPr>
      <w:r>
        <w:rPr>
          <w:rFonts w:ascii="黑体" w:hAnsi="黑体"/>
          <w:szCs w:val="30"/>
        </w:rPr>
        <w:fldChar w:fldCharType="begin"/>
      </w:r>
      <w:r>
        <w:rPr>
          <w:rFonts w:ascii="黑体" w:hAnsi="黑体"/>
          <w:szCs w:val="30"/>
        </w:rPr>
        <w:instrText xml:space="preserve"> HYPERLINK \l _Toc612420595 </w:instrText>
      </w:r>
      <w:r>
        <w:rPr>
          <w:rFonts w:ascii="黑体" w:hAnsi="黑体"/>
          <w:szCs w:val="30"/>
        </w:rPr>
        <w:fldChar w:fldCharType="separate"/>
      </w:r>
      <w:r>
        <w:rPr>
          <w:rFonts w:hint="eastAsia" w:ascii="仿宋_GB2312" w:hAnsi="黑体" w:eastAsia="仿宋_GB2312"/>
          <w:szCs w:val="30"/>
        </w:rPr>
        <w:t>附件37 上交所债券担保品处置服务联系人</w:t>
      </w:r>
      <w:r>
        <w:tab/>
      </w:r>
      <w:r>
        <w:fldChar w:fldCharType="begin"/>
      </w:r>
      <w:r>
        <w:instrText xml:space="preserve"> PAGEREF _Toc612420595 \h </w:instrText>
      </w:r>
      <w:r>
        <w:fldChar w:fldCharType="separate"/>
      </w:r>
      <w:r>
        <w:t>430</w:t>
      </w:r>
      <w:r>
        <w:fldChar w:fldCharType="end"/>
      </w:r>
      <w:r>
        <w:rPr>
          <w:rFonts w:ascii="黑体" w:hAnsi="黑体"/>
          <w:szCs w:val="30"/>
        </w:rPr>
        <w:fldChar w:fldCharType="end"/>
      </w:r>
    </w:p>
    <w:p w14:paraId="11699C89">
      <w:pPr>
        <w:pStyle w:val="36"/>
        <w:tabs>
          <w:tab w:val="right" w:leader="dot" w:pos="8306"/>
        </w:tabs>
      </w:pPr>
      <w:r>
        <w:rPr>
          <w:rFonts w:ascii="黑体" w:hAnsi="黑体"/>
          <w:szCs w:val="30"/>
        </w:rPr>
        <w:fldChar w:fldCharType="begin"/>
      </w:r>
      <w:r>
        <w:rPr>
          <w:rFonts w:ascii="黑体" w:hAnsi="黑体"/>
          <w:szCs w:val="30"/>
        </w:rPr>
        <w:instrText xml:space="preserve"> HYPERLINK \l _Toc2069259081 </w:instrText>
      </w:r>
      <w:r>
        <w:rPr>
          <w:rFonts w:ascii="黑体" w:hAnsi="黑体"/>
          <w:szCs w:val="30"/>
        </w:rPr>
        <w:fldChar w:fldCharType="separate"/>
      </w:r>
      <w:r>
        <w:rPr>
          <w:rFonts w:hint="eastAsia" w:ascii="仿宋_GB2312" w:hAnsi="黑体" w:eastAsia="仿宋_GB2312"/>
          <w:szCs w:val="30"/>
        </w:rPr>
        <w:t>附件38 处置结果公告（样张）</w:t>
      </w:r>
      <w:r>
        <w:tab/>
      </w:r>
      <w:r>
        <w:fldChar w:fldCharType="begin"/>
      </w:r>
      <w:r>
        <w:instrText xml:space="preserve"> PAGEREF _Toc2069259081 \h </w:instrText>
      </w:r>
      <w:r>
        <w:fldChar w:fldCharType="separate"/>
      </w:r>
      <w:r>
        <w:t>431</w:t>
      </w:r>
      <w:r>
        <w:fldChar w:fldCharType="end"/>
      </w:r>
      <w:r>
        <w:rPr>
          <w:rFonts w:ascii="黑体" w:hAnsi="黑体"/>
          <w:szCs w:val="30"/>
        </w:rPr>
        <w:fldChar w:fldCharType="end"/>
      </w:r>
    </w:p>
    <w:p w14:paraId="0DBF3CCC">
      <w:pPr>
        <w:pStyle w:val="36"/>
        <w:tabs>
          <w:tab w:val="right" w:leader="dot" w:pos="8306"/>
        </w:tabs>
      </w:pPr>
      <w:r>
        <w:rPr>
          <w:rFonts w:ascii="黑体" w:hAnsi="黑体"/>
          <w:szCs w:val="30"/>
        </w:rPr>
        <w:fldChar w:fldCharType="begin"/>
      </w:r>
      <w:r>
        <w:rPr>
          <w:rFonts w:ascii="黑体" w:hAnsi="黑体"/>
          <w:szCs w:val="30"/>
        </w:rPr>
        <w:instrText xml:space="preserve"> HYPERLINK \l _Toc1927599364 </w:instrText>
      </w:r>
      <w:r>
        <w:rPr>
          <w:rFonts w:ascii="黑体" w:hAnsi="黑体"/>
          <w:szCs w:val="30"/>
        </w:rPr>
        <w:fldChar w:fldCharType="separate"/>
      </w:r>
      <w:r>
        <w:rPr>
          <w:rFonts w:hint="eastAsia" w:ascii="仿宋_GB2312" w:hAnsi="黑体" w:eastAsia="仿宋_GB2312"/>
          <w:szCs w:val="30"/>
        </w:rPr>
        <w:t>附件39 债券交易情况说明表</w:t>
      </w:r>
      <w:r>
        <w:tab/>
      </w:r>
      <w:r>
        <w:fldChar w:fldCharType="begin"/>
      </w:r>
      <w:r>
        <w:instrText xml:space="preserve"> PAGEREF _Toc1927599364 \h </w:instrText>
      </w:r>
      <w:r>
        <w:fldChar w:fldCharType="separate"/>
      </w:r>
      <w:r>
        <w:t>432</w:t>
      </w:r>
      <w:r>
        <w:fldChar w:fldCharType="end"/>
      </w:r>
      <w:r>
        <w:rPr>
          <w:rFonts w:ascii="黑体" w:hAnsi="黑体"/>
          <w:szCs w:val="30"/>
        </w:rPr>
        <w:fldChar w:fldCharType="end"/>
      </w:r>
    </w:p>
    <w:p w14:paraId="45C03FEF">
      <w:pPr>
        <w:pStyle w:val="36"/>
        <w:tabs>
          <w:tab w:val="right" w:leader="dot" w:pos="8306"/>
        </w:tabs>
      </w:pPr>
      <w:r>
        <w:rPr>
          <w:rFonts w:ascii="黑体" w:hAnsi="黑体"/>
          <w:szCs w:val="30"/>
        </w:rPr>
        <w:fldChar w:fldCharType="begin"/>
      </w:r>
      <w:r>
        <w:rPr>
          <w:rFonts w:ascii="黑体" w:hAnsi="黑体"/>
          <w:szCs w:val="30"/>
        </w:rPr>
        <w:instrText xml:space="preserve"> HYPERLINK \l _Toc136356077 </w:instrText>
      </w:r>
      <w:r>
        <w:rPr>
          <w:rFonts w:ascii="黑体" w:hAnsi="黑体"/>
          <w:szCs w:val="30"/>
        </w:rPr>
        <w:fldChar w:fldCharType="separate"/>
      </w:r>
      <w:r>
        <w:rPr>
          <w:rFonts w:hint="eastAsia" w:ascii="仿宋_GB2312" w:hAnsi="黑体" w:eastAsia="仿宋_GB2312"/>
          <w:szCs w:val="30"/>
        </w:rPr>
        <w:t>附件</w:t>
      </w:r>
      <w:r>
        <w:rPr>
          <w:rFonts w:hint="eastAsia" w:ascii="仿宋_GB2312" w:hAnsi="黑体" w:eastAsia="仿宋_GB2312"/>
          <w:szCs w:val="30"/>
          <w:lang w:val="en-US" w:eastAsia="zh-CN"/>
        </w:rPr>
        <w:t>40</w:t>
      </w:r>
      <w:r>
        <w:rPr>
          <w:rFonts w:hint="eastAsia" w:ascii="仿宋_GB2312" w:hAnsi="黑体" w:eastAsia="仿宋_GB2312"/>
          <w:szCs w:val="30"/>
        </w:rPr>
        <w:t xml:space="preserve"> 上海证券交易所债券转让确认申请表</w:t>
      </w:r>
      <w:r>
        <w:tab/>
      </w:r>
      <w:r>
        <w:fldChar w:fldCharType="begin"/>
      </w:r>
      <w:r>
        <w:instrText xml:space="preserve"> PAGEREF _Toc136356077 \h </w:instrText>
      </w:r>
      <w:r>
        <w:fldChar w:fldCharType="separate"/>
      </w:r>
      <w:r>
        <w:t>433</w:t>
      </w:r>
      <w:r>
        <w:fldChar w:fldCharType="end"/>
      </w:r>
      <w:r>
        <w:rPr>
          <w:rFonts w:ascii="黑体" w:hAnsi="黑体"/>
          <w:szCs w:val="30"/>
        </w:rPr>
        <w:fldChar w:fldCharType="end"/>
      </w:r>
    </w:p>
    <w:p w14:paraId="365F0651">
      <w:pPr>
        <w:pStyle w:val="36"/>
        <w:tabs>
          <w:tab w:val="right" w:leader="dot" w:pos="8306"/>
        </w:tabs>
      </w:pPr>
      <w:r>
        <w:rPr>
          <w:rFonts w:ascii="黑体" w:hAnsi="黑体"/>
          <w:szCs w:val="30"/>
        </w:rPr>
        <w:fldChar w:fldCharType="begin"/>
      </w:r>
      <w:r>
        <w:rPr>
          <w:rFonts w:ascii="黑体" w:hAnsi="黑体"/>
          <w:szCs w:val="30"/>
        </w:rPr>
        <w:instrText xml:space="preserve"> HYPERLINK \l _Toc62429805 </w:instrText>
      </w:r>
      <w:r>
        <w:rPr>
          <w:rFonts w:ascii="黑体" w:hAnsi="黑体"/>
          <w:szCs w:val="30"/>
        </w:rPr>
        <w:fldChar w:fldCharType="separate"/>
      </w:r>
      <w:r>
        <w:rPr>
          <w:rFonts w:hint="eastAsia" w:ascii="仿宋_GB2312" w:hAnsi="黑体" w:eastAsia="仿宋_GB2312"/>
          <w:szCs w:val="30"/>
        </w:rPr>
        <w:t>附件</w:t>
      </w:r>
      <w:r>
        <w:rPr>
          <w:rFonts w:hint="eastAsia" w:ascii="仿宋_GB2312" w:hAnsi="黑体" w:eastAsia="仿宋_GB2312"/>
          <w:szCs w:val="30"/>
          <w:lang w:val="en-US" w:eastAsia="zh-CN"/>
        </w:rPr>
        <w:t>41</w:t>
      </w:r>
      <w:r>
        <w:rPr>
          <w:rFonts w:hint="eastAsia" w:ascii="仿宋_GB2312" w:hAnsi="黑体" w:eastAsia="仿宋_GB2312"/>
          <w:szCs w:val="30"/>
        </w:rPr>
        <w:t xml:space="preserve"> 关于债券非交易过户的申请</w:t>
      </w:r>
      <w:r>
        <w:tab/>
      </w:r>
      <w:r>
        <w:fldChar w:fldCharType="begin"/>
      </w:r>
      <w:r>
        <w:instrText xml:space="preserve"> PAGEREF _Toc62429805 \h </w:instrText>
      </w:r>
      <w:r>
        <w:fldChar w:fldCharType="separate"/>
      </w:r>
      <w:r>
        <w:t>435</w:t>
      </w:r>
      <w:r>
        <w:fldChar w:fldCharType="end"/>
      </w:r>
      <w:r>
        <w:rPr>
          <w:rFonts w:ascii="黑体" w:hAnsi="黑体"/>
          <w:szCs w:val="30"/>
        </w:rPr>
        <w:fldChar w:fldCharType="end"/>
      </w:r>
    </w:p>
    <w:p w14:paraId="0D2AAC1C">
      <w:pPr>
        <w:pStyle w:val="36"/>
        <w:tabs>
          <w:tab w:val="right" w:leader="dot" w:pos="8306"/>
        </w:tabs>
      </w:pPr>
      <w:r>
        <w:rPr>
          <w:rFonts w:ascii="黑体" w:hAnsi="黑体"/>
          <w:szCs w:val="30"/>
        </w:rPr>
        <w:fldChar w:fldCharType="begin"/>
      </w:r>
      <w:r>
        <w:rPr>
          <w:rFonts w:ascii="黑体" w:hAnsi="黑体"/>
          <w:szCs w:val="30"/>
        </w:rPr>
        <w:instrText xml:space="preserve"> HYPERLINK \l _Toc1962040110 </w:instrText>
      </w:r>
      <w:r>
        <w:rPr>
          <w:rFonts w:ascii="黑体" w:hAnsi="黑体"/>
          <w:szCs w:val="30"/>
        </w:rPr>
        <w:fldChar w:fldCharType="separate"/>
      </w:r>
      <w:r>
        <w:rPr>
          <w:rFonts w:hint="eastAsia" w:ascii="仿宋_GB2312" w:hAnsi="黑体" w:eastAsia="仿宋_GB2312"/>
          <w:szCs w:val="30"/>
        </w:rPr>
        <w:t>附件</w:t>
      </w:r>
      <w:r>
        <w:rPr>
          <w:rFonts w:hint="eastAsia" w:ascii="仿宋_GB2312" w:hAnsi="黑体" w:eastAsia="仿宋_GB2312"/>
          <w:szCs w:val="30"/>
          <w:lang w:val="en-US" w:eastAsia="zh-CN"/>
        </w:rPr>
        <w:t>42</w:t>
      </w:r>
      <w:r>
        <w:rPr>
          <w:rFonts w:hint="eastAsia" w:ascii="仿宋_GB2312" w:hAnsi="黑体" w:eastAsia="仿宋_GB2312"/>
          <w:szCs w:val="30"/>
        </w:rPr>
        <w:t xml:space="preserve"> 授权委托书</w:t>
      </w:r>
      <w:r>
        <w:tab/>
      </w:r>
      <w:r>
        <w:fldChar w:fldCharType="begin"/>
      </w:r>
      <w:r>
        <w:instrText xml:space="preserve"> PAGEREF _Toc1962040110 \h </w:instrText>
      </w:r>
      <w:r>
        <w:fldChar w:fldCharType="separate"/>
      </w:r>
      <w:r>
        <w:t>436</w:t>
      </w:r>
      <w:r>
        <w:fldChar w:fldCharType="end"/>
      </w:r>
      <w:r>
        <w:rPr>
          <w:rFonts w:ascii="黑体" w:hAnsi="黑体"/>
          <w:szCs w:val="30"/>
        </w:rPr>
        <w:fldChar w:fldCharType="end"/>
      </w:r>
    </w:p>
    <w:p w14:paraId="2A00128C">
      <w:pPr>
        <w:pStyle w:val="36"/>
        <w:tabs>
          <w:tab w:val="right" w:leader="dot" w:pos="8306"/>
        </w:tabs>
      </w:pPr>
      <w:r>
        <w:rPr>
          <w:rFonts w:ascii="黑体" w:hAnsi="黑体"/>
          <w:szCs w:val="30"/>
        </w:rPr>
        <w:fldChar w:fldCharType="begin"/>
      </w:r>
      <w:r>
        <w:rPr>
          <w:rFonts w:ascii="黑体" w:hAnsi="黑体"/>
          <w:szCs w:val="30"/>
        </w:rPr>
        <w:instrText xml:space="preserve"> HYPERLINK \l _Toc1788427289 </w:instrText>
      </w:r>
      <w:r>
        <w:rPr>
          <w:rFonts w:ascii="黑体" w:hAnsi="黑体"/>
          <w:szCs w:val="30"/>
        </w:rPr>
        <w:fldChar w:fldCharType="separate"/>
      </w:r>
      <w:r>
        <w:rPr>
          <w:rFonts w:hint="eastAsia" w:ascii="仿宋_GB2312" w:hAnsi="黑体" w:eastAsia="仿宋_GB2312"/>
          <w:szCs w:val="30"/>
        </w:rPr>
        <w:t>附件</w:t>
      </w:r>
      <w:r>
        <w:rPr>
          <w:rFonts w:hint="eastAsia" w:ascii="仿宋_GB2312" w:hAnsi="黑体" w:eastAsia="仿宋_GB2312"/>
          <w:szCs w:val="30"/>
          <w:lang w:val="en-US" w:eastAsia="zh-CN"/>
        </w:rPr>
        <w:t>43</w:t>
      </w:r>
      <w:r>
        <w:rPr>
          <w:rFonts w:hint="eastAsia" w:ascii="仿宋_GB2312" w:hAnsi="黑体" w:eastAsia="仿宋_GB2312"/>
          <w:szCs w:val="30"/>
        </w:rPr>
        <w:t xml:space="preserve"> 关于转让合规性核查的说明</w:t>
      </w:r>
      <w:r>
        <w:tab/>
      </w:r>
      <w:r>
        <w:fldChar w:fldCharType="begin"/>
      </w:r>
      <w:r>
        <w:instrText xml:space="preserve"> PAGEREF _Toc1788427289 \h </w:instrText>
      </w:r>
      <w:r>
        <w:fldChar w:fldCharType="separate"/>
      </w:r>
      <w:r>
        <w:t>437</w:t>
      </w:r>
      <w:r>
        <w:fldChar w:fldCharType="end"/>
      </w:r>
      <w:r>
        <w:rPr>
          <w:rFonts w:ascii="黑体" w:hAnsi="黑体"/>
          <w:szCs w:val="30"/>
        </w:rPr>
        <w:fldChar w:fldCharType="end"/>
      </w:r>
    </w:p>
    <w:p w14:paraId="75883A01">
      <w:pPr>
        <w:pStyle w:val="36"/>
        <w:tabs>
          <w:tab w:val="right" w:leader="dot" w:pos="8306"/>
        </w:tabs>
      </w:pPr>
      <w:r>
        <w:rPr>
          <w:rFonts w:ascii="黑体" w:hAnsi="黑体"/>
          <w:szCs w:val="30"/>
        </w:rPr>
        <w:fldChar w:fldCharType="begin"/>
      </w:r>
      <w:r>
        <w:rPr>
          <w:rFonts w:ascii="黑体" w:hAnsi="黑体"/>
          <w:szCs w:val="30"/>
        </w:rPr>
        <w:instrText xml:space="preserve"> HYPERLINK \l _Toc46809291 </w:instrText>
      </w:r>
      <w:r>
        <w:rPr>
          <w:rFonts w:ascii="黑体" w:hAnsi="黑体"/>
          <w:szCs w:val="30"/>
        </w:rPr>
        <w:fldChar w:fldCharType="separate"/>
      </w:r>
      <w:r>
        <w:rPr>
          <w:rFonts w:hint="eastAsia" w:ascii="仿宋_GB2312" w:hAnsi="黑体" w:eastAsia="仿宋_GB2312"/>
          <w:szCs w:val="30"/>
        </w:rPr>
        <w:t>附件</w:t>
      </w:r>
      <w:r>
        <w:rPr>
          <w:rFonts w:hint="eastAsia" w:ascii="仿宋_GB2312" w:hAnsi="黑体" w:eastAsia="仿宋_GB2312"/>
          <w:szCs w:val="30"/>
          <w:lang w:val="en-US" w:eastAsia="zh-CN"/>
        </w:rPr>
        <w:t>44</w:t>
      </w:r>
      <w:r>
        <w:rPr>
          <w:rFonts w:hint="eastAsia" w:ascii="仿宋_GB2312" w:hAnsi="黑体" w:eastAsia="仿宋_GB2312"/>
          <w:szCs w:val="30"/>
        </w:rPr>
        <w:t xml:space="preserve"> 债券做市商做市证券划转</w:t>
      </w:r>
      <w:r>
        <w:rPr>
          <w:rFonts w:hint="eastAsia" w:ascii="仿宋_GB2312" w:hAnsi="黑体" w:eastAsia="仿宋_GB2312"/>
          <w:szCs w:val="30"/>
          <w:lang w:eastAsia="zh-CN"/>
        </w:rPr>
        <w:t>登记</w:t>
      </w:r>
      <w:r>
        <w:rPr>
          <w:rFonts w:hint="eastAsia" w:ascii="仿宋_GB2312" w:hAnsi="黑体" w:eastAsia="仿宋_GB2312"/>
          <w:szCs w:val="30"/>
        </w:rPr>
        <w:t>表</w:t>
      </w:r>
      <w:r>
        <w:rPr>
          <w:rFonts w:hint="eastAsia" w:ascii="仿宋_GB2312" w:hAnsi="黑体" w:eastAsia="仿宋_GB2312"/>
          <w:szCs w:val="30"/>
          <w:lang w:eastAsia="zh-CN"/>
        </w:rPr>
        <w:t>（模板）</w:t>
      </w:r>
      <w:r>
        <w:tab/>
      </w:r>
      <w:r>
        <w:fldChar w:fldCharType="begin"/>
      </w:r>
      <w:r>
        <w:instrText xml:space="preserve"> PAGEREF _Toc46809291 \h </w:instrText>
      </w:r>
      <w:r>
        <w:fldChar w:fldCharType="separate"/>
      </w:r>
      <w:r>
        <w:t>438</w:t>
      </w:r>
      <w:r>
        <w:fldChar w:fldCharType="end"/>
      </w:r>
      <w:r>
        <w:rPr>
          <w:rFonts w:ascii="黑体" w:hAnsi="黑体"/>
          <w:szCs w:val="30"/>
        </w:rPr>
        <w:fldChar w:fldCharType="end"/>
      </w:r>
    </w:p>
    <w:p w14:paraId="56DA05A2">
      <w:pPr>
        <w:pStyle w:val="36"/>
        <w:tabs>
          <w:tab w:val="right" w:leader="dot" w:pos="8306"/>
        </w:tabs>
      </w:pPr>
      <w:r>
        <w:rPr>
          <w:rFonts w:ascii="黑体" w:hAnsi="黑体"/>
          <w:szCs w:val="30"/>
        </w:rPr>
        <w:fldChar w:fldCharType="begin"/>
      </w:r>
      <w:r>
        <w:rPr>
          <w:rFonts w:ascii="黑体" w:hAnsi="黑体"/>
          <w:szCs w:val="30"/>
        </w:rPr>
        <w:instrText xml:space="preserve"> HYPERLINK \l _Toc188765182 </w:instrText>
      </w:r>
      <w:r>
        <w:rPr>
          <w:rFonts w:ascii="黑体" w:hAnsi="黑体"/>
          <w:szCs w:val="30"/>
        </w:rPr>
        <w:fldChar w:fldCharType="separate"/>
      </w:r>
      <w:r>
        <w:rPr>
          <w:rFonts w:hint="eastAsia" w:ascii="仿宋_GB2312" w:hAnsi="黑体" w:eastAsia="仿宋_GB2312" w:cs="Times New Roman"/>
          <w:bCs w:val="0"/>
          <w:szCs w:val="30"/>
          <w:lang w:eastAsia="zh-CN"/>
        </w:rPr>
        <w:t>附件</w:t>
      </w:r>
      <w:r>
        <w:rPr>
          <w:rFonts w:hint="eastAsia" w:ascii="仿宋_GB2312" w:hAnsi="黑体" w:eastAsia="仿宋_GB2312" w:cs="Times New Roman"/>
          <w:bCs w:val="0"/>
          <w:szCs w:val="30"/>
          <w:lang w:val="en-US" w:eastAsia="zh-CN"/>
        </w:rPr>
        <w:t>45 上海证券交易所债券质押式协议回购/三方回购质押债券处置过户申报材料及填写说明</w:t>
      </w:r>
      <w:r>
        <w:tab/>
      </w:r>
      <w:r>
        <w:fldChar w:fldCharType="begin"/>
      </w:r>
      <w:r>
        <w:instrText xml:space="preserve"> PAGEREF _Toc188765182 \h </w:instrText>
      </w:r>
      <w:r>
        <w:fldChar w:fldCharType="separate"/>
      </w:r>
      <w:r>
        <w:t>440</w:t>
      </w:r>
      <w:r>
        <w:fldChar w:fldCharType="end"/>
      </w:r>
      <w:r>
        <w:rPr>
          <w:rFonts w:ascii="黑体" w:hAnsi="黑体"/>
          <w:szCs w:val="30"/>
        </w:rPr>
        <w:fldChar w:fldCharType="end"/>
      </w:r>
    </w:p>
    <w:p w14:paraId="18C9A408">
      <w:pPr>
        <w:pStyle w:val="36"/>
        <w:tabs>
          <w:tab w:val="right" w:leader="dot" w:pos="8306"/>
        </w:tabs>
      </w:pPr>
      <w:r>
        <w:rPr>
          <w:rFonts w:ascii="黑体" w:hAnsi="黑体"/>
          <w:szCs w:val="30"/>
        </w:rPr>
        <w:fldChar w:fldCharType="begin"/>
      </w:r>
      <w:r>
        <w:rPr>
          <w:rFonts w:ascii="黑体" w:hAnsi="黑体"/>
          <w:szCs w:val="30"/>
        </w:rPr>
        <w:instrText xml:space="preserve"> HYPERLINK \l _Toc1358302324 </w:instrText>
      </w:r>
      <w:r>
        <w:rPr>
          <w:rFonts w:ascii="黑体" w:hAnsi="黑体"/>
          <w:szCs w:val="30"/>
        </w:rPr>
        <w:fldChar w:fldCharType="separate"/>
      </w:r>
      <w:r>
        <w:rPr>
          <w:rFonts w:hint="eastAsia" w:ascii="仿宋_GB2312" w:hAnsi="黑体" w:eastAsia="仿宋_GB2312" w:cs="Times New Roman"/>
          <w:bCs w:val="0"/>
          <w:szCs w:val="30"/>
          <w:lang w:eastAsia="zh-CN"/>
        </w:rPr>
        <w:t>附件</w:t>
      </w:r>
      <w:r>
        <w:rPr>
          <w:rFonts w:hint="eastAsia" w:ascii="仿宋_GB2312" w:hAnsi="黑体" w:eastAsia="仿宋_GB2312" w:cs="Times New Roman"/>
          <w:bCs w:val="0"/>
          <w:szCs w:val="30"/>
          <w:lang w:val="en-US" w:eastAsia="zh-CN"/>
        </w:rPr>
        <w:t>45-1 上海证券交易所债券质押式协议回购/三方回购违约处置申报、成交确认表</w:t>
      </w:r>
      <w:r>
        <w:tab/>
      </w:r>
      <w:r>
        <w:fldChar w:fldCharType="begin"/>
      </w:r>
      <w:r>
        <w:instrText xml:space="preserve"> PAGEREF _Toc1358302324 \h </w:instrText>
      </w:r>
      <w:r>
        <w:fldChar w:fldCharType="separate"/>
      </w:r>
      <w:r>
        <w:t>444</w:t>
      </w:r>
      <w:r>
        <w:fldChar w:fldCharType="end"/>
      </w:r>
      <w:r>
        <w:rPr>
          <w:rFonts w:ascii="黑体" w:hAnsi="黑体"/>
          <w:szCs w:val="30"/>
        </w:rPr>
        <w:fldChar w:fldCharType="end"/>
      </w:r>
    </w:p>
    <w:p w14:paraId="0E757830">
      <w:pPr>
        <w:pStyle w:val="36"/>
        <w:tabs>
          <w:tab w:val="right" w:leader="dot" w:pos="8306"/>
        </w:tabs>
      </w:pPr>
      <w:r>
        <w:rPr>
          <w:rFonts w:ascii="黑体" w:hAnsi="黑体"/>
          <w:szCs w:val="30"/>
        </w:rPr>
        <w:fldChar w:fldCharType="begin"/>
      </w:r>
      <w:r>
        <w:rPr>
          <w:rFonts w:ascii="黑体" w:hAnsi="黑体"/>
          <w:szCs w:val="30"/>
        </w:rPr>
        <w:instrText xml:space="preserve"> HYPERLINK \l _Toc1058651279 </w:instrText>
      </w:r>
      <w:r>
        <w:rPr>
          <w:rFonts w:ascii="黑体" w:hAnsi="黑体"/>
          <w:szCs w:val="30"/>
        </w:rPr>
        <w:fldChar w:fldCharType="separate"/>
      </w:r>
      <w:r>
        <w:rPr>
          <w:rFonts w:hint="eastAsia" w:ascii="仿宋_GB2312" w:hAnsi="黑体" w:eastAsia="仿宋_GB2312" w:cs="Times New Roman"/>
          <w:bCs w:val="0"/>
          <w:szCs w:val="30"/>
          <w:lang w:eastAsia="zh-CN"/>
        </w:rPr>
        <w:t>附件</w:t>
      </w:r>
      <w:r>
        <w:rPr>
          <w:rFonts w:hint="eastAsia" w:ascii="仿宋_GB2312" w:hAnsi="黑体" w:eastAsia="仿宋_GB2312" w:cs="Times New Roman"/>
          <w:bCs w:val="0"/>
          <w:szCs w:val="30"/>
          <w:lang w:val="en-US" w:eastAsia="zh-CN"/>
        </w:rPr>
        <w:t>45-2 质押证券处置过户申请</w:t>
      </w:r>
      <w:r>
        <w:tab/>
      </w:r>
      <w:r>
        <w:fldChar w:fldCharType="begin"/>
      </w:r>
      <w:r>
        <w:instrText xml:space="preserve"> PAGEREF _Toc1058651279 \h </w:instrText>
      </w:r>
      <w:r>
        <w:fldChar w:fldCharType="separate"/>
      </w:r>
      <w:r>
        <w:t>446</w:t>
      </w:r>
      <w:r>
        <w:fldChar w:fldCharType="end"/>
      </w:r>
      <w:r>
        <w:rPr>
          <w:rFonts w:ascii="黑体" w:hAnsi="黑体"/>
          <w:szCs w:val="30"/>
        </w:rPr>
        <w:fldChar w:fldCharType="end"/>
      </w:r>
    </w:p>
    <w:p w14:paraId="5ECC1BAC">
      <w:pPr>
        <w:jc w:val="center"/>
        <w:outlineLvl w:val="0"/>
        <w:rPr>
          <w:rFonts w:ascii="黑体" w:hAnsi="黑体"/>
          <w:b/>
          <w:kern w:val="0"/>
          <w:szCs w:val="32"/>
        </w:rPr>
      </w:pPr>
      <w:r>
        <w:rPr>
          <w:rFonts w:ascii="黑体" w:hAnsi="黑体"/>
          <w:szCs w:val="30"/>
        </w:rPr>
        <w:fldChar w:fldCharType="end"/>
      </w:r>
      <w:bookmarkStart w:id="9" w:name="_Toc2039513784"/>
      <w:bookmarkStart w:id="10" w:name="_Toc1101329957"/>
      <w:bookmarkStart w:id="11" w:name="_Toc867818389"/>
      <w:bookmarkStart w:id="12" w:name="_Toc823606805"/>
      <w:bookmarkStart w:id="13" w:name="_Toc1711482434"/>
      <w:bookmarkStart w:id="14" w:name="_Toc957144629"/>
      <w:r>
        <w:rPr>
          <w:rFonts w:ascii="黑体" w:hAnsi="黑体"/>
          <w:b/>
          <w:sz w:val="30"/>
          <w:szCs w:val="30"/>
        </w:rPr>
        <w:br w:type="page"/>
      </w:r>
      <w:bookmarkStart w:id="15" w:name="_Toc151136876"/>
      <w:r>
        <w:rPr>
          <w:rFonts w:hint="eastAsia" w:ascii="黑体" w:hAnsi="黑体" w:eastAsia="黑体" w:cs="黑体"/>
          <w:b/>
          <w:bCs/>
          <w:sz w:val="36"/>
        </w:rPr>
        <w:t>引言</w:t>
      </w:r>
      <w:bookmarkEnd w:id="9"/>
      <w:bookmarkEnd w:id="10"/>
      <w:bookmarkEnd w:id="11"/>
      <w:bookmarkEnd w:id="12"/>
      <w:bookmarkEnd w:id="13"/>
      <w:bookmarkEnd w:id="14"/>
      <w:bookmarkEnd w:id="15"/>
    </w:p>
    <w:p w14:paraId="4D22DF63">
      <w:pPr>
        <w:widowControl/>
        <w:spacing w:line="600" w:lineRule="exact"/>
        <w:ind w:firstLine="600" w:firstLineChars="200"/>
        <w:rPr>
          <w:rFonts w:ascii="仿宋_GB2312" w:eastAsia="仿宋_GB2312"/>
          <w:sz w:val="30"/>
          <w:szCs w:val="30"/>
        </w:rPr>
      </w:pPr>
    </w:p>
    <w:p w14:paraId="7CD95372">
      <w:pPr>
        <w:widowControl/>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为规范债券市场交易行为，便利债券投资者开展债券交易业务，提升市场服务水平，根据《中华人民共和国证券法》《上海证券交易所债券交易规则》（以下简称《债券交易规则》）《上海证券交易所债券市场投资者适当性管理办法》《上海证券交易所会员管理规则》《上海证券交易所证券异常交易实时监控细则》和其他相关规定，制定《上海证券交易所债券交易业务指南第1号——交易业务》（以下简称本指南）。</w:t>
      </w:r>
    </w:p>
    <w:p w14:paraId="49C83698">
      <w:pPr>
        <w:widowControl/>
        <w:spacing w:line="600" w:lineRule="exact"/>
        <w:ind w:firstLine="600" w:firstLineChars="200"/>
        <w:rPr>
          <w:rFonts w:ascii="仿宋_GB2312" w:eastAsia="仿宋_GB2312"/>
          <w:sz w:val="30"/>
          <w:szCs w:val="30"/>
        </w:rPr>
      </w:pPr>
      <w:r>
        <w:rPr>
          <w:rFonts w:hint="eastAsia" w:ascii="仿宋_GB2312" w:eastAsia="仿宋_GB2312"/>
          <w:color w:val="000000"/>
          <w:sz w:val="30"/>
          <w:szCs w:val="30"/>
        </w:rPr>
        <w:t>在上海证券交易所（以下简称本所</w:t>
      </w:r>
      <w:r>
        <w:rPr>
          <w:rFonts w:hint="eastAsia" w:ascii="仿宋_GB2312" w:eastAsia="仿宋_GB2312"/>
          <w:sz w:val="30"/>
          <w:szCs w:val="30"/>
        </w:rPr>
        <w:t>或上交所</w:t>
      </w:r>
      <w:r>
        <w:rPr>
          <w:rFonts w:hint="eastAsia" w:ascii="仿宋_GB2312" w:eastAsia="仿宋_GB2312"/>
          <w:color w:val="000000"/>
          <w:sz w:val="30"/>
          <w:szCs w:val="30"/>
        </w:rPr>
        <w:t>）开展的债券、资产支持证券和其他具有固定收益特征的产品的交易或者转让（以下简称债券交易）适用本指南。本指南规范的债券业务类型包括债券现券交易、债券回购交易、债券借贷业务、债券预发行交易、信用保护工具以及本所认可的其他交易。</w:t>
      </w:r>
      <w:r>
        <w:rPr>
          <w:rFonts w:hint="eastAsia" w:ascii="仿宋_GB2312" w:eastAsia="仿宋_GB2312"/>
          <w:sz w:val="30"/>
          <w:szCs w:val="30"/>
        </w:rPr>
        <w:t>本所依据法律、行政法规、部门规章、规范性文件（以下合称法律法规）和业务规则，对债券提供回售、回售转售、赎回、分期偿还、换股、转股、转托管等相关服务。</w:t>
      </w:r>
    </w:p>
    <w:p w14:paraId="6D8B14D5">
      <w:pPr>
        <w:widowControl/>
        <w:spacing w:line="600" w:lineRule="exact"/>
        <w:ind w:firstLine="600" w:firstLineChars="200"/>
        <w:rPr>
          <w:rFonts w:ascii="黑体" w:hAnsi="黑体"/>
          <w:b/>
          <w:sz w:val="30"/>
          <w:szCs w:val="30"/>
        </w:rPr>
      </w:pPr>
      <w:r>
        <w:rPr>
          <w:rFonts w:hint="eastAsia" w:ascii="仿宋_GB2312" w:eastAsia="仿宋_GB2312"/>
          <w:sz w:val="30"/>
          <w:szCs w:val="30"/>
        </w:rPr>
        <w:t>本指南为开放性指南，本所将根据实际情况，对本指南进行不定期修订更新并发布更新版本。本所对本指南保留最终解释权。</w:t>
      </w:r>
    </w:p>
    <w:p w14:paraId="41875792">
      <w:pPr>
        <w:numPr>
          <w:ilvl w:val="255"/>
          <w:numId w:val="0"/>
        </w:numPr>
        <w:rPr>
          <w:b/>
          <w:sz w:val="36"/>
        </w:rPr>
      </w:pPr>
      <w:bookmarkStart w:id="16" w:name="_Toc56166062"/>
      <w:bookmarkStart w:id="17" w:name="_Toc56166251"/>
      <w:r>
        <w:rPr>
          <w:rFonts w:hint="eastAsia"/>
          <w:b/>
          <w:sz w:val="36"/>
        </w:rPr>
        <w:br w:type="page"/>
      </w:r>
    </w:p>
    <w:p w14:paraId="784E46C3">
      <w:pPr>
        <w:numPr>
          <w:ilvl w:val="0"/>
          <w:numId w:val="4"/>
        </w:numPr>
        <w:spacing w:line="600" w:lineRule="exact"/>
        <w:outlineLvl w:val="0"/>
        <w:rPr>
          <w:rFonts w:ascii="黑体" w:hAnsi="黑体" w:eastAsia="黑体" w:cs="黑体"/>
          <w:b/>
          <w:sz w:val="36"/>
        </w:rPr>
      </w:pPr>
      <w:bookmarkStart w:id="18" w:name="_Toc151136877"/>
      <w:bookmarkStart w:id="19" w:name="_Toc2074553104"/>
      <w:bookmarkStart w:id="20" w:name="_Toc1320726032"/>
      <w:bookmarkStart w:id="21" w:name="_Toc2075429589"/>
      <w:bookmarkStart w:id="22" w:name="_Toc825913322"/>
      <w:bookmarkStart w:id="23" w:name="_Toc1618808536"/>
      <w:bookmarkStart w:id="24" w:name="_Toc425094937"/>
      <w:r>
        <w:rPr>
          <w:rFonts w:hint="eastAsia" w:ascii="黑体" w:hAnsi="黑体" w:eastAsia="黑体" w:cs="黑体"/>
          <w:b/>
          <w:sz w:val="36"/>
        </w:rPr>
        <w:t>上交所债券交易市场总体介绍</w:t>
      </w:r>
      <w:bookmarkEnd w:id="16"/>
      <w:bookmarkEnd w:id="17"/>
      <w:bookmarkEnd w:id="18"/>
      <w:bookmarkEnd w:id="19"/>
      <w:bookmarkEnd w:id="20"/>
      <w:bookmarkEnd w:id="21"/>
      <w:bookmarkEnd w:id="22"/>
      <w:bookmarkEnd w:id="23"/>
      <w:bookmarkEnd w:id="24"/>
    </w:p>
    <w:p w14:paraId="3C805860">
      <w:pPr>
        <w:spacing w:line="600" w:lineRule="exact"/>
        <w:ind w:left="105" w:leftChars="50" w:firstLine="450" w:firstLineChars="150"/>
        <w:rPr>
          <w:rFonts w:ascii="仿宋_GB2312" w:eastAsia="仿宋_GB2312"/>
          <w:sz w:val="30"/>
          <w:szCs w:val="30"/>
        </w:rPr>
      </w:pPr>
      <w:r>
        <w:rPr>
          <w:rFonts w:hint="eastAsia" w:ascii="仿宋_GB2312" w:eastAsia="仿宋_GB2312"/>
          <w:sz w:val="30"/>
          <w:szCs w:val="30"/>
        </w:rPr>
        <w:t>本章主要对本所债券交易市场的发展概况、交易业务、参与主体、参与方式等总体情况进行介绍。</w:t>
      </w:r>
    </w:p>
    <w:p w14:paraId="32FB46CE">
      <w:pPr>
        <w:numPr>
          <w:ilvl w:val="1"/>
          <w:numId w:val="4"/>
        </w:numPr>
        <w:spacing w:line="600" w:lineRule="exact"/>
        <w:ind w:left="0" w:firstLine="0"/>
        <w:outlineLvl w:val="1"/>
        <w:rPr>
          <w:rFonts w:ascii="仿宋_GB2312" w:eastAsia="仿宋_GB2312"/>
          <w:b/>
          <w:sz w:val="30"/>
          <w:szCs w:val="30"/>
        </w:rPr>
      </w:pPr>
      <w:bookmarkStart w:id="25" w:name="_Toc95287028"/>
      <w:bookmarkStart w:id="26" w:name="_Toc1999019538"/>
      <w:bookmarkStart w:id="27" w:name="_Toc1639052365"/>
      <w:bookmarkStart w:id="28" w:name="_Toc842673329"/>
      <w:bookmarkStart w:id="29" w:name="_Toc1717454736"/>
      <w:bookmarkStart w:id="30" w:name="_Toc151136878"/>
      <w:bookmarkStart w:id="31" w:name="_Toc56166063"/>
      <w:bookmarkStart w:id="32" w:name="_Toc56166252"/>
      <w:bookmarkStart w:id="33" w:name="_Toc370996754"/>
      <w:bookmarkStart w:id="34" w:name="_Toc434708067"/>
      <w:bookmarkStart w:id="35" w:name="_Toc491112922"/>
      <w:r>
        <w:rPr>
          <w:rFonts w:hint="eastAsia" w:ascii="仿宋_GB2312" w:eastAsia="仿宋_GB2312"/>
          <w:b/>
          <w:sz w:val="30"/>
          <w:szCs w:val="30"/>
        </w:rPr>
        <w:t>概况</w:t>
      </w:r>
      <w:bookmarkEnd w:id="25"/>
      <w:bookmarkEnd w:id="26"/>
      <w:bookmarkEnd w:id="27"/>
      <w:bookmarkEnd w:id="28"/>
      <w:bookmarkEnd w:id="29"/>
      <w:bookmarkEnd w:id="30"/>
      <w:bookmarkEnd w:id="31"/>
      <w:bookmarkEnd w:id="32"/>
      <w:bookmarkEnd w:id="33"/>
    </w:p>
    <w:p w14:paraId="51957064">
      <w:pPr>
        <w:spacing w:line="600" w:lineRule="exact"/>
        <w:ind w:firstLine="600" w:firstLineChars="200"/>
        <w:rPr>
          <w:rFonts w:ascii="仿宋_GB2312" w:eastAsia="仿宋_GB2312"/>
          <w:sz w:val="30"/>
          <w:szCs w:val="30"/>
        </w:rPr>
      </w:pPr>
      <w:r>
        <w:rPr>
          <w:rFonts w:hint="eastAsia" w:ascii="仿宋_GB2312" w:eastAsia="仿宋_GB2312"/>
          <w:sz w:val="30"/>
          <w:szCs w:val="30"/>
        </w:rPr>
        <w:t>现阶段，本所债券交易相关业务可分为交易类、融资类和风险管理类三种类型。交易类业务包括债券现券交易与债券预发行交易；融资类业务包括债券通用质押式回购（以下简称通用回购）交易、债券质押式协议回购（以下简称协议回购）交易、债券质押式三方回购（以下简称三方回购）交易与债券借贷业务等；风险管理类业务包括信用保护工具等。本所</w:t>
      </w:r>
      <w:r>
        <w:rPr>
          <w:rFonts w:ascii="仿宋_GB2312" w:eastAsia="仿宋_GB2312"/>
          <w:sz w:val="30"/>
          <w:szCs w:val="30"/>
        </w:rPr>
        <w:t>债券交易主要在</w:t>
      </w:r>
      <w:r>
        <w:rPr>
          <w:rFonts w:hint="eastAsia" w:ascii="仿宋_GB2312" w:eastAsia="仿宋_GB2312"/>
          <w:sz w:val="30"/>
          <w:szCs w:val="30"/>
        </w:rPr>
        <w:t>新债券</w:t>
      </w:r>
      <w:r>
        <w:rPr>
          <w:rFonts w:hint="eastAsia" w:ascii="仿宋_GB2312" w:eastAsia="仿宋_GB2312"/>
          <w:kern w:val="0"/>
          <w:sz w:val="30"/>
          <w:szCs w:val="30"/>
        </w:rPr>
        <w:t>交易系统债券集中竞价交易平台（以下简称新</w:t>
      </w:r>
      <w:r>
        <w:rPr>
          <w:rFonts w:hint="eastAsia" w:ascii="仿宋_GB2312" w:eastAsia="仿宋_GB2312"/>
          <w:sz w:val="30"/>
          <w:szCs w:val="30"/>
        </w:rPr>
        <w:t>债券</w:t>
      </w:r>
      <w:r>
        <w:rPr>
          <w:rFonts w:hint="eastAsia" w:ascii="仿宋_GB2312" w:eastAsia="仿宋_GB2312"/>
          <w:kern w:val="0"/>
          <w:sz w:val="30"/>
          <w:szCs w:val="30"/>
        </w:rPr>
        <w:t>交易系统）</w:t>
      </w:r>
      <w:r>
        <w:rPr>
          <w:rFonts w:ascii="仿宋_GB2312" w:eastAsia="仿宋_GB2312"/>
          <w:sz w:val="30"/>
          <w:szCs w:val="30"/>
        </w:rPr>
        <w:t>与</w:t>
      </w:r>
      <w:r>
        <w:rPr>
          <w:rFonts w:hint="eastAsia" w:ascii="仿宋_GB2312" w:eastAsia="仿宋_GB2312"/>
          <w:sz w:val="30"/>
          <w:szCs w:val="30"/>
          <w:lang w:eastAsia="zh-CN"/>
        </w:rPr>
        <w:t>新固定收益系统</w:t>
      </w:r>
      <w:r>
        <w:rPr>
          <w:rFonts w:hint="eastAsia" w:ascii="仿宋_GB2312" w:eastAsia="仿宋_GB2312"/>
          <w:sz w:val="30"/>
          <w:szCs w:val="30"/>
        </w:rPr>
        <w:t>（以下简称为新固收，其网页端简称为一债通）等</w:t>
      </w:r>
      <w:r>
        <w:rPr>
          <w:rFonts w:ascii="仿宋_GB2312" w:eastAsia="仿宋_GB2312"/>
          <w:sz w:val="30"/>
          <w:szCs w:val="30"/>
        </w:rPr>
        <w:t>本所</w:t>
      </w:r>
      <w:r>
        <w:rPr>
          <w:rFonts w:hint="eastAsia" w:ascii="仿宋_GB2312" w:eastAsia="仿宋_GB2312"/>
          <w:sz w:val="30"/>
          <w:szCs w:val="30"/>
        </w:rPr>
        <w:t>核心</w:t>
      </w:r>
      <w:r>
        <w:rPr>
          <w:rFonts w:ascii="仿宋_GB2312" w:eastAsia="仿宋_GB2312"/>
          <w:sz w:val="30"/>
          <w:szCs w:val="30"/>
        </w:rPr>
        <w:t>债券交易</w:t>
      </w:r>
      <w:r>
        <w:rPr>
          <w:rFonts w:hint="eastAsia" w:ascii="仿宋_GB2312" w:eastAsia="仿宋_GB2312"/>
          <w:sz w:val="30"/>
          <w:szCs w:val="30"/>
        </w:rPr>
        <w:t>系统</w:t>
      </w:r>
      <w:r>
        <w:rPr>
          <w:rFonts w:ascii="仿宋_GB2312" w:eastAsia="仿宋_GB2312"/>
          <w:sz w:val="30"/>
          <w:szCs w:val="30"/>
        </w:rPr>
        <w:t>上进行</w:t>
      </w:r>
      <w:r>
        <w:rPr>
          <w:rFonts w:hint="eastAsia" w:ascii="仿宋_GB2312" w:eastAsia="仿宋_GB2312"/>
          <w:sz w:val="30"/>
          <w:szCs w:val="30"/>
        </w:rPr>
        <w:t>，</w:t>
      </w:r>
      <w:r>
        <w:rPr>
          <w:rFonts w:ascii="仿宋_GB2312" w:eastAsia="仿宋_GB2312"/>
          <w:sz w:val="30"/>
          <w:szCs w:val="30"/>
        </w:rPr>
        <w:t>本所另有规定</w:t>
      </w:r>
      <w:r>
        <w:rPr>
          <w:rFonts w:hint="eastAsia" w:ascii="仿宋_GB2312" w:eastAsia="仿宋_GB2312"/>
          <w:sz w:val="30"/>
          <w:szCs w:val="30"/>
        </w:rPr>
        <w:t>的</w:t>
      </w:r>
      <w:r>
        <w:rPr>
          <w:rFonts w:ascii="仿宋_GB2312" w:eastAsia="仿宋_GB2312"/>
          <w:sz w:val="30"/>
          <w:szCs w:val="30"/>
        </w:rPr>
        <w:t>情形除外。</w:t>
      </w:r>
    </w:p>
    <w:p w14:paraId="13756F0E">
      <w:pPr>
        <w:spacing w:line="600" w:lineRule="exact"/>
        <w:ind w:firstLine="600" w:firstLineChars="200"/>
        <w:rPr>
          <w:rFonts w:ascii="仿宋_GB2312" w:hAnsi="仿宋" w:eastAsia="仿宋_GB2312"/>
          <w:sz w:val="30"/>
          <w:szCs w:val="30"/>
        </w:rPr>
      </w:pPr>
      <w:r>
        <w:rPr>
          <w:rFonts w:hint="eastAsia" w:ascii="仿宋_GB2312" w:eastAsia="仿宋_GB2312"/>
          <w:sz w:val="30"/>
          <w:szCs w:val="30"/>
        </w:rPr>
        <w:t>本所债券市场的交易主体包括证券公司、保险、银行、财务公司、银行理财、公募基金、基金专户、企业年金、券商资管、信托、保险资管、私募基金、社会保险基金、期货资管、一般法人/组织、QFII、RQFII、个人等，债券投资者群体相对多元化。</w:t>
      </w:r>
      <w:r>
        <w:rPr>
          <w:rFonts w:hint="eastAsia" w:ascii="仿宋_GB2312" w:hAnsi="仿宋" w:eastAsia="仿宋_GB2312"/>
          <w:sz w:val="30"/>
          <w:szCs w:val="30"/>
        </w:rPr>
        <w:t>现有债券交易方式包括匹配成交、点击成交、询价成交、竞买成交与协商成交；结算方式包括多边净额结算或逐笔全额结算等。</w:t>
      </w:r>
    </w:p>
    <w:p w14:paraId="7A12E91A">
      <w:pPr>
        <w:spacing w:line="600" w:lineRule="exact"/>
        <w:ind w:firstLine="600" w:firstLineChars="200"/>
        <w:rPr>
          <w:rFonts w:ascii="仿宋_GB2312" w:eastAsia="仿宋_GB2312"/>
          <w:sz w:val="30"/>
          <w:szCs w:val="30"/>
        </w:rPr>
      </w:pPr>
      <w:r>
        <w:rPr>
          <w:rFonts w:hint="eastAsia" w:ascii="仿宋_GB2312" w:eastAsia="仿宋_GB2312"/>
          <w:sz w:val="30"/>
          <w:szCs w:val="30"/>
        </w:rPr>
        <w:t>除</w:t>
      </w:r>
      <w:r>
        <w:rPr>
          <w:rFonts w:ascii="仿宋_GB2312" w:eastAsia="仿宋_GB2312"/>
          <w:sz w:val="30"/>
          <w:szCs w:val="30"/>
        </w:rPr>
        <w:t>交易业务外，</w:t>
      </w:r>
      <w:r>
        <w:rPr>
          <w:rFonts w:hint="eastAsia" w:ascii="仿宋_GB2312" w:eastAsia="仿宋_GB2312"/>
          <w:sz w:val="30"/>
          <w:szCs w:val="30"/>
        </w:rPr>
        <w:t>本所根据市场发展情况和债券投资者需求提供相关非交易服务，包括债券分期偿还、回售及其转售、转股、换股、转托管、质押券出入库业务等，相关规定详见本指南第</w:t>
      </w:r>
      <w:r>
        <w:rPr>
          <w:rFonts w:ascii="仿宋_GB2312" w:eastAsia="仿宋_GB2312"/>
          <w:sz w:val="30"/>
          <w:szCs w:val="30"/>
        </w:rPr>
        <w:t>9</w:t>
      </w:r>
      <w:r>
        <w:rPr>
          <w:rFonts w:hint="eastAsia" w:ascii="仿宋_GB2312" w:eastAsia="仿宋_GB2312"/>
          <w:sz w:val="30"/>
          <w:szCs w:val="30"/>
        </w:rPr>
        <w:t>章。前述非交易</w:t>
      </w:r>
      <w:r>
        <w:rPr>
          <w:rFonts w:ascii="仿宋_GB2312" w:eastAsia="仿宋_GB2312"/>
          <w:sz w:val="30"/>
          <w:szCs w:val="30"/>
        </w:rPr>
        <w:t>业务主要在本所综合业务平台</w:t>
      </w:r>
      <w:r>
        <w:rPr>
          <w:rFonts w:hint="eastAsia" w:ascii="仿宋_GB2312" w:eastAsia="仿宋_GB2312"/>
          <w:sz w:val="30"/>
          <w:szCs w:val="30"/>
        </w:rPr>
        <w:t>和</w:t>
      </w:r>
      <w:r>
        <w:rPr>
          <w:rFonts w:hint="eastAsia" w:ascii="仿宋_GB2312" w:eastAsia="仿宋_GB2312"/>
          <w:sz w:val="30"/>
          <w:szCs w:val="30"/>
          <w:lang w:eastAsia="zh-CN"/>
        </w:rPr>
        <w:t>新固定收益系统</w:t>
      </w:r>
      <w:r>
        <w:rPr>
          <w:rFonts w:ascii="仿宋_GB2312" w:eastAsia="仿宋_GB2312"/>
          <w:sz w:val="30"/>
          <w:szCs w:val="30"/>
        </w:rPr>
        <w:t>进行</w:t>
      </w:r>
      <w:r>
        <w:rPr>
          <w:rFonts w:hint="eastAsia" w:ascii="仿宋_GB2312" w:eastAsia="仿宋_GB2312"/>
          <w:sz w:val="30"/>
          <w:szCs w:val="30"/>
        </w:rPr>
        <w:t>，</w:t>
      </w:r>
      <w:r>
        <w:rPr>
          <w:rFonts w:ascii="仿宋_GB2312" w:eastAsia="仿宋_GB2312"/>
          <w:sz w:val="30"/>
          <w:szCs w:val="30"/>
        </w:rPr>
        <w:t>本所另有规定</w:t>
      </w:r>
      <w:r>
        <w:rPr>
          <w:rFonts w:hint="eastAsia" w:ascii="仿宋_GB2312" w:eastAsia="仿宋_GB2312"/>
          <w:sz w:val="30"/>
          <w:szCs w:val="30"/>
        </w:rPr>
        <w:t>的</w:t>
      </w:r>
      <w:r>
        <w:rPr>
          <w:rFonts w:ascii="仿宋_GB2312" w:eastAsia="仿宋_GB2312"/>
          <w:sz w:val="30"/>
          <w:szCs w:val="30"/>
        </w:rPr>
        <w:t>除外。</w:t>
      </w:r>
    </w:p>
    <w:bookmarkEnd w:id="34"/>
    <w:bookmarkEnd w:id="35"/>
    <w:p w14:paraId="7D46B913">
      <w:pPr>
        <w:numPr>
          <w:ilvl w:val="1"/>
          <w:numId w:val="4"/>
        </w:numPr>
        <w:spacing w:line="600" w:lineRule="exact"/>
        <w:ind w:left="0" w:firstLine="0"/>
        <w:outlineLvl w:val="1"/>
        <w:rPr>
          <w:rFonts w:ascii="仿宋_GB2312" w:eastAsia="仿宋_GB2312"/>
          <w:b/>
          <w:sz w:val="30"/>
          <w:szCs w:val="30"/>
        </w:rPr>
      </w:pPr>
      <w:bookmarkStart w:id="36" w:name="_Toc60327055"/>
      <w:bookmarkEnd w:id="36"/>
      <w:bookmarkStart w:id="37" w:name="_Toc59181147"/>
      <w:bookmarkEnd w:id="37"/>
      <w:bookmarkStart w:id="38" w:name="_Toc57908823"/>
      <w:bookmarkEnd w:id="38"/>
      <w:bookmarkStart w:id="39" w:name="_Toc59106935"/>
      <w:bookmarkEnd w:id="39"/>
      <w:bookmarkStart w:id="40" w:name="_Toc60327053"/>
      <w:bookmarkEnd w:id="40"/>
      <w:bookmarkStart w:id="41" w:name="_Toc59181150"/>
      <w:bookmarkEnd w:id="41"/>
      <w:bookmarkStart w:id="42" w:name="_Toc59106930"/>
      <w:bookmarkEnd w:id="42"/>
      <w:bookmarkStart w:id="43" w:name="_Toc60327051"/>
      <w:bookmarkEnd w:id="43"/>
      <w:bookmarkStart w:id="44" w:name="_Toc59034532"/>
      <w:bookmarkEnd w:id="44"/>
      <w:bookmarkStart w:id="45" w:name="_Toc59106934"/>
      <w:bookmarkEnd w:id="45"/>
      <w:bookmarkStart w:id="46" w:name="_Toc60331807"/>
      <w:bookmarkEnd w:id="46"/>
      <w:bookmarkStart w:id="47" w:name="_Toc59181263"/>
      <w:bookmarkEnd w:id="47"/>
      <w:bookmarkStart w:id="48" w:name="_Toc59181258"/>
      <w:bookmarkEnd w:id="48"/>
      <w:bookmarkStart w:id="49" w:name="_Toc59181031"/>
      <w:bookmarkEnd w:id="49"/>
      <w:bookmarkStart w:id="50" w:name="_Toc60331809"/>
      <w:bookmarkEnd w:id="50"/>
      <w:bookmarkStart w:id="51" w:name="_Toc59034052"/>
      <w:bookmarkEnd w:id="51"/>
      <w:bookmarkStart w:id="52" w:name="_Toc59034525"/>
      <w:bookmarkEnd w:id="52"/>
      <w:bookmarkStart w:id="53" w:name="_Toc59181035"/>
      <w:bookmarkEnd w:id="53"/>
      <w:bookmarkStart w:id="54" w:name="_Toc59181037"/>
      <w:bookmarkEnd w:id="54"/>
      <w:bookmarkStart w:id="55" w:name="_Toc59181259"/>
      <w:bookmarkEnd w:id="55"/>
      <w:bookmarkStart w:id="56" w:name="_Toc60331808"/>
      <w:bookmarkEnd w:id="56"/>
      <w:bookmarkStart w:id="57" w:name="_Toc59181257"/>
      <w:bookmarkEnd w:id="57"/>
      <w:bookmarkStart w:id="58" w:name="_Toc59181033"/>
      <w:bookmarkEnd w:id="58"/>
      <w:bookmarkStart w:id="59" w:name="_Toc59181144"/>
      <w:bookmarkEnd w:id="59"/>
      <w:bookmarkStart w:id="60" w:name="_Toc59034528"/>
      <w:bookmarkEnd w:id="60"/>
      <w:bookmarkStart w:id="61" w:name="_Toc59106933"/>
      <w:bookmarkEnd w:id="61"/>
      <w:bookmarkStart w:id="62" w:name="_Toc59181146"/>
      <w:bookmarkEnd w:id="62"/>
      <w:bookmarkStart w:id="63" w:name="_Toc59181261"/>
      <w:bookmarkEnd w:id="63"/>
      <w:bookmarkStart w:id="64" w:name="_Toc60331813"/>
      <w:bookmarkEnd w:id="64"/>
      <w:bookmarkStart w:id="65" w:name="_Toc59034047"/>
      <w:bookmarkEnd w:id="65"/>
      <w:bookmarkStart w:id="66" w:name="_Toc57908817"/>
      <w:bookmarkEnd w:id="66"/>
      <w:bookmarkStart w:id="67" w:name="_Toc59181151"/>
      <w:bookmarkEnd w:id="67"/>
      <w:bookmarkStart w:id="68" w:name="_Toc59181260"/>
      <w:bookmarkEnd w:id="68"/>
      <w:bookmarkStart w:id="69" w:name="_Toc59034049"/>
      <w:bookmarkEnd w:id="69"/>
      <w:bookmarkStart w:id="70" w:name="_Toc59181145"/>
      <w:bookmarkEnd w:id="70"/>
      <w:bookmarkStart w:id="71" w:name="_Toc57908819"/>
      <w:bookmarkEnd w:id="71"/>
      <w:bookmarkStart w:id="72" w:name="_Toc59034053"/>
      <w:bookmarkEnd w:id="72"/>
      <w:bookmarkStart w:id="73" w:name="_Toc60327057"/>
      <w:bookmarkEnd w:id="73"/>
      <w:bookmarkStart w:id="74" w:name="_Toc59106931"/>
      <w:bookmarkEnd w:id="74"/>
      <w:bookmarkStart w:id="75" w:name="_Toc59034046"/>
      <w:bookmarkEnd w:id="75"/>
      <w:bookmarkStart w:id="76" w:name="_Toc59181148"/>
      <w:bookmarkEnd w:id="76"/>
      <w:bookmarkStart w:id="77" w:name="_Toc60327052"/>
      <w:bookmarkEnd w:id="77"/>
      <w:bookmarkStart w:id="78" w:name="_Toc60327054"/>
      <w:bookmarkEnd w:id="78"/>
      <w:bookmarkStart w:id="79" w:name="_Toc59034048"/>
      <w:bookmarkEnd w:id="79"/>
      <w:bookmarkStart w:id="80" w:name="_Toc60331814"/>
      <w:bookmarkEnd w:id="80"/>
      <w:bookmarkStart w:id="81" w:name="_Toc59106932"/>
      <w:bookmarkEnd w:id="81"/>
      <w:bookmarkStart w:id="82" w:name="_Toc59034529"/>
      <w:bookmarkEnd w:id="82"/>
      <w:bookmarkStart w:id="83" w:name="_Toc57908820"/>
      <w:bookmarkEnd w:id="83"/>
      <w:bookmarkStart w:id="84" w:name="_Toc60327050"/>
      <w:bookmarkEnd w:id="84"/>
      <w:bookmarkStart w:id="85" w:name="_Toc59181256"/>
      <w:bookmarkEnd w:id="85"/>
      <w:bookmarkStart w:id="86" w:name="_Toc59181149"/>
      <w:bookmarkEnd w:id="86"/>
      <w:bookmarkStart w:id="87" w:name="_Toc59181032"/>
      <w:bookmarkEnd w:id="87"/>
      <w:bookmarkStart w:id="88" w:name="_Toc57908822"/>
      <w:bookmarkEnd w:id="88"/>
      <w:bookmarkStart w:id="89" w:name="_Toc59034527"/>
      <w:bookmarkEnd w:id="89"/>
      <w:bookmarkStart w:id="90" w:name="_Toc59034530"/>
      <w:bookmarkEnd w:id="90"/>
      <w:bookmarkStart w:id="91" w:name="_Toc60331810"/>
      <w:bookmarkEnd w:id="91"/>
      <w:bookmarkStart w:id="92" w:name="_Toc59034531"/>
      <w:bookmarkEnd w:id="92"/>
      <w:bookmarkStart w:id="93" w:name="_Toc59181036"/>
      <w:bookmarkEnd w:id="93"/>
      <w:bookmarkStart w:id="94" w:name="_Toc59181262"/>
      <w:bookmarkEnd w:id="94"/>
      <w:bookmarkStart w:id="95" w:name="_Toc59034050"/>
      <w:bookmarkEnd w:id="95"/>
      <w:bookmarkStart w:id="96" w:name="_Toc60327056"/>
      <w:bookmarkEnd w:id="96"/>
      <w:bookmarkStart w:id="97" w:name="_Toc57908818"/>
      <w:bookmarkEnd w:id="97"/>
      <w:bookmarkStart w:id="98" w:name="_Toc59106929"/>
      <w:bookmarkEnd w:id="98"/>
      <w:bookmarkStart w:id="99" w:name="_Toc59181034"/>
      <w:bookmarkEnd w:id="99"/>
      <w:bookmarkStart w:id="100" w:name="_Toc59034526"/>
      <w:bookmarkEnd w:id="100"/>
      <w:bookmarkStart w:id="101" w:name="_Toc59106936"/>
      <w:bookmarkEnd w:id="101"/>
      <w:bookmarkStart w:id="102" w:name="_Toc59034051"/>
      <w:bookmarkEnd w:id="102"/>
      <w:bookmarkStart w:id="103" w:name="_Toc57908821"/>
      <w:bookmarkEnd w:id="103"/>
      <w:bookmarkStart w:id="104" w:name="_Toc59181030"/>
      <w:bookmarkEnd w:id="104"/>
      <w:bookmarkStart w:id="105" w:name="_Toc57908824"/>
      <w:bookmarkEnd w:id="105"/>
      <w:bookmarkStart w:id="106" w:name="_Toc60331811"/>
      <w:bookmarkEnd w:id="106"/>
      <w:bookmarkStart w:id="107" w:name="_Toc60331812"/>
      <w:bookmarkEnd w:id="107"/>
      <w:bookmarkStart w:id="108" w:name="_Toc56166253"/>
      <w:bookmarkStart w:id="109" w:name="_Toc56166064"/>
      <w:bookmarkStart w:id="110" w:name="_Toc754905851"/>
      <w:bookmarkStart w:id="111" w:name="_Toc330734210"/>
      <w:bookmarkStart w:id="112" w:name="_Toc203503627"/>
      <w:bookmarkStart w:id="113" w:name="_Toc217763486"/>
      <w:bookmarkStart w:id="114" w:name="_Toc470398120"/>
      <w:bookmarkStart w:id="115" w:name="_Toc1911238619"/>
      <w:bookmarkStart w:id="116" w:name="_Toc151136879"/>
      <w:r>
        <w:rPr>
          <w:rFonts w:hint="eastAsia" w:ascii="仿宋_GB2312" w:eastAsia="仿宋_GB2312"/>
          <w:b/>
          <w:sz w:val="30"/>
          <w:szCs w:val="30"/>
        </w:rPr>
        <w:t>债券交易业务</w:t>
      </w:r>
      <w:bookmarkEnd w:id="108"/>
      <w:bookmarkEnd w:id="109"/>
      <w:bookmarkEnd w:id="110"/>
      <w:bookmarkEnd w:id="111"/>
      <w:bookmarkEnd w:id="112"/>
      <w:bookmarkEnd w:id="113"/>
      <w:bookmarkEnd w:id="114"/>
      <w:bookmarkEnd w:id="115"/>
      <w:bookmarkEnd w:id="116"/>
    </w:p>
    <w:p w14:paraId="1D2DB06F">
      <w:pPr>
        <w:spacing w:line="600" w:lineRule="exact"/>
        <w:ind w:firstLine="600" w:firstLineChars="200"/>
        <w:rPr>
          <w:rFonts w:ascii="仿宋_GB2312" w:eastAsia="仿宋_GB2312"/>
          <w:sz w:val="30"/>
          <w:szCs w:val="30"/>
        </w:rPr>
      </w:pPr>
      <w:r>
        <w:rPr>
          <w:rFonts w:hint="eastAsia" w:ascii="仿宋_GB2312" w:eastAsia="仿宋_GB2312"/>
          <w:sz w:val="30"/>
          <w:szCs w:val="30"/>
        </w:rPr>
        <w:t>本所债券交易相关业务可分为交易类、融资类和风险管理类三种类型。</w:t>
      </w:r>
    </w:p>
    <w:p w14:paraId="63BEA097">
      <w:pPr>
        <w:numPr>
          <w:ilvl w:val="2"/>
          <w:numId w:val="4"/>
        </w:numPr>
        <w:spacing w:line="600" w:lineRule="exact"/>
        <w:ind w:left="0" w:firstLine="0"/>
        <w:outlineLvl w:val="2"/>
        <w:rPr>
          <w:rFonts w:ascii="仿宋_GB2312" w:eastAsia="仿宋_GB2312"/>
          <w:b/>
          <w:sz w:val="30"/>
          <w:szCs w:val="30"/>
        </w:rPr>
      </w:pPr>
      <w:bookmarkStart w:id="117" w:name="_Toc57908826"/>
      <w:r>
        <w:rPr>
          <w:rFonts w:hint="eastAsia" w:ascii="仿宋_GB2312" w:eastAsia="仿宋_GB2312"/>
          <w:b/>
          <w:sz w:val="30"/>
          <w:szCs w:val="30"/>
        </w:rPr>
        <w:t>交易类业务</w:t>
      </w:r>
      <w:bookmarkEnd w:id="117"/>
    </w:p>
    <w:p w14:paraId="6B427AE9">
      <w:pPr>
        <w:spacing w:line="600" w:lineRule="exact"/>
        <w:ind w:firstLine="600" w:firstLineChars="200"/>
        <w:rPr>
          <w:rFonts w:ascii="仿宋_GB2312" w:eastAsia="仿宋_GB2312"/>
          <w:sz w:val="30"/>
          <w:szCs w:val="30"/>
        </w:rPr>
      </w:pPr>
      <w:r>
        <w:rPr>
          <w:rFonts w:hint="eastAsia" w:ascii="仿宋_GB2312" w:eastAsia="仿宋_GB2312"/>
          <w:sz w:val="30"/>
          <w:szCs w:val="30"/>
        </w:rPr>
        <w:t>在本所开展的交易类业务包括债券现券交易和债券预发行交易。</w:t>
      </w:r>
    </w:p>
    <w:p w14:paraId="65E7E76B">
      <w:pPr>
        <w:spacing w:line="600" w:lineRule="exact"/>
        <w:ind w:firstLine="600" w:firstLineChars="200"/>
        <w:rPr>
          <w:rFonts w:ascii="仿宋_GB2312" w:eastAsia="仿宋_GB2312"/>
          <w:sz w:val="30"/>
          <w:szCs w:val="30"/>
        </w:rPr>
      </w:pPr>
      <w:r>
        <w:rPr>
          <w:rFonts w:hint="eastAsia" w:ascii="仿宋_GB2312" w:eastAsia="仿宋_GB2312"/>
          <w:sz w:val="30"/>
          <w:szCs w:val="30"/>
        </w:rPr>
        <w:t>现券交易是指交易双方以一定的价格转让债券现券产品所有权的交易行为。现券交易的交易品种包括国债、地方政府债券、政策性银行金融债券（以下简称政策性金融债）、政府支持机构债券（以下简称政府支持债券）、公司债券（如无特别说明，本指南中公司债券含企业债</w:t>
      </w:r>
      <w:r>
        <w:rPr>
          <w:rFonts w:ascii="仿宋_GB2312" w:eastAsia="仿宋_GB2312"/>
          <w:sz w:val="30"/>
          <w:szCs w:val="30"/>
        </w:rPr>
        <w:t>券、</w:t>
      </w:r>
      <w:r>
        <w:rPr>
          <w:rFonts w:hint="eastAsia" w:ascii="仿宋_GB2312" w:eastAsia="仿宋_GB2312"/>
          <w:sz w:val="30"/>
          <w:szCs w:val="30"/>
        </w:rPr>
        <w:t>可交换公司债券、非上市公司非公开发行的可转换公司债券）、资产支持证券等。针对现券交易的相关规定详见本指南第6章。</w:t>
      </w:r>
      <w:r>
        <w:rPr>
          <w:rFonts w:hint="eastAsia" w:ascii="仿宋_GB2312" w:eastAsia="仿宋_GB2312"/>
          <w:color w:val="000000"/>
          <w:sz w:val="30"/>
          <w:szCs w:val="30"/>
        </w:rPr>
        <w:t>本所对上市公司发行的可转换公司债券的交易</w:t>
      </w:r>
      <w:r>
        <w:rPr>
          <w:rFonts w:ascii="仿宋_GB2312" w:eastAsia="仿宋_GB2312"/>
          <w:color w:val="000000"/>
          <w:sz w:val="30"/>
          <w:szCs w:val="30"/>
        </w:rPr>
        <w:t>另有规定的</w:t>
      </w:r>
      <w:r>
        <w:rPr>
          <w:rFonts w:hint="eastAsia" w:ascii="仿宋_GB2312" w:eastAsia="仿宋_GB2312"/>
          <w:color w:val="000000"/>
          <w:sz w:val="30"/>
          <w:szCs w:val="30"/>
        </w:rPr>
        <w:t>，</w:t>
      </w:r>
      <w:r>
        <w:rPr>
          <w:rFonts w:ascii="仿宋_GB2312" w:eastAsia="仿宋_GB2312"/>
          <w:color w:val="000000"/>
          <w:sz w:val="30"/>
          <w:szCs w:val="30"/>
        </w:rPr>
        <w:t>从其规定</w:t>
      </w:r>
      <w:r>
        <w:rPr>
          <w:rFonts w:hint="eastAsia" w:ascii="仿宋_GB2312" w:eastAsia="仿宋_GB2312"/>
          <w:color w:val="000000"/>
          <w:sz w:val="30"/>
          <w:szCs w:val="30"/>
        </w:rPr>
        <w:t>。</w:t>
      </w:r>
    </w:p>
    <w:p w14:paraId="69C248B7">
      <w:pPr>
        <w:spacing w:line="600" w:lineRule="exact"/>
        <w:ind w:firstLine="600" w:firstLineChars="200"/>
        <w:rPr>
          <w:rFonts w:ascii="仿宋_GB2312" w:eastAsia="仿宋_GB2312"/>
          <w:sz w:val="30"/>
          <w:szCs w:val="30"/>
        </w:rPr>
      </w:pPr>
      <w:r>
        <w:rPr>
          <w:rFonts w:hint="eastAsia" w:ascii="仿宋_GB2312" w:eastAsia="仿宋_GB2312"/>
          <w:sz w:val="30"/>
          <w:szCs w:val="30"/>
        </w:rPr>
        <w:t>债券预发行交易是指在债券发行前特定期间进行交易并在债券发行完成后进行交收的债券交易行为。其中，国债预发行交易，是指在关键期限（1、3、5、7、10年期）的记账式国债招标日前特定期间进行交易，并在国债招标完成后进行交收的债券买卖行为。针对国债预发行交易的相关规定详见本指南第8章。</w:t>
      </w:r>
    </w:p>
    <w:p w14:paraId="6B907C03">
      <w:pPr>
        <w:numPr>
          <w:ilvl w:val="2"/>
          <w:numId w:val="4"/>
        </w:numPr>
        <w:spacing w:line="600" w:lineRule="exact"/>
        <w:ind w:left="0" w:firstLine="0"/>
        <w:outlineLvl w:val="2"/>
        <w:rPr>
          <w:rFonts w:ascii="仿宋_GB2312" w:eastAsia="仿宋_GB2312"/>
          <w:b/>
          <w:sz w:val="30"/>
          <w:szCs w:val="30"/>
        </w:rPr>
      </w:pPr>
      <w:bookmarkStart w:id="118" w:name="_Toc57908827"/>
      <w:r>
        <w:rPr>
          <w:rFonts w:hint="eastAsia" w:ascii="仿宋_GB2312" w:eastAsia="仿宋_GB2312"/>
          <w:b/>
          <w:sz w:val="30"/>
          <w:szCs w:val="30"/>
        </w:rPr>
        <w:t>融资类业务</w:t>
      </w:r>
      <w:bookmarkEnd w:id="118"/>
    </w:p>
    <w:p w14:paraId="091BCA45">
      <w:pPr>
        <w:spacing w:line="600" w:lineRule="exact"/>
        <w:ind w:firstLine="600" w:firstLineChars="200"/>
        <w:rPr>
          <w:rFonts w:ascii="仿宋_GB2312" w:eastAsia="仿宋_GB2312"/>
          <w:sz w:val="30"/>
          <w:szCs w:val="30"/>
        </w:rPr>
      </w:pPr>
      <w:r>
        <w:rPr>
          <w:rFonts w:hint="eastAsia" w:ascii="仿宋_GB2312" w:eastAsia="仿宋_GB2312"/>
          <w:sz w:val="30"/>
          <w:szCs w:val="30"/>
        </w:rPr>
        <w:t>在本所开展的融资类业务包括通用回购交易、协议回购交易、三方回购交易、债券借贷业务等。</w:t>
      </w:r>
    </w:p>
    <w:p w14:paraId="3D99384A">
      <w:pPr>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通用回购交易指资金融入方将符合要求的债券申报质押，以相应折算率计算出的质押券价值为融资额度进行质押融资，交易双方约定在回购期满后返还资金同时解除债券质押的交易。通用</w:t>
      </w:r>
      <w:r>
        <w:rPr>
          <w:rFonts w:ascii="仿宋_GB2312" w:eastAsia="仿宋_GB2312"/>
          <w:color w:val="000000"/>
          <w:sz w:val="30"/>
          <w:szCs w:val="30"/>
        </w:rPr>
        <w:t>回购</w:t>
      </w:r>
      <w:r>
        <w:rPr>
          <w:rFonts w:hint="eastAsia" w:ascii="仿宋_GB2312" w:eastAsia="仿宋_GB2312"/>
          <w:color w:val="000000"/>
          <w:sz w:val="30"/>
          <w:szCs w:val="30"/>
        </w:rPr>
        <w:t>由登记结算机构进行质押券集中管理并作为中央对手方组织集中清算交收。通用回购交易相关规定详见本指南第7章。</w:t>
      </w:r>
    </w:p>
    <w:p w14:paraId="2DBD57C5">
      <w:pPr>
        <w:pStyle w:val="90"/>
        <w:spacing w:line="600" w:lineRule="exact"/>
        <w:ind w:firstLineChars="0"/>
        <w:rPr>
          <w:color w:val="000000"/>
          <w:sz w:val="30"/>
          <w:szCs w:val="30"/>
        </w:rPr>
      </w:pPr>
      <w:r>
        <w:rPr>
          <w:rFonts w:hint="eastAsia"/>
          <w:color w:val="000000"/>
          <w:sz w:val="30"/>
          <w:szCs w:val="30"/>
        </w:rPr>
        <w:t>协议回购交易是指回购双方自主协商约定，由资金融入方将债券出质给资金融出方融入资金，并在未来返还资金和支付回购利息，同时解除债券质押登记的交易。协议回购交易相关规定详见本指南第7章。</w:t>
      </w:r>
    </w:p>
    <w:p w14:paraId="1F63344F">
      <w:pPr>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三方回购交易是指资金融入方将债券出质给资金融出方以融入资金，约定在未来返还资金和支付回购利息，同时解除债券质押，并由本所、证券登记结算机构等根据相关规定提供相关的担保品管理服务的交易。三方回购交易相关规定详见本指南第7章。</w:t>
      </w:r>
    </w:p>
    <w:p w14:paraId="49378639">
      <w:pPr>
        <w:pStyle w:val="90"/>
        <w:spacing w:line="600" w:lineRule="exact"/>
        <w:ind w:firstLine="600"/>
        <w:rPr>
          <w:color w:val="000000"/>
          <w:sz w:val="30"/>
          <w:szCs w:val="30"/>
        </w:rPr>
      </w:pPr>
      <w:r>
        <w:rPr>
          <w:rFonts w:hint="eastAsia"/>
          <w:color w:val="000000"/>
          <w:sz w:val="30"/>
          <w:szCs w:val="30"/>
        </w:rPr>
        <w:t>债券借贷业务</w:t>
      </w:r>
      <w:r>
        <w:rPr>
          <w:rFonts w:hint="eastAsia"/>
          <w:color w:val="000000"/>
          <w:sz w:val="30"/>
          <w:szCs w:val="30"/>
          <w:shd w:val="clear" w:color="auto" w:fill="FFFFFF"/>
        </w:rPr>
        <w:t>是指债券借贷双方自主协商约定，由债券借入方以一定数量的债券设定质押，从债券借出方借入标的债券，同时约定在未来特定日期归还标的债券和支付债券借贷费用，并解除出质债券质押登记的行为。</w:t>
      </w:r>
      <w:r>
        <w:rPr>
          <w:rFonts w:hint="eastAsia"/>
          <w:color w:val="000000"/>
          <w:sz w:val="30"/>
          <w:szCs w:val="30"/>
        </w:rPr>
        <w:t>债券借贷业务相关规定详见本指南第8章。</w:t>
      </w:r>
    </w:p>
    <w:p w14:paraId="508545C0">
      <w:pPr>
        <w:numPr>
          <w:ilvl w:val="2"/>
          <w:numId w:val="4"/>
        </w:numPr>
        <w:spacing w:line="600" w:lineRule="exact"/>
        <w:ind w:left="0" w:firstLine="0"/>
        <w:outlineLvl w:val="2"/>
        <w:rPr>
          <w:rFonts w:ascii="仿宋_GB2312" w:eastAsia="仿宋_GB2312"/>
          <w:b/>
          <w:sz w:val="30"/>
          <w:szCs w:val="30"/>
        </w:rPr>
      </w:pPr>
      <w:bookmarkStart w:id="119" w:name="_Toc57908828"/>
      <w:r>
        <w:rPr>
          <w:rFonts w:hint="eastAsia" w:ascii="仿宋_GB2312" w:eastAsia="仿宋_GB2312"/>
          <w:b/>
          <w:sz w:val="30"/>
          <w:szCs w:val="30"/>
        </w:rPr>
        <w:t>风险管理类业务</w:t>
      </w:r>
      <w:bookmarkEnd w:id="119"/>
    </w:p>
    <w:p w14:paraId="2D1A9899">
      <w:pPr>
        <w:pStyle w:val="90"/>
        <w:spacing w:line="600" w:lineRule="exact"/>
        <w:ind w:firstLine="600"/>
        <w:rPr>
          <w:color w:val="000000"/>
          <w:sz w:val="30"/>
        </w:rPr>
      </w:pPr>
      <w:r>
        <w:rPr>
          <w:rFonts w:hint="eastAsia"/>
          <w:color w:val="000000"/>
          <w:sz w:val="30"/>
        </w:rPr>
        <w:t>在本所开展的风险管理类业务包括信用保护工具等。信用保护工具是指信用保护卖方和信用保护买方达成的，约定在未来一定期限内，信用保护买方按照约定的标准和方式向信用保护卖方支付信用保护费用，由卖方就约定的一个或多个参考实体或其符合特定债务种类和债务特征的一个或多个、一类或多类债务向买方提供信用风险保护的金融工具。信用保护工具</w:t>
      </w:r>
      <w:r>
        <w:rPr>
          <w:rFonts w:hint="eastAsia"/>
          <w:color w:val="000000"/>
          <w:sz w:val="30"/>
          <w:szCs w:val="30"/>
        </w:rPr>
        <w:t>相关规定详见本指南第8章。</w:t>
      </w:r>
    </w:p>
    <w:p w14:paraId="46593139">
      <w:pPr>
        <w:numPr>
          <w:ilvl w:val="1"/>
          <w:numId w:val="4"/>
        </w:numPr>
        <w:spacing w:line="600" w:lineRule="exact"/>
        <w:ind w:left="0" w:firstLine="0"/>
        <w:outlineLvl w:val="1"/>
        <w:rPr>
          <w:rFonts w:ascii="仿宋_GB2312" w:eastAsia="仿宋_GB2312"/>
          <w:b/>
          <w:sz w:val="30"/>
          <w:szCs w:val="30"/>
        </w:rPr>
      </w:pPr>
      <w:bookmarkStart w:id="120" w:name="_Toc151136880"/>
      <w:bookmarkStart w:id="121" w:name="_Toc1942409287"/>
      <w:bookmarkStart w:id="122" w:name="_Toc531811417"/>
      <w:bookmarkStart w:id="123" w:name="_Toc1017076540"/>
      <w:bookmarkStart w:id="124" w:name="_Toc1498934820"/>
      <w:bookmarkStart w:id="125" w:name="_Toc273804502"/>
      <w:bookmarkStart w:id="126" w:name="_Toc756498888"/>
      <w:r>
        <w:rPr>
          <w:rFonts w:hint="eastAsia" w:ascii="仿宋_GB2312" w:eastAsia="仿宋_GB2312"/>
          <w:b/>
          <w:sz w:val="30"/>
          <w:szCs w:val="30"/>
        </w:rPr>
        <w:t>债券投资者</w:t>
      </w:r>
      <w:bookmarkEnd w:id="120"/>
      <w:bookmarkEnd w:id="121"/>
      <w:bookmarkEnd w:id="122"/>
      <w:bookmarkEnd w:id="123"/>
      <w:bookmarkEnd w:id="124"/>
      <w:bookmarkEnd w:id="125"/>
      <w:bookmarkEnd w:id="126"/>
    </w:p>
    <w:p w14:paraId="44093AF1">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债券投资者类别</w:t>
      </w:r>
    </w:p>
    <w:p w14:paraId="59210951">
      <w:pPr>
        <w:pStyle w:val="90"/>
        <w:spacing w:line="600" w:lineRule="exact"/>
        <w:ind w:firstLine="600"/>
        <w:rPr>
          <w:rFonts w:hAnsi="宋体" w:cs="宋体"/>
          <w:sz w:val="30"/>
          <w:szCs w:val="30"/>
          <w:lang w:bidi="en-US"/>
        </w:rPr>
      </w:pPr>
      <w:r>
        <w:rPr>
          <w:rFonts w:hint="eastAsia"/>
          <w:sz w:val="30"/>
          <w:szCs w:val="30"/>
        </w:rPr>
        <w:t>债券投资者包括债券交易参与人与其他债券投资者（即经纪客户）两类。债券交易参与人是指直接参与本所债券市场的债券投资者</w:t>
      </w:r>
      <w:r>
        <w:rPr>
          <w:rFonts w:hint="eastAsia" w:hAnsi="Times New Roman"/>
          <w:color w:val="000000"/>
          <w:sz w:val="30"/>
          <w:szCs w:val="30"/>
        </w:rPr>
        <w:t>。</w:t>
      </w:r>
      <w:r>
        <w:rPr>
          <w:rFonts w:hint="eastAsia" w:hAnsi="宋体" w:cs="宋体"/>
          <w:sz w:val="30"/>
          <w:szCs w:val="30"/>
          <w:lang w:bidi="en-US"/>
        </w:rPr>
        <w:t>经纪客户是指通过</w:t>
      </w:r>
      <w:r>
        <w:rPr>
          <w:rFonts w:hint="eastAsia"/>
          <w:sz w:val="30"/>
          <w:szCs w:val="30"/>
        </w:rPr>
        <w:t>委托本所会员的方式参与本所债券市场的债券投资者</w:t>
      </w:r>
      <w:r>
        <w:rPr>
          <w:rFonts w:hint="eastAsia" w:hAnsi="宋体" w:cs="宋体"/>
          <w:sz w:val="30"/>
          <w:szCs w:val="30"/>
          <w:lang w:bidi="en-US"/>
        </w:rPr>
        <w:t>。</w:t>
      </w:r>
    </w:p>
    <w:p w14:paraId="09C59F11">
      <w:pPr>
        <w:pStyle w:val="90"/>
        <w:spacing w:line="600" w:lineRule="exact"/>
        <w:ind w:firstLine="600"/>
        <w:rPr>
          <w:rFonts w:hAnsi="宋体" w:cs="宋体"/>
          <w:sz w:val="30"/>
          <w:szCs w:val="30"/>
          <w:lang w:bidi="en-US"/>
        </w:rPr>
      </w:pPr>
      <w:r>
        <w:rPr>
          <w:rFonts w:hint="eastAsia" w:hAnsi="宋体" w:cs="宋体"/>
          <w:sz w:val="30"/>
          <w:szCs w:val="30"/>
          <w:lang w:bidi="en-US"/>
        </w:rPr>
        <w:t>债券交易参与人相关规定详见本指南第2章。经纪客户相关规定详见本指南第3章。</w:t>
      </w:r>
    </w:p>
    <w:p w14:paraId="26C13A56">
      <w:pPr>
        <w:numPr>
          <w:ilvl w:val="2"/>
          <w:numId w:val="4"/>
        </w:numPr>
        <w:spacing w:line="600" w:lineRule="exact"/>
        <w:ind w:left="0" w:firstLine="0"/>
        <w:outlineLvl w:val="2"/>
        <w:rPr>
          <w:rFonts w:ascii="仿宋_GB2312" w:eastAsia="仿宋_GB2312"/>
          <w:b/>
          <w:sz w:val="30"/>
          <w:szCs w:val="30"/>
        </w:rPr>
      </w:pPr>
      <w:bookmarkStart w:id="127" w:name="_Toc57908837"/>
      <w:bookmarkEnd w:id="127"/>
      <w:bookmarkStart w:id="128" w:name="_Toc57908838"/>
      <w:bookmarkEnd w:id="128"/>
      <w:bookmarkStart w:id="129" w:name="_Toc57908847"/>
      <w:bookmarkEnd w:id="129"/>
      <w:bookmarkStart w:id="130" w:name="_Toc57908843"/>
      <w:bookmarkEnd w:id="130"/>
      <w:bookmarkStart w:id="131" w:name="_Toc57908845"/>
      <w:bookmarkEnd w:id="131"/>
      <w:bookmarkStart w:id="132" w:name="_Toc57908840"/>
      <w:bookmarkEnd w:id="132"/>
      <w:bookmarkStart w:id="133" w:name="_Toc57908832"/>
      <w:bookmarkEnd w:id="133"/>
      <w:bookmarkStart w:id="134" w:name="_Toc57908833"/>
      <w:bookmarkEnd w:id="134"/>
      <w:bookmarkStart w:id="135" w:name="_Toc57908849"/>
      <w:bookmarkEnd w:id="135"/>
      <w:bookmarkStart w:id="136" w:name="_Toc57908850"/>
      <w:bookmarkEnd w:id="136"/>
      <w:bookmarkStart w:id="137" w:name="_Toc57908848"/>
      <w:bookmarkEnd w:id="137"/>
      <w:bookmarkStart w:id="138" w:name="_Toc57908834"/>
      <w:bookmarkEnd w:id="138"/>
      <w:bookmarkStart w:id="139" w:name="_Toc57908842"/>
      <w:bookmarkEnd w:id="139"/>
      <w:bookmarkStart w:id="140" w:name="_Toc57908841"/>
      <w:bookmarkEnd w:id="140"/>
      <w:bookmarkStart w:id="141" w:name="_Toc57908846"/>
      <w:bookmarkEnd w:id="141"/>
      <w:bookmarkStart w:id="142" w:name="_Toc57908836"/>
      <w:bookmarkEnd w:id="142"/>
      <w:bookmarkStart w:id="143" w:name="_Toc57908835"/>
      <w:bookmarkEnd w:id="143"/>
      <w:bookmarkStart w:id="144" w:name="_Toc57908844"/>
      <w:bookmarkEnd w:id="144"/>
      <w:bookmarkStart w:id="145" w:name="_Toc57908839"/>
      <w:bookmarkEnd w:id="145"/>
      <w:r>
        <w:rPr>
          <w:rFonts w:hint="eastAsia" w:ascii="仿宋_GB2312" w:eastAsia="仿宋_GB2312"/>
          <w:b/>
          <w:sz w:val="30"/>
          <w:szCs w:val="30"/>
        </w:rPr>
        <w:t>投资者适当性</w:t>
      </w:r>
    </w:p>
    <w:p w14:paraId="0F461B1E">
      <w:pPr>
        <w:spacing w:line="600" w:lineRule="exact"/>
        <w:ind w:firstLine="600" w:firstLineChars="200"/>
        <w:rPr>
          <w:rFonts w:ascii="仿宋_GB2312" w:hAnsi="黑体" w:eastAsia="仿宋_GB2312"/>
          <w:sz w:val="30"/>
          <w:szCs w:val="30"/>
        </w:rPr>
      </w:pPr>
      <w:r>
        <w:rPr>
          <w:rFonts w:hint="eastAsia" w:ascii="仿宋_GB2312" w:hAnsi="黑体" w:eastAsia="仿宋_GB2312"/>
          <w:sz w:val="30"/>
          <w:szCs w:val="30"/>
        </w:rPr>
        <w:t>本所债券市场实行投资者适当性管理制度。投资者适当性相关规定和具体要求，详见本指南第3章。</w:t>
      </w:r>
    </w:p>
    <w:p w14:paraId="6271D58A">
      <w:pPr>
        <w:numPr>
          <w:ilvl w:val="1"/>
          <w:numId w:val="4"/>
        </w:numPr>
        <w:spacing w:line="600" w:lineRule="exact"/>
        <w:ind w:left="0" w:firstLine="0"/>
        <w:outlineLvl w:val="1"/>
        <w:rPr>
          <w:rFonts w:ascii="仿宋_GB2312" w:eastAsia="仿宋_GB2312"/>
          <w:b/>
          <w:sz w:val="30"/>
          <w:szCs w:val="30"/>
        </w:rPr>
      </w:pPr>
      <w:bookmarkStart w:id="146" w:name="_Toc59181158"/>
      <w:bookmarkEnd w:id="146"/>
      <w:bookmarkStart w:id="147" w:name="_Toc59034057"/>
      <w:bookmarkEnd w:id="147"/>
      <w:bookmarkStart w:id="148" w:name="_Toc59181269"/>
      <w:bookmarkEnd w:id="148"/>
      <w:bookmarkStart w:id="149" w:name="_Toc59106941"/>
      <w:bookmarkEnd w:id="149"/>
      <w:bookmarkStart w:id="150" w:name="_Toc60327060"/>
      <w:bookmarkEnd w:id="150"/>
      <w:bookmarkStart w:id="151" w:name="_Toc59181266"/>
      <w:bookmarkEnd w:id="151"/>
      <w:bookmarkStart w:id="152" w:name="_Toc59181160"/>
      <w:bookmarkEnd w:id="152"/>
      <w:bookmarkStart w:id="153" w:name="_Toc60331822"/>
      <w:bookmarkEnd w:id="153"/>
      <w:bookmarkStart w:id="154" w:name="_Toc60327062"/>
      <w:bookmarkEnd w:id="154"/>
      <w:bookmarkStart w:id="155" w:name="_Toc59181271"/>
      <w:bookmarkEnd w:id="155"/>
      <w:bookmarkStart w:id="156" w:name="_Toc60331819"/>
      <w:bookmarkEnd w:id="156"/>
      <w:bookmarkStart w:id="157" w:name="_Toc59034540"/>
      <w:bookmarkEnd w:id="157"/>
      <w:bookmarkStart w:id="158" w:name="_Toc59106940"/>
      <w:bookmarkEnd w:id="158"/>
      <w:bookmarkStart w:id="159" w:name="_Toc60331820"/>
      <w:bookmarkEnd w:id="159"/>
      <w:bookmarkStart w:id="160" w:name="_Toc59034059"/>
      <w:bookmarkEnd w:id="160"/>
      <w:bookmarkStart w:id="161" w:name="_Toc59106943"/>
      <w:bookmarkEnd w:id="161"/>
      <w:bookmarkStart w:id="162" w:name="_Toc60331823"/>
      <w:bookmarkEnd w:id="162"/>
      <w:bookmarkStart w:id="163" w:name="_Toc59181267"/>
      <w:bookmarkEnd w:id="163"/>
      <w:bookmarkStart w:id="164" w:name="_Toc60331817"/>
      <w:bookmarkEnd w:id="164"/>
      <w:bookmarkStart w:id="165" w:name="_Toc59106944"/>
      <w:bookmarkEnd w:id="165"/>
      <w:bookmarkStart w:id="166" w:name="_Toc59181155"/>
      <w:bookmarkEnd w:id="166"/>
      <w:bookmarkStart w:id="167" w:name="_Toc59181042"/>
      <w:bookmarkEnd w:id="167"/>
      <w:bookmarkStart w:id="168" w:name="_Toc59181272"/>
      <w:bookmarkEnd w:id="168"/>
      <w:bookmarkStart w:id="169" w:name="_Toc59106945"/>
      <w:bookmarkEnd w:id="169"/>
      <w:bookmarkStart w:id="170" w:name="_Toc59106939"/>
      <w:bookmarkEnd w:id="170"/>
      <w:bookmarkStart w:id="171" w:name="_Toc59106942"/>
      <w:bookmarkEnd w:id="171"/>
      <w:bookmarkStart w:id="172" w:name="_Toc60327065"/>
      <w:bookmarkEnd w:id="172"/>
      <w:bookmarkStart w:id="173" w:name="_Toc59034062"/>
      <w:bookmarkEnd w:id="173"/>
      <w:bookmarkStart w:id="174" w:name="_Toc59181156"/>
      <w:bookmarkEnd w:id="174"/>
      <w:bookmarkStart w:id="175" w:name="_Toc59181040"/>
      <w:bookmarkEnd w:id="175"/>
      <w:bookmarkStart w:id="176" w:name="_Toc59181044"/>
      <w:bookmarkEnd w:id="176"/>
      <w:bookmarkStart w:id="177" w:name="_Toc59181041"/>
      <w:bookmarkEnd w:id="177"/>
      <w:bookmarkStart w:id="178" w:name="_Toc59034056"/>
      <w:bookmarkEnd w:id="178"/>
      <w:bookmarkStart w:id="179" w:name="_Toc60327064"/>
      <w:bookmarkEnd w:id="179"/>
      <w:bookmarkStart w:id="180" w:name="_Toc60327066"/>
      <w:bookmarkEnd w:id="180"/>
      <w:bookmarkStart w:id="181" w:name="_Toc59034060"/>
      <w:bookmarkEnd w:id="181"/>
      <w:bookmarkStart w:id="182" w:name="_Toc59181045"/>
      <w:bookmarkEnd w:id="182"/>
      <w:bookmarkStart w:id="183" w:name="_Toc59034538"/>
      <w:bookmarkEnd w:id="183"/>
      <w:bookmarkStart w:id="184" w:name="_Toc60327061"/>
      <w:bookmarkEnd w:id="184"/>
      <w:bookmarkStart w:id="185" w:name="_Toc59034539"/>
      <w:bookmarkEnd w:id="185"/>
      <w:bookmarkStart w:id="186" w:name="_Toc59181159"/>
      <w:bookmarkEnd w:id="186"/>
      <w:bookmarkStart w:id="187" w:name="_Toc59181154"/>
      <w:bookmarkEnd w:id="187"/>
      <w:bookmarkStart w:id="188" w:name="_Toc59034536"/>
      <w:bookmarkEnd w:id="188"/>
      <w:bookmarkStart w:id="189" w:name="_Toc59034061"/>
      <w:bookmarkEnd w:id="189"/>
      <w:bookmarkStart w:id="190" w:name="_Toc59181268"/>
      <w:bookmarkEnd w:id="190"/>
      <w:bookmarkStart w:id="191" w:name="_Toc60331818"/>
      <w:bookmarkEnd w:id="191"/>
      <w:bookmarkStart w:id="192" w:name="_Toc59034058"/>
      <w:bookmarkEnd w:id="192"/>
      <w:bookmarkStart w:id="193" w:name="_Toc59034541"/>
      <w:bookmarkEnd w:id="193"/>
      <w:bookmarkStart w:id="194" w:name="_Toc59181157"/>
      <w:bookmarkEnd w:id="194"/>
      <w:bookmarkStart w:id="195" w:name="_Toc59034535"/>
      <w:bookmarkEnd w:id="195"/>
      <w:bookmarkStart w:id="196" w:name="_Toc59181046"/>
      <w:bookmarkEnd w:id="196"/>
      <w:bookmarkStart w:id="197" w:name="_Toc59181043"/>
      <w:bookmarkEnd w:id="197"/>
      <w:bookmarkStart w:id="198" w:name="_Toc60331821"/>
      <w:bookmarkEnd w:id="198"/>
      <w:bookmarkStart w:id="199" w:name="_Toc59181270"/>
      <w:bookmarkEnd w:id="199"/>
      <w:bookmarkStart w:id="200" w:name="_Toc60327063"/>
      <w:bookmarkEnd w:id="200"/>
      <w:bookmarkStart w:id="201" w:name="_Toc59034537"/>
      <w:bookmarkEnd w:id="201"/>
      <w:bookmarkStart w:id="202" w:name="_Toc492145220"/>
      <w:bookmarkStart w:id="203" w:name="_Toc1746117929"/>
      <w:bookmarkStart w:id="204" w:name="_Toc151136881"/>
      <w:bookmarkStart w:id="205" w:name="_Toc1696197901"/>
      <w:bookmarkStart w:id="206" w:name="_Toc2052118994"/>
      <w:bookmarkStart w:id="207" w:name="_Toc341922321"/>
      <w:bookmarkStart w:id="208" w:name="_Toc459609117"/>
      <w:r>
        <w:rPr>
          <w:rFonts w:hint="eastAsia" w:ascii="仿宋_GB2312" w:eastAsia="仿宋_GB2312"/>
          <w:b/>
          <w:sz w:val="30"/>
          <w:szCs w:val="30"/>
        </w:rPr>
        <w:t>参与方式</w:t>
      </w:r>
      <w:bookmarkEnd w:id="202"/>
      <w:bookmarkEnd w:id="203"/>
      <w:bookmarkEnd w:id="204"/>
      <w:bookmarkEnd w:id="205"/>
      <w:bookmarkEnd w:id="206"/>
      <w:bookmarkEnd w:id="207"/>
      <w:bookmarkEnd w:id="208"/>
    </w:p>
    <w:p w14:paraId="5F1421E3">
      <w:pPr>
        <w:numPr>
          <w:ilvl w:val="2"/>
          <w:numId w:val="4"/>
        </w:numPr>
        <w:spacing w:line="600" w:lineRule="exact"/>
        <w:ind w:left="0" w:firstLine="0"/>
        <w:outlineLvl w:val="2"/>
        <w:rPr>
          <w:rFonts w:ascii="仿宋_GB2312" w:eastAsia="仿宋_GB2312"/>
          <w:b/>
          <w:sz w:val="30"/>
          <w:szCs w:val="30"/>
        </w:rPr>
      </w:pPr>
      <w:bookmarkStart w:id="209" w:name="_Toc57908853"/>
      <w:r>
        <w:rPr>
          <w:rFonts w:hint="eastAsia" w:ascii="仿宋_GB2312" w:eastAsia="仿宋_GB2312"/>
          <w:b/>
          <w:sz w:val="30"/>
          <w:szCs w:val="30"/>
        </w:rPr>
        <w:t>交易参与</w:t>
      </w:r>
      <w:bookmarkEnd w:id="209"/>
    </w:p>
    <w:p w14:paraId="4782D45A">
      <w:pPr>
        <w:spacing w:line="600" w:lineRule="exact"/>
        <w:ind w:firstLine="600"/>
        <w:rPr>
          <w:rFonts w:ascii="仿宋_GB2312" w:eastAsia="仿宋_GB2312"/>
          <w:sz w:val="30"/>
          <w:szCs w:val="30"/>
        </w:rPr>
      </w:pPr>
      <w:r>
        <w:rPr>
          <w:rFonts w:hint="eastAsia" w:ascii="仿宋_GB2312" w:eastAsia="仿宋_GB2312"/>
          <w:sz w:val="30"/>
          <w:szCs w:val="30"/>
        </w:rPr>
        <w:t>本所债券市场交易参与方式分为两种，一是直接入场方式，债券投资者以债券交易参与人身份直接进入本所债券市场进行交易；二是间接入场方式，债券投资者作为经纪客户通过委托具有本所会员资格的证券公司接入本所债券市场进行交易。</w:t>
      </w:r>
    </w:p>
    <w:p w14:paraId="10559052">
      <w:pPr>
        <w:spacing w:line="600" w:lineRule="exact"/>
        <w:ind w:firstLine="600"/>
        <w:rPr>
          <w:rFonts w:ascii="仿宋_GB2312" w:eastAsia="仿宋_GB2312"/>
          <w:sz w:val="30"/>
          <w:szCs w:val="30"/>
        </w:rPr>
      </w:pPr>
      <w:r>
        <w:rPr>
          <w:rFonts w:hint="eastAsia" w:ascii="仿宋_GB2312" w:eastAsia="仿宋_GB2312"/>
          <w:sz w:val="30"/>
          <w:szCs w:val="30"/>
        </w:rPr>
        <w:t>债券交易参与人申请条件及参与流程，详见本指南第2章相关规定。</w:t>
      </w:r>
    </w:p>
    <w:p w14:paraId="1B4BA56E">
      <w:pPr>
        <w:spacing w:line="600" w:lineRule="exact"/>
        <w:ind w:firstLine="600"/>
        <w:rPr>
          <w:rFonts w:ascii="仿宋_GB2312" w:hAnsi="宋体" w:eastAsia="仿宋_GB2312" w:cs="宋体"/>
          <w:kern w:val="0"/>
          <w:sz w:val="30"/>
          <w:szCs w:val="30"/>
          <w:lang w:bidi="en-US"/>
        </w:rPr>
      </w:pPr>
      <w:r>
        <w:rPr>
          <w:rFonts w:hint="eastAsia" w:ascii="仿宋_GB2312" w:hAnsi="宋体" w:eastAsia="仿宋_GB2312" w:cs="宋体"/>
          <w:kern w:val="0"/>
          <w:sz w:val="30"/>
          <w:szCs w:val="30"/>
          <w:lang w:bidi="en-US"/>
        </w:rPr>
        <w:t>经纪客户参与本所债券交易的要求与流程，详见本指南第3章</w:t>
      </w:r>
      <w:r>
        <w:rPr>
          <w:rFonts w:hint="eastAsia" w:ascii="仿宋_GB2312" w:eastAsia="仿宋_GB2312"/>
          <w:sz w:val="30"/>
          <w:szCs w:val="30"/>
        </w:rPr>
        <w:t>相关规定</w:t>
      </w:r>
      <w:r>
        <w:rPr>
          <w:rFonts w:hint="eastAsia" w:ascii="仿宋_GB2312" w:hAnsi="宋体" w:eastAsia="仿宋_GB2312" w:cs="宋体"/>
          <w:kern w:val="0"/>
          <w:sz w:val="30"/>
          <w:szCs w:val="30"/>
          <w:lang w:bidi="en-US"/>
        </w:rPr>
        <w:t>。</w:t>
      </w:r>
    </w:p>
    <w:p w14:paraId="0CCC047A">
      <w:pPr>
        <w:numPr>
          <w:ilvl w:val="2"/>
          <w:numId w:val="4"/>
        </w:numPr>
        <w:spacing w:line="600" w:lineRule="exact"/>
        <w:ind w:left="0" w:firstLine="0"/>
        <w:outlineLvl w:val="2"/>
        <w:rPr>
          <w:rFonts w:ascii="仿宋_GB2312" w:eastAsia="仿宋_GB2312"/>
          <w:b/>
          <w:sz w:val="30"/>
          <w:szCs w:val="30"/>
        </w:rPr>
      </w:pPr>
      <w:bookmarkStart w:id="210" w:name="_Toc57908854"/>
      <w:r>
        <w:rPr>
          <w:rFonts w:ascii="仿宋_GB2312" w:eastAsia="仿宋_GB2312"/>
          <w:b/>
          <w:sz w:val="30"/>
          <w:szCs w:val="30"/>
        </w:rPr>
        <w:t>结算</w:t>
      </w:r>
      <w:r>
        <w:rPr>
          <w:rFonts w:hint="eastAsia" w:ascii="仿宋_GB2312" w:eastAsia="仿宋_GB2312"/>
          <w:b/>
          <w:sz w:val="30"/>
          <w:szCs w:val="30"/>
        </w:rPr>
        <w:t>参与</w:t>
      </w:r>
      <w:bookmarkEnd w:id="210"/>
    </w:p>
    <w:p w14:paraId="141FDFF9">
      <w:pPr>
        <w:spacing w:line="600" w:lineRule="exact"/>
        <w:ind w:firstLine="600"/>
        <w:rPr>
          <w:rFonts w:ascii="仿宋_GB2312" w:eastAsia="仿宋_GB2312"/>
          <w:sz w:val="30"/>
          <w:szCs w:val="30"/>
        </w:rPr>
      </w:pPr>
      <w:r>
        <w:rPr>
          <w:rFonts w:hint="eastAsia" w:ascii="仿宋_GB2312" w:eastAsia="仿宋_GB2312"/>
          <w:sz w:val="30"/>
          <w:szCs w:val="30"/>
        </w:rPr>
        <w:t>债券交易的结算，由登记结算机构按照相关规则办理。债券</w:t>
      </w:r>
      <w:r>
        <w:rPr>
          <w:rFonts w:ascii="仿宋_GB2312" w:eastAsia="仿宋_GB2312"/>
          <w:sz w:val="30"/>
          <w:szCs w:val="30"/>
        </w:rPr>
        <w:t>投资者</w:t>
      </w:r>
      <w:r>
        <w:rPr>
          <w:rFonts w:hint="eastAsia" w:ascii="仿宋_GB2312" w:eastAsia="仿宋_GB2312"/>
          <w:sz w:val="30"/>
          <w:szCs w:val="30"/>
        </w:rPr>
        <w:t>可通过直接结算、托管人结算和券商结算三种方式</w:t>
      </w:r>
      <w:r>
        <w:rPr>
          <w:rFonts w:ascii="仿宋_GB2312" w:eastAsia="仿宋_GB2312"/>
          <w:sz w:val="30"/>
          <w:szCs w:val="30"/>
        </w:rPr>
        <w:t>参与</w:t>
      </w:r>
      <w:r>
        <w:rPr>
          <w:rFonts w:hint="eastAsia" w:ascii="仿宋_GB2312" w:eastAsia="仿宋_GB2312"/>
          <w:sz w:val="30"/>
          <w:szCs w:val="30"/>
        </w:rPr>
        <w:t>结算。</w:t>
      </w:r>
    </w:p>
    <w:p w14:paraId="7187DA82">
      <w:pPr>
        <w:spacing w:line="600" w:lineRule="exact"/>
        <w:ind w:firstLine="600"/>
        <w:rPr>
          <w:rFonts w:ascii="仿宋_GB2312" w:eastAsia="仿宋_GB2312"/>
          <w:sz w:val="30"/>
          <w:szCs w:val="30"/>
        </w:rPr>
      </w:pPr>
      <w:r>
        <w:rPr>
          <w:rFonts w:hint="eastAsia" w:ascii="仿宋_GB2312" w:eastAsia="仿宋_GB2312"/>
          <w:sz w:val="30"/>
          <w:szCs w:val="30"/>
        </w:rPr>
        <w:t>直接结算是指债券投资者与登记结算机构进行清算交收的方式，主要是具备结算参与人资格的债券投资者进行的自营交易的结算。</w:t>
      </w:r>
    </w:p>
    <w:p w14:paraId="7714688C">
      <w:pPr>
        <w:spacing w:line="600" w:lineRule="exact"/>
        <w:ind w:firstLine="600"/>
        <w:rPr>
          <w:rFonts w:ascii="仿宋_GB2312" w:eastAsia="仿宋_GB2312"/>
          <w:sz w:val="30"/>
          <w:szCs w:val="30"/>
        </w:rPr>
      </w:pPr>
      <w:r>
        <w:rPr>
          <w:rFonts w:hint="eastAsia" w:ascii="仿宋_GB2312" w:eastAsia="仿宋_GB2312"/>
          <w:sz w:val="30"/>
          <w:szCs w:val="30"/>
        </w:rPr>
        <w:t>托管人结算是指基金、部分券商资管产品、保险资金、保险产品等在交易所市场达成交易后，由产品托管人与登记结算机构进行清算交收。</w:t>
      </w:r>
    </w:p>
    <w:p w14:paraId="7FDED2C7">
      <w:pPr>
        <w:spacing w:line="600" w:lineRule="exact"/>
        <w:ind w:firstLine="600"/>
        <w:rPr>
          <w:rFonts w:ascii="仿宋_GB2312" w:eastAsia="仿宋_GB2312"/>
          <w:sz w:val="30"/>
          <w:szCs w:val="30"/>
        </w:rPr>
      </w:pPr>
      <w:r>
        <w:rPr>
          <w:rFonts w:hint="eastAsia" w:ascii="仿宋_GB2312" w:eastAsia="仿宋_GB2312"/>
          <w:sz w:val="30"/>
          <w:szCs w:val="30"/>
        </w:rPr>
        <w:t>券商结算是指经纪业务模式下,债券投资者委托证券公司进行交易，并委托证券公司进行清算交收的方式。</w:t>
      </w:r>
    </w:p>
    <w:p w14:paraId="30C7AB80">
      <w:pPr>
        <w:spacing w:line="600" w:lineRule="exact"/>
        <w:ind w:firstLine="600"/>
        <w:rPr>
          <w:rFonts w:ascii="仿宋_GB2312" w:eastAsia="仿宋_GB2312"/>
          <w:sz w:val="30"/>
          <w:szCs w:val="30"/>
        </w:rPr>
      </w:pPr>
      <w:r>
        <w:rPr>
          <w:rFonts w:hint="eastAsia" w:ascii="仿宋_GB2312" w:eastAsia="仿宋_GB2312"/>
          <w:sz w:val="30"/>
          <w:szCs w:val="30"/>
        </w:rPr>
        <w:t>本指南涉及的</w:t>
      </w:r>
      <w:r>
        <w:rPr>
          <w:rFonts w:ascii="仿宋_GB2312" w:eastAsia="仿宋_GB2312"/>
          <w:sz w:val="30"/>
          <w:szCs w:val="30"/>
        </w:rPr>
        <w:t>结算相关内容，以</w:t>
      </w:r>
      <w:r>
        <w:rPr>
          <w:rFonts w:hint="eastAsia" w:ascii="仿宋_GB2312" w:eastAsia="仿宋_GB2312"/>
          <w:sz w:val="30"/>
          <w:szCs w:val="30"/>
        </w:rPr>
        <w:t>登记结算机构</w:t>
      </w:r>
      <w:r>
        <w:rPr>
          <w:rFonts w:ascii="仿宋_GB2312" w:eastAsia="仿宋_GB2312"/>
          <w:sz w:val="30"/>
          <w:szCs w:val="30"/>
        </w:rPr>
        <w:t>相关规定为准。</w:t>
      </w:r>
    </w:p>
    <w:p w14:paraId="4F58E739">
      <w:pPr>
        <w:numPr>
          <w:ilvl w:val="2"/>
          <w:numId w:val="4"/>
        </w:numPr>
        <w:spacing w:line="600" w:lineRule="exact"/>
        <w:ind w:left="0" w:firstLine="0"/>
        <w:outlineLvl w:val="2"/>
        <w:rPr>
          <w:rFonts w:ascii="仿宋_GB2312" w:eastAsia="仿宋_GB2312"/>
          <w:b/>
          <w:sz w:val="30"/>
          <w:szCs w:val="30"/>
        </w:rPr>
      </w:pPr>
      <w:bookmarkStart w:id="211" w:name="_Toc57908855"/>
      <w:r>
        <w:rPr>
          <w:rFonts w:hint="eastAsia" w:ascii="仿宋_GB2312" w:eastAsia="仿宋_GB2312"/>
          <w:b/>
          <w:sz w:val="30"/>
          <w:szCs w:val="30"/>
        </w:rPr>
        <w:t>各类债券投资者可选用的交易结算参与方式</w:t>
      </w:r>
      <w:bookmarkEnd w:id="211"/>
    </w:p>
    <w:p w14:paraId="4E42B73D">
      <w:pPr>
        <w:spacing w:line="600" w:lineRule="exact"/>
        <w:ind w:firstLine="600"/>
        <w:rPr>
          <w:rFonts w:ascii="仿宋_GB2312" w:eastAsia="仿宋_GB2312"/>
          <w:sz w:val="30"/>
          <w:szCs w:val="30"/>
        </w:rPr>
      </w:pPr>
      <w:r>
        <w:rPr>
          <w:rFonts w:hint="eastAsia" w:ascii="仿宋_GB2312" w:eastAsia="仿宋_GB2312"/>
          <w:sz w:val="30"/>
          <w:szCs w:val="30"/>
        </w:rPr>
        <w:t>总体而言，当前债券投资者可在以下四种交易与结算参与方式中</w:t>
      </w:r>
      <w:r>
        <w:rPr>
          <w:rFonts w:ascii="仿宋_GB2312" w:eastAsia="仿宋_GB2312"/>
          <w:sz w:val="30"/>
          <w:szCs w:val="30"/>
        </w:rPr>
        <w:t>选择</w:t>
      </w:r>
      <w:r>
        <w:rPr>
          <w:rFonts w:hint="eastAsia" w:ascii="仿宋_GB2312" w:eastAsia="仿宋_GB2312"/>
          <w:sz w:val="30"/>
          <w:szCs w:val="30"/>
        </w:rPr>
        <w:t>：直接入场交易、直接结算；直接入场交易、托管人结算；间接入场交易、托管人结算；间接入场交易、券商结算。</w:t>
      </w:r>
    </w:p>
    <w:p w14:paraId="6BE3F331">
      <w:pPr>
        <w:spacing w:line="600" w:lineRule="exact"/>
        <w:ind w:firstLine="600"/>
        <w:rPr>
          <w:rFonts w:ascii="仿宋_GB2312" w:eastAsia="仿宋_GB2312"/>
          <w:sz w:val="30"/>
          <w:szCs w:val="30"/>
        </w:rPr>
      </w:pPr>
      <w:r>
        <w:rPr>
          <w:rFonts w:hint="eastAsia" w:ascii="仿宋_GB2312" w:eastAsia="仿宋_GB2312"/>
          <w:sz w:val="30"/>
          <w:szCs w:val="30"/>
        </w:rPr>
        <w:t>以下为根据不同机构类型建议选用的相关交易结算参与方式</w:t>
      </w:r>
      <w:r>
        <w:rPr>
          <w:rStyle w:val="53"/>
          <w:rFonts w:hint="eastAsia" w:ascii="仿宋_GB2312" w:eastAsia="仿宋_GB2312"/>
          <w:sz w:val="30"/>
          <w:szCs w:val="30"/>
        </w:rPr>
        <w:footnoteReference w:id="0"/>
      </w:r>
      <w:r>
        <w:rPr>
          <w:rFonts w:hint="eastAsia" w:ascii="仿宋_GB2312" w:eastAsia="仿宋_GB2312"/>
          <w:sz w:val="30"/>
          <w:szCs w:val="30"/>
        </w:rPr>
        <w:t>：</w:t>
      </w:r>
    </w:p>
    <w:tbl>
      <w:tblPr>
        <w:tblStyle w:val="43"/>
        <w:tblW w:w="5001" w:type="pct"/>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8"/>
        <w:gridCol w:w="1584"/>
        <w:gridCol w:w="1617"/>
        <w:gridCol w:w="1424"/>
        <w:gridCol w:w="1501"/>
      </w:tblGrid>
      <w:tr w14:paraId="6E19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vMerge w:val="restart"/>
            <w:vAlign w:val="center"/>
          </w:tcPr>
          <w:p w14:paraId="4F89586A">
            <w:pPr>
              <w:jc w:val="left"/>
              <w:rPr>
                <w:rFonts w:ascii="仿宋_GB2312" w:hAnsi="微软雅黑" w:eastAsia="仿宋_GB2312"/>
                <w:b/>
                <w:sz w:val="24"/>
                <w:szCs w:val="24"/>
              </w:rPr>
            </w:pPr>
            <w:r>
              <w:rPr>
                <w:rFonts w:hint="eastAsia" w:ascii="仿宋_GB2312" w:hAnsi="微软雅黑" w:eastAsia="仿宋_GB2312"/>
                <w:b/>
                <w:sz w:val="24"/>
                <w:szCs w:val="24"/>
              </w:rPr>
              <w:t>债券投资者类型</w:t>
            </w:r>
          </w:p>
        </w:tc>
        <w:tc>
          <w:tcPr>
            <w:tcW w:w="1877" w:type="pct"/>
            <w:gridSpan w:val="2"/>
          </w:tcPr>
          <w:p w14:paraId="4B7FB58F">
            <w:pPr>
              <w:rPr>
                <w:rFonts w:ascii="仿宋_GB2312" w:hAnsi="微软雅黑" w:eastAsia="仿宋_GB2312"/>
                <w:b/>
                <w:sz w:val="24"/>
                <w:szCs w:val="24"/>
              </w:rPr>
            </w:pPr>
            <w:r>
              <w:rPr>
                <w:rFonts w:hint="eastAsia" w:ascii="仿宋_GB2312" w:hAnsi="微软雅黑" w:eastAsia="仿宋_GB2312"/>
                <w:b/>
                <w:sz w:val="24"/>
                <w:szCs w:val="24"/>
              </w:rPr>
              <w:t>直接入场交易</w:t>
            </w:r>
          </w:p>
        </w:tc>
        <w:tc>
          <w:tcPr>
            <w:tcW w:w="1715" w:type="pct"/>
            <w:gridSpan w:val="2"/>
          </w:tcPr>
          <w:p w14:paraId="5F2E05C8">
            <w:pPr>
              <w:rPr>
                <w:rFonts w:ascii="仿宋_GB2312" w:hAnsi="微软雅黑" w:eastAsia="仿宋_GB2312"/>
                <w:b/>
                <w:sz w:val="24"/>
                <w:szCs w:val="24"/>
              </w:rPr>
            </w:pPr>
            <w:r>
              <w:rPr>
                <w:rFonts w:hint="eastAsia" w:ascii="仿宋_GB2312" w:hAnsi="微软雅黑" w:eastAsia="仿宋_GB2312"/>
                <w:b/>
                <w:sz w:val="24"/>
                <w:szCs w:val="24"/>
              </w:rPr>
              <w:t>间接入场交易</w:t>
            </w:r>
          </w:p>
        </w:tc>
      </w:tr>
      <w:tr w14:paraId="2BA7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vMerge w:val="continue"/>
          </w:tcPr>
          <w:p w14:paraId="3F793B75">
            <w:pPr>
              <w:ind w:firstLine="482"/>
              <w:jc w:val="left"/>
              <w:rPr>
                <w:rFonts w:ascii="仿宋_GB2312" w:hAnsi="微软雅黑" w:eastAsia="仿宋_GB2312"/>
                <w:b/>
                <w:sz w:val="24"/>
                <w:szCs w:val="24"/>
              </w:rPr>
            </w:pPr>
          </w:p>
        </w:tc>
        <w:tc>
          <w:tcPr>
            <w:tcW w:w="929" w:type="pct"/>
          </w:tcPr>
          <w:p w14:paraId="5912671F">
            <w:pPr>
              <w:rPr>
                <w:rFonts w:ascii="仿宋_GB2312" w:hAnsi="微软雅黑" w:eastAsia="仿宋_GB2312"/>
                <w:b/>
                <w:sz w:val="24"/>
                <w:szCs w:val="24"/>
              </w:rPr>
            </w:pPr>
            <w:r>
              <w:rPr>
                <w:rFonts w:hint="eastAsia" w:ascii="仿宋_GB2312" w:hAnsi="微软雅黑" w:eastAsia="仿宋_GB2312"/>
                <w:b/>
                <w:sz w:val="24"/>
                <w:szCs w:val="24"/>
              </w:rPr>
              <w:t>直接结算</w:t>
            </w:r>
          </w:p>
        </w:tc>
        <w:tc>
          <w:tcPr>
            <w:tcW w:w="948" w:type="pct"/>
          </w:tcPr>
          <w:p w14:paraId="7B55387A">
            <w:pPr>
              <w:rPr>
                <w:rFonts w:ascii="仿宋_GB2312" w:hAnsi="微软雅黑" w:eastAsia="仿宋_GB2312"/>
                <w:b/>
                <w:sz w:val="24"/>
                <w:szCs w:val="24"/>
              </w:rPr>
            </w:pPr>
            <w:r>
              <w:rPr>
                <w:rFonts w:hint="eastAsia" w:ascii="仿宋_GB2312" w:hAnsi="微软雅黑" w:eastAsia="仿宋_GB2312"/>
                <w:b/>
                <w:sz w:val="24"/>
                <w:szCs w:val="24"/>
              </w:rPr>
              <w:t>托管人结算</w:t>
            </w:r>
          </w:p>
        </w:tc>
        <w:tc>
          <w:tcPr>
            <w:tcW w:w="835" w:type="pct"/>
          </w:tcPr>
          <w:p w14:paraId="2726DD1F">
            <w:pPr>
              <w:rPr>
                <w:rFonts w:ascii="仿宋_GB2312" w:hAnsi="微软雅黑" w:eastAsia="仿宋_GB2312"/>
                <w:b/>
                <w:sz w:val="24"/>
                <w:szCs w:val="24"/>
              </w:rPr>
            </w:pPr>
            <w:r>
              <w:rPr>
                <w:rFonts w:hint="eastAsia" w:ascii="仿宋_GB2312" w:hAnsi="微软雅黑" w:eastAsia="仿宋_GB2312"/>
                <w:b/>
                <w:sz w:val="24"/>
                <w:szCs w:val="24"/>
              </w:rPr>
              <w:t>托管人结算</w:t>
            </w:r>
          </w:p>
        </w:tc>
        <w:tc>
          <w:tcPr>
            <w:tcW w:w="879" w:type="pct"/>
          </w:tcPr>
          <w:p w14:paraId="42D67422">
            <w:pPr>
              <w:rPr>
                <w:rFonts w:ascii="仿宋_GB2312" w:hAnsi="微软雅黑" w:eastAsia="仿宋_GB2312"/>
                <w:b/>
                <w:sz w:val="24"/>
                <w:szCs w:val="24"/>
              </w:rPr>
            </w:pPr>
            <w:r>
              <w:rPr>
                <w:rFonts w:hint="eastAsia" w:ascii="仿宋_GB2312" w:hAnsi="微软雅黑" w:eastAsia="仿宋_GB2312"/>
                <w:b/>
                <w:sz w:val="24"/>
                <w:szCs w:val="24"/>
              </w:rPr>
              <w:t>券商结算</w:t>
            </w:r>
          </w:p>
        </w:tc>
      </w:tr>
      <w:tr w14:paraId="03CD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0C4438C3">
            <w:pPr>
              <w:jc w:val="left"/>
              <w:rPr>
                <w:rFonts w:ascii="仿宋_GB2312" w:hAnsi="微软雅黑" w:eastAsia="仿宋_GB2312"/>
                <w:sz w:val="24"/>
                <w:szCs w:val="24"/>
              </w:rPr>
            </w:pPr>
            <w:r>
              <w:rPr>
                <w:rFonts w:hint="eastAsia" w:ascii="仿宋_GB2312" w:hAnsi="微软雅黑" w:eastAsia="仿宋_GB2312"/>
                <w:sz w:val="24"/>
                <w:szCs w:val="24"/>
              </w:rPr>
              <w:t>证券公司自营</w:t>
            </w:r>
          </w:p>
        </w:tc>
        <w:tc>
          <w:tcPr>
            <w:tcW w:w="929" w:type="pct"/>
          </w:tcPr>
          <w:p w14:paraId="0C3FAF84">
            <w:pPr>
              <w:ind w:firstLine="480"/>
              <w:rPr>
                <w:rFonts w:ascii="仿宋_GB2312" w:hAnsi="微软雅黑" w:eastAsia="仿宋_GB2312"/>
                <w:sz w:val="24"/>
                <w:szCs w:val="24"/>
              </w:rPr>
            </w:pPr>
            <w:r>
              <w:rPr>
                <w:rFonts w:hint="eastAsia" w:ascii="仿宋_GB2312" w:hAnsi="微软雅黑" w:eastAsia="仿宋_GB2312"/>
                <w:sz w:val="24"/>
                <w:szCs w:val="24"/>
              </w:rPr>
              <w:t>√</w:t>
            </w:r>
          </w:p>
        </w:tc>
        <w:tc>
          <w:tcPr>
            <w:tcW w:w="948" w:type="pct"/>
          </w:tcPr>
          <w:p w14:paraId="3FF651C4">
            <w:pPr>
              <w:ind w:firstLine="480"/>
              <w:jc w:val="center"/>
              <w:rPr>
                <w:rFonts w:ascii="仿宋_GB2312" w:hAnsi="微软雅黑" w:eastAsia="仿宋_GB2312"/>
                <w:sz w:val="24"/>
                <w:szCs w:val="24"/>
              </w:rPr>
            </w:pPr>
          </w:p>
        </w:tc>
        <w:tc>
          <w:tcPr>
            <w:tcW w:w="835" w:type="pct"/>
          </w:tcPr>
          <w:p w14:paraId="015CD064">
            <w:pPr>
              <w:ind w:firstLine="480"/>
              <w:jc w:val="center"/>
              <w:rPr>
                <w:rFonts w:ascii="仿宋_GB2312" w:hAnsi="微软雅黑" w:eastAsia="仿宋_GB2312"/>
                <w:sz w:val="24"/>
                <w:szCs w:val="24"/>
              </w:rPr>
            </w:pPr>
          </w:p>
        </w:tc>
        <w:tc>
          <w:tcPr>
            <w:tcW w:w="879" w:type="pct"/>
          </w:tcPr>
          <w:p w14:paraId="2D20B825">
            <w:pPr>
              <w:ind w:firstLine="480"/>
              <w:jc w:val="center"/>
              <w:rPr>
                <w:rFonts w:ascii="仿宋_GB2312" w:hAnsi="微软雅黑" w:eastAsia="仿宋_GB2312"/>
                <w:sz w:val="24"/>
                <w:szCs w:val="24"/>
              </w:rPr>
            </w:pPr>
          </w:p>
        </w:tc>
      </w:tr>
      <w:tr w14:paraId="63F20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7091D6CB">
            <w:pPr>
              <w:jc w:val="left"/>
              <w:rPr>
                <w:rFonts w:ascii="仿宋_GB2312" w:hAnsi="微软雅黑" w:eastAsia="仿宋_GB2312"/>
                <w:sz w:val="24"/>
                <w:szCs w:val="24"/>
              </w:rPr>
            </w:pPr>
            <w:r>
              <w:rPr>
                <w:rFonts w:hint="eastAsia" w:ascii="仿宋_GB2312" w:hAnsi="微软雅黑" w:eastAsia="仿宋_GB2312"/>
                <w:sz w:val="24"/>
                <w:szCs w:val="24"/>
              </w:rPr>
              <w:t>证券公司资管</w:t>
            </w:r>
          </w:p>
        </w:tc>
        <w:tc>
          <w:tcPr>
            <w:tcW w:w="929" w:type="pct"/>
          </w:tcPr>
          <w:p w14:paraId="477E9AB4">
            <w:pPr>
              <w:ind w:firstLine="480"/>
              <w:rPr>
                <w:rFonts w:ascii="仿宋_GB2312" w:hAnsi="微软雅黑" w:eastAsia="仿宋_GB2312"/>
                <w:sz w:val="24"/>
                <w:szCs w:val="24"/>
              </w:rPr>
            </w:pPr>
          </w:p>
        </w:tc>
        <w:tc>
          <w:tcPr>
            <w:tcW w:w="948" w:type="pct"/>
          </w:tcPr>
          <w:p w14:paraId="5E6D2A3F">
            <w:pPr>
              <w:ind w:firstLine="480"/>
              <w:rPr>
                <w:rFonts w:ascii="仿宋_GB2312" w:hAnsi="微软雅黑" w:eastAsia="仿宋_GB2312"/>
                <w:sz w:val="24"/>
                <w:szCs w:val="24"/>
              </w:rPr>
            </w:pPr>
            <w:r>
              <w:rPr>
                <w:rFonts w:hint="eastAsia" w:ascii="仿宋_GB2312" w:hAnsi="微软雅黑" w:eastAsia="仿宋_GB2312"/>
                <w:sz w:val="24"/>
                <w:szCs w:val="24"/>
              </w:rPr>
              <w:t>√</w:t>
            </w:r>
          </w:p>
        </w:tc>
        <w:tc>
          <w:tcPr>
            <w:tcW w:w="835" w:type="pct"/>
          </w:tcPr>
          <w:p w14:paraId="5B04CBFF">
            <w:pPr>
              <w:ind w:firstLine="480"/>
              <w:rPr>
                <w:rFonts w:ascii="仿宋_GB2312" w:hAnsi="微软雅黑" w:eastAsia="仿宋_GB2312"/>
                <w:sz w:val="24"/>
                <w:szCs w:val="24"/>
              </w:rPr>
            </w:pPr>
          </w:p>
        </w:tc>
        <w:tc>
          <w:tcPr>
            <w:tcW w:w="879" w:type="pct"/>
          </w:tcPr>
          <w:p w14:paraId="6F653A38">
            <w:pPr>
              <w:ind w:firstLine="480"/>
              <w:rPr>
                <w:rFonts w:ascii="仿宋_GB2312" w:hAnsi="微软雅黑" w:eastAsia="仿宋_GB2312"/>
                <w:sz w:val="24"/>
                <w:szCs w:val="24"/>
              </w:rPr>
            </w:pPr>
          </w:p>
        </w:tc>
      </w:tr>
      <w:tr w14:paraId="168A2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59AA2658">
            <w:pPr>
              <w:jc w:val="left"/>
              <w:rPr>
                <w:rFonts w:ascii="仿宋_GB2312" w:hAnsi="微软雅黑" w:eastAsia="仿宋_GB2312"/>
                <w:sz w:val="24"/>
                <w:szCs w:val="24"/>
              </w:rPr>
            </w:pPr>
            <w:r>
              <w:rPr>
                <w:rFonts w:hint="eastAsia" w:ascii="仿宋_GB2312" w:hAnsi="微软雅黑" w:eastAsia="仿宋_GB2312"/>
                <w:sz w:val="24"/>
                <w:szCs w:val="24"/>
              </w:rPr>
              <w:t>证券投资基金</w:t>
            </w:r>
          </w:p>
        </w:tc>
        <w:tc>
          <w:tcPr>
            <w:tcW w:w="929" w:type="pct"/>
          </w:tcPr>
          <w:p w14:paraId="305989BB">
            <w:pPr>
              <w:ind w:firstLine="480"/>
              <w:rPr>
                <w:rFonts w:ascii="仿宋_GB2312" w:hAnsi="微软雅黑" w:eastAsia="仿宋_GB2312"/>
                <w:sz w:val="24"/>
                <w:szCs w:val="24"/>
              </w:rPr>
            </w:pPr>
          </w:p>
        </w:tc>
        <w:tc>
          <w:tcPr>
            <w:tcW w:w="948" w:type="pct"/>
          </w:tcPr>
          <w:p w14:paraId="08BB27F3">
            <w:pPr>
              <w:ind w:firstLine="480"/>
              <w:rPr>
                <w:rFonts w:ascii="仿宋_GB2312" w:hAnsi="微软雅黑" w:eastAsia="仿宋_GB2312"/>
                <w:sz w:val="24"/>
                <w:szCs w:val="24"/>
              </w:rPr>
            </w:pPr>
            <w:r>
              <w:rPr>
                <w:rFonts w:hint="eastAsia" w:ascii="仿宋_GB2312" w:hAnsi="微软雅黑" w:eastAsia="仿宋_GB2312"/>
                <w:sz w:val="24"/>
                <w:szCs w:val="24"/>
              </w:rPr>
              <w:t>√</w:t>
            </w:r>
          </w:p>
        </w:tc>
        <w:tc>
          <w:tcPr>
            <w:tcW w:w="835" w:type="pct"/>
          </w:tcPr>
          <w:p w14:paraId="77F084B6">
            <w:pPr>
              <w:ind w:firstLine="480"/>
              <w:rPr>
                <w:rFonts w:ascii="仿宋_GB2312" w:hAnsi="微软雅黑" w:eastAsia="仿宋_GB2312"/>
                <w:sz w:val="24"/>
                <w:szCs w:val="24"/>
              </w:rPr>
            </w:pPr>
          </w:p>
        </w:tc>
        <w:tc>
          <w:tcPr>
            <w:tcW w:w="879" w:type="pct"/>
          </w:tcPr>
          <w:p w14:paraId="64AF6976">
            <w:pPr>
              <w:ind w:firstLine="480"/>
              <w:rPr>
                <w:rFonts w:ascii="仿宋_GB2312" w:hAnsi="微软雅黑" w:eastAsia="仿宋_GB2312"/>
                <w:sz w:val="24"/>
                <w:szCs w:val="24"/>
              </w:rPr>
            </w:pPr>
            <w:r>
              <w:rPr>
                <w:rFonts w:hint="eastAsia" w:ascii="仿宋_GB2312" w:hAnsi="微软雅黑" w:eastAsia="仿宋_GB2312"/>
                <w:sz w:val="24"/>
                <w:szCs w:val="24"/>
              </w:rPr>
              <w:t>√</w:t>
            </w:r>
          </w:p>
        </w:tc>
      </w:tr>
      <w:tr w14:paraId="646E5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5067F874">
            <w:pPr>
              <w:jc w:val="left"/>
              <w:rPr>
                <w:rFonts w:ascii="仿宋_GB2312" w:hAnsi="微软雅黑" w:eastAsia="仿宋_GB2312"/>
                <w:sz w:val="24"/>
                <w:szCs w:val="24"/>
              </w:rPr>
            </w:pPr>
            <w:r>
              <w:rPr>
                <w:rFonts w:hint="eastAsia" w:ascii="仿宋_GB2312" w:hAnsi="微软雅黑" w:eastAsia="仿宋_GB2312"/>
                <w:sz w:val="24"/>
                <w:szCs w:val="24"/>
              </w:rPr>
              <w:t>基金公司专户</w:t>
            </w:r>
          </w:p>
        </w:tc>
        <w:tc>
          <w:tcPr>
            <w:tcW w:w="929" w:type="pct"/>
          </w:tcPr>
          <w:p w14:paraId="3A50AEEC">
            <w:pPr>
              <w:ind w:firstLine="480"/>
              <w:rPr>
                <w:rFonts w:ascii="仿宋_GB2312" w:hAnsi="微软雅黑" w:eastAsia="仿宋_GB2312"/>
                <w:sz w:val="24"/>
                <w:szCs w:val="24"/>
              </w:rPr>
            </w:pPr>
          </w:p>
        </w:tc>
        <w:tc>
          <w:tcPr>
            <w:tcW w:w="948" w:type="pct"/>
          </w:tcPr>
          <w:p w14:paraId="64F79A06">
            <w:pPr>
              <w:ind w:firstLine="480"/>
              <w:rPr>
                <w:rFonts w:ascii="仿宋_GB2312" w:hAnsi="微软雅黑" w:eastAsia="仿宋_GB2312"/>
                <w:sz w:val="24"/>
                <w:szCs w:val="24"/>
              </w:rPr>
            </w:pPr>
            <w:r>
              <w:rPr>
                <w:rFonts w:hint="eastAsia" w:ascii="仿宋_GB2312" w:hAnsi="微软雅黑" w:eastAsia="仿宋_GB2312"/>
                <w:sz w:val="24"/>
                <w:szCs w:val="24"/>
              </w:rPr>
              <w:t>√</w:t>
            </w:r>
          </w:p>
        </w:tc>
        <w:tc>
          <w:tcPr>
            <w:tcW w:w="835" w:type="pct"/>
          </w:tcPr>
          <w:p w14:paraId="7BCBCC9C">
            <w:pPr>
              <w:ind w:firstLine="480"/>
              <w:rPr>
                <w:rFonts w:ascii="仿宋_GB2312" w:hAnsi="微软雅黑" w:eastAsia="仿宋_GB2312"/>
                <w:sz w:val="24"/>
                <w:szCs w:val="24"/>
              </w:rPr>
            </w:pPr>
          </w:p>
        </w:tc>
        <w:tc>
          <w:tcPr>
            <w:tcW w:w="879" w:type="pct"/>
          </w:tcPr>
          <w:p w14:paraId="08550429">
            <w:pPr>
              <w:ind w:firstLine="480"/>
              <w:rPr>
                <w:rFonts w:ascii="仿宋_GB2312" w:hAnsi="微软雅黑" w:eastAsia="仿宋_GB2312"/>
                <w:sz w:val="24"/>
                <w:szCs w:val="24"/>
              </w:rPr>
            </w:pPr>
            <w:r>
              <w:rPr>
                <w:rFonts w:hint="eastAsia" w:ascii="仿宋_GB2312" w:hAnsi="微软雅黑" w:eastAsia="仿宋_GB2312"/>
                <w:sz w:val="24"/>
                <w:szCs w:val="24"/>
              </w:rPr>
              <w:t>√</w:t>
            </w:r>
          </w:p>
        </w:tc>
      </w:tr>
      <w:tr w14:paraId="0551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4884E091">
            <w:pPr>
              <w:jc w:val="left"/>
              <w:rPr>
                <w:rFonts w:ascii="仿宋_GB2312" w:hAnsi="微软雅黑" w:eastAsia="仿宋_GB2312"/>
                <w:sz w:val="24"/>
                <w:szCs w:val="24"/>
              </w:rPr>
            </w:pPr>
            <w:r>
              <w:rPr>
                <w:rFonts w:hint="eastAsia" w:ascii="仿宋_GB2312" w:hAnsi="微软雅黑" w:eastAsia="仿宋_GB2312"/>
                <w:sz w:val="24"/>
                <w:szCs w:val="24"/>
              </w:rPr>
              <w:t>基金子</w:t>
            </w:r>
            <w:r>
              <w:rPr>
                <w:rFonts w:ascii="仿宋_GB2312" w:hAnsi="微软雅黑" w:eastAsia="仿宋_GB2312"/>
                <w:sz w:val="24"/>
                <w:szCs w:val="24"/>
              </w:rPr>
              <w:t>公司</w:t>
            </w:r>
            <w:r>
              <w:rPr>
                <w:rFonts w:hint="eastAsia" w:ascii="仿宋_GB2312" w:hAnsi="微软雅黑" w:eastAsia="仿宋_GB2312"/>
                <w:sz w:val="24"/>
                <w:szCs w:val="24"/>
              </w:rPr>
              <w:t>专户</w:t>
            </w:r>
          </w:p>
        </w:tc>
        <w:tc>
          <w:tcPr>
            <w:tcW w:w="929" w:type="pct"/>
          </w:tcPr>
          <w:p w14:paraId="5536C6EA">
            <w:pPr>
              <w:ind w:firstLine="480"/>
              <w:rPr>
                <w:rFonts w:ascii="仿宋_GB2312" w:hAnsi="微软雅黑" w:eastAsia="仿宋_GB2312"/>
                <w:sz w:val="24"/>
                <w:szCs w:val="24"/>
              </w:rPr>
            </w:pPr>
          </w:p>
        </w:tc>
        <w:tc>
          <w:tcPr>
            <w:tcW w:w="948" w:type="pct"/>
          </w:tcPr>
          <w:p w14:paraId="039D6BC5">
            <w:pPr>
              <w:ind w:firstLine="480"/>
              <w:rPr>
                <w:rFonts w:ascii="仿宋_GB2312" w:hAnsi="微软雅黑" w:eastAsia="仿宋_GB2312"/>
                <w:sz w:val="24"/>
                <w:szCs w:val="24"/>
              </w:rPr>
            </w:pPr>
            <w:r>
              <w:rPr>
                <w:rFonts w:hint="eastAsia" w:ascii="仿宋_GB2312" w:hAnsi="微软雅黑" w:eastAsia="仿宋_GB2312"/>
                <w:sz w:val="24"/>
                <w:szCs w:val="24"/>
              </w:rPr>
              <w:t>√</w:t>
            </w:r>
          </w:p>
        </w:tc>
        <w:tc>
          <w:tcPr>
            <w:tcW w:w="835" w:type="pct"/>
          </w:tcPr>
          <w:p w14:paraId="4E0ACD1B">
            <w:pPr>
              <w:ind w:firstLine="480"/>
              <w:rPr>
                <w:rFonts w:ascii="仿宋_GB2312" w:hAnsi="微软雅黑" w:eastAsia="仿宋_GB2312"/>
                <w:sz w:val="24"/>
                <w:szCs w:val="24"/>
              </w:rPr>
            </w:pPr>
          </w:p>
        </w:tc>
        <w:tc>
          <w:tcPr>
            <w:tcW w:w="879" w:type="pct"/>
          </w:tcPr>
          <w:p w14:paraId="2759BFE2">
            <w:pPr>
              <w:ind w:firstLine="480"/>
              <w:rPr>
                <w:rFonts w:ascii="仿宋_GB2312" w:hAnsi="微软雅黑" w:eastAsia="仿宋_GB2312"/>
                <w:sz w:val="24"/>
                <w:szCs w:val="24"/>
              </w:rPr>
            </w:pPr>
            <w:r>
              <w:rPr>
                <w:rFonts w:hint="eastAsia" w:ascii="仿宋_GB2312" w:hAnsi="微软雅黑" w:eastAsia="仿宋_GB2312"/>
                <w:sz w:val="24"/>
                <w:szCs w:val="24"/>
              </w:rPr>
              <w:t>√</w:t>
            </w:r>
          </w:p>
        </w:tc>
      </w:tr>
      <w:tr w14:paraId="64EF3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325A1B08">
            <w:pPr>
              <w:jc w:val="left"/>
              <w:rPr>
                <w:rFonts w:ascii="仿宋_GB2312" w:hAnsi="微软雅黑" w:eastAsia="仿宋_GB2312"/>
                <w:sz w:val="24"/>
                <w:szCs w:val="24"/>
              </w:rPr>
            </w:pPr>
            <w:r>
              <w:rPr>
                <w:rFonts w:hint="eastAsia" w:ascii="仿宋_GB2312" w:hAnsi="微软雅黑" w:eastAsia="仿宋_GB2312"/>
                <w:sz w:val="24"/>
                <w:szCs w:val="24"/>
              </w:rPr>
              <w:t>保险公司及其产品</w:t>
            </w:r>
          </w:p>
        </w:tc>
        <w:tc>
          <w:tcPr>
            <w:tcW w:w="929" w:type="pct"/>
          </w:tcPr>
          <w:p w14:paraId="128142B3">
            <w:pPr>
              <w:ind w:firstLine="480"/>
              <w:rPr>
                <w:rFonts w:ascii="仿宋_GB2312" w:hAnsi="微软雅黑" w:eastAsia="仿宋_GB2312"/>
                <w:sz w:val="24"/>
                <w:szCs w:val="24"/>
              </w:rPr>
            </w:pPr>
          </w:p>
        </w:tc>
        <w:tc>
          <w:tcPr>
            <w:tcW w:w="948" w:type="pct"/>
          </w:tcPr>
          <w:p w14:paraId="7266880E">
            <w:pPr>
              <w:ind w:firstLine="480"/>
              <w:rPr>
                <w:rFonts w:ascii="仿宋_GB2312" w:hAnsi="微软雅黑" w:eastAsia="仿宋_GB2312"/>
                <w:sz w:val="24"/>
                <w:szCs w:val="24"/>
              </w:rPr>
            </w:pPr>
            <w:r>
              <w:rPr>
                <w:rFonts w:hint="eastAsia" w:ascii="仿宋_GB2312" w:hAnsi="微软雅黑" w:eastAsia="仿宋_GB2312"/>
                <w:sz w:val="24"/>
                <w:szCs w:val="24"/>
              </w:rPr>
              <w:t>√</w:t>
            </w:r>
          </w:p>
        </w:tc>
        <w:tc>
          <w:tcPr>
            <w:tcW w:w="835" w:type="pct"/>
          </w:tcPr>
          <w:p w14:paraId="0FE83480">
            <w:pPr>
              <w:ind w:firstLine="480"/>
              <w:rPr>
                <w:rFonts w:ascii="仿宋_GB2312" w:hAnsi="微软雅黑" w:eastAsia="仿宋_GB2312"/>
                <w:sz w:val="24"/>
                <w:szCs w:val="24"/>
              </w:rPr>
            </w:pPr>
          </w:p>
        </w:tc>
        <w:tc>
          <w:tcPr>
            <w:tcW w:w="879" w:type="pct"/>
          </w:tcPr>
          <w:p w14:paraId="78F655A9">
            <w:pPr>
              <w:ind w:firstLine="480"/>
              <w:rPr>
                <w:rFonts w:ascii="仿宋_GB2312" w:hAnsi="微软雅黑" w:eastAsia="仿宋_GB2312"/>
                <w:sz w:val="24"/>
                <w:szCs w:val="24"/>
              </w:rPr>
            </w:pPr>
            <w:r>
              <w:rPr>
                <w:rFonts w:hint="eastAsia" w:ascii="仿宋_GB2312" w:hAnsi="微软雅黑" w:eastAsia="仿宋_GB2312"/>
                <w:sz w:val="24"/>
                <w:szCs w:val="24"/>
              </w:rPr>
              <w:t>√</w:t>
            </w:r>
          </w:p>
        </w:tc>
      </w:tr>
      <w:tr w14:paraId="7F720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69CC8266">
            <w:pPr>
              <w:jc w:val="left"/>
              <w:rPr>
                <w:rFonts w:ascii="仿宋_GB2312" w:hAnsi="微软雅黑" w:eastAsia="仿宋_GB2312"/>
                <w:sz w:val="24"/>
                <w:szCs w:val="24"/>
              </w:rPr>
            </w:pPr>
            <w:r>
              <w:rPr>
                <w:rFonts w:hint="eastAsia" w:ascii="仿宋_GB2312" w:hAnsi="微软雅黑" w:eastAsia="仿宋_GB2312"/>
                <w:sz w:val="24"/>
                <w:szCs w:val="24"/>
              </w:rPr>
              <w:t>银行自营</w:t>
            </w:r>
          </w:p>
        </w:tc>
        <w:tc>
          <w:tcPr>
            <w:tcW w:w="929" w:type="pct"/>
          </w:tcPr>
          <w:p w14:paraId="0101D9F1">
            <w:pPr>
              <w:ind w:firstLine="480"/>
              <w:rPr>
                <w:rFonts w:ascii="仿宋_GB2312" w:hAnsi="微软雅黑" w:eastAsia="仿宋_GB2312"/>
                <w:sz w:val="24"/>
                <w:szCs w:val="24"/>
              </w:rPr>
            </w:pPr>
            <w:r>
              <w:rPr>
                <w:rFonts w:hint="eastAsia" w:ascii="仿宋_GB2312" w:hAnsi="微软雅黑" w:eastAsia="仿宋_GB2312"/>
                <w:sz w:val="24"/>
                <w:szCs w:val="24"/>
              </w:rPr>
              <w:t>√</w:t>
            </w:r>
          </w:p>
        </w:tc>
        <w:tc>
          <w:tcPr>
            <w:tcW w:w="948" w:type="pct"/>
          </w:tcPr>
          <w:p w14:paraId="614C64F2">
            <w:pPr>
              <w:ind w:firstLine="480"/>
              <w:rPr>
                <w:rFonts w:ascii="仿宋_GB2312" w:hAnsi="微软雅黑" w:eastAsia="仿宋_GB2312"/>
                <w:sz w:val="24"/>
                <w:szCs w:val="24"/>
              </w:rPr>
            </w:pPr>
          </w:p>
        </w:tc>
        <w:tc>
          <w:tcPr>
            <w:tcW w:w="835" w:type="pct"/>
          </w:tcPr>
          <w:p w14:paraId="021A4658">
            <w:pPr>
              <w:ind w:firstLine="480"/>
              <w:rPr>
                <w:rFonts w:ascii="仿宋_GB2312" w:hAnsi="微软雅黑" w:eastAsia="仿宋_GB2312"/>
                <w:sz w:val="24"/>
                <w:szCs w:val="24"/>
              </w:rPr>
            </w:pPr>
          </w:p>
        </w:tc>
        <w:tc>
          <w:tcPr>
            <w:tcW w:w="879" w:type="pct"/>
          </w:tcPr>
          <w:p w14:paraId="178689EF">
            <w:pPr>
              <w:ind w:firstLine="480"/>
              <w:rPr>
                <w:rFonts w:ascii="仿宋_GB2312" w:hAnsi="微软雅黑" w:eastAsia="仿宋_GB2312"/>
                <w:sz w:val="24"/>
                <w:szCs w:val="24"/>
              </w:rPr>
            </w:pPr>
            <w:r>
              <w:rPr>
                <w:rFonts w:hint="eastAsia" w:ascii="仿宋_GB2312" w:hAnsi="微软雅黑" w:eastAsia="仿宋_GB2312"/>
                <w:sz w:val="24"/>
                <w:szCs w:val="24"/>
              </w:rPr>
              <w:t>√</w:t>
            </w:r>
          </w:p>
        </w:tc>
      </w:tr>
      <w:tr w14:paraId="28DA5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4DCBF2E8">
            <w:pPr>
              <w:jc w:val="left"/>
              <w:rPr>
                <w:rFonts w:ascii="仿宋_GB2312" w:hAnsi="微软雅黑" w:eastAsia="仿宋_GB2312"/>
                <w:sz w:val="24"/>
                <w:szCs w:val="24"/>
              </w:rPr>
            </w:pPr>
            <w:r>
              <w:rPr>
                <w:rFonts w:hint="eastAsia" w:ascii="仿宋_GB2312" w:hAnsi="微软雅黑" w:eastAsia="仿宋_GB2312"/>
                <w:sz w:val="24"/>
                <w:szCs w:val="24"/>
              </w:rPr>
              <w:t>银行理财产品</w:t>
            </w:r>
          </w:p>
        </w:tc>
        <w:tc>
          <w:tcPr>
            <w:tcW w:w="929" w:type="pct"/>
          </w:tcPr>
          <w:p w14:paraId="79FB9D5E">
            <w:pPr>
              <w:ind w:firstLine="480"/>
              <w:rPr>
                <w:rFonts w:ascii="仿宋_GB2312" w:hAnsi="微软雅黑" w:eastAsia="仿宋_GB2312"/>
                <w:sz w:val="24"/>
                <w:szCs w:val="24"/>
              </w:rPr>
            </w:pPr>
          </w:p>
        </w:tc>
        <w:tc>
          <w:tcPr>
            <w:tcW w:w="948" w:type="pct"/>
          </w:tcPr>
          <w:p w14:paraId="6493B7C5">
            <w:pPr>
              <w:ind w:firstLine="480"/>
              <w:rPr>
                <w:rFonts w:ascii="仿宋_GB2312" w:hAnsi="微软雅黑" w:eastAsia="仿宋_GB2312"/>
                <w:sz w:val="24"/>
                <w:szCs w:val="24"/>
              </w:rPr>
            </w:pPr>
            <w:r>
              <w:rPr>
                <w:rFonts w:hint="eastAsia" w:ascii="仿宋_GB2312" w:hAnsi="微软雅黑" w:eastAsia="仿宋_GB2312"/>
                <w:sz w:val="24"/>
                <w:szCs w:val="24"/>
              </w:rPr>
              <w:t>√</w:t>
            </w:r>
          </w:p>
        </w:tc>
        <w:tc>
          <w:tcPr>
            <w:tcW w:w="835" w:type="pct"/>
          </w:tcPr>
          <w:p w14:paraId="5D8CE0F3">
            <w:pPr>
              <w:ind w:firstLine="480"/>
              <w:rPr>
                <w:rFonts w:ascii="仿宋_GB2312" w:hAnsi="微软雅黑" w:eastAsia="仿宋_GB2312"/>
                <w:sz w:val="24"/>
                <w:szCs w:val="24"/>
              </w:rPr>
            </w:pPr>
          </w:p>
        </w:tc>
        <w:tc>
          <w:tcPr>
            <w:tcW w:w="879" w:type="pct"/>
          </w:tcPr>
          <w:p w14:paraId="190466F9">
            <w:pPr>
              <w:ind w:firstLine="480"/>
              <w:rPr>
                <w:rFonts w:ascii="仿宋_GB2312" w:hAnsi="微软雅黑" w:eastAsia="仿宋_GB2312"/>
                <w:sz w:val="24"/>
                <w:szCs w:val="24"/>
              </w:rPr>
            </w:pPr>
            <w:r>
              <w:rPr>
                <w:rFonts w:hint="eastAsia" w:ascii="仿宋_GB2312" w:hAnsi="微软雅黑" w:eastAsia="仿宋_GB2312"/>
                <w:sz w:val="24"/>
                <w:szCs w:val="24"/>
              </w:rPr>
              <w:t>√</w:t>
            </w:r>
          </w:p>
        </w:tc>
      </w:tr>
      <w:tr w14:paraId="01619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0AEE9F5F">
            <w:pPr>
              <w:jc w:val="left"/>
              <w:rPr>
                <w:rFonts w:ascii="仿宋_GB2312" w:hAnsi="微软雅黑" w:eastAsia="仿宋_GB2312"/>
                <w:sz w:val="24"/>
                <w:szCs w:val="24"/>
              </w:rPr>
            </w:pPr>
            <w:r>
              <w:rPr>
                <w:rFonts w:hint="eastAsia" w:ascii="仿宋_GB2312" w:hAnsi="微软雅黑" w:eastAsia="仿宋_GB2312"/>
                <w:sz w:val="24"/>
                <w:szCs w:val="24"/>
              </w:rPr>
              <w:t>信托产品</w:t>
            </w:r>
          </w:p>
        </w:tc>
        <w:tc>
          <w:tcPr>
            <w:tcW w:w="929" w:type="pct"/>
          </w:tcPr>
          <w:p w14:paraId="4C045B08">
            <w:pPr>
              <w:ind w:firstLine="480"/>
              <w:rPr>
                <w:rFonts w:ascii="仿宋_GB2312" w:hAnsi="微软雅黑" w:eastAsia="仿宋_GB2312"/>
                <w:sz w:val="24"/>
                <w:szCs w:val="24"/>
              </w:rPr>
            </w:pPr>
          </w:p>
        </w:tc>
        <w:tc>
          <w:tcPr>
            <w:tcW w:w="948" w:type="pct"/>
          </w:tcPr>
          <w:p w14:paraId="2C296211">
            <w:pPr>
              <w:ind w:firstLine="480"/>
              <w:rPr>
                <w:rFonts w:ascii="仿宋_GB2312" w:hAnsi="微软雅黑" w:eastAsia="仿宋_GB2312"/>
                <w:sz w:val="24"/>
                <w:szCs w:val="24"/>
              </w:rPr>
            </w:pPr>
            <w:r>
              <w:rPr>
                <w:rFonts w:hint="eastAsia" w:ascii="仿宋_GB2312" w:hAnsi="微软雅黑" w:eastAsia="仿宋_GB2312"/>
                <w:sz w:val="24"/>
                <w:szCs w:val="24"/>
              </w:rPr>
              <w:t>√</w:t>
            </w:r>
          </w:p>
        </w:tc>
        <w:tc>
          <w:tcPr>
            <w:tcW w:w="835" w:type="pct"/>
          </w:tcPr>
          <w:p w14:paraId="68F5BAB6">
            <w:pPr>
              <w:ind w:firstLine="482"/>
              <w:rPr>
                <w:rFonts w:ascii="仿宋_GB2312" w:hAnsi="微软雅黑" w:eastAsia="仿宋_GB2312"/>
                <w:sz w:val="24"/>
                <w:szCs w:val="24"/>
              </w:rPr>
            </w:pPr>
          </w:p>
        </w:tc>
        <w:tc>
          <w:tcPr>
            <w:tcW w:w="879" w:type="pct"/>
          </w:tcPr>
          <w:p w14:paraId="72F17AEE">
            <w:pPr>
              <w:ind w:firstLine="480"/>
              <w:rPr>
                <w:rFonts w:ascii="仿宋_GB2312" w:hAnsi="微软雅黑" w:eastAsia="仿宋_GB2312"/>
                <w:sz w:val="24"/>
                <w:szCs w:val="24"/>
              </w:rPr>
            </w:pPr>
            <w:r>
              <w:rPr>
                <w:rFonts w:hint="eastAsia" w:ascii="仿宋_GB2312" w:hAnsi="微软雅黑" w:eastAsia="仿宋_GB2312"/>
                <w:sz w:val="24"/>
                <w:szCs w:val="24"/>
              </w:rPr>
              <w:t>√</w:t>
            </w:r>
          </w:p>
        </w:tc>
      </w:tr>
      <w:tr w14:paraId="54ED7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416CAC82">
            <w:pPr>
              <w:jc w:val="left"/>
              <w:rPr>
                <w:rFonts w:ascii="仿宋_GB2312" w:hAnsi="微软雅黑" w:eastAsia="仿宋_GB2312"/>
                <w:sz w:val="24"/>
                <w:szCs w:val="24"/>
              </w:rPr>
            </w:pPr>
            <w:r>
              <w:rPr>
                <w:rFonts w:hint="eastAsia" w:ascii="仿宋_GB2312" w:hAnsi="微软雅黑" w:eastAsia="仿宋_GB2312"/>
                <w:sz w:val="24"/>
                <w:szCs w:val="24"/>
              </w:rPr>
              <w:t>私募基金</w:t>
            </w:r>
          </w:p>
        </w:tc>
        <w:tc>
          <w:tcPr>
            <w:tcW w:w="929" w:type="pct"/>
          </w:tcPr>
          <w:p w14:paraId="180A31B4">
            <w:pPr>
              <w:ind w:firstLine="480"/>
              <w:rPr>
                <w:rFonts w:ascii="仿宋_GB2312" w:hAnsi="微软雅黑" w:eastAsia="仿宋_GB2312"/>
                <w:sz w:val="24"/>
                <w:szCs w:val="24"/>
              </w:rPr>
            </w:pPr>
          </w:p>
        </w:tc>
        <w:tc>
          <w:tcPr>
            <w:tcW w:w="948" w:type="pct"/>
          </w:tcPr>
          <w:p w14:paraId="733782FB">
            <w:pPr>
              <w:ind w:firstLine="480"/>
              <w:rPr>
                <w:rFonts w:ascii="仿宋_GB2312" w:hAnsi="微软雅黑" w:eastAsia="仿宋_GB2312"/>
                <w:sz w:val="24"/>
                <w:szCs w:val="24"/>
              </w:rPr>
            </w:pPr>
          </w:p>
        </w:tc>
        <w:tc>
          <w:tcPr>
            <w:tcW w:w="835" w:type="pct"/>
          </w:tcPr>
          <w:p w14:paraId="04587641">
            <w:pPr>
              <w:ind w:firstLine="482"/>
              <w:rPr>
                <w:rFonts w:ascii="仿宋_GB2312" w:hAnsi="微软雅黑" w:eastAsia="仿宋_GB2312"/>
                <w:sz w:val="24"/>
                <w:szCs w:val="24"/>
              </w:rPr>
            </w:pPr>
          </w:p>
        </w:tc>
        <w:tc>
          <w:tcPr>
            <w:tcW w:w="879" w:type="pct"/>
          </w:tcPr>
          <w:p w14:paraId="39282FC6">
            <w:pPr>
              <w:ind w:firstLine="480"/>
              <w:rPr>
                <w:rFonts w:ascii="仿宋_GB2312" w:hAnsi="微软雅黑" w:eastAsia="仿宋_GB2312"/>
                <w:sz w:val="24"/>
                <w:szCs w:val="24"/>
              </w:rPr>
            </w:pPr>
            <w:r>
              <w:rPr>
                <w:rFonts w:hint="eastAsia" w:ascii="仿宋_GB2312" w:hAnsi="微软雅黑" w:eastAsia="仿宋_GB2312"/>
                <w:sz w:val="24"/>
                <w:szCs w:val="24"/>
              </w:rPr>
              <w:t>√</w:t>
            </w:r>
          </w:p>
        </w:tc>
      </w:tr>
      <w:tr w14:paraId="328D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4684048B">
            <w:pPr>
              <w:jc w:val="left"/>
              <w:rPr>
                <w:rFonts w:ascii="仿宋_GB2312" w:hAnsi="微软雅黑" w:eastAsia="仿宋_GB2312"/>
                <w:sz w:val="24"/>
                <w:szCs w:val="24"/>
              </w:rPr>
            </w:pPr>
            <w:r>
              <w:rPr>
                <w:rFonts w:hint="eastAsia" w:ascii="仿宋_GB2312" w:hAnsi="微软雅黑" w:eastAsia="仿宋_GB2312"/>
                <w:sz w:val="24"/>
                <w:szCs w:val="24"/>
              </w:rPr>
              <w:t>财务公司</w:t>
            </w:r>
          </w:p>
        </w:tc>
        <w:tc>
          <w:tcPr>
            <w:tcW w:w="929" w:type="pct"/>
          </w:tcPr>
          <w:p w14:paraId="5EFB10C7">
            <w:pPr>
              <w:ind w:firstLine="480"/>
              <w:rPr>
                <w:rFonts w:ascii="仿宋_GB2312" w:hAnsi="微软雅黑" w:eastAsia="仿宋_GB2312"/>
                <w:sz w:val="24"/>
                <w:szCs w:val="24"/>
              </w:rPr>
            </w:pPr>
          </w:p>
        </w:tc>
        <w:tc>
          <w:tcPr>
            <w:tcW w:w="948" w:type="pct"/>
          </w:tcPr>
          <w:p w14:paraId="30A13FD9">
            <w:pPr>
              <w:ind w:firstLine="480"/>
              <w:rPr>
                <w:rFonts w:ascii="仿宋_GB2312" w:hAnsi="微软雅黑" w:eastAsia="仿宋_GB2312"/>
                <w:sz w:val="24"/>
                <w:szCs w:val="24"/>
              </w:rPr>
            </w:pPr>
          </w:p>
        </w:tc>
        <w:tc>
          <w:tcPr>
            <w:tcW w:w="835" w:type="pct"/>
          </w:tcPr>
          <w:p w14:paraId="5A4B689B">
            <w:pPr>
              <w:ind w:firstLine="480"/>
              <w:rPr>
                <w:rFonts w:ascii="仿宋_GB2312" w:hAnsi="微软雅黑" w:eastAsia="仿宋_GB2312"/>
                <w:sz w:val="24"/>
                <w:szCs w:val="24"/>
              </w:rPr>
            </w:pPr>
          </w:p>
        </w:tc>
        <w:tc>
          <w:tcPr>
            <w:tcW w:w="879" w:type="pct"/>
          </w:tcPr>
          <w:p w14:paraId="50238B3E">
            <w:pPr>
              <w:ind w:firstLine="480"/>
              <w:rPr>
                <w:rFonts w:ascii="仿宋_GB2312" w:hAnsi="微软雅黑" w:eastAsia="仿宋_GB2312"/>
                <w:sz w:val="24"/>
                <w:szCs w:val="24"/>
              </w:rPr>
            </w:pPr>
            <w:r>
              <w:rPr>
                <w:rFonts w:hint="eastAsia" w:ascii="仿宋_GB2312" w:hAnsi="微软雅黑" w:eastAsia="仿宋_GB2312"/>
                <w:sz w:val="24"/>
                <w:szCs w:val="24"/>
              </w:rPr>
              <w:t>√</w:t>
            </w:r>
          </w:p>
        </w:tc>
      </w:tr>
      <w:tr w14:paraId="337A9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7FC3A7F0">
            <w:pPr>
              <w:jc w:val="left"/>
              <w:rPr>
                <w:rFonts w:ascii="仿宋_GB2312" w:hAnsi="微软雅黑" w:eastAsia="仿宋_GB2312"/>
                <w:sz w:val="24"/>
                <w:szCs w:val="24"/>
              </w:rPr>
            </w:pPr>
            <w:r>
              <w:rPr>
                <w:rFonts w:ascii="仿宋_GB2312" w:hAnsi="微软雅黑" w:eastAsia="仿宋_GB2312"/>
                <w:sz w:val="24"/>
                <w:szCs w:val="24"/>
              </w:rPr>
              <w:t>QFII/RQFII</w:t>
            </w:r>
          </w:p>
        </w:tc>
        <w:tc>
          <w:tcPr>
            <w:tcW w:w="929" w:type="pct"/>
          </w:tcPr>
          <w:p w14:paraId="66F71A0A">
            <w:pPr>
              <w:ind w:firstLine="480"/>
              <w:rPr>
                <w:rFonts w:ascii="仿宋_GB2312" w:hAnsi="微软雅黑" w:eastAsia="仿宋_GB2312"/>
                <w:sz w:val="24"/>
                <w:szCs w:val="24"/>
              </w:rPr>
            </w:pPr>
          </w:p>
        </w:tc>
        <w:tc>
          <w:tcPr>
            <w:tcW w:w="948" w:type="pct"/>
          </w:tcPr>
          <w:p w14:paraId="18B6D0E3">
            <w:pPr>
              <w:ind w:firstLine="480"/>
              <w:rPr>
                <w:rFonts w:ascii="仿宋_GB2312" w:hAnsi="微软雅黑" w:eastAsia="仿宋_GB2312"/>
                <w:sz w:val="24"/>
                <w:szCs w:val="24"/>
              </w:rPr>
            </w:pPr>
          </w:p>
        </w:tc>
        <w:tc>
          <w:tcPr>
            <w:tcW w:w="835" w:type="pct"/>
          </w:tcPr>
          <w:p w14:paraId="7FA48FD3">
            <w:pPr>
              <w:ind w:firstLine="480"/>
              <w:rPr>
                <w:rFonts w:ascii="仿宋_GB2312" w:hAnsi="微软雅黑" w:eastAsia="仿宋_GB2312"/>
                <w:sz w:val="24"/>
                <w:szCs w:val="24"/>
              </w:rPr>
            </w:pPr>
            <w:r>
              <w:rPr>
                <w:rFonts w:hint="eastAsia" w:ascii="仿宋_GB2312" w:hAnsi="微软雅黑" w:eastAsia="仿宋_GB2312"/>
                <w:sz w:val="24"/>
                <w:szCs w:val="24"/>
              </w:rPr>
              <w:t>√</w:t>
            </w:r>
          </w:p>
        </w:tc>
        <w:tc>
          <w:tcPr>
            <w:tcW w:w="879" w:type="pct"/>
          </w:tcPr>
          <w:p w14:paraId="233E2FF3">
            <w:pPr>
              <w:ind w:firstLine="480"/>
              <w:rPr>
                <w:rFonts w:ascii="仿宋_GB2312" w:hAnsi="微软雅黑" w:eastAsia="仿宋_GB2312"/>
                <w:sz w:val="24"/>
                <w:szCs w:val="24"/>
              </w:rPr>
            </w:pPr>
          </w:p>
        </w:tc>
      </w:tr>
      <w:tr w14:paraId="264B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54168FE9">
            <w:pPr>
              <w:jc w:val="left"/>
              <w:rPr>
                <w:rFonts w:ascii="仿宋_GB2312" w:hAnsi="微软雅黑" w:eastAsia="仿宋_GB2312"/>
                <w:sz w:val="24"/>
                <w:szCs w:val="24"/>
              </w:rPr>
            </w:pPr>
            <w:r>
              <w:rPr>
                <w:rFonts w:hint="eastAsia" w:ascii="仿宋_GB2312" w:hAnsi="微软雅黑" w:eastAsia="仿宋_GB2312"/>
                <w:sz w:val="24"/>
                <w:szCs w:val="24"/>
              </w:rPr>
              <w:t>社保</w:t>
            </w:r>
            <w:r>
              <w:rPr>
                <w:rFonts w:ascii="仿宋_GB2312" w:hAnsi="微软雅黑" w:eastAsia="仿宋_GB2312"/>
                <w:sz w:val="24"/>
                <w:szCs w:val="24"/>
              </w:rPr>
              <w:t>/</w:t>
            </w:r>
            <w:r>
              <w:rPr>
                <w:rFonts w:hint="eastAsia" w:ascii="仿宋_GB2312" w:hAnsi="微软雅黑" w:eastAsia="仿宋_GB2312"/>
                <w:sz w:val="24"/>
                <w:szCs w:val="24"/>
              </w:rPr>
              <w:t>企业年金等</w:t>
            </w:r>
          </w:p>
        </w:tc>
        <w:tc>
          <w:tcPr>
            <w:tcW w:w="929" w:type="pct"/>
          </w:tcPr>
          <w:p w14:paraId="671A406B">
            <w:pPr>
              <w:ind w:firstLine="480"/>
              <w:rPr>
                <w:rFonts w:ascii="仿宋_GB2312" w:hAnsi="微软雅黑" w:eastAsia="仿宋_GB2312"/>
                <w:sz w:val="24"/>
                <w:szCs w:val="24"/>
              </w:rPr>
            </w:pPr>
          </w:p>
        </w:tc>
        <w:tc>
          <w:tcPr>
            <w:tcW w:w="948" w:type="pct"/>
          </w:tcPr>
          <w:p w14:paraId="103F5146">
            <w:pPr>
              <w:ind w:firstLine="480"/>
              <w:rPr>
                <w:rFonts w:ascii="仿宋_GB2312" w:hAnsi="微软雅黑" w:eastAsia="仿宋_GB2312"/>
                <w:sz w:val="24"/>
                <w:szCs w:val="24"/>
              </w:rPr>
            </w:pPr>
            <w:r>
              <w:rPr>
                <w:rFonts w:hint="eastAsia" w:ascii="仿宋_GB2312" w:hAnsi="微软雅黑" w:eastAsia="仿宋_GB2312"/>
                <w:sz w:val="24"/>
                <w:szCs w:val="24"/>
              </w:rPr>
              <w:t>√</w:t>
            </w:r>
          </w:p>
        </w:tc>
        <w:tc>
          <w:tcPr>
            <w:tcW w:w="835" w:type="pct"/>
          </w:tcPr>
          <w:p w14:paraId="44A06275">
            <w:pPr>
              <w:ind w:firstLine="480"/>
              <w:rPr>
                <w:rFonts w:ascii="仿宋_GB2312" w:hAnsi="微软雅黑" w:eastAsia="仿宋_GB2312"/>
                <w:sz w:val="24"/>
                <w:szCs w:val="24"/>
              </w:rPr>
            </w:pPr>
          </w:p>
        </w:tc>
        <w:tc>
          <w:tcPr>
            <w:tcW w:w="879" w:type="pct"/>
          </w:tcPr>
          <w:p w14:paraId="349C16F4">
            <w:pPr>
              <w:ind w:firstLine="480"/>
              <w:rPr>
                <w:rFonts w:ascii="仿宋_GB2312" w:hAnsi="微软雅黑" w:eastAsia="仿宋_GB2312"/>
                <w:sz w:val="24"/>
                <w:szCs w:val="24"/>
              </w:rPr>
            </w:pPr>
            <w:r>
              <w:rPr>
                <w:rFonts w:hint="eastAsia" w:ascii="仿宋_GB2312" w:hAnsi="微软雅黑" w:eastAsia="仿宋_GB2312"/>
                <w:sz w:val="24"/>
                <w:szCs w:val="24"/>
              </w:rPr>
              <w:t>√</w:t>
            </w:r>
          </w:p>
        </w:tc>
      </w:tr>
      <w:tr w14:paraId="784B8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30D142FE">
            <w:pPr>
              <w:jc w:val="left"/>
              <w:rPr>
                <w:rFonts w:ascii="仿宋_GB2312" w:hAnsi="微软雅黑" w:eastAsia="仿宋_GB2312"/>
                <w:sz w:val="24"/>
                <w:szCs w:val="24"/>
              </w:rPr>
            </w:pPr>
            <w:r>
              <w:rPr>
                <w:rFonts w:hint="eastAsia" w:ascii="仿宋_GB2312" w:hAnsi="微软雅黑" w:eastAsia="仿宋_GB2312"/>
                <w:sz w:val="24"/>
                <w:szCs w:val="24"/>
              </w:rPr>
              <w:t>其他金融机构</w:t>
            </w:r>
          </w:p>
        </w:tc>
        <w:tc>
          <w:tcPr>
            <w:tcW w:w="929" w:type="pct"/>
          </w:tcPr>
          <w:p w14:paraId="6557DC25">
            <w:pPr>
              <w:ind w:firstLine="480"/>
              <w:rPr>
                <w:rFonts w:ascii="仿宋_GB2312" w:hAnsi="微软雅黑" w:eastAsia="仿宋_GB2312"/>
                <w:sz w:val="24"/>
                <w:szCs w:val="24"/>
              </w:rPr>
            </w:pPr>
          </w:p>
        </w:tc>
        <w:tc>
          <w:tcPr>
            <w:tcW w:w="948" w:type="pct"/>
          </w:tcPr>
          <w:p w14:paraId="1D389C32">
            <w:pPr>
              <w:ind w:firstLine="480"/>
              <w:rPr>
                <w:rFonts w:ascii="仿宋_GB2312" w:hAnsi="微软雅黑" w:eastAsia="仿宋_GB2312"/>
                <w:sz w:val="24"/>
                <w:szCs w:val="24"/>
              </w:rPr>
            </w:pPr>
          </w:p>
        </w:tc>
        <w:tc>
          <w:tcPr>
            <w:tcW w:w="835" w:type="pct"/>
          </w:tcPr>
          <w:p w14:paraId="653B5AD8">
            <w:pPr>
              <w:ind w:firstLine="480"/>
              <w:rPr>
                <w:rFonts w:ascii="仿宋_GB2312" w:hAnsi="微软雅黑" w:eastAsia="仿宋_GB2312"/>
                <w:sz w:val="24"/>
                <w:szCs w:val="24"/>
              </w:rPr>
            </w:pPr>
          </w:p>
        </w:tc>
        <w:tc>
          <w:tcPr>
            <w:tcW w:w="879" w:type="pct"/>
          </w:tcPr>
          <w:p w14:paraId="12062F7F">
            <w:pPr>
              <w:ind w:firstLine="480"/>
              <w:rPr>
                <w:rFonts w:ascii="仿宋_GB2312" w:hAnsi="微软雅黑" w:eastAsia="仿宋_GB2312"/>
                <w:sz w:val="24"/>
                <w:szCs w:val="24"/>
              </w:rPr>
            </w:pPr>
            <w:r>
              <w:rPr>
                <w:rFonts w:hint="eastAsia" w:ascii="仿宋_GB2312" w:hAnsi="微软雅黑" w:eastAsia="仿宋_GB2312"/>
                <w:sz w:val="24"/>
                <w:szCs w:val="24"/>
              </w:rPr>
              <w:t>√</w:t>
            </w:r>
          </w:p>
        </w:tc>
      </w:tr>
      <w:tr w14:paraId="49C9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6E48E203">
            <w:pPr>
              <w:jc w:val="left"/>
              <w:rPr>
                <w:rFonts w:ascii="仿宋_GB2312" w:hAnsi="微软雅黑" w:eastAsia="仿宋_GB2312"/>
                <w:sz w:val="24"/>
                <w:szCs w:val="24"/>
              </w:rPr>
            </w:pPr>
            <w:r>
              <w:rPr>
                <w:rFonts w:hint="eastAsia" w:ascii="仿宋_GB2312" w:hAnsi="微软雅黑" w:eastAsia="仿宋_GB2312"/>
                <w:sz w:val="24"/>
                <w:szCs w:val="24"/>
              </w:rPr>
              <w:t>其他金融机构产品</w:t>
            </w:r>
          </w:p>
        </w:tc>
        <w:tc>
          <w:tcPr>
            <w:tcW w:w="929" w:type="pct"/>
          </w:tcPr>
          <w:p w14:paraId="6586671D">
            <w:pPr>
              <w:ind w:firstLine="480"/>
              <w:rPr>
                <w:rFonts w:ascii="仿宋_GB2312" w:hAnsi="微软雅黑" w:eastAsia="仿宋_GB2312"/>
                <w:sz w:val="24"/>
                <w:szCs w:val="24"/>
              </w:rPr>
            </w:pPr>
          </w:p>
        </w:tc>
        <w:tc>
          <w:tcPr>
            <w:tcW w:w="948" w:type="pct"/>
          </w:tcPr>
          <w:p w14:paraId="067E6837">
            <w:pPr>
              <w:ind w:firstLine="480"/>
              <w:rPr>
                <w:rFonts w:ascii="仿宋_GB2312" w:hAnsi="微软雅黑" w:eastAsia="仿宋_GB2312"/>
                <w:sz w:val="24"/>
                <w:szCs w:val="24"/>
              </w:rPr>
            </w:pPr>
          </w:p>
        </w:tc>
        <w:tc>
          <w:tcPr>
            <w:tcW w:w="835" w:type="pct"/>
          </w:tcPr>
          <w:p w14:paraId="20027206">
            <w:pPr>
              <w:ind w:firstLine="482"/>
              <w:rPr>
                <w:rFonts w:ascii="仿宋_GB2312" w:hAnsi="微软雅黑" w:eastAsia="仿宋_GB2312"/>
                <w:sz w:val="24"/>
                <w:szCs w:val="24"/>
              </w:rPr>
            </w:pPr>
          </w:p>
        </w:tc>
        <w:tc>
          <w:tcPr>
            <w:tcW w:w="879" w:type="pct"/>
          </w:tcPr>
          <w:p w14:paraId="0CE6A847">
            <w:pPr>
              <w:ind w:firstLine="480"/>
              <w:rPr>
                <w:rFonts w:ascii="仿宋_GB2312" w:hAnsi="微软雅黑" w:eastAsia="仿宋_GB2312"/>
                <w:sz w:val="24"/>
                <w:szCs w:val="24"/>
              </w:rPr>
            </w:pPr>
            <w:r>
              <w:rPr>
                <w:rFonts w:hint="eastAsia" w:ascii="仿宋_GB2312" w:hAnsi="微软雅黑" w:eastAsia="仿宋_GB2312"/>
                <w:sz w:val="24"/>
                <w:szCs w:val="24"/>
              </w:rPr>
              <w:t>√</w:t>
            </w:r>
          </w:p>
        </w:tc>
      </w:tr>
      <w:tr w14:paraId="2A37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54E2CF26">
            <w:pPr>
              <w:jc w:val="left"/>
              <w:rPr>
                <w:rFonts w:ascii="仿宋_GB2312" w:hAnsi="微软雅黑" w:eastAsia="仿宋_GB2312"/>
                <w:sz w:val="24"/>
                <w:szCs w:val="24"/>
              </w:rPr>
            </w:pPr>
            <w:r>
              <w:rPr>
                <w:rFonts w:hint="eastAsia" w:ascii="仿宋_GB2312" w:hAnsi="微软雅黑" w:eastAsia="仿宋_GB2312"/>
                <w:sz w:val="24"/>
                <w:szCs w:val="24"/>
              </w:rPr>
              <w:t>非金融机构</w:t>
            </w:r>
          </w:p>
        </w:tc>
        <w:tc>
          <w:tcPr>
            <w:tcW w:w="929" w:type="pct"/>
          </w:tcPr>
          <w:p w14:paraId="3B33EB2A">
            <w:pPr>
              <w:ind w:firstLine="480"/>
              <w:rPr>
                <w:rFonts w:ascii="仿宋_GB2312" w:hAnsi="微软雅黑" w:eastAsia="仿宋_GB2312"/>
                <w:sz w:val="24"/>
                <w:szCs w:val="24"/>
              </w:rPr>
            </w:pPr>
          </w:p>
        </w:tc>
        <w:tc>
          <w:tcPr>
            <w:tcW w:w="948" w:type="pct"/>
          </w:tcPr>
          <w:p w14:paraId="312ADACD">
            <w:pPr>
              <w:ind w:firstLine="480"/>
              <w:rPr>
                <w:rFonts w:ascii="仿宋_GB2312" w:hAnsi="微软雅黑" w:eastAsia="仿宋_GB2312"/>
                <w:sz w:val="24"/>
                <w:szCs w:val="24"/>
              </w:rPr>
            </w:pPr>
          </w:p>
        </w:tc>
        <w:tc>
          <w:tcPr>
            <w:tcW w:w="835" w:type="pct"/>
          </w:tcPr>
          <w:p w14:paraId="15515F92">
            <w:pPr>
              <w:ind w:firstLine="480"/>
              <w:rPr>
                <w:rFonts w:ascii="仿宋_GB2312" w:hAnsi="微软雅黑" w:eastAsia="仿宋_GB2312"/>
                <w:sz w:val="24"/>
                <w:szCs w:val="24"/>
              </w:rPr>
            </w:pPr>
          </w:p>
        </w:tc>
        <w:tc>
          <w:tcPr>
            <w:tcW w:w="879" w:type="pct"/>
          </w:tcPr>
          <w:p w14:paraId="3F1A65D4">
            <w:pPr>
              <w:ind w:firstLine="480"/>
              <w:rPr>
                <w:rFonts w:ascii="仿宋_GB2312" w:hAnsi="微软雅黑" w:eastAsia="仿宋_GB2312"/>
                <w:sz w:val="24"/>
                <w:szCs w:val="24"/>
              </w:rPr>
            </w:pPr>
            <w:r>
              <w:rPr>
                <w:rFonts w:hint="eastAsia" w:ascii="仿宋_GB2312" w:hAnsi="微软雅黑" w:eastAsia="仿宋_GB2312"/>
                <w:sz w:val="24"/>
                <w:szCs w:val="24"/>
              </w:rPr>
              <w:t>√</w:t>
            </w:r>
          </w:p>
        </w:tc>
      </w:tr>
      <w:tr w14:paraId="602C3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7" w:type="pct"/>
          </w:tcPr>
          <w:p w14:paraId="71C94B1F">
            <w:pPr>
              <w:jc w:val="left"/>
              <w:rPr>
                <w:rFonts w:ascii="仿宋_GB2312" w:hAnsi="微软雅黑" w:eastAsia="仿宋_GB2312"/>
                <w:sz w:val="24"/>
                <w:szCs w:val="24"/>
              </w:rPr>
            </w:pPr>
            <w:r>
              <w:rPr>
                <w:rFonts w:hint="eastAsia" w:ascii="仿宋_GB2312" w:hAnsi="微软雅黑" w:eastAsia="仿宋_GB2312"/>
                <w:sz w:val="24"/>
                <w:szCs w:val="24"/>
              </w:rPr>
              <w:t>个人</w:t>
            </w:r>
          </w:p>
        </w:tc>
        <w:tc>
          <w:tcPr>
            <w:tcW w:w="929" w:type="pct"/>
          </w:tcPr>
          <w:p w14:paraId="3EEA89F6">
            <w:pPr>
              <w:ind w:firstLine="480"/>
              <w:rPr>
                <w:rFonts w:ascii="仿宋_GB2312" w:hAnsi="微软雅黑" w:eastAsia="仿宋_GB2312"/>
                <w:sz w:val="24"/>
                <w:szCs w:val="24"/>
              </w:rPr>
            </w:pPr>
          </w:p>
        </w:tc>
        <w:tc>
          <w:tcPr>
            <w:tcW w:w="948" w:type="pct"/>
          </w:tcPr>
          <w:p w14:paraId="05B534DE">
            <w:pPr>
              <w:ind w:firstLine="480"/>
              <w:rPr>
                <w:rFonts w:ascii="仿宋_GB2312" w:hAnsi="微软雅黑" w:eastAsia="仿宋_GB2312"/>
                <w:sz w:val="24"/>
                <w:szCs w:val="24"/>
              </w:rPr>
            </w:pPr>
          </w:p>
        </w:tc>
        <w:tc>
          <w:tcPr>
            <w:tcW w:w="835" w:type="pct"/>
          </w:tcPr>
          <w:p w14:paraId="348FD340">
            <w:pPr>
              <w:ind w:firstLine="480"/>
              <w:rPr>
                <w:rFonts w:ascii="仿宋_GB2312" w:hAnsi="微软雅黑" w:eastAsia="仿宋_GB2312"/>
                <w:sz w:val="24"/>
                <w:szCs w:val="24"/>
              </w:rPr>
            </w:pPr>
          </w:p>
        </w:tc>
        <w:tc>
          <w:tcPr>
            <w:tcW w:w="879" w:type="pct"/>
          </w:tcPr>
          <w:p w14:paraId="265DCF50">
            <w:pPr>
              <w:ind w:firstLine="480"/>
              <w:rPr>
                <w:rFonts w:ascii="仿宋_GB2312" w:hAnsi="微软雅黑" w:eastAsia="仿宋_GB2312"/>
                <w:sz w:val="24"/>
                <w:szCs w:val="24"/>
              </w:rPr>
            </w:pPr>
            <w:r>
              <w:rPr>
                <w:rFonts w:hint="eastAsia" w:ascii="仿宋_GB2312" w:hAnsi="微软雅黑" w:eastAsia="仿宋_GB2312"/>
                <w:sz w:val="24"/>
                <w:szCs w:val="24"/>
              </w:rPr>
              <w:t>√</w:t>
            </w:r>
          </w:p>
        </w:tc>
      </w:tr>
    </w:tbl>
    <w:p w14:paraId="6F1F536D">
      <w:pPr>
        <w:numPr>
          <w:ilvl w:val="2"/>
          <w:numId w:val="4"/>
        </w:numPr>
        <w:spacing w:line="600" w:lineRule="exact"/>
        <w:ind w:left="0" w:firstLine="0"/>
        <w:outlineLvl w:val="2"/>
        <w:rPr>
          <w:rFonts w:ascii="仿宋_GB2312" w:eastAsia="仿宋_GB2312"/>
          <w:b/>
          <w:sz w:val="30"/>
          <w:szCs w:val="30"/>
        </w:rPr>
      </w:pPr>
      <w:bookmarkStart w:id="212" w:name="_Toc56166065"/>
      <w:bookmarkStart w:id="213" w:name="_Toc56166254"/>
      <w:r>
        <w:rPr>
          <w:rFonts w:hint="eastAsia" w:ascii="仿宋_GB2312" w:eastAsia="仿宋_GB2312"/>
          <w:b/>
          <w:sz w:val="30"/>
          <w:szCs w:val="30"/>
        </w:rPr>
        <w:t>交易结算方式</w:t>
      </w:r>
    </w:p>
    <w:p w14:paraId="66787EF2">
      <w:pPr>
        <w:spacing w:line="600" w:lineRule="exact"/>
        <w:ind w:firstLine="600" w:firstLineChars="200"/>
        <w:rPr>
          <w:rFonts w:ascii="仿宋_GB2312" w:hAnsi="黑体" w:eastAsia="仿宋_GB2312"/>
          <w:b/>
          <w:sz w:val="30"/>
          <w:szCs w:val="30"/>
        </w:rPr>
      </w:pPr>
      <w:r>
        <w:rPr>
          <w:rFonts w:hint="eastAsia" w:ascii="仿宋_GB2312" w:hAnsi="仿宋" w:eastAsia="仿宋_GB2312"/>
          <w:sz w:val="30"/>
          <w:szCs w:val="30"/>
        </w:rPr>
        <w:t>本所现有债券交易方式包括匹配成交、点击成交、询价成交、竞买成交与协商成交；结算方式包括多边净额结算或逐笔全额结算等，</w:t>
      </w:r>
      <w:r>
        <w:rPr>
          <w:rFonts w:hint="eastAsia" w:ascii="仿宋_GB2312" w:eastAsia="仿宋_GB2312"/>
          <w:color w:val="000000"/>
          <w:sz w:val="30"/>
          <w:szCs w:val="30"/>
        </w:rPr>
        <w:t>详见本指</w:t>
      </w:r>
      <w:r>
        <w:rPr>
          <w:rFonts w:hint="eastAsia" w:ascii="仿宋_GB2312" w:eastAsia="仿宋_GB2312"/>
          <w:sz w:val="30"/>
          <w:szCs w:val="30"/>
        </w:rPr>
        <w:t>南第4章、第5章相关规定</w:t>
      </w:r>
      <w:r>
        <w:rPr>
          <w:rFonts w:hint="eastAsia" w:ascii="仿宋_GB2312" w:hAnsi="仿宋" w:eastAsia="仿宋_GB2312"/>
          <w:sz w:val="30"/>
          <w:szCs w:val="30"/>
        </w:rPr>
        <w:t>。</w:t>
      </w:r>
    </w:p>
    <w:p w14:paraId="6C08CAD4">
      <w:pPr>
        <w:numPr>
          <w:ilvl w:val="0"/>
          <w:numId w:val="4"/>
        </w:numPr>
        <w:spacing w:line="600" w:lineRule="exact"/>
        <w:outlineLvl w:val="0"/>
        <w:rPr>
          <w:b/>
          <w:sz w:val="36"/>
        </w:rPr>
      </w:pPr>
      <w:r>
        <w:rPr>
          <w:b/>
          <w:sz w:val="36"/>
        </w:rPr>
        <w:br w:type="page"/>
      </w:r>
      <w:bookmarkStart w:id="214" w:name="_Toc705174540"/>
      <w:bookmarkStart w:id="215" w:name="_Toc151136882"/>
      <w:bookmarkStart w:id="216" w:name="_Toc526892003"/>
      <w:bookmarkStart w:id="217" w:name="_Toc1665275419"/>
      <w:bookmarkStart w:id="218" w:name="_Toc410869742"/>
      <w:bookmarkStart w:id="219" w:name="_Toc263820584"/>
      <w:bookmarkStart w:id="220" w:name="_Toc1784132123"/>
      <w:r>
        <w:rPr>
          <w:rFonts w:hint="eastAsia" w:ascii="黑体" w:hAnsi="黑体" w:eastAsia="黑体" w:cs="黑体"/>
          <w:b/>
          <w:sz w:val="36"/>
        </w:rPr>
        <w:t>债券交易参与人</w:t>
      </w:r>
      <w:bookmarkEnd w:id="212"/>
      <w:bookmarkEnd w:id="213"/>
      <w:bookmarkEnd w:id="214"/>
      <w:bookmarkEnd w:id="215"/>
      <w:bookmarkEnd w:id="216"/>
      <w:bookmarkEnd w:id="217"/>
      <w:bookmarkEnd w:id="218"/>
      <w:bookmarkEnd w:id="219"/>
      <w:bookmarkEnd w:id="220"/>
    </w:p>
    <w:p w14:paraId="629B6C40">
      <w:pPr>
        <w:spacing w:line="600" w:lineRule="exact"/>
        <w:ind w:firstLine="600"/>
        <w:rPr>
          <w:rFonts w:ascii="仿宋_GB2312" w:eastAsia="仿宋_GB2312"/>
          <w:sz w:val="30"/>
          <w:szCs w:val="30"/>
        </w:rPr>
      </w:pPr>
      <w:r>
        <w:rPr>
          <w:rFonts w:hint="eastAsia" w:ascii="仿宋_GB2312" w:eastAsia="仿宋_GB2312"/>
          <w:sz w:val="30"/>
          <w:szCs w:val="30"/>
        </w:rPr>
        <w:t>本所会员及本所认可的其他机构可以申请成为本所债券交易参与人，直接参与本所债券交易。债券交易参与人直接入场参与本所债券交易的，可以通过开设或者租用参与者交易业务单元（以下简称交易单元）或者本所认可的其他方式，通过本所认可的接入服务系统接入本所债券交易系统进行交易。</w:t>
      </w:r>
    </w:p>
    <w:p w14:paraId="17F2170D">
      <w:pPr>
        <w:spacing w:line="600" w:lineRule="exact"/>
        <w:ind w:firstLine="600"/>
        <w:rPr>
          <w:rFonts w:ascii="仿宋_GB2312" w:eastAsia="仿宋_GB2312"/>
          <w:sz w:val="30"/>
          <w:szCs w:val="30"/>
        </w:rPr>
      </w:pPr>
      <w:r>
        <w:rPr>
          <w:rFonts w:hint="eastAsia" w:ascii="仿宋_GB2312" w:eastAsia="仿宋_GB2312"/>
          <w:sz w:val="30"/>
          <w:szCs w:val="30"/>
        </w:rPr>
        <w:t>债券交易参与人从事本所债券交易及相关业务，应当遵守法律法规和本所业务规则，诚实守信、规范运作，接受本所的自律监管。</w:t>
      </w:r>
    </w:p>
    <w:p w14:paraId="060AF313">
      <w:pPr>
        <w:numPr>
          <w:ilvl w:val="1"/>
          <w:numId w:val="4"/>
        </w:numPr>
        <w:spacing w:line="600" w:lineRule="exact"/>
        <w:ind w:left="0" w:firstLine="0"/>
        <w:outlineLvl w:val="1"/>
        <w:rPr>
          <w:rFonts w:ascii="仿宋_GB2312" w:eastAsia="仿宋_GB2312"/>
          <w:b/>
          <w:sz w:val="30"/>
          <w:szCs w:val="30"/>
        </w:rPr>
      </w:pPr>
      <w:bookmarkStart w:id="221" w:name="_Toc59181163"/>
      <w:bookmarkEnd w:id="221"/>
      <w:bookmarkStart w:id="222" w:name="_Toc59034065"/>
      <w:bookmarkEnd w:id="222"/>
      <w:bookmarkStart w:id="223" w:name="_Toc60331826"/>
      <w:bookmarkEnd w:id="223"/>
      <w:bookmarkStart w:id="224" w:name="_Toc59034544"/>
      <w:bookmarkEnd w:id="224"/>
      <w:bookmarkStart w:id="225" w:name="_Toc60327069"/>
      <w:bookmarkEnd w:id="225"/>
      <w:bookmarkStart w:id="226" w:name="_Toc59106948"/>
      <w:bookmarkEnd w:id="226"/>
      <w:bookmarkStart w:id="227" w:name="_Toc59181275"/>
      <w:bookmarkEnd w:id="227"/>
      <w:bookmarkStart w:id="228" w:name="_Toc59181049"/>
      <w:bookmarkEnd w:id="228"/>
      <w:bookmarkStart w:id="229" w:name="_Toc57908857"/>
      <w:bookmarkEnd w:id="229"/>
      <w:bookmarkStart w:id="230" w:name="_Toc1079726836"/>
      <w:bookmarkStart w:id="231" w:name="_Toc2109936625"/>
      <w:bookmarkStart w:id="232" w:name="_Toc669309936"/>
      <w:bookmarkStart w:id="233" w:name="_Toc56166255"/>
      <w:bookmarkStart w:id="234" w:name="_Toc151136883"/>
      <w:bookmarkStart w:id="235" w:name="_Toc1350317819"/>
      <w:bookmarkStart w:id="236" w:name="_Toc1089249626"/>
      <w:bookmarkStart w:id="237" w:name="_Toc56166066"/>
      <w:bookmarkStart w:id="238" w:name="_Toc3756735"/>
      <w:r>
        <w:rPr>
          <w:rFonts w:ascii="仿宋_GB2312" w:hAnsi="黑体" w:eastAsia="仿宋_GB2312"/>
          <w:b/>
          <w:sz w:val="30"/>
          <w:szCs w:val="30"/>
        </w:rPr>
        <w:t>债券交易参与人</w:t>
      </w:r>
      <w:r>
        <w:rPr>
          <w:rFonts w:hint="eastAsia" w:ascii="仿宋_GB2312" w:hAnsi="黑体" w:eastAsia="仿宋_GB2312"/>
          <w:b/>
          <w:sz w:val="30"/>
          <w:szCs w:val="30"/>
        </w:rPr>
        <w:t>申请</w:t>
      </w:r>
      <w:bookmarkEnd w:id="230"/>
      <w:bookmarkEnd w:id="231"/>
      <w:bookmarkEnd w:id="232"/>
      <w:bookmarkEnd w:id="233"/>
      <w:bookmarkEnd w:id="234"/>
      <w:bookmarkEnd w:id="235"/>
      <w:bookmarkEnd w:id="236"/>
      <w:bookmarkEnd w:id="237"/>
      <w:bookmarkEnd w:id="238"/>
    </w:p>
    <w:p w14:paraId="1673FCAC">
      <w:pPr>
        <w:numPr>
          <w:ilvl w:val="2"/>
          <w:numId w:val="4"/>
        </w:numPr>
        <w:spacing w:line="600" w:lineRule="exact"/>
        <w:ind w:left="0" w:firstLine="0"/>
        <w:outlineLvl w:val="2"/>
        <w:rPr>
          <w:rFonts w:ascii="仿宋_GB2312" w:eastAsia="仿宋_GB2312"/>
          <w:b/>
          <w:sz w:val="30"/>
          <w:szCs w:val="30"/>
        </w:rPr>
      </w:pPr>
      <w:bookmarkStart w:id="239" w:name="_Toc57908859"/>
      <w:r>
        <w:rPr>
          <w:rFonts w:hint="eastAsia" w:ascii="仿宋_GB2312" w:eastAsia="仿宋_GB2312"/>
          <w:b/>
          <w:sz w:val="30"/>
          <w:szCs w:val="30"/>
        </w:rPr>
        <w:t>申请条件</w:t>
      </w:r>
      <w:bookmarkEnd w:id="239"/>
    </w:p>
    <w:p w14:paraId="7F8F49E7">
      <w:pPr>
        <w:spacing w:line="600" w:lineRule="exact"/>
        <w:ind w:firstLine="600"/>
        <w:rPr>
          <w:rFonts w:ascii="仿宋_GB2312" w:eastAsia="仿宋_GB2312"/>
          <w:sz w:val="30"/>
          <w:szCs w:val="30"/>
        </w:rPr>
      </w:pPr>
      <w:r>
        <w:rPr>
          <w:rFonts w:hint="eastAsia" w:ascii="仿宋_GB2312" w:eastAsia="仿宋_GB2312"/>
          <w:sz w:val="30"/>
          <w:szCs w:val="30"/>
        </w:rPr>
        <w:t>【会员类机构】</w:t>
      </w:r>
    </w:p>
    <w:p w14:paraId="44EA6CF6">
      <w:pPr>
        <w:spacing w:line="600" w:lineRule="exact"/>
        <w:ind w:firstLine="600"/>
        <w:rPr>
          <w:rFonts w:ascii="仿宋_GB2312" w:eastAsia="仿宋_GB2312"/>
          <w:sz w:val="30"/>
          <w:szCs w:val="30"/>
        </w:rPr>
      </w:pPr>
      <w:r>
        <w:rPr>
          <w:rFonts w:hint="eastAsia" w:ascii="仿宋_GB2312" w:eastAsia="仿宋_GB2312"/>
          <w:sz w:val="30"/>
          <w:szCs w:val="30"/>
        </w:rPr>
        <w:t>证券公司按照《上海证券交易所会员管理规则》等本所规则申请成为本所会员的，直接成为债券交易参与人。</w:t>
      </w:r>
    </w:p>
    <w:p w14:paraId="1C6391C1">
      <w:pPr>
        <w:spacing w:line="600" w:lineRule="exact"/>
        <w:ind w:firstLine="600"/>
        <w:rPr>
          <w:rFonts w:ascii="仿宋_GB2312" w:eastAsia="仿宋_GB2312"/>
          <w:sz w:val="30"/>
          <w:szCs w:val="30"/>
        </w:rPr>
      </w:pPr>
      <w:r>
        <w:rPr>
          <w:rFonts w:hint="eastAsia" w:ascii="仿宋_GB2312" w:eastAsia="仿宋_GB2312"/>
          <w:sz w:val="30"/>
          <w:szCs w:val="30"/>
        </w:rPr>
        <w:t>本所会员资格申请，按照《上海证券交易所会员管理规则》相关业务流程办理。</w:t>
      </w:r>
    </w:p>
    <w:p w14:paraId="65E4B594">
      <w:pPr>
        <w:spacing w:line="600" w:lineRule="exact"/>
        <w:ind w:firstLine="600"/>
        <w:rPr>
          <w:rFonts w:ascii="仿宋_GB2312" w:eastAsia="仿宋_GB2312"/>
          <w:sz w:val="30"/>
          <w:szCs w:val="30"/>
        </w:rPr>
      </w:pPr>
      <w:r>
        <w:rPr>
          <w:rFonts w:hint="eastAsia" w:ascii="仿宋_GB2312" w:eastAsia="仿宋_GB2312"/>
          <w:sz w:val="30"/>
          <w:szCs w:val="30"/>
        </w:rPr>
        <w:t>【非会员机构申请条件】</w:t>
      </w:r>
    </w:p>
    <w:p w14:paraId="07ADF58C">
      <w:pPr>
        <w:spacing w:line="600" w:lineRule="exact"/>
        <w:ind w:firstLine="600"/>
        <w:rPr>
          <w:rFonts w:ascii="仿宋_GB2312" w:eastAsia="仿宋_GB2312"/>
          <w:sz w:val="30"/>
          <w:szCs w:val="30"/>
        </w:rPr>
      </w:pPr>
      <w:r>
        <w:rPr>
          <w:rFonts w:hint="eastAsia" w:ascii="仿宋_GB2312" w:eastAsia="仿宋_GB2312"/>
          <w:sz w:val="30"/>
          <w:szCs w:val="30"/>
        </w:rPr>
        <w:t>已在本所开立或租用交易单元的非会员机构，可直接成为本所债券交易参与人，</w:t>
      </w:r>
      <w:r>
        <w:rPr>
          <w:rFonts w:ascii="仿宋_GB2312" w:eastAsia="仿宋_GB2312"/>
          <w:sz w:val="30"/>
          <w:szCs w:val="30"/>
        </w:rPr>
        <w:t>无需另行申请</w:t>
      </w:r>
      <w:r>
        <w:rPr>
          <w:rFonts w:hint="eastAsia" w:ascii="仿宋_GB2312" w:eastAsia="仿宋_GB2312"/>
          <w:sz w:val="30"/>
          <w:szCs w:val="30"/>
        </w:rPr>
        <w:t>。</w:t>
      </w:r>
    </w:p>
    <w:p w14:paraId="324EBEEA">
      <w:pPr>
        <w:spacing w:line="600" w:lineRule="exact"/>
        <w:ind w:firstLine="600"/>
        <w:rPr>
          <w:rFonts w:ascii="仿宋_GB2312" w:eastAsia="仿宋_GB2312"/>
          <w:sz w:val="30"/>
          <w:szCs w:val="30"/>
        </w:rPr>
      </w:pPr>
      <w:r>
        <w:rPr>
          <w:rFonts w:hint="eastAsia" w:ascii="仿宋_GB2312" w:eastAsia="仿宋_GB2312"/>
          <w:sz w:val="30"/>
          <w:szCs w:val="30"/>
        </w:rPr>
        <w:t>符合下列条件的金融机构和本所认可的其他机构可以申请成为本所债券交易参与人：</w:t>
      </w:r>
    </w:p>
    <w:p w14:paraId="504E7A4E">
      <w:pPr>
        <w:spacing w:line="600" w:lineRule="exact"/>
        <w:ind w:firstLine="600"/>
        <w:rPr>
          <w:rFonts w:ascii="仿宋_GB2312" w:eastAsia="仿宋_GB2312"/>
          <w:sz w:val="30"/>
          <w:szCs w:val="30"/>
        </w:rPr>
      </w:pPr>
      <w:r>
        <w:rPr>
          <w:rFonts w:hint="eastAsia" w:ascii="仿宋_GB2312" w:eastAsia="仿宋_GB2312"/>
          <w:sz w:val="30"/>
          <w:szCs w:val="30"/>
        </w:rPr>
        <w:t>（1）具有较强的资本、资金实力与持续经营能力，或者具有参与本所债券交易的相应功能；</w:t>
      </w:r>
    </w:p>
    <w:p w14:paraId="63A961BC">
      <w:pPr>
        <w:spacing w:line="600" w:lineRule="exact"/>
        <w:ind w:firstLine="600"/>
        <w:rPr>
          <w:rFonts w:ascii="仿宋_GB2312" w:eastAsia="仿宋_GB2312"/>
          <w:sz w:val="30"/>
          <w:szCs w:val="30"/>
        </w:rPr>
      </w:pPr>
      <w:r>
        <w:rPr>
          <w:rFonts w:hint="eastAsia" w:ascii="仿宋_GB2312" w:eastAsia="仿宋_GB2312"/>
          <w:sz w:val="30"/>
          <w:szCs w:val="30"/>
        </w:rPr>
        <w:t xml:space="preserve">（2）具有独立的债券交易团队； </w:t>
      </w:r>
    </w:p>
    <w:p w14:paraId="3C7717A7">
      <w:pPr>
        <w:spacing w:line="600" w:lineRule="exact"/>
        <w:ind w:firstLine="600"/>
        <w:rPr>
          <w:rFonts w:ascii="仿宋_GB2312" w:eastAsia="仿宋_GB2312"/>
          <w:sz w:val="30"/>
          <w:szCs w:val="30"/>
        </w:rPr>
      </w:pPr>
      <w:r>
        <w:rPr>
          <w:rFonts w:hint="eastAsia" w:ascii="仿宋_GB2312" w:eastAsia="仿宋_GB2312"/>
          <w:sz w:val="30"/>
          <w:szCs w:val="30"/>
        </w:rPr>
        <w:t>（3）具有完善的交易业务管理制度和风险控制制度；</w:t>
      </w:r>
    </w:p>
    <w:p w14:paraId="65DB9811">
      <w:pPr>
        <w:spacing w:line="600" w:lineRule="exact"/>
        <w:ind w:firstLine="600"/>
        <w:rPr>
          <w:rFonts w:ascii="仿宋_GB2312" w:eastAsia="仿宋_GB2312"/>
          <w:sz w:val="30"/>
          <w:szCs w:val="30"/>
        </w:rPr>
      </w:pPr>
      <w:r>
        <w:rPr>
          <w:rFonts w:hint="eastAsia" w:ascii="仿宋_GB2312" w:eastAsia="仿宋_GB2312"/>
          <w:sz w:val="30"/>
          <w:szCs w:val="30"/>
        </w:rPr>
        <w:t>（4）具有能够支持开展债券交易的相关技术系统；</w:t>
      </w:r>
    </w:p>
    <w:p w14:paraId="6915ACD5">
      <w:pPr>
        <w:spacing w:line="600" w:lineRule="exact"/>
        <w:ind w:firstLine="600"/>
        <w:rPr>
          <w:rFonts w:ascii="仿宋_GB2312" w:eastAsia="仿宋_GB2312"/>
          <w:sz w:val="30"/>
          <w:szCs w:val="30"/>
        </w:rPr>
      </w:pPr>
      <w:r>
        <w:rPr>
          <w:rFonts w:hint="eastAsia" w:ascii="仿宋_GB2312" w:eastAsia="仿宋_GB2312"/>
          <w:sz w:val="30"/>
          <w:szCs w:val="30"/>
        </w:rPr>
        <w:t>（5）债券投资交易量较大，具有较强的债券交易需求；</w:t>
      </w:r>
    </w:p>
    <w:p w14:paraId="4CA3F569">
      <w:pPr>
        <w:spacing w:line="600" w:lineRule="exact"/>
        <w:ind w:firstLine="600"/>
        <w:rPr>
          <w:rFonts w:ascii="仿宋_GB2312" w:eastAsia="仿宋_GB2312"/>
          <w:sz w:val="30"/>
          <w:szCs w:val="30"/>
        </w:rPr>
      </w:pPr>
      <w:r>
        <w:rPr>
          <w:rFonts w:hint="eastAsia" w:ascii="仿宋_GB2312" w:eastAsia="仿宋_GB2312"/>
          <w:sz w:val="30"/>
          <w:szCs w:val="30"/>
        </w:rPr>
        <w:t>（6）近2年无债券交易结算重大违法违规行为；</w:t>
      </w:r>
    </w:p>
    <w:p w14:paraId="42D1C855">
      <w:pPr>
        <w:spacing w:line="600" w:lineRule="exact"/>
        <w:ind w:firstLine="600"/>
        <w:rPr>
          <w:rFonts w:ascii="仿宋_GB2312" w:eastAsia="仿宋_GB2312"/>
          <w:sz w:val="30"/>
          <w:szCs w:val="30"/>
        </w:rPr>
      </w:pPr>
      <w:r>
        <w:rPr>
          <w:rFonts w:hint="eastAsia" w:ascii="仿宋_GB2312" w:eastAsia="仿宋_GB2312"/>
          <w:sz w:val="30"/>
          <w:szCs w:val="30"/>
        </w:rPr>
        <w:t>（7）本所规定的其他条件。</w:t>
      </w:r>
    </w:p>
    <w:p w14:paraId="1739D12D">
      <w:pPr>
        <w:spacing w:line="600" w:lineRule="exact"/>
        <w:ind w:firstLine="600"/>
        <w:rPr>
          <w:rFonts w:ascii="仿宋_GB2312" w:eastAsia="仿宋_GB2312"/>
          <w:sz w:val="30"/>
          <w:szCs w:val="30"/>
        </w:rPr>
      </w:pPr>
      <w:r>
        <w:rPr>
          <w:rFonts w:hint="eastAsia" w:ascii="仿宋_GB2312" w:eastAsia="仿宋_GB2312"/>
          <w:sz w:val="30"/>
          <w:szCs w:val="30"/>
        </w:rPr>
        <w:t>第（1）项所称的资本、资金实力，是指非会员单位达到下列标准：</w:t>
      </w:r>
    </w:p>
    <w:p w14:paraId="057C8615">
      <w:pPr>
        <w:pStyle w:val="92"/>
        <w:numPr>
          <w:ilvl w:val="0"/>
          <w:numId w:val="5"/>
        </w:numPr>
        <w:spacing w:line="600" w:lineRule="exact"/>
        <w:ind w:left="0" w:firstLine="600"/>
        <w:rPr>
          <w:rFonts w:ascii="仿宋_GB2312" w:eastAsia="仿宋_GB2312"/>
          <w:sz w:val="30"/>
          <w:szCs w:val="30"/>
          <w:lang w:eastAsia="zh-CN"/>
        </w:rPr>
      </w:pPr>
      <w:r>
        <w:rPr>
          <w:rFonts w:hint="eastAsia" w:ascii="仿宋_GB2312" w:eastAsia="仿宋_GB2312"/>
          <w:sz w:val="30"/>
          <w:szCs w:val="30"/>
          <w:lang w:eastAsia="zh-CN"/>
        </w:rPr>
        <w:t>银行最近一个会计年度年末净资产不低于100亿元人民币。上文所指银行包括政策性银行和国家开发银行、国有大型商业银行、股份制商业银行、城市商业银行、在华外资银行、境内上市的其他银行等；</w:t>
      </w:r>
    </w:p>
    <w:p w14:paraId="1CD6FA5E">
      <w:pPr>
        <w:pStyle w:val="92"/>
        <w:numPr>
          <w:ilvl w:val="0"/>
          <w:numId w:val="5"/>
        </w:numPr>
        <w:spacing w:line="600" w:lineRule="exact"/>
        <w:ind w:left="0" w:firstLine="600"/>
        <w:rPr>
          <w:rFonts w:ascii="仿宋_GB2312" w:eastAsia="仿宋_GB2312"/>
          <w:sz w:val="30"/>
          <w:szCs w:val="30"/>
          <w:lang w:eastAsia="zh-CN"/>
        </w:rPr>
      </w:pPr>
      <w:r>
        <w:rPr>
          <w:rFonts w:hint="eastAsia" w:ascii="仿宋_GB2312" w:eastAsia="仿宋_GB2312"/>
          <w:sz w:val="30"/>
          <w:szCs w:val="30"/>
          <w:lang w:eastAsia="zh-CN"/>
        </w:rPr>
        <w:t>资产管理机构应当具有发行公募资产管理产品资格，或者最近一个会计年度年末管理资产规模不低于500亿元人民币；上文所指资产管理机构，包括但不限于银行理财子公司、基金管理公司及其子公司、证券公司及其资产管理子公司、保险及保险资产管理公司、信托公司、期货公司及其子公司、金融资产投资公司等金融机构；</w:t>
      </w:r>
    </w:p>
    <w:p w14:paraId="3167D16B">
      <w:pPr>
        <w:pStyle w:val="92"/>
        <w:numPr>
          <w:ilvl w:val="0"/>
          <w:numId w:val="5"/>
        </w:numPr>
        <w:spacing w:line="600" w:lineRule="exact"/>
        <w:ind w:left="0" w:firstLine="600"/>
        <w:rPr>
          <w:rFonts w:ascii="仿宋_GB2312" w:eastAsia="仿宋_GB2312"/>
          <w:sz w:val="30"/>
          <w:szCs w:val="30"/>
          <w:lang w:eastAsia="zh-CN"/>
        </w:rPr>
      </w:pPr>
      <w:r>
        <w:rPr>
          <w:rFonts w:hint="eastAsia" w:ascii="仿宋_GB2312" w:eastAsia="仿宋_GB2312"/>
          <w:sz w:val="30"/>
          <w:szCs w:val="30"/>
          <w:lang w:eastAsia="zh-CN"/>
        </w:rPr>
        <w:t>银行、资产管理机构以外的其他机构，包括但不限于保险公司、财务公司、消费金融公司、金融资产管理公司及本所认可的其他机构、法人，最近一个会计年度年末净资产不低于50亿元人民币。</w:t>
      </w:r>
    </w:p>
    <w:p w14:paraId="20D10E3F">
      <w:pPr>
        <w:spacing w:line="600" w:lineRule="exact"/>
        <w:ind w:firstLine="600"/>
        <w:rPr>
          <w:rFonts w:ascii="仿宋_GB2312" w:eastAsia="仿宋_GB2312"/>
          <w:sz w:val="30"/>
          <w:szCs w:val="30"/>
        </w:rPr>
      </w:pPr>
      <w:r>
        <w:rPr>
          <w:rFonts w:hint="eastAsia" w:ascii="仿宋_GB2312" w:eastAsia="仿宋_GB2312"/>
          <w:sz w:val="30"/>
          <w:szCs w:val="30"/>
        </w:rPr>
        <w:t>第（4）项所指技术系统标准指申请人的交易及相关系统与本所接口部分的建设、运行、维护，应当符合本所或者本所授权机构的规定或者认可的技术管理规范。申请人的交易及相关系统通过了本所相关测试，系统的性能、容量及扩展能力应当与其业务发展及市场需求相适应，能够保障交易及相关业务的持续开展。</w:t>
      </w:r>
    </w:p>
    <w:p w14:paraId="11D451E4">
      <w:pPr>
        <w:spacing w:line="600" w:lineRule="exact"/>
        <w:ind w:firstLine="600"/>
        <w:rPr>
          <w:rFonts w:ascii="仿宋_GB2312" w:eastAsia="仿宋_GB2312"/>
          <w:sz w:val="30"/>
          <w:szCs w:val="30"/>
        </w:rPr>
      </w:pPr>
      <w:r>
        <w:rPr>
          <w:rFonts w:hint="eastAsia" w:ascii="仿宋_GB2312" w:eastAsia="仿宋_GB2312"/>
          <w:sz w:val="30"/>
          <w:szCs w:val="30"/>
        </w:rPr>
        <w:t>第（5）项所指的债券投资交易量的统计范围包括交易所市场及银行间市场的债券现券交易、债券回购交易、债券借贷业务等各类债券交易，最近一个年度各类债券投资交易量合计不低于</w:t>
      </w:r>
      <w:r>
        <w:rPr>
          <w:rFonts w:ascii="仿宋_GB2312" w:eastAsia="仿宋_GB2312"/>
          <w:sz w:val="30"/>
          <w:szCs w:val="30"/>
        </w:rPr>
        <w:t>1000</w:t>
      </w:r>
      <w:r>
        <w:rPr>
          <w:rFonts w:hint="eastAsia" w:ascii="仿宋_GB2312" w:eastAsia="仿宋_GB2312"/>
          <w:sz w:val="30"/>
          <w:szCs w:val="30"/>
        </w:rPr>
        <w:t>亿元。对于因承接原机构业务分设成立的新机构，按原机构债券投资交易量统计。</w:t>
      </w:r>
    </w:p>
    <w:p w14:paraId="2F4414D4">
      <w:pPr>
        <w:spacing w:line="600" w:lineRule="exact"/>
        <w:ind w:firstLine="600"/>
        <w:rPr>
          <w:rFonts w:ascii="仿宋_GB2312" w:eastAsia="仿宋_GB2312"/>
          <w:sz w:val="30"/>
          <w:szCs w:val="30"/>
        </w:rPr>
      </w:pPr>
      <w:r>
        <w:rPr>
          <w:rFonts w:hint="eastAsia" w:ascii="仿宋_GB2312" w:eastAsia="仿宋_GB2312"/>
          <w:sz w:val="30"/>
          <w:szCs w:val="30"/>
        </w:rPr>
        <w:t>根据市场发展情况，本所可以调整非会员机构申请成为债券交易参与人的标准。</w:t>
      </w:r>
    </w:p>
    <w:p w14:paraId="5FE1249A">
      <w:pPr>
        <w:numPr>
          <w:ilvl w:val="2"/>
          <w:numId w:val="4"/>
        </w:numPr>
        <w:spacing w:line="600" w:lineRule="exact"/>
        <w:ind w:left="0" w:firstLine="0"/>
        <w:outlineLvl w:val="2"/>
        <w:rPr>
          <w:rFonts w:ascii="仿宋_GB2312" w:eastAsia="仿宋_GB2312"/>
          <w:b/>
          <w:sz w:val="30"/>
          <w:szCs w:val="30"/>
        </w:rPr>
      </w:pPr>
      <w:bookmarkStart w:id="240" w:name="_Toc57908860"/>
      <w:r>
        <w:rPr>
          <w:rFonts w:hint="eastAsia" w:ascii="仿宋_GB2312" w:eastAsia="仿宋_GB2312"/>
          <w:b/>
          <w:sz w:val="30"/>
          <w:szCs w:val="30"/>
        </w:rPr>
        <w:t>申请材料</w:t>
      </w:r>
      <w:bookmarkEnd w:id="240"/>
    </w:p>
    <w:p w14:paraId="5CDA6FC4">
      <w:pPr>
        <w:spacing w:line="600" w:lineRule="exact"/>
        <w:ind w:firstLine="600"/>
        <w:rPr>
          <w:rFonts w:ascii="仿宋_GB2312" w:eastAsia="仿宋_GB2312"/>
          <w:sz w:val="30"/>
          <w:szCs w:val="30"/>
        </w:rPr>
      </w:pPr>
      <w:r>
        <w:rPr>
          <w:rFonts w:hint="eastAsia" w:ascii="仿宋_GB2312" w:eastAsia="仿宋_GB2312"/>
          <w:sz w:val="30"/>
          <w:szCs w:val="30"/>
        </w:rPr>
        <w:t>【非会员机构申请材料】</w:t>
      </w:r>
    </w:p>
    <w:p w14:paraId="082AD5D4">
      <w:pPr>
        <w:spacing w:line="600" w:lineRule="exact"/>
        <w:ind w:firstLine="600"/>
        <w:rPr>
          <w:rFonts w:ascii="仿宋_GB2312" w:eastAsia="仿宋_GB2312"/>
          <w:sz w:val="30"/>
          <w:szCs w:val="30"/>
        </w:rPr>
      </w:pPr>
      <w:r>
        <w:rPr>
          <w:rFonts w:hint="eastAsia" w:ascii="仿宋_GB2312" w:eastAsia="仿宋_GB2312"/>
          <w:sz w:val="30"/>
          <w:szCs w:val="30"/>
        </w:rPr>
        <w:t>非会员机构申请成为债券交易参与人,应向本所提交以下材料，申请材料均应加盖机构公章：</w:t>
      </w:r>
    </w:p>
    <w:p w14:paraId="00E66ADC">
      <w:pPr>
        <w:spacing w:line="600" w:lineRule="exact"/>
        <w:ind w:firstLine="600"/>
        <w:rPr>
          <w:rFonts w:ascii="仿宋_GB2312" w:eastAsia="仿宋_GB2312"/>
          <w:sz w:val="30"/>
          <w:szCs w:val="30"/>
        </w:rPr>
      </w:pPr>
      <w:r>
        <w:rPr>
          <w:rFonts w:hint="eastAsia" w:ascii="仿宋_GB2312" w:eastAsia="仿宋_GB2312"/>
          <w:sz w:val="30"/>
          <w:szCs w:val="30"/>
        </w:rPr>
        <w:t>（1）《债券交易参与人申请表》（附件1）；</w:t>
      </w:r>
    </w:p>
    <w:p w14:paraId="19402D48">
      <w:pPr>
        <w:spacing w:line="600" w:lineRule="exact"/>
        <w:ind w:firstLine="600"/>
        <w:rPr>
          <w:rFonts w:ascii="仿宋_GB2312" w:eastAsia="仿宋_GB2312"/>
          <w:sz w:val="30"/>
          <w:szCs w:val="30"/>
        </w:rPr>
      </w:pPr>
      <w:r>
        <w:rPr>
          <w:rFonts w:hint="eastAsia" w:ascii="仿宋_GB2312" w:eastAsia="仿宋_GB2312"/>
          <w:sz w:val="30"/>
          <w:szCs w:val="30"/>
        </w:rPr>
        <w:t>（2）营业执照复印件；</w:t>
      </w:r>
    </w:p>
    <w:p w14:paraId="69ABA909">
      <w:pPr>
        <w:spacing w:line="600" w:lineRule="exact"/>
        <w:ind w:firstLine="600"/>
        <w:rPr>
          <w:rFonts w:ascii="仿宋_GB2312" w:eastAsia="仿宋_GB2312"/>
          <w:sz w:val="30"/>
          <w:szCs w:val="30"/>
        </w:rPr>
      </w:pPr>
      <w:r>
        <w:rPr>
          <w:rFonts w:hint="eastAsia" w:ascii="仿宋_GB2312" w:eastAsia="仿宋_GB2312"/>
          <w:sz w:val="30"/>
          <w:szCs w:val="30"/>
        </w:rPr>
        <w:t>（3）金融机构营业许可证复印件（如有）；</w:t>
      </w:r>
    </w:p>
    <w:p w14:paraId="06E5E1D7">
      <w:pPr>
        <w:spacing w:line="600" w:lineRule="exact"/>
        <w:ind w:firstLine="600"/>
        <w:rPr>
          <w:rFonts w:ascii="仿宋_GB2312" w:eastAsia="仿宋_GB2312"/>
          <w:sz w:val="30"/>
          <w:szCs w:val="30"/>
        </w:rPr>
      </w:pPr>
      <w:r>
        <w:rPr>
          <w:rFonts w:hint="eastAsia" w:ascii="仿宋_GB2312" w:eastAsia="仿宋_GB2312"/>
          <w:sz w:val="30"/>
          <w:szCs w:val="30"/>
        </w:rPr>
        <w:t>（4）关于以下情况的说明：注册资本、净资产或者管理资产情况，债券交易业务及风险管理制度，债券交易部门设置及业务人员配备情况，债券交易相关技术系统建设情况，关于近2年来债券投资交易情况（包括交易所市场及银行间市场投资交易情况）等；</w:t>
      </w:r>
    </w:p>
    <w:p w14:paraId="0A322F1D">
      <w:pPr>
        <w:spacing w:line="600" w:lineRule="exact"/>
        <w:ind w:firstLine="600"/>
        <w:rPr>
          <w:rFonts w:ascii="仿宋_GB2312" w:eastAsia="仿宋_GB2312"/>
          <w:sz w:val="30"/>
          <w:szCs w:val="30"/>
        </w:rPr>
      </w:pPr>
      <w:r>
        <w:rPr>
          <w:rFonts w:hint="eastAsia" w:ascii="仿宋_GB2312" w:eastAsia="仿宋_GB2312"/>
          <w:sz w:val="30"/>
          <w:szCs w:val="30"/>
        </w:rPr>
        <w:t>（5）本所要求的其他材料。</w:t>
      </w:r>
    </w:p>
    <w:p w14:paraId="6BAFAB32">
      <w:pPr>
        <w:numPr>
          <w:ilvl w:val="2"/>
          <w:numId w:val="4"/>
        </w:numPr>
        <w:spacing w:line="600" w:lineRule="exact"/>
        <w:ind w:left="0" w:firstLine="0"/>
        <w:outlineLvl w:val="2"/>
        <w:rPr>
          <w:rFonts w:ascii="仿宋_GB2312" w:eastAsia="仿宋_GB2312"/>
          <w:b/>
          <w:sz w:val="30"/>
          <w:szCs w:val="30"/>
        </w:rPr>
      </w:pPr>
      <w:bookmarkStart w:id="241" w:name="_Toc57908861"/>
      <w:r>
        <w:rPr>
          <w:rFonts w:hint="eastAsia" w:ascii="仿宋_GB2312" w:eastAsia="仿宋_GB2312"/>
          <w:b/>
          <w:sz w:val="30"/>
          <w:szCs w:val="30"/>
        </w:rPr>
        <w:t>申请流程</w:t>
      </w:r>
      <w:bookmarkEnd w:id="241"/>
    </w:p>
    <w:p w14:paraId="1C3C874C">
      <w:pPr>
        <w:spacing w:line="600" w:lineRule="exact"/>
        <w:ind w:firstLine="600"/>
        <w:rPr>
          <w:rFonts w:ascii="仿宋_GB2312" w:eastAsia="仿宋_GB2312"/>
          <w:sz w:val="30"/>
          <w:szCs w:val="30"/>
        </w:rPr>
      </w:pPr>
      <w:r>
        <w:rPr>
          <w:rFonts w:hint="eastAsia" w:ascii="仿宋_GB2312" w:eastAsia="仿宋_GB2312"/>
          <w:sz w:val="30"/>
          <w:szCs w:val="30"/>
        </w:rPr>
        <w:t>非会员机构申请受理流程:</w:t>
      </w:r>
    </w:p>
    <w:p w14:paraId="5EB95CE9">
      <w:pPr>
        <w:spacing w:line="600" w:lineRule="exact"/>
        <w:ind w:firstLine="600"/>
        <w:rPr>
          <w:rFonts w:ascii="仿宋_GB2312" w:eastAsia="仿宋_GB2312"/>
          <w:sz w:val="30"/>
          <w:szCs w:val="30"/>
        </w:rPr>
      </w:pPr>
      <w:r>
        <w:rPr>
          <w:rFonts w:ascii="仿宋_GB2312" w:eastAsia="仿宋_GB2312"/>
          <w:sz w:val="30"/>
          <w:szCs w:val="30"/>
        </w:rPr>
        <w:fldChar w:fldCharType="begin"/>
      </w:r>
      <w:r>
        <w:rPr>
          <w:rFonts w:ascii="仿宋_GB2312" w:eastAsia="仿宋_GB2312"/>
          <w:sz w:val="30"/>
          <w:szCs w:val="30"/>
        </w:rPr>
        <w:instrText xml:space="preserve"> </w:instrText>
      </w:r>
      <w:r>
        <w:rPr>
          <w:rFonts w:hint="eastAsia" w:ascii="仿宋_GB2312" w:eastAsia="仿宋_GB2312"/>
          <w:sz w:val="30"/>
          <w:szCs w:val="30"/>
        </w:rPr>
        <w:instrText xml:space="preserve">= 1 \* GB3</w:instrText>
      </w:r>
      <w:r>
        <w:rPr>
          <w:rFonts w:ascii="仿宋_GB2312" w:eastAsia="仿宋_GB2312"/>
          <w:sz w:val="30"/>
          <w:szCs w:val="30"/>
        </w:rPr>
        <w:instrText xml:space="preserve"> </w:instrText>
      </w:r>
      <w:r>
        <w:rPr>
          <w:rFonts w:ascii="仿宋_GB2312" w:eastAsia="仿宋_GB2312"/>
          <w:sz w:val="30"/>
          <w:szCs w:val="30"/>
        </w:rPr>
        <w:fldChar w:fldCharType="separate"/>
      </w:r>
      <w:r>
        <w:rPr>
          <w:rFonts w:hint="eastAsia" w:ascii="仿宋_GB2312" w:eastAsia="仿宋_GB2312"/>
          <w:sz w:val="30"/>
          <w:szCs w:val="30"/>
        </w:rPr>
        <w:t>①</w:t>
      </w:r>
      <w:r>
        <w:rPr>
          <w:rFonts w:ascii="仿宋_GB2312" w:eastAsia="仿宋_GB2312"/>
          <w:sz w:val="30"/>
          <w:szCs w:val="30"/>
        </w:rPr>
        <w:fldChar w:fldCharType="end"/>
      </w:r>
      <w:r>
        <w:rPr>
          <w:rFonts w:hint="eastAsia" w:ascii="仿宋_GB2312" w:eastAsia="仿宋_GB2312"/>
          <w:sz w:val="30"/>
          <w:szCs w:val="30"/>
        </w:rPr>
        <w:t>【邮件发送申请材料及数字证书申请】</w:t>
      </w:r>
      <w:r>
        <w:rPr>
          <w:rFonts w:ascii="仿宋_GB2312" w:eastAsia="仿宋_GB2312"/>
          <w:sz w:val="30"/>
          <w:szCs w:val="30"/>
        </w:rPr>
        <w:sym w:font="Wingdings" w:char="F0E0"/>
      </w:r>
      <w:r>
        <w:rPr>
          <w:rFonts w:ascii="仿宋_GB2312" w:eastAsia="仿宋_GB2312"/>
          <w:sz w:val="30"/>
          <w:szCs w:val="30"/>
        </w:rPr>
        <w:fldChar w:fldCharType="begin"/>
      </w:r>
      <w:r>
        <w:rPr>
          <w:rFonts w:ascii="仿宋_GB2312" w:eastAsia="仿宋_GB2312"/>
          <w:sz w:val="30"/>
          <w:szCs w:val="30"/>
        </w:rPr>
        <w:instrText xml:space="preserve"> </w:instrText>
      </w:r>
      <w:r>
        <w:rPr>
          <w:rFonts w:hint="eastAsia" w:ascii="仿宋_GB2312" w:eastAsia="仿宋_GB2312"/>
          <w:sz w:val="30"/>
          <w:szCs w:val="30"/>
        </w:rPr>
        <w:instrText xml:space="preserve">= 2 \* GB3</w:instrText>
      </w:r>
      <w:r>
        <w:rPr>
          <w:rFonts w:ascii="仿宋_GB2312" w:eastAsia="仿宋_GB2312"/>
          <w:sz w:val="30"/>
          <w:szCs w:val="30"/>
        </w:rPr>
        <w:instrText xml:space="preserve"> </w:instrText>
      </w:r>
      <w:r>
        <w:rPr>
          <w:rFonts w:ascii="仿宋_GB2312" w:eastAsia="仿宋_GB2312"/>
          <w:sz w:val="30"/>
          <w:szCs w:val="30"/>
        </w:rPr>
        <w:fldChar w:fldCharType="separate"/>
      </w:r>
      <w:r>
        <w:rPr>
          <w:rFonts w:hint="eastAsia" w:ascii="仿宋_GB2312" w:eastAsia="仿宋_GB2312"/>
          <w:sz w:val="30"/>
          <w:szCs w:val="30"/>
        </w:rPr>
        <w:t>②</w:t>
      </w:r>
      <w:r>
        <w:rPr>
          <w:rFonts w:ascii="仿宋_GB2312" w:eastAsia="仿宋_GB2312"/>
          <w:sz w:val="30"/>
          <w:szCs w:val="30"/>
        </w:rPr>
        <w:fldChar w:fldCharType="end"/>
      </w:r>
      <w:r>
        <w:rPr>
          <w:rFonts w:hint="eastAsia" w:ascii="仿宋_GB2312" w:eastAsia="仿宋_GB2312"/>
          <w:sz w:val="30"/>
          <w:szCs w:val="30"/>
        </w:rPr>
        <w:t>【非会员机构办理机构新设】</w:t>
      </w:r>
      <w:r>
        <w:rPr>
          <w:rFonts w:ascii="仿宋_GB2312" w:eastAsia="仿宋_GB2312"/>
          <w:sz w:val="30"/>
          <w:szCs w:val="30"/>
        </w:rPr>
        <w:sym w:font="Wingdings" w:char="F0E0"/>
      </w:r>
      <w:r>
        <w:rPr>
          <w:rFonts w:ascii="仿宋_GB2312" w:eastAsia="仿宋_GB2312"/>
          <w:sz w:val="30"/>
          <w:szCs w:val="30"/>
        </w:rPr>
        <w:fldChar w:fldCharType="begin"/>
      </w:r>
      <w:r>
        <w:rPr>
          <w:rFonts w:ascii="仿宋_GB2312" w:eastAsia="仿宋_GB2312"/>
          <w:sz w:val="30"/>
          <w:szCs w:val="30"/>
        </w:rPr>
        <w:instrText xml:space="preserve"> </w:instrText>
      </w:r>
      <w:r>
        <w:rPr>
          <w:rFonts w:hint="eastAsia" w:ascii="仿宋_GB2312" w:eastAsia="仿宋_GB2312"/>
          <w:sz w:val="30"/>
          <w:szCs w:val="30"/>
        </w:rPr>
        <w:instrText xml:space="preserve">= 3 \* GB3</w:instrText>
      </w:r>
      <w:r>
        <w:rPr>
          <w:rFonts w:ascii="仿宋_GB2312" w:eastAsia="仿宋_GB2312"/>
          <w:sz w:val="30"/>
          <w:szCs w:val="30"/>
        </w:rPr>
        <w:instrText xml:space="preserve"> </w:instrText>
      </w:r>
      <w:r>
        <w:rPr>
          <w:rFonts w:ascii="仿宋_GB2312" w:eastAsia="仿宋_GB2312"/>
          <w:sz w:val="30"/>
          <w:szCs w:val="30"/>
        </w:rPr>
        <w:fldChar w:fldCharType="separate"/>
      </w:r>
      <w:r>
        <w:rPr>
          <w:rFonts w:hint="eastAsia" w:ascii="仿宋_GB2312" w:eastAsia="仿宋_GB2312"/>
          <w:sz w:val="30"/>
          <w:szCs w:val="30"/>
        </w:rPr>
        <w:t>③</w:t>
      </w:r>
      <w:r>
        <w:rPr>
          <w:rFonts w:ascii="仿宋_GB2312" w:eastAsia="仿宋_GB2312"/>
          <w:sz w:val="30"/>
          <w:szCs w:val="30"/>
        </w:rPr>
        <w:fldChar w:fldCharType="end"/>
      </w:r>
      <w:r>
        <w:rPr>
          <w:rFonts w:hint="eastAsia" w:ascii="仿宋_GB2312" w:eastAsia="仿宋_GB2312"/>
          <w:sz w:val="30"/>
          <w:szCs w:val="30"/>
        </w:rPr>
        <w:t>【确定结算路径】</w:t>
      </w:r>
      <w:r>
        <w:rPr>
          <w:rFonts w:ascii="仿宋_GB2312" w:eastAsia="仿宋_GB2312"/>
          <w:sz w:val="30"/>
          <w:szCs w:val="30"/>
        </w:rPr>
        <w:sym w:font="Wingdings" w:char="F0E0"/>
      </w:r>
      <w:r>
        <w:rPr>
          <w:rFonts w:ascii="仿宋_GB2312" w:eastAsia="仿宋_GB2312"/>
          <w:sz w:val="30"/>
          <w:szCs w:val="30"/>
        </w:rPr>
        <w:fldChar w:fldCharType="begin"/>
      </w:r>
      <w:r>
        <w:rPr>
          <w:rFonts w:ascii="仿宋_GB2312" w:eastAsia="仿宋_GB2312"/>
          <w:sz w:val="30"/>
          <w:szCs w:val="30"/>
        </w:rPr>
        <w:instrText xml:space="preserve"> </w:instrText>
      </w:r>
      <w:r>
        <w:rPr>
          <w:rFonts w:hint="eastAsia" w:ascii="仿宋_GB2312" w:eastAsia="仿宋_GB2312"/>
          <w:sz w:val="30"/>
          <w:szCs w:val="30"/>
        </w:rPr>
        <w:instrText xml:space="preserve">= 4 \* GB3</w:instrText>
      </w:r>
      <w:r>
        <w:rPr>
          <w:rFonts w:ascii="仿宋_GB2312" w:eastAsia="仿宋_GB2312"/>
          <w:sz w:val="30"/>
          <w:szCs w:val="30"/>
        </w:rPr>
        <w:instrText xml:space="preserve"> </w:instrText>
      </w:r>
      <w:r>
        <w:rPr>
          <w:rFonts w:ascii="仿宋_GB2312" w:eastAsia="仿宋_GB2312"/>
          <w:sz w:val="30"/>
          <w:szCs w:val="30"/>
        </w:rPr>
        <w:fldChar w:fldCharType="separate"/>
      </w:r>
      <w:r>
        <w:rPr>
          <w:rFonts w:hint="eastAsia" w:ascii="仿宋_GB2312" w:eastAsia="仿宋_GB2312"/>
          <w:sz w:val="30"/>
          <w:szCs w:val="30"/>
        </w:rPr>
        <w:t>④</w:t>
      </w:r>
      <w:r>
        <w:rPr>
          <w:rFonts w:ascii="仿宋_GB2312" w:eastAsia="仿宋_GB2312"/>
          <w:sz w:val="30"/>
          <w:szCs w:val="30"/>
        </w:rPr>
        <w:fldChar w:fldCharType="end"/>
      </w:r>
      <w:r>
        <w:rPr>
          <w:rFonts w:hint="eastAsia" w:ascii="仿宋_GB2312" w:eastAsia="仿宋_GB2312"/>
          <w:sz w:val="30"/>
          <w:szCs w:val="30"/>
        </w:rPr>
        <w:t>【非会员机构新设交易单元】</w:t>
      </w:r>
      <w:r>
        <w:rPr>
          <w:rFonts w:ascii="仿宋_GB2312" w:eastAsia="仿宋_GB2312"/>
          <w:sz w:val="30"/>
          <w:szCs w:val="30"/>
        </w:rPr>
        <w:sym w:font="Wingdings" w:char="F0E0"/>
      </w:r>
      <w:r>
        <w:rPr>
          <w:rFonts w:hint="eastAsia" w:ascii="仿宋_GB2312" w:eastAsia="仿宋_GB2312"/>
          <w:sz w:val="30"/>
          <w:szCs w:val="30"/>
        </w:rPr>
        <w:t>【</w:t>
      </w:r>
      <w:r>
        <w:rPr>
          <w:rFonts w:hint="eastAsia" w:ascii="仿宋_GB2312" w:eastAsia="仿宋_GB2312"/>
          <w:sz w:val="30"/>
          <w:szCs w:val="30"/>
          <w:lang w:eastAsia="zh-CN"/>
        </w:rPr>
        <w:t>新固收</w:t>
      </w:r>
      <w:r>
        <w:rPr>
          <w:rFonts w:hint="eastAsia" w:ascii="仿宋_GB2312" w:eastAsia="仿宋_GB2312"/>
          <w:sz w:val="30"/>
          <w:szCs w:val="30"/>
        </w:rPr>
        <w:t>权限开通】</w:t>
      </w:r>
    </w:p>
    <w:p w14:paraId="2FC68910">
      <w:pPr>
        <w:spacing w:line="600" w:lineRule="exact"/>
        <w:ind w:firstLine="601"/>
        <w:rPr>
          <w:rFonts w:ascii="仿宋_GB2312" w:eastAsia="仿宋_GB2312"/>
          <w:sz w:val="30"/>
          <w:szCs w:val="30"/>
        </w:rPr>
      </w:pPr>
      <w:r>
        <w:rPr>
          <w:rFonts w:ascii="仿宋_GB2312" w:eastAsia="仿宋_GB2312"/>
          <w:sz w:val="30"/>
          <w:szCs w:val="30"/>
        </w:rPr>
        <w:fldChar w:fldCharType="begin"/>
      </w:r>
      <w:r>
        <w:rPr>
          <w:rFonts w:ascii="仿宋_GB2312" w:eastAsia="仿宋_GB2312"/>
          <w:sz w:val="30"/>
          <w:szCs w:val="30"/>
        </w:rPr>
        <w:instrText xml:space="preserve"> </w:instrText>
      </w:r>
      <w:r>
        <w:rPr>
          <w:rFonts w:hint="eastAsia" w:ascii="仿宋_GB2312" w:eastAsia="仿宋_GB2312"/>
          <w:sz w:val="30"/>
          <w:szCs w:val="30"/>
        </w:rPr>
        <w:instrText xml:space="preserve">= 1 \* GB3</w:instrText>
      </w:r>
      <w:r>
        <w:rPr>
          <w:rFonts w:ascii="仿宋_GB2312" w:eastAsia="仿宋_GB2312"/>
          <w:sz w:val="30"/>
          <w:szCs w:val="30"/>
        </w:rPr>
        <w:instrText xml:space="preserve"> </w:instrText>
      </w:r>
      <w:r>
        <w:rPr>
          <w:rFonts w:ascii="仿宋_GB2312" w:eastAsia="仿宋_GB2312"/>
          <w:sz w:val="30"/>
          <w:szCs w:val="30"/>
        </w:rPr>
        <w:fldChar w:fldCharType="separate"/>
      </w:r>
      <w:r>
        <w:rPr>
          <w:rFonts w:hint="eastAsia" w:ascii="仿宋_GB2312" w:eastAsia="仿宋_GB2312"/>
          <w:sz w:val="30"/>
          <w:szCs w:val="30"/>
        </w:rPr>
        <w:t>①</w:t>
      </w:r>
      <w:r>
        <w:rPr>
          <w:rFonts w:ascii="仿宋_GB2312" w:eastAsia="仿宋_GB2312"/>
          <w:sz w:val="30"/>
          <w:szCs w:val="30"/>
        </w:rPr>
        <w:fldChar w:fldCharType="end"/>
      </w:r>
      <w:r>
        <w:rPr>
          <w:rFonts w:hint="eastAsia" w:ascii="仿宋_GB2312" w:eastAsia="仿宋_GB2312"/>
          <w:sz w:val="30"/>
          <w:szCs w:val="30"/>
        </w:rPr>
        <w:t>【邮件发送申请材料及数字证书申请】</w:t>
      </w:r>
    </w:p>
    <w:p w14:paraId="6EBBFC5E">
      <w:pPr>
        <w:spacing w:line="600" w:lineRule="exact"/>
        <w:ind w:firstLine="600"/>
        <w:rPr>
          <w:rFonts w:ascii="仿宋_GB2312" w:eastAsia="仿宋_GB2312"/>
          <w:sz w:val="30"/>
          <w:szCs w:val="30"/>
        </w:rPr>
      </w:pPr>
      <w:r>
        <w:rPr>
          <w:rFonts w:hint="eastAsia" w:ascii="仿宋_GB2312" w:eastAsia="仿宋_GB2312"/>
          <w:sz w:val="30"/>
          <w:szCs w:val="30"/>
        </w:rPr>
        <w:t>非会员机构符合债券交易参与人申请条件且申请材料齐备的，可通过本所邮箱bondtrading@sse.com.cn进行提交。</w:t>
      </w:r>
    </w:p>
    <w:p w14:paraId="36E04744">
      <w:pPr>
        <w:spacing w:line="600" w:lineRule="exact"/>
        <w:ind w:firstLine="600"/>
        <w:rPr>
          <w:rFonts w:ascii="仿宋_GB2312" w:eastAsia="仿宋_GB2312"/>
          <w:sz w:val="30"/>
          <w:szCs w:val="30"/>
        </w:rPr>
      </w:pPr>
      <w:r>
        <w:rPr>
          <w:rFonts w:hint="eastAsia" w:ascii="仿宋_GB2312" w:eastAsia="仿宋_GB2312"/>
          <w:sz w:val="30"/>
          <w:szCs w:val="30"/>
        </w:rPr>
        <w:t>申请人符合规定条件的，本所自</w:t>
      </w:r>
      <w:r>
        <w:rPr>
          <w:rFonts w:hint="eastAsia" w:ascii="仿宋_GB2312" w:eastAsia="仿宋_GB2312"/>
          <w:color w:val="000000"/>
          <w:sz w:val="30"/>
          <w:szCs w:val="30"/>
        </w:rPr>
        <w:t>申请文件齐备并</w:t>
      </w:r>
      <w:r>
        <w:rPr>
          <w:rFonts w:ascii="仿宋_GB2312" w:eastAsia="仿宋_GB2312"/>
          <w:color w:val="000000"/>
          <w:sz w:val="30"/>
          <w:szCs w:val="30"/>
        </w:rPr>
        <w:t>予以受理</w:t>
      </w:r>
      <w:r>
        <w:rPr>
          <w:rFonts w:hint="eastAsia" w:ascii="仿宋_GB2312" w:eastAsia="仿宋_GB2312"/>
          <w:sz w:val="30"/>
          <w:szCs w:val="30"/>
        </w:rPr>
        <w:t>之日起10个交易日以内接受其成为债券交易参与人。本所及时向市场公告债券交易参与人名单及其变更情况。</w:t>
      </w:r>
    </w:p>
    <w:p w14:paraId="560BF480">
      <w:pPr>
        <w:spacing w:line="600" w:lineRule="exact"/>
        <w:ind w:firstLine="600"/>
        <w:rPr>
          <w:rFonts w:ascii="仿宋_GB2312" w:eastAsia="仿宋_GB2312"/>
          <w:sz w:val="30"/>
          <w:szCs w:val="30"/>
        </w:rPr>
      </w:pPr>
      <w:r>
        <w:rPr>
          <w:rFonts w:hint="eastAsia" w:ascii="仿宋_GB2312" w:eastAsia="仿宋_GB2312"/>
          <w:sz w:val="30"/>
          <w:szCs w:val="30"/>
        </w:rPr>
        <w:t>申请</w:t>
      </w:r>
      <w:r>
        <w:rPr>
          <w:rFonts w:ascii="仿宋_GB2312" w:eastAsia="仿宋_GB2312"/>
          <w:sz w:val="30"/>
          <w:szCs w:val="30"/>
        </w:rPr>
        <w:t>人</w:t>
      </w:r>
      <w:r>
        <w:rPr>
          <w:rFonts w:hint="eastAsia" w:ascii="仿宋_GB2312" w:eastAsia="仿宋_GB2312"/>
          <w:sz w:val="30"/>
          <w:szCs w:val="30"/>
        </w:rPr>
        <w:t>通过登录“CnSCA在线业务系统”（</w:t>
      </w:r>
      <w:r>
        <w:rPr>
          <w:rFonts w:ascii="仿宋_GB2312" w:eastAsia="仿宋_GB2312"/>
          <w:sz w:val="30"/>
          <w:szCs w:val="30"/>
        </w:rPr>
        <w:t>https://cnsca.sse.com.cn/</w:t>
      </w:r>
      <w:r>
        <w:rPr>
          <w:rFonts w:hint="eastAsia" w:ascii="仿宋_GB2312" w:eastAsia="仿宋_GB2312"/>
          <w:sz w:val="30"/>
          <w:szCs w:val="30"/>
        </w:rPr>
        <w:t>）进行“业务管理系统平台-会籍</w:t>
      </w:r>
      <w:r>
        <w:rPr>
          <w:rFonts w:ascii="仿宋_GB2312" w:eastAsia="仿宋_GB2312"/>
          <w:sz w:val="30"/>
          <w:szCs w:val="30"/>
        </w:rPr>
        <w:t>业务</w:t>
      </w:r>
      <w:r>
        <w:rPr>
          <w:rFonts w:hint="eastAsia" w:ascii="仿宋_GB2312" w:eastAsia="仿宋_GB2312"/>
          <w:sz w:val="30"/>
          <w:szCs w:val="30"/>
        </w:rPr>
        <w:t>”模块的数字</w:t>
      </w:r>
      <w:r>
        <w:rPr>
          <w:rFonts w:ascii="仿宋_GB2312" w:eastAsia="仿宋_GB2312"/>
          <w:sz w:val="30"/>
          <w:szCs w:val="30"/>
        </w:rPr>
        <w:t>证书申请，</w:t>
      </w:r>
      <w:r>
        <w:rPr>
          <w:rFonts w:hint="eastAsia" w:ascii="仿宋_GB2312" w:eastAsia="仿宋_GB2312"/>
          <w:sz w:val="30"/>
          <w:szCs w:val="30"/>
        </w:rPr>
        <w:t>并获取相应的</w:t>
      </w:r>
      <w:r>
        <w:rPr>
          <w:rFonts w:ascii="仿宋_GB2312" w:eastAsia="仿宋_GB2312"/>
          <w:sz w:val="30"/>
          <w:szCs w:val="30"/>
        </w:rPr>
        <w:t>用户名和密码，</w:t>
      </w:r>
      <w:r>
        <w:rPr>
          <w:rFonts w:hint="eastAsia" w:ascii="仿宋_GB2312" w:eastAsia="仿宋_GB2312"/>
          <w:sz w:val="30"/>
          <w:szCs w:val="30"/>
        </w:rPr>
        <w:t>C</w:t>
      </w:r>
      <w:r>
        <w:rPr>
          <w:rFonts w:ascii="仿宋_GB2312" w:eastAsia="仿宋_GB2312"/>
          <w:sz w:val="30"/>
          <w:szCs w:val="30"/>
        </w:rPr>
        <w:t>A</w:t>
      </w:r>
      <w:r>
        <w:rPr>
          <w:rFonts w:hint="eastAsia" w:ascii="仿宋_GB2312" w:eastAsia="仿宋_GB2312"/>
          <w:sz w:val="30"/>
          <w:szCs w:val="30"/>
        </w:rPr>
        <w:t>中心一般在收到业务审核通过后的3-5个工作日内发放数字证书。</w:t>
      </w:r>
    </w:p>
    <w:p w14:paraId="31C7DC9C">
      <w:pPr>
        <w:spacing w:line="600" w:lineRule="exact"/>
        <w:ind w:firstLine="600"/>
        <w:rPr>
          <w:rFonts w:ascii="仿宋_GB2312" w:eastAsia="仿宋_GB2312"/>
          <w:sz w:val="30"/>
          <w:szCs w:val="30"/>
        </w:rPr>
      </w:pPr>
      <w:r>
        <w:rPr>
          <w:rFonts w:hint="eastAsia" w:ascii="仿宋_GB2312" w:eastAsia="仿宋_GB2312"/>
          <w:sz w:val="30"/>
          <w:szCs w:val="30"/>
        </w:rPr>
        <w:t>数字证书在线申请流程</w:t>
      </w:r>
      <w:r>
        <w:rPr>
          <w:rFonts w:ascii="仿宋_GB2312" w:eastAsia="仿宋_GB2312"/>
          <w:sz w:val="30"/>
          <w:szCs w:val="30"/>
        </w:rPr>
        <w:t>：</w:t>
      </w:r>
    </w:p>
    <w:p w14:paraId="3C126588">
      <w:pPr>
        <w:spacing w:line="600" w:lineRule="exact"/>
        <w:ind w:firstLine="600"/>
        <w:rPr>
          <w:rFonts w:ascii="仿宋_GB2312" w:eastAsia="仿宋_GB2312"/>
          <w:sz w:val="30"/>
          <w:szCs w:val="30"/>
        </w:rPr>
      </w:pPr>
      <w:r>
        <w:rPr>
          <w:rFonts w:hint="eastAsia" w:ascii="仿宋_GB2312" w:eastAsia="仿宋_GB2312"/>
          <w:sz w:val="30"/>
          <w:szCs w:val="30"/>
        </w:rPr>
        <w:t xml:space="preserve">http://www.sse.com.cn/home/biz/cnsca/process/operation/ </w:t>
      </w:r>
    </w:p>
    <w:p w14:paraId="2B8AD72F">
      <w:pPr>
        <w:spacing w:line="600" w:lineRule="exact"/>
        <w:ind w:firstLine="600"/>
        <w:rPr>
          <w:rFonts w:ascii="仿宋_GB2312" w:eastAsia="仿宋_GB2312"/>
          <w:sz w:val="30"/>
          <w:szCs w:val="30"/>
          <w:highlight w:val="none"/>
        </w:rPr>
      </w:pPr>
      <w:r>
        <w:rPr>
          <w:rFonts w:hint="eastAsia" w:ascii="仿宋_GB2312" w:eastAsia="仿宋_GB2312"/>
          <w:sz w:val="30"/>
          <w:szCs w:val="30"/>
          <w:highlight w:val="none"/>
        </w:rPr>
        <w:t>数字证书</w:t>
      </w:r>
      <w:r>
        <w:rPr>
          <w:rFonts w:ascii="仿宋_GB2312" w:eastAsia="仿宋_GB2312"/>
          <w:sz w:val="30"/>
          <w:szCs w:val="30"/>
          <w:highlight w:val="none"/>
        </w:rPr>
        <w:t>支持电话</w:t>
      </w:r>
      <w:r>
        <w:rPr>
          <w:rFonts w:hint="eastAsia" w:ascii="仿宋_GB2312" w:eastAsia="仿宋_GB2312"/>
          <w:sz w:val="30"/>
          <w:szCs w:val="30"/>
          <w:highlight w:val="none"/>
        </w:rPr>
        <w:t>：4008888400按键2-4</w:t>
      </w:r>
    </w:p>
    <w:p w14:paraId="14227F4E">
      <w:pPr>
        <w:spacing w:line="600" w:lineRule="exact"/>
        <w:ind w:firstLine="601"/>
        <w:rPr>
          <w:rFonts w:ascii="仿宋_GB2312" w:eastAsia="仿宋_GB2312"/>
          <w:sz w:val="30"/>
          <w:szCs w:val="30"/>
        </w:rPr>
      </w:pPr>
      <w:r>
        <w:rPr>
          <w:rFonts w:ascii="仿宋_GB2312" w:eastAsia="仿宋_GB2312"/>
          <w:sz w:val="30"/>
          <w:szCs w:val="30"/>
        </w:rPr>
        <w:fldChar w:fldCharType="begin"/>
      </w:r>
      <w:r>
        <w:rPr>
          <w:rFonts w:ascii="仿宋_GB2312" w:eastAsia="仿宋_GB2312"/>
          <w:sz w:val="30"/>
          <w:szCs w:val="30"/>
        </w:rPr>
        <w:instrText xml:space="preserve"> </w:instrText>
      </w:r>
      <w:r>
        <w:rPr>
          <w:rFonts w:hint="eastAsia" w:ascii="仿宋_GB2312" w:eastAsia="仿宋_GB2312"/>
          <w:sz w:val="30"/>
          <w:szCs w:val="30"/>
        </w:rPr>
        <w:instrText xml:space="preserve">= 2 \* GB3</w:instrText>
      </w:r>
      <w:r>
        <w:rPr>
          <w:rFonts w:ascii="仿宋_GB2312" w:eastAsia="仿宋_GB2312"/>
          <w:sz w:val="30"/>
          <w:szCs w:val="30"/>
        </w:rPr>
        <w:instrText xml:space="preserve"> </w:instrText>
      </w:r>
      <w:r>
        <w:rPr>
          <w:rFonts w:ascii="仿宋_GB2312" w:eastAsia="仿宋_GB2312"/>
          <w:sz w:val="30"/>
          <w:szCs w:val="30"/>
        </w:rPr>
        <w:fldChar w:fldCharType="separate"/>
      </w:r>
      <w:r>
        <w:rPr>
          <w:rFonts w:hint="eastAsia" w:ascii="仿宋_GB2312" w:eastAsia="仿宋_GB2312"/>
          <w:sz w:val="30"/>
          <w:szCs w:val="30"/>
        </w:rPr>
        <w:t>②</w:t>
      </w:r>
      <w:r>
        <w:rPr>
          <w:rFonts w:ascii="仿宋_GB2312" w:eastAsia="仿宋_GB2312"/>
          <w:sz w:val="30"/>
          <w:szCs w:val="30"/>
        </w:rPr>
        <w:fldChar w:fldCharType="end"/>
      </w:r>
      <w:r>
        <w:rPr>
          <w:rFonts w:hint="eastAsia" w:ascii="仿宋_GB2312" w:eastAsia="仿宋_GB2312"/>
          <w:sz w:val="30"/>
          <w:szCs w:val="30"/>
        </w:rPr>
        <w:t>【非会员机构办理机构新设】</w:t>
      </w:r>
    </w:p>
    <w:p w14:paraId="1F4D2368">
      <w:pPr>
        <w:spacing w:line="600" w:lineRule="exact"/>
        <w:ind w:firstLine="600"/>
        <w:jc w:val="left"/>
        <w:rPr>
          <w:rFonts w:ascii="仿宋_GB2312" w:eastAsia="仿宋_GB2312"/>
          <w:sz w:val="30"/>
          <w:szCs w:val="30"/>
        </w:rPr>
      </w:pPr>
      <w:r>
        <w:rPr>
          <w:rFonts w:hint="eastAsia" w:ascii="仿宋_GB2312" w:eastAsia="仿宋_GB2312"/>
          <w:sz w:val="30"/>
          <w:szCs w:val="30"/>
        </w:rPr>
        <w:t>（1）访问上交所</w:t>
      </w:r>
      <w:r>
        <w:rPr>
          <w:rFonts w:ascii="仿宋_GB2312" w:eastAsia="仿宋_GB2312"/>
          <w:sz w:val="30"/>
          <w:szCs w:val="30"/>
        </w:rPr>
        <w:t>会员业务一站式服务平台</w:t>
      </w:r>
      <w:r>
        <w:rPr>
          <w:rFonts w:hint="eastAsia" w:ascii="仿宋_GB2312" w:eastAsia="仿宋_GB2312"/>
          <w:sz w:val="30"/>
          <w:szCs w:val="30"/>
        </w:rPr>
        <w:t>（</w:t>
      </w:r>
      <w:r>
        <w:rPr>
          <w:rFonts w:ascii="仿宋_GB2312" w:eastAsia="仿宋_GB2312"/>
          <w:sz w:val="30"/>
          <w:szCs w:val="30"/>
        </w:rPr>
        <w:t>http://biz.sse.com.cn/member/</w:t>
      </w:r>
      <w:r>
        <w:rPr>
          <w:rFonts w:hint="eastAsia" w:ascii="仿宋_GB2312" w:eastAsia="仿宋_GB2312"/>
          <w:sz w:val="30"/>
          <w:szCs w:val="30"/>
        </w:rPr>
        <w:t>），使用上交所信息公司颁发的数字证书，输入证书密码，登录上交所“业务管理系统平台-会籍</w:t>
      </w:r>
      <w:r>
        <w:rPr>
          <w:rFonts w:ascii="仿宋_GB2312" w:eastAsia="仿宋_GB2312"/>
          <w:sz w:val="30"/>
          <w:szCs w:val="30"/>
        </w:rPr>
        <w:t>业务</w:t>
      </w:r>
      <w:r>
        <w:rPr>
          <w:rFonts w:hint="eastAsia" w:ascii="仿宋_GB2312" w:eastAsia="仿宋_GB2312"/>
          <w:sz w:val="30"/>
          <w:szCs w:val="30"/>
        </w:rPr>
        <w:t>”模块（</w:t>
      </w:r>
      <w:r>
        <w:fldChar w:fldCharType="begin"/>
      </w:r>
      <w:r>
        <w:instrText xml:space="preserve"> HYPERLINK "https://bmsp.uap.sse.com.cn" </w:instrText>
      </w:r>
      <w:r>
        <w:fldChar w:fldCharType="separate"/>
      </w:r>
      <w:r>
        <w:rPr>
          <w:rFonts w:hint="eastAsia" w:ascii="仿宋_GB2312" w:eastAsia="仿宋_GB2312"/>
          <w:sz w:val="30"/>
          <w:szCs w:val="30"/>
        </w:rPr>
        <w:t>h</w:t>
      </w:r>
      <w:r>
        <w:rPr>
          <w:rFonts w:ascii="仿宋_GB2312" w:eastAsia="仿宋_GB2312"/>
          <w:sz w:val="30"/>
          <w:szCs w:val="30"/>
        </w:rPr>
        <w:t>ttps://bmsp.</w:t>
      </w:r>
      <w:r>
        <w:rPr>
          <w:rFonts w:hint="eastAsia" w:ascii="仿宋_GB2312" w:eastAsia="仿宋_GB2312"/>
          <w:sz w:val="30"/>
          <w:szCs w:val="30"/>
        </w:rPr>
        <w:t>uap.sse</w:t>
      </w:r>
      <w:r>
        <w:rPr>
          <w:rFonts w:ascii="仿宋_GB2312" w:eastAsia="仿宋_GB2312"/>
          <w:sz w:val="30"/>
          <w:szCs w:val="30"/>
        </w:rPr>
        <w:t>.com.cn</w:t>
      </w:r>
      <w:r>
        <w:rPr>
          <w:rFonts w:ascii="仿宋_GB2312" w:eastAsia="仿宋_GB2312"/>
          <w:sz w:val="30"/>
          <w:szCs w:val="30"/>
        </w:rPr>
        <w:fldChar w:fldCharType="end"/>
      </w:r>
      <w:r>
        <w:rPr>
          <w:rFonts w:hint="eastAsia" w:ascii="仿宋_GB2312" w:eastAsia="仿宋_GB2312"/>
          <w:sz w:val="30"/>
          <w:szCs w:val="30"/>
        </w:rPr>
        <w:t>，</w:t>
      </w:r>
      <w:r>
        <w:rPr>
          <w:rFonts w:ascii="仿宋_GB2312" w:eastAsia="仿宋_GB2312"/>
          <w:sz w:val="30"/>
          <w:szCs w:val="30"/>
        </w:rPr>
        <w:t>以下简称会籍业务平台</w:t>
      </w:r>
      <w:r>
        <w:rPr>
          <w:rFonts w:hint="eastAsia" w:ascii="仿宋_GB2312" w:eastAsia="仿宋_GB2312"/>
          <w:sz w:val="30"/>
          <w:szCs w:val="30"/>
        </w:rPr>
        <w:t>）。</w:t>
      </w:r>
    </w:p>
    <w:p w14:paraId="06659C26">
      <w:pPr>
        <w:spacing w:line="600" w:lineRule="exact"/>
        <w:ind w:firstLine="600"/>
        <w:jc w:val="left"/>
        <w:rPr>
          <w:rFonts w:ascii="仿宋_GB2312" w:eastAsia="仿宋_GB2312"/>
          <w:sz w:val="30"/>
          <w:szCs w:val="30"/>
        </w:rPr>
      </w:pPr>
      <w:r>
        <w:rPr>
          <w:rFonts w:hint="eastAsia" w:ascii="仿宋_GB2312" w:eastAsia="仿宋_GB2312"/>
          <w:sz w:val="30"/>
          <w:szCs w:val="30"/>
        </w:rPr>
        <w:t>（2）进入系统登录页面，使用非会员机构用户进行登录，非会员机构用户类型，用户名插入数字证书后自动跳出，密码</w:t>
      </w:r>
      <w:r>
        <w:rPr>
          <w:rFonts w:ascii="仿宋_GB2312" w:eastAsia="仿宋_GB2312"/>
          <w:sz w:val="30"/>
          <w:szCs w:val="30"/>
        </w:rPr>
        <w:t>“xxxxx</w:t>
      </w:r>
      <w:r>
        <w:rPr>
          <w:rFonts w:hint="eastAsia" w:ascii="仿宋_GB2312" w:eastAsia="仿宋_GB2312"/>
          <w:sz w:val="30"/>
          <w:szCs w:val="30"/>
        </w:rPr>
        <w:t>”为阿拉伯数字。</w:t>
      </w:r>
    </w:p>
    <w:p w14:paraId="7C79611A">
      <w:pPr>
        <w:spacing w:line="600" w:lineRule="exact"/>
        <w:ind w:firstLine="600"/>
        <w:rPr>
          <w:rFonts w:ascii="仿宋_GB2312" w:eastAsia="仿宋_GB2312"/>
          <w:sz w:val="30"/>
          <w:szCs w:val="30"/>
        </w:rPr>
      </w:pPr>
      <w:r>
        <w:rPr>
          <w:rFonts w:hint="eastAsia" w:ascii="仿宋_GB2312" w:eastAsia="仿宋_GB2312"/>
          <w:sz w:val="30"/>
          <w:szCs w:val="30"/>
        </w:rPr>
        <w:t>（3）登录后，选择“会员管理业务二期”，“机构业务操作岗”进入“机构新设”。</w:t>
      </w:r>
    </w:p>
    <w:p w14:paraId="0BF26C25">
      <w:pPr>
        <w:spacing w:line="600" w:lineRule="exact"/>
        <w:ind w:firstLine="600"/>
        <w:rPr>
          <w:rFonts w:ascii="仿宋_GB2312" w:eastAsia="仿宋_GB2312"/>
          <w:sz w:val="30"/>
          <w:szCs w:val="30"/>
        </w:rPr>
      </w:pPr>
      <w:r>
        <w:rPr>
          <w:rFonts w:hint="eastAsia" w:ascii="仿宋_GB2312" w:eastAsia="仿宋_GB2312"/>
          <w:sz w:val="30"/>
          <w:szCs w:val="30"/>
        </w:rPr>
        <w:t>（4）进入非会员机构登记首页，上传如下材料：</w:t>
      </w:r>
    </w:p>
    <w:p w14:paraId="6BBF18C0">
      <w:pPr>
        <w:spacing w:line="600" w:lineRule="exact"/>
        <w:ind w:firstLine="600"/>
        <w:rPr>
          <w:rFonts w:ascii="仿宋_GB2312" w:eastAsia="仿宋_GB2312"/>
          <w:sz w:val="30"/>
          <w:szCs w:val="30"/>
        </w:rPr>
      </w:pPr>
      <w:r>
        <w:rPr>
          <w:rFonts w:hint="eastAsia" w:ascii="仿宋_GB2312" w:eastAsia="仿宋_GB2312"/>
          <w:sz w:val="30"/>
          <w:szCs w:val="30"/>
        </w:rPr>
        <w:t>1）主管机关同意公司设立的批复</w:t>
      </w:r>
    </w:p>
    <w:p w14:paraId="61FCFCE9">
      <w:pPr>
        <w:spacing w:line="600" w:lineRule="exact"/>
        <w:ind w:firstLine="600"/>
        <w:rPr>
          <w:rFonts w:ascii="仿宋_GB2312" w:eastAsia="仿宋_GB2312"/>
          <w:sz w:val="30"/>
          <w:szCs w:val="30"/>
        </w:rPr>
      </w:pPr>
      <w:r>
        <w:rPr>
          <w:rFonts w:hint="eastAsia" w:ascii="仿宋_GB2312" w:eastAsia="仿宋_GB2312"/>
          <w:sz w:val="30"/>
          <w:szCs w:val="30"/>
        </w:rPr>
        <w:t>2）公司金融许可证</w:t>
      </w:r>
    </w:p>
    <w:p w14:paraId="77AAE831">
      <w:pPr>
        <w:spacing w:line="600" w:lineRule="exact"/>
        <w:ind w:firstLine="600"/>
        <w:rPr>
          <w:rFonts w:ascii="仿宋_GB2312" w:eastAsia="仿宋_GB2312"/>
          <w:sz w:val="30"/>
          <w:szCs w:val="30"/>
        </w:rPr>
      </w:pPr>
      <w:r>
        <w:rPr>
          <w:rFonts w:hint="eastAsia" w:ascii="仿宋_GB2312" w:eastAsia="仿宋_GB2312"/>
          <w:sz w:val="30"/>
          <w:szCs w:val="30"/>
        </w:rPr>
        <w:t>3）营业执照</w:t>
      </w:r>
    </w:p>
    <w:p w14:paraId="7903EC0F">
      <w:pPr>
        <w:spacing w:line="600" w:lineRule="exact"/>
        <w:ind w:firstLine="600"/>
        <w:rPr>
          <w:rFonts w:ascii="仿宋_GB2312" w:eastAsia="仿宋_GB2312"/>
          <w:sz w:val="30"/>
          <w:szCs w:val="30"/>
        </w:rPr>
      </w:pPr>
      <w:r>
        <w:rPr>
          <w:rFonts w:hint="eastAsia" w:ascii="仿宋_GB2312" w:eastAsia="仿宋_GB2312"/>
          <w:sz w:val="30"/>
          <w:szCs w:val="30"/>
        </w:rPr>
        <w:t>4）会籍系统资格申请报告（模板参见附件2）</w:t>
      </w:r>
    </w:p>
    <w:p w14:paraId="2B7A4784">
      <w:pPr>
        <w:spacing w:line="600" w:lineRule="exact"/>
        <w:ind w:firstLine="600"/>
        <w:rPr>
          <w:rFonts w:ascii="仿宋_GB2312" w:eastAsia="仿宋_GB2312"/>
          <w:sz w:val="30"/>
          <w:szCs w:val="30"/>
        </w:rPr>
      </w:pPr>
      <w:r>
        <w:rPr>
          <w:rFonts w:hint="eastAsia" w:ascii="仿宋_GB2312" w:eastAsia="仿宋_GB2312"/>
          <w:sz w:val="30"/>
          <w:szCs w:val="30"/>
        </w:rPr>
        <w:t>5）专职部门及主要管理人员概况</w:t>
      </w:r>
    </w:p>
    <w:p w14:paraId="12B25BE9">
      <w:pPr>
        <w:spacing w:line="600" w:lineRule="exact"/>
        <w:ind w:firstLine="600"/>
        <w:rPr>
          <w:rFonts w:ascii="仿宋_GB2312" w:eastAsia="仿宋_GB2312"/>
          <w:sz w:val="30"/>
          <w:szCs w:val="30"/>
        </w:rPr>
      </w:pPr>
      <w:r>
        <w:rPr>
          <w:rFonts w:hint="eastAsia" w:ascii="仿宋_GB2312" w:eastAsia="仿宋_GB2312"/>
          <w:sz w:val="30"/>
          <w:szCs w:val="30"/>
        </w:rPr>
        <w:t>6）公司章程及内控制度</w:t>
      </w:r>
    </w:p>
    <w:p w14:paraId="5593CA48">
      <w:pPr>
        <w:spacing w:line="600" w:lineRule="exact"/>
        <w:ind w:firstLine="600"/>
        <w:rPr>
          <w:rFonts w:ascii="仿宋_GB2312" w:eastAsia="仿宋_GB2312"/>
          <w:sz w:val="30"/>
          <w:szCs w:val="30"/>
        </w:rPr>
      </w:pPr>
      <w:r>
        <w:rPr>
          <w:rFonts w:hint="eastAsia" w:ascii="仿宋_GB2312" w:eastAsia="仿宋_GB2312"/>
          <w:sz w:val="30"/>
          <w:szCs w:val="30"/>
        </w:rPr>
        <w:t>7）承诺书</w:t>
      </w:r>
    </w:p>
    <w:p w14:paraId="1F7BFD96">
      <w:pPr>
        <w:spacing w:line="600" w:lineRule="exact"/>
        <w:ind w:firstLine="600"/>
        <w:rPr>
          <w:rFonts w:ascii="仿宋_GB2312" w:eastAsia="仿宋_GB2312"/>
          <w:sz w:val="30"/>
          <w:szCs w:val="30"/>
        </w:rPr>
      </w:pPr>
      <w:r>
        <w:rPr>
          <w:rFonts w:hint="eastAsia" w:ascii="仿宋_GB2312" w:eastAsia="仿宋_GB2312"/>
          <w:sz w:val="30"/>
          <w:szCs w:val="30"/>
        </w:rPr>
        <w:t>8）非会员机构基本情况登记表</w:t>
      </w:r>
    </w:p>
    <w:p w14:paraId="72B4A756">
      <w:pPr>
        <w:spacing w:line="600" w:lineRule="exact"/>
        <w:ind w:firstLine="600"/>
        <w:rPr>
          <w:rFonts w:ascii="仿宋_GB2312" w:eastAsia="仿宋_GB2312"/>
          <w:sz w:val="30"/>
          <w:szCs w:val="30"/>
        </w:rPr>
      </w:pPr>
      <w:r>
        <w:rPr>
          <w:rFonts w:hint="eastAsia" w:ascii="仿宋_GB2312" w:eastAsia="仿宋_GB2312"/>
          <w:sz w:val="30"/>
          <w:szCs w:val="30"/>
        </w:rPr>
        <w:t>9）公司主要职能部门登记表</w:t>
      </w:r>
    </w:p>
    <w:p w14:paraId="600DE6BD">
      <w:pPr>
        <w:spacing w:line="600" w:lineRule="exact"/>
        <w:ind w:firstLine="600"/>
        <w:rPr>
          <w:rFonts w:ascii="仿宋_GB2312" w:eastAsia="仿宋_GB2312"/>
          <w:sz w:val="30"/>
          <w:szCs w:val="30"/>
        </w:rPr>
      </w:pPr>
      <w:r>
        <w:rPr>
          <w:rFonts w:hint="eastAsia" w:ascii="仿宋_GB2312" w:eastAsia="仿宋_GB2312"/>
          <w:sz w:val="30"/>
          <w:szCs w:val="30"/>
        </w:rPr>
        <w:t>其中，材料2）公司金融许可证、材料3）营业执照、材料</w:t>
      </w:r>
      <w:r>
        <w:rPr>
          <w:rFonts w:ascii="仿宋_GB2312" w:eastAsia="仿宋_GB2312"/>
          <w:sz w:val="30"/>
          <w:szCs w:val="30"/>
        </w:rPr>
        <w:t>5</w:t>
      </w:r>
      <w:r>
        <w:rPr>
          <w:rFonts w:hint="eastAsia" w:ascii="仿宋_GB2312" w:eastAsia="仿宋_GB2312"/>
          <w:sz w:val="30"/>
          <w:szCs w:val="30"/>
        </w:rPr>
        <w:t>）专职部门及主要管理人员概况、材料6）公司章程及内控制度等，如在债券交易参与人申请环节已提供的，可复用。</w:t>
      </w:r>
    </w:p>
    <w:p w14:paraId="0112DB0B">
      <w:pPr>
        <w:spacing w:line="600" w:lineRule="exact"/>
        <w:ind w:firstLine="600"/>
        <w:rPr>
          <w:rFonts w:ascii="仿宋_GB2312" w:eastAsia="仿宋_GB2312"/>
          <w:sz w:val="30"/>
          <w:szCs w:val="30"/>
        </w:rPr>
      </w:pPr>
      <w:r>
        <w:rPr>
          <w:rFonts w:hint="eastAsia" w:ascii="仿宋_GB2312" w:eastAsia="仿宋_GB2312"/>
          <w:sz w:val="30"/>
          <w:szCs w:val="30"/>
        </w:rPr>
        <w:t>（9）点击“现在申请”后进入机构登记业务流程，*为必填或必传项。点击下一步进入“非会员机构基本情况登记表”。非会员类型根据机构类型进行选择，如商业银行，*为必填项。点击下一步进入“非会员公司主要职能登记表”。</w:t>
      </w:r>
    </w:p>
    <w:p w14:paraId="0DB8D7C0">
      <w:pPr>
        <w:spacing w:line="600" w:lineRule="exact"/>
        <w:ind w:firstLine="600"/>
        <w:rPr>
          <w:rFonts w:ascii="仿宋_GB2312" w:eastAsia="仿宋_GB2312"/>
          <w:sz w:val="30"/>
          <w:szCs w:val="30"/>
        </w:rPr>
      </w:pPr>
      <w:r>
        <w:rPr>
          <w:rFonts w:hint="eastAsia" w:ascii="仿宋_GB2312" w:eastAsia="仿宋_GB2312"/>
          <w:sz w:val="30"/>
          <w:szCs w:val="30"/>
        </w:rPr>
        <w:t>股东情况可以最近一个年度公司财务报表中的数据为准填写前十位股东。点击下一步进入“非会员机构基本情况登记表”。非会员类*为必填项。</w:t>
      </w:r>
    </w:p>
    <w:p w14:paraId="02DD4C12">
      <w:pPr>
        <w:spacing w:line="600" w:lineRule="exact"/>
        <w:ind w:firstLine="601"/>
        <w:rPr>
          <w:rFonts w:ascii="仿宋_GB2312" w:eastAsia="仿宋_GB2312"/>
          <w:sz w:val="30"/>
          <w:szCs w:val="30"/>
        </w:rPr>
      </w:pPr>
      <w:r>
        <w:rPr>
          <w:rFonts w:ascii="仿宋_GB2312" w:eastAsia="仿宋_GB2312"/>
          <w:sz w:val="30"/>
          <w:szCs w:val="30"/>
        </w:rPr>
        <w:fldChar w:fldCharType="begin"/>
      </w:r>
      <w:r>
        <w:rPr>
          <w:rFonts w:ascii="仿宋_GB2312" w:eastAsia="仿宋_GB2312"/>
          <w:sz w:val="30"/>
          <w:szCs w:val="30"/>
        </w:rPr>
        <w:instrText xml:space="preserve"> = 3 \* GB3 </w:instrText>
      </w:r>
      <w:r>
        <w:rPr>
          <w:rFonts w:ascii="仿宋_GB2312" w:eastAsia="仿宋_GB2312"/>
          <w:sz w:val="30"/>
          <w:szCs w:val="30"/>
        </w:rPr>
        <w:fldChar w:fldCharType="separate"/>
      </w:r>
      <w:r>
        <w:rPr>
          <w:rFonts w:hint="eastAsia" w:ascii="仿宋_GB2312" w:eastAsia="仿宋_GB2312"/>
          <w:sz w:val="30"/>
          <w:szCs w:val="30"/>
        </w:rPr>
        <w:t>③</w:t>
      </w:r>
      <w:r>
        <w:rPr>
          <w:rFonts w:ascii="仿宋_GB2312" w:eastAsia="仿宋_GB2312"/>
          <w:sz w:val="30"/>
          <w:szCs w:val="30"/>
        </w:rPr>
        <w:fldChar w:fldCharType="end"/>
      </w:r>
      <w:r>
        <w:rPr>
          <w:rFonts w:hint="eastAsia" w:ascii="仿宋_GB2312" w:eastAsia="仿宋_GB2312"/>
          <w:sz w:val="30"/>
          <w:szCs w:val="30"/>
        </w:rPr>
        <w:t>【确定结算路径】</w:t>
      </w:r>
    </w:p>
    <w:p w14:paraId="01CD5632">
      <w:pPr>
        <w:spacing w:line="600" w:lineRule="exact"/>
        <w:ind w:firstLine="600"/>
        <w:rPr>
          <w:rFonts w:ascii="仿宋_GB2312" w:eastAsia="仿宋_GB2312"/>
          <w:sz w:val="30"/>
          <w:szCs w:val="30"/>
        </w:rPr>
      </w:pPr>
      <w:r>
        <w:rPr>
          <w:rFonts w:hint="eastAsia" w:ascii="仿宋_GB2312" w:eastAsia="仿宋_GB2312"/>
          <w:sz w:val="30"/>
          <w:szCs w:val="30"/>
        </w:rPr>
        <w:t>债券交易参与人在参与债券交易前应当按照登记结算机构相关规定建立结算路径，以履行相应的交收义务。</w:t>
      </w:r>
    </w:p>
    <w:p w14:paraId="4AFB750D">
      <w:pPr>
        <w:spacing w:line="600" w:lineRule="exact"/>
        <w:ind w:firstLine="600"/>
        <w:rPr>
          <w:rFonts w:ascii="仿宋_GB2312" w:eastAsia="仿宋_GB2312"/>
          <w:sz w:val="30"/>
          <w:szCs w:val="30"/>
        </w:rPr>
      </w:pPr>
      <w:r>
        <w:rPr>
          <w:rFonts w:hint="eastAsia" w:ascii="仿宋_GB2312" w:eastAsia="仿宋_GB2312"/>
          <w:sz w:val="30"/>
          <w:szCs w:val="30"/>
        </w:rPr>
        <w:t>取得登记结算机构结算参与人资格的债券交易参与人，可自行办理结算业务；未取得结算参与人资格的债券交易参与人，应当委托其他结算参与人办理结算业务。</w:t>
      </w:r>
    </w:p>
    <w:p w14:paraId="74482E65">
      <w:pPr>
        <w:spacing w:line="600" w:lineRule="exact"/>
        <w:ind w:firstLine="600"/>
        <w:rPr>
          <w:rFonts w:ascii="仿宋_GB2312" w:eastAsia="仿宋_GB2312"/>
          <w:sz w:val="30"/>
          <w:szCs w:val="30"/>
        </w:rPr>
      </w:pPr>
      <w:r>
        <w:rPr>
          <w:rFonts w:hint="eastAsia" w:ascii="仿宋_GB2312" w:eastAsia="仿宋_GB2312"/>
          <w:sz w:val="30"/>
          <w:szCs w:val="30"/>
        </w:rPr>
        <w:t>以下情形视作结算路径已经确定：</w:t>
      </w:r>
    </w:p>
    <w:p w14:paraId="3FDB244A">
      <w:pPr>
        <w:pStyle w:val="92"/>
        <w:numPr>
          <w:ilvl w:val="0"/>
          <w:numId w:val="6"/>
        </w:numPr>
        <w:spacing w:line="600" w:lineRule="exact"/>
        <w:ind w:left="0" w:firstLine="600" w:firstLineChars="200"/>
        <w:jc w:val="both"/>
        <w:rPr>
          <w:rFonts w:ascii="仿宋_GB2312" w:eastAsia="仿宋_GB2312"/>
          <w:sz w:val="30"/>
          <w:szCs w:val="30"/>
          <w:lang w:eastAsia="zh-CN"/>
        </w:rPr>
      </w:pPr>
      <w:r>
        <w:rPr>
          <w:rFonts w:hint="eastAsia" w:ascii="仿宋_GB2312" w:eastAsia="仿宋_GB2312"/>
          <w:sz w:val="30"/>
          <w:szCs w:val="30"/>
          <w:lang w:eastAsia="zh-CN"/>
        </w:rPr>
        <w:t>债券交易参与人已经取得登记结算机构的结算资格，在登记结算机构开通了结算业务，开立了各类结算备付金账户，获得了结算编号。</w:t>
      </w:r>
    </w:p>
    <w:p w14:paraId="29575A10">
      <w:pPr>
        <w:pStyle w:val="92"/>
        <w:numPr>
          <w:ilvl w:val="0"/>
          <w:numId w:val="6"/>
        </w:numPr>
        <w:spacing w:line="600" w:lineRule="exact"/>
        <w:ind w:left="0" w:firstLine="600" w:firstLineChars="200"/>
        <w:jc w:val="both"/>
        <w:rPr>
          <w:rFonts w:ascii="仿宋_GB2312" w:eastAsia="仿宋_GB2312"/>
          <w:sz w:val="30"/>
          <w:szCs w:val="30"/>
          <w:lang w:eastAsia="zh-CN"/>
        </w:rPr>
      </w:pPr>
      <w:r>
        <w:rPr>
          <w:rFonts w:hint="eastAsia" w:ascii="仿宋_GB2312" w:eastAsia="仿宋_GB2312"/>
          <w:sz w:val="30"/>
          <w:szCs w:val="30"/>
          <w:lang w:eastAsia="zh-CN"/>
        </w:rPr>
        <w:t>产品的托管人已经取得登记结算机构的结算资格，在登记结算机构开通了结算业务，开立了各类结算备付金账户，获得了结算编号。</w:t>
      </w:r>
    </w:p>
    <w:p w14:paraId="06BF9F1B">
      <w:pPr>
        <w:spacing w:line="600" w:lineRule="exact"/>
        <w:ind w:firstLine="601"/>
        <w:rPr>
          <w:rFonts w:ascii="仿宋_GB2312" w:eastAsia="仿宋_GB2312"/>
          <w:sz w:val="30"/>
          <w:szCs w:val="30"/>
        </w:rPr>
      </w:pPr>
      <w:r>
        <w:rPr>
          <w:rFonts w:ascii="仿宋_GB2312" w:eastAsia="仿宋_GB2312"/>
          <w:sz w:val="30"/>
          <w:szCs w:val="30"/>
        </w:rPr>
        <w:fldChar w:fldCharType="begin"/>
      </w:r>
      <w:r>
        <w:rPr>
          <w:rFonts w:ascii="仿宋_GB2312" w:eastAsia="仿宋_GB2312"/>
          <w:sz w:val="30"/>
          <w:szCs w:val="30"/>
        </w:rPr>
        <w:instrText xml:space="preserve"> </w:instrText>
      </w:r>
      <w:r>
        <w:rPr>
          <w:rFonts w:hint="eastAsia" w:ascii="仿宋_GB2312" w:eastAsia="仿宋_GB2312"/>
          <w:sz w:val="30"/>
          <w:szCs w:val="30"/>
        </w:rPr>
        <w:instrText xml:space="preserve">= 4 \* GB3</w:instrText>
      </w:r>
      <w:r>
        <w:rPr>
          <w:rFonts w:ascii="仿宋_GB2312" w:eastAsia="仿宋_GB2312"/>
          <w:sz w:val="30"/>
          <w:szCs w:val="30"/>
        </w:rPr>
        <w:instrText xml:space="preserve"> </w:instrText>
      </w:r>
      <w:r>
        <w:rPr>
          <w:rFonts w:ascii="仿宋_GB2312" w:eastAsia="仿宋_GB2312"/>
          <w:sz w:val="30"/>
          <w:szCs w:val="30"/>
        </w:rPr>
        <w:fldChar w:fldCharType="separate"/>
      </w:r>
      <w:r>
        <w:rPr>
          <w:rFonts w:hint="eastAsia" w:ascii="仿宋_GB2312" w:eastAsia="仿宋_GB2312"/>
          <w:sz w:val="30"/>
          <w:szCs w:val="30"/>
        </w:rPr>
        <w:t>④</w:t>
      </w:r>
      <w:r>
        <w:rPr>
          <w:rFonts w:ascii="仿宋_GB2312" w:eastAsia="仿宋_GB2312"/>
          <w:sz w:val="30"/>
          <w:szCs w:val="30"/>
        </w:rPr>
        <w:fldChar w:fldCharType="end"/>
      </w:r>
      <w:r>
        <w:rPr>
          <w:rFonts w:hint="eastAsia" w:ascii="仿宋_GB2312" w:eastAsia="仿宋_GB2312"/>
          <w:sz w:val="30"/>
          <w:szCs w:val="30"/>
        </w:rPr>
        <w:t>【非会员机构新设交易单元】</w:t>
      </w:r>
    </w:p>
    <w:p w14:paraId="4EE23C00">
      <w:pPr>
        <w:spacing w:line="600" w:lineRule="exact"/>
        <w:ind w:firstLine="600"/>
        <w:rPr>
          <w:rFonts w:ascii="仿宋_GB2312" w:eastAsia="仿宋_GB2312"/>
          <w:sz w:val="30"/>
          <w:szCs w:val="30"/>
        </w:rPr>
      </w:pPr>
      <w:r>
        <w:rPr>
          <w:rFonts w:hint="eastAsia" w:ascii="仿宋_GB2312" w:eastAsia="仿宋_GB2312"/>
          <w:sz w:val="30"/>
          <w:szCs w:val="30"/>
        </w:rPr>
        <w:t>（1）交易单元种类</w:t>
      </w:r>
    </w:p>
    <w:p w14:paraId="53E16CFE">
      <w:pPr>
        <w:spacing w:line="600" w:lineRule="exact"/>
        <w:ind w:firstLine="600"/>
        <w:rPr>
          <w:rFonts w:ascii="仿宋_GB2312" w:eastAsia="仿宋_GB2312"/>
          <w:sz w:val="30"/>
          <w:szCs w:val="30"/>
        </w:rPr>
      </w:pPr>
      <w:r>
        <w:rPr>
          <w:rFonts w:hint="eastAsia" w:ascii="仿宋_GB2312" w:eastAsia="仿宋_GB2312"/>
          <w:sz w:val="30"/>
          <w:szCs w:val="30"/>
        </w:rPr>
        <w:t>按照交易单元的获取方式不同，债券交易相关的交易单元分为三类：</w:t>
      </w:r>
    </w:p>
    <w:p w14:paraId="3934CE33">
      <w:pPr>
        <w:pStyle w:val="92"/>
        <w:numPr>
          <w:ilvl w:val="0"/>
          <w:numId w:val="7"/>
        </w:numPr>
        <w:spacing w:line="600" w:lineRule="exact"/>
        <w:ind w:left="0" w:firstLine="600"/>
        <w:rPr>
          <w:rFonts w:ascii="仿宋_GB2312" w:eastAsia="仿宋_GB2312"/>
          <w:sz w:val="30"/>
          <w:szCs w:val="30"/>
          <w:lang w:eastAsia="zh-CN"/>
        </w:rPr>
      </w:pPr>
      <w:r>
        <w:rPr>
          <w:rFonts w:hint="eastAsia" w:ascii="仿宋_GB2312" w:eastAsia="仿宋_GB2312"/>
          <w:sz w:val="30"/>
          <w:szCs w:val="30"/>
          <w:lang w:eastAsia="zh-CN"/>
        </w:rPr>
        <w:t>会员开设的交易单元；</w:t>
      </w:r>
    </w:p>
    <w:p w14:paraId="429A04A7">
      <w:pPr>
        <w:pStyle w:val="92"/>
        <w:numPr>
          <w:ilvl w:val="0"/>
          <w:numId w:val="7"/>
        </w:numPr>
        <w:spacing w:line="600" w:lineRule="exact"/>
        <w:ind w:left="0" w:firstLine="600"/>
        <w:rPr>
          <w:rFonts w:ascii="仿宋_GB2312" w:eastAsia="仿宋_GB2312"/>
          <w:sz w:val="30"/>
          <w:szCs w:val="30"/>
          <w:lang w:eastAsia="zh-CN"/>
        </w:rPr>
      </w:pPr>
      <w:r>
        <w:rPr>
          <w:rFonts w:hint="eastAsia" w:ascii="仿宋_GB2312" w:eastAsia="仿宋_GB2312"/>
          <w:sz w:val="30"/>
          <w:szCs w:val="30"/>
          <w:lang w:eastAsia="zh-CN"/>
        </w:rPr>
        <w:t>从会员租用的交易单元，租用方包括银行、基金公司、保险公司等；</w:t>
      </w:r>
    </w:p>
    <w:p w14:paraId="00AA81C9">
      <w:pPr>
        <w:pStyle w:val="92"/>
        <w:numPr>
          <w:ilvl w:val="0"/>
          <w:numId w:val="7"/>
        </w:numPr>
        <w:spacing w:line="600" w:lineRule="exact"/>
        <w:ind w:left="0" w:firstLine="600"/>
        <w:rPr>
          <w:rFonts w:ascii="仿宋_GB2312" w:eastAsia="仿宋_GB2312"/>
          <w:sz w:val="30"/>
          <w:szCs w:val="30"/>
          <w:lang w:eastAsia="zh-CN"/>
        </w:rPr>
      </w:pPr>
      <w:r>
        <w:rPr>
          <w:rFonts w:hint="eastAsia" w:ascii="仿宋_GB2312" w:eastAsia="仿宋_GB2312"/>
          <w:sz w:val="30"/>
          <w:szCs w:val="30"/>
          <w:lang w:eastAsia="zh-CN"/>
        </w:rPr>
        <w:t>非会员债券交易参与人开设的交易单元。</w:t>
      </w:r>
    </w:p>
    <w:p w14:paraId="05706BDC">
      <w:pPr>
        <w:spacing w:line="600" w:lineRule="exact"/>
        <w:ind w:firstLine="600"/>
        <w:rPr>
          <w:rFonts w:ascii="仿宋_GB2312" w:eastAsia="仿宋_GB2312"/>
          <w:sz w:val="30"/>
          <w:szCs w:val="30"/>
        </w:rPr>
      </w:pPr>
      <w:r>
        <w:rPr>
          <w:rFonts w:hint="eastAsia" w:ascii="仿宋_GB2312" w:eastAsia="仿宋_GB2312"/>
          <w:sz w:val="30"/>
          <w:szCs w:val="30"/>
        </w:rPr>
        <w:t>交易单元的开设、使用与管理，按照《上海证券交易所参与者交易业务单元实施细则》及本所其他有关规定执行。</w:t>
      </w:r>
    </w:p>
    <w:p w14:paraId="4ABBBBDE">
      <w:pPr>
        <w:spacing w:line="600" w:lineRule="exact"/>
        <w:ind w:firstLine="600"/>
        <w:rPr>
          <w:rFonts w:ascii="仿宋_GB2312" w:eastAsia="仿宋_GB2312"/>
          <w:sz w:val="30"/>
          <w:szCs w:val="30"/>
        </w:rPr>
      </w:pPr>
      <w:r>
        <w:rPr>
          <w:rFonts w:hint="eastAsia" w:ascii="仿宋_GB2312" w:eastAsia="仿宋_GB2312"/>
          <w:sz w:val="30"/>
          <w:szCs w:val="30"/>
        </w:rPr>
        <w:t>非会员机构租用交易单元的要求和流程，按照《</w:t>
      </w:r>
      <w:r>
        <w:rPr>
          <w:rFonts w:hint="eastAsia" w:ascii="仿宋_GB2312" w:hAnsi="Calibri" w:eastAsia="仿宋_GB2312"/>
          <w:sz w:val="30"/>
          <w:szCs w:val="30"/>
        </w:rPr>
        <w:t>上海证券交易所会籍业务网上办理指引</w:t>
      </w:r>
      <w:r>
        <w:rPr>
          <w:rFonts w:hint="eastAsia" w:ascii="仿宋_GB2312" w:eastAsia="仿宋_GB2312"/>
          <w:sz w:val="30"/>
          <w:szCs w:val="30"/>
        </w:rPr>
        <w:t>》等相关规定办理。</w:t>
      </w:r>
    </w:p>
    <w:p w14:paraId="52768309">
      <w:pPr>
        <w:spacing w:line="600" w:lineRule="exact"/>
        <w:ind w:firstLine="600"/>
        <w:rPr>
          <w:rFonts w:ascii="仿宋_GB2312" w:eastAsia="仿宋_GB2312"/>
          <w:sz w:val="30"/>
          <w:szCs w:val="30"/>
        </w:rPr>
      </w:pPr>
      <w:r>
        <w:rPr>
          <w:rFonts w:hint="eastAsia" w:ascii="仿宋_GB2312" w:eastAsia="仿宋_GB2312"/>
          <w:sz w:val="30"/>
          <w:szCs w:val="30"/>
        </w:rPr>
        <w:t>（2）新设交易单元流程</w:t>
      </w:r>
    </w:p>
    <w:p w14:paraId="3A3886A5">
      <w:pPr>
        <w:spacing w:line="600" w:lineRule="exact"/>
        <w:ind w:firstLine="600"/>
        <w:rPr>
          <w:rFonts w:ascii="仿宋_GB2312" w:eastAsia="仿宋_GB2312"/>
          <w:sz w:val="30"/>
          <w:szCs w:val="30"/>
        </w:rPr>
      </w:pPr>
      <w:r>
        <w:rPr>
          <w:rFonts w:hint="eastAsia" w:ascii="仿宋_GB2312" w:eastAsia="仿宋_GB2312"/>
          <w:sz w:val="30"/>
          <w:szCs w:val="30"/>
        </w:rPr>
        <w:t>新设交易单元流程在</w:t>
      </w:r>
      <w:r>
        <w:rPr>
          <w:rFonts w:ascii="仿宋_GB2312" w:eastAsia="仿宋_GB2312"/>
          <w:sz w:val="30"/>
          <w:szCs w:val="30"/>
        </w:rPr>
        <w:t>会籍业务平台</w:t>
      </w:r>
      <w:r>
        <w:rPr>
          <w:rFonts w:hint="eastAsia" w:ascii="仿宋_GB2312" w:eastAsia="仿宋_GB2312"/>
          <w:sz w:val="30"/>
          <w:szCs w:val="30"/>
        </w:rPr>
        <w:t>登录办理。非会员登录后，选择“新设交易单元”开始业务办理，进入业务说明页。非会员机构新设债券交易单元申请材料如下：</w:t>
      </w:r>
    </w:p>
    <w:p w14:paraId="76609593">
      <w:pPr>
        <w:pStyle w:val="92"/>
        <w:numPr>
          <w:ilvl w:val="0"/>
          <w:numId w:val="8"/>
        </w:numPr>
        <w:spacing w:line="600" w:lineRule="exact"/>
        <w:ind w:left="0" w:firstLine="601"/>
        <w:rPr>
          <w:rFonts w:ascii="仿宋_GB2312" w:eastAsia="仿宋_GB2312"/>
          <w:sz w:val="30"/>
          <w:szCs w:val="30"/>
          <w:lang w:eastAsia="zh-CN"/>
        </w:rPr>
      </w:pPr>
      <w:r>
        <w:rPr>
          <w:rFonts w:hint="eastAsia" w:ascii="仿宋_GB2312" w:eastAsia="仿宋_GB2312"/>
          <w:sz w:val="30"/>
          <w:szCs w:val="30"/>
          <w:lang w:eastAsia="zh-CN"/>
        </w:rPr>
        <w:t>新设交易单元申请信息</w:t>
      </w:r>
    </w:p>
    <w:p w14:paraId="4ED5527E">
      <w:pPr>
        <w:pStyle w:val="92"/>
        <w:numPr>
          <w:ilvl w:val="0"/>
          <w:numId w:val="8"/>
        </w:numPr>
        <w:spacing w:line="600" w:lineRule="exact"/>
        <w:ind w:left="0" w:firstLine="601"/>
        <w:rPr>
          <w:rFonts w:ascii="仿宋_GB2312" w:eastAsia="仿宋_GB2312"/>
          <w:sz w:val="30"/>
          <w:szCs w:val="30"/>
          <w:lang w:eastAsia="zh-CN"/>
        </w:rPr>
      </w:pPr>
      <w:r>
        <w:rPr>
          <w:rFonts w:hint="eastAsia" w:ascii="仿宋_GB2312" w:eastAsia="仿宋_GB2312"/>
          <w:sz w:val="30"/>
          <w:szCs w:val="30"/>
          <w:lang w:eastAsia="zh-CN"/>
        </w:rPr>
        <w:t>非会员机构交易单元联通申请表</w:t>
      </w:r>
    </w:p>
    <w:p w14:paraId="16EBEAC7">
      <w:pPr>
        <w:spacing w:line="600" w:lineRule="exact"/>
        <w:ind w:firstLine="600"/>
        <w:rPr>
          <w:rFonts w:ascii="仿宋_GB2312" w:eastAsia="仿宋_GB2312"/>
          <w:sz w:val="30"/>
          <w:szCs w:val="30"/>
        </w:rPr>
      </w:pPr>
      <w:r>
        <w:rPr>
          <w:rFonts w:hint="eastAsia" w:ascii="仿宋_GB2312" w:eastAsia="仿宋_GB2312"/>
          <w:sz w:val="30"/>
          <w:szCs w:val="30"/>
        </w:rPr>
        <w:t>办理完成后可通过本平台</w:t>
      </w:r>
      <w:r>
        <w:rPr>
          <w:rFonts w:ascii="仿宋_GB2312" w:eastAsia="仿宋_GB2312"/>
          <w:sz w:val="30"/>
          <w:szCs w:val="30"/>
        </w:rPr>
        <w:t>会员业务模块</w:t>
      </w:r>
      <w:r>
        <w:rPr>
          <w:rFonts w:hint="eastAsia" w:ascii="仿宋_GB2312" w:eastAsia="仿宋_GB2312"/>
          <w:sz w:val="30"/>
          <w:szCs w:val="30"/>
        </w:rPr>
        <w:t>查询业务办理结果。</w:t>
      </w:r>
    </w:p>
    <w:p w14:paraId="1402FA85">
      <w:pPr>
        <w:numPr>
          <w:ilvl w:val="2"/>
          <w:numId w:val="4"/>
        </w:numPr>
        <w:spacing w:line="600" w:lineRule="exact"/>
        <w:ind w:left="709" w:hanging="709" w:hangingChars="236"/>
        <w:outlineLvl w:val="2"/>
        <w:rPr>
          <w:rFonts w:hint="eastAsia" w:ascii="仿宋_GB2312" w:eastAsia="仿宋_GB2312"/>
          <w:b/>
          <w:sz w:val="30"/>
          <w:szCs w:val="30"/>
        </w:rPr>
      </w:pPr>
      <w:r>
        <w:rPr>
          <w:rFonts w:hint="eastAsia" w:ascii="仿宋_GB2312" w:eastAsia="仿宋_GB2312"/>
          <w:b/>
          <w:sz w:val="30"/>
          <w:szCs w:val="30"/>
          <w:lang w:eastAsia="zh-CN"/>
        </w:rPr>
        <w:t>新固定收益系统</w:t>
      </w:r>
      <w:r>
        <w:rPr>
          <w:rFonts w:hint="eastAsia" w:ascii="仿宋_GB2312" w:eastAsia="仿宋_GB2312"/>
          <w:b/>
          <w:sz w:val="30"/>
          <w:szCs w:val="30"/>
        </w:rPr>
        <w:t>权限开通</w:t>
      </w:r>
    </w:p>
    <w:p w14:paraId="32E369A0">
      <w:pPr>
        <w:spacing w:line="600" w:lineRule="exact"/>
        <w:ind w:firstLine="600"/>
        <w:rPr>
          <w:rFonts w:ascii="仿宋_GB2312" w:eastAsia="仿宋_GB2312"/>
          <w:sz w:val="30"/>
          <w:szCs w:val="30"/>
        </w:rPr>
      </w:pPr>
      <w:r>
        <w:rPr>
          <w:rFonts w:hint="eastAsia" w:ascii="仿宋_GB2312" w:eastAsia="仿宋_GB2312"/>
          <w:sz w:val="30"/>
          <w:szCs w:val="30"/>
        </w:rPr>
        <w:t>债券</w:t>
      </w:r>
      <w:r>
        <w:rPr>
          <w:rFonts w:ascii="仿宋_GB2312" w:eastAsia="仿宋_GB2312"/>
          <w:sz w:val="30"/>
          <w:szCs w:val="30"/>
        </w:rPr>
        <w:t>交易参与人</w:t>
      </w:r>
      <w:r>
        <w:rPr>
          <w:rFonts w:hint="eastAsia" w:ascii="仿宋_GB2312" w:eastAsia="仿宋_GB2312"/>
          <w:sz w:val="30"/>
          <w:szCs w:val="30"/>
        </w:rPr>
        <w:t>在</w:t>
      </w:r>
      <w:r>
        <w:rPr>
          <w:rFonts w:hint="eastAsia" w:ascii="仿宋_GB2312" w:eastAsia="仿宋_GB2312"/>
          <w:sz w:val="30"/>
          <w:szCs w:val="30"/>
          <w:lang w:eastAsia="zh-CN"/>
        </w:rPr>
        <w:t>完成会籍系统机构新设后，可在会籍系统</w:t>
      </w:r>
      <w:r>
        <w:rPr>
          <w:rFonts w:hint="eastAsia" w:ascii="仿宋_GB2312" w:eastAsia="仿宋_GB2312"/>
          <w:sz w:val="30"/>
          <w:szCs w:val="30"/>
          <w:lang w:val="en-US" w:eastAsia="zh-CN"/>
        </w:rPr>
        <w:t>-债券交易业务管理员信息填报菜单下，申报本机构债券交易业务管理员。本所将通过填报菜单预留的联系方式发送该机构新固收债券业务管理员用户名和密码。对于已开通</w:t>
      </w:r>
      <w:r>
        <w:rPr>
          <w:rFonts w:hint="eastAsia" w:ascii="仿宋_GB2312" w:eastAsia="仿宋_GB2312"/>
          <w:sz w:val="30"/>
          <w:szCs w:val="30"/>
        </w:rPr>
        <w:t>证券交易专网的通信线路</w:t>
      </w:r>
      <w:r>
        <w:rPr>
          <w:rFonts w:hint="eastAsia" w:ascii="仿宋_GB2312" w:eastAsia="仿宋_GB2312"/>
          <w:sz w:val="30"/>
          <w:szCs w:val="30"/>
          <w:lang w:eastAsia="zh-CN"/>
        </w:rPr>
        <w:t>的机构，</w:t>
      </w:r>
      <w:r>
        <w:rPr>
          <w:rFonts w:hint="eastAsia" w:ascii="仿宋_GB2312" w:eastAsia="仿宋_GB2312"/>
          <w:sz w:val="30"/>
          <w:szCs w:val="30"/>
          <w:lang w:val="en-US" w:eastAsia="zh-CN"/>
        </w:rPr>
        <w:t>债券交易业务管理员可据此通过专线登录一债通；对于未开通</w:t>
      </w:r>
      <w:r>
        <w:rPr>
          <w:rFonts w:hint="eastAsia" w:ascii="仿宋_GB2312" w:eastAsia="仿宋_GB2312"/>
          <w:sz w:val="30"/>
          <w:szCs w:val="30"/>
        </w:rPr>
        <w:t>证券交易专网的通信线路</w:t>
      </w:r>
      <w:r>
        <w:rPr>
          <w:rFonts w:hint="eastAsia" w:ascii="仿宋_GB2312" w:eastAsia="仿宋_GB2312"/>
          <w:sz w:val="30"/>
          <w:szCs w:val="30"/>
          <w:lang w:eastAsia="zh-CN"/>
        </w:rPr>
        <w:t>的机构，</w:t>
      </w:r>
      <w:r>
        <w:rPr>
          <w:rFonts w:hint="eastAsia" w:ascii="仿宋_GB2312" w:eastAsia="仿宋_GB2312"/>
          <w:sz w:val="30"/>
          <w:szCs w:val="30"/>
          <w:lang w:val="en-US" w:eastAsia="zh-CN"/>
        </w:rPr>
        <w:t>债券交易业务管理员可据此办理一债通数字证书申请，并通过数字证书认证登录一债通。债券交易业务管理员登录一债通后可创建本机构首席交易员。本机构首席交易员可创建本机构普通交易员并管理其交易权限，</w:t>
      </w:r>
      <w:r>
        <w:rPr>
          <w:rFonts w:hint="eastAsia" w:ascii="仿宋_GB2312" w:eastAsia="仿宋_GB2312"/>
          <w:sz w:val="30"/>
          <w:szCs w:val="30"/>
        </w:rPr>
        <w:t>从而开通</w:t>
      </w:r>
      <w:r>
        <w:rPr>
          <w:rFonts w:hint="eastAsia" w:ascii="仿宋_GB2312" w:eastAsia="仿宋_GB2312"/>
          <w:sz w:val="30"/>
          <w:szCs w:val="30"/>
          <w:lang w:eastAsia="zh-CN"/>
        </w:rPr>
        <w:t>新固收</w:t>
      </w:r>
      <w:r>
        <w:rPr>
          <w:rFonts w:hint="eastAsia" w:ascii="仿宋_GB2312" w:eastAsia="仿宋_GB2312"/>
          <w:sz w:val="30"/>
          <w:szCs w:val="30"/>
        </w:rPr>
        <w:t>权限。具体</w:t>
      </w:r>
      <w:r>
        <w:rPr>
          <w:rFonts w:ascii="仿宋_GB2312" w:eastAsia="仿宋_GB2312"/>
          <w:sz w:val="30"/>
          <w:szCs w:val="30"/>
        </w:rPr>
        <w:t>流程</w:t>
      </w:r>
      <w:r>
        <w:rPr>
          <w:rFonts w:hint="eastAsia" w:ascii="仿宋_GB2312" w:eastAsia="仿宋_GB2312"/>
          <w:sz w:val="30"/>
          <w:szCs w:val="30"/>
        </w:rPr>
        <w:t>包括</w:t>
      </w:r>
      <w:r>
        <w:rPr>
          <w:rFonts w:ascii="仿宋_GB2312" w:eastAsia="仿宋_GB2312"/>
          <w:sz w:val="30"/>
          <w:szCs w:val="30"/>
        </w:rPr>
        <w:t>：</w:t>
      </w:r>
    </w:p>
    <w:p w14:paraId="27F6BD9E">
      <w:pPr>
        <w:spacing w:line="600" w:lineRule="exact"/>
        <w:ind w:firstLine="600"/>
        <w:rPr>
          <w:rFonts w:ascii="仿宋_GB2312" w:eastAsia="仿宋_GB2312"/>
          <w:sz w:val="30"/>
          <w:szCs w:val="30"/>
        </w:rPr>
      </w:pPr>
      <w:r>
        <w:rPr>
          <w:rFonts w:hint="eastAsia" w:ascii="仿宋_GB2312" w:eastAsia="仿宋_GB2312"/>
          <w:sz w:val="30"/>
          <w:szCs w:val="30"/>
          <w:lang w:eastAsia="zh-CN"/>
        </w:rPr>
        <w:t>新固收</w:t>
      </w:r>
      <w:r>
        <w:rPr>
          <w:rFonts w:hint="eastAsia" w:ascii="仿宋_GB2312" w:eastAsia="仿宋_GB2312"/>
          <w:sz w:val="30"/>
          <w:szCs w:val="30"/>
          <w:lang w:val="en-US" w:eastAsia="zh-CN"/>
        </w:rPr>
        <w:t>/</w:t>
      </w:r>
      <w:r>
        <w:rPr>
          <w:rFonts w:hint="eastAsia" w:ascii="仿宋_GB2312" w:eastAsia="仿宋_GB2312"/>
          <w:sz w:val="30"/>
          <w:szCs w:val="30"/>
          <w:lang w:eastAsia="zh-CN"/>
        </w:rPr>
        <w:t>一债通权限</w:t>
      </w:r>
      <w:r>
        <w:rPr>
          <w:rFonts w:ascii="仿宋_GB2312" w:eastAsia="仿宋_GB2312"/>
          <w:sz w:val="30"/>
          <w:szCs w:val="30"/>
        </w:rPr>
        <w:t>申请：</w:t>
      </w:r>
    </w:p>
    <w:p w14:paraId="3800C1C1">
      <w:pPr>
        <w:spacing w:line="600" w:lineRule="exact"/>
        <w:ind w:firstLine="600"/>
        <w:rPr>
          <w:rFonts w:ascii="仿宋_GB2312" w:eastAsia="仿宋_GB2312"/>
          <w:sz w:val="30"/>
          <w:szCs w:val="30"/>
          <w:highlight w:val="none"/>
        </w:rPr>
      </w:pPr>
      <w:r>
        <w:rPr>
          <w:highlight w:val="none"/>
        </w:rPr>
        <w:fldChar w:fldCharType="begin"/>
      </w:r>
      <w:r>
        <w:rPr>
          <w:highlight w:val="none"/>
        </w:rPr>
        <w:instrText xml:space="preserve"> HYPERLINK "http://bond.sse.com.cn/business/dealerb/dealerapp/" </w:instrText>
      </w:r>
      <w:r>
        <w:rPr>
          <w:highlight w:val="none"/>
        </w:rPr>
        <w:fldChar w:fldCharType="separate"/>
      </w:r>
      <w:r>
        <w:rPr>
          <w:rFonts w:ascii="仿宋_GB2312" w:eastAsia="仿宋_GB2312"/>
          <w:sz w:val="30"/>
          <w:szCs w:val="30"/>
          <w:highlight w:val="none"/>
        </w:rPr>
        <w:t>http://bond.sse.com.cn/business/dealerb/dealerapp/</w:t>
      </w:r>
      <w:r>
        <w:rPr>
          <w:rFonts w:ascii="仿宋_GB2312" w:eastAsia="仿宋_GB2312"/>
          <w:sz w:val="30"/>
          <w:szCs w:val="30"/>
          <w:highlight w:val="none"/>
        </w:rPr>
        <w:fldChar w:fldCharType="end"/>
      </w:r>
    </w:p>
    <w:p w14:paraId="5F033506">
      <w:pPr>
        <w:spacing w:line="600" w:lineRule="exact"/>
        <w:ind w:firstLine="600"/>
        <w:rPr>
          <w:rFonts w:ascii="仿宋_GB2312" w:eastAsia="仿宋_GB2312"/>
          <w:sz w:val="30"/>
          <w:szCs w:val="30"/>
          <w:highlight w:val="none"/>
        </w:rPr>
      </w:pPr>
      <w:r>
        <w:rPr>
          <w:rFonts w:hint="eastAsia" w:ascii="仿宋_GB2312" w:eastAsia="仿宋_GB2312"/>
          <w:sz w:val="30"/>
          <w:szCs w:val="30"/>
          <w:highlight w:val="none"/>
        </w:rPr>
        <w:t>新增交易员</w:t>
      </w:r>
      <w:r>
        <w:rPr>
          <w:rFonts w:ascii="仿宋_GB2312" w:eastAsia="仿宋_GB2312"/>
          <w:sz w:val="30"/>
          <w:szCs w:val="30"/>
          <w:highlight w:val="none"/>
        </w:rPr>
        <w:t>申请：</w:t>
      </w:r>
    </w:p>
    <w:p w14:paraId="39DEFDB8">
      <w:pPr>
        <w:spacing w:line="600" w:lineRule="exact"/>
        <w:ind w:firstLine="600"/>
        <w:rPr>
          <w:rFonts w:ascii="仿宋_GB2312" w:eastAsia="仿宋_GB2312"/>
          <w:sz w:val="30"/>
          <w:szCs w:val="30"/>
          <w:highlight w:val="none"/>
        </w:rPr>
      </w:pPr>
      <w:r>
        <w:rPr>
          <w:rFonts w:ascii="仿宋_GB2312" w:eastAsia="仿宋_GB2312"/>
          <w:sz w:val="30"/>
          <w:szCs w:val="30"/>
          <w:highlight w:val="none"/>
        </w:rPr>
        <w:t>http://bond.sse.com.cn/business/dealerb/traderadd/</w:t>
      </w:r>
    </w:p>
    <w:p w14:paraId="16535B87">
      <w:pPr>
        <w:spacing w:line="600" w:lineRule="exact"/>
        <w:ind w:firstLine="600"/>
        <w:rPr>
          <w:rFonts w:ascii="仿宋_GB2312" w:eastAsia="仿宋_GB2312"/>
          <w:sz w:val="30"/>
          <w:szCs w:val="30"/>
        </w:rPr>
      </w:pPr>
      <w:r>
        <w:rPr>
          <w:rFonts w:hint="eastAsia" w:ascii="仿宋_GB2312" w:eastAsia="仿宋_GB2312"/>
          <w:sz w:val="30"/>
          <w:szCs w:val="30"/>
        </w:rPr>
        <w:t>数字证书在线申请：申请</w:t>
      </w:r>
      <w:r>
        <w:rPr>
          <w:rFonts w:ascii="仿宋_GB2312" w:eastAsia="仿宋_GB2312"/>
          <w:sz w:val="30"/>
          <w:szCs w:val="30"/>
        </w:rPr>
        <w:t>人</w:t>
      </w:r>
      <w:r>
        <w:rPr>
          <w:rFonts w:hint="eastAsia" w:ascii="仿宋_GB2312" w:eastAsia="仿宋_GB2312"/>
          <w:sz w:val="30"/>
          <w:szCs w:val="30"/>
        </w:rPr>
        <w:t>通过登录“CnSCA在线业务系统”（</w:t>
      </w:r>
      <w:r>
        <w:rPr>
          <w:rFonts w:ascii="仿宋_GB2312" w:eastAsia="仿宋_GB2312"/>
          <w:sz w:val="30"/>
          <w:szCs w:val="30"/>
        </w:rPr>
        <w:t>https://cnsca.sse.com.cn/</w:t>
      </w:r>
      <w:r>
        <w:rPr>
          <w:rFonts w:hint="eastAsia" w:ascii="仿宋_GB2312" w:eastAsia="仿宋_GB2312"/>
          <w:sz w:val="30"/>
          <w:szCs w:val="30"/>
        </w:rPr>
        <w:t>）进行“</w:t>
      </w:r>
      <w:r>
        <w:rPr>
          <w:rFonts w:hint="eastAsia" w:ascii="仿宋_GB2312" w:eastAsia="仿宋_GB2312"/>
          <w:sz w:val="30"/>
          <w:szCs w:val="30"/>
          <w:lang w:eastAsia="zh-CN"/>
        </w:rPr>
        <w:t>互联网交易平台</w:t>
      </w:r>
      <w:r>
        <w:rPr>
          <w:rFonts w:hint="eastAsia" w:ascii="仿宋_GB2312" w:eastAsia="仿宋_GB2312"/>
          <w:sz w:val="30"/>
          <w:szCs w:val="30"/>
          <w:lang w:val="en-US" w:eastAsia="zh-CN"/>
        </w:rPr>
        <w:t>-一债通</w:t>
      </w:r>
      <w:r>
        <w:rPr>
          <w:rFonts w:hint="eastAsia" w:ascii="仿宋_GB2312" w:eastAsia="仿宋_GB2312"/>
          <w:sz w:val="30"/>
          <w:szCs w:val="30"/>
        </w:rPr>
        <w:t>”数字</w:t>
      </w:r>
      <w:r>
        <w:rPr>
          <w:rFonts w:ascii="仿宋_GB2312" w:eastAsia="仿宋_GB2312"/>
          <w:sz w:val="30"/>
          <w:szCs w:val="30"/>
        </w:rPr>
        <w:t>证书申请，</w:t>
      </w:r>
      <w:r>
        <w:rPr>
          <w:rFonts w:hint="eastAsia" w:ascii="仿宋_GB2312" w:eastAsia="仿宋_GB2312"/>
          <w:sz w:val="30"/>
          <w:szCs w:val="30"/>
        </w:rPr>
        <w:t>并获取相应的</w:t>
      </w:r>
      <w:r>
        <w:rPr>
          <w:rFonts w:ascii="仿宋_GB2312" w:eastAsia="仿宋_GB2312"/>
          <w:sz w:val="30"/>
          <w:szCs w:val="30"/>
        </w:rPr>
        <w:t>用户名和密码，</w:t>
      </w:r>
      <w:r>
        <w:rPr>
          <w:rFonts w:hint="eastAsia" w:ascii="仿宋_GB2312" w:eastAsia="仿宋_GB2312"/>
          <w:sz w:val="30"/>
          <w:szCs w:val="30"/>
        </w:rPr>
        <w:t>C</w:t>
      </w:r>
      <w:r>
        <w:rPr>
          <w:rFonts w:ascii="仿宋_GB2312" w:eastAsia="仿宋_GB2312"/>
          <w:sz w:val="30"/>
          <w:szCs w:val="30"/>
        </w:rPr>
        <w:t>A</w:t>
      </w:r>
      <w:r>
        <w:rPr>
          <w:rFonts w:hint="eastAsia" w:ascii="仿宋_GB2312" w:eastAsia="仿宋_GB2312"/>
          <w:sz w:val="30"/>
          <w:szCs w:val="30"/>
        </w:rPr>
        <w:t>中心一般在收到业务审核通过后的3-5个工作日内发放数字证书。</w:t>
      </w:r>
    </w:p>
    <w:p w14:paraId="5B9D2FA7">
      <w:pPr>
        <w:numPr>
          <w:ilvl w:val="1"/>
          <w:numId w:val="4"/>
        </w:numPr>
        <w:spacing w:line="600" w:lineRule="exact"/>
        <w:ind w:left="0" w:firstLine="0"/>
        <w:outlineLvl w:val="1"/>
        <w:rPr>
          <w:rFonts w:ascii="仿宋_GB2312" w:hAnsi="黑体" w:eastAsia="仿宋_GB2312"/>
          <w:b/>
          <w:sz w:val="30"/>
          <w:szCs w:val="30"/>
        </w:rPr>
      </w:pPr>
      <w:bookmarkStart w:id="242" w:name="_Toc151136884"/>
      <w:bookmarkStart w:id="243" w:name="_Toc1123952580"/>
      <w:bookmarkStart w:id="244" w:name="_Toc1365662668"/>
      <w:bookmarkStart w:id="245" w:name="_Toc2107954944"/>
      <w:bookmarkStart w:id="246" w:name="_Toc1575705230"/>
      <w:bookmarkStart w:id="247" w:name="_Toc305727801"/>
      <w:bookmarkStart w:id="248" w:name="_Toc1145043106"/>
      <w:r>
        <w:rPr>
          <w:rFonts w:ascii="仿宋_GB2312" w:hAnsi="黑体" w:eastAsia="仿宋_GB2312"/>
          <w:b/>
          <w:sz w:val="30"/>
          <w:szCs w:val="30"/>
        </w:rPr>
        <w:t>债券交易参与人变更</w:t>
      </w:r>
      <w:r>
        <w:rPr>
          <w:rFonts w:hint="eastAsia" w:ascii="仿宋_GB2312" w:hAnsi="黑体" w:eastAsia="仿宋_GB2312"/>
          <w:b/>
          <w:sz w:val="30"/>
          <w:szCs w:val="30"/>
        </w:rPr>
        <w:t>与终止</w:t>
      </w:r>
      <w:bookmarkEnd w:id="242"/>
      <w:bookmarkEnd w:id="243"/>
      <w:bookmarkEnd w:id="244"/>
      <w:bookmarkEnd w:id="245"/>
      <w:bookmarkEnd w:id="246"/>
      <w:bookmarkEnd w:id="247"/>
      <w:bookmarkEnd w:id="248"/>
    </w:p>
    <w:p w14:paraId="28CF7956">
      <w:pPr>
        <w:numPr>
          <w:ilvl w:val="2"/>
          <w:numId w:val="4"/>
        </w:numPr>
        <w:spacing w:line="600" w:lineRule="exact"/>
        <w:ind w:left="0" w:firstLine="0"/>
        <w:outlineLvl w:val="2"/>
        <w:rPr>
          <w:rFonts w:ascii="仿宋_GB2312" w:eastAsia="仿宋_GB2312"/>
          <w:b/>
          <w:sz w:val="30"/>
          <w:szCs w:val="30"/>
        </w:rPr>
      </w:pPr>
      <w:bookmarkStart w:id="249" w:name="_Toc57908863"/>
      <w:r>
        <w:rPr>
          <w:rFonts w:ascii="仿宋_GB2312" w:eastAsia="仿宋_GB2312"/>
          <w:b/>
          <w:sz w:val="30"/>
          <w:szCs w:val="30"/>
        </w:rPr>
        <w:t>债券交易参与人变更</w:t>
      </w:r>
      <w:bookmarkEnd w:id="249"/>
    </w:p>
    <w:p w14:paraId="7D6F342C">
      <w:pPr>
        <w:spacing w:line="600" w:lineRule="exact"/>
        <w:ind w:firstLine="600"/>
        <w:rPr>
          <w:rFonts w:ascii="仿宋_GB2312" w:eastAsia="仿宋_GB2312"/>
          <w:sz w:val="30"/>
          <w:szCs w:val="30"/>
        </w:rPr>
      </w:pPr>
      <w:r>
        <w:rPr>
          <w:rFonts w:hint="eastAsia" w:ascii="仿宋_GB2312" w:eastAsia="仿宋_GB2312"/>
          <w:sz w:val="30"/>
          <w:szCs w:val="30"/>
        </w:rPr>
        <w:t>债券交易参与人变更名称的，应及时向本所提交修改申请</w:t>
      </w:r>
      <w:r>
        <w:rPr>
          <w:rFonts w:hint="eastAsia" w:ascii="仿宋_GB2312" w:eastAsia="仿宋_GB2312"/>
          <w:sz w:val="30"/>
          <w:szCs w:val="30"/>
          <w:lang w:eastAsia="zh-CN"/>
        </w:rPr>
        <w:t>，</w:t>
      </w:r>
      <w:r>
        <w:rPr>
          <w:rFonts w:hint="eastAsia" w:ascii="仿宋_GB2312" w:eastAsia="仿宋_GB2312"/>
          <w:sz w:val="30"/>
          <w:szCs w:val="30"/>
        </w:rPr>
        <w:t>可通过会籍</w:t>
      </w:r>
      <w:r>
        <w:rPr>
          <w:rFonts w:hint="eastAsia" w:ascii="仿宋_GB2312" w:eastAsia="仿宋_GB2312"/>
          <w:sz w:val="30"/>
          <w:szCs w:val="30"/>
          <w:lang w:eastAsia="zh-CN"/>
        </w:rPr>
        <w:t>业务平台</w:t>
      </w:r>
      <w:r>
        <w:rPr>
          <w:rFonts w:hint="eastAsia" w:ascii="仿宋_GB2312" w:eastAsia="仿宋_GB2312"/>
          <w:sz w:val="30"/>
          <w:szCs w:val="30"/>
        </w:rPr>
        <w:t>提交申请材料进行机构基本信息修改。</w:t>
      </w:r>
    </w:p>
    <w:p w14:paraId="22A10CDD">
      <w:pPr>
        <w:numPr>
          <w:ilvl w:val="2"/>
          <w:numId w:val="4"/>
        </w:numPr>
        <w:spacing w:line="600" w:lineRule="exact"/>
        <w:ind w:left="0" w:firstLine="0"/>
        <w:outlineLvl w:val="2"/>
        <w:rPr>
          <w:rFonts w:ascii="仿宋_GB2312" w:hAnsi="黑体" w:eastAsia="仿宋_GB2312"/>
          <w:b/>
          <w:sz w:val="30"/>
          <w:szCs w:val="30"/>
        </w:rPr>
      </w:pPr>
      <w:r>
        <w:rPr>
          <w:rFonts w:ascii="仿宋_GB2312" w:hAnsi="黑体" w:eastAsia="仿宋_GB2312"/>
          <w:b/>
          <w:sz w:val="30"/>
          <w:szCs w:val="30"/>
        </w:rPr>
        <w:t>债券交易参与人</w:t>
      </w:r>
      <w:r>
        <w:rPr>
          <w:rFonts w:hint="eastAsia" w:ascii="仿宋_GB2312" w:hAnsi="黑体" w:eastAsia="仿宋_GB2312"/>
          <w:b/>
          <w:sz w:val="30"/>
          <w:szCs w:val="30"/>
        </w:rPr>
        <w:t>终止</w:t>
      </w:r>
    </w:p>
    <w:p w14:paraId="26F015C3">
      <w:pPr>
        <w:spacing w:line="600" w:lineRule="exact"/>
        <w:ind w:firstLine="600"/>
        <w:rPr>
          <w:rFonts w:ascii="仿宋_GB2312" w:eastAsia="仿宋_GB2312" w:cs="宋体"/>
          <w:color w:val="000000"/>
          <w:sz w:val="30"/>
          <w:szCs w:val="30"/>
        </w:rPr>
      </w:pPr>
      <w:r>
        <w:rPr>
          <w:rFonts w:hint="eastAsia" w:ascii="仿宋_GB2312" w:eastAsia="仿宋_GB2312" w:cs="宋体"/>
          <w:color w:val="000000"/>
          <w:sz w:val="30"/>
          <w:szCs w:val="30"/>
        </w:rPr>
        <w:t>债券交易参与人存在以下情形的，本所可以终止其作为债券交易参与人：</w:t>
      </w:r>
    </w:p>
    <w:p w14:paraId="4F5315CC">
      <w:pPr>
        <w:spacing w:line="600" w:lineRule="exact"/>
        <w:ind w:firstLine="600"/>
        <w:rPr>
          <w:rFonts w:ascii="仿宋_GB2312" w:eastAsia="仿宋_GB2312"/>
          <w:sz w:val="30"/>
          <w:szCs w:val="30"/>
        </w:rPr>
      </w:pPr>
      <w:r>
        <w:rPr>
          <w:rFonts w:hint="eastAsia" w:ascii="仿宋_GB2312" w:eastAsia="仿宋_GB2312"/>
          <w:sz w:val="30"/>
          <w:szCs w:val="30"/>
        </w:rPr>
        <w:t>（1）不再符合本所规定的债券交易参与人条件的；</w:t>
      </w:r>
    </w:p>
    <w:p w14:paraId="2B7A6C8C">
      <w:pPr>
        <w:spacing w:line="600" w:lineRule="exact"/>
        <w:ind w:firstLine="600"/>
        <w:rPr>
          <w:rFonts w:ascii="仿宋_GB2312" w:eastAsia="仿宋_GB2312"/>
          <w:sz w:val="30"/>
          <w:szCs w:val="30"/>
        </w:rPr>
      </w:pPr>
      <w:r>
        <w:rPr>
          <w:rFonts w:hint="eastAsia" w:ascii="仿宋_GB2312" w:eastAsia="仿宋_GB2312"/>
          <w:sz w:val="30"/>
          <w:szCs w:val="30"/>
        </w:rPr>
        <w:t>（2）主动申请不再作为债券交易参与人的；</w:t>
      </w:r>
    </w:p>
    <w:p w14:paraId="40A5B702">
      <w:pPr>
        <w:spacing w:line="600" w:lineRule="exact"/>
        <w:ind w:firstLine="600"/>
        <w:rPr>
          <w:rFonts w:ascii="仿宋_GB2312" w:eastAsia="仿宋_GB2312"/>
          <w:sz w:val="30"/>
          <w:szCs w:val="30"/>
        </w:rPr>
      </w:pPr>
      <w:r>
        <w:rPr>
          <w:rFonts w:hint="eastAsia" w:ascii="仿宋_GB2312" w:eastAsia="仿宋_GB2312"/>
          <w:sz w:val="30"/>
          <w:szCs w:val="30"/>
        </w:rPr>
        <w:t>（3）超过12个月不参与本所债券交易且无合理理由的；</w:t>
      </w:r>
    </w:p>
    <w:p w14:paraId="23A4F823">
      <w:pPr>
        <w:spacing w:line="600" w:lineRule="exact"/>
        <w:ind w:firstLine="600"/>
        <w:rPr>
          <w:rFonts w:ascii="仿宋_GB2312" w:eastAsia="仿宋_GB2312"/>
          <w:sz w:val="30"/>
          <w:szCs w:val="30"/>
        </w:rPr>
      </w:pPr>
      <w:r>
        <w:rPr>
          <w:rFonts w:hint="eastAsia" w:ascii="仿宋_GB2312" w:eastAsia="仿宋_GB2312"/>
          <w:sz w:val="30"/>
          <w:szCs w:val="30"/>
        </w:rPr>
        <w:t>（4）本所规定的其他情形。</w:t>
      </w:r>
    </w:p>
    <w:p w14:paraId="5A99BD65">
      <w:pPr>
        <w:spacing w:line="600" w:lineRule="exact"/>
        <w:ind w:firstLine="600"/>
        <w:rPr>
          <w:rFonts w:ascii="仿宋_GB2312" w:eastAsia="仿宋_GB2312"/>
          <w:sz w:val="30"/>
          <w:szCs w:val="30"/>
        </w:rPr>
      </w:pPr>
      <w:r>
        <w:rPr>
          <w:rFonts w:hint="eastAsia" w:ascii="仿宋_GB2312" w:eastAsia="仿宋_GB2312"/>
          <w:sz w:val="30"/>
          <w:szCs w:val="30"/>
        </w:rPr>
        <w:t>债券交易参与人不再符合本所规定条件的，应当及时向本所报告，债券交易参与人可将具体情况说明及“债券交易参与人注销登记表”发送至本所邮箱bondtrading@sse.com.cn。本所于材料齐备后5个工作日内完成债券交易参与人的注销工作。</w:t>
      </w:r>
    </w:p>
    <w:p w14:paraId="796EE774">
      <w:pPr>
        <w:spacing w:line="600" w:lineRule="exact"/>
        <w:ind w:firstLine="600"/>
        <w:rPr>
          <w:rFonts w:ascii="仿宋_GB2312" w:eastAsia="仿宋_GB2312"/>
          <w:sz w:val="30"/>
          <w:szCs w:val="30"/>
        </w:rPr>
      </w:pPr>
      <w:r>
        <w:rPr>
          <w:rFonts w:hint="eastAsia" w:ascii="仿宋_GB2312" w:eastAsia="仿宋_GB2312"/>
          <w:sz w:val="30"/>
          <w:szCs w:val="30"/>
        </w:rPr>
        <w:t>债券交易参与人主动申请不再作为债券交易参与人的，可通过</w:t>
      </w:r>
      <w:r>
        <w:rPr>
          <w:rFonts w:ascii="仿宋_GB2312" w:eastAsia="仿宋_GB2312"/>
          <w:sz w:val="30"/>
          <w:szCs w:val="30"/>
        </w:rPr>
        <w:t>会籍业务平台</w:t>
      </w:r>
      <w:r>
        <w:rPr>
          <w:rFonts w:hint="eastAsia" w:ascii="仿宋_GB2312" w:eastAsia="仿宋_GB2312"/>
          <w:sz w:val="30"/>
          <w:szCs w:val="30"/>
        </w:rPr>
        <w:t>进行办理。债券交易参与人应通过</w:t>
      </w:r>
      <w:r>
        <w:rPr>
          <w:rFonts w:ascii="仿宋_GB2312" w:eastAsia="仿宋_GB2312"/>
          <w:sz w:val="30"/>
          <w:szCs w:val="30"/>
        </w:rPr>
        <w:t>会籍业务平台</w:t>
      </w:r>
      <w:r>
        <w:rPr>
          <w:rFonts w:hint="eastAsia" w:ascii="仿宋_GB2312" w:eastAsia="仿宋_GB2312"/>
          <w:sz w:val="30"/>
          <w:szCs w:val="30"/>
        </w:rPr>
        <w:t>发起相关申请，并及时解除名下证券账户与交易单元的指定交易关系。该债券交易参与人其名下的所有交易单元将同步进行注销。债券交易系统根据会员</w:t>
      </w:r>
      <w:r>
        <w:rPr>
          <w:rFonts w:ascii="仿宋_GB2312" w:eastAsia="仿宋_GB2312"/>
          <w:sz w:val="30"/>
          <w:szCs w:val="30"/>
        </w:rPr>
        <w:t>业务</w:t>
      </w:r>
      <w:r>
        <w:rPr>
          <w:rFonts w:hint="eastAsia" w:ascii="仿宋_GB2312" w:eastAsia="仿宋_GB2312"/>
          <w:sz w:val="30"/>
          <w:szCs w:val="30"/>
        </w:rPr>
        <w:t>的交易单元数据同步更新。</w:t>
      </w:r>
    </w:p>
    <w:p w14:paraId="04160DC9">
      <w:pPr>
        <w:numPr>
          <w:ilvl w:val="2"/>
          <w:numId w:val="4"/>
        </w:numPr>
        <w:spacing w:line="600" w:lineRule="exact"/>
        <w:ind w:left="0" w:firstLine="0"/>
        <w:outlineLvl w:val="2"/>
        <w:rPr>
          <w:rFonts w:ascii="仿宋_GB2312" w:hAnsi="黑体" w:eastAsia="仿宋_GB2312"/>
          <w:b/>
          <w:sz w:val="30"/>
          <w:szCs w:val="30"/>
        </w:rPr>
      </w:pPr>
      <w:r>
        <w:rPr>
          <w:rFonts w:ascii="仿宋_GB2312" w:hAnsi="黑体" w:eastAsia="仿宋_GB2312"/>
          <w:b/>
          <w:sz w:val="30"/>
          <w:szCs w:val="30"/>
        </w:rPr>
        <w:t>债券交易业务联络人</w:t>
      </w:r>
    </w:p>
    <w:p w14:paraId="1372D1C2">
      <w:pPr>
        <w:spacing w:line="600" w:lineRule="exact"/>
        <w:ind w:firstLine="600"/>
        <w:rPr>
          <w:rFonts w:ascii="仿宋_GB2312" w:eastAsia="仿宋_GB2312"/>
          <w:sz w:val="30"/>
          <w:szCs w:val="30"/>
        </w:rPr>
      </w:pPr>
      <w:r>
        <w:rPr>
          <w:rFonts w:hint="eastAsia" w:ascii="仿宋_GB2312" w:eastAsia="仿宋_GB2312"/>
          <w:sz w:val="30"/>
          <w:szCs w:val="30"/>
        </w:rPr>
        <w:t>债券交易参与人应当设债券交易业务联络人一至四名，负责组织、协调债券交易参与人在本所开展的各项债券交易业务，并向本所提交债券交易业务联络人任职情况及联络方式等信息。</w:t>
      </w:r>
    </w:p>
    <w:p w14:paraId="010C9CC1">
      <w:pPr>
        <w:spacing w:line="600" w:lineRule="exact"/>
        <w:ind w:firstLine="600"/>
        <w:rPr>
          <w:rFonts w:ascii="仿宋_GB2312" w:eastAsia="仿宋_GB2312"/>
          <w:sz w:val="30"/>
          <w:szCs w:val="30"/>
        </w:rPr>
      </w:pPr>
      <w:r>
        <w:rPr>
          <w:rFonts w:hint="eastAsia" w:ascii="仿宋_GB2312" w:eastAsia="仿宋_GB2312"/>
          <w:sz w:val="30"/>
          <w:szCs w:val="30"/>
        </w:rPr>
        <w:t>本所会员及本所认可的其他债券交易参与人设置债券交易业务联络人时，应当将盖章后（可为部门章）的《债券交易参与人业务联络人基本信息表》（</w:t>
      </w:r>
      <w:r>
        <w:fldChar w:fldCharType="begin"/>
      </w:r>
      <w:r>
        <w:instrText xml:space="preserve"> HYPERLINK \l "_债券交易参与人业务联络人基本信息表" </w:instrText>
      </w:r>
      <w:r>
        <w:fldChar w:fldCharType="separate"/>
      </w:r>
      <w:r>
        <w:rPr>
          <w:rFonts w:hint="eastAsia" w:ascii="仿宋_GB2312" w:eastAsia="仿宋_GB2312"/>
          <w:sz w:val="30"/>
          <w:szCs w:val="30"/>
        </w:rPr>
        <w:t>附件</w:t>
      </w:r>
      <w:r>
        <w:rPr>
          <w:rFonts w:hint="eastAsia" w:ascii="仿宋_GB2312" w:eastAsia="仿宋_GB2312"/>
          <w:sz w:val="30"/>
          <w:szCs w:val="30"/>
        </w:rPr>
        <w:fldChar w:fldCharType="end"/>
      </w:r>
      <w:r>
        <w:rPr>
          <w:rFonts w:hint="eastAsia" w:ascii="仿宋_GB2312" w:eastAsia="仿宋_GB2312"/>
          <w:sz w:val="30"/>
          <w:szCs w:val="30"/>
        </w:rPr>
        <w:t>3），发送至本所邮箱bondtrading@sse.com.cn。债券交易业务联络人基本信息齐备的，本所予以确认，并根据需要安排培训。</w:t>
      </w:r>
    </w:p>
    <w:p w14:paraId="20592239">
      <w:pPr>
        <w:spacing w:line="600" w:lineRule="exact"/>
        <w:ind w:firstLine="600"/>
        <w:rPr>
          <w:rFonts w:ascii="仿宋_GB2312" w:eastAsia="仿宋_GB2312"/>
          <w:sz w:val="30"/>
          <w:szCs w:val="30"/>
        </w:rPr>
      </w:pPr>
      <w:r>
        <w:rPr>
          <w:rFonts w:hint="eastAsia" w:ascii="仿宋_GB2312" w:eastAsia="仿宋_GB2312"/>
          <w:sz w:val="30"/>
          <w:szCs w:val="30"/>
        </w:rPr>
        <w:t>债券交易业务联络人应当根据债券交易参与人授权，履行下列职责：</w:t>
      </w:r>
    </w:p>
    <w:p w14:paraId="02A95B66">
      <w:pPr>
        <w:spacing w:line="600" w:lineRule="exact"/>
        <w:ind w:firstLine="600"/>
        <w:rPr>
          <w:rFonts w:ascii="仿宋_GB2312" w:eastAsia="仿宋_GB2312"/>
          <w:sz w:val="30"/>
          <w:szCs w:val="30"/>
        </w:rPr>
      </w:pPr>
      <w:r>
        <w:rPr>
          <w:rFonts w:hint="eastAsia" w:ascii="仿宋_GB2312" w:eastAsia="仿宋_GB2312"/>
          <w:sz w:val="30"/>
          <w:szCs w:val="30"/>
        </w:rPr>
        <w:t>（1）办理本所债券交易参与人申请及变更、交易权限申请等相关业务；</w:t>
      </w:r>
    </w:p>
    <w:p w14:paraId="27F92C8C">
      <w:pPr>
        <w:spacing w:line="600" w:lineRule="exact"/>
        <w:ind w:firstLine="600"/>
        <w:rPr>
          <w:rFonts w:ascii="仿宋_GB2312" w:eastAsia="仿宋_GB2312"/>
          <w:sz w:val="30"/>
          <w:szCs w:val="30"/>
        </w:rPr>
      </w:pPr>
      <w:r>
        <w:rPr>
          <w:rFonts w:hint="eastAsia" w:ascii="仿宋_GB2312" w:eastAsia="仿宋_GB2312"/>
          <w:sz w:val="30"/>
          <w:szCs w:val="30"/>
        </w:rPr>
        <w:t>（2）办理债券交易相关数据、材料和情况的报送；</w:t>
      </w:r>
    </w:p>
    <w:p w14:paraId="5ACF4333">
      <w:pPr>
        <w:spacing w:line="600" w:lineRule="exact"/>
        <w:ind w:firstLine="600"/>
        <w:rPr>
          <w:rFonts w:ascii="仿宋_GB2312" w:eastAsia="仿宋_GB2312"/>
          <w:sz w:val="30"/>
          <w:szCs w:val="30"/>
        </w:rPr>
      </w:pPr>
      <w:r>
        <w:rPr>
          <w:rFonts w:hint="eastAsia" w:ascii="仿宋_GB2312" w:eastAsia="仿宋_GB2312"/>
          <w:sz w:val="30"/>
          <w:szCs w:val="30"/>
        </w:rPr>
        <w:t>（3）及时、准确、完整地接收本所发布的各类通知和信息；</w:t>
      </w:r>
    </w:p>
    <w:p w14:paraId="045961D8">
      <w:pPr>
        <w:spacing w:line="600" w:lineRule="exact"/>
        <w:ind w:firstLine="600"/>
        <w:rPr>
          <w:rFonts w:ascii="仿宋_GB2312" w:eastAsia="仿宋_GB2312"/>
          <w:sz w:val="30"/>
          <w:szCs w:val="30"/>
        </w:rPr>
      </w:pPr>
      <w:r>
        <w:rPr>
          <w:rFonts w:hint="eastAsia" w:ascii="仿宋_GB2312" w:eastAsia="仿宋_GB2312"/>
          <w:sz w:val="30"/>
          <w:szCs w:val="30"/>
        </w:rPr>
        <w:t>（4）组织本机构相关业务人员参加本所债券业务培训；</w:t>
      </w:r>
    </w:p>
    <w:p w14:paraId="5B0C42C4">
      <w:pPr>
        <w:spacing w:line="600" w:lineRule="exact"/>
        <w:ind w:firstLine="600"/>
        <w:rPr>
          <w:rFonts w:ascii="仿宋_GB2312" w:eastAsia="仿宋_GB2312"/>
          <w:sz w:val="30"/>
          <w:szCs w:val="30"/>
        </w:rPr>
      </w:pPr>
      <w:r>
        <w:rPr>
          <w:rFonts w:hint="eastAsia" w:ascii="仿宋_GB2312" w:eastAsia="仿宋_GB2312"/>
          <w:sz w:val="30"/>
          <w:szCs w:val="30"/>
        </w:rPr>
        <w:t>（5）协调债券交易相关系统建设、改造、测试等；</w:t>
      </w:r>
    </w:p>
    <w:p w14:paraId="2B6600D6">
      <w:pPr>
        <w:spacing w:line="600" w:lineRule="exact"/>
        <w:ind w:firstLine="600"/>
        <w:rPr>
          <w:rFonts w:ascii="仿宋_GB2312" w:eastAsia="仿宋_GB2312"/>
          <w:sz w:val="30"/>
          <w:szCs w:val="30"/>
        </w:rPr>
      </w:pPr>
      <w:r>
        <w:rPr>
          <w:rFonts w:hint="eastAsia" w:ascii="仿宋_GB2312" w:eastAsia="仿宋_GB2312"/>
          <w:sz w:val="30"/>
          <w:szCs w:val="30"/>
        </w:rPr>
        <w:t>（6）督促本机构及时更新在本所债券交易系统注册的交易人员信息、证券账户信息等；</w:t>
      </w:r>
    </w:p>
    <w:p w14:paraId="50E12658">
      <w:pPr>
        <w:spacing w:line="600" w:lineRule="exact"/>
        <w:ind w:firstLine="600"/>
        <w:rPr>
          <w:rFonts w:ascii="仿宋_GB2312" w:eastAsia="仿宋_GB2312"/>
          <w:sz w:val="30"/>
          <w:szCs w:val="30"/>
        </w:rPr>
      </w:pPr>
      <w:r>
        <w:rPr>
          <w:rFonts w:hint="eastAsia" w:ascii="仿宋_GB2312" w:eastAsia="仿宋_GB2312"/>
          <w:sz w:val="30"/>
          <w:szCs w:val="30"/>
        </w:rPr>
        <w:t>（7）本所要求履行的其他职责。</w:t>
      </w:r>
    </w:p>
    <w:p w14:paraId="2A430E61">
      <w:pPr>
        <w:spacing w:line="600" w:lineRule="exact"/>
        <w:ind w:firstLine="600"/>
        <w:rPr>
          <w:rFonts w:ascii="仿宋_GB2312" w:eastAsia="仿宋_GB2312"/>
          <w:sz w:val="30"/>
          <w:szCs w:val="30"/>
        </w:rPr>
      </w:pPr>
      <w:r>
        <w:rPr>
          <w:rFonts w:hint="eastAsia" w:ascii="仿宋_GB2312" w:eastAsia="仿宋_GB2312"/>
          <w:sz w:val="30"/>
          <w:szCs w:val="30"/>
        </w:rPr>
        <w:t>债券交易业务联络人发生无法履行职责或者履行职责时出现重大过错并产生严重后果等情形的，本所可以要求债券交易参与人更换联络人。债券交易参与人向本所申请更换债券交易业务联络人或债券交易业务联络人信息变更的，应通过前述邮箱，向本所重新提交《债券交易参与人业务联络人基本信息表》，材料均应盖章（可为部门章）。</w:t>
      </w:r>
    </w:p>
    <w:p w14:paraId="21891AEE">
      <w:pPr>
        <w:numPr>
          <w:ilvl w:val="1"/>
          <w:numId w:val="4"/>
        </w:numPr>
        <w:spacing w:line="600" w:lineRule="exact"/>
        <w:ind w:left="0" w:firstLine="0"/>
        <w:outlineLvl w:val="1"/>
        <w:rPr>
          <w:rFonts w:ascii="仿宋_GB2312" w:eastAsia="仿宋_GB2312"/>
          <w:b/>
          <w:sz w:val="30"/>
          <w:szCs w:val="30"/>
        </w:rPr>
      </w:pPr>
      <w:bookmarkStart w:id="250" w:name="_Toc2071979505"/>
      <w:bookmarkStart w:id="251" w:name="_Toc493936522"/>
      <w:bookmarkStart w:id="252" w:name="_Toc151136885"/>
      <w:bookmarkStart w:id="253" w:name="_Toc2006079285"/>
      <w:bookmarkStart w:id="254" w:name="_Toc478858245"/>
      <w:bookmarkStart w:id="255" w:name="_Toc56166256"/>
      <w:bookmarkStart w:id="256" w:name="_Toc1494439896"/>
      <w:bookmarkStart w:id="257" w:name="_Toc2075529495"/>
      <w:bookmarkStart w:id="258" w:name="_Toc56166067"/>
      <w:r>
        <w:rPr>
          <w:rFonts w:hint="eastAsia" w:ascii="仿宋_GB2312" w:eastAsia="仿宋_GB2312"/>
          <w:b/>
          <w:sz w:val="30"/>
          <w:szCs w:val="30"/>
        </w:rPr>
        <w:t>系统接入前准备</w:t>
      </w:r>
      <w:bookmarkEnd w:id="250"/>
      <w:bookmarkEnd w:id="251"/>
      <w:bookmarkEnd w:id="252"/>
      <w:bookmarkEnd w:id="253"/>
      <w:bookmarkEnd w:id="254"/>
      <w:bookmarkEnd w:id="255"/>
      <w:bookmarkEnd w:id="256"/>
      <w:bookmarkEnd w:id="257"/>
      <w:bookmarkEnd w:id="258"/>
    </w:p>
    <w:p w14:paraId="32786D6C">
      <w:pPr>
        <w:numPr>
          <w:ilvl w:val="2"/>
          <w:numId w:val="4"/>
        </w:numPr>
        <w:spacing w:line="600" w:lineRule="exact"/>
        <w:ind w:left="0" w:firstLine="0"/>
        <w:outlineLvl w:val="2"/>
        <w:rPr>
          <w:rFonts w:ascii="仿宋_GB2312" w:hAnsi="黑体" w:eastAsia="仿宋_GB2312"/>
          <w:b/>
          <w:sz w:val="30"/>
          <w:szCs w:val="30"/>
        </w:rPr>
      </w:pPr>
      <w:r>
        <w:rPr>
          <w:rFonts w:ascii="仿宋_GB2312" w:hAnsi="黑体" w:eastAsia="仿宋_GB2312"/>
          <w:b/>
          <w:sz w:val="30"/>
          <w:szCs w:val="30"/>
        </w:rPr>
        <w:t>账户开立</w:t>
      </w:r>
    </w:p>
    <w:p w14:paraId="27F0107D">
      <w:pPr>
        <w:spacing w:line="600" w:lineRule="exact"/>
        <w:ind w:firstLine="600"/>
        <w:rPr>
          <w:rFonts w:ascii="仿宋_GB2312" w:eastAsia="仿宋_GB2312"/>
          <w:sz w:val="30"/>
          <w:szCs w:val="30"/>
        </w:rPr>
      </w:pPr>
      <w:r>
        <w:rPr>
          <w:rFonts w:hint="eastAsia" w:ascii="仿宋_GB2312" w:eastAsia="仿宋_GB2312"/>
          <w:sz w:val="30"/>
          <w:szCs w:val="30"/>
        </w:rPr>
        <w:t>开展交易所市场债券交易前，债券投资者应办理证券账户开立手续。债券投资者应当按照《中国证券登记结算有限责任公司证券账户业务指南》或《中国证券登记结算有限责任公司特殊机构及产品证券账户业务指南》等规则规定的流程办理证券账户开立。</w:t>
      </w:r>
    </w:p>
    <w:p w14:paraId="30D8749C">
      <w:pPr>
        <w:numPr>
          <w:ilvl w:val="2"/>
          <w:numId w:val="4"/>
        </w:numPr>
        <w:spacing w:line="600" w:lineRule="exact"/>
        <w:ind w:left="0" w:firstLine="0"/>
        <w:outlineLvl w:val="2"/>
        <w:rPr>
          <w:rFonts w:ascii="仿宋_GB2312" w:hAnsi="黑体" w:eastAsia="仿宋_GB2312"/>
          <w:b/>
          <w:sz w:val="30"/>
          <w:szCs w:val="30"/>
        </w:rPr>
      </w:pPr>
      <w:r>
        <w:rPr>
          <w:rFonts w:ascii="仿宋_GB2312" w:hAnsi="黑体" w:eastAsia="仿宋_GB2312"/>
          <w:b/>
          <w:sz w:val="30"/>
          <w:szCs w:val="30"/>
        </w:rPr>
        <w:t>系统联网</w:t>
      </w:r>
    </w:p>
    <w:p w14:paraId="5B8317C0">
      <w:pPr>
        <w:spacing w:line="600" w:lineRule="exact"/>
        <w:ind w:firstLine="600"/>
        <w:rPr>
          <w:rFonts w:ascii="仿宋_GB2312" w:eastAsia="仿宋_GB2312"/>
          <w:sz w:val="30"/>
          <w:szCs w:val="30"/>
        </w:rPr>
      </w:pPr>
      <w:r>
        <w:rPr>
          <w:rFonts w:hint="eastAsia" w:ascii="仿宋_GB2312" w:eastAsia="仿宋_GB2312"/>
          <w:sz w:val="30"/>
          <w:szCs w:val="30"/>
        </w:rPr>
        <w:t>债券交易采用匹配成交方式的，债券交易参与人需与本所新债券交易系统联网。采用点击成交、询价成交、协商成交、竞买成交等方式的，需与本所</w:t>
      </w:r>
      <w:r>
        <w:rPr>
          <w:rFonts w:hint="eastAsia" w:ascii="仿宋_GB2312" w:eastAsia="仿宋_GB2312"/>
          <w:sz w:val="30"/>
          <w:szCs w:val="30"/>
          <w:lang w:eastAsia="zh-CN"/>
        </w:rPr>
        <w:t>新固定收益系统</w:t>
      </w:r>
      <w:r>
        <w:rPr>
          <w:rFonts w:hint="eastAsia" w:ascii="仿宋_GB2312" w:eastAsia="仿宋_GB2312"/>
          <w:sz w:val="30"/>
          <w:szCs w:val="30"/>
        </w:rPr>
        <w:t>联网。</w:t>
      </w:r>
    </w:p>
    <w:p w14:paraId="1B043ECC">
      <w:pPr>
        <w:spacing w:line="600" w:lineRule="exact"/>
        <w:ind w:firstLine="601" w:firstLineChars="200"/>
        <w:outlineLvl w:val="3"/>
        <w:rPr>
          <w:rFonts w:ascii="仿宋_GB2312" w:hAnsi="黑体" w:eastAsia="仿宋_GB2312"/>
          <w:b/>
          <w:sz w:val="30"/>
          <w:szCs w:val="30"/>
        </w:rPr>
      </w:pPr>
      <w:r>
        <w:rPr>
          <w:rFonts w:hint="eastAsia" w:ascii="仿宋_GB2312" w:hAnsi="黑体" w:eastAsia="仿宋_GB2312"/>
          <w:b/>
          <w:sz w:val="30"/>
          <w:szCs w:val="30"/>
        </w:rPr>
        <w:t>（1）新债券交易系统</w:t>
      </w:r>
    </w:p>
    <w:p w14:paraId="6D33DDD4">
      <w:pPr>
        <w:spacing w:line="600" w:lineRule="exact"/>
        <w:ind w:firstLine="600"/>
        <w:rPr>
          <w:rFonts w:ascii="仿宋_GB2312" w:eastAsia="仿宋_GB2312"/>
          <w:sz w:val="30"/>
          <w:szCs w:val="30"/>
        </w:rPr>
      </w:pPr>
      <w:r>
        <w:rPr>
          <w:rFonts w:hint="eastAsia" w:ascii="仿宋_GB2312" w:eastAsia="仿宋_GB2312"/>
          <w:sz w:val="30"/>
          <w:szCs w:val="30"/>
        </w:rPr>
        <w:t>1）开通通信线路</w:t>
      </w:r>
    </w:p>
    <w:p w14:paraId="453D8060">
      <w:pPr>
        <w:spacing w:line="600" w:lineRule="exact"/>
        <w:ind w:firstLine="600"/>
        <w:rPr>
          <w:rFonts w:ascii="仿宋_GB2312" w:eastAsia="仿宋_GB2312"/>
          <w:sz w:val="30"/>
          <w:szCs w:val="30"/>
        </w:rPr>
      </w:pPr>
      <w:r>
        <w:rPr>
          <w:rFonts w:hint="eastAsia" w:ascii="仿宋_GB2312" w:eastAsia="仿宋_GB2312"/>
          <w:sz w:val="30"/>
          <w:szCs w:val="30"/>
        </w:rPr>
        <w:t>本所新债券交易系统运行在证券交易专网上，市场机构与本所新债券交易系统联网前，应先接入证券交易专网。</w:t>
      </w:r>
    </w:p>
    <w:p w14:paraId="122E35A1">
      <w:pPr>
        <w:spacing w:line="600" w:lineRule="exact"/>
        <w:ind w:firstLine="600"/>
        <w:rPr>
          <w:rFonts w:ascii="仿宋_GB2312" w:eastAsia="仿宋_GB2312"/>
          <w:sz w:val="30"/>
          <w:szCs w:val="30"/>
        </w:rPr>
      </w:pPr>
      <w:r>
        <w:rPr>
          <w:rFonts w:hint="eastAsia" w:ascii="仿宋_GB2312" w:eastAsia="仿宋_GB2312"/>
          <w:sz w:val="30"/>
          <w:szCs w:val="30"/>
        </w:rPr>
        <w:t>证券交易专网的通信线路开通由上交所技术有限责任公司（以下简称上交所技术公司）负责，联系方式：</w:t>
      </w:r>
    </w:p>
    <w:p w14:paraId="11432400">
      <w:pPr>
        <w:spacing w:line="600" w:lineRule="exact"/>
        <w:ind w:firstLine="600"/>
        <w:rPr>
          <w:rFonts w:hint="eastAsia" w:ascii="仿宋_GB2312" w:eastAsia="仿宋_GB2312"/>
          <w:sz w:val="30"/>
          <w:szCs w:val="30"/>
          <w:highlight w:val="none"/>
        </w:rPr>
      </w:pPr>
      <w:r>
        <w:rPr>
          <w:rFonts w:hint="eastAsia" w:ascii="仿宋_GB2312" w:eastAsia="仿宋_GB2312"/>
          <w:sz w:val="30"/>
          <w:szCs w:val="30"/>
          <w:highlight w:val="none"/>
        </w:rPr>
        <w:t>技术服务热线：</w:t>
      </w:r>
      <w:r>
        <w:rPr>
          <w:rFonts w:hint="eastAsia" w:ascii="仿宋_GB2312" w:eastAsia="仿宋_GB2312"/>
          <w:sz w:val="30"/>
          <w:szCs w:val="30"/>
          <w:highlight w:val="none"/>
          <w:lang w:val="en-US" w:eastAsia="zh-CN"/>
        </w:rPr>
        <w:t>4008888400按键2-1</w:t>
      </w:r>
    </w:p>
    <w:p w14:paraId="772B45AF">
      <w:pPr>
        <w:wordWrap w:val="0"/>
        <w:spacing w:line="600" w:lineRule="exact"/>
        <w:ind w:firstLine="601"/>
        <w:rPr>
          <w:rFonts w:ascii="仿宋_GB2312" w:eastAsia="仿宋_GB2312"/>
          <w:sz w:val="30"/>
          <w:szCs w:val="30"/>
          <w:highlight w:val="yellow"/>
        </w:rPr>
      </w:pPr>
      <w:r>
        <w:rPr>
          <w:rFonts w:hint="eastAsia" w:ascii="仿宋_GB2312" w:eastAsia="仿宋_GB2312"/>
          <w:sz w:val="30"/>
          <w:szCs w:val="30"/>
          <w:lang w:eastAsia="zh-CN"/>
        </w:rPr>
        <w:t>相关</w:t>
      </w:r>
      <w:r>
        <w:rPr>
          <w:rFonts w:hint="eastAsia" w:ascii="仿宋_GB2312" w:eastAsia="仿宋_GB2312"/>
          <w:sz w:val="30"/>
          <w:szCs w:val="30"/>
        </w:rPr>
        <w:t>接入服务的开通申请指引和</w:t>
      </w:r>
      <w:r>
        <w:rPr>
          <w:rFonts w:ascii="仿宋_GB2312" w:eastAsia="仿宋_GB2312"/>
          <w:sz w:val="30"/>
          <w:szCs w:val="30"/>
        </w:rPr>
        <w:t>撤销</w:t>
      </w:r>
      <w:r>
        <w:rPr>
          <w:rFonts w:hint="eastAsia" w:ascii="仿宋_GB2312" w:eastAsia="仿宋_GB2312"/>
          <w:sz w:val="30"/>
          <w:szCs w:val="30"/>
        </w:rPr>
        <w:t>申请</w:t>
      </w:r>
      <w:r>
        <w:rPr>
          <w:rFonts w:ascii="仿宋_GB2312" w:eastAsia="仿宋_GB2312"/>
          <w:sz w:val="30"/>
          <w:szCs w:val="30"/>
        </w:rPr>
        <w:t>指引</w:t>
      </w:r>
      <w:r>
        <w:rPr>
          <w:rFonts w:hint="eastAsia" w:ascii="仿宋_GB2312" w:eastAsia="仿宋_GB2312"/>
          <w:sz w:val="30"/>
          <w:szCs w:val="30"/>
        </w:rPr>
        <w:t>请见上交所</w:t>
      </w:r>
      <w:r>
        <w:rPr>
          <w:rFonts w:ascii="仿宋_GB2312" w:eastAsia="仿宋_GB2312"/>
          <w:sz w:val="30"/>
          <w:szCs w:val="30"/>
        </w:rPr>
        <w:t>技术公司官网</w:t>
      </w:r>
      <w:r>
        <w:rPr>
          <w:rFonts w:hint="eastAsia" w:ascii="仿宋_GB2312" w:eastAsia="仿宋_GB2312"/>
          <w:sz w:val="30"/>
          <w:szCs w:val="30"/>
        </w:rPr>
        <w:t>，交易行情接入服务的收费标准以上交所技术公司公布的</w:t>
      </w:r>
      <w:r>
        <w:rPr>
          <w:rFonts w:ascii="仿宋_GB2312" w:eastAsia="仿宋_GB2312"/>
          <w:sz w:val="30"/>
          <w:szCs w:val="30"/>
        </w:rPr>
        <w:t>收费标准</w:t>
      </w:r>
      <w:r>
        <w:rPr>
          <w:rFonts w:hint="eastAsia" w:ascii="仿宋_GB2312" w:eastAsia="仿宋_GB2312"/>
          <w:sz w:val="30"/>
          <w:szCs w:val="30"/>
        </w:rPr>
        <w:t>为准</w:t>
      </w:r>
      <w:r>
        <w:rPr>
          <w:rFonts w:hint="eastAsia" w:ascii="仿宋_GB2312" w:eastAsia="仿宋_GB2312"/>
          <w:sz w:val="30"/>
          <w:szCs w:val="30"/>
          <w:highlight w:val="none"/>
        </w:rPr>
        <w:t>。</w:t>
      </w:r>
      <w:r>
        <w:rPr>
          <w:rFonts w:hint="eastAsia" w:ascii="仿宋_GB2312" w:eastAsia="仿宋_GB2312"/>
          <w:sz w:val="30"/>
          <w:szCs w:val="30"/>
        </w:rPr>
        <w:t>链接</w:t>
      </w:r>
      <w:r>
        <w:rPr>
          <w:rFonts w:ascii="仿宋_GB2312" w:eastAsia="仿宋_GB2312"/>
          <w:sz w:val="30"/>
          <w:szCs w:val="30"/>
        </w:rPr>
        <w:t>：</w:t>
      </w:r>
      <w:r>
        <w:rPr>
          <w:rFonts w:hint="eastAsia" w:ascii="仿宋_GB2312" w:eastAsia="仿宋_GB2312"/>
          <w:sz w:val="30"/>
          <w:szCs w:val="30"/>
        </w:rPr>
        <w:t>https://www.stocom.net/product/</w:t>
      </w:r>
      <w:r>
        <w:rPr>
          <w:rFonts w:hint="eastAsia" w:ascii="仿宋_GB2312" w:eastAsia="仿宋_GB2312"/>
          <w:sz w:val="30"/>
          <w:szCs w:val="30"/>
          <w:highlight w:val="none"/>
        </w:rPr>
        <w:t>。</w:t>
      </w:r>
    </w:p>
    <w:p w14:paraId="21AB8264">
      <w:pPr>
        <w:wordWrap w:val="0"/>
        <w:spacing w:line="600" w:lineRule="exact"/>
        <w:ind w:firstLine="601" w:firstLineChars="0"/>
        <w:rPr>
          <w:rFonts w:ascii="仿宋_GB2312" w:eastAsia="仿宋_GB2312"/>
          <w:sz w:val="30"/>
          <w:szCs w:val="30"/>
        </w:rPr>
      </w:pPr>
      <w:r>
        <w:rPr>
          <w:rFonts w:hint="eastAsia" w:ascii="仿宋_GB2312" w:eastAsia="仿宋_GB2312"/>
          <w:sz w:val="30"/>
          <w:szCs w:val="30"/>
        </w:rPr>
        <w:t>2）通过上下行电子接口方式接入</w:t>
      </w:r>
    </w:p>
    <w:p w14:paraId="1625982C">
      <w:pPr>
        <w:ind w:firstLine="600" w:firstLineChars="200"/>
        <w:rPr>
          <w:rFonts w:ascii="仿宋_GB2312" w:eastAsia="仿宋_GB2312"/>
          <w:sz w:val="30"/>
          <w:szCs w:val="30"/>
        </w:rPr>
      </w:pPr>
      <w:r>
        <w:rPr>
          <w:rFonts w:hint="eastAsia" w:ascii="仿宋_GB2312" w:eastAsia="仿宋_GB2312"/>
          <w:sz w:val="30"/>
          <w:szCs w:val="30"/>
        </w:rPr>
        <w:t>本所新债券交易系统目前支持通过上下行电子接口方式接入，</w:t>
      </w:r>
      <w:r>
        <w:rPr>
          <w:rFonts w:hint="eastAsia" w:ascii="仿宋_GB2312" w:eastAsia="仿宋_GB2312"/>
          <w:sz w:val="30"/>
          <w:szCs w:val="30"/>
          <w:lang w:eastAsia="zh-CN"/>
        </w:rPr>
        <w:t>同时本所支持一债通接入方式</w:t>
      </w:r>
      <w:r>
        <w:rPr>
          <w:rFonts w:hint="eastAsia" w:ascii="仿宋_GB2312" w:eastAsia="仿宋_GB2312"/>
          <w:sz w:val="30"/>
          <w:szCs w:val="30"/>
        </w:rPr>
        <w:t>。</w:t>
      </w:r>
      <w:r>
        <w:rPr>
          <w:rFonts w:hint="eastAsia" w:ascii="仿宋_GB2312" w:eastAsia="仿宋_GB2312"/>
          <w:sz w:val="30"/>
          <w:szCs w:val="30"/>
          <w:lang w:eastAsia="zh-CN"/>
        </w:rPr>
        <w:t>通过电子接口方式接入的，</w:t>
      </w:r>
      <w:r>
        <w:rPr>
          <w:rFonts w:hint="eastAsia" w:ascii="仿宋_GB2312" w:eastAsia="仿宋_GB2312"/>
          <w:sz w:val="30"/>
          <w:szCs w:val="30"/>
        </w:rPr>
        <w:t>债券交易参与人可通过采购市场金融科技机构提供的集中交易系统进行接入。建议联系主流集中交易系统提供商，购买并安装集中交易系统，完成与本所新债券交易系统的联网。</w:t>
      </w:r>
    </w:p>
    <w:p w14:paraId="6D3E7303">
      <w:pPr>
        <w:spacing w:line="600" w:lineRule="exact"/>
        <w:ind w:firstLine="600" w:firstLineChars="200"/>
        <w:rPr>
          <w:rFonts w:ascii="仿宋_GB2312" w:eastAsia="仿宋_GB2312"/>
          <w:sz w:val="30"/>
          <w:szCs w:val="30"/>
        </w:rPr>
      </w:pPr>
      <w:r>
        <w:rPr>
          <w:rFonts w:hint="eastAsia" w:ascii="仿宋_GB2312" w:eastAsia="仿宋_GB2312"/>
          <w:sz w:val="30"/>
          <w:szCs w:val="30"/>
        </w:rPr>
        <w:t>3）</w:t>
      </w:r>
      <w:r>
        <w:rPr>
          <w:rFonts w:ascii="仿宋_GB2312" w:eastAsia="仿宋_GB2312"/>
          <w:sz w:val="30"/>
          <w:szCs w:val="30"/>
        </w:rPr>
        <w:t>开通交易网关及行情网关</w:t>
      </w:r>
    </w:p>
    <w:p w14:paraId="09001F68">
      <w:pPr>
        <w:ind w:firstLine="600" w:firstLineChars="200"/>
        <w:rPr>
          <w:rFonts w:ascii="仿宋_GB2312" w:eastAsia="仿宋_GB2312"/>
          <w:sz w:val="30"/>
          <w:szCs w:val="30"/>
        </w:rPr>
      </w:pPr>
      <w:r>
        <w:rPr>
          <w:rFonts w:hint="eastAsia" w:ascii="仿宋_GB2312" w:eastAsia="仿宋_GB2312"/>
          <w:sz w:val="30"/>
          <w:szCs w:val="30"/>
        </w:rPr>
        <w:t>交易网关</w:t>
      </w:r>
      <w:r>
        <w:rPr>
          <w:rFonts w:ascii="仿宋_GB2312" w:eastAsia="仿宋_GB2312"/>
          <w:sz w:val="30"/>
          <w:szCs w:val="30"/>
        </w:rPr>
        <w:t>和行情网关的开通</w:t>
      </w:r>
      <w:r>
        <w:rPr>
          <w:rFonts w:hint="eastAsia" w:ascii="仿宋_GB2312" w:eastAsia="仿宋_GB2312"/>
          <w:sz w:val="30"/>
          <w:szCs w:val="30"/>
        </w:rPr>
        <w:t>申请流程以上交所技术公司公布</w:t>
      </w:r>
      <w:r>
        <w:rPr>
          <w:rFonts w:ascii="仿宋_GB2312" w:eastAsia="仿宋_GB2312"/>
          <w:sz w:val="30"/>
          <w:szCs w:val="30"/>
        </w:rPr>
        <w:t>的指南为准</w:t>
      </w:r>
      <w:r>
        <w:rPr>
          <w:rFonts w:hint="eastAsia" w:ascii="仿宋_GB2312" w:eastAsia="仿宋_GB2312"/>
          <w:sz w:val="30"/>
          <w:szCs w:val="30"/>
        </w:rPr>
        <w:t>，</w:t>
      </w:r>
      <w:r>
        <w:rPr>
          <w:rFonts w:hint="eastAsia" w:ascii="仿宋_GB2312" w:eastAsia="仿宋_GB2312"/>
          <w:sz w:val="30"/>
          <w:szCs w:val="30"/>
          <w:lang w:eastAsia="zh-CN"/>
        </w:rPr>
        <w:t>相关业务可至上交所技术服务平台办理。</w:t>
      </w:r>
    </w:p>
    <w:p w14:paraId="118E112F">
      <w:pPr>
        <w:spacing w:line="600" w:lineRule="exact"/>
        <w:ind w:left="567"/>
        <w:outlineLvl w:val="3"/>
        <w:rPr>
          <w:rFonts w:ascii="仿宋_GB2312" w:hAnsi="黑体" w:eastAsia="仿宋_GB2312"/>
          <w:b/>
          <w:sz w:val="30"/>
          <w:szCs w:val="30"/>
        </w:rPr>
      </w:pPr>
      <w:r>
        <w:rPr>
          <w:rFonts w:hint="eastAsia" w:ascii="仿宋_GB2312" w:hAnsi="黑体" w:eastAsia="仿宋_GB2312"/>
          <w:b/>
          <w:sz w:val="30"/>
          <w:szCs w:val="30"/>
        </w:rPr>
        <w:t>（2）</w:t>
      </w:r>
      <w:r>
        <w:rPr>
          <w:rFonts w:hint="eastAsia" w:ascii="仿宋_GB2312" w:hAnsi="黑体" w:eastAsia="仿宋_GB2312"/>
          <w:b/>
          <w:sz w:val="30"/>
          <w:szCs w:val="30"/>
          <w:lang w:eastAsia="zh-CN"/>
        </w:rPr>
        <w:t>新固定收益系统</w:t>
      </w:r>
      <w:r>
        <w:rPr>
          <w:rFonts w:hint="eastAsia" w:ascii="仿宋_GB2312" w:hAnsi="黑体" w:eastAsia="仿宋_GB2312"/>
          <w:b/>
          <w:sz w:val="30"/>
          <w:szCs w:val="30"/>
        </w:rPr>
        <w:t>联网</w:t>
      </w:r>
    </w:p>
    <w:p w14:paraId="7086CB20">
      <w:pPr>
        <w:spacing w:line="600" w:lineRule="exact"/>
        <w:ind w:firstLine="600"/>
        <w:rPr>
          <w:rFonts w:ascii="仿宋_GB2312" w:eastAsia="仿宋_GB2312"/>
          <w:sz w:val="30"/>
          <w:szCs w:val="30"/>
        </w:rPr>
      </w:pPr>
      <w:r>
        <w:rPr>
          <w:rFonts w:hint="eastAsia" w:ascii="仿宋_GB2312" w:eastAsia="仿宋_GB2312"/>
          <w:sz w:val="30"/>
          <w:szCs w:val="30"/>
          <w:lang w:eastAsia="zh-CN"/>
        </w:rPr>
        <w:t>新固定收益系统</w:t>
      </w:r>
      <w:r>
        <w:rPr>
          <w:rFonts w:hint="eastAsia" w:ascii="仿宋_GB2312" w:eastAsia="仿宋_GB2312"/>
          <w:sz w:val="30"/>
          <w:szCs w:val="30"/>
        </w:rPr>
        <w:t>可以通过互联网或专网方式进行接入，具体联网接入方式包括两种：</w:t>
      </w:r>
    </w:p>
    <w:p w14:paraId="4A5EF6E7">
      <w:pPr>
        <w:spacing w:line="600" w:lineRule="exact"/>
        <w:ind w:firstLine="600"/>
        <w:rPr>
          <w:rFonts w:hint="eastAsia" w:ascii="仿宋_GB2312" w:eastAsia="仿宋_GB2312"/>
          <w:sz w:val="30"/>
          <w:szCs w:val="30"/>
        </w:rPr>
      </w:pPr>
      <w:r>
        <w:rPr>
          <w:rFonts w:hint="eastAsia" w:ascii="仿宋_GB2312" w:eastAsia="仿宋_GB2312"/>
          <w:sz w:val="30"/>
          <w:szCs w:val="30"/>
          <w:lang w:val="en-US" w:eastAsia="zh-CN"/>
        </w:rPr>
        <w:t>1）</w:t>
      </w:r>
      <w:r>
        <w:rPr>
          <w:rFonts w:hint="eastAsia" w:ascii="仿宋_GB2312" w:eastAsia="仿宋_GB2312"/>
          <w:sz w:val="30"/>
          <w:szCs w:val="30"/>
          <w:lang w:eastAsia="zh-CN"/>
        </w:rPr>
        <w:t>网页端（即一债通）</w:t>
      </w:r>
      <w:r>
        <w:rPr>
          <w:rFonts w:hint="eastAsia" w:ascii="仿宋_GB2312" w:eastAsia="仿宋_GB2312"/>
          <w:sz w:val="30"/>
          <w:szCs w:val="30"/>
        </w:rPr>
        <w:t>接入</w:t>
      </w:r>
    </w:p>
    <w:p w14:paraId="331A3447">
      <w:pPr>
        <w:pStyle w:val="15"/>
        <w:ind w:firstLine="600" w:firstLineChars="200"/>
      </w:pPr>
      <w:r>
        <w:rPr>
          <w:rFonts w:hint="eastAsia" w:ascii="仿宋_GB2312" w:hAnsi="仿宋_GB2312" w:eastAsia="仿宋_GB2312" w:cs="仿宋_GB2312"/>
          <w:sz w:val="30"/>
          <w:szCs w:val="30"/>
        </w:rPr>
        <w:t>互联网地址</w:t>
      </w:r>
      <w:r>
        <w:rPr>
          <w:rFonts w:hint="eastAsia"/>
        </w:rPr>
        <w:t>：</w:t>
      </w:r>
      <w:r>
        <w:rPr>
          <w:rFonts w:hint="eastAsia"/>
          <w:sz w:val="30"/>
          <w:szCs w:val="30"/>
          <w:lang w:eastAsia="zh-CN"/>
        </w:rPr>
        <w:t>https://iitp.uap.sse.com.cn/</w:t>
      </w:r>
    </w:p>
    <w:p w14:paraId="49873F54">
      <w:pPr>
        <w:pStyle w:val="15"/>
        <w:ind w:firstLine="60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专网地址：</w:t>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"http://180.7.167.3/otcportal" </w:instrText>
      </w:r>
      <w:r>
        <w:rPr>
          <w:rFonts w:hint="eastAsia" w:ascii="仿宋_GB2312" w:hAnsi="仿宋_GB2312" w:eastAsia="仿宋_GB2312" w:cs="仿宋_GB2312"/>
          <w:sz w:val="30"/>
          <w:szCs w:val="30"/>
        </w:rPr>
        <w:fldChar w:fldCharType="separate"/>
      </w:r>
      <w:r>
        <w:rPr>
          <w:rStyle w:val="45"/>
          <w:rFonts w:hint="eastAsia" w:ascii="仿宋_GB2312" w:hAnsi="仿宋_GB2312" w:eastAsia="仿宋_GB2312" w:cs="仿宋_GB2312"/>
          <w:sz w:val="30"/>
          <w:szCs w:val="30"/>
        </w:rPr>
        <w:t>http://180.7.</w:t>
      </w:r>
      <w:r>
        <w:rPr>
          <w:rStyle w:val="45"/>
          <w:rFonts w:hint="eastAsia" w:ascii="仿宋_GB2312" w:hAnsi="仿宋_GB2312" w:eastAsia="仿宋_GB2312" w:cs="仿宋_GB2312"/>
          <w:sz w:val="30"/>
          <w:szCs w:val="30"/>
          <w:lang w:val="en-US" w:eastAsia="zh-CN"/>
        </w:rPr>
        <w:t>38</w:t>
      </w:r>
      <w:r>
        <w:rPr>
          <w:rStyle w:val="45"/>
          <w:rFonts w:hint="eastAsia" w:ascii="仿宋_GB2312" w:hAnsi="仿宋_GB2312" w:eastAsia="仿宋_GB2312" w:cs="仿宋_GB2312"/>
          <w:sz w:val="30"/>
          <w:szCs w:val="30"/>
        </w:rPr>
        <w:t>.</w:t>
      </w:r>
      <w:r>
        <w:rPr>
          <w:rStyle w:val="45"/>
          <w:rFonts w:hint="eastAsia" w:ascii="仿宋_GB2312" w:hAnsi="仿宋_GB2312" w:eastAsia="仿宋_GB2312" w:cs="仿宋_GB2312"/>
          <w:sz w:val="30"/>
          <w:szCs w:val="30"/>
          <w:lang w:val="en-US" w:eastAsia="zh-CN"/>
        </w:rPr>
        <w:t>5</w:t>
      </w:r>
      <w:r>
        <w:rPr>
          <w:rStyle w:val="45"/>
          <w:rFonts w:hint="eastAsia" w:ascii="仿宋_GB2312" w:hAnsi="仿宋_GB2312" w:eastAsia="仿宋_GB2312" w:cs="仿宋_GB2312"/>
          <w:sz w:val="30"/>
          <w:szCs w:val="30"/>
        </w:rPr>
        <w:t>/</w:t>
      </w:r>
      <w:r>
        <w:rPr>
          <w:rStyle w:val="45"/>
          <w:rFonts w:hint="eastAsia" w:ascii="仿宋_GB2312" w:hAnsi="仿宋_GB2312" w:eastAsia="仿宋_GB2312" w:cs="仿宋_GB2312"/>
          <w:sz w:val="30"/>
          <w:szCs w:val="30"/>
          <w:lang w:val="en-US" w:eastAsia="zh-CN"/>
        </w:rPr>
        <w:t>otcportal</w:t>
      </w:r>
      <w:r>
        <w:rPr>
          <w:rFonts w:hint="eastAsia" w:ascii="仿宋_GB2312" w:hAnsi="仿宋_GB2312" w:eastAsia="仿宋_GB2312" w:cs="仿宋_GB2312"/>
          <w:sz w:val="30"/>
          <w:szCs w:val="30"/>
        </w:rPr>
        <w:fldChar w:fldCharType="end"/>
      </w:r>
    </w:p>
    <w:p w14:paraId="2DF3322D">
      <w:pPr>
        <w:pStyle w:val="15"/>
        <w:ind w:firstLine="2100" w:firstLineChars="700"/>
        <w:rPr>
          <w:rFonts w:hint="eastAsia" w:ascii="仿宋_GB2312" w:eastAsia="仿宋_GB2312"/>
          <w:sz w:val="30"/>
          <w:szCs w:val="30"/>
          <w:lang w:val="en-US" w:eastAsia="zh-CN"/>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"http://180.7.167.3/otcportal" </w:instrText>
      </w:r>
      <w:r>
        <w:rPr>
          <w:rFonts w:hint="eastAsia" w:ascii="仿宋_GB2312" w:hAnsi="仿宋_GB2312" w:eastAsia="仿宋_GB2312" w:cs="仿宋_GB2312"/>
          <w:sz w:val="30"/>
          <w:szCs w:val="30"/>
        </w:rPr>
        <w:fldChar w:fldCharType="separate"/>
      </w:r>
      <w:r>
        <w:rPr>
          <w:rStyle w:val="45"/>
          <w:rFonts w:hint="eastAsia" w:ascii="仿宋_GB2312" w:hAnsi="仿宋_GB2312" w:eastAsia="仿宋_GB2312" w:cs="仿宋_GB2312"/>
          <w:sz w:val="30"/>
          <w:szCs w:val="30"/>
        </w:rPr>
        <w:t>http://180.7.</w:t>
      </w:r>
      <w:r>
        <w:rPr>
          <w:rStyle w:val="45"/>
          <w:rFonts w:hint="eastAsia" w:ascii="仿宋_GB2312" w:hAnsi="仿宋_GB2312" w:eastAsia="仿宋_GB2312" w:cs="仿宋_GB2312"/>
          <w:sz w:val="30"/>
          <w:szCs w:val="30"/>
          <w:lang w:val="en-US" w:eastAsia="zh-CN"/>
        </w:rPr>
        <w:t>38</w:t>
      </w:r>
      <w:r>
        <w:rPr>
          <w:rStyle w:val="45"/>
          <w:rFonts w:hint="eastAsia" w:ascii="仿宋_GB2312" w:hAnsi="仿宋_GB2312" w:eastAsia="仿宋_GB2312" w:cs="仿宋_GB2312"/>
          <w:sz w:val="30"/>
          <w:szCs w:val="30"/>
        </w:rPr>
        <w:t>.</w:t>
      </w:r>
      <w:r>
        <w:rPr>
          <w:rStyle w:val="45"/>
          <w:rFonts w:hint="eastAsia" w:ascii="仿宋_GB2312" w:hAnsi="仿宋_GB2312" w:eastAsia="仿宋_GB2312" w:cs="仿宋_GB2312"/>
          <w:sz w:val="30"/>
          <w:szCs w:val="30"/>
          <w:lang w:val="en-US" w:eastAsia="zh-CN"/>
        </w:rPr>
        <w:t>6</w:t>
      </w:r>
      <w:r>
        <w:rPr>
          <w:rStyle w:val="45"/>
          <w:rFonts w:hint="eastAsia" w:ascii="仿宋_GB2312" w:hAnsi="仿宋_GB2312" w:eastAsia="仿宋_GB2312" w:cs="仿宋_GB2312"/>
          <w:sz w:val="30"/>
          <w:szCs w:val="30"/>
        </w:rPr>
        <w:t>/</w:t>
      </w:r>
      <w:r>
        <w:rPr>
          <w:rStyle w:val="45"/>
          <w:rFonts w:hint="eastAsia" w:ascii="仿宋_GB2312" w:hAnsi="仿宋_GB2312" w:eastAsia="仿宋_GB2312" w:cs="仿宋_GB2312"/>
          <w:sz w:val="30"/>
          <w:szCs w:val="30"/>
          <w:lang w:val="en-US" w:eastAsia="zh-CN"/>
        </w:rPr>
        <w:t>otcportal</w:t>
      </w:r>
      <w:r>
        <w:rPr>
          <w:rFonts w:hint="eastAsia" w:ascii="仿宋_GB2312" w:hAnsi="仿宋_GB2312" w:eastAsia="仿宋_GB2312" w:cs="仿宋_GB2312"/>
          <w:sz w:val="30"/>
          <w:szCs w:val="30"/>
        </w:rPr>
        <w:fldChar w:fldCharType="end"/>
      </w:r>
    </w:p>
    <w:p w14:paraId="7E4C9065">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债券</w:t>
      </w:r>
      <w:r>
        <w:rPr>
          <w:rFonts w:ascii="仿宋_GB2312" w:hAnsi="宋体" w:eastAsia="仿宋_GB2312"/>
          <w:sz w:val="30"/>
          <w:szCs w:val="30"/>
        </w:rPr>
        <w:t>交易参与人</w:t>
      </w:r>
      <w:r>
        <w:rPr>
          <w:rFonts w:hint="eastAsia" w:ascii="仿宋_GB2312" w:hAnsi="宋体" w:eastAsia="仿宋_GB2312"/>
          <w:sz w:val="30"/>
          <w:szCs w:val="30"/>
        </w:rPr>
        <w:t>若需要通过互联网访问本平台，应提前</w:t>
      </w:r>
      <w:r>
        <w:rPr>
          <w:rFonts w:ascii="仿宋_GB2312" w:hAnsi="宋体" w:eastAsia="仿宋_GB2312"/>
          <w:sz w:val="30"/>
          <w:szCs w:val="30"/>
        </w:rPr>
        <w:t>通过本所CnCSA中心</w:t>
      </w:r>
      <w:r>
        <w:rPr>
          <w:rFonts w:hint="eastAsia" w:ascii="仿宋_GB2312" w:hAnsi="宋体" w:eastAsia="仿宋_GB2312"/>
          <w:sz w:val="30"/>
          <w:szCs w:val="30"/>
        </w:rPr>
        <w:t>（http://www.sse.com.cn/home/biz/cnsca/</w:t>
      </w:r>
      <w:r>
        <w:rPr>
          <w:rFonts w:ascii="仿宋_GB2312" w:hAnsi="宋体" w:eastAsia="仿宋_GB2312"/>
          <w:sz w:val="30"/>
          <w:szCs w:val="30"/>
        </w:rPr>
        <w:t>）</w:t>
      </w:r>
      <w:r>
        <w:rPr>
          <w:rFonts w:hint="eastAsia" w:ascii="仿宋_GB2312" w:hAnsi="宋体" w:eastAsia="仿宋_GB2312"/>
          <w:sz w:val="30"/>
          <w:szCs w:val="30"/>
        </w:rPr>
        <w:t>办理好互联网交易平台</w:t>
      </w:r>
      <w:r>
        <w:rPr>
          <w:rFonts w:hint="eastAsia" w:ascii="仿宋_GB2312" w:hAnsi="宋体" w:eastAsia="仿宋_GB2312"/>
          <w:sz w:val="30"/>
          <w:szCs w:val="30"/>
          <w:lang w:val="en-US" w:eastAsia="zh-CN"/>
        </w:rPr>
        <w:t>-</w:t>
      </w:r>
      <w:r>
        <w:rPr>
          <w:rFonts w:hint="eastAsia" w:ascii="仿宋_GB2312" w:hAnsi="宋体" w:eastAsia="仿宋_GB2312"/>
          <w:sz w:val="30"/>
          <w:szCs w:val="30"/>
          <w:lang w:eastAsia="zh-CN"/>
        </w:rPr>
        <w:t>一债通</w:t>
      </w:r>
      <w:r>
        <w:rPr>
          <w:rFonts w:hint="eastAsia" w:ascii="仿宋_GB2312" w:hAnsi="宋体" w:eastAsia="仿宋_GB2312"/>
          <w:sz w:val="30"/>
          <w:szCs w:val="30"/>
        </w:rPr>
        <w:t>数字证书并确保能正常登陆。</w:t>
      </w:r>
    </w:p>
    <w:p w14:paraId="7FEA90FC">
      <w:pPr>
        <w:spacing w:line="600" w:lineRule="exact"/>
        <w:ind w:firstLine="600"/>
        <w:rPr>
          <w:rFonts w:ascii="仿宋_GB2312" w:eastAsia="仿宋_GB2312"/>
          <w:sz w:val="30"/>
          <w:szCs w:val="30"/>
        </w:rPr>
      </w:pPr>
      <w:r>
        <w:rPr>
          <w:rFonts w:hint="eastAsia" w:ascii="仿宋_GB2312" w:eastAsia="仿宋_GB2312"/>
          <w:sz w:val="30"/>
          <w:szCs w:val="30"/>
        </w:rPr>
        <w:t>另外，访问前请务必先安装好对应的驱动及证书管理工具，目前下载入口为：</w:t>
      </w:r>
    </w:p>
    <w:p w14:paraId="05B227C7">
      <w:pPr>
        <w:spacing w:line="600" w:lineRule="exact"/>
        <w:ind w:firstLine="600"/>
        <w:rPr>
          <w:rFonts w:ascii="仿宋_GB2312" w:eastAsia="仿宋_GB2312"/>
          <w:sz w:val="30"/>
          <w:szCs w:val="30"/>
        </w:rPr>
      </w:pPr>
      <w:r>
        <w:rPr>
          <w:rFonts w:hint="eastAsia" w:ascii="仿宋_GB2312" w:eastAsia="仿宋_GB2312"/>
          <w:sz w:val="30"/>
          <w:szCs w:val="30"/>
        </w:rPr>
        <w:t>上交所网站</w:t>
      </w:r>
      <w:r>
        <w:rPr>
          <w:rFonts w:ascii="仿宋_GB2312" w:eastAsia="仿宋_GB2312"/>
          <w:sz w:val="30"/>
          <w:szCs w:val="30"/>
        </w:rPr>
        <w:t>-&gt;</w:t>
      </w:r>
      <w:r>
        <w:rPr>
          <w:rFonts w:hint="eastAsia" w:ascii="仿宋_GB2312" w:eastAsia="仿宋_GB2312"/>
          <w:sz w:val="30"/>
          <w:szCs w:val="30"/>
        </w:rPr>
        <w:t>业务办理专区-</w:t>
      </w:r>
      <w:r>
        <w:rPr>
          <w:rFonts w:ascii="仿宋_GB2312" w:eastAsia="仿宋_GB2312"/>
          <w:sz w:val="30"/>
          <w:szCs w:val="30"/>
        </w:rPr>
        <w:t>&gt;</w:t>
      </w:r>
      <w:r>
        <w:rPr>
          <w:rFonts w:hint="eastAsia" w:ascii="仿宋_GB2312" w:eastAsia="仿宋_GB2312"/>
          <w:sz w:val="30"/>
          <w:szCs w:val="30"/>
        </w:rPr>
        <w:t>CA服务专区-</w:t>
      </w:r>
      <w:r>
        <w:rPr>
          <w:rFonts w:ascii="仿宋_GB2312" w:eastAsia="仿宋_GB2312"/>
          <w:sz w:val="30"/>
          <w:szCs w:val="30"/>
        </w:rPr>
        <w:t>&gt;</w:t>
      </w:r>
      <w:r>
        <w:rPr>
          <w:rFonts w:hint="eastAsia" w:ascii="仿宋_GB2312" w:eastAsia="仿宋_GB2312"/>
          <w:sz w:val="30"/>
          <w:szCs w:val="30"/>
        </w:rPr>
        <w:t>驱动程序及工具，按</w:t>
      </w:r>
      <w:r>
        <w:rPr>
          <w:rFonts w:ascii="仿宋_GB2312" w:eastAsia="仿宋_GB2312"/>
          <w:sz w:val="30"/>
          <w:szCs w:val="30"/>
        </w:rPr>
        <w:t xml:space="preserve"> EKey </w:t>
      </w:r>
      <w:r>
        <w:rPr>
          <w:rFonts w:hint="eastAsia" w:ascii="仿宋_GB2312" w:eastAsia="仿宋_GB2312"/>
          <w:sz w:val="30"/>
          <w:szCs w:val="30"/>
        </w:rPr>
        <w:t>型号下载。</w:t>
      </w:r>
    </w:p>
    <w:p w14:paraId="76F5BC40">
      <w:pPr>
        <w:spacing w:line="600" w:lineRule="exact"/>
        <w:ind w:firstLine="600"/>
        <w:rPr>
          <w:rFonts w:ascii="仿宋_GB2312" w:eastAsia="仿宋_GB2312"/>
          <w:sz w:val="30"/>
          <w:szCs w:val="30"/>
        </w:rPr>
      </w:pPr>
      <w:r>
        <w:rPr>
          <w:rFonts w:hint="eastAsia" w:ascii="仿宋_GB2312" w:eastAsia="仿宋_GB2312"/>
          <w:sz w:val="30"/>
          <w:szCs w:val="30"/>
        </w:rPr>
        <w:t>访问时先在弹出的窗口确认证书，然后在弹出的框中输入证书密码（证书密码初始值在密码信封里）。</w:t>
      </w:r>
    </w:p>
    <w:p w14:paraId="77A6FB99">
      <w:pPr>
        <w:spacing w:line="600" w:lineRule="exact"/>
        <w:ind w:firstLine="600" w:firstLineChars="200"/>
        <w:rPr>
          <w:rFonts w:ascii="仿宋_GB2312" w:eastAsia="仿宋_GB2312"/>
          <w:sz w:val="30"/>
          <w:szCs w:val="30"/>
        </w:rPr>
      </w:pPr>
      <w:r>
        <w:rPr>
          <w:rFonts w:hint="eastAsia" w:ascii="仿宋_GB2312" w:eastAsia="仿宋_GB2312"/>
          <w:sz w:val="30"/>
          <w:szCs w:val="30"/>
        </w:rPr>
        <w:t>凭</w:t>
      </w:r>
      <w:r>
        <w:rPr>
          <w:rFonts w:hint="eastAsia" w:ascii="仿宋_GB2312" w:eastAsia="仿宋_GB2312"/>
          <w:sz w:val="30"/>
          <w:szCs w:val="30"/>
          <w:lang w:eastAsia="zh-CN"/>
        </w:rPr>
        <w:t>原</w:t>
      </w:r>
      <w:r>
        <w:rPr>
          <w:rFonts w:hint="eastAsia" w:ascii="仿宋_GB2312" w:eastAsia="仿宋_GB2312"/>
          <w:sz w:val="30"/>
          <w:szCs w:val="30"/>
        </w:rPr>
        <w:t>固定收益平台的用户名、密码及EKey数字证书</w:t>
      </w:r>
      <w:r>
        <w:rPr>
          <w:rFonts w:hint="eastAsia" w:ascii="仿宋_GB2312" w:eastAsia="仿宋_GB2312"/>
          <w:sz w:val="30"/>
          <w:szCs w:val="30"/>
          <w:lang w:eastAsia="zh-CN"/>
        </w:rPr>
        <w:t>也可</w:t>
      </w:r>
      <w:r>
        <w:rPr>
          <w:rFonts w:hint="eastAsia" w:ascii="仿宋_GB2312" w:eastAsia="仿宋_GB2312"/>
          <w:sz w:val="30"/>
          <w:szCs w:val="30"/>
        </w:rPr>
        <w:t>登录本所</w:t>
      </w:r>
      <w:r>
        <w:rPr>
          <w:rFonts w:hint="eastAsia" w:ascii="仿宋_GB2312" w:eastAsia="仿宋_GB2312"/>
          <w:sz w:val="30"/>
          <w:szCs w:val="30"/>
          <w:lang w:eastAsia="zh-CN"/>
        </w:rPr>
        <w:t>新固定收益系统</w:t>
      </w:r>
      <w:r>
        <w:rPr>
          <w:rFonts w:hint="eastAsia" w:ascii="仿宋_GB2312" w:eastAsia="仿宋_GB2312"/>
          <w:sz w:val="30"/>
          <w:szCs w:val="30"/>
        </w:rPr>
        <w:t>。</w:t>
      </w:r>
    </w:p>
    <w:p w14:paraId="489E1014">
      <w:pPr>
        <w:spacing w:line="600" w:lineRule="exact"/>
        <w:ind w:firstLine="600"/>
        <w:rPr>
          <w:rFonts w:hint="eastAsia" w:ascii="仿宋_GB2312" w:eastAsia="仿宋_GB2312"/>
          <w:sz w:val="30"/>
          <w:szCs w:val="30"/>
        </w:rPr>
      </w:pPr>
      <w:r>
        <w:rPr>
          <w:rFonts w:hint="eastAsia" w:ascii="仿宋_GB2312" w:eastAsia="仿宋_GB2312"/>
          <w:sz w:val="30"/>
          <w:szCs w:val="30"/>
          <w:lang w:val="en-US" w:eastAsia="zh-CN"/>
        </w:rPr>
        <w:t>2）</w:t>
      </w:r>
      <w:r>
        <w:rPr>
          <w:rFonts w:hint="eastAsia" w:ascii="仿宋_GB2312" w:eastAsia="仿宋_GB2312"/>
          <w:sz w:val="30"/>
          <w:szCs w:val="30"/>
        </w:rPr>
        <w:t>通过上下行电子接口方式接入</w:t>
      </w:r>
    </w:p>
    <w:p w14:paraId="052A6305">
      <w:pPr>
        <w:spacing w:line="600" w:lineRule="exact"/>
        <w:ind w:firstLine="600"/>
        <w:rPr>
          <w:rFonts w:ascii="仿宋_GB2312" w:eastAsia="仿宋_GB2312"/>
          <w:sz w:val="30"/>
          <w:szCs w:val="30"/>
        </w:rPr>
      </w:pPr>
      <w:r>
        <w:rPr>
          <w:rFonts w:hint="eastAsia" w:ascii="仿宋_GB2312" w:eastAsia="仿宋_GB2312"/>
          <w:sz w:val="30"/>
          <w:szCs w:val="30"/>
        </w:rPr>
        <w:t>本所新</w:t>
      </w:r>
      <w:r>
        <w:rPr>
          <w:rFonts w:hint="eastAsia" w:ascii="仿宋_GB2312" w:eastAsia="仿宋_GB2312"/>
          <w:sz w:val="30"/>
          <w:szCs w:val="30"/>
          <w:lang w:eastAsia="zh-CN"/>
        </w:rPr>
        <w:t>固定收益</w:t>
      </w:r>
      <w:r>
        <w:rPr>
          <w:rFonts w:hint="eastAsia" w:ascii="仿宋_GB2312" w:eastAsia="仿宋_GB2312"/>
          <w:sz w:val="30"/>
          <w:szCs w:val="30"/>
        </w:rPr>
        <w:t>系统通过上下行电子接口方式接入目前仅支持</w:t>
      </w:r>
      <w:r>
        <w:rPr>
          <w:rFonts w:hint="eastAsia" w:ascii="仿宋_GB2312" w:eastAsia="仿宋_GB2312"/>
          <w:sz w:val="30"/>
          <w:szCs w:val="30"/>
          <w:lang w:eastAsia="zh-CN"/>
        </w:rPr>
        <w:t>专网</w:t>
      </w:r>
      <w:r>
        <w:rPr>
          <w:rFonts w:hint="eastAsia" w:ascii="仿宋_GB2312" w:eastAsia="仿宋_GB2312"/>
          <w:sz w:val="30"/>
          <w:szCs w:val="30"/>
        </w:rPr>
        <w:t>。通过上下行电子接口方式接入</w:t>
      </w:r>
      <w:r>
        <w:rPr>
          <w:rFonts w:hint="eastAsia" w:ascii="仿宋_GB2312" w:eastAsia="仿宋_GB2312"/>
          <w:sz w:val="30"/>
          <w:szCs w:val="30"/>
          <w:lang w:eastAsia="zh-CN"/>
        </w:rPr>
        <w:t>的，应</w:t>
      </w:r>
      <w:r>
        <w:rPr>
          <w:rFonts w:hint="eastAsia" w:ascii="仿宋_GB2312" w:eastAsia="仿宋_GB2312"/>
          <w:sz w:val="30"/>
          <w:szCs w:val="30"/>
        </w:rPr>
        <w:t>按照</w:t>
      </w:r>
      <w:r>
        <w:rPr>
          <w:rFonts w:hint="eastAsia" w:ascii="仿宋_GB2312" w:eastAsia="仿宋_GB2312"/>
          <w:sz w:val="30"/>
          <w:szCs w:val="30"/>
          <w:lang w:eastAsia="zh-CN"/>
        </w:rPr>
        <w:t>新固定收益系统</w:t>
      </w:r>
      <w:r>
        <w:rPr>
          <w:rFonts w:hint="eastAsia" w:ascii="仿宋_GB2312" w:eastAsia="仿宋_GB2312"/>
          <w:sz w:val="30"/>
          <w:szCs w:val="30"/>
        </w:rPr>
        <w:t>的外部数据接口规范以及本所技术部门的相关安排，做好事前技术系统的接入测试，符合相关规范，通过验证测试后方可联网接入交易。</w:t>
      </w:r>
    </w:p>
    <w:p w14:paraId="58D0268F">
      <w:pPr>
        <w:spacing w:line="600" w:lineRule="exact"/>
        <w:ind w:firstLine="600"/>
        <w:rPr>
          <w:rFonts w:ascii="仿宋_GB2312" w:eastAsia="仿宋_GB2312"/>
          <w:sz w:val="30"/>
          <w:szCs w:val="30"/>
        </w:rPr>
      </w:pPr>
      <w:r>
        <w:rPr>
          <w:rFonts w:hint="eastAsia" w:ascii="仿宋_GB2312" w:eastAsia="仿宋_GB2312"/>
          <w:sz w:val="30"/>
          <w:szCs w:val="30"/>
        </w:rPr>
        <w:t>本所</w:t>
      </w:r>
      <w:r>
        <w:rPr>
          <w:rFonts w:ascii="仿宋_GB2312" w:eastAsia="仿宋_GB2312"/>
          <w:sz w:val="30"/>
          <w:szCs w:val="30"/>
        </w:rPr>
        <w:t>将根据系统的升级情况</w:t>
      </w:r>
      <w:r>
        <w:rPr>
          <w:rFonts w:hint="eastAsia" w:ascii="仿宋_GB2312" w:eastAsia="仿宋_GB2312"/>
          <w:sz w:val="30"/>
          <w:szCs w:val="30"/>
        </w:rPr>
        <w:t>及时更新</w:t>
      </w:r>
      <w:r>
        <w:rPr>
          <w:rFonts w:ascii="仿宋_GB2312" w:eastAsia="仿宋_GB2312"/>
          <w:sz w:val="30"/>
          <w:szCs w:val="30"/>
        </w:rPr>
        <w:t>接口规范，最新接口</w:t>
      </w:r>
      <w:r>
        <w:rPr>
          <w:rFonts w:hint="eastAsia" w:ascii="仿宋_GB2312" w:eastAsia="仿宋_GB2312"/>
          <w:sz w:val="30"/>
          <w:szCs w:val="30"/>
        </w:rPr>
        <w:t>规范</w:t>
      </w:r>
      <w:r>
        <w:rPr>
          <w:rFonts w:ascii="仿宋_GB2312" w:eastAsia="仿宋_GB2312"/>
          <w:sz w:val="30"/>
          <w:szCs w:val="30"/>
        </w:rPr>
        <w:t>的查询路径为：本所官网-服务-交易技术支持专区</w:t>
      </w:r>
      <w:r>
        <w:rPr>
          <w:rFonts w:hint="eastAsia" w:ascii="仿宋_GB2312" w:eastAsia="仿宋_GB2312"/>
          <w:sz w:val="30"/>
          <w:szCs w:val="30"/>
        </w:rPr>
        <w:t>-</w:t>
      </w:r>
      <w:r>
        <w:rPr>
          <w:rFonts w:ascii="仿宋_GB2312" w:eastAsia="仿宋_GB2312"/>
          <w:sz w:val="30"/>
          <w:szCs w:val="30"/>
        </w:rPr>
        <w:t>技术</w:t>
      </w:r>
      <w:r>
        <w:rPr>
          <w:rFonts w:hint="eastAsia" w:ascii="仿宋_GB2312" w:eastAsia="仿宋_GB2312"/>
          <w:sz w:val="30"/>
          <w:szCs w:val="30"/>
        </w:rPr>
        <w:t>接口</w:t>
      </w:r>
      <w:r>
        <w:rPr>
          <w:rFonts w:ascii="仿宋_GB2312" w:eastAsia="仿宋_GB2312"/>
          <w:sz w:val="30"/>
          <w:szCs w:val="30"/>
        </w:rPr>
        <w:t>。</w:t>
      </w:r>
    </w:p>
    <w:p w14:paraId="4E6C335F">
      <w:pPr>
        <w:spacing w:line="600" w:lineRule="exact"/>
        <w:ind w:firstLine="600" w:firstLineChars="200"/>
        <w:rPr>
          <w:rFonts w:ascii="仿宋_GB2312" w:eastAsia="仿宋_GB2312"/>
          <w:sz w:val="30"/>
          <w:szCs w:val="30"/>
        </w:rPr>
      </w:pPr>
      <w:r>
        <w:rPr>
          <w:rFonts w:hint="eastAsia" w:ascii="仿宋_GB2312" w:eastAsia="仿宋_GB2312"/>
          <w:sz w:val="30"/>
          <w:szCs w:val="30"/>
        </w:rPr>
        <w:t>3）</w:t>
      </w:r>
      <w:r>
        <w:rPr>
          <w:rFonts w:ascii="仿宋_GB2312" w:eastAsia="仿宋_GB2312"/>
          <w:sz w:val="30"/>
          <w:szCs w:val="30"/>
        </w:rPr>
        <w:t>开通交易网关及行情网关</w:t>
      </w:r>
    </w:p>
    <w:p w14:paraId="102FF85B">
      <w:pPr>
        <w:ind w:firstLine="600" w:firstLineChars="200"/>
        <w:rPr>
          <w:rFonts w:ascii="仿宋_GB2312" w:eastAsia="仿宋_GB2312"/>
          <w:sz w:val="30"/>
          <w:szCs w:val="30"/>
        </w:rPr>
      </w:pPr>
      <w:r>
        <w:rPr>
          <w:rFonts w:hint="eastAsia" w:ascii="仿宋_GB2312" w:eastAsia="仿宋_GB2312"/>
          <w:sz w:val="30"/>
          <w:szCs w:val="30"/>
        </w:rPr>
        <w:t>交易网关</w:t>
      </w:r>
      <w:r>
        <w:rPr>
          <w:rFonts w:ascii="仿宋_GB2312" w:eastAsia="仿宋_GB2312"/>
          <w:sz w:val="30"/>
          <w:szCs w:val="30"/>
        </w:rPr>
        <w:t>和行情网关的开通</w:t>
      </w:r>
      <w:r>
        <w:rPr>
          <w:rFonts w:hint="eastAsia" w:ascii="仿宋_GB2312" w:eastAsia="仿宋_GB2312"/>
          <w:sz w:val="30"/>
          <w:szCs w:val="30"/>
        </w:rPr>
        <w:t>申请流程以上交所技术公司公布</w:t>
      </w:r>
      <w:r>
        <w:rPr>
          <w:rFonts w:ascii="仿宋_GB2312" w:eastAsia="仿宋_GB2312"/>
          <w:sz w:val="30"/>
          <w:szCs w:val="30"/>
        </w:rPr>
        <w:t>的指南为准</w:t>
      </w:r>
      <w:r>
        <w:rPr>
          <w:rFonts w:hint="eastAsia" w:ascii="仿宋_GB2312" w:eastAsia="仿宋_GB2312"/>
          <w:sz w:val="30"/>
          <w:szCs w:val="30"/>
        </w:rPr>
        <w:t>，</w:t>
      </w:r>
      <w:r>
        <w:rPr>
          <w:rFonts w:hint="eastAsia" w:ascii="仿宋_GB2312" w:eastAsia="仿宋_GB2312"/>
          <w:sz w:val="30"/>
          <w:szCs w:val="30"/>
          <w:lang w:eastAsia="zh-CN"/>
        </w:rPr>
        <w:t>相关业务可至上交所技术服务平台办理</w:t>
      </w:r>
      <w:r>
        <w:rPr>
          <w:rStyle w:val="51"/>
          <w:rFonts w:hint="eastAsia" w:ascii="仿宋_GB2312" w:eastAsia="仿宋_GB2312"/>
          <w:color w:val="auto"/>
          <w:sz w:val="30"/>
          <w:szCs w:val="30"/>
          <w:u w:val="none"/>
          <w:lang w:eastAsia="zh-CN"/>
        </w:rPr>
        <w:t>。</w:t>
      </w:r>
    </w:p>
    <w:p w14:paraId="1DB56783">
      <w:pPr>
        <w:spacing w:line="600" w:lineRule="exact"/>
        <w:ind w:firstLine="600"/>
        <w:rPr>
          <w:rFonts w:ascii="仿宋_GB2312" w:eastAsia="仿宋_GB2312"/>
          <w:sz w:val="30"/>
          <w:szCs w:val="30"/>
        </w:rPr>
      </w:pPr>
      <w:r>
        <w:rPr>
          <w:rFonts w:hint="eastAsia" w:ascii="仿宋_GB2312" w:eastAsia="仿宋_GB2312"/>
          <w:sz w:val="30"/>
          <w:szCs w:val="30"/>
        </w:rPr>
        <w:t>联网接入过程中需要技术支持的，请按以下方式联系：</w:t>
      </w:r>
    </w:p>
    <w:p w14:paraId="1F6073AC">
      <w:pPr>
        <w:spacing w:line="600" w:lineRule="exact"/>
        <w:ind w:firstLine="600"/>
        <w:rPr>
          <w:rFonts w:hint="eastAsia" w:ascii="仿宋_GB2312" w:eastAsia="仿宋_GB2312"/>
          <w:sz w:val="30"/>
          <w:szCs w:val="30"/>
          <w:highlight w:val="none"/>
        </w:rPr>
      </w:pPr>
      <w:r>
        <w:rPr>
          <w:rFonts w:hint="eastAsia" w:ascii="仿宋_GB2312" w:eastAsia="仿宋_GB2312"/>
          <w:sz w:val="30"/>
          <w:szCs w:val="30"/>
          <w:highlight w:val="none"/>
        </w:rPr>
        <w:t>技术服务热线</w:t>
      </w:r>
      <w:r>
        <w:rPr>
          <w:rFonts w:hint="eastAsia" w:ascii="仿宋_GB2312" w:eastAsia="仿宋_GB2312"/>
          <w:sz w:val="30"/>
          <w:szCs w:val="30"/>
          <w:highlight w:val="none"/>
          <w:lang w:eastAsia="zh-CN"/>
        </w:rPr>
        <w:t>：</w:t>
      </w:r>
      <w:r>
        <w:rPr>
          <w:rFonts w:hint="eastAsia" w:ascii="仿宋_GB2312" w:eastAsia="仿宋_GB2312"/>
          <w:sz w:val="30"/>
          <w:szCs w:val="30"/>
          <w:highlight w:val="none"/>
        </w:rPr>
        <w:t xml:space="preserve">4008888400按键2-1 </w:t>
      </w:r>
    </w:p>
    <w:p w14:paraId="7972F161">
      <w:pPr>
        <w:spacing w:line="600" w:lineRule="exact"/>
        <w:ind w:left="567"/>
        <w:outlineLvl w:val="3"/>
        <w:rPr>
          <w:rFonts w:hint="eastAsia" w:ascii="仿宋_GB2312" w:hAnsi="黑体" w:eastAsia="仿宋_GB2312"/>
          <w:b/>
          <w:sz w:val="30"/>
          <w:szCs w:val="30"/>
          <w:lang w:eastAsia="zh-CN"/>
        </w:rPr>
      </w:pPr>
      <w:r>
        <w:rPr>
          <w:rFonts w:hint="eastAsia" w:ascii="仿宋_GB2312" w:hAnsi="黑体" w:eastAsia="仿宋_GB2312"/>
          <w:b/>
          <w:sz w:val="30"/>
          <w:szCs w:val="30"/>
        </w:rPr>
        <w:t>（</w:t>
      </w:r>
      <w:r>
        <w:rPr>
          <w:rFonts w:hint="default" w:ascii="仿宋_GB2312" w:hAnsi="黑体" w:eastAsia="仿宋_GB2312"/>
          <w:b/>
          <w:sz w:val="30"/>
          <w:szCs w:val="30"/>
          <w:lang w:val="en-US"/>
        </w:rPr>
        <w:t>3</w:t>
      </w:r>
      <w:r>
        <w:rPr>
          <w:rFonts w:hint="eastAsia" w:ascii="仿宋_GB2312" w:hAnsi="黑体" w:eastAsia="仿宋_GB2312"/>
          <w:b/>
          <w:sz w:val="30"/>
          <w:szCs w:val="30"/>
        </w:rPr>
        <w:t>）互联网交易平台</w:t>
      </w:r>
    </w:p>
    <w:p w14:paraId="177DE2F7">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本所</w:t>
      </w:r>
      <w:r>
        <w:rPr>
          <w:rFonts w:ascii="仿宋_GB2312" w:hAnsi="宋体" w:eastAsia="仿宋_GB2312"/>
          <w:sz w:val="30"/>
          <w:szCs w:val="30"/>
        </w:rPr>
        <w:t>会员和其他</w:t>
      </w:r>
      <w:r>
        <w:rPr>
          <w:rFonts w:hint="eastAsia" w:ascii="仿宋_GB2312" w:hAnsi="宋体" w:eastAsia="仿宋_GB2312"/>
          <w:sz w:val="30"/>
          <w:szCs w:val="30"/>
        </w:rPr>
        <w:t>自有</w:t>
      </w:r>
      <w:r>
        <w:rPr>
          <w:rFonts w:ascii="仿宋_GB2312" w:hAnsi="宋体" w:eastAsia="仿宋_GB2312"/>
          <w:sz w:val="30"/>
          <w:szCs w:val="30"/>
        </w:rPr>
        <w:t>或者租用交易单元的债券交易参与人</w:t>
      </w:r>
      <w:r>
        <w:rPr>
          <w:rFonts w:hint="eastAsia" w:ascii="仿宋_GB2312" w:hAnsi="宋体" w:eastAsia="仿宋_GB2312"/>
          <w:sz w:val="30"/>
          <w:szCs w:val="30"/>
        </w:rPr>
        <w:t>可通过互联网和交易专网进行接入。</w:t>
      </w:r>
    </w:p>
    <w:p w14:paraId="25004377">
      <w:pPr>
        <w:pStyle w:val="15"/>
        <w:ind w:firstLine="600" w:firstLineChars="200"/>
      </w:pPr>
      <w:r>
        <w:rPr>
          <w:rFonts w:hint="eastAsia" w:ascii="仿宋_GB2312" w:hAnsi="仿宋_GB2312" w:eastAsia="仿宋_GB2312" w:cs="仿宋_GB2312"/>
          <w:sz w:val="30"/>
          <w:szCs w:val="30"/>
        </w:rPr>
        <w:t>互联网地址</w:t>
      </w:r>
      <w:r>
        <w:rPr>
          <w:rFonts w:hint="eastAsia"/>
        </w:rPr>
        <w:t>：</w:t>
      </w:r>
      <w:r>
        <w:rPr>
          <w:rFonts w:hint="eastAsia"/>
          <w:sz w:val="30"/>
          <w:szCs w:val="30"/>
          <w:lang w:eastAsia="zh-CN"/>
        </w:rPr>
        <w:t>https://iitp.uap.sse.com.cn/</w:t>
      </w:r>
    </w:p>
    <w:p w14:paraId="3165127B">
      <w:pPr>
        <w:pStyle w:val="22"/>
        <w:ind w:firstLine="600" w:firstLineChars="200"/>
        <w:rPr>
          <w:rFonts w:ascii="仿宋_GB2312" w:eastAsia="仿宋_GB2312"/>
          <w:sz w:val="30"/>
          <w:szCs w:val="30"/>
        </w:rPr>
      </w:pPr>
      <w:r>
        <w:rPr>
          <w:rFonts w:hint="eastAsia" w:ascii="仿宋_GB2312" w:eastAsia="仿宋_GB2312"/>
          <w:sz w:val="30"/>
          <w:szCs w:val="30"/>
        </w:rPr>
        <w:t>专网地址：http://180.7.38.5/</w:t>
      </w:r>
    </w:p>
    <w:p w14:paraId="5C7B035C">
      <w:pPr>
        <w:pStyle w:val="22"/>
        <w:ind w:firstLine="2100" w:firstLineChars="700"/>
        <w:rPr>
          <w:rFonts w:ascii="仿宋_GB2312" w:eastAsia="仿宋_GB2312"/>
          <w:sz w:val="30"/>
          <w:szCs w:val="30"/>
        </w:rPr>
      </w:pPr>
      <w:r>
        <w:rPr>
          <w:rFonts w:hint="eastAsia" w:ascii="仿宋_GB2312" w:eastAsia="仿宋_GB2312"/>
          <w:sz w:val="30"/>
          <w:szCs w:val="30"/>
        </w:rPr>
        <w:t>http://180.7.38.6/</w:t>
      </w:r>
    </w:p>
    <w:p w14:paraId="1E34DFD7">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债券</w:t>
      </w:r>
      <w:r>
        <w:rPr>
          <w:rFonts w:ascii="仿宋_GB2312" w:hAnsi="宋体" w:eastAsia="仿宋_GB2312"/>
          <w:sz w:val="30"/>
          <w:szCs w:val="30"/>
        </w:rPr>
        <w:t>交易参与人</w:t>
      </w:r>
      <w:r>
        <w:rPr>
          <w:rFonts w:hint="eastAsia" w:ascii="仿宋_GB2312" w:hAnsi="宋体" w:eastAsia="仿宋_GB2312"/>
          <w:sz w:val="30"/>
          <w:szCs w:val="30"/>
        </w:rPr>
        <w:t>若需要通过互联网访问本平台，应提前</w:t>
      </w:r>
      <w:r>
        <w:rPr>
          <w:rFonts w:ascii="仿宋_GB2312" w:hAnsi="宋体" w:eastAsia="仿宋_GB2312"/>
          <w:sz w:val="30"/>
          <w:szCs w:val="30"/>
        </w:rPr>
        <w:t>通过本所CnCSA中心</w:t>
      </w:r>
      <w:r>
        <w:rPr>
          <w:rFonts w:hint="eastAsia" w:ascii="仿宋_GB2312" w:hAnsi="宋体" w:eastAsia="仿宋_GB2312"/>
          <w:sz w:val="30"/>
          <w:szCs w:val="30"/>
        </w:rPr>
        <w:t>（http://www.sse.com.cn/home/biz/cnsca/</w:t>
      </w:r>
      <w:r>
        <w:rPr>
          <w:rFonts w:ascii="仿宋_GB2312" w:hAnsi="宋体" w:eastAsia="仿宋_GB2312"/>
          <w:sz w:val="30"/>
          <w:szCs w:val="30"/>
        </w:rPr>
        <w:t>）</w:t>
      </w:r>
      <w:r>
        <w:rPr>
          <w:rFonts w:hint="eastAsia" w:ascii="仿宋_GB2312" w:hAnsi="宋体" w:eastAsia="仿宋_GB2312"/>
          <w:sz w:val="30"/>
          <w:szCs w:val="30"/>
        </w:rPr>
        <w:t>办理好互联网交易平台数字证书并确保能正常登陆。</w:t>
      </w:r>
    </w:p>
    <w:p w14:paraId="62B6311B">
      <w:pPr>
        <w:spacing w:line="600" w:lineRule="exact"/>
        <w:ind w:firstLine="600" w:firstLineChars="200"/>
        <w:rPr>
          <w:rFonts w:ascii="仿宋_GB2312" w:hAnsi="宋体" w:eastAsia="仿宋_GB2312"/>
          <w:sz w:val="30"/>
          <w:szCs w:val="30"/>
          <w:highlight w:val="none"/>
        </w:rPr>
      </w:pPr>
      <w:r>
        <w:rPr>
          <w:rFonts w:hint="eastAsia" w:ascii="仿宋_GB2312" w:eastAsia="仿宋_GB2312"/>
          <w:sz w:val="30"/>
          <w:szCs w:val="30"/>
          <w:highlight w:val="none"/>
        </w:rPr>
        <w:t>技术服务热线</w:t>
      </w:r>
      <w:r>
        <w:rPr>
          <w:rFonts w:hint="eastAsia" w:ascii="仿宋_GB2312" w:eastAsia="仿宋_GB2312"/>
          <w:sz w:val="30"/>
          <w:szCs w:val="30"/>
          <w:highlight w:val="none"/>
          <w:lang w:eastAsia="zh-CN"/>
        </w:rPr>
        <w:t>：</w:t>
      </w:r>
      <w:r>
        <w:rPr>
          <w:rFonts w:hint="eastAsia" w:ascii="仿宋_GB2312" w:eastAsia="仿宋_GB2312"/>
          <w:sz w:val="30"/>
          <w:szCs w:val="30"/>
          <w:highlight w:val="none"/>
        </w:rPr>
        <w:t>4008888400按键2-1</w:t>
      </w:r>
    </w:p>
    <w:p w14:paraId="070F88EE">
      <w:pPr>
        <w:spacing w:line="600" w:lineRule="exact"/>
        <w:ind w:firstLine="600"/>
        <w:rPr>
          <w:rFonts w:ascii="仿宋_GB2312" w:eastAsia="仿宋_GB2312"/>
          <w:sz w:val="30"/>
          <w:szCs w:val="30"/>
        </w:rPr>
      </w:pPr>
      <w:r>
        <w:rPr>
          <w:rFonts w:hint="eastAsia" w:ascii="仿宋_GB2312" w:eastAsia="仿宋_GB2312"/>
          <w:sz w:val="30"/>
          <w:szCs w:val="30"/>
        </w:rPr>
        <w:t>另外，访问前请务必先安装好对应的驱动及证书管理工具，目前下载入口为：</w:t>
      </w:r>
    </w:p>
    <w:p w14:paraId="38B13464">
      <w:pPr>
        <w:spacing w:line="600" w:lineRule="exact"/>
        <w:ind w:firstLine="600"/>
        <w:rPr>
          <w:rFonts w:ascii="仿宋_GB2312" w:eastAsia="仿宋_GB2312"/>
          <w:sz w:val="30"/>
          <w:szCs w:val="30"/>
        </w:rPr>
      </w:pPr>
      <w:r>
        <w:rPr>
          <w:rFonts w:hint="eastAsia" w:ascii="仿宋_GB2312" w:eastAsia="仿宋_GB2312"/>
          <w:sz w:val="30"/>
          <w:szCs w:val="30"/>
        </w:rPr>
        <w:t>上交所网站</w:t>
      </w:r>
      <w:r>
        <w:rPr>
          <w:rFonts w:ascii="仿宋_GB2312" w:eastAsia="仿宋_GB2312"/>
          <w:sz w:val="30"/>
          <w:szCs w:val="30"/>
        </w:rPr>
        <w:t xml:space="preserve"> -&gt;</w:t>
      </w:r>
      <w:r>
        <w:rPr>
          <w:rFonts w:hint="eastAsia" w:ascii="仿宋_GB2312" w:eastAsia="仿宋_GB2312"/>
          <w:sz w:val="30"/>
          <w:szCs w:val="30"/>
        </w:rPr>
        <w:t>业务办理专区-</w:t>
      </w:r>
      <w:r>
        <w:rPr>
          <w:rFonts w:ascii="仿宋_GB2312" w:eastAsia="仿宋_GB2312"/>
          <w:sz w:val="30"/>
          <w:szCs w:val="30"/>
        </w:rPr>
        <w:t>&gt;</w:t>
      </w:r>
      <w:r>
        <w:rPr>
          <w:rFonts w:hint="eastAsia" w:ascii="仿宋_GB2312" w:eastAsia="仿宋_GB2312"/>
          <w:sz w:val="30"/>
          <w:szCs w:val="30"/>
        </w:rPr>
        <w:t>CA服务专区-</w:t>
      </w:r>
      <w:r>
        <w:rPr>
          <w:rFonts w:ascii="仿宋_GB2312" w:eastAsia="仿宋_GB2312"/>
          <w:sz w:val="30"/>
          <w:szCs w:val="30"/>
        </w:rPr>
        <w:t>&gt;</w:t>
      </w:r>
      <w:r>
        <w:rPr>
          <w:rFonts w:hint="eastAsia" w:ascii="仿宋_GB2312" w:eastAsia="仿宋_GB2312"/>
          <w:sz w:val="30"/>
          <w:szCs w:val="30"/>
        </w:rPr>
        <w:t>驱动程序及工具，按</w:t>
      </w:r>
      <w:r>
        <w:rPr>
          <w:rFonts w:ascii="仿宋_GB2312" w:eastAsia="仿宋_GB2312"/>
          <w:sz w:val="30"/>
          <w:szCs w:val="30"/>
        </w:rPr>
        <w:t xml:space="preserve"> EKey </w:t>
      </w:r>
      <w:r>
        <w:rPr>
          <w:rFonts w:hint="eastAsia" w:ascii="仿宋_GB2312" w:eastAsia="仿宋_GB2312"/>
          <w:sz w:val="30"/>
          <w:szCs w:val="30"/>
        </w:rPr>
        <w:t>型号下载。</w:t>
      </w:r>
    </w:p>
    <w:p w14:paraId="147B66FA">
      <w:pPr>
        <w:spacing w:line="600" w:lineRule="exact"/>
        <w:ind w:firstLine="600"/>
        <w:rPr>
          <w:rFonts w:ascii="仿宋_GB2312" w:eastAsia="仿宋_GB2312"/>
          <w:sz w:val="30"/>
          <w:szCs w:val="30"/>
        </w:rPr>
      </w:pPr>
      <w:r>
        <w:rPr>
          <w:rFonts w:hint="eastAsia" w:ascii="仿宋_GB2312" w:eastAsia="仿宋_GB2312"/>
          <w:sz w:val="30"/>
          <w:szCs w:val="30"/>
        </w:rPr>
        <w:t>访问时先在弹出的窗口确认证书，然后在弹出的框中输入证书密码（证书密码初始值在密码信封里）。</w:t>
      </w:r>
    </w:p>
    <w:p w14:paraId="5CF217F1">
      <w:pPr>
        <w:numPr>
          <w:ilvl w:val="2"/>
          <w:numId w:val="4"/>
        </w:numPr>
        <w:spacing w:line="600" w:lineRule="exact"/>
        <w:ind w:left="0" w:firstLine="0"/>
        <w:outlineLvl w:val="2"/>
        <w:rPr>
          <w:rFonts w:ascii="仿宋_GB2312" w:hAnsi="黑体" w:eastAsia="仿宋_GB2312"/>
          <w:b/>
          <w:sz w:val="30"/>
          <w:szCs w:val="30"/>
        </w:rPr>
      </w:pPr>
      <w:r>
        <w:rPr>
          <w:rFonts w:hint="eastAsia" w:ascii="仿宋_GB2312" w:hAnsi="黑体" w:eastAsia="仿宋_GB2312"/>
          <w:b/>
          <w:sz w:val="30"/>
          <w:szCs w:val="30"/>
          <w:lang w:eastAsia="zh-CN"/>
        </w:rPr>
        <w:t>新固定收益系统</w:t>
      </w:r>
      <w:r>
        <w:rPr>
          <w:rFonts w:hint="eastAsia" w:ascii="仿宋_GB2312" w:hAnsi="黑体" w:eastAsia="仿宋_GB2312"/>
          <w:b/>
          <w:sz w:val="30"/>
          <w:szCs w:val="30"/>
        </w:rPr>
        <w:t>相关设置准备</w:t>
      </w:r>
    </w:p>
    <w:p w14:paraId="3A7A9566">
      <w:pPr>
        <w:spacing w:line="600" w:lineRule="exact"/>
        <w:ind w:firstLine="600"/>
        <w:rPr>
          <w:rFonts w:ascii="仿宋_GB2312" w:eastAsia="仿宋_GB2312"/>
          <w:sz w:val="30"/>
          <w:szCs w:val="30"/>
        </w:rPr>
      </w:pPr>
      <w:r>
        <w:rPr>
          <w:rFonts w:hint="eastAsia" w:ascii="仿宋_GB2312" w:hAnsi="黑体" w:eastAsia="仿宋_GB2312"/>
          <w:b w:val="0"/>
          <w:bCs/>
          <w:sz w:val="30"/>
          <w:szCs w:val="30"/>
          <w:lang w:eastAsia="zh-CN"/>
        </w:rPr>
        <w:t>新固定收益系统</w:t>
      </w:r>
      <w:r>
        <w:rPr>
          <w:rFonts w:hint="eastAsia" w:ascii="仿宋_GB2312" w:eastAsia="仿宋_GB2312"/>
          <w:sz w:val="30"/>
          <w:szCs w:val="30"/>
        </w:rPr>
        <w:t>上开展债券交易前，债券交易参与人应登录本所</w:t>
      </w:r>
      <w:r>
        <w:rPr>
          <w:rFonts w:hint="eastAsia" w:ascii="仿宋_GB2312" w:hAnsi="黑体" w:eastAsia="仿宋_GB2312"/>
          <w:b w:val="0"/>
          <w:bCs/>
          <w:sz w:val="30"/>
          <w:szCs w:val="30"/>
          <w:lang w:eastAsia="zh-CN"/>
        </w:rPr>
        <w:t>一债通</w:t>
      </w:r>
      <w:r>
        <w:rPr>
          <w:rFonts w:hint="eastAsia" w:ascii="仿宋_GB2312" w:eastAsia="仿宋_GB2312"/>
          <w:sz w:val="30"/>
          <w:szCs w:val="30"/>
        </w:rPr>
        <w:t>进行相关设置，做好业务开展准备。设置内容包括证券账户的指定交易、交易员</w:t>
      </w:r>
      <w:r>
        <w:rPr>
          <w:rFonts w:hint="eastAsia" w:ascii="仿宋_GB2312" w:eastAsia="仿宋_GB2312"/>
          <w:sz w:val="30"/>
          <w:szCs w:val="30"/>
          <w:lang w:val="en-US" w:eastAsia="zh-CN"/>
        </w:rPr>
        <w:t>交易单元绑定</w:t>
      </w:r>
      <w:r>
        <w:rPr>
          <w:rFonts w:hint="eastAsia" w:ascii="仿宋_GB2312" w:eastAsia="仿宋_GB2312"/>
          <w:sz w:val="30"/>
          <w:szCs w:val="30"/>
        </w:rPr>
        <w:t>等。</w:t>
      </w:r>
      <w:bookmarkStart w:id="259" w:name="_Toc35006206"/>
    </w:p>
    <w:p w14:paraId="240429BD">
      <w:pPr>
        <w:spacing w:line="600" w:lineRule="exact"/>
        <w:ind w:firstLine="601" w:firstLineChars="200"/>
        <w:outlineLvl w:val="3"/>
        <w:rPr>
          <w:rFonts w:hint="default" w:ascii="仿宋_GB2312" w:hAnsi="黑体" w:eastAsia="仿宋_GB2312"/>
          <w:b/>
          <w:sz w:val="30"/>
          <w:szCs w:val="30"/>
          <w:lang w:val="en-US" w:eastAsia="zh-CN"/>
        </w:rPr>
      </w:pPr>
      <w:r>
        <w:rPr>
          <w:rFonts w:hint="eastAsia" w:ascii="仿宋_GB2312" w:hAnsi="黑体" w:eastAsia="仿宋_GB2312"/>
          <w:b/>
          <w:sz w:val="30"/>
          <w:szCs w:val="30"/>
        </w:rPr>
        <w:t>（1）</w:t>
      </w:r>
      <w:bookmarkEnd w:id="259"/>
      <w:r>
        <w:rPr>
          <w:rFonts w:hint="eastAsia" w:ascii="仿宋_GB2312" w:eastAsia="仿宋_GB2312"/>
          <w:b/>
          <w:sz w:val="30"/>
          <w:szCs w:val="30"/>
          <w:lang w:eastAsia="zh-CN"/>
        </w:rPr>
        <w:t>交易员</w:t>
      </w:r>
      <w:r>
        <w:rPr>
          <w:rFonts w:hint="eastAsia" w:ascii="仿宋_GB2312" w:eastAsia="仿宋_GB2312"/>
          <w:b/>
          <w:sz w:val="30"/>
          <w:szCs w:val="30"/>
          <w:lang w:val="en-US" w:eastAsia="zh-CN"/>
        </w:rPr>
        <w:t>交易单元绑定</w:t>
      </w:r>
    </w:p>
    <w:p w14:paraId="235BE3E7">
      <w:pPr>
        <w:spacing w:line="600" w:lineRule="exact"/>
        <w:ind w:firstLine="600"/>
        <w:rPr>
          <w:rFonts w:hint="eastAsia" w:ascii="仿宋_GB2312" w:eastAsia="仿宋_GB2312"/>
          <w:sz w:val="30"/>
          <w:szCs w:val="30"/>
        </w:rPr>
      </w:pPr>
      <w:r>
        <w:rPr>
          <w:rFonts w:hint="eastAsia" w:ascii="仿宋_GB2312" w:eastAsia="仿宋_GB2312"/>
          <w:sz w:val="30"/>
          <w:szCs w:val="30"/>
        </w:rPr>
        <w:t>交易网关接入方式下，首席交易员需登录新</w:t>
      </w:r>
      <w:r>
        <w:rPr>
          <w:rFonts w:hint="eastAsia" w:ascii="仿宋_GB2312" w:eastAsia="仿宋_GB2312"/>
          <w:sz w:val="30"/>
          <w:szCs w:val="30"/>
          <w:lang w:eastAsia="zh-CN"/>
        </w:rPr>
        <w:t>一债通</w:t>
      </w:r>
      <w:r>
        <w:rPr>
          <w:rFonts w:hint="eastAsia" w:ascii="仿宋_GB2312" w:eastAsia="仿宋_GB2312"/>
          <w:sz w:val="30"/>
          <w:szCs w:val="30"/>
        </w:rPr>
        <w:t>，通过“综合服务-交易员绑定”菜单为本机构交易员绑定</w:t>
      </w:r>
      <w:r>
        <w:rPr>
          <w:rFonts w:hint="eastAsia" w:ascii="仿宋_GB2312" w:eastAsia="仿宋_GB2312"/>
          <w:sz w:val="30"/>
          <w:szCs w:val="30"/>
          <w:lang w:eastAsia="zh-CN"/>
        </w:rPr>
        <w:t>交易单元</w:t>
      </w:r>
      <w:r>
        <w:rPr>
          <w:rFonts w:hint="eastAsia" w:ascii="仿宋_GB2312" w:eastAsia="仿宋_GB2312"/>
          <w:sz w:val="30"/>
          <w:szCs w:val="30"/>
        </w:rPr>
        <w:t>。</w:t>
      </w:r>
    </w:p>
    <w:p w14:paraId="2C826741">
      <w:pPr>
        <w:spacing w:line="600" w:lineRule="exact"/>
        <w:ind w:firstLine="600"/>
        <w:rPr>
          <w:rFonts w:hint="eastAsia" w:ascii="仿宋_GB2312" w:eastAsia="仿宋_GB2312"/>
          <w:sz w:val="30"/>
          <w:szCs w:val="30"/>
        </w:rPr>
      </w:pPr>
      <w:r>
        <w:rPr>
          <w:rFonts w:hint="eastAsia" w:ascii="仿宋_GB2312" w:eastAsia="仿宋_GB2312"/>
          <w:sz w:val="30"/>
          <w:szCs w:val="30"/>
        </w:rPr>
        <w:t>绑定</w:t>
      </w:r>
      <w:r>
        <w:rPr>
          <w:rFonts w:hint="eastAsia" w:ascii="仿宋_GB2312" w:eastAsia="仿宋_GB2312"/>
          <w:sz w:val="30"/>
          <w:szCs w:val="30"/>
          <w:lang w:eastAsia="zh-CN"/>
        </w:rPr>
        <w:t>交易单元</w:t>
      </w:r>
      <w:r>
        <w:rPr>
          <w:rFonts w:hint="eastAsia" w:ascii="仿宋_GB2312" w:eastAsia="仿宋_GB2312"/>
          <w:sz w:val="30"/>
          <w:szCs w:val="30"/>
        </w:rPr>
        <w:t>是交易员订单路由至</w:t>
      </w:r>
      <w:r>
        <w:rPr>
          <w:rFonts w:hint="eastAsia" w:ascii="仿宋_GB2312" w:eastAsia="仿宋_GB2312"/>
          <w:sz w:val="30"/>
          <w:szCs w:val="30"/>
          <w:lang w:eastAsia="zh-CN"/>
        </w:rPr>
        <w:t>本机构</w:t>
      </w:r>
      <w:r>
        <w:rPr>
          <w:rFonts w:hint="eastAsia" w:ascii="仿宋_GB2312" w:eastAsia="仿宋_GB2312"/>
          <w:sz w:val="30"/>
          <w:szCs w:val="30"/>
        </w:rPr>
        <w:t>交易网关的前置步骤，绑定或解绑操作T+1生效。如本机构确认不使用交易网关接入</w:t>
      </w:r>
      <w:r>
        <w:rPr>
          <w:rFonts w:hint="eastAsia" w:ascii="仿宋_GB2312" w:eastAsia="仿宋_GB2312"/>
          <w:sz w:val="30"/>
          <w:szCs w:val="30"/>
          <w:lang w:eastAsia="zh-CN"/>
        </w:rPr>
        <w:t>，</w:t>
      </w:r>
      <w:r>
        <w:rPr>
          <w:rFonts w:hint="eastAsia" w:ascii="仿宋_GB2312" w:eastAsia="仿宋_GB2312"/>
          <w:sz w:val="30"/>
          <w:szCs w:val="30"/>
        </w:rPr>
        <w:t>仅使用</w:t>
      </w:r>
      <w:r>
        <w:rPr>
          <w:rFonts w:hint="eastAsia" w:ascii="仿宋_GB2312" w:eastAsia="仿宋_GB2312"/>
          <w:sz w:val="30"/>
          <w:szCs w:val="30"/>
          <w:lang w:eastAsia="zh-CN"/>
        </w:rPr>
        <w:t>一债通</w:t>
      </w:r>
      <w:r>
        <w:rPr>
          <w:rFonts w:hint="eastAsia" w:ascii="仿宋_GB2312" w:eastAsia="仿宋_GB2312"/>
          <w:sz w:val="30"/>
          <w:szCs w:val="30"/>
        </w:rPr>
        <w:t>操作，可不执行绑定操作，后续启动交易网关接入时提前完成绑定</w:t>
      </w:r>
      <w:r>
        <w:rPr>
          <w:rFonts w:hint="eastAsia" w:ascii="仿宋_GB2312" w:eastAsia="仿宋_GB2312"/>
          <w:sz w:val="30"/>
          <w:szCs w:val="30"/>
          <w:lang w:eastAsia="zh-CN"/>
        </w:rPr>
        <w:t>即可</w:t>
      </w:r>
      <w:r>
        <w:rPr>
          <w:rFonts w:hint="eastAsia" w:ascii="仿宋_GB2312" w:eastAsia="仿宋_GB2312"/>
          <w:sz w:val="30"/>
          <w:szCs w:val="30"/>
        </w:rPr>
        <w:t>。</w:t>
      </w:r>
    </w:p>
    <w:p w14:paraId="2B29AB46">
      <w:pPr>
        <w:spacing w:line="600" w:lineRule="exact"/>
        <w:ind w:firstLine="601" w:firstLineChars="200"/>
        <w:outlineLvl w:val="3"/>
        <w:rPr>
          <w:rFonts w:hint="eastAsia" w:ascii="仿宋_GB2312" w:hAnsi="黑体" w:eastAsia="仿宋_GB2312"/>
          <w:b/>
          <w:sz w:val="30"/>
          <w:szCs w:val="30"/>
          <w:lang w:eastAsia="zh-CN"/>
        </w:rPr>
      </w:pPr>
      <w:bookmarkStart w:id="260" w:name="_Toc35006207"/>
      <w:r>
        <w:rPr>
          <w:rFonts w:hint="eastAsia" w:ascii="仿宋_GB2312" w:hAnsi="黑体" w:eastAsia="仿宋_GB2312"/>
          <w:b/>
          <w:sz w:val="30"/>
          <w:szCs w:val="30"/>
        </w:rPr>
        <w:t>（2）</w:t>
      </w:r>
      <w:bookmarkEnd w:id="260"/>
      <w:r>
        <w:rPr>
          <w:rFonts w:hint="eastAsia" w:ascii="仿宋_GB2312" w:hAnsi="黑体" w:eastAsia="仿宋_GB2312"/>
          <w:b/>
          <w:sz w:val="30"/>
          <w:szCs w:val="30"/>
          <w:lang w:eastAsia="zh-CN"/>
        </w:rPr>
        <w:t>用户管理</w:t>
      </w:r>
    </w:p>
    <w:p w14:paraId="51612340">
      <w:pPr>
        <w:spacing w:line="600" w:lineRule="exact"/>
        <w:ind w:firstLine="600"/>
        <w:rPr>
          <w:rFonts w:hint="eastAsia" w:ascii="仿宋_GB2312" w:eastAsia="仿宋_GB2312"/>
          <w:sz w:val="30"/>
          <w:szCs w:val="30"/>
        </w:rPr>
      </w:pPr>
      <w:r>
        <w:rPr>
          <w:rFonts w:hint="eastAsia" w:ascii="仿宋_GB2312" w:eastAsia="仿宋_GB2312"/>
          <w:sz w:val="30"/>
          <w:szCs w:val="30"/>
        </w:rPr>
        <w:t>债券交易参与人开展业务前，应</w:t>
      </w:r>
      <w:r>
        <w:rPr>
          <w:rFonts w:hint="eastAsia" w:ascii="仿宋_GB2312" w:eastAsia="仿宋_GB2312"/>
          <w:sz w:val="30"/>
          <w:szCs w:val="30"/>
          <w:lang w:eastAsia="zh-CN"/>
        </w:rPr>
        <w:t>当</w:t>
      </w:r>
      <w:r>
        <w:rPr>
          <w:rFonts w:hint="eastAsia" w:ascii="仿宋_GB2312" w:eastAsia="仿宋_GB2312"/>
          <w:sz w:val="30"/>
          <w:szCs w:val="30"/>
        </w:rPr>
        <w:t>新增交易员</w:t>
      </w:r>
      <w:r>
        <w:rPr>
          <w:rFonts w:hint="eastAsia" w:ascii="仿宋_GB2312" w:eastAsia="仿宋_GB2312"/>
          <w:sz w:val="30"/>
          <w:szCs w:val="30"/>
          <w:lang w:eastAsia="zh-CN"/>
        </w:rPr>
        <w:t>，可使用一债通的用户管理功能进行交易员新增、修改、交易权限调整等</w:t>
      </w:r>
      <w:r>
        <w:rPr>
          <w:rFonts w:hint="eastAsia" w:ascii="仿宋_GB2312" w:eastAsia="仿宋_GB2312"/>
          <w:sz w:val="30"/>
          <w:szCs w:val="30"/>
        </w:rPr>
        <w:t>。</w:t>
      </w:r>
    </w:p>
    <w:p w14:paraId="000AAF41">
      <w:pPr>
        <w:spacing w:line="600" w:lineRule="exact"/>
        <w:ind w:firstLine="600"/>
        <w:rPr>
          <w:rFonts w:hint="eastAsia" w:ascii="仿宋_GB2312" w:eastAsia="仿宋_GB2312"/>
          <w:b/>
          <w:bCs/>
          <w:sz w:val="30"/>
          <w:szCs w:val="30"/>
        </w:rPr>
      </w:pPr>
      <w:r>
        <w:rPr>
          <w:rFonts w:hint="eastAsia" w:ascii="仿宋_GB2312" w:eastAsia="仿宋_GB2312"/>
          <w:b/>
          <w:bCs/>
          <w:sz w:val="30"/>
          <w:szCs w:val="30"/>
        </w:rPr>
        <w:t>首席交易员新增/修改</w:t>
      </w:r>
    </w:p>
    <w:p w14:paraId="40D4AA85">
      <w:pPr>
        <w:spacing w:line="600" w:lineRule="exact"/>
        <w:ind w:firstLine="600"/>
        <w:rPr>
          <w:rFonts w:hint="eastAsia" w:ascii="仿宋_GB2312" w:eastAsia="仿宋_GB2312"/>
          <w:sz w:val="30"/>
          <w:szCs w:val="30"/>
        </w:rPr>
      </w:pPr>
      <w:r>
        <w:rPr>
          <w:rFonts w:hint="eastAsia" w:ascii="仿宋_GB2312" w:eastAsia="仿宋_GB2312"/>
          <w:sz w:val="30"/>
          <w:szCs w:val="30"/>
        </w:rPr>
        <w:t>债券交易参与人通过会籍系统完成报备债券交易业务管理员后，可由本机构债券交易业务管理员在一债通内自行创建本机构首席交易员</w:t>
      </w:r>
      <w:r>
        <w:rPr>
          <w:rFonts w:hint="eastAsia" w:ascii="仿宋_GB2312" w:eastAsia="仿宋_GB2312"/>
          <w:sz w:val="30"/>
          <w:szCs w:val="30"/>
          <w:lang w:eastAsia="zh-CN"/>
        </w:rPr>
        <w:t>。</w:t>
      </w:r>
      <w:r>
        <w:rPr>
          <w:rFonts w:hint="eastAsia" w:ascii="仿宋_GB2312" w:eastAsia="仿宋_GB2312"/>
          <w:sz w:val="30"/>
          <w:szCs w:val="30"/>
        </w:rPr>
        <w:t>完成首席交易员创建后，本所将向首席交易员发送用户信息。</w:t>
      </w:r>
    </w:p>
    <w:p w14:paraId="00D0CCF1">
      <w:pPr>
        <w:spacing w:line="600" w:lineRule="exact"/>
        <w:ind w:firstLine="600"/>
        <w:rPr>
          <w:rFonts w:hint="eastAsia" w:ascii="仿宋_GB2312" w:eastAsia="仿宋_GB2312"/>
          <w:sz w:val="30"/>
          <w:szCs w:val="30"/>
        </w:rPr>
      </w:pPr>
      <w:r>
        <w:rPr>
          <w:rFonts w:hint="eastAsia" w:ascii="仿宋_GB2312" w:eastAsia="仿宋_GB2312"/>
          <w:sz w:val="30"/>
          <w:szCs w:val="30"/>
        </w:rPr>
        <w:t>债券交易参与人通过会籍系统完成报备债券交易业务管理员后，可由本机构债券交易业务管理员在一债通内自行修改或</w:t>
      </w:r>
      <w:r>
        <w:rPr>
          <w:rFonts w:hint="eastAsia" w:ascii="仿宋_GB2312" w:eastAsia="仿宋_GB2312"/>
          <w:sz w:val="30"/>
          <w:szCs w:val="30"/>
          <w:lang w:eastAsia="zh-CN"/>
        </w:rPr>
        <w:t>禁用</w:t>
      </w:r>
      <w:r>
        <w:rPr>
          <w:rFonts w:hint="eastAsia" w:ascii="仿宋_GB2312" w:eastAsia="仿宋_GB2312"/>
          <w:sz w:val="30"/>
          <w:szCs w:val="30"/>
        </w:rPr>
        <w:t>本机构首席交易员</w:t>
      </w:r>
      <w:r>
        <w:rPr>
          <w:rFonts w:hint="eastAsia" w:ascii="仿宋_GB2312" w:eastAsia="仿宋_GB2312"/>
          <w:sz w:val="30"/>
          <w:szCs w:val="30"/>
          <w:lang w:eastAsia="zh-CN"/>
        </w:rPr>
        <w:t>。首席交易员被</w:t>
      </w:r>
      <w:r>
        <w:rPr>
          <w:rFonts w:hint="eastAsia" w:ascii="仿宋_GB2312" w:eastAsia="仿宋_GB2312"/>
          <w:sz w:val="30"/>
          <w:szCs w:val="30"/>
          <w:highlight w:val="none"/>
          <w:lang w:eastAsia="zh-CN"/>
        </w:rPr>
        <w:t>禁用</w:t>
      </w:r>
      <w:r>
        <w:rPr>
          <w:rFonts w:hint="eastAsia" w:ascii="仿宋_GB2312" w:eastAsia="仿宋_GB2312"/>
          <w:sz w:val="30"/>
          <w:szCs w:val="30"/>
        </w:rPr>
        <w:t>后，无法参与</w:t>
      </w:r>
      <w:r>
        <w:rPr>
          <w:rFonts w:hint="eastAsia" w:ascii="仿宋_GB2312" w:eastAsia="仿宋_GB2312"/>
          <w:sz w:val="30"/>
          <w:szCs w:val="30"/>
          <w:lang w:eastAsia="zh-CN"/>
        </w:rPr>
        <w:t>新固定收益系统</w:t>
      </w:r>
      <w:r>
        <w:rPr>
          <w:rFonts w:hint="eastAsia" w:ascii="仿宋_GB2312" w:eastAsia="仿宋_GB2312"/>
          <w:sz w:val="30"/>
          <w:szCs w:val="30"/>
        </w:rPr>
        <w:t>各项业务申报。</w:t>
      </w:r>
    </w:p>
    <w:p w14:paraId="760C516C">
      <w:pPr>
        <w:spacing w:line="600" w:lineRule="exact"/>
        <w:ind w:firstLine="600"/>
        <w:rPr>
          <w:rFonts w:hint="eastAsia" w:ascii="仿宋_GB2312" w:eastAsia="仿宋_GB2312"/>
          <w:sz w:val="30"/>
          <w:szCs w:val="30"/>
        </w:rPr>
      </w:pPr>
      <w:r>
        <w:rPr>
          <w:rFonts w:hint="eastAsia" w:ascii="仿宋_GB2312" w:eastAsia="仿宋_GB2312"/>
          <w:b/>
          <w:bCs/>
          <w:sz w:val="30"/>
          <w:szCs w:val="30"/>
        </w:rPr>
        <w:t>普通交易员新增/修改</w:t>
      </w:r>
    </w:p>
    <w:p w14:paraId="386A09FC">
      <w:pPr>
        <w:spacing w:line="600" w:lineRule="exact"/>
        <w:ind w:firstLine="600"/>
        <w:rPr>
          <w:rFonts w:hint="eastAsia" w:ascii="仿宋_GB2312" w:eastAsia="仿宋_GB2312"/>
          <w:sz w:val="30"/>
          <w:szCs w:val="30"/>
        </w:rPr>
      </w:pPr>
      <w:r>
        <w:rPr>
          <w:rFonts w:hint="eastAsia" w:ascii="仿宋_GB2312" w:eastAsia="仿宋_GB2312"/>
          <w:sz w:val="30"/>
          <w:szCs w:val="30"/>
        </w:rPr>
        <w:t>债券交易参与人通过会籍系统完成报备债券交易业务管理员、并已具备本机构首席交易员后，可由本机构首席交易员在一债通内自行创建本机构普通交易员，完成普通交易员创建后，本所将向普通交易员发送用户信息。</w:t>
      </w:r>
    </w:p>
    <w:p w14:paraId="1B54ADEC">
      <w:pPr>
        <w:spacing w:line="600" w:lineRule="exact"/>
        <w:ind w:firstLine="600" w:firstLineChars="200"/>
        <w:rPr>
          <w:rFonts w:ascii="仿宋_GB2312" w:eastAsia="仿宋_GB2312"/>
          <w:sz w:val="30"/>
          <w:szCs w:val="30"/>
        </w:rPr>
      </w:pPr>
      <w:r>
        <w:rPr>
          <w:rFonts w:hint="eastAsia" w:ascii="仿宋_GB2312" w:eastAsia="仿宋_GB2312"/>
          <w:sz w:val="30"/>
          <w:szCs w:val="30"/>
        </w:rPr>
        <w:t>债券交易参与人通过会籍系统完成报备债券交易业务管理员、并已</w:t>
      </w:r>
      <w:r>
        <w:rPr>
          <w:rFonts w:hint="eastAsia" w:ascii="仿宋_GB2312" w:eastAsia="仿宋_GB2312"/>
          <w:sz w:val="30"/>
          <w:szCs w:val="30"/>
          <w:lang w:eastAsia="zh-CN"/>
        </w:rPr>
        <w:t>完成</w:t>
      </w:r>
      <w:r>
        <w:rPr>
          <w:rFonts w:hint="eastAsia" w:ascii="仿宋_GB2312" w:eastAsia="仿宋_GB2312"/>
          <w:sz w:val="30"/>
          <w:szCs w:val="30"/>
        </w:rPr>
        <w:t>本机构首席交易员</w:t>
      </w:r>
      <w:r>
        <w:rPr>
          <w:rFonts w:hint="eastAsia" w:ascii="仿宋_GB2312" w:eastAsia="仿宋_GB2312"/>
          <w:sz w:val="30"/>
          <w:szCs w:val="30"/>
          <w:lang w:eastAsia="zh-CN"/>
        </w:rPr>
        <w:t>创建</w:t>
      </w:r>
      <w:r>
        <w:rPr>
          <w:rFonts w:hint="eastAsia" w:ascii="仿宋_GB2312" w:eastAsia="仿宋_GB2312"/>
          <w:sz w:val="30"/>
          <w:szCs w:val="30"/>
        </w:rPr>
        <w:t>后，可由本机构首席交易员在一债通内自行</w:t>
      </w:r>
      <w:r>
        <w:rPr>
          <w:rFonts w:hint="eastAsia" w:ascii="仿宋_GB2312" w:eastAsia="仿宋_GB2312"/>
          <w:sz w:val="30"/>
          <w:szCs w:val="30"/>
          <w:lang w:eastAsia="zh-CN"/>
        </w:rPr>
        <w:t>管理普通交易员交易权限，</w:t>
      </w:r>
      <w:r>
        <w:rPr>
          <w:rFonts w:hint="eastAsia" w:ascii="仿宋_GB2312" w:eastAsia="仿宋_GB2312"/>
          <w:sz w:val="30"/>
          <w:szCs w:val="30"/>
        </w:rPr>
        <w:t>修改/</w:t>
      </w:r>
      <w:r>
        <w:rPr>
          <w:rFonts w:hint="eastAsia" w:ascii="仿宋_GB2312" w:eastAsia="仿宋_GB2312"/>
          <w:sz w:val="30"/>
          <w:szCs w:val="30"/>
          <w:lang w:eastAsia="zh-CN"/>
        </w:rPr>
        <w:t>禁用</w:t>
      </w:r>
      <w:r>
        <w:rPr>
          <w:rFonts w:hint="eastAsia" w:ascii="仿宋_GB2312" w:eastAsia="仿宋_GB2312"/>
          <w:sz w:val="30"/>
          <w:szCs w:val="30"/>
        </w:rPr>
        <w:t>本机构普通交易员</w:t>
      </w:r>
      <w:r>
        <w:rPr>
          <w:rFonts w:hint="eastAsia" w:ascii="仿宋_GB2312" w:eastAsia="仿宋_GB2312"/>
          <w:sz w:val="30"/>
          <w:szCs w:val="30"/>
          <w:lang w:eastAsia="zh-CN"/>
        </w:rPr>
        <w:t>。普通交易员被禁用</w:t>
      </w:r>
      <w:r>
        <w:rPr>
          <w:rFonts w:hint="eastAsia" w:ascii="仿宋_GB2312" w:eastAsia="仿宋_GB2312"/>
          <w:sz w:val="30"/>
          <w:szCs w:val="30"/>
        </w:rPr>
        <w:t>后，无法参与</w:t>
      </w:r>
      <w:r>
        <w:rPr>
          <w:rFonts w:hint="eastAsia" w:ascii="仿宋_GB2312" w:eastAsia="仿宋_GB2312"/>
          <w:sz w:val="30"/>
          <w:szCs w:val="30"/>
          <w:lang w:eastAsia="zh-CN"/>
        </w:rPr>
        <w:t>新固定收益系统</w:t>
      </w:r>
      <w:r>
        <w:rPr>
          <w:rFonts w:hint="eastAsia" w:ascii="仿宋_GB2312" w:eastAsia="仿宋_GB2312"/>
          <w:sz w:val="30"/>
          <w:szCs w:val="30"/>
        </w:rPr>
        <w:t>各项业务申报。</w:t>
      </w:r>
      <w:bookmarkStart w:id="261" w:name="_Toc35006209"/>
    </w:p>
    <w:bookmarkEnd w:id="261"/>
    <w:p w14:paraId="4E988364">
      <w:pPr>
        <w:numPr>
          <w:ilvl w:val="0"/>
          <w:numId w:val="4"/>
        </w:numPr>
        <w:spacing w:line="600" w:lineRule="exact"/>
        <w:outlineLvl w:val="0"/>
        <w:rPr>
          <w:b/>
          <w:sz w:val="36"/>
        </w:rPr>
      </w:pPr>
      <w:bookmarkStart w:id="262" w:name="_Toc56166257"/>
      <w:bookmarkStart w:id="263" w:name="_Toc56166068"/>
      <w:r>
        <w:rPr>
          <w:b/>
          <w:sz w:val="36"/>
        </w:rPr>
        <w:br w:type="page"/>
      </w:r>
      <w:bookmarkStart w:id="264" w:name="_Toc2062492571"/>
      <w:bookmarkStart w:id="265" w:name="_Toc571286166"/>
      <w:bookmarkStart w:id="266" w:name="_Toc2133438093"/>
      <w:bookmarkStart w:id="267" w:name="_Toc1490235334"/>
      <w:bookmarkStart w:id="268" w:name="_Toc151136886"/>
      <w:bookmarkStart w:id="269" w:name="_Toc1029224682"/>
      <w:bookmarkStart w:id="270" w:name="_Toc216771743"/>
      <w:r>
        <w:rPr>
          <w:rFonts w:hint="eastAsia" w:ascii="黑体" w:hAnsi="黑体" w:eastAsia="黑体" w:cs="黑体"/>
          <w:b/>
          <w:sz w:val="36"/>
        </w:rPr>
        <w:t>债券经纪业务</w:t>
      </w:r>
      <w:bookmarkEnd w:id="262"/>
      <w:bookmarkEnd w:id="263"/>
      <w:bookmarkEnd w:id="264"/>
      <w:bookmarkEnd w:id="265"/>
      <w:bookmarkEnd w:id="266"/>
      <w:bookmarkEnd w:id="267"/>
      <w:bookmarkEnd w:id="268"/>
      <w:bookmarkEnd w:id="269"/>
      <w:bookmarkEnd w:id="270"/>
    </w:p>
    <w:p w14:paraId="5CB6BB82">
      <w:pPr>
        <w:spacing w:line="600" w:lineRule="exact"/>
        <w:ind w:firstLine="600"/>
        <w:rPr>
          <w:b/>
          <w:sz w:val="36"/>
        </w:rPr>
      </w:pPr>
      <w:r>
        <w:rPr>
          <w:rFonts w:hint="eastAsia" w:ascii="仿宋_GB2312" w:eastAsia="仿宋_GB2312"/>
          <w:sz w:val="30"/>
          <w:szCs w:val="30"/>
        </w:rPr>
        <w:t>债券经纪业务，是指债券交易参与人以外的债券投资者</w:t>
      </w:r>
      <w:r>
        <w:rPr>
          <w:rFonts w:hint="eastAsia" w:ascii="仿宋_GB2312" w:eastAsia="仿宋_GB2312"/>
          <w:color w:val="000000"/>
          <w:sz w:val="30"/>
          <w:szCs w:val="30"/>
        </w:rPr>
        <w:t>可以</w:t>
      </w:r>
      <w:r>
        <w:rPr>
          <w:rFonts w:hint="eastAsia" w:ascii="仿宋_GB2312" w:eastAsia="仿宋_GB2312"/>
          <w:sz w:val="30"/>
          <w:szCs w:val="30"/>
        </w:rPr>
        <w:t>作为经纪客户委托具有本所会员资格的证券公司参与本所债券交易；证券公司按照债券投资者的要求，接受其委托代理进行债券交易，并代理其办理交易结算。</w:t>
      </w:r>
    </w:p>
    <w:p w14:paraId="0DC080E4">
      <w:pPr>
        <w:numPr>
          <w:ilvl w:val="1"/>
          <w:numId w:val="4"/>
        </w:numPr>
        <w:spacing w:line="600" w:lineRule="exact"/>
        <w:ind w:left="0" w:firstLine="0"/>
        <w:outlineLvl w:val="1"/>
        <w:rPr>
          <w:rFonts w:ascii="仿宋_GB2312" w:eastAsia="仿宋_GB2312"/>
          <w:b/>
          <w:sz w:val="30"/>
          <w:szCs w:val="30"/>
        </w:rPr>
      </w:pPr>
      <w:bookmarkStart w:id="271" w:name="_Toc796338546"/>
      <w:bookmarkStart w:id="272" w:name="_Toc748113021"/>
      <w:bookmarkStart w:id="273" w:name="_Toc151136887"/>
      <w:bookmarkStart w:id="274" w:name="_Toc1948772463"/>
      <w:bookmarkStart w:id="275" w:name="_Toc936654293"/>
      <w:bookmarkStart w:id="276" w:name="_Toc490839587"/>
      <w:bookmarkStart w:id="277" w:name="_Toc1828260638"/>
      <w:r>
        <w:rPr>
          <w:rFonts w:hint="eastAsia" w:ascii="仿宋_GB2312" w:eastAsia="仿宋_GB2312"/>
          <w:b/>
          <w:sz w:val="30"/>
          <w:szCs w:val="30"/>
        </w:rPr>
        <w:t>投资者适当性</w:t>
      </w:r>
      <w:bookmarkEnd w:id="271"/>
      <w:bookmarkEnd w:id="272"/>
      <w:bookmarkEnd w:id="273"/>
      <w:bookmarkEnd w:id="274"/>
      <w:bookmarkEnd w:id="275"/>
      <w:bookmarkEnd w:id="276"/>
      <w:bookmarkEnd w:id="277"/>
    </w:p>
    <w:p w14:paraId="3120AF37">
      <w:pPr>
        <w:spacing w:line="600" w:lineRule="exact"/>
        <w:rPr>
          <w:rFonts w:ascii="仿宋_GB2312" w:eastAsia="仿宋_GB2312"/>
          <w:b/>
          <w:sz w:val="30"/>
          <w:szCs w:val="30"/>
        </w:rPr>
      </w:pPr>
      <w:r>
        <w:rPr>
          <w:rFonts w:hint="eastAsia" w:ascii="仿宋_GB2312" w:eastAsia="仿宋_GB2312"/>
          <w:b/>
          <w:sz w:val="30"/>
          <w:szCs w:val="30"/>
        </w:rPr>
        <w:t xml:space="preserve">   </w:t>
      </w:r>
      <w:r>
        <w:rPr>
          <w:rFonts w:hint="eastAsia" w:ascii="仿宋_GB2312" w:eastAsia="仿宋_GB2312"/>
          <w:sz w:val="30"/>
          <w:szCs w:val="30"/>
        </w:rPr>
        <w:t xml:space="preserve"> 本所债券市场实行投资者适当性管理制度。经纪客户需符合本所投资者适当性的相关规定。</w:t>
      </w:r>
    </w:p>
    <w:p w14:paraId="2575692E">
      <w:pPr>
        <w:numPr>
          <w:ilvl w:val="2"/>
          <w:numId w:val="4"/>
        </w:numPr>
        <w:spacing w:line="600" w:lineRule="exact"/>
        <w:ind w:left="0" w:firstLine="0"/>
        <w:outlineLvl w:val="2"/>
        <w:rPr>
          <w:rFonts w:ascii="仿宋_GB2312" w:hAnsi="黑体" w:eastAsia="仿宋_GB2312"/>
          <w:b/>
          <w:sz w:val="30"/>
          <w:szCs w:val="30"/>
        </w:rPr>
      </w:pPr>
      <w:r>
        <w:rPr>
          <w:rFonts w:hint="eastAsia" w:ascii="仿宋_GB2312" w:hAnsi="黑体" w:eastAsia="仿宋_GB2312"/>
          <w:b/>
          <w:sz w:val="30"/>
          <w:szCs w:val="30"/>
        </w:rPr>
        <w:t>债券投资者分类</w:t>
      </w:r>
    </w:p>
    <w:p w14:paraId="4DEE5185">
      <w:pPr>
        <w:pStyle w:val="90"/>
        <w:spacing w:line="600" w:lineRule="exact"/>
        <w:ind w:firstLine="600"/>
        <w:rPr>
          <w:sz w:val="30"/>
          <w:szCs w:val="30"/>
        </w:rPr>
      </w:pPr>
      <w:r>
        <w:rPr>
          <w:rFonts w:hint="eastAsia"/>
          <w:sz w:val="30"/>
          <w:szCs w:val="30"/>
        </w:rPr>
        <w:t>债券市场债券投资者按照财产状况、金融资产状况、投资知识和经验、专业能力等因素，分为专业投资者和普通投资者。专业投资者之外的债券投资者为普通投资者。</w:t>
      </w:r>
    </w:p>
    <w:p w14:paraId="1B503BBB">
      <w:pPr>
        <w:spacing w:line="600" w:lineRule="exact"/>
        <w:ind w:firstLine="600"/>
        <w:rPr>
          <w:rFonts w:ascii="仿宋_GB2312" w:eastAsia="仿宋_GB2312"/>
          <w:sz w:val="30"/>
          <w:szCs w:val="30"/>
        </w:rPr>
      </w:pPr>
      <w:r>
        <w:rPr>
          <w:rFonts w:hint="eastAsia" w:ascii="仿宋_GB2312" w:eastAsia="仿宋_GB2312"/>
          <w:sz w:val="30"/>
          <w:szCs w:val="30"/>
        </w:rPr>
        <w:t>专业投资者应当符合下列条件：</w:t>
      </w:r>
    </w:p>
    <w:p w14:paraId="7EC3BF58">
      <w:pPr>
        <w:spacing w:line="600" w:lineRule="exact"/>
        <w:ind w:firstLine="600"/>
        <w:rPr>
          <w:rFonts w:ascii="仿宋_GB2312" w:eastAsia="仿宋_GB2312"/>
          <w:sz w:val="30"/>
          <w:szCs w:val="30"/>
        </w:rPr>
      </w:pPr>
      <w:r>
        <w:rPr>
          <w:rFonts w:hint="eastAsia" w:ascii="仿宋_GB2312" w:eastAsia="仿宋_GB2312"/>
          <w:sz w:val="30"/>
          <w:szCs w:val="30"/>
        </w:rPr>
        <w:t>（1）经有关金融监管部门批准设立的金融机构，包括证券公司、期货公司、基金管理公司及其子公司、银行及其理财子公司、保险公司、信托公司、财务公司等；经行业协会备案或者登记的证券公司子公司、期货公司子公司、私募基金管理人。</w:t>
      </w:r>
    </w:p>
    <w:p w14:paraId="7CAC7356">
      <w:pPr>
        <w:spacing w:line="600" w:lineRule="exact"/>
        <w:ind w:firstLine="600"/>
        <w:rPr>
          <w:rFonts w:ascii="仿宋_GB2312" w:eastAsia="仿宋_GB2312"/>
          <w:sz w:val="30"/>
          <w:szCs w:val="30"/>
        </w:rPr>
      </w:pPr>
      <w:r>
        <w:rPr>
          <w:rFonts w:hint="eastAsia" w:ascii="仿宋_GB2312" w:eastAsia="仿宋_GB2312"/>
          <w:sz w:val="30"/>
          <w:szCs w:val="30"/>
        </w:rPr>
        <w:t>（2）上述机构面向投资者发行的理财产品，包括但不限于证券公司资产管理产品、基金管理公司及其子公司产品、期货公司资产管理产品、银行理财产品、保险产品、信托产品、经行业协会备案的私募基金。</w:t>
      </w:r>
    </w:p>
    <w:p w14:paraId="4B578836">
      <w:pPr>
        <w:spacing w:line="600" w:lineRule="exact"/>
        <w:ind w:firstLine="600"/>
        <w:rPr>
          <w:rFonts w:ascii="仿宋_GB2312" w:eastAsia="仿宋_GB2312"/>
          <w:sz w:val="30"/>
          <w:szCs w:val="30"/>
        </w:rPr>
      </w:pPr>
      <w:r>
        <w:rPr>
          <w:rFonts w:hint="eastAsia" w:ascii="仿宋_GB2312" w:eastAsia="仿宋_GB2312"/>
          <w:sz w:val="30"/>
          <w:szCs w:val="30"/>
        </w:rPr>
        <w:t>（3）社会保障基金、企业年金等养老基金，慈善基金等社会公益基金，合格境外机构投资者（QFII）、人民币合格境外机构投资者（RQFII）。</w:t>
      </w:r>
    </w:p>
    <w:p w14:paraId="74C4088C">
      <w:pPr>
        <w:spacing w:line="600" w:lineRule="exact"/>
        <w:ind w:firstLine="600"/>
        <w:rPr>
          <w:rFonts w:ascii="仿宋_GB2312" w:eastAsia="仿宋_GB2312"/>
          <w:sz w:val="30"/>
          <w:szCs w:val="30"/>
        </w:rPr>
      </w:pPr>
      <w:r>
        <w:rPr>
          <w:rFonts w:hint="eastAsia" w:ascii="仿宋_GB2312" w:eastAsia="仿宋_GB2312"/>
          <w:sz w:val="30"/>
          <w:szCs w:val="30"/>
        </w:rPr>
        <w:t>（4）同时符合下列条件的法人或者其他组织：</w:t>
      </w:r>
    </w:p>
    <w:p w14:paraId="5B2A9741">
      <w:pPr>
        <w:pStyle w:val="92"/>
        <w:numPr>
          <w:ilvl w:val="0"/>
          <w:numId w:val="9"/>
        </w:numPr>
        <w:spacing w:line="600" w:lineRule="exact"/>
        <w:ind w:left="0" w:firstLine="600"/>
        <w:rPr>
          <w:rFonts w:ascii="仿宋_GB2312" w:eastAsia="仿宋_GB2312"/>
          <w:sz w:val="30"/>
          <w:szCs w:val="30"/>
          <w:lang w:eastAsia="zh-CN"/>
        </w:rPr>
      </w:pPr>
      <w:r>
        <w:rPr>
          <w:rFonts w:hint="eastAsia" w:ascii="仿宋_GB2312" w:eastAsia="仿宋_GB2312"/>
          <w:sz w:val="30"/>
          <w:szCs w:val="30"/>
          <w:lang w:eastAsia="zh-CN"/>
        </w:rPr>
        <w:t>最近1年末净资产不低于2000万元；</w:t>
      </w:r>
    </w:p>
    <w:p w14:paraId="409C81E3">
      <w:pPr>
        <w:pStyle w:val="92"/>
        <w:numPr>
          <w:ilvl w:val="0"/>
          <w:numId w:val="9"/>
        </w:numPr>
        <w:spacing w:line="600" w:lineRule="exact"/>
        <w:ind w:left="0" w:firstLine="600"/>
        <w:rPr>
          <w:rFonts w:ascii="仿宋_GB2312" w:eastAsia="仿宋_GB2312"/>
          <w:sz w:val="30"/>
          <w:szCs w:val="30"/>
          <w:lang w:eastAsia="zh-CN"/>
        </w:rPr>
      </w:pPr>
      <w:r>
        <w:rPr>
          <w:rFonts w:hint="eastAsia" w:ascii="仿宋_GB2312" w:eastAsia="仿宋_GB2312"/>
          <w:sz w:val="30"/>
          <w:szCs w:val="30"/>
          <w:lang w:eastAsia="zh-CN"/>
        </w:rPr>
        <w:t>最近1年末金融资产不低于1000万元；</w:t>
      </w:r>
    </w:p>
    <w:p w14:paraId="02C7E579">
      <w:pPr>
        <w:pStyle w:val="92"/>
        <w:numPr>
          <w:ilvl w:val="0"/>
          <w:numId w:val="9"/>
        </w:numPr>
        <w:spacing w:line="600" w:lineRule="exact"/>
        <w:ind w:left="0" w:firstLine="600"/>
        <w:rPr>
          <w:rFonts w:ascii="仿宋_GB2312" w:eastAsia="仿宋_GB2312"/>
          <w:sz w:val="30"/>
          <w:szCs w:val="30"/>
          <w:lang w:eastAsia="zh-CN"/>
        </w:rPr>
      </w:pPr>
      <w:r>
        <w:rPr>
          <w:rFonts w:hint="eastAsia" w:ascii="仿宋_GB2312" w:eastAsia="仿宋_GB2312"/>
          <w:sz w:val="30"/>
          <w:szCs w:val="30"/>
          <w:lang w:eastAsia="zh-CN"/>
        </w:rPr>
        <w:t>具有2年以上证券、基金、期货、黄金、外汇等投资经历。</w:t>
      </w:r>
    </w:p>
    <w:p w14:paraId="4AC3B3DD">
      <w:pPr>
        <w:spacing w:line="600" w:lineRule="exact"/>
        <w:ind w:firstLine="600"/>
        <w:rPr>
          <w:rFonts w:ascii="仿宋_GB2312" w:eastAsia="仿宋_GB2312"/>
          <w:sz w:val="30"/>
          <w:szCs w:val="30"/>
        </w:rPr>
      </w:pPr>
      <w:r>
        <w:rPr>
          <w:rFonts w:hint="eastAsia" w:ascii="仿宋_GB2312" w:eastAsia="仿宋_GB2312"/>
          <w:sz w:val="30"/>
          <w:szCs w:val="30"/>
        </w:rPr>
        <w:t>（5）同时符合下列条件的个人：</w:t>
      </w:r>
    </w:p>
    <w:p w14:paraId="1FB0EEBC">
      <w:pPr>
        <w:pStyle w:val="92"/>
        <w:numPr>
          <w:ilvl w:val="0"/>
          <w:numId w:val="10"/>
        </w:numPr>
        <w:spacing w:line="600" w:lineRule="exact"/>
        <w:ind w:left="0" w:firstLine="600"/>
        <w:rPr>
          <w:rFonts w:ascii="仿宋_GB2312" w:eastAsia="仿宋_GB2312"/>
          <w:sz w:val="30"/>
          <w:szCs w:val="30"/>
          <w:lang w:eastAsia="zh-CN"/>
        </w:rPr>
      </w:pPr>
      <w:r>
        <w:rPr>
          <w:rFonts w:hint="eastAsia" w:ascii="仿宋_GB2312" w:eastAsia="仿宋_GB2312"/>
          <w:sz w:val="30"/>
          <w:szCs w:val="30"/>
          <w:lang w:eastAsia="zh-CN"/>
        </w:rPr>
        <w:t>申请资格认定前20个交易日名下金融资产日均不低于500万元，或者最近3年个人年均收入不低于50万元；</w:t>
      </w:r>
    </w:p>
    <w:p w14:paraId="60AFA2D4">
      <w:pPr>
        <w:pStyle w:val="92"/>
        <w:numPr>
          <w:ilvl w:val="0"/>
          <w:numId w:val="10"/>
        </w:numPr>
        <w:spacing w:line="600" w:lineRule="exact"/>
        <w:ind w:left="0" w:firstLine="600"/>
        <w:rPr>
          <w:rFonts w:ascii="仿宋_GB2312" w:eastAsia="仿宋_GB2312"/>
          <w:sz w:val="30"/>
          <w:szCs w:val="30"/>
          <w:lang w:eastAsia="zh-CN"/>
        </w:rPr>
      </w:pPr>
      <w:r>
        <w:rPr>
          <w:rFonts w:hint="eastAsia" w:ascii="仿宋_GB2312" w:eastAsia="仿宋_GB2312"/>
          <w:sz w:val="30"/>
          <w:szCs w:val="30"/>
          <w:lang w:eastAsia="zh-CN"/>
        </w:rPr>
        <w:t>具有2年以上证券、基金、期货、黄金、外汇等投资经历，或者具有2年以上金融产品设计、投资、风险管理及相关工作经历，或者属于本条第（1）项规定的专业投资者的高级管理人员、获得职业资格认证的从事金融相关业务的注册会计师和律师。</w:t>
      </w:r>
    </w:p>
    <w:p w14:paraId="0E5D29D7">
      <w:pPr>
        <w:spacing w:line="600" w:lineRule="exact"/>
        <w:ind w:firstLine="600"/>
        <w:rPr>
          <w:rFonts w:ascii="仿宋_GB2312" w:eastAsia="仿宋_GB2312"/>
          <w:sz w:val="30"/>
          <w:szCs w:val="30"/>
        </w:rPr>
      </w:pPr>
      <w:r>
        <w:rPr>
          <w:rFonts w:hint="eastAsia" w:ascii="仿宋_GB2312" w:eastAsia="仿宋_GB2312"/>
          <w:sz w:val="30"/>
          <w:szCs w:val="30"/>
        </w:rPr>
        <w:t>前款所称金融资产，是指银行存款、股票、债券、基金份额、资产管理计划、银行理财产品、信托计划、保险产品、期货及其他衍生产品等。</w:t>
      </w:r>
    </w:p>
    <w:p w14:paraId="58CC1980">
      <w:pPr>
        <w:numPr>
          <w:ilvl w:val="0"/>
          <w:numId w:val="11"/>
        </w:numPr>
        <w:spacing w:line="600" w:lineRule="exact"/>
        <w:ind w:firstLine="600"/>
        <w:rPr>
          <w:rFonts w:ascii="仿宋_GB2312" w:eastAsia="仿宋_GB2312"/>
          <w:sz w:val="30"/>
          <w:szCs w:val="30"/>
        </w:rPr>
      </w:pPr>
      <w:r>
        <w:rPr>
          <w:rFonts w:hint="eastAsia" w:ascii="仿宋_GB2312" w:eastAsia="仿宋_GB2312"/>
          <w:sz w:val="30"/>
          <w:szCs w:val="30"/>
        </w:rPr>
        <w:t>中国证监会和本所认可的其他投资者。</w:t>
      </w:r>
    </w:p>
    <w:p w14:paraId="43B5AB88">
      <w:pPr>
        <w:numPr>
          <w:ilvl w:val="2"/>
          <w:numId w:val="4"/>
        </w:numPr>
        <w:spacing w:line="600" w:lineRule="exact"/>
        <w:ind w:left="0" w:firstLine="0"/>
        <w:outlineLvl w:val="2"/>
        <w:rPr>
          <w:rFonts w:ascii="仿宋_GB2312" w:eastAsia="仿宋_GB2312"/>
          <w:sz w:val="30"/>
          <w:szCs w:val="30"/>
        </w:rPr>
      </w:pPr>
      <w:r>
        <w:rPr>
          <w:rFonts w:hint="eastAsia" w:ascii="仿宋_GB2312" w:eastAsia="仿宋_GB2312"/>
          <w:b/>
          <w:sz w:val="30"/>
          <w:szCs w:val="30"/>
          <w:lang w:bidi="en-US"/>
        </w:rPr>
        <w:t>债券现券交易投资品种范围</w:t>
      </w:r>
    </w:p>
    <w:p w14:paraId="4F73660C">
      <w:pPr>
        <w:pStyle w:val="90"/>
        <w:spacing w:line="600" w:lineRule="exact"/>
        <w:ind w:firstLine="600"/>
        <w:rPr>
          <w:rFonts w:hAnsi="黑体"/>
          <w:sz w:val="30"/>
          <w:szCs w:val="30"/>
        </w:rPr>
      </w:pPr>
      <w:r>
        <w:rPr>
          <w:rFonts w:hint="eastAsia" w:hAnsi="黑体"/>
          <w:sz w:val="30"/>
          <w:szCs w:val="30"/>
        </w:rPr>
        <w:t>（1）专业投资者投资品种范围</w:t>
      </w:r>
    </w:p>
    <w:p w14:paraId="1694F112">
      <w:pPr>
        <w:spacing w:line="600" w:lineRule="exact"/>
        <w:ind w:firstLine="600"/>
        <w:rPr>
          <w:rFonts w:ascii="仿宋_GB2312" w:eastAsia="仿宋_GB2312"/>
          <w:sz w:val="30"/>
          <w:szCs w:val="30"/>
        </w:rPr>
      </w:pPr>
      <w:r>
        <w:rPr>
          <w:rFonts w:hint="eastAsia" w:ascii="仿宋_GB2312" w:eastAsia="仿宋_GB2312"/>
          <w:sz w:val="30"/>
          <w:szCs w:val="30"/>
        </w:rPr>
        <w:t>专业投资者可以认购及交易在本所上市交易或者挂牌转让的全部债券，但下列债券仅限专业投资者中的机构投资者认购及交易：依据《公司债券发行</w:t>
      </w:r>
      <w:r>
        <w:rPr>
          <w:rFonts w:ascii="仿宋_GB2312" w:eastAsia="仿宋_GB2312"/>
          <w:sz w:val="30"/>
          <w:szCs w:val="30"/>
        </w:rPr>
        <w:t>与</w:t>
      </w:r>
      <w:r>
        <w:rPr>
          <w:rFonts w:hint="eastAsia" w:ascii="仿宋_GB2312" w:eastAsia="仿宋_GB2312"/>
          <w:sz w:val="30"/>
          <w:szCs w:val="30"/>
        </w:rPr>
        <w:t>交易管理办法》第十六条面向普通投资者公开发行的公司债券以外的其他公司债券、资产支持证券、特定债券、本所认可的其他仅限专业投资者中的机构投资者认购及交易的债券。</w:t>
      </w:r>
    </w:p>
    <w:p w14:paraId="7D23632A">
      <w:pPr>
        <w:pStyle w:val="90"/>
        <w:spacing w:line="600" w:lineRule="exact"/>
        <w:ind w:firstLine="600"/>
        <w:rPr>
          <w:rFonts w:hAnsi="黑体"/>
          <w:sz w:val="30"/>
          <w:szCs w:val="30"/>
        </w:rPr>
      </w:pPr>
      <w:r>
        <w:rPr>
          <w:rFonts w:hint="eastAsia" w:hAnsi="黑体"/>
          <w:sz w:val="30"/>
          <w:szCs w:val="30"/>
        </w:rPr>
        <w:t>（2）普通投资者投资品种范围</w:t>
      </w:r>
    </w:p>
    <w:p w14:paraId="07F52BB2">
      <w:pPr>
        <w:spacing w:line="600" w:lineRule="exact"/>
        <w:ind w:firstLine="600"/>
        <w:rPr>
          <w:rFonts w:ascii="仿宋_GB2312" w:eastAsia="仿宋_GB2312"/>
          <w:sz w:val="30"/>
          <w:szCs w:val="30"/>
        </w:rPr>
      </w:pPr>
      <w:r>
        <w:rPr>
          <w:rFonts w:hint="eastAsia" w:ascii="仿宋_GB2312" w:eastAsia="仿宋_GB2312"/>
          <w:sz w:val="30"/>
          <w:szCs w:val="30"/>
        </w:rPr>
        <w:t>普通投资者可以认购及交易在本所上市交易或者挂牌转让的国债、地方政府债券、政策性金融债、中国铁路建设债券等政府支持债券、政府支持机构债券、资信状况符合《公司债券发行与交易管理办法》第十六条规定标准的面向普通投资者公开发行的公司债券及本所认可的其他债券品种。</w:t>
      </w:r>
    </w:p>
    <w:p w14:paraId="425DA038">
      <w:pPr>
        <w:spacing w:line="600" w:lineRule="exact"/>
        <w:ind w:firstLine="600"/>
        <w:rPr>
          <w:rFonts w:ascii="仿宋_GB2312" w:eastAsia="仿宋_GB2312"/>
          <w:sz w:val="30"/>
          <w:szCs w:val="30"/>
        </w:rPr>
      </w:pPr>
      <w:r>
        <w:rPr>
          <w:rFonts w:hint="eastAsia" w:ascii="仿宋_GB2312" w:eastAsia="仿宋_GB2312"/>
          <w:sz w:val="30"/>
          <w:szCs w:val="30"/>
        </w:rPr>
        <w:t>其中</w:t>
      </w:r>
      <w:r>
        <w:rPr>
          <w:rFonts w:ascii="仿宋_GB2312" w:eastAsia="仿宋_GB2312"/>
          <w:sz w:val="30"/>
          <w:szCs w:val="30"/>
        </w:rPr>
        <w:t>，《</w:t>
      </w:r>
      <w:r>
        <w:rPr>
          <w:rFonts w:hint="eastAsia" w:ascii="仿宋_GB2312" w:eastAsia="仿宋_GB2312"/>
          <w:sz w:val="30"/>
          <w:szCs w:val="30"/>
        </w:rPr>
        <w:t>公司债券发行</w:t>
      </w:r>
      <w:r>
        <w:rPr>
          <w:rFonts w:ascii="仿宋_GB2312" w:eastAsia="仿宋_GB2312"/>
          <w:sz w:val="30"/>
          <w:szCs w:val="30"/>
        </w:rPr>
        <w:t>与</w:t>
      </w:r>
      <w:r>
        <w:rPr>
          <w:rFonts w:hint="eastAsia" w:ascii="仿宋_GB2312" w:eastAsia="仿宋_GB2312"/>
          <w:sz w:val="30"/>
          <w:szCs w:val="30"/>
        </w:rPr>
        <w:t>交易管理办法</w:t>
      </w:r>
      <w:r>
        <w:rPr>
          <w:rFonts w:ascii="仿宋_GB2312" w:eastAsia="仿宋_GB2312"/>
          <w:sz w:val="30"/>
          <w:szCs w:val="30"/>
        </w:rPr>
        <w:t>》</w:t>
      </w:r>
      <w:r>
        <w:rPr>
          <w:rFonts w:hint="eastAsia" w:ascii="仿宋_GB2312" w:eastAsia="仿宋_GB2312"/>
          <w:sz w:val="30"/>
          <w:szCs w:val="30"/>
        </w:rPr>
        <w:t>第</w:t>
      </w:r>
      <w:r>
        <w:rPr>
          <w:rFonts w:ascii="仿宋_GB2312" w:eastAsia="仿宋_GB2312"/>
          <w:sz w:val="30"/>
          <w:szCs w:val="30"/>
        </w:rPr>
        <w:t>十</w:t>
      </w:r>
      <w:r>
        <w:rPr>
          <w:rFonts w:hint="eastAsia" w:ascii="仿宋_GB2312" w:eastAsia="仿宋_GB2312"/>
          <w:sz w:val="30"/>
          <w:szCs w:val="30"/>
        </w:rPr>
        <w:t>六</w:t>
      </w:r>
      <w:r>
        <w:rPr>
          <w:rFonts w:ascii="仿宋_GB2312" w:eastAsia="仿宋_GB2312"/>
          <w:sz w:val="30"/>
          <w:szCs w:val="30"/>
        </w:rPr>
        <w:t>条</w:t>
      </w:r>
      <w:r>
        <w:rPr>
          <w:rFonts w:hint="eastAsia" w:ascii="仿宋_GB2312" w:eastAsia="仿宋_GB2312"/>
          <w:sz w:val="30"/>
          <w:szCs w:val="30"/>
        </w:rPr>
        <w:t>规定</w:t>
      </w:r>
      <w:r>
        <w:rPr>
          <w:rFonts w:ascii="仿宋_GB2312" w:eastAsia="仿宋_GB2312"/>
          <w:sz w:val="30"/>
          <w:szCs w:val="30"/>
        </w:rPr>
        <w:t>的标准是指：</w:t>
      </w:r>
    </w:p>
    <w:p w14:paraId="58920134">
      <w:pPr>
        <w:spacing w:line="600" w:lineRule="exact"/>
        <w:ind w:firstLine="600" w:firstLineChars="200"/>
        <w:rPr>
          <w:rFonts w:ascii="仿宋_GB2312" w:eastAsia="仿宋_GB2312"/>
          <w:sz w:val="30"/>
          <w:szCs w:val="30"/>
        </w:rPr>
      </w:pPr>
      <w:r>
        <w:rPr>
          <w:rFonts w:hint="eastAsia" w:ascii="仿宋_GB2312" w:eastAsia="仿宋_GB2312"/>
          <w:sz w:val="30"/>
          <w:szCs w:val="30"/>
        </w:rPr>
        <w:t>1）发行人最近三年无债务违约或者延迟支付本息的事实；</w:t>
      </w:r>
    </w:p>
    <w:p w14:paraId="4CACB43C">
      <w:pPr>
        <w:spacing w:line="600" w:lineRule="exact"/>
        <w:ind w:firstLine="600"/>
        <w:rPr>
          <w:rFonts w:ascii="仿宋_GB2312" w:eastAsia="仿宋_GB2312"/>
          <w:sz w:val="30"/>
          <w:szCs w:val="30"/>
        </w:rPr>
      </w:pPr>
      <w:r>
        <w:rPr>
          <w:rFonts w:hint="eastAsia" w:ascii="仿宋_GB2312" w:eastAsia="仿宋_GB2312"/>
          <w:sz w:val="30"/>
          <w:szCs w:val="30"/>
        </w:rPr>
        <w:t>2）发行人最近三年平均可分配利润不少于债券一年利息的1.5 倍；</w:t>
      </w:r>
    </w:p>
    <w:p w14:paraId="3A8A543C">
      <w:pPr>
        <w:spacing w:line="600" w:lineRule="exact"/>
        <w:ind w:firstLine="600"/>
        <w:rPr>
          <w:rFonts w:ascii="仿宋_GB2312" w:eastAsia="仿宋_GB2312"/>
          <w:sz w:val="30"/>
          <w:szCs w:val="30"/>
        </w:rPr>
      </w:pPr>
      <w:r>
        <w:rPr>
          <w:rFonts w:hint="eastAsia" w:ascii="仿宋_GB2312" w:eastAsia="仿宋_GB2312"/>
          <w:sz w:val="30"/>
          <w:szCs w:val="30"/>
        </w:rPr>
        <w:t>3）发行人最近一期末净资产规模不少于250 亿元；</w:t>
      </w:r>
    </w:p>
    <w:p w14:paraId="3C59A081">
      <w:pPr>
        <w:spacing w:line="600" w:lineRule="exact"/>
        <w:ind w:firstLine="600"/>
        <w:rPr>
          <w:rFonts w:ascii="仿宋_GB2312" w:eastAsia="仿宋_GB2312"/>
          <w:sz w:val="30"/>
          <w:szCs w:val="30"/>
        </w:rPr>
      </w:pPr>
      <w:r>
        <w:rPr>
          <w:rFonts w:hint="eastAsia" w:ascii="仿宋_GB2312" w:eastAsia="仿宋_GB2312"/>
          <w:sz w:val="30"/>
          <w:szCs w:val="30"/>
        </w:rPr>
        <w:t>4）发行人最近36 个月内累计公开发行债券不少于3期，发行规模不少于100 亿元；</w:t>
      </w:r>
    </w:p>
    <w:p w14:paraId="10C7F174">
      <w:pPr>
        <w:spacing w:line="600" w:lineRule="exact"/>
        <w:ind w:firstLine="600"/>
        <w:rPr>
          <w:rFonts w:ascii="仿宋_GB2312" w:eastAsia="仿宋_GB2312"/>
          <w:sz w:val="30"/>
          <w:szCs w:val="30"/>
        </w:rPr>
      </w:pPr>
      <w:r>
        <w:rPr>
          <w:rFonts w:hint="eastAsia" w:ascii="仿宋_GB2312" w:eastAsia="仿宋_GB2312"/>
          <w:sz w:val="30"/>
          <w:szCs w:val="30"/>
        </w:rPr>
        <w:t>5）中国证监会根据投资者保护的需要规定的其他条件。</w:t>
      </w:r>
    </w:p>
    <w:p w14:paraId="37EE980B">
      <w:pPr>
        <w:widowControl/>
        <w:jc w:val="left"/>
        <w:rPr>
          <w:rFonts w:ascii="仿宋_GB2312" w:hAnsi="黑体" w:eastAsia="仿宋_GB2312"/>
          <w:kern w:val="0"/>
          <w:sz w:val="30"/>
          <w:szCs w:val="30"/>
        </w:rPr>
      </w:pPr>
      <w:r>
        <w:rPr>
          <w:rFonts w:hAnsi="黑体"/>
          <w:sz w:val="30"/>
          <w:szCs w:val="30"/>
        </w:rPr>
        <w:br w:type="page"/>
      </w:r>
    </w:p>
    <w:p w14:paraId="4F82417D">
      <w:pPr>
        <w:pStyle w:val="90"/>
        <w:spacing w:line="600" w:lineRule="exact"/>
        <w:ind w:firstLine="600" w:firstLineChars="0"/>
      </w:pPr>
      <w:r>
        <w:rPr>
          <w:rFonts w:hint="eastAsia" w:hAnsi="黑体"/>
          <w:sz w:val="30"/>
          <w:szCs w:val="30"/>
        </w:rPr>
        <w:t>（3）投资品种范围细化表</w:t>
      </w:r>
    </w:p>
    <w:tbl>
      <w:tblPr>
        <w:tblStyle w:val="43"/>
        <w:tblW w:w="5356" w:type="pct"/>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2980"/>
        <w:gridCol w:w="1413"/>
        <w:gridCol w:w="1832"/>
        <w:gridCol w:w="1775"/>
      </w:tblGrid>
      <w:tr w14:paraId="3086A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pct"/>
            <w:gridSpan w:val="2"/>
            <w:vAlign w:val="center"/>
          </w:tcPr>
          <w:p w14:paraId="5E828DE2">
            <w:pPr>
              <w:rPr>
                <w:rFonts w:ascii="仿宋_GB2312" w:eastAsia="仿宋_GB2312"/>
                <w:b/>
                <w:sz w:val="24"/>
                <w:szCs w:val="30"/>
              </w:rPr>
            </w:pPr>
            <w:r>
              <w:rPr>
                <w:rFonts w:hint="eastAsia" w:ascii="仿宋_GB2312" w:eastAsia="仿宋_GB2312"/>
                <w:b/>
                <w:sz w:val="24"/>
                <w:szCs w:val="30"/>
              </w:rPr>
              <w:t>债券品种</w:t>
            </w:r>
          </w:p>
        </w:tc>
        <w:tc>
          <w:tcPr>
            <w:tcW w:w="774" w:type="pct"/>
            <w:vAlign w:val="center"/>
          </w:tcPr>
          <w:p w14:paraId="38985486">
            <w:pPr>
              <w:rPr>
                <w:rFonts w:ascii="仿宋_GB2312" w:eastAsia="仿宋_GB2312"/>
                <w:b/>
                <w:szCs w:val="30"/>
              </w:rPr>
            </w:pPr>
            <w:r>
              <w:rPr>
                <w:rFonts w:hint="eastAsia" w:ascii="仿宋_GB2312" w:eastAsia="仿宋_GB2312"/>
                <w:b/>
                <w:szCs w:val="30"/>
              </w:rPr>
              <w:t>普通投资者</w:t>
            </w:r>
          </w:p>
        </w:tc>
        <w:tc>
          <w:tcPr>
            <w:tcW w:w="1003" w:type="pct"/>
            <w:vAlign w:val="center"/>
          </w:tcPr>
          <w:p w14:paraId="482B1CEC">
            <w:pPr>
              <w:rPr>
                <w:rFonts w:ascii="仿宋_GB2312" w:eastAsia="仿宋_GB2312"/>
                <w:b/>
                <w:szCs w:val="30"/>
              </w:rPr>
            </w:pPr>
            <w:r>
              <w:rPr>
                <w:rFonts w:hint="eastAsia" w:ascii="仿宋_GB2312" w:eastAsia="仿宋_GB2312"/>
                <w:b/>
                <w:szCs w:val="30"/>
              </w:rPr>
              <w:t>专业个人投资者</w:t>
            </w:r>
          </w:p>
        </w:tc>
        <w:tc>
          <w:tcPr>
            <w:tcW w:w="972" w:type="pct"/>
            <w:vAlign w:val="center"/>
          </w:tcPr>
          <w:p w14:paraId="3F9EF4FB">
            <w:pPr>
              <w:rPr>
                <w:rFonts w:ascii="仿宋_GB2312" w:eastAsia="仿宋_GB2312"/>
                <w:b/>
                <w:szCs w:val="30"/>
              </w:rPr>
            </w:pPr>
            <w:r>
              <w:rPr>
                <w:rFonts w:hint="eastAsia" w:ascii="仿宋_GB2312" w:eastAsia="仿宋_GB2312"/>
                <w:b/>
                <w:szCs w:val="30"/>
              </w:rPr>
              <w:t>专业机构投资者</w:t>
            </w:r>
          </w:p>
        </w:tc>
      </w:tr>
      <w:tr w14:paraId="2F54C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pct"/>
            <w:gridSpan w:val="2"/>
            <w:vAlign w:val="center"/>
          </w:tcPr>
          <w:p w14:paraId="7C4CA851">
            <w:pPr>
              <w:rPr>
                <w:rFonts w:ascii="仿宋_GB2312" w:eastAsia="仿宋_GB2312"/>
                <w:sz w:val="24"/>
                <w:szCs w:val="30"/>
              </w:rPr>
            </w:pPr>
            <w:r>
              <w:rPr>
                <w:rFonts w:hint="eastAsia" w:ascii="仿宋_GB2312" w:eastAsia="仿宋_GB2312"/>
                <w:sz w:val="24"/>
                <w:szCs w:val="30"/>
              </w:rPr>
              <w:t>国债</w:t>
            </w:r>
          </w:p>
        </w:tc>
        <w:tc>
          <w:tcPr>
            <w:tcW w:w="774" w:type="pct"/>
            <w:vAlign w:val="center"/>
          </w:tcPr>
          <w:p w14:paraId="3D0BEC6B">
            <w:pPr>
              <w:ind w:firstLine="480"/>
              <w:rPr>
                <w:rFonts w:ascii="仿宋_GB2312" w:eastAsia="仿宋_GB2312"/>
                <w:sz w:val="24"/>
                <w:szCs w:val="30"/>
              </w:rPr>
            </w:pPr>
            <w:r>
              <w:rPr>
                <w:rFonts w:hint="eastAsia" w:ascii="仿宋_GB2312" w:eastAsia="仿宋_GB2312"/>
                <w:sz w:val="24"/>
                <w:szCs w:val="30"/>
              </w:rPr>
              <w:t>√</w:t>
            </w:r>
          </w:p>
        </w:tc>
        <w:tc>
          <w:tcPr>
            <w:tcW w:w="1003" w:type="pct"/>
            <w:vAlign w:val="center"/>
          </w:tcPr>
          <w:p w14:paraId="1CDED241">
            <w:pPr>
              <w:ind w:firstLine="480"/>
              <w:rPr>
                <w:rFonts w:ascii="仿宋_GB2312" w:eastAsia="仿宋_GB2312"/>
                <w:sz w:val="24"/>
                <w:szCs w:val="30"/>
              </w:rPr>
            </w:pPr>
            <w:r>
              <w:rPr>
                <w:rFonts w:hint="eastAsia" w:ascii="仿宋_GB2312" w:eastAsia="仿宋_GB2312"/>
                <w:sz w:val="24"/>
                <w:szCs w:val="30"/>
              </w:rPr>
              <w:t>√</w:t>
            </w:r>
          </w:p>
        </w:tc>
        <w:tc>
          <w:tcPr>
            <w:tcW w:w="972" w:type="pct"/>
            <w:vAlign w:val="center"/>
          </w:tcPr>
          <w:p w14:paraId="23C9D3A2">
            <w:pPr>
              <w:ind w:firstLine="480"/>
              <w:rPr>
                <w:rFonts w:ascii="仿宋_GB2312" w:eastAsia="仿宋_GB2312"/>
                <w:sz w:val="24"/>
                <w:szCs w:val="30"/>
              </w:rPr>
            </w:pPr>
            <w:r>
              <w:rPr>
                <w:rFonts w:hint="eastAsia" w:ascii="仿宋_GB2312" w:eastAsia="仿宋_GB2312"/>
                <w:sz w:val="24"/>
                <w:szCs w:val="30"/>
              </w:rPr>
              <w:t>√</w:t>
            </w:r>
          </w:p>
        </w:tc>
      </w:tr>
      <w:tr w14:paraId="10C7C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pct"/>
            <w:gridSpan w:val="2"/>
            <w:vAlign w:val="center"/>
          </w:tcPr>
          <w:p w14:paraId="76BD2628">
            <w:pPr>
              <w:rPr>
                <w:rFonts w:ascii="仿宋_GB2312" w:eastAsia="仿宋_GB2312"/>
                <w:sz w:val="24"/>
                <w:szCs w:val="30"/>
              </w:rPr>
            </w:pPr>
            <w:r>
              <w:rPr>
                <w:rFonts w:hint="eastAsia" w:ascii="仿宋_GB2312" w:eastAsia="仿宋_GB2312"/>
                <w:sz w:val="24"/>
                <w:szCs w:val="30"/>
              </w:rPr>
              <w:t>地方政府债券</w:t>
            </w:r>
          </w:p>
        </w:tc>
        <w:tc>
          <w:tcPr>
            <w:tcW w:w="774" w:type="pct"/>
            <w:vAlign w:val="center"/>
          </w:tcPr>
          <w:p w14:paraId="6836CAF9">
            <w:pPr>
              <w:ind w:firstLine="480"/>
              <w:rPr>
                <w:rFonts w:ascii="仿宋_GB2312" w:eastAsia="仿宋_GB2312"/>
                <w:sz w:val="24"/>
                <w:szCs w:val="30"/>
              </w:rPr>
            </w:pPr>
            <w:r>
              <w:rPr>
                <w:rFonts w:hint="eastAsia" w:ascii="仿宋_GB2312" w:eastAsia="仿宋_GB2312"/>
                <w:sz w:val="24"/>
                <w:szCs w:val="30"/>
              </w:rPr>
              <w:t>√</w:t>
            </w:r>
          </w:p>
        </w:tc>
        <w:tc>
          <w:tcPr>
            <w:tcW w:w="1003" w:type="pct"/>
            <w:vAlign w:val="center"/>
          </w:tcPr>
          <w:p w14:paraId="74743818">
            <w:pPr>
              <w:ind w:firstLine="480"/>
              <w:rPr>
                <w:rFonts w:ascii="仿宋_GB2312" w:eastAsia="仿宋_GB2312"/>
                <w:sz w:val="24"/>
                <w:szCs w:val="30"/>
              </w:rPr>
            </w:pPr>
            <w:r>
              <w:rPr>
                <w:rFonts w:hint="eastAsia" w:ascii="仿宋_GB2312" w:eastAsia="仿宋_GB2312"/>
                <w:sz w:val="24"/>
                <w:szCs w:val="30"/>
              </w:rPr>
              <w:t>√</w:t>
            </w:r>
          </w:p>
        </w:tc>
        <w:tc>
          <w:tcPr>
            <w:tcW w:w="972" w:type="pct"/>
            <w:vAlign w:val="center"/>
          </w:tcPr>
          <w:p w14:paraId="027A64E5">
            <w:pPr>
              <w:ind w:firstLine="480"/>
              <w:rPr>
                <w:rFonts w:ascii="仿宋_GB2312" w:eastAsia="仿宋_GB2312"/>
                <w:sz w:val="24"/>
                <w:szCs w:val="30"/>
              </w:rPr>
            </w:pPr>
            <w:r>
              <w:rPr>
                <w:rFonts w:hint="eastAsia" w:ascii="仿宋_GB2312" w:eastAsia="仿宋_GB2312"/>
                <w:sz w:val="24"/>
                <w:szCs w:val="30"/>
              </w:rPr>
              <w:t>√</w:t>
            </w:r>
          </w:p>
        </w:tc>
      </w:tr>
      <w:tr w14:paraId="345EC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50" w:type="pct"/>
            <w:gridSpan w:val="2"/>
            <w:vAlign w:val="center"/>
          </w:tcPr>
          <w:p w14:paraId="05CE53B0">
            <w:pPr>
              <w:rPr>
                <w:rFonts w:ascii="仿宋_GB2312" w:eastAsia="仿宋_GB2312"/>
                <w:sz w:val="24"/>
                <w:szCs w:val="30"/>
              </w:rPr>
            </w:pPr>
            <w:r>
              <w:rPr>
                <w:rFonts w:hint="eastAsia" w:ascii="仿宋_GB2312" w:eastAsia="仿宋_GB2312"/>
                <w:sz w:val="24"/>
                <w:szCs w:val="30"/>
              </w:rPr>
              <w:t>政策性金融债</w:t>
            </w:r>
          </w:p>
        </w:tc>
        <w:tc>
          <w:tcPr>
            <w:tcW w:w="774" w:type="pct"/>
            <w:vAlign w:val="center"/>
          </w:tcPr>
          <w:p w14:paraId="12F9A971">
            <w:pPr>
              <w:ind w:firstLine="480"/>
              <w:rPr>
                <w:rFonts w:ascii="仿宋_GB2312" w:eastAsia="仿宋_GB2312"/>
                <w:sz w:val="24"/>
                <w:szCs w:val="30"/>
              </w:rPr>
            </w:pPr>
            <w:r>
              <w:rPr>
                <w:rFonts w:hint="eastAsia" w:ascii="仿宋_GB2312" w:eastAsia="仿宋_GB2312"/>
                <w:sz w:val="24"/>
                <w:szCs w:val="30"/>
              </w:rPr>
              <w:t>√</w:t>
            </w:r>
          </w:p>
        </w:tc>
        <w:tc>
          <w:tcPr>
            <w:tcW w:w="1003" w:type="pct"/>
            <w:vAlign w:val="center"/>
          </w:tcPr>
          <w:p w14:paraId="51A24BD2">
            <w:pPr>
              <w:ind w:firstLine="480"/>
              <w:rPr>
                <w:rFonts w:ascii="仿宋_GB2312" w:eastAsia="仿宋_GB2312"/>
                <w:sz w:val="24"/>
                <w:szCs w:val="30"/>
              </w:rPr>
            </w:pPr>
            <w:r>
              <w:rPr>
                <w:rFonts w:hint="eastAsia" w:ascii="仿宋_GB2312" w:eastAsia="仿宋_GB2312"/>
                <w:sz w:val="24"/>
                <w:szCs w:val="30"/>
              </w:rPr>
              <w:t>√</w:t>
            </w:r>
          </w:p>
        </w:tc>
        <w:tc>
          <w:tcPr>
            <w:tcW w:w="972" w:type="pct"/>
            <w:vAlign w:val="center"/>
          </w:tcPr>
          <w:p w14:paraId="5D287435">
            <w:pPr>
              <w:ind w:firstLine="480"/>
              <w:rPr>
                <w:rFonts w:ascii="仿宋_GB2312" w:eastAsia="仿宋_GB2312"/>
                <w:sz w:val="24"/>
                <w:szCs w:val="30"/>
              </w:rPr>
            </w:pPr>
            <w:r>
              <w:rPr>
                <w:rFonts w:hint="eastAsia" w:ascii="仿宋_GB2312" w:eastAsia="仿宋_GB2312"/>
                <w:sz w:val="24"/>
                <w:szCs w:val="30"/>
              </w:rPr>
              <w:t>√</w:t>
            </w:r>
          </w:p>
        </w:tc>
      </w:tr>
      <w:tr w14:paraId="03FBE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pct"/>
            <w:gridSpan w:val="2"/>
            <w:vAlign w:val="center"/>
          </w:tcPr>
          <w:p w14:paraId="4FD864C2">
            <w:pPr>
              <w:rPr>
                <w:rFonts w:ascii="仿宋_GB2312" w:eastAsia="仿宋_GB2312"/>
                <w:sz w:val="24"/>
                <w:szCs w:val="30"/>
              </w:rPr>
            </w:pPr>
            <w:r>
              <w:rPr>
                <w:rFonts w:hint="eastAsia" w:ascii="仿宋_GB2312" w:eastAsia="仿宋_GB2312"/>
                <w:sz w:val="24"/>
                <w:szCs w:val="30"/>
              </w:rPr>
              <w:t>中国铁路建设债券等政府支持债券</w:t>
            </w:r>
          </w:p>
        </w:tc>
        <w:tc>
          <w:tcPr>
            <w:tcW w:w="774" w:type="pct"/>
            <w:vAlign w:val="center"/>
          </w:tcPr>
          <w:p w14:paraId="6029C735">
            <w:pPr>
              <w:ind w:firstLine="480"/>
              <w:rPr>
                <w:rFonts w:ascii="仿宋_GB2312" w:eastAsia="仿宋_GB2312"/>
                <w:sz w:val="24"/>
                <w:szCs w:val="30"/>
              </w:rPr>
            </w:pPr>
            <w:r>
              <w:rPr>
                <w:rFonts w:hint="eastAsia" w:ascii="仿宋_GB2312" w:eastAsia="仿宋_GB2312"/>
                <w:sz w:val="24"/>
                <w:szCs w:val="30"/>
              </w:rPr>
              <w:t>√</w:t>
            </w:r>
          </w:p>
        </w:tc>
        <w:tc>
          <w:tcPr>
            <w:tcW w:w="1003" w:type="pct"/>
            <w:vAlign w:val="center"/>
          </w:tcPr>
          <w:p w14:paraId="48DACF9F">
            <w:pPr>
              <w:ind w:firstLine="480"/>
              <w:rPr>
                <w:rFonts w:ascii="仿宋_GB2312" w:eastAsia="仿宋_GB2312"/>
                <w:sz w:val="24"/>
                <w:szCs w:val="30"/>
              </w:rPr>
            </w:pPr>
            <w:r>
              <w:rPr>
                <w:rFonts w:hint="eastAsia" w:ascii="仿宋_GB2312" w:eastAsia="仿宋_GB2312"/>
                <w:sz w:val="24"/>
                <w:szCs w:val="30"/>
              </w:rPr>
              <w:t>√</w:t>
            </w:r>
          </w:p>
        </w:tc>
        <w:tc>
          <w:tcPr>
            <w:tcW w:w="972" w:type="pct"/>
            <w:vAlign w:val="center"/>
          </w:tcPr>
          <w:p w14:paraId="310FD754">
            <w:pPr>
              <w:ind w:firstLine="480"/>
              <w:rPr>
                <w:rFonts w:ascii="仿宋_GB2312" w:eastAsia="仿宋_GB2312"/>
                <w:sz w:val="24"/>
                <w:szCs w:val="30"/>
              </w:rPr>
            </w:pPr>
            <w:r>
              <w:rPr>
                <w:rFonts w:hint="eastAsia" w:ascii="仿宋_GB2312" w:eastAsia="仿宋_GB2312"/>
                <w:sz w:val="24"/>
                <w:szCs w:val="30"/>
              </w:rPr>
              <w:t>√</w:t>
            </w:r>
          </w:p>
        </w:tc>
      </w:tr>
      <w:tr w14:paraId="5E26C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0" w:type="pct"/>
            <w:gridSpan w:val="2"/>
            <w:vAlign w:val="center"/>
          </w:tcPr>
          <w:p w14:paraId="19EC4B80">
            <w:pPr>
              <w:rPr>
                <w:rFonts w:ascii="仿宋_GB2312" w:eastAsia="仿宋_GB2312"/>
                <w:sz w:val="24"/>
                <w:szCs w:val="30"/>
              </w:rPr>
            </w:pPr>
            <w:r>
              <w:rPr>
                <w:rFonts w:hint="eastAsia" w:ascii="仿宋_GB2312" w:eastAsia="仿宋_GB2312"/>
                <w:sz w:val="24"/>
                <w:szCs w:val="30"/>
              </w:rPr>
              <w:t>政府支持机构债券</w:t>
            </w:r>
          </w:p>
        </w:tc>
        <w:tc>
          <w:tcPr>
            <w:tcW w:w="774" w:type="pct"/>
            <w:vAlign w:val="center"/>
          </w:tcPr>
          <w:p w14:paraId="710DB13C">
            <w:pPr>
              <w:ind w:firstLine="480"/>
              <w:rPr>
                <w:rFonts w:ascii="仿宋_GB2312" w:eastAsia="仿宋_GB2312"/>
                <w:sz w:val="24"/>
                <w:szCs w:val="30"/>
              </w:rPr>
            </w:pPr>
            <w:r>
              <w:rPr>
                <w:rFonts w:hint="eastAsia" w:ascii="仿宋_GB2312" w:eastAsia="仿宋_GB2312"/>
                <w:sz w:val="24"/>
                <w:szCs w:val="30"/>
              </w:rPr>
              <w:t>√</w:t>
            </w:r>
          </w:p>
        </w:tc>
        <w:tc>
          <w:tcPr>
            <w:tcW w:w="1003" w:type="pct"/>
            <w:vAlign w:val="center"/>
          </w:tcPr>
          <w:p w14:paraId="4C4ADA1B">
            <w:pPr>
              <w:ind w:firstLine="480"/>
              <w:rPr>
                <w:rFonts w:ascii="仿宋_GB2312" w:eastAsia="仿宋_GB2312"/>
                <w:sz w:val="24"/>
                <w:szCs w:val="30"/>
              </w:rPr>
            </w:pPr>
            <w:r>
              <w:rPr>
                <w:rFonts w:hint="eastAsia" w:ascii="仿宋_GB2312" w:eastAsia="仿宋_GB2312"/>
                <w:sz w:val="24"/>
                <w:szCs w:val="30"/>
              </w:rPr>
              <w:t>√</w:t>
            </w:r>
          </w:p>
        </w:tc>
        <w:tc>
          <w:tcPr>
            <w:tcW w:w="972" w:type="pct"/>
            <w:vAlign w:val="center"/>
          </w:tcPr>
          <w:p w14:paraId="50D04619">
            <w:pPr>
              <w:ind w:firstLine="480"/>
              <w:rPr>
                <w:rFonts w:ascii="仿宋_GB2312" w:eastAsia="仿宋_GB2312"/>
                <w:sz w:val="24"/>
                <w:szCs w:val="30"/>
              </w:rPr>
            </w:pPr>
            <w:r>
              <w:rPr>
                <w:rFonts w:hint="eastAsia" w:ascii="仿宋_GB2312" w:eastAsia="仿宋_GB2312"/>
                <w:sz w:val="24"/>
                <w:szCs w:val="30"/>
              </w:rPr>
              <w:t>√</w:t>
            </w:r>
          </w:p>
        </w:tc>
      </w:tr>
      <w:tr w14:paraId="2A4C4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618" w:type="pct"/>
            <w:vMerge w:val="restart"/>
            <w:vAlign w:val="center"/>
          </w:tcPr>
          <w:p w14:paraId="50CE7F53">
            <w:pPr>
              <w:rPr>
                <w:rFonts w:ascii="仿宋_GB2312" w:eastAsia="仿宋_GB2312"/>
                <w:sz w:val="24"/>
                <w:szCs w:val="30"/>
              </w:rPr>
            </w:pPr>
            <w:r>
              <w:rPr>
                <w:rFonts w:hint="eastAsia" w:ascii="仿宋_GB2312" w:eastAsia="仿宋_GB2312"/>
                <w:sz w:val="24"/>
                <w:szCs w:val="30"/>
              </w:rPr>
              <w:t>公开发行公司债</w:t>
            </w:r>
          </w:p>
        </w:tc>
        <w:tc>
          <w:tcPr>
            <w:tcW w:w="1632" w:type="pct"/>
            <w:vAlign w:val="center"/>
          </w:tcPr>
          <w:p w14:paraId="785BECAA">
            <w:pPr>
              <w:rPr>
                <w:rFonts w:ascii="仿宋_GB2312" w:eastAsia="仿宋_GB2312"/>
                <w:sz w:val="24"/>
                <w:szCs w:val="30"/>
              </w:rPr>
            </w:pPr>
            <w:r>
              <w:rPr>
                <w:rFonts w:hint="eastAsia" w:ascii="仿宋_GB2312" w:eastAsia="仿宋_GB2312"/>
                <w:sz w:val="24"/>
                <w:szCs w:val="30"/>
              </w:rPr>
              <w:t>资信状况符合《公司债券管理办法》第十六条规定标准的面向普通投资者公开发行的公司债券</w:t>
            </w:r>
          </w:p>
        </w:tc>
        <w:tc>
          <w:tcPr>
            <w:tcW w:w="774" w:type="pct"/>
            <w:vAlign w:val="center"/>
          </w:tcPr>
          <w:p w14:paraId="1FD459A6">
            <w:pPr>
              <w:ind w:firstLine="480"/>
              <w:rPr>
                <w:rFonts w:ascii="仿宋_GB2312" w:eastAsia="仿宋_GB2312"/>
                <w:sz w:val="24"/>
                <w:szCs w:val="30"/>
              </w:rPr>
            </w:pPr>
            <w:r>
              <w:rPr>
                <w:rFonts w:hint="eastAsia" w:ascii="仿宋_GB2312" w:eastAsia="仿宋_GB2312"/>
                <w:sz w:val="24"/>
                <w:szCs w:val="30"/>
              </w:rPr>
              <w:t>√</w:t>
            </w:r>
          </w:p>
        </w:tc>
        <w:tc>
          <w:tcPr>
            <w:tcW w:w="1003" w:type="pct"/>
            <w:vAlign w:val="center"/>
          </w:tcPr>
          <w:p w14:paraId="5E5A1111">
            <w:pPr>
              <w:ind w:firstLine="480"/>
              <w:rPr>
                <w:rFonts w:ascii="仿宋_GB2312" w:eastAsia="仿宋_GB2312"/>
                <w:sz w:val="24"/>
                <w:szCs w:val="30"/>
              </w:rPr>
            </w:pPr>
            <w:r>
              <w:rPr>
                <w:rFonts w:hint="eastAsia" w:ascii="仿宋_GB2312" w:eastAsia="仿宋_GB2312"/>
                <w:sz w:val="24"/>
                <w:szCs w:val="30"/>
              </w:rPr>
              <w:t>√</w:t>
            </w:r>
          </w:p>
        </w:tc>
        <w:tc>
          <w:tcPr>
            <w:tcW w:w="972" w:type="pct"/>
            <w:vAlign w:val="center"/>
          </w:tcPr>
          <w:p w14:paraId="051125E2">
            <w:pPr>
              <w:ind w:firstLine="480"/>
              <w:rPr>
                <w:rFonts w:ascii="仿宋_GB2312" w:eastAsia="仿宋_GB2312"/>
                <w:sz w:val="24"/>
                <w:szCs w:val="30"/>
              </w:rPr>
            </w:pPr>
            <w:r>
              <w:rPr>
                <w:rFonts w:hint="eastAsia" w:ascii="仿宋_GB2312" w:eastAsia="仿宋_GB2312"/>
                <w:sz w:val="24"/>
                <w:szCs w:val="30"/>
              </w:rPr>
              <w:t>√</w:t>
            </w:r>
          </w:p>
        </w:tc>
      </w:tr>
      <w:tr w14:paraId="70C81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618" w:type="pct"/>
            <w:vMerge w:val="continue"/>
            <w:vAlign w:val="center"/>
          </w:tcPr>
          <w:p w14:paraId="228D9EAD">
            <w:pPr>
              <w:ind w:firstLine="480"/>
              <w:rPr>
                <w:rFonts w:ascii="仿宋_GB2312" w:eastAsia="仿宋_GB2312"/>
                <w:sz w:val="24"/>
                <w:szCs w:val="30"/>
              </w:rPr>
            </w:pPr>
          </w:p>
        </w:tc>
        <w:tc>
          <w:tcPr>
            <w:tcW w:w="1632" w:type="pct"/>
            <w:vAlign w:val="center"/>
          </w:tcPr>
          <w:p w14:paraId="1B1B7431">
            <w:pPr>
              <w:rPr>
                <w:rFonts w:ascii="仿宋_GB2312" w:eastAsia="仿宋_GB2312"/>
                <w:sz w:val="24"/>
                <w:szCs w:val="30"/>
              </w:rPr>
            </w:pPr>
            <w:r>
              <w:rPr>
                <w:rFonts w:hint="eastAsia" w:ascii="仿宋_GB2312" w:eastAsia="仿宋_GB2312"/>
                <w:sz w:val="24"/>
                <w:szCs w:val="30"/>
              </w:rPr>
              <w:t>依据《公司债券管理办法》第十六条面向普通投资者公开发行的公司债券以外的其他公司债券</w:t>
            </w:r>
          </w:p>
        </w:tc>
        <w:tc>
          <w:tcPr>
            <w:tcW w:w="774" w:type="pct"/>
            <w:vAlign w:val="center"/>
          </w:tcPr>
          <w:p w14:paraId="28644B04">
            <w:pPr>
              <w:ind w:firstLine="480"/>
              <w:rPr>
                <w:rFonts w:ascii="仿宋_GB2312" w:eastAsia="仿宋_GB2312"/>
                <w:sz w:val="24"/>
                <w:szCs w:val="30"/>
              </w:rPr>
            </w:pPr>
          </w:p>
        </w:tc>
        <w:tc>
          <w:tcPr>
            <w:tcW w:w="1003" w:type="pct"/>
            <w:vAlign w:val="center"/>
          </w:tcPr>
          <w:p w14:paraId="7FC1F70E">
            <w:pPr>
              <w:ind w:firstLine="480"/>
              <w:rPr>
                <w:rFonts w:ascii="仿宋_GB2312" w:eastAsia="仿宋_GB2312"/>
                <w:sz w:val="24"/>
                <w:szCs w:val="30"/>
              </w:rPr>
            </w:pPr>
          </w:p>
        </w:tc>
        <w:tc>
          <w:tcPr>
            <w:tcW w:w="972" w:type="pct"/>
            <w:vAlign w:val="center"/>
          </w:tcPr>
          <w:p w14:paraId="78A85AF2">
            <w:pPr>
              <w:ind w:firstLine="480"/>
              <w:rPr>
                <w:rFonts w:ascii="仿宋_GB2312" w:eastAsia="仿宋_GB2312"/>
                <w:sz w:val="24"/>
                <w:szCs w:val="30"/>
              </w:rPr>
            </w:pPr>
            <w:r>
              <w:rPr>
                <w:rFonts w:hint="eastAsia" w:ascii="仿宋_GB2312" w:eastAsia="仿宋_GB2312"/>
                <w:sz w:val="24"/>
                <w:szCs w:val="30"/>
              </w:rPr>
              <w:t>√</w:t>
            </w:r>
          </w:p>
        </w:tc>
      </w:tr>
      <w:tr w14:paraId="0F15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250" w:type="pct"/>
            <w:gridSpan w:val="2"/>
            <w:vAlign w:val="center"/>
          </w:tcPr>
          <w:p w14:paraId="7DFE2C59">
            <w:pPr>
              <w:rPr>
                <w:rFonts w:ascii="仿宋_GB2312" w:eastAsia="仿宋_GB2312"/>
                <w:sz w:val="24"/>
                <w:szCs w:val="30"/>
              </w:rPr>
            </w:pPr>
            <w:r>
              <w:rPr>
                <w:rFonts w:hint="eastAsia" w:ascii="仿宋_GB2312" w:eastAsia="仿宋_GB2312"/>
                <w:sz w:val="24"/>
                <w:szCs w:val="30"/>
              </w:rPr>
              <w:t>非公开发行公司债（含私募可转换</w:t>
            </w:r>
            <w:r>
              <w:rPr>
                <w:rFonts w:ascii="仿宋_GB2312" w:eastAsia="仿宋_GB2312"/>
                <w:sz w:val="24"/>
                <w:szCs w:val="30"/>
              </w:rPr>
              <w:t>公司</w:t>
            </w:r>
            <w:r>
              <w:rPr>
                <w:rFonts w:hint="eastAsia" w:ascii="仿宋_GB2312" w:eastAsia="仿宋_GB2312"/>
                <w:sz w:val="24"/>
                <w:szCs w:val="30"/>
              </w:rPr>
              <w:t>债券、私募可交换公司债券）</w:t>
            </w:r>
          </w:p>
        </w:tc>
        <w:tc>
          <w:tcPr>
            <w:tcW w:w="774" w:type="pct"/>
            <w:vAlign w:val="center"/>
          </w:tcPr>
          <w:p w14:paraId="277F8609">
            <w:pPr>
              <w:ind w:firstLine="480"/>
              <w:rPr>
                <w:rFonts w:ascii="仿宋_GB2312" w:eastAsia="仿宋_GB2312"/>
                <w:sz w:val="24"/>
                <w:szCs w:val="30"/>
              </w:rPr>
            </w:pPr>
          </w:p>
        </w:tc>
        <w:tc>
          <w:tcPr>
            <w:tcW w:w="1003" w:type="pct"/>
            <w:vAlign w:val="center"/>
          </w:tcPr>
          <w:p w14:paraId="5C486F4B">
            <w:pPr>
              <w:ind w:firstLine="480"/>
              <w:rPr>
                <w:rFonts w:ascii="仿宋_GB2312" w:eastAsia="仿宋_GB2312"/>
                <w:sz w:val="24"/>
                <w:szCs w:val="30"/>
              </w:rPr>
            </w:pPr>
          </w:p>
        </w:tc>
        <w:tc>
          <w:tcPr>
            <w:tcW w:w="972" w:type="pct"/>
            <w:vAlign w:val="center"/>
          </w:tcPr>
          <w:p w14:paraId="0D1A4C31">
            <w:pPr>
              <w:ind w:firstLine="480"/>
              <w:rPr>
                <w:rFonts w:ascii="仿宋_GB2312" w:eastAsia="仿宋_GB2312"/>
                <w:sz w:val="24"/>
                <w:szCs w:val="30"/>
              </w:rPr>
            </w:pPr>
            <w:r>
              <w:rPr>
                <w:rFonts w:hint="eastAsia" w:ascii="仿宋_GB2312" w:eastAsia="仿宋_GB2312"/>
                <w:sz w:val="24"/>
                <w:szCs w:val="30"/>
              </w:rPr>
              <w:t>√</w:t>
            </w:r>
          </w:p>
        </w:tc>
      </w:tr>
      <w:tr w14:paraId="093B7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2250" w:type="pct"/>
            <w:gridSpan w:val="2"/>
            <w:vAlign w:val="center"/>
          </w:tcPr>
          <w:p w14:paraId="21EA82C8">
            <w:pPr>
              <w:rPr>
                <w:rFonts w:ascii="仿宋_GB2312" w:eastAsia="仿宋_GB2312"/>
                <w:sz w:val="24"/>
                <w:szCs w:val="30"/>
              </w:rPr>
            </w:pPr>
            <w:r>
              <w:rPr>
                <w:rFonts w:hint="eastAsia" w:ascii="仿宋_GB2312" w:eastAsia="仿宋_GB2312"/>
                <w:sz w:val="24"/>
                <w:szCs w:val="30"/>
              </w:rPr>
              <w:t>资产支持证券</w:t>
            </w:r>
          </w:p>
        </w:tc>
        <w:tc>
          <w:tcPr>
            <w:tcW w:w="774" w:type="pct"/>
            <w:vAlign w:val="center"/>
          </w:tcPr>
          <w:p w14:paraId="44293C13">
            <w:pPr>
              <w:ind w:firstLine="480"/>
              <w:rPr>
                <w:rFonts w:ascii="仿宋_GB2312" w:eastAsia="仿宋_GB2312"/>
                <w:sz w:val="24"/>
                <w:szCs w:val="30"/>
              </w:rPr>
            </w:pPr>
          </w:p>
        </w:tc>
        <w:tc>
          <w:tcPr>
            <w:tcW w:w="1003" w:type="pct"/>
            <w:vAlign w:val="center"/>
          </w:tcPr>
          <w:p w14:paraId="3F0A0F7A">
            <w:pPr>
              <w:ind w:firstLine="480"/>
              <w:jc w:val="center"/>
              <w:rPr>
                <w:rFonts w:ascii="仿宋_GB2312" w:eastAsia="仿宋_GB2312"/>
                <w:sz w:val="24"/>
                <w:szCs w:val="30"/>
              </w:rPr>
            </w:pPr>
          </w:p>
        </w:tc>
        <w:tc>
          <w:tcPr>
            <w:tcW w:w="972" w:type="pct"/>
            <w:vAlign w:val="center"/>
          </w:tcPr>
          <w:p w14:paraId="0AE8F046">
            <w:pPr>
              <w:ind w:firstLine="480"/>
              <w:rPr>
                <w:rFonts w:ascii="仿宋_GB2312" w:eastAsia="仿宋_GB2312"/>
                <w:sz w:val="24"/>
                <w:szCs w:val="30"/>
              </w:rPr>
            </w:pPr>
            <w:r>
              <w:rPr>
                <w:rFonts w:hint="eastAsia" w:ascii="仿宋_GB2312" w:eastAsia="仿宋_GB2312"/>
                <w:sz w:val="24"/>
                <w:szCs w:val="30"/>
              </w:rPr>
              <w:t>√</w:t>
            </w:r>
          </w:p>
        </w:tc>
      </w:tr>
      <w:tr w14:paraId="49616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2250" w:type="pct"/>
            <w:gridSpan w:val="2"/>
            <w:vAlign w:val="center"/>
          </w:tcPr>
          <w:p w14:paraId="7AEAC462">
            <w:pPr>
              <w:rPr>
                <w:rFonts w:ascii="仿宋_GB2312" w:eastAsia="仿宋_GB2312"/>
                <w:sz w:val="24"/>
                <w:szCs w:val="30"/>
              </w:rPr>
            </w:pPr>
            <w:r>
              <w:rPr>
                <w:rFonts w:hint="eastAsia" w:ascii="仿宋_GB2312" w:eastAsia="仿宋_GB2312"/>
                <w:sz w:val="24"/>
                <w:szCs w:val="30"/>
              </w:rPr>
              <w:t>特定债券</w:t>
            </w:r>
          </w:p>
        </w:tc>
        <w:tc>
          <w:tcPr>
            <w:tcW w:w="774" w:type="pct"/>
            <w:vAlign w:val="center"/>
          </w:tcPr>
          <w:p w14:paraId="2F6F376F">
            <w:pPr>
              <w:ind w:firstLine="480"/>
              <w:rPr>
                <w:rFonts w:ascii="仿宋_GB2312" w:eastAsia="仿宋_GB2312"/>
                <w:sz w:val="24"/>
                <w:szCs w:val="30"/>
              </w:rPr>
            </w:pPr>
          </w:p>
        </w:tc>
        <w:tc>
          <w:tcPr>
            <w:tcW w:w="1003" w:type="pct"/>
            <w:vAlign w:val="center"/>
          </w:tcPr>
          <w:p w14:paraId="79665855">
            <w:pPr>
              <w:ind w:firstLine="480"/>
              <w:jc w:val="center"/>
              <w:rPr>
                <w:rFonts w:ascii="仿宋_GB2312" w:eastAsia="仿宋_GB2312"/>
                <w:sz w:val="24"/>
                <w:szCs w:val="30"/>
              </w:rPr>
            </w:pPr>
          </w:p>
        </w:tc>
        <w:tc>
          <w:tcPr>
            <w:tcW w:w="972" w:type="pct"/>
            <w:vAlign w:val="center"/>
          </w:tcPr>
          <w:p w14:paraId="44E17D28">
            <w:pPr>
              <w:ind w:firstLine="480"/>
              <w:rPr>
                <w:rFonts w:ascii="仿宋_GB2312" w:eastAsia="仿宋_GB2312"/>
                <w:sz w:val="24"/>
                <w:szCs w:val="30"/>
              </w:rPr>
            </w:pPr>
            <w:r>
              <w:rPr>
                <w:rFonts w:hint="eastAsia" w:ascii="仿宋_GB2312" w:eastAsia="仿宋_GB2312"/>
                <w:sz w:val="24"/>
                <w:szCs w:val="30"/>
              </w:rPr>
              <w:t>√</w:t>
            </w:r>
          </w:p>
        </w:tc>
      </w:tr>
    </w:tbl>
    <w:p w14:paraId="6ABCF485">
      <w:pPr>
        <w:numPr>
          <w:ilvl w:val="2"/>
          <w:numId w:val="4"/>
        </w:numPr>
        <w:spacing w:line="600" w:lineRule="exact"/>
        <w:ind w:left="0" w:firstLine="0"/>
        <w:outlineLvl w:val="2"/>
        <w:rPr>
          <w:rFonts w:ascii="仿宋_GB2312" w:eastAsia="仿宋_GB2312"/>
          <w:b/>
          <w:sz w:val="30"/>
          <w:szCs w:val="30"/>
        </w:rPr>
      </w:pPr>
      <w:r>
        <w:rPr>
          <w:rFonts w:ascii="仿宋_GB2312" w:eastAsia="仿宋_GB2312"/>
          <w:b/>
          <w:sz w:val="30"/>
          <w:szCs w:val="30"/>
        </w:rPr>
        <w:t>投资者适当性备案</w:t>
      </w:r>
    </w:p>
    <w:p w14:paraId="58346C68">
      <w:pPr>
        <w:spacing w:line="600" w:lineRule="exact"/>
        <w:ind w:firstLine="600" w:firstLineChars="200"/>
        <w:rPr>
          <w:rFonts w:ascii="仿宋_GB2312" w:eastAsia="仿宋_GB2312"/>
          <w:sz w:val="30"/>
          <w:szCs w:val="30"/>
        </w:rPr>
      </w:pPr>
      <w:r>
        <w:rPr>
          <w:rFonts w:hint="eastAsia" w:ascii="仿宋_GB2312" w:eastAsia="仿宋_GB2312"/>
          <w:sz w:val="30"/>
          <w:szCs w:val="30"/>
        </w:rPr>
        <w:t>债券交易参与人参与本所债券现券交易，无需进行备案，但本所另有规定的情形除外。</w:t>
      </w:r>
    </w:p>
    <w:p w14:paraId="120CDF03">
      <w:pPr>
        <w:spacing w:line="600" w:lineRule="exact"/>
        <w:ind w:firstLine="600" w:firstLineChars="200"/>
        <w:rPr>
          <w:rFonts w:ascii="仿宋_GB2312" w:hAnsi="黑体" w:eastAsia="仿宋_GB2312"/>
          <w:sz w:val="30"/>
          <w:szCs w:val="30"/>
        </w:rPr>
      </w:pPr>
      <w:r>
        <w:rPr>
          <w:rFonts w:hint="eastAsia" w:ascii="仿宋_GB2312" w:eastAsia="仿宋_GB2312"/>
          <w:sz w:val="30"/>
          <w:szCs w:val="30"/>
        </w:rPr>
        <w:t>协议回购、三方回购及债券借贷等业务的投资者适当性备案要求，详见本指南第7章和第8章。</w:t>
      </w:r>
      <w:r>
        <w:rPr>
          <w:rFonts w:hint="eastAsia" w:ascii="仿宋_GB2312" w:hAnsi="黑体" w:eastAsia="仿宋_GB2312"/>
          <w:sz w:val="30"/>
          <w:szCs w:val="30"/>
        </w:rPr>
        <w:t>本所对其他交易类型的投资者适当性另有规定的，从其规定。</w:t>
      </w:r>
    </w:p>
    <w:p w14:paraId="38DD8776">
      <w:pPr>
        <w:numPr>
          <w:ilvl w:val="2"/>
          <w:numId w:val="4"/>
        </w:numPr>
        <w:spacing w:line="600" w:lineRule="exact"/>
        <w:ind w:left="0" w:firstLine="0"/>
        <w:outlineLvl w:val="2"/>
        <w:rPr>
          <w:rFonts w:ascii="仿宋_GB2312" w:eastAsia="仿宋_GB2312"/>
          <w:sz w:val="30"/>
          <w:szCs w:val="30"/>
        </w:rPr>
      </w:pPr>
      <w:r>
        <w:rPr>
          <w:rFonts w:ascii="仿宋_GB2312" w:hAnsi="黑体" w:eastAsia="仿宋_GB2312"/>
          <w:b/>
          <w:sz w:val="30"/>
          <w:szCs w:val="30"/>
        </w:rPr>
        <w:t>投资者适当性</w:t>
      </w:r>
      <w:r>
        <w:rPr>
          <w:rFonts w:hint="eastAsia" w:ascii="仿宋_GB2312" w:hAnsi="黑体" w:eastAsia="仿宋_GB2312"/>
          <w:b/>
          <w:sz w:val="30"/>
          <w:szCs w:val="30"/>
        </w:rPr>
        <w:t>管理</w:t>
      </w:r>
    </w:p>
    <w:p w14:paraId="5CBABCD0">
      <w:pPr>
        <w:spacing w:line="600" w:lineRule="exact"/>
        <w:ind w:firstLine="600" w:firstLineChars="200"/>
        <w:rPr>
          <w:rFonts w:ascii="仿宋_GB2312" w:eastAsia="仿宋_GB2312"/>
          <w:sz w:val="30"/>
          <w:szCs w:val="30"/>
        </w:rPr>
      </w:pPr>
      <w:r>
        <w:rPr>
          <w:rFonts w:hint="eastAsia" w:ascii="仿宋_GB2312" w:eastAsia="仿宋_GB2312"/>
          <w:sz w:val="30"/>
          <w:szCs w:val="30"/>
        </w:rPr>
        <w:t>证券公司应当建立完善的投资者适当性管理制度。经纪客户需由证券公司根据债券市场投资者适当性管理制度，明确债券投资者是否满足专业投资者条件，为专业投资者开通相关的认购和交易权限，并于当日通过本所业务管理系统平台提交更新的专业投资者账户名单。</w:t>
      </w:r>
    </w:p>
    <w:p w14:paraId="393060E4">
      <w:pPr>
        <w:spacing w:line="600" w:lineRule="exact"/>
        <w:ind w:firstLine="600" w:firstLineChars="200"/>
        <w:rPr>
          <w:rFonts w:ascii="仿宋_GB2312" w:eastAsia="仿宋_GB2312"/>
          <w:sz w:val="30"/>
          <w:szCs w:val="30"/>
        </w:rPr>
      </w:pPr>
      <w:r>
        <w:rPr>
          <w:rFonts w:hint="eastAsia" w:ascii="仿宋_GB2312" w:eastAsia="仿宋_GB2312"/>
          <w:sz w:val="30"/>
          <w:szCs w:val="30"/>
        </w:rPr>
        <w:t>证券公司接受经纪客户委托前，应当按照规定充分了解经纪客户的基本情况、财产状况、金融资产状况、投资知识和经验、专业能力等相关信息，向经纪客户如实说明相关债券交易品种性质、特征等，充分揭示投资风险，确保经纪客户符合相关的投资者适当性管理规定。</w:t>
      </w:r>
    </w:p>
    <w:p w14:paraId="54BE4477">
      <w:pPr>
        <w:spacing w:line="600" w:lineRule="exact"/>
        <w:ind w:firstLine="600" w:firstLineChars="200"/>
        <w:rPr>
          <w:rFonts w:ascii="仿宋_GB2312" w:eastAsia="仿宋_GB2312"/>
          <w:sz w:val="30"/>
          <w:szCs w:val="30"/>
        </w:rPr>
      </w:pPr>
      <w:r>
        <w:rPr>
          <w:rFonts w:hint="eastAsia" w:ascii="仿宋_GB2312" w:eastAsia="仿宋_GB2312"/>
          <w:sz w:val="30"/>
          <w:szCs w:val="30"/>
        </w:rPr>
        <w:t>经纪客户应当按照证券公司明示的要求提供前款所列真实信息。拒绝提供或者未按照要求提供信息的，证券公司应当告知其后果，并按照规定拒绝接受委托。</w:t>
      </w:r>
    </w:p>
    <w:p w14:paraId="7E50AD0E">
      <w:pPr>
        <w:spacing w:line="600" w:lineRule="exact"/>
        <w:ind w:firstLine="600"/>
        <w:rPr>
          <w:rFonts w:ascii="仿宋_GB2312" w:eastAsia="仿宋_GB2312"/>
          <w:sz w:val="30"/>
          <w:szCs w:val="30"/>
        </w:rPr>
      </w:pPr>
      <w:r>
        <w:rPr>
          <w:rFonts w:hint="eastAsia" w:ascii="仿宋_GB2312" w:eastAsia="仿宋_GB2312"/>
          <w:sz w:val="30"/>
          <w:szCs w:val="30"/>
        </w:rPr>
        <w:t>通过经纪业务模式接入本所债券交易的，证券公司应当动态跟踪和持续了解专业投资者条件，至少每两年对债券投资者进行一次后续资格评估，根据评估情况更新专业投资者名单，并于当日通过本所业务管理系统平台提交更新的专业投资者账户名单。</w:t>
      </w:r>
    </w:p>
    <w:p w14:paraId="32334623">
      <w:pPr>
        <w:numPr>
          <w:ilvl w:val="1"/>
          <w:numId w:val="4"/>
        </w:numPr>
        <w:spacing w:line="600" w:lineRule="exact"/>
        <w:ind w:left="0" w:firstLine="0"/>
        <w:outlineLvl w:val="1"/>
        <w:rPr>
          <w:rFonts w:ascii="仿宋_GB2312" w:eastAsia="仿宋_GB2312"/>
          <w:b/>
          <w:sz w:val="30"/>
          <w:szCs w:val="30"/>
        </w:rPr>
      </w:pPr>
      <w:bookmarkStart w:id="278" w:name="_Toc28197138"/>
      <w:bookmarkStart w:id="279" w:name="_Toc1460016547"/>
      <w:bookmarkStart w:id="280" w:name="_Toc56166258"/>
      <w:bookmarkStart w:id="281" w:name="_Toc465918364"/>
      <w:bookmarkStart w:id="282" w:name="_Toc56166069"/>
      <w:bookmarkStart w:id="283" w:name="_Toc1653436242"/>
      <w:bookmarkStart w:id="284" w:name="_Toc130135576"/>
      <w:bookmarkStart w:id="285" w:name="_Toc151136888"/>
      <w:bookmarkStart w:id="286" w:name="_Toc1714686592"/>
      <w:r>
        <w:rPr>
          <w:rFonts w:hint="eastAsia" w:ascii="仿宋_GB2312" w:eastAsia="仿宋_GB2312"/>
          <w:b/>
          <w:sz w:val="30"/>
          <w:szCs w:val="30"/>
        </w:rPr>
        <w:t>委托交易</w:t>
      </w:r>
      <w:bookmarkEnd w:id="278"/>
      <w:bookmarkEnd w:id="279"/>
      <w:bookmarkEnd w:id="280"/>
      <w:bookmarkEnd w:id="281"/>
      <w:bookmarkEnd w:id="282"/>
      <w:bookmarkEnd w:id="283"/>
      <w:bookmarkEnd w:id="284"/>
      <w:bookmarkEnd w:id="285"/>
      <w:bookmarkEnd w:id="286"/>
    </w:p>
    <w:p w14:paraId="2D1D65B6">
      <w:pPr>
        <w:numPr>
          <w:ilvl w:val="2"/>
          <w:numId w:val="4"/>
        </w:numPr>
        <w:spacing w:line="600" w:lineRule="exact"/>
        <w:ind w:left="0" w:firstLine="0"/>
        <w:outlineLvl w:val="2"/>
        <w:rPr>
          <w:rFonts w:ascii="仿宋_GB2312" w:hAnsi="黑体" w:eastAsia="仿宋_GB2312" w:cs="仿宋_GB2312"/>
          <w:b/>
          <w:sz w:val="30"/>
          <w:szCs w:val="30"/>
        </w:rPr>
      </w:pPr>
      <w:r>
        <w:rPr>
          <w:rFonts w:hint="eastAsia" w:ascii="仿宋_GB2312" w:hAnsi="黑体" w:eastAsia="仿宋_GB2312" w:cs="仿宋_GB2312"/>
          <w:b/>
          <w:sz w:val="30"/>
          <w:szCs w:val="30"/>
        </w:rPr>
        <w:t>交易前准备</w:t>
      </w:r>
    </w:p>
    <w:p w14:paraId="22BBEB55">
      <w:pPr>
        <w:spacing w:line="600" w:lineRule="exact"/>
        <w:ind w:firstLine="600" w:firstLineChars="200"/>
        <w:rPr>
          <w:rFonts w:ascii="仿宋_GB2312" w:eastAsia="仿宋_GB2312"/>
          <w:sz w:val="30"/>
          <w:szCs w:val="30"/>
        </w:rPr>
      </w:pPr>
      <w:r>
        <w:rPr>
          <w:rFonts w:hint="eastAsia" w:ascii="仿宋_GB2312" w:eastAsia="仿宋_GB2312"/>
          <w:sz w:val="30"/>
          <w:szCs w:val="30"/>
        </w:rPr>
        <w:t>债券投资者通过债券经纪业务模式参与交易所债券市场投资交易的，应当提前完成以下工作：</w:t>
      </w:r>
    </w:p>
    <w:p w14:paraId="76C531DC">
      <w:pPr>
        <w:spacing w:line="600" w:lineRule="exact"/>
        <w:ind w:firstLine="600" w:firstLineChars="200"/>
        <w:rPr>
          <w:rFonts w:ascii="仿宋_GB2312" w:eastAsia="仿宋_GB2312"/>
          <w:sz w:val="30"/>
          <w:szCs w:val="30"/>
        </w:rPr>
      </w:pPr>
      <w:r>
        <w:rPr>
          <w:rFonts w:hint="eastAsia" w:ascii="仿宋_GB2312" w:eastAsia="仿宋_GB2312"/>
          <w:sz w:val="30"/>
          <w:szCs w:val="30"/>
        </w:rPr>
        <w:t>（1）在登记结算机构开立证券账户；</w:t>
      </w:r>
    </w:p>
    <w:p w14:paraId="744332BD">
      <w:pPr>
        <w:spacing w:line="600" w:lineRule="exact"/>
        <w:ind w:firstLine="600" w:firstLineChars="200"/>
        <w:rPr>
          <w:rFonts w:ascii="仿宋_GB2312" w:eastAsia="仿宋_GB2312"/>
          <w:sz w:val="30"/>
          <w:szCs w:val="30"/>
        </w:rPr>
      </w:pPr>
      <w:r>
        <w:rPr>
          <w:rFonts w:hint="eastAsia" w:ascii="仿宋_GB2312" w:eastAsia="仿宋_GB2312"/>
          <w:sz w:val="30"/>
          <w:szCs w:val="30"/>
        </w:rPr>
        <w:t>（2）与证券公司签署证券交易委托协议；</w:t>
      </w:r>
    </w:p>
    <w:p w14:paraId="05F64D0E">
      <w:pPr>
        <w:spacing w:line="600" w:lineRule="exact"/>
        <w:ind w:firstLine="600" w:firstLineChars="200"/>
        <w:rPr>
          <w:rFonts w:ascii="仿宋_GB2312" w:eastAsia="仿宋_GB2312"/>
          <w:sz w:val="30"/>
          <w:szCs w:val="30"/>
        </w:rPr>
      </w:pPr>
      <w:r>
        <w:rPr>
          <w:rFonts w:hint="eastAsia" w:ascii="仿宋_GB2312" w:eastAsia="仿宋_GB2312"/>
          <w:sz w:val="30"/>
          <w:szCs w:val="30"/>
        </w:rPr>
        <w:t>（3）在证券公司开立资金账户，用于证券资金结算；</w:t>
      </w:r>
      <w:r>
        <w:rPr>
          <w:rFonts w:ascii="仿宋_GB2312" w:eastAsia="仿宋_GB2312"/>
          <w:sz w:val="30"/>
          <w:szCs w:val="30"/>
        </w:rPr>
        <w:t xml:space="preserve"> </w:t>
      </w:r>
    </w:p>
    <w:p w14:paraId="3AB5EBD6">
      <w:pPr>
        <w:spacing w:line="600" w:lineRule="exact"/>
        <w:ind w:firstLine="600" w:firstLineChars="200"/>
        <w:rPr>
          <w:rFonts w:ascii="仿宋_GB2312" w:eastAsia="仿宋_GB2312"/>
          <w:sz w:val="30"/>
          <w:szCs w:val="30"/>
        </w:rPr>
      </w:pPr>
      <w:r>
        <w:rPr>
          <w:rFonts w:hint="eastAsia" w:ascii="仿宋_GB2312" w:eastAsia="仿宋_GB2312"/>
          <w:sz w:val="30"/>
          <w:szCs w:val="30"/>
        </w:rPr>
        <w:t>（4）签署三方存管协议，建立三方存管关系；</w:t>
      </w:r>
    </w:p>
    <w:p w14:paraId="44D66C30">
      <w:pPr>
        <w:spacing w:line="600" w:lineRule="exact"/>
        <w:ind w:firstLine="600" w:firstLineChars="200"/>
        <w:rPr>
          <w:rFonts w:ascii="仿宋_GB2312" w:eastAsia="仿宋_GB2312"/>
          <w:sz w:val="30"/>
          <w:szCs w:val="30"/>
        </w:rPr>
      </w:pPr>
      <w:r>
        <w:rPr>
          <w:rFonts w:hint="eastAsia" w:ascii="仿宋_GB2312" w:eastAsia="仿宋_GB2312"/>
          <w:sz w:val="30"/>
          <w:szCs w:val="30"/>
        </w:rPr>
        <w:t>（5）完成证券账户指定交易；</w:t>
      </w:r>
    </w:p>
    <w:p w14:paraId="6249162C">
      <w:pPr>
        <w:spacing w:line="600" w:lineRule="exact"/>
        <w:ind w:firstLine="600" w:firstLineChars="200"/>
        <w:rPr>
          <w:rFonts w:ascii="仿宋_GB2312" w:eastAsia="仿宋_GB2312"/>
          <w:sz w:val="30"/>
          <w:szCs w:val="30"/>
        </w:rPr>
      </w:pPr>
      <w:r>
        <w:rPr>
          <w:rFonts w:hint="eastAsia" w:ascii="仿宋_GB2312" w:eastAsia="仿宋_GB2312"/>
          <w:sz w:val="30"/>
          <w:szCs w:val="30"/>
        </w:rPr>
        <w:t>（6）开通由证券公司提供的主经纪商系统（以下简称“PB系统”）权限（可选）。</w:t>
      </w:r>
    </w:p>
    <w:p w14:paraId="420E9D98">
      <w:pPr>
        <w:numPr>
          <w:ilvl w:val="2"/>
          <w:numId w:val="4"/>
        </w:numPr>
        <w:spacing w:line="600" w:lineRule="exact"/>
        <w:ind w:left="0" w:firstLine="0"/>
        <w:outlineLvl w:val="2"/>
        <w:rPr>
          <w:rFonts w:ascii="仿宋_GB2312" w:eastAsia="仿宋_GB2312"/>
          <w:b/>
          <w:sz w:val="30"/>
          <w:szCs w:val="30"/>
        </w:rPr>
      </w:pPr>
      <w:bookmarkStart w:id="287" w:name="_Toc57908872"/>
      <w:r>
        <w:rPr>
          <w:rFonts w:hint="eastAsia" w:ascii="仿宋_GB2312" w:hAnsi="黑体" w:eastAsia="仿宋_GB2312" w:cs="仿宋_GB2312"/>
          <w:b/>
          <w:sz w:val="30"/>
          <w:szCs w:val="30"/>
        </w:rPr>
        <w:t>证券账户开立</w:t>
      </w:r>
      <w:bookmarkEnd w:id="287"/>
    </w:p>
    <w:p w14:paraId="590E3E1B">
      <w:pPr>
        <w:spacing w:line="600" w:lineRule="exact"/>
        <w:ind w:firstLine="600" w:firstLineChars="200"/>
        <w:rPr>
          <w:rFonts w:ascii="仿宋_GB2312" w:eastAsia="仿宋_GB2312"/>
          <w:sz w:val="30"/>
          <w:szCs w:val="30"/>
        </w:rPr>
      </w:pPr>
      <w:r>
        <w:rPr>
          <w:rFonts w:hint="eastAsia" w:ascii="仿宋_GB2312" w:eastAsia="仿宋_GB2312"/>
          <w:sz w:val="30"/>
          <w:szCs w:val="30"/>
        </w:rPr>
        <w:t>（1）特殊机构及产品证券账户开立</w:t>
      </w:r>
    </w:p>
    <w:p w14:paraId="0150FE43">
      <w:pPr>
        <w:spacing w:line="600" w:lineRule="exact"/>
        <w:ind w:firstLine="600" w:firstLineChars="200"/>
        <w:rPr>
          <w:rFonts w:ascii="仿宋_GB2312" w:eastAsia="仿宋_GB2312"/>
          <w:sz w:val="30"/>
          <w:szCs w:val="30"/>
        </w:rPr>
      </w:pPr>
      <w:r>
        <w:rPr>
          <w:rFonts w:hint="eastAsia" w:ascii="仿宋_GB2312" w:eastAsia="仿宋_GB2312"/>
          <w:sz w:val="30"/>
          <w:szCs w:val="30"/>
        </w:rPr>
        <w:t>特殊机构或产品开立证券账户，可根据</w:t>
      </w:r>
      <w:r>
        <w:rPr>
          <w:rFonts w:hint="eastAsia" w:ascii="仿宋_GB2312" w:hAnsi="微软雅黑" w:eastAsia="仿宋_GB2312"/>
          <w:color w:val="000000"/>
          <w:sz w:val="30"/>
          <w:szCs w:val="30"/>
        </w:rPr>
        <w:t>中国证券登记结算有限责任公司</w:t>
      </w:r>
      <w:r>
        <w:rPr>
          <w:rFonts w:hint="eastAsia" w:ascii="仿宋_GB2312" w:eastAsia="仿宋_GB2312"/>
          <w:sz w:val="30"/>
          <w:szCs w:val="30"/>
        </w:rPr>
        <w:t>《特殊机构及产品证券账户业务指南》，视不同特殊机构和产品类型进行申请及提交材料。</w:t>
      </w:r>
    </w:p>
    <w:p w14:paraId="642E653C">
      <w:pPr>
        <w:spacing w:line="600" w:lineRule="exact"/>
        <w:ind w:firstLine="600" w:firstLineChars="200"/>
        <w:rPr>
          <w:rFonts w:ascii="仿宋_GB2312" w:eastAsia="仿宋_GB2312"/>
          <w:sz w:val="30"/>
          <w:szCs w:val="30"/>
        </w:rPr>
      </w:pPr>
      <w:r>
        <w:rPr>
          <w:rFonts w:hint="eastAsia" w:ascii="仿宋_GB2312" w:eastAsia="仿宋_GB2312"/>
          <w:sz w:val="30"/>
          <w:szCs w:val="30"/>
        </w:rPr>
        <w:t>上述指南所称特殊机构，是指证券公司及其资管子公司、基金管理公司及其子公司、保险公司、信托公司、银行及银行理财子公司、及外国战略投资者、境外机构投资者等特殊市场参与主体。</w:t>
      </w:r>
    </w:p>
    <w:p w14:paraId="7DCACE8F">
      <w:pPr>
        <w:spacing w:line="600" w:lineRule="exact"/>
        <w:ind w:firstLine="600" w:firstLineChars="200"/>
        <w:rPr>
          <w:rFonts w:ascii="仿宋_GB2312" w:eastAsia="仿宋_GB2312"/>
          <w:sz w:val="30"/>
          <w:szCs w:val="30"/>
        </w:rPr>
      </w:pPr>
      <w:r>
        <w:rPr>
          <w:rFonts w:hint="eastAsia" w:ascii="仿宋_GB2312" w:eastAsia="仿宋_GB2312"/>
          <w:sz w:val="30"/>
          <w:szCs w:val="30"/>
        </w:rPr>
        <w:t>上述指南所称产品，是指证券公司单一资产管理计划及集合资产管理计划、基金管理公司单一资产管理计划及集合资产管理计划、期货公司单一资产管理计划及集合资产管理计划、保险资产管理公司特定客户资产管理计划及集合资产管理计划、证券投资基金、信托产品、保险产品、银行理财产品（含银行理财子公司发行的理财产品）、企业年金计划、职业年金计划、养老金产品、全国社会保障基金投资组合、全国及地方社保基金、私募基金、合格境外机构投资者和人民币合格境外机构投资者等依法设立的证券投资产品。</w:t>
      </w:r>
    </w:p>
    <w:p w14:paraId="72EEBF4B">
      <w:pPr>
        <w:spacing w:line="600" w:lineRule="exact"/>
        <w:ind w:firstLine="600" w:firstLineChars="200"/>
        <w:rPr>
          <w:rFonts w:ascii="仿宋_GB2312" w:eastAsia="仿宋_GB2312"/>
          <w:sz w:val="30"/>
          <w:szCs w:val="30"/>
        </w:rPr>
      </w:pPr>
      <w:r>
        <w:rPr>
          <w:rFonts w:hint="eastAsia" w:ascii="仿宋_GB2312" w:eastAsia="仿宋_GB2312"/>
          <w:sz w:val="30"/>
          <w:szCs w:val="30"/>
        </w:rPr>
        <w:t>特殊机构或产品的具体开户流程与要求，依据</w:t>
      </w:r>
      <w:r>
        <w:rPr>
          <w:rFonts w:hint="eastAsia" w:ascii="仿宋_GB2312" w:hAnsi="微软雅黑" w:eastAsia="仿宋_GB2312"/>
          <w:color w:val="000000"/>
          <w:sz w:val="30"/>
          <w:szCs w:val="30"/>
        </w:rPr>
        <w:t>中国证券登记结算有限责任公司</w:t>
      </w:r>
      <w:r>
        <w:rPr>
          <w:rFonts w:hint="eastAsia" w:ascii="仿宋_GB2312" w:eastAsia="仿宋_GB2312"/>
          <w:sz w:val="30"/>
          <w:szCs w:val="30"/>
        </w:rPr>
        <w:t>《特殊机构及产品证券账户业务指南》相关规定办理。</w:t>
      </w:r>
    </w:p>
    <w:p w14:paraId="47825229">
      <w:pPr>
        <w:spacing w:line="600" w:lineRule="exact"/>
        <w:ind w:firstLine="600" w:firstLineChars="200"/>
        <w:rPr>
          <w:rFonts w:ascii="仿宋_GB2312" w:eastAsia="仿宋_GB2312"/>
          <w:sz w:val="30"/>
          <w:szCs w:val="30"/>
        </w:rPr>
      </w:pPr>
      <w:r>
        <w:rPr>
          <w:rFonts w:hint="eastAsia" w:ascii="仿宋_GB2312" w:eastAsia="仿宋_GB2312"/>
          <w:sz w:val="30"/>
          <w:szCs w:val="30"/>
        </w:rPr>
        <w:t>（2）一般机构投资者证券账户开立</w:t>
      </w:r>
    </w:p>
    <w:p w14:paraId="4E52D05D">
      <w:pPr>
        <w:spacing w:line="600" w:lineRule="exact"/>
        <w:ind w:firstLine="600" w:firstLineChars="200"/>
        <w:rPr>
          <w:rFonts w:ascii="仿宋_GB2312" w:eastAsia="仿宋_GB2312"/>
          <w:sz w:val="30"/>
          <w:szCs w:val="30"/>
        </w:rPr>
      </w:pPr>
      <w:r>
        <w:rPr>
          <w:rFonts w:hint="eastAsia" w:ascii="仿宋_GB2312" w:eastAsia="仿宋_GB2312"/>
          <w:sz w:val="30"/>
          <w:szCs w:val="30"/>
        </w:rPr>
        <w:t>上述特殊机构和产品以外的债券投资者开立证券账户，依据</w:t>
      </w:r>
      <w:r>
        <w:rPr>
          <w:rFonts w:hint="eastAsia" w:ascii="仿宋_GB2312" w:hAnsi="微软雅黑" w:eastAsia="仿宋_GB2312"/>
          <w:color w:val="000000"/>
          <w:sz w:val="30"/>
          <w:szCs w:val="30"/>
        </w:rPr>
        <w:t>中国证券登记结算有限责任公司</w:t>
      </w:r>
      <w:r>
        <w:rPr>
          <w:rFonts w:hint="eastAsia" w:ascii="仿宋_GB2312" w:eastAsia="仿宋_GB2312"/>
          <w:sz w:val="30"/>
          <w:szCs w:val="30"/>
        </w:rPr>
        <w:t>《证券账户业务指南》相关规定办理。</w:t>
      </w:r>
    </w:p>
    <w:p w14:paraId="10C60F6B">
      <w:pPr>
        <w:numPr>
          <w:ilvl w:val="2"/>
          <w:numId w:val="4"/>
        </w:numPr>
        <w:spacing w:line="600" w:lineRule="exact"/>
        <w:ind w:left="0" w:firstLine="0"/>
        <w:outlineLvl w:val="2"/>
        <w:rPr>
          <w:rFonts w:ascii="仿宋_GB2312" w:hAnsi="黑体" w:eastAsia="仿宋_GB2312" w:cs="仿宋_GB2312"/>
          <w:b/>
          <w:sz w:val="30"/>
          <w:szCs w:val="30"/>
        </w:rPr>
      </w:pPr>
      <w:bookmarkStart w:id="288" w:name="_Toc57908873"/>
      <w:r>
        <w:rPr>
          <w:rFonts w:hint="eastAsia" w:ascii="仿宋_GB2312" w:hAnsi="黑体" w:eastAsia="仿宋_GB2312" w:cs="仿宋_GB2312"/>
          <w:b/>
          <w:sz w:val="30"/>
          <w:szCs w:val="30"/>
        </w:rPr>
        <w:t>证券交易委托协议签署</w:t>
      </w:r>
      <w:bookmarkEnd w:id="288"/>
    </w:p>
    <w:p w14:paraId="5389D0A7">
      <w:pPr>
        <w:spacing w:line="600" w:lineRule="exact"/>
        <w:ind w:firstLine="600" w:firstLineChars="200"/>
        <w:rPr>
          <w:rFonts w:ascii="仿宋_GB2312" w:eastAsia="仿宋_GB2312"/>
          <w:sz w:val="30"/>
          <w:szCs w:val="30"/>
        </w:rPr>
      </w:pPr>
      <w:r>
        <w:rPr>
          <w:rFonts w:hint="eastAsia" w:ascii="仿宋_GB2312" w:eastAsia="仿宋_GB2312"/>
          <w:sz w:val="30"/>
          <w:szCs w:val="30"/>
        </w:rPr>
        <w:t>证券交易委托协议是经纪客户与证券公司签订的证券买卖代理协议。经纪客户通过债券经纪业务模式开展债券交易，应当与证券公司签订证券交易委托协议。</w:t>
      </w:r>
    </w:p>
    <w:p w14:paraId="77FF70DC">
      <w:pPr>
        <w:spacing w:line="600" w:lineRule="exact"/>
        <w:ind w:firstLine="600" w:firstLineChars="200"/>
        <w:rPr>
          <w:rFonts w:ascii="仿宋_GB2312" w:eastAsia="仿宋_GB2312"/>
          <w:sz w:val="30"/>
          <w:szCs w:val="30"/>
        </w:rPr>
      </w:pPr>
      <w:r>
        <w:rPr>
          <w:rFonts w:hint="eastAsia" w:ascii="仿宋_GB2312" w:eastAsia="仿宋_GB2312"/>
          <w:sz w:val="30"/>
          <w:szCs w:val="30"/>
        </w:rPr>
        <w:t>证券公司应当在证券交易委托协议中与经纪客户明确双方的权利与义务，并对经纪客户资料提供、账户交易权限管理、资金存管、委托交易指令核查、异常交易行为处理、拒绝经纪客户委托以及委托关系解除等事项作出约定。</w:t>
      </w:r>
    </w:p>
    <w:p w14:paraId="7F3B37C7">
      <w:pPr>
        <w:spacing w:line="600" w:lineRule="exact"/>
        <w:ind w:firstLine="600" w:firstLineChars="200"/>
        <w:rPr>
          <w:rFonts w:ascii="仿宋_GB2312" w:eastAsia="仿宋_GB2312"/>
          <w:sz w:val="30"/>
          <w:szCs w:val="30"/>
        </w:rPr>
      </w:pPr>
      <w:r>
        <w:rPr>
          <w:rFonts w:hint="eastAsia" w:ascii="仿宋_GB2312" w:eastAsia="仿宋_GB2312"/>
          <w:sz w:val="30"/>
          <w:szCs w:val="30"/>
        </w:rPr>
        <w:t>除本指南与其他相关文件规定的必备条款外，证券交易委托协议的格式及具体内容可由各证券公司根据自身业务需求与内控要求自行规定。</w:t>
      </w:r>
    </w:p>
    <w:p w14:paraId="7D4302B2">
      <w:pPr>
        <w:spacing w:line="600" w:lineRule="exact"/>
        <w:ind w:firstLine="600" w:firstLineChars="200"/>
        <w:rPr>
          <w:rFonts w:ascii="仿宋_GB2312" w:eastAsia="仿宋_GB2312"/>
          <w:sz w:val="30"/>
          <w:szCs w:val="30"/>
        </w:rPr>
      </w:pPr>
      <w:r>
        <w:rPr>
          <w:rFonts w:hint="eastAsia" w:ascii="仿宋_GB2312" w:eastAsia="仿宋_GB2312"/>
          <w:sz w:val="30"/>
          <w:szCs w:val="30"/>
        </w:rPr>
        <w:t>经纪客户若有多个证券账户，可选择一家或多家证券公司进行委托。单个证券账户仅允许指定一家证券公司作为其债券交易的委托人。</w:t>
      </w:r>
    </w:p>
    <w:p w14:paraId="53BDA4BD">
      <w:pPr>
        <w:numPr>
          <w:ilvl w:val="2"/>
          <w:numId w:val="4"/>
        </w:numPr>
        <w:spacing w:line="600" w:lineRule="exact"/>
        <w:ind w:left="0" w:firstLine="0"/>
        <w:outlineLvl w:val="2"/>
        <w:rPr>
          <w:rFonts w:ascii="仿宋_GB2312" w:hAnsi="黑体" w:eastAsia="仿宋_GB2312" w:cs="仿宋_GB2312"/>
          <w:b/>
          <w:sz w:val="30"/>
          <w:szCs w:val="30"/>
        </w:rPr>
      </w:pPr>
      <w:bookmarkStart w:id="289" w:name="_Toc57908874"/>
      <w:r>
        <w:rPr>
          <w:rFonts w:ascii="仿宋_GB2312" w:hAnsi="黑体" w:eastAsia="仿宋_GB2312" w:cs="仿宋_GB2312"/>
          <w:b/>
          <w:sz w:val="30"/>
          <w:szCs w:val="30"/>
        </w:rPr>
        <w:t>资金账户开立及三方存管建立</w:t>
      </w:r>
      <w:bookmarkEnd w:id="289"/>
    </w:p>
    <w:p w14:paraId="249EF2E2">
      <w:pPr>
        <w:spacing w:line="600" w:lineRule="exact"/>
        <w:ind w:firstLine="600" w:firstLineChars="200"/>
        <w:rPr>
          <w:rFonts w:ascii="仿宋_GB2312" w:eastAsia="仿宋_GB2312"/>
          <w:sz w:val="30"/>
          <w:szCs w:val="30"/>
        </w:rPr>
      </w:pPr>
      <w:r>
        <w:rPr>
          <w:rFonts w:hint="eastAsia" w:ascii="仿宋_GB2312" w:eastAsia="仿宋_GB2312"/>
          <w:sz w:val="30"/>
          <w:szCs w:val="30"/>
        </w:rPr>
        <w:t>三方存管是指经纪客户的证券交易结算资金交由银行统一存管。经纪客户开立证券账户的同时，应当同步在证券公司开立资金账户，在具备三方存管资质的银行指定或开立三方存管账户，并由证券公司建立三方存管账户与资金账户的对应关系，形成经纪客户在场内交易结算资金的划转通道。经纪客户需与存管银行、受托证券公司签署三方存管协议，并将资金账户、三方存管账户及证券账户进行一一对应的关联绑定。开立资金账户所需材料、三方存管具体办理流程可咨询证券公司。</w:t>
      </w:r>
    </w:p>
    <w:p w14:paraId="0A32ECBB">
      <w:pPr>
        <w:numPr>
          <w:ilvl w:val="2"/>
          <w:numId w:val="4"/>
        </w:numPr>
        <w:spacing w:line="600" w:lineRule="exact"/>
        <w:ind w:left="0" w:firstLine="0"/>
        <w:outlineLvl w:val="2"/>
        <w:rPr>
          <w:rFonts w:ascii="仿宋_GB2312" w:hAnsi="黑体" w:eastAsia="仿宋_GB2312" w:cs="仿宋_GB2312"/>
          <w:b/>
          <w:sz w:val="30"/>
          <w:szCs w:val="30"/>
        </w:rPr>
      </w:pPr>
      <w:bookmarkStart w:id="290" w:name="_Toc57908875"/>
      <w:r>
        <w:rPr>
          <w:rFonts w:ascii="仿宋_GB2312" w:hAnsi="黑体" w:eastAsia="仿宋_GB2312" w:cs="仿宋_GB2312"/>
          <w:b/>
          <w:sz w:val="30"/>
          <w:szCs w:val="30"/>
        </w:rPr>
        <w:t>证券账户指定交易</w:t>
      </w:r>
      <w:bookmarkEnd w:id="290"/>
    </w:p>
    <w:p w14:paraId="5D4B5554">
      <w:pPr>
        <w:spacing w:line="600" w:lineRule="exact"/>
        <w:ind w:firstLine="600" w:firstLineChars="200"/>
        <w:rPr>
          <w:rFonts w:ascii="仿宋_GB2312" w:eastAsia="仿宋_GB2312"/>
          <w:sz w:val="30"/>
          <w:szCs w:val="30"/>
        </w:rPr>
      </w:pPr>
      <w:r>
        <w:rPr>
          <w:rFonts w:hint="eastAsia" w:ascii="仿宋_GB2312" w:eastAsia="仿宋_GB2312"/>
          <w:sz w:val="30"/>
          <w:szCs w:val="30"/>
        </w:rPr>
        <w:t>本所债券交易实行指定交易制度。指定交易制度，在经纪业务模式下，是指经纪客户应当事先指定一家本所会员作为其债券交易的受托人，通过该会员参与本所债券交易。证券账户的指定交易是指经纪客户的证券账户需要指定到其委托的证券公司的交易单元上，每一个证券账户仅能指定一个交易单元。</w:t>
      </w:r>
    </w:p>
    <w:p w14:paraId="243AD531">
      <w:pPr>
        <w:spacing w:line="600" w:lineRule="exact"/>
        <w:ind w:firstLine="600" w:firstLineChars="200"/>
        <w:rPr>
          <w:rFonts w:ascii="仿宋_GB2312" w:eastAsia="仿宋_GB2312"/>
          <w:sz w:val="30"/>
          <w:szCs w:val="30"/>
        </w:rPr>
      </w:pPr>
      <w:r>
        <w:rPr>
          <w:rFonts w:hint="eastAsia" w:ascii="仿宋_GB2312" w:eastAsia="仿宋_GB2312"/>
          <w:sz w:val="30"/>
          <w:szCs w:val="30"/>
        </w:rPr>
        <w:t>证券公司为经纪客户办理指定交易业务，需经过签订指定交易协议、办理指定交易两步。</w:t>
      </w:r>
    </w:p>
    <w:p w14:paraId="4F7596F3">
      <w:pPr>
        <w:pStyle w:val="92"/>
        <w:widowControl w:val="0"/>
        <w:numPr>
          <w:ilvl w:val="0"/>
          <w:numId w:val="12"/>
        </w:numPr>
        <w:spacing w:line="600" w:lineRule="exact"/>
        <w:ind w:left="0" w:firstLine="600"/>
        <w:jc w:val="both"/>
        <w:rPr>
          <w:rFonts w:ascii="仿宋_GB2312" w:eastAsia="仿宋_GB2312"/>
          <w:sz w:val="30"/>
          <w:szCs w:val="30"/>
        </w:rPr>
      </w:pPr>
      <w:r>
        <w:rPr>
          <w:rFonts w:hint="eastAsia" w:ascii="仿宋_GB2312" w:eastAsia="仿宋_GB2312"/>
          <w:sz w:val="30"/>
          <w:szCs w:val="30"/>
        </w:rPr>
        <w:t>签订指定交易协议</w:t>
      </w:r>
    </w:p>
    <w:p w14:paraId="1E9B4409">
      <w:pPr>
        <w:spacing w:line="600" w:lineRule="exact"/>
        <w:ind w:firstLine="600" w:firstLineChars="200"/>
        <w:rPr>
          <w:rFonts w:ascii="仿宋_GB2312" w:eastAsia="仿宋_GB2312"/>
          <w:sz w:val="30"/>
          <w:szCs w:val="30"/>
        </w:rPr>
      </w:pPr>
      <w:r>
        <w:rPr>
          <w:rFonts w:hint="eastAsia" w:ascii="仿宋_GB2312" w:eastAsia="仿宋_GB2312"/>
          <w:sz w:val="30"/>
          <w:szCs w:val="30"/>
        </w:rPr>
        <w:t>经纪客户应当与其委托的证券公司签订指定交易协议，明确双方的权利、义务和责任。证券交易委托协议若已包含指定交易协议内容，可不再重复签订。指定交易协议书参考范例及具体的业务流程可参见本所发布的《上海证券交易所证券交易业务指南第11号——指定交易业务》。</w:t>
      </w:r>
    </w:p>
    <w:p w14:paraId="4ADAFC37">
      <w:pPr>
        <w:pStyle w:val="92"/>
        <w:widowControl w:val="0"/>
        <w:numPr>
          <w:ilvl w:val="0"/>
          <w:numId w:val="12"/>
        </w:numPr>
        <w:spacing w:line="600" w:lineRule="exact"/>
        <w:ind w:left="0" w:firstLine="600"/>
        <w:jc w:val="both"/>
        <w:rPr>
          <w:rFonts w:ascii="仿宋_GB2312" w:eastAsia="仿宋_GB2312"/>
          <w:sz w:val="30"/>
          <w:szCs w:val="30"/>
          <w:lang w:eastAsia="zh-CN"/>
        </w:rPr>
      </w:pPr>
      <w:r>
        <w:rPr>
          <w:rFonts w:hint="eastAsia" w:ascii="仿宋_GB2312" w:eastAsia="仿宋_GB2312"/>
          <w:sz w:val="30"/>
          <w:szCs w:val="30"/>
          <w:lang w:eastAsia="zh-CN"/>
        </w:rPr>
        <w:t>经纪客户指定交易申报、变更与撤销</w:t>
      </w:r>
    </w:p>
    <w:p w14:paraId="7D3DA9E5">
      <w:pPr>
        <w:spacing w:line="600" w:lineRule="exact"/>
        <w:ind w:firstLine="600" w:firstLineChars="200"/>
        <w:rPr>
          <w:rFonts w:ascii="仿宋_GB2312" w:eastAsia="仿宋_GB2312"/>
          <w:sz w:val="30"/>
          <w:szCs w:val="30"/>
        </w:rPr>
      </w:pPr>
      <w:r>
        <w:rPr>
          <w:rFonts w:hint="eastAsia" w:ascii="仿宋_GB2312" w:eastAsia="仿宋_GB2312"/>
          <w:sz w:val="30"/>
          <w:szCs w:val="30"/>
        </w:rPr>
        <w:t>指定交易协议一经签订，证券公司即可根据经纪客户的申请，按照本所规定的申报要素，向本所进行指定交易申报。</w:t>
      </w:r>
    </w:p>
    <w:p w14:paraId="7CC439DE">
      <w:pPr>
        <w:spacing w:line="600" w:lineRule="exact"/>
        <w:ind w:firstLine="600" w:firstLineChars="200"/>
        <w:rPr>
          <w:rFonts w:ascii="仿宋_GB2312" w:eastAsia="仿宋_GB2312"/>
          <w:sz w:val="30"/>
          <w:szCs w:val="30"/>
        </w:rPr>
      </w:pPr>
      <w:r>
        <w:rPr>
          <w:rFonts w:hint="eastAsia" w:ascii="仿宋_GB2312" w:eastAsia="仿宋_GB2312"/>
          <w:sz w:val="30"/>
          <w:szCs w:val="30"/>
        </w:rPr>
        <w:t>经纪客户变更指定交易的，应当向已指定的证券公司提出撤销指定申请，由该证券公司申报撤销指令。对于符合撤销指定条件的，证券公司不得限制、阻挠或者拖延其办理撤销指定手续。撤销指定交易的指令申报一经确认，其撤销即刻生效。指定交易撤销成功后须另行选择一个交易单元重新申报指定交易，方可进行交易。</w:t>
      </w:r>
    </w:p>
    <w:p w14:paraId="100D9AAE">
      <w:pPr>
        <w:spacing w:line="600" w:lineRule="exact"/>
        <w:ind w:firstLine="600" w:firstLineChars="200"/>
        <w:rPr>
          <w:rFonts w:ascii="仿宋_GB2312" w:eastAsia="仿宋_GB2312"/>
          <w:sz w:val="30"/>
          <w:szCs w:val="30"/>
        </w:rPr>
      </w:pPr>
      <w:r>
        <w:rPr>
          <w:rFonts w:hint="eastAsia" w:ascii="仿宋_GB2312" w:eastAsia="仿宋_GB2312"/>
          <w:sz w:val="30"/>
          <w:szCs w:val="30"/>
        </w:rPr>
        <w:t>指定交易申报、变更与撤销具体规定，详见本指南第4章的相关规定。</w:t>
      </w:r>
    </w:p>
    <w:p w14:paraId="6CC6E090">
      <w:pPr>
        <w:numPr>
          <w:ilvl w:val="2"/>
          <w:numId w:val="4"/>
        </w:numPr>
        <w:spacing w:line="600" w:lineRule="exact"/>
        <w:ind w:left="0" w:firstLine="0"/>
        <w:outlineLvl w:val="2"/>
        <w:rPr>
          <w:rFonts w:ascii="仿宋_GB2312" w:hAnsi="黑体" w:eastAsia="仿宋_GB2312" w:cs="仿宋_GB2312"/>
          <w:b/>
          <w:sz w:val="30"/>
          <w:szCs w:val="30"/>
        </w:rPr>
      </w:pPr>
      <w:r>
        <w:rPr>
          <w:rFonts w:ascii="仿宋_GB2312" w:hAnsi="黑体" w:eastAsia="仿宋_GB2312" w:cs="仿宋_GB2312"/>
          <w:b/>
          <w:sz w:val="30"/>
          <w:szCs w:val="30"/>
        </w:rPr>
        <w:t>委托方式</w:t>
      </w:r>
    </w:p>
    <w:p w14:paraId="5BA8302D">
      <w:pPr>
        <w:spacing w:line="600" w:lineRule="exact"/>
        <w:ind w:firstLine="600" w:firstLineChars="200"/>
        <w:rPr>
          <w:rFonts w:ascii="仿宋_GB2312" w:eastAsia="仿宋_GB2312"/>
          <w:sz w:val="30"/>
          <w:szCs w:val="30"/>
        </w:rPr>
      </w:pPr>
      <w:r>
        <w:rPr>
          <w:rFonts w:hint="eastAsia" w:ascii="仿宋_GB2312" w:eastAsia="仿宋_GB2312"/>
          <w:sz w:val="30"/>
          <w:szCs w:val="30"/>
        </w:rPr>
        <w:t>经纪客户按照与证券公司的协定，可通过</w:t>
      </w:r>
      <w:r>
        <w:rPr>
          <w:rFonts w:hint="eastAsia" w:ascii="仿宋_GB2312" w:eastAsia="仿宋_GB2312"/>
          <w:color w:val="000000"/>
          <w:sz w:val="30"/>
          <w:szCs w:val="30"/>
        </w:rPr>
        <w:t>书面、电话、自助终端、网络等自助委托方式委托会员参与债券交易</w:t>
      </w:r>
      <w:r>
        <w:rPr>
          <w:rFonts w:hint="eastAsia" w:ascii="仿宋_GB2312" w:eastAsia="仿宋_GB2312"/>
          <w:sz w:val="30"/>
          <w:szCs w:val="30"/>
        </w:rPr>
        <w:t>。证券公司对经纪客户的交易委托进行资券足额验证。</w:t>
      </w:r>
    </w:p>
    <w:p w14:paraId="5090791E">
      <w:pPr>
        <w:spacing w:line="600" w:lineRule="exact"/>
        <w:ind w:firstLine="600" w:firstLineChars="200"/>
        <w:rPr>
          <w:rFonts w:ascii="仿宋_GB2312" w:eastAsia="仿宋_GB2312"/>
          <w:sz w:val="30"/>
          <w:szCs w:val="30"/>
        </w:rPr>
      </w:pPr>
      <w:r>
        <w:rPr>
          <w:rFonts w:hint="eastAsia" w:ascii="仿宋_GB2312" w:eastAsia="仿宋_GB2312"/>
          <w:sz w:val="30"/>
          <w:szCs w:val="30"/>
        </w:rPr>
        <w:t>实时完成验资验券后，证券公司根据经纪客户的委托交易指令及时向本所相关交易系统发送各种交易方式的申报指令。证券公司应当对其向交易系统发送的债券交易申报指令的合法性、真实性、准确性及完整性承担相应的法律责任。</w:t>
      </w:r>
    </w:p>
    <w:p w14:paraId="116FBE29">
      <w:pPr>
        <w:numPr>
          <w:ilvl w:val="2"/>
          <w:numId w:val="4"/>
        </w:numPr>
        <w:spacing w:line="600" w:lineRule="exact"/>
        <w:ind w:left="0" w:firstLine="0"/>
        <w:outlineLvl w:val="2"/>
        <w:rPr>
          <w:rFonts w:ascii="仿宋_GB2312" w:hAnsi="仿宋_GB2312" w:eastAsia="仿宋_GB2312" w:cs="仿宋_GB2312"/>
          <w:b/>
          <w:sz w:val="30"/>
          <w:szCs w:val="30"/>
        </w:rPr>
      </w:pPr>
      <w:r>
        <w:rPr>
          <w:rFonts w:hint="eastAsia" w:ascii="仿宋_GB2312" w:hAnsi="仿宋_GB2312" w:eastAsia="仿宋_GB2312" w:cs="仿宋_GB2312"/>
          <w:b/>
          <w:sz w:val="30"/>
          <w:szCs w:val="30"/>
        </w:rPr>
        <w:t>交易服务提供与交易系统接入</w:t>
      </w:r>
    </w:p>
    <w:p w14:paraId="20062985">
      <w:pPr>
        <w:spacing w:line="600" w:lineRule="exact"/>
        <w:ind w:firstLine="600" w:firstLineChars="200"/>
        <w:rPr>
          <w:rFonts w:ascii="仿宋_GB2312" w:eastAsia="仿宋_GB2312"/>
          <w:sz w:val="30"/>
          <w:szCs w:val="30"/>
        </w:rPr>
      </w:pPr>
      <w:r>
        <w:rPr>
          <w:rFonts w:hint="eastAsia" w:ascii="仿宋_GB2312" w:eastAsia="仿宋_GB2312"/>
          <w:sz w:val="30"/>
          <w:szCs w:val="30"/>
        </w:rPr>
        <w:t>经纪客户参与场内交易，原则上应当使用证券公司提供的交易终端进行证券交易业务，通常需联系证券公司安装其提供的交易</w:t>
      </w:r>
      <w:r>
        <w:rPr>
          <w:rFonts w:ascii="仿宋_GB2312" w:eastAsia="仿宋_GB2312"/>
          <w:sz w:val="30"/>
          <w:szCs w:val="30"/>
        </w:rPr>
        <w:t>终端或</w:t>
      </w:r>
      <w:r>
        <w:rPr>
          <w:rFonts w:hint="eastAsia" w:ascii="仿宋_GB2312" w:eastAsia="仿宋_GB2312"/>
          <w:sz w:val="30"/>
          <w:szCs w:val="30"/>
        </w:rPr>
        <w:t>主经纪商系统（即“PB系统”）客户端，部分投资机构也可视实际情况，经证券公司评估同意其使用自身投资管理系统接入交易。</w:t>
      </w:r>
    </w:p>
    <w:p w14:paraId="06050F31">
      <w:pPr>
        <w:spacing w:line="600" w:lineRule="exact"/>
        <w:ind w:firstLine="600" w:firstLineChars="200"/>
        <w:rPr>
          <w:rFonts w:ascii="仿宋_GB2312" w:eastAsia="仿宋_GB2312"/>
          <w:sz w:val="30"/>
          <w:szCs w:val="30"/>
        </w:rPr>
      </w:pPr>
      <w:r>
        <w:rPr>
          <w:rFonts w:hint="eastAsia" w:ascii="仿宋_GB2312" w:eastAsia="仿宋_GB2312"/>
          <w:sz w:val="30"/>
          <w:szCs w:val="30"/>
        </w:rPr>
        <w:t>（1）使用交易终端、PB系统参与</w:t>
      </w:r>
      <w:r>
        <w:rPr>
          <w:rFonts w:ascii="仿宋_GB2312" w:eastAsia="仿宋_GB2312"/>
          <w:sz w:val="30"/>
          <w:szCs w:val="30"/>
        </w:rPr>
        <w:t>交易</w:t>
      </w:r>
    </w:p>
    <w:p w14:paraId="778692CD">
      <w:pPr>
        <w:spacing w:line="600" w:lineRule="exact"/>
        <w:ind w:firstLine="600" w:firstLineChars="200"/>
        <w:rPr>
          <w:rFonts w:ascii="仿宋_GB2312" w:eastAsia="仿宋_GB2312"/>
          <w:sz w:val="30"/>
          <w:szCs w:val="30"/>
        </w:rPr>
      </w:pPr>
      <w:r>
        <w:rPr>
          <w:rFonts w:hint="eastAsia" w:ascii="仿宋_GB2312" w:eastAsia="仿宋_GB2312"/>
          <w:sz w:val="30"/>
          <w:szCs w:val="30"/>
        </w:rPr>
        <w:t>交易终端是指会员传统证券集中交易平台的申报通道，包括但不限于</w:t>
      </w:r>
      <w:r>
        <w:rPr>
          <w:rFonts w:ascii="仿宋_GB2312" w:eastAsia="仿宋_GB2312"/>
          <w:sz w:val="30"/>
          <w:szCs w:val="30"/>
        </w:rPr>
        <w:t>网上交易、移动端交易等，</w:t>
      </w:r>
      <w:r>
        <w:rPr>
          <w:rFonts w:hint="eastAsia" w:ascii="仿宋_GB2312" w:eastAsia="仿宋_GB2312"/>
          <w:sz w:val="30"/>
          <w:szCs w:val="30"/>
        </w:rPr>
        <w:t>可</w:t>
      </w:r>
      <w:r>
        <w:rPr>
          <w:rFonts w:ascii="仿宋_GB2312" w:eastAsia="仿宋_GB2312"/>
          <w:sz w:val="30"/>
          <w:szCs w:val="30"/>
        </w:rPr>
        <w:t>有效支持交易所债券市场的现券匹配成交、</w:t>
      </w:r>
      <w:r>
        <w:rPr>
          <w:rFonts w:hint="eastAsia" w:ascii="仿宋_GB2312" w:eastAsia="仿宋_GB2312"/>
          <w:sz w:val="30"/>
          <w:szCs w:val="30"/>
        </w:rPr>
        <w:t>通用</w:t>
      </w:r>
      <w:r>
        <w:rPr>
          <w:rFonts w:ascii="仿宋_GB2312" w:eastAsia="仿宋_GB2312"/>
          <w:sz w:val="30"/>
          <w:szCs w:val="30"/>
        </w:rPr>
        <w:t>回购</w:t>
      </w:r>
      <w:r>
        <w:rPr>
          <w:rFonts w:hint="eastAsia" w:ascii="仿宋_GB2312" w:eastAsia="仿宋_GB2312"/>
          <w:sz w:val="30"/>
          <w:szCs w:val="30"/>
        </w:rPr>
        <w:t>等业务</w:t>
      </w:r>
      <w:r>
        <w:rPr>
          <w:rFonts w:ascii="仿宋_GB2312" w:eastAsia="仿宋_GB2312"/>
          <w:sz w:val="30"/>
          <w:szCs w:val="30"/>
        </w:rPr>
        <w:t>。</w:t>
      </w:r>
    </w:p>
    <w:p w14:paraId="048E5008">
      <w:pPr>
        <w:spacing w:line="600" w:lineRule="exact"/>
        <w:ind w:firstLine="600" w:firstLineChars="200"/>
        <w:rPr>
          <w:rFonts w:ascii="仿宋_GB2312" w:eastAsia="仿宋_GB2312"/>
          <w:sz w:val="30"/>
          <w:szCs w:val="30"/>
        </w:rPr>
      </w:pPr>
      <w:r>
        <w:rPr>
          <w:rFonts w:hint="eastAsia" w:ascii="仿宋_GB2312" w:eastAsia="仿宋_GB2312"/>
          <w:sz w:val="30"/>
          <w:szCs w:val="30"/>
        </w:rPr>
        <w:t>PB系统是指证券公司为机构客户提供的，集合了投资决策、交易下单、流程审批、风险监控、成交确认、资金处理、投资清算、数据统计等功能的综合金融交易服务系统。目前市场上使用较为普遍的PB系统主要由相关软件供应商开发，也有少部分证券公司的PB系统为自主研发。债券投资者通过PB系统可实现各类债券业务功能，包括：现券交易、回购交易、质押券出入库、债券回售、债券转股/换股、转托管等。</w:t>
      </w:r>
    </w:p>
    <w:p w14:paraId="7DA9EECF">
      <w:pPr>
        <w:spacing w:line="600" w:lineRule="exact"/>
        <w:ind w:firstLine="600" w:firstLineChars="200"/>
        <w:rPr>
          <w:rFonts w:ascii="仿宋_GB2312" w:eastAsia="仿宋_GB2312"/>
          <w:sz w:val="30"/>
          <w:szCs w:val="30"/>
        </w:rPr>
      </w:pPr>
      <w:r>
        <w:rPr>
          <w:rFonts w:hint="eastAsia" w:ascii="仿宋_GB2312" w:eastAsia="仿宋_GB2312"/>
          <w:sz w:val="30"/>
          <w:szCs w:val="30"/>
        </w:rPr>
        <w:t>（2）使用自身投资管理系统接入交易</w:t>
      </w:r>
    </w:p>
    <w:p w14:paraId="3A612361">
      <w:pPr>
        <w:spacing w:line="600" w:lineRule="exact"/>
        <w:ind w:firstLine="600" w:firstLineChars="200"/>
        <w:rPr>
          <w:rFonts w:ascii="仿宋_GB2312" w:eastAsia="仿宋_GB2312"/>
          <w:sz w:val="30"/>
          <w:szCs w:val="30"/>
        </w:rPr>
      </w:pPr>
      <w:r>
        <w:rPr>
          <w:rFonts w:hint="eastAsia" w:ascii="仿宋_GB2312" w:eastAsia="仿宋_GB2312"/>
          <w:sz w:val="30"/>
          <w:szCs w:val="30"/>
        </w:rPr>
        <w:t>公募基金、保险公司及保险资产管理公司、商业银行及商业银行理财机构、期货公司资产管理子公司等金融机构及其管理的各类产品，若证券公司交易终端、</w:t>
      </w:r>
      <w:r>
        <w:rPr>
          <w:rFonts w:ascii="仿宋_GB2312" w:eastAsia="仿宋_GB2312"/>
          <w:sz w:val="30"/>
          <w:szCs w:val="30"/>
        </w:rPr>
        <w:t>PB系统</w:t>
      </w:r>
      <w:r>
        <w:rPr>
          <w:rFonts w:hint="eastAsia" w:ascii="仿宋_GB2312" w:eastAsia="仿宋_GB2312"/>
          <w:sz w:val="30"/>
          <w:szCs w:val="30"/>
        </w:rPr>
        <w:t>无法满足其正常交易需求的，证券公司可在确保合规与风险可控的前提下允许前述债券投资者的相关系统接入。</w:t>
      </w:r>
    </w:p>
    <w:p w14:paraId="08FF81A5">
      <w:pPr>
        <w:spacing w:line="600" w:lineRule="exact"/>
        <w:ind w:firstLine="600" w:firstLineChars="200"/>
        <w:rPr>
          <w:rFonts w:ascii="仿宋_GB2312" w:eastAsia="仿宋_GB2312"/>
          <w:sz w:val="30"/>
          <w:szCs w:val="30"/>
        </w:rPr>
      </w:pPr>
      <w:r>
        <w:rPr>
          <w:rFonts w:hint="eastAsia" w:ascii="仿宋_GB2312" w:eastAsia="仿宋_GB2312"/>
          <w:sz w:val="30"/>
          <w:szCs w:val="30"/>
        </w:rPr>
        <w:t>在前述情况下，相关债券投资者不得将相关系统转让、出借给第三方使用或为第三方提供接入服务，不得借助证券公司提供的接入服务违规出借账户或者违法从事相关业务活动。</w:t>
      </w:r>
    </w:p>
    <w:p w14:paraId="414D0625">
      <w:pPr>
        <w:numPr>
          <w:ilvl w:val="2"/>
          <w:numId w:val="4"/>
        </w:numPr>
        <w:spacing w:line="600" w:lineRule="exact"/>
        <w:ind w:left="0" w:firstLine="0"/>
        <w:outlineLvl w:val="2"/>
        <w:rPr>
          <w:rFonts w:ascii="仿宋_GB2312" w:hAnsi="黑体" w:eastAsia="仿宋_GB2312" w:cs="仿宋_GB2312"/>
          <w:b/>
          <w:sz w:val="30"/>
          <w:szCs w:val="30"/>
        </w:rPr>
      </w:pPr>
      <w:r>
        <w:rPr>
          <w:rFonts w:ascii="仿宋_GB2312" w:hAnsi="黑体" w:eastAsia="仿宋_GB2312" w:cs="仿宋_GB2312"/>
          <w:b/>
          <w:sz w:val="30"/>
          <w:szCs w:val="30"/>
        </w:rPr>
        <w:t>委托指令</w:t>
      </w:r>
    </w:p>
    <w:p w14:paraId="2CE35EBA">
      <w:pPr>
        <w:spacing w:line="600" w:lineRule="exact"/>
        <w:ind w:firstLine="600" w:firstLineChars="200"/>
        <w:rPr>
          <w:rFonts w:ascii="仿宋_GB2312" w:eastAsia="仿宋_GB2312"/>
          <w:sz w:val="30"/>
          <w:szCs w:val="30"/>
        </w:rPr>
      </w:pPr>
      <w:r>
        <w:rPr>
          <w:rFonts w:hint="eastAsia" w:ascii="仿宋_GB2312" w:eastAsia="仿宋_GB2312"/>
          <w:sz w:val="30"/>
          <w:szCs w:val="30"/>
        </w:rPr>
        <w:t>经纪客户要确保本方发出的交易指令所载明的相关内容真实、完整、准确，采用匹配成交方式的委托指令应当包括下列内容：</w:t>
      </w:r>
    </w:p>
    <w:p w14:paraId="3254EC3A">
      <w:pPr>
        <w:spacing w:line="600" w:lineRule="exact"/>
        <w:ind w:firstLine="600" w:firstLineChars="200"/>
        <w:rPr>
          <w:rFonts w:ascii="仿宋_GB2312" w:eastAsia="仿宋_GB2312"/>
          <w:sz w:val="30"/>
          <w:szCs w:val="30"/>
        </w:rPr>
      </w:pPr>
      <w:r>
        <w:rPr>
          <w:rFonts w:hint="eastAsia" w:ascii="仿宋_GB2312" w:eastAsia="仿宋_GB2312"/>
          <w:sz w:val="30"/>
          <w:szCs w:val="30"/>
        </w:rPr>
        <w:t>（1）证券账户号码；</w:t>
      </w:r>
    </w:p>
    <w:p w14:paraId="419C06BF">
      <w:pPr>
        <w:spacing w:line="600" w:lineRule="exact"/>
        <w:ind w:firstLine="600" w:firstLineChars="200"/>
        <w:rPr>
          <w:rFonts w:ascii="仿宋_GB2312" w:eastAsia="仿宋_GB2312"/>
          <w:sz w:val="30"/>
          <w:szCs w:val="30"/>
        </w:rPr>
      </w:pPr>
      <w:r>
        <w:rPr>
          <w:rFonts w:hint="eastAsia" w:ascii="仿宋_GB2312" w:eastAsia="仿宋_GB2312"/>
          <w:sz w:val="30"/>
          <w:szCs w:val="30"/>
        </w:rPr>
        <w:t>（2）证券代码；</w:t>
      </w:r>
    </w:p>
    <w:p w14:paraId="4AFB65C6">
      <w:pPr>
        <w:spacing w:line="600" w:lineRule="exact"/>
        <w:ind w:firstLine="600" w:firstLineChars="200"/>
        <w:rPr>
          <w:rFonts w:ascii="仿宋_GB2312" w:eastAsia="仿宋_GB2312"/>
          <w:sz w:val="30"/>
          <w:szCs w:val="30"/>
        </w:rPr>
      </w:pPr>
      <w:r>
        <w:rPr>
          <w:rFonts w:hint="eastAsia" w:ascii="仿宋_GB2312" w:eastAsia="仿宋_GB2312"/>
          <w:sz w:val="30"/>
          <w:szCs w:val="30"/>
        </w:rPr>
        <w:t>（3）交易方向；</w:t>
      </w:r>
    </w:p>
    <w:p w14:paraId="72362296">
      <w:pPr>
        <w:spacing w:line="600" w:lineRule="exact"/>
        <w:ind w:firstLine="600" w:firstLineChars="200"/>
        <w:rPr>
          <w:rFonts w:ascii="仿宋_GB2312" w:eastAsia="仿宋_GB2312"/>
          <w:sz w:val="30"/>
          <w:szCs w:val="30"/>
        </w:rPr>
      </w:pPr>
      <w:r>
        <w:rPr>
          <w:rFonts w:hint="eastAsia" w:ascii="仿宋_GB2312" w:eastAsia="仿宋_GB2312"/>
          <w:sz w:val="30"/>
          <w:szCs w:val="30"/>
        </w:rPr>
        <w:t>（4）委托数量；</w:t>
      </w:r>
    </w:p>
    <w:p w14:paraId="6473C988">
      <w:pPr>
        <w:spacing w:line="600" w:lineRule="exact"/>
        <w:ind w:firstLine="600" w:firstLineChars="200"/>
        <w:rPr>
          <w:rFonts w:ascii="仿宋_GB2312" w:eastAsia="仿宋_GB2312"/>
          <w:sz w:val="30"/>
          <w:szCs w:val="30"/>
        </w:rPr>
      </w:pPr>
      <w:r>
        <w:rPr>
          <w:rFonts w:hint="eastAsia" w:ascii="仿宋_GB2312" w:eastAsia="仿宋_GB2312"/>
          <w:sz w:val="30"/>
          <w:szCs w:val="30"/>
        </w:rPr>
        <w:t>（5）委托价格；</w:t>
      </w:r>
    </w:p>
    <w:p w14:paraId="14D92A81">
      <w:pPr>
        <w:spacing w:line="600" w:lineRule="exact"/>
        <w:ind w:firstLine="600" w:firstLineChars="200"/>
        <w:rPr>
          <w:rFonts w:ascii="仿宋_GB2312" w:eastAsia="仿宋_GB2312"/>
          <w:sz w:val="30"/>
          <w:szCs w:val="30"/>
        </w:rPr>
      </w:pPr>
      <w:r>
        <w:rPr>
          <w:rFonts w:hint="eastAsia" w:ascii="仿宋_GB2312" w:eastAsia="仿宋_GB2312"/>
          <w:sz w:val="30"/>
          <w:szCs w:val="30"/>
        </w:rPr>
        <w:t>（6）本所及会员要求的其他内容</w:t>
      </w:r>
    </w:p>
    <w:p w14:paraId="3E33D262">
      <w:pPr>
        <w:spacing w:line="600" w:lineRule="exact"/>
        <w:ind w:firstLine="600" w:firstLineChars="200"/>
        <w:rPr>
          <w:rFonts w:ascii="仿宋_GB2312" w:eastAsia="仿宋_GB2312"/>
          <w:sz w:val="30"/>
          <w:szCs w:val="30"/>
        </w:rPr>
      </w:pPr>
      <w:r>
        <w:rPr>
          <w:rFonts w:hint="eastAsia" w:ascii="仿宋_GB2312" w:eastAsia="仿宋_GB2312"/>
          <w:sz w:val="30"/>
          <w:szCs w:val="30"/>
        </w:rPr>
        <w:t>采用匹配成交方式的，经纪客户仅允许采用限价委托的方式委托证券公司下达委托指令。</w:t>
      </w:r>
    </w:p>
    <w:p w14:paraId="64DD271F">
      <w:pPr>
        <w:spacing w:line="600" w:lineRule="exact"/>
        <w:ind w:firstLine="600" w:firstLineChars="200"/>
        <w:rPr>
          <w:rFonts w:ascii="仿宋_GB2312" w:eastAsia="仿宋_GB2312"/>
          <w:sz w:val="30"/>
          <w:szCs w:val="30"/>
        </w:rPr>
      </w:pPr>
      <w:r>
        <w:rPr>
          <w:rFonts w:hint="eastAsia" w:ascii="仿宋_GB2312" w:eastAsia="仿宋_GB2312"/>
          <w:sz w:val="30"/>
          <w:szCs w:val="30"/>
        </w:rPr>
        <w:t>经纪客户采用点击成交、询价成交、竞买成交、协商成交等交易方式的委托指令内容，应当包含本指南第</w:t>
      </w:r>
      <w:r>
        <w:rPr>
          <w:rFonts w:ascii="仿宋_GB2312" w:eastAsia="仿宋_GB2312"/>
          <w:sz w:val="30"/>
          <w:szCs w:val="30"/>
        </w:rPr>
        <w:t>5</w:t>
      </w:r>
      <w:r>
        <w:rPr>
          <w:rFonts w:hint="eastAsia" w:ascii="仿宋_GB2312" w:eastAsia="仿宋_GB2312"/>
          <w:sz w:val="30"/>
          <w:szCs w:val="30"/>
        </w:rPr>
        <w:t>章中各交易方式所对应的申报要素。</w:t>
      </w:r>
    </w:p>
    <w:p w14:paraId="4CB7CEA1">
      <w:pPr>
        <w:spacing w:line="600" w:lineRule="exact"/>
        <w:ind w:firstLine="600" w:firstLineChars="200"/>
        <w:rPr>
          <w:rFonts w:ascii="仿宋_GB2312" w:eastAsia="仿宋_GB2312"/>
          <w:sz w:val="30"/>
          <w:szCs w:val="30"/>
        </w:rPr>
      </w:pPr>
      <w:r>
        <w:rPr>
          <w:rFonts w:hint="eastAsia" w:ascii="仿宋_GB2312" w:eastAsia="仿宋_GB2312"/>
          <w:sz w:val="30"/>
          <w:szCs w:val="30"/>
        </w:rPr>
        <w:t>经纪客户可通过交易终端、证券公司PB系统客户端或向证券公司书面报单等方式下达债券交易委托。经纪客户委托证券公司申报并达成债券交易的，应当及时向证券公司交付相应的债券或者资金。</w:t>
      </w:r>
    </w:p>
    <w:p w14:paraId="7A3E9CA4">
      <w:pPr>
        <w:spacing w:line="600" w:lineRule="exact"/>
        <w:ind w:firstLine="600" w:firstLineChars="200"/>
        <w:rPr>
          <w:rFonts w:ascii="仿宋_GB2312" w:eastAsia="仿宋_GB2312"/>
          <w:sz w:val="30"/>
          <w:szCs w:val="30"/>
        </w:rPr>
      </w:pPr>
      <w:r>
        <w:rPr>
          <w:rFonts w:hint="eastAsia" w:ascii="仿宋_GB2312" w:eastAsia="仿宋_GB2312"/>
          <w:sz w:val="30"/>
          <w:szCs w:val="30"/>
        </w:rPr>
        <w:t>证券公司应当建立完善的投资者适当性管理制度和债券交易监测监控系统，按照本所会员管理相关规则，对其经纪客户的债券交易委托指令进行核查，完成验资或验券操作后，冻结该客户账户资金或相应的债券。对不符合相关规定或可能严重影响正常交易秩序的委托指令应当拒绝接受。</w:t>
      </w:r>
    </w:p>
    <w:p w14:paraId="5FC52635">
      <w:pPr>
        <w:numPr>
          <w:ilvl w:val="2"/>
          <w:numId w:val="4"/>
        </w:numPr>
        <w:spacing w:line="600" w:lineRule="exact"/>
        <w:ind w:left="0" w:firstLine="0"/>
        <w:outlineLvl w:val="2"/>
        <w:rPr>
          <w:rFonts w:ascii="仿宋_GB2312" w:hAnsi="黑体" w:eastAsia="仿宋_GB2312" w:cs="仿宋_GB2312"/>
          <w:b/>
          <w:sz w:val="30"/>
          <w:szCs w:val="30"/>
        </w:rPr>
      </w:pPr>
      <w:r>
        <w:rPr>
          <w:rFonts w:ascii="仿宋_GB2312" w:hAnsi="黑体" w:eastAsia="仿宋_GB2312" w:cs="仿宋_GB2312"/>
          <w:b/>
          <w:sz w:val="30"/>
          <w:szCs w:val="30"/>
        </w:rPr>
        <w:t>委托撤销</w:t>
      </w:r>
      <w:r>
        <w:rPr>
          <w:rFonts w:hint="eastAsia" w:ascii="仿宋_GB2312" w:hAnsi="黑体" w:eastAsia="仿宋_GB2312" w:cs="仿宋_GB2312"/>
          <w:b/>
          <w:sz w:val="30"/>
          <w:szCs w:val="30"/>
        </w:rPr>
        <w:t>和交易解除</w:t>
      </w:r>
    </w:p>
    <w:p w14:paraId="507BF4B5">
      <w:pPr>
        <w:pStyle w:val="90"/>
        <w:adjustRightInd w:val="0"/>
        <w:snapToGrid w:val="0"/>
        <w:spacing w:line="600" w:lineRule="exact"/>
        <w:ind w:firstLine="600"/>
        <w:rPr>
          <w:rFonts w:hAnsi="Times New Roman"/>
          <w:sz w:val="30"/>
          <w:szCs w:val="30"/>
        </w:rPr>
      </w:pPr>
      <w:r>
        <w:rPr>
          <w:rFonts w:hint="eastAsia" w:hAnsi="Times New Roman"/>
          <w:sz w:val="30"/>
          <w:szCs w:val="30"/>
        </w:rPr>
        <w:t>经纪客户按照与证券公司的协定，可通过交易终端、证券公司PB系统客户端或向证券公司书面报单等方式撤销委托指令的未成交部分。</w:t>
      </w:r>
    </w:p>
    <w:p w14:paraId="5225FF51">
      <w:pPr>
        <w:pStyle w:val="90"/>
        <w:adjustRightInd w:val="0"/>
        <w:snapToGrid w:val="0"/>
        <w:spacing w:line="600" w:lineRule="exact"/>
        <w:ind w:firstLine="600"/>
        <w:rPr>
          <w:rFonts w:hAnsi="Times New Roman"/>
          <w:sz w:val="30"/>
          <w:szCs w:val="30"/>
        </w:rPr>
      </w:pPr>
      <w:r>
        <w:rPr>
          <w:rFonts w:hint="eastAsia" w:hAnsi="Times New Roman"/>
          <w:sz w:val="30"/>
          <w:szCs w:val="30"/>
        </w:rPr>
        <w:t>经纪客户若通过交易终端、证券公司PB系统客户端下达债券交易委托的，对于未成交部分，客户可通过</w:t>
      </w:r>
      <w:r>
        <w:rPr>
          <w:rFonts w:hAnsi="Times New Roman"/>
          <w:sz w:val="30"/>
          <w:szCs w:val="30"/>
        </w:rPr>
        <w:t>原方式</w:t>
      </w:r>
      <w:r>
        <w:rPr>
          <w:rFonts w:hint="eastAsia" w:hAnsi="Times New Roman"/>
          <w:sz w:val="30"/>
          <w:szCs w:val="30"/>
        </w:rPr>
        <w:t>下达撤销原委托的指令；经纪客户若以书面方式向证券公司进行债券交易委托的，对于未成交部分，同样以书面方式向证券公司下达撤销原委托的指令。证券公司在收到经纪客户撤销委托后，应准确及时地执行撤销委托指令的提交。</w:t>
      </w:r>
    </w:p>
    <w:p w14:paraId="64F7700B">
      <w:pPr>
        <w:pStyle w:val="90"/>
        <w:adjustRightInd w:val="0"/>
        <w:snapToGrid w:val="0"/>
        <w:spacing w:line="600" w:lineRule="exact"/>
        <w:ind w:firstLine="600"/>
        <w:rPr>
          <w:rFonts w:hAnsi="Times New Roman"/>
          <w:sz w:val="30"/>
          <w:szCs w:val="30"/>
        </w:rPr>
      </w:pPr>
      <w:r>
        <w:rPr>
          <w:rFonts w:hint="eastAsia" w:hAnsi="Times New Roman"/>
          <w:sz w:val="30"/>
          <w:szCs w:val="30"/>
        </w:rPr>
        <w:t>被撤销和失效的委托，证券公司应当在确认后及时向经纪客户返还相应的资金或者债券。</w:t>
      </w:r>
    </w:p>
    <w:p w14:paraId="2314F968">
      <w:pPr>
        <w:numPr>
          <w:ilvl w:val="2"/>
          <w:numId w:val="4"/>
        </w:numPr>
        <w:spacing w:line="600" w:lineRule="exact"/>
        <w:ind w:left="0" w:firstLine="0"/>
        <w:outlineLvl w:val="2"/>
        <w:rPr>
          <w:rFonts w:ascii="仿宋_GB2312" w:eastAsia="仿宋_GB2312"/>
          <w:b/>
          <w:sz w:val="30"/>
          <w:szCs w:val="30"/>
        </w:rPr>
      </w:pPr>
      <w:r>
        <w:rPr>
          <w:rFonts w:ascii="仿宋_GB2312" w:eastAsia="仿宋_GB2312"/>
          <w:b/>
          <w:sz w:val="30"/>
          <w:szCs w:val="30"/>
        </w:rPr>
        <w:t>交易数据传输</w:t>
      </w:r>
    </w:p>
    <w:p w14:paraId="40F2199F">
      <w:pPr>
        <w:pStyle w:val="90"/>
        <w:adjustRightInd w:val="0"/>
        <w:snapToGrid w:val="0"/>
        <w:spacing w:line="600" w:lineRule="exact"/>
        <w:ind w:firstLine="600"/>
        <w:rPr>
          <w:rFonts w:hAnsi="Times New Roman"/>
          <w:sz w:val="30"/>
          <w:szCs w:val="30"/>
        </w:rPr>
      </w:pPr>
      <w:r>
        <w:rPr>
          <w:rFonts w:hint="eastAsia" w:hAnsi="Times New Roman"/>
          <w:sz w:val="30"/>
          <w:szCs w:val="30"/>
        </w:rPr>
        <w:t>经纪客户如采用证券公司PB系统客户终端或自有系统接入证券公司柜台系统提交委托指令时，可在日间实时或日终获取导出委托记录、成交回报、交易流水、资金头寸等数据。</w:t>
      </w:r>
    </w:p>
    <w:p w14:paraId="69B14C42">
      <w:pPr>
        <w:pStyle w:val="90"/>
        <w:adjustRightInd w:val="0"/>
        <w:snapToGrid w:val="0"/>
        <w:spacing w:line="600" w:lineRule="exact"/>
        <w:ind w:firstLine="600"/>
        <w:rPr>
          <w:rFonts w:hAnsi="Times New Roman"/>
          <w:sz w:val="30"/>
          <w:szCs w:val="30"/>
        </w:rPr>
      </w:pPr>
      <w:r>
        <w:rPr>
          <w:rFonts w:hint="eastAsia" w:hAnsi="Times New Roman"/>
          <w:sz w:val="30"/>
          <w:szCs w:val="30"/>
        </w:rPr>
        <w:t>经纪客户可与证券公司约定交易结算数据的接收方式及接收时点，证券公司应当保证如实向其经纪客户转发指定交易单元上的交易结算数据（可根据实际情况一次或多次转发交易结算数据）。证券公司还需按照约定时间，在其交易系统清算后，及时将资金账户电子对账单按约定方式发送给经纪客户，若经纪客户对电子对账单数据有疑义，证券公司应当协助排查问题原因，错误方应及时修正。</w:t>
      </w:r>
    </w:p>
    <w:p w14:paraId="7BF1CC93">
      <w:pPr>
        <w:numPr>
          <w:ilvl w:val="2"/>
          <w:numId w:val="4"/>
        </w:numPr>
        <w:spacing w:line="600" w:lineRule="exact"/>
        <w:ind w:left="0" w:firstLine="0"/>
        <w:outlineLvl w:val="2"/>
        <w:rPr>
          <w:sz w:val="30"/>
          <w:szCs w:val="30"/>
        </w:rPr>
      </w:pPr>
      <w:r>
        <w:rPr>
          <w:rFonts w:hint="eastAsia" w:ascii="仿宋_GB2312" w:eastAsia="仿宋_GB2312"/>
          <w:b/>
          <w:sz w:val="30"/>
          <w:szCs w:val="30"/>
        </w:rPr>
        <w:t>境外机构投资者信息报送</w:t>
      </w:r>
    </w:p>
    <w:p w14:paraId="4D6DBC07">
      <w:pPr>
        <w:autoSpaceDE w:val="0"/>
        <w:autoSpaceDN w:val="0"/>
        <w:adjustRightInd w:val="0"/>
        <w:snapToGrid w:val="0"/>
        <w:spacing w:line="600" w:lineRule="exact"/>
        <w:ind w:firstLine="600" w:firstLineChars="200"/>
        <w:rPr>
          <w:rFonts w:ascii="仿宋_GB2312" w:hAnsi="华文细黑" w:eastAsia="仿宋_GB2312" w:cs="华文细黑"/>
          <w:color w:val="000000"/>
          <w:sz w:val="30"/>
          <w:szCs w:val="30"/>
        </w:rPr>
      </w:pPr>
      <w:r>
        <w:rPr>
          <w:rFonts w:hint="eastAsia" w:ascii="仿宋_GB2312" w:hAnsi="华文细黑" w:eastAsia="仿宋_GB2312" w:cs="华文细黑"/>
          <w:color w:val="000000"/>
          <w:sz w:val="30"/>
          <w:szCs w:val="30"/>
        </w:rPr>
        <w:t>境外机构投资者应当与境内托管人签署信息报送相关委托书。托管人应在境外投资者账户开立之日起5个交易日内，向本所报送境外机构投资者基本信息、托管人基本信息及交易参与人基本信息。报送材料均应加盖机构公章或由主要负责人签字：</w:t>
      </w:r>
    </w:p>
    <w:p w14:paraId="440E5E8A">
      <w:pPr>
        <w:autoSpaceDE w:val="0"/>
        <w:autoSpaceDN w:val="0"/>
        <w:adjustRightInd w:val="0"/>
        <w:snapToGrid w:val="0"/>
        <w:spacing w:line="600" w:lineRule="exact"/>
        <w:ind w:firstLine="600" w:firstLineChars="200"/>
        <w:rPr>
          <w:rFonts w:ascii="仿宋_GB2312" w:hAnsi="华文细黑" w:eastAsia="仿宋_GB2312" w:cs="华文细黑"/>
          <w:color w:val="000000"/>
          <w:sz w:val="30"/>
          <w:szCs w:val="30"/>
        </w:rPr>
      </w:pPr>
      <w:r>
        <w:rPr>
          <w:rFonts w:hint="eastAsia" w:ascii="仿宋_GB2312" w:hAnsi="宋体" w:eastAsia="仿宋_GB2312" w:cs="宋体"/>
          <w:kern w:val="0"/>
          <w:sz w:val="30"/>
          <w:szCs w:val="30"/>
        </w:rPr>
        <w:t>（1）境外机构投资者信息报送表（附件4，</w:t>
      </w:r>
      <w:r>
        <w:rPr>
          <w:rFonts w:hint="eastAsia" w:ascii="仿宋_GB2312" w:hAnsi="华文细黑" w:eastAsia="仿宋_GB2312" w:cs="华文细黑"/>
          <w:color w:val="000000"/>
          <w:sz w:val="30"/>
          <w:szCs w:val="30"/>
        </w:rPr>
        <w:t>需加盖境外机构投资者印鉴或由主要负责人签字）；</w:t>
      </w:r>
    </w:p>
    <w:p w14:paraId="752C1181">
      <w:pPr>
        <w:autoSpaceDE w:val="0"/>
        <w:autoSpaceDN w:val="0"/>
        <w:adjustRightInd w:val="0"/>
        <w:snapToGrid w:val="0"/>
        <w:spacing w:line="600" w:lineRule="exact"/>
        <w:ind w:firstLine="600" w:firstLineChars="200"/>
        <w:rPr>
          <w:rFonts w:ascii="仿宋_GB2312" w:hAnsi="华文细黑" w:eastAsia="仿宋_GB2312" w:cs="华文细黑"/>
          <w:color w:val="000000"/>
          <w:sz w:val="30"/>
          <w:szCs w:val="30"/>
        </w:rPr>
      </w:pPr>
      <w:r>
        <w:rPr>
          <w:rFonts w:hint="eastAsia" w:ascii="仿宋_GB2312" w:hAnsi="华文细黑" w:eastAsia="仿宋_GB2312" w:cs="华文细黑"/>
          <w:color w:val="000000"/>
          <w:sz w:val="30"/>
          <w:szCs w:val="30"/>
        </w:rPr>
        <w:t>（2）中国人民银行或中国人民银行上海总部向境外机构投资者出具的备案证明文件复印件（需加盖境外机构投资者印鉴或由主要负责人签字）；</w:t>
      </w:r>
    </w:p>
    <w:p w14:paraId="78246C88">
      <w:pPr>
        <w:autoSpaceDE w:val="0"/>
        <w:autoSpaceDN w:val="0"/>
        <w:adjustRightInd w:val="0"/>
        <w:snapToGrid w:val="0"/>
        <w:spacing w:line="600" w:lineRule="exact"/>
        <w:ind w:firstLine="600" w:firstLineChars="200"/>
        <w:rPr>
          <w:rFonts w:ascii="仿宋_GB2312" w:hAnsi="华文细黑" w:eastAsia="仿宋_GB2312" w:cs="华文细黑"/>
          <w:color w:val="000000"/>
          <w:sz w:val="30"/>
          <w:szCs w:val="30"/>
        </w:rPr>
      </w:pPr>
      <w:r>
        <w:rPr>
          <w:rFonts w:hint="eastAsia" w:ascii="仿宋_GB2312" w:hAnsi="华文细黑" w:eastAsia="仿宋_GB2312" w:cs="华文细黑"/>
          <w:color w:val="000000"/>
          <w:sz w:val="30"/>
          <w:szCs w:val="30"/>
        </w:rPr>
        <w:t>（3）上交所要求的其他材料。</w:t>
      </w:r>
    </w:p>
    <w:p w14:paraId="539A9A75">
      <w:pPr>
        <w:spacing w:line="600" w:lineRule="exact"/>
        <w:ind w:firstLine="600" w:firstLineChars="200"/>
        <w:textAlignment w:val="center"/>
        <w:rPr>
          <w:rFonts w:ascii="仿宋_GB2312" w:hAnsi="华文细黑" w:eastAsia="仿宋_GB2312" w:cs="华文细黑"/>
          <w:color w:val="000000"/>
          <w:sz w:val="30"/>
          <w:szCs w:val="30"/>
        </w:rPr>
      </w:pPr>
      <w:r>
        <w:rPr>
          <w:rFonts w:hint="eastAsia" w:ascii="仿宋_GB2312" w:hAnsi="华文细黑" w:eastAsia="仿宋_GB2312" w:cs="华文细黑"/>
          <w:color w:val="000000"/>
          <w:sz w:val="30"/>
          <w:szCs w:val="30"/>
        </w:rPr>
        <w:t>境外机构投资者存在下列情形之一的，其托管人应当在该事实发生之日或客户通知之日起</w:t>
      </w:r>
      <w:r>
        <w:rPr>
          <w:rFonts w:ascii="仿宋_GB2312" w:hAnsi="华文细黑" w:eastAsia="仿宋_GB2312" w:cs="华文细黑"/>
          <w:color w:val="000000"/>
          <w:sz w:val="30"/>
          <w:szCs w:val="30"/>
        </w:rPr>
        <w:t>5个</w:t>
      </w:r>
      <w:r>
        <w:rPr>
          <w:rFonts w:hint="eastAsia" w:ascii="仿宋_GB2312" w:hAnsi="华文细黑" w:eastAsia="仿宋_GB2312" w:cs="华文细黑"/>
          <w:color w:val="000000"/>
          <w:sz w:val="30"/>
          <w:szCs w:val="30"/>
        </w:rPr>
        <w:t>交易日内将有关情况报送上交所：</w:t>
      </w:r>
    </w:p>
    <w:p w14:paraId="74439C4F">
      <w:pPr>
        <w:spacing w:line="600" w:lineRule="exact"/>
        <w:ind w:firstLine="600" w:firstLineChars="200"/>
        <w:textAlignment w:val="center"/>
        <w:rPr>
          <w:rFonts w:ascii="仿宋_GB2312" w:hAnsi="华文细黑" w:eastAsia="仿宋_GB2312" w:cs="华文细黑"/>
          <w:color w:val="000000"/>
          <w:sz w:val="30"/>
          <w:szCs w:val="30"/>
        </w:rPr>
      </w:pPr>
      <w:r>
        <w:rPr>
          <w:rFonts w:hint="eastAsia" w:ascii="仿宋_GB2312" w:hAnsi="华文细黑" w:eastAsia="仿宋_GB2312" w:cs="华文细黑"/>
          <w:color w:val="000000"/>
          <w:sz w:val="30"/>
          <w:szCs w:val="30"/>
        </w:rPr>
        <w:t>（1）指定或变更托管人；</w:t>
      </w:r>
      <w:r>
        <w:rPr>
          <w:rFonts w:ascii="仿宋_GB2312" w:hAnsi="华文细黑" w:eastAsia="仿宋_GB2312" w:cs="华文细黑"/>
          <w:color w:val="000000"/>
          <w:sz w:val="30"/>
          <w:szCs w:val="30"/>
        </w:rPr>
        <w:t xml:space="preserve">  </w:t>
      </w:r>
    </w:p>
    <w:p w14:paraId="4B785470">
      <w:pPr>
        <w:spacing w:line="600" w:lineRule="exact"/>
        <w:ind w:left="150" w:firstLine="450" w:firstLineChars="150"/>
        <w:textAlignment w:val="center"/>
        <w:rPr>
          <w:rFonts w:ascii="仿宋_GB2312" w:hAnsi="华文细黑" w:eastAsia="仿宋_GB2312" w:cs="华文细黑"/>
          <w:color w:val="000000"/>
          <w:sz w:val="30"/>
          <w:szCs w:val="30"/>
        </w:rPr>
      </w:pPr>
      <w:r>
        <w:rPr>
          <w:rFonts w:hint="eastAsia" w:ascii="仿宋_GB2312" w:hAnsi="华文细黑" w:eastAsia="仿宋_GB2312" w:cs="华文细黑"/>
          <w:color w:val="000000"/>
          <w:sz w:val="30"/>
          <w:szCs w:val="30"/>
        </w:rPr>
        <w:t>（2）开立、注销证券账户，指定或变更交易参与人、结算参与人；</w:t>
      </w:r>
    </w:p>
    <w:p w14:paraId="225F8476">
      <w:pPr>
        <w:spacing w:line="600" w:lineRule="exact"/>
        <w:ind w:firstLine="600" w:firstLineChars="200"/>
        <w:textAlignment w:val="center"/>
        <w:rPr>
          <w:rFonts w:ascii="仿宋_GB2312" w:hAnsi="华文细黑" w:eastAsia="仿宋_GB2312" w:cs="华文细黑"/>
          <w:color w:val="000000"/>
          <w:sz w:val="30"/>
          <w:szCs w:val="30"/>
        </w:rPr>
      </w:pPr>
      <w:r>
        <w:rPr>
          <w:rFonts w:hint="eastAsia" w:ascii="仿宋_GB2312" w:hAnsi="华文细黑" w:eastAsia="仿宋_GB2312" w:cs="华文细黑"/>
          <w:color w:val="000000"/>
          <w:sz w:val="30"/>
          <w:szCs w:val="30"/>
        </w:rPr>
        <w:t>（3）变更机构名称、注册地、业务联系人等基本信息；</w:t>
      </w:r>
    </w:p>
    <w:p w14:paraId="193604CE">
      <w:pPr>
        <w:spacing w:line="600" w:lineRule="exact"/>
        <w:ind w:firstLine="600" w:firstLineChars="200"/>
        <w:textAlignment w:val="center"/>
        <w:rPr>
          <w:rFonts w:ascii="仿宋_GB2312" w:hAnsi="华文细黑" w:eastAsia="仿宋_GB2312" w:cs="华文细黑"/>
          <w:color w:val="000000"/>
          <w:sz w:val="30"/>
          <w:szCs w:val="30"/>
        </w:rPr>
      </w:pPr>
      <w:r>
        <w:rPr>
          <w:rFonts w:hint="eastAsia" w:ascii="仿宋_GB2312" w:hAnsi="华文细黑" w:eastAsia="仿宋_GB2312" w:cs="华文细黑"/>
          <w:color w:val="000000"/>
          <w:sz w:val="30"/>
          <w:szCs w:val="30"/>
        </w:rPr>
        <w:t>（4）解散、宣告破产或者被其他机构合并；</w:t>
      </w:r>
    </w:p>
    <w:p w14:paraId="414D9C32">
      <w:pPr>
        <w:spacing w:line="600" w:lineRule="exact"/>
        <w:ind w:firstLine="600" w:firstLineChars="200"/>
        <w:textAlignment w:val="center"/>
        <w:rPr>
          <w:rFonts w:ascii="仿宋_GB2312" w:hAnsi="华文细黑" w:eastAsia="仿宋_GB2312" w:cs="华文细黑"/>
          <w:color w:val="000000"/>
          <w:sz w:val="30"/>
          <w:szCs w:val="30"/>
        </w:rPr>
      </w:pPr>
      <w:r>
        <w:rPr>
          <w:rFonts w:hint="eastAsia" w:ascii="仿宋_GB2312" w:hAnsi="华文细黑" w:eastAsia="仿宋_GB2312" w:cs="华文细黑"/>
          <w:color w:val="000000"/>
          <w:sz w:val="30"/>
          <w:szCs w:val="30"/>
        </w:rPr>
        <w:t>（5）涉及境内外重大诉讼或其他重大事件；</w:t>
      </w:r>
    </w:p>
    <w:p w14:paraId="6D776D9B">
      <w:pPr>
        <w:spacing w:line="600" w:lineRule="exact"/>
        <w:ind w:firstLine="600" w:firstLineChars="200"/>
        <w:textAlignment w:val="center"/>
        <w:rPr>
          <w:rFonts w:ascii="仿宋_GB2312" w:hAnsi="华文细黑" w:eastAsia="仿宋_GB2312" w:cs="华文细黑"/>
          <w:color w:val="000000"/>
          <w:sz w:val="30"/>
          <w:szCs w:val="30"/>
        </w:rPr>
      </w:pPr>
      <w:r>
        <w:rPr>
          <w:rFonts w:hint="eastAsia" w:ascii="仿宋_GB2312" w:hAnsi="华文细黑" w:eastAsia="仿宋_GB2312" w:cs="华文细黑"/>
          <w:color w:val="000000"/>
          <w:sz w:val="30"/>
          <w:szCs w:val="30"/>
        </w:rPr>
        <w:t>（6）在境内外受到重大处罚；</w:t>
      </w:r>
    </w:p>
    <w:p w14:paraId="1F4AF775">
      <w:pPr>
        <w:spacing w:line="600" w:lineRule="exact"/>
        <w:ind w:firstLine="600" w:firstLineChars="200"/>
        <w:textAlignment w:val="center"/>
        <w:rPr>
          <w:rFonts w:ascii="仿宋_GB2312" w:hAnsi="华文细黑" w:eastAsia="仿宋_GB2312" w:cs="华文细黑"/>
          <w:color w:val="000000"/>
          <w:sz w:val="30"/>
          <w:szCs w:val="30"/>
        </w:rPr>
      </w:pPr>
      <w:r>
        <w:rPr>
          <w:rFonts w:hint="eastAsia" w:ascii="仿宋_GB2312" w:hAnsi="华文细黑" w:eastAsia="仿宋_GB2312" w:cs="华文细黑"/>
          <w:color w:val="000000"/>
          <w:sz w:val="30"/>
          <w:szCs w:val="30"/>
        </w:rPr>
        <w:t>（7）受到自律管理措施；</w:t>
      </w:r>
    </w:p>
    <w:p w14:paraId="12A807F6">
      <w:pPr>
        <w:spacing w:line="600" w:lineRule="exact"/>
        <w:ind w:firstLine="600" w:firstLineChars="200"/>
        <w:textAlignment w:val="center"/>
        <w:rPr>
          <w:rFonts w:ascii="仿宋_GB2312" w:hAnsi="华文细黑" w:eastAsia="仿宋_GB2312" w:cs="华文细黑"/>
          <w:color w:val="000000"/>
          <w:sz w:val="30"/>
          <w:szCs w:val="30"/>
        </w:rPr>
      </w:pPr>
      <w:r>
        <w:rPr>
          <w:rFonts w:hint="eastAsia" w:ascii="仿宋_GB2312" w:hAnsi="华文细黑" w:eastAsia="仿宋_GB2312" w:cs="华文细黑"/>
          <w:color w:val="000000"/>
          <w:sz w:val="30"/>
          <w:szCs w:val="30"/>
        </w:rPr>
        <w:t>（8）受到中国证监会、中国人民银行或国家外汇管理局处罚；</w:t>
      </w:r>
    </w:p>
    <w:p w14:paraId="15E44B0A">
      <w:pPr>
        <w:spacing w:line="600" w:lineRule="exact"/>
        <w:ind w:firstLine="600" w:firstLineChars="200"/>
        <w:rPr>
          <w:rFonts w:ascii="仿宋_GB2312" w:eastAsia="仿宋_GB2312"/>
          <w:sz w:val="30"/>
          <w:szCs w:val="30"/>
        </w:rPr>
      </w:pPr>
      <w:r>
        <w:rPr>
          <w:rFonts w:hint="eastAsia" w:ascii="仿宋_GB2312" w:hAnsi="华文细黑" w:eastAsia="仿宋_GB2312" w:cs="华文细黑"/>
          <w:color w:val="000000"/>
          <w:sz w:val="30"/>
          <w:szCs w:val="30"/>
        </w:rPr>
        <w:t>（9）有关监管机构以及上交所、中国结算规定的其他情形。</w:t>
      </w:r>
    </w:p>
    <w:p w14:paraId="23E3D154">
      <w:pPr>
        <w:spacing w:line="600" w:lineRule="exact"/>
        <w:ind w:firstLine="600" w:firstLineChars="200"/>
        <w:rPr>
          <w:rFonts w:ascii="仿宋_GB2312" w:hAnsi="华文细黑" w:eastAsia="仿宋_GB2312" w:cs="华文细黑"/>
          <w:color w:val="000000"/>
          <w:sz w:val="30"/>
          <w:szCs w:val="30"/>
        </w:rPr>
      </w:pPr>
      <w:r>
        <w:rPr>
          <w:rFonts w:hint="eastAsia" w:ascii="仿宋_GB2312" w:hAnsi="华文细黑" w:eastAsia="仿宋_GB2312" w:cs="华文细黑"/>
          <w:color w:val="000000"/>
          <w:sz w:val="30"/>
          <w:szCs w:val="30"/>
        </w:rPr>
        <w:t>业务初期，托管人可将相关材料扫描件通过电子邮件发送至本所邮箱bondtrading@sse.com.cn，邮件标题注明“境外机构投资者信息报送”。电子报送实施时间另行通知。</w:t>
      </w:r>
    </w:p>
    <w:p w14:paraId="5E10C842">
      <w:pPr>
        <w:pStyle w:val="90"/>
        <w:adjustRightInd w:val="0"/>
        <w:snapToGrid w:val="0"/>
        <w:spacing w:line="600" w:lineRule="exact"/>
        <w:ind w:firstLine="600"/>
        <w:rPr>
          <w:rFonts w:hAnsi="Times New Roman"/>
          <w:sz w:val="30"/>
          <w:szCs w:val="30"/>
        </w:rPr>
      </w:pPr>
      <w:r>
        <w:rPr>
          <w:rFonts w:hint="eastAsia" w:hAnsi="华文细黑" w:cs="华文细黑"/>
          <w:color w:val="000000"/>
          <w:sz w:val="30"/>
          <w:szCs w:val="30"/>
        </w:rPr>
        <w:t>境外机构投资者参与上交所债券投资业务的具体要求，参见《上海证券交易所 中国证券登记结算有限责任公司境外机构投资者债券交易及登记结算业务实施细则》。</w:t>
      </w:r>
    </w:p>
    <w:p w14:paraId="0A0AA21F">
      <w:pPr>
        <w:numPr>
          <w:ilvl w:val="1"/>
          <w:numId w:val="4"/>
        </w:numPr>
        <w:spacing w:line="600" w:lineRule="exact"/>
        <w:ind w:left="0" w:firstLine="0"/>
        <w:outlineLvl w:val="1"/>
        <w:rPr>
          <w:rFonts w:ascii="仿宋_GB2312" w:eastAsia="仿宋_GB2312"/>
          <w:b/>
          <w:sz w:val="30"/>
          <w:szCs w:val="30"/>
        </w:rPr>
      </w:pPr>
      <w:bookmarkStart w:id="291" w:name="_Toc59034073"/>
      <w:bookmarkEnd w:id="291"/>
      <w:bookmarkStart w:id="292" w:name="_Toc59181282"/>
      <w:bookmarkEnd w:id="292"/>
      <w:bookmarkStart w:id="293" w:name="_Toc59181170"/>
      <w:bookmarkEnd w:id="293"/>
      <w:bookmarkStart w:id="294" w:name="_Toc59181058"/>
      <w:bookmarkEnd w:id="294"/>
      <w:bookmarkStart w:id="295" w:name="_Toc60331833"/>
      <w:bookmarkEnd w:id="295"/>
      <w:bookmarkStart w:id="296" w:name="_Toc59106956"/>
      <w:bookmarkEnd w:id="296"/>
      <w:bookmarkStart w:id="297" w:name="_Toc60327076"/>
      <w:bookmarkEnd w:id="297"/>
      <w:bookmarkStart w:id="298" w:name="_Toc59034552"/>
      <w:bookmarkEnd w:id="298"/>
      <w:bookmarkStart w:id="299" w:name="_Toc57908876"/>
      <w:bookmarkEnd w:id="299"/>
      <w:bookmarkStart w:id="300" w:name="_Toc1859415864"/>
      <w:bookmarkStart w:id="301" w:name="_Toc56166070"/>
      <w:bookmarkStart w:id="302" w:name="_Toc151136889"/>
      <w:bookmarkStart w:id="303" w:name="_Toc2344104"/>
      <w:bookmarkStart w:id="304" w:name="_Toc387502412"/>
      <w:bookmarkStart w:id="305" w:name="_Toc604907526"/>
      <w:bookmarkStart w:id="306" w:name="_Toc263732507"/>
      <w:bookmarkStart w:id="307" w:name="_Toc1625253757"/>
      <w:bookmarkStart w:id="308" w:name="_Toc56166259"/>
      <w:r>
        <w:rPr>
          <w:rFonts w:hint="eastAsia" w:ascii="仿宋_GB2312" w:eastAsia="仿宋_GB2312"/>
          <w:b/>
          <w:sz w:val="30"/>
          <w:szCs w:val="30"/>
        </w:rPr>
        <w:t>券商</w:t>
      </w:r>
      <w:r>
        <w:rPr>
          <w:rFonts w:ascii="仿宋_GB2312" w:eastAsia="仿宋_GB2312"/>
          <w:b/>
          <w:sz w:val="30"/>
          <w:szCs w:val="30"/>
        </w:rPr>
        <w:t>结算</w:t>
      </w:r>
      <w:bookmarkEnd w:id="300"/>
      <w:bookmarkEnd w:id="301"/>
      <w:bookmarkEnd w:id="302"/>
      <w:bookmarkEnd w:id="303"/>
      <w:bookmarkEnd w:id="304"/>
      <w:bookmarkEnd w:id="305"/>
      <w:bookmarkEnd w:id="306"/>
      <w:bookmarkEnd w:id="307"/>
      <w:bookmarkEnd w:id="308"/>
    </w:p>
    <w:p w14:paraId="2267AF06">
      <w:pPr>
        <w:pStyle w:val="90"/>
        <w:adjustRightInd w:val="0"/>
        <w:snapToGrid w:val="0"/>
        <w:spacing w:line="600" w:lineRule="exact"/>
        <w:ind w:firstLine="600"/>
        <w:rPr>
          <w:rFonts w:hAnsi="Times New Roman"/>
          <w:sz w:val="30"/>
          <w:szCs w:val="30"/>
        </w:rPr>
      </w:pPr>
      <w:r>
        <w:rPr>
          <w:rFonts w:hint="eastAsia" w:hAnsi="Times New Roman"/>
          <w:sz w:val="30"/>
          <w:szCs w:val="30"/>
        </w:rPr>
        <w:t>证券公司接受经纪客户的债券交易委托后，应当按照委托的内容向本所申报，并承担相应的交易、结算责任。</w:t>
      </w:r>
    </w:p>
    <w:p w14:paraId="797EEF55">
      <w:pPr>
        <w:pStyle w:val="90"/>
        <w:adjustRightInd w:val="0"/>
        <w:snapToGrid w:val="0"/>
        <w:spacing w:line="600" w:lineRule="exact"/>
        <w:ind w:firstLine="600"/>
        <w:rPr>
          <w:rFonts w:hAnsi="Times New Roman"/>
          <w:sz w:val="30"/>
          <w:szCs w:val="30"/>
        </w:rPr>
      </w:pPr>
      <w:r>
        <w:rPr>
          <w:rFonts w:hint="eastAsia" w:hAnsi="Times New Roman"/>
          <w:sz w:val="30"/>
          <w:szCs w:val="30"/>
        </w:rPr>
        <w:t>证券公司接受经纪客户买卖委托达成交易的，经纪客户应当向证券公司交付其委托证券公司卖出的债券或其委托证券公司买入债券的款项，证券公司应当向经纪客户交付卖出债券所得款项或买入的债券。</w:t>
      </w:r>
    </w:p>
    <w:p w14:paraId="3E09EDEC">
      <w:pPr>
        <w:pStyle w:val="90"/>
        <w:adjustRightInd w:val="0"/>
        <w:snapToGrid w:val="0"/>
        <w:spacing w:line="600" w:lineRule="exact"/>
        <w:ind w:firstLine="600"/>
        <w:rPr>
          <w:rFonts w:hAnsi="Times New Roman"/>
          <w:sz w:val="30"/>
          <w:szCs w:val="30"/>
        </w:rPr>
      </w:pPr>
      <w:r>
        <w:rPr>
          <w:rFonts w:hint="eastAsia" w:hAnsi="Times New Roman"/>
          <w:sz w:val="30"/>
          <w:szCs w:val="30"/>
        </w:rPr>
        <w:t>通过证券公司结算的经纪客户的证券和资金适用分级结算原则，即登记结算机构负责办理登记结算机构与证券公司之间的集中清算交收，证券公司负责按照登记结算机构的结算规则与证券交易委托协议约定，办理其与经纪客户之间的清算交收。</w:t>
      </w:r>
    </w:p>
    <w:p w14:paraId="3D09BF1D">
      <w:pPr>
        <w:numPr>
          <w:ilvl w:val="0"/>
          <w:numId w:val="4"/>
        </w:numPr>
        <w:spacing w:line="600" w:lineRule="exact"/>
        <w:outlineLvl w:val="0"/>
        <w:rPr>
          <w:b/>
          <w:sz w:val="36"/>
        </w:rPr>
      </w:pPr>
      <w:bookmarkStart w:id="309" w:name="_Toc97819614"/>
      <w:bookmarkEnd w:id="309"/>
      <w:bookmarkStart w:id="310" w:name="_Toc97819615"/>
      <w:bookmarkEnd w:id="310"/>
      <w:bookmarkStart w:id="311" w:name="_Toc97819612"/>
      <w:bookmarkEnd w:id="311"/>
      <w:bookmarkStart w:id="312" w:name="_Toc97819613"/>
      <w:bookmarkEnd w:id="312"/>
      <w:bookmarkStart w:id="313" w:name="_Toc56166261"/>
      <w:bookmarkStart w:id="314" w:name="_Toc56166072"/>
      <w:r>
        <w:rPr>
          <w:b/>
          <w:sz w:val="36"/>
        </w:rPr>
        <w:br w:type="page"/>
      </w:r>
      <w:bookmarkStart w:id="315" w:name="_Toc1062077749"/>
      <w:bookmarkStart w:id="316" w:name="_Toc8263697"/>
      <w:bookmarkStart w:id="317" w:name="_Toc1926438942"/>
      <w:bookmarkStart w:id="318" w:name="_Toc151136890"/>
      <w:bookmarkStart w:id="319" w:name="_Toc349880256"/>
      <w:bookmarkStart w:id="320" w:name="_Toc175428584"/>
      <w:bookmarkStart w:id="321" w:name="_Toc404057288"/>
      <w:r>
        <w:rPr>
          <w:rFonts w:hint="eastAsia" w:ascii="黑体" w:hAnsi="黑体" w:eastAsia="黑体" w:cs="黑体"/>
          <w:b/>
          <w:sz w:val="36"/>
        </w:rPr>
        <w:t>债券交易一般要求</w:t>
      </w:r>
      <w:bookmarkEnd w:id="313"/>
      <w:bookmarkEnd w:id="314"/>
      <w:bookmarkEnd w:id="315"/>
      <w:bookmarkEnd w:id="316"/>
      <w:bookmarkEnd w:id="317"/>
      <w:bookmarkEnd w:id="318"/>
      <w:bookmarkEnd w:id="319"/>
      <w:bookmarkEnd w:id="320"/>
      <w:bookmarkEnd w:id="321"/>
      <w:r>
        <w:rPr>
          <w:rFonts w:hint="eastAsia"/>
          <w:b/>
          <w:sz w:val="36"/>
        </w:rPr>
        <w:t xml:space="preserve"> </w:t>
      </w:r>
    </w:p>
    <w:p w14:paraId="11E16BE4">
      <w:pPr>
        <w:pStyle w:val="90"/>
        <w:spacing w:line="600" w:lineRule="exact"/>
        <w:ind w:firstLine="600"/>
        <w:rPr>
          <w:rFonts w:hAnsi="Times New Roman"/>
          <w:sz w:val="30"/>
          <w:szCs w:val="30"/>
        </w:rPr>
      </w:pPr>
      <w:r>
        <w:rPr>
          <w:rFonts w:hint="eastAsia" w:hAnsi="Times New Roman"/>
          <w:sz w:val="30"/>
          <w:szCs w:val="30"/>
        </w:rPr>
        <w:t>本所为债券交易提供设施和相关服务，并依据《债券交易规则》和本所其他相关业务规则对债券交易相关的业务活动进行自律管理。债券交易应当遵循公开、公平、公正以及自愿、有偿、诚实信用等原则。</w:t>
      </w:r>
    </w:p>
    <w:p w14:paraId="73C8EE6C">
      <w:pPr>
        <w:pStyle w:val="90"/>
        <w:spacing w:line="600" w:lineRule="exact"/>
        <w:ind w:firstLine="600"/>
        <w:rPr>
          <w:rFonts w:hAnsi="Times New Roman"/>
          <w:sz w:val="30"/>
          <w:szCs w:val="30"/>
        </w:rPr>
      </w:pPr>
      <w:r>
        <w:rPr>
          <w:rFonts w:hint="eastAsia" w:hAnsi="Times New Roman"/>
          <w:sz w:val="30"/>
          <w:szCs w:val="30"/>
        </w:rPr>
        <w:t>本章主要明确指定交易、交易前端控制、交易时间、交易方式、申报与成交等债券交易一般性规定与要求。</w:t>
      </w:r>
    </w:p>
    <w:p w14:paraId="1F5B9579">
      <w:pPr>
        <w:numPr>
          <w:ilvl w:val="1"/>
          <w:numId w:val="4"/>
        </w:numPr>
        <w:spacing w:line="600" w:lineRule="exact"/>
        <w:ind w:left="0" w:firstLine="0"/>
        <w:outlineLvl w:val="1"/>
        <w:rPr>
          <w:rFonts w:ascii="仿宋_GB2312" w:eastAsia="仿宋_GB2312"/>
          <w:b/>
          <w:sz w:val="30"/>
          <w:szCs w:val="30"/>
        </w:rPr>
      </w:pPr>
      <w:bookmarkStart w:id="322" w:name="_Toc723703858"/>
      <w:bookmarkStart w:id="323" w:name="_Toc151136891"/>
      <w:bookmarkStart w:id="324" w:name="_Toc289520641"/>
      <w:bookmarkStart w:id="325" w:name="_Toc1866808179"/>
      <w:bookmarkStart w:id="326" w:name="_Toc56166073"/>
      <w:bookmarkStart w:id="327" w:name="_Toc1577517143"/>
      <w:bookmarkStart w:id="328" w:name="_Toc1505621844"/>
      <w:bookmarkStart w:id="329" w:name="_Toc1581598833"/>
      <w:bookmarkStart w:id="330" w:name="_Toc56166262"/>
      <w:r>
        <w:rPr>
          <w:rFonts w:hint="eastAsia" w:ascii="仿宋_GB2312" w:eastAsia="仿宋_GB2312"/>
          <w:b/>
          <w:sz w:val="30"/>
          <w:szCs w:val="30"/>
        </w:rPr>
        <w:t>指定交易</w:t>
      </w:r>
      <w:bookmarkEnd w:id="322"/>
      <w:bookmarkEnd w:id="323"/>
      <w:bookmarkEnd w:id="324"/>
      <w:bookmarkEnd w:id="325"/>
      <w:bookmarkEnd w:id="326"/>
      <w:bookmarkEnd w:id="327"/>
      <w:bookmarkEnd w:id="328"/>
      <w:bookmarkEnd w:id="329"/>
      <w:bookmarkEnd w:id="330"/>
    </w:p>
    <w:p w14:paraId="0F6FA78D">
      <w:pPr>
        <w:pStyle w:val="90"/>
        <w:spacing w:line="600" w:lineRule="exact"/>
        <w:ind w:firstLine="600"/>
        <w:rPr>
          <w:rFonts w:hAnsi="Times New Roman"/>
          <w:sz w:val="30"/>
          <w:szCs w:val="30"/>
        </w:rPr>
      </w:pPr>
      <w:r>
        <w:rPr>
          <w:rFonts w:hint="eastAsia" w:hAnsi="Times New Roman"/>
          <w:sz w:val="30"/>
          <w:szCs w:val="30"/>
        </w:rPr>
        <w:t>本所债券交易实行指定交易制度或者本所规定的其他委托交易制度。本节对指定交易办理、变更与撤销进行规定。</w:t>
      </w:r>
    </w:p>
    <w:p w14:paraId="23D54A55">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指定交易定义</w:t>
      </w:r>
    </w:p>
    <w:p w14:paraId="65B99268">
      <w:pPr>
        <w:pStyle w:val="90"/>
        <w:spacing w:line="600" w:lineRule="exact"/>
        <w:ind w:firstLine="600"/>
        <w:rPr>
          <w:rFonts w:hAnsi="Times New Roman"/>
          <w:sz w:val="30"/>
          <w:szCs w:val="30"/>
        </w:rPr>
      </w:pPr>
      <w:r>
        <w:rPr>
          <w:rFonts w:hint="eastAsia" w:hAnsi="Times New Roman"/>
          <w:sz w:val="30"/>
          <w:szCs w:val="30"/>
        </w:rPr>
        <w:t>指定交易是指凡在本所市场进行债券交易的债券投资者，必须事先指定特定的交易单元参与本所市场债券交易。</w:t>
      </w:r>
    </w:p>
    <w:p w14:paraId="20AE9934">
      <w:pPr>
        <w:pStyle w:val="90"/>
        <w:spacing w:line="600" w:lineRule="exact"/>
        <w:ind w:firstLine="600"/>
        <w:rPr>
          <w:rFonts w:hAnsi="Times New Roman"/>
          <w:sz w:val="30"/>
          <w:szCs w:val="30"/>
        </w:rPr>
      </w:pPr>
      <w:r>
        <w:rPr>
          <w:rFonts w:hint="eastAsia" w:hAnsi="Times New Roman"/>
          <w:sz w:val="30"/>
          <w:szCs w:val="30"/>
        </w:rPr>
        <w:t>新开设的证券账户在交易前，应事先办理指定交易手续，指定到具体的交易单元上。证券账户在发起指定交易时应当尚未与任何交易单元建立指定交易关系。已经办理完成指定交易手续的无需重复提交指定交易申报。</w:t>
      </w:r>
    </w:p>
    <w:p w14:paraId="127E8B35">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指定交易办理</w:t>
      </w:r>
    </w:p>
    <w:p w14:paraId="05751573">
      <w:pPr>
        <w:pStyle w:val="90"/>
        <w:adjustRightInd w:val="0"/>
        <w:snapToGrid w:val="0"/>
        <w:spacing w:line="600" w:lineRule="exact"/>
        <w:ind w:firstLine="600"/>
        <w:rPr>
          <w:rFonts w:hAnsi="Times New Roman"/>
          <w:sz w:val="30"/>
          <w:szCs w:val="30"/>
        </w:rPr>
      </w:pPr>
      <w:r>
        <w:rPr>
          <w:rFonts w:hint="eastAsia" w:hAnsi="Times New Roman"/>
          <w:sz w:val="30"/>
          <w:szCs w:val="30"/>
        </w:rPr>
        <w:t>指定交易申报通过本所综合业务平台、互联网交易平台或</w:t>
      </w:r>
      <w:r>
        <w:rPr>
          <w:rFonts w:hAnsi="Times New Roman"/>
          <w:sz w:val="30"/>
          <w:szCs w:val="30"/>
        </w:rPr>
        <w:t>本所认可</w:t>
      </w:r>
      <w:r>
        <w:rPr>
          <w:rFonts w:hint="eastAsia" w:hAnsi="Times New Roman"/>
          <w:sz w:val="30"/>
          <w:szCs w:val="30"/>
        </w:rPr>
        <w:t>的</w:t>
      </w:r>
      <w:r>
        <w:rPr>
          <w:rFonts w:hAnsi="Times New Roman"/>
          <w:sz w:val="30"/>
          <w:szCs w:val="30"/>
        </w:rPr>
        <w:t>其他渠道</w:t>
      </w:r>
      <w:r>
        <w:rPr>
          <w:rFonts w:hint="eastAsia" w:hAnsi="Times New Roman"/>
          <w:sz w:val="30"/>
          <w:szCs w:val="30"/>
        </w:rPr>
        <w:t>办理。</w:t>
      </w:r>
    </w:p>
    <w:p w14:paraId="27D3E3CA">
      <w:pPr>
        <w:pStyle w:val="90"/>
        <w:spacing w:line="600" w:lineRule="exact"/>
        <w:ind w:firstLine="600"/>
        <w:rPr>
          <w:rFonts w:hAnsi="Times New Roman"/>
          <w:sz w:val="30"/>
          <w:szCs w:val="30"/>
        </w:rPr>
      </w:pPr>
      <w:r>
        <w:rPr>
          <w:rFonts w:hint="eastAsia" w:hAnsi="Times New Roman"/>
          <w:sz w:val="30"/>
          <w:szCs w:val="30"/>
        </w:rPr>
        <w:t>指定交易申报时，债券交易参与人应当选择一个证券账户，并选择一个交易单元作为债券交易参与人用于该账户的交易单元。会员类债券交易参与人可以为其自营账户、资管产品账户及经纪客户账户办理指定交易，非会员类债券交易参与人可以为其自营账户和资管产品账户办理指定交易。</w:t>
      </w:r>
    </w:p>
    <w:p w14:paraId="3CFFBBD2">
      <w:pPr>
        <w:pStyle w:val="90"/>
        <w:spacing w:line="600" w:lineRule="exact"/>
        <w:ind w:firstLine="600"/>
        <w:rPr>
          <w:rFonts w:hAnsi="Times New Roman"/>
          <w:sz w:val="30"/>
          <w:szCs w:val="30"/>
        </w:rPr>
      </w:pPr>
      <w:r>
        <w:rPr>
          <w:rFonts w:hint="eastAsia" w:hAnsi="Times New Roman"/>
          <w:sz w:val="30"/>
          <w:szCs w:val="30"/>
        </w:rPr>
        <w:t>指定交易办理应遵守本所发布的《上海证券交易所指定交易实施细则》及《上海证券交易所证券交易业务指南第11号——指定交易业务》。</w:t>
      </w:r>
    </w:p>
    <w:p w14:paraId="13B4D2FB">
      <w:pPr>
        <w:spacing w:line="600" w:lineRule="exact"/>
        <w:ind w:left="567"/>
        <w:outlineLvl w:val="3"/>
        <w:rPr>
          <w:rFonts w:ascii="仿宋_GB2312" w:eastAsia="仿宋_GB2312"/>
          <w:b/>
          <w:sz w:val="30"/>
          <w:szCs w:val="30"/>
        </w:rPr>
      </w:pPr>
      <w:r>
        <w:rPr>
          <w:rFonts w:hint="eastAsia" w:ascii="仿宋_GB2312" w:eastAsia="仿宋_GB2312"/>
          <w:b/>
          <w:sz w:val="30"/>
          <w:szCs w:val="30"/>
        </w:rPr>
        <w:t>（1） 指定交易申报</w:t>
      </w:r>
    </w:p>
    <w:p w14:paraId="142206E9">
      <w:pPr>
        <w:pStyle w:val="90"/>
        <w:spacing w:line="600" w:lineRule="exact"/>
        <w:ind w:firstLine="600"/>
        <w:rPr>
          <w:rFonts w:hAnsi="Times New Roman"/>
          <w:sz w:val="30"/>
          <w:szCs w:val="30"/>
        </w:rPr>
      </w:pPr>
      <w:r>
        <w:rPr>
          <w:rFonts w:hint="eastAsia" w:hAnsi="Times New Roman"/>
          <w:sz w:val="30"/>
          <w:szCs w:val="30"/>
        </w:rPr>
        <w:t>综合</w:t>
      </w:r>
      <w:r>
        <w:rPr>
          <w:rFonts w:hAnsi="Times New Roman"/>
          <w:sz w:val="30"/>
          <w:szCs w:val="30"/>
        </w:rPr>
        <w:t>业务平台</w:t>
      </w:r>
      <w:r>
        <w:rPr>
          <w:rFonts w:hint="eastAsia" w:hAnsi="Times New Roman"/>
          <w:sz w:val="30"/>
          <w:szCs w:val="30"/>
        </w:rPr>
        <w:t>指定交易及撤销指定交易的申报时间为每个交易日的9:15-9:25, 9:30-11:30，13:00-15:00。</w:t>
      </w:r>
    </w:p>
    <w:p w14:paraId="1FA41805">
      <w:pPr>
        <w:pStyle w:val="90"/>
        <w:spacing w:line="600" w:lineRule="exact"/>
        <w:ind w:firstLine="600"/>
        <w:rPr>
          <w:rFonts w:hAnsi="Times New Roman"/>
          <w:sz w:val="30"/>
          <w:szCs w:val="30"/>
        </w:rPr>
      </w:pPr>
      <w:r>
        <w:rPr>
          <w:rFonts w:hint="eastAsia" w:hAnsi="Times New Roman"/>
          <w:sz w:val="30"/>
          <w:szCs w:val="30"/>
        </w:rPr>
        <w:t>指定交易/撤销指定交易的申报要素如下：</w:t>
      </w:r>
    </w:p>
    <w:tbl>
      <w:tblPr>
        <w:tblStyle w:val="4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1"/>
        <w:gridCol w:w="5291"/>
      </w:tblGrid>
      <w:tr w14:paraId="18EE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1" w:type="dxa"/>
          </w:tcPr>
          <w:p w14:paraId="70EE8EF4">
            <w:pPr>
              <w:pStyle w:val="90"/>
              <w:adjustRightInd w:val="0"/>
              <w:snapToGrid w:val="0"/>
              <w:spacing w:line="240" w:lineRule="auto"/>
              <w:ind w:firstLine="0" w:firstLineChars="0"/>
              <w:rPr>
                <w:rFonts w:hAnsi="Times New Roman"/>
                <w:b/>
                <w:sz w:val="24"/>
                <w:szCs w:val="24"/>
              </w:rPr>
            </w:pPr>
            <w:r>
              <w:rPr>
                <w:rFonts w:hint="eastAsia" w:hAnsi="Times New Roman"/>
                <w:b/>
                <w:sz w:val="24"/>
                <w:szCs w:val="24"/>
              </w:rPr>
              <w:t>申报要素</w:t>
            </w:r>
          </w:p>
        </w:tc>
        <w:tc>
          <w:tcPr>
            <w:tcW w:w="5291" w:type="dxa"/>
          </w:tcPr>
          <w:p w14:paraId="410FE72F">
            <w:pPr>
              <w:pStyle w:val="90"/>
              <w:adjustRightInd w:val="0"/>
              <w:snapToGrid w:val="0"/>
              <w:spacing w:line="240" w:lineRule="auto"/>
              <w:ind w:firstLine="0" w:firstLineChars="0"/>
              <w:rPr>
                <w:rFonts w:hAnsi="Times New Roman"/>
                <w:b/>
                <w:sz w:val="24"/>
                <w:szCs w:val="24"/>
              </w:rPr>
            </w:pPr>
            <w:r>
              <w:rPr>
                <w:rFonts w:hint="eastAsia" w:hAnsi="Times New Roman"/>
                <w:b/>
                <w:sz w:val="24"/>
                <w:szCs w:val="24"/>
              </w:rPr>
              <w:t>要素说明</w:t>
            </w:r>
          </w:p>
        </w:tc>
      </w:tr>
      <w:tr w14:paraId="43A3C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1" w:type="dxa"/>
          </w:tcPr>
          <w:p w14:paraId="2BD4B88C">
            <w:pPr>
              <w:pStyle w:val="90"/>
              <w:adjustRightInd w:val="0"/>
              <w:snapToGrid w:val="0"/>
              <w:spacing w:line="240" w:lineRule="auto"/>
              <w:ind w:firstLine="0" w:firstLineChars="0"/>
              <w:rPr>
                <w:rFonts w:hAnsi="Times New Roman"/>
                <w:sz w:val="24"/>
                <w:szCs w:val="24"/>
              </w:rPr>
            </w:pPr>
            <w:r>
              <w:rPr>
                <w:rFonts w:hint="eastAsia" w:hAnsi="Times New Roman"/>
                <w:sz w:val="24"/>
                <w:szCs w:val="24"/>
              </w:rPr>
              <w:t>申报类型</w:t>
            </w:r>
          </w:p>
        </w:tc>
        <w:tc>
          <w:tcPr>
            <w:tcW w:w="5291" w:type="dxa"/>
          </w:tcPr>
          <w:p w14:paraId="5C43693B">
            <w:pPr>
              <w:pStyle w:val="90"/>
              <w:adjustRightInd w:val="0"/>
              <w:snapToGrid w:val="0"/>
              <w:spacing w:line="240" w:lineRule="auto"/>
              <w:ind w:firstLine="0" w:firstLineChars="0"/>
              <w:rPr>
                <w:rFonts w:hAnsi="Times New Roman"/>
                <w:sz w:val="24"/>
                <w:szCs w:val="24"/>
              </w:rPr>
            </w:pPr>
            <w:r>
              <w:rPr>
                <w:rFonts w:hint="eastAsia" w:hAnsi="Times New Roman"/>
                <w:sz w:val="24"/>
                <w:szCs w:val="24"/>
              </w:rPr>
              <w:t>指定交易申报</w:t>
            </w:r>
            <w:r>
              <w:rPr>
                <w:rFonts w:hAnsi="Times New Roman"/>
                <w:sz w:val="24"/>
                <w:szCs w:val="24"/>
              </w:rPr>
              <w:t>/撤销指定交易申报</w:t>
            </w:r>
          </w:p>
        </w:tc>
      </w:tr>
      <w:tr w14:paraId="65F8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1" w:type="dxa"/>
          </w:tcPr>
          <w:p w14:paraId="07AA2C9B">
            <w:pPr>
              <w:pStyle w:val="90"/>
              <w:adjustRightInd w:val="0"/>
              <w:snapToGrid w:val="0"/>
              <w:spacing w:line="240" w:lineRule="auto"/>
              <w:ind w:firstLine="0" w:firstLineChars="0"/>
              <w:rPr>
                <w:rFonts w:hAnsi="Times New Roman"/>
                <w:sz w:val="24"/>
                <w:szCs w:val="24"/>
              </w:rPr>
            </w:pPr>
            <w:r>
              <w:rPr>
                <w:rFonts w:hint="eastAsia" w:hAnsi="Times New Roman"/>
                <w:sz w:val="24"/>
                <w:szCs w:val="24"/>
              </w:rPr>
              <w:t>申报代码</w:t>
            </w:r>
          </w:p>
        </w:tc>
        <w:tc>
          <w:tcPr>
            <w:tcW w:w="5291" w:type="dxa"/>
          </w:tcPr>
          <w:p w14:paraId="35E133F3">
            <w:pPr>
              <w:pStyle w:val="90"/>
              <w:adjustRightInd w:val="0"/>
              <w:snapToGrid w:val="0"/>
              <w:spacing w:line="240" w:lineRule="auto"/>
              <w:ind w:firstLine="0" w:firstLineChars="0"/>
              <w:rPr>
                <w:rFonts w:hAnsi="Times New Roman"/>
                <w:sz w:val="24"/>
                <w:szCs w:val="24"/>
              </w:rPr>
            </w:pPr>
            <w:r>
              <w:rPr>
                <w:rFonts w:hAnsi="Times New Roman"/>
                <w:sz w:val="24"/>
                <w:szCs w:val="24"/>
              </w:rPr>
              <w:t>799999</w:t>
            </w:r>
            <w:r>
              <w:rPr>
                <w:rFonts w:hint="eastAsia" w:hAnsi="Times New Roman"/>
                <w:sz w:val="24"/>
                <w:szCs w:val="24"/>
              </w:rPr>
              <w:t>（指定交易申报）</w:t>
            </w:r>
            <w:r>
              <w:rPr>
                <w:rFonts w:hAnsi="Times New Roman"/>
                <w:sz w:val="24"/>
                <w:szCs w:val="24"/>
              </w:rPr>
              <w:t>/799998</w:t>
            </w:r>
            <w:r>
              <w:rPr>
                <w:rFonts w:hint="eastAsia" w:hAnsi="Times New Roman"/>
                <w:sz w:val="24"/>
                <w:szCs w:val="24"/>
              </w:rPr>
              <w:t>（撤销指定交易申报）</w:t>
            </w:r>
          </w:p>
        </w:tc>
      </w:tr>
      <w:tr w14:paraId="3E9CC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31" w:type="dxa"/>
          </w:tcPr>
          <w:p w14:paraId="7C9A7917">
            <w:pPr>
              <w:pStyle w:val="90"/>
              <w:adjustRightInd w:val="0"/>
              <w:snapToGrid w:val="0"/>
              <w:spacing w:line="240" w:lineRule="auto"/>
              <w:ind w:firstLine="0" w:firstLineChars="0"/>
              <w:rPr>
                <w:rFonts w:hAnsi="Times New Roman"/>
                <w:sz w:val="24"/>
                <w:szCs w:val="24"/>
              </w:rPr>
            </w:pPr>
            <w:r>
              <w:rPr>
                <w:rFonts w:hint="eastAsia" w:hAnsi="Times New Roman"/>
                <w:sz w:val="24"/>
                <w:szCs w:val="24"/>
              </w:rPr>
              <w:t>证券账户</w:t>
            </w:r>
          </w:p>
        </w:tc>
        <w:tc>
          <w:tcPr>
            <w:tcW w:w="5291" w:type="dxa"/>
          </w:tcPr>
          <w:p w14:paraId="3486621A">
            <w:pPr>
              <w:pStyle w:val="90"/>
              <w:adjustRightInd w:val="0"/>
              <w:snapToGrid w:val="0"/>
              <w:spacing w:line="240" w:lineRule="auto"/>
              <w:ind w:firstLine="0" w:firstLineChars="0"/>
              <w:rPr>
                <w:rFonts w:hAnsi="Times New Roman"/>
                <w:sz w:val="24"/>
                <w:szCs w:val="24"/>
              </w:rPr>
            </w:pPr>
            <w:r>
              <w:rPr>
                <w:rFonts w:hint="eastAsia" w:hAnsi="Times New Roman"/>
                <w:sz w:val="24"/>
                <w:szCs w:val="24"/>
              </w:rPr>
              <w:t>办理指定交易手续的证券账户号码</w:t>
            </w:r>
          </w:p>
        </w:tc>
      </w:tr>
      <w:tr w14:paraId="3D480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31" w:type="dxa"/>
          </w:tcPr>
          <w:p w14:paraId="6E488421">
            <w:pPr>
              <w:pStyle w:val="90"/>
              <w:adjustRightInd w:val="0"/>
              <w:snapToGrid w:val="0"/>
              <w:spacing w:line="240" w:lineRule="auto"/>
              <w:ind w:firstLine="0" w:firstLineChars="0"/>
              <w:rPr>
                <w:rFonts w:hAnsi="Times New Roman"/>
                <w:sz w:val="24"/>
                <w:szCs w:val="24"/>
              </w:rPr>
            </w:pPr>
            <w:r>
              <w:rPr>
                <w:rFonts w:hint="eastAsia" w:hAnsi="Times New Roman"/>
                <w:sz w:val="24"/>
                <w:szCs w:val="24"/>
              </w:rPr>
              <w:t>交易单元</w:t>
            </w:r>
          </w:p>
        </w:tc>
        <w:tc>
          <w:tcPr>
            <w:tcW w:w="5291" w:type="dxa"/>
          </w:tcPr>
          <w:p w14:paraId="2D2DBB36">
            <w:pPr>
              <w:pStyle w:val="90"/>
              <w:adjustRightInd w:val="0"/>
              <w:snapToGrid w:val="0"/>
              <w:spacing w:line="240" w:lineRule="auto"/>
              <w:ind w:firstLine="0" w:firstLineChars="0"/>
              <w:rPr>
                <w:rFonts w:hAnsi="Times New Roman"/>
                <w:sz w:val="24"/>
                <w:szCs w:val="24"/>
              </w:rPr>
            </w:pPr>
            <w:r>
              <w:rPr>
                <w:rFonts w:hint="eastAsia" w:hAnsi="Times New Roman"/>
                <w:sz w:val="24"/>
                <w:szCs w:val="24"/>
              </w:rPr>
              <w:t>债券交易参与人的交易业务单元</w:t>
            </w:r>
          </w:p>
        </w:tc>
      </w:tr>
    </w:tbl>
    <w:p w14:paraId="46CDD4BB">
      <w:pPr>
        <w:pStyle w:val="90"/>
        <w:adjustRightInd w:val="0"/>
        <w:snapToGrid w:val="0"/>
        <w:spacing w:line="600" w:lineRule="exact"/>
        <w:ind w:firstLine="600"/>
        <w:rPr>
          <w:rFonts w:hAnsi="Times New Roman"/>
          <w:sz w:val="30"/>
          <w:szCs w:val="30"/>
        </w:rPr>
      </w:pPr>
      <w:r>
        <w:rPr>
          <w:rFonts w:hint="eastAsia" w:hAnsi="Times New Roman"/>
          <w:sz w:val="30"/>
          <w:szCs w:val="30"/>
        </w:rPr>
        <w:t>证券账户开立成功后次一交易日可进行指定交易申报。</w:t>
      </w:r>
    </w:p>
    <w:p w14:paraId="312E7568">
      <w:pPr>
        <w:pStyle w:val="90"/>
        <w:adjustRightInd w:val="0"/>
        <w:snapToGrid w:val="0"/>
        <w:spacing w:line="600" w:lineRule="exact"/>
        <w:ind w:firstLine="600"/>
        <w:rPr>
          <w:rFonts w:hAnsi="Times New Roman"/>
          <w:sz w:val="30"/>
          <w:szCs w:val="30"/>
        </w:rPr>
      </w:pPr>
      <w:r>
        <w:rPr>
          <w:rFonts w:hint="eastAsia" w:hAnsi="Times New Roman"/>
          <w:sz w:val="30"/>
          <w:szCs w:val="30"/>
        </w:rPr>
        <w:t>通过互联网交易平台申报指定登记、指定撤销业务生效时间与综业平台申报一致，市场参与者可以根据自身业务需要，选择使用（互联网交易平台</w:t>
      </w:r>
      <w:r>
        <w:rPr>
          <w:rFonts w:hAnsi="Times New Roman"/>
          <w:sz w:val="30"/>
          <w:szCs w:val="30"/>
        </w:rPr>
        <w:t>的</w:t>
      </w:r>
      <w:r>
        <w:rPr>
          <w:rFonts w:hint="eastAsia" w:hAnsi="Times New Roman"/>
          <w:sz w:val="30"/>
          <w:szCs w:val="30"/>
        </w:rPr>
        <w:t>申请</w:t>
      </w:r>
      <w:r>
        <w:rPr>
          <w:rFonts w:hAnsi="Times New Roman"/>
          <w:sz w:val="30"/>
          <w:szCs w:val="30"/>
        </w:rPr>
        <w:t>详见本指南</w:t>
      </w:r>
      <w:r>
        <w:rPr>
          <w:rFonts w:hint="eastAsia" w:hAnsi="Times New Roman"/>
          <w:sz w:val="30"/>
          <w:szCs w:val="30"/>
        </w:rPr>
        <w:t>9.7章节）</w:t>
      </w:r>
    </w:p>
    <w:p w14:paraId="51B36CD8">
      <w:pPr>
        <w:spacing w:line="600" w:lineRule="exact"/>
        <w:ind w:left="567"/>
        <w:outlineLvl w:val="3"/>
        <w:rPr>
          <w:rFonts w:ascii="仿宋_GB2312" w:eastAsia="仿宋_GB2312"/>
          <w:b/>
          <w:sz w:val="30"/>
          <w:szCs w:val="30"/>
        </w:rPr>
      </w:pPr>
      <w:r>
        <w:rPr>
          <w:rFonts w:hint="eastAsia" w:ascii="仿宋_GB2312" w:eastAsia="仿宋_GB2312"/>
          <w:b/>
          <w:sz w:val="30"/>
          <w:szCs w:val="30"/>
        </w:rPr>
        <w:t>（2）指定交易的变更和撤销</w:t>
      </w:r>
    </w:p>
    <w:p w14:paraId="0B92890A">
      <w:pPr>
        <w:pStyle w:val="90"/>
        <w:spacing w:line="600" w:lineRule="exact"/>
        <w:ind w:firstLine="600"/>
        <w:rPr>
          <w:rFonts w:hAnsi="Times New Roman"/>
          <w:sz w:val="30"/>
          <w:szCs w:val="30"/>
        </w:rPr>
      </w:pPr>
      <w:r>
        <w:rPr>
          <w:rFonts w:hint="eastAsia" w:hAnsi="Times New Roman"/>
          <w:sz w:val="30"/>
          <w:szCs w:val="30"/>
        </w:rPr>
        <w:t>已办理指定交易的证券账户，根据需要可以变更指定交易关系。</w:t>
      </w:r>
    </w:p>
    <w:p w14:paraId="6E7E3149">
      <w:pPr>
        <w:pStyle w:val="90"/>
        <w:spacing w:line="600" w:lineRule="exact"/>
        <w:ind w:firstLine="600"/>
        <w:rPr>
          <w:rFonts w:hAnsi="Times New Roman"/>
          <w:sz w:val="30"/>
          <w:szCs w:val="30"/>
        </w:rPr>
      </w:pPr>
      <w:r>
        <w:rPr>
          <w:rFonts w:hint="eastAsia" w:hAnsi="Times New Roman"/>
          <w:sz w:val="30"/>
          <w:szCs w:val="30"/>
        </w:rPr>
        <w:t>证券账户办理指定交易变更手续时，由原指定交易的债券交易参与人完成向本所提出撤销指定交易的申报。申报一经确认，其撤销即刻生效。</w:t>
      </w:r>
    </w:p>
    <w:p w14:paraId="1367F980">
      <w:pPr>
        <w:pStyle w:val="90"/>
        <w:spacing w:line="600" w:lineRule="exact"/>
        <w:ind w:firstLine="600"/>
        <w:rPr>
          <w:rFonts w:hAnsi="Times New Roman"/>
          <w:sz w:val="30"/>
          <w:szCs w:val="30"/>
        </w:rPr>
      </w:pPr>
      <w:r>
        <w:rPr>
          <w:rFonts w:hint="eastAsia" w:hAnsi="Times New Roman"/>
          <w:sz w:val="30"/>
          <w:szCs w:val="30"/>
        </w:rPr>
        <w:t>债券</w:t>
      </w:r>
      <w:r>
        <w:rPr>
          <w:rFonts w:hAnsi="Times New Roman"/>
          <w:sz w:val="30"/>
          <w:szCs w:val="30"/>
        </w:rPr>
        <w:t>交易参与人应当严格落实</w:t>
      </w:r>
      <w:r>
        <w:rPr>
          <w:sz w:val="30"/>
          <w:szCs w:val="30"/>
        </w:rPr>
        <w:t>《</w:t>
      </w:r>
      <w:r>
        <w:rPr>
          <w:rFonts w:hint="eastAsia"/>
          <w:sz w:val="30"/>
          <w:szCs w:val="30"/>
        </w:rPr>
        <w:t>上海证券交易所指定交易实施细则</w:t>
      </w:r>
      <w:r>
        <w:rPr>
          <w:sz w:val="30"/>
          <w:szCs w:val="30"/>
        </w:rPr>
        <w:t>》</w:t>
      </w:r>
      <w:r>
        <w:rPr>
          <w:rFonts w:hint="eastAsia"/>
          <w:sz w:val="30"/>
          <w:szCs w:val="30"/>
        </w:rPr>
        <w:t>的</w:t>
      </w:r>
      <w:r>
        <w:rPr>
          <w:sz w:val="30"/>
          <w:szCs w:val="30"/>
        </w:rPr>
        <w:t>要求</w:t>
      </w:r>
      <w:r>
        <w:rPr>
          <w:rFonts w:hint="eastAsia"/>
          <w:sz w:val="30"/>
          <w:szCs w:val="30"/>
        </w:rPr>
        <w:t>，</w:t>
      </w:r>
      <w:r>
        <w:rPr>
          <w:rFonts w:hint="eastAsia" w:hAnsi="Times New Roman"/>
          <w:sz w:val="30"/>
          <w:szCs w:val="30"/>
        </w:rPr>
        <w:t>证券账户具有下列情形之一的，债券交易参与人不得为其申报撤销指定交易：</w:t>
      </w:r>
    </w:p>
    <w:p w14:paraId="28373B19">
      <w:pPr>
        <w:pStyle w:val="90"/>
        <w:spacing w:line="600" w:lineRule="exact"/>
        <w:ind w:firstLine="600"/>
        <w:rPr>
          <w:rFonts w:hAnsi="Times New Roman"/>
          <w:sz w:val="30"/>
          <w:szCs w:val="30"/>
        </w:rPr>
      </w:pPr>
      <w:r>
        <w:rPr>
          <w:rFonts w:hint="eastAsia" w:hAnsi="Times New Roman"/>
          <w:sz w:val="30"/>
          <w:szCs w:val="30"/>
        </w:rPr>
        <w:t>1）撤销当日有交易行为的；</w:t>
      </w:r>
    </w:p>
    <w:p w14:paraId="25345AD3">
      <w:pPr>
        <w:pStyle w:val="90"/>
        <w:spacing w:line="600" w:lineRule="exact"/>
        <w:ind w:firstLine="600"/>
        <w:rPr>
          <w:rFonts w:hAnsi="Times New Roman"/>
          <w:sz w:val="30"/>
          <w:szCs w:val="30"/>
        </w:rPr>
      </w:pPr>
      <w:r>
        <w:rPr>
          <w:rFonts w:hint="eastAsia" w:hAnsi="Times New Roman"/>
          <w:sz w:val="30"/>
          <w:szCs w:val="30"/>
        </w:rPr>
        <w:t>2）撤销当日有申报的；</w:t>
      </w:r>
    </w:p>
    <w:p w14:paraId="062216FF">
      <w:pPr>
        <w:pStyle w:val="90"/>
        <w:spacing w:line="600" w:lineRule="exact"/>
        <w:ind w:firstLine="600"/>
        <w:rPr>
          <w:rFonts w:hAnsi="Times New Roman"/>
          <w:sz w:val="30"/>
          <w:szCs w:val="30"/>
        </w:rPr>
      </w:pPr>
      <w:r>
        <w:rPr>
          <w:rFonts w:hint="eastAsia" w:hAnsi="Times New Roman"/>
          <w:sz w:val="30"/>
          <w:szCs w:val="30"/>
        </w:rPr>
        <w:t>3）新股申购未到期的；</w:t>
      </w:r>
    </w:p>
    <w:p w14:paraId="3AD2614B">
      <w:pPr>
        <w:pStyle w:val="90"/>
        <w:spacing w:line="600" w:lineRule="exact"/>
        <w:ind w:firstLine="600"/>
        <w:rPr>
          <w:rFonts w:hAnsi="Times New Roman"/>
          <w:sz w:val="30"/>
          <w:szCs w:val="30"/>
        </w:rPr>
      </w:pPr>
      <w:r>
        <w:rPr>
          <w:rFonts w:hint="eastAsia" w:hAnsi="Times New Roman"/>
          <w:sz w:val="30"/>
          <w:szCs w:val="30"/>
        </w:rPr>
        <w:t>4）因回购、借贷或其他事项未了结的；</w:t>
      </w:r>
    </w:p>
    <w:p w14:paraId="25DE1C41">
      <w:pPr>
        <w:pStyle w:val="90"/>
        <w:spacing w:line="600" w:lineRule="exact"/>
        <w:ind w:firstLine="600"/>
        <w:rPr>
          <w:rFonts w:hAnsi="Times New Roman"/>
          <w:sz w:val="30"/>
          <w:szCs w:val="30"/>
        </w:rPr>
      </w:pPr>
      <w:r>
        <w:rPr>
          <w:rFonts w:hint="eastAsia" w:hAnsi="Times New Roman"/>
          <w:sz w:val="30"/>
          <w:szCs w:val="30"/>
        </w:rPr>
        <w:t>5）相关机构未允许撤销的。</w:t>
      </w:r>
    </w:p>
    <w:p w14:paraId="390911AB">
      <w:pPr>
        <w:pStyle w:val="90"/>
        <w:spacing w:line="600" w:lineRule="exact"/>
        <w:ind w:firstLine="600"/>
        <w:rPr>
          <w:rFonts w:hAnsi="Times New Roman"/>
          <w:sz w:val="30"/>
          <w:szCs w:val="30"/>
        </w:rPr>
      </w:pPr>
      <w:r>
        <w:rPr>
          <w:rFonts w:hint="eastAsia" w:hAnsi="Times New Roman"/>
          <w:sz w:val="30"/>
          <w:szCs w:val="30"/>
        </w:rPr>
        <w:t>撤销指定交易的证券账户，在撤销指定交易的手续办妥后，须另行选择一个交易单元重新办理指定交易申请后，方可进行交易。</w:t>
      </w:r>
    </w:p>
    <w:p w14:paraId="5BCE01C9">
      <w:pPr>
        <w:pStyle w:val="90"/>
        <w:spacing w:line="600" w:lineRule="exact"/>
        <w:ind w:firstLine="602"/>
        <w:rPr>
          <w:rFonts w:hAnsi="Times New Roman"/>
          <w:sz w:val="30"/>
          <w:szCs w:val="30"/>
        </w:rPr>
      </w:pPr>
      <w:r>
        <w:rPr>
          <w:rFonts w:hint="eastAsia"/>
          <w:b/>
          <w:sz w:val="30"/>
          <w:szCs w:val="30"/>
        </w:rPr>
        <w:t>（</w:t>
      </w:r>
      <w:r>
        <w:rPr>
          <w:b/>
          <w:sz w:val="30"/>
          <w:szCs w:val="30"/>
        </w:rPr>
        <w:t>3</w:t>
      </w:r>
      <w:r>
        <w:rPr>
          <w:rFonts w:hint="eastAsia"/>
          <w:b/>
          <w:sz w:val="30"/>
          <w:szCs w:val="30"/>
        </w:rPr>
        <w:t>）</w:t>
      </w:r>
      <w:r>
        <w:rPr>
          <w:rFonts w:hint="eastAsia" w:hAnsi="Times New Roman"/>
          <w:b/>
          <w:sz w:val="30"/>
          <w:szCs w:val="30"/>
        </w:rPr>
        <w:t>指定交易生效</w:t>
      </w:r>
    </w:p>
    <w:p w14:paraId="14A3254F">
      <w:pPr>
        <w:pStyle w:val="90"/>
        <w:adjustRightInd w:val="0"/>
        <w:snapToGrid w:val="0"/>
        <w:spacing w:line="600" w:lineRule="exact"/>
        <w:ind w:firstLine="600"/>
        <w:rPr>
          <w:rFonts w:hAnsi="Times New Roman"/>
          <w:sz w:val="30"/>
          <w:szCs w:val="30"/>
        </w:rPr>
      </w:pPr>
      <w:r>
        <w:rPr>
          <w:rFonts w:hint="eastAsia" w:hAnsi="Times New Roman"/>
          <w:sz w:val="30"/>
          <w:szCs w:val="30"/>
        </w:rPr>
        <w:t>新债券交易</w:t>
      </w:r>
      <w:r>
        <w:rPr>
          <w:rFonts w:hAnsi="Times New Roman"/>
          <w:sz w:val="30"/>
          <w:szCs w:val="30"/>
        </w:rPr>
        <w:t>系统</w:t>
      </w:r>
      <w:r>
        <w:rPr>
          <w:rFonts w:hint="eastAsia" w:hAnsi="Times New Roman"/>
          <w:sz w:val="30"/>
          <w:szCs w:val="30"/>
        </w:rPr>
        <w:t>的</w:t>
      </w:r>
      <w:r>
        <w:rPr>
          <w:rFonts w:hAnsi="Times New Roman"/>
          <w:sz w:val="30"/>
          <w:szCs w:val="30"/>
        </w:rPr>
        <w:t>债券交易业务</w:t>
      </w:r>
      <w:r>
        <w:rPr>
          <w:rFonts w:hint="eastAsia" w:hAnsi="Times New Roman"/>
          <w:sz w:val="30"/>
          <w:szCs w:val="30"/>
        </w:rPr>
        <w:t>和综合</w:t>
      </w:r>
      <w:r>
        <w:rPr>
          <w:rFonts w:hAnsi="Times New Roman"/>
          <w:sz w:val="30"/>
          <w:szCs w:val="30"/>
        </w:rPr>
        <w:t>业务平台</w:t>
      </w:r>
      <w:r>
        <w:rPr>
          <w:rFonts w:hint="eastAsia" w:hAnsi="Times New Roman"/>
          <w:sz w:val="30"/>
          <w:szCs w:val="30"/>
        </w:rPr>
        <w:t>的</w:t>
      </w:r>
      <w:r>
        <w:rPr>
          <w:rFonts w:hAnsi="Times New Roman"/>
          <w:sz w:val="30"/>
          <w:szCs w:val="30"/>
        </w:rPr>
        <w:t>债券非交易业务</w:t>
      </w:r>
      <w:r>
        <w:rPr>
          <w:rFonts w:hint="eastAsia" w:hAnsi="Times New Roman"/>
          <w:sz w:val="30"/>
          <w:szCs w:val="30"/>
        </w:rPr>
        <w:t>均采用实时指定关系</w:t>
      </w:r>
      <w:r>
        <w:rPr>
          <w:rFonts w:hAnsi="Times New Roman"/>
          <w:sz w:val="30"/>
          <w:szCs w:val="30"/>
        </w:rPr>
        <w:t>，</w:t>
      </w:r>
      <w:r>
        <w:rPr>
          <w:rFonts w:hint="eastAsia" w:hAnsi="Times New Roman"/>
          <w:sz w:val="30"/>
          <w:szCs w:val="30"/>
        </w:rPr>
        <w:t>新指定及变更指定交易关系</w:t>
      </w:r>
      <w:r>
        <w:rPr>
          <w:rFonts w:hAnsi="Times New Roman"/>
          <w:sz w:val="30"/>
          <w:szCs w:val="30"/>
        </w:rPr>
        <w:t>后实时可以申报</w:t>
      </w:r>
      <w:r>
        <w:rPr>
          <w:rFonts w:hint="eastAsia" w:hAnsi="Times New Roman"/>
          <w:sz w:val="30"/>
          <w:szCs w:val="30"/>
        </w:rPr>
        <w:t>业务</w:t>
      </w:r>
      <w:r>
        <w:rPr>
          <w:rFonts w:hAnsi="Times New Roman"/>
          <w:sz w:val="30"/>
          <w:szCs w:val="30"/>
        </w:rPr>
        <w:t>。</w:t>
      </w:r>
    </w:p>
    <w:p w14:paraId="5641D16E">
      <w:pPr>
        <w:pStyle w:val="90"/>
        <w:adjustRightInd w:val="0"/>
        <w:snapToGrid w:val="0"/>
        <w:spacing w:line="600" w:lineRule="exact"/>
        <w:ind w:firstLine="600"/>
        <w:rPr>
          <w:rFonts w:hAnsi="Times New Roman"/>
          <w:sz w:val="30"/>
          <w:szCs w:val="30"/>
        </w:rPr>
      </w:pPr>
      <w:r>
        <w:rPr>
          <w:rFonts w:hint="eastAsia" w:hAnsi="Times New Roman"/>
          <w:sz w:val="30"/>
          <w:szCs w:val="30"/>
        </w:rPr>
        <w:t>新固定收益系统</w:t>
      </w:r>
      <w:r>
        <w:rPr>
          <w:rFonts w:hint="eastAsia" w:hAnsi="Times New Roman"/>
          <w:sz w:val="30"/>
          <w:szCs w:val="30"/>
          <w:lang w:eastAsia="zh-CN"/>
        </w:rPr>
        <w:t>、</w:t>
      </w:r>
      <w:r>
        <w:rPr>
          <w:rFonts w:hint="eastAsia" w:hAnsi="Times New Roman"/>
          <w:sz w:val="30"/>
          <w:szCs w:val="30"/>
        </w:rPr>
        <w:t>互联网交易平台的债券</w:t>
      </w:r>
      <w:r>
        <w:rPr>
          <w:rFonts w:hAnsi="Times New Roman"/>
          <w:sz w:val="30"/>
          <w:szCs w:val="30"/>
        </w:rPr>
        <w:t>交易业务</w:t>
      </w:r>
      <w:r>
        <w:rPr>
          <w:rFonts w:hint="eastAsia" w:hAnsi="Times New Roman"/>
          <w:sz w:val="30"/>
          <w:szCs w:val="30"/>
        </w:rPr>
        <w:t>及非交易业务</w:t>
      </w:r>
      <w:r>
        <w:rPr>
          <w:rFonts w:hAnsi="Times New Roman"/>
          <w:sz w:val="30"/>
          <w:szCs w:val="30"/>
        </w:rPr>
        <w:t>采用</w:t>
      </w:r>
      <w:r>
        <w:rPr>
          <w:rFonts w:hint="eastAsia" w:hAnsi="Times New Roman"/>
          <w:sz w:val="30"/>
          <w:szCs w:val="30"/>
        </w:rPr>
        <w:t>上一个</w:t>
      </w:r>
      <w:r>
        <w:rPr>
          <w:rFonts w:hAnsi="Times New Roman"/>
          <w:sz w:val="30"/>
          <w:szCs w:val="30"/>
        </w:rPr>
        <w:t>交易日</w:t>
      </w:r>
      <w:r>
        <w:rPr>
          <w:rFonts w:hint="eastAsia" w:hAnsi="Times New Roman"/>
          <w:sz w:val="30"/>
          <w:szCs w:val="30"/>
        </w:rPr>
        <w:t>（</w:t>
      </w:r>
      <w:r>
        <w:rPr>
          <w:rFonts w:hAnsi="Times New Roman"/>
          <w:sz w:val="30"/>
          <w:szCs w:val="30"/>
        </w:rPr>
        <w:t>T-1</w:t>
      </w:r>
      <w:r>
        <w:rPr>
          <w:rFonts w:hint="eastAsia" w:hAnsi="Times New Roman"/>
          <w:sz w:val="30"/>
          <w:szCs w:val="30"/>
        </w:rPr>
        <w:t>日）</w:t>
      </w:r>
      <w:r>
        <w:rPr>
          <w:rFonts w:hAnsi="Times New Roman"/>
          <w:sz w:val="30"/>
          <w:szCs w:val="30"/>
        </w:rPr>
        <w:t>的</w:t>
      </w:r>
      <w:r>
        <w:rPr>
          <w:rFonts w:hint="eastAsia" w:hAnsi="Times New Roman"/>
          <w:sz w:val="30"/>
          <w:szCs w:val="30"/>
        </w:rPr>
        <w:t>指定交易关系，新开立及变更指定交易的证券账户在</w:t>
      </w:r>
      <w:r>
        <w:rPr>
          <w:rFonts w:hAnsi="Times New Roman"/>
          <w:sz w:val="30"/>
          <w:szCs w:val="30"/>
        </w:rPr>
        <w:t>办理</w:t>
      </w:r>
      <w:r>
        <w:rPr>
          <w:rFonts w:hint="eastAsia" w:hAnsi="Times New Roman"/>
          <w:sz w:val="30"/>
          <w:szCs w:val="30"/>
        </w:rPr>
        <w:t>或变更</w:t>
      </w:r>
      <w:r>
        <w:rPr>
          <w:rFonts w:hAnsi="Times New Roman"/>
          <w:sz w:val="30"/>
          <w:szCs w:val="30"/>
        </w:rPr>
        <w:t>指定交易后</w:t>
      </w:r>
      <w:r>
        <w:rPr>
          <w:rFonts w:hint="eastAsia" w:hAnsi="Times New Roman"/>
          <w:sz w:val="30"/>
          <w:szCs w:val="30"/>
        </w:rPr>
        <w:t>的</w:t>
      </w:r>
      <w:r>
        <w:rPr>
          <w:rFonts w:hAnsi="Times New Roman"/>
          <w:sz w:val="30"/>
          <w:szCs w:val="30"/>
        </w:rPr>
        <w:t>次一</w:t>
      </w:r>
      <w:r>
        <w:rPr>
          <w:rFonts w:hint="eastAsia" w:hAnsi="Times New Roman"/>
          <w:sz w:val="30"/>
          <w:szCs w:val="30"/>
        </w:rPr>
        <w:t>交易</w:t>
      </w:r>
      <w:r>
        <w:rPr>
          <w:rFonts w:hAnsi="Times New Roman"/>
          <w:sz w:val="30"/>
          <w:szCs w:val="30"/>
        </w:rPr>
        <w:t>日</w:t>
      </w:r>
      <w:r>
        <w:rPr>
          <w:rFonts w:hint="eastAsia" w:hAnsi="Times New Roman"/>
          <w:sz w:val="30"/>
          <w:szCs w:val="30"/>
        </w:rPr>
        <w:t>生效</w:t>
      </w:r>
      <w:r>
        <w:rPr>
          <w:rFonts w:hAnsi="Times New Roman"/>
          <w:sz w:val="30"/>
          <w:szCs w:val="30"/>
        </w:rPr>
        <w:t>。</w:t>
      </w:r>
      <w:r>
        <w:rPr>
          <w:rFonts w:hint="eastAsia" w:hAnsi="Times New Roman"/>
          <w:sz w:val="30"/>
          <w:szCs w:val="30"/>
        </w:rPr>
        <w:t>当日新开设的证券账户以及撤销或变更指定交易的证券账户，当日不得在互联网交易平台</w:t>
      </w:r>
      <w:r>
        <w:rPr>
          <w:rFonts w:hint="eastAsia" w:hAnsi="Times New Roman"/>
          <w:sz w:val="30"/>
          <w:szCs w:val="30"/>
          <w:lang w:eastAsia="zh-CN"/>
        </w:rPr>
        <w:t>及新固定收益系统内</w:t>
      </w:r>
      <w:r>
        <w:rPr>
          <w:rFonts w:hint="eastAsia" w:hAnsi="Times New Roman"/>
          <w:sz w:val="30"/>
          <w:szCs w:val="30"/>
        </w:rPr>
        <w:t>开展债券交易申报及</w:t>
      </w:r>
      <w:r>
        <w:rPr>
          <w:rFonts w:hAnsi="Times New Roman"/>
          <w:sz w:val="30"/>
          <w:szCs w:val="30"/>
        </w:rPr>
        <w:t>非交易申报</w:t>
      </w:r>
      <w:r>
        <w:rPr>
          <w:rFonts w:hint="eastAsia" w:hAnsi="Times New Roman"/>
          <w:sz w:val="30"/>
          <w:szCs w:val="30"/>
        </w:rPr>
        <w:t>，指定交易生效后方可申报</w:t>
      </w:r>
      <w:r>
        <w:rPr>
          <w:rFonts w:hAnsi="Times New Roman"/>
          <w:sz w:val="30"/>
          <w:szCs w:val="30"/>
        </w:rPr>
        <w:t>。</w:t>
      </w:r>
    </w:p>
    <w:p w14:paraId="5B1C349E">
      <w:pPr>
        <w:numPr>
          <w:ilvl w:val="1"/>
          <w:numId w:val="4"/>
        </w:numPr>
        <w:spacing w:line="600" w:lineRule="exact"/>
        <w:ind w:left="0" w:firstLine="0"/>
        <w:outlineLvl w:val="1"/>
        <w:rPr>
          <w:rFonts w:ascii="仿宋_GB2312" w:eastAsia="仿宋_GB2312"/>
          <w:b/>
          <w:sz w:val="30"/>
          <w:szCs w:val="30"/>
        </w:rPr>
      </w:pPr>
      <w:bookmarkStart w:id="331" w:name="_Toc59106961"/>
      <w:bookmarkEnd w:id="331"/>
      <w:bookmarkStart w:id="332" w:name="_Toc59181174"/>
      <w:bookmarkEnd w:id="332"/>
      <w:bookmarkStart w:id="333" w:name="_Toc59034078"/>
      <w:bookmarkEnd w:id="333"/>
      <w:bookmarkStart w:id="334" w:name="_Toc57908881"/>
      <w:bookmarkEnd w:id="334"/>
      <w:bookmarkStart w:id="335" w:name="_Toc59181062"/>
      <w:bookmarkEnd w:id="335"/>
      <w:bookmarkStart w:id="336" w:name="_Toc57908880"/>
      <w:bookmarkEnd w:id="336"/>
      <w:bookmarkStart w:id="337" w:name="_Toc59181287"/>
      <w:bookmarkEnd w:id="337"/>
      <w:bookmarkStart w:id="338" w:name="_Toc60331837"/>
      <w:bookmarkEnd w:id="338"/>
      <w:bookmarkStart w:id="339" w:name="_Toc59034077"/>
      <w:bookmarkEnd w:id="339"/>
      <w:bookmarkStart w:id="340" w:name="_Toc60327081"/>
      <w:bookmarkEnd w:id="340"/>
      <w:bookmarkStart w:id="341" w:name="_Toc59181175"/>
      <w:bookmarkEnd w:id="341"/>
      <w:bookmarkStart w:id="342" w:name="_Toc59181286"/>
      <w:bookmarkEnd w:id="342"/>
      <w:bookmarkStart w:id="343" w:name="_Toc59034556"/>
      <w:bookmarkEnd w:id="343"/>
      <w:bookmarkStart w:id="344" w:name="_Toc59181063"/>
      <w:bookmarkEnd w:id="344"/>
      <w:bookmarkStart w:id="345" w:name="_Toc59106960"/>
      <w:bookmarkEnd w:id="345"/>
      <w:bookmarkStart w:id="346" w:name="_Toc59034557"/>
      <w:bookmarkEnd w:id="346"/>
      <w:bookmarkStart w:id="347" w:name="_Toc60331838"/>
      <w:bookmarkEnd w:id="347"/>
      <w:bookmarkStart w:id="348" w:name="_Toc60327080"/>
      <w:bookmarkEnd w:id="348"/>
      <w:bookmarkStart w:id="349" w:name="_Toc220567522"/>
      <w:bookmarkStart w:id="350" w:name="_Toc151136892"/>
      <w:bookmarkStart w:id="351" w:name="_Toc1160082247"/>
      <w:bookmarkStart w:id="352" w:name="_Toc475485849"/>
      <w:bookmarkStart w:id="353" w:name="_Toc426031118"/>
      <w:bookmarkStart w:id="354" w:name="_Toc241595256"/>
      <w:bookmarkStart w:id="355" w:name="_Toc1336885348"/>
      <w:bookmarkStart w:id="356" w:name="_Toc56166074"/>
      <w:bookmarkStart w:id="357" w:name="_Toc56166263"/>
      <w:r>
        <w:rPr>
          <w:rFonts w:hint="eastAsia" w:ascii="仿宋_GB2312" w:eastAsia="仿宋_GB2312"/>
          <w:b/>
          <w:sz w:val="30"/>
          <w:szCs w:val="30"/>
        </w:rPr>
        <w:t>交易</w:t>
      </w:r>
      <w:r>
        <w:rPr>
          <w:rFonts w:ascii="仿宋_GB2312" w:eastAsia="仿宋_GB2312"/>
          <w:b/>
          <w:sz w:val="30"/>
          <w:szCs w:val="30"/>
        </w:rPr>
        <w:t>对手</w:t>
      </w:r>
      <w:bookmarkEnd w:id="349"/>
      <w:bookmarkEnd w:id="350"/>
      <w:bookmarkEnd w:id="351"/>
      <w:bookmarkEnd w:id="352"/>
      <w:bookmarkEnd w:id="353"/>
      <w:bookmarkEnd w:id="354"/>
      <w:bookmarkEnd w:id="355"/>
    </w:p>
    <w:p w14:paraId="549EC16C">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交易对手范围</w:t>
      </w:r>
    </w:p>
    <w:p w14:paraId="368057B9">
      <w:pPr>
        <w:pStyle w:val="90"/>
        <w:spacing w:line="600" w:lineRule="exact"/>
        <w:ind w:firstLine="600"/>
        <w:rPr>
          <w:rFonts w:hAnsi="Times New Roman"/>
          <w:sz w:val="30"/>
          <w:szCs w:val="30"/>
        </w:rPr>
      </w:pPr>
      <w:r>
        <w:rPr>
          <w:rFonts w:hint="eastAsia" w:hAnsi="Times New Roman"/>
          <w:sz w:val="30"/>
          <w:szCs w:val="30"/>
        </w:rPr>
        <w:t>采用逐笔全额结算方式的债券交易，债券投资者可以通过新固定收益系统以“黑名单”</w:t>
      </w:r>
      <w:r>
        <w:rPr>
          <w:rFonts w:hAnsi="Times New Roman"/>
          <w:sz w:val="30"/>
          <w:szCs w:val="30"/>
        </w:rPr>
        <w:t>形式</w:t>
      </w:r>
      <w:r>
        <w:rPr>
          <w:rFonts w:hint="eastAsia" w:hAnsi="Times New Roman"/>
          <w:sz w:val="30"/>
          <w:szCs w:val="30"/>
        </w:rPr>
        <w:t>设置交易对手范围，即授信</w:t>
      </w:r>
      <w:r>
        <w:rPr>
          <w:rFonts w:hAnsi="Times New Roman"/>
          <w:sz w:val="30"/>
          <w:szCs w:val="30"/>
        </w:rPr>
        <w:t>关注名单</w:t>
      </w:r>
      <w:r>
        <w:rPr>
          <w:rFonts w:hint="eastAsia" w:hAnsi="Times New Roman"/>
          <w:sz w:val="30"/>
          <w:szCs w:val="30"/>
        </w:rPr>
        <w:t>。交易一方被列入授信</w:t>
      </w:r>
      <w:r>
        <w:rPr>
          <w:rFonts w:hAnsi="Times New Roman"/>
          <w:sz w:val="30"/>
          <w:szCs w:val="30"/>
        </w:rPr>
        <w:t>关注名单的</w:t>
      </w:r>
      <w:r>
        <w:rPr>
          <w:rFonts w:hint="eastAsia" w:hAnsi="Times New Roman"/>
          <w:sz w:val="30"/>
          <w:szCs w:val="30"/>
        </w:rPr>
        <w:t>，本所不予确认成交。</w:t>
      </w:r>
    </w:p>
    <w:p w14:paraId="00988FBA">
      <w:pPr>
        <w:pStyle w:val="90"/>
        <w:spacing w:line="600" w:lineRule="exact"/>
        <w:ind w:firstLine="600"/>
        <w:rPr>
          <w:rFonts w:hAnsi="Times New Roman"/>
          <w:sz w:val="30"/>
          <w:szCs w:val="30"/>
        </w:rPr>
      </w:pPr>
      <w:r>
        <w:rPr>
          <w:rFonts w:hint="eastAsia" w:hAnsi="Times New Roman"/>
          <w:sz w:val="30"/>
          <w:szCs w:val="30"/>
        </w:rPr>
        <w:t>初始</w:t>
      </w:r>
      <w:r>
        <w:rPr>
          <w:rFonts w:hAnsi="Times New Roman"/>
          <w:sz w:val="30"/>
          <w:szCs w:val="30"/>
        </w:rPr>
        <w:t>状态下</w:t>
      </w:r>
      <w:r>
        <w:rPr>
          <w:rFonts w:hint="eastAsia" w:hAnsi="Times New Roman"/>
          <w:sz w:val="30"/>
          <w:szCs w:val="30"/>
        </w:rPr>
        <w:t>，授信关注名单为空。授信关注名单仅能由债券交易参与人的首席交易员进行维护。</w:t>
      </w:r>
    </w:p>
    <w:p w14:paraId="47BB7C33">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交易对手寻找</w:t>
      </w:r>
    </w:p>
    <w:p w14:paraId="62E0EAEC">
      <w:pPr>
        <w:pStyle w:val="90"/>
        <w:spacing w:line="600" w:lineRule="exact"/>
        <w:ind w:firstLine="600"/>
        <w:rPr>
          <w:rFonts w:hAnsi="Times New Roman"/>
          <w:sz w:val="30"/>
          <w:szCs w:val="30"/>
        </w:rPr>
      </w:pPr>
      <w:r>
        <w:rPr>
          <w:rFonts w:hint="eastAsia" w:hAnsi="Times New Roman"/>
          <w:sz w:val="30"/>
          <w:szCs w:val="30"/>
        </w:rPr>
        <w:t>本所债券市场的机构投资者可以自行</w:t>
      </w:r>
      <w:r>
        <w:rPr>
          <w:rFonts w:hAnsi="Times New Roman"/>
          <w:sz w:val="30"/>
          <w:szCs w:val="30"/>
        </w:rPr>
        <w:t>寻找交易对手</w:t>
      </w:r>
      <w:r>
        <w:rPr>
          <w:rFonts w:hint="eastAsia" w:hAnsi="Times New Roman"/>
          <w:sz w:val="30"/>
          <w:szCs w:val="30"/>
        </w:rPr>
        <w:t>；或者委托经国家金融监督管理总局批准成立的货币经纪公司，为其交易或转让在本所上市或挂牌的债券、资产支持证券和其他具有固定收益特征产品、债券回购</w:t>
      </w:r>
      <w:r>
        <w:rPr>
          <w:rFonts w:hint="eastAsia" w:hAnsi="Times New Roman"/>
          <w:sz w:val="30"/>
          <w:szCs w:val="30"/>
          <w:lang w:eastAsia="zh-CN"/>
        </w:rPr>
        <w:t>、债券借贷</w:t>
      </w:r>
      <w:r>
        <w:rPr>
          <w:rFonts w:hint="eastAsia" w:hAnsi="Times New Roman"/>
          <w:sz w:val="30"/>
          <w:szCs w:val="30"/>
        </w:rPr>
        <w:t>以及其他</w:t>
      </w:r>
      <w:r>
        <w:rPr>
          <w:rFonts w:hint="eastAsia" w:hAnsi="Times New Roman"/>
          <w:sz w:val="30"/>
          <w:szCs w:val="30"/>
          <w:lang w:eastAsia="zh-CN"/>
        </w:rPr>
        <w:t>本所认可的债券交易</w:t>
      </w:r>
      <w:r>
        <w:rPr>
          <w:rFonts w:hint="eastAsia" w:hAnsi="Times New Roman"/>
          <w:sz w:val="30"/>
          <w:szCs w:val="30"/>
        </w:rPr>
        <w:t>提供居间服务。</w:t>
      </w:r>
    </w:p>
    <w:p w14:paraId="706C4972">
      <w:pPr>
        <w:pStyle w:val="90"/>
        <w:spacing w:line="600" w:lineRule="exact"/>
        <w:ind w:firstLine="600"/>
        <w:rPr>
          <w:rFonts w:hAnsi="Times New Roman"/>
          <w:sz w:val="30"/>
          <w:szCs w:val="30"/>
        </w:rPr>
      </w:pPr>
      <w:r>
        <w:rPr>
          <w:rFonts w:hint="eastAsia" w:hAnsi="Times New Roman"/>
          <w:sz w:val="30"/>
          <w:szCs w:val="30"/>
        </w:rPr>
        <w:t>债券投资者通过货币经纪公司达成交易意向后，应当由交易双方通过本所系统进行成交申报，经本所确认后成交。货币经纪公司不得从事或变相从事代理买卖或交易资金结算业务。</w:t>
      </w:r>
    </w:p>
    <w:p w14:paraId="64F0A2CE">
      <w:pPr>
        <w:pStyle w:val="90"/>
        <w:spacing w:line="600" w:lineRule="exact"/>
        <w:ind w:firstLine="600"/>
        <w:rPr>
          <w:rFonts w:hAnsi="Times New Roman"/>
          <w:sz w:val="30"/>
          <w:szCs w:val="30"/>
        </w:rPr>
      </w:pPr>
      <w:r>
        <w:rPr>
          <w:rFonts w:hint="eastAsia" w:hAnsi="Times New Roman"/>
          <w:sz w:val="30"/>
          <w:szCs w:val="30"/>
        </w:rPr>
        <w:t>货币经纪公司应当严格管理居间服务信息，妥善保存委托记录和交易记录，定期向本所提交相关统计信息。</w:t>
      </w:r>
    </w:p>
    <w:p w14:paraId="3951CCE7">
      <w:pPr>
        <w:pStyle w:val="90"/>
        <w:spacing w:line="600" w:lineRule="exact"/>
        <w:ind w:firstLineChars="0"/>
        <w:rPr>
          <w:rFonts w:hAnsi="Times New Roman"/>
          <w:sz w:val="30"/>
          <w:szCs w:val="30"/>
        </w:rPr>
      </w:pPr>
      <w:r>
        <w:rPr>
          <w:rFonts w:hint="eastAsia" w:hAnsi="Times New Roman"/>
          <w:sz w:val="30"/>
          <w:szCs w:val="30"/>
        </w:rPr>
        <w:t>货币经纪公司提供居间服务应当遵循公正、公平、诚实守信、为客户保密的原则，遵守相关法律、法规、规章和本所债券市场业务规则，建立有效的内部风险控制制度和技术系统。</w:t>
      </w:r>
    </w:p>
    <w:p w14:paraId="73A04430">
      <w:pPr>
        <w:numPr>
          <w:ilvl w:val="1"/>
          <w:numId w:val="4"/>
        </w:numPr>
        <w:spacing w:line="600" w:lineRule="exact"/>
        <w:ind w:left="0" w:firstLine="0"/>
        <w:outlineLvl w:val="1"/>
        <w:rPr>
          <w:rFonts w:ascii="仿宋_GB2312" w:eastAsia="仿宋_GB2312"/>
          <w:b/>
          <w:sz w:val="30"/>
          <w:szCs w:val="30"/>
        </w:rPr>
      </w:pPr>
      <w:bookmarkStart w:id="358" w:name="_Toc555223030"/>
      <w:bookmarkStart w:id="359" w:name="_Toc151136893"/>
      <w:bookmarkStart w:id="360" w:name="_Toc884526190"/>
      <w:bookmarkStart w:id="361" w:name="_Toc63591482"/>
      <w:bookmarkStart w:id="362" w:name="_Toc1719973597"/>
      <w:bookmarkStart w:id="363" w:name="_Toc557429388"/>
      <w:bookmarkStart w:id="364" w:name="_Toc1089846129"/>
      <w:r>
        <w:rPr>
          <w:rFonts w:hint="eastAsia" w:ascii="仿宋_GB2312" w:eastAsia="仿宋_GB2312"/>
          <w:b/>
          <w:sz w:val="30"/>
          <w:szCs w:val="30"/>
        </w:rPr>
        <w:t>交易前端控制</w:t>
      </w:r>
      <w:bookmarkEnd w:id="356"/>
      <w:bookmarkEnd w:id="357"/>
      <w:bookmarkEnd w:id="358"/>
      <w:bookmarkEnd w:id="359"/>
      <w:bookmarkEnd w:id="360"/>
      <w:bookmarkEnd w:id="361"/>
      <w:bookmarkEnd w:id="362"/>
      <w:bookmarkEnd w:id="363"/>
      <w:bookmarkEnd w:id="364"/>
    </w:p>
    <w:p w14:paraId="5CD773D8">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资金前端控制</w:t>
      </w:r>
    </w:p>
    <w:p w14:paraId="61B13ECC">
      <w:pPr>
        <w:spacing w:line="600" w:lineRule="exact"/>
        <w:ind w:left="567"/>
        <w:outlineLvl w:val="3"/>
        <w:rPr>
          <w:rFonts w:ascii="仿宋_GB2312" w:eastAsia="仿宋_GB2312"/>
          <w:b/>
          <w:sz w:val="30"/>
          <w:szCs w:val="30"/>
        </w:rPr>
      </w:pPr>
      <w:r>
        <w:rPr>
          <w:rFonts w:hint="eastAsia" w:ascii="仿宋_GB2312" w:eastAsia="仿宋_GB2312"/>
          <w:b/>
          <w:sz w:val="30"/>
          <w:szCs w:val="30"/>
        </w:rPr>
        <w:t>（1）资金前端控制定义</w:t>
      </w:r>
    </w:p>
    <w:p w14:paraId="03AC3E9B">
      <w:pPr>
        <w:pStyle w:val="90"/>
        <w:spacing w:line="600" w:lineRule="exact"/>
        <w:ind w:firstLine="600"/>
        <w:rPr>
          <w:rFonts w:hAnsi="Times New Roman"/>
          <w:sz w:val="30"/>
          <w:szCs w:val="30"/>
        </w:rPr>
      </w:pPr>
      <w:r>
        <w:rPr>
          <w:rFonts w:hint="eastAsia" w:hAnsi="Times New Roman"/>
          <w:sz w:val="30"/>
          <w:szCs w:val="30"/>
        </w:rPr>
        <w:t>本指南所称资金前端控制，是指本所、结算登记机构对债券交易参与人交易单元全天净买入申报金额总量实施额度管理，并通过本所对债券交易参与人实施前端控制的制度。</w:t>
      </w:r>
    </w:p>
    <w:p w14:paraId="30235248">
      <w:pPr>
        <w:pStyle w:val="90"/>
        <w:spacing w:line="600" w:lineRule="exact"/>
        <w:ind w:firstLine="600"/>
        <w:rPr>
          <w:rFonts w:hAnsi="Times New Roman"/>
          <w:sz w:val="30"/>
          <w:szCs w:val="30"/>
        </w:rPr>
      </w:pPr>
      <w:r>
        <w:rPr>
          <w:rFonts w:hint="eastAsia" w:hAnsi="Times New Roman"/>
          <w:sz w:val="30"/>
          <w:szCs w:val="30"/>
        </w:rPr>
        <w:t>资金前端控制的意义在于在</w:t>
      </w:r>
      <w:r>
        <w:rPr>
          <w:rFonts w:hAnsi="Times New Roman"/>
          <w:sz w:val="30"/>
          <w:szCs w:val="30"/>
        </w:rPr>
        <w:t>净额担保交收制度安排下，</w:t>
      </w:r>
      <w:r>
        <w:rPr>
          <w:rFonts w:hint="eastAsia" w:hAnsi="Times New Roman"/>
          <w:sz w:val="30"/>
          <w:szCs w:val="30"/>
        </w:rPr>
        <w:t>通过事前申报拟用资金额度的方式来预防风险，一定程度上避免重大人为差错、参与人</w:t>
      </w:r>
      <w:r>
        <w:rPr>
          <w:rFonts w:hAnsi="Times New Roman"/>
          <w:sz w:val="30"/>
          <w:szCs w:val="30"/>
        </w:rPr>
        <w:t>技术系统故障</w:t>
      </w:r>
      <w:r>
        <w:rPr>
          <w:rFonts w:hint="eastAsia" w:hAnsi="Times New Roman"/>
          <w:sz w:val="30"/>
          <w:szCs w:val="30"/>
        </w:rPr>
        <w:t>等突发性事件给市场带来的极端冲击。</w:t>
      </w:r>
    </w:p>
    <w:p w14:paraId="3F69F3B8">
      <w:pPr>
        <w:spacing w:line="600" w:lineRule="exact"/>
        <w:ind w:left="567"/>
        <w:outlineLvl w:val="3"/>
        <w:rPr>
          <w:rFonts w:ascii="仿宋_GB2312" w:eastAsia="仿宋_GB2312"/>
          <w:b/>
          <w:sz w:val="30"/>
          <w:szCs w:val="30"/>
        </w:rPr>
      </w:pPr>
      <w:r>
        <w:rPr>
          <w:rFonts w:hint="eastAsia" w:ascii="仿宋_GB2312" w:eastAsia="仿宋_GB2312"/>
          <w:b/>
          <w:sz w:val="30"/>
          <w:szCs w:val="30"/>
        </w:rPr>
        <w:t>（2）资金前端控制范围</w:t>
      </w:r>
    </w:p>
    <w:p w14:paraId="43EC765C">
      <w:pPr>
        <w:pStyle w:val="90"/>
        <w:spacing w:line="600" w:lineRule="exact"/>
        <w:ind w:firstLine="600"/>
        <w:rPr>
          <w:rFonts w:hAnsi="Times New Roman"/>
          <w:sz w:val="30"/>
          <w:szCs w:val="30"/>
        </w:rPr>
      </w:pPr>
      <w:r>
        <w:rPr>
          <w:rFonts w:hint="eastAsia" w:hAnsi="Times New Roman"/>
          <w:sz w:val="30"/>
          <w:szCs w:val="30"/>
        </w:rPr>
        <w:t>本所将实施匹配成交且采用多边净额结算方式的现券交易及通用回购交易纳入资金前端控制实施范围。</w:t>
      </w:r>
    </w:p>
    <w:p w14:paraId="2BAFCD1A">
      <w:pPr>
        <w:pStyle w:val="90"/>
        <w:adjustRightInd w:val="0"/>
        <w:snapToGrid w:val="0"/>
        <w:spacing w:line="600" w:lineRule="exact"/>
        <w:ind w:firstLine="600"/>
        <w:rPr>
          <w:rFonts w:hAnsi="Times New Roman"/>
          <w:sz w:val="30"/>
          <w:szCs w:val="30"/>
        </w:rPr>
      </w:pPr>
      <w:r>
        <w:rPr>
          <w:rFonts w:hint="eastAsia" w:hAnsi="Times New Roman"/>
          <w:sz w:val="30"/>
          <w:szCs w:val="30"/>
        </w:rPr>
        <w:t>1）最高额度</w:t>
      </w:r>
    </w:p>
    <w:p w14:paraId="37E82C5B">
      <w:pPr>
        <w:pStyle w:val="90"/>
        <w:adjustRightInd w:val="0"/>
        <w:snapToGrid w:val="0"/>
        <w:spacing w:line="600" w:lineRule="exact"/>
        <w:ind w:firstLine="600"/>
        <w:rPr>
          <w:rFonts w:hAnsi="Times New Roman"/>
          <w:sz w:val="30"/>
          <w:szCs w:val="30"/>
        </w:rPr>
      </w:pPr>
      <w:r>
        <w:rPr>
          <w:rFonts w:hint="eastAsia" w:hAnsi="Times New Roman"/>
          <w:sz w:val="30"/>
          <w:szCs w:val="30"/>
        </w:rPr>
        <w:t>债券交易参与人通过其结算参与人向登记结算机构申报最高额度，最高额度是关联交易单元全天净买入申报金额的最高上限。登记结算机构于当日日终将最高额度信息发送本所，本所技术系统根据登记结算机构发送的最高额度等信息，对关联交易单元设置最高额度。</w:t>
      </w:r>
    </w:p>
    <w:p w14:paraId="290E7666">
      <w:pPr>
        <w:pStyle w:val="90"/>
        <w:spacing w:line="600" w:lineRule="exact"/>
        <w:ind w:firstLine="600"/>
        <w:rPr>
          <w:rFonts w:hAnsi="Times New Roman"/>
          <w:sz w:val="30"/>
          <w:szCs w:val="30"/>
        </w:rPr>
      </w:pPr>
      <w:r>
        <w:rPr>
          <w:rFonts w:hint="eastAsia" w:hAnsi="Times New Roman"/>
          <w:sz w:val="30"/>
          <w:szCs w:val="30"/>
        </w:rPr>
        <w:t>2）自设额度</w:t>
      </w:r>
    </w:p>
    <w:p w14:paraId="4AC10385">
      <w:pPr>
        <w:pStyle w:val="90"/>
        <w:spacing w:line="600" w:lineRule="exact"/>
        <w:ind w:firstLine="600"/>
        <w:rPr>
          <w:rFonts w:hAnsi="Times New Roman"/>
          <w:sz w:val="30"/>
          <w:szCs w:val="30"/>
        </w:rPr>
      </w:pPr>
      <w:r>
        <w:rPr>
          <w:rFonts w:hint="eastAsia" w:hAnsi="Times New Roman"/>
          <w:sz w:val="30"/>
          <w:szCs w:val="30"/>
        </w:rPr>
        <w:t>债券交易参与人可登录本所网站会员专区向本所申报设定关联交易单元的自设额度。债券交易参与人申报的自设额度不得超过该关联交易单元的最高额度，超出最高额度的，申报无效；未申报的，默认为该关联交易单元的最高额度。</w:t>
      </w:r>
    </w:p>
    <w:p w14:paraId="33D5D239">
      <w:pPr>
        <w:pStyle w:val="90"/>
        <w:spacing w:line="600" w:lineRule="exact"/>
        <w:ind w:firstLine="600"/>
        <w:rPr>
          <w:rFonts w:hAnsi="Times New Roman"/>
          <w:sz w:val="30"/>
          <w:szCs w:val="30"/>
        </w:rPr>
      </w:pPr>
      <w:r>
        <w:rPr>
          <w:rFonts w:hint="eastAsia" w:hAnsi="Times New Roman"/>
          <w:sz w:val="30"/>
          <w:szCs w:val="30"/>
        </w:rPr>
        <w:t>本所根据债券交易参与人申报的自设额度，对关联交易单元的全天净买入申报金额总量实施额度控制。对于资金前端控制适用的交易品种，当债券交易参与人的关联交易单元全天净买入申报金额达到或超过自设额度时，本所不接受关联交易单元下的所有交易单元的匹配成交交易买入申报。</w:t>
      </w:r>
    </w:p>
    <w:p w14:paraId="78EADE14">
      <w:pPr>
        <w:spacing w:line="600" w:lineRule="exact"/>
        <w:ind w:left="567"/>
        <w:outlineLvl w:val="3"/>
        <w:rPr>
          <w:rFonts w:ascii="仿宋_GB2312" w:eastAsia="仿宋_GB2312"/>
          <w:b/>
          <w:sz w:val="30"/>
          <w:szCs w:val="30"/>
        </w:rPr>
      </w:pPr>
      <w:r>
        <w:rPr>
          <w:rFonts w:hint="eastAsia" w:ascii="仿宋_GB2312" w:eastAsia="仿宋_GB2312"/>
          <w:b/>
          <w:sz w:val="30"/>
          <w:szCs w:val="30"/>
        </w:rPr>
        <w:t>（3）资金前端控制额度设置流程</w:t>
      </w:r>
    </w:p>
    <w:p w14:paraId="767125D3">
      <w:pPr>
        <w:pStyle w:val="90"/>
        <w:spacing w:line="600" w:lineRule="exact"/>
        <w:ind w:firstLine="600"/>
        <w:rPr>
          <w:rFonts w:hAnsi="Times New Roman"/>
          <w:sz w:val="30"/>
          <w:szCs w:val="30"/>
        </w:rPr>
      </w:pPr>
      <w:r>
        <w:rPr>
          <w:rFonts w:hint="eastAsia" w:hAnsi="Times New Roman"/>
          <w:sz w:val="30"/>
          <w:szCs w:val="30"/>
        </w:rPr>
        <w:t>债券交易参与人的资金前端控制额度设置流程，适用本所</w:t>
      </w:r>
      <w:r>
        <w:rPr>
          <w:rFonts w:hint="eastAsia"/>
          <w:sz w:val="30"/>
          <w:szCs w:val="30"/>
        </w:rPr>
        <w:t>《上海证券交易所 深圳证券交易所 中国证券登记结算有限责任公司证券交易资金前端风险控制业务规则》《上海证券交易所 中国证券登记结算有限责任公司证券交易资金前端风险控制业务实施细则》</w:t>
      </w:r>
      <w:r>
        <w:rPr>
          <w:rFonts w:hint="eastAsia" w:hAnsi="Times New Roman"/>
          <w:sz w:val="30"/>
          <w:szCs w:val="30"/>
        </w:rPr>
        <w:t>《</w:t>
      </w:r>
      <w:r>
        <w:rPr>
          <w:rFonts w:hint="eastAsia" w:hAnsi="微软雅黑" w:cs="宋体"/>
          <w:color w:val="050505"/>
          <w:sz w:val="30"/>
          <w:szCs w:val="30"/>
        </w:rPr>
        <w:t>上海证券交易所证券交易业务指南第5号——证券交易资金前端风险控制业务</w:t>
      </w:r>
      <w:r>
        <w:rPr>
          <w:rFonts w:hint="eastAsia" w:hAnsi="Times New Roman"/>
          <w:sz w:val="30"/>
          <w:szCs w:val="30"/>
        </w:rPr>
        <w:t>》等相关规定（详见附件5资金前端控制设置流程说明）。</w:t>
      </w:r>
    </w:p>
    <w:p w14:paraId="28F24874">
      <w:pPr>
        <w:spacing w:line="600" w:lineRule="exact"/>
        <w:ind w:left="567"/>
        <w:outlineLvl w:val="3"/>
        <w:rPr>
          <w:rFonts w:ascii="仿宋_GB2312" w:eastAsia="仿宋_GB2312"/>
          <w:b/>
          <w:sz w:val="30"/>
          <w:szCs w:val="30"/>
        </w:rPr>
      </w:pPr>
      <w:r>
        <w:rPr>
          <w:rFonts w:hint="eastAsia" w:ascii="仿宋_GB2312" w:eastAsia="仿宋_GB2312"/>
          <w:b/>
          <w:sz w:val="30"/>
          <w:szCs w:val="30"/>
        </w:rPr>
        <w:t>（4）资金前端控制信息检查</w:t>
      </w:r>
    </w:p>
    <w:p w14:paraId="1AB60958">
      <w:pPr>
        <w:pStyle w:val="90"/>
        <w:spacing w:line="600" w:lineRule="exact"/>
        <w:ind w:firstLine="600"/>
        <w:rPr>
          <w:rFonts w:hAnsi="Times New Roman"/>
          <w:sz w:val="30"/>
          <w:szCs w:val="30"/>
        </w:rPr>
      </w:pPr>
      <w:r>
        <w:rPr>
          <w:rFonts w:hint="eastAsia" w:hAnsi="Times New Roman"/>
          <w:sz w:val="30"/>
          <w:szCs w:val="30"/>
        </w:rPr>
        <w:t>资金前端控制信息检查是指本所交易系统在交易单元事前报备的额度内对于每笔申报进行可用资金额度检查。</w:t>
      </w:r>
    </w:p>
    <w:p w14:paraId="681FF8ED">
      <w:pPr>
        <w:pStyle w:val="90"/>
        <w:spacing w:line="600" w:lineRule="exact"/>
        <w:ind w:firstLine="600"/>
        <w:rPr>
          <w:rFonts w:hAnsi="Times New Roman"/>
          <w:sz w:val="30"/>
          <w:szCs w:val="30"/>
        </w:rPr>
      </w:pPr>
      <w:r>
        <w:rPr>
          <w:rFonts w:hint="eastAsia" w:hAnsi="Times New Roman"/>
          <w:sz w:val="30"/>
          <w:szCs w:val="30"/>
        </w:rPr>
        <w:t>本所通过虚拟资金额度进行资金前端控制。买入方交易单元应有足额虚拟资金额度（根据申报数量、申报价格计算），对纳入</w:t>
      </w:r>
      <w:r>
        <w:rPr>
          <w:rFonts w:hint="eastAsia" w:hAnsi="Times New Roman"/>
          <w:sz w:val="30"/>
          <w:szCs w:val="30"/>
          <w:lang w:bidi="en-US"/>
        </w:rPr>
        <w:t>资金前端控制范围内的</w:t>
      </w:r>
      <w:r>
        <w:rPr>
          <w:rFonts w:hint="eastAsia" w:hAnsi="Times New Roman"/>
          <w:sz w:val="30"/>
          <w:szCs w:val="30"/>
        </w:rPr>
        <w:t>每笔申报，扣减买入方交易单元虚拟可用资金额度（对通用回购扣减资金融出方交易单元虚拟可用资金额度），并与交易单元资金前端控制信息联动互通。</w:t>
      </w:r>
    </w:p>
    <w:p w14:paraId="25C321A7">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持仓前端控制</w:t>
      </w:r>
    </w:p>
    <w:p w14:paraId="745E984E">
      <w:pPr>
        <w:spacing w:line="600" w:lineRule="exact"/>
        <w:ind w:left="567"/>
        <w:outlineLvl w:val="3"/>
        <w:rPr>
          <w:rFonts w:ascii="仿宋_GB2312" w:eastAsia="仿宋_GB2312"/>
          <w:b/>
          <w:sz w:val="30"/>
          <w:szCs w:val="30"/>
        </w:rPr>
      </w:pPr>
      <w:r>
        <w:rPr>
          <w:rFonts w:hint="eastAsia" w:ascii="仿宋_GB2312" w:eastAsia="仿宋_GB2312"/>
          <w:b/>
          <w:sz w:val="30"/>
          <w:szCs w:val="30"/>
        </w:rPr>
        <w:t>（1）持仓前端控制定义</w:t>
      </w:r>
    </w:p>
    <w:p w14:paraId="23EC8361">
      <w:pPr>
        <w:pStyle w:val="90"/>
        <w:spacing w:line="600" w:lineRule="exact"/>
        <w:ind w:firstLine="600"/>
        <w:rPr>
          <w:rFonts w:hAnsi="Times New Roman"/>
          <w:sz w:val="30"/>
          <w:szCs w:val="30"/>
        </w:rPr>
      </w:pPr>
      <w:r>
        <w:rPr>
          <w:rFonts w:hint="eastAsia" w:hAnsi="Times New Roman"/>
          <w:sz w:val="30"/>
          <w:szCs w:val="30"/>
        </w:rPr>
        <w:t>本指南所称持仓前端控制，是指本所对债券交易参与人证券账户卖出（或出质）债券持仓进行检查，并对债券交易参与人所提交的申报实施前端控制的制度。</w:t>
      </w:r>
    </w:p>
    <w:p w14:paraId="245CBD75">
      <w:pPr>
        <w:spacing w:line="600" w:lineRule="exact"/>
        <w:ind w:left="567"/>
        <w:outlineLvl w:val="3"/>
        <w:rPr>
          <w:rFonts w:ascii="仿宋_GB2312" w:eastAsia="仿宋_GB2312"/>
          <w:b/>
          <w:sz w:val="30"/>
          <w:szCs w:val="30"/>
        </w:rPr>
      </w:pPr>
      <w:r>
        <w:rPr>
          <w:rFonts w:hint="eastAsia" w:ascii="仿宋_GB2312" w:eastAsia="仿宋_GB2312"/>
          <w:b/>
          <w:sz w:val="30"/>
          <w:szCs w:val="30"/>
        </w:rPr>
        <w:t>（2）持仓前端控制范围</w:t>
      </w:r>
    </w:p>
    <w:p w14:paraId="3B16E053">
      <w:pPr>
        <w:pStyle w:val="90"/>
        <w:spacing w:line="600" w:lineRule="exact"/>
        <w:ind w:firstLine="600"/>
        <w:rPr>
          <w:rFonts w:hAnsi="Times New Roman"/>
          <w:sz w:val="30"/>
          <w:szCs w:val="30"/>
        </w:rPr>
      </w:pPr>
      <w:r>
        <w:rPr>
          <w:rFonts w:hint="eastAsia" w:hAnsi="Times New Roman"/>
          <w:sz w:val="30"/>
          <w:szCs w:val="30"/>
        </w:rPr>
        <w:t>本所对可以采用多边净额结算方式的债券实施持仓前端控制。</w:t>
      </w:r>
    </w:p>
    <w:p w14:paraId="50F04204">
      <w:pPr>
        <w:spacing w:line="600" w:lineRule="exact"/>
        <w:ind w:left="567"/>
        <w:outlineLvl w:val="3"/>
        <w:rPr>
          <w:rFonts w:ascii="仿宋_GB2312" w:eastAsia="仿宋_GB2312"/>
          <w:b/>
          <w:sz w:val="30"/>
          <w:szCs w:val="30"/>
        </w:rPr>
      </w:pPr>
      <w:r>
        <w:rPr>
          <w:rFonts w:hint="eastAsia" w:ascii="仿宋_GB2312" w:eastAsia="仿宋_GB2312"/>
          <w:b/>
          <w:sz w:val="30"/>
          <w:szCs w:val="30"/>
        </w:rPr>
        <w:t>（3）持仓前端控制实施方式</w:t>
      </w:r>
    </w:p>
    <w:p w14:paraId="24F095C1">
      <w:pPr>
        <w:pStyle w:val="90"/>
        <w:spacing w:line="600" w:lineRule="exact"/>
        <w:ind w:firstLine="600"/>
        <w:rPr>
          <w:rFonts w:hAnsi="Times New Roman"/>
          <w:sz w:val="30"/>
          <w:szCs w:val="30"/>
        </w:rPr>
      </w:pPr>
      <w:r>
        <w:rPr>
          <w:rFonts w:hint="eastAsia"/>
          <w:sz w:val="30"/>
          <w:szCs w:val="30"/>
        </w:rPr>
        <w:t>一是利率债、符合净额结算标准的公募公司债等</w:t>
      </w:r>
      <w:r>
        <w:rPr>
          <w:rFonts w:hint="eastAsia"/>
          <w:color w:val="000000"/>
          <w:sz w:val="30"/>
          <w:szCs w:val="30"/>
          <w:shd w:val="clear" w:color="auto" w:fill="FFFFFF"/>
        </w:rPr>
        <w:t>符合净额结算标准</w:t>
      </w:r>
      <w:r>
        <w:rPr>
          <w:rFonts w:hint="eastAsia" w:hAnsi="Times New Roman"/>
          <w:sz w:val="30"/>
          <w:szCs w:val="30"/>
        </w:rPr>
        <w:t>的债券。上述债券申报卖出或者通用回购入库时，本所对卖出方（或出质方）证券账户进行持仓检查，并预冻结其申报数量（申报撤销后予以解冻）。交易达成后，交易双方选择多边净额结算方式的，本所对卖出方证券账户实时扣减持仓，买入方所在证券账户实时增加持仓；交易双方选择实时逐笔全额结算（RTGS）方式的，本所对卖出方证券账户实时扣减持仓，买入方证券账户不立即增加持仓，待交收完成后次日增加持仓。</w:t>
      </w:r>
      <w:r>
        <w:rPr>
          <w:rFonts w:hint="eastAsia"/>
          <w:sz w:val="30"/>
          <w:szCs w:val="30"/>
        </w:rPr>
        <w:t>为避免“净额结算</w:t>
      </w:r>
      <w:r>
        <w:rPr>
          <w:sz w:val="30"/>
          <w:szCs w:val="30"/>
        </w:rPr>
        <w:t>方式买入</w:t>
      </w:r>
      <w:r>
        <w:rPr>
          <w:rFonts w:hint="eastAsia"/>
          <w:sz w:val="30"/>
          <w:szCs w:val="30"/>
        </w:rPr>
        <w:t>，</w:t>
      </w:r>
      <w:r>
        <w:rPr>
          <w:sz w:val="30"/>
          <w:szCs w:val="30"/>
        </w:rPr>
        <w:t>当日RTGS方式卖出</w:t>
      </w:r>
      <w:r>
        <w:rPr>
          <w:rFonts w:hint="eastAsia"/>
          <w:sz w:val="30"/>
          <w:szCs w:val="30"/>
        </w:rPr>
        <w:t>”</w:t>
      </w:r>
      <w:r>
        <w:rPr>
          <w:sz w:val="30"/>
          <w:szCs w:val="30"/>
        </w:rPr>
        <w:t>造成的</w:t>
      </w:r>
      <w:r>
        <w:rPr>
          <w:rFonts w:hint="eastAsia"/>
          <w:sz w:val="30"/>
          <w:szCs w:val="30"/>
        </w:rPr>
        <w:t>结算</w:t>
      </w:r>
      <w:r>
        <w:rPr>
          <w:sz w:val="30"/>
          <w:szCs w:val="30"/>
        </w:rPr>
        <w:t>风险</w:t>
      </w:r>
      <w:r>
        <w:rPr>
          <w:rFonts w:hint="eastAsia"/>
          <w:sz w:val="30"/>
          <w:szCs w:val="30"/>
        </w:rPr>
        <w:t>，</w:t>
      </w:r>
      <w:r>
        <w:rPr>
          <w:rFonts w:hint="eastAsia" w:hAnsi="Times New Roman"/>
          <w:sz w:val="30"/>
          <w:szCs w:val="30"/>
        </w:rPr>
        <w:t>对</w:t>
      </w:r>
      <w:r>
        <w:rPr>
          <w:rFonts w:hAnsi="Times New Roman"/>
          <w:sz w:val="30"/>
          <w:szCs w:val="30"/>
        </w:rPr>
        <w:t>选用</w:t>
      </w:r>
      <w:r>
        <w:rPr>
          <w:rFonts w:hint="eastAsia" w:hAnsi="Times New Roman"/>
          <w:sz w:val="30"/>
          <w:szCs w:val="30"/>
        </w:rPr>
        <w:t>RTGS结算方式的债券</w:t>
      </w:r>
      <w:r>
        <w:rPr>
          <w:rFonts w:hAnsi="Times New Roman"/>
          <w:sz w:val="30"/>
          <w:szCs w:val="30"/>
        </w:rPr>
        <w:t>交易</w:t>
      </w:r>
      <w:r>
        <w:rPr>
          <w:rFonts w:hint="eastAsia" w:hAnsi="Times New Roman"/>
          <w:sz w:val="30"/>
          <w:szCs w:val="30"/>
        </w:rPr>
        <w:t>，</w:t>
      </w:r>
      <w:r>
        <w:rPr>
          <w:rFonts w:hAnsi="Times New Roman"/>
          <w:sz w:val="30"/>
          <w:szCs w:val="30"/>
        </w:rPr>
        <w:t>要求</w:t>
      </w:r>
      <w:r>
        <w:rPr>
          <w:rFonts w:hint="eastAsia" w:hAnsi="Times New Roman"/>
          <w:sz w:val="30"/>
          <w:szCs w:val="30"/>
        </w:rPr>
        <w:t>当日</w:t>
      </w:r>
      <w:r>
        <w:rPr>
          <w:sz w:val="30"/>
          <w:szCs w:val="30"/>
        </w:rPr>
        <w:t>卖出</w:t>
      </w:r>
      <w:r>
        <w:rPr>
          <w:rFonts w:hint="eastAsia"/>
          <w:sz w:val="30"/>
          <w:szCs w:val="30"/>
        </w:rPr>
        <w:t>（或</w:t>
      </w:r>
      <w:r>
        <w:rPr>
          <w:sz w:val="30"/>
          <w:szCs w:val="30"/>
        </w:rPr>
        <w:t>出质</w:t>
      </w:r>
      <w:r>
        <w:rPr>
          <w:rFonts w:hint="eastAsia"/>
          <w:sz w:val="30"/>
          <w:szCs w:val="30"/>
        </w:rPr>
        <w:t>）的债券申报总</w:t>
      </w:r>
      <w:r>
        <w:rPr>
          <w:sz w:val="30"/>
          <w:szCs w:val="30"/>
        </w:rPr>
        <w:t>量不得超过日初债券持仓</w:t>
      </w:r>
      <w:r>
        <w:rPr>
          <w:rFonts w:hint="eastAsia"/>
          <w:sz w:val="30"/>
          <w:szCs w:val="30"/>
        </w:rPr>
        <w:t>。</w:t>
      </w:r>
    </w:p>
    <w:p w14:paraId="7172CB62">
      <w:pPr>
        <w:pStyle w:val="90"/>
        <w:spacing w:line="600" w:lineRule="exact"/>
        <w:ind w:firstLine="600"/>
        <w:rPr>
          <w:rFonts w:hAnsi="Times New Roman"/>
          <w:sz w:val="30"/>
          <w:szCs w:val="30"/>
        </w:rPr>
      </w:pPr>
      <w:r>
        <w:rPr>
          <w:rFonts w:hint="eastAsia"/>
          <w:color w:val="000000"/>
          <w:sz w:val="30"/>
          <w:szCs w:val="30"/>
          <w:shd w:val="clear" w:color="auto" w:fill="FFFFFF"/>
        </w:rPr>
        <w:t>二是不符合净额结算标准的公募公司债、私募债、资产支持证券、特定债券等。上述</w:t>
      </w:r>
      <w:r>
        <w:rPr>
          <w:color w:val="000000"/>
          <w:sz w:val="30"/>
          <w:szCs w:val="30"/>
          <w:shd w:val="clear" w:color="auto" w:fill="FFFFFF"/>
        </w:rPr>
        <w:t>债券</w:t>
      </w:r>
      <w:r>
        <w:rPr>
          <w:rFonts w:hint="eastAsia"/>
          <w:color w:val="000000"/>
          <w:sz w:val="30"/>
          <w:szCs w:val="30"/>
          <w:shd w:val="clear" w:color="auto" w:fill="FFFFFF"/>
        </w:rPr>
        <w:t>的交易申报，交易系统不对持仓进行前端检查。</w:t>
      </w:r>
    </w:p>
    <w:p w14:paraId="33ACE1E3">
      <w:pPr>
        <w:numPr>
          <w:ilvl w:val="1"/>
          <w:numId w:val="4"/>
        </w:numPr>
        <w:spacing w:line="600" w:lineRule="exact"/>
        <w:ind w:left="0" w:firstLine="0"/>
        <w:outlineLvl w:val="1"/>
        <w:rPr>
          <w:rFonts w:ascii="仿宋_GB2312" w:eastAsia="仿宋_GB2312"/>
          <w:b/>
          <w:sz w:val="30"/>
          <w:szCs w:val="30"/>
        </w:rPr>
      </w:pPr>
      <w:r>
        <w:rPr>
          <w:rFonts w:ascii="仿宋_GB2312" w:eastAsia="仿宋_GB2312"/>
          <w:b/>
          <w:sz w:val="30"/>
          <w:szCs w:val="30"/>
        </w:rPr>
        <w:t xml:space="preserve"> </w:t>
      </w:r>
      <w:bookmarkStart w:id="365" w:name="_Toc56166264"/>
      <w:bookmarkStart w:id="366" w:name="_Toc56166075"/>
      <w:bookmarkStart w:id="367" w:name="_Toc59722006"/>
      <w:bookmarkStart w:id="368" w:name="_Toc771447167"/>
      <w:bookmarkStart w:id="369" w:name="_Toc69377513"/>
      <w:bookmarkStart w:id="370" w:name="_Toc1130285709"/>
      <w:bookmarkStart w:id="371" w:name="_Toc151136894"/>
      <w:bookmarkStart w:id="372" w:name="_Toc1930857602"/>
      <w:bookmarkStart w:id="373" w:name="_Toc251311834"/>
      <w:r>
        <w:rPr>
          <w:rFonts w:hint="eastAsia" w:ascii="仿宋_GB2312" w:eastAsia="仿宋_GB2312"/>
          <w:b/>
          <w:sz w:val="30"/>
          <w:szCs w:val="30"/>
        </w:rPr>
        <w:t>交易日和交易时间</w:t>
      </w:r>
      <w:bookmarkEnd w:id="365"/>
      <w:bookmarkEnd w:id="366"/>
      <w:bookmarkEnd w:id="367"/>
      <w:bookmarkEnd w:id="368"/>
      <w:bookmarkEnd w:id="369"/>
      <w:bookmarkEnd w:id="370"/>
      <w:bookmarkEnd w:id="371"/>
      <w:bookmarkEnd w:id="372"/>
      <w:bookmarkEnd w:id="373"/>
    </w:p>
    <w:p w14:paraId="0CD8E456">
      <w:pPr>
        <w:pStyle w:val="90"/>
        <w:spacing w:line="600" w:lineRule="exact"/>
        <w:ind w:firstLine="600"/>
        <w:rPr>
          <w:rFonts w:hAnsi="Times New Roman"/>
          <w:sz w:val="30"/>
          <w:szCs w:val="30"/>
        </w:rPr>
      </w:pPr>
      <w:r>
        <w:rPr>
          <w:rFonts w:hint="eastAsia" w:hAnsi="Times New Roman"/>
          <w:sz w:val="30"/>
          <w:szCs w:val="30"/>
        </w:rPr>
        <w:t>本所债券交易日为每周一至周五。国家法定假日和本所公告的休市日，本所债券市场休市。本所另有规定的除外。</w:t>
      </w:r>
    </w:p>
    <w:p w14:paraId="01488905">
      <w:pPr>
        <w:pStyle w:val="90"/>
        <w:adjustRightInd w:val="0"/>
        <w:snapToGrid w:val="0"/>
        <w:spacing w:line="600" w:lineRule="exact"/>
        <w:ind w:firstLine="600"/>
        <w:rPr>
          <w:rFonts w:hAnsi="Times New Roman"/>
          <w:sz w:val="30"/>
          <w:szCs w:val="30"/>
        </w:rPr>
      </w:pPr>
      <w:r>
        <w:rPr>
          <w:rFonts w:hint="eastAsia" w:hAnsi="Times New Roman"/>
          <w:sz w:val="30"/>
          <w:szCs w:val="30"/>
        </w:rPr>
        <w:t>现券交易采用匹配成交方式的，每个交易日的9:15至9:25为集合匹配时间，9:30至11:30、13:00至15:</w:t>
      </w:r>
      <w:r>
        <w:rPr>
          <w:rFonts w:hAnsi="Times New Roman"/>
          <w:sz w:val="30"/>
          <w:szCs w:val="30"/>
        </w:rPr>
        <w:t>3</w:t>
      </w:r>
      <w:r>
        <w:rPr>
          <w:rFonts w:hint="eastAsia" w:hAnsi="Times New Roman"/>
          <w:sz w:val="30"/>
          <w:szCs w:val="30"/>
        </w:rPr>
        <w:t>0为连续匹配时间；通用回购交易采用匹配成交方式的，每个交易日的9:15至9:25为开盘集合匹配时间，9:30至11:30、13:00至15:30为连续匹配时间。本所另有规定的除外。</w:t>
      </w:r>
    </w:p>
    <w:p w14:paraId="4D04CBC7">
      <w:pPr>
        <w:pStyle w:val="90"/>
        <w:spacing w:line="600" w:lineRule="exact"/>
        <w:ind w:firstLine="600"/>
        <w:rPr>
          <w:rFonts w:hAnsi="Times New Roman"/>
          <w:sz w:val="30"/>
          <w:szCs w:val="30"/>
        </w:rPr>
      </w:pPr>
      <w:r>
        <w:rPr>
          <w:rFonts w:hint="eastAsia" w:hAnsi="Times New Roman"/>
          <w:sz w:val="30"/>
          <w:szCs w:val="30"/>
        </w:rPr>
        <w:t>采用点击成交、询价成交、协商成交方式的，每个交易日的9:00至11:30、13:00至15:30为交易时间，本所另有规定的除外。（《债券</w:t>
      </w:r>
      <w:r>
        <w:rPr>
          <w:rFonts w:hAnsi="Times New Roman"/>
          <w:sz w:val="30"/>
          <w:szCs w:val="30"/>
        </w:rPr>
        <w:t>交易规则</w:t>
      </w:r>
      <w:r>
        <w:rPr>
          <w:rFonts w:hint="eastAsia" w:hAnsi="Times New Roman"/>
          <w:sz w:val="30"/>
          <w:szCs w:val="30"/>
        </w:rPr>
        <w:t>》</w:t>
      </w:r>
      <w:r>
        <w:rPr>
          <w:rFonts w:hAnsi="Times New Roman"/>
          <w:sz w:val="30"/>
          <w:szCs w:val="30"/>
        </w:rPr>
        <w:t>中有关</w:t>
      </w:r>
      <w:r>
        <w:rPr>
          <w:rFonts w:hint="eastAsia" w:hAnsi="Times New Roman"/>
          <w:sz w:val="30"/>
          <w:szCs w:val="30"/>
        </w:rPr>
        <w:t>15:30</w:t>
      </w:r>
      <w:r>
        <w:rPr>
          <w:rFonts w:hAnsi="Times New Roman"/>
          <w:sz w:val="30"/>
          <w:szCs w:val="30"/>
        </w:rPr>
        <w:t>-20</w:t>
      </w:r>
      <w:r>
        <w:rPr>
          <w:rFonts w:hint="eastAsia" w:hAnsi="Times New Roman"/>
          <w:sz w:val="30"/>
          <w:szCs w:val="30"/>
        </w:rPr>
        <w:t>:00夜盘交易</w:t>
      </w:r>
      <w:r>
        <w:rPr>
          <w:rFonts w:hAnsi="Times New Roman"/>
          <w:sz w:val="30"/>
          <w:szCs w:val="30"/>
        </w:rPr>
        <w:t>相关规定暂缓实施</w:t>
      </w:r>
      <w:r>
        <w:rPr>
          <w:rFonts w:hint="eastAsia" w:hAnsi="Times New Roman"/>
          <w:sz w:val="30"/>
          <w:szCs w:val="30"/>
        </w:rPr>
        <w:t>）</w:t>
      </w:r>
    </w:p>
    <w:p w14:paraId="4C48F2EA">
      <w:pPr>
        <w:pStyle w:val="90"/>
        <w:spacing w:line="600" w:lineRule="exact"/>
        <w:ind w:firstLine="600"/>
        <w:rPr>
          <w:rFonts w:hAnsi="Times New Roman"/>
          <w:sz w:val="30"/>
          <w:szCs w:val="30"/>
        </w:rPr>
      </w:pPr>
      <w:r>
        <w:rPr>
          <w:rFonts w:hint="eastAsia" w:hAnsi="Times New Roman"/>
          <w:sz w:val="30"/>
          <w:szCs w:val="30"/>
        </w:rPr>
        <w:t>采用竞买成交方式的，每个交易日的9:00至10:00为卖方提交竞买发起申报时间，10:00至11:30为应价方提交应价申报时间。</w:t>
      </w:r>
    </w:p>
    <w:p w14:paraId="054F912D">
      <w:pPr>
        <w:pStyle w:val="90"/>
        <w:spacing w:line="600" w:lineRule="exact"/>
        <w:ind w:firstLine="600"/>
        <w:rPr>
          <w:rFonts w:hAnsi="Times New Roman"/>
          <w:sz w:val="30"/>
          <w:szCs w:val="30"/>
        </w:rPr>
      </w:pPr>
      <w:r>
        <w:rPr>
          <w:rFonts w:hint="eastAsia" w:hAnsi="Times New Roman"/>
          <w:sz w:val="30"/>
          <w:szCs w:val="30"/>
        </w:rPr>
        <w:t>交易时间内因故停市，交易时间不作顺延。根据市场发展需要，本所可以调整债券交易时间。</w:t>
      </w:r>
      <w:bookmarkStart w:id="374" w:name="_Toc22662839"/>
      <w:bookmarkEnd w:id="374"/>
      <w:bookmarkStart w:id="375" w:name="_Toc22662840"/>
      <w:bookmarkEnd w:id="375"/>
      <w:bookmarkStart w:id="376" w:name="_Toc22662837"/>
      <w:bookmarkEnd w:id="376"/>
      <w:bookmarkStart w:id="377" w:name="_Toc17993016"/>
      <w:bookmarkEnd w:id="377"/>
      <w:bookmarkStart w:id="378" w:name="_Toc17799360"/>
      <w:bookmarkEnd w:id="378"/>
      <w:bookmarkStart w:id="379" w:name="_Toc17791434"/>
      <w:bookmarkEnd w:id="379"/>
      <w:bookmarkStart w:id="380" w:name="_Toc17799389"/>
      <w:bookmarkEnd w:id="380"/>
      <w:bookmarkStart w:id="381" w:name="_Toc22662841"/>
      <w:bookmarkEnd w:id="381"/>
      <w:bookmarkStart w:id="382" w:name="_Toc22573184"/>
      <w:bookmarkEnd w:id="382"/>
      <w:bookmarkStart w:id="383" w:name="_Toc22573013"/>
      <w:bookmarkEnd w:id="383"/>
      <w:bookmarkStart w:id="384" w:name="_Toc12545548"/>
      <w:bookmarkEnd w:id="384"/>
      <w:bookmarkStart w:id="385" w:name="_Toc22572929"/>
      <w:bookmarkEnd w:id="385"/>
      <w:bookmarkStart w:id="386" w:name="_Toc22573014"/>
      <w:bookmarkEnd w:id="386"/>
      <w:bookmarkStart w:id="387" w:name="_Toc22573012"/>
      <w:bookmarkEnd w:id="387"/>
      <w:bookmarkStart w:id="388" w:name="_Toc22572930"/>
      <w:bookmarkEnd w:id="388"/>
      <w:bookmarkStart w:id="389" w:name="_Toc22572928"/>
      <w:bookmarkEnd w:id="389"/>
      <w:bookmarkStart w:id="390" w:name="_Toc12360743"/>
      <w:bookmarkEnd w:id="390"/>
      <w:bookmarkStart w:id="391" w:name="_Toc12545677"/>
      <w:bookmarkEnd w:id="391"/>
      <w:bookmarkStart w:id="392" w:name="_Toc18410651"/>
      <w:bookmarkEnd w:id="392"/>
      <w:bookmarkStart w:id="393" w:name="_Toc22573185"/>
      <w:bookmarkEnd w:id="393"/>
      <w:bookmarkStart w:id="394" w:name="_Toc22573186"/>
      <w:bookmarkEnd w:id="394"/>
      <w:bookmarkStart w:id="395" w:name="_Toc12360833"/>
      <w:bookmarkEnd w:id="395"/>
      <w:bookmarkStart w:id="396" w:name="_Toc18410654"/>
      <w:bookmarkEnd w:id="396"/>
      <w:bookmarkStart w:id="397" w:name="_Toc17465718"/>
      <w:bookmarkEnd w:id="397"/>
      <w:bookmarkStart w:id="398" w:name="_Toc24638115"/>
      <w:bookmarkEnd w:id="398"/>
      <w:bookmarkStart w:id="399" w:name="_Toc41585521"/>
    </w:p>
    <w:p w14:paraId="5A88EA62">
      <w:pPr>
        <w:pStyle w:val="90"/>
        <w:spacing w:line="600" w:lineRule="exact"/>
        <w:ind w:firstLine="600"/>
        <w:rPr>
          <w:rFonts w:hAnsi="Times New Roman"/>
          <w:sz w:val="30"/>
          <w:szCs w:val="30"/>
        </w:rPr>
      </w:pPr>
      <w:r>
        <w:rPr>
          <w:rFonts w:hint="eastAsia" w:hAnsi="Times New Roman"/>
          <w:sz w:val="30"/>
          <w:szCs w:val="30"/>
        </w:rPr>
        <w:t>债券质押式协议回购、债券质押式三方回购、债券借贷业务、信用保护工具的交易时间，详见本指南第7、8章。相关规定中关于交易时间的规定与本指南不一致的，适用本指南相关规定。</w:t>
      </w:r>
    </w:p>
    <w:bookmarkEnd w:id="399"/>
    <w:p w14:paraId="6B2978A6">
      <w:pPr>
        <w:numPr>
          <w:ilvl w:val="1"/>
          <w:numId w:val="4"/>
        </w:numPr>
        <w:spacing w:line="600" w:lineRule="exact"/>
        <w:ind w:left="0" w:firstLine="0"/>
        <w:outlineLvl w:val="1"/>
        <w:rPr>
          <w:rFonts w:ascii="仿宋_GB2312" w:eastAsia="仿宋_GB2312"/>
          <w:b/>
          <w:sz w:val="30"/>
          <w:szCs w:val="30"/>
        </w:rPr>
      </w:pPr>
      <w:bookmarkStart w:id="400" w:name="_Toc56166076"/>
      <w:bookmarkStart w:id="401" w:name="_Toc2076905212"/>
      <w:bookmarkStart w:id="402" w:name="_Toc843867463"/>
      <w:bookmarkStart w:id="403" w:name="_Toc151136895"/>
      <w:bookmarkStart w:id="404" w:name="_Toc1170937538"/>
      <w:bookmarkStart w:id="405" w:name="_Toc727230778"/>
      <w:bookmarkStart w:id="406" w:name="_Toc56166265"/>
      <w:bookmarkStart w:id="407" w:name="_Toc631788796"/>
      <w:bookmarkStart w:id="408" w:name="_Toc1941221735"/>
      <w:bookmarkStart w:id="409" w:name="_Toc41585522"/>
      <w:r>
        <w:rPr>
          <w:rFonts w:hint="eastAsia" w:ascii="仿宋_GB2312" w:eastAsia="仿宋_GB2312"/>
          <w:b/>
          <w:sz w:val="30"/>
          <w:szCs w:val="30"/>
        </w:rPr>
        <w:t>交易方式分类管理</w:t>
      </w:r>
      <w:bookmarkEnd w:id="400"/>
      <w:bookmarkEnd w:id="401"/>
      <w:bookmarkEnd w:id="402"/>
      <w:bookmarkEnd w:id="403"/>
      <w:bookmarkEnd w:id="404"/>
      <w:bookmarkEnd w:id="405"/>
      <w:bookmarkEnd w:id="406"/>
      <w:bookmarkEnd w:id="407"/>
      <w:bookmarkEnd w:id="408"/>
    </w:p>
    <w:p w14:paraId="2092DC50">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分类管理</w:t>
      </w:r>
      <w:bookmarkEnd w:id="409"/>
    </w:p>
    <w:p w14:paraId="16E0942B">
      <w:pPr>
        <w:pStyle w:val="90"/>
        <w:spacing w:line="600" w:lineRule="exact"/>
        <w:ind w:firstLine="600"/>
        <w:rPr>
          <w:rFonts w:hAnsi="Times New Roman"/>
          <w:sz w:val="30"/>
          <w:szCs w:val="30"/>
        </w:rPr>
      </w:pPr>
      <w:r>
        <w:rPr>
          <w:rFonts w:hint="eastAsia" w:hAnsi="Times New Roman"/>
          <w:sz w:val="30"/>
          <w:szCs w:val="30"/>
        </w:rPr>
        <w:t>本所根据债券的信用资质、发行方式和投资者适当性等不同特点安排差异化的交易方式，并对债券上市后的交易方式实施动态调整，并向市场及时公布。</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0"/>
        <w:gridCol w:w="4447"/>
        <w:gridCol w:w="2835"/>
      </w:tblGrid>
      <w:tr w14:paraId="4F7AA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dxa"/>
          </w:tcPr>
          <w:p w14:paraId="583D8FCF">
            <w:pPr>
              <w:pStyle w:val="90"/>
              <w:spacing w:line="240" w:lineRule="auto"/>
              <w:ind w:firstLine="0" w:firstLineChars="0"/>
              <w:rPr>
                <w:rFonts w:hAnsi="Times New Roman"/>
                <w:b/>
                <w:sz w:val="24"/>
                <w:szCs w:val="24"/>
              </w:rPr>
            </w:pPr>
            <w:r>
              <w:rPr>
                <w:rFonts w:hint="eastAsia" w:hAnsi="Times New Roman"/>
                <w:b/>
                <w:sz w:val="24"/>
                <w:szCs w:val="24"/>
              </w:rPr>
              <w:t>债券品种</w:t>
            </w:r>
          </w:p>
        </w:tc>
        <w:tc>
          <w:tcPr>
            <w:tcW w:w="4447" w:type="dxa"/>
          </w:tcPr>
          <w:p w14:paraId="6A00A667">
            <w:pPr>
              <w:pStyle w:val="90"/>
              <w:ind w:firstLine="480"/>
              <w:rPr>
                <w:rFonts w:hAnsi="Times New Roman"/>
                <w:sz w:val="24"/>
                <w:szCs w:val="24"/>
              </w:rPr>
            </w:pPr>
            <w:r>
              <w:rPr>
                <w:rFonts w:hint="eastAsia" w:hAnsi="Times New Roman"/>
                <w:sz w:val="24"/>
                <w:szCs w:val="24"/>
              </w:rPr>
              <w:t>国债、地方债、政策性金融债、政府支持债券、公开发行公司债券</w:t>
            </w:r>
          </w:p>
        </w:tc>
        <w:tc>
          <w:tcPr>
            <w:tcW w:w="2835" w:type="dxa"/>
          </w:tcPr>
          <w:p w14:paraId="6C7A1FD1">
            <w:pPr>
              <w:pStyle w:val="90"/>
              <w:spacing w:line="240" w:lineRule="auto"/>
              <w:ind w:firstLine="0" w:firstLineChars="0"/>
              <w:rPr>
                <w:rFonts w:hAnsi="Times New Roman"/>
                <w:sz w:val="24"/>
                <w:szCs w:val="24"/>
              </w:rPr>
            </w:pPr>
            <w:r>
              <w:rPr>
                <w:rFonts w:hAnsi="Times New Roman"/>
                <w:sz w:val="24"/>
                <w:szCs w:val="24"/>
              </w:rPr>
              <w:t>政策性金融债以外的</w:t>
            </w:r>
            <w:r>
              <w:rPr>
                <w:rFonts w:hint="eastAsia" w:hAnsi="Times New Roman"/>
                <w:sz w:val="24"/>
                <w:szCs w:val="24"/>
              </w:rPr>
              <w:t>债券现券、资产支持证券</w:t>
            </w:r>
          </w:p>
        </w:tc>
      </w:tr>
      <w:tr w14:paraId="0985A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dxa"/>
          </w:tcPr>
          <w:p w14:paraId="2C131FA9">
            <w:pPr>
              <w:pStyle w:val="90"/>
              <w:spacing w:line="240" w:lineRule="auto"/>
              <w:ind w:firstLine="0" w:firstLineChars="0"/>
              <w:rPr>
                <w:rFonts w:hAnsi="Times New Roman"/>
                <w:b/>
                <w:sz w:val="24"/>
                <w:szCs w:val="24"/>
              </w:rPr>
            </w:pPr>
            <w:r>
              <w:rPr>
                <w:rFonts w:hint="eastAsia" w:hAnsi="Times New Roman"/>
                <w:b/>
                <w:sz w:val="24"/>
                <w:szCs w:val="24"/>
              </w:rPr>
              <w:t>交易方式</w:t>
            </w:r>
          </w:p>
        </w:tc>
        <w:tc>
          <w:tcPr>
            <w:tcW w:w="4447" w:type="dxa"/>
          </w:tcPr>
          <w:p w14:paraId="21F838E4">
            <w:pPr>
              <w:pStyle w:val="90"/>
              <w:spacing w:line="240" w:lineRule="auto"/>
              <w:ind w:firstLine="0" w:firstLineChars="0"/>
              <w:rPr>
                <w:rFonts w:hAnsi="Times New Roman"/>
                <w:sz w:val="24"/>
                <w:szCs w:val="24"/>
              </w:rPr>
            </w:pPr>
            <w:r>
              <w:rPr>
                <w:rFonts w:hint="eastAsia" w:hAnsi="Times New Roman"/>
                <w:sz w:val="24"/>
                <w:szCs w:val="24"/>
              </w:rPr>
              <w:t>5类：匹配成交、询价成交、点击成交、竞买成交、协商成交</w:t>
            </w:r>
          </w:p>
        </w:tc>
        <w:tc>
          <w:tcPr>
            <w:tcW w:w="2835" w:type="dxa"/>
          </w:tcPr>
          <w:p w14:paraId="0614F67D">
            <w:pPr>
              <w:pStyle w:val="90"/>
              <w:spacing w:line="240" w:lineRule="auto"/>
              <w:ind w:firstLine="0" w:firstLineChars="0"/>
              <w:rPr>
                <w:rFonts w:hAnsi="Times New Roman"/>
                <w:sz w:val="24"/>
                <w:szCs w:val="24"/>
              </w:rPr>
            </w:pPr>
            <w:r>
              <w:rPr>
                <w:rFonts w:hint="eastAsia" w:hAnsi="Times New Roman"/>
                <w:sz w:val="24"/>
                <w:szCs w:val="24"/>
              </w:rPr>
              <w:t>4类：询价成交、点击成交、竞买成交、协商成交</w:t>
            </w:r>
          </w:p>
        </w:tc>
      </w:tr>
    </w:tbl>
    <w:p w14:paraId="4D4A6B1E">
      <w:pPr>
        <w:numPr>
          <w:ilvl w:val="2"/>
          <w:numId w:val="4"/>
        </w:numPr>
        <w:spacing w:line="600" w:lineRule="exact"/>
        <w:ind w:left="0" w:firstLine="0"/>
        <w:outlineLvl w:val="2"/>
        <w:rPr>
          <w:rFonts w:ascii="仿宋_GB2312" w:eastAsia="仿宋_GB2312"/>
          <w:b/>
          <w:sz w:val="30"/>
          <w:szCs w:val="30"/>
        </w:rPr>
      </w:pPr>
      <w:r>
        <w:rPr>
          <w:rFonts w:ascii="仿宋_GB2312" w:eastAsia="仿宋_GB2312"/>
          <w:b/>
          <w:sz w:val="30"/>
          <w:szCs w:val="30"/>
        </w:rPr>
        <w:t>交易方式动态调整</w:t>
      </w:r>
    </w:p>
    <w:p w14:paraId="7305E2F1">
      <w:pPr>
        <w:pStyle w:val="90"/>
        <w:spacing w:line="600" w:lineRule="exact"/>
        <w:ind w:firstLine="600"/>
        <w:rPr>
          <w:rFonts w:hAnsi="Times New Roman"/>
          <w:sz w:val="30"/>
          <w:szCs w:val="30"/>
        </w:rPr>
      </w:pPr>
      <w:r>
        <w:rPr>
          <w:rFonts w:hint="eastAsia" w:hAnsi="Times New Roman"/>
          <w:sz w:val="30"/>
          <w:szCs w:val="30"/>
        </w:rPr>
        <w:t>本所对债券上市交易实行分类管理，采取差异化的交易机制，并实行投资者适当性制度。</w:t>
      </w:r>
    </w:p>
    <w:p w14:paraId="67507688">
      <w:pPr>
        <w:pStyle w:val="90"/>
        <w:spacing w:line="600" w:lineRule="exact"/>
        <w:ind w:firstLine="600"/>
        <w:rPr>
          <w:rFonts w:hAnsi="Times New Roman"/>
          <w:sz w:val="30"/>
          <w:szCs w:val="30"/>
        </w:rPr>
      </w:pPr>
      <w:r>
        <w:rPr>
          <w:rFonts w:hint="eastAsia" w:hAnsi="Times New Roman"/>
          <w:sz w:val="30"/>
          <w:szCs w:val="30"/>
        </w:rPr>
        <w:t>本所可根据市场情况和债券资信状况的变化，在债券上市交易期间动态调整债券交易机制、投资者适当性及信息披露安排。债券交易方式调整</w:t>
      </w:r>
      <w:r>
        <w:rPr>
          <w:rFonts w:hAnsi="Times New Roman"/>
          <w:sz w:val="30"/>
          <w:szCs w:val="30"/>
        </w:rPr>
        <w:t>T+1</w:t>
      </w:r>
      <w:r>
        <w:rPr>
          <w:rFonts w:hint="eastAsia" w:hAnsi="Times New Roman"/>
          <w:sz w:val="30"/>
          <w:szCs w:val="30"/>
        </w:rPr>
        <w:t>日</w:t>
      </w:r>
      <w:r>
        <w:rPr>
          <w:rFonts w:hAnsi="Times New Roman"/>
          <w:sz w:val="30"/>
          <w:szCs w:val="30"/>
        </w:rPr>
        <w:t>生效。</w:t>
      </w:r>
      <w:bookmarkStart w:id="410" w:name="_Toc40343386"/>
      <w:bookmarkEnd w:id="410"/>
      <w:bookmarkStart w:id="411" w:name="_Toc41581109"/>
      <w:bookmarkEnd w:id="411"/>
      <w:bookmarkStart w:id="412" w:name="_Toc41581080"/>
      <w:bookmarkEnd w:id="412"/>
      <w:bookmarkStart w:id="413" w:name="_Toc41581022"/>
      <w:bookmarkEnd w:id="413"/>
      <w:bookmarkStart w:id="414" w:name="_Toc40108216"/>
      <w:bookmarkEnd w:id="414"/>
      <w:bookmarkStart w:id="415" w:name="_Toc41581023"/>
      <w:bookmarkEnd w:id="415"/>
      <w:bookmarkStart w:id="416" w:name="_Toc41575868"/>
      <w:bookmarkEnd w:id="416"/>
      <w:bookmarkStart w:id="417" w:name="_Toc41580961"/>
      <w:bookmarkEnd w:id="417"/>
      <w:bookmarkStart w:id="418" w:name="_Toc41580962"/>
      <w:bookmarkEnd w:id="418"/>
      <w:bookmarkStart w:id="419" w:name="_Toc39759412"/>
      <w:bookmarkEnd w:id="419"/>
      <w:bookmarkStart w:id="420" w:name="_Toc41580850"/>
      <w:bookmarkEnd w:id="420"/>
      <w:bookmarkStart w:id="421" w:name="_Toc41581108"/>
      <w:bookmarkEnd w:id="421"/>
      <w:bookmarkStart w:id="422" w:name="_Toc41581081"/>
      <w:bookmarkEnd w:id="422"/>
      <w:bookmarkStart w:id="423" w:name="_Toc39759411"/>
      <w:bookmarkEnd w:id="423"/>
      <w:bookmarkStart w:id="424" w:name="_Toc41581051"/>
      <w:bookmarkEnd w:id="424"/>
      <w:bookmarkStart w:id="425" w:name="_Toc40108215"/>
      <w:bookmarkEnd w:id="425"/>
      <w:bookmarkStart w:id="426" w:name="_Toc41578205"/>
      <w:bookmarkEnd w:id="426"/>
      <w:bookmarkStart w:id="427" w:name="_Toc40343387"/>
      <w:bookmarkEnd w:id="427"/>
      <w:bookmarkStart w:id="428" w:name="_Toc41580849"/>
      <w:bookmarkEnd w:id="428"/>
      <w:bookmarkStart w:id="429" w:name="_Toc41580994"/>
      <w:bookmarkEnd w:id="429"/>
      <w:bookmarkStart w:id="430" w:name="_Toc41575869"/>
      <w:bookmarkEnd w:id="430"/>
      <w:bookmarkStart w:id="431" w:name="_Toc41578204"/>
      <w:bookmarkEnd w:id="431"/>
      <w:bookmarkStart w:id="432" w:name="_Toc41580993"/>
      <w:bookmarkEnd w:id="432"/>
      <w:bookmarkStart w:id="433" w:name="_Toc41581052"/>
      <w:bookmarkEnd w:id="433"/>
      <w:bookmarkStart w:id="434" w:name="_Toc41585524"/>
    </w:p>
    <w:p w14:paraId="59388B3A">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交易方式分类管理实施安排</w:t>
      </w:r>
    </w:p>
    <w:tbl>
      <w:tblPr>
        <w:tblStyle w:val="43"/>
        <w:tblW w:w="104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926"/>
        <w:gridCol w:w="1298"/>
        <w:gridCol w:w="851"/>
        <w:gridCol w:w="2126"/>
        <w:gridCol w:w="992"/>
        <w:gridCol w:w="1560"/>
        <w:gridCol w:w="1134"/>
        <w:gridCol w:w="1031"/>
      </w:tblGrid>
      <w:tr w14:paraId="5E962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0666E79B">
            <w:pPr>
              <w:pStyle w:val="90"/>
              <w:spacing w:line="240" w:lineRule="auto"/>
              <w:ind w:firstLine="0" w:firstLineChars="0"/>
              <w:rPr>
                <w:rFonts w:hAnsi="Times New Roman"/>
                <w:b/>
                <w:sz w:val="24"/>
                <w:szCs w:val="24"/>
              </w:rPr>
            </w:pPr>
            <w:r>
              <w:rPr>
                <w:rFonts w:hint="eastAsia" w:hAnsi="Times New Roman"/>
                <w:b/>
                <w:sz w:val="24"/>
                <w:szCs w:val="24"/>
              </w:rPr>
              <w:t>平台</w:t>
            </w:r>
          </w:p>
        </w:tc>
        <w:tc>
          <w:tcPr>
            <w:tcW w:w="3075" w:type="dxa"/>
            <w:gridSpan w:val="3"/>
            <w:vAlign w:val="center"/>
          </w:tcPr>
          <w:p w14:paraId="7C7C1444">
            <w:pPr>
              <w:pStyle w:val="90"/>
              <w:spacing w:line="240" w:lineRule="auto"/>
              <w:ind w:firstLine="482"/>
              <w:rPr>
                <w:rFonts w:hAnsi="Times New Roman"/>
                <w:b/>
                <w:sz w:val="24"/>
                <w:szCs w:val="24"/>
              </w:rPr>
            </w:pPr>
            <w:r>
              <w:rPr>
                <w:rFonts w:hint="eastAsia" w:hAnsi="Times New Roman"/>
                <w:b/>
                <w:sz w:val="24"/>
                <w:szCs w:val="24"/>
              </w:rPr>
              <w:t>新债券交易系统</w:t>
            </w:r>
          </w:p>
        </w:tc>
        <w:tc>
          <w:tcPr>
            <w:tcW w:w="4678" w:type="dxa"/>
            <w:gridSpan w:val="3"/>
            <w:vAlign w:val="center"/>
          </w:tcPr>
          <w:p w14:paraId="7349BEAF">
            <w:pPr>
              <w:pStyle w:val="90"/>
              <w:spacing w:line="240" w:lineRule="auto"/>
              <w:ind w:firstLine="0" w:firstLineChars="0"/>
              <w:jc w:val="center"/>
              <w:rPr>
                <w:rFonts w:hint="eastAsia" w:hAnsi="Times New Roman" w:eastAsia="仿宋_GB2312"/>
                <w:b/>
                <w:sz w:val="24"/>
                <w:szCs w:val="24"/>
                <w:lang w:eastAsia="zh-CN"/>
              </w:rPr>
            </w:pPr>
            <w:r>
              <w:rPr>
                <w:rFonts w:hint="eastAsia" w:hAnsi="Times New Roman"/>
                <w:b/>
                <w:sz w:val="24"/>
                <w:szCs w:val="24"/>
                <w:lang w:eastAsia="zh-CN"/>
              </w:rPr>
              <w:t>新固定收益系统</w:t>
            </w:r>
          </w:p>
        </w:tc>
        <w:tc>
          <w:tcPr>
            <w:tcW w:w="1134" w:type="dxa"/>
            <w:vAlign w:val="center"/>
          </w:tcPr>
          <w:p w14:paraId="0649D29A">
            <w:pPr>
              <w:pStyle w:val="90"/>
              <w:spacing w:line="240" w:lineRule="auto"/>
              <w:ind w:firstLine="0" w:firstLineChars="0"/>
              <w:jc w:val="center"/>
              <w:rPr>
                <w:rFonts w:hAnsi="Times New Roman"/>
                <w:b/>
                <w:sz w:val="24"/>
                <w:szCs w:val="24"/>
              </w:rPr>
            </w:pPr>
            <w:r>
              <w:rPr>
                <w:rFonts w:hint="eastAsia" w:hAnsi="Times New Roman"/>
                <w:b/>
                <w:sz w:val="24"/>
                <w:szCs w:val="24"/>
              </w:rPr>
              <w:t>综合业务平台</w:t>
            </w:r>
          </w:p>
        </w:tc>
        <w:tc>
          <w:tcPr>
            <w:tcW w:w="1031" w:type="dxa"/>
            <w:vAlign w:val="center"/>
          </w:tcPr>
          <w:p w14:paraId="7E608BC9">
            <w:pPr>
              <w:pStyle w:val="90"/>
              <w:spacing w:line="240" w:lineRule="auto"/>
              <w:ind w:firstLine="0" w:firstLineChars="0"/>
              <w:jc w:val="center"/>
              <w:rPr>
                <w:rFonts w:hAnsi="Times New Roman"/>
                <w:b/>
                <w:sz w:val="24"/>
                <w:szCs w:val="24"/>
              </w:rPr>
            </w:pPr>
            <w:r>
              <w:rPr>
                <w:rFonts w:hint="eastAsia" w:hAnsi="Times New Roman"/>
                <w:b/>
                <w:sz w:val="24"/>
                <w:szCs w:val="24"/>
              </w:rPr>
              <w:t>互联网交易平台</w:t>
            </w:r>
          </w:p>
        </w:tc>
      </w:tr>
      <w:tr w14:paraId="5CD02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599C6D5C">
            <w:pPr>
              <w:pStyle w:val="90"/>
              <w:spacing w:line="240" w:lineRule="auto"/>
              <w:ind w:firstLine="0" w:firstLineChars="0"/>
              <w:rPr>
                <w:rFonts w:hAnsi="Times New Roman"/>
                <w:b/>
                <w:sz w:val="24"/>
                <w:szCs w:val="24"/>
              </w:rPr>
            </w:pPr>
            <w:r>
              <w:rPr>
                <w:rFonts w:hint="eastAsia" w:hAnsi="Times New Roman"/>
                <w:b/>
                <w:sz w:val="24"/>
                <w:szCs w:val="24"/>
              </w:rPr>
              <w:t>交易品种</w:t>
            </w:r>
          </w:p>
        </w:tc>
        <w:tc>
          <w:tcPr>
            <w:tcW w:w="926" w:type="dxa"/>
            <w:vAlign w:val="center"/>
          </w:tcPr>
          <w:p w14:paraId="213BD8E5">
            <w:pPr>
              <w:pStyle w:val="90"/>
              <w:spacing w:line="240" w:lineRule="auto"/>
              <w:ind w:firstLine="0" w:firstLineChars="0"/>
              <w:rPr>
                <w:rFonts w:hAnsi="Times New Roman"/>
                <w:sz w:val="24"/>
                <w:szCs w:val="24"/>
              </w:rPr>
            </w:pPr>
            <w:r>
              <w:rPr>
                <w:rFonts w:hint="eastAsia" w:hAnsi="Times New Roman"/>
                <w:sz w:val="24"/>
                <w:szCs w:val="24"/>
              </w:rPr>
              <w:t>国债、地方债、政策性金融债、政府支持债券</w:t>
            </w:r>
          </w:p>
        </w:tc>
        <w:tc>
          <w:tcPr>
            <w:tcW w:w="1298" w:type="dxa"/>
            <w:vAlign w:val="center"/>
          </w:tcPr>
          <w:p w14:paraId="773C652E">
            <w:pPr>
              <w:pStyle w:val="90"/>
              <w:ind w:firstLine="0" w:firstLineChars="0"/>
              <w:rPr>
                <w:rFonts w:hAnsi="Times New Roman"/>
                <w:sz w:val="24"/>
                <w:szCs w:val="24"/>
              </w:rPr>
            </w:pPr>
            <w:r>
              <w:rPr>
                <w:rFonts w:hint="eastAsia" w:hAnsi="Times New Roman"/>
                <w:sz w:val="24"/>
                <w:szCs w:val="24"/>
              </w:rPr>
              <w:t>公开发行公司债券、向不特定</w:t>
            </w:r>
            <w:r>
              <w:rPr>
                <w:rFonts w:hAnsi="Times New Roman"/>
                <w:sz w:val="24"/>
                <w:szCs w:val="24"/>
              </w:rPr>
              <w:t>对象发行的可转换公司债券（以下简称公</w:t>
            </w:r>
            <w:r>
              <w:rPr>
                <w:rFonts w:hint="eastAsia" w:hAnsi="Times New Roman"/>
                <w:sz w:val="24"/>
                <w:szCs w:val="24"/>
              </w:rPr>
              <w:t>募</w:t>
            </w:r>
            <w:r>
              <w:rPr>
                <w:rFonts w:hAnsi="Times New Roman"/>
                <w:sz w:val="24"/>
                <w:szCs w:val="24"/>
              </w:rPr>
              <w:t>可转债）</w:t>
            </w:r>
          </w:p>
        </w:tc>
        <w:tc>
          <w:tcPr>
            <w:tcW w:w="851" w:type="dxa"/>
            <w:vAlign w:val="center"/>
          </w:tcPr>
          <w:p w14:paraId="25244BF3">
            <w:pPr>
              <w:pStyle w:val="90"/>
              <w:spacing w:line="240" w:lineRule="auto"/>
              <w:ind w:firstLine="0" w:firstLineChars="0"/>
              <w:rPr>
                <w:rFonts w:hAnsi="Times New Roman"/>
                <w:sz w:val="24"/>
                <w:szCs w:val="24"/>
              </w:rPr>
            </w:pPr>
          </w:p>
          <w:p w14:paraId="4FFE668F">
            <w:pPr>
              <w:pStyle w:val="90"/>
              <w:spacing w:line="240" w:lineRule="auto"/>
              <w:ind w:firstLine="0" w:firstLineChars="0"/>
              <w:rPr>
                <w:rFonts w:hAnsi="Times New Roman"/>
                <w:sz w:val="24"/>
                <w:szCs w:val="24"/>
              </w:rPr>
            </w:pPr>
            <w:r>
              <w:rPr>
                <w:rFonts w:hint="eastAsia" w:hAnsi="Times New Roman"/>
                <w:sz w:val="24"/>
                <w:szCs w:val="24"/>
              </w:rPr>
              <w:t>债券通用质押式回购</w:t>
            </w:r>
          </w:p>
        </w:tc>
        <w:tc>
          <w:tcPr>
            <w:tcW w:w="2126" w:type="dxa"/>
            <w:vAlign w:val="center"/>
          </w:tcPr>
          <w:p w14:paraId="3F83BDE3">
            <w:pPr>
              <w:pStyle w:val="90"/>
              <w:spacing w:line="240" w:lineRule="auto"/>
              <w:ind w:firstLine="0" w:firstLineChars="0"/>
              <w:rPr>
                <w:rFonts w:hAnsi="Times New Roman"/>
                <w:sz w:val="24"/>
                <w:szCs w:val="24"/>
              </w:rPr>
            </w:pPr>
            <w:r>
              <w:rPr>
                <w:rFonts w:hAnsi="Times New Roman"/>
                <w:sz w:val="24"/>
                <w:szCs w:val="24"/>
              </w:rPr>
              <w:t>政策性金融债以外的</w:t>
            </w:r>
            <w:r>
              <w:rPr>
                <w:rFonts w:hint="eastAsia" w:hAnsi="Times New Roman"/>
                <w:sz w:val="24"/>
                <w:szCs w:val="24"/>
              </w:rPr>
              <w:t>债券现券、资产支持证券（《上海证券交易所债券交易规则适用指引第2号——债券通用质押式回购交易》中关于通用回购交易可以采用点击成交、询价成交、竞买成交、协商成交的规定暂缓实施）</w:t>
            </w:r>
          </w:p>
        </w:tc>
        <w:tc>
          <w:tcPr>
            <w:tcW w:w="992" w:type="dxa"/>
            <w:vAlign w:val="center"/>
          </w:tcPr>
          <w:p w14:paraId="55836065">
            <w:pPr>
              <w:pStyle w:val="90"/>
              <w:spacing w:line="240" w:lineRule="auto"/>
              <w:ind w:firstLine="0" w:firstLineChars="0"/>
              <w:rPr>
                <w:rFonts w:hAnsi="Times New Roman"/>
                <w:b/>
                <w:sz w:val="24"/>
                <w:szCs w:val="24"/>
              </w:rPr>
            </w:pPr>
            <w:r>
              <w:rPr>
                <w:rFonts w:hint="eastAsia" w:hAnsi="Times New Roman"/>
                <w:sz w:val="24"/>
                <w:szCs w:val="24"/>
              </w:rPr>
              <w:t>公募</w:t>
            </w:r>
            <w:r>
              <w:rPr>
                <w:rFonts w:hAnsi="Times New Roman"/>
                <w:sz w:val="24"/>
                <w:szCs w:val="24"/>
              </w:rPr>
              <w:t>可转债</w:t>
            </w:r>
          </w:p>
        </w:tc>
        <w:tc>
          <w:tcPr>
            <w:tcW w:w="1560" w:type="dxa"/>
            <w:vAlign w:val="center"/>
          </w:tcPr>
          <w:p w14:paraId="70F96E09">
            <w:pPr>
              <w:pStyle w:val="90"/>
              <w:spacing w:line="240" w:lineRule="auto"/>
              <w:ind w:firstLine="0" w:firstLineChars="0"/>
              <w:rPr>
                <w:rFonts w:hAnsi="Times New Roman"/>
                <w:b/>
                <w:sz w:val="24"/>
                <w:szCs w:val="24"/>
              </w:rPr>
            </w:pPr>
            <w:r>
              <w:rPr>
                <w:rFonts w:hint="eastAsia" w:hAnsi="Times New Roman"/>
                <w:sz w:val="24"/>
                <w:szCs w:val="24"/>
              </w:rPr>
              <w:t>协议回购、三方回购、信用保护工具</w:t>
            </w:r>
            <w:r>
              <w:rPr>
                <w:rFonts w:hAnsi="Times New Roman"/>
                <w:sz w:val="24"/>
                <w:szCs w:val="24"/>
              </w:rPr>
              <w:t>等</w:t>
            </w:r>
          </w:p>
        </w:tc>
        <w:tc>
          <w:tcPr>
            <w:tcW w:w="1134" w:type="dxa"/>
            <w:vAlign w:val="center"/>
          </w:tcPr>
          <w:p w14:paraId="4B904BFA">
            <w:pPr>
              <w:pStyle w:val="90"/>
              <w:spacing w:line="240" w:lineRule="auto"/>
              <w:ind w:firstLine="0" w:firstLineChars="0"/>
              <w:rPr>
                <w:rFonts w:hAnsi="Times New Roman"/>
                <w:sz w:val="24"/>
                <w:szCs w:val="24"/>
              </w:rPr>
            </w:pPr>
            <w:r>
              <w:rPr>
                <w:rFonts w:hint="eastAsia" w:hAnsi="Times New Roman"/>
                <w:sz w:val="24"/>
                <w:szCs w:val="24"/>
              </w:rPr>
              <w:t>债券预发行</w:t>
            </w:r>
          </w:p>
        </w:tc>
        <w:tc>
          <w:tcPr>
            <w:tcW w:w="1031" w:type="dxa"/>
            <w:vAlign w:val="center"/>
          </w:tcPr>
          <w:p w14:paraId="14EAB72E">
            <w:pPr>
              <w:pStyle w:val="90"/>
              <w:spacing w:line="240" w:lineRule="auto"/>
              <w:ind w:firstLine="0" w:firstLineChars="0"/>
              <w:rPr>
                <w:rFonts w:hAnsi="Times New Roman"/>
                <w:sz w:val="24"/>
                <w:szCs w:val="24"/>
              </w:rPr>
            </w:pPr>
            <w:r>
              <w:rPr>
                <w:rFonts w:hint="eastAsia" w:hAnsi="Times New Roman"/>
                <w:sz w:val="24"/>
                <w:szCs w:val="24"/>
              </w:rPr>
              <w:t>债券借贷</w:t>
            </w:r>
          </w:p>
        </w:tc>
      </w:tr>
      <w:tr w14:paraId="40695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vAlign w:val="center"/>
          </w:tcPr>
          <w:p w14:paraId="431686F7">
            <w:pPr>
              <w:pStyle w:val="90"/>
              <w:spacing w:line="240" w:lineRule="auto"/>
              <w:ind w:firstLine="0" w:firstLineChars="0"/>
              <w:rPr>
                <w:rFonts w:hAnsi="Times New Roman"/>
                <w:b/>
                <w:sz w:val="24"/>
                <w:szCs w:val="24"/>
              </w:rPr>
            </w:pPr>
            <w:r>
              <w:rPr>
                <w:rFonts w:hint="eastAsia" w:hAnsi="Times New Roman"/>
                <w:b/>
                <w:sz w:val="24"/>
                <w:szCs w:val="24"/>
              </w:rPr>
              <w:t>交易方式</w:t>
            </w:r>
          </w:p>
        </w:tc>
        <w:tc>
          <w:tcPr>
            <w:tcW w:w="3075" w:type="dxa"/>
            <w:gridSpan w:val="3"/>
            <w:vAlign w:val="center"/>
          </w:tcPr>
          <w:p w14:paraId="2CA28A0C">
            <w:pPr>
              <w:pStyle w:val="90"/>
              <w:spacing w:line="240" w:lineRule="auto"/>
              <w:ind w:firstLine="480"/>
              <w:rPr>
                <w:rFonts w:hAnsi="Times New Roman"/>
                <w:sz w:val="24"/>
                <w:szCs w:val="24"/>
              </w:rPr>
            </w:pPr>
            <w:r>
              <w:rPr>
                <w:rFonts w:hint="eastAsia" w:hAnsi="Times New Roman"/>
                <w:sz w:val="24"/>
                <w:szCs w:val="24"/>
              </w:rPr>
              <w:t>匹配成交</w:t>
            </w:r>
          </w:p>
        </w:tc>
        <w:tc>
          <w:tcPr>
            <w:tcW w:w="2126" w:type="dxa"/>
            <w:vAlign w:val="center"/>
          </w:tcPr>
          <w:p w14:paraId="6745B43E">
            <w:pPr>
              <w:pStyle w:val="90"/>
              <w:spacing w:line="240" w:lineRule="auto"/>
              <w:ind w:firstLine="0" w:firstLineChars="0"/>
              <w:rPr>
                <w:rFonts w:hAnsi="Times New Roman"/>
                <w:sz w:val="24"/>
                <w:szCs w:val="24"/>
              </w:rPr>
            </w:pPr>
            <w:r>
              <w:rPr>
                <w:rFonts w:hint="eastAsia" w:hAnsi="Times New Roman"/>
                <w:sz w:val="24"/>
                <w:szCs w:val="24"/>
              </w:rPr>
              <w:t>询价成交、点击成交、竞买成交、协商成交</w:t>
            </w:r>
          </w:p>
        </w:tc>
        <w:tc>
          <w:tcPr>
            <w:tcW w:w="992" w:type="dxa"/>
            <w:vAlign w:val="center"/>
          </w:tcPr>
          <w:p w14:paraId="24E87DBE">
            <w:pPr>
              <w:pStyle w:val="90"/>
              <w:spacing w:line="240" w:lineRule="auto"/>
              <w:ind w:firstLine="0" w:firstLineChars="0"/>
              <w:rPr>
                <w:rFonts w:hAnsi="Times New Roman"/>
                <w:sz w:val="24"/>
                <w:szCs w:val="24"/>
              </w:rPr>
            </w:pPr>
            <w:r>
              <w:rPr>
                <w:rFonts w:hint="eastAsia" w:hAnsi="Times New Roman"/>
                <w:sz w:val="24"/>
                <w:szCs w:val="24"/>
              </w:rPr>
              <w:t>协商成交</w:t>
            </w:r>
          </w:p>
        </w:tc>
        <w:tc>
          <w:tcPr>
            <w:tcW w:w="1560" w:type="dxa"/>
            <w:vAlign w:val="center"/>
          </w:tcPr>
          <w:p w14:paraId="62527ADD">
            <w:pPr>
              <w:pStyle w:val="90"/>
              <w:spacing w:line="240" w:lineRule="auto"/>
              <w:ind w:firstLine="0" w:firstLineChars="0"/>
              <w:rPr>
                <w:rFonts w:hAnsi="Times New Roman"/>
                <w:b/>
                <w:sz w:val="24"/>
                <w:szCs w:val="24"/>
              </w:rPr>
            </w:pPr>
            <w:r>
              <w:rPr>
                <w:rFonts w:hint="eastAsia" w:hAnsi="Times New Roman"/>
                <w:sz w:val="24"/>
                <w:szCs w:val="24"/>
              </w:rPr>
              <w:t>协商成交（其他交易方式开通时间由本所另行通知）</w:t>
            </w:r>
          </w:p>
        </w:tc>
        <w:tc>
          <w:tcPr>
            <w:tcW w:w="1134" w:type="dxa"/>
            <w:vAlign w:val="center"/>
          </w:tcPr>
          <w:p w14:paraId="71B51DCA">
            <w:pPr>
              <w:pStyle w:val="90"/>
              <w:spacing w:line="240" w:lineRule="auto"/>
              <w:ind w:firstLine="0" w:firstLineChars="0"/>
              <w:rPr>
                <w:rFonts w:hAnsi="Times New Roman"/>
                <w:sz w:val="24"/>
                <w:szCs w:val="24"/>
              </w:rPr>
            </w:pPr>
            <w:r>
              <w:rPr>
                <w:rFonts w:hint="eastAsia" w:hAnsi="Times New Roman"/>
                <w:sz w:val="24"/>
                <w:szCs w:val="24"/>
              </w:rPr>
              <w:t>匹配成交</w:t>
            </w:r>
          </w:p>
        </w:tc>
        <w:tc>
          <w:tcPr>
            <w:tcW w:w="1031" w:type="dxa"/>
            <w:vAlign w:val="center"/>
          </w:tcPr>
          <w:p w14:paraId="53AC2FAB">
            <w:pPr>
              <w:pStyle w:val="90"/>
              <w:spacing w:line="240" w:lineRule="auto"/>
              <w:ind w:firstLine="0" w:firstLineChars="0"/>
              <w:rPr>
                <w:rFonts w:hAnsi="Times New Roman"/>
                <w:sz w:val="24"/>
                <w:szCs w:val="24"/>
              </w:rPr>
            </w:pPr>
            <w:r>
              <w:rPr>
                <w:rFonts w:hint="eastAsia" w:hAnsi="Times New Roman"/>
                <w:sz w:val="24"/>
                <w:szCs w:val="24"/>
              </w:rPr>
              <w:t>协商成交</w:t>
            </w:r>
          </w:p>
        </w:tc>
      </w:tr>
    </w:tbl>
    <w:p w14:paraId="4BE6E768">
      <w:pPr>
        <w:numPr>
          <w:ilvl w:val="1"/>
          <w:numId w:val="4"/>
        </w:numPr>
        <w:spacing w:line="600" w:lineRule="exact"/>
        <w:ind w:left="0" w:firstLine="0"/>
        <w:outlineLvl w:val="1"/>
        <w:rPr>
          <w:rFonts w:ascii="仿宋_GB2312" w:eastAsia="仿宋_GB2312"/>
          <w:b/>
          <w:sz w:val="30"/>
          <w:szCs w:val="30"/>
        </w:rPr>
      </w:pPr>
      <w:bookmarkStart w:id="435" w:name="_Toc925038424"/>
      <w:bookmarkStart w:id="436" w:name="_Toc56166077"/>
      <w:bookmarkStart w:id="437" w:name="_Toc151136896"/>
      <w:bookmarkStart w:id="438" w:name="_Toc1396317152"/>
      <w:bookmarkStart w:id="439" w:name="_Toc1419024805"/>
      <w:bookmarkStart w:id="440" w:name="_Toc711028858"/>
      <w:bookmarkStart w:id="441" w:name="_Toc1022476476"/>
      <w:bookmarkStart w:id="442" w:name="_Toc871466"/>
      <w:bookmarkStart w:id="443" w:name="_Toc56166266"/>
      <w:r>
        <w:rPr>
          <w:rFonts w:hint="eastAsia" w:ascii="仿宋_GB2312" w:eastAsia="仿宋_GB2312"/>
          <w:b/>
          <w:sz w:val="30"/>
          <w:szCs w:val="30"/>
        </w:rPr>
        <w:t>交易</w:t>
      </w:r>
      <w:r>
        <w:rPr>
          <w:rFonts w:ascii="仿宋_GB2312" w:eastAsia="仿宋_GB2312"/>
          <w:b/>
          <w:sz w:val="30"/>
          <w:szCs w:val="30"/>
        </w:rPr>
        <w:t>申报</w:t>
      </w:r>
      <w:bookmarkEnd w:id="434"/>
      <w:bookmarkEnd w:id="435"/>
      <w:bookmarkEnd w:id="436"/>
      <w:bookmarkEnd w:id="437"/>
      <w:bookmarkEnd w:id="438"/>
      <w:bookmarkEnd w:id="439"/>
      <w:bookmarkEnd w:id="440"/>
      <w:bookmarkEnd w:id="441"/>
      <w:bookmarkEnd w:id="442"/>
      <w:bookmarkEnd w:id="443"/>
    </w:p>
    <w:p w14:paraId="652102A5">
      <w:pPr>
        <w:numPr>
          <w:ilvl w:val="2"/>
          <w:numId w:val="4"/>
        </w:numPr>
        <w:spacing w:line="600" w:lineRule="exact"/>
        <w:ind w:left="0" w:firstLine="0"/>
        <w:outlineLvl w:val="2"/>
        <w:rPr>
          <w:rFonts w:ascii="仿宋_GB2312" w:eastAsia="仿宋_GB2312"/>
          <w:b/>
          <w:kern w:val="0"/>
          <w:sz w:val="30"/>
          <w:szCs w:val="30"/>
        </w:rPr>
      </w:pPr>
      <w:bookmarkStart w:id="444" w:name="_Toc57908886"/>
      <w:r>
        <w:rPr>
          <w:rFonts w:hint="eastAsia" w:ascii="仿宋_GB2312" w:eastAsia="仿宋_GB2312"/>
          <w:b/>
          <w:kern w:val="0"/>
          <w:sz w:val="30"/>
          <w:szCs w:val="30"/>
        </w:rPr>
        <w:t>申报数量要求</w:t>
      </w:r>
      <w:bookmarkEnd w:id="444"/>
    </w:p>
    <w:p w14:paraId="1E4E91F2">
      <w:pPr>
        <w:spacing w:line="600" w:lineRule="exact"/>
        <w:ind w:left="567"/>
        <w:outlineLvl w:val="3"/>
        <w:rPr>
          <w:rFonts w:ascii="仿宋_GB2312" w:eastAsia="仿宋_GB2312"/>
          <w:kern w:val="0"/>
          <w:sz w:val="30"/>
          <w:szCs w:val="30"/>
        </w:rPr>
      </w:pPr>
      <w:r>
        <w:rPr>
          <w:rFonts w:hint="eastAsia" w:ascii="仿宋_GB2312" w:eastAsia="仿宋_GB2312"/>
          <w:kern w:val="0"/>
          <w:sz w:val="30"/>
          <w:szCs w:val="30"/>
        </w:rPr>
        <w:t>（</w:t>
      </w:r>
      <w:r>
        <w:rPr>
          <w:rFonts w:ascii="仿宋_GB2312" w:eastAsia="仿宋_GB2312"/>
          <w:kern w:val="0"/>
          <w:sz w:val="30"/>
          <w:szCs w:val="30"/>
        </w:rPr>
        <w:t>1</w:t>
      </w:r>
      <w:r>
        <w:rPr>
          <w:rFonts w:hint="eastAsia" w:ascii="仿宋_GB2312" w:eastAsia="仿宋_GB2312"/>
          <w:kern w:val="0"/>
          <w:sz w:val="30"/>
          <w:szCs w:val="30"/>
        </w:rPr>
        <w:t>）最小申报数量与申报数量最小变动单位</w:t>
      </w:r>
    </w:p>
    <w:p w14:paraId="3413A6A2">
      <w:pPr>
        <w:pStyle w:val="90"/>
        <w:spacing w:line="600" w:lineRule="exact"/>
        <w:ind w:firstLine="600"/>
        <w:rPr>
          <w:rFonts w:hAnsi="Times New Roman"/>
          <w:sz w:val="30"/>
          <w:szCs w:val="30"/>
        </w:rPr>
      </w:pPr>
      <w:r>
        <w:rPr>
          <w:rFonts w:hint="eastAsia" w:hAnsi="Times New Roman"/>
          <w:sz w:val="30"/>
          <w:szCs w:val="30"/>
        </w:rPr>
        <w:t>本所对不同债券在不同交易方式下的最小申报数量与申报数量最小变动单位有不同要求（详见下表），</w:t>
      </w:r>
      <w:r>
        <w:rPr>
          <w:rFonts w:hAnsi="Times New Roman"/>
          <w:sz w:val="30"/>
          <w:szCs w:val="30"/>
        </w:rPr>
        <w:t>本所可以根据市场情况调整</w:t>
      </w:r>
      <w:r>
        <w:rPr>
          <w:rFonts w:hint="eastAsia" w:hAnsi="Times New Roman"/>
          <w:sz w:val="30"/>
          <w:szCs w:val="30"/>
        </w:rPr>
        <w:t>相关</w:t>
      </w:r>
      <w:r>
        <w:rPr>
          <w:rFonts w:hAnsi="Times New Roman"/>
          <w:sz w:val="30"/>
          <w:szCs w:val="30"/>
        </w:rPr>
        <w:t>申报数量</w:t>
      </w:r>
      <w:r>
        <w:rPr>
          <w:rFonts w:hint="eastAsia" w:hAnsi="Times New Roman"/>
          <w:sz w:val="30"/>
          <w:szCs w:val="30"/>
        </w:rPr>
        <w:t>要求</w:t>
      </w:r>
      <w:r>
        <w:rPr>
          <w:rFonts w:hAnsi="Times New Roman"/>
          <w:sz w:val="30"/>
          <w:szCs w:val="30"/>
        </w:rPr>
        <w:t>。</w:t>
      </w:r>
    </w:p>
    <w:tbl>
      <w:tblPr>
        <w:tblStyle w:val="43"/>
        <w:tblW w:w="11057" w:type="dxa"/>
        <w:tblInd w:w="-13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5"/>
        <w:gridCol w:w="1352"/>
        <w:gridCol w:w="2268"/>
        <w:gridCol w:w="1843"/>
        <w:gridCol w:w="1417"/>
        <w:gridCol w:w="2127"/>
        <w:gridCol w:w="1275"/>
      </w:tblGrid>
      <w:tr w14:paraId="2159C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75" w:type="dxa"/>
            <w:vAlign w:val="center"/>
          </w:tcPr>
          <w:p w14:paraId="5E48EA32">
            <w:pPr>
              <w:pStyle w:val="90"/>
              <w:spacing w:line="240" w:lineRule="auto"/>
              <w:ind w:firstLine="0" w:firstLineChars="0"/>
              <w:rPr>
                <w:rFonts w:hAnsi="Times New Roman"/>
                <w:b/>
                <w:sz w:val="24"/>
                <w:szCs w:val="24"/>
              </w:rPr>
            </w:pPr>
            <w:r>
              <w:rPr>
                <w:rFonts w:hint="eastAsia" w:hAnsi="Times New Roman"/>
                <w:b/>
                <w:sz w:val="24"/>
                <w:szCs w:val="24"/>
              </w:rPr>
              <w:t>子市场</w:t>
            </w:r>
          </w:p>
        </w:tc>
        <w:tc>
          <w:tcPr>
            <w:tcW w:w="1352" w:type="dxa"/>
            <w:vAlign w:val="center"/>
          </w:tcPr>
          <w:p w14:paraId="720F4651">
            <w:pPr>
              <w:pStyle w:val="90"/>
              <w:spacing w:line="240" w:lineRule="auto"/>
              <w:ind w:firstLine="0" w:firstLineChars="0"/>
              <w:rPr>
                <w:rFonts w:hAnsi="Times New Roman"/>
                <w:b/>
                <w:sz w:val="24"/>
                <w:szCs w:val="24"/>
              </w:rPr>
            </w:pPr>
            <w:r>
              <w:rPr>
                <w:rFonts w:hint="eastAsia" w:hAnsi="Times New Roman"/>
                <w:b/>
                <w:sz w:val="24"/>
                <w:szCs w:val="24"/>
              </w:rPr>
              <w:t>产品类型</w:t>
            </w:r>
          </w:p>
        </w:tc>
        <w:tc>
          <w:tcPr>
            <w:tcW w:w="2268" w:type="dxa"/>
            <w:vAlign w:val="center"/>
          </w:tcPr>
          <w:p w14:paraId="1E77080A">
            <w:pPr>
              <w:pStyle w:val="90"/>
              <w:spacing w:line="240" w:lineRule="auto"/>
              <w:ind w:firstLine="482"/>
              <w:rPr>
                <w:rFonts w:hAnsi="Times New Roman"/>
                <w:b/>
                <w:sz w:val="24"/>
                <w:szCs w:val="24"/>
              </w:rPr>
            </w:pPr>
            <w:r>
              <w:rPr>
                <w:rFonts w:hint="eastAsia" w:hAnsi="Times New Roman"/>
                <w:b/>
                <w:sz w:val="24"/>
                <w:szCs w:val="24"/>
              </w:rPr>
              <w:t>匹配成交</w:t>
            </w:r>
          </w:p>
        </w:tc>
        <w:tc>
          <w:tcPr>
            <w:tcW w:w="1843" w:type="dxa"/>
            <w:vAlign w:val="center"/>
          </w:tcPr>
          <w:p w14:paraId="6D8A63C3">
            <w:pPr>
              <w:pStyle w:val="90"/>
              <w:spacing w:line="240" w:lineRule="auto"/>
              <w:ind w:firstLine="0" w:firstLineChars="0"/>
              <w:rPr>
                <w:rFonts w:hAnsi="Times New Roman"/>
                <w:b/>
                <w:sz w:val="24"/>
                <w:szCs w:val="24"/>
              </w:rPr>
            </w:pPr>
            <w:r>
              <w:rPr>
                <w:rFonts w:hint="eastAsia" w:hAnsi="Times New Roman"/>
                <w:b/>
                <w:sz w:val="24"/>
                <w:szCs w:val="24"/>
              </w:rPr>
              <w:t>点击成交</w:t>
            </w:r>
          </w:p>
        </w:tc>
        <w:tc>
          <w:tcPr>
            <w:tcW w:w="1417" w:type="dxa"/>
            <w:vAlign w:val="center"/>
          </w:tcPr>
          <w:p w14:paraId="0ADA20D8">
            <w:pPr>
              <w:pStyle w:val="90"/>
              <w:spacing w:line="240" w:lineRule="auto"/>
              <w:ind w:firstLine="0" w:firstLineChars="0"/>
              <w:rPr>
                <w:rFonts w:hAnsi="Times New Roman"/>
                <w:b/>
                <w:sz w:val="24"/>
                <w:szCs w:val="24"/>
              </w:rPr>
            </w:pPr>
            <w:r>
              <w:rPr>
                <w:rFonts w:hint="eastAsia" w:hAnsi="Times New Roman"/>
                <w:b/>
                <w:sz w:val="24"/>
                <w:szCs w:val="24"/>
              </w:rPr>
              <w:t>询价成交</w:t>
            </w:r>
          </w:p>
        </w:tc>
        <w:tc>
          <w:tcPr>
            <w:tcW w:w="2127" w:type="dxa"/>
            <w:vAlign w:val="center"/>
          </w:tcPr>
          <w:p w14:paraId="3AE34641">
            <w:pPr>
              <w:pStyle w:val="90"/>
              <w:spacing w:line="240" w:lineRule="auto"/>
              <w:ind w:firstLine="0" w:firstLineChars="0"/>
              <w:rPr>
                <w:rFonts w:hAnsi="Times New Roman"/>
                <w:b/>
                <w:sz w:val="24"/>
                <w:szCs w:val="24"/>
              </w:rPr>
            </w:pPr>
            <w:r>
              <w:rPr>
                <w:rFonts w:hint="eastAsia" w:hAnsi="Times New Roman"/>
                <w:b/>
                <w:sz w:val="24"/>
                <w:szCs w:val="24"/>
              </w:rPr>
              <w:t>协商成交</w:t>
            </w:r>
          </w:p>
        </w:tc>
        <w:tc>
          <w:tcPr>
            <w:tcW w:w="1275" w:type="dxa"/>
            <w:vAlign w:val="center"/>
          </w:tcPr>
          <w:p w14:paraId="5B701CEE">
            <w:pPr>
              <w:pStyle w:val="90"/>
              <w:spacing w:line="240" w:lineRule="auto"/>
              <w:ind w:firstLine="0" w:firstLineChars="0"/>
              <w:rPr>
                <w:rFonts w:hAnsi="Times New Roman"/>
                <w:b/>
                <w:sz w:val="24"/>
                <w:szCs w:val="24"/>
              </w:rPr>
            </w:pPr>
            <w:r>
              <w:rPr>
                <w:rFonts w:hint="eastAsia" w:hAnsi="Times New Roman"/>
                <w:b/>
                <w:sz w:val="24"/>
                <w:szCs w:val="24"/>
              </w:rPr>
              <w:t>竞买成交</w:t>
            </w:r>
          </w:p>
        </w:tc>
      </w:tr>
      <w:tr w14:paraId="2C37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2" w:hRule="atLeast"/>
        </w:trPr>
        <w:tc>
          <w:tcPr>
            <w:tcW w:w="775" w:type="dxa"/>
            <w:vMerge w:val="restart"/>
            <w:vAlign w:val="center"/>
          </w:tcPr>
          <w:p w14:paraId="2D3EF174">
            <w:pPr>
              <w:pStyle w:val="90"/>
              <w:spacing w:line="240" w:lineRule="auto"/>
              <w:ind w:firstLine="0" w:firstLineChars="0"/>
              <w:rPr>
                <w:rFonts w:hAnsi="Times New Roman"/>
                <w:sz w:val="24"/>
                <w:szCs w:val="24"/>
              </w:rPr>
            </w:pPr>
            <w:r>
              <w:rPr>
                <w:rFonts w:hint="eastAsia" w:hAnsi="Times New Roman"/>
                <w:sz w:val="24"/>
                <w:szCs w:val="24"/>
              </w:rPr>
              <w:t>现券</w:t>
            </w:r>
          </w:p>
          <w:p w14:paraId="12E04584">
            <w:pPr>
              <w:pStyle w:val="90"/>
              <w:spacing w:line="240" w:lineRule="auto"/>
              <w:ind w:firstLine="480"/>
              <w:rPr>
                <w:rFonts w:hAnsi="Times New Roman"/>
                <w:sz w:val="24"/>
                <w:szCs w:val="24"/>
              </w:rPr>
            </w:pPr>
          </w:p>
        </w:tc>
        <w:tc>
          <w:tcPr>
            <w:tcW w:w="1352" w:type="dxa"/>
            <w:vAlign w:val="center"/>
          </w:tcPr>
          <w:p w14:paraId="35D2BE04">
            <w:pPr>
              <w:pStyle w:val="90"/>
              <w:spacing w:line="240" w:lineRule="auto"/>
              <w:ind w:firstLine="0" w:firstLineChars="0"/>
              <w:rPr>
                <w:rFonts w:hAnsi="Times New Roman"/>
                <w:sz w:val="24"/>
                <w:szCs w:val="24"/>
              </w:rPr>
            </w:pPr>
            <w:r>
              <w:rPr>
                <w:rFonts w:hint="eastAsia" w:hAnsi="Times New Roman"/>
                <w:sz w:val="24"/>
                <w:szCs w:val="24"/>
              </w:rPr>
              <w:t>国债、地方债、政策性金融债、政府支持债券、公司债</w:t>
            </w:r>
          </w:p>
          <w:p w14:paraId="3332050C">
            <w:pPr>
              <w:pStyle w:val="90"/>
              <w:spacing w:line="240" w:lineRule="auto"/>
              <w:ind w:firstLine="0" w:firstLineChars="0"/>
              <w:rPr>
                <w:rFonts w:hAnsi="Times New Roman"/>
                <w:sz w:val="24"/>
                <w:szCs w:val="24"/>
              </w:rPr>
            </w:pPr>
          </w:p>
        </w:tc>
        <w:tc>
          <w:tcPr>
            <w:tcW w:w="2268" w:type="dxa"/>
            <w:vAlign w:val="center"/>
          </w:tcPr>
          <w:p w14:paraId="72EA5F69">
            <w:pPr>
              <w:pStyle w:val="90"/>
              <w:spacing w:line="240" w:lineRule="auto"/>
              <w:ind w:firstLine="0" w:firstLineChars="0"/>
              <w:rPr>
                <w:rFonts w:hAnsi="Times New Roman"/>
                <w:sz w:val="24"/>
                <w:szCs w:val="24"/>
              </w:rPr>
            </w:pPr>
            <w:r>
              <w:rPr>
                <w:rFonts w:hint="eastAsia" w:hAnsi="Times New Roman"/>
                <w:sz w:val="24"/>
                <w:szCs w:val="24"/>
              </w:rPr>
              <w:t>最小申报数量为</w:t>
            </w:r>
            <w:r>
              <w:rPr>
                <w:rFonts w:hAnsi="Times New Roman"/>
                <w:sz w:val="24"/>
                <w:szCs w:val="24"/>
              </w:rPr>
              <w:t>10</w:t>
            </w:r>
            <w:r>
              <w:rPr>
                <w:rFonts w:hint="eastAsia" w:hAnsi="Times New Roman"/>
                <w:sz w:val="24"/>
                <w:szCs w:val="24"/>
              </w:rPr>
              <w:t>万元面额；数量最小变动单位为</w:t>
            </w:r>
            <w:r>
              <w:rPr>
                <w:rFonts w:hAnsi="Times New Roman"/>
                <w:sz w:val="24"/>
                <w:szCs w:val="24"/>
              </w:rPr>
              <w:t>10</w:t>
            </w:r>
            <w:r>
              <w:rPr>
                <w:rFonts w:hint="eastAsia" w:hAnsi="Times New Roman"/>
                <w:sz w:val="24"/>
                <w:szCs w:val="24"/>
              </w:rPr>
              <w:t>万元面额，卖出时不足</w:t>
            </w:r>
            <w:r>
              <w:rPr>
                <w:rFonts w:hAnsi="Times New Roman"/>
                <w:sz w:val="24"/>
                <w:szCs w:val="24"/>
              </w:rPr>
              <w:t>10</w:t>
            </w:r>
            <w:r>
              <w:rPr>
                <w:rFonts w:hint="eastAsia" w:hAnsi="Times New Roman"/>
                <w:sz w:val="24"/>
                <w:szCs w:val="24"/>
              </w:rPr>
              <w:t>万元面额的部分，应当一次性申报；</w:t>
            </w:r>
          </w:p>
          <w:p w14:paraId="6218754F">
            <w:pPr>
              <w:pStyle w:val="90"/>
              <w:spacing w:line="240" w:lineRule="auto"/>
              <w:ind w:firstLine="480"/>
              <w:rPr>
                <w:rFonts w:hAnsi="Times New Roman"/>
                <w:sz w:val="24"/>
                <w:szCs w:val="24"/>
              </w:rPr>
            </w:pPr>
          </w:p>
        </w:tc>
        <w:tc>
          <w:tcPr>
            <w:tcW w:w="1843" w:type="dxa"/>
            <w:vAlign w:val="center"/>
          </w:tcPr>
          <w:p w14:paraId="336BD85D">
            <w:pPr>
              <w:pStyle w:val="90"/>
              <w:spacing w:line="240" w:lineRule="auto"/>
              <w:ind w:firstLine="0" w:firstLineChars="0"/>
              <w:rPr>
                <w:rFonts w:hAnsi="Times New Roman"/>
                <w:sz w:val="24"/>
                <w:szCs w:val="24"/>
              </w:rPr>
            </w:pPr>
            <w:r>
              <w:rPr>
                <w:rFonts w:hint="eastAsia" w:hAnsi="Times New Roman"/>
                <w:sz w:val="24"/>
                <w:szCs w:val="24"/>
              </w:rPr>
              <w:t>最小申报数量为</w:t>
            </w:r>
            <w:r>
              <w:rPr>
                <w:rFonts w:hAnsi="Times New Roman"/>
                <w:sz w:val="24"/>
                <w:szCs w:val="24"/>
              </w:rPr>
              <w:t>10</w:t>
            </w:r>
            <w:r>
              <w:rPr>
                <w:rFonts w:hint="eastAsia" w:hAnsi="Times New Roman"/>
                <w:sz w:val="24"/>
                <w:szCs w:val="24"/>
              </w:rPr>
              <w:t>万元面额；数量最小变动单位为</w:t>
            </w:r>
            <w:r>
              <w:rPr>
                <w:rFonts w:hAnsi="Times New Roman"/>
                <w:sz w:val="24"/>
                <w:szCs w:val="24"/>
              </w:rPr>
              <w:t>10</w:t>
            </w:r>
            <w:r>
              <w:rPr>
                <w:rFonts w:hint="eastAsia" w:hAnsi="Times New Roman"/>
                <w:sz w:val="24"/>
                <w:szCs w:val="24"/>
              </w:rPr>
              <w:t>万元面额</w:t>
            </w:r>
          </w:p>
        </w:tc>
        <w:tc>
          <w:tcPr>
            <w:tcW w:w="1417" w:type="dxa"/>
            <w:vAlign w:val="center"/>
          </w:tcPr>
          <w:p w14:paraId="1C66093B">
            <w:pPr>
              <w:pStyle w:val="90"/>
              <w:spacing w:line="240" w:lineRule="auto"/>
              <w:ind w:firstLine="0" w:firstLineChars="0"/>
              <w:rPr>
                <w:rFonts w:hAnsi="Times New Roman"/>
                <w:sz w:val="24"/>
                <w:szCs w:val="24"/>
              </w:rPr>
            </w:pPr>
            <w:r>
              <w:rPr>
                <w:rFonts w:hint="eastAsia" w:hAnsi="Times New Roman"/>
                <w:sz w:val="24"/>
                <w:szCs w:val="24"/>
              </w:rPr>
              <w:t>最小申报数量为</w:t>
            </w:r>
            <w:r>
              <w:rPr>
                <w:rFonts w:hAnsi="Times New Roman"/>
                <w:sz w:val="24"/>
                <w:szCs w:val="24"/>
              </w:rPr>
              <w:t>10</w:t>
            </w:r>
            <w:r>
              <w:rPr>
                <w:rFonts w:hint="eastAsia" w:hAnsi="Times New Roman"/>
                <w:sz w:val="24"/>
                <w:szCs w:val="24"/>
              </w:rPr>
              <w:t>万元面额；数量最小变动单位为</w:t>
            </w:r>
            <w:r>
              <w:rPr>
                <w:rFonts w:hAnsi="Times New Roman"/>
                <w:sz w:val="24"/>
                <w:szCs w:val="24"/>
              </w:rPr>
              <w:t>1000</w:t>
            </w:r>
            <w:r>
              <w:rPr>
                <w:rFonts w:hint="eastAsia" w:hAnsi="Times New Roman"/>
                <w:sz w:val="24"/>
                <w:szCs w:val="24"/>
              </w:rPr>
              <w:t>元面额</w:t>
            </w:r>
          </w:p>
        </w:tc>
        <w:tc>
          <w:tcPr>
            <w:tcW w:w="2127" w:type="dxa"/>
            <w:vAlign w:val="center"/>
          </w:tcPr>
          <w:p w14:paraId="1728ED87">
            <w:pPr>
              <w:pStyle w:val="90"/>
              <w:spacing w:line="240" w:lineRule="auto"/>
              <w:ind w:firstLine="0" w:firstLineChars="0"/>
              <w:rPr>
                <w:rFonts w:hAnsi="Times New Roman"/>
                <w:sz w:val="24"/>
                <w:szCs w:val="24"/>
              </w:rPr>
            </w:pPr>
            <w:r>
              <w:rPr>
                <w:rFonts w:hint="eastAsia" w:hAnsi="Times New Roman"/>
                <w:sz w:val="24"/>
                <w:szCs w:val="24"/>
              </w:rPr>
              <w:t>最小申报数量为</w:t>
            </w:r>
            <w:r>
              <w:rPr>
                <w:rFonts w:hAnsi="Times New Roman"/>
                <w:sz w:val="24"/>
                <w:szCs w:val="24"/>
              </w:rPr>
              <w:t>1000</w:t>
            </w:r>
            <w:r>
              <w:rPr>
                <w:rFonts w:hint="eastAsia" w:hAnsi="Times New Roman"/>
                <w:sz w:val="24"/>
                <w:szCs w:val="24"/>
              </w:rPr>
              <w:t>元面额；数量最小变动单位为</w:t>
            </w:r>
            <w:r>
              <w:rPr>
                <w:rFonts w:hAnsi="Times New Roman"/>
                <w:sz w:val="24"/>
                <w:szCs w:val="24"/>
              </w:rPr>
              <w:t>1000</w:t>
            </w:r>
            <w:r>
              <w:rPr>
                <w:rFonts w:hint="eastAsia" w:hAnsi="Times New Roman"/>
                <w:sz w:val="24"/>
                <w:szCs w:val="24"/>
              </w:rPr>
              <w:t>元面额</w:t>
            </w:r>
          </w:p>
          <w:p w14:paraId="6E100643">
            <w:pPr>
              <w:pStyle w:val="90"/>
              <w:spacing w:line="240" w:lineRule="auto"/>
              <w:ind w:firstLine="0" w:firstLineChars="0"/>
              <w:rPr>
                <w:rFonts w:hAnsi="Times New Roman"/>
                <w:sz w:val="24"/>
                <w:szCs w:val="24"/>
              </w:rPr>
            </w:pPr>
            <w:r>
              <w:rPr>
                <w:rFonts w:hint="eastAsia" w:hAnsi="Times New Roman"/>
                <w:sz w:val="24"/>
                <w:szCs w:val="24"/>
              </w:rPr>
              <w:t>（《债券交易规则》关于“采用协商成交方式的，债券现券申报数量应当不低于</w:t>
            </w:r>
            <w:r>
              <w:rPr>
                <w:rFonts w:hAnsi="Times New Roman"/>
                <w:sz w:val="24"/>
                <w:szCs w:val="24"/>
              </w:rPr>
              <w:t>1000</w:t>
            </w:r>
            <w:r>
              <w:rPr>
                <w:rFonts w:hint="eastAsia" w:hAnsi="Times New Roman"/>
                <w:sz w:val="24"/>
                <w:szCs w:val="24"/>
              </w:rPr>
              <w:t>元面额，且为</w:t>
            </w:r>
            <w:r>
              <w:rPr>
                <w:rFonts w:hAnsi="Times New Roman"/>
                <w:sz w:val="24"/>
                <w:szCs w:val="24"/>
              </w:rPr>
              <w:t>100</w:t>
            </w:r>
            <w:r>
              <w:rPr>
                <w:rFonts w:hint="eastAsia" w:hAnsi="Times New Roman"/>
                <w:sz w:val="24"/>
                <w:szCs w:val="24"/>
              </w:rPr>
              <w:t>元面额整数倍”的规定暂缓施行。）</w:t>
            </w:r>
          </w:p>
        </w:tc>
        <w:tc>
          <w:tcPr>
            <w:tcW w:w="1275" w:type="dxa"/>
            <w:vAlign w:val="center"/>
          </w:tcPr>
          <w:p w14:paraId="090B5D99">
            <w:pPr>
              <w:pStyle w:val="90"/>
              <w:spacing w:line="240" w:lineRule="auto"/>
              <w:ind w:firstLine="0" w:firstLineChars="0"/>
              <w:rPr>
                <w:rFonts w:hAnsi="Times New Roman"/>
                <w:sz w:val="24"/>
                <w:szCs w:val="24"/>
              </w:rPr>
            </w:pPr>
            <w:r>
              <w:rPr>
                <w:rFonts w:hint="eastAsia" w:hAnsi="Times New Roman"/>
                <w:sz w:val="24"/>
                <w:szCs w:val="24"/>
              </w:rPr>
              <w:t>最小申报数量为</w:t>
            </w:r>
            <w:r>
              <w:rPr>
                <w:rFonts w:hAnsi="Times New Roman"/>
                <w:sz w:val="24"/>
                <w:szCs w:val="24"/>
              </w:rPr>
              <w:t>10</w:t>
            </w:r>
            <w:r>
              <w:rPr>
                <w:rFonts w:hint="eastAsia" w:hAnsi="Times New Roman"/>
                <w:sz w:val="24"/>
                <w:szCs w:val="24"/>
              </w:rPr>
              <w:t>万元面额；数量最小变动单位为</w:t>
            </w:r>
            <w:r>
              <w:rPr>
                <w:rFonts w:hAnsi="Times New Roman"/>
                <w:sz w:val="24"/>
                <w:szCs w:val="24"/>
              </w:rPr>
              <w:t>1000</w:t>
            </w:r>
            <w:r>
              <w:rPr>
                <w:rFonts w:hint="eastAsia" w:hAnsi="Times New Roman"/>
                <w:sz w:val="24"/>
                <w:szCs w:val="24"/>
              </w:rPr>
              <w:t>元面额</w:t>
            </w:r>
          </w:p>
        </w:tc>
      </w:tr>
      <w:tr w14:paraId="6EFB7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75" w:type="dxa"/>
            <w:vMerge w:val="continue"/>
            <w:vAlign w:val="center"/>
          </w:tcPr>
          <w:p w14:paraId="640B93BB">
            <w:pPr>
              <w:pStyle w:val="90"/>
              <w:spacing w:line="240" w:lineRule="auto"/>
              <w:ind w:firstLine="0" w:firstLineChars="0"/>
              <w:rPr>
                <w:rFonts w:hAnsi="Times New Roman"/>
                <w:sz w:val="24"/>
                <w:szCs w:val="24"/>
              </w:rPr>
            </w:pPr>
          </w:p>
        </w:tc>
        <w:tc>
          <w:tcPr>
            <w:tcW w:w="1352" w:type="dxa"/>
            <w:vAlign w:val="center"/>
          </w:tcPr>
          <w:p w14:paraId="1760CCF1">
            <w:pPr>
              <w:pStyle w:val="90"/>
              <w:spacing w:line="240" w:lineRule="auto"/>
              <w:ind w:firstLine="0" w:firstLineChars="0"/>
              <w:rPr>
                <w:rFonts w:hAnsi="Times New Roman"/>
                <w:sz w:val="24"/>
                <w:szCs w:val="24"/>
              </w:rPr>
            </w:pPr>
            <w:r>
              <w:rPr>
                <w:rFonts w:hAnsi="Times New Roman"/>
                <w:sz w:val="24"/>
                <w:szCs w:val="24"/>
              </w:rPr>
              <w:t>ABS</w:t>
            </w:r>
          </w:p>
        </w:tc>
        <w:tc>
          <w:tcPr>
            <w:tcW w:w="2268" w:type="dxa"/>
            <w:vAlign w:val="center"/>
          </w:tcPr>
          <w:p w14:paraId="07BC3635">
            <w:pPr>
              <w:pStyle w:val="90"/>
              <w:spacing w:line="240" w:lineRule="auto"/>
              <w:ind w:firstLine="0" w:firstLineChars="0"/>
              <w:jc w:val="center"/>
              <w:rPr>
                <w:rFonts w:hAnsi="Times New Roman"/>
                <w:sz w:val="24"/>
                <w:szCs w:val="24"/>
              </w:rPr>
            </w:pPr>
            <w:r>
              <w:rPr>
                <w:rFonts w:hAnsi="Times New Roman"/>
                <w:sz w:val="24"/>
                <w:szCs w:val="24"/>
              </w:rPr>
              <w:t>--</w:t>
            </w:r>
          </w:p>
        </w:tc>
        <w:tc>
          <w:tcPr>
            <w:tcW w:w="6662" w:type="dxa"/>
            <w:gridSpan w:val="4"/>
            <w:vAlign w:val="center"/>
          </w:tcPr>
          <w:p w14:paraId="589821C0">
            <w:pPr>
              <w:pStyle w:val="90"/>
              <w:spacing w:line="240" w:lineRule="auto"/>
              <w:ind w:firstLine="0" w:firstLineChars="0"/>
              <w:rPr>
                <w:rFonts w:hAnsi="Times New Roman"/>
                <w:sz w:val="24"/>
                <w:szCs w:val="24"/>
              </w:rPr>
            </w:pPr>
            <w:r>
              <w:rPr>
                <w:rFonts w:hint="eastAsia" w:hAnsi="Times New Roman"/>
                <w:sz w:val="24"/>
                <w:szCs w:val="24"/>
              </w:rPr>
              <w:t>单笔最小申报数量为</w:t>
            </w:r>
            <w:r>
              <w:rPr>
                <w:rFonts w:hAnsi="Times New Roman"/>
                <w:sz w:val="24"/>
                <w:szCs w:val="24"/>
              </w:rPr>
              <w:t>10</w:t>
            </w:r>
            <w:r>
              <w:rPr>
                <w:rFonts w:hint="eastAsia" w:hAnsi="Times New Roman"/>
                <w:sz w:val="24"/>
                <w:szCs w:val="24"/>
              </w:rPr>
              <w:t>0万元面额</w:t>
            </w:r>
          </w:p>
        </w:tc>
      </w:tr>
      <w:tr w14:paraId="72C19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75" w:type="dxa"/>
            <w:vMerge w:val="restart"/>
            <w:vAlign w:val="center"/>
          </w:tcPr>
          <w:p w14:paraId="4F833489">
            <w:pPr>
              <w:pStyle w:val="90"/>
              <w:spacing w:line="240" w:lineRule="auto"/>
              <w:ind w:firstLine="0" w:firstLineChars="0"/>
              <w:rPr>
                <w:rFonts w:hAnsi="Times New Roman"/>
                <w:sz w:val="24"/>
                <w:szCs w:val="24"/>
              </w:rPr>
            </w:pPr>
            <w:r>
              <w:rPr>
                <w:rFonts w:hint="eastAsia" w:hAnsi="Times New Roman"/>
                <w:sz w:val="24"/>
                <w:szCs w:val="24"/>
              </w:rPr>
              <w:t>回购</w:t>
            </w:r>
          </w:p>
        </w:tc>
        <w:tc>
          <w:tcPr>
            <w:tcW w:w="1352" w:type="dxa"/>
            <w:vAlign w:val="center"/>
          </w:tcPr>
          <w:p w14:paraId="65D0B369">
            <w:pPr>
              <w:pStyle w:val="90"/>
              <w:spacing w:line="240" w:lineRule="auto"/>
              <w:ind w:firstLine="0" w:firstLineChars="0"/>
              <w:rPr>
                <w:rFonts w:hAnsi="Times New Roman"/>
                <w:sz w:val="24"/>
                <w:szCs w:val="24"/>
              </w:rPr>
            </w:pPr>
            <w:r>
              <w:rPr>
                <w:rFonts w:hint="eastAsia" w:hAnsi="Times New Roman"/>
                <w:sz w:val="24"/>
                <w:szCs w:val="24"/>
              </w:rPr>
              <w:t>通用回购</w:t>
            </w:r>
          </w:p>
        </w:tc>
        <w:tc>
          <w:tcPr>
            <w:tcW w:w="2268" w:type="dxa"/>
            <w:vAlign w:val="center"/>
          </w:tcPr>
          <w:p w14:paraId="4B25CE9E">
            <w:pPr>
              <w:pStyle w:val="90"/>
              <w:spacing w:line="240" w:lineRule="auto"/>
              <w:ind w:firstLine="0" w:firstLineChars="0"/>
              <w:rPr>
                <w:rFonts w:hAnsi="Times New Roman"/>
                <w:sz w:val="24"/>
                <w:szCs w:val="24"/>
              </w:rPr>
            </w:pPr>
            <w:r>
              <w:rPr>
                <w:rFonts w:hint="eastAsia" w:hAnsi="Times New Roman"/>
                <w:sz w:val="24"/>
                <w:szCs w:val="24"/>
              </w:rPr>
              <w:t>最小申报数量</w:t>
            </w:r>
            <w:r>
              <w:rPr>
                <w:rFonts w:hAnsi="Times New Roman"/>
                <w:sz w:val="24"/>
                <w:szCs w:val="24"/>
              </w:rPr>
              <w:t>1000</w:t>
            </w:r>
            <w:r>
              <w:rPr>
                <w:rFonts w:hint="eastAsia" w:hAnsi="Times New Roman"/>
                <w:sz w:val="24"/>
                <w:szCs w:val="24"/>
              </w:rPr>
              <w:t>元面额；数量最小变动单位</w:t>
            </w:r>
            <w:r>
              <w:rPr>
                <w:rFonts w:hAnsi="Times New Roman"/>
                <w:sz w:val="24"/>
                <w:szCs w:val="24"/>
              </w:rPr>
              <w:t>1000</w:t>
            </w:r>
            <w:r>
              <w:rPr>
                <w:rFonts w:hint="eastAsia" w:hAnsi="Times New Roman"/>
                <w:sz w:val="24"/>
                <w:szCs w:val="24"/>
              </w:rPr>
              <w:t>元面额</w:t>
            </w:r>
          </w:p>
        </w:tc>
        <w:tc>
          <w:tcPr>
            <w:tcW w:w="6662" w:type="dxa"/>
            <w:gridSpan w:val="4"/>
            <w:vAlign w:val="center"/>
          </w:tcPr>
          <w:p w14:paraId="7506CBC1">
            <w:pPr>
              <w:pStyle w:val="90"/>
              <w:spacing w:line="240" w:lineRule="auto"/>
              <w:ind w:firstLine="0" w:firstLineChars="0"/>
              <w:rPr>
                <w:rFonts w:hAnsi="Times New Roman"/>
                <w:sz w:val="24"/>
                <w:szCs w:val="24"/>
              </w:rPr>
            </w:pPr>
            <w:r>
              <w:rPr>
                <w:rFonts w:hint="eastAsia" w:hAnsi="Times New Roman"/>
                <w:sz w:val="24"/>
                <w:szCs w:val="24"/>
              </w:rPr>
              <w:t>（《上海证券交易所债券交易规则适用指引第2号——债券通用质押式回购交易》关于“通用回购交易采用点击成交、询价成交、竞买成交、协商成交等其他交易方式达成”的规定暂缓施行。）</w:t>
            </w:r>
          </w:p>
        </w:tc>
      </w:tr>
      <w:tr w14:paraId="26F18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75" w:type="dxa"/>
            <w:vMerge w:val="continue"/>
            <w:vAlign w:val="center"/>
          </w:tcPr>
          <w:p w14:paraId="5E950660">
            <w:pPr>
              <w:pStyle w:val="90"/>
              <w:spacing w:line="240" w:lineRule="auto"/>
              <w:ind w:firstLine="480"/>
              <w:rPr>
                <w:rFonts w:hAnsi="Times New Roman"/>
                <w:sz w:val="24"/>
                <w:szCs w:val="24"/>
              </w:rPr>
            </w:pPr>
          </w:p>
        </w:tc>
        <w:tc>
          <w:tcPr>
            <w:tcW w:w="1352" w:type="dxa"/>
            <w:vAlign w:val="center"/>
          </w:tcPr>
          <w:p w14:paraId="08D18459">
            <w:pPr>
              <w:pStyle w:val="90"/>
              <w:spacing w:line="240" w:lineRule="auto"/>
              <w:ind w:firstLine="0" w:firstLineChars="0"/>
              <w:rPr>
                <w:rFonts w:hAnsi="Times New Roman"/>
                <w:sz w:val="24"/>
                <w:szCs w:val="24"/>
              </w:rPr>
            </w:pPr>
            <w:r>
              <w:rPr>
                <w:rFonts w:hint="eastAsia" w:hAnsi="Times New Roman"/>
                <w:sz w:val="24"/>
                <w:szCs w:val="24"/>
              </w:rPr>
              <w:t>协议回购</w:t>
            </w:r>
          </w:p>
        </w:tc>
        <w:tc>
          <w:tcPr>
            <w:tcW w:w="2268" w:type="dxa"/>
            <w:vAlign w:val="center"/>
          </w:tcPr>
          <w:p w14:paraId="2BD84C2A">
            <w:pPr>
              <w:pStyle w:val="90"/>
              <w:spacing w:line="240" w:lineRule="auto"/>
              <w:ind w:firstLine="480"/>
              <w:rPr>
                <w:rFonts w:hAnsi="Times New Roman"/>
                <w:sz w:val="24"/>
                <w:szCs w:val="24"/>
              </w:rPr>
            </w:pPr>
            <w:r>
              <w:rPr>
                <w:rFonts w:hAnsi="Times New Roman"/>
                <w:sz w:val="24"/>
                <w:szCs w:val="24"/>
              </w:rPr>
              <w:t>--</w:t>
            </w:r>
          </w:p>
        </w:tc>
        <w:tc>
          <w:tcPr>
            <w:tcW w:w="1843" w:type="dxa"/>
            <w:vAlign w:val="center"/>
          </w:tcPr>
          <w:p w14:paraId="6106EFEF">
            <w:pPr>
              <w:pStyle w:val="90"/>
              <w:spacing w:line="240" w:lineRule="auto"/>
              <w:ind w:firstLine="480"/>
              <w:rPr>
                <w:rFonts w:hAnsi="Times New Roman"/>
                <w:sz w:val="24"/>
                <w:szCs w:val="24"/>
              </w:rPr>
            </w:pPr>
            <w:r>
              <w:rPr>
                <w:rFonts w:hAnsi="Times New Roman"/>
                <w:sz w:val="24"/>
                <w:szCs w:val="24"/>
              </w:rPr>
              <w:t>--</w:t>
            </w:r>
          </w:p>
        </w:tc>
        <w:tc>
          <w:tcPr>
            <w:tcW w:w="1417" w:type="dxa"/>
            <w:vAlign w:val="center"/>
          </w:tcPr>
          <w:p w14:paraId="3CBB4D33">
            <w:pPr>
              <w:pStyle w:val="90"/>
              <w:spacing w:line="240" w:lineRule="auto"/>
              <w:ind w:firstLine="480"/>
              <w:rPr>
                <w:rFonts w:hAnsi="Times New Roman"/>
                <w:sz w:val="24"/>
                <w:szCs w:val="24"/>
              </w:rPr>
            </w:pPr>
            <w:r>
              <w:rPr>
                <w:rFonts w:hAnsi="Times New Roman"/>
                <w:sz w:val="24"/>
                <w:szCs w:val="24"/>
              </w:rPr>
              <w:t>--</w:t>
            </w:r>
          </w:p>
        </w:tc>
        <w:tc>
          <w:tcPr>
            <w:tcW w:w="2127" w:type="dxa"/>
            <w:vAlign w:val="center"/>
          </w:tcPr>
          <w:p w14:paraId="41C42AD5">
            <w:pPr>
              <w:pStyle w:val="90"/>
              <w:spacing w:line="240" w:lineRule="auto"/>
              <w:ind w:firstLine="0" w:firstLineChars="0"/>
              <w:rPr>
                <w:rFonts w:hAnsi="Times New Roman"/>
                <w:sz w:val="24"/>
                <w:szCs w:val="24"/>
              </w:rPr>
            </w:pPr>
            <w:r>
              <w:rPr>
                <w:rFonts w:hint="eastAsia" w:hAnsi="Times New Roman"/>
                <w:sz w:val="24"/>
                <w:szCs w:val="24"/>
              </w:rPr>
              <w:t>最小申报数量为</w:t>
            </w:r>
            <w:r>
              <w:rPr>
                <w:rFonts w:hAnsi="Times New Roman"/>
                <w:sz w:val="24"/>
                <w:szCs w:val="24"/>
              </w:rPr>
              <w:t>1000</w:t>
            </w:r>
            <w:r>
              <w:rPr>
                <w:rFonts w:hint="eastAsia" w:hAnsi="Times New Roman"/>
                <w:sz w:val="24"/>
                <w:szCs w:val="24"/>
              </w:rPr>
              <w:t>元面额；数量最小变动单位为</w:t>
            </w:r>
            <w:r>
              <w:rPr>
                <w:rFonts w:hAnsi="Times New Roman"/>
                <w:sz w:val="24"/>
                <w:szCs w:val="24"/>
              </w:rPr>
              <w:t>1000</w:t>
            </w:r>
            <w:r>
              <w:rPr>
                <w:rFonts w:hint="eastAsia" w:hAnsi="Times New Roman"/>
                <w:sz w:val="24"/>
                <w:szCs w:val="24"/>
              </w:rPr>
              <w:t>元面额</w:t>
            </w:r>
          </w:p>
        </w:tc>
        <w:tc>
          <w:tcPr>
            <w:tcW w:w="1275" w:type="dxa"/>
            <w:vAlign w:val="center"/>
          </w:tcPr>
          <w:p w14:paraId="7FA19B19">
            <w:pPr>
              <w:pStyle w:val="90"/>
              <w:spacing w:line="240" w:lineRule="auto"/>
              <w:ind w:firstLine="480"/>
              <w:rPr>
                <w:rFonts w:hAnsi="Times New Roman"/>
                <w:sz w:val="24"/>
                <w:szCs w:val="24"/>
              </w:rPr>
            </w:pPr>
            <w:r>
              <w:rPr>
                <w:rFonts w:hAnsi="Times New Roman"/>
                <w:sz w:val="24"/>
                <w:szCs w:val="24"/>
              </w:rPr>
              <w:t>--</w:t>
            </w:r>
          </w:p>
        </w:tc>
      </w:tr>
      <w:tr w14:paraId="2BB40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75" w:type="dxa"/>
            <w:vMerge w:val="continue"/>
            <w:vAlign w:val="center"/>
          </w:tcPr>
          <w:p w14:paraId="2FF389CE">
            <w:pPr>
              <w:pStyle w:val="90"/>
              <w:spacing w:line="240" w:lineRule="auto"/>
              <w:ind w:firstLine="480"/>
              <w:rPr>
                <w:rFonts w:hAnsi="Times New Roman"/>
                <w:sz w:val="24"/>
                <w:szCs w:val="24"/>
              </w:rPr>
            </w:pPr>
          </w:p>
        </w:tc>
        <w:tc>
          <w:tcPr>
            <w:tcW w:w="1352" w:type="dxa"/>
            <w:vAlign w:val="center"/>
          </w:tcPr>
          <w:p w14:paraId="038E7F5F">
            <w:pPr>
              <w:pStyle w:val="90"/>
              <w:spacing w:line="240" w:lineRule="auto"/>
              <w:ind w:firstLine="0" w:firstLineChars="0"/>
              <w:rPr>
                <w:rFonts w:hAnsi="Times New Roman"/>
                <w:sz w:val="24"/>
                <w:szCs w:val="24"/>
              </w:rPr>
            </w:pPr>
            <w:r>
              <w:rPr>
                <w:rFonts w:hint="eastAsia" w:hAnsi="Times New Roman"/>
                <w:sz w:val="24"/>
                <w:szCs w:val="24"/>
              </w:rPr>
              <w:t>三方回购</w:t>
            </w:r>
          </w:p>
        </w:tc>
        <w:tc>
          <w:tcPr>
            <w:tcW w:w="2268" w:type="dxa"/>
            <w:vAlign w:val="center"/>
          </w:tcPr>
          <w:p w14:paraId="2687BF48">
            <w:pPr>
              <w:pStyle w:val="90"/>
              <w:spacing w:line="240" w:lineRule="auto"/>
              <w:ind w:firstLine="480"/>
              <w:rPr>
                <w:rFonts w:hAnsi="Times New Roman"/>
                <w:sz w:val="24"/>
                <w:szCs w:val="24"/>
              </w:rPr>
            </w:pPr>
            <w:r>
              <w:rPr>
                <w:rFonts w:hAnsi="Times New Roman"/>
                <w:sz w:val="24"/>
                <w:szCs w:val="24"/>
              </w:rPr>
              <w:t>--</w:t>
            </w:r>
          </w:p>
        </w:tc>
        <w:tc>
          <w:tcPr>
            <w:tcW w:w="1843" w:type="dxa"/>
            <w:vAlign w:val="center"/>
          </w:tcPr>
          <w:p w14:paraId="27B0EA56">
            <w:pPr>
              <w:pStyle w:val="90"/>
              <w:spacing w:line="240" w:lineRule="auto"/>
              <w:ind w:firstLine="480"/>
              <w:rPr>
                <w:rFonts w:hAnsi="Times New Roman"/>
                <w:sz w:val="24"/>
                <w:szCs w:val="24"/>
              </w:rPr>
            </w:pPr>
            <w:r>
              <w:rPr>
                <w:rFonts w:hAnsi="Times New Roman"/>
                <w:sz w:val="24"/>
                <w:szCs w:val="24"/>
              </w:rPr>
              <w:t>--</w:t>
            </w:r>
          </w:p>
        </w:tc>
        <w:tc>
          <w:tcPr>
            <w:tcW w:w="1417" w:type="dxa"/>
            <w:vAlign w:val="center"/>
          </w:tcPr>
          <w:p w14:paraId="5EF43911">
            <w:pPr>
              <w:pStyle w:val="90"/>
              <w:spacing w:line="240" w:lineRule="auto"/>
              <w:ind w:firstLine="480"/>
              <w:rPr>
                <w:rFonts w:hAnsi="Times New Roman"/>
                <w:sz w:val="24"/>
                <w:szCs w:val="24"/>
              </w:rPr>
            </w:pPr>
            <w:r>
              <w:rPr>
                <w:rFonts w:hAnsi="Times New Roman"/>
                <w:sz w:val="24"/>
                <w:szCs w:val="24"/>
              </w:rPr>
              <w:t>--</w:t>
            </w:r>
          </w:p>
        </w:tc>
        <w:tc>
          <w:tcPr>
            <w:tcW w:w="2127" w:type="dxa"/>
            <w:vAlign w:val="center"/>
          </w:tcPr>
          <w:p w14:paraId="054C7692">
            <w:pPr>
              <w:pStyle w:val="90"/>
              <w:spacing w:line="240" w:lineRule="auto"/>
              <w:ind w:firstLine="0" w:firstLineChars="0"/>
              <w:rPr>
                <w:rFonts w:hAnsi="Times New Roman"/>
                <w:sz w:val="24"/>
                <w:szCs w:val="24"/>
              </w:rPr>
            </w:pPr>
            <w:r>
              <w:rPr>
                <w:rFonts w:hint="eastAsia" w:hAnsi="Times New Roman"/>
                <w:sz w:val="24"/>
                <w:szCs w:val="24"/>
              </w:rPr>
              <w:t>回购金额为</w:t>
            </w:r>
            <w:r>
              <w:rPr>
                <w:rFonts w:hAnsi="Times New Roman"/>
                <w:sz w:val="24"/>
                <w:szCs w:val="24"/>
              </w:rPr>
              <w:t>100</w:t>
            </w:r>
            <w:r>
              <w:rPr>
                <w:rFonts w:hint="eastAsia" w:hAnsi="Times New Roman"/>
                <w:sz w:val="24"/>
                <w:szCs w:val="24"/>
              </w:rPr>
              <w:t>万元及整数倍</w:t>
            </w:r>
          </w:p>
        </w:tc>
        <w:tc>
          <w:tcPr>
            <w:tcW w:w="1275" w:type="dxa"/>
            <w:vAlign w:val="center"/>
          </w:tcPr>
          <w:p w14:paraId="70B335E3">
            <w:pPr>
              <w:pStyle w:val="90"/>
              <w:spacing w:line="240" w:lineRule="auto"/>
              <w:ind w:firstLine="480"/>
              <w:rPr>
                <w:rFonts w:hAnsi="Times New Roman"/>
                <w:sz w:val="24"/>
                <w:szCs w:val="24"/>
              </w:rPr>
            </w:pPr>
            <w:r>
              <w:rPr>
                <w:rFonts w:hAnsi="Times New Roman"/>
                <w:sz w:val="24"/>
                <w:szCs w:val="24"/>
              </w:rPr>
              <w:t>--</w:t>
            </w:r>
          </w:p>
        </w:tc>
      </w:tr>
      <w:tr w14:paraId="69BF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75" w:type="dxa"/>
            <w:vMerge w:val="restart"/>
            <w:vAlign w:val="center"/>
          </w:tcPr>
          <w:p w14:paraId="1F826056">
            <w:pPr>
              <w:pStyle w:val="90"/>
              <w:spacing w:line="240" w:lineRule="auto"/>
              <w:ind w:firstLine="0" w:firstLineChars="0"/>
              <w:rPr>
                <w:rFonts w:hAnsi="Times New Roman"/>
                <w:sz w:val="24"/>
                <w:szCs w:val="24"/>
              </w:rPr>
            </w:pPr>
            <w:r>
              <w:rPr>
                <w:rFonts w:hint="eastAsia" w:hAnsi="Times New Roman"/>
                <w:sz w:val="24"/>
                <w:szCs w:val="24"/>
              </w:rPr>
              <w:t>其他</w:t>
            </w:r>
          </w:p>
        </w:tc>
        <w:tc>
          <w:tcPr>
            <w:tcW w:w="1352" w:type="dxa"/>
            <w:vAlign w:val="center"/>
          </w:tcPr>
          <w:p w14:paraId="547DE611">
            <w:pPr>
              <w:pStyle w:val="90"/>
              <w:spacing w:line="240" w:lineRule="auto"/>
              <w:ind w:firstLine="0" w:firstLineChars="0"/>
              <w:rPr>
                <w:rFonts w:hAnsi="Times New Roman"/>
                <w:sz w:val="24"/>
                <w:szCs w:val="24"/>
              </w:rPr>
            </w:pPr>
            <w:r>
              <w:rPr>
                <w:rFonts w:hint="eastAsia" w:hAnsi="Times New Roman"/>
                <w:sz w:val="24"/>
                <w:szCs w:val="24"/>
              </w:rPr>
              <w:t>债券借贷</w:t>
            </w:r>
          </w:p>
        </w:tc>
        <w:tc>
          <w:tcPr>
            <w:tcW w:w="2268" w:type="dxa"/>
            <w:vAlign w:val="center"/>
          </w:tcPr>
          <w:p w14:paraId="22435D37">
            <w:pPr>
              <w:pStyle w:val="90"/>
              <w:spacing w:line="240" w:lineRule="auto"/>
              <w:ind w:firstLine="480"/>
              <w:rPr>
                <w:rFonts w:hAnsi="Times New Roman"/>
                <w:sz w:val="24"/>
                <w:szCs w:val="24"/>
              </w:rPr>
            </w:pPr>
            <w:r>
              <w:rPr>
                <w:rFonts w:hAnsi="Times New Roman"/>
                <w:sz w:val="24"/>
                <w:szCs w:val="24"/>
              </w:rPr>
              <w:t>--</w:t>
            </w:r>
          </w:p>
        </w:tc>
        <w:tc>
          <w:tcPr>
            <w:tcW w:w="1843" w:type="dxa"/>
            <w:vAlign w:val="center"/>
          </w:tcPr>
          <w:p w14:paraId="013D0C10">
            <w:pPr>
              <w:pStyle w:val="90"/>
              <w:spacing w:line="240" w:lineRule="auto"/>
              <w:ind w:firstLine="480"/>
              <w:rPr>
                <w:rFonts w:hAnsi="Times New Roman"/>
                <w:sz w:val="24"/>
                <w:szCs w:val="24"/>
              </w:rPr>
            </w:pPr>
            <w:r>
              <w:rPr>
                <w:rFonts w:hAnsi="Times New Roman"/>
                <w:sz w:val="24"/>
                <w:szCs w:val="24"/>
              </w:rPr>
              <w:t>--</w:t>
            </w:r>
          </w:p>
        </w:tc>
        <w:tc>
          <w:tcPr>
            <w:tcW w:w="1417" w:type="dxa"/>
            <w:vAlign w:val="center"/>
          </w:tcPr>
          <w:p w14:paraId="4EBAA29C">
            <w:pPr>
              <w:pStyle w:val="90"/>
              <w:spacing w:line="240" w:lineRule="auto"/>
              <w:ind w:firstLine="480"/>
              <w:rPr>
                <w:rFonts w:hAnsi="Times New Roman"/>
                <w:sz w:val="24"/>
                <w:szCs w:val="24"/>
              </w:rPr>
            </w:pPr>
            <w:r>
              <w:rPr>
                <w:rFonts w:hAnsi="Times New Roman"/>
                <w:sz w:val="24"/>
                <w:szCs w:val="24"/>
              </w:rPr>
              <w:t>--</w:t>
            </w:r>
          </w:p>
        </w:tc>
        <w:tc>
          <w:tcPr>
            <w:tcW w:w="2127" w:type="dxa"/>
            <w:vAlign w:val="center"/>
          </w:tcPr>
          <w:p w14:paraId="75E620DC">
            <w:pPr>
              <w:pStyle w:val="90"/>
              <w:spacing w:line="240" w:lineRule="auto"/>
              <w:ind w:firstLine="0" w:firstLineChars="0"/>
              <w:rPr>
                <w:rFonts w:hAnsi="Times New Roman"/>
                <w:sz w:val="24"/>
                <w:szCs w:val="24"/>
              </w:rPr>
            </w:pPr>
            <w:r>
              <w:rPr>
                <w:rFonts w:hint="eastAsia" w:hAnsi="Times New Roman"/>
                <w:sz w:val="24"/>
                <w:szCs w:val="24"/>
              </w:rPr>
              <w:t>最小申报数量为</w:t>
            </w:r>
            <w:r>
              <w:rPr>
                <w:rFonts w:hAnsi="Times New Roman"/>
                <w:sz w:val="24"/>
                <w:szCs w:val="24"/>
              </w:rPr>
              <w:t>1000</w:t>
            </w:r>
            <w:r>
              <w:rPr>
                <w:rFonts w:hint="eastAsia" w:hAnsi="Times New Roman"/>
                <w:sz w:val="24"/>
                <w:szCs w:val="24"/>
              </w:rPr>
              <w:t>元面额；数量最小变动单位为</w:t>
            </w:r>
            <w:r>
              <w:rPr>
                <w:rFonts w:hAnsi="Times New Roman"/>
                <w:sz w:val="24"/>
                <w:szCs w:val="24"/>
              </w:rPr>
              <w:t>1000</w:t>
            </w:r>
            <w:r>
              <w:rPr>
                <w:rFonts w:hint="eastAsia" w:hAnsi="Times New Roman"/>
                <w:sz w:val="24"/>
                <w:szCs w:val="24"/>
              </w:rPr>
              <w:t>元面额</w:t>
            </w:r>
          </w:p>
        </w:tc>
        <w:tc>
          <w:tcPr>
            <w:tcW w:w="1275" w:type="dxa"/>
            <w:vAlign w:val="center"/>
          </w:tcPr>
          <w:p w14:paraId="409F3724">
            <w:pPr>
              <w:pStyle w:val="90"/>
              <w:spacing w:line="240" w:lineRule="auto"/>
              <w:ind w:firstLine="480"/>
              <w:rPr>
                <w:rFonts w:hAnsi="Times New Roman"/>
                <w:sz w:val="24"/>
                <w:szCs w:val="24"/>
              </w:rPr>
            </w:pPr>
            <w:r>
              <w:rPr>
                <w:rFonts w:hAnsi="Times New Roman"/>
                <w:sz w:val="24"/>
                <w:szCs w:val="24"/>
              </w:rPr>
              <w:t>--</w:t>
            </w:r>
          </w:p>
        </w:tc>
      </w:tr>
      <w:tr w14:paraId="6276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75" w:type="dxa"/>
            <w:vMerge w:val="continue"/>
            <w:vAlign w:val="center"/>
          </w:tcPr>
          <w:p w14:paraId="009A0790">
            <w:pPr>
              <w:pStyle w:val="90"/>
              <w:spacing w:line="240" w:lineRule="auto"/>
              <w:ind w:firstLine="480"/>
              <w:rPr>
                <w:rFonts w:hAnsi="Times New Roman"/>
                <w:sz w:val="24"/>
                <w:szCs w:val="24"/>
              </w:rPr>
            </w:pPr>
          </w:p>
        </w:tc>
        <w:tc>
          <w:tcPr>
            <w:tcW w:w="1352" w:type="dxa"/>
            <w:vAlign w:val="center"/>
          </w:tcPr>
          <w:p w14:paraId="75880F50">
            <w:pPr>
              <w:pStyle w:val="90"/>
              <w:spacing w:line="240" w:lineRule="auto"/>
              <w:ind w:firstLine="0" w:firstLineChars="0"/>
              <w:rPr>
                <w:rFonts w:hAnsi="Times New Roman"/>
                <w:sz w:val="24"/>
                <w:szCs w:val="24"/>
              </w:rPr>
            </w:pPr>
            <w:r>
              <w:rPr>
                <w:rFonts w:hint="eastAsia" w:hAnsi="Times New Roman"/>
                <w:sz w:val="24"/>
                <w:szCs w:val="24"/>
              </w:rPr>
              <w:t>债券预发行</w:t>
            </w:r>
          </w:p>
        </w:tc>
        <w:tc>
          <w:tcPr>
            <w:tcW w:w="2268" w:type="dxa"/>
            <w:vAlign w:val="center"/>
          </w:tcPr>
          <w:p w14:paraId="35DE3ABE">
            <w:pPr>
              <w:pStyle w:val="90"/>
              <w:spacing w:line="240" w:lineRule="auto"/>
              <w:ind w:firstLine="0" w:firstLineChars="0"/>
              <w:rPr>
                <w:rFonts w:hAnsi="Times New Roman"/>
                <w:sz w:val="24"/>
                <w:szCs w:val="24"/>
              </w:rPr>
            </w:pPr>
            <w:r>
              <w:rPr>
                <w:rFonts w:hint="eastAsia" w:hAnsi="Times New Roman"/>
                <w:sz w:val="24"/>
                <w:szCs w:val="24"/>
              </w:rPr>
              <w:t>最小申报数量为</w:t>
            </w:r>
            <w:r>
              <w:rPr>
                <w:rFonts w:hAnsi="Times New Roman"/>
                <w:sz w:val="24"/>
                <w:szCs w:val="24"/>
              </w:rPr>
              <w:t>100</w:t>
            </w:r>
            <w:r>
              <w:rPr>
                <w:rFonts w:hint="eastAsia" w:hAnsi="Times New Roman"/>
                <w:sz w:val="24"/>
                <w:szCs w:val="24"/>
              </w:rPr>
              <w:t>万元面额；数量最小变动单位为</w:t>
            </w:r>
            <w:r>
              <w:rPr>
                <w:rFonts w:hAnsi="Times New Roman"/>
                <w:sz w:val="24"/>
                <w:szCs w:val="24"/>
              </w:rPr>
              <w:t>100</w:t>
            </w:r>
            <w:r>
              <w:rPr>
                <w:rFonts w:hint="eastAsia" w:hAnsi="Times New Roman"/>
                <w:sz w:val="24"/>
                <w:szCs w:val="24"/>
              </w:rPr>
              <w:t>万元面额</w:t>
            </w:r>
          </w:p>
        </w:tc>
        <w:tc>
          <w:tcPr>
            <w:tcW w:w="1843" w:type="dxa"/>
            <w:vAlign w:val="center"/>
          </w:tcPr>
          <w:p w14:paraId="0FA32C92">
            <w:pPr>
              <w:pStyle w:val="90"/>
              <w:spacing w:line="240" w:lineRule="auto"/>
              <w:ind w:firstLine="480"/>
              <w:rPr>
                <w:rFonts w:hAnsi="Times New Roman"/>
                <w:sz w:val="24"/>
                <w:szCs w:val="24"/>
              </w:rPr>
            </w:pPr>
            <w:r>
              <w:rPr>
                <w:rFonts w:hAnsi="Times New Roman"/>
                <w:sz w:val="24"/>
                <w:szCs w:val="24"/>
              </w:rPr>
              <w:t>--</w:t>
            </w:r>
          </w:p>
        </w:tc>
        <w:tc>
          <w:tcPr>
            <w:tcW w:w="1417" w:type="dxa"/>
            <w:vAlign w:val="center"/>
          </w:tcPr>
          <w:p w14:paraId="363CBA69">
            <w:pPr>
              <w:pStyle w:val="90"/>
              <w:spacing w:line="240" w:lineRule="auto"/>
              <w:ind w:firstLine="480"/>
              <w:rPr>
                <w:rFonts w:hAnsi="Times New Roman"/>
                <w:sz w:val="24"/>
                <w:szCs w:val="24"/>
              </w:rPr>
            </w:pPr>
            <w:r>
              <w:rPr>
                <w:rFonts w:hAnsi="Times New Roman"/>
                <w:sz w:val="24"/>
                <w:szCs w:val="24"/>
              </w:rPr>
              <w:t>--</w:t>
            </w:r>
          </w:p>
        </w:tc>
        <w:tc>
          <w:tcPr>
            <w:tcW w:w="2127" w:type="dxa"/>
            <w:vAlign w:val="center"/>
          </w:tcPr>
          <w:p w14:paraId="6B5C8B28">
            <w:pPr>
              <w:pStyle w:val="90"/>
              <w:spacing w:line="240" w:lineRule="auto"/>
              <w:ind w:firstLine="480"/>
              <w:rPr>
                <w:rFonts w:hAnsi="Times New Roman"/>
                <w:sz w:val="24"/>
                <w:szCs w:val="24"/>
              </w:rPr>
            </w:pPr>
            <w:r>
              <w:rPr>
                <w:rFonts w:hAnsi="Times New Roman"/>
                <w:sz w:val="24"/>
                <w:szCs w:val="24"/>
              </w:rPr>
              <w:t>--</w:t>
            </w:r>
          </w:p>
        </w:tc>
        <w:tc>
          <w:tcPr>
            <w:tcW w:w="1275" w:type="dxa"/>
            <w:vAlign w:val="center"/>
          </w:tcPr>
          <w:p w14:paraId="645CE04E">
            <w:pPr>
              <w:pStyle w:val="90"/>
              <w:spacing w:line="240" w:lineRule="auto"/>
              <w:ind w:firstLine="480"/>
              <w:rPr>
                <w:rFonts w:hAnsi="Times New Roman"/>
                <w:sz w:val="24"/>
                <w:szCs w:val="24"/>
              </w:rPr>
            </w:pPr>
            <w:r>
              <w:rPr>
                <w:rFonts w:hAnsi="Times New Roman"/>
                <w:sz w:val="24"/>
                <w:szCs w:val="24"/>
              </w:rPr>
              <w:t>--</w:t>
            </w:r>
          </w:p>
        </w:tc>
      </w:tr>
      <w:tr w14:paraId="43F58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75" w:type="dxa"/>
            <w:vMerge w:val="continue"/>
            <w:vAlign w:val="center"/>
          </w:tcPr>
          <w:p w14:paraId="639AE84E">
            <w:pPr>
              <w:pStyle w:val="90"/>
              <w:spacing w:line="240" w:lineRule="auto"/>
              <w:ind w:firstLine="480"/>
              <w:rPr>
                <w:rFonts w:hAnsi="Times New Roman"/>
                <w:sz w:val="24"/>
                <w:szCs w:val="24"/>
              </w:rPr>
            </w:pPr>
          </w:p>
        </w:tc>
        <w:tc>
          <w:tcPr>
            <w:tcW w:w="1352" w:type="dxa"/>
            <w:vAlign w:val="center"/>
          </w:tcPr>
          <w:p w14:paraId="59CF182F">
            <w:pPr>
              <w:pStyle w:val="90"/>
              <w:spacing w:line="240" w:lineRule="auto"/>
              <w:ind w:firstLine="0" w:firstLineChars="0"/>
              <w:rPr>
                <w:rFonts w:hAnsi="Times New Roman"/>
                <w:sz w:val="24"/>
                <w:szCs w:val="24"/>
              </w:rPr>
            </w:pPr>
            <w:r>
              <w:rPr>
                <w:rFonts w:hint="eastAsia" w:hAnsi="Times New Roman"/>
                <w:sz w:val="24"/>
                <w:szCs w:val="24"/>
              </w:rPr>
              <w:t>信用保护工具（</w:t>
            </w:r>
            <w:r>
              <w:rPr>
                <w:rFonts w:hAnsi="Times New Roman"/>
                <w:sz w:val="24"/>
                <w:szCs w:val="24"/>
              </w:rPr>
              <w:t>CDS</w:t>
            </w:r>
            <w:r>
              <w:rPr>
                <w:rFonts w:hint="eastAsia" w:hAnsi="Times New Roman"/>
                <w:sz w:val="24"/>
                <w:szCs w:val="24"/>
              </w:rPr>
              <w:t>）</w:t>
            </w:r>
          </w:p>
        </w:tc>
        <w:tc>
          <w:tcPr>
            <w:tcW w:w="2268" w:type="dxa"/>
            <w:vAlign w:val="center"/>
          </w:tcPr>
          <w:p w14:paraId="3B69AC2F">
            <w:pPr>
              <w:pStyle w:val="90"/>
              <w:spacing w:line="240" w:lineRule="auto"/>
              <w:ind w:firstLine="480"/>
              <w:rPr>
                <w:rFonts w:hAnsi="Times New Roman"/>
                <w:sz w:val="24"/>
                <w:szCs w:val="24"/>
              </w:rPr>
            </w:pPr>
            <w:r>
              <w:rPr>
                <w:rFonts w:hAnsi="Times New Roman"/>
                <w:sz w:val="24"/>
                <w:szCs w:val="24"/>
              </w:rPr>
              <w:t>--</w:t>
            </w:r>
          </w:p>
        </w:tc>
        <w:tc>
          <w:tcPr>
            <w:tcW w:w="1843" w:type="dxa"/>
            <w:vAlign w:val="center"/>
          </w:tcPr>
          <w:p w14:paraId="21D5EA50">
            <w:pPr>
              <w:pStyle w:val="90"/>
              <w:spacing w:line="240" w:lineRule="auto"/>
              <w:ind w:firstLine="480"/>
              <w:rPr>
                <w:rFonts w:hAnsi="Times New Roman"/>
                <w:sz w:val="24"/>
                <w:szCs w:val="24"/>
              </w:rPr>
            </w:pPr>
            <w:r>
              <w:rPr>
                <w:rFonts w:hAnsi="Times New Roman"/>
                <w:sz w:val="24"/>
                <w:szCs w:val="24"/>
              </w:rPr>
              <w:t>--</w:t>
            </w:r>
          </w:p>
        </w:tc>
        <w:tc>
          <w:tcPr>
            <w:tcW w:w="1417" w:type="dxa"/>
            <w:vAlign w:val="center"/>
          </w:tcPr>
          <w:p w14:paraId="1E183C30">
            <w:pPr>
              <w:pStyle w:val="90"/>
              <w:spacing w:line="240" w:lineRule="auto"/>
              <w:ind w:firstLine="480"/>
              <w:rPr>
                <w:rFonts w:hAnsi="Times New Roman"/>
                <w:sz w:val="24"/>
                <w:szCs w:val="24"/>
              </w:rPr>
            </w:pPr>
            <w:r>
              <w:rPr>
                <w:rFonts w:hAnsi="Times New Roman"/>
                <w:sz w:val="24"/>
                <w:szCs w:val="24"/>
              </w:rPr>
              <w:t>--</w:t>
            </w:r>
          </w:p>
        </w:tc>
        <w:tc>
          <w:tcPr>
            <w:tcW w:w="2127" w:type="dxa"/>
            <w:vAlign w:val="center"/>
          </w:tcPr>
          <w:p w14:paraId="62DAAF8C">
            <w:pPr>
              <w:pStyle w:val="90"/>
              <w:spacing w:line="240" w:lineRule="auto"/>
              <w:ind w:firstLine="0" w:firstLineChars="0"/>
              <w:rPr>
                <w:rFonts w:hAnsi="Times New Roman"/>
                <w:sz w:val="24"/>
                <w:szCs w:val="24"/>
              </w:rPr>
            </w:pPr>
            <w:r>
              <w:rPr>
                <w:rFonts w:hint="eastAsia" w:hAnsi="Times New Roman"/>
                <w:sz w:val="24"/>
                <w:szCs w:val="24"/>
              </w:rPr>
              <w:t>名义本金不低于</w:t>
            </w:r>
            <w:r>
              <w:rPr>
                <w:rFonts w:hAnsi="Times New Roman"/>
                <w:sz w:val="24"/>
                <w:szCs w:val="24"/>
              </w:rPr>
              <w:t>50</w:t>
            </w:r>
            <w:r>
              <w:rPr>
                <w:rFonts w:hint="eastAsia" w:hAnsi="Times New Roman"/>
                <w:sz w:val="24"/>
                <w:szCs w:val="24"/>
              </w:rPr>
              <w:t>万元，且为</w:t>
            </w:r>
            <w:r>
              <w:rPr>
                <w:rFonts w:hAnsi="Times New Roman"/>
                <w:sz w:val="24"/>
                <w:szCs w:val="24"/>
              </w:rPr>
              <w:t>1000</w:t>
            </w:r>
            <w:r>
              <w:rPr>
                <w:rFonts w:hint="eastAsia" w:hAnsi="Times New Roman"/>
                <w:sz w:val="24"/>
                <w:szCs w:val="24"/>
              </w:rPr>
              <w:t>元的整数倍</w:t>
            </w:r>
          </w:p>
        </w:tc>
        <w:tc>
          <w:tcPr>
            <w:tcW w:w="1275" w:type="dxa"/>
            <w:vAlign w:val="center"/>
          </w:tcPr>
          <w:p w14:paraId="6CC64313">
            <w:pPr>
              <w:pStyle w:val="90"/>
              <w:spacing w:line="240" w:lineRule="auto"/>
              <w:ind w:firstLine="480"/>
              <w:rPr>
                <w:rFonts w:hAnsi="Times New Roman"/>
                <w:sz w:val="24"/>
                <w:szCs w:val="24"/>
              </w:rPr>
            </w:pPr>
            <w:r>
              <w:rPr>
                <w:rFonts w:hAnsi="Times New Roman"/>
                <w:sz w:val="24"/>
                <w:szCs w:val="24"/>
              </w:rPr>
              <w:t>--</w:t>
            </w:r>
          </w:p>
        </w:tc>
      </w:tr>
    </w:tbl>
    <w:p w14:paraId="3DFBF908">
      <w:pPr>
        <w:pStyle w:val="90"/>
        <w:spacing w:line="600" w:lineRule="exact"/>
        <w:ind w:firstLine="600"/>
        <w:rPr>
          <w:rFonts w:hAnsi="Times New Roman"/>
          <w:sz w:val="30"/>
          <w:szCs w:val="30"/>
        </w:rPr>
      </w:pPr>
      <w:bookmarkStart w:id="445" w:name="_Toc57908887"/>
      <w:bookmarkStart w:id="446" w:name="_Toc57908888"/>
      <w:bookmarkStart w:id="447" w:name="_Toc56166267"/>
      <w:bookmarkStart w:id="448" w:name="_Toc56166078"/>
      <w:r>
        <w:rPr>
          <w:rFonts w:hint="eastAsia" w:hAnsi="Times New Roman"/>
          <w:sz w:val="30"/>
          <w:szCs w:val="30"/>
        </w:rPr>
        <w:t>（</w:t>
      </w:r>
      <w:r>
        <w:rPr>
          <w:rFonts w:hAnsi="Times New Roman"/>
          <w:sz w:val="30"/>
          <w:szCs w:val="30"/>
        </w:rPr>
        <w:t>2</w:t>
      </w:r>
      <w:r>
        <w:rPr>
          <w:rFonts w:hint="eastAsia" w:hAnsi="Times New Roman"/>
          <w:sz w:val="30"/>
          <w:szCs w:val="30"/>
        </w:rPr>
        <w:t>）单笔申报最大数量</w:t>
      </w:r>
      <w:bookmarkEnd w:id="445"/>
    </w:p>
    <w:p w14:paraId="6419BACB">
      <w:pPr>
        <w:pStyle w:val="90"/>
        <w:spacing w:line="600" w:lineRule="exact"/>
        <w:ind w:firstLine="600"/>
        <w:rPr>
          <w:rFonts w:hAnsi="Times New Roman"/>
          <w:sz w:val="30"/>
          <w:szCs w:val="30"/>
        </w:rPr>
      </w:pPr>
      <w:r>
        <w:rPr>
          <w:rFonts w:hint="eastAsia" w:hAnsi="Times New Roman"/>
          <w:sz w:val="30"/>
          <w:szCs w:val="30"/>
        </w:rPr>
        <w:tab/>
      </w:r>
      <w:r>
        <w:rPr>
          <w:rFonts w:hint="eastAsia" w:hAnsi="Times New Roman"/>
          <w:sz w:val="30"/>
          <w:szCs w:val="30"/>
        </w:rPr>
        <w:t>债券现券交易与通用回购单笔申报最大数量不超过1</w:t>
      </w:r>
      <w:r>
        <w:rPr>
          <w:rFonts w:hAnsi="Times New Roman"/>
          <w:sz w:val="30"/>
          <w:szCs w:val="30"/>
        </w:rPr>
        <w:t>00</w:t>
      </w:r>
      <w:r>
        <w:rPr>
          <w:rFonts w:hint="eastAsia" w:hAnsi="Times New Roman"/>
          <w:sz w:val="30"/>
          <w:szCs w:val="30"/>
        </w:rPr>
        <w:t>亿元面额；国债预发行交易单笔申报最大数量不超过10亿元面额。</w:t>
      </w:r>
    </w:p>
    <w:p w14:paraId="70D01DE7">
      <w:pPr>
        <w:numPr>
          <w:ilvl w:val="2"/>
          <w:numId w:val="4"/>
        </w:numPr>
        <w:spacing w:line="600" w:lineRule="exact"/>
        <w:ind w:left="0" w:firstLine="0"/>
        <w:outlineLvl w:val="2"/>
        <w:rPr>
          <w:rFonts w:ascii="仿宋_GB2312" w:eastAsia="仿宋_GB2312"/>
          <w:b/>
          <w:sz w:val="30"/>
          <w:szCs w:val="30"/>
        </w:rPr>
      </w:pPr>
      <w:r>
        <w:rPr>
          <w:rFonts w:ascii="仿宋_GB2312" w:eastAsia="仿宋_GB2312"/>
          <w:b/>
          <w:sz w:val="30"/>
          <w:szCs w:val="30"/>
        </w:rPr>
        <w:t>申报价格最小变动单位及价格限制</w:t>
      </w:r>
      <w:bookmarkEnd w:id="446"/>
      <w:bookmarkEnd w:id="447"/>
      <w:bookmarkEnd w:id="448"/>
    </w:p>
    <w:p w14:paraId="435A0D0B">
      <w:pPr>
        <w:pStyle w:val="90"/>
        <w:spacing w:line="600" w:lineRule="exact"/>
        <w:ind w:firstLine="600"/>
        <w:rPr>
          <w:rFonts w:hAnsi="Times New Roman"/>
          <w:sz w:val="30"/>
          <w:szCs w:val="30"/>
        </w:rPr>
      </w:pPr>
      <w:r>
        <w:rPr>
          <w:rFonts w:hint="eastAsia" w:hAnsi="Times New Roman"/>
          <w:sz w:val="30"/>
          <w:szCs w:val="30"/>
        </w:rPr>
        <w:t>债券现券交易申报的价格单位为“每百元面额债券的价格”，通用回购的价格单位为“每百元资金到期年收益”。本所另有规定的除外。</w:t>
      </w:r>
    </w:p>
    <w:p w14:paraId="2A75ACEB">
      <w:pPr>
        <w:pStyle w:val="90"/>
        <w:spacing w:line="600" w:lineRule="exact"/>
        <w:ind w:firstLine="600"/>
        <w:rPr>
          <w:rFonts w:hAnsi="Times New Roman"/>
          <w:sz w:val="30"/>
          <w:szCs w:val="30"/>
        </w:rPr>
      </w:pPr>
      <w:r>
        <w:rPr>
          <w:rFonts w:hint="eastAsia" w:hAnsi="Times New Roman"/>
          <w:sz w:val="30"/>
          <w:szCs w:val="30"/>
        </w:rPr>
        <w:t>债券交易设置申报价格最小变动单位及价格限制。</w:t>
      </w:r>
    </w:p>
    <w:p w14:paraId="6234B62F">
      <w:pPr>
        <w:spacing w:line="600" w:lineRule="exact"/>
        <w:ind w:left="567"/>
        <w:outlineLvl w:val="3"/>
        <w:rPr>
          <w:rFonts w:ascii="仿宋_GB2312" w:eastAsia="仿宋_GB2312"/>
          <w:b/>
          <w:sz w:val="30"/>
          <w:szCs w:val="30"/>
        </w:rPr>
      </w:pPr>
      <w:r>
        <w:rPr>
          <w:rFonts w:hint="eastAsia" w:ascii="仿宋_GB2312" w:eastAsia="仿宋_GB2312"/>
          <w:b/>
          <w:sz w:val="30"/>
          <w:szCs w:val="30"/>
        </w:rPr>
        <w:t>（1）价格最小变动单位</w:t>
      </w:r>
    </w:p>
    <w:p w14:paraId="0DB98F56">
      <w:pPr>
        <w:pStyle w:val="90"/>
        <w:spacing w:line="600" w:lineRule="exact"/>
        <w:ind w:firstLine="600"/>
        <w:rPr>
          <w:rFonts w:hAnsi="Times New Roman"/>
          <w:sz w:val="30"/>
          <w:szCs w:val="30"/>
        </w:rPr>
      </w:pPr>
      <w:r>
        <w:rPr>
          <w:rFonts w:hint="eastAsia" w:hAnsi="Times New Roman"/>
          <w:sz w:val="30"/>
          <w:szCs w:val="30"/>
        </w:rPr>
        <w:t>采用匹配成交方式的，债券现券的申报价格最小变动单位为0.0</w:t>
      </w:r>
      <w:r>
        <w:rPr>
          <w:rFonts w:hAnsi="Times New Roman"/>
          <w:sz w:val="30"/>
          <w:szCs w:val="30"/>
        </w:rPr>
        <w:t>0</w:t>
      </w:r>
      <w:r>
        <w:rPr>
          <w:rFonts w:hint="eastAsia" w:hAnsi="Times New Roman"/>
          <w:sz w:val="30"/>
          <w:szCs w:val="30"/>
        </w:rPr>
        <w:t>1元，通用回购的申报价格最小变动单位为0.005元；采用其他交易方式的，债券交易的申报价格最小变动单位为0.001元（《债券交易规则》关于申报价格最小变动单位为</w:t>
      </w:r>
      <w:r>
        <w:rPr>
          <w:rFonts w:hAnsi="Times New Roman"/>
          <w:sz w:val="30"/>
          <w:szCs w:val="30"/>
        </w:rPr>
        <w:t>0.0001</w:t>
      </w:r>
      <w:r>
        <w:rPr>
          <w:rFonts w:hint="eastAsia" w:hAnsi="Times New Roman"/>
          <w:sz w:val="30"/>
          <w:szCs w:val="30"/>
        </w:rPr>
        <w:t>元的规定暂缓施行）。本所另有规定的除外。本所可以根据市场发展需要，调整申报价格最小变动单位。</w:t>
      </w:r>
    </w:p>
    <w:tbl>
      <w:tblPr>
        <w:tblStyle w:val="43"/>
        <w:tblW w:w="9639"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1758"/>
        <w:gridCol w:w="1360"/>
        <w:gridCol w:w="1276"/>
        <w:gridCol w:w="1276"/>
        <w:gridCol w:w="1701"/>
        <w:gridCol w:w="1275"/>
      </w:tblGrid>
      <w:tr w14:paraId="74B1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Align w:val="center"/>
          </w:tcPr>
          <w:p w14:paraId="47F6F24E">
            <w:pPr>
              <w:pStyle w:val="90"/>
              <w:spacing w:line="240" w:lineRule="auto"/>
              <w:ind w:firstLine="0" w:firstLineChars="0"/>
              <w:rPr>
                <w:rFonts w:hAnsi="Times New Roman"/>
                <w:b/>
                <w:sz w:val="24"/>
                <w:szCs w:val="24"/>
              </w:rPr>
            </w:pPr>
            <w:r>
              <w:rPr>
                <w:rFonts w:hint="eastAsia" w:hAnsi="Times New Roman"/>
                <w:b/>
                <w:sz w:val="24"/>
                <w:szCs w:val="24"/>
              </w:rPr>
              <w:t>子市场</w:t>
            </w:r>
          </w:p>
        </w:tc>
        <w:tc>
          <w:tcPr>
            <w:tcW w:w="1758" w:type="dxa"/>
            <w:vAlign w:val="center"/>
          </w:tcPr>
          <w:p w14:paraId="0B5D4EA0">
            <w:pPr>
              <w:pStyle w:val="90"/>
              <w:spacing w:line="240" w:lineRule="auto"/>
              <w:ind w:firstLine="0" w:firstLineChars="0"/>
              <w:rPr>
                <w:rFonts w:hAnsi="Times New Roman"/>
                <w:b/>
                <w:sz w:val="24"/>
                <w:szCs w:val="24"/>
              </w:rPr>
            </w:pPr>
            <w:r>
              <w:rPr>
                <w:rFonts w:hint="eastAsia" w:hAnsi="Times New Roman"/>
                <w:b/>
                <w:sz w:val="24"/>
                <w:szCs w:val="24"/>
              </w:rPr>
              <w:t>产品类型</w:t>
            </w:r>
          </w:p>
        </w:tc>
        <w:tc>
          <w:tcPr>
            <w:tcW w:w="1360" w:type="dxa"/>
            <w:vAlign w:val="center"/>
          </w:tcPr>
          <w:p w14:paraId="3D2C6580">
            <w:pPr>
              <w:pStyle w:val="90"/>
              <w:spacing w:line="240" w:lineRule="auto"/>
              <w:ind w:firstLine="0" w:firstLineChars="0"/>
              <w:rPr>
                <w:rFonts w:hAnsi="Times New Roman"/>
                <w:b/>
                <w:sz w:val="24"/>
                <w:szCs w:val="24"/>
              </w:rPr>
            </w:pPr>
            <w:r>
              <w:rPr>
                <w:rFonts w:hint="eastAsia" w:hAnsi="Times New Roman"/>
                <w:b/>
                <w:sz w:val="24"/>
                <w:szCs w:val="24"/>
              </w:rPr>
              <w:t>匹配成交</w:t>
            </w:r>
          </w:p>
        </w:tc>
        <w:tc>
          <w:tcPr>
            <w:tcW w:w="1276" w:type="dxa"/>
            <w:vAlign w:val="center"/>
          </w:tcPr>
          <w:p w14:paraId="543B9EB9">
            <w:pPr>
              <w:pStyle w:val="90"/>
              <w:spacing w:line="240" w:lineRule="auto"/>
              <w:ind w:firstLine="0" w:firstLineChars="0"/>
              <w:rPr>
                <w:rFonts w:hAnsi="Times New Roman"/>
                <w:b/>
                <w:sz w:val="24"/>
                <w:szCs w:val="24"/>
              </w:rPr>
            </w:pPr>
            <w:r>
              <w:rPr>
                <w:rFonts w:hint="eastAsia" w:hAnsi="Times New Roman"/>
                <w:b/>
                <w:sz w:val="24"/>
                <w:szCs w:val="24"/>
              </w:rPr>
              <w:t>点击成交</w:t>
            </w:r>
          </w:p>
        </w:tc>
        <w:tc>
          <w:tcPr>
            <w:tcW w:w="1276" w:type="dxa"/>
            <w:vAlign w:val="center"/>
          </w:tcPr>
          <w:p w14:paraId="3FF648B3">
            <w:pPr>
              <w:pStyle w:val="90"/>
              <w:spacing w:line="240" w:lineRule="auto"/>
              <w:ind w:firstLine="0" w:firstLineChars="0"/>
              <w:rPr>
                <w:rFonts w:hAnsi="Times New Roman"/>
                <w:b/>
                <w:sz w:val="24"/>
                <w:szCs w:val="24"/>
              </w:rPr>
            </w:pPr>
            <w:r>
              <w:rPr>
                <w:rFonts w:hint="eastAsia" w:hAnsi="Times New Roman"/>
                <w:b/>
                <w:sz w:val="24"/>
                <w:szCs w:val="24"/>
              </w:rPr>
              <w:t>询价成交</w:t>
            </w:r>
          </w:p>
        </w:tc>
        <w:tc>
          <w:tcPr>
            <w:tcW w:w="1701" w:type="dxa"/>
            <w:vAlign w:val="center"/>
          </w:tcPr>
          <w:p w14:paraId="186A7472">
            <w:pPr>
              <w:pStyle w:val="90"/>
              <w:spacing w:line="240" w:lineRule="auto"/>
              <w:ind w:firstLine="0" w:firstLineChars="0"/>
              <w:rPr>
                <w:rFonts w:hAnsi="Times New Roman"/>
                <w:b/>
                <w:sz w:val="24"/>
                <w:szCs w:val="24"/>
              </w:rPr>
            </w:pPr>
            <w:r>
              <w:rPr>
                <w:rFonts w:hint="eastAsia" w:hAnsi="Times New Roman"/>
                <w:b/>
                <w:sz w:val="24"/>
                <w:szCs w:val="24"/>
              </w:rPr>
              <w:t>协商成交</w:t>
            </w:r>
          </w:p>
        </w:tc>
        <w:tc>
          <w:tcPr>
            <w:tcW w:w="1275" w:type="dxa"/>
            <w:vAlign w:val="center"/>
          </w:tcPr>
          <w:p w14:paraId="7F25C70A">
            <w:pPr>
              <w:pStyle w:val="90"/>
              <w:spacing w:line="240" w:lineRule="auto"/>
              <w:ind w:firstLine="0" w:firstLineChars="0"/>
              <w:rPr>
                <w:rFonts w:hAnsi="Times New Roman"/>
                <w:b/>
                <w:sz w:val="24"/>
                <w:szCs w:val="24"/>
              </w:rPr>
            </w:pPr>
            <w:r>
              <w:rPr>
                <w:rFonts w:hint="eastAsia" w:hAnsi="Times New Roman"/>
                <w:b/>
                <w:sz w:val="24"/>
                <w:szCs w:val="24"/>
              </w:rPr>
              <w:t>竞买成交</w:t>
            </w:r>
          </w:p>
        </w:tc>
      </w:tr>
      <w:tr w14:paraId="4C92D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restart"/>
            <w:vAlign w:val="center"/>
          </w:tcPr>
          <w:p w14:paraId="23020CF3">
            <w:pPr>
              <w:pStyle w:val="90"/>
              <w:spacing w:line="240" w:lineRule="auto"/>
              <w:ind w:firstLine="0" w:firstLineChars="0"/>
              <w:rPr>
                <w:rFonts w:hAnsi="Times New Roman"/>
                <w:sz w:val="24"/>
                <w:szCs w:val="24"/>
              </w:rPr>
            </w:pPr>
            <w:r>
              <w:rPr>
                <w:rFonts w:hint="eastAsia" w:hAnsi="Times New Roman"/>
                <w:sz w:val="24"/>
                <w:szCs w:val="24"/>
              </w:rPr>
              <w:t>现券</w:t>
            </w:r>
          </w:p>
        </w:tc>
        <w:tc>
          <w:tcPr>
            <w:tcW w:w="1758" w:type="dxa"/>
            <w:vAlign w:val="center"/>
          </w:tcPr>
          <w:p w14:paraId="199A58C9">
            <w:pPr>
              <w:pStyle w:val="90"/>
              <w:spacing w:line="240" w:lineRule="auto"/>
              <w:ind w:firstLine="0" w:firstLineChars="0"/>
              <w:rPr>
                <w:rFonts w:hAnsi="Times New Roman"/>
                <w:sz w:val="24"/>
                <w:szCs w:val="24"/>
              </w:rPr>
            </w:pPr>
            <w:r>
              <w:rPr>
                <w:rFonts w:hint="eastAsia" w:hAnsi="Times New Roman"/>
                <w:sz w:val="24"/>
                <w:szCs w:val="24"/>
              </w:rPr>
              <w:t>国债</w:t>
            </w:r>
          </w:p>
        </w:tc>
        <w:tc>
          <w:tcPr>
            <w:tcW w:w="1360" w:type="dxa"/>
            <w:vMerge w:val="restart"/>
            <w:vAlign w:val="center"/>
          </w:tcPr>
          <w:p w14:paraId="702182C4">
            <w:pPr>
              <w:pStyle w:val="90"/>
              <w:spacing w:line="240" w:lineRule="auto"/>
              <w:ind w:firstLine="0" w:firstLineChars="0"/>
              <w:rPr>
                <w:rFonts w:hAnsi="Times New Roman"/>
                <w:sz w:val="24"/>
                <w:szCs w:val="24"/>
              </w:rPr>
            </w:pPr>
            <w:r>
              <w:rPr>
                <w:rFonts w:hint="eastAsia" w:hAnsi="Times New Roman"/>
                <w:sz w:val="24"/>
                <w:szCs w:val="24"/>
              </w:rPr>
              <w:t>申报价格最小变动单位为</w:t>
            </w:r>
            <w:r>
              <w:rPr>
                <w:rFonts w:hAnsi="Times New Roman"/>
                <w:sz w:val="24"/>
                <w:szCs w:val="24"/>
              </w:rPr>
              <w:t>0.001</w:t>
            </w:r>
            <w:r>
              <w:rPr>
                <w:rFonts w:hint="eastAsia" w:hAnsi="Times New Roman"/>
                <w:sz w:val="24"/>
                <w:szCs w:val="24"/>
              </w:rPr>
              <w:t>元</w:t>
            </w:r>
          </w:p>
        </w:tc>
        <w:tc>
          <w:tcPr>
            <w:tcW w:w="5528" w:type="dxa"/>
            <w:gridSpan w:val="4"/>
            <w:vMerge w:val="restart"/>
            <w:vAlign w:val="center"/>
          </w:tcPr>
          <w:p w14:paraId="384ECF18">
            <w:pPr>
              <w:pStyle w:val="90"/>
              <w:spacing w:line="240" w:lineRule="auto"/>
              <w:ind w:firstLine="480"/>
              <w:rPr>
                <w:rFonts w:hAnsi="Times New Roman"/>
                <w:sz w:val="24"/>
                <w:szCs w:val="24"/>
              </w:rPr>
            </w:pPr>
            <w:r>
              <w:rPr>
                <w:rFonts w:hint="eastAsia" w:hAnsi="Times New Roman"/>
                <w:sz w:val="24"/>
                <w:szCs w:val="24"/>
              </w:rPr>
              <w:t>申报价格最小变动单位为</w:t>
            </w:r>
            <w:r>
              <w:rPr>
                <w:rFonts w:hAnsi="Times New Roman"/>
                <w:sz w:val="24"/>
                <w:szCs w:val="24"/>
              </w:rPr>
              <w:t>0.001</w:t>
            </w:r>
            <w:r>
              <w:rPr>
                <w:rFonts w:hint="eastAsia" w:hAnsi="Times New Roman"/>
                <w:sz w:val="24"/>
                <w:szCs w:val="24"/>
              </w:rPr>
              <w:t>元</w:t>
            </w:r>
          </w:p>
        </w:tc>
      </w:tr>
      <w:tr w14:paraId="0F61D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continue"/>
            <w:vAlign w:val="center"/>
          </w:tcPr>
          <w:p w14:paraId="5864D4E7">
            <w:pPr>
              <w:pStyle w:val="90"/>
              <w:spacing w:line="240" w:lineRule="auto"/>
              <w:ind w:firstLine="480"/>
              <w:rPr>
                <w:rFonts w:hAnsi="Times New Roman"/>
                <w:sz w:val="24"/>
                <w:szCs w:val="24"/>
              </w:rPr>
            </w:pPr>
          </w:p>
        </w:tc>
        <w:tc>
          <w:tcPr>
            <w:tcW w:w="1758" w:type="dxa"/>
            <w:vAlign w:val="center"/>
          </w:tcPr>
          <w:p w14:paraId="076268BA">
            <w:pPr>
              <w:pStyle w:val="90"/>
              <w:spacing w:line="240" w:lineRule="auto"/>
              <w:ind w:firstLine="0" w:firstLineChars="0"/>
              <w:rPr>
                <w:rFonts w:hAnsi="Times New Roman"/>
                <w:sz w:val="24"/>
                <w:szCs w:val="24"/>
              </w:rPr>
            </w:pPr>
            <w:r>
              <w:rPr>
                <w:rFonts w:hint="eastAsia" w:hAnsi="Times New Roman"/>
                <w:sz w:val="24"/>
                <w:szCs w:val="24"/>
              </w:rPr>
              <w:t>地方债</w:t>
            </w:r>
          </w:p>
        </w:tc>
        <w:tc>
          <w:tcPr>
            <w:tcW w:w="1360" w:type="dxa"/>
            <w:vMerge w:val="continue"/>
            <w:vAlign w:val="center"/>
          </w:tcPr>
          <w:p w14:paraId="306522CB">
            <w:pPr>
              <w:pStyle w:val="90"/>
              <w:spacing w:line="240" w:lineRule="auto"/>
              <w:ind w:firstLine="480"/>
              <w:rPr>
                <w:rFonts w:hAnsi="Times New Roman"/>
                <w:sz w:val="24"/>
                <w:szCs w:val="24"/>
              </w:rPr>
            </w:pPr>
          </w:p>
        </w:tc>
        <w:tc>
          <w:tcPr>
            <w:tcW w:w="5528" w:type="dxa"/>
            <w:gridSpan w:val="4"/>
            <w:vMerge w:val="continue"/>
            <w:vAlign w:val="center"/>
          </w:tcPr>
          <w:p w14:paraId="7CC19B3B">
            <w:pPr>
              <w:pStyle w:val="90"/>
              <w:spacing w:line="240" w:lineRule="auto"/>
              <w:ind w:firstLine="480"/>
              <w:rPr>
                <w:rFonts w:hAnsi="Times New Roman"/>
                <w:sz w:val="24"/>
                <w:szCs w:val="24"/>
              </w:rPr>
            </w:pPr>
          </w:p>
        </w:tc>
      </w:tr>
      <w:tr w14:paraId="28F6C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3" w:type="dxa"/>
            <w:vMerge w:val="continue"/>
            <w:vAlign w:val="center"/>
          </w:tcPr>
          <w:p w14:paraId="1B68F8A1">
            <w:pPr>
              <w:pStyle w:val="90"/>
              <w:spacing w:line="240" w:lineRule="auto"/>
              <w:ind w:firstLine="480"/>
              <w:rPr>
                <w:rFonts w:hAnsi="Times New Roman"/>
                <w:sz w:val="24"/>
                <w:szCs w:val="24"/>
              </w:rPr>
            </w:pPr>
          </w:p>
        </w:tc>
        <w:tc>
          <w:tcPr>
            <w:tcW w:w="1758" w:type="dxa"/>
            <w:vAlign w:val="center"/>
          </w:tcPr>
          <w:p w14:paraId="7F23900F">
            <w:pPr>
              <w:pStyle w:val="90"/>
              <w:spacing w:line="240" w:lineRule="auto"/>
              <w:ind w:firstLine="0" w:firstLineChars="0"/>
              <w:rPr>
                <w:rFonts w:hAnsi="Times New Roman"/>
                <w:sz w:val="24"/>
                <w:szCs w:val="24"/>
              </w:rPr>
            </w:pPr>
            <w:r>
              <w:rPr>
                <w:rFonts w:hint="eastAsia" w:hAnsi="Times New Roman"/>
                <w:sz w:val="24"/>
                <w:szCs w:val="24"/>
              </w:rPr>
              <w:t>政策性金融债</w:t>
            </w:r>
          </w:p>
        </w:tc>
        <w:tc>
          <w:tcPr>
            <w:tcW w:w="1360" w:type="dxa"/>
            <w:vMerge w:val="continue"/>
            <w:vAlign w:val="center"/>
          </w:tcPr>
          <w:p w14:paraId="2C3A9881">
            <w:pPr>
              <w:pStyle w:val="90"/>
              <w:spacing w:line="240" w:lineRule="auto"/>
              <w:ind w:firstLine="480"/>
              <w:rPr>
                <w:rFonts w:hAnsi="Times New Roman"/>
                <w:sz w:val="24"/>
                <w:szCs w:val="24"/>
              </w:rPr>
            </w:pPr>
          </w:p>
        </w:tc>
        <w:tc>
          <w:tcPr>
            <w:tcW w:w="5528" w:type="dxa"/>
            <w:gridSpan w:val="4"/>
            <w:vMerge w:val="continue"/>
            <w:vAlign w:val="center"/>
          </w:tcPr>
          <w:p w14:paraId="0CDF2156">
            <w:pPr>
              <w:pStyle w:val="90"/>
              <w:spacing w:line="240" w:lineRule="auto"/>
              <w:ind w:firstLine="480"/>
              <w:rPr>
                <w:rFonts w:hAnsi="Times New Roman"/>
                <w:sz w:val="24"/>
                <w:szCs w:val="24"/>
              </w:rPr>
            </w:pPr>
          </w:p>
        </w:tc>
      </w:tr>
      <w:tr w14:paraId="05597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continue"/>
            <w:vAlign w:val="center"/>
          </w:tcPr>
          <w:p w14:paraId="19EE48D3">
            <w:pPr>
              <w:pStyle w:val="90"/>
              <w:spacing w:line="240" w:lineRule="auto"/>
              <w:ind w:firstLine="480"/>
              <w:rPr>
                <w:rFonts w:hAnsi="Times New Roman"/>
                <w:sz w:val="24"/>
                <w:szCs w:val="24"/>
              </w:rPr>
            </w:pPr>
          </w:p>
        </w:tc>
        <w:tc>
          <w:tcPr>
            <w:tcW w:w="1758" w:type="dxa"/>
            <w:vAlign w:val="center"/>
          </w:tcPr>
          <w:p w14:paraId="77123923">
            <w:pPr>
              <w:pStyle w:val="90"/>
              <w:spacing w:line="240" w:lineRule="auto"/>
              <w:ind w:firstLine="0" w:firstLineChars="0"/>
              <w:rPr>
                <w:rFonts w:hAnsi="Times New Roman"/>
                <w:sz w:val="24"/>
                <w:szCs w:val="24"/>
              </w:rPr>
            </w:pPr>
            <w:r>
              <w:rPr>
                <w:rFonts w:hint="eastAsia" w:hAnsi="Times New Roman"/>
                <w:sz w:val="24"/>
                <w:szCs w:val="24"/>
              </w:rPr>
              <w:t>政府支持债券</w:t>
            </w:r>
          </w:p>
        </w:tc>
        <w:tc>
          <w:tcPr>
            <w:tcW w:w="1360" w:type="dxa"/>
            <w:vMerge w:val="continue"/>
            <w:vAlign w:val="center"/>
          </w:tcPr>
          <w:p w14:paraId="621F2691">
            <w:pPr>
              <w:pStyle w:val="90"/>
              <w:spacing w:line="240" w:lineRule="auto"/>
              <w:ind w:firstLine="480"/>
              <w:rPr>
                <w:rFonts w:hAnsi="Times New Roman"/>
                <w:sz w:val="24"/>
                <w:szCs w:val="24"/>
              </w:rPr>
            </w:pPr>
          </w:p>
        </w:tc>
        <w:tc>
          <w:tcPr>
            <w:tcW w:w="5528" w:type="dxa"/>
            <w:gridSpan w:val="4"/>
            <w:vMerge w:val="continue"/>
            <w:vAlign w:val="center"/>
          </w:tcPr>
          <w:p w14:paraId="0249CC48">
            <w:pPr>
              <w:pStyle w:val="90"/>
              <w:spacing w:line="240" w:lineRule="auto"/>
              <w:ind w:firstLine="480"/>
              <w:rPr>
                <w:rFonts w:hAnsi="Times New Roman"/>
                <w:sz w:val="24"/>
                <w:szCs w:val="24"/>
              </w:rPr>
            </w:pPr>
          </w:p>
        </w:tc>
      </w:tr>
      <w:tr w14:paraId="276EE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continue"/>
            <w:vAlign w:val="center"/>
          </w:tcPr>
          <w:p w14:paraId="657D69A7">
            <w:pPr>
              <w:pStyle w:val="90"/>
              <w:spacing w:line="240" w:lineRule="auto"/>
              <w:ind w:firstLine="480"/>
              <w:rPr>
                <w:rFonts w:hAnsi="Times New Roman"/>
                <w:sz w:val="24"/>
                <w:szCs w:val="24"/>
              </w:rPr>
            </w:pPr>
          </w:p>
        </w:tc>
        <w:tc>
          <w:tcPr>
            <w:tcW w:w="1758" w:type="dxa"/>
            <w:vAlign w:val="center"/>
          </w:tcPr>
          <w:p w14:paraId="71312414">
            <w:pPr>
              <w:pStyle w:val="90"/>
              <w:spacing w:line="240" w:lineRule="auto"/>
              <w:ind w:firstLine="0" w:firstLineChars="0"/>
              <w:rPr>
                <w:rFonts w:hAnsi="Times New Roman"/>
                <w:sz w:val="24"/>
                <w:szCs w:val="24"/>
              </w:rPr>
            </w:pPr>
            <w:r>
              <w:rPr>
                <w:rFonts w:hint="eastAsia" w:hAnsi="Times New Roman"/>
                <w:sz w:val="24"/>
                <w:szCs w:val="24"/>
              </w:rPr>
              <w:t>公司债</w:t>
            </w:r>
          </w:p>
        </w:tc>
        <w:tc>
          <w:tcPr>
            <w:tcW w:w="1360" w:type="dxa"/>
            <w:vMerge w:val="continue"/>
            <w:vAlign w:val="center"/>
          </w:tcPr>
          <w:p w14:paraId="70CBCCFC">
            <w:pPr>
              <w:pStyle w:val="90"/>
              <w:spacing w:line="240" w:lineRule="auto"/>
              <w:ind w:firstLine="480"/>
              <w:rPr>
                <w:rFonts w:hAnsi="Times New Roman"/>
                <w:sz w:val="24"/>
                <w:szCs w:val="24"/>
              </w:rPr>
            </w:pPr>
          </w:p>
        </w:tc>
        <w:tc>
          <w:tcPr>
            <w:tcW w:w="5528" w:type="dxa"/>
            <w:gridSpan w:val="4"/>
            <w:vMerge w:val="continue"/>
            <w:vAlign w:val="center"/>
          </w:tcPr>
          <w:p w14:paraId="7C44D26D">
            <w:pPr>
              <w:pStyle w:val="90"/>
              <w:spacing w:line="240" w:lineRule="auto"/>
              <w:ind w:firstLine="480"/>
              <w:rPr>
                <w:rFonts w:hAnsi="Times New Roman"/>
                <w:sz w:val="24"/>
                <w:szCs w:val="24"/>
              </w:rPr>
            </w:pPr>
          </w:p>
        </w:tc>
      </w:tr>
      <w:tr w14:paraId="6175B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continue"/>
            <w:vAlign w:val="center"/>
          </w:tcPr>
          <w:p w14:paraId="6226AD59">
            <w:pPr>
              <w:pStyle w:val="90"/>
              <w:spacing w:line="240" w:lineRule="auto"/>
              <w:ind w:firstLine="480"/>
              <w:rPr>
                <w:rFonts w:hAnsi="Times New Roman"/>
                <w:sz w:val="24"/>
                <w:szCs w:val="24"/>
              </w:rPr>
            </w:pPr>
          </w:p>
        </w:tc>
        <w:tc>
          <w:tcPr>
            <w:tcW w:w="1758" w:type="dxa"/>
            <w:vAlign w:val="center"/>
          </w:tcPr>
          <w:p w14:paraId="20B7E4DD">
            <w:pPr>
              <w:pStyle w:val="90"/>
              <w:spacing w:line="240" w:lineRule="auto"/>
              <w:ind w:firstLine="0" w:firstLineChars="0"/>
              <w:rPr>
                <w:rFonts w:hAnsi="Times New Roman"/>
                <w:sz w:val="24"/>
                <w:szCs w:val="24"/>
              </w:rPr>
            </w:pPr>
            <w:r>
              <w:rPr>
                <w:rFonts w:hAnsi="Times New Roman"/>
                <w:sz w:val="24"/>
                <w:szCs w:val="24"/>
              </w:rPr>
              <w:t>ABS</w:t>
            </w:r>
          </w:p>
        </w:tc>
        <w:tc>
          <w:tcPr>
            <w:tcW w:w="1360" w:type="dxa"/>
            <w:vAlign w:val="center"/>
          </w:tcPr>
          <w:p w14:paraId="666D0F16">
            <w:pPr>
              <w:pStyle w:val="90"/>
              <w:spacing w:line="240" w:lineRule="auto"/>
              <w:ind w:firstLine="480"/>
              <w:rPr>
                <w:rFonts w:hAnsi="Times New Roman"/>
                <w:sz w:val="24"/>
                <w:szCs w:val="24"/>
              </w:rPr>
            </w:pPr>
            <w:r>
              <w:rPr>
                <w:rFonts w:hAnsi="Times New Roman"/>
                <w:sz w:val="24"/>
                <w:szCs w:val="24"/>
              </w:rPr>
              <w:t>--</w:t>
            </w:r>
          </w:p>
        </w:tc>
        <w:tc>
          <w:tcPr>
            <w:tcW w:w="5528" w:type="dxa"/>
            <w:gridSpan w:val="4"/>
            <w:vMerge w:val="continue"/>
            <w:vAlign w:val="center"/>
          </w:tcPr>
          <w:p w14:paraId="23E8D76A">
            <w:pPr>
              <w:pStyle w:val="90"/>
              <w:spacing w:line="240" w:lineRule="auto"/>
              <w:ind w:firstLine="480"/>
              <w:rPr>
                <w:rFonts w:hAnsi="Times New Roman"/>
                <w:sz w:val="24"/>
                <w:szCs w:val="24"/>
              </w:rPr>
            </w:pPr>
          </w:p>
        </w:tc>
      </w:tr>
      <w:tr w14:paraId="19279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4" w:hRule="atLeast"/>
        </w:trPr>
        <w:tc>
          <w:tcPr>
            <w:tcW w:w="993" w:type="dxa"/>
            <w:vMerge w:val="restart"/>
            <w:vAlign w:val="center"/>
          </w:tcPr>
          <w:p w14:paraId="00452CAB">
            <w:pPr>
              <w:pStyle w:val="90"/>
              <w:spacing w:line="240" w:lineRule="auto"/>
              <w:ind w:firstLine="0" w:firstLineChars="0"/>
              <w:rPr>
                <w:rFonts w:hAnsi="Times New Roman"/>
                <w:sz w:val="24"/>
                <w:szCs w:val="24"/>
              </w:rPr>
            </w:pPr>
            <w:r>
              <w:rPr>
                <w:rFonts w:hint="eastAsia" w:hAnsi="Times New Roman"/>
                <w:sz w:val="24"/>
                <w:szCs w:val="24"/>
              </w:rPr>
              <w:t>回购</w:t>
            </w:r>
          </w:p>
        </w:tc>
        <w:tc>
          <w:tcPr>
            <w:tcW w:w="1758" w:type="dxa"/>
            <w:vAlign w:val="center"/>
          </w:tcPr>
          <w:p w14:paraId="04DDD97B">
            <w:pPr>
              <w:pStyle w:val="90"/>
              <w:spacing w:line="240" w:lineRule="auto"/>
              <w:ind w:firstLine="0" w:firstLineChars="0"/>
              <w:rPr>
                <w:rFonts w:hAnsi="Times New Roman"/>
                <w:sz w:val="24"/>
                <w:szCs w:val="24"/>
              </w:rPr>
            </w:pPr>
            <w:r>
              <w:rPr>
                <w:rFonts w:hint="eastAsia" w:hAnsi="Times New Roman"/>
                <w:sz w:val="24"/>
                <w:szCs w:val="24"/>
              </w:rPr>
              <w:t>通用回购</w:t>
            </w:r>
          </w:p>
        </w:tc>
        <w:tc>
          <w:tcPr>
            <w:tcW w:w="1360" w:type="dxa"/>
            <w:vAlign w:val="center"/>
          </w:tcPr>
          <w:p w14:paraId="2D0C08DC">
            <w:pPr>
              <w:pStyle w:val="90"/>
              <w:spacing w:line="240" w:lineRule="auto"/>
              <w:ind w:firstLine="0" w:firstLineChars="0"/>
              <w:rPr>
                <w:rFonts w:hAnsi="Times New Roman"/>
                <w:sz w:val="24"/>
                <w:szCs w:val="24"/>
              </w:rPr>
            </w:pPr>
            <w:r>
              <w:rPr>
                <w:rFonts w:hint="eastAsia" w:hAnsi="Times New Roman"/>
                <w:sz w:val="24"/>
                <w:szCs w:val="24"/>
              </w:rPr>
              <w:t>申报价格最小变动单位为</w:t>
            </w:r>
            <w:r>
              <w:rPr>
                <w:rFonts w:hAnsi="Times New Roman"/>
                <w:sz w:val="24"/>
                <w:szCs w:val="24"/>
              </w:rPr>
              <w:t>0.005</w:t>
            </w:r>
            <w:r>
              <w:rPr>
                <w:rFonts w:hint="eastAsia" w:hAnsi="Times New Roman"/>
                <w:sz w:val="24"/>
                <w:szCs w:val="24"/>
              </w:rPr>
              <w:t>元</w:t>
            </w:r>
          </w:p>
        </w:tc>
        <w:tc>
          <w:tcPr>
            <w:tcW w:w="5528" w:type="dxa"/>
            <w:gridSpan w:val="4"/>
            <w:vAlign w:val="center"/>
          </w:tcPr>
          <w:p w14:paraId="1737B583">
            <w:pPr>
              <w:pStyle w:val="90"/>
              <w:spacing w:line="240" w:lineRule="auto"/>
              <w:ind w:firstLine="0" w:firstLineChars="0"/>
              <w:rPr>
                <w:rFonts w:hAnsi="Times New Roman"/>
                <w:sz w:val="24"/>
                <w:szCs w:val="24"/>
              </w:rPr>
            </w:pPr>
            <w:r>
              <w:rPr>
                <w:rFonts w:hint="eastAsia" w:hAnsi="Times New Roman"/>
                <w:sz w:val="24"/>
                <w:szCs w:val="24"/>
              </w:rPr>
              <w:t>（《上海证券交易所债券交易规则适用指引第2号——债券通用质押式回购交易》关于“通用回购交易采用点击成交、询价成交、竞买成交、协商成交等其他交易方式达成”以及“采用其他成交方式的，申报价格最小变动单位为</w:t>
            </w:r>
            <w:r>
              <w:rPr>
                <w:rFonts w:hAnsi="Times New Roman"/>
                <w:sz w:val="24"/>
                <w:szCs w:val="24"/>
              </w:rPr>
              <w:t>0.0001</w:t>
            </w:r>
            <w:r>
              <w:rPr>
                <w:rFonts w:hint="eastAsia" w:hAnsi="Times New Roman"/>
                <w:sz w:val="24"/>
                <w:szCs w:val="24"/>
              </w:rPr>
              <w:t>元”的相关规定暂缓实施）</w:t>
            </w:r>
          </w:p>
        </w:tc>
      </w:tr>
      <w:tr w14:paraId="5FDE2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continue"/>
            <w:vAlign w:val="center"/>
          </w:tcPr>
          <w:p w14:paraId="0087D86E">
            <w:pPr>
              <w:pStyle w:val="90"/>
              <w:spacing w:line="240" w:lineRule="auto"/>
              <w:ind w:firstLine="480"/>
              <w:rPr>
                <w:rFonts w:hAnsi="Times New Roman"/>
                <w:sz w:val="24"/>
                <w:szCs w:val="24"/>
              </w:rPr>
            </w:pPr>
          </w:p>
        </w:tc>
        <w:tc>
          <w:tcPr>
            <w:tcW w:w="1758" w:type="dxa"/>
            <w:vAlign w:val="center"/>
          </w:tcPr>
          <w:p w14:paraId="091542BB">
            <w:pPr>
              <w:pStyle w:val="90"/>
              <w:spacing w:line="240" w:lineRule="auto"/>
              <w:ind w:firstLine="0" w:firstLineChars="0"/>
              <w:rPr>
                <w:rFonts w:hAnsi="Times New Roman"/>
                <w:sz w:val="24"/>
                <w:szCs w:val="24"/>
              </w:rPr>
            </w:pPr>
            <w:r>
              <w:rPr>
                <w:rFonts w:hint="eastAsia" w:hAnsi="Times New Roman"/>
                <w:sz w:val="24"/>
                <w:szCs w:val="24"/>
              </w:rPr>
              <w:t>协议回购</w:t>
            </w:r>
          </w:p>
        </w:tc>
        <w:tc>
          <w:tcPr>
            <w:tcW w:w="1360" w:type="dxa"/>
            <w:vAlign w:val="center"/>
          </w:tcPr>
          <w:p w14:paraId="78856D71">
            <w:pPr>
              <w:pStyle w:val="90"/>
              <w:spacing w:line="240" w:lineRule="auto"/>
              <w:ind w:firstLine="480"/>
              <w:rPr>
                <w:rFonts w:hAnsi="Times New Roman"/>
                <w:sz w:val="24"/>
                <w:szCs w:val="24"/>
              </w:rPr>
            </w:pPr>
            <w:r>
              <w:rPr>
                <w:rFonts w:hAnsi="Times New Roman"/>
                <w:sz w:val="24"/>
                <w:szCs w:val="24"/>
              </w:rPr>
              <w:t>--</w:t>
            </w:r>
          </w:p>
        </w:tc>
        <w:tc>
          <w:tcPr>
            <w:tcW w:w="1276" w:type="dxa"/>
            <w:vAlign w:val="center"/>
          </w:tcPr>
          <w:p w14:paraId="36881A21">
            <w:pPr>
              <w:pStyle w:val="90"/>
              <w:spacing w:line="240" w:lineRule="auto"/>
              <w:ind w:firstLine="480"/>
              <w:rPr>
                <w:rFonts w:hAnsi="Times New Roman"/>
                <w:sz w:val="24"/>
                <w:szCs w:val="24"/>
              </w:rPr>
            </w:pPr>
            <w:r>
              <w:rPr>
                <w:rFonts w:hAnsi="Times New Roman"/>
                <w:sz w:val="24"/>
                <w:szCs w:val="24"/>
              </w:rPr>
              <w:t>--</w:t>
            </w:r>
          </w:p>
        </w:tc>
        <w:tc>
          <w:tcPr>
            <w:tcW w:w="1276" w:type="dxa"/>
            <w:vAlign w:val="center"/>
          </w:tcPr>
          <w:p w14:paraId="4D2BCDA1">
            <w:pPr>
              <w:pStyle w:val="90"/>
              <w:spacing w:line="240" w:lineRule="auto"/>
              <w:ind w:firstLine="480"/>
              <w:rPr>
                <w:rFonts w:hAnsi="Times New Roman"/>
                <w:sz w:val="24"/>
                <w:szCs w:val="24"/>
              </w:rPr>
            </w:pPr>
            <w:r>
              <w:rPr>
                <w:rFonts w:hAnsi="Times New Roman"/>
                <w:sz w:val="24"/>
                <w:szCs w:val="24"/>
              </w:rPr>
              <w:t>--</w:t>
            </w:r>
          </w:p>
        </w:tc>
        <w:tc>
          <w:tcPr>
            <w:tcW w:w="1701" w:type="dxa"/>
            <w:vAlign w:val="center"/>
          </w:tcPr>
          <w:p w14:paraId="33ED18A6">
            <w:pPr>
              <w:pStyle w:val="90"/>
              <w:spacing w:line="240" w:lineRule="auto"/>
              <w:ind w:firstLine="0" w:firstLineChars="0"/>
              <w:rPr>
                <w:rFonts w:hAnsi="Times New Roman"/>
                <w:sz w:val="24"/>
                <w:szCs w:val="24"/>
              </w:rPr>
            </w:pPr>
            <w:r>
              <w:rPr>
                <w:rFonts w:hint="eastAsia" w:hAnsi="Times New Roman"/>
                <w:sz w:val="24"/>
                <w:szCs w:val="24"/>
              </w:rPr>
              <w:t>利率最小变动单位</w:t>
            </w:r>
            <w:r>
              <w:rPr>
                <w:rFonts w:hAnsi="Times New Roman"/>
                <w:sz w:val="24"/>
                <w:szCs w:val="24"/>
              </w:rPr>
              <w:t>0.001%</w:t>
            </w:r>
          </w:p>
        </w:tc>
        <w:tc>
          <w:tcPr>
            <w:tcW w:w="1275" w:type="dxa"/>
            <w:vAlign w:val="center"/>
          </w:tcPr>
          <w:p w14:paraId="16F02C2F">
            <w:pPr>
              <w:pStyle w:val="90"/>
              <w:spacing w:line="240" w:lineRule="auto"/>
              <w:ind w:firstLine="480"/>
              <w:rPr>
                <w:rFonts w:hAnsi="Times New Roman"/>
                <w:sz w:val="24"/>
                <w:szCs w:val="24"/>
              </w:rPr>
            </w:pPr>
            <w:r>
              <w:rPr>
                <w:rFonts w:hAnsi="Times New Roman"/>
                <w:sz w:val="24"/>
                <w:szCs w:val="24"/>
              </w:rPr>
              <w:t>--</w:t>
            </w:r>
          </w:p>
        </w:tc>
      </w:tr>
      <w:tr w14:paraId="6D58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continue"/>
            <w:vAlign w:val="center"/>
          </w:tcPr>
          <w:p w14:paraId="5DE5FAD9">
            <w:pPr>
              <w:pStyle w:val="90"/>
              <w:spacing w:line="240" w:lineRule="auto"/>
              <w:ind w:firstLine="480"/>
              <w:rPr>
                <w:rFonts w:hAnsi="Times New Roman"/>
                <w:sz w:val="24"/>
                <w:szCs w:val="24"/>
              </w:rPr>
            </w:pPr>
          </w:p>
        </w:tc>
        <w:tc>
          <w:tcPr>
            <w:tcW w:w="1758" w:type="dxa"/>
            <w:vAlign w:val="center"/>
          </w:tcPr>
          <w:p w14:paraId="78AB1BFD">
            <w:pPr>
              <w:pStyle w:val="90"/>
              <w:spacing w:line="240" w:lineRule="auto"/>
              <w:ind w:firstLine="0" w:firstLineChars="0"/>
              <w:rPr>
                <w:rFonts w:hAnsi="Times New Roman"/>
                <w:sz w:val="24"/>
                <w:szCs w:val="24"/>
              </w:rPr>
            </w:pPr>
            <w:r>
              <w:rPr>
                <w:rFonts w:hint="eastAsia" w:hAnsi="Times New Roman"/>
                <w:sz w:val="24"/>
                <w:szCs w:val="24"/>
              </w:rPr>
              <w:t>三方回购</w:t>
            </w:r>
          </w:p>
        </w:tc>
        <w:tc>
          <w:tcPr>
            <w:tcW w:w="1360" w:type="dxa"/>
            <w:vAlign w:val="center"/>
          </w:tcPr>
          <w:p w14:paraId="4730299A">
            <w:pPr>
              <w:pStyle w:val="90"/>
              <w:spacing w:line="240" w:lineRule="auto"/>
              <w:ind w:firstLine="480"/>
              <w:rPr>
                <w:rFonts w:hAnsi="Times New Roman"/>
                <w:sz w:val="24"/>
                <w:szCs w:val="24"/>
              </w:rPr>
            </w:pPr>
            <w:r>
              <w:rPr>
                <w:rFonts w:hAnsi="Times New Roman"/>
                <w:sz w:val="24"/>
                <w:szCs w:val="24"/>
              </w:rPr>
              <w:t>--</w:t>
            </w:r>
          </w:p>
        </w:tc>
        <w:tc>
          <w:tcPr>
            <w:tcW w:w="1276" w:type="dxa"/>
            <w:vAlign w:val="center"/>
          </w:tcPr>
          <w:p w14:paraId="30C42F91">
            <w:pPr>
              <w:pStyle w:val="90"/>
              <w:spacing w:line="240" w:lineRule="auto"/>
              <w:ind w:firstLine="480"/>
              <w:rPr>
                <w:rFonts w:hAnsi="Times New Roman"/>
                <w:sz w:val="24"/>
                <w:szCs w:val="24"/>
              </w:rPr>
            </w:pPr>
            <w:r>
              <w:rPr>
                <w:rFonts w:hAnsi="Times New Roman"/>
                <w:sz w:val="24"/>
                <w:szCs w:val="24"/>
              </w:rPr>
              <w:t>--</w:t>
            </w:r>
          </w:p>
        </w:tc>
        <w:tc>
          <w:tcPr>
            <w:tcW w:w="1276" w:type="dxa"/>
            <w:vAlign w:val="center"/>
          </w:tcPr>
          <w:p w14:paraId="53B4D281">
            <w:pPr>
              <w:pStyle w:val="90"/>
              <w:spacing w:line="240" w:lineRule="auto"/>
              <w:ind w:firstLine="480"/>
              <w:rPr>
                <w:rFonts w:hAnsi="Times New Roman"/>
                <w:sz w:val="24"/>
                <w:szCs w:val="24"/>
              </w:rPr>
            </w:pPr>
            <w:r>
              <w:rPr>
                <w:rFonts w:hAnsi="Times New Roman"/>
                <w:sz w:val="24"/>
                <w:szCs w:val="24"/>
              </w:rPr>
              <w:t>--</w:t>
            </w:r>
          </w:p>
        </w:tc>
        <w:tc>
          <w:tcPr>
            <w:tcW w:w="1701" w:type="dxa"/>
            <w:vAlign w:val="center"/>
          </w:tcPr>
          <w:p w14:paraId="01EFFC24">
            <w:pPr>
              <w:pStyle w:val="90"/>
              <w:spacing w:line="240" w:lineRule="auto"/>
              <w:ind w:firstLine="0" w:firstLineChars="0"/>
              <w:rPr>
                <w:rFonts w:hAnsi="Times New Roman"/>
                <w:sz w:val="24"/>
                <w:szCs w:val="24"/>
              </w:rPr>
            </w:pPr>
            <w:r>
              <w:rPr>
                <w:rFonts w:hint="eastAsia" w:hAnsi="Times New Roman"/>
                <w:sz w:val="24"/>
                <w:szCs w:val="24"/>
              </w:rPr>
              <w:t>利率最小变动单位</w:t>
            </w:r>
            <w:r>
              <w:rPr>
                <w:rFonts w:hAnsi="Times New Roman"/>
                <w:sz w:val="24"/>
                <w:szCs w:val="24"/>
              </w:rPr>
              <w:t>0.001%</w:t>
            </w:r>
          </w:p>
        </w:tc>
        <w:tc>
          <w:tcPr>
            <w:tcW w:w="1275" w:type="dxa"/>
            <w:vAlign w:val="center"/>
          </w:tcPr>
          <w:p w14:paraId="0F79D07E">
            <w:pPr>
              <w:pStyle w:val="90"/>
              <w:spacing w:line="240" w:lineRule="auto"/>
              <w:ind w:firstLine="480"/>
              <w:rPr>
                <w:rFonts w:hAnsi="Times New Roman"/>
                <w:sz w:val="24"/>
                <w:szCs w:val="24"/>
              </w:rPr>
            </w:pPr>
            <w:r>
              <w:rPr>
                <w:rFonts w:hAnsi="Times New Roman"/>
                <w:sz w:val="24"/>
                <w:szCs w:val="24"/>
              </w:rPr>
              <w:t>--</w:t>
            </w:r>
          </w:p>
        </w:tc>
      </w:tr>
      <w:tr w14:paraId="405E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restart"/>
            <w:vAlign w:val="center"/>
          </w:tcPr>
          <w:p w14:paraId="34FF28E1">
            <w:pPr>
              <w:pStyle w:val="90"/>
              <w:spacing w:line="240" w:lineRule="auto"/>
              <w:ind w:firstLine="0" w:firstLineChars="0"/>
              <w:rPr>
                <w:rFonts w:hAnsi="Times New Roman"/>
                <w:sz w:val="24"/>
                <w:szCs w:val="24"/>
              </w:rPr>
            </w:pPr>
            <w:r>
              <w:rPr>
                <w:rFonts w:hint="eastAsia" w:hAnsi="Times New Roman"/>
                <w:sz w:val="24"/>
                <w:szCs w:val="24"/>
              </w:rPr>
              <w:t>其他</w:t>
            </w:r>
          </w:p>
          <w:p w14:paraId="25F0FE1F">
            <w:pPr>
              <w:pStyle w:val="90"/>
              <w:spacing w:line="240" w:lineRule="auto"/>
              <w:ind w:firstLine="480"/>
              <w:rPr>
                <w:rFonts w:hAnsi="Times New Roman"/>
                <w:sz w:val="24"/>
                <w:szCs w:val="24"/>
              </w:rPr>
            </w:pPr>
          </w:p>
        </w:tc>
        <w:tc>
          <w:tcPr>
            <w:tcW w:w="1758" w:type="dxa"/>
            <w:vAlign w:val="center"/>
          </w:tcPr>
          <w:p w14:paraId="5DF144A9">
            <w:pPr>
              <w:pStyle w:val="90"/>
              <w:spacing w:line="240" w:lineRule="auto"/>
              <w:ind w:firstLine="0" w:firstLineChars="0"/>
              <w:rPr>
                <w:rFonts w:hAnsi="Times New Roman"/>
                <w:sz w:val="24"/>
                <w:szCs w:val="24"/>
              </w:rPr>
            </w:pPr>
            <w:r>
              <w:rPr>
                <w:rFonts w:hint="eastAsia" w:hAnsi="Times New Roman"/>
                <w:sz w:val="24"/>
                <w:szCs w:val="24"/>
              </w:rPr>
              <w:t>债券借贷</w:t>
            </w:r>
          </w:p>
        </w:tc>
        <w:tc>
          <w:tcPr>
            <w:tcW w:w="1360" w:type="dxa"/>
            <w:vAlign w:val="center"/>
          </w:tcPr>
          <w:p w14:paraId="56C542C3">
            <w:pPr>
              <w:pStyle w:val="90"/>
              <w:spacing w:line="240" w:lineRule="auto"/>
              <w:ind w:firstLine="480"/>
              <w:rPr>
                <w:rFonts w:hAnsi="Times New Roman"/>
                <w:sz w:val="24"/>
                <w:szCs w:val="24"/>
              </w:rPr>
            </w:pPr>
            <w:r>
              <w:rPr>
                <w:rFonts w:hAnsi="Times New Roman"/>
                <w:sz w:val="24"/>
                <w:szCs w:val="24"/>
              </w:rPr>
              <w:t>--</w:t>
            </w:r>
          </w:p>
        </w:tc>
        <w:tc>
          <w:tcPr>
            <w:tcW w:w="1276" w:type="dxa"/>
            <w:vAlign w:val="center"/>
          </w:tcPr>
          <w:p w14:paraId="24B3E3F4">
            <w:pPr>
              <w:pStyle w:val="90"/>
              <w:spacing w:line="240" w:lineRule="auto"/>
              <w:ind w:firstLine="480"/>
              <w:rPr>
                <w:rFonts w:hAnsi="Times New Roman"/>
                <w:sz w:val="24"/>
                <w:szCs w:val="24"/>
              </w:rPr>
            </w:pPr>
            <w:r>
              <w:rPr>
                <w:rFonts w:hAnsi="Times New Roman"/>
                <w:sz w:val="24"/>
                <w:szCs w:val="24"/>
              </w:rPr>
              <w:t>--</w:t>
            </w:r>
          </w:p>
        </w:tc>
        <w:tc>
          <w:tcPr>
            <w:tcW w:w="1276" w:type="dxa"/>
            <w:vAlign w:val="center"/>
          </w:tcPr>
          <w:p w14:paraId="5AF8C6F9">
            <w:pPr>
              <w:pStyle w:val="90"/>
              <w:spacing w:line="240" w:lineRule="auto"/>
              <w:ind w:firstLine="480"/>
              <w:rPr>
                <w:rFonts w:hAnsi="Times New Roman"/>
                <w:sz w:val="24"/>
                <w:szCs w:val="24"/>
              </w:rPr>
            </w:pPr>
            <w:r>
              <w:rPr>
                <w:rFonts w:hAnsi="Times New Roman"/>
                <w:sz w:val="24"/>
                <w:szCs w:val="24"/>
              </w:rPr>
              <w:t>--</w:t>
            </w:r>
          </w:p>
        </w:tc>
        <w:tc>
          <w:tcPr>
            <w:tcW w:w="1701" w:type="dxa"/>
            <w:vAlign w:val="center"/>
          </w:tcPr>
          <w:p w14:paraId="31E9EFE8">
            <w:pPr>
              <w:pStyle w:val="90"/>
              <w:spacing w:line="240" w:lineRule="auto"/>
              <w:ind w:firstLine="0" w:firstLineChars="0"/>
              <w:rPr>
                <w:rFonts w:hAnsi="Times New Roman"/>
                <w:sz w:val="24"/>
                <w:szCs w:val="24"/>
              </w:rPr>
            </w:pPr>
            <w:r>
              <w:rPr>
                <w:rFonts w:hint="eastAsia" w:hAnsi="Times New Roman"/>
                <w:sz w:val="24"/>
                <w:szCs w:val="24"/>
              </w:rPr>
              <w:t>申报费率最小变动单位为</w:t>
            </w:r>
            <w:r>
              <w:rPr>
                <w:rFonts w:hAnsi="Times New Roman"/>
                <w:sz w:val="24"/>
                <w:szCs w:val="24"/>
              </w:rPr>
              <w:t>0.0</w:t>
            </w:r>
            <w:r>
              <w:rPr>
                <w:rFonts w:hint="eastAsia" w:hAnsi="Times New Roman"/>
                <w:sz w:val="24"/>
                <w:szCs w:val="24"/>
              </w:rPr>
              <w:t>0</w:t>
            </w:r>
            <w:r>
              <w:rPr>
                <w:rFonts w:hAnsi="Times New Roman"/>
                <w:sz w:val="24"/>
                <w:szCs w:val="24"/>
              </w:rPr>
              <w:t>1%</w:t>
            </w:r>
            <w:r>
              <w:rPr>
                <w:rFonts w:hint="eastAsia" w:hAnsi="Times New Roman"/>
                <w:sz w:val="24"/>
                <w:szCs w:val="24"/>
              </w:rPr>
              <w:t>。</w:t>
            </w:r>
          </w:p>
        </w:tc>
        <w:tc>
          <w:tcPr>
            <w:tcW w:w="1275" w:type="dxa"/>
            <w:vAlign w:val="center"/>
          </w:tcPr>
          <w:p w14:paraId="761683F1">
            <w:pPr>
              <w:pStyle w:val="90"/>
              <w:spacing w:line="240" w:lineRule="auto"/>
              <w:ind w:firstLine="480"/>
              <w:rPr>
                <w:rFonts w:hAnsi="Times New Roman"/>
                <w:sz w:val="24"/>
                <w:szCs w:val="24"/>
              </w:rPr>
            </w:pPr>
            <w:r>
              <w:rPr>
                <w:rFonts w:hAnsi="Times New Roman"/>
                <w:sz w:val="24"/>
                <w:szCs w:val="24"/>
              </w:rPr>
              <w:t>--</w:t>
            </w:r>
          </w:p>
        </w:tc>
      </w:tr>
      <w:tr w14:paraId="73E60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continue"/>
            <w:vAlign w:val="center"/>
          </w:tcPr>
          <w:p w14:paraId="4953E28D">
            <w:pPr>
              <w:pStyle w:val="90"/>
              <w:spacing w:line="240" w:lineRule="auto"/>
              <w:ind w:firstLine="480"/>
              <w:rPr>
                <w:rFonts w:hAnsi="Times New Roman"/>
                <w:sz w:val="24"/>
                <w:szCs w:val="24"/>
              </w:rPr>
            </w:pPr>
          </w:p>
        </w:tc>
        <w:tc>
          <w:tcPr>
            <w:tcW w:w="1758" w:type="dxa"/>
            <w:vAlign w:val="center"/>
          </w:tcPr>
          <w:p w14:paraId="77172390">
            <w:pPr>
              <w:pStyle w:val="90"/>
              <w:spacing w:line="240" w:lineRule="auto"/>
              <w:ind w:firstLine="0" w:firstLineChars="0"/>
              <w:rPr>
                <w:rFonts w:hAnsi="Times New Roman"/>
                <w:sz w:val="24"/>
                <w:szCs w:val="24"/>
              </w:rPr>
            </w:pPr>
            <w:r>
              <w:rPr>
                <w:rFonts w:hint="eastAsia" w:hAnsi="Times New Roman"/>
                <w:sz w:val="24"/>
                <w:szCs w:val="24"/>
              </w:rPr>
              <w:t>信用保护合约</w:t>
            </w:r>
          </w:p>
        </w:tc>
        <w:tc>
          <w:tcPr>
            <w:tcW w:w="1360" w:type="dxa"/>
            <w:vAlign w:val="center"/>
          </w:tcPr>
          <w:p w14:paraId="2A3CECCB">
            <w:pPr>
              <w:pStyle w:val="90"/>
              <w:spacing w:line="240" w:lineRule="auto"/>
              <w:ind w:firstLine="480"/>
              <w:rPr>
                <w:rFonts w:hAnsi="Times New Roman"/>
                <w:sz w:val="24"/>
                <w:szCs w:val="24"/>
              </w:rPr>
            </w:pPr>
          </w:p>
        </w:tc>
        <w:tc>
          <w:tcPr>
            <w:tcW w:w="1276" w:type="dxa"/>
            <w:vAlign w:val="center"/>
          </w:tcPr>
          <w:p w14:paraId="64BD1F7F">
            <w:pPr>
              <w:pStyle w:val="90"/>
              <w:spacing w:line="240" w:lineRule="auto"/>
              <w:ind w:firstLine="480"/>
              <w:rPr>
                <w:rFonts w:hAnsi="Times New Roman"/>
                <w:sz w:val="24"/>
                <w:szCs w:val="24"/>
              </w:rPr>
            </w:pPr>
          </w:p>
        </w:tc>
        <w:tc>
          <w:tcPr>
            <w:tcW w:w="1276" w:type="dxa"/>
            <w:vAlign w:val="center"/>
          </w:tcPr>
          <w:p w14:paraId="759CBFEF">
            <w:pPr>
              <w:pStyle w:val="90"/>
              <w:spacing w:line="240" w:lineRule="auto"/>
              <w:ind w:firstLine="480"/>
              <w:rPr>
                <w:rFonts w:hAnsi="Times New Roman"/>
                <w:sz w:val="24"/>
                <w:szCs w:val="24"/>
              </w:rPr>
            </w:pPr>
          </w:p>
        </w:tc>
        <w:tc>
          <w:tcPr>
            <w:tcW w:w="1701" w:type="dxa"/>
            <w:vAlign w:val="center"/>
          </w:tcPr>
          <w:p w14:paraId="151E4AAF">
            <w:pPr>
              <w:pStyle w:val="90"/>
              <w:spacing w:line="240" w:lineRule="auto"/>
              <w:ind w:firstLine="0" w:firstLineChars="0"/>
              <w:rPr>
                <w:rFonts w:hAnsi="Times New Roman"/>
                <w:sz w:val="24"/>
                <w:szCs w:val="24"/>
              </w:rPr>
            </w:pPr>
            <w:r>
              <w:rPr>
                <w:rFonts w:hint="eastAsia" w:hAnsi="Times New Roman"/>
                <w:sz w:val="24"/>
                <w:szCs w:val="24"/>
              </w:rPr>
              <w:t>依据相关规定，保护费率最小变动单位1bp。但实践中，前端费用、保护费支付金额最小变动单位</w:t>
            </w:r>
            <w:r>
              <w:rPr>
                <w:rFonts w:hAnsi="Times New Roman"/>
                <w:sz w:val="24"/>
                <w:szCs w:val="24"/>
              </w:rPr>
              <w:t>0.001</w:t>
            </w:r>
            <w:r>
              <w:rPr>
                <w:rFonts w:hint="eastAsia" w:hAnsi="Times New Roman"/>
                <w:sz w:val="24"/>
                <w:szCs w:val="24"/>
              </w:rPr>
              <w:t>元，系统显示保护费率最小变动单位</w:t>
            </w:r>
            <w:r>
              <w:rPr>
                <w:rFonts w:hAnsi="Times New Roman"/>
                <w:sz w:val="24"/>
                <w:szCs w:val="24"/>
              </w:rPr>
              <w:t>0.001bp</w:t>
            </w:r>
          </w:p>
        </w:tc>
        <w:tc>
          <w:tcPr>
            <w:tcW w:w="1275" w:type="dxa"/>
            <w:vAlign w:val="center"/>
          </w:tcPr>
          <w:p w14:paraId="7C2025FC">
            <w:pPr>
              <w:pStyle w:val="90"/>
              <w:spacing w:line="240" w:lineRule="auto"/>
              <w:ind w:firstLine="480"/>
              <w:rPr>
                <w:rFonts w:hAnsi="Times New Roman"/>
                <w:sz w:val="24"/>
                <w:szCs w:val="24"/>
              </w:rPr>
            </w:pPr>
          </w:p>
        </w:tc>
      </w:tr>
      <w:tr w14:paraId="7799A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continue"/>
            <w:vAlign w:val="center"/>
          </w:tcPr>
          <w:p w14:paraId="3B45A48C">
            <w:pPr>
              <w:pStyle w:val="90"/>
              <w:spacing w:line="240" w:lineRule="auto"/>
              <w:ind w:firstLine="480"/>
              <w:rPr>
                <w:rFonts w:hAnsi="Times New Roman"/>
                <w:sz w:val="24"/>
                <w:szCs w:val="24"/>
              </w:rPr>
            </w:pPr>
          </w:p>
        </w:tc>
        <w:tc>
          <w:tcPr>
            <w:tcW w:w="1758" w:type="dxa"/>
            <w:vAlign w:val="center"/>
          </w:tcPr>
          <w:p w14:paraId="5188752A">
            <w:pPr>
              <w:pStyle w:val="90"/>
              <w:spacing w:line="240" w:lineRule="auto"/>
              <w:ind w:firstLine="0" w:firstLineChars="0"/>
              <w:rPr>
                <w:rFonts w:hAnsi="Times New Roman"/>
                <w:sz w:val="24"/>
                <w:szCs w:val="24"/>
              </w:rPr>
            </w:pPr>
            <w:r>
              <w:rPr>
                <w:rFonts w:hint="eastAsia" w:hAnsi="Times New Roman"/>
                <w:sz w:val="24"/>
                <w:szCs w:val="24"/>
              </w:rPr>
              <w:t>信用保护凭证</w:t>
            </w:r>
          </w:p>
        </w:tc>
        <w:tc>
          <w:tcPr>
            <w:tcW w:w="1360" w:type="dxa"/>
            <w:vAlign w:val="center"/>
          </w:tcPr>
          <w:p w14:paraId="0DCC8D38">
            <w:pPr>
              <w:pStyle w:val="90"/>
              <w:spacing w:line="240" w:lineRule="auto"/>
              <w:ind w:firstLine="480"/>
              <w:rPr>
                <w:rFonts w:hAnsi="Times New Roman"/>
                <w:sz w:val="24"/>
                <w:szCs w:val="24"/>
              </w:rPr>
            </w:pPr>
            <w:r>
              <w:rPr>
                <w:rFonts w:hAnsi="Times New Roman"/>
                <w:sz w:val="24"/>
                <w:szCs w:val="24"/>
              </w:rPr>
              <w:t>--</w:t>
            </w:r>
          </w:p>
        </w:tc>
        <w:tc>
          <w:tcPr>
            <w:tcW w:w="1276" w:type="dxa"/>
            <w:vAlign w:val="center"/>
          </w:tcPr>
          <w:p w14:paraId="0F1423AC">
            <w:pPr>
              <w:pStyle w:val="90"/>
              <w:spacing w:line="240" w:lineRule="auto"/>
              <w:ind w:firstLine="480"/>
              <w:rPr>
                <w:rFonts w:hAnsi="Times New Roman"/>
                <w:sz w:val="24"/>
                <w:szCs w:val="24"/>
              </w:rPr>
            </w:pPr>
            <w:r>
              <w:rPr>
                <w:rFonts w:hAnsi="Times New Roman"/>
                <w:sz w:val="24"/>
                <w:szCs w:val="24"/>
              </w:rPr>
              <w:t>--</w:t>
            </w:r>
          </w:p>
        </w:tc>
        <w:tc>
          <w:tcPr>
            <w:tcW w:w="1276" w:type="dxa"/>
            <w:vAlign w:val="center"/>
          </w:tcPr>
          <w:p w14:paraId="6EDCFA1E">
            <w:pPr>
              <w:pStyle w:val="90"/>
              <w:spacing w:line="240" w:lineRule="auto"/>
              <w:ind w:firstLine="480"/>
              <w:rPr>
                <w:rFonts w:hAnsi="Times New Roman"/>
                <w:sz w:val="24"/>
                <w:szCs w:val="24"/>
              </w:rPr>
            </w:pPr>
            <w:r>
              <w:rPr>
                <w:rFonts w:hAnsi="Times New Roman"/>
                <w:sz w:val="24"/>
                <w:szCs w:val="24"/>
              </w:rPr>
              <w:t>--</w:t>
            </w:r>
          </w:p>
        </w:tc>
        <w:tc>
          <w:tcPr>
            <w:tcW w:w="1701" w:type="dxa"/>
            <w:vAlign w:val="center"/>
          </w:tcPr>
          <w:p w14:paraId="1FB4C325">
            <w:pPr>
              <w:pStyle w:val="90"/>
              <w:spacing w:line="240" w:lineRule="auto"/>
              <w:ind w:firstLine="0" w:firstLineChars="0"/>
              <w:rPr>
                <w:rFonts w:hAnsi="Times New Roman"/>
                <w:sz w:val="24"/>
                <w:szCs w:val="24"/>
              </w:rPr>
            </w:pPr>
            <w:r>
              <w:rPr>
                <w:rFonts w:hint="eastAsia" w:hAnsi="Times New Roman"/>
                <w:sz w:val="24"/>
                <w:szCs w:val="24"/>
              </w:rPr>
              <w:t>申报价格最小变动单位为</w:t>
            </w:r>
            <w:r>
              <w:rPr>
                <w:rFonts w:hAnsi="Times New Roman"/>
                <w:sz w:val="24"/>
                <w:szCs w:val="24"/>
              </w:rPr>
              <w:t>0.001</w:t>
            </w:r>
            <w:r>
              <w:rPr>
                <w:rFonts w:hint="eastAsia" w:hAnsi="Times New Roman"/>
                <w:sz w:val="24"/>
                <w:szCs w:val="24"/>
              </w:rPr>
              <w:t>元</w:t>
            </w:r>
          </w:p>
        </w:tc>
        <w:tc>
          <w:tcPr>
            <w:tcW w:w="1275" w:type="dxa"/>
            <w:vAlign w:val="center"/>
          </w:tcPr>
          <w:p w14:paraId="33209069">
            <w:pPr>
              <w:pStyle w:val="90"/>
              <w:spacing w:line="240" w:lineRule="auto"/>
              <w:ind w:firstLine="480"/>
              <w:rPr>
                <w:rFonts w:hAnsi="Times New Roman"/>
                <w:sz w:val="24"/>
                <w:szCs w:val="24"/>
              </w:rPr>
            </w:pPr>
            <w:r>
              <w:rPr>
                <w:rFonts w:hAnsi="Times New Roman"/>
                <w:sz w:val="24"/>
                <w:szCs w:val="24"/>
              </w:rPr>
              <w:t>--</w:t>
            </w:r>
          </w:p>
        </w:tc>
      </w:tr>
      <w:tr w14:paraId="19CB8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vMerge w:val="continue"/>
            <w:vAlign w:val="center"/>
          </w:tcPr>
          <w:p w14:paraId="3C31B5ED">
            <w:pPr>
              <w:pStyle w:val="90"/>
              <w:spacing w:line="240" w:lineRule="auto"/>
              <w:ind w:firstLine="480"/>
              <w:rPr>
                <w:rFonts w:hAnsi="Times New Roman"/>
                <w:sz w:val="24"/>
                <w:szCs w:val="24"/>
              </w:rPr>
            </w:pPr>
          </w:p>
        </w:tc>
        <w:tc>
          <w:tcPr>
            <w:tcW w:w="1758" w:type="dxa"/>
            <w:vAlign w:val="center"/>
          </w:tcPr>
          <w:p w14:paraId="6DE8A116">
            <w:pPr>
              <w:pStyle w:val="90"/>
              <w:spacing w:line="240" w:lineRule="auto"/>
              <w:ind w:firstLine="0" w:firstLineChars="0"/>
              <w:rPr>
                <w:rFonts w:hAnsi="Times New Roman"/>
                <w:sz w:val="24"/>
                <w:szCs w:val="24"/>
              </w:rPr>
            </w:pPr>
            <w:r>
              <w:rPr>
                <w:rFonts w:hint="eastAsia" w:hAnsi="Times New Roman"/>
                <w:sz w:val="24"/>
                <w:szCs w:val="24"/>
              </w:rPr>
              <w:t>债券预发行</w:t>
            </w:r>
          </w:p>
        </w:tc>
        <w:tc>
          <w:tcPr>
            <w:tcW w:w="1360" w:type="dxa"/>
            <w:vAlign w:val="center"/>
          </w:tcPr>
          <w:p w14:paraId="757A8B8B">
            <w:pPr>
              <w:pStyle w:val="90"/>
              <w:spacing w:line="240" w:lineRule="auto"/>
              <w:ind w:firstLine="0" w:firstLineChars="0"/>
              <w:rPr>
                <w:rFonts w:hAnsi="Times New Roman"/>
                <w:sz w:val="24"/>
                <w:szCs w:val="24"/>
              </w:rPr>
            </w:pPr>
            <w:r>
              <w:rPr>
                <w:rFonts w:hint="eastAsia" w:hAnsi="Times New Roman"/>
                <w:sz w:val="24"/>
                <w:szCs w:val="24"/>
              </w:rPr>
              <w:t>价格招标：</w:t>
            </w:r>
            <w:r>
              <w:rPr>
                <w:rFonts w:hAnsi="Times New Roman"/>
                <w:sz w:val="24"/>
                <w:szCs w:val="24"/>
              </w:rPr>
              <w:t>0.001</w:t>
            </w:r>
            <w:r>
              <w:rPr>
                <w:rFonts w:hint="eastAsia" w:hAnsi="Times New Roman"/>
                <w:sz w:val="24"/>
                <w:szCs w:val="24"/>
              </w:rPr>
              <w:t>元；收益率招标：</w:t>
            </w:r>
            <w:r>
              <w:rPr>
                <w:rFonts w:hAnsi="Times New Roman"/>
                <w:sz w:val="24"/>
                <w:szCs w:val="24"/>
              </w:rPr>
              <w:t>0.001%</w:t>
            </w:r>
          </w:p>
        </w:tc>
        <w:tc>
          <w:tcPr>
            <w:tcW w:w="1276" w:type="dxa"/>
            <w:vAlign w:val="center"/>
          </w:tcPr>
          <w:p w14:paraId="1378756E">
            <w:pPr>
              <w:pStyle w:val="90"/>
              <w:spacing w:line="240" w:lineRule="auto"/>
              <w:ind w:firstLine="480"/>
              <w:rPr>
                <w:rFonts w:hAnsi="Times New Roman"/>
                <w:sz w:val="24"/>
                <w:szCs w:val="24"/>
              </w:rPr>
            </w:pPr>
            <w:r>
              <w:rPr>
                <w:rFonts w:hAnsi="Times New Roman"/>
                <w:sz w:val="24"/>
                <w:szCs w:val="24"/>
              </w:rPr>
              <w:t>--</w:t>
            </w:r>
          </w:p>
        </w:tc>
        <w:tc>
          <w:tcPr>
            <w:tcW w:w="1276" w:type="dxa"/>
            <w:vAlign w:val="center"/>
          </w:tcPr>
          <w:p w14:paraId="7B1739AD">
            <w:pPr>
              <w:pStyle w:val="90"/>
              <w:spacing w:line="240" w:lineRule="auto"/>
              <w:ind w:firstLine="480"/>
              <w:rPr>
                <w:rFonts w:hAnsi="Times New Roman"/>
                <w:sz w:val="24"/>
                <w:szCs w:val="24"/>
              </w:rPr>
            </w:pPr>
            <w:r>
              <w:rPr>
                <w:rFonts w:hAnsi="Times New Roman"/>
                <w:sz w:val="24"/>
                <w:szCs w:val="24"/>
              </w:rPr>
              <w:t>--</w:t>
            </w:r>
          </w:p>
        </w:tc>
        <w:tc>
          <w:tcPr>
            <w:tcW w:w="1701" w:type="dxa"/>
            <w:vAlign w:val="center"/>
          </w:tcPr>
          <w:p w14:paraId="54CA66D1">
            <w:pPr>
              <w:pStyle w:val="90"/>
              <w:spacing w:line="240" w:lineRule="auto"/>
              <w:ind w:firstLine="0" w:firstLineChars="0"/>
              <w:jc w:val="center"/>
              <w:rPr>
                <w:rFonts w:hAnsi="Times New Roman"/>
                <w:sz w:val="24"/>
                <w:szCs w:val="24"/>
              </w:rPr>
            </w:pPr>
            <w:r>
              <w:rPr>
                <w:rFonts w:hAnsi="Times New Roman"/>
                <w:sz w:val="24"/>
                <w:szCs w:val="24"/>
              </w:rPr>
              <w:t>--</w:t>
            </w:r>
          </w:p>
        </w:tc>
        <w:tc>
          <w:tcPr>
            <w:tcW w:w="1275" w:type="dxa"/>
            <w:vAlign w:val="center"/>
          </w:tcPr>
          <w:p w14:paraId="0F183A7E">
            <w:pPr>
              <w:pStyle w:val="90"/>
              <w:spacing w:line="240" w:lineRule="auto"/>
              <w:ind w:firstLine="480"/>
              <w:rPr>
                <w:rFonts w:hAnsi="Times New Roman"/>
                <w:sz w:val="24"/>
                <w:szCs w:val="24"/>
              </w:rPr>
            </w:pPr>
            <w:r>
              <w:rPr>
                <w:rFonts w:hAnsi="Times New Roman"/>
                <w:sz w:val="24"/>
                <w:szCs w:val="24"/>
              </w:rPr>
              <w:t>--</w:t>
            </w:r>
          </w:p>
        </w:tc>
      </w:tr>
    </w:tbl>
    <w:p w14:paraId="7B55EDAF">
      <w:pPr>
        <w:spacing w:line="600" w:lineRule="exact"/>
        <w:ind w:left="567"/>
        <w:outlineLvl w:val="3"/>
        <w:rPr>
          <w:rFonts w:ascii="仿宋_GB2312" w:eastAsia="仿宋_GB2312"/>
          <w:b/>
          <w:sz w:val="30"/>
          <w:szCs w:val="30"/>
        </w:rPr>
      </w:pPr>
      <w:r>
        <w:rPr>
          <w:rFonts w:hint="eastAsia" w:ascii="仿宋_GB2312" w:eastAsia="仿宋_GB2312"/>
          <w:b/>
          <w:sz w:val="30"/>
          <w:szCs w:val="30"/>
        </w:rPr>
        <w:t>（2）</w:t>
      </w:r>
      <w:r>
        <w:rPr>
          <w:rFonts w:ascii="仿宋_GB2312" w:eastAsia="仿宋_GB2312"/>
          <w:b/>
          <w:sz w:val="30"/>
          <w:szCs w:val="30"/>
        </w:rPr>
        <w:t>价格限制</w:t>
      </w:r>
    </w:p>
    <w:p w14:paraId="0465CC88">
      <w:pPr>
        <w:pStyle w:val="90"/>
        <w:spacing w:line="600" w:lineRule="exact"/>
        <w:ind w:firstLine="600"/>
        <w:rPr>
          <w:rFonts w:hAnsi="Times New Roman"/>
          <w:sz w:val="30"/>
          <w:szCs w:val="30"/>
        </w:rPr>
      </w:pPr>
      <w:r>
        <w:rPr>
          <w:rFonts w:hint="eastAsia" w:hAnsi="Times New Roman"/>
          <w:sz w:val="30"/>
          <w:szCs w:val="30"/>
        </w:rPr>
        <w:t>债券现券交易及通用回购交易申报中，申报价格应符合一定的要求。不符合申报价格范围要求的，交易系统不接受相关申报。各产品类型的价格控制基准如下表：</w:t>
      </w:r>
    </w:p>
    <w:tbl>
      <w:tblPr>
        <w:tblStyle w:val="43"/>
        <w:tblW w:w="5739" w:type="pct"/>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1417"/>
        <w:gridCol w:w="1135"/>
        <w:gridCol w:w="1276"/>
        <w:gridCol w:w="5246"/>
      </w:tblGrid>
      <w:tr w14:paraId="5246E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62" w:type="pct"/>
            <w:vAlign w:val="center"/>
          </w:tcPr>
          <w:p w14:paraId="17FD0C4F">
            <w:pPr>
              <w:pStyle w:val="90"/>
              <w:spacing w:line="240" w:lineRule="auto"/>
              <w:ind w:firstLine="0" w:firstLineChars="0"/>
              <w:rPr>
                <w:rFonts w:hAnsi="Times New Roman"/>
                <w:b/>
                <w:sz w:val="24"/>
                <w:szCs w:val="24"/>
              </w:rPr>
            </w:pPr>
          </w:p>
        </w:tc>
        <w:tc>
          <w:tcPr>
            <w:tcW w:w="724" w:type="pct"/>
            <w:vAlign w:val="center"/>
          </w:tcPr>
          <w:p w14:paraId="4BA80E74">
            <w:pPr>
              <w:pStyle w:val="90"/>
              <w:spacing w:line="240" w:lineRule="auto"/>
              <w:ind w:firstLine="0" w:firstLineChars="0"/>
              <w:rPr>
                <w:rFonts w:hAnsi="Times New Roman"/>
                <w:b/>
                <w:sz w:val="24"/>
                <w:szCs w:val="24"/>
              </w:rPr>
            </w:pPr>
            <w:r>
              <w:rPr>
                <w:rFonts w:hint="eastAsia" w:hAnsi="Times New Roman"/>
                <w:b/>
                <w:sz w:val="24"/>
                <w:szCs w:val="24"/>
              </w:rPr>
              <w:t>产品类型</w:t>
            </w:r>
          </w:p>
        </w:tc>
        <w:tc>
          <w:tcPr>
            <w:tcW w:w="580" w:type="pct"/>
            <w:vAlign w:val="center"/>
          </w:tcPr>
          <w:p w14:paraId="38CAD7EB">
            <w:pPr>
              <w:pStyle w:val="90"/>
              <w:spacing w:line="240" w:lineRule="auto"/>
              <w:ind w:firstLine="0" w:firstLineChars="0"/>
              <w:rPr>
                <w:rFonts w:hAnsi="Times New Roman"/>
                <w:b/>
                <w:sz w:val="24"/>
                <w:szCs w:val="24"/>
              </w:rPr>
            </w:pPr>
            <w:r>
              <w:rPr>
                <w:rFonts w:hint="eastAsia" w:hAnsi="Times New Roman"/>
                <w:b/>
                <w:sz w:val="24"/>
                <w:szCs w:val="24"/>
              </w:rPr>
              <w:t>控制方式</w:t>
            </w:r>
          </w:p>
        </w:tc>
        <w:tc>
          <w:tcPr>
            <w:tcW w:w="652" w:type="pct"/>
            <w:vAlign w:val="center"/>
          </w:tcPr>
          <w:p w14:paraId="7D50E111">
            <w:pPr>
              <w:pStyle w:val="90"/>
              <w:spacing w:line="240" w:lineRule="auto"/>
              <w:ind w:firstLine="0" w:firstLineChars="0"/>
              <w:rPr>
                <w:rFonts w:hAnsi="Times New Roman"/>
                <w:b/>
                <w:sz w:val="24"/>
                <w:szCs w:val="24"/>
              </w:rPr>
            </w:pPr>
            <w:r>
              <w:rPr>
                <w:rFonts w:hint="eastAsia" w:hAnsi="Times New Roman"/>
                <w:b/>
                <w:sz w:val="24"/>
                <w:szCs w:val="24"/>
              </w:rPr>
              <w:t>适用的交易方式</w:t>
            </w:r>
          </w:p>
        </w:tc>
        <w:tc>
          <w:tcPr>
            <w:tcW w:w="2681" w:type="pct"/>
            <w:vAlign w:val="center"/>
          </w:tcPr>
          <w:p w14:paraId="32C284A9">
            <w:pPr>
              <w:pStyle w:val="90"/>
              <w:spacing w:line="240" w:lineRule="auto"/>
              <w:ind w:firstLine="0" w:firstLineChars="0"/>
              <w:rPr>
                <w:rFonts w:hAnsi="Times New Roman"/>
                <w:b/>
                <w:sz w:val="24"/>
                <w:szCs w:val="24"/>
              </w:rPr>
            </w:pPr>
            <w:r>
              <w:rPr>
                <w:rFonts w:hint="eastAsia" w:hAnsi="Times New Roman"/>
                <w:b/>
                <w:sz w:val="24"/>
                <w:szCs w:val="24"/>
              </w:rPr>
              <w:t>有效申报价格范围</w:t>
            </w:r>
          </w:p>
        </w:tc>
      </w:tr>
      <w:tr w14:paraId="01639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2" w:hRule="atLeast"/>
        </w:trPr>
        <w:tc>
          <w:tcPr>
            <w:tcW w:w="362" w:type="pct"/>
            <w:vMerge w:val="restart"/>
            <w:vAlign w:val="center"/>
          </w:tcPr>
          <w:p w14:paraId="317208EE">
            <w:pPr>
              <w:pStyle w:val="90"/>
              <w:spacing w:line="240" w:lineRule="auto"/>
              <w:ind w:firstLine="0" w:firstLineChars="0"/>
              <w:rPr>
                <w:rFonts w:hAnsi="Times New Roman"/>
                <w:sz w:val="24"/>
                <w:szCs w:val="24"/>
              </w:rPr>
            </w:pPr>
            <w:r>
              <w:rPr>
                <w:rFonts w:hint="eastAsia" w:hAnsi="Times New Roman"/>
                <w:sz w:val="24"/>
                <w:szCs w:val="24"/>
              </w:rPr>
              <w:t>现券</w:t>
            </w:r>
          </w:p>
        </w:tc>
        <w:tc>
          <w:tcPr>
            <w:tcW w:w="724" w:type="pct"/>
            <w:vAlign w:val="center"/>
          </w:tcPr>
          <w:p w14:paraId="30945449">
            <w:pPr>
              <w:pStyle w:val="90"/>
              <w:adjustRightInd w:val="0"/>
              <w:snapToGrid w:val="0"/>
              <w:spacing w:line="240" w:lineRule="auto"/>
              <w:ind w:firstLine="0" w:firstLineChars="0"/>
              <w:rPr>
                <w:rFonts w:hAnsi="Times New Roman"/>
                <w:sz w:val="24"/>
                <w:szCs w:val="24"/>
              </w:rPr>
            </w:pPr>
            <w:r>
              <w:rPr>
                <w:rFonts w:hint="eastAsia" w:hAnsi="Times New Roman"/>
                <w:sz w:val="24"/>
                <w:szCs w:val="24"/>
              </w:rPr>
              <w:t>国债、地方债、政府支持债券、政策性金融债</w:t>
            </w:r>
          </w:p>
        </w:tc>
        <w:tc>
          <w:tcPr>
            <w:tcW w:w="580" w:type="pct"/>
            <w:vMerge w:val="restart"/>
            <w:vAlign w:val="center"/>
          </w:tcPr>
          <w:p w14:paraId="18B6E89F">
            <w:pPr>
              <w:pStyle w:val="90"/>
              <w:spacing w:line="240" w:lineRule="auto"/>
              <w:ind w:firstLine="0" w:firstLineChars="0"/>
              <w:rPr>
                <w:rFonts w:hAnsi="Times New Roman"/>
                <w:sz w:val="24"/>
                <w:szCs w:val="24"/>
              </w:rPr>
            </w:pPr>
            <w:r>
              <w:rPr>
                <w:rFonts w:hint="eastAsia" w:hAnsi="Times New Roman"/>
                <w:sz w:val="24"/>
                <w:szCs w:val="24"/>
              </w:rPr>
              <w:t>有效申报价格范围</w:t>
            </w:r>
          </w:p>
        </w:tc>
        <w:tc>
          <w:tcPr>
            <w:tcW w:w="652" w:type="pct"/>
            <w:vMerge w:val="restart"/>
            <w:vAlign w:val="center"/>
          </w:tcPr>
          <w:p w14:paraId="372AD31A">
            <w:pPr>
              <w:pStyle w:val="90"/>
              <w:spacing w:line="240" w:lineRule="auto"/>
              <w:ind w:firstLine="0" w:firstLineChars="0"/>
              <w:rPr>
                <w:rFonts w:hAnsi="Times New Roman"/>
                <w:sz w:val="24"/>
                <w:szCs w:val="24"/>
              </w:rPr>
            </w:pPr>
            <w:r>
              <w:rPr>
                <w:rFonts w:hint="eastAsia" w:hAnsi="Times New Roman"/>
                <w:sz w:val="24"/>
                <w:szCs w:val="24"/>
              </w:rPr>
              <w:t>匹配成交</w:t>
            </w:r>
          </w:p>
        </w:tc>
        <w:tc>
          <w:tcPr>
            <w:tcW w:w="2681" w:type="pct"/>
            <w:vMerge w:val="restart"/>
            <w:vAlign w:val="center"/>
          </w:tcPr>
          <w:p w14:paraId="793AC4B9">
            <w:pPr>
              <w:pStyle w:val="90"/>
              <w:spacing w:line="240" w:lineRule="auto"/>
              <w:ind w:firstLine="0" w:firstLineChars="0"/>
              <w:rPr>
                <w:rFonts w:hAnsi="Times New Roman"/>
                <w:sz w:val="24"/>
                <w:szCs w:val="24"/>
              </w:rPr>
            </w:pPr>
            <w:r>
              <w:rPr>
                <w:rFonts w:hint="eastAsia" w:hAnsi="Times New Roman"/>
                <w:b/>
                <w:sz w:val="24"/>
                <w:szCs w:val="24"/>
              </w:rPr>
              <w:t>集合匹配价格限制：</w:t>
            </w:r>
            <w:r>
              <w:rPr>
                <w:rFonts w:hint="eastAsia" w:hAnsi="Times New Roman"/>
                <w:sz w:val="24"/>
                <w:szCs w:val="24"/>
              </w:rPr>
              <w:t>债券的有效申报价格范围为前收盘价的上下30%</w:t>
            </w:r>
          </w:p>
          <w:p w14:paraId="7710CEA5">
            <w:pPr>
              <w:pStyle w:val="90"/>
              <w:spacing w:line="240" w:lineRule="auto"/>
              <w:ind w:firstLine="0" w:firstLineChars="0"/>
              <w:rPr>
                <w:rFonts w:hAnsi="Times New Roman"/>
                <w:sz w:val="24"/>
                <w:szCs w:val="24"/>
              </w:rPr>
            </w:pPr>
            <w:r>
              <w:rPr>
                <w:rFonts w:hint="eastAsia" w:hAnsi="Times New Roman"/>
                <w:b/>
                <w:sz w:val="24"/>
                <w:szCs w:val="24"/>
              </w:rPr>
              <w:t>连续匹配价格限制：</w:t>
            </w:r>
            <w:r>
              <w:rPr>
                <w:rFonts w:hint="eastAsia" w:hAnsi="Times New Roman"/>
                <w:sz w:val="24"/>
                <w:szCs w:val="24"/>
              </w:rPr>
              <w:t>政府债券、政府支持债券、政策性金融债等的有效申报价格范围为匹配成交最新成交价格的上下10%，其他债券的有效申报价格范围为匹配成交最新成交价格的上下20%</w:t>
            </w:r>
          </w:p>
        </w:tc>
      </w:tr>
      <w:tr w14:paraId="5727D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362" w:type="pct"/>
            <w:vMerge w:val="continue"/>
            <w:vAlign w:val="center"/>
          </w:tcPr>
          <w:p w14:paraId="1C89AC36">
            <w:pPr>
              <w:pStyle w:val="90"/>
              <w:spacing w:line="240" w:lineRule="auto"/>
              <w:ind w:firstLine="480"/>
              <w:rPr>
                <w:rFonts w:hAnsi="Times New Roman"/>
                <w:sz w:val="24"/>
                <w:szCs w:val="24"/>
              </w:rPr>
            </w:pPr>
          </w:p>
        </w:tc>
        <w:tc>
          <w:tcPr>
            <w:tcW w:w="724" w:type="pct"/>
            <w:vAlign w:val="center"/>
          </w:tcPr>
          <w:p w14:paraId="6AE7FE54">
            <w:pPr>
              <w:pStyle w:val="90"/>
              <w:spacing w:line="240" w:lineRule="auto"/>
              <w:ind w:firstLine="0" w:firstLineChars="0"/>
              <w:rPr>
                <w:rFonts w:hAnsi="Times New Roman"/>
                <w:sz w:val="24"/>
                <w:szCs w:val="24"/>
              </w:rPr>
            </w:pPr>
            <w:r>
              <w:rPr>
                <w:rFonts w:hint="eastAsia" w:hAnsi="Times New Roman"/>
                <w:sz w:val="24"/>
                <w:szCs w:val="24"/>
              </w:rPr>
              <w:t>公司债</w:t>
            </w:r>
          </w:p>
        </w:tc>
        <w:tc>
          <w:tcPr>
            <w:tcW w:w="580" w:type="pct"/>
            <w:vMerge w:val="continue"/>
            <w:vAlign w:val="center"/>
          </w:tcPr>
          <w:p w14:paraId="2973D1F9">
            <w:pPr>
              <w:pStyle w:val="90"/>
              <w:spacing w:line="240" w:lineRule="auto"/>
              <w:ind w:firstLine="480"/>
              <w:rPr>
                <w:rFonts w:hAnsi="Times New Roman"/>
                <w:sz w:val="24"/>
                <w:szCs w:val="24"/>
              </w:rPr>
            </w:pPr>
          </w:p>
        </w:tc>
        <w:tc>
          <w:tcPr>
            <w:tcW w:w="652" w:type="pct"/>
            <w:vMerge w:val="continue"/>
            <w:vAlign w:val="center"/>
          </w:tcPr>
          <w:p w14:paraId="3E3C742A">
            <w:pPr>
              <w:pStyle w:val="90"/>
              <w:spacing w:line="240" w:lineRule="auto"/>
              <w:ind w:firstLine="480"/>
              <w:rPr>
                <w:rFonts w:hAnsi="Times New Roman"/>
                <w:sz w:val="24"/>
                <w:szCs w:val="24"/>
              </w:rPr>
            </w:pPr>
          </w:p>
        </w:tc>
        <w:tc>
          <w:tcPr>
            <w:tcW w:w="2681" w:type="pct"/>
            <w:vMerge w:val="continue"/>
            <w:vAlign w:val="center"/>
          </w:tcPr>
          <w:p w14:paraId="2F6AFF25">
            <w:pPr>
              <w:pStyle w:val="90"/>
              <w:spacing w:line="240" w:lineRule="auto"/>
              <w:ind w:firstLine="480"/>
              <w:rPr>
                <w:rFonts w:hAnsi="Times New Roman"/>
                <w:sz w:val="24"/>
                <w:szCs w:val="24"/>
              </w:rPr>
            </w:pPr>
          </w:p>
        </w:tc>
      </w:tr>
      <w:tr w14:paraId="6337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362" w:type="pct"/>
            <w:vMerge w:val="continue"/>
            <w:vAlign w:val="center"/>
          </w:tcPr>
          <w:p w14:paraId="3C7E1C3B">
            <w:pPr>
              <w:pStyle w:val="90"/>
              <w:spacing w:line="240" w:lineRule="auto"/>
              <w:ind w:firstLine="480"/>
              <w:rPr>
                <w:rFonts w:hAnsi="Times New Roman"/>
                <w:sz w:val="24"/>
                <w:szCs w:val="24"/>
              </w:rPr>
            </w:pPr>
          </w:p>
        </w:tc>
        <w:tc>
          <w:tcPr>
            <w:tcW w:w="724" w:type="pct"/>
            <w:vAlign w:val="center"/>
          </w:tcPr>
          <w:p w14:paraId="35277503">
            <w:pPr>
              <w:pStyle w:val="90"/>
              <w:spacing w:line="240" w:lineRule="auto"/>
              <w:ind w:firstLine="0" w:firstLineChars="0"/>
              <w:rPr>
                <w:rFonts w:hAnsi="Times New Roman"/>
                <w:sz w:val="24"/>
                <w:szCs w:val="24"/>
              </w:rPr>
            </w:pPr>
            <w:r>
              <w:rPr>
                <w:rFonts w:hint="eastAsia" w:hAnsi="Times New Roman"/>
                <w:sz w:val="24"/>
                <w:szCs w:val="24"/>
              </w:rPr>
              <w:t>可交换债</w:t>
            </w:r>
          </w:p>
        </w:tc>
        <w:tc>
          <w:tcPr>
            <w:tcW w:w="580" w:type="pct"/>
            <w:vMerge w:val="continue"/>
            <w:vAlign w:val="center"/>
          </w:tcPr>
          <w:p w14:paraId="57BC814B">
            <w:pPr>
              <w:pStyle w:val="90"/>
              <w:spacing w:line="240" w:lineRule="auto"/>
              <w:ind w:firstLine="480"/>
              <w:rPr>
                <w:rFonts w:hAnsi="Times New Roman"/>
                <w:sz w:val="24"/>
                <w:szCs w:val="24"/>
              </w:rPr>
            </w:pPr>
          </w:p>
        </w:tc>
        <w:tc>
          <w:tcPr>
            <w:tcW w:w="652" w:type="pct"/>
            <w:vMerge w:val="continue"/>
            <w:vAlign w:val="center"/>
          </w:tcPr>
          <w:p w14:paraId="6C451DBD">
            <w:pPr>
              <w:pStyle w:val="90"/>
              <w:spacing w:line="240" w:lineRule="auto"/>
              <w:ind w:firstLine="480"/>
              <w:rPr>
                <w:rFonts w:hAnsi="Times New Roman"/>
                <w:sz w:val="24"/>
                <w:szCs w:val="24"/>
              </w:rPr>
            </w:pPr>
          </w:p>
        </w:tc>
        <w:tc>
          <w:tcPr>
            <w:tcW w:w="2681" w:type="pct"/>
            <w:vMerge w:val="continue"/>
            <w:vAlign w:val="center"/>
          </w:tcPr>
          <w:p w14:paraId="1067936B">
            <w:pPr>
              <w:pStyle w:val="90"/>
              <w:spacing w:line="240" w:lineRule="auto"/>
              <w:ind w:firstLine="480"/>
              <w:rPr>
                <w:rFonts w:hAnsi="Times New Roman"/>
                <w:sz w:val="24"/>
                <w:szCs w:val="24"/>
              </w:rPr>
            </w:pPr>
          </w:p>
        </w:tc>
      </w:tr>
      <w:tr w14:paraId="7E16E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362" w:type="pct"/>
            <w:vMerge w:val="restart"/>
            <w:vAlign w:val="center"/>
          </w:tcPr>
          <w:p w14:paraId="39D5570B">
            <w:pPr>
              <w:pStyle w:val="90"/>
              <w:spacing w:line="240" w:lineRule="auto"/>
              <w:ind w:firstLine="0" w:firstLineChars="0"/>
              <w:rPr>
                <w:rFonts w:hAnsi="Times New Roman"/>
                <w:sz w:val="24"/>
                <w:szCs w:val="24"/>
              </w:rPr>
            </w:pPr>
            <w:r>
              <w:rPr>
                <w:rFonts w:hint="eastAsia" w:hAnsi="Times New Roman"/>
                <w:sz w:val="24"/>
                <w:szCs w:val="24"/>
              </w:rPr>
              <w:t>回购</w:t>
            </w:r>
          </w:p>
        </w:tc>
        <w:tc>
          <w:tcPr>
            <w:tcW w:w="724" w:type="pct"/>
            <w:vAlign w:val="center"/>
          </w:tcPr>
          <w:p w14:paraId="6E12C6E7">
            <w:pPr>
              <w:pStyle w:val="90"/>
              <w:spacing w:line="240" w:lineRule="auto"/>
              <w:ind w:firstLine="0" w:firstLineChars="0"/>
              <w:rPr>
                <w:rFonts w:hAnsi="Times New Roman"/>
                <w:sz w:val="24"/>
                <w:szCs w:val="24"/>
              </w:rPr>
            </w:pPr>
            <w:r>
              <w:rPr>
                <w:rFonts w:hint="eastAsia" w:hAnsi="Times New Roman"/>
                <w:sz w:val="24"/>
                <w:szCs w:val="24"/>
              </w:rPr>
              <w:t>通用回购</w:t>
            </w:r>
          </w:p>
        </w:tc>
        <w:tc>
          <w:tcPr>
            <w:tcW w:w="580" w:type="pct"/>
            <w:vAlign w:val="center"/>
          </w:tcPr>
          <w:p w14:paraId="2AB2E0DA">
            <w:pPr>
              <w:pStyle w:val="90"/>
              <w:spacing w:line="240" w:lineRule="auto"/>
              <w:ind w:firstLine="0" w:firstLineChars="0"/>
              <w:rPr>
                <w:rFonts w:hAnsi="Times New Roman"/>
                <w:sz w:val="24"/>
                <w:szCs w:val="24"/>
              </w:rPr>
            </w:pPr>
            <w:r>
              <w:rPr>
                <w:rFonts w:hint="eastAsia" w:hAnsi="Times New Roman"/>
                <w:sz w:val="24"/>
                <w:szCs w:val="24"/>
              </w:rPr>
              <w:t>有效申报价格范围（“价格笼子”）</w:t>
            </w:r>
          </w:p>
        </w:tc>
        <w:tc>
          <w:tcPr>
            <w:tcW w:w="652" w:type="pct"/>
            <w:vAlign w:val="center"/>
          </w:tcPr>
          <w:p w14:paraId="0688919D">
            <w:pPr>
              <w:pStyle w:val="90"/>
              <w:spacing w:line="240" w:lineRule="auto"/>
              <w:ind w:firstLine="0" w:firstLineChars="0"/>
              <w:rPr>
                <w:rFonts w:hAnsi="Times New Roman"/>
                <w:sz w:val="24"/>
                <w:szCs w:val="24"/>
              </w:rPr>
            </w:pPr>
            <w:r>
              <w:rPr>
                <w:rFonts w:hint="eastAsia" w:hAnsi="Times New Roman"/>
                <w:sz w:val="24"/>
                <w:szCs w:val="24"/>
              </w:rPr>
              <w:t>匹配成交</w:t>
            </w:r>
          </w:p>
        </w:tc>
        <w:tc>
          <w:tcPr>
            <w:tcW w:w="2681" w:type="pct"/>
            <w:vAlign w:val="center"/>
          </w:tcPr>
          <w:p w14:paraId="0F6481DE">
            <w:pPr>
              <w:pStyle w:val="90"/>
              <w:spacing w:line="240" w:lineRule="auto"/>
              <w:ind w:firstLine="0" w:firstLineChars="0"/>
              <w:rPr>
                <w:rFonts w:hAnsi="Times New Roman"/>
                <w:sz w:val="24"/>
                <w:szCs w:val="24"/>
              </w:rPr>
            </w:pPr>
            <w:r>
              <w:rPr>
                <w:rFonts w:hint="eastAsia" w:hAnsi="Times New Roman"/>
                <w:sz w:val="24"/>
                <w:szCs w:val="24"/>
              </w:rPr>
              <w:t>在集合匹配阶段，有效申报价格范围为前收盘价的上下</w:t>
            </w:r>
            <w:r>
              <w:rPr>
                <w:rFonts w:hAnsi="Times New Roman"/>
                <w:sz w:val="24"/>
                <w:szCs w:val="24"/>
              </w:rPr>
              <w:t>100%</w:t>
            </w:r>
            <w:r>
              <w:rPr>
                <w:rFonts w:hint="eastAsia" w:hAnsi="Times New Roman"/>
                <w:sz w:val="24"/>
                <w:szCs w:val="24"/>
              </w:rPr>
              <w:t>；连续匹配阶段，有效申报价格不得高于匹配成交最新成交价格</w:t>
            </w:r>
            <w:r>
              <w:rPr>
                <w:rFonts w:hAnsi="Times New Roman"/>
                <w:sz w:val="24"/>
                <w:szCs w:val="24"/>
              </w:rPr>
              <w:t>100个基点</w:t>
            </w:r>
          </w:p>
        </w:tc>
      </w:tr>
      <w:tr w14:paraId="03A9C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362" w:type="pct"/>
            <w:vMerge w:val="continue"/>
            <w:vAlign w:val="center"/>
          </w:tcPr>
          <w:p w14:paraId="320C174F">
            <w:pPr>
              <w:pStyle w:val="90"/>
              <w:spacing w:line="240" w:lineRule="auto"/>
              <w:ind w:firstLine="480"/>
              <w:rPr>
                <w:rFonts w:hAnsi="Times New Roman"/>
                <w:sz w:val="24"/>
                <w:szCs w:val="24"/>
              </w:rPr>
            </w:pPr>
          </w:p>
        </w:tc>
        <w:tc>
          <w:tcPr>
            <w:tcW w:w="724" w:type="pct"/>
            <w:vAlign w:val="center"/>
          </w:tcPr>
          <w:p w14:paraId="37E5991D">
            <w:pPr>
              <w:pStyle w:val="90"/>
              <w:spacing w:line="240" w:lineRule="auto"/>
              <w:ind w:firstLine="0" w:firstLineChars="0"/>
              <w:rPr>
                <w:rFonts w:hAnsi="Times New Roman"/>
                <w:sz w:val="24"/>
                <w:szCs w:val="24"/>
              </w:rPr>
            </w:pPr>
            <w:r>
              <w:rPr>
                <w:rFonts w:hint="eastAsia" w:hAnsi="Times New Roman"/>
                <w:sz w:val="24"/>
                <w:szCs w:val="24"/>
              </w:rPr>
              <w:t>协议回购</w:t>
            </w:r>
          </w:p>
        </w:tc>
        <w:tc>
          <w:tcPr>
            <w:tcW w:w="580" w:type="pct"/>
            <w:vMerge w:val="restart"/>
            <w:vAlign w:val="center"/>
          </w:tcPr>
          <w:p w14:paraId="12E9C224">
            <w:pPr>
              <w:pStyle w:val="90"/>
              <w:spacing w:line="240" w:lineRule="auto"/>
              <w:ind w:firstLine="0" w:firstLineChars="0"/>
              <w:rPr>
                <w:rFonts w:hAnsi="Times New Roman"/>
                <w:sz w:val="24"/>
                <w:szCs w:val="24"/>
              </w:rPr>
            </w:pPr>
            <w:r>
              <w:rPr>
                <w:rFonts w:hint="eastAsia" w:hAnsi="Times New Roman"/>
                <w:sz w:val="24"/>
                <w:szCs w:val="24"/>
              </w:rPr>
              <w:t>价格上下限</w:t>
            </w:r>
          </w:p>
        </w:tc>
        <w:tc>
          <w:tcPr>
            <w:tcW w:w="652" w:type="pct"/>
            <w:vAlign w:val="center"/>
          </w:tcPr>
          <w:p w14:paraId="0CE51D87">
            <w:pPr>
              <w:pStyle w:val="90"/>
              <w:spacing w:line="240" w:lineRule="auto"/>
              <w:ind w:firstLine="0" w:firstLineChars="0"/>
              <w:rPr>
                <w:rFonts w:hAnsi="Times New Roman"/>
                <w:sz w:val="24"/>
                <w:szCs w:val="24"/>
              </w:rPr>
            </w:pPr>
            <w:r>
              <w:rPr>
                <w:rFonts w:hint="eastAsia" w:hAnsi="Times New Roman"/>
                <w:sz w:val="24"/>
                <w:szCs w:val="24"/>
              </w:rPr>
              <w:t>协商成交</w:t>
            </w:r>
          </w:p>
        </w:tc>
        <w:tc>
          <w:tcPr>
            <w:tcW w:w="2681" w:type="pct"/>
            <w:vAlign w:val="center"/>
          </w:tcPr>
          <w:p w14:paraId="0C1FF2D9">
            <w:pPr>
              <w:pStyle w:val="90"/>
              <w:spacing w:line="240" w:lineRule="auto"/>
              <w:ind w:firstLine="0" w:firstLineChars="0"/>
              <w:rPr>
                <w:rFonts w:hAnsi="Times New Roman"/>
                <w:sz w:val="24"/>
                <w:szCs w:val="24"/>
              </w:rPr>
            </w:pPr>
            <w:r>
              <w:rPr>
                <w:rFonts w:hint="eastAsia" w:hAnsi="Times New Roman"/>
                <w:sz w:val="24"/>
                <w:szCs w:val="24"/>
              </w:rPr>
              <w:t>利率不得超过100%。</w:t>
            </w:r>
          </w:p>
        </w:tc>
      </w:tr>
      <w:tr w14:paraId="495C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362" w:type="pct"/>
            <w:vMerge w:val="continue"/>
            <w:vAlign w:val="center"/>
          </w:tcPr>
          <w:p w14:paraId="3E1AA919">
            <w:pPr>
              <w:pStyle w:val="90"/>
              <w:spacing w:line="240" w:lineRule="auto"/>
              <w:ind w:firstLine="480"/>
              <w:rPr>
                <w:rFonts w:hAnsi="Times New Roman"/>
                <w:sz w:val="24"/>
                <w:szCs w:val="24"/>
              </w:rPr>
            </w:pPr>
          </w:p>
        </w:tc>
        <w:tc>
          <w:tcPr>
            <w:tcW w:w="724" w:type="pct"/>
            <w:vAlign w:val="center"/>
          </w:tcPr>
          <w:p w14:paraId="359E1789">
            <w:pPr>
              <w:pStyle w:val="90"/>
              <w:spacing w:line="240" w:lineRule="auto"/>
              <w:ind w:firstLine="0" w:firstLineChars="0"/>
              <w:rPr>
                <w:rFonts w:hAnsi="Times New Roman"/>
                <w:sz w:val="24"/>
                <w:szCs w:val="24"/>
              </w:rPr>
            </w:pPr>
            <w:r>
              <w:rPr>
                <w:rFonts w:hint="eastAsia" w:hAnsi="Times New Roman"/>
                <w:sz w:val="24"/>
                <w:szCs w:val="24"/>
              </w:rPr>
              <w:t>三方回购</w:t>
            </w:r>
          </w:p>
        </w:tc>
        <w:tc>
          <w:tcPr>
            <w:tcW w:w="580" w:type="pct"/>
            <w:vMerge w:val="continue"/>
            <w:vAlign w:val="center"/>
          </w:tcPr>
          <w:p w14:paraId="792E26C3">
            <w:pPr>
              <w:pStyle w:val="90"/>
              <w:spacing w:line="240" w:lineRule="auto"/>
              <w:ind w:firstLine="480"/>
              <w:rPr>
                <w:rFonts w:hAnsi="Times New Roman"/>
                <w:sz w:val="24"/>
                <w:szCs w:val="24"/>
              </w:rPr>
            </w:pPr>
          </w:p>
        </w:tc>
        <w:tc>
          <w:tcPr>
            <w:tcW w:w="652" w:type="pct"/>
            <w:vAlign w:val="center"/>
          </w:tcPr>
          <w:p w14:paraId="1CC574DA">
            <w:pPr>
              <w:pStyle w:val="90"/>
              <w:spacing w:line="240" w:lineRule="auto"/>
              <w:ind w:firstLine="0" w:firstLineChars="0"/>
              <w:rPr>
                <w:rFonts w:hAnsi="Times New Roman"/>
                <w:sz w:val="24"/>
                <w:szCs w:val="24"/>
              </w:rPr>
            </w:pPr>
            <w:r>
              <w:rPr>
                <w:rFonts w:hint="eastAsia" w:hAnsi="Times New Roman"/>
                <w:sz w:val="24"/>
                <w:szCs w:val="24"/>
              </w:rPr>
              <w:t>协商成交</w:t>
            </w:r>
          </w:p>
        </w:tc>
        <w:tc>
          <w:tcPr>
            <w:tcW w:w="2681" w:type="pct"/>
            <w:vAlign w:val="center"/>
          </w:tcPr>
          <w:p w14:paraId="478AAADB">
            <w:pPr>
              <w:pStyle w:val="90"/>
              <w:spacing w:line="240" w:lineRule="auto"/>
              <w:ind w:firstLine="0" w:firstLineChars="0"/>
              <w:rPr>
                <w:rFonts w:hAnsi="Times New Roman"/>
                <w:sz w:val="24"/>
                <w:szCs w:val="24"/>
              </w:rPr>
            </w:pPr>
            <w:r>
              <w:rPr>
                <w:rFonts w:hint="eastAsia" w:hAnsi="Times New Roman"/>
                <w:sz w:val="24"/>
                <w:szCs w:val="24"/>
              </w:rPr>
              <w:t>回购利率不能超过法律法规及司法解释允许的利率范围</w:t>
            </w:r>
          </w:p>
        </w:tc>
      </w:tr>
    </w:tbl>
    <w:p w14:paraId="1693E247">
      <w:pPr>
        <w:pStyle w:val="90"/>
        <w:spacing w:line="600" w:lineRule="exact"/>
        <w:ind w:firstLine="600"/>
        <w:rPr>
          <w:rFonts w:hAnsi="Times New Roman"/>
          <w:sz w:val="30"/>
          <w:szCs w:val="30"/>
        </w:rPr>
      </w:pPr>
      <w:r>
        <w:rPr>
          <w:rFonts w:hint="eastAsia" w:hAnsi="Times New Roman"/>
          <w:sz w:val="30"/>
          <w:szCs w:val="30"/>
        </w:rPr>
        <w:t>有效申报价格范围的确定，</w:t>
      </w:r>
      <w:r>
        <w:rPr>
          <w:rFonts w:hAnsi="Times New Roman"/>
          <w:sz w:val="30"/>
          <w:szCs w:val="30"/>
        </w:rPr>
        <w:t>详见</w:t>
      </w:r>
      <w:r>
        <w:rPr>
          <w:rFonts w:hint="eastAsia" w:hAnsi="Times New Roman"/>
          <w:sz w:val="30"/>
          <w:szCs w:val="30"/>
        </w:rPr>
        <w:t>本指南</w:t>
      </w:r>
      <w:r>
        <w:rPr>
          <w:rFonts w:hAnsi="Times New Roman"/>
          <w:sz w:val="30"/>
          <w:szCs w:val="30"/>
        </w:rPr>
        <w:t>第</w:t>
      </w:r>
      <w:r>
        <w:rPr>
          <w:rFonts w:hint="eastAsia" w:hAnsi="Times New Roman"/>
          <w:sz w:val="30"/>
          <w:szCs w:val="30"/>
        </w:rPr>
        <w:t>5</w:t>
      </w:r>
      <w:r>
        <w:rPr>
          <w:rFonts w:hAnsi="Times New Roman"/>
          <w:sz w:val="30"/>
          <w:szCs w:val="30"/>
        </w:rPr>
        <w:t>章</w:t>
      </w:r>
      <w:r>
        <w:rPr>
          <w:rFonts w:hint="eastAsia" w:hAnsi="Times New Roman"/>
          <w:sz w:val="30"/>
          <w:szCs w:val="30"/>
        </w:rPr>
        <w:t>相关内容。</w:t>
      </w:r>
    </w:p>
    <w:p w14:paraId="01C8D93C">
      <w:pPr>
        <w:pStyle w:val="90"/>
        <w:spacing w:line="600" w:lineRule="exact"/>
        <w:ind w:firstLine="600"/>
        <w:rPr>
          <w:rFonts w:hAnsi="Times New Roman"/>
          <w:sz w:val="30"/>
          <w:szCs w:val="30"/>
        </w:rPr>
      </w:pPr>
      <w:r>
        <w:rPr>
          <w:rFonts w:hint="eastAsia" w:hAnsi="Times New Roman"/>
          <w:sz w:val="30"/>
          <w:szCs w:val="30"/>
        </w:rPr>
        <w:t>有效申报价格范围或者按照成交原则达成的价格不在价格最小变动单位范围内的，按照四舍五入原则取至相应的价格最小变动单位。</w:t>
      </w:r>
    </w:p>
    <w:p w14:paraId="771F5CC3">
      <w:pPr>
        <w:numPr>
          <w:ilvl w:val="2"/>
          <w:numId w:val="4"/>
        </w:numPr>
        <w:spacing w:line="600" w:lineRule="exact"/>
        <w:ind w:left="0" w:firstLine="0"/>
        <w:outlineLvl w:val="2"/>
        <w:rPr>
          <w:rFonts w:ascii="仿宋_GB2312" w:eastAsia="仿宋_GB2312"/>
          <w:b/>
          <w:sz w:val="30"/>
          <w:szCs w:val="30"/>
        </w:rPr>
      </w:pPr>
      <w:bookmarkStart w:id="449" w:name="_Toc57908889"/>
      <w:r>
        <w:rPr>
          <w:rFonts w:hint="eastAsia" w:ascii="仿宋_GB2312" w:eastAsia="仿宋_GB2312"/>
          <w:b/>
          <w:sz w:val="30"/>
          <w:szCs w:val="30"/>
        </w:rPr>
        <w:t>涨跌幅限制</w:t>
      </w:r>
      <w:bookmarkEnd w:id="449"/>
    </w:p>
    <w:p w14:paraId="23F30A61">
      <w:pPr>
        <w:pStyle w:val="90"/>
        <w:spacing w:line="600" w:lineRule="exact"/>
        <w:ind w:firstLine="600"/>
        <w:rPr>
          <w:rFonts w:hAnsi="Times New Roman"/>
          <w:sz w:val="30"/>
          <w:szCs w:val="30"/>
        </w:rPr>
      </w:pPr>
      <w:r>
        <w:rPr>
          <w:rFonts w:hint="eastAsia" w:hAnsi="Times New Roman"/>
          <w:sz w:val="30"/>
          <w:szCs w:val="30"/>
        </w:rPr>
        <w:t>债券交易不设价格涨跌幅限制，本所另有规定的除外。</w:t>
      </w:r>
    </w:p>
    <w:p w14:paraId="7E26EA2E">
      <w:pPr>
        <w:numPr>
          <w:ilvl w:val="2"/>
          <w:numId w:val="4"/>
        </w:numPr>
        <w:spacing w:line="600" w:lineRule="exact"/>
        <w:ind w:left="0" w:firstLine="0"/>
        <w:outlineLvl w:val="2"/>
        <w:rPr>
          <w:rFonts w:ascii="仿宋_GB2312" w:eastAsia="仿宋_GB2312"/>
          <w:b/>
          <w:sz w:val="30"/>
          <w:szCs w:val="30"/>
        </w:rPr>
      </w:pPr>
      <w:bookmarkStart w:id="450" w:name="_Toc56166079"/>
      <w:bookmarkStart w:id="451" w:name="_Toc56166268"/>
      <w:bookmarkStart w:id="452" w:name="_Toc57908890"/>
      <w:r>
        <w:rPr>
          <w:rFonts w:hint="eastAsia" w:ascii="仿宋_GB2312" w:eastAsia="仿宋_GB2312"/>
          <w:b/>
          <w:sz w:val="30"/>
          <w:szCs w:val="30"/>
        </w:rPr>
        <w:t>价格类型</w:t>
      </w:r>
      <w:bookmarkEnd w:id="450"/>
      <w:bookmarkEnd w:id="451"/>
      <w:bookmarkEnd w:id="452"/>
    </w:p>
    <w:p w14:paraId="4C23146E">
      <w:pPr>
        <w:pStyle w:val="90"/>
        <w:spacing w:line="600" w:lineRule="exact"/>
        <w:ind w:firstLine="600"/>
        <w:rPr>
          <w:rFonts w:hAnsi="Times New Roman"/>
          <w:sz w:val="30"/>
          <w:szCs w:val="30"/>
        </w:rPr>
      </w:pPr>
      <w:r>
        <w:rPr>
          <w:rFonts w:hint="eastAsia" w:hAnsi="Times New Roman"/>
          <w:sz w:val="30"/>
          <w:szCs w:val="30"/>
        </w:rPr>
        <w:t>除可转债、</w:t>
      </w:r>
      <w:r>
        <w:rPr>
          <w:rFonts w:hAnsi="Times New Roman"/>
          <w:sz w:val="30"/>
          <w:szCs w:val="30"/>
        </w:rPr>
        <w:t>ABS中的次级档和</w:t>
      </w:r>
      <w:r>
        <w:rPr>
          <w:rFonts w:hint="eastAsia" w:hAnsi="Times New Roman"/>
          <w:sz w:val="30"/>
          <w:szCs w:val="30"/>
        </w:rPr>
        <w:t>特定</w:t>
      </w:r>
      <w:r>
        <w:rPr>
          <w:rFonts w:hAnsi="Times New Roman"/>
          <w:sz w:val="30"/>
          <w:szCs w:val="30"/>
        </w:rPr>
        <w:t>债券采用全价交易外，其余债券现券实行净价交易。</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
        <w:gridCol w:w="2136"/>
        <w:gridCol w:w="3096"/>
      </w:tblGrid>
      <w:tr w14:paraId="649E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14:paraId="32D2BAA9">
            <w:pPr>
              <w:pStyle w:val="90"/>
              <w:spacing w:line="240" w:lineRule="auto"/>
              <w:ind w:firstLine="0" w:firstLineChars="0"/>
              <w:rPr>
                <w:rFonts w:hAnsi="Times New Roman"/>
                <w:b/>
                <w:sz w:val="24"/>
                <w:szCs w:val="24"/>
              </w:rPr>
            </w:pPr>
            <w:r>
              <w:rPr>
                <w:rFonts w:hint="eastAsia" w:hAnsi="Times New Roman"/>
                <w:b/>
                <w:sz w:val="24"/>
                <w:szCs w:val="24"/>
              </w:rPr>
              <w:t>子市场</w:t>
            </w:r>
          </w:p>
        </w:tc>
        <w:tc>
          <w:tcPr>
            <w:tcW w:w="0" w:type="auto"/>
          </w:tcPr>
          <w:p w14:paraId="2197BBBA">
            <w:pPr>
              <w:pStyle w:val="90"/>
              <w:spacing w:line="240" w:lineRule="auto"/>
              <w:ind w:firstLine="0" w:firstLineChars="0"/>
              <w:rPr>
                <w:rFonts w:hAnsi="Times New Roman"/>
                <w:b/>
                <w:sz w:val="24"/>
                <w:szCs w:val="24"/>
              </w:rPr>
            </w:pPr>
            <w:r>
              <w:rPr>
                <w:rFonts w:hint="eastAsia" w:hAnsi="Times New Roman"/>
                <w:b/>
                <w:sz w:val="24"/>
                <w:szCs w:val="24"/>
              </w:rPr>
              <w:t>产品类型</w:t>
            </w:r>
          </w:p>
        </w:tc>
        <w:tc>
          <w:tcPr>
            <w:tcW w:w="0" w:type="auto"/>
          </w:tcPr>
          <w:p w14:paraId="4DB41A59">
            <w:pPr>
              <w:pStyle w:val="90"/>
              <w:spacing w:line="240" w:lineRule="auto"/>
              <w:ind w:firstLine="0" w:firstLineChars="0"/>
              <w:rPr>
                <w:rFonts w:hAnsi="Times New Roman"/>
                <w:b/>
                <w:sz w:val="24"/>
                <w:szCs w:val="24"/>
              </w:rPr>
            </w:pPr>
            <w:r>
              <w:rPr>
                <w:rFonts w:hint="eastAsia" w:hAnsi="Times New Roman"/>
                <w:b/>
                <w:sz w:val="24"/>
                <w:szCs w:val="24"/>
              </w:rPr>
              <w:t>价格类型</w:t>
            </w:r>
          </w:p>
        </w:tc>
      </w:tr>
      <w:tr w14:paraId="75369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14:paraId="3A134F82">
            <w:pPr>
              <w:pStyle w:val="90"/>
              <w:spacing w:line="240" w:lineRule="auto"/>
              <w:ind w:firstLine="0" w:firstLineChars="0"/>
              <w:rPr>
                <w:rFonts w:hAnsi="Times New Roman"/>
                <w:sz w:val="24"/>
                <w:szCs w:val="24"/>
              </w:rPr>
            </w:pPr>
            <w:r>
              <w:rPr>
                <w:rFonts w:hint="eastAsia" w:hAnsi="Times New Roman"/>
                <w:sz w:val="24"/>
                <w:szCs w:val="24"/>
              </w:rPr>
              <w:t>现券</w:t>
            </w:r>
          </w:p>
        </w:tc>
        <w:tc>
          <w:tcPr>
            <w:tcW w:w="0" w:type="auto"/>
          </w:tcPr>
          <w:p w14:paraId="749CEA59">
            <w:pPr>
              <w:pStyle w:val="90"/>
              <w:spacing w:line="240" w:lineRule="auto"/>
              <w:ind w:firstLine="0" w:firstLineChars="0"/>
              <w:rPr>
                <w:rFonts w:hAnsi="Times New Roman"/>
                <w:sz w:val="24"/>
                <w:szCs w:val="24"/>
              </w:rPr>
            </w:pPr>
            <w:r>
              <w:rPr>
                <w:rFonts w:hint="eastAsia" w:hAnsi="Times New Roman"/>
                <w:sz w:val="24"/>
                <w:szCs w:val="24"/>
              </w:rPr>
              <w:t>国债</w:t>
            </w:r>
          </w:p>
        </w:tc>
        <w:tc>
          <w:tcPr>
            <w:tcW w:w="0" w:type="auto"/>
          </w:tcPr>
          <w:p w14:paraId="00AD4E69">
            <w:pPr>
              <w:pStyle w:val="90"/>
              <w:spacing w:line="240" w:lineRule="auto"/>
              <w:ind w:firstLine="0" w:firstLineChars="0"/>
              <w:rPr>
                <w:rFonts w:hAnsi="Times New Roman"/>
                <w:sz w:val="24"/>
                <w:szCs w:val="24"/>
              </w:rPr>
            </w:pPr>
            <w:r>
              <w:rPr>
                <w:rFonts w:hint="eastAsia" w:hAnsi="Times New Roman"/>
                <w:sz w:val="24"/>
                <w:szCs w:val="24"/>
              </w:rPr>
              <w:t>净价</w:t>
            </w:r>
          </w:p>
        </w:tc>
      </w:tr>
      <w:tr w14:paraId="1A45F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Pr>
          <w:p w14:paraId="239A74A4">
            <w:pPr>
              <w:pStyle w:val="90"/>
              <w:spacing w:line="240" w:lineRule="auto"/>
              <w:ind w:firstLine="480"/>
              <w:rPr>
                <w:rFonts w:hAnsi="Times New Roman"/>
                <w:sz w:val="24"/>
                <w:szCs w:val="24"/>
              </w:rPr>
            </w:pPr>
          </w:p>
        </w:tc>
        <w:tc>
          <w:tcPr>
            <w:tcW w:w="0" w:type="auto"/>
          </w:tcPr>
          <w:p w14:paraId="1921A9DB">
            <w:pPr>
              <w:pStyle w:val="90"/>
              <w:spacing w:line="240" w:lineRule="auto"/>
              <w:ind w:firstLine="0" w:firstLineChars="0"/>
              <w:rPr>
                <w:rFonts w:hAnsi="Times New Roman"/>
                <w:sz w:val="24"/>
                <w:szCs w:val="24"/>
              </w:rPr>
            </w:pPr>
            <w:r>
              <w:rPr>
                <w:rFonts w:hint="eastAsia" w:hAnsi="Times New Roman"/>
                <w:sz w:val="24"/>
                <w:szCs w:val="24"/>
              </w:rPr>
              <w:t>地方债</w:t>
            </w:r>
          </w:p>
        </w:tc>
        <w:tc>
          <w:tcPr>
            <w:tcW w:w="0" w:type="auto"/>
          </w:tcPr>
          <w:p w14:paraId="7A6CE994">
            <w:pPr>
              <w:pStyle w:val="90"/>
              <w:spacing w:line="240" w:lineRule="auto"/>
              <w:ind w:firstLine="0" w:firstLineChars="0"/>
              <w:rPr>
                <w:rFonts w:hAnsi="Times New Roman"/>
                <w:sz w:val="24"/>
                <w:szCs w:val="24"/>
              </w:rPr>
            </w:pPr>
            <w:r>
              <w:rPr>
                <w:rFonts w:hint="eastAsia" w:hAnsi="Times New Roman"/>
                <w:sz w:val="24"/>
                <w:szCs w:val="24"/>
              </w:rPr>
              <w:t>净价</w:t>
            </w:r>
          </w:p>
        </w:tc>
      </w:tr>
      <w:tr w14:paraId="59320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tcPr>
          <w:p w14:paraId="4007F04F">
            <w:pPr>
              <w:pStyle w:val="90"/>
              <w:spacing w:line="240" w:lineRule="auto"/>
              <w:ind w:firstLine="480"/>
              <w:rPr>
                <w:rFonts w:hAnsi="Times New Roman"/>
                <w:sz w:val="24"/>
                <w:szCs w:val="24"/>
              </w:rPr>
            </w:pPr>
          </w:p>
        </w:tc>
        <w:tc>
          <w:tcPr>
            <w:tcW w:w="0" w:type="auto"/>
          </w:tcPr>
          <w:p w14:paraId="4B2BEB4F">
            <w:pPr>
              <w:pStyle w:val="90"/>
              <w:spacing w:line="240" w:lineRule="auto"/>
              <w:ind w:firstLine="0" w:firstLineChars="0"/>
              <w:rPr>
                <w:rFonts w:hAnsi="Times New Roman"/>
                <w:sz w:val="24"/>
                <w:szCs w:val="24"/>
              </w:rPr>
            </w:pPr>
            <w:r>
              <w:rPr>
                <w:rFonts w:hint="eastAsia" w:hAnsi="Times New Roman"/>
                <w:sz w:val="24"/>
                <w:szCs w:val="24"/>
              </w:rPr>
              <w:t>政策性金融债</w:t>
            </w:r>
          </w:p>
        </w:tc>
        <w:tc>
          <w:tcPr>
            <w:tcW w:w="0" w:type="auto"/>
          </w:tcPr>
          <w:p w14:paraId="5CD3A40A">
            <w:pPr>
              <w:pStyle w:val="90"/>
              <w:spacing w:line="240" w:lineRule="auto"/>
              <w:ind w:firstLine="0" w:firstLineChars="0"/>
              <w:rPr>
                <w:rFonts w:hAnsi="Times New Roman"/>
                <w:sz w:val="24"/>
                <w:szCs w:val="24"/>
              </w:rPr>
            </w:pPr>
            <w:r>
              <w:rPr>
                <w:rFonts w:hint="eastAsia" w:hAnsi="Times New Roman"/>
                <w:sz w:val="24"/>
                <w:szCs w:val="24"/>
              </w:rPr>
              <w:t>净价</w:t>
            </w:r>
          </w:p>
        </w:tc>
      </w:tr>
      <w:tr w14:paraId="76B35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Pr>
          <w:p w14:paraId="23A9E7E2">
            <w:pPr>
              <w:pStyle w:val="90"/>
              <w:spacing w:line="240" w:lineRule="auto"/>
              <w:ind w:firstLine="480"/>
              <w:rPr>
                <w:rFonts w:hAnsi="Times New Roman"/>
                <w:sz w:val="24"/>
                <w:szCs w:val="24"/>
              </w:rPr>
            </w:pPr>
          </w:p>
        </w:tc>
        <w:tc>
          <w:tcPr>
            <w:tcW w:w="0" w:type="auto"/>
          </w:tcPr>
          <w:p w14:paraId="6D694505">
            <w:pPr>
              <w:pStyle w:val="90"/>
              <w:spacing w:line="240" w:lineRule="auto"/>
              <w:ind w:firstLine="0" w:firstLineChars="0"/>
              <w:rPr>
                <w:rFonts w:hAnsi="Times New Roman"/>
                <w:sz w:val="24"/>
                <w:szCs w:val="24"/>
              </w:rPr>
            </w:pPr>
            <w:r>
              <w:rPr>
                <w:rFonts w:hint="eastAsia" w:hAnsi="Times New Roman"/>
                <w:sz w:val="24"/>
                <w:szCs w:val="24"/>
              </w:rPr>
              <w:t>政府支持债券</w:t>
            </w:r>
          </w:p>
        </w:tc>
        <w:tc>
          <w:tcPr>
            <w:tcW w:w="0" w:type="auto"/>
          </w:tcPr>
          <w:p w14:paraId="4F7E97BD">
            <w:pPr>
              <w:pStyle w:val="90"/>
              <w:spacing w:line="240" w:lineRule="auto"/>
              <w:ind w:firstLine="0" w:firstLineChars="0"/>
              <w:rPr>
                <w:rFonts w:hAnsi="Times New Roman"/>
                <w:sz w:val="24"/>
                <w:szCs w:val="24"/>
              </w:rPr>
            </w:pPr>
            <w:r>
              <w:rPr>
                <w:rFonts w:hint="eastAsia" w:hAnsi="Times New Roman"/>
                <w:sz w:val="24"/>
                <w:szCs w:val="24"/>
              </w:rPr>
              <w:t>净价</w:t>
            </w:r>
          </w:p>
        </w:tc>
      </w:tr>
      <w:tr w14:paraId="2A398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Pr>
          <w:p w14:paraId="4F56B759">
            <w:pPr>
              <w:pStyle w:val="90"/>
              <w:spacing w:line="240" w:lineRule="auto"/>
              <w:ind w:firstLine="480"/>
              <w:rPr>
                <w:rFonts w:hAnsi="Times New Roman"/>
                <w:sz w:val="24"/>
                <w:szCs w:val="24"/>
              </w:rPr>
            </w:pPr>
          </w:p>
        </w:tc>
        <w:tc>
          <w:tcPr>
            <w:tcW w:w="0" w:type="auto"/>
          </w:tcPr>
          <w:p w14:paraId="23ED0BA3">
            <w:pPr>
              <w:pStyle w:val="90"/>
              <w:spacing w:line="240" w:lineRule="auto"/>
              <w:ind w:firstLine="0" w:firstLineChars="0"/>
              <w:rPr>
                <w:rFonts w:hAnsi="Times New Roman"/>
                <w:sz w:val="24"/>
                <w:szCs w:val="24"/>
              </w:rPr>
            </w:pPr>
            <w:r>
              <w:rPr>
                <w:rFonts w:hint="eastAsia" w:hAnsi="Times New Roman"/>
                <w:sz w:val="24"/>
                <w:szCs w:val="24"/>
              </w:rPr>
              <w:t>公司债</w:t>
            </w:r>
          </w:p>
        </w:tc>
        <w:tc>
          <w:tcPr>
            <w:tcW w:w="0" w:type="auto"/>
          </w:tcPr>
          <w:p w14:paraId="6698A225">
            <w:pPr>
              <w:pStyle w:val="90"/>
              <w:spacing w:line="240" w:lineRule="auto"/>
              <w:ind w:firstLine="0" w:firstLineChars="0"/>
              <w:rPr>
                <w:rFonts w:hAnsi="Times New Roman"/>
                <w:sz w:val="24"/>
                <w:szCs w:val="24"/>
              </w:rPr>
            </w:pPr>
            <w:r>
              <w:rPr>
                <w:rFonts w:hint="eastAsia" w:hAnsi="Times New Roman"/>
                <w:sz w:val="24"/>
                <w:szCs w:val="24"/>
              </w:rPr>
              <w:t>净价</w:t>
            </w:r>
          </w:p>
        </w:tc>
      </w:tr>
      <w:tr w14:paraId="3CF29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Pr>
          <w:p w14:paraId="4B00420A">
            <w:pPr>
              <w:pStyle w:val="90"/>
              <w:spacing w:line="240" w:lineRule="auto"/>
              <w:ind w:firstLine="480"/>
              <w:rPr>
                <w:rFonts w:hAnsi="Times New Roman"/>
                <w:sz w:val="24"/>
                <w:szCs w:val="24"/>
              </w:rPr>
            </w:pPr>
          </w:p>
        </w:tc>
        <w:tc>
          <w:tcPr>
            <w:tcW w:w="0" w:type="auto"/>
          </w:tcPr>
          <w:p w14:paraId="472968B8">
            <w:pPr>
              <w:pStyle w:val="90"/>
              <w:spacing w:line="240" w:lineRule="auto"/>
              <w:ind w:firstLine="0" w:firstLineChars="0"/>
              <w:rPr>
                <w:rFonts w:hAnsi="Times New Roman"/>
                <w:sz w:val="24"/>
                <w:szCs w:val="24"/>
              </w:rPr>
            </w:pPr>
            <w:r>
              <w:rPr>
                <w:rFonts w:hAnsi="Times New Roman"/>
                <w:sz w:val="24"/>
                <w:szCs w:val="24"/>
              </w:rPr>
              <w:t>ABS</w:t>
            </w:r>
          </w:p>
        </w:tc>
        <w:tc>
          <w:tcPr>
            <w:tcW w:w="0" w:type="auto"/>
          </w:tcPr>
          <w:p w14:paraId="64B1ADF1">
            <w:pPr>
              <w:pStyle w:val="90"/>
              <w:spacing w:line="240" w:lineRule="auto"/>
              <w:ind w:firstLine="0" w:firstLineChars="0"/>
              <w:rPr>
                <w:rFonts w:hAnsi="Times New Roman"/>
                <w:sz w:val="24"/>
                <w:szCs w:val="24"/>
              </w:rPr>
            </w:pPr>
            <w:r>
              <w:rPr>
                <w:rFonts w:hint="eastAsia" w:hAnsi="Times New Roman"/>
                <w:sz w:val="24"/>
                <w:szCs w:val="24"/>
              </w:rPr>
              <w:t>净价，其中次级档采用全价</w:t>
            </w:r>
          </w:p>
        </w:tc>
      </w:tr>
      <w:tr w14:paraId="02A29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Merge w:val="continue"/>
          </w:tcPr>
          <w:p w14:paraId="28C2FB61">
            <w:pPr>
              <w:pStyle w:val="90"/>
              <w:spacing w:line="240" w:lineRule="auto"/>
              <w:ind w:firstLine="480"/>
              <w:rPr>
                <w:rFonts w:hAnsi="Times New Roman"/>
                <w:sz w:val="24"/>
                <w:szCs w:val="24"/>
              </w:rPr>
            </w:pPr>
          </w:p>
        </w:tc>
        <w:tc>
          <w:tcPr>
            <w:tcW w:w="0" w:type="auto"/>
          </w:tcPr>
          <w:p w14:paraId="4334CC1C">
            <w:pPr>
              <w:pStyle w:val="90"/>
              <w:spacing w:line="240" w:lineRule="auto"/>
              <w:ind w:firstLine="0" w:firstLineChars="0"/>
              <w:rPr>
                <w:rFonts w:hAnsi="Times New Roman"/>
                <w:sz w:val="24"/>
                <w:szCs w:val="24"/>
              </w:rPr>
            </w:pPr>
            <w:r>
              <w:rPr>
                <w:rFonts w:hint="eastAsia" w:hAnsi="Times New Roman"/>
                <w:sz w:val="24"/>
                <w:szCs w:val="24"/>
              </w:rPr>
              <w:t>特定债券</w:t>
            </w:r>
          </w:p>
        </w:tc>
        <w:tc>
          <w:tcPr>
            <w:tcW w:w="0" w:type="auto"/>
          </w:tcPr>
          <w:p w14:paraId="4965F48B">
            <w:pPr>
              <w:pStyle w:val="90"/>
              <w:spacing w:line="240" w:lineRule="auto"/>
              <w:ind w:firstLine="0" w:firstLineChars="0"/>
              <w:rPr>
                <w:rFonts w:hAnsi="Times New Roman"/>
                <w:sz w:val="24"/>
                <w:szCs w:val="24"/>
              </w:rPr>
            </w:pPr>
            <w:r>
              <w:rPr>
                <w:rFonts w:hint="eastAsia" w:hAnsi="Times New Roman"/>
                <w:sz w:val="24"/>
                <w:szCs w:val="24"/>
              </w:rPr>
              <w:t>全价</w:t>
            </w:r>
          </w:p>
        </w:tc>
      </w:tr>
      <w:tr w14:paraId="32353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Pr>
          <w:p w14:paraId="6567B0AC">
            <w:pPr>
              <w:pStyle w:val="90"/>
              <w:spacing w:line="240" w:lineRule="auto"/>
              <w:ind w:firstLine="0" w:firstLineChars="0"/>
              <w:rPr>
                <w:rFonts w:hAnsi="Times New Roman"/>
                <w:sz w:val="24"/>
                <w:szCs w:val="24"/>
              </w:rPr>
            </w:pPr>
          </w:p>
        </w:tc>
        <w:tc>
          <w:tcPr>
            <w:tcW w:w="0" w:type="auto"/>
          </w:tcPr>
          <w:p w14:paraId="5A4B8268">
            <w:pPr>
              <w:pStyle w:val="90"/>
              <w:spacing w:line="240" w:lineRule="auto"/>
              <w:ind w:firstLine="0" w:firstLineChars="0"/>
              <w:rPr>
                <w:rFonts w:hAnsi="Times New Roman"/>
                <w:sz w:val="24"/>
                <w:szCs w:val="24"/>
              </w:rPr>
            </w:pPr>
            <w:r>
              <w:rPr>
                <w:rFonts w:hint="eastAsia" w:hAnsi="Times New Roman"/>
                <w:sz w:val="24"/>
                <w:szCs w:val="24"/>
              </w:rPr>
              <w:t>公开发行</w:t>
            </w:r>
            <w:r>
              <w:rPr>
                <w:rFonts w:hAnsi="Times New Roman"/>
                <w:sz w:val="24"/>
                <w:szCs w:val="24"/>
              </w:rPr>
              <w:t>的</w:t>
            </w:r>
            <w:r>
              <w:rPr>
                <w:rFonts w:hint="eastAsia" w:hAnsi="Times New Roman"/>
                <w:sz w:val="24"/>
                <w:szCs w:val="24"/>
              </w:rPr>
              <w:t>可转债</w:t>
            </w:r>
          </w:p>
        </w:tc>
        <w:tc>
          <w:tcPr>
            <w:tcW w:w="0" w:type="auto"/>
          </w:tcPr>
          <w:p w14:paraId="5FE65173">
            <w:pPr>
              <w:pStyle w:val="90"/>
              <w:spacing w:line="240" w:lineRule="auto"/>
              <w:ind w:firstLine="0" w:firstLineChars="0"/>
              <w:rPr>
                <w:rFonts w:hAnsi="Times New Roman"/>
                <w:sz w:val="24"/>
                <w:szCs w:val="24"/>
              </w:rPr>
            </w:pPr>
            <w:r>
              <w:rPr>
                <w:rFonts w:hint="eastAsia" w:hAnsi="Times New Roman"/>
                <w:sz w:val="24"/>
                <w:szCs w:val="24"/>
              </w:rPr>
              <w:t>全价</w:t>
            </w:r>
          </w:p>
        </w:tc>
      </w:tr>
    </w:tbl>
    <w:p w14:paraId="13FA6712">
      <w:pPr>
        <w:numPr>
          <w:ilvl w:val="2"/>
          <w:numId w:val="4"/>
        </w:numPr>
        <w:spacing w:line="600" w:lineRule="exact"/>
        <w:ind w:left="0" w:firstLine="0"/>
        <w:outlineLvl w:val="2"/>
        <w:rPr>
          <w:rFonts w:ascii="仿宋_GB2312" w:eastAsia="仿宋_GB2312"/>
          <w:b/>
          <w:sz w:val="30"/>
          <w:szCs w:val="30"/>
        </w:rPr>
      </w:pPr>
      <w:bookmarkStart w:id="453" w:name="_Toc41581028"/>
      <w:bookmarkEnd w:id="453"/>
      <w:bookmarkStart w:id="454" w:name="_Toc41578210"/>
      <w:bookmarkEnd w:id="454"/>
      <w:bookmarkStart w:id="455" w:name="_Toc41575874"/>
      <w:bookmarkEnd w:id="455"/>
      <w:bookmarkStart w:id="456" w:name="_Toc41581086"/>
      <w:bookmarkEnd w:id="456"/>
      <w:bookmarkStart w:id="457" w:name="_Toc41581114"/>
      <w:bookmarkEnd w:id="457"/>
      <w:bookmarkStart w:id="458" w:name="_Toc39759417"/>
      <w:bookmarkEnd w:id="458"/>
      <w:bookmarkStart w:id="459" w:name="_Toc41580967"/>
      <w:bookmarkEnd w:id="459"/>
      <w:bookmarkStart w:id="460" w:name="_Toc40108221"/>
      <w:bookmarkEnd w:id="460"/>
      <w:bookmarkStart w:id="461" w:name="_Toc41580855"/>
      <w:bookmarkEnd w:id="461"/>
      <w:bookmarkStart w:id="462" w:name="_Toc40343392"/>
      <w:bookmarkEnd w:id="462"/>
      <w:bookmarkStart w:id="463" w:name="_Toc41581057"/>
      <w:bookmarkEnd w:id="463"/>
      <w:bookmarkStart w:id="464" w:name="_Toc41580999"/>
      <w:bookmarkEnd w:id="464"/>
      <w:bookmarkStart w:id="465" w:name="_Toc56166269"/>
      <w:bookmarkStart w:id="466" w:name="_Toc56166080"/>
      <w:bookmarkStart w:id="467" w:name="_Toc57908891"/>
      <w:r>
        <w:rPr>
          <w:rFonts w:hint="eastAsia" w:ascii="仿宋_GB2312" w:eastAsia="仿宋_GB2312"/>
          <w:b/>
          <w:sz w:val="30"/>
          <w:szCs w:val="30"/>
        </w:rPr>
        <w:t>申报有效期及申报撤销</w:t>
      </w:r>
      <w:bookmarkEnd w:id="465"/>
      <w:bookmarkEnd w:id="466"/>
      <w:bookmarkEnd w:id="467"/>
    </w:p>
    <w:p w14:paraId="3ED99AD6">
      <w:pPr>
        <w:spacing w:line="600" w:lineRule="exact"/>
        <w:ind w:left="567"/>
        <w:outlineLvl w:val="3"/>
        <w:rPr>
          <w:rFonts w:ascii="仿宋_GB2312" w:eastAsia="仿宋_GB2312"/>
          <w:b/>
          <w:sz w:val="30"/>
          <w:szCs w:val="30"/>
        </w:rPr>
      </w:pPr>
      <w:r>
        <w:rPr>
          <w:rFonts w:hint="eastAsia" w:ascii="仿宋_GB2312" w:eastAsia="仿宋_GB2312"/>
          <w:b/>
          <w:sz w:val="30"/>
          <w:szCs w:val="30"/>
        </w:rPr>
        <w:t>（1）申报撤销</w:t>
      </w:r>
    </w:p>
    <w:p w14:paraId="79688151">
      <w:pPr>
        <w:pStyle w:val="90"/>
        <w:spacing w:line="600" w:lineRule="exact"/>
        <w:ind w:firstLine="600"/>
        <w:rPr>
          <w:rFonts w:hAnsi="Times New Roman"/>
          <w:sz w:val="30"/>
          <w:szCs w:val="30"/>
        </w:rPr>
      </w:pPr>
      <w:r>
        <w:rPr>
          <w:rFonts w:hint="eastAsia" w:hAnsi="Times New Roman"/>
          <w:sz w:val="30"/>
          <w:szCs w:val="30"/>
        </w:rPr>
        <w:t>当日提交的债券交易申报当日有效，未成交的申报可以撤销，本所另有规定的情形除外。每个交易日9:20至9:25的开盘集合匹配阶段，交易系统不接受匹配成交的撤销申报；采用竞买成交下单一主体中标方式的，应价申报不可撤销。</w:t>
      </w:r>
    </w:p>
    <w:p w14:paraId="0ADAC4C6">
      <w:pPr>
        <w:pStyle w:val="90"/>
        <w:spacing w:line="600" w:lineRule="exact"/>
        <w:ind w:firstLine="600"/>
        <w:rPr>
          <w:rFonts w:hAnsi="Times New Roman"/>
          <w:sz w:val="30"/>
          <w:szCs w:val="30"/>
        </w:rPr>
      </w:pPr>
      <w:r>
        <w:rPr>
          <w:rFonts w:hint="eastAsia" w:hAnsi="Times New Roman"/>
          <w:sz w:val="30"/>
          <w:szCs w:val="30"/>
        </w:rPr>
        <w:t>若原申报订单已部分成交，则未成交的部分可以撤销；若原申报订单已经撤销成功，则撤销申报作废。若原申报订单也是撤销申报，则撤销申报作废。</w:t>
      </w:r>
    </w:p>
    <w:p w14:paraId="0AC31E4F">
      <w:pPr>
        <w:pStyle w:val="90"/>
        <w:spacing w:line="600" w:lineRule="exact"/>
        <w:ind w:firstLine="600"/>
        <w:rPr>
          <w:rFonts w:hAnsi="Times New Roman"/>
          <w:sz w:val="30"/>
          <w:szCs w:val="30"/>
        </w:rPr>
      </w:pPr>
      <w:r>
        <w:rPr>
          <w:rFonts w:hint="eastAsia" w:hAnsi="Times New Roman"/>
          <w:sz w:val="30"/>
          <w:szCs w:val="30"/>
        </w:rPr>
        <w:t>撤销指令经本所确认方为有效。债券停牌期间，本所接受符合要求的撤销申报。</w:t>
      </w:r>
    </w:p>
    <w:p w14:paraId="519E3630">
      <w:pPr>
        <w:spacing w:line="600" w:lineRule="exact"/>
        <w:ind w:left="567"/>
        <w:outlineLvl w:val="3"/>
        <w:rPr>
          <w:rFonts w:ascii="仿宋_GB2312" w:eastAsia="仿宋_GB2312"/>
          <w:b/>
          <w:sz w:val="30"/>
          <w:szCs w:val="30"/>
        </w:rPr>
      </w:pPr>
      <w:r>
        <w:rPr>
          <w:rFonts w:hint="eastAsia" w:ascii="仿宋_GB2312" w:eastAsia="仿宋_GB2312"/>
          <w:b/>
          <w:sz w:val="30"/>
          <w:szCs w:val="30"/>
        </w:rPr>
        <w:t>（2）撤销申报的要素及要求</w:t>
      </w:r>
    </w:p>
    <w:p w14:paraId="646089C1">
      <w:pPr>
        <w:pStyle w:val="90"/>
        <w:spacing w:line="600" w:lineRule="exact"/>
        <w:ind w:firstLine="600"/>
        <w:rPr>
          <w:rFonts w:hAnsi="Times New Roman"/>
          <w:sz w:val="30"/>
          <w:szCs w:val="30"/>
        </w:rPr>
      </w:pPr>
      <w:r>
        <w:rPr>
          <w:rFonts w:hint="eastAsia" w:hAnsi="Times New Roman"/>
          <w:sz w:val="30"/>
          <w:szCs w:val="30"/>
        </w:rPr>
        <w:t>撤销申报要素包括证券代码、交易方向、申报价格、申报数量、申报账号、原申报编号，相关要素应与原交易申报匹配，以免撤销失败。</w:t>
      </w:r>
    </w:p>
    <w:p w14:paraId="27282CBA">
      <w:pPr>
        <w:pStyle w:val="90"/>
        <w:spacing w:line="600" w:lineRule="exact"/>
        <w:ind w:firstLine="600"/>
        <w:rPr>
          <w:rFonts w:hAnsi="Times New Roman"/>
          <w:sz w:val="30"/>
          <w:szCs w:val="30"/>
        </w:rPr>
      </w:pPr>
      <w:r>
        <w:rPr>
          <w:rFonts w:hint="eastAsia" w:hAnsi="Times New Roman"/>
          <w:sz w:val="30"/>
          <w:szCs w:val="30"/>
        </w:rPr>
        <w:t>对买入方向的纳入资金前端控制范围内的申报撤销后，原先资金前端控制中交易单元虚拟资金额度应计增。</w:t>
      </w:r>
    </w:p>
    <w:p w14:paraId="43C3F4F8">
      <w:pPr>
        <w:numPr>
          <w:ilvl w:val="1"/>
          <w:numId w:val="4"/>
        </w:numPr>
        <w:spacing w:line="600" w:lineRule="exact"/>
        <w:ind w:left="0" w:firstLine="0"/>
        <w:outlineLvl w:val="1"/>
        <w:rPr>
          <w:rFonts w:ascii="仿宋_GB2312" w:eastAsia="仿宋_GB2312"/>
          <w:b/>
          <w:sz w:val="30"/>
          <w:szCs w:val="30"/>
        </w:rPr>
      </w:pPr>
      <w:bookmarkStart w:id="468" w:name="_Toc151136897"/>
      <w:bookmarkStart w:id="469" w:name="_Toc1324136506"/>
      <w:bookmarkStart w:id="470" w:name="_Toc300905230"/>
      <w:bookmarkStart w:id="471" w:name="_Toc1574301705"/>
      <w:bookmarkStart w:id="472" w:name="_Toc1376364677"/>
      <w:bookmarkStart w:id="473" w:name="_Toc1505984074"/>
      <w:bookmarkStart w:id="474" w:name="_Toc56166081"/>
      <w:bookmarkStart w:id="475" w:name="_Toc56166270"/>
      <w:bookmarkStart w:id="476" w:name="_Toc1482930858"/>
      <w:r>
        <w:rPr>
          <w:rFonts w:hint="eastAsia" w:ascii="仿宋_GB2312" w:eastAsia="仿宋_GB2312"/>
          <w:b/>
          <w:sz w:val="30"/>
          <w:szCs w:val="30"/>
        </w:rPr>
        <w:t>成交</w:t>
      </w:r>
      <w:bookmarkEnd w:id="468"/>
      <w:bookmarkEnd w:id="469"/>
      <w:bookmarkEnd w:id="470"/>
      <w:bookmarkEnd w:id="471"/>
      <w:bookmarkEnd w:id="472"/>
      <w:bookmarkEnd w:id="473"/>
      <w:bookmarkEnd w:id="474"/>
      <w:bookmarkEnd w:id="475"/>
      <w:bookmarkEnd w:id="476"/>
    </w:p>
    <w:p w14:paraId="246ADE48">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成交原则</w:t>
      </w:r>
    </w:p>
    <w:p w14:paraId="24749646">
      <w:pPr>
        <w:pStyle w:val="90"/>
        <w:spacing w:line="600" w:lineRule="exact"/>
        <w:ind w:firstLine="600"/>
        <w:rPr>
          <w:rFonts w:hAnsi="Times New Roman"/>
          <w:sz w:val="30"/>
          <w:szCs w:val="30"/>
        </w:rPr>
      </w:pPr>
      <w:r>
        <w:rPr>
          <w:rFonts w:hint="eastAsia" w:hAnsi="Times New Roman"/>
          <w:sz w:val="30"/>
          <w:szCs w:val="30"/>
        </w:rPr>
        <w:t>债券交易申报依据法律法规和本所业务规则的相关规定以及债券投资者的风险控制要求和交易需求，按照价格竞争性、数量匹配性、时间优先性等原则达成交易。</w:t>
      </w:r>
    </w:p>
    <w:p w14:paraId="6BD25101">
      <w:pPr>
        <w:pStyle w:val="90"/>
        <w:spacing w:line="600" w:lineRule="exact"/>
        <w:ind w:firstLine="600"/>
        <w:rPr>
          <w:rFonts w:hAnsi="Times New Roman"/>
          <w:sz w:val="30"/>
          <w:szCs w:val="30"/>
        </w:rPr>
      </w:pPr>
      <w:r>
        <w:rPr>
          <w:rFonts w:hint="eastAsia" w:hAnsi="Times New Roman"/>
          <w:sz w:val="30"/>
          <w:szCs w:val="30"/>
        </w:rPr>
        <w:t>价格竞争性：较高价格买入申报优先于较低价格买入申报，较低价格卖出申报优先于较高价格卖出申报。</w:t>
      </w:r>
    </w:p>
    <w:p w14:paraId="0C2212F8">
      <w:pPr>
        <w:pStyle w:val="90"/>
        <w:spacing w:line="600" w:lineRule="exact"/>
        <w:ind w:firstLine="600"/>
        <w:rPr>
          <w:rFonts w:hAnsi="Times New Roman"/>
          <w:sz w:val="30"/>
          <w:szCs w:val="30"/>
        </w:rPr>
      </w:pPr>
      <w:r>
        <w:rPr>
          <w:rFonts w:hint="eastAsia" w:hAnsi="Times New Roman"/>
          <w:sz w:val="30"/>
          <w:szCs w:val="30"/>
        </w:rPr>
        <w:t>数量匹配性：在买卖双方确认的数量范围内达成交易。</w:t>
      </w:r>
    </w:p>
    <w:p w14:paraId="1A0AA642">
      <w:pPr>
        <w:pStyle w:val="90"/>
        <w:spacing w:line="600" w:lineRule="exact"/>
        <w:ind w:firstLine="600"/>
        <w:rPr>
          <w:rFonts w:hAnsi="Times New Roman"/>
          <w:sz w:val="30"/>
          <w:szCs w:val="30"/>
        </w:rPr>
      </w:pPr>
      <w:r>
        <w:rPr>
          <w:rFonts w:hint="eastAsia" w:hAnsi="Times New Roman"/>
          <w:sz w:val="30"/>
          <w:szCs w:val="30"/>
        </w:rPr>
        <w:t>时间优先性：买卖方向、价格相同的，先申报者优先于后申报者。先后顺序按本所接受申报的时间确定。</w:t>
      </w:r>
    </w:p>
    <w:p w14:paraId="6FC73B67">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回转交易</w:t>
      </w:r>
    </w:p>
    <w:p w14:paraId="7C661482">
      <w:pPr>
        <w:pStyle w:val="90"/>
        <w:spacing w:line="600" w:lineRule="exact"/>
        <w:ind w:firstLine="600"/>
        <w:rPr>
          <w:rFonts w:hAnsi="Times New Roman"/>
          <w:sz w:val="30"/>
          <w:szCs w:val="30"/>
        </w:rPr>
      </w:pPr>
      <w:r>
        <w:rPr>
          <w:rFonts w:hint="eastAsia" w:hAnsi="Times New Roman"/>
          <w:sz w:val="30"/>
          <w:szCs w:val="30"/>
        </w:rPr>
        <w:t>债券现券交易实行当日回转交易，债券投资者当日买入的债券可以在当日卖出。本所另有规定的除外。</w:t>
      </w:r>
    </w:p>
    <w:p w14:paraId="22EDCF61">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私募债持有人数量上限</w:t>
      </w:r>
    </w:p>
    <w:p w14:paraId="4574800A">
      <w:pPr>
        <w:pStyle w:val="90"/>
        <w:spacing w:line="600" w:lineRule="exact"/>
        <w:ind w:firstLine="600"/>
        <w:rPr>
          <w:rFonts w:hAnsi="Times New Roman"/>
          <w:sz w:val="30"/>
          <w:szCs w:val="30"/>
        </w:rPr>
      </w:pPr>
      <w:r>
        <w:rPr>
          <w:rFonts w:hint="eastAsia" w:hAnsi="Times New Roman"/>
          <w:sz w:val="30"/>
          <w:szCs w:val="30"/>
        </w:rPr>
        <w:t>非公开发行债券的转让，导致债券持有人数量超过法律法规或者本所业务规则规定人数上限的，本所不予确认成交。</w:t>
      </w:r>
    </w:p>
    <w:p w14:paraId="4743F23B">
      <w:pPr>
        <w:pStyle w:val="90"/>
        <w:spacing w:line="600" w:lineRule="exact"/>
        <w:ind w:firstLine="600"/>
        <w:rPr>
          <w:rFonts w:hAnsi="Times New Roman"/>
          <w:sz w:val="30"/>
          <w:szCs w:val="30"/>
        </w:rPr>
      </w:pPr>
      <w:r>
        <w:rPr>
          <w:rFonts w:hint="eastAsia" w:hAnsi="Times New Roman"/>
          <w:sz w:val="30"/>
          <w:szCs w:val="30"/>
        </w:rPr>
        <w:t>债券交易导致非公开发行债券的持有人数量超过200人的，本所按照交易时间顺序从先到后确认至200人，后续交易不予确认。</w:t>
      </w:r>
    </w:p>
    <w:p w14:paraId="7C89910E">
      <w:pPr>
        <w:numPr>
          <w:ilvl w:val="1"/>
          <w:numId w:val="4"/>
        </w:numPr>
        <w:spacing w:line="600" w:lineRule="exact"/>
        <w:ind w:left="0" w:firstLine="0"/>
        <w:outlineLvl w:val="1"/>
        <w:rPr>
          <w:rFonts w:ascii="仿宋_GB2312" w:eastAsia="仿宋_GB2312"/>
          <w:b/>
          <w:sz w:val="30"/>
          <w:szCs w:val="30"/>
        </w:rPr>
      </w:pPr>
      <w:bookmarkStart w:id="477" w:name="_Toc120286346"/>
      <w:bookmarkEnd w:id="477"/>
      <w:bookmarkStart w:id="478" w:name="_Toc1982924686"/>
      <w:bookmarkStart w:id="479" w:name="_Toc151136898"/>
      <w:bookmarkStart w:id="480" w:name="_Toc1752204883"/>
      <w:bookmarkStart w:id="481" w:name="_Toc1910208567"/>
      <w:bookmarkStart w:id="482" w:name="_Toc690138126"/>
      <w:bookmarkStart w:id="483" w:name="_Toc1056437347"/>
      <w:bookmarkStart w:id="484" w:name="_Toc1573914612"/>
      <w:r>
        <w:rPr>
          <w:rFonts w:hint="eastAsia" w:ascii="仿宋_GB2312" w:eastAsia="仿宋_GB2312"/>
          <w:b/>
          <w:sz w:val="30"/>
          <w:szCs w:val="30"/>
        </w:rPr>
        <w:t>结算</w:t>
      </w:r>
      <w:bookmarkEnd w:id="478"/>
      <w:bookmarkEnd w:id="479"/>
      <w:bookmarkEnd w:id="480"/>
      <w:bookmarkEnd w:id="481"/>
      <w:bookmarkEnd w:id="482"/>
      <w:bookmarkEnd w:id="483"/>
      <w:bookmarkEnd w:id="484"/>
    </w:p>
    <w:p w14:paraId="353C958E">
      <w:pPr>
        <w:pStyle w:val="90"/>
        <w:spacing w:line="600" w:lineRule="exact"/>
        <w:ind w:firstLine="600"/>
        <w:rPr>
          <w:rFonts w:hAnsi="Times New Roman"/>
          <w:sz w:val="30"/>
          <w:szCs w:val="30"/>
        </w:rPr>
      </w:pPr>
      <w:r>
        <w:rPr>
          <w:rFonts w:hint="eastAsia" w:hAnsi="Times New Roman"/>
          <w:sz w:val="30"/>
          <w:szCs w:val="30"/>
        </w:rPr>
        <w:t>债券交易的结算业务，由登记结算机构按照相关规则办理。债券交易的结算方式包括多边净额结算和逐笔全额结算等。债券投资者选择结算方式的，应当符合本所和登记结算机构的规定及要求。</w:t>
      </w:r>
    </w:p>
    <w:p w14:paraId="703BF341">
      <w:pPr>
        <w:pStyle w:val="90"/>
        <w:spacing w:line="600" w:lineRule="exact"/>
        <w:ind w:firstLine="600"/>
        <w:rPr>
          <w:rFonts w:hAnsi="Times New Roman"/>
          <w:sz w:val="30"/>
          <w:szCs w:val="30"/>
        </w:rPr>
      </w:pPr>
      <w:r>
        <w:rPr>
          <w:rFonts w:hint="eastAsia" w:hAnsi="Times New Roman"/>
          <w:sz w:val="30"/>
          <w:szCs w:val="30"/>
        </w:rPr>
        <w:t>匹配成交</w:t>
      </w:r>
      <w:r>
        <w:rPr>
          <w:rFonts w:hAnsi="Times New Roman"/>
          <w:sz w:val="30"/>
          <w:szCs w:val="30"/>
        </w:rPr>
        <w:t>交易方式下，</w:t>
      </w:r>
      <w:r>
        <w:rPr>
          <w:rFonts w:hint="eastAsia" w:hAnsi="Times New Roman"/>
          <w:sz w:val="30"/>
          <w:szCs w:val="30"/>
        </w:rPr>
        <w:t>仅可采用多边</w:t>
      </w:r>
      <w:r>
        <w:rPr>
          <w:rFonts w:hAnsi="Times New Roman"/>
          <w:sz w:val="30"/>
          <w:szCs w:val="30"/>
        </w:rPr>
        <w:t>净额结算方式。</w:t>
      </w:r>
    </w:p>
    <w:p w14:paraId="03064411">
      <w:pPr>
        <w:pStyle w:val="90"/>
        <w:spacing w:line="600" w:lineRule="exact"/>
        <w:ind w:firstLine="600"/>
        <w:rPr>
          <w:rFonts w:hAnsi="Times New Roman"/>
          <w:sz w:val="30"/>
          <w:szCs w:val="30"/>
        </w:rPr>
      </w:pPr>
      <w:r>
        <w:rPr>
          <w:rFonts w:hint="eastAsia" w:hAnsi="Times New Roman"/>
          <w:sz w:val="30"/>
          <w:szCs w:val="30"/>
        </w:rPr>
        <w:t>点击</w:t>
      </w:r>
      <w:r>
        <w:rPr>
          <w:rFonts w:hAnsi="Times New Roman"/>
          <w:sz w:val="30"/>
          <w:szCs w:val="30"/>
        </w:rPr>
        <w:t>成交、询价成交、</w:t>
      </w:r>
      <w:r>
        <w:rPr>
          <w:rFonts w:hint="eastAsia" w:hAnsi="Times New Roman"/>
          <w:sz w:val="30"/>
          <w:szCs w:val="30"/>
        </w:rPr>
        <w:t>竞买</w:t>
      </w:r>
      <w:r>
        <w:rPr>
          <w:rFonts w:hAnsi="Times New Roman"/>
          <w:sz w:val="30"/>
          <w:szCs w:val="30"/>
        </w:rPr>
        <w:t>成交和协商成交交易方式下，</w:t>
      </w:r>
      <w:r>
        <w:rPr>
          <w:rFonts w:hint="eastAsia" w:hAnsi="Times New Roman"/>
          <w:sz w:val="30"/>
          <w:szCs w:val="30"/>
        </w:rPr>
        <w:t>对于</w:t>
      </w:r>
      <w:r>
        <w:rPr>
          <w:rFonts w:hAnsi="Times New Roman"/>
          <w:sz w:val="30"/>
          <w:szCs w:val="30"/>
        </w:rPr>
        <w:t>符合</w:t>
      </w:r>
      <w:r>
        <w:rPr>
          <w:rFonts w:hint="eastAsia" w:hAnsi="Times New Roman"/>
          <w:sz w:val="30"/>
          <w:szCs w:val="30"/>
        </w:rPr>
        <w:t>多边</w:t>
      </w:r>
      <w:r>
        <w:rPr>
          <w:rFonts w:hAnsi="Times New Roman"/>
          <w:sz w:val="30"/>
          <w:szCs w:val="30"/>
        </w:rPr>
        <w:t>净额结算条件的债券</w:t>
      </w:r>
      <w:r>
        <w:rPr>
          <w:rFonts w:hint="eastAsia" w:hAnsi="Times New Roman"/>
          <w:sz w:val="30"/>
          <w:szCs w:val="30"/>
        </w:rPr>
        <w:t>，</w:t>
      </w:r>
      <w:r>
        <w:rPr>
          <w:rFonts w:hAnsi="Times New Roman"/>
          <w:sz w:val="30"/>
          <w:szCs w:val="30"/>
        </w:rPr>
        <w:t>债券投资者</w:t>
      </w:r>
      <w:r>
        <w:rPr>
          <w:rFonts w:hint="eastAsia" w:hAnsi="Times New Roman"/>
          <w:sz w:val="30"/>
          <w:szCs w:val="30"/>
        </w:rPr>
        <w:t>可以</w:t>
      </w:r>
      <w:r>
        <w:rPr>
          <w:rFonts w:hAnsi="Times New Roman"/>
          <w:sz w:val="30"/>
          <w:szCs w:val="30"/>
        </w:rPr>
        <w:t>自行选择采用</w:t>
      </w:r>
      <w:r>
        <w:rPr>
          <w:rFonts w:hint="eastAsia" w:hAnsi="Times New Roman"/>
          <w:sz w:val="30"/>
          <w:szCs w:val="30"/>
        </w:rPr>
        <w:t>T</w:t>
      </w:r>
      <w:r>
        <w:rPr>
          <w:rFonts w:hAnsi="Times New Roman"/>
          <w:sz w:val="30"/>
          <w:szCs w:val="30"/>
        </w:rPr>
        <w:t>+1</w:t>
      </w:r>
      <w:r>
        <w:rPr>
          <w:rFonts w:hint="eastAsia" w:hAnsi="Times New Roman"/>
          <w:sz w:val="30"/>
          <w:szCs w:val="30"/>
        </w:rPr>
        <w:t>多边净额结算或</w:t>
      </w:r>
      <w:r>
        <w:rPr>
          <w:rFonts w:hint="eastAsia" w:hAnsi="Times New Roman"/>
          <w:sz w:val="30"/>
          <w:szCs w:val="30"/>
          <w:lang w:eastAsia="zh-CN"/>
        </w:rPr>
        <w:t>实时</w:t>
      </w:r>
      <w:r>
        <w:rPr>
          <w:rFonts w:hint="eastAsia" w:hAnsi="Times New Roman"/>
          <w:sz w:val="30"/>
          <w:szCs w:val="30"/>
        </w:rPr>
        <w:t>逐笔全额结算；对于不</w:t>
      </w:r>
      <w:r>
        <w:rPr>
          <w:rFonts w:hAnsi="Times New Roman"/>
          <w:sz w:val="30"/>
          <w:szCs w:val="30"/>
        </w:rPr>
        <w:t>符合</w:t>
      </w:r>
      <w:r>
        <w:rPr>
          <w:rFonts w:hint="eastAsia" w:hAnsi="Times New Roman"/>
          <w:sz w:val="30"/>
          <w:szCs w:val="30"/>
        </w:rPr>
        <w:t>多边</w:t>
      </w:r>
      <w:r>
        <w:rPr>
          <w:rFonts w:hAnsi="Times New Roman"/>
          <w:sz w:val="30"/>
          <w:szCs w:val="30"/>
        </w:rPr>
        <w:t>净额结算条件的债券</w:t>
      </w:r>
      <w:r>
        <w:rPr>
          <w:rFonts w:hint="eastAsia" w:hAnsi="Times New Roman"/>
          <w:sz w:val="30"/>
          <w:szCs w:val="30"/>
        </w:rPr>
        <w:t>，仅可采用</w:t>
      </w:r>
      <w:r>
        <w:rPr>
          <w:rFonts w:hint="eastAsia" w:hAnsi="Times New Roman"/>
          <w:sz w:val="30"/>
          <w:szCs w:val="30"/>
          <w:lang w:eastAsia="zh-CN"/>
        </w:rPr>
        <w:t>实时</w:t>
      </w:r>
      <w:r>
        <w:rPr>
          <w:rFonts w:hAnsi="Times New Roman"/>
          <w:sz w:val="30"/>
          <w:szCs w:val="30"/>
        </w:rPr>
        <w:t>逐笔全额结算</w:t>
      </w:r>
      <w:r>
        <w:rPr>
          <w:rFonts w:hint="eastAsia" w:hAnsi="Times New Roman"/>
          <w:sz w:val="30"/>
          <w:szCs w:val="30"/>
        </w:rPr>
        <w:t>。</w:t>
      </w:r>
    </w:p>
    <w:p w14:paraId="40130790">
      <w:pPr>
        <w:pStyle w:val="90"/>
        <w:spacing w:line="600" w:lineRule="exact"/>
        <w:ind w:firstLine="600"/>
        <w:rPr>
          <w:rFonts w:hAnsi="Times New Roman"/>
          <w:sz w:val="30"/>
          <w:szCs w:val="30"/>
        </w:rPr>
      </w:pPr>
      <w:r>
        <w:rPr>
          <w:rFonts w:hint="eastAsia" w:hAnsi="Times New Roman"/>
          <w:sz w:val="30"/>
          <w:szCs w:val="30"/>
        </w:rPr>
        <w:t>《债券</w:t>
      </w:r>
      <w:r>
        <w:rPr>
          <w:rFonts w:hAnsi="Times New Roman"/>
          <w:sz w:val="30"/>
          <w:szCs w:val="30"/>
        </w:rPr>
        <w:t>交易规则</w:t>
      </w:r>
      <w:r>
        <w:rPr>
          <w:rFonts w:hint="eastAsia" w:hAnsi="Times New Roman"/>
          <w:sz w:val="30"/>
          <w:szCs w:val="30"/>
        </w:rPr>
        <w:t>》</w:t>
      </w:r>
      <w:r>
        <w:rPr>
          <w:rFonts w:hAnsi="Times New Roman"/>
          <w:sz w:val="30"/>
          <w:szCs w:val="30"/>
        </w:rPr>
        <w:t>中</w:t>
      </w:r>
      <w:r>
        <w:rPr>
          <w:rFonts w:hint="eastAsia" w:hAnsi="Times New Roman"/>
          <w:sz w:val="30"/>
          <w:szCs w:val="30"/>
        </w:rPr>
        <w:t>债券</w:t>
      </w:r>
      <w:r>
        <w:rPr>
          <w:rFonts w:hAnsi="Times New Roman"/>
          <w:sz w:val="30"/>
          <w:szCs w:val="30"/>
        </w:rPr>
        <w:t>交易自选结算</w:t>
      </w:r>
      <w:r>
        <w:rPr>
          <w:rFonts w:hint="eastAsia" w:hAnsi="Times New Roman"/>
          <w:sz w:val="30"/>
          <w:szCs w:val="30"/>
        </w:rPr>
        <w:t>周期</w:t>
      </w:r>
      <w:r>
        <w:rPr>
          <w:rFonts w:hAnsi="Times New Roman"/>
          <w:sz w:val="30"/>
          <w:szCs w:val="30"/>
        </w:rPr>
        <w:t>的相关规定</w:t>
      </w:r>
      <w:r>
        <w:rPr>
          <w:rFonts w:hint="eastAsia" w:hAnsi="Times New Roman"/>
          <w:sz w:val="30"/>
          <w:szCs w:val="30"/>
        </w:rPr>
        <w:t>暂缓实施</w:t>
      </w:r>
      <w:r>
        <w:rPr>
          <w:rFonts w:hAnsi="Times New Roman"/>
          <w:sz w:val="30"/>
          <w:szCs w:val="30"/>
        </w:rPr>
        <w:t>。</w:t>
      </w:r>
    </w:p>
    <w:p w14:paraId="514316FC">
      <w:pPr>
        <w:spacing w:line="600" w:lineRule="exact"/>
        <w:ind w:firstLine="600"/>
        <w:rPr>
          <w:sz w:val="30"/>
          <w:szCs w:val="30"/>
        </w:rPr>
      </w:pPr>
      <w:r>
        <w:rPr>
          <w:sz w:val="30"/>
          <w:szCs w:val="30"/>
        </w:rPr>
        <w:br w:type="page"/>
      </w:r>
    </w:p>
    <w:p w14:paraId="39CA19AA">
      <w:pPr>
        <w:numPr>
          <w:ilvl w:val="0"/>
          <w:numId w:val="4"/>
        </w:numPr>
        <w:spacing w:line="600" w:lineRule="exact"/>
        <w:outlineLvl w:val="0"/>
        <w:rPr>
          <w:b/>
          <w:sz w:val="36"/>
        </w:rPr>
      </w:pPr>
      <w:bookmarkStart w:id="485" w:name="_Toc304100213"/>
      <w:bookmarkStart w:id="486" w:name="_Toc1738532937"/>
      <w:bookmarkStart w:id="487" w:name="_Toc1138392198"/>
      <w:bookmarkStart w:id="488" w:name="_Toc56166271"/>
      <w:bookmarkStart w:id="489" w:name="_Toc1953501481"/>
      <w:bookmarkStart w:id="490" w:name="_Toc56166082"/>
      <w:bookmarkStart w:id="491" w:name="_Toc151136899"/>
      <w:bookmarkStart w:id="492" w:name="_Toc143494001"/>
      <w:bookmarkStart w:id="493" w:name="_Toc1871604434"/>
      <w:r>
        <w:rPr>
          <w:rFonts w:hint="eastAsia" w:ascii="黑体" w:hAnsi="黑体" w:eastAsia="黑体" w:cs="黑体"/>
          <w:b/>
          <w:sz w:val="36"/>
        </w:rPr>
        <w:t>债券交易方式</w:t>
      </w:r>
      <w:bookmarkEnd w:id="485"/>
      <w:bookmarkEnd w:id="486"/>
      <w:bookmarkEnd w:id="487"/>
      <w:bookmarkEnd w:id="488"/>
      <w:bookmarkEnd w:id="489"/>
      <w:bookmarkEnd w:id="490"/>
      <w:bookmarkEnd w:id="491"/>
      <w:bookmarkEnd w:id="492"/>
      <w:bookmarkEnd w:id="493"/>
    </w:p>
    <w:p w14:paraId="5AD38317">
      <w:pPr>
        <w:spacing w:line="600" w:lineRule="exact"/>
        <w:ind w:firstLine="600" w:firstLineChars="200"/>
        <w:rPr>
          <w:rFonts w:ascii="黑体" w:hAnsi="黑体"/>
          <w:b/>
          <w:sz w:val="30"/>
          <w:szCs w:val="30"/>
        </w:rPr>
      </w:pPr>
      <w:r>
        <w:rPr>
          <w:rFonts w:hint="eastAsia" w:ascii="仿宋_GB2312" w:eastAsia="仿宋_GB2312"/>
          <w:color w:val="000000"/>
          <w:sz w:val="30"/>
          <w:szCs w:val="30"/>
        </w:rPr>
        <w:t>在本所开展的债券交易可以采用匹配成交、点击成交、询价成交、竞买成交、协商成交以及本所认可的其他交易方式。</w:t>
      </w:r>
    </w:p>
    <w:p w14:paraId="50EF3463">
      <w:pPr>
        <w:numPr>
          <w:ilvl w:val="1"/>
          <w:numId w:val="4"/>
        </w:numPr>
        <w:spacing w:line="600" w:lineRule="exact"/>
        <w:ind w:left="0" w:firstLine="0"/>
        <w:outlineLvl w:val="1"/>
        <w:rPr>
          <w:rFonts w:ascii="仿宋_GB2312" w:eastAsia="仿宋_GB2312"/>
          <w:b/>
          <w:sz w:val="30"/>
          <w:szCs w:val="30"/>
        </w:rPr>
      </w:pPr>
      <w:bookmarkStart w:id="494" w:name="_Toc1676432067"/>
      <w:bookmarkStart w:id="495" w:name="_Toc898651497"/>
      <w:bookmarkStart w:id="496" w:name="_Toc56166083"/>
      <w:bookmarkStart w:id="497" w:name="_Toc1151121495"/>
      <w:bookmarkStart w:id="498" w:name="_Toc102630644"/>
      <w:bookmarkStart w:id="499" w:name="_Toc1436066775"/>
      <w:bookmarkStart w:id="500" w:name="_Toc56166272"/>
      <w:bookmarkStart w:id="501" w:name="_Toc1551799569"/>
      <w:bookmarkStart w:id="502" w:name="_Toc151136900"/>
      <w:r>
        <w:rPr>
          <w:rFonts w:hint="eastAsia" w:ascii="仿宋_GB2312" w:eastAsia="仿宋_GB2312"/>
          <w:b/>
          <w:sz w:val="30"/>
          <w:szCs w:val="30"/>
        </w:rPr>
        <w:t>匹配成交</w:t>
      </w:r>
      <w:bookmarkEnd w:id="494"/>
      <w:bookmarkEnd w:id="495"/>
      <w:bookmarkEnd w:id="496"/>
      <w:bookmarkEnd w:id="497"/>
      <w:bookmarkEnd w:id="498"/>
      <w:bookmarkEnd w:id="499"/>
      <w:bookmarkEnd w:id="500"/>
      <w:bookmarkEnd w:id="501"/>
      <w:bookmarkEnd w:id="502"/>
    </w:p>
    <w:p w14:paraId="35F607DF">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定义</w:t>
      </w:r>
    </w:p>
    <w:p w14:paraId="5BA02A7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匹配成交是指新债券交易系统按价格优先、时间优先的原则和本规则相关规定，对债券交易申报自动匹配成交并实行多边净额结算的交易方式。</w:t>
      </w:r>
    </w:p>
    <w:p w14:paraId="4479DEE3">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申报要求</w:t>
      </w:r>
    </w:p>
    <w:p w14:paraId="77460F1A">
      <w:pPr>
        <w:pStyle w:val="92"/>
        <w:widowControl w:val="0"/>
        <w:numPr>
          <w:ilvl w:val="1"/>
          <w:numId w:val="13"/>
        </w:numPr>
        <w:spacing w:line="600" w:lineRule="exact"/>
        <w:ind w:left="0" w:firstLine="600" w:firstLineChars="200"/>
        <w:outlineLvl w:val="3"/>
        <w:rPr>
          <w:rFonts w:ascii="仿宋_GB2312" w:hAnsi="仿宋" w:eastAsia="仿宋_GB2312"/>
          <w:sz w:val="30"/>
          <w:szCs w:val="30"/>
        </w:rPr>
      </w:pPr>
      <w:r>
        <w:rPr>
          <w:rFonts w:hint="eastAsia" w:ascii="仿宋_GB2312" w:hAnsi="仿宋" w:eastAsia="仿宋_GB2312"/>
          <w:sz w:val="30"/>
          <w:szCs w:val="30"/>
        </w:rPr>
        <w:t>集合匹配与连续匹配</w:t>
      </w:r>
    </w:p>
    <w:p w14:paraId="29CA4B4E">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匹配成交采用集合匹配和连续匹配两种方式。集合匹配是对规定时间内接受的交易申报一次性集中匹配的成交方式。连续匹配是对接受的交易申报逐笔连续匹配的成交方式。</w:t>
      </w:r>
    </w:p>
    <w:p w14:paraId="75B5F85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集合匹配期间未成交的交易申报，自动进入连续匹配。</w:t>
      </w:r>
    </w:p>
    <w:p w14:paraId="674F2FE8">
      <w:pPr>
        <w:pStyle w:val="92"/>
        <w:widowControl w:val="0"/>
        <w:numPr>
          <w:ilvl w:val="1"/>
          <w:numId w:val="13"/>
        </w:numPr>
        <w:spacing w:line="600" w:lineRule="exact"/>
        <w:ind w:left="0" w:firstLine="600" w:firstLineChars="200"/>
        <w:outlineLvl w:val="3"/>
        <w:rPr>
          <w:rFonts w:ascii="仿宋_GB2312" w:hAnsi="仿宋" w:eastAsia="仿宋_GB2312"/>
          <w:sz w:val="30"/>
          <w:szCs w:val="30"/>
        </w:rPr>
      </w:pPr>
      <w:r>
        <w:rPr>
          <w:rFonts w:hint="eastAsia" w:ascii="仿宋_GB2312" w:hAnsi="仿宋" w:eastAsia="仿宋_GB2312"/>
          <w:sz w:val="30"/>
          <w:szCs w:val="30"/>
        </w:rPr>
        <w:t>申报类型</w:t>
      </w:r>
    </w:p>
    <w:p w14:paraId="34A3989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采用匹配成交方式的，采用限价申报。</w:t>
      </w:r>
    </w:p>
    <w:p w14:paraId="6C258476">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限价申报按照优于或者等于限定的价格进行债券交易。即按限定的价格或低于限定的价格申报买入证券，按限定的价格或高于限定的价格申报卖出证券。</w:t>
      </w:r>
    </w:p>
    <w:p w14:paraId="0ED01941">
      <w:pPr>
        <w:pStyle w:val="92"/>
        <w:widowControl w:val="0"/>
        <w:numPr>
          <w:ilvl w:val="1"/>
          <w:numId w:val="13"/>
        </w:numPr>
        <w:spacing w:line="600" w:lineRule="exact"/>
        <w:ind w:left="0" w:firstLine="600" w:firstLineChars="200"/>
        <w:outlineLvl w:val="3"/>
        <w:rPr>
          <w:rFonts w:ascii="仿宋_GB2312" w:hAnsi="仿宋" w:eastAsia="仿宋_GB2312"/>
          <w:sz w:val="30"/>
          <w:szCs w:val="30"/>
        </w:rPr>
      </w:pPr>
      <w:r>
        <w:rPr>
          <w:rFonts w:hint="eastAsia" w:ascii="仿宋_GB2312" w:hAnsi="仿宋" w:eastAsia="仿宋_GB2312"/>
          <w:sz w:val="30"/>
          <w:szCs w:val="30"/>
        </w:rPr>
        <w:t>申报要素</w:t>
      </w:r>
    </w:p>
    <w:p w14:paraId="7AEEF9B0">
      <w:pPr>
        <w:spacing w:line="600" w:lineRule="exact"/>
        <w:ind w:firstLine="600" w:firstLineChars="200"/>
        <w:rPr>
          <w:rFonts w:ascii="仿宋_GB2312" w:hAnsi="黑体" w:eastAsia="仿宋_GB2312"/>
        </w:rPr>
      </w:pPr>
      <w:r>
        <w:rPr>
          <w:rFonts w:hint="eastAsia" w:ascii="仿宋_GB2312" w:hAnsi="仿宋" w:eastAsia="仿宋_GB2312"/>
          <w:sz w:val="30"/>
          <w:szCs w:val="30"/>
        </w:rPr>
        <w:t>限价申报要素应当包括证券代码、交易方向、价格、数量、证券账户等内容。具体如下：</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6713"/>
      </w:tblGrid>
      <w:tr w14:paraId="729EF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64711BD6">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要素名称</w:t>
            </w:r>
          </w:p>
        </w:tc>
        <w:tc>
          <w:tcPr>
            <w:tcW w:w="6713" w:type="dxa"/>
          </w:tcPr>
          <w:p w14:paraId="50638EAC">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要素说明</w:t>
            </w:r>
          </w:p>
        </w:tc>
      </w:tr>
      <w:tr w14:paraId="3BB37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05AE26E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申报类型</w:t>
            </w:r>
          </w:p>
        </w:tc>
        <w:tc>
          <w:tcPr>
            <w:tcW w:w="6713" w:type="dxa"/>
          </w:tcPr>
          <w:p w14:paraId="2F697C29">
            <w:pPr>
              <w:pStyle w:val="12"/>
              <w:ind w:firstLine="0" w:firstLineChars="0"/>
              <w:rPr>
                <w:rFonts w:ascii="仿宋_GB2312" w:eastAsia="仿宋_GB2312"/>
                <w:kern w:val="0"/>
                <w:lang w:bidi="en-US"/>
              </w:rPr>
            </w:pPr>
            <w:r>
              <w:rPr>
                <w:rFonts w:hint="eastAsia" w:ascii="仿宋_GB2312" w:eastAsia="仿宋_GB2312"/>
                <w:kern w:val="0"/>
                <w:lang w:bidi="en-US"/>
              </w:rPr>
              <w:t>交易订单的申报类型，初期只支持限价申报</w:t>
            </w:r>
          </w:p>
        </w:tc>
      </w:tr>
      <w:tr w14:paraId="4E63E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30D5768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证券代码</w:t>
            </w:r>
          </w:p>
        </w:tc>
        <w:tc>
          <w:tcPr>
            <w:tcW w:w="6713" w:type="dxa"/>
          </w:tcPr>
          <w:p w14:paraId="3B3DE266">
            <w:pPr>
              <w:pStyle w:val="12"/>
              <w:ind w:firstLine="0" w:firstLineChars="0"/>
              <w:rPr>
                <w:rFonts w:ascii="仿宋_GB2312" w:eastAsia="仿宋_GB2312"/>
                <w:kern w:val="0"/>
                <w:lang w:bidi="en-US"/>
              </w:rPr>
            </w:pPr>
            <w:r>
              <w:rPr>
                <w:rFonts w:hint="eastAsia" w:ascii="仿宋_GB2312" w:hAnsi="宋体" w:eastAsia="仿宋_GB2312"/>
                <w:kern w:val="0"/>
                <w:lang w:bidi="en-US"/>
              </w:rPr>
              <w:t>交易品种的证券代码，6位数字，唯一标识该证券</w:t>
            </w:r>
          </w:p>
        </w:tc>
      </w:tr>
      <w:tr w14:paraId="1CB64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tcPr>
          <w:p w14:paraId="6548A8B4">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交易方向</w:t>
            </w:r>
          </w:p>
        </w:tc>
        <w:tc>
          <w:tcPr>
            <w:tcW w:w="6713" w:type="dxa"/>
          </w:tcPr>
          <w:p w14:paraId="1199740C">
            <w:pPr>
              <w:pStyle w:val="12"/>
              <w:ind w:firstLine="0" w:firstLineChars="0"/>
              <w:rPr>
                <w:rFonts w:ascii="仿宋_GB2312" w:eastAsia="仿宋_GB2312"/>
                <w:kern w:val="0"/>
                <w:lang w:bidi="en-US"/>
              </w:rPr>
            </w:pPr>
            <w:r>
              <w:rPr>
                <w:rFonts w:hint="eastAsia" w:ascii="仿宋_GB2312" w:eastAsia="仿宋_GB2312"/>
                <w:kern w:val="0"/>
                <w:lang w:bidi="en-US"/>
              </w:rPr>
              <w:t>交易的买卖方向，即买入/卖出</w:t>
            </w:r>
          </w:p>
        </w:tc>
      </w:tr>
      <w:tr w14:paraId="2F1E1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473C620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申报价格</w:t>
            </w:r>
          </w:p>
        </w:tc>
        <w:tc>
          <w:tcPr>
            <w:tcW w:w="6713" w:type="dxa"/>
          </w:tcPr>
          <w:p w14:paraId="1CEA5822">
            <w:pPr>
              <w:pStyle w:val="12"/>
              <w:ind w:firstLine="0" w:firstLineChars="0"/>
              <w:rPr>
                <w:rFonts w:ascii="仿宋_GB2312" w:eastAsia="仿宋_GB2312"/>
                <w:kern w:val="0"/>
                <w:lang w:bidi="en-US"/>
              </w:rPr>
            </w:pPr>
            <w:r>
              <w:rPr>
                <w:rFonts w:hint="eastAsia" w:ascii="仿宋_GB2312" w:eastAsia="仿宋_GB2312"/>
                <w:kern w:val="0"/>
                <w:lang w:bidi="en-US"/>
              </w:rPr>
              <w:t>交易的价格，单位：元</w:t>
            </w:r>
          </w:p>
        </w:tc>
      </w:tr>
      <w:tr w14:paraId="74638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3D2433BE">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申报数量</w:t>
            </w:r>
          </w:p>
        </w:tc>
        <w:tc>
          <w:tcPr>
            <w:tcW w:w="6713" w:type="dxa"/>
          </w:tcPr>
          <w:p w14:paraId="0D4A3242">
            <w:pPr>
              <w:pStyle w:val="12"/>
              <w:ind w:firstLine="0" w:firstLineChars="0"/>
              <w:rPr>
                <w:rFonts w:ascii="仿宋_GB2312" w:eastAsia="仿宋_GB2312"/>
                <w:kern w:val="0"/>
                <w:lang w:bidi="en-US"/>
              </w:rPr>
            </w:pPr>
            <w:r>
              <w:rPr>
                <w:rFonts w:hint="eastAsia" w:ascii="仿宋_GB2312" w:eastAsia="仿宋_GB2312"/>
                <w:kern w:val="0"/>
                <w:lang w:bidi="en-US"/>
              </w:rPr>
              <w:t>交易的数量，单位：千元面额。</w:t>
            </w:r>
          </w:p>
        </w:tc>
      </w:tr>
      <w:tr w14:paraId="60DC5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7E387DD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申报账号</w:t>
            </w:r>
          </w:p>
        </w:tc>
        <w:tc>
          <w:tcPr>
            <w:tcW w:w="6713" w:type="dxa"/>
          </w:tcPr>
          <w:p w14:paraId="331EA1D1">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交易的证券账户号码</w:t>
            </w:r>
          </w:p>
        </w:tc>
      </w:tr>
      <w:tr w14:paraId="08002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tcPr>
          <w:p w14:paraId="7973C888">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证券简称</w:t>
            </w:r>
          </w:p>
        </w:tc>
        <w:tc>
          <w:tcPr>
            <w:tcW w:w="6713" w:type="dxa"/>
          </w:tcPr>
          <w:p w14:paraId="4DA0DD1C">
            <w:pPr>
              <w:pStyle w:val="12"/>
              <w:ind w:firstLine="0" w:firstLineChars="0"/>
              <w:rPr>
                <w:rFonts w:ascii="仿宋_GB2312" w:eastAsia="仿宋_GB2312"/>
                <w:kern w:val="0"/>
                <w:lang w:bidi="en-US"/>
              </w:rPr>
            </w:pPr>
            <w:r>
              <w:rPr>
                <w:rFonts w:hint="eastAsia" w:ascii="仿宋_GB2312" w:eastAsia="仿宋_GB2312"/>
                <w:kern w:val="0"/>
                <w:lang w:bidi="en-US"/>
              </w:rPr>
              <w:t>上交所证券简称，有证券代码的交易品种，简称根据证券代码自动显示</w:t>
            </w:r>
          </w:p>
        </w:tc>
      </w:tr>
      <w:tr w14:paraId="219AB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3784B3DB">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申报日期时间</w:t>
            </w:r>
          </w:p>
        </w:tc>
        <w:tc>
          <w:tcPr>
            <w:tcW w:w="6713" w:type="dxa"/>
          </w:tcPr>
          <w:p w14:paraId="38003153">
            <w:pPr>
              <w:pStyle w:val="12"/>
              <w:ind w:firstLine="0" w:firstLineChars="0"/>
              <w:rPr>
                <w:rFonts w:ascii="仿宋_GB2312" w:eastAsia="仿宋_GB2312"/>
                <w:kern w:val="0"/>
                <w:lang w:bidi="en-US"/>
              </w:rPr>
            </w:pPr>
            <w:r>
              <w:rPr>
                <w:rFonts w:hint="eastAsia" w:ascii="仿宋_GB2312" w:eastAsia="仿宋_GB2312"/>
                <w:kern w:val="0"/>
                <w:lang w:bidi="en-US"/>
              </w:rPr>
              <w:t>交易申报日期（年月日）及时间（时分秒），自动显示</w:t>
            </w:r>
          </w:p>
        </w:tc>
      </w:tr>
      <w:tr w14:paraId="7980B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384BE378">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en-US" w:bidi="en-US"/>
              </w:rPr>
              <w:t>申报</w:t>
            </w:r>
            <w:r>
              <w:rPr>
                <w:rFonts w:hint="eastAsia" w:ascii="仿宋_GB2312" w:eastAsia="仿宋_GB2312"/>
                <w:b/>
                <w:kern w:val="0"/>
                <w:lang w:eastAsia="zh-CN" w:bidi="en-US"/>
              </w:rPr>
              <w:t>交易单元</w:t>
            </w:r>
          </w:p>
        </w:tc>
        <w:tc>
          <w:tcPr>
            <w:tcW w:w="6713" w:type="dxa"/>
          </w:tcPr>
          <w:p w14:paraId="320B34D7">
            <w:pPr>
              <w:pStyle w:val="12"/>
              <w:ind w:firstLine="0" w:firstLineChars="0"/>
              <w:rPr>
                <w:rFonts w:ascii="仿宋_GB2312" w:eastAsia="仿宋_GB2312"/>
                <w:kern w:val="0"/>
                <w:lang w:bidi="en-US"/>
              </w:rPr>
            </w:pPr>
            <w:r>
              <w:rPr>
                <w:rFonts w:hint="eastAsia" w:ascii="仿宋_GB2312" w:eastAsia="仿宋_GB2312"/>
                <w:kern w:val="0"/>
                <w:lang w:bidi="en-US"/>
              </w:rPr>
              <w:t>交易参与人的交易单元号码，自动显示</w:t>
            </w:r>
          </w:p>
        </w:tc>
      </w:tr>
      <w:tr w14:paraId="315A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7AA91954">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申报编号</w:t>
            </w:r>
          </w:p>
        </w:tc>
        <w:tc>
          <w:tcPr>
            <w:tcW w:w="6713" w:type="dxa"/>
          </w:tcPr>
          <w:p w14:paraId="24296A53">
            <w:pPr>
              <w:pStyle w:val="12"/>
              <w:ind w:firstLine="0" w:firstLineChars="0"/>
              <w:rPr>
                <w:rFonts w:ascii="仿宋_GB2312" w:eastAsia="仿宋_GB2312"/>
                <w:kern w:val="0"/>
                <w:lang w:bidi="en-US"/>
              </w:rPr>
            </w:pPr>
            <w:r>
              <w:rPr>
                <w:rFonts w:hint="eastAsia" w:ascii="仿宋_GB2312" w:eastAsia="仿宋_GB2312"/>
                <w:kern w:val="0"/>
                <w:lang w:bidi="en-US"/>
              </w:rPr>
              <w:t>交易参与人为申报订单编制的序号，供交易参与人使用，自动显示</w:t>
            </w:r>
          </w:p>
        </w:tc>
      </w:tr>
      <w:tr w14:paraId="1B4A8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tcPr>
          <w:p w14:paraId="2DC102B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营业部代码</w:t>
            </w:r>
          </w:p>
        </w:tc>
        <w:tc>
          <w:tcPr>
            <w:tcW w:w="6713" w:type="dxa"/>
          </w:tcPr>
          <w:p w14:paraId="604C90F4">
            <w:pPr>
              <w:pStyle w:val="12"/>
              <w:ind w:firstLine="0" w:firstLineChars="0"/>
              <w:rPr>
                <w:rFonts w:ascii="仿宋_GB2312" w:eastAsia="仿宋_GB2312"/>
                <w:kern w:val="0"/>
                <w:lang w:bidi="en-US"/>
              </w:rPr>
            </w:pPr>
            <w:r>
              <w:rPr>
                <w:rFonts w:hint="eastAsia" w:ascii="仿宋_GB2312" w:eastAsia="仿宋_GB2312"/>
                <w:kern w:val="0"/>
                <w:lang w:bidi="en-US"/>
              </w:rPr>
              <w:t>营业部代码，自动显示</w:t>
            </w:r>
          </w:p>
        </w:tc>
      </w:tr>
      <w:tr w14:paraId="3F924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32E02592">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交易方式</w:t>
            </w:r>
          </w:p>
        </w:tc>
        <w:tc>
          <w:tcPr>
            <w:tcW w:w="6713" w:type="dxa"/>
          </w:tcPr>
          <w:p w14:paraId="75F45BC8">
            <w:pPr>
              <w:pStyle w:val="12"/>
              <w:ind w:firstLine="0" w:firstLineChars="0"/>
              <w:rPr>
                <w:rFonts w:ascii="仿宋_GB2312" w:eastAsia="仿宋_GB2312"/>
                <w:kern w:val="0"/>
                <w:lang w:bidi="en-US"/>
              </w:rPr>
            </w:pPr>
            <w:r>
              <w:rPr>
                <w:rFonts w:hint="eastAsia" w:ascii="仿宋_GB2312" w:eastAsia="仿宋_GB2312"/>
                <w:kern w:val="0"/>
                <w:lang w:bidi="en-US"/>
              </w:rPr>
              <w:t>交易方式，预留，初期固定为“匹配成交”</w:t>
            </w:r>
          </w:p>
        </w:tc>
      </w:tr>
    </w:tbl>
    <w:p w14:paraId="54CC11AE">
      <w:pPr>
        <w:pStyle w:val="92"/>
        <w:widowControl w:val="0"/>
        <w:numPr>
          <w:ilvl w:val="1"/>
          <w:numId w:val="13"/>
        </w:numPr>
        <w:spacing w:line="600" w:lineRule="exact"/>
        <w:ind w:left="0" w:firstLine="600" w:firstLineChars="200"/>
        <w:outlineLvl w:val="3"/>
        <w:rPr>
          <w:rFonts w:ascii="仿宋_GB2312" w:hAnsi="仿宋" w:eastAsia="仿宋_GB2312"/>
          <w:sz w:val="30"/>
          <w:szCs w:val="30"/>
          <w:lang w:eastAsia="zh-CN"/>
        </w:rPr>
      </w:pPr>
      <w:r>
        <w:rPr>
          <w:rFonts w:hint="eastAsia" w:ascii="仿宋_GB2312" w:hAnsi="仿宋" w:eastAsia="仿宋_GB2312"/>
          <w:sz w:val="30"/>
          <w:szCs w:val="30"/>
          <w:lang w:eastAsia="zh-CN"/>
        </w:rPr>
        <w:t>集合匹配有效申报价格范围</w:t>
      </w:r>
    </w:p>
    <w:p w14:paraId="101BF9C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集合匹配阶段，</w:t>
      </w:r>
      <w:r>
        <w:rPr>
          <w:rFonts w:hint="eastAsia" w:ascii="仿宋_GB2312" w:eastAsia="仿宋_GB2312"/>
          <w:color w:val="000000"/>
          <w:sz w:val="30"/>
          <w:szCs w:val="30"/>
        </w:rPr>
        <w:t>债券的有效申报价格范围为前收盘价的上下30%，通用回购的有效申报价格范围为前收盘价的上下</w:t>
      </w:r>
      <w:r>
        <w:rPr>
          <w:rFonts w:ascii="仿宋_GB2312" w:eastAsia="仿宋_GB2312"/>
          <w:sz w:val="30"/>
          <w:szCs w:val="30"/>
        </w:rPr>
        <w:t>100%</w:t>
      </w:r>
      <w:r>
        <w:rPr>
          <w:rFonts w:hint="eastAsia" w:ascii="仿宋_GB2312" w:eastAsia="仿宋_GB2312"/>
          <w:sz w:val="30"/>
          <w:szCs w:val="30"/>
        </w:rPr>
        <w:t>。本所另有规定的除外。</w:t>
      </w:r>
    </w:p>
    <w:p w14:paraId="6D822FE5">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债券上市首日，以该债券的发行价格作为前收盘价。</w:t>
      </w:r>
    </w:p>
    <w:p w14:paraId="16CBF681">
      <w:pPr>
        <w:pStyle w:val="92"/>
        <w:widowControl w:val="0"/>
        <w:numPr>
          <w:ilvl w:val="1"/>
          <w:numId w:val="13"/>
        </w:numPr>
        <w:spacing w:line="600" w:lineRule="exact"/>
        <w:ind w:left="0" w:firstLine="600" w:firstLineChars="200"/>
        <w:outlineLvl w:val="3"/>
        <w:rPr>
          <w:rFonts w:ascii="仿宋_GB2312" w:hAnsi="仿宋" w:eastAsia="仿宋_GB2312"/>
          <w:sz w:val="30"/>
          <w:szCs w:val="30"/>
          <w:lang w:eastAsia="zh-CN"/>
        </w:rPr>
      </w:pPr>
      <w:r>
        <w:rPr>
          <w:rFonts w:hint="eastAsia" w:ascii="仿宋_GB2312" w:hAnsi="仿宋" w:eastAsia="仿宋_GB2312"/>
          <w:sz w:val="30"/>
          <w:szCs w:val="30"/>
          <w:lang w:eastAsia="zh-CN"/>
        </w:rPr>
        <w:t>连续匹配有效申报价格范围</w:t>
      </w:r>
    </w:p>
    <w:p w14:paraId="0EE9458C">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连续匹配阶段，政府债券、政府支持债券、政策性金融债等的有效申报价格范围为匹配成交最新成交价格的上下10%，其他债券的有效申报价格范围为匹配成交最新成交价格的上下20%，通用回购的有效申报价格不得高于匹配成交最新成交价格100个基点。本所另有规定的除外。</w:t>
      </w:r>
    </w:p>
    <w:p w14:paraId="3BB365EF">
      <w:pPr>
        <w:spacing w:line="560" w:lineRule="exact"/>
        <w:ind w:firstLine="600" w:firstLineChars="200"/>
        <w:rPr>
          <w:rFonts w:ascii="仿宋_GB2312" w:eastAsia="仿宋_GB2312" w:cs="宋体"/>
          <w:color w:val="000000"/>
          <w:kern w:val="0"/>
          <w:sz w:val="30"/>
          <w:szCs w:val="30"/>
        </w:rPr>
      </w:pPr>
      <w:r>
        <w:rPr>
          <w:rFonts w:hint="eastAsia" w:ascii="仿宋_GB2312" w:eastAsia="仿宋_GB2312" w:cs="宋体"/>
          <w:color w:val="000000"/>
          <w:kern w:val="0"/>
          <w:sz w:val="30"/>
          <w:szCs w:val="30"/>
        </w:rPr>
        <w:t>债券在集合匹配阶段、连续匹配阶段没有达成交易的，连续匹配阶段按照下列方式调整有效申报价格范围：最高买入申报价格高于前收盘价的，以最高买入申报价格为基准调整有效申报价格范围；最低卖出申报价格低于前收盘价的，以最低卖出申报价格为基准调整有效申报价格范围。</w:t>
      </w:r>
    </w:p>
    <w:p w14:paraId="21FC3962">
      <w:pPr>
        <w:spacing w:line="560" w:lineRule="exact"/>
        <w:ind w:firstLine="600" w:firstLineChars="200"/>
        <w:rPr>
          <w:rFonts w:ascii="仿宋_GB2312" w:eastAsia="仿宋_GB2312" w:cs="宋体"/>
          <w:color w:val="000000"/>
          <w:kern w:val="0"/>
          <w:sz w:val="30"/>
          <w:szCs w:val="30"/>
        </w:rPr>
      </w:pPr>
      <w:r>
        <w:rPr>
          <w:rFonts w:hint="eastAsia" w:ascii="仿宋_GB2312" w:eastAsia="仿宋_GB2312" w:cs="宋体"/>
          <w:color w:val="000000"/>
          <w:kern w:val="0"/>
          <w:sz w:val="30"/>
          <w:szCs w:val="30"/>
        </w:rPr>
        <w:t>当日无交易的，前收盘价视为最新成交价格。</w:t>
      </w:r>
    </w:p>
    <w:p w14:paraId="27A90965">
      <w:pPr>
        <w:spacing w:line="600" w:lineRule="exact"/>
        <w:ind w:firstLine="600" w:firstLineChars="200"/>
        <w:rPr>
          <w:rFonts w:ascii="仿宋_GB2312" w:hAnsi="仿宋" w:eastAsia="仿宋_GB2312"/>
          <w:sz w:val="30"/>
          <w:szCs w:val="30"/>
        </w:rPr>
      </w:pPr>
      <w:r>
        <w:rPr>
          <w:rFonts w:hint="eastAsia" w:ascii="仿宋_GB2312" w:eastAsia="仿宋_GB2312"/>
          <w:sz w:val="30"/>
          <w:szCs w:val="30"/>
        </w:rPr>
        <w:t>根据市场发展需要，本所可以调整有效申报价格范围。</w:t>
      </w:r>
    </w:p>
    <w:p w14:paraId="2BF860A9">
      <w:pPr>
        <w:pStyle w:val="92"/>
        <w:widowControl w:val="0"/>
        <w:numPr>
          <w:ilvl w:val="1"/>
          <w:numId w:val="13"/>
        </w:numPr>
        <w:spacing w:line="600" w:lineRule="exact"/>
        <w:ind w:left="0" w:firstLine="600" w:firstLineChars="200"/>
        <w:outlineLvl w:val="3"/>
        <w:rPr>
          <w:rFonts w:ascii="仿宋_GB2312" w:eastAsia="仿宋_GB2312"/>
          <w:sz w:val="30"/>
          <w:szCs w:val="30"/>
        </w:rPr>
      </w:pPr>
      <w:r>
        <w:rPr>
          <w:rFonts w:hint="eastAsia" w:ascii="仿宋_GB2312" w:hAnsi="仿宋" w:eastAsia="仿宋_GB2312"/>
          <w:sz w:val="30"/>
          <w:szCs w:val="30"/>
        </w:rPr>
        <w:t>申报方式</w:t>
      </w:r>
      <w:r>
        <w:rPr>
          <w:rFonts w:hint="eastAsia" w:ascii="仿宋_GB2312" w:eastAsia="仿宋_GB2312"/>
          <w:sz w:val="30"/>
          <w:szCs w:val="30"/>
        </w:rPr>
        <w:t xml:space="preserve"> </w:t>
      </w:r>
    </w:p>
    <w:p w14:paraId="76912CBA">
      <w:pPr>
        <w:spacing w:line="600" w:lineRule="exact"/>
        <w:ind w:firstLine="600" w:firstLineChars="200"/>
        <w:rPr>
          <w:rFonts w:ascii="仿宋_GB2312" w:eastAsia="仿宋_GB2312"/>
          <w:color w:val="000000"/>
          <w:sz w:val="30"/>
          <w:szCs w:val="30"/>
        </w:rPr>
      </w:pPr>
      <w:r>
        <w:rPr>
          <w:rFonts w:hint="eastAsia" w:ascii="仿宋_GB2312" w:hAnsi="仿宋" w:eastAsia="仿宋_GB2312"/>
          <w:sz w:val="30"/>
          <w:szCs w:val="30"/>
        </w:rPr>
        <w:t>本所新债券交易系统为匹配成交提供电子化接口，债券投资者可通过电子化接口接入本所新债券交易系统，并提交匹配成交的交易申报。</w:t>
      </w:r>
    </w:p>
    <w:p w14:paraId="7DD07232">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申报撤销</w:t>
      </w:r>
    </w:p>
    <w:p w14:paraId="486B4DF3">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申报未成交时，债券投资者可提交撤销申报。每个交易日9:20至9:25的开盘集合匹配阶段，新债券交易系统不接受撤销申报。其他接受申报的时间内，未成交的申报可以撤销；若原申报订单已部分成交，则未成交的部分可以撤销；若原申报订单已经成功撤销，则此撤销申报作废；若原申报订单也是撤销申报，则此撤销申报作废。债券停牌期间，新债券交易系统接受符合要求的撤销申报。</w:t>
      </w:r>
    </w:p>
    <w:p w14:paraId="180A25E5">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撤销申报</w:t>
      </w:r>
      <w:r>
        <w:rPr>
          <w:rFonts w:hint="eastAsia" w:ascii="仿宋_GB2312" w:eastAsia="仿宋_GB2312"/>
          <w:color w:val="000000"/>
          <w:sz w:val="30"/>
          <w:szCs w:val="30"/>
        </w:rPr>
        <w:t>具体要素及要素说明</w:t>
      </w:r>
      <w:r>
        <w:rPr>
          <w:rFonts w:hint="eastAsia" w:ascii="仿宋_GB2312" w:hAnsi="仿宋" w:eastAsia="仿宋_GB2312"/>
          <w:sz w:val="30"/>
          <w:szCs w:val="30"/>
        </w:rPr>
        <w:t>如下：</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6571"/>
      </w:tblGrid>
      <w:tr w14:paraId="12FD5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6BE4E3A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要素名称</w:t>
            </w:r>
          </w:p>
        </w:tc>
        <w:tc>
          <w:tcPr>
            <w:tcW w:w="6571" w:type="dxa"/>
          </w:tcPr>
          <w:p w14:paraId="7ED9445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要素说明</w:t>
            </w:r>
          </w:p>
        </w:tc>
      </w:tr>
      <w:tr w14:paraId="4EB98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32D4A15F">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申报类型</w:t>
            </w:r>
          </w:p>
        </w:tc>
        <w:tc>
          <w:tcPr>
            <w:tcW w:w="6571" w:type="dxa"/>
          </w:tcPr>
          <w:p w14:paraId="0A9E8B65">
            <w:pPr>
              <w:pStyle w:val="12"/>
              <w:ind w:firstLine="0" w:firstLineChars="0"/>
              <w:rPr>
                <w:rFonts w:ascii="仿宋_GB2312" w:eastAsia="仿宋_GB2312"/>
                <w:kern w:val="0"/>
                <w:lang w:bidi="en-US"/>
              </w:rPr>
            </w:pPr>
            <w:r>
              <w:rPr>
                <w:rFonts w:hint="eastAsia" w:ascii="仿宋_GB2312" w:eastAsia="仿宋_GB2312"/>
                <w:kern w:val="0"/>
                <w:lang w:bidi="en-US"/>
              </w:rPr>
              <w:t>撤单的申报类型，对应为：现券限价申报撤单</w:t>
            </w:r>
          </w:p>
        </w:tc>
      </w:tr>
      <w:tr w14:paraId="77E02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3A2A5CA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对应原申报编号</w:t>
            </w:r>
          </w:p>
        </w:tc>
        <w:tc>
          <w:tcPr>
            <w:tcW w:w="6571" w:type="dxa"/>
          </w:tcPr>
          <w:p w14:paraId="186E9C31">
            <w:pPr>
              <w:pStyle w:val="12"/>
              <w:ind w:firstLine="0" w:firstLineChars="0"/>
              <w:rPr>
                <w:rFonts w:ascii="仿宋_GB2312" w:eastAsia="仿宋_GB2312"/>
                <w:kern w:val="0"/>
                <w:lang w:bidi="en-US"/>
              </w:rPr>
            </w:pPr>
            <w:r>
              <w:rPr>
                <w:rFonts w:hint="eastAsia" w:ascii="仿宋_GB2312" w:eastAsia="仿宋_GB2312"/>
                <w:kern w:val="0"/>
                <w:lang w:bidi="en-US"/>
              </w:rPr>
              <w:t>原交易申报订单的申报编号</w:t>
            </w:r>
          </w:p>
        </w:tc>
      </w:tr>
      <w:tr w14:paraId="0C182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51" w:type="dxa"/>
          </w:tcPr>
          <w:p w14:paraId="59D4B826">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证券代码</w:t>
            </w:r>
          </w:p>
        </w:tc>
        <w:tc>
          <w:tcPr>
            <w:tcW w:w="6571" w:type="dxa"/>
          </w:tcPr>
          <w:p w14:paraId="39A59028">
            <w:pPr>
              <w:pStyle w:val="12"/>
              <w:ind w:firstLine="0" w:firstLineChars="0"/>
              <w:rPr>
                <w:rFonts w:ascii="仿宋_GB2312" w:eastAsia="仿宋_GB2312"/>
                <w:kern w:val="0"/>
                <w:lang w:bidi="en-US"/>
              </w:rPr>
            </w:pPr>
            <w:r>
              <w:rPr>
                <w:rFonts w:hint="eastAsia" w:ascii="仿宋_GB2312" w:eastAsia="仿宋_GB2312"/>
                <w:kern w:val="0"/>
                <w:lang w:bidi="en-US"/>
              </w:rPr>
              <w:t>原</w:t>
            </w:r>
            <w:r>
              <w:rPr>
                <w:rFonts w:hint="eastAsia" w:ascii="仿宋_GB2312" w:hAnsi="宋体" w:eastAsia="仿宋_GB2312"/>
                <w:kern w:val="0"/>
                <w:lang w:bidi="en-US"/>
              </w:rPr>
              <w:t>交易品种的证券代码</w:t>
            </w:r>
            <w:r>
              <w:rPr>
                <w:rFonts w:hint="eastAsia" w:ascii="仿宋_GB2312" w:eastAsia="仿宋_GB2312"/>
                <w:kern w:val="0"/>
                <w:lang w:bidi="en-US"/>
              </w:rPr>
              <w:t>，自动显示</w:t>
            </w:r>
          </w:p>
        </w:tc>
      </w:tr>
      <w:tr w14:paraId="02334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2A02BF2A">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交易方向</w:t>
            </w:r>
          </w:p>
        </w:tc>
        <w:tc>
          <w:tcPr>
            <w:tcW w:w="6571" w:type="dxa"/>
          </w:tcPr>
          <w:p w14:paraId="34D51C5C">
            <w:pPr>
              <w:pStyle w:val="12"/>
              <w:ind w:firstLine="0" w:firstLineChars="0"/>
              <w:rPr>
                <w:rFonts w:ascii="仿宋_GB2312" w:eastAsia="仿宋_GB2312"/>
                <w:kern w:val="0"/>
                <w:lang w:bidi="en-US"/>
              </w:rPr>
            </w:pPr>
            <w:r>
              <w:rPr>
                <w:rFonts w:hint="eastAsia" w:ascii="仿宋_GB2312" w:eastAsia="仿宋_GB2312"/>
                <w:kern w:val="0"/>
                <w:lang w:bidi="en-US"/>
              </w:rPr>
              <w:t>原交易的买卖方向，即买入/卖出，自动显示</w:t>
            </w:r>
          </w:p>
        </w:tc>
      </w:tr>
      <w:tr w14:paraId="0AF7C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24634B7E">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申报价格</w:t>
            </w:r>
          </w:p>
        </w:tc>
        <w:tc>
          <w:tcPr>
            <w:tcW w:w="6571" w:type="dxa"/>
          </w:tcPr>
          <w:p w14:paraId="3A2D95B1">
            <w:pPr>
              <w:pStyle w:val="12"/>
              <w:ind w:firstLine="0" w:firstLineChars="0"/>
              <w:rPr>
                <w:rFonts w:ascii="仿宋_GB2312" w:eastAsia="仿宋_GB2312"/>
                <w:kern w:val="0"/>
                <w:lang w:bidi="en-US"/>
              </w:rPr>
            </w:pPr>
            <w:r>
              <w:rPr>
                <w:rFonts w:hint="eastAsia" w:ascii="仿宋_GB2312" w:eastAsia="仿宋_GB2312"/>
                <w:kern w:val="0"/>
                <w:lang w:bidi="en-US"/>
              </w:rPr>
              <w:t>原交易的价格，单位：元，自动显示</w:t>
            </w:r>
          </w:p>
        </w:tc>
      </w:tr>
      <w:tr w14:paraId="7C5E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25E03AC0">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申报数量</w:t>
            </w:r>
          </w:p>
        </w:tc>
        <w:tc>
          <w:tcPr>
            <w:tcW w:w="6571" w:type="dxa"/>
          </w:tcPr>
          <w:p w14:paraId="3FDB9B01">
            <w:pPr>
              <w:pStyle w:val="12"/>
              <w:ind w:firstLine="0" w:firstLineChars="0"/>
              <w:rPr>
                <w:rFonts w:ascii="仿宋_GB2312" w:eastAsia="仿宋_GB2312"/>
                <w:kern w:val="0"/>
                <w:lang w:bidi="en-US"/>
              </w:rPr>
            </w:pPr>
            <w:r>
              <w:rPr>
                <w:rFonts w:hint="eastAsia" w:ascii="仿宋_GB2312" w:eastAsia="仿宋_GB2312"/>
                <w:kern w:val="0"/>
                <w:lang w:bidi="en-US"/>
              </w:rPr>
              <w:t>原交易的数量，单位：千元面额，自动显示</w:t>
            </w:r>
          </w:p>
        </w:tc>
      </w:tr>
      <w:tr w14:paraId="0608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51" w:type="dxa"/>
          </w:tcPr>
          <w:p w14:paraId="7B5F606A">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申报账号</w:t>
            </w:r>
          </w:p>
        </w:tc>
        <w:tc>
          <w:tcPr>
            <w:tcW w:w="6571" w:type="dxa"/>
          </w:tcPr>
          <w:p w14:paraId="3494CD9A">
            <w:pPr>
              <w:pStyle w:val="12"/>
              <w:ind w:firstLine="0" w:firstLineChars="0"/>
              <w:rPr>
                <w:rFonts w:ascii="仿宋_GB2312" w:eastAsia="仿宋_GB2312"/>
                <w:kern w:val="0"/>
                <w:lang w:bidi="en-US"/>
              </w:rPr>
            </w:pPr>
            <w:r>
              <w:rPr>
                <w:rFonts w:hint="eastAsia" w:ascii="仿宋_GB2312" w:eastAsia="仿宋_GB2312"/>
                <w:kern w:val="0"/>
                <w:lang w:bidi="en-US"/>
              </w:rPr>
              <w:t>原交易的证券账户号码，自动显示</w:t>
            </w:r>
          </w:p>
        </w:tc>
      </w:tr>
      <w:tr w14:paraId="43AC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7121EDF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证券简称</w:t>
            </w:r>
          </w:p>
        </w:tc>
        <w:tc>
          <w:tcPr>
            <w:tcW w:w="6571" w:type="dxa"/>
          </w:tcPr>
          <w:p w14:paraId="7CED4FCF">
            <w:pPr>
              <w:pStyle w:val="12"/>
              <w:ind w:firstLine="0" w:firstLineChars="0"/>
              <w:rPr>
                <w:rFonts w:ascii="仿宋_GB2312" w:eastAsia="仿宋_GB2312"/>
                <w:kern w:val="0"/>
                <w:lang w:bidi="en-US"/>
              </w:rPr>
            </w:pPr>
            <w:r>
              <w:rPr>
                <w:rFonts w:hint="eastAsia" w:ascii="仿宋_GB2312" w:eastAsia="仿宋_GB2312"/>
                <w:kern w:val="0"/>
                <w:lang w:bidi="en-US"/>
              </w:rPr>
              <w:t>上交所证券简称，有证券代码的交易品种，简称根据证券代码自动显示</w:t>
            </w:r>
          </w:p>
        </w:tc>
      </w:tr>
      <w:tr w14:paraId="2DC63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21E0171E">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申报日期时间</w:t>
            </w:r>
          </w:p>
        </w:tc>
        <w:tc>
          <w:tcPr>
            <w:tcW w:w="6571" w:type="dxa"/>
          </w:tcPr>
          <w:p w14:paraId="34F7B281">
            <w:pPr>
              <w:pStyle w:val="12"/>
              <w:ind w:firstLine="0" w:firstLineChars="0"/>
              <w:rPr>
                <w:rFonts w:ascii="仿宋_GB2312" w:eastAsia="仿宋_GB2312"/>
                <w:kern w:val="0"/>
                <w:lang w:bidi="en-US"/>
              </w:rPr>
            </w:pPr>
            <w:r>
              <w:rPr>
                <w:rFonts w:hint="eastAsia" w:ascii="仿宋_GB2312" w:eastAsia="仿宋_GB2312"/>
                <w:kern w:val="0"/>
                <w:lang w:bidi="en-US"/>
              </w:rPr>
              <w:t>撤单生成的申报日期（年月日）及时间（时分秒），自动显示</w:t>
            </w:r>
          </w:p>
        </w:tc>
      </w:tr>
      <w:tr w14:paraId="2A353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12648C5D">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en-US" w:bidi="en-US"/>
              </w:rPr>
              <w:t>申报</w:t>
            </w:r>
            <w:r>
              <w:rPr>
                <w:rFonts w:hint="eastAsia" w:ascii="仿宋_GB2312" w:eastAsia="仿宋_GB2312"/>
                <w:b/>
                <w:kern w:val="0"/>
                <w:lang w:eastAsia="zh-CN" w:bidi="en-US"/>
              </w:rPr>
              <w:t>交易单元</w:t>
            </w:r>
          </w:p>
        </w:tc>
        <w:tc>
          <w:tcPr>
            <w:tcW w:w="6571" w:type="dxa"/>
          </w:tcPr>
          <w:p w14:paraId="115C0AF9">
            <w:pPr>
              <w:pStyle w:val="12"/>
              <w:ind w:firstLine="0" w:firstLineChars="0"/>
              <w:rPr>
                <w:rFonts w:ascii="仿宋_GB2312" w:eastAsia="仿宋_GB2312"/>
                <w:kern w:val="0"/>
                <w:lang w:bidi="en-US"/>
              </w:rPr>
            </w:pPr>
            <w:r>
              <w:rPr>
                <w:rFonts w:hint="eastAsia" w:ascii="仿宋_GB2312" w:eastAsia="仿宋_GB2312"/>
                <w:kern w:val="0"/>
                <w:lang w:bidi="en-US"/>
              </w:rPr>
              <w:t>交易参与人的交易单元号码，自动显示</w:t>
            </w:r>
          </w:p>
        </w:tc>
      </w:tr>
      <w:tr w14:paraId="08914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51" w:type="dxa"/>
          </w:tcPr>
          <w:p w14:paraId="2197CF9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申报编号</w:t>
            </w:r>
          </w:p>
        </w:tc>
        <w:tc>
          <w:tcPr>
            <w:tcW w:w="6571" w:type="dxa"/>
          </w:tcPr>
          <w:p w14:paraId="29381BE5">
            <w:pPr>
              <w:pStyle w:val="12"/>
              <w:ind w:firstLine="0" w:firstLineChars="0"/>
              <w:rPr>
                <w:rFonts w:ascii="仿宋_GB2312" w:eastAsia="仿宋_GB2312"/>
                <w:kern w:val="0"/>
                <w:lang w:bidi="en-US"/>
              </w:rPr>
            </w:pPr>
            <w:r>
              <w:rPr>
                <w:rFonts w:hint="eastAsia" w:ascii="仿宋_GB2312" w:eastAsia="仿宋_GB2312"/>
                <w:kern w:val="0"/>
                <w:lang w:bidi="en-US"/>
              </w:rPr>
              <w:t>交易参与人为撤销申报订单编制的序号，自动显示</w:t>
            </w:r>
          </w:p>
        </w:tc>
      </w:tr>
      <w:tr w14:paraId="6ECC6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tcPr>
          <w:p w14:paraId="6D4E8F02">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交易方式</w:t>
            </w:r>
          </w:p>
        </w:tc>
        <w:tc>
          <w:tcPr>
            <w:tcW w:w="6571" w:type="dxa"/>
          </w:tcPr>
          <w:p w14:paraId="60839396">
            <w:pPr>
              <w:pStyle w:val="12"/>
              <w:ind w:firstLine="0" w:firstLineChars="0"/>
              <w:rPr>
                <w:rFonts w:ascii="仿宋_GB2312" w:eastAsia="仿宋_GB2312"/>
                <w:kern w:val="0"/>
                <w:lang w:bidi="en-US"/>
              </w:rPr>
            </w:pPr>
            <w:r>
              <w:rPr>
                <w:rFonts w:hint="eastAsia" w:ascii="仿宋_GB2312" w:eastAsia="仿宋_GB2312"/>
                <w:kern w:val="0"/>
                <w:lang w:bidi="en-US"/>
              </w:rPr>
              <w:t>交易方式，预留，初期固定为“匹配成交”</w:t>
            </w:r>
          </w:p>
        </w:tc>
      </w:tr>
    </w:tbl>
    <w:p w14:paraId="3DA3BEE5">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撤销指令经本所新债券交易系统确认后实时生效。</w:t>
      </w:r>
    </w:p>
    <w:p w14:paraId="7B91F877">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成交规则</w:t>
      </w:r>
    </w:p>
    <w:p w14:paraId="663A7BCC">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成交时价格优先的原则为：较高价格买入申报优先于较低价格买入申报，较低价格卖出申报优先于较高价格卖出申报。</w:t>
      </w:r>
    </w:p>
    <w:p w14:paraId="596B30E8">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成交时时间优先的原则为：交易方向、价格相同的，先申报者优先于后申报者。先后顺序按新债券交易系统接受申报的时间确定。</w:t>
      </w:r>
    </w:p>
    <w:p w14:paraId="159A1534">
      <w:pPr>
        <w:spacing w:line="600" w:lineRule="exact"/>
        <w:ind w:firstLine="600" w:firstLineChars="200"/>
        <w:outlineLvl w:val="3"/>
        <w:rPr>
          <w:rFonts w:ascii="仿宋_GB2312" w:hAnsi="仿宋" w:eastAsia="仿宋_GB2312"/>
          <w:sz w:val="30"/>
          <w:szCs w:val="30"/>
        </w:rPr>
      </w:pPr>
      <w:r>
        <w:rPr>
          <w:rFonts w:hint="eastAsia" w:ascii="仿宋_GB2312" w:eastAsia="仿宋_GB2312"/>
          <w:sz w:val="30"/>
          <w:szCs w:val="30"/>
        </w:rPr>
        <w:t>（1）</w:t>
      </w:r>
      <w:r>
        <w:rPr>
          <w:rFonts w:hint="eastAsia" w:ascii="仿宋_GB2312" w:hAnsi="仿宋" w:eastAsia="仿宋_GB2312"/>
          <w:sz w:val="30"/>
          <w:szCs w:val="30"/>
        </w:rPr>
        <w:t>集合匹配成交价格确定原则</w:t>
      </w:r>
    </w:p>
    <w:p w14:paraId="671F3D0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集合匹配时，成交价格的确定原则为：</w:t>
      </w:r>
    </w:p>
    <w:p w14:paraId="4C0DB3AC">
      <w:pPr>
        <w:pStyle w:val="92"/>
        <w:widowControl w:val="0"/>
        <w:numPr>
          <w:ilvl w:val="0"/>
          <w:numId w:val="14"/>
        </w:numPr>
        <w:spacing w:line="600" w:lineRule="exact"/>
        <w:ind w:left="0" w:firstLine="600" w:firstLineChars="200"/>
        <w:rPr>
          <w:rFonts w:ascii="仿宋_GB2312" w:hAnsi="仿宋" w:eastAsia="仿宋_GB2312"/>
          <w:sz w:val="30"/>
          <w:szCs w:val="30"/>
          <w:lang w:eastAsia="zh-CN"/>
        </w:rPr>
      </w:pPr>
      <w:r>
        <w:rPr>
          <w:rFonts w:hint="eastAsia" w:ascii="仿宋_GB2312" w:hAnsi="仿宋" w:eastAsia="仿宋_GB2312"/>
          <w:sz w:val="30"/>
          <w:szCs w:val="30"/>
          <w:lang w:eastAsia="zh-CN"/>
        </w:rPr>
        <w:t>可实现最大成交量的价格；</w:t>
      </w:r>
    </w:p>
    <w:p w14:paraId="320B9C4F">
      <w:pPr>
        <w:pStyle w:val="92"/>
        <w:widowControl w:val="0"/>
        <w:numPr>
          <w:ilvl w:val="0"/>
          <w:numId w:val="14"/>
        </w:numPr>
        <w:spacing w:line="600" w:lineRule="exact"/>
        <w:ind w:left="0" w:firstLine="600" w:firstLineChars="200"/>
        <w:rPr>
          <w:rFonts w:ascii="仿宋_GB2312" w:hAnsi="仿宋" w:eastAsia="仿宋_GB2312"/>
          <w:sz w:val="30"/>
          <w:szCs w:val="30"/>
          <w:lang w:eastAsia="zh-CN"/>
        </w:rPr>
      </w:pPr>
      <w:r>
        <w:rPr>
          <w:rFonts w:hint="eastAsia" w:ascii="仿宋_GB2312" w:hAnsi="仿宋" w:eastAsia="仿宋_GB2312"/>
          <w:sz w:val="30"/>
          <w:szCs w:val="30"/>
          <w:lang w:eastAsia="zh-CN"/>
        </w:rPr>
        <w:t>高于该价格的买入申报与低于该价格的卖出申报全部成交的价格；</w:t>
      </w:r>
    </w:p>
    <w:p w14:paraId="3BE1E889">
      <w:pPr>
        <w:pStyle w:val="92"/>
        <w:widowControl w:val="0"/>
        <w:numPr>
          <w:ilvl w:val="0"/>
          <w:numId w:val="14"/>
        </w:numPr>
        <w:spacing w:line="600" w:lineRule="exact"/>
        <w:ind w:left="0" w:firstLine="600" w:firstLineChars="200"/>
        <w:rPr>
          <w:rFonts w:ascii="仿宋_GB2312" w:hAnsi="仿宋" w:eastAsia="仿宋_GB2312"/>
          <w:sz w:val="30"/>
          <w:szCs w:val="30"/>
          <w:lang w:eastAsia="zh-CN"/>
        </w:rPr>
      </w:pPr>
      <w:r>
        <w:rPr>
          <w:rFonts w:hint="eastAsia" w:ascii="仿宋_GB2312" w:hAnsi="仿宋" w:eastAsia="仿宋_GB2312"/>
          <w:sz w:val="30"/>
          <w:szCs w:val="30"/>
          <w:lang w:eastAsia="zh-CN"/>
        </w:rPr>
        <w:t>与该价格相同的买方或者卖方至少有一方全部成交的价格。</w:t>
      </w:r>
    </w:p>
    <w:p w14:paraId="7A56C20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两个以上申报价格符合上述条件的，使未成交量最小的申报价格为成交价格；仍有两个以上使未成交量最小的申报价格符合上述条件的，其中间价为成交价格。</w:t>
      </w:r>
    </w:p>
    <w:p w14:paraId="2F5E6ADE">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集合匹配阶段的所有交易以同一价格成交。</w:t>
      </w:r>
    </w:p>
    <w:p w14:paraId="316DAA14">
      <w:pPr>
        <w:spacing w:line="600" w:lineRule="exact"/>
        <w:ind w:firstLine="600" w:firstLineChars="200"/>
        <w:outlineLvl w:val="3"/>
        <w:rPr>
          <w:rFonts w:ascii="仿宋_GB2312" w:eastAsia="仿宋_GB2312"/>
          <w:sz w:val="30"/>
          <w:szCs w:val="30"/>
        </w:rPr>
      </w:pPr>
      <w:r>
        <w:rPr>
          <w:rFonts w:hint="eastAsia" w:ascii="仿宋_GB2312" w:eastAsia="仿宋_GB2312"/>
          <w:sz w:val="30"/>
          <w:szCs w:val="30"/>
        </w:rPr>
        <w:t>（2）</w:t>
      </w:r>
      <w:r>
        <w:rPr>
          <w:rFonts w:hint="eastAsia" w:ascii="仿宋_GB2312" w:hAnsi="仿宋" w:eastAsia="仿宋_GB2312"/>
          <w:sz w:val="30"/>
          <w:szCs w:val="30"/>
        </w:rPr>
        <w:t>连续匹配成交价格确定原则</w:t>
      </w:r>
    </w:p>
    <w:p w14:paraId="04239A0A">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连续匹配时，成交价格的确定原则为：</w:t>
      </w:r>
    </w:p>
    <w:p w14:paraId="56E7B81B">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1</w:t>
      </w:r>
      <w:r>
        <w:rPr>
          <w:rFonts w:ascii="仿宋_GB2312" w:hAnsi="仿宋" w:eastAsia="仿宋_GB2312"/>
          <w:sz w:val="30"/>
          <w:szCs w:val="30"/>
        </w:rPr>
        <w:t>）</w:t>
      </w:r>
      <w:r>
        <w:rPr>
          <w:rFonts w:hint="eastAsia" w:ascii="仿宋_GB2312" w:hAnsi="仿宋" w:eastAsia="仿宋_GB2312"/>
          <w:sz w:val="30"/>
          <w:szCs w:val="30"/>
        </w:rPr>
        <w:t>最高买入申报价格与最低卖出申报价格相同，以该价格为成交价格；</w:t>
      </w:r>
    </w:p>
    <w:p w14:paraId="48A3D0AC">
      <w:pPr>
        <w:spacing w:line="600" w:lineRule="exact"/>
        <w:ind w:firstLine="600" w:firstLineChars="200"/>
        <w:rPr>
          <w:rFonts w:ascii="仿宋_GB2312" w:hAnsi="仿宋" w:eastAsia="仿宋_GB2312"/>
          <w:sz w:val="30"/>
          <w:szCs w:val="30"/>
        </w:rPr>
      </w:pPr>
      <w:r>
        <w:rPr>
          <w:rFonts w:ascii="仿宋_GB2312" w:hAnsi="仿宋" w:eastAsia="仿宋_GB2312"/>
          <w:sz w:val="30"/>
          <w:szCs w:val="30"/>
        </w:rPr>
        <w:t>2）</w:t>
      </w:r>
      <w:r>
        <w:rPr>
          <w:rFonts w:hint="eastAsia" w:ascii="仿宋_GB2312" w:hAnsi="仿宋" w:eastAsia="仿宋_GB2312"/>
          <w:sz w:val="30"/>
          <w:szCs w:val="30"/>
        </w:rPr>
        <w:t>买入申报价格高于即时揭示的最低卖出申报价格的，以即时揭示的最低卖出申报价格为成交价格；</w:t>
      </w:r>
    </w:p>
    <w:p w14:paraId="57C70169">
      <w:pPr>
        <w:spacing w:line="600" w:lineRule="exact"/>
        <w:ind w:firstLine="600" w:firstLineChars="200"/>
        <w:rPr>
          <w:rFonts w:ascii="仿宋_GB2312" w:hAnsi="仿宋" w:eastAsia="仿宋_GB2312"/>
          <w:sz w:val="30"/>
          <w:szCs w:val="30"/>
        </w:rPr>
      </w:pPr>
      <w:r>
        <w:rPr>
          <w:rFonts w:ascii="仿宋_GB2312" w:hAnsi="仿宋" w:eastAsia="仿宋_GB2312"/>
          <w:sz w:val="30"/>
          <w:szCs w:val="30"/>
        </w:rPr>
        <w:t>3）</w:t>
      </w:r>
      <w:r>
        <w:rPr>
          <w:rFonts w:hint="eastAsia" w:ascii="仿宋_GB2312" w:hAnsi="仿宋" w:eastAsia="仿宋_GB2312"/>
          <w:sz w:val="30"/>
          <w:szCs w:val="30"/>
        </w:rPr>
        <w:t>卖出申报价格低于即时揭示的最高买入申报价格的，以即时揭示的最高买入申报价格为成交价格。</w:t>
      </w:r>
    </w:p>
    <w:p w14:paraId="7BB28D20">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连续匹配的申报可以部分成交。</w:t>
      </w:r>
    </w:p>
    <w:p w14:paraId="6BD9C0F5">
      <w:pPr>
        <w:numPr>
          <w:ilvl w:val="2"/>
          <w:numId w:val="4"/>
        </w:numPr>
        <w:spacing w:line="600" w:lineRule="exact"/>
        <w:ind w:left="0" w:firstLine="0"/>
        <w:outlineLvl w:val="2"/>
        <w:rPr>
          <w:rFonts w:ascii="仿宋_GB2312" w:eastAsia="仿宋_GB2312"/>
          <w:b/>
          <w:sz w:val="30"/>
          <w:szCs w:val="30"/>
        </w:rPr>
      </w:pPr>
      <w:bookmarkStart w:id="503" w:name="_Toc37254252"/>
      <w:r>
        <w:rPr>
          <w:rFonts w:hint="eastAsia" w:ascii="仿宋_GB2312" w:eastAsia="仿宋_GB2312"/>
          <w:b/>
          <w:sz w:val="30"/>
          <w:szCs w:val="30"/>
        </w:rPr>
        <w:t xml:space="preserve"> 成交数据发送</w:t>
      </w:r>
      <w:bookmarkEnd w:id="503"/>
    </w:p>
    <w:p w14:paraId="7BA10DFB">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成交后，新债券交易系统</w:t>
      </w:r>
      <w:r>
        <w:rPr>
          <w:rFonts w:ascii="仿宋_GB2312" w:hAnsi="仿宋" w:eastAsia="仿宋_GB2312"/>
          <w:sz w:val="30"/>
          <w:szCs w:val="30"/>
        </w:rPr>
        <w:t>将</w:t>
      </w:r>
      <w:r>
        <w:rPr>
          <w:rFonts w:hint="eastAsia" w:ascii="仿宋_GB2312" w:hAnsi="仿宋" w:eastAsia="仿宋_GB2312"/>
          <w:sz w:val="30"/>
          <w:szCs w:val="30"/>
        </w:rPr>
        <w:t>逐笔成交数据</w:t>
      </w:r>
      <w:r>
        <w:rPr>
          <w:rFonts w:ascii="仿宋_GB2312" w:hAnsi="仿宋" w:eastAsia="仿宋_GB2312"/>
          <w:sz w:val="30"/>
          <w:szCs w:val="30"/>
        </w:rPr>
        <w:t>分别发送给交易</w:t>
      </w:r>
      <w:r>
        <w:rPr>
          <w:rFonts w:hint="eastAsia" w:ascii="仿宋_GB2312" w:hAnsi="仿宋" w:eastAsia="仿宋_GB2312"/>
          <w:sz w:val="30"/>
          <w:szCs w:val="30"/>
        </w:rPr>
        <w:t>对应的</w:t>
      </w:r>
      <w:r>
        <w:rPr>
          <w:rFonts w:ascii="仿宋_GB2312" w:hAnsi="仿宋" w:eastAsia="仿宋_GB2312"/>
          <w:sz w:val="30"/>
          <w:szCs w:val="30"/>
        </w:rPr>
        <w:t>买卖双方</w:t>
      </w:r>
      <w:r>
        <w:rPr>
          <w:rFonts w:hint="eastAsia" w:ascii="仿宋_GB2312" w:hAnsi="仿宋" w:eastAsia="仿宋_GB2312"/>
          <w:sz w:val="30"/>
          <w:szCs w:val="30"/>
        </w:rPr>
        <w:t>，债券投资者</w:t>
      </w:r>
      <w:r>
        <w:rPr>
          <w:rFonts w:ascii="仿宋_GB2312" w:hAnsi="仿宋" w:eastAsia="仿宋_GB2312"/>
          <w:sz w:val="30"/>
          <w:szCs w:val="30"/>
        </w:rPr>
        <w:t>仅能收到与自己相关的成交数据。</w:t>
      </w:r>
    </w:p>
    <w:p w14:paraId="1003351D">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成交数据</w:t>
      </w:r>
      <w:r>
        <w:rPr>
          <w:rFonts w:hint="eastAsia" w:ascii="仿宋_GB2312" w:eastAsia="仿宋_GB2312"/>
          <w:color w:val="000000"/>
          <w:sz w:val="30"/>
          <w:szCs w:val="30"/>
        </w:rPr>
        <w:t>具体要素及要素说明</w:t>
      </w:r>
      <w:r>
        <w:rPr>
          <w:rFonts w:hint="eastAsia" w:ascii="仿宋_GB2312" w:hAnsi="仿宋" w:eastAsia="仿宋_GB2312"/>
          <w:sz w:val="30"/>
          <w:szCs w:val="30"/>
        </w:rPr>
        <w:t>如下：</w:t>
      </w:r>
    </w:p>
    <w:tbl>
      <w:tblPr>
        <w:tblStyle w:val="43"/>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6996"/>
      </w:tblGrid>
      <w:tr w14:paraId="16D6A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005C2B3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要素名称</w:t>
            </w:r>
          </w:p>
        </w:tc>
        <w:tc>
          <w:tcPr>
            <w:tcW w:w="6996" w:type="dxa"/>
          </w:tcPr>
          <w:p w14:paraId="0F96648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要素说明</w:t>
            </w:r>
          </w:p>
        </w:tc>
      </w:tr>
      <w:tr w14:paraId="64B77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1CE14AD8">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成交编号</w:t>
            </w:r>
          </w:p>
        </w:tc>
        <w:tc>
          <w:tcPr>
            <w:tcW w:w="6996" w:type="dxa"/>
          </w:tcPr>
          <w:p w14:paraId="7B54C0F9">
            <w:pPr>
              <w:pStyle w:val="12"/>
              <w:ind w:firstLine="0" w:firstLineChars="0"/>
              <w:rPr>
                <w:rFonts w:ascii="仿宋_GB2312" w:eastAsia="仿宋_GB2312"/>
                <w:kern w:val="0"/>
                <w:lang w:bidi="en-US"/>
              </w:rPr>
            </w:pPr>
            <w:r>
              <w:rPr>
                <w:rFonts w:hint="eastAsia" w:ascii="仿宋_GB2312" w:eastAsia="仿宋_GB2312"/>
                <w:kern w:val="0"/>
                <w:lang w:bidi="en-US"/>
              </w:rPr>
              <w:t>新债券交易系统给成交单分配的唯一标识</w:t>
            </w:r>
          </w:p>
        </w:tc>
      </w:tr>
      <w:tr w14:paraId="6A81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4D28298E">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业务类型</w:t>
            </w:r>
          </w:p>
        </w:tc>
        <w:tc>
          <w:tcPr>
            <w:tcW w:w="6996" w:type="dxa"/>
          </w:tcPr>
          <w:p w14:paraId="3DD2EA0E">
            <w:pPr>
              <w:pStyle w:val="12"/>
              <w:ind w:firstLine="0" w:firstLineChars="0"/>
              <w:rPr>
                <w:rFonts w:ascii="仿宋_GB2312" w:eastAsia="仿宋_GB2312"/>
                <w:kern w:val="0"/>
                <w:lang w:bidi="en-US"/>
              </w:rPr>
            </w:pPr>
            <w:r>
              <w:rPr>
                <w:rFonts w:hint="eastAsia" w:ascii="仿宋_GB2312" w:eastAsia="仿宋_GB2312"/>
                <w:kern w:val="0"/>
                <w:lang w:bidi="en-US"/>
              </w:rPr>
              <w:t>对应交易订单的申报类型，第一阶段为现券限价申报</w:t>
            </w:r>
          </w:p>
        </w:tc>
      </w:tr>
      <w:tr w14:paraId="4BDF3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2" w:type="dxa"/>
          </w:tcPr>
          <w:p w14:paraId="29B5BCF2">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证券代码</w:t>
            </w:r>
          </w:p>
        </w:tc>
        <w:tc>
          <w:tcPr>
            <w:tcW w:w="6996" w:type="dxa"/>
          </w:tcPr>
          <w:p w14:paraId="3BE28D8C">
            <w:pPr>
              <w:pStyle w:val="12"/>
              <w:ind w:firstLine="0" w:firstLineChars="0"/>
              <w:rPr>
                <w:rFonts w:ascii="仿宋_GB2312" w:eastAsia="仿宋_GB2312"/>
                <w:kern w:val="0"/>
                <w:lang w:bidi="en-US"/>
              </w:rPr>
            </w:pPr>
            <w:r>
              <w:rPr>
                <w:rFonts w:hint="eastAsia" w:ascii="仿宋_GB2312" w:hAnsi="宋体" w:eastAsia="仿宋_GB2312"/>
                <w:kern w:val="0"/>
                <w:lang w:bidi="en-US"/>
              </w:rPr>
              <w:t>交易品种的证券代码，同申报订单</w:t>
            </w:r>
          </w:p>
        </w:tc>
      </w:tr>
      <w:tr w14:paraId="4FB8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09DBE18F">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证券简称</w:t>
            </w:r>
          </w:p>
        </w:tc>
        <w:tc>
          <w:tcPr>
            <w:tcW w:w="6996" w:type="dxa"/>
          </w:tcPr>
          <w:p w14:paraId="19B3DB95">
            <w:pPr>
              <w:pStyle w:val="12"/>
              <w:ind w:firstLine="0" w:firstLineChars="0"/>
              <w:rPr>
                <w:rFonts w:ascii="仿宋_GB2312" w:hAnsi="宋体" w:eastAsia="仿宋_GB2312"/>
                <w:kern w:val="0"/>
                <w:lang w:bidi="en-US"/>
              </w:rPr>
            </w:pPr>
            <w:r>
              <w:rPr>
                <w:rFonts w:hint="eastAsia" w:ascii="仿宋_GB2312" w:eastAsia="仿宋_GB2312"/>
                <w:kern w:val="0"/>
                <w:lang w:bidi="en-US"/>
              </w:rPr>
              <w:t>上交所证券简称，有证券代码的交易品种，简称根据证券代码自动显示</w:t>
            </w:r>
          </w:p>
        </w:tc>
      </w:tr>
      <w:tr w14:paraId="3E0FF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188B8A8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成交日期时间</w:t>
            </w:r>
          </w:p>
        </w:tc>
        <w:tc>
          <w:tcPr>
            <w:tcW w:w="6996" w:type="dxa"/>
          </w:tcPr>
          <w:p w14:paraId="32BDC92C">
            <w:pPr>
              <w:pStyle w:val="12"/>
              <w:ind w:firstLine="0" w:firstLineChars="0"/>
              <w:rPr>
                <w:rFonts w:ascii="仿宋_GB2312" w:eastAsia="仿宋_GB2312"/>
                <w:kern w:val="0"/>
                <w:lang w:bidi="en-US"/>
              </w:rPr>
            </w:pPr>
            <w:r>
              <w:rPr>
                <w:rFonts w:hint="eastAsia" w:ascii="仿宋_GB2312" w:eastAsia="仿宋_GB2312"/>
                <w:kern w:val="0"/>
                <w:lang w:bidi="en-US"/>
              </w:rPr>
              <w:t>交易成交的日期（年月日）及时间（时分秒）</w:t>
            </w:r>
          </w:p>
        </w:tc>
      </w:tr>
      <w:tr w14:paraId="633A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6847F1D8">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交易方向</w:t>
            </w:r>
          </w:p>
        </w:tc>
        <w:tc>
          <w:tcPr>
            <w:tcW w:w="6996" w:type="dxa"/>
          </w:tcPr>
          <w:p w14:paraId="6D2BE14F">
            <w:pPr>
              <w:pStyle w:val="12"/>
              <w:ind w:firstLine="0" w:firstLineChars="0"/>
              <w:rPr>
                <w:rFonts w:ascii="仿宋_GB2312" w:eastAsia="仿宋_GB2312"/>
                <w:kern w:val="0"/>
                <w:lang w:bidi="en-US"/>
              </w:rPr>
            </w:pPr>
            <w:r>
              <w:rPr>
                <w:rFonts w:hint="eastAsia" w:ascii="仿宋_GB2312" w:eastAsia="仿宋_GB2312"/>
                <w:kern w:val="0"/>
                <w:lang w:bidi="en-US"/>
              </w:rPr>
              <w:t>交易的买卖方向，即买入/卖出</w:t>
            </w:r>
            <w:r>
              <w:rPr>
                <w:rFonts w:hint="eastAsia" w:ascii="仿宋_GB2312" w:hAnsi="宋体" w:eastAsia="仿宋_GB2312"/>
                <w:kern w:val="0"/>
                <w:lang w:bidi="en-US"/>
              </w:rPr>
              <w:t>，同申报订单</w:t>
            </w:r>
          </w:p>
        </w:tc>
      </w:tr>
      <w:tr w14:paraId="5512B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2" w:type="dxa"/>
          </w:tcPr>
          <w:p w14:paraId="1C257D7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成交价格</w:t>
            </w:r>
          </w:p>
        </w:tc>
        <w:tc>
          <w:tcPr>
            <w:tcW w:w="6996" w:type="dxa"/>
          </w:tcPr>
          <w:p w14:paraId="7346F9AD">
            <w:pPr>
              <w:pStyle w:val="12"/>
              <w:ind w:firstLine="0" w:firstLineChars="0"/>
              <w:rPr>
                <w:rFonts w:ascii="仿宋_GB2312" w:eastAsia="仿宋_GB2312"/>
                <w:kern w:val="0"/>
                <w:lang w:bidi="en-US"/>
              </w:rPr>
            </w:pPr>
            <w:r>
              <w:rPr>
                <w:rFonts w:hint="eastAsia" w:ascii="仿宋_GB2312" w:eastAsia="仿宋_GB2312"/>
                <w:kern w:val="0"/>
                <w:lang w:bidi="en-US"/>
              </w:rPr>
              <w:t>成交的价格，单位：元</w:t>
            </w:r>
          </w:p>
        </w:tc>
      </w:tr>
      <w:tr w14:paraId="17680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7D206E1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成交数量</w:t>
            </w:r>
          </w:p>
        </w:tc>
        <w:tc>
          <w:tcPr>
            <w:tcW w:w="6996" w:type="dxa"/>
          </w:tcPr>
          <w:p w14:paraId="0D632462">
            <w:pPr>
              <w:pStyle w:val="12"/>
              <w:ind w:firstLine="0" w:firstLineChars="0"/>
              <w:rPr>
                <w:rFonts w:ascii="仿宋_GB2312" w:eastAsia="仿宋_GB2312"/>
                <w:kern w:val="0"/>
                <w:lang w:bidi="en-US"/>
              </w:rPr>
            </w:pPr>
            <w:r>
              <w:rPr>
                <w:rFonts w:hint="eastAsia" w:ascii="仿宋_GB2312" w:eastAsia="仿宋_GB2312"/>
                <w:kern w:val="0"/>
                <w:lang w:bidi="en-US"/>
              </w:rPr>
              <w:t>成交的数量，单位：千元面额，</w:t>
            </w:r>
          </w:p>
        </w:tc>
      </w:tr>
      <w:tr w14:paraId="02A52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0CE713DC">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成交金额</w:t>
            </w:r>
          </w:p>
        </w:tc>
        <w:tc>
          <w:tcPr>
            <w:tcW w:w="6996" w:type="dxa"/>
          </w:tcPr>
          <w:p w14:paraId="1B40DE33">
            <w:pPr>
              <w:pStyle w:val="12"/>
              <w:ind w:firstLine="0" w:firstLineChars="0"/>
              <w:rPr>
                <w:rFonts w:ascii="仿宋_GB2312" w:eastAsia="仿宋_GB2312"/>
                <w:kern w:val="0"/>
                <w:lang w:bidi="en-US"/>
              </w:rPr>
            </w:pPr>
            <w:r>
              <w:rPr>
                <w:rFonts w:hint="eastAsia" w:ascii="仿宋_GB2312" w:eastAsia="仿宋_GB2312"/>
                <w:kern w:val="0"/>
                <w:lang w:bidi="en-US"/>
              </w:rPr>
              <w:t>根据成交数量、成交价格计算：</w:t>
            </w:r>
          </w:p>
          <w:p w14:paraId="6CCEE1E9">
            <w:pPr>
              <w:pStyle w:val="12"/>
              <w:ind w:firstLine="0" w:firstLineChars="0"/>
              <w:rPr>
                <w:rFonts w:ascii="仿宋_GB2312" w:eastAsia="仿宋_GB2312"/>
                <w:kern w:val="0"/>
                <w:lang w:bidi="en-US"/>
              </w:rPr>
            </w:pPr>
            <w:r>
              <w:rPr>
                <w:rFonts w:ascii="仿宋_GB2312" w:hAnsi="宋体" w:eastAsia="仿宋_GB2312"/>
                <w:kern w:val="0"/>
                <w:szCs w:val="21"/>
                <w:lang w:bidi="en-US"/>
              </w:rPr>
              <w:t>成交数量</w:t>
            </w:r>
            <w:r>
              <w:rPr>
                <w:rFonts w:hint="eastAsia" w:ascii="仿宋_GB2312" w:hAnsi="宋体" w:eastAsia="仿宋_GB2312"/>
                <w:kern w:val="0"/>
                <w:szCs w:val="21"/>
                <w:lang w:bidi="en-US"/>
              </w:rPr>
              <w:t>（千</w:t>
            </w:r>
            <w:r>
              <w:rPr>
                <w:rFonts w:ascii="仿宋_GB2312" w:hAnsi="宋体" w:eastAsia="仿宋_GB2312"/>
                <w:kern w:val="0"/>
                <w:szCs w:val="21"/>
                <w:lang w:bidi="en-US"/>
              </w:rPr>
              <w:t>元面额</w:t>
            </w:r>
            <w:r>
              <w:rPr>
                <w:rFonts w:hint="eastAsia" w:ascii="仿宋_GB2312" w:hAnsi="宋体" w:eastAsia="仿宋_GB2312"/>
                <w:kern w:val="0"/>
                <w:szCs w:val="21"/>
                <w:lang w:bidi="en-US"/>
              </w:rPr>
              <w:t>）</w:t>
            </w:r>
            <w:r>
              <w:rPr>
                <w:rFonts w:ascii="仿宋_GB2312" w:hAnsi="宋体" w:eastAsia="仿宋_GB2312"/>
                <w:kern w:val="0"/>
                <w:szCs w:val="21"/>
                <w:lang w:bidi="en-US"/>
              </w:rPr>
              <w:t>/100*成交价格</w:t>
            </w:r>
          </w:p>
        </w:tc>
      </w:tr>
      <w:tr w14:paraId="7B14C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4F6E8C04">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交易账号</w:t>
            </w:r>
          </w:p>
        </w:tc>
        <w:tc>
          <w:tcPr>
            <w:tcW w:w="6996" w:type="dxa"/>
          </w:tcPr>
          <w:p w14:paraId="5E9AC734">
            <w:pPr>
              <w:pStyle w:val="12"/>
              <w:ind w:firstLine="0" w:firstLineChars="0"/>
              <w:rPr>
                <w:rFonts w:ascii="仿宋_GB2312" w:eastAsia="仿宋_GB2312"/>
                <w:kern w:val="0"/>
                <w:lang w:bidi="en-US"/>
              </w:rPr>
            </w:pPr>
            <w:r>
              <w:rPr>
                <w:rFonts w:hint="eastAsia" w:ascii="仿宋_GB2312" w:eastAsia="仿宋_GB2312"/>
                <w:kern w:val="0"/>
                <w:lang w:bidi="en-US"/>
              </w:rPr>
              <w:t>交易的证券账户号码</w:t>
            </w:r>
            <w:r>
              <w:rPr>
                <w:rFonts w:hint="eastAsia" w:ascii="仿宋_GB2312" w:hAnsi="宋体" w:eastAsia="仿宋_GB2312"/>
                <w:kern w:val="0"/>
                <w:lang w:bidi="en-US"/>
              </w:rPr>
              <w:t>，同申报订单</w:t>
            </w:r>
          </w:p>
        </w:tc>
      </w:tr>
      <w:tr w14:paraId="24D0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2" w:type="dxa"/>
          </w:tcPr>
          <w:p w14:paraId="44C8A813">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en-US" w:bidi="en-US"/>
              </w:rPr>
              <w:t>交易</w:t>
            </w:r>
            <w:r>
              <w:rPr>
                <w:rFonts w:hint="eastAsia" w:ascii="仿宋_GB2312" w:eastAsia="仿宋_GB2312"/>
                <w:b/>
                <w:kern w:val="0"/>
                <w:lang w:eastAsia="zh-CN" w:bidi="en-US"/>
              </w:rPr>
              <w:t>交易单元</w:t>
            </w:r>
          </w:p>
        </w:tc>
        <w:tc>
          <w:tcPr>
            <w:tcW w:w="6996" w:type="dxa"/>
          </w:tcPr>
          <w:p w14:paraId="062CBAB1">
            <w:pPr>
              <w:pStyle w:val="12"/>
              <w:ind w:firstLine="0" w:firstLineChars="0"/>
              <w:rPr>
                <w:rFonts w:ascii="仿宋_GB2312" w:eastAsia="仿宋_GB2312"/>
                <w:kern w:val="0"/>
                <w:lang w:bidi="en-US"/>
              </w:rPr>
            </w:pPr>
            <w:r>
              <w:rPr>
                <w:rFonts w:hint="eastAsia" w:ascii="仿宋_GB2312" w:eastAsia="仿宋_GB2312"/>
                <w:kern w:val="0"/>
                <w:lang w:bidi="en-US"/>
              </w:rPr>
              <w:t>交易参与人的交易单元号码</w:t>
            </w:r>
            <w:r>
              <w:rPr>
                <w:rFonts w:hint="eastAsia" w:ascii="仿宋_GB2312" w:hAnsi="宋体" w:eastAsia="仿宋_GB2312"/>
                <w:kern w:val="0"/>
                <w:lang w:bidi="en-US"/>
              </w:rPr>
              <w:t>，同申报订单</w:t>
            </w:r>
          </w:p>
        </w:tc>
      </w:tr>
      <w:tr w14:paraId="1C95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2C6FFA2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申报编号</w:t>
            </w:r>
          </w:p>
        </w:tc>
        <w:tc>
          <w:tcPr>
            <w:tcW w:w="6996" w:type="dxa"/>
          </w:tcPr>
          <w:p w14:paraId="08F4CD05">
            <w:pPr>
              <w:pStyle w:val="12"/>
              <w:ind w:firstLine="0" w:firstLineChars="0"/>
              <w:rPr>
                <w:rFonts w:ascii="仿宋_GB2312" w:eastAsia="仿宋_GB2312"/>
                <w:kern w:val="0"/>
                <w:lang w:bidi="en-US"/>
              </w:rPr>
            </w:pPr>
            <w:r>
              <w:rPr>
                <w:rFonts w:hint="eastAsia" w:ascii="仿宋_GB2312" w:eastAsia="仿宋_GB2312"/>
                <w:kern w:val="0"/>
                <w:lang w:bidi="en-US"/>
              </w:rPr>
              <w:t>交易参与人内部为申报订单编制的序号</w:t>
            </w:r>
            <w:r>
              <w:rPr>
                <w:rFonts w:hint="eastAsia" w:ascii="仿宋_GB2312" w:hAnsi="宋体" w:eastAsia="仿宋_GB2312"/>
                <w:kern w:val="0"/>
                <w:lang w:bidi="en-US"/>
              </w:rPr>
              <w:t>，同申报订单</w:t>
            </w:r>
          </w:p>
        </w:tc>
      </w:tr>
      <w:tr w14:paraId="278F0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2" w:type="dxa"/>
          </w:tcPr>
          <w:p w14:paraId="69DC6226">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交易方式</w:t>
            </w:r>
          </w:p>
        </w:tc>
        <w:tc>
          <w:tcPr>
            <w:tcW w:w="6996" w:type="dxa"/>
          </w:tcPr>
          <w:p w14:paraId="222A38D6">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匹配成交</w:t>
            </w:r>
          </w:p>
        </w:tc>
      </w:tr>
    </w:tbl>
    <w:p w14:paraId="3DA7B25E">
      <w:pPr>
        <w:numPr>
          <w:ilvl w:val="1"/>
          <w:numId w:val="4"/>
        </w:numPr>
        <w:spacing w:line="600" w:lineRule="exact"/>
        <w:ind w:left="0" w:firstLine="0"/>
        <w:outlineLvl w:val="1"/>
        <w:rPr>
          <w:rFonts w:ascii="仿宋_GB2312" w:eastAsia="仿宋_GB2312"/>
          <w:b/>
          <w:sz w:val="30"/>
          <w:szCs w:val="30"/>
        </w:rPr>
      </w:pPr>
      <w:bookmarkStart w:id="504" w:name="_Toc1043388609"/>
      <w:bookmarkStart w:id="505" w:name="_Toc1000064878"/>
      <w:bookmarkStart w:id="506" w:name="_Toc272467302"/>
      <w:bookmarkStart w:id="507" w:name="_Toc151136901"/>
      <w:bookmarkStart w:id="508" w:name="_Toc88375543"/>
      <w:bookmarkStart w:id="509" w:name="_Toc1809994692"/>
      <w:bookmarkStart w:id="510" w:name="_Toc107809055"/>
      <w:r>
        <w:rPr>
          <w:rFonts w:hint="eastAsia" w:ascii="仿宋_GB2312" w:eastAsia="仿宋_GB2312"/>
          <w:b/>
          <w:sz w:val="30"/>
          <w:szCs w:val="30"/>
        </w:rPr>
        <w:t>协商成交</w:t>
      </w:r>
      <w:bookmarkEnd w:id="504"/>
      <w:bookmarkEnd w:id="505"/>
      <w:bookmarkEnd w:id="506"/>
      <w:bookmarkEnd w:id="507"/>
      <w:bookmarkEnd w:id="508"/>
      <w:bookmarkEnd w:id="509"/>
      <w:bookmarkEnd w:id="510"/>
    </w:p>
    <w:p w14:paraId="16E28135">
      <w:pPr>
        <w:numPr>
          <w:ilvl w:val="2"/>
          <w:numId w:val="4"/>
        </w:numPr>
        <w:spacing w:line="600" w:lineRule="exact"/>
        <w:ind w:left="0" w:firstLine="0"/>
        <w:outlineLvl w:val="2"/>
        <w:rPr>
          <w:rFonts w:ascii="仿宋_GB2312" w:eastAsia="仿宋_GB2312"/>
          <w:b/>
          <w:sz w:val="30"/>
          <w:szCs w:val="30"/>
        </w:rPr>
      </w:pPr>
      <w:bookmarkStart w:id="511" w:name="_Toc57908913"/>
      <w:r>
        <w:rPr>
          <w:rFonts w:hint="eastAsia" w:ascii="仿宋_GB2312" w:eastAsia="仿宋_GB2312"/>
          <w:b/>
          <w:sz w:val="30"/>
          <w:szCs w:val="30"/>
        </w:rPr>
        <w:t>定义</w:t>
      </w:r>
      <w:bookmarkEnd w:id="511"/>
    </w:p>
    <w:p w14:paraId="59F6C0CB">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协商成交是指债券投资者之间通过协商等方式达成债券交易意向，并向</w:t>
      </w:r>
      <w:r>
        <w:rPr>
          <w:rFonts w:hint="eastAsia" w:ascii="仿宋_GB2312" w:hAnsi="仿宋" w:eastAsia="仿宋_GB2312"/>
          <w:sz w:val="30"/>
          <w:szCs w:val="30"/>
          <w:lang w:eastAsia="zh-CN"/>
        </w:rPr>
        <w:t>新固定收益系统</w:t>
      </w:r>
      <w:r>
        <w:rPr>
          <w:rFonts w:hint="eastAsia" w:ascii="仿宋_GB2312" w:hAnsi="仿宋" w:eastAsia="仿宋_GB2312"/>
          <w:sz w:val="30"/>
          <w:szCs w:val="30"/>
        </w:rPr>
        <w:t>申报，经</w:t>
      </w:r>
      <w:r>
        <w:rPr>
          <w:rFonts w:hint="eastAsia" w:ascii="仿宋_GB2312" w:hAnsi="仿宋" w:eastAsia="仿宋_GB2312"/>
          <w:sz w:val="30"/>
          <w:szCs w:val="30"/>
          <w:lang w:eastAsia="zh-CN"/>
        </w:rPr>
        <w:t>新固定收益系统</w:t>
      </w:r>
      <w:r>
        <w:rPr>
          <w:rFonts w:hint="eastAsia" w:ascii="仿宋_GB2312" w:hAnsi="仿宋" w:eastAsia="仿宋_GB2312"/>
          <w:sz w:val="30"/>
          <w:szCs w:val="30"/>
        </w:rPr>
        <w:t>确认成交的交易方式。</w:t>
      </w:r>
    </w:p>
    <w:p w14:paraId="0AF7CD3B">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本所</w:t>
      </w:r>
      <w:r>
        <w:rPr>
          <w:rFonts w:hint="eastAsia" w:ascii="仿宋_GB2312" w:hAnsi="仿宋" w:eastAsia="仿宋_GB2312"/>
          <w:sz w:val="30"/>
          <w:szCs w:val="30"/>
          <w:lang w:eastAsia="zh-CN"/>
        </w:rPr>
        <w:t>新固定收益系统</w:t>
      </w:r>
      <w:r>
        <w:rPr>
          <w:rFonts w:hint="eastAsia" w:ascii="仿宋_GB2312" w:hAnsi="仿宋" w:eastAsia="仿宋_GB2312"/>
          <w:sz w:val="30"/>
          <w:szCs w:val="30"/>
        </w:rPr>
        <w:t>为</w:t>
      </w:r>
      <w:r>
        <w:rPr>
          <w:rFonts w:hint="eastAsia" w:ascii="仿宋_GB2312" w:eastAsia="仿宋_GB2312"/>
          <w:sz w:val="30"/>
          <w:szCs w:val="30"/>
        </w:rPr>
        <w:t>协商成交申报提交</w:t>
      </w:r>
      <w:r>
        <w:rPr>
          <w:rFonts w:hint="eastAsia" w:ascii="仿宋_GB2312" w:hAnsi="仿宋" w:eastAsia="仿宋_GB2312"/>
          <w:sz w:val="30"/>
          <w:szCs w:val="30"/>
        </w:rPr>
        <w:t>提供</w:t>
      </w:r>
      <w:r>
        <w:rPr>
          <w:rFonts w:hint="eastAsia" w:ascii="仿宋_GB2312" w:hAnsi="仿宋" w:eastAsia="仿宋_GB2312"/>
          <w:sz w:val="30"/>
          <w:szCs w:val="30"/>
          <w:lang w:eastAsia="zh-CN"/>
        </w:rPr>
        <w:t>一债通</w:t>
      </w:r>
      <w:r>
        <w:rPr>
          <w:rFonts w:hint="eastAsia" w:ascii="仿宋_GB2312" w:hAnsi="仿宋" w:eastAsia="仿宋_GB2312"/>
          <w:sz w:val="30"/>
          <w:szCs w:val="30"/>
        </w:rPr>
        <w:t>和电子化接口，债券交易参与人可通过</w:t>
      </w:r>
      <w:r>
        <w:rPr>
          <w:rFonts w:hint="eastAsia" w:ascii="仿宋_GB2312" w:hAnsi="仿宋" w:eastAsia="仿宋_GB2312"/>
          <w:sz w:val="30"/>
          <w:szCs w:val="30"/>
          <w:lang w:eastAsia="zh-CN"/>
        </w:rPr>
        <w:t>一债通</w:t>
      </w:r>
      <w:r>
        <w:rPr>
          <w:rFonts w:hint="eastAsia" w:ascii="仿宋_GB2312" w:hAnsi="仿宋" w:eastAsia="仿宋_GB2312"/>
          <w:sz w:val="30"/>
          <w:szCs w:val="30"/>
        </w:rPr>
        <w:t>与电子化接口接入本所系统，并提交</w:t>
      </w:r>
      <w:r>
        <w:rPr>
          <w:rFonts w:hint="eastAsia" w:ascii="仿宋_GB2312" w:eastAsia="仿宋_GB2312"/>
          <w:sz w:val="30"/>
          <w:szCs w:val="30"/>
        </w:rPr>
        <w:t>协商成交申报信息</w:t>
      </w:r>
      <w:r>
        <w:rPr>
          <w:rFonts w:hint="eastAsia" w:ascii="仿宋_GB2312" w:hAnsi="仿宋" w:eastAsia="仿宋_GB2312"/>
          <w:sz w:val="30"/>
          <w:szCs w:val="30"/>
        </w:rPr>
        <w:t>。</w:t>
      </w:r>
    </w:p>
    <w:p w14:paraId="12CE7676">
      <w:pPr>
        <w:numPr>
          <w:ilvl w:val="2"/>
          <w:numId w:val="4"/>
        </w:numPr>
        <w:spacing w:line="600" w:lineRule="exact"/>
        <w:ind w:left="0" w:firstLine="0"/>
        <w:outlineLvl w:val="2"/>
        <w:rPr>
          <w:rFonts w:ascii="仿宋_GB2312" w:eastAsia="仿宋_GB2312"/>
          <w:b/>
          <w:sz w:val="30"/>
          <w:szCs w:val="30"/>
        </w:rPr>
      </w:pPr>
      <w:bookmarkStart w:id="512" w:name="_Toc57908914"/>
      <w:r>
        <w:rPr>
          <w:rFonts w:hint="eastAsia" w:ascii="仿宋_GB2312" w:eastAsia="仿宋_GB2312"/>
          <w:b/>
          <w:sz w:val="30"/>
          <w:szCs w:val="30"/>
        </w:rPr>
        <w:t>协商方式与流程</w:t>
      </w:r>
      <w:bookmarkEnd w:id="512"/>
    </w:p>
    <w:p w14:paraId="71680157">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债券投资者可以按照相关规则、本指南规定及内部风险控制要求，委托居间服务机构或者自行寻找交易对手，按照债券交易成交原则就债券交易要素协商达成一致。债券投资者可以通过多种方式寻找交易对手方并协商确定价格。</w:t>
      </w:r>
    </w:p>
    <w:p w14:paraId="5CD90D42">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交易</w:t>
      </w:r>
      <w:r>
        <w:rPr>
          <w:rFonts w:ascii="仿宋_GB2312" w:hAnsi="仿宋" w:eastAsia="仿宋_GB2312"/>
          <w:sz w:val="30"/>
          <w:szCs w:val="30"/>
        </w:rPr>
        <w:t>要素协商确定之后，</w:t>
      </w:r>
      <w:r>
        <w:rPr>
          <w:rFonts w:hint="eastAsia" w:ascii="仿宋_GB2312" w:hAnsi="仿宋" w:eastAsia="仿宋_GB2312"/>
          <w:sz w:val="30"/>
          <w:szCs w:val="30"/>
        </w:rPr>
        <w:t>双方可</w:t>
      </w:r>
      <w:r>
        <w:rPr>
          <w:rFonts w:ascii="仿宋_GB2312" w:hAnsi="仿宋" w:eastAsia="仿宋_GB2312"/>
          <w:sz w:val="30"/>
          <w:szCs w:val="30"/>
        </w:rPr>
        <w:t>分别</w:t>
      </w:r>
      <w:r>
        <w:rPr>
          <w:rFonts w:hint="eastAsia" w:ascii="仿宋_GB2312" w:hAnsi="仿宋" w:eastAsia="仿宋_GB2312"/>
          <w:sz w:val="30"/>
          <w:szCs w:val="30"/>
        </w:rPr>
        <w:t>提交协商</w:t>
      </w:r>
      <w:r>
        <w:rPr>
          <w:rFonts w:ascii="仿宋_GB2312" w:hAnsi="仿宋" w:eastAsia="仿宋_GB2312"/>
          <w:sz w:val="30"/>
          <w:szCs w:val="30"/>
        </w:rPr>
        <w:t>成交的</w:t>
      </w:r>
      <w:r>
        <w:rPr>
          <w:rFonts w:hint="eastAsia" w:ascii="仿宋_GB2312" w:hAnsi="仿宋" w:eastAsia="仿宋_GB2312"/>
          <w:sz w:val="30"/>
          <w:szCs w:val="30"/>
        </w:rPr>
        <w:t>申报，要素</w:t>
      </w:r>
      <w:r>
        <w:rPr>
          <w:rFonts w:ascii="仿宋_GB2312" w:hAnsi="仿宋" w:eastAsia="仿宋_GB2312"/>
          <w:sz w:val="30"/>
          <w:szCs w:val="30"/>
        </w:rPr>
        <w:t>相互匹配的，交易</w:t>
      </w:r>
      <w:r>
        <w:rPr>
          <w:rFonts w:hint="eastAsia" w:ascii="仿宋_GB2312" w:hAnsi="仿宋" w:eastAsia="仿宋_GB2312"/>
          <w:sz w:val="30"/>
          <w:szCs w:val="30"/>
        </w:rPr>
        <w:t>系统</w:t>
      </w:r>
      <w:r>
        <w:rPr>
          <w:rFonts w:ascii="仿宋_GB2312" w:hAnsi="仿宋" w:eastAsia="仿宋_GB2312"/>
          <w:sz w:val="30"/>
          <w:szCs w:val="30"/>
        </w:rPr>
        <w:t>予以</w:t>
      </w:r>
      <w:r>
        <w:rPr>
          <w:rFonts w:hint="eastAsia" w:ascii="仿宋_GB2312" w:hAnsi="仿宋" w:eastAsia="仿宋_GB2312"/>
          <w:sz w:val="30"/>
          <w:szCs w:val="30"/>
        </w:rPr>
        <w:t>确认。</w:t>
      </w:r>
    </w:p>
    <w:p w14:paraId="1B23D24D">
      <w:pPr>
        <w:numPr>
          <w:ilvl w:val="2"/>
          <w:numId w:val="4"/>
        </w:numPr>
        <w:spacing w:line="600" w:lineRule="exact"/>
        <w:ind w:left="0" w:firstLine="0"/>
        <w:outlineLvl w:val="2"/>
        <w:rPr>
          <w:rFonts w:ascii="仿宋_GB2312" w:eastAsia="仿宋_GB2312"/>
          <w:b/>
          <w:sz w:val="30"/>
          <w:szCs w:val="30"/>
        </w:rPr>
      </w:pPr>
      <w:bookmarkStart w:id="513" w:name="_Toc57908915"/>
      <w:r>
        <w:rPr>
          <w:rFonts w:hint="eastAsia" w:ascii="仿宋_GB2312" w:eastAsia="仿宋_GB2312"/>
          <w:b/>
          <w:sz w:val="30"/>
          <w:szCs w:val="30"/>
        </w:rPr>
        <w:t>申报要求</w:t>
      </w:r>
      <w:bookmarkEnd w:id="513"/>
    </w:p>
    <w:p w14:paraId="25A8B32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协商成交的申报要素应当包括</w:t>
      </w:r>
      <w:r>
        <w:rPr>
          <w:rFonts w:hint="eastAsia" w:ascii="仿宋_GB2312" w:hAnsi="仿宋" w:eastAsia="仿宋_GB2312"/>
          <w:sz w:val="30"/>
          <w:szCs w:val="30"/>
          <w:lang w:eastAsia="zh-CN"/>
        </w:rPr>
        <w:t>证券代码和简称</w:t>
      </w:r>
      <w:r>
        <w:rPr>
          <w:rFonts w:hint="eastAsia" w:ascii="仿宋_GB2312" w:hAnsi="仿宋" w:eastAsia="仿宋_GB2312"/>
          <w:sz w:val="30"/>
          <w:szCs w:val="30"/>
        </w:rPr>
        <w:t>、交易方向、价格、数量、证券账号、</w:t>
      </w:r>
      <w:r>
        <w:rPr>
          <w:rFonts w:hint="eastAsia" w:ascii="仿宋_GB2312" w:eastAsia="仿宋_GB2312"/>
          <w:color w:val="000000"/>
          <w:sz w:val="30"/>
          <w:szCs w:val="30"/>
        </w:rPr>
        <w:t>交易双方名称、</w:t>
      </w:r>
      <w:r>
        <w:rPr>
          <w:rFonts w:hint="eastAsia" w:ascii="仿宋_GB2312" w:eastAsia="仿宋_GB2312"/>
          <w:color w:val="000000"/>
          <w:sz w:val="30"/>
          <w:szCs w:val="30"/>
          <w:lang w:eastAsia="zh-CN"/>
        </w:rPr>
        <w:t>交易双方一债通账户、交易双方</w:t>
      </w:r>
      <w:r>
        <w:rPr>
          <w:rFonts w:hint="eastAsia" w:ascii="仿宋_GB2312" w:hAnsi="仿宋" w:eastAsia="仿宋_GB2312"/>
          <w:sz w:val="30"/>
          <w:szCs w:val="30"/>
        </w:rPr>
        <w:t>交易员、结算方式、约定号等内容。协商成交由交易双方分别填妥申报要素后各自提交申报。</w:t>
      </w:r>
    </w:p>
    <w:p w14:paraId="0A205B5D">
      <w:pPr>
        <w:widowControl/>
        <w:snapToGrid w:val="0"/>
        <w:spacing w:line="600" w:lineRule="exact"/>
        <w:ind w:firstLine="600" w:firstLineChars="200"/>
        <w:rPr>
          <w:kern w:val="0"/>
          <w:sz w:val="24"/>
          <w:szCs w:val="24"/>
        </w:rPr>
      </w:pPr>
      <w:r>
        <w:rPr>
          <w:rFonts w:hint="eastAsia" w:ascii="仿宋_GB2312" w:hAnsi="仿宋" w:eastAsia="仿宋_GB2312"/>
          <w:sz w:val="30"/>
          <w:szCs w:val="30"/>
        </w:rPr>
        <w:t>协商成交申报</w:t>
      </w:r>
      <w:r>
        <w:rPr>
          <w:rFonts w:hint="eastAsia" w:ascii="仿宋_GB2312" w:eastAsia="仿宋_GB2312"/>
          <w:sz w:val="30"/>
          <w:szCs w:val="30"/>
        </w:rPr>
        <w:t>具体要素及要素说明如下</w:t>
      </w:r>
      <w:r>
        <w:rPr>
          <w:rFonts w:hint="eastAsia" w:ascii="仿宋_GB2312" w:hAnsi="仿宋" w:eastAsia="仿宋_GB2312"/>
          <w:sz w:val="30"/>
          <w:szCs w:val="30"/>
        </w:rPr>
        <w:t>：</w:t>
      </w:r>
    </w:p>
    <w:tbl>
      <w:tblPr>
        <w:tblStyle w:val="43"/>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6146"/>
      </w:tblGrid>
      <w:tr w14:paraId="1B75D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19ECC066">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要素名称</w:t>
            </w:r>
          </w:p>
        </w:tc>
        <w:tc>
          <w:tcPr>
            <w:tcW w:w="6146" w:type="dxa"/>
          </w:tcPr>
          <w:p w14:paraId="2126FDF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要素说明</w:t>
            </w:r>
          </w:p>
        </w:tc>
      </w:tr>
      <w:tr w14:paraId="625E5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7ADABAA5">
            <w:pPr>
              <w:pStyle w:val="12"/>
              <w:ind w:firstLine="0" w:firstLineChars="0"/>
              <w:rPr>
                <w:rFonts w:ascii="仿宋_GB2312" w:eastAsia="仿宋_GB2312"/>
                <w:b/>
                <w:kern w:val="0"/>
                <w:lang w:eastAsia="en-US" w:bidi="en-US"/>
              </w:rPr>
            </w:pPr>
            <w:r>
              <w:rPr>
                <w:rFonts w:hint="eastAsia" w:ascii="仿宋_GB2312" w:eastAsia="仿宋_GB2312"/>
                <w:b/>
                <w:kern w:val="0"/>
                <w:lang w:eastAsia="zh-CN" w:bidi="en-US"/>
              </w:rPr>
              <w:t>订单</w:t>
            </w:r>
            <w:r>
              <w:rPr>
                <w:rFonts w:hint="eastAsia" w:ascii="仿宋_GB2312" w:eastAsia="仿宋_GB2312"/>
                <w:b/>
                <w:kern w:val="0"/>
                <w:lang w:eastAsia="en-US" w:bidi="en-US"/>
              </w:rPr>
              <w:t>类型</w:t>
            </w:r>
          </w:p>
        </w:tc>
        <w:tc>
          <w:tcPr>
            <w:tcW w:w="6146" w:type="dxa"/>
          </w:tcPr>
          <w:p w14:paraId="6518CC55">
            <w:pPr>
              <w:pStyle w:val="12"/>
              <w:ind w:firstLine="0" w:firstLineChars="0"/>
              <w:rPr>
                <w:rFonts w:hint="eastAsia" w:ascii="仿宋_GB2312" w:hAnsi="宋体" w:eastAsia="仿宋_GB2312"/>
                <w:kern w:val="0"/>
                <w:lang w:eastAsia="zh-CN" w:bidi="en-US"/>
              </w:rPr>
            </w:pPr>
            <w:r>
              <w:rPr>
                <w:rFonts w:hint="eastAsia" w:ascii="仿宋_GB2312" w:hAnsi="宋体" w:eastAsia="仿宋_GB2312"/>
                <w:kern w:val="0"/>
                <w:lang w:eastAsia="zh-CN" w:bidi="en-US"/>
              </w:rPr>
              <w:t>现券</w:t>
            </w:r>
            <w:r>
              <w:rPr>
                <w:rFonts w:hint="eastAsia" w:ascii="仿宋_GB2312" w:hAnsi="宋体" w:eastAsia="仿宋_GB2312"/>
                <w:kern w:val="0"/>
                <w:lang w:eastAsia="en-US" w:bidi="en-US"/>
              </w:rPr>
              <w:t>协商成交</w:t>
            </w:r>
            <w:r>
              <w:rPr>
                <w:rFonts w:hint="eastAsia" w:ascii="仿宋_GB2312" w:hAnsi="宋体" w:eastAsia="仿宋_GB2312"/>
                <w:kern w:val="0"/>
                <w:lang w:eastAsia="zh-CN" w:bidi="en-US"/>
              </w:rPr>
              <w:t>，自动带出</w:t>
            </w:r>
          </w:p>
        </w:tc>
      </w:tr>
      <w:tr w14:paraId="6386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42150D21">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zh-CN" w:bidi="en-US"/>
              </w:rPr>
              <w:t>证券代码</w:t>
            </w:r>
          </w:p>
        </w:tc>
        <w:tc>
          <w:tcPr>
            <w:tcW w:w="6146" w:type="dxa"/>
          </w:tcPr>
          <w:p w14:paraId="5193B8CC">
            <w:pPr>
              <w:pStyle w:val="12"/>
              <w:ind w:firstLine="0" w:firstLineChars="0"/>
              <w:rPr>
                <w:rFonts w:ascii="仿宋_GB2312" w:eastAsia="仿宋_GB2312"/>
                <w:kern w:val="0"/>
                <w:lang w:bidi="en-US"/>
              </w:rPr>
            </w:pPr>
            <w:r>
              <w:rPr>
                <w:rFonts w:hint="eastAsia" w:ascii="仿宋_GB2312" w:hAnsi="宋体" w:eastAsia="仿宋_GB2312"/>
                <w:kern w:val="0"/>
                <w:lang w:bidi="en-US"/>
              </w:rPr>
              <w:t>交易品种的证券代码</w:t>
            </w:r>
          </w:p>
        </w:tc>
      </w:tr>
      <w:tr w14:paraId="1178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0" w:type="dxa"/>
          </w:tcPr>
          <w:p w14:paraId="01D7A15E">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zh-CN" w:bidi="en-US"/>
              </w:rPr>
              <w:t>证券简称</w:t>
            </w:r>
          </w:p>
        </w:tc>
        <w:tc>
          <w:tcPr>
            <w:tcW w:w="6146" w:type="dxa"/>
          </w:tcPr>
          <w:p w14:paraId="628E647E">
            <w:pPr>
              <w:pStyle w:val="12"/>
              <w:ind w:firstLine="0" w:firstLineChars="0"/>
              <w:rPr>
                <w:rFonts w:hint="eastAsia" w:ascii="仿宋_GB2312" w:hAnsi="宋体" w:eastAsia="仿宋_GB2312"/>
                <w:kern w:val="0"/>
                <w:lang w:bidi="en-US"/>
              </w:rPr>
            </w:pPr>
            <w:r>
              <w:rPr>
                <w:rFonts w:hint="eastAsia" w:ascii="仿宋_GB2312" w:hAnsi="宋体" w:eastAsia="仿宋_GB2312"/>
                <w:kern w:val="0"/>
                <w:lang w:bidi="en-US"/>
              </w:rPr>
              <w:t>即上交所证券简称，有证券代码的交易品种，简称根据证券代码自动显示</w:t>
            </w:r>
          </w:p>
        </w:tc>
      </w:tr>
      <w:tr w14:paraId="3BFD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03EB2C83">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交易方向</w:t>
            </w:r>
          </w:p>
        </w:tc>
        <w:tc>
          <w:tcPr>
            <w:tcW w:w="6146" w:type="dxa"/>
          </w:tcPr>
          <w:p w14:paraId="56ABCEB4">
            <w:pPr>
              <w:pStyle w:val="12"/>
              <w:ind w:firstLine="0" w:firstLineChars="0"/>
              <w:rPr>
                <w:rFonts w:ascii="仿宋_GB2312" w:eastAsia="仿宋_GB2312"/>
                <w:kern w:val="0"/>
                <w:lang w:bidi="en-US"/>
              </w:rPr>
            </w:pPr>
            <w:r>
              <w:rPr>
                <w:rFonts w:hint="eastAsia" w:ascii="仿宋_GB2312" w:eastAsia="仿宋_GB2312"/>
                <w:kern w:val="0"/>
                <w:lang w:bidi="en-US"/>
              </w:rPr>
              <w:t>交易的买卖方向，即买入/卖出</w:t>
            </w:r>
          </w:p>
        </w:tc>
      </w:tr>
      <w:tr w14:paraId="1A213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0127F592">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zh-CN" w:bidi="en-US"/>
              </w:rPr>
              <w:t>计价方式</w:t>
            </w:r>
          </w:p>
        </w:tc>
        <w:tc>
          <w:tcPr>
            <w:tcW w:w="6146" w:type="dxa"/>
          </w:tcPr>
          <w:p w14:paraId="50050B17">
            <w:pPr>
              <w:pStyle w:val="12"/>
              <w:ind w:firstLine="0" w:firstLineChars="0"/>
              <w:rPr>
                <w:rFonts w:ascii="仿宋_GB2312" w:eastAsia="仿宋_GB2312"/>
                <w:kern w:val="0"/>
                <w:lang w:bidi="en-US"/>
              </w:rPr>
            </w:pPr>
            <w:r>
              <w:rPr>
                <w:rFonts w:hint="eastAsia" w:ascii="仿宋_GB2312" w:eastAsia="仿宋_GB2312"/>
                <w:kern w:val="0"/>
                <w:lang w:bidi="en-US"/>
              </w:rPr>
              <w:t>净价或全价，自动显示</w:t>
            </w:r>
          </w:p>
        </w:tc>
      </w:tr>
      <w:tr w14:paraId="43223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7647A828">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价格</w:t>
            </w:r>
          </w:p>
        </w:tc>
        <w:tc>
          <w:tcPr>
            <w:tcW w:w="6146" w:type="dxa"/>
          </w:tcPr>
          <w:p w14:paraId="7FD18C6E">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单位：元</w:t>
            </w:r>
          </w:p>
        </w:tc>
      </w:tr>
      <w:tr w14:paraId="2985A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0" w:type="dxa"/>
          </w:tcPr>
          <w:p w14:paraId="0C7040B9">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数量</w:t>
            </w:r>
          </w:p>
        </w:tc>
        <w:tc>
          <w:tcPr>
            <w:tcW w:w="6146" w:type="dxa"/>
          </w:tcPr>
          <w:p w14:paraId="34BD55B3">
            <w:pPr>
              <w:pStyle w:val="12"/>
              <w:ind w:firstLine="0" w:firstLineChars="0"/>
              <w:rPr>
                <w:rFonts w:hint="eastAsia" w:ascii="仿宋_GB2312" w:eastAsia="仿宋_GB2312"/>
                <w:kern w:val="0"/>
                <w:lang w:val="en-US" w:eastAsia="zh-CN" w:bidi="en-US"/>
              </w:rPr>
            </w:pPr>
            <w:r>
              <w:rPr>
                <w:rFonts w:hint="eastAsia" w:ascii="仿宋_GB2312" w:eastAsia="仿宋_GB2312"/>
                <w:kern w:val="0"/>
                <w:lang w:eastAsia="en-US" w:bidi="en-US"/>
              </w:rPr>
              <w:t>单位：</w:t>
            </w:r>
            <w:r>
              <w:rPr>
                <w:rFonts w:hint="eastAsia" w:ascii="仿宋_GB2312" w:eastAsia="仿宋_GB2312"/>
                <w:kern w:val="0"/>
                <w:lang w:bidi="en-US"/>
              </w:rPr>
              <w:t>千</w:t>
            </w:r>
            <w:r>
              <w:rPr>
                <w:rFonts w:hint="eastAsia" w:ascii="仿宋_GB2312" w:eastAsia="仿宋_GB2312"/>
                <w:kern w:val="0"/>
                <w:lang w:eastAsia="en-US" w:bidi="en-US"/>
              </w:rPr>
              <w:t>元面额</w:t>
            </w:r>
            <w:r>
              <w:rPr>
                <w:rFonts w:hint="eastAsia" w:ascii="仿宋_GB2312" w:eastAsia="仿宋_GB2312"/>
                <w:kern w:val="0"/>
                <w:lang w:val="en-US" w:eastAsia="zh-CN" w:bidi="en-US"/>
              </w:rPr>
              <w:t>/份</w:t>
            </w:r>
          </w:p>
        </w:tc>
      </w:tr>
      <w:tr w14:paraId="1F8E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vAlign w:val="top"/>
          </w:tcPr>
          <w:p w14:paraId="30F2A35E">
            <w:pPr>
              <w:pStyle w:val="12"/>
              <w:ind w:firstLine="0" w:firstLineChars="0"/>
              <w:rPr>
                <w:rFonts w:hint="eastAsia" w:ascii="仿宋_GB2312" w:eastAsia="仿宋_GB2312"/>
                <w:b/>
                <w:kern w:val="0"/>
                <w:lang w:eastAsia="en-US" w:bidi="en-US"/>
              </w:rPr>
            </w:pPr>
            <w:r>
              <w:rPr>
                <w:rFonts w:hint="eastAsia" w:ascii="仿宋_GB2312" w:eastAsia="仿宋_GB2312"/>
                <w:b/>
                <w:kern w:val="0"/>
                <w:lang w:eastAsia="zh-CN" w:bidi="en-US"/>
              </w:rPr>
              <w:t>名义本金</w:t>
            </w:r>
          </w:p>
        </w:tc>
        <w:tc>
          <w:tcPr>
            <w:tcW w:w="6146" w:type="dxa"/>
            <w:vAlign w:val="top"/>
          </w:tcPr>
          <w:p w14:paraId="14DEADC3">
            <w:pPr>
              <w:pStyle w:val="12"/>
              <w:ind w:firstLine="0" w:firstLineChars="0"/>
              <w:rPr>
                <w:rFonts w:hint="eastAsia" w:ascii="仿宋_GB2312" w:eastAsia="仿宋_GB2312"/>
                <w:kern w:val="0"/>
                <w:lang w:eastAsia="en-US" w:bidi="en-US"/>
              </w:rPr>
            </w:pPr>
            <w:r>
              <w:rPr>
                <w:rFonts w:hint="eastAsia" w:ascii="仿宋_GB2312" w:eastAsia="仿宋_GB2312"/>
                <w:kern w:val="0"/>
                <w:lang w:eastAsia="zh-CN" w:bidi="en-US"/>
              </w:rPr>
              <w:t>单位：万元，如为信用保护凭证协商成交自动带出，否则隐藏</w:t>
            </w:r>
          </w:p>
        </w:tc>
      </w:tr>
      <w:tr w14:paraId="03432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195F3C17">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约定号</w:t>
            </w:r>
          </w:p>
        </w:tc>
        <w:tc>
          <w:tcPr>
            <w:tcW w:w="6146" w:type="dxa"/>
          </w:tcPr>
          <w:p w14:paraId="0F19FA2E">
            <w:pPr>
              <w:pStyle w:val="12"/>
              <w:ind w:firstLine="0" w:firstLineChars="0"/>
              <w:rPr>
                <w:rFonts w:ascii="仿宋_GB2312" w:eastAsia="仿宋_GB2312"/>
                <w:kern w:val="0"/>
                <w:lang w:bidi="en-US"/>
              </w:rPr>
            </w:pPr>
            <w:r>
              <w:rPr>
                <w:rFonts w:hint="eastAsia" w:ascii="仿宋_GB2312" w:eastAsia="仿宋_GB2312"/>
                <w:kern w:val="0"/>
                <w:lang w:bidi="en-US"/>
              </w:rPr>
              <w:t>双方线下协商约定的</w:t>
            </w:r>
            <w:r>
              <w:rPr>
                <w:rFonts w:hint="eastAsia" w:ascii="仿宋_GB2312" w:eastAsia="仿宋_GB2312"/>
                <w:kern w:val="0"/>
                <w:lang w:eastAsia="zh-CN" w:bidi="en-US"/>
              </w:rPr>
              <w:t>英文字母或</w:t>
            </w:r>
            <w:r>
              <w:rPr>
                <w:rFonts w:hint="eastAsia" w:ascii="仿宋_GB2312" w:eastAsia="仿宋_GB2312"/>
                <w:kern w:val="0"/>
                <w:lang w:bidi="en-US"/>
              </w:rPr>
              <w:t>数字</w:t>
            </w:r>
          </w:p>
        </w:tc>
      </w:tr>
      <w:tr w14:paraId="56CA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069625EA">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en-US" w:bidi="en-US"/>
              </w:rPr>
              <w:t>证券账</w:t>
            </w:r>
            <w:r>
              <w:rPr>
                <w:rFonts w:hint="eastAsia" w:ascii="仿宋_GB2312" w:eastAsia="仿宋_GB2312"/>
                <w:b/>
                <w:kern w:val="0"/>
                <w:lang w:eastAsia="zh-CN" w:bidi="en-US"/>
              </w:rPr>
              <w:t>户</w:t>
            </w:r>
          </w:p>
        </w:tc>
        <w:tc>
          <w:tcPr>
            <w:tcW w:w="6146" w:type="dxa"/>
          </w:tcPr>
          <w:p w14:paraId="29635F26">
            <w:pPr>
              <w:pStyle w:val="12"/>
              <w:ind w:firstLine="0" w:firstLineChars="0"/>
              <w:rPr>
                <w:rFonts w:ascii="仿宋_GB2312" w:eastAsia="仿宋_GB2312"/>
                <w:kern w:val="0"/>
                <w:lang w:bidi="en-US"/>
              </w:rPr>
            </w:pPr>
            <w:r>
              <w:rPr>
                <w:rFonts w:hint="eastAsia" w:ascii="仿宋_GB2312" w:eastAsia="仿宋_GB2312"/>
                <w:kern w:val="0"/>
                <w:lang w:eastAsia="zh-CN" w:bidi="en-US"/>
              </w:rPr>
              <w:t>本方</w:t>
            </w:r>
            <w:r>
              <w:rPr>
                <w:rFonts w:hint="eastAsia" w:ascii="仿宋_GB2312" w:eastAsia="仿宋_GB2312"/>
                <w:kern w:val="0"/>
                <w:lang w:bidi="en-US"/>
              </w:rPr>
              <w:t>交易参与人的证券账户号码</w:t>
            </w:r>
          </w:p>
        </w:tc>
      </w:tr>
      <w:tr w14:paraId="32703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0" w:type="dxa"/>
          </w:tcPr>
          <w:p w14:paraId="1B9FE33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证券账户名称</w:t>
            </w:r>
          </w:p>
        </w:tc>
        <w:tc>
          <w:tcPr>
            <w:tcW w:w="6146" w:type="dxa"/>
          </w:tcPr>
          <w:p w14:paraId="4CE3B4E1">
            <w:pPr>
              <w:pStyle w:val="12"/>
              <w:ind w:firstLine="0" w:firstLineChars="0"/>
              <w:rPr>
                <w:rFonts w:hint="eastAsia" w:ascii="仿宋_GB2312" w:eastAsia="仿宋_GB2312"/>
                <w:kern w:val="0"/>
                <w:lang w:eastAsia="zh-CN" w:bidi="en-US"/>
              </w:rPr>
            </w:pPr>
            <w:r>
              <w:rPr>
                <w:rFonts w:hint="eastAsia" w:ascii="仿宋_GB2312" w:eastAsia="仿宋_GB2312"/>
                <w:kern w:val="0"/>
                <w:lang w:bidi="en-US"/>
              </w:rPr>
              <w:t>交易参与人的证券账户名称</w:t>
            </w:r>
            <w:r>
              <w:rPr>
                <w:rFonts w:hint="eastAsia" w:ascii="仿宋_GB2312" w:eastAsia="仿宋_GB2312"/>
                <w:kern w:val="0"/>
                <w:lang w:eastAsia="zh-CN" w:bidi="en-US"/>
              </w:rPr>
              <w:t>，自动带出</w:t>
            </w:r>
          </w:p>
        </w:tc>
      </w:tr>
      <w:tr w14:paraId="2A0CF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44059C77">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zh-CN" w:bidi="en-US"/>
              </w:rPr>
              <w:t>本方</w:t>
            </w:r>
          </w:p>
        </w:tc>
        <w:tc>
          <w:tcPr>
            <w:tcW w:w="6146" w:type="dxa"/>
          </w:tcPr>
          <w:p w14:paraId="3CFFA070">
            <w:pPr>
              <w:pStyle w:val="12"/>
              <w:ind w:firstLine="0" w:firstLineChars="0"/>
              <w:rPr>
                <w:rFonts w:ascii="仿宋_GB2312" w:eastAsia="仿宋_GB2312"/>
                <w:kern w:val="0"/>
                <w:lang w:eastAsia="en-US" w:bidi="en-US"/>
              </w:rPr>
            </w:pPr>
            <w:r>
              <w:rPr>
                <w:rFonts w:hint="eastAsia" w:ascii="仿宋_GB2312" w:eastAsia="仿宋_GB2312"/>
                <w:kern w:val="0"/>
                <w:lang w:eastAsia="zh-CN" w:bidi="en-US"/>
              </w:rPr>
              <w:t>本方</w:t>
            </w:r>
            <w:r>
              <w:rPr>
                <w:rFonts w:hint="eastAsia" w:ascii="仿宋_GB2312" w:eastAsia="仿宋_GB2312"/>
                <w:kern w:val="0"/>
                <w:lang w:eastAsia="en-US" w:bidi="en-US"/>
              </w:rPr>
              <w:t>交易参与人简称</w:t>
            </w:r>
            <w:r>
              <w:rPr>
                <w:rFonts w:hint="eastAsia" w:ascii="仿宋_GB2312" w:eastAsia="仿宋_GB2312"/>
                <w:kern w:val="0"/>
                <w:lang w:eastAsia="zh-CN" w:bidi="en-US"/>
              </w:rPr>
              <w:t>，自动带出</w:t>
            </w:r>
          </w:p>
        </w:tc>
      </w:tr>
      <w:tr w14:paraId="49097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4DE0B7D9">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zh-CN" w:bidi="en-US"/>
              </w:rPr>
              <w:t>本方一债通账户</w:t>
            </w:r>
          </w:p>
        </w:tc>
        <w:tc>
          <w:tcPr>
            <w:tcW w:w="6146" w:type="dxa"/>
          </w:tcPr>
          <w:p w14:paraId="1442ABB8">
            <w:pPr>
              <w:pStyle w:val="12"/>
              <w:ind w:firstLine="0" w:firstLineChars="0"/>
              <w:rPr>
                <w:rFonts w:hint="eastAsia" w:ascii="仿宋_GB2312" w:eastAsia="仿宋_GB2312"/>
                <w:kern w:val="0"/>
                <w:lang w:eastAsia="zh-CN" w:bidi="en-US"/>
              </w:rPr>
            </w:pPr>
            <w:r>
              <w:rPr>
                <w:rFonts w:hint="eastAsia" w:ascii="仿宋_GB2312" w:eastAsia="仿宋_GB2312"/>
                <w:kern w:val="0"/>
                <w:lang w:eastAsia="zh-CN" w:bidi="en-US"/>
              </w:rPr>
              <w:t>本方交易员一债通账户号，自动带出</w:t>
            </w:r>
          </w:p>
        </w:tc>
      </w:tr>
      <w:tr w14:paraId="2CB6B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01FC1C66">
            <w:pPr>
              <w:pStyle w:val="12"/>
              <w:ind w:firstLine="0" w:firstLineChars="0"/>
              <w:rPr>
                <w:rFonts w:ascii="仿宋_GB2312" w:eastAsia="仿宋_GB2312"/>
                <w:b/>
                <w:kern w:val="0"/>
                <w:lang w:eastAsia="en-US" w:bidi="en-US"/>
              </w:rPr>
            </w:pPr>
            <w:r>
              <w:rPr>
                <w:rFonts w:hint="eastAsia" w:ascii="仿宋_GB2312" w:eastAsia="仿宋_GB2312"/>
                <w:b/>
                <w:kern w:val="0"/>
                <w:lang w:eastAsia="zh-CN" w:bidi="en-US"/>
              </w:rPr>
              <w:t>本方</w:t>
            </w:r>
            <w:r>
              <w:rPr>
                <w:rFonts w:hint="eastAsia" w:ascii="仿宋_GB2312" w:eastAsia="仿宋_GB2312"/>
                <w:b/>
                <w:kern w:val="0"/>
                <w:lang w:eastAsia="en-US" w:bidi="en-US"/>
              </w:rPr>
              <w:t>交易员</w:t>
            </w:r>
          </w:p>
        </w:tc>
        <w:tc>
          <w:tcPr>
            <w:tcW w:w="6146" w:type="dxa"/>
          </w:tcPr>
          <w:p w14:paraId="4123CA9D">
            <w:pPr>
              <w:pStyle w:val="12"/>
              <w:ind w:firstLine="0" w:firstLineChars="0"/>
              <w:rPr>
                <w:rFonts w:ascii="仿宋_GB2312" w:eastAsia="仿宋_GB2312"/>
                <w:kern w:val="0"/>
                <w:lang w:eastAsia="en-US" w:bidi="en-US"/>
              </w:rPr>
            </w:pPr>
            <w:r>
              <w:rPr>
                <w:rFonts w:hint="eastAsia" w:ascii="仿宋_GB2312" w:eastAsia="仿宋_GB2312"/>
                <w:kern w:val="0"/>
                <w:lang w:eastAsia="zh-CN" w:bidi="en-US"/>
              </w:rPr>
              <w:t>本方</w:t>
            </w:r>
            <w:r>
              <w:rPr>
                <w:rFonts w:hint="eastAsia" w:ascii="仿宋_GB2312" w:eastAsia="仿宋_GB2312"/>
                <w:kern w:val="0"/>
                <w:lang w:eastAsia="en-US" w:bidi="en-US"/>
              </w:rPr>
              <w:t>交易员名称</w:t>
            </w:r>
            <w:r>
              <w:rPr>
                <w:rFonts w:hint="eastAsia" w:ascii="仿宋_GB2312" w:eastAsia="仿宋_GB2312"/>
                <w:kern w:val="0"/>
                <w:lang w:eastAsia="zh-CN" w:bidi="en-US"/>
              </w:rPr>
              <w:t>，自动带出</w:t>
            </w:r>
          </w:p>
        </w:tc>
      </w:tr>
      <w:tr w14:paraId="5EDAA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0" w:type="dxa"/>
          </w:tcPr>
          <w:p w14:paraId="28D9000B">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对手方</w:t>
            </w:r>
          </w:p>
        </w:tc>
        <w:tc>
          <w:tcPr>
            <w:tcW w:w="6146" w:type="dxa"/>
          </w:tcPr>
          <w:p w14:paraId="00C81BAA">
            <w:pPr>
              <w:pStyle w:val="12"/>
              <w:ind w:firstLine="0" w:firstLineChars="0"/>
              <w:rPr>
                <w:rFonts w:ascii="仿宋_GB2312" w:eastAsia="仿宋_GB2312"/>
                <w:kern w:val="0"/>
                <w:lang w:bidi="en-US"/>
              </w:rPr>
            </w:pPr>
            <w:r>
              <w:rPr>
                <w:rFonts w:hint="eastAsia" w:ascii="仿宋_GB2312" w:eastAsia="仿宋_GB2312"/>
                <w:kern w:val="0"/>
                <w:lang w:bidi="en-US"/>
              </w:rPr>
              <w:t>对手方交易参与人简称</w:t>
            </w:r>
            <w:r>
              <w:rPr>
                <w:rFonts w:hint="eastAsia" w:ascii="仿宋_GB2312" w:eastAsia="仿宋_GB2312"/>
                <w:kern w:val="0"/>
                <w:lang w:eastAsia="zh-CN" w:bidi="en-US"/>
              </w:rPr>
              <w:t>，自动带出</w:t>
            </w:r>
          </w:p>
        </w:tc>
      </w:tr>
      <w:tr w14:paraId="3C4CF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7000930F">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对手</w:t>
            </w:r>
            <w:r>
              <w:rPr>
                <w:rFonts w:hint="eastAsia" w:ascii="仿宋_GB2312" w:eastAsia="仿宋_GB2312"/>
                <w:b/>
                <w:kern w:val="0"/>
                <w:lang w:eastAsia="zh-CN" w:bidi="en-US"/>
              </w:rPr>
              <w:t>方一债通账户</w:t>
            </w:r>
          </w:p>
        </w:tc>
        <w:tc>
          <w:tcPr>
            <w:tcW w:w="6146" w:type="dxa"/>
          </w:tcPr>
          <w:p w14:paraId="2C4B24E1">
            <w:pPr>
              <w:pStyle w:val="12"/>
              <w:ind w:firstLine="0" w:firstLineChars="0"/>
              <w:rPr>
                <w:rFonts w:ascii="仿宋_GB2312" w:eastAsia="仿宋_GB2312"/>
                <w:kern w:val="0"/>
                <w:lang w:bidi="en-US"/>
              </w:rPr>
            </w:pPr>
            <w:r>
              <w:rPr>
                <w:rFonts w:hint="eastAsia" w:ascii="仿宋_GB2312" w:eastAsia="仿宋_GB2312"/>
                <w:kern w:val="0"/>
                <w:lang w:bidi="en-US"/>
              </w:rPr>
              <w:t>对手方交易员</w:t>
            </w:r>
            <w:r>
              <w:rPr>
                <w:rFonts w:hint="eastAsia" w:ascii="仿宋_GB2312" w:eastAsia="仿宋_GB2312"/>
                <w:b w:val="0"/>
                <w:bCs/>
                <w:kern w:val="0"/>
                <w:lang w:eastAsia="zh-CN" w:bidi="en-US"/>
              </w:rPr>
              <w:t>一债通账户</w:t>
            </w:r>
          </w:p>
          <w:p w14:paraId="00B2F4B6">
            <w:pPr>
              <w:pStyle w:val="12"/>
              <w:ind w:firstLine="0" w:firstLineChars="0"/>
              <w:rPr>
                <w:rFonts w:ascii="仿宋_GB2312" w:eastAsia="仿宋_GB2312"/>
                <w:kern w:val="0"/>
                <w:lang w:bidi="en-US"/>
              </w:rPr>
            </w:pPr>
            <w:r>
              <w:rPr>
                <w:rFonts w:hint="eastAsia" w:ascii="仿宋_GB2312" w:eastAsia="仿宋_GB2312"/>
                <w:kern w:val="0"/>
                <w:lang w:bidi="en-US"/>
              </w:rPr>
              <w:t>对手方交易员包括对手方交易员（自营适用）、代理申报债券交易参与人的交易员（经纪业务适用）</w:t>
            </w:r>
          </w:p>
        </w:tc>
      </w:tr>
      <w:tr w14:paraId="3845F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65D00070">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对手方交易员</w:t>
            </w:r>
          </w:p>
        </w:tc>
        <w:tc>
          <w:tcPr>
            <w:tcW w:w="6146" w:type="dxa"/>
          </w:tcPr>
          <w:p w14:paraId="614BCB3A">
            <w:pPr>
              <w:pStyle w:val="12"/>
              <w:ind w:firstLine="0" w:firstLineChars="0"/>
              <w:rPr>
                <w:rFonts w:ascii="仿宋_GB2312" w:eastAsia="仿宋_GB2312"/>
                <w:kern w:val="0"/>
                <w:lang w:bidi="en-US"/>
              </w:rPr>
            </w:pPr>
            <w:r>
              <w:rPr>
                <w:rFonts w:hint="eastAsia" w:ascii="仿宋_GB2312" w:eastAsia="仿宋_GB2312"/>
                <w:kern w:val="0"/>
                <w:lang w:bidi="en-US"/>
              </w:rPr>
              <w:t>对手方交易员名称</w:t>
            </w:r>
          </w:p>
          <w:p w14:paraId="359E69A7">
            <w:pPr>
              <w:pStyle w:val="12"/>
              <w:ind w:firstLine="0" w:firstLineChars="0"/>
              <w:rPr>
                <w:rFonts w:ascii="仿宋_GB2312" w:eastAsia="仿宋_GB2312"/>
                <w:kern w:val="0"/>
                <w:lang w:bidi="en-US"/>
              </w:rPr>
            </w:pPr>
            <w:r>
              <w:rPr>
                <w:rFonts w:hint="eastAsia" w:ascii="仿宋_GB2312" w:eastAsia="仿宋_GB2312"/>
                <w:kern w:val="0"/>
                <w:lang w:bidi="en-US"/>
              </w:rPr>
              <w:t>对手方交易员包括对手方交易员（自营适用）、代理申报债券交易参与人的交易员（经纪业务适用）</w:t>
            </w:r>
          </w:p>
        </w:tc>
      </w:tr>
      <w:tr w14:paraId="5ABEA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24D67379">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结算方式</w:t>
            </w:r>
          </w:p>
        </w:tc>
        <w:tc>
          <w:tcPr>
            <w:tcW w:w="6146" w:type="dxa"/>
          </w:tcPr>
          <w:p w14:paraId="43BF363E">
            <w:pPr>
              <w:pStyle w:val="12"/>
              <w:ind w:firstLine="0" w:firstLineChars="0"/>
              <w:rPr>
                <w:rFonts w:ascii="仿宋_GB2312" w:eastAsia="仿宋_GB2312"/>
                <w:kern w:val="0"/>
                <w:lang w:bidi="en-US"/>
              </w:rPr>
            </w:pPr>
            <w:r>
              <w:rPr>
                <w:rFonts w:hint="eastAsia" w:ascii="仿宋_GB2312" w:eastAsia="仿宋_GB2312"/>
                <w:kern w:val="0"/>
                <w:lang w:bidi="en-US"/>
              </w:rPr>
              <w:t>根据</w:t>
            </w:r>
            <w:r>
              <w:rPr>
                <w:rFonts w:ascii="仿宋_GB2312" w:eastAsia="仿宋_GB2312"/>
                <w:kern w:val="0"/>
                <w:lang w:bidi="en-US"/>
              </w:rPr>
              <w:t>交易</w:t>
            </w:r>
            <w:r>
              <w:rPr>
                <w:rFonts w:hint="eastAsia" w:ascii="仿宋_GB2312" w:eastAsia="仿宋_GB2312"/>
                <w:kern w:val="0"/>
                <w:lang w:bidi="en-US"/>
              </w:rPr>
              <w:t>品种</w:t>
            </w:r>
            <w:r>
              <w:rPr>
                <w:rFonts w:ascii="仿宋_GB2312" w:eastAsia="仿宋_GB2312"/>
                <w:kern w:val="0"/>
                <w:lang w:bidi="en-US"/>
              </w:rPr>
              <w:t>，可选</w:t>
            </w:r>
            <w:r>
              <w:rPr>
                <w:rFonts w:hint="eastAsia" w:ascii="仿宋_GB2312" w:eastAsia="仿宋_GB2312"/>
                <w:kern w:val="0"/>
                <w:lang w:bidi="en-US"/>
              </w:rPr>
              <w:t>“逐笔全额结算”或“多边净额结算”。</w:t>
            </w:r>
          </w:p>
        </w:tc>
      </w:tr>
      <w:tr w14:paraId="16AC0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0" w:type="dxa"/>
          </w:tcPr>
          <w:p w14:paraId="2EB5927F">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en-US" w:bidi="en-US"/>
              </w:rPr>
              <w:t>交易</w:t>
            </w:r>
            <w:r>
              <w:rPr>
                <w:rFonts w:hint="eastAsia" w:ascii="仿宋_GB2312" w:eastAsia="仿宋_GB2312"/>
                <w:b/>
                <w:kern w:val="0"/>
                <w:lang w:eastAsia="zh-CN" w:bidi="en-US"/>
              </w:rPr>
              <w:t>单元</w:t>
            </w:r>
          </w:p>
        </w:tc>
        <w:tc>
          <w:tcPr>
            <w:tcW w:w="6146" w:type="dxa"/>
          </w:tcPr>
          <w:p w14:paraId="0AB366EC">
            <w:pPr>
              <w:pStyle w:val="12"/>
              <w:ind w:firstLine="0" w:firstLineChars="0"/>
              <w:rPr>
                <w:rFonts w:ascii="仿宋_GB2312" w:eastAsia="仿宋_GB2312"/>
                <w:kern w:val="0"/>
                <w:lang w:bidi="en-US"/>
              </w:rPr>
            </w:pPr>
            <w:r>
              <w:rPr>
                <w:rFonts w:hint="eastAsia" w:ascii="仿宋_GB2312" w:eastAsia="仿宋_GB2312"/>
                <w:kern w:val="0"/>
                <w:lang w:bidi="en-US"/>
              </w:rPr>
              <w:t>交易参与人的交易单元号码</w:t>
            </w:r>
            <w:r>
              <w:rPr>
                <w:rFonts w:hint="eastAsia" w:ascii="仿宋_GB2312" w:hAnsi="宋体" w:eastAsia="仿宋_GB2312"/>
                <w:kern w:val="0"/>
                <w:lang w:bidi="en-US"/>
              </w:rPr>
              <w:t>，</w:t>
            </w:r>
            <w:r>
              <w:rPr>
                <w:rFonts w:hint="eastAsia" w:ascii="仿宋_GB2312" w:eastAsia="仿宋_GB2312"/>
                <w:kern w:val="0"/>
                <w:lang w:bidi="en-US"/>
              </w:rPr>
              <w:t>自动显示</w:t>
            </w:r>
          </w:p>
        </w:tc>
      </w:tr>
      <w:tr w14:paraId="2AB0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0" w:type="dxa"/>
          </w:tcPr>
          <w:p w14:paraId="46B122ED">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zh-CN" w:bidi="en-US"/>
              </w:rPr>
              <w:t>订单备注</w:t>
            </w:r>
          </w:p>
        </w:tc>
        <w:tc>
          <w:tcPr>
            <w:tcW w:w="6146" w:type="dxa"/>
          </w:tcPr>
          <w:p w14:paraId="387C383F">
            <w:pPr>
              <w:pStyle w:val="12"/>
              <w:ind w:firstLine="0" w:firstLineChars="0"/>
              <w:rPr>
                <w:rFonts w:hint="eastAsia" w:ascii="仿宋_GB2312" w:eastAsia="仿宋_GB2312"/>
                <w:kern w:val="0"/>
                <w:lang w:eastAsia="zh-CN" w:bidi="en-US"/>
              </w:rPr>
            </w:pPr>
            <w:r>
              <w:rPr>
                <w:rFonts w:hint="eastAsia" w:ascii="仿宋_GB2312" w:eastAsia="仿宋_GB2312"/>
                <w:kern w:val="0"/>
                <w:lang w:eastAsia="zh-CN" w:bidi="en-US"/>
              </w:rPr>
              <w:t>选填</w:t>
            </w:r>
          </w:p>
        </w:tc>
      </w:tr>
    </w:tbl>
    <w:p w14:paraId="0E3B57E5">
      <w:pPr>
        <w:numPr>
          <w:ilvl w:val="2"/>
          <w:numId w:val="4"/>
        </w:numPr>
        <w:spacing w:line="600" w:lineRule="exact"/>
        <w:ind w:left="0" w:firstLine="0"/>
        <w:outlineLvl w:val="2"/>
        <w:rPr>
          <w:rFonts w:ascii="仿宋_GB2312" w:eastAsia="仿宋_GB2312"/>
          <w:b/>
          <w:sz w:val="30"/>
          <w:szCs w:val="30"/>
        </w:rPr>
      </w:pPr>
      <w:bookmarkStart w:id="514" w:name="_Toc969297"/>
      <w:bookmarkEnd w:id="514"/>
      <w:bookmarkStart w:id="515" w:name="_Toc969387"/>
      <w:bookmarkEnd w:id="515"/>
      <w:bookmarkStart w:id="516" w:name="_Toc1488569"/>
      <w:bookmarkEnd w:id="516"/>
      <w:bookmarkStart w:id="517" w:name="_Toc969477"/>
      <w:bookmarkEnd w:id="517"/>
      <w:bookmarkStart w:id="518" w:name="_Toc1657013"/>
      <w:bookmarkEnd w:id="518"/>
      <w:bookmarkStart w:id="519" w:name="_Toc1038835"/>
      <w:bookmarkEnd w:id="519"/>
      <w:bookmarkStart w:id="520" w:name="_Toc1655697"/>
      <w:bookmarkEnd w:id="520"/>
      <w:bookmarkStart w:id="521" w:name="_Toc1045266"/>
      <w:bookmarkEnd w:id="521"/>
      <w:r>
        <w:rPr>
          <w:rFonts w:hint="eastAsia" w:ascii="仿宋_GB2312" w:eastAsia="仿宋_GB2312"/>
          <w:b/>
          <w:sz w:val="30"/>
          <w:szCs w:val="30"/>
        </w:rPr>
        <w:t xml:space="preserve"> </w:t>
      </w:r>
      <w:bookmarkStart w:id="522" w:name="_Toc57908916"/>
      <w:r>
        <w:rPr>
          <w:rFonts w:hint="eastAsia" w:ascii="仿宋_GB2312" w:eastAsia="仿宋_GB2312"/>
          <w:b/>
          <w:sz w:val="30"/>
          <w:szCs w:val="30"/>
        </w:rPr>
        <w:t>成交</w:t>
      </w:r>
      <w:bookmarkEnd w:id="522"/>
    </w:p>
    <w:p w14:paraId="57A32EE4">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协商成交交易按双方协商一致的价格、数量、结算方式、结算周期等要素成交。</w:t>
      </w:r>
    </w:p>
    <w:p w14:paraId="261756F0">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交易双方填写的约定号</w:t>
      </w:r>
      <w:r>
        <w:rPr>
          <w:rFonts w:hint="eastAsia" w:ascii="仿宋_GB2312" w:hAnsi="仿宋" w:eastAsia="仿宋_GB2312"/>
          <w:sz w:val="30"/>
          <w:szCs w:val="30"/>
          <w:lang w:eastAsia="zh-CN"/>
        </w:rPr>
        <w:t>等交易要素</w:t>
      </w:r>
      <w:r>
        <w:rPr>
          <w:rFonts w:hint="eastAsia" w:ascii="仿宋_GB2312" w:hAnsi="仿宋" w:eastAsia="仿宋_GB2312"/>
          <w:sz w:val="30"/>
          <w:szCs w:val="30"/>
        </w:rPr>
        <w:t>一致，</w:t>
      </w:r>
      <w:r>
        <w:rPr>
          <w:rFonts w:hint="eastAsia" w:ascii="仿宋_GB2312" w:hAnsi="仿宋" w:eastAsia="仿宋_GB2312"/>
          <w:sz w:val="30"/>
          <w:szCs w:val="30"/>
          <w:lang w:eastAsia="zh-CN"/>
        </w:rPr>
        <w:t>新固定收益系统</w:t>
      </w:r>
      <w:r>
        <w:rPr>
          <w:rFonts w:hint="eastAsia" w:ascii="仿宋_GB2312" w:hAnsi="仿宋" w:eastAsia="仿宋_GB2312"/>
          <w:sz w:val="30"/>
          <w:szCs w:val="30"/>
        </w:rPr>
        <w:t>可确认成交。</w:t>
      </w:r>
    </w:p>
    <w:p w14:paraId="33C56684">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 xml:space="preserve"> </w:t>
      </w:r>
      <w:bookmarkStart w:id="523" w:name="_Toc57908917"/>
      <w:r>
        <w:rPr>
          <w:rFonts w:hint="eastAsia" w:ascii="仿宋_GB2312" w:eastAsia="仿宋_GB2312"/>
          <w:b/>
          <w:sz w:val="30"/>
          <w:szCs w:val="30"/>
        </w:rPr>
        <w:t>合并申报</w:t>
      </w:r>
      <w:bookmarkEnd w:id="523"/>
    </w:p>
    <w:p w14:paraId="2142860E">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（1）定义</w:t>
      </w:r>
    </w:p>
    <w:p w14:paraId="6F558E1E">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合并申报是指主做市商</w:t>
      </w:r>
      <w:r>
        <w:rPr>
          <w:rFonts w:hint="eastAsia" w:ascii="仿宋_GB2312" w:eastAsia="仿宋_GB2312"/>
          <w:color w:val="000000"/>
          <w:sz w:val="30"/>
          <w:szCs w:val="30"/>
        </w:rPr>
        <w:t>或者本所认可的其他机构</w:t>
      </w:r>
      <w:r>
        <w:rPr>
          <w:rFonts w:hint="eastAsia" w:ascii="仿宋_GB2312" w:hAnsi="仿宋" w:eastAsia="仿宋_GB2312"/>
          <w:sz w:val="30"/>
          <w:szCs w:val="30"/>
        </w:rPr>
        <w:t>（以下简称中间方）与不同对手方针对同一交易品种达成两笔数量、结算方式、结算周期相同但方向相反的交易意向，可以作为中间方将两笔交易合并向系统申报。</w:t>
      </w:r>
    </w:p>
    <w:p w14:paraId="301D7B8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中间方在场外以人工撮合买卖双方方式达成成交的，三方可以采用合并申报的方式。引入中间方不改变交易的权利义务关系</w:t>
      </w:r>
      <w:r>
        <w:rPr>
          <w:rFonts w:ascii="仿宋_GB2312" w:hAnsi="仿宋" w:eastAsia="仿宋_GB2312"/>
          <w:sz w:val="30"/>
          <w:szCs w:val="30"/>
        </w:rPr>
        <w:t>,合并申报</w:t>
      </w:r>
      <w:r>
        <w:rPr>
          <w:rFonts w:hint="eastAsia" w:ascii="仿宋_GB2312" w:hAnsi="仿宋" w:eastAsia="仿宋_GB2312"/>
          <w:sz w:val="30"/>
          <w:szCs w:val="30"/>
        </w:rPr>
        <w:t>实质为</w:t>
      </w:r>
      <w:r>
        <w:rPr>
          <w:rFonts w:ascii="仿宋_GB2312" w:hAnsi="仿宋" w:eastAsia="仿宋_GB2312"/>
          <w:sz w:val="30"/>
          <w:szCs w:val="30"/>
        </w:rPr>
        <w:t>两笔交易，分别是中间方</w:t>
      </w:r>
      <w:r>
        <w:rPr>
          <w:rFonts w:hint="eastAsia" w:ascii="仿宋_GB2312" w:hAnsi="仿宋" w:eastAsia="仿宋_GB2312"/>
          <w:sz w:val="30"/>
          <w:szCs w:val="30"/>
        </w:rPr>
        <w:t>从卖</w:t>
      </w:r>
      <w:r>
        <w:rPr>
          <w:rFonts w:ascii="仿宋_GB2312" w:hAnsi="仿宋" w:eastAsia="仿宋_GB2312"/>
          <w:sz w:val="30"/>
          <w:szCs w:val="30"/>
        </w:rPr>
        <w:t>方买入，中间方向</w:t>
      </w:r>
      <w:r>
        <w:rPr>
          <w:rFonts w:hint="eastAsia" w:ascii="仿宋_GB2312" w:hAnsi="仿宋" w:eastAsia="仿宋_GB2312"/>
          <w:sz w:val="30"/>
          <w:szCs w:val="30"/>
        </w:rPr>
        <w:t>买</w:t>
      </w:r>
      <w:r>
        <w:rPr>
          <w:rFonts w:ascii="仿宋_GB2312" w:hAnsi="仿宋" w:eastAsia="仿宋_GB2312"/>
          <w:sz w:val="30"/>
          <w:szCs w:val="30"/>
        </w:rPr>
        <w:t>方卖出。</w:t>
      </w:r>
    </w:p>
    <w:p w14:paraId="03F833AD">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合并申报涉及买方、卖方和中间方，合并申报只能由中间方发起，买方、卖方分别进行确认。</w:t>
      </w:r>
    </w:p>
    <w:p w14:paraId="5F587FDF">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（2）申报与成交</w:t>
      </w:r>
    </w:p>
    <w:p w14:paraId="261C659E">
      <w:pPr>
        <w:spacing w:line="600" w:lineRule="exact"/>
        <w:ind w:firstLine="600" w:firstLineChars="200"/>
        <w:rPr>
          <w:rFonts w:ascii="仿宋_GB2312" w:eastAsia="仿宋_GB2312"/>
          <w:color w:val="000000"/>
          <w:sz w:val="30"/>
          <w:szCs w:val="30"/>
        </w:rPr>
      </w:pPr>
      <w:r>
        <w:rPr>
          <w:rFonts w:hint="eastAsia" w:ascii="仿宋_GB2312" w:hAnsi="仿宋" w:eastAsia="仿宋_GB2312"/>
          <w:sz w:val="30"/>
          <w:szCs w:val="30"/>
        </w:rPr>
        <w:t>本所</w:t>
      </w:r>
      <w:r>
        <w:rPr>
          <w:rFonts w:hint="eastAsia" w:ascii="仿宋_GB2312" w:hAnsi="仿宋" w:eastAsia="仿宋_GB2312"/>
          <w:sz w:val="30"/>
          <w:szCs w:val="30"/>
          <w:lang w:eastAsia="zh-CN"/>
        </w:rPr>
        <w:t>新固定收益系统</w:t>
      </w:r>
      <w:r>
        <w:rPr>
          <w:rFonts w:hint="eastAsia" w:ascii="仿宋_GB2312" w:hAnsi="仿宋" w:eastAsia="仿宋_GB2312"/>
          <w:sz w:val="30"/>
          <w:szCs w:val="30"/>
        </w:rPr>
        <w:t>为</w:t>
      </w:r>
      <w:r>
        <w:rPr>
          <w:rFonts w:hint="eastAsia" w:ascii="仿宋_GB2312" w:eastAsia="仿宋_GB2312"/>
          <w:sz w:val="30"/>
          <w:szCs w:val="30"/>
        </w:rPr>
        <w:t>合并申报提交</w:t>
      </w:r>
      <w:r>
        <w:rPr>
          <w:rFonts w:hint="eastAsia" w:ascii="仿宋_GB2312" w:hAnsi="仿宋" w:eastAsia="仿宋_GB2312"/>
          <w:sz w:val="30"/>
          <w:szCs w:val="30"/>
        </w:rPr>
        <w:t>提供</w:t>
      </w:r>
      <w:r>
        <w:rPr>
          <w:rFonts w:hint="eastAsia" w:ascii="仿宋_GB2312" w:hAnsi="仿宋" w:eastAsia="仿宋_GB2312"/>
          <w:sz w:val="30"/>
          <w:szCs w:val="30"/>
          <w:lang w:eastAsia="zh-CN"/>
        </w:rPr>
        <w:t>一债通和接口申报</w:t>
      </w:r>
      <w:r>
        <w:rPr>
          <w:rFonts w:hint="eastAsia" w:ascii="仿宋_GB2312" w:hAnsi="仿宋" w:eastAsia="仿宋_GB2312"/>
          <w:sz w:val="30"/>
          <w:szCs w:val="30"/>
        </w:rPr>
        <w:t>，中间方可通过</w:t>
      </w:r>
      <w:r>
        <w:rPr>
          <w:rFonts w:hint="eastAsia" w:ascii="仿宋_GB2312" w:hAnsi="仿宋" w:eastAsia="仿宋_GB2312"/>
          <w:sz w:val="30"/>
          <w:szCs w:val="30"/>
          <w:lang w:eastAsia="zh-CN"/>
        </w:rPr>
        <w:t>一债通或电子接口</w:t>
      </w:r>
      <w:r>
        <w:rPr>
          <w:rFonts w:hint="eastAsia" w:ascii="仿宋_GB2312" w:hAnsi="仿宋" w:eastAsia="仿宋_GB2312"/>
          <w:sz w:val="30"/>
          <w:szCs w:val="30"/>
        </w:rPr>
        <w:t>提交</w:t>
      </w:r>
      <w:r>
        <w:rPr>
          <w:rFonts w:hint="eastAsia" w:ascii="仿宋_GB2312" w:eastAsia="仿宋_GB2312"/>
          <w:sz w:val="30"/>
          <w:szCs w:val="30"/>
        </w:rPr>
        <w:t>合并申报信息</w:t>
      </w:r>
      <w:r>
        <w:rPr>
          <w:rFonts w:hint="eastAsia" w:ascii="仿宋_GB2312" w:hAnsi="仿宋" w:eastAsia="仿宋_GB2312"/>
          <w:sz w:val="30"/>
          <w:szCs w:val="30"/>
        </w:rPr>
        <w:t>。</w:t>
      </w:r>
    </w:p>
    <w:p w14:paraId="42F287AA">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中间方发起的合并申报要素应包括交易品种、</w:t>
      </w:r>
      <w:r>
        <w:rPr>
          <w:rFonts w:hint="eastAsia" w:ascii="仿宋_GB2312" w:hAnsi="仿宋" w:eastAsia="仿宋_GB2312"/>
          <w:sz w:val="30"/>
          <w:szCs w:val="30"/>
          <w:lang w:eastAsia="zh-CN"/>
        </w:rPr>
        <w:t>本方</w:t>
      </w:r>
      <w:r>
        <w:rPr>
          <w:rFonts w:hint="eastAsia" w:ascii="仿宋_GB2312" w:hAnsi="仿宋" w:eastAsia="仿宋_GB2312"/>
          <w:sz w:val="30"/>
          <w:szCs w:val="30"/>
        </w:rPr>
        <w:t>买入价格、</w:t>
      </w:r>
      <w:r>
        <w:rPr>
          <w:rFonts w:hint="eastAsia" w:ascii="仿宋_GB2312" w:hAnsi="仿宋" w:eastAsia="仿宋_GB2312"/>
          <w:sz w:val="30"/>
          <w:szCs w:val="30"/>
          <w:lang w:eastAsia="zh-CN"/>
        </w:rPr>
        <w:t>本方</w:t>
      </w:r>
      <w:r>
        <w:rPr>
          <w:rFonts w:hint="eastAsia" w:ascii="仿宋_GB2312" w:hAnsi="仿宋" w:eastAsia="仿宋_GB2312"/>
          <w:sz w:val="30"/>
          <w:szCs w:val="30"/>
        </w:rPr>
        <w:t>卖出价格、数量、买方</w:t>
      </w:r>
      <w:r>
        <w:rPr>
          <w:rFonts w:hint="eastAsia" w:ascii="仿宋_GB2312" w:hAnsi="仿宋" w:eastAsia="仿宋_GB2312"/>
          <w:sz w:val="30"/>
          <w:szCs w:val="30"/>
          <w:lang w:eastAsia="zh-CN"/>
        </w:rPr>
        <w:t>一债通账户</w:t>
      </w:r>
      <w:r>
        <w:rPr>
          <w:rFonts w:hint="eastAsia" w:ascii="仿宋_GB2312" w:hAnsi="仿宋" w:eastAsia="仿宋_GB2312"/>
          <w:sz w:val="30"/>
          <w:szCs w:val="30"/>
        </w:rPr>
        <w:t>、买方交易员、卖方</w:t>
      </w:r>
      <w:r>
        <w:rPr>
          <w:rFonts w:hint="eastAsia" w:ascii="仿宋_GB2312" w:hAnsi="仿宋" w:eastAsia="仿宋_GB2312"/>
          <w:sz w:val="30"/>
          <w:szCs w:val="30"/>
          <w:lang w:eastAsia="zh-CN"/>
        </w:rPr>
        <w:t>一债通账户</w:t>
      </w:r>
      <w:r>
        <w:rPr>
          <w:rFonts w:hint="eastAsia" w:ascii="仿宋_GB2312" w:hAnsi="仿宋" w:eastAsia="仿宋_GB2312"/>
          <w:sz w:val="30"/>
          <w:szCs w:val="30"/>
        </w:rPr>
        <w:t>、卖方交易员、结算方式、</w:t>
      </w:r>
      <w:r>
        <w:rPr>
          <w:rFonts w:hint="eastAsia" w:ascii="仿宋_GB2312" w:hAnsi="仿宋" w:eastAsia="仿宋_GB2312"/>
          <w:sz w:val="30"/>
          <w:szCs w:val="30"/>
          <w:lang w:eastAsia="zh-CN"/>
        </w:rPr>
        <w:t>本方一债通账户、本</w:t>
      </w:r>
      <w:r>
        <w:rPr>
          <w:rFonts w:hint="eastAsia" w:ascii="仿宋_GB2312" w:hAnsi="仿宋" w:eastAsia="仿宋_GB2312"/>
          <w:sz w:val="30"/>
          <w:szCs w:val="30"/>
        </w:rPr>
        <w:t>方证券账户等。</w:t>
      </w:r>
    </w:p>
    <w:p w14:paraId="3AF2DA0F">
      <w:pPr>
        <w:spacing w:line="600" w:lineRule="exact"/>
        <w:ind w:firstLine="600" w:firstLineChars="200"/>
      </w:pPr>
      <w:r>
        <w:rPr>
          <w:rFonts w:hint="eastAsia" w:ascii="仿宋_GB2312" w:hAnsi="仿宋" w:eastAsia="仿宋_GB2312"/>
          <w:sz w:val="30"/>
          <w:szCs w:val="30"/>
        </w:rPr>
        <w:t>中间方合并申报</w:t>
      </w:r>
      <w:r>
        <w:rPr>
          <w:rFonts w:hint="eastAsia" w:ascii="仿宋_GB2312" w:eastAsia="仿宋_GB2312"/>
          <w:sz w:val="30"/>
          <w:szCs w:val="30"/>
        </w:rPr>
        <w:t>具体要素及要素说明如下</w:t>
      </w:r>
      <w:r>
        <w:rPr>
          <w:rFonts w:hint="eastAsia"/>
        </w:rPr>
        <w:t>：</w:t>
      </w:r>
    </w:p>
    <w:tbl>
      <w:tblPr>
        <w:tblStyle w:val="4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6571"/>
      </w:tblGrid>
      <w:tr w14:paraId="2CEAA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12F0B397">
            <w:pPr>
              <w:pStyle w:val="12"/>
              <w:ind w:firstLine="0" w:firstLineChars="0"/>
              <w:jc w:val="left"/>
              <w:rPr>
                <w:rFonts w:ascii="宋体" w:hAnsi="宋体"/>
                <w:b/>
                <w:color w:val="000000"/>
                <w:kern w:val="0"/>
                <w:lang w:eastAsia="en-US" w:bidi="en-US"/>
              </w:rPr>
            </w:pPr>
            <w:r>
              <w:rPr>
                <w:rFonts w:hint="eastAsia" w:ascii="仿宋_GB2312" w:hAnsi="宋体" w:eastAsia="仿宋_GB2312"/>
                <w:b/>
                <w:color w:val="000000"/>
                <w:kern w:val="0"/>
                <w:lang w:eastAsia="en-US" w:bidi="en-US"/>
              </w:rPr>
              <w:t>要素</w:t>
            </w:r>
          </w:p>
        </w:tc>
        <w:tc>
          <w:tcPr>
            <w:tcW w:w="6571" w:type="dxa"/>
          </w:tcPr>
          <w:p w14:paraId="72A484B7">
            <w:pPr>
              <w:pStyle w:val="12"/>
              <w:ind w:firstLine="0" w:firstLineChars="0"/>
              <w:jc w:val="left"/>
              <w:rPr>
                <w:rFonts w:ascii="宋体" w:hAnsi="宋体"/>
                <w:b/>
                <w:color w:val="000000"/>
                <w:kern w:val="0"/>
                <w:lang w:eastAsia="en-US" w:bidi="en-US"/>
              </w:rPr>
            </w:pPr>
            <w:r>
              <w:rPr>
                <w:rFonts w:hint="eastAsia" w:ascii="仿宋_GB2312" w:hAnsi="宋体" w:eastAsia="仿宋_GB2312"/>
                <w:b/>
                <w:color w:val="000000"/>
                <w:kern w:val="0"/>
                <w:lang w:eastAsia="en-US" w:bidi="en-US"/>
              </w:rPr>
              <w:t>要素说明</w:t>
            </w:r>
          </w:p>
        </w:tc>
      </w:tr>
      <w:tr w14:paraId="62885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24298509">
            <w:pPr>
              <w:pStyle w:val="12"/>
              <w:ind w:firstLine="0" w:firstLineChars="0"/>
              <w:rPr>
                <w:rFonts w:ascii="宋体" w:hAnsi="宋体"/>
                <w:color w:val="000000"/>
                <w:kern w:val="0"/>
                <w:lang w:eastAsia="en-US" w:bidi="en-US"/>
              </w:rPr>
            </w:pPr>
            <w:r>
              <w:rPr>
                <w:rFonts w:hint="eastAsia" w:ascii="仿宋_GB2312" w:eastAsia="仿宋_GB2312"/>
                <w:b/>
                <w:kern w:val="0"/>
                <w:lang w:eastAsia="zh-CN" w:bidi="en-US"/>
              </w:rPr>
              <w:t>订单</w:t>
            </w:r>
            <w:r>
              <w:rPr>
                <w:rFonts w:hint="eastAsia" w:ascii="仿宋_GB2312" w:eastAsia="仿宋_GB2312"/>
                <w:b/>
                <w:kern w:val="0"/>
                <w:lang w:eastAsia="en-US" w:bidi="en-US"/>
              </w:rPr>
              <w:t>类型</w:t>
            </w:r>
          </w:p>
        </w:tc>
        <w:tc>
          <w:tcPr>
            <w:tcW w:w="6571" w:type="dxa"/>
          </w:tcPr>
          <w:p w14:paraId="7B04D3ED">
            <w:pPr>
              <w:pStyle w:val="12"/>
              <w:ind w:firstLine="0" w:firstLineChars="0"/>
              <w:rPr>
                <w:rFonts w:hint="eastAsia" w:ascii="仿宋_GB2312" w:eastAsia="仿宋_GB2312"/>
                <w:kern w:val="0"/>
                <w:lang w:eastAsia="zh-CN" w:bidi="en-US"/>
              </w:rPr>
            </w:pPr>
            <w:r>
              <w:rPr>
                <w:rFonts w:hint="eastAsia" w:ascii="仿宋_GB2312" w:eastAsia="仿宋_GB2312"/>
                <w:kern w:val="0"/>
                <w:lang w:bidi="en-US"/>
              </w:rPr>
              <w:t>合并申报</w:t>
            </w:r>
            <w:r>
              <w:rPr>
                <w:rFonts w:hint="eastAsia" w:ascii="仿宋_GB2312" w:eastAsia="仿宋_GB2312"/>
                <w:kern w:val="0"/>
                <w:lang w:eastAsia="zh-CN" w:bidi="en-US"/>
              </w:rPr>
              <w:t>，自动带出</w:t>
            </w:r>
          </w:p>
        </w:tc>
      </w:tr>
      <w:tr w14:paraId="6C88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vAlign w:val="top"/>
          </w:tcPr>
          <w:p w14:paraId="6E5399AF">
            <w:pPr>
              <w:pStyle w:val="12"/>
              <w:ind w:firstLine="0" w:firstLineChars="0"/>
              <w:rPr>
                <w:rFonts w:hint="eastAsia" w:ascii="仿宋_GB2312" w:eastAsia="仿宋_GB2312"/>
                <w:b/>
                <w:kern w:val="0"/>
                <w:lang w:eastAsia="en-US" w:bidi="en-US"/>
              </w:rPr>
            </w:pPr>
            <w:r>
              <w:rPr>
                <w:rFonts w:hint="eastAsia" w:ascii="仿宋_GB2312" w:eastAsia="仿宋_GB2312"/>
                <w:b/>
                <w:kern w:val="0"/>
                <w:lang w:eastAsia="zh-CN" w:bidi="en-US"/>
              </w:rPr>
              <w:t>本方</w:t>
            </w:r>
          </w:p>
        </w:tc>
        <w:tc>
          <w:tcPr>
            <w:tcW w:w="6571" w:type="dxa"/>
            <w:vAlign w:val="top"/>
          </w:tcPr>
          <w:p w14:paraId="5AE7C4DA">
            <w:pPr>
              <w:pStyle w:val="12"/>
              <w:ind w:firstLine="0" w:firstLineChars="0"/>
              <w:rPr>
                <w:rFonts w:hint="eastAsia" w:ascii="仿宋_GB2312" w:eastAsia="仿宋_GB2312"/>
                <w:kern w:val="0"/>
                <w:lang w:bidi="en-US"/>
              </w:rPr>
            </w:pPr>
            <w:r>
              <w:rPr>
                <w:rFonts w:hint="eastAsia" w:ascii="仿宋_GB2312" w:eastAsia="仿宋_GB2312"/>
                <w:kern w:val="0"/>
                <w:lang w:eastAsia="zh-CN" w:bidi="en-US"/>
              </w:rPr>
              <w:t>本方交易参与人简称，自动带出</w:t>
            </w:r>
          </w:p>
        </w:tc>
      </w:tr>
      <w:tr w14:paraId="07239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3" w:type="dxa"/>
            <w:vAlign w:val="top"/>
          </w:tcPr>
          <w:p w14:paraId="4AB1C5BE">
            <w:pPr>
              <w:pStyle w:val="12"/>
              <w:ind w:firstLine="0" w:firstLineChars="0"/>
              <w:rPr>
                <w:rFonts w:hint="eastAsia" w:ascii="仿宋_GB2312" w:eastAsia="仿宋_GB2312"/>
                <w:b/>
                <w:kern w:val="0"/>
                <w:lang w:eastAsia="en-US" w:bidi="en-US"/>
              </w:rPr>
            </w:pPr>
            <w:r>
              <w:rPr>
                <w:rFonts w:hint="eastAsia" w:ascii="仿宋_GB2312" w:eastAsia="仿宋_GB2312"/>
                <w:b/>
                <w:kern w:val="0"/>
                <w:lang w:eastAsia="zh-CN" w:bidi="en-US"/>
              </w:rPr>
              <w:t>本方一债通账户</w:t>
            </w:r>
          </w:p>
        </w:tc>
        <w:tc>
          <w:tcPr>
            <w:tcW w:w="6571" w:type="dxa"/>
            <w:vAlign w:val="top"/>
          </w:tcPr>
          <w:p w14:paraId="7F25ED71">
            <w:pPr>
              <w:pStyle w:val="12"/>
              <w:ind w:firstLine="0" w:firstLineChars="0"/>
              <w:rPr>
                <w:rFonts w:hint="eastAsia" w:ascii="仿宋_GB2312" w:eastAsia="仿宋_GB2312"/>
                <w:kern w:val="0"/>
                <w:lang w:bidi="en-US"/>
              </w:rPr>
            </w:pPr>
            <w:r>
              <w:rPr>
                <w:rFonts w:hint="eastAsia" w:ascii="仿宋_GB2312" w:eastAsia="仿宋_GB2312"/>
                <w:kern w:val="0"/>
                <w:lang w:eastAsia="zh-CN" w:bidi="en-US"/>
              </w:rPr>
              <w:t>本方交易员一债通账户号，自动带出</w:t>
            </w:r>
          </w:p>
        </w:tc>
      </w:tr>
      <w:tr w14:paraId="6B371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vAlign w:val="top"/>
          </w:tcPr>
          <w:p w14:paraId="04A70ADC">
            <w:pPr>
              <w:pStyle w:val="12"/>
              <w:ind w:firstLine="0" w:firstLineChars="0"/>
              <w:rPr>
                <w:rFonts w:hint="eastAsia" w:ascii="仿宋_GB2312" w:eastAsia="仿宋_GB2312"/>
                <w:b/>
                <w:kern w:val="0"/>
                <w:lang w:eastAsia="en-US" w:bidi="en-US"/>
              </w:rPr>
            </w:pPr>
            <w:r>
              <w:rPr>
                <w:rFonts w:hint="eastAsia" w:ascii="仿宋_GB2312" w:eastAsia="仿宋_GB2312"/>
                <w:b/>
                <w:kern w:val="0"/>
                <w:lang w:eastAsia="zh-CN" w:bidi="en-US"/>
              </w:rPr>
              <w:t>本方交易员</w:t>
            </w:r>
          </w:p>
        </w:tc>
        <w:tc>
          <w:tcPr>
            <w:tcW w:w="6571" w:type="dxa"/>
            <w:vAlign w:val="top"/>
          </w:tcPr>
          <w:p w14:paraId="35EC45CA">
            <w:pPr>
              <w:pStyle w:val="12"/>
              <w:ind w:firstLine="0" w:firstLineChars="0"/>
              <w:rPr>
                <w:rFonts w:hint="eastAsia" w:ascii="仿宋_GB2312" w:eastAsia="仿宋_GB2312"/>
                <w:kern w:val="0"/>
                <w:lang w:bidi="en-US"/>
              </w:rPr>
            </w:pPr>
            <w:r>
              <w:rPr>
                <w:rFonts w:hint="eastAsia" w:ascii="仿宋_GB2312" w:eastAsia="仿宋_GB2312"/>
                <w:kern w:val="0"/>
                <w:lang w:eastAsia="zh-CN" w:bidi="en-US"/>
              </w:rPr>
              <w:t>本方交易员名称，自动带出</w:t>
            </w:r>
          </w:p>
        </w:tc>
      </w:tr>
      <w:tr w14:paraId="639FC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5FAA7418">
            <w:pPr>
              <w:pStyle w:val="12"/>
              <w:ind w:firstLine="0" w:firstLineChars="0"/>
              <w:rPr>
                <w:rFonts w:ascii="宋体" w:hAnsi="宋体"/>
                <w:color w:val="000000"/>
                <w:kern w:val="0"/>
                <w:lang w:bidi="en-US"/>
              </w:rPr>
            </w:pPr>
            <w:r>
              <w:rPr>
                <w:rFonts w:hint="eastAsia" w:ascii="仿宋_GB2312" w:eastAsia="仿宋_GB2312"/>
                <w:b/>
                <w:kern w:val="0"/>
                <w:lang w:eastAsia="zh-CN" w:bidi="en-US"/>
              </w:rPr>
              <w:t>证券代码</w:t>
            </w:r>
          </w:p>
        </w:tc>
        <w:tc>
          <w:tcPr>
            <w:tcW w:w="6571" w:type="dxa"/>
          </w:tcPr>
          <w:p w14:paraId="5BA8B458">
            <w:pPr>
              <w:pStyle w:val="12"/>
              <w:ind w:firstLine="0" w:firstLineChars="0"/>
              <w:rPr>
                <w:rFonts w:ascii="仿宋_GB2312" w:eastAsia="仿宋_GB2312"/>
                <w:kern w:val="0"/>
                <w:lang w:bidi="en-US"/>
              </w:rPr>
            </w:pPr>
            <w:r>
              <w:rPr>
                <w:rFonts w:hint="eastAsia" w:ascii="仿宋_GB2312" w:eastAsia="仿宋_GB2312"/>
                <w:kern w:val="0"/>
                <w:lang w:bidi="en-US"/>
              </w:rPr>
              <w:t>交易品种的证券代码</w:t>
            </w:r>
          </w:p>
        </w:tc>
      </w:tr>
      <w:tr w14:paraId="3550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50F1932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数量</w:t>
            </w:r>
          </w:p>
        </w:tc>
        <w:tc>
          <w:tcPr>
            <w:tcW w:w="6571" w:type="dxa"/>
          </w:tcPr>
          <w:p w14:paraId="0CF97568">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单位：</w:t>
            </w:r>
            <w:r>
              <w:rPr>
                <w:rFonts w:hint="eastAsia" w:ascii="仿宋_GB2312" w:eastAsia="仿宋_GB2312"/>
                <w:kern w:val="0"/>
                <w:lang w:bidi="en-US"/>
              </w:rPr>
              <w:t>千</w:t>
            </w:r>
            <w:r>
              <w:rPr>
                <w:rFonts w:hint="eastAsia" w:ascii="仿宋_GB2312" w:eastAsia="仿宋_GB2312"/>
                <w:kern w:val="0"/>
                <w:lang w:eastAsia="en-US" w:bidi="en-US"/>
              </w:rPr>
              <w:t>元面额</w:t>
            </w:r>
          </w:p>
        </w:tc>
      </w:tr>
      <w:tr w14:paraId="67162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3" w:type="dxa"/>
          </w:tcPr>
          <w:p w14:paraId="7599D1F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买方一债通账户</w:t>
            </w:r>
          </w:p>
        </w:tc>
        <w:tc>
          <w:tcPr>
            <w:tcW w:w="6571" w:type="dxa"/>
          </w:tcPr>
          <w:p w14:paraId="2282530F">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买入方一债通账户</w:t>
            </w:r>
            <w:r>
              <w:rPr>
                <w:rFonts w:hint="eastAsia" w:ascii="仿宋_GB2312" w:eastAsia="仿宋_GB2312"/>
                <w:kern w:val="0"/>
                <w:lang w:eastAsia="zh-CN" w:bidi="en-US"/>
              </w:rPr>
              <w:t>号，自动带出</w:t>
            </w:r>
          </w:p>
        </w:tc>
      </w:tr>
      <w:tr w14:paraId="11F1C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1550C3A7">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买方交易员</w:t>
            </w:r>
          </w:p>
        </w:tc>
        <w:tc>
          <w:tcPr>
            <w:tcW w:w="6571" w:type="dxa"/>
          </w:tcPr>
          <w:p w14:paraId="649FFD57">
            <w:pPr>
              <w:pStyle w:val="12"/>
              <w:ind w:firstLine="0" w:firstLineChars="0"/>
              <w:rPr>
                <w:rFonts w:hint="eastAsia" w:ascii="仿宋_GB2312" w:eastAsia="仿宋_GB2312"/>
                <w:kern w:val="0"/>
                <w:lang w:eastAsia="zh-CN" w:bidi="en-US"/>
              </w:rPr>
            </w:pPr>
            <w:r>
              <w:rPr>
                <w:rFonts w:hint="eastAsia" w:ascii="仿宋_GB2312" w:eastAsia="仿宋_GB2312"/>
                <w:kern w:val="0"/>
                <w:lang w:eastAsia="en-US" w:bidi="en-US"/>
              </w:rPr>
              <w:t>买入方交易员</w:t>
            </w:r>
            <w:r>
              <w:rPr>
                <w:rFonts w:hint="eastAsia" w:ascii="仿宋_GB2312" w:eastAsia="仿宋_GB2312"/>
                <w:kern w:val="0"/>
                <w:lang w:eastAsia="zh-CN" w:bidi="en-US"/>
              </w:rPr>
              <w:t>名称，自动带出</w:t>
            </w:r>
          </w:p>
        </w:tc>
      </w:tr>
      <w:tr w14:paraId="4CA95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1978273B">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本方卖出价格</w:t>
            </w:r>
          </w:p>
        </w:tc>
        <w:tc>
          <w:tcPr>
            <w:tcW w:w="6571" w:type="dxa"/>
          </w:tcPr>
          <w:p w14:paraId="3FB3F98D">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单位：元</w:t>
            </w:r>
          </w:p>
        </w:tc>
      </w:tr>
      <w:tr w14:paraId="45ABA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1751A3DB">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en-US" w:bidi="en-US"/>
              </w:rPr>
              <w:t>卖方</w:t>
            </w:r>
            <w:r>
              <w:rPr>
                <w:rFonts w:hint="eastAsia" w:ascii="仿宋_GB2312" w:eastAsia="仿宋_GB2312"/>
                <w:b/>
                <w:kern w:val="0"/>
                <w:lang w:eastAsia="zh-CN" w:bidi="en-US"/>
              </w:rPr>
              <w:t>一债通账户</w:t>
            </w:r>
          </w:p>
        </w:tc>
        <w:tc>
          <w:tcPr>
            <w:tcW w:w="6571" w:type="dxa"/>
          </w:tcPr>
          <w:p w14:paraId="5F122EB1">
            <w:pPr>
              <w:pStyle w:val="12"/>
              <w:ind w:firstLine="0" w:firstLineChars="0"/>
              <w:rPr>
                <w:rFonts w:hint="eastAsia" w:ascii="仿宋_GB2312" w:eastAsia="仿宋_GB2312"/>
                <w:kern w:val="0"/>
                <w:lang w:eastAsia="zh-CN" w:bidi="en-US"/>
              </w:rPr>
            </w:pPr>
            <w:r>
              <w:rPr>
                <w:rFonts w:hint="eastAsia" w:ascii="仿宋_GB2312" w:eastAsia="仿宋_GB2312"/>
                <w:kern w:val="0"/>
                <w:lang w:eastAsia="en-US" w:bidi="en-US"/>
              </w:rPr>
              <w:t>卖出方</w:t>
            </w:r>
            <w:r>
              <w:rPr>
                <w:rFonts w:hint="eastAsia" w:ascii="仿宋_GB2312" w:eastAsia="仿宋_GB2312"/>
                <w:kern w:val="0"/>
                <w:lang w:eastAsia="zh-CN" w:bidi="en-US"/>
              </w:rPr>
              <w:t>一债通账户号</w:t>
            </w:r>
          </w:p>
        </w:tc>
      </w:tr>
      <w:tr w14:paraId="15028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3" w:type="dxa"/>
          </w:tcPr>
          <w:p w14:paraId="053AD97E">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卖方交易员</w:t>
            </w:r>
          </w:p>
        </w:tc>
        <w:tc>
          <w:tcPr>
            <w:tcW w:w="6571" w:type="dxa"/>
          </w:tcPr>
          <w:p w14:paraId="0BDEC212">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卖出方交易员</w:t>
            </w:r>
            <w:r>
              <w:rPr>
                <w:rFonts w:hint="eastAsia" w:ascii="仿宋_GB2312" w:eastAsia="仿宋_GB2312"/>
                <w:kern w:val="0"/>
                <w:lang w:eastAsia="zh-CN" w:bidi="en-US"/>
              </w:rPr>
              <w:t>名称，自动带出</w:t>
            </w:r>
          </w:p>
        </w:tc>
      </w:tr>
      <w:tr w14:paraId="0F82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7B566F80">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本方买入价格</w:t>
            </w:r>
          </w:p>
        </w:tc>
        <w:tc>
          <w:tcPr>
            <w:tcW w:w="6571" w:type="dxa"/>
          </w:tcPr>
          <w:p w14:paraId="136CA9BF">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单位：元</w:t>
            </w:r>
          </w:p>
        </w:tc>
      </w:tr>
      <w:tr w14:paraId="20B1B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0544CFEB">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en-US" w:bidi="en-US"/>
              </w:rPr>
              <w:t>证券账</w:t>
            </w:r>
            <w:r>
              <w:rPr>
                <w:rFonts w:hint="eastAsia" w:ascii="仿宋_GB2312" w:eastAsia="仿宋_GB2312"/>
                <w:b/>
                <w:kern w:val="0"/>
                <w:lang w:eastAsia="zh-CN" w:bidi="en-US"/>
              </w:rPr>
              <w:t>户</w:t>
            </w:r>
          </w:p>
        </w:tc>
        <w:tc>
          <w:tcPr>
            <w:tcW w:w="6571" w:type="dxa"/>
          </w:tcPr>
          <w:p w14:paraId="740DB219">
            <w:pPr>
              <w:pStyle w:val="12"/>
              <w:ind w:firstLine="0" w:firstLineChars="0"/>
              <w:rPr>
                <w:rFonts w:ascii="仿宋_GB2312" w:eastAsia="仿宋_GB2312"/>
                <w:kern w:val="0"/>
                <w:lang w:bidi="en-US"/>
              </w:rPr>
            </w:pPr>
            <w:r>
              <w:rPr>
                <w:rFonts w:hint="eastAsia" w:ascii="仿宋_GB2312" w:eastAsia="仿宋_GB2312"/>
                <w:kern w:val="0"/>
                <w:lang w:eastAsia="zh-CN" w:bidi="en-US"/>
              </w:rPr>
              <w:t>本方</w:t>
            </w:r>
            <w:r>
              <w:rPr>
                <w:rFonts w:hint="eastAsia" w:ascii="仿宋_GB2312" w:eastAsia="仿宋_GB2312"/>
                <w:kern w:val="0"/>
                <w:lang w:bidi="en-US"/>
              </w:rPr>
              <w:t>的证券账户号码</w:t>
            </w:r>
          </w:p>
        </w:tc>
      </w:tr>
      <w:tr w14:paraId="291C0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12B43FB6">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证券账户名称</w:t>
            </w:r>
          </w:p>
        </w:tc>
        <w:tc>
          <w:tcPr>
            <w:tcW w:w="6571" w:type="dxa"/>
          </w:tcPr>
          <w:p w14:paraId="196B72E6">
            <w:pPr>
              <w:pStyle w:val="12"/>
              <w:ind w:firstLine="0" w:firstLineChars="0"/>
              <w:rPr>
                <w:rFonts w:hint="eastAsia" w:ascii="仿宋_GB2312" w:eastAsia="仿宋_GB2312"/>
                <w:kern w:val="0"/>
                <w:lang w:eastAsia="zh-CN" w:bidi="en-US"/>
              </w:rPr>
            </w:pPr>
            <w:r>
              <w:rPr>
                <w:rFonts w:hint="eastAsia" w:ascii="仿宋_GB2312" w:eastAsia="仿宋_GB2312"/>
                <w:kern w:val="0"/>
                <w:lang w:eastAsia="zh-CN" w:bidi="en-US"/>
              </w:rPr>
              <w:t>本方</w:t>
            </w:r>
            <w:r>
              <w:rPr>
                <w:rFonts w:hint="eastAsia" w:ascii="仿宋_GB2312" w:eastAsia="仿宋_GB2312"/>
                <w:kern w:val="0"/>
                <w:lang w:bidi="en-US"/>
              </w:rPr>
              <w:t>的证券账户名称</w:t>
            </w:r>
            <w:r>
              <w:rPr>
                <w:rFonts w:hint="eastAsia" w:ascii="仿宋_GB2312" w:eastAsia="仿宋_GB2312"/>
                <w:kern w:val="0"/>
                <w:lang w:eastAsia="zh-CN" w:bidi="en-US"/>
              </w:rPr>
              <w:t>，自动带出</w:t>
            </w:r>
          </w:p>
        </w:tc>
      </w:tr>
      <w:tr w14:paraId="1345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3" w:type="dxa"/>
          </w:tcPr>
          <w:p w14:paraId="38A45C0E">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结算方式</w:t>
            </w:r>
          </w:p>
        </w:tc>
        <w:tc>
          <w:tcPr>
            <w:tcW w:w="6571" w:type="dxa"/>
          </w:tcPr>
          <w:p w14:paraId="04F021CB">
            <w:pPr>
              <w:pStyle w:val="12"/>
              <w:ind w:firstLine="0" w:firstLineChars="0"/>
              <w:rPr>
                <w:rFonts w:ascii="仿宋_GB2312" w:eastAsia="仿宋_GB2312"/>
                <w:kern w:val="0"/>
                <w:lang w:bidi="en-US"/>
              </w:rPr>
            </w:pPr>
            <w:r>
              <w:rPr>
                <w:rFonts w:hint="eastAsia" w:ascii="仿宋_GB2312" w:eastAsia="仿宋_GB2312"/>
                <w:kern w:val="0"/>
                <w:lang w:bidi="en-US"/>
              </w:rPr>
              <w:t>根据交易</w:t>
            </w:r>
            <w:r>
              <w:rPr>
                <w:rFonts w:ascii="仿宋_GB2312" w:eastAsia="仿宋_GB2312"/>
                <w:kern w:val="0"/>
                <w:lang w:bidi="en-US"/>
              </w:rPr>
              <w:t>品种，</w:t>
            </w:r>
            <w:r>
              <w:rPr>
                <w:rFonts w:hint="eastAsia" w:ascii="仿宋_GB2312" w:eastAsia="仿宋_GB2312"/>
                <w:kern w:val="0"/>
                <w:lang w:bidi="en-US"/>
              </w:rPr>
              <w:t>可选“逐笔全额结算”或“多边净额结算”。</w:t>
            </w:r>
          </w:p>
        </w:tc>
      </w:tr>
      <w:tr w14:paraId="48FA1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vAlign w:val="top"/>
          </w:tcPr>
          <w:p w14:paraId="47B84D11">
            <w:pPr>
              <w:pStyle w:val="12"/>
              <w:ind w:firstLine="0" w:firstLineChars="0"/>
              <w:rPr>
                <w:rFonts w:ascii="仿宋_GB2312" w:eastAsia="仿宋_GB2312"/>
                <w:b/>
                <w:kern w:val="0"/>
                <w:lang w:bidi="en-US"/>
              </w:rPr>
            </w:pPr>
            <w:r>
              <w:rPr>
                <w:rFonts w:hint="eastAsia" w:ascii="仿宋_GB2312" w:eastAsia="仿宋_GB2312"/>
                <w:b/>
                <w:kern w:val="0"/>
                <w:lang w:eastAsia="zh-CN" w:bidi="en-US"/>
              </w:rPr>
              <w:t>计价方式</w:t>
            </w:r>
          </w:p>
        </w:tc>
        <w:tc>
          <w:tcPr>
            <w:tcW w:w="6571" w:type="dxa"/>
            <w:vAlign w:val="top"/>
          </w:tcPr>
          <w:p w14:paraId="1347B0DF">
            <w:pPr>
              <w:pStyle w:val="12"/>
              <w:ind w:firstLine="0" w:firstLineChars="0"/>
              <w:rPr>
                <w:rFonts w:ascii="仿宋_GB2312" w:eastAsia="仿宋_GB2312"/>
                <w:kern w:val="0"/>
                <w:lang w:bidi="en-US"/>
              </w:rPr>
            </w:pPr>
            <w:r>
              <w:rPr>
                <w:rFonts w:hint="eastAsia" w:ascii="仿宋_GB2312" w:eastAsia="仿宋_GB2312"/>
                <w:kern w:val="0"/>
                <w:lang w:bidi="en-US"/>
              </w:rPr>
              <w:t>净价或全价，</w:t>
            </w:r>
            <w:r>
              <w:rPr>
                <w:rFonts w:hint="eastAsia" w:ascii="仿宋_GB2312" w:eastAsia="仿宋_GB2312"/>
                <w:kern w:val="0"/>
                <w:lang w:eastAsia="zh-CN" w:bidi="en-US"/>
              </w:rPr>
              <w:t>根据证券代码</w:t>
            </w:r>
            <w:r>
              <w:rPr>
                <w:rFonts w:hint="eastAsia" w:ascii="仿宋_GB2312" w:eastAsia="仿宋_GB2312"/>
                <w:kern w:val="0"/>
                <w:lang w:bidi="en-US"/>
              </w:rPr>
              <w:t>自动</w:t>
            </w:r>
            <w:r>
              <w:rPr>
                <w:rFonts w:hint="eastAsia" w:ascii="仿宋_GB2312" w:eastAsia="仿宋_GB2312"/>
                <w:kern w:val="0"/>
                <w:lang w:eastAsia="zh-CN" w:bidi="en-US"/>
              </w:rPr>
              <w:t>带出</w:t>
            </w:r>
          </w:p>
        </w:tc>
      </w:tr>
      <w:tr w14:paraId="253A8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1C91717F">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证券简称</w:t>
            </w:r>
          </w:p>
        </w:tc>
        <w:tc>
          <w:tcPr>
            <w:tcW w:w="6571" w:type="dxa"/>
          </w:tcPr>
          <w:p w14:paraId="4E703C58">
            <w:pPr>
              <w:pStyle w:val="12"/>
              <w:ind w:firstLine="0" w:firstLineChars="0"/>
              <w:rPr>
                <w:rFonts w:ascii="仿宋_GB2312" w:eastAsia="仿宋_GB2312"/>
                <w:kern w:val="0"/>
                <w:lang w:bidi="en-US"/>
              </w:rPr>
            </w:pPr>
            <w:r>
              <w:rPr>
                <w:rFonts w:hint="eastAsia" w:ascii="仿宋_GB2312" w:hAnsi="宋体" w:eastAsia="仿宋_GB2312"/>
                <w:kern w:val="0"/>
                <w:lang w:bidi="en-US"/>
              </w:rPr>
              <w:t>即上交所证券简称，有证券代码的交易品种，简称根据证券代码自动显示</w:t>
            </w:r>
          </w:p>
        </w:tc>
      </w:tr>
      <w:tr w14:paraId="278DC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tcPr>
          <w:p w14:paraId="304FB6BD">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en-US" w:bidi="en-US"/>
              </w:rPr>
              <w:t>交易</w:t>
            </w:r>
            <w:r>
              <w:rPr>
                <w:rFonts w:hint="eastAsia" w:ascii="仿宋_GB2312" w:eastAsia="仿宋_GB2312"/>
                <w:b/>
                <w:kern w:val="0"/>
                <w:lang w:eastAsia="zh-CN" w:bidi="en-US"/>
              </w:rPr>
              <w:t>单元</w:t>
            </w:r>
          </w:p>
        </w:tc>
        <w:tc>
          <w:tcPr>
            <w:tcW w:w="6571" w:type="dxa"/>
          </w:tcPr>
          <w:p w14:paraId="2D008D28">
            <w:pPr>
              <w:pStyle w:val="12"/>
              <w:ind w:firstLine="0" w:firstLineChars="0"/>
              <w:rPr>
                <w:rFonts w:ascii="宋体" w:hAnsi="宋体"/>
                <w:color w:val="000000"/>
                <w:kern w:val="0"/>
                <w:lang w:bidi="en-US"/>
              </w:rPr>
            </w:pPr>
            <w:r>
              <w:rPr>
                <w:rFonts w:hint="eastAsia" w:ascii="仿宋_GB2312" w:eastAsia="仿宋_GB2312"/>
                <w:kern w:val="0"/>
                <w:lang w:bidi="en-US"/>
              </w:rPr>
              <w:t>交易参与人的交易单元号码，自动显示</w:t>
            </w:r>
          </w:p>
        </w:tc>
      </w:tr>
    </w:tbl>
    <w:p w14:paraId="45E16337">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中间方发起合并申报，合并申报经前述两笔交易的对手方（买方、卖方）分别确认后，由</w:t>
      </w:r>
      <w:r>
        <w:rPr>
          <w:rFonts w:hint="eastAsia" w:ascii="仿宋_GB2312" w:hAnsi="仿宋" w:eastAsia="仿宋_GB2312"/>
          <w:sz w:val="30"/>
          <w:szCs w:val="30"/>
          <w:lang w:eastAsia="zh-CN"/>
        </w:rPr>
        <w:t>新固定收益系统</w:t>
      </w:r>
      <w:r>
        <w:rPr>
          <w:rFonts w:hint="eastAsia" w:ascii="仿宋_GB2312" w:hAnsi="仿宋" w:eastAsia="仿宋_GB2312"/>
          <w:sz w:val="30"/>
          <w:szCs w:val="30"/>
        </w:rPr>
        <w:t>确认成交，同时生成两笔成交记录。单方确认的交易，</w:t>
      </w:r>
      <w:r>
        <w:rPr>
          <w:rFonts w:hint="eastAsia" w:ascii="仿宋_GB2312" w:hAnsi="仿宋" w:eastAsia="仿宋_GB2312"/>
          <w:sz w:val="30"/>
          <w:szCs w:val="30"/>
          <w:lang w:eastAsia="zh-CN"/>
        </w:rPr>
        <w:t>新固定收益系统</w:t>
      </w:r>
      <w:r>
        <w:rPr>
          <w:rFonts w:hint="eastAsia" w:ascii="仿宋_GB2312" w:hAnsi="仿宋" w:eastAsia="仿宋_GB2312"/>
          <w:sz w:val="30"/>
          <w:szCs w:val="30"/>
        </w:rPr>
        <w:t>不生成成交记录。双方确认时，仅需提交本方证券账户，且不显示实际对手方的价格信息。对买方和卖方而言，对手方都是中间方。</w:t>
      </w:r>
    </w:p>
    <w:p w14:paraId="492748B5">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在买卖双方全部确认之前，中间方可以撤销合并申报。</w:t>
      </w:r>
    </w:p>
    <w:p w14:paraId="5D7F8503">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（3）结算</w:t>
      </w:r>
    </w:p>
    <w:p w14:paraId="456E110E">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合并申报在结算指令确认环节由实际买方勾单。合并申报的协商交易的中间方如有应付资金需求，需要勾单，</w:t>
      </w:r>
      <w:r>
        <w:rPr>
          <w:rFonts w:ascii="仿宋_GB2312" w:hAnsi="仿宋" w:eastAsia="仿宋_GB2312"/>
          <w:sz w:val="30"/>
          <w:szCs w:val="30"/>
        </w:rPr>
        <w:t>如无应付资金需求，则不需要勾单</w:t>
      </w:r>
      <w:r>
        <w:rPr>
          <w:rFonts w:hint="eastAsia" w:ascii="仿宋_GB2312" w:hAnsi="仿宋" w:eastAsia="仿宋_GB2312"/>
          <w:sz w:val="30"/>
          <w:szCs w:val="30"/>
        </w:rPr>
        <w:t>。</w:t>
      </w:r>
    </w:p>
    <w:p w14:paraId="5F2639EB">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合并申报结算方式包括“多边净额结算”和“逐笔全额结算</w:t>
      </w:r>
      <w:r>
        <w:rPr>
          <w:rFonts w:ascii="仿宋_GB2312" w:hAnsi="仿宋" w:eastAsia="仿宋_GB2312"/>
          <w:sz w:val="30"/>
          <w:szCs w:val="30"/>
        </w:rPr>
        <w:t>”</w:t>
      </w:r>
      <w:r>
        <w:rPr>
          <w:rFonts w:hint="eastAsia" w:ascii="仿宋_GB2312" w:hAnsi="仿宋" w:eastAsia="仿宋_GB2312"/>
          <w:sz w:val="30"/>
          <w:szCs w:val="30"/>
        </w:rPr>
        <w:t>。本所另有规定的除外</w:t>
      </w:r>
      <w:r>
        <w:rPr>
          <w:rFonts w:ascii="仿宋_GB2312" w:hAnsi="仿宋" w:eastAsia="仿宋_GB2312"/>
          <w:sz w:val="30"/>
          <w:szCs w:val="30"/>
        </w:rPr>
        <w:t>。</w:t>
      </w:r>
    </w:p>
    <w:p w14:paraId="4B1ADFAC">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若合并申报采用净额结算方式，中间方担保交收账户轧差结算，无需发生实际的债券交收，资金仅需交收轧差后的差额部分。</w:t>
      </w:r>
    </w:p>
    <w:p w14:paraId="7B607F9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若合并申报采用逐笔全额结算</w:t>
      </w:r>
      <w:r>
        <w:rPr>
          <w:rFonts w:ascii="仿宋_GB2312" w:hAnsi="仿宋" w:eastAsia="仿宋_GB2312"/>
          <w:sz w:val="30"/>
          <w:szCs w:val="30"/>
        </w:rPr>
        <w:t>方式，则</w:t>
      </w:r>
      <w:r>
        <w:rPr>
          <w:rFonts w:hint="eastAsia" w:ascii="仿宋_GB2312" w:hAnsi="仿宋" w:eastAsia="仿宋_GB2312"/>
          <w:sz w:val="30"/>
          <w:szCs w:val="30"/>
        </w:rPr>
        <w:t>登记结算机构</w:t>
      </w:r>
      <w:r>
        <w:rPr>
          <w:rFonts w:ascii="仿宋_GB2312" w:hAnsi="仿宋" w:eastAsia="仿宋_GB2312"/>
          <w:sz w:val="30"/>
          <w:szCs w:val="30"/>
        </w:rPr>
        <w:t>对合并申报拆分后的两笔交易</w:t>
      </w:r>
      <w:r>
        <w:rPr>
          <w:rFonts w:hint="eastAsia" w:ascii="仿宋_GB2312" w:hAnsi="仿宋" w:eastAsia="仿宋_GB2312"/>
          <w:sz w:val="30"/>
          <w:szCs w:val="30"/>
        </w:rPr>
        <w:t>通过交收顺序安排实现类似轧差效果，勾单完成后，两笔交易的交收要么一起成功，要么一起失败，中间方无需发生实际债券交收。</w:t>
      </w:r>
    </w:p>
    <w:p w14:paraId="4B303DBD">
      <w:pPr>
        <w:numPr>
          <w:ilvl w:val="1"/>
          <w:numId w:val="4"/>
        </w:numPr>
        <w:spacing w:line="600" w:lineRule="exact"/>
        <w:ind w:left="0" w:firstLine="0"/>
        <w:outlineLvl w:val="1"/>
        <w:rPr>
          <w:rFonts w:ascii="仿宋_GB2312" w:eastAsia="仿宋_GB2312"/>
          <w:b/>
          <w:sz w:val="30"/>
          <w:szCs w:val="30"/>
        </w:rPr>
      </w:pPr>
      <w:bookmarkStart w:id="524" w:name="_Toc1416344956"/>
      <w:bookmarkStart w:id="525" w:name="_Toc1058421525"/>
      <w:bookmarkStart w:id="526" w:name="_Toc597844905"/>
      <w:bookmarkStart w:id="527" w:name="_Toc1222978625"/>
      <w:bookmarkStart w:id="528" w:name="_Toc1279648246"/>
      <w:bookmarkStart w:id="529" w:name="_Toc255824454"/>
      <w:bookmarkStart w:id="530" w:name="_Toc151136902"/>
      <w:r>
        <w:rPr>
          <w:rFonts w:hint="eastAsia" w:ascii="仿宋_GB2312" w:eastAsia="仿宋_GB2312"/>
          <w:b/>
          <w:sz w:val="30"/>
          <w:szCs w:val="30"/>
        </w:rPr>
        <w:t>点击成交</w:t>
      </w:r>
      <w:bookmarkEnd w:id="524"/>
      <w:bookmarkEnd w:id="525"/>
      <w:bookmarkEnd w:id="526"/>
      <w:bookmarkEnd w:id="527"/>
      <w:bookmarkEnd w:id="528"/>
      <w:bookmarkEnd w:id="529"/>
      <w:bookmarkEnd w:id="530"/>
    </w:p>
    <w:p w14:paraId="67667DEB">
      <w:pPr>
        <w:numPr>
          <w:ilvl w:val="2"/>
          <w:numId w:val="4"/>
        </w:numPr>
        <w:spacing w:line="600" w:lineRule="exact"/>
        <w:ind w:left="0" w:firstLine="0"/>
        <w:outlineLvl w:val="2"/>
        <w:rPr>
          <w:rFonts w:ascii="仿宋_GB2312" w:eastAsia="仿宋_GB2312"/>
          <w:b/>
          <w:sz w:val="30"/>
          <w:szCs w:val="30"/>
        </w:rPr>
      </w:pPr>
      <w:bookmarkStart w:id="531" w:name="_Toc57908896"/>
      <w:r>
        <w:rPr>
          <w:rFonts w:hint="eastAsia" w:ascii="仿宋_GB2312" w:eastAsia="仿宋_GB2312"/>
          <w:b/>
          <w:sz w:val="30"/>
          <w:szCs w:val="30"/>
        </w:rPr>
        <w:t>定义</w:t>
      </w:r>
      <w:bookmarkEnd w:id="531"/>
    </w:p>
    <w:p w14:paraId="2397B00A">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点击成交是指报价方发出报价，相关报价经其他债券投资者点击后由</w:t>
      </w:r>
      <w:r>
        <w:rPr>
          <w:rFonts w:hint="eastAsia" w:ascii="仿宋_GB2312" w:hAnsi="仿宋" w:eastAsia="仿宋_GB2312"/>
          <w:sz w:val="30"/>
          <w:szCs w:val="30"/>
          <w:lang w:eastAsia="zh-CN"/>
        </w:rPr>
        <w:t>新固定收益系统</w:t>
      </w:r>
      <w:r>
        <w:rPr>
          <w:rFonts w:hint="eastAsia" w:ascii="仿宋_GB2312" w:hAnsi="仿宋" w:eastAsia="仿宋_GB2312"/>
          <w:sz w:val="30"/>
          <w:szCs w:val="30"/>
        </w:rPr>
        <w:t>确认成交的，或者依据本所相关规定通过交易系统自动匹配成交的交易方式（《债券交易规则》第八十三条关于“报价方可以选择在本所连续匹配阶段的整时点按照连续匹配的相关规定参与限价申报的匹配成交”的规定暂缓实施）。</w:t>
      </w:r>
    </w:p>
    <w:p w14:paraId="7C4CAF08">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本所</w:t>
      </w:r>
      <w:r>
        <w:rPr>
          <w:rFonts w:hint="eastAsia" w:ascii="仿宋_GB2312" w:hAnsi="仿宋" w:eastAsia="仿宋_GB2312"/>
          <w:sz w:val="30"/>
          <w:szCs w:val="30"/>
          <w:lang w:eastAsia="zh-CN"/>
        </w:rPr>
        <w:t>新固定收益系统</w:t>
      </w:r>
      <w:r>
        <w:rPr>
          <w:rFonts w:hint="eastAsia" w:ascii="仿宋_GB2312" w:hAnsi="仿宋" w:eastAsia="仿宋_GB2312"/>
          <w:sz w:val="30"/>
          <w:szCs w:val="30"/>
        </w:rPr>
        <w:t>为点击成交申报提供电子化接口及</w:t>
      </w:r>
      <w:r>
        <w:rPr>
          <w:rFonts w:hint="eastAsia" w:ascii="仿宋_GB2312" w:hAnsi="仿宋" w:eastAsia="仿宋_GB2312"/>
          <w:sz w:val="30"/>
          <w:szCs w:val="30"/>
          <w:lang w:eastAsia="zh-CN"/>
        </w:rPr>
        <w:t>一债通</w:t>
      </w:r>
      <w:r>
        <w:rPr>
          <w:rFonts w:hint="eastAsia" w:ascii="仿宋_GB2312" w:hAnsi="仿宋" w:eastAsia="仿宋_GB2312"/>
          <w:sz w:val="30"/>
          <w:szCs w:val="30"/>
        </w:rPr>
        <w:t>，债券交易参与人可通过电子化接口及</w:t>
      </w:r>
      <w:r>
        <w:rPr>
          <w:rFonts w:hint="eastAsia" w:ascii="仿宋_GB2312" w:hAnsi="仿宋" w:eastAsia="仿宋_GB2312"/>
          <w:sz w:val="30"/>
          <w:szCs w:val="30"/>
          <w:lang w:eastAsia="zh-CN"/>
        </w:rPr>
        <w:t>一债通</w:t>
      </w:r>
      <w:r>
        <w:rPr>
          <w:rFonts w:hint="eastAsia" w:ascii="仿宋_GB2312" w:hAnsi="仿宋" w:eastAsia="仿宋_GB2312"/>
          <w:sz w:val="30"/>
          <w:szCs w:val="30"/>
        </w:rPr>
        <w:t>接入本所系统，并提交报价申报。</w:t>
      </w:r>
    </w:p>
    <w:p w14:paraId="2DE1FC0F">
      <w:pPr>
        <w:numPr>
          <w:ilvl w:val="2"/>
          <w:numId w:val="4"/>
        </w:numPr>
        <w:spacing w:line="600" w:lineRule="exact"/>
        <w:ind w:left="0" w:firstLine="0"/>
        <w:outlineLvl w:val="2"/>
        <w:rPr>
          <w:rFonts w:ascii="仿宋_GB2312" w:eastAsia="仿宋_GB2312"/>
          <w:b/>
          <w:sz w:val="30"/>
          <w:szCs w:val="30"/>
        </w:rPr>
      </w:pPr>
      <w:bookmarkStart w:id="532" w:name="_Toc57908897"/>
      <w:r>
        <w:rPr>
          <w:rFonts w:hint="eastAsia" w:ascii="仿宋_GB2312" w:eastAsia="仿宋_GB2312"/>
          <w:b/>
          <w:sz w:val="30"/>
          <w:szCs w:val="30"/>
        </w:rPr>
        <w:t>报价类型</w:t>
      </w:r>
      <w:bookmarkEnd w:id="532"/>
    </w:p>
    <w:p w14:paraId="7A0539C5">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报价方发出的报价可分为单边报价和双边报价两种类型。单边报价是报价方向其他部分或所有债券交易参与人提交的列明了单个方向价格和数量等要素的报价；双边报价是报价方向其他部分或所有债券交易参与人提交的列明了买卖两个方向价格和数量等要素的报价。</w:t>
      </w:r>
    </w:p>
    <w:p w14:paraId="3B447E2A">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报价方发布报价后，其他债券投资者可作为点击方对报价进行点击成交，若是双边报价，则可选择一个方向进行点击成交。</w:t>
      </w:r>
    </w:p>
    <w:p w14:paraId="6F4613C8">
      <w:pPr>
        <w:numPr>
          <w:ilvl w:val="2"/>
          <w:numId w:val="4"/>
        </w:numPr>
        <w:spacing w:line="600" w:lineRule="exact"/>
        <w:ind w:left="0" w:firstLine="0"/>
        <w:outlineLvl w:val="2"/>
        <w:rPr>
          <w:rFonts w:ascii="仿宋_GB2312" w:eastAsia="仿宋_GB2312"/>
          <w:b/>
          <w:sz w:val="30"/>
          <w:szCs w:val="30"/>
        </w:rPr>
      </w:pPr>
      <w:bookmarkStart w:id="533" w:name="_Toc57908898"/>
      <w:r>
        <w:rPr>
          <w:rFonts w:hint="eastAsia" w:ascii="仿宋_GB2312" w:eastAsia="仿宋_GB2312"/>
          <w:b/>
          <w:sz w:val="30"/>
          <w:szCs w:val="30"/>
        </w:rPr>
        <w:t>申报要求</w:t>
      </w:r>
      <w:bookmarkEnd w:id="533"/>
    </w:p>
    <w:p w14:paraId="65B2ABC6">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（1）报价范围</w:t>
      </w:r>
    </w:p>
    <w:p w14:paraId="5ABC1263">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采用点击成交方式的，报价方可以向全市场发出报价，也可以向报价方自行选定的部分债券投资者发出报价。</w:t>
      </w:r>
    </w:p>
    <w:p w14:paraId="57BC3C43">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在报价录入界面中，报价的发布对象除了全市场外，可以自行选择,仅被选中的对象可以查看到该报价信息。报价方可在“发</w:t>
      </w:r>
      <w:r>
        <w:rPr>
          <w:rFonts w:hint="eastAsia" w:ascii="仿宋_GB2312" w:hAnsi="仿宋" w:eastAsia="仿宋_GB2312"/>
          <w:sz w:val="30"/>
          <w:szCs w:val="30"/>
          <w:lang w:eastAsia="zh-CN"/>
        </w:rPr>
        <w:t>布</w:t>
      </w:r>
      <w:r>
        <w:rPr>
          <w:rFonts w:hint="eastAsia" w:ascii="仿宋_GB2312" w:hAnsi="仿宋" w:eastAsia="仿宋_GB2312"/>
          <w:sz w:val="30"/>
          <w:szCs w:val="30"/>
        </w:rPr>
        <w:t>范围”中选择“全市场”或“</w:t>
      </w:r>
      <w:r>
        <w:rPr>
          <w:rFonts w:hint="eastAsia" w:ascii="仿宋_GB2312" w:hAnsi="仿宋" w:eastAsia="仿宋_GB2312"/>
          <w:sz w:val="30"/>
          <w:szCs w:val="30"/>
          <w:lang w:eastAsia="zh-CN"/>
        </w:rPr>
        <w:t>部分债券</w:t>
      </w:r>
      <w:r>
        <w:rPr>
          <w:rFonts w:hint="eastAsia" w:ascii="仿宋_GB2312" w:hAnsi="仿宋" w:eastAsia="仿宋_GB2312"/>
          <w:sz w:val="30"/>
          <w:szCs w:val="30"/>
        </w:rPr>
        <w:t>交易参与人”。</w:t>
      </w:r>
    </w:p>
    <w:p w14:paraId="137527D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其中，选择“</w:t>
      </w:r>
      <w:r>
        <w:rPr>
          <w:rFonts w:hint="eastAsia" w:ascii="仿宋_GB2312" w:hAnsi="仿宋" w:eastAsia="仿宋_GB2312"/>
          <w:sz w:val="30"/>
          <w:szCs w:val="30"/>
          <w:lang w:eastAsia="zh-CN"/>
        </w:rPr>
        <w:t>部分债券</w:t>
      </w:r>
      <w:r>
        <w:rPr>
          <w:rFonts w:hint="eastAsia" w:ascii="仿宋_GB2312" w:hAnsi="仿宋" w:eastAsia="仿宋_GB2312"/>
          <w:sz w:val="30"/>
          <w:szCs w:val="30"/>
        </w:rPr>
        <w:t>交易参与人”的，可在显示的“</w:t>
      </w:r>
      <w:r>
        <w:rPr>
          <w:rFonts w:hint="eastAsia" w:ascii="仿宋_GB2312" w:hAnsi="仿宋" w:eastAsia="仿宋_GB2312"/>
          <w:sz w:val="30"/>
          <w:szCs w:val="30"/>
          <w:lang w:eastAsia="zh-CN"/>
        </w:rPr>
        <w:t>债券</w:t>
      </w:r>
      <w:r>
        <w:rPr>
          <w:rFonts w:hint="eastAsia" w:ascii="仿宋_GB2312" w:hAnsi="仿宋" w:eastAsia="仿宋_GB2312"/>
          <w:sz w:val="30"/>
          <w:szCs w:val="30"/>
        </w:rPr>
        <w:t>交易参与人”中</w:t>
      </w:r>
      <w:r>
        <w:rPr>
          <w:rFonts w:hint="eastAsia" w:ascii="仿宋_GB2312" w:hAnsi="仿宋" w:eastAsia="仿宋_GB2312"/>
          <w:sz w:val="30"/>
          <w:szCs w:val="30"/>
          <w:lang w:eastAsia="zh-CN"/>
        </w:rPr>
        <w:t>输入并</w:t>
      </w:r>
      <w:r>
        <w:rPr>
          <w:rFonts w:hint="eastAsia" w:ascii="仿宋_GB2312" w:hAnsi="仿宋" w:eastAsia="仿宋_GB2312"/>
          <w:sz w:val="30"/>
          <w:szCs w:val="30"/>
        </w:rPr>
        <w:t>选择不超过</w:t>
      </w:r>
      <w:r>
        <w:rPr>
          <w:rFonts w:ascii="仿宋_GB2312" w:hAnsi="仿宋" w:eastAsia="仿宋_GB2312"/>
          <w:sz w:val="30"/>
          <w:szCs w:val="30"/>
        </w:rPr>
        <w:t>5</w:t>
      </w:r>
      <w:r>
        <w:rPr>
          <w:rFonts w:hint="eastAsia" w:ascii="仿宋_GB2312" w:hAnsi="仿宋" w:eastAsia="仿宋_GB2312"/>
          <w:sz w:val="30"/>
          <w:szCs w:val="30"/>
        </w:rPr>
        <w:t>个交易参与人进行报价发送。</w:t>
      </w:r>
    </w:p>
    <w:p w14:paraId="0523E588">
      <w:pPr>
        <w:spacing w:line="600" w:lineRule="exact"/>
        <w:ind w:firstLine="600" w:firstLineChars="200"/>
        <w:outlineLvl w:val="3"/>
        <w:rPr>
          <w:rFonts w:ascii="仿宋_GB2312" w:eastAsia="仿宋_GB2312"/>
          <w:sz w:val="30"/>
          <w:szCs w:val="30"/>
        </w:rPr>
      </w:pPr>
      <w:r>
        <w:rPr>
          <w:rFonts w:hint="eastAsia" w:ascii="仿宋_GB2312" w:eastAsia="仿宋_GB2312"/>
          <w:sz w:val="30"/>
          <w:szCs w:val="30"/>
        </w:rPr>
        <w:t>（2）报价要素</w:t>
      </w:r>
    </w:p>
    <w:p w14:paraId="719C0E97">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报价方发出的报价要素应当包括</w:t>
      </w:r>
      <w:r>
        <w:rPr>
          <w:rFonts w:hint="eastAsia" w:ascii="仿宋_GB2312" w:hAnsi="仿宋" w:eastAsia="仿宋_GB2312"/>
          <w:sz w:val="30"/>
          <w:szCs w:val="30"/>
          <w:lang w:eastAsia="zh-CN"/>
        </w:rPr>
        <w:t>订单类型、</w:t>
      </w:r>
      <w:r>
        <w:rPr>
          <w:rFonts w:hint="eastAsia" w:ascii="仿宋_GB2312" w:hAnsi="仿宋" w:eastAsia="仿宋_GB2312"/>
          <w:sz w:val="30"/>
          <w:szCs w:val="30"/>
        </w:rPr>
        <w:t>交易品种、交易方向、价格、申报数量、发送范围、报价方证券账号、结算方式、</w:t>
      </w:r>
      <w:r>
        <w:rPr>
          <w:rFonts w:hint="eastAsia" w:ascii="仿宋_GB2312" w:hAnsi="仿宋" w:eastAsia="仿宋_GB2312"/>
          <w:sz w:val="30"/>
          <w:szCs w:val="30"/>
          <w:lang w:eastAsia="zh-CN"/>
        </w:rPr>
        <w:t>是否冰山订单</w:t>
      </w:r>
      <w:r>
        <w:rPr>
          <w:rFonts w:hint="eastAsia" w:ascii="仿宋_GB2312" w:hAnsi="仿宋" w:eastAsia="仿宋_GB2312"/>
          <w:sz w:val="30"/>
          <w:szCs w:val="30"/>
        </w:rPr>
        <w:t>、是否匿名等内容。</w:t>
      </w:r>
    </w:p>
    <w:p w14:paraId="19A1D25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1）单边报价</w:t>
      </w:r>
    </w:p>
    <w:p w14:paraId="3C7BEEB2">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单边报价具体要素及要素说明如下：</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6713"/>
      </w:tblGrid>
      <w:tr w14:paraId="5C098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558FA7B0">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要素名称</w:t>
            </w:r>
          </w:p>
        </w:tc>
        <w:tc>
          <w:tcPr>
            <w:tcW w:w="6713" w:type="dxa"/>
          </w:tcPr>
          <w:p w14:paraId="74446BD9">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要素说明</w:t>
            </w:r>
          </w:p>
        </w:tc>
      </w:tr>
      <w:tr w14:paraId="505A3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1226CB82">
            <w:pPr>
              <w:pStyle w:val="12"/>
              <w:ind w:firstLine="0" w:firstLineChars="0"/>
              <w:rPr>
                <w:rFonts w:ascii="仿宋_GB2312" w:eastAsia="仿宋_GB2312"/>
                <w:b/>
                <w:kern w:val="0"/>
                <w:lang w:eastAsia="en-US" w:bidi="en-US"/>
              </w:rPr>
            </w:pPr>
            <w:r>
              <w:rPr>
                <w:rFonts w:hint="eastAsia" w:ascii="仿宋_GB2312" w:eastAsia="仿宋_GB2312"/>
                <w:b/>
                <w:kern w:val="0"/>
                <w:lang w:eastAsia="zh-CN" w:bidi="en-US"/>
              </w:rPr>
              <w:t>订单</w:t>
            </w:r>
            <w:r>
              <w:rPr>
                <w:rFonts w:hint="eastAsia" w:ascii="仿宋_GB2312" w:eastAsia="仿宋_GB2312"/>
                <w:b/>
                <w:kern w:val="0"/>
                <w:lang w:eastAsia="en-US" w:bidi="en-US"/>
              </w:rPr>
              <w:t>类型</w:t>
            </w:r>
          </w:p>
        </w:tc>
        <w:tc>
          <w:tcPr>
            <w:tcW w:w="6713" w:type="dxa"/>
          </w:tcPr>
          <w:p w14:paraId="5765970D">
            <w:pPr>
              <w:pStyle w:val="12"/>
              <w:ind w:firstLine="0" w:firstLineChars="0"/>
              <w:rPr>
                <w:rFonts w:hint="default" w:ascii="仿宋_GB2312" w:hAnsi="宋体" w:eastAsia="仿宋_GB2312"/>
                <w:kern w:val="0"/>
                <w:lang w:val="en-US" w:eastAsia="zh-CN" w:bidi="en-US"/>
              </w:rPr>
            </w:pPr>
            <w:r>
              <w:rPr>
                <w:rFonts w:hint="eastAsia" w:ascii="仿宋_GB2312" w:hAnsi="宋体" w:eastAsia="仿宋_GB2312"/>
                <w:kern w:val="0"/>
                <w:lang w:eastAsia="zh-CN" w:bidi="en-US"/>
              </w:rPr>
              <w:t>报价类型，确定报价</w:t>
            </w:r>
            <w:r>
              <w:rPr>
                <w:rFonts w:hint="eastAsia" w:ascii="仿宋_GB2312" w:hAnsi="宋体" w:eastAsia="仿宋_GB2312"/>
                <w:kern w:val="0"/>
                <w:lang w:val="en-US" w:eastAsia="zh-CN" w:bidi="en-US"/>
              </w:rPr>
              <w:t>/待定报价</w:t>
            </w:r>
          </w:p>
        </w:tc>
      </w:tr>
      <w:tr w14:paraId="1F9AF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5CB05669">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zh-CN" w:bidi="en-US"/>
              </w:rPr>
              <w:t>证券代码</w:t>
            </w:r>
          </w:p>
        </w:tc>
        <w:tc>
          <w:tcPr>
            <w:tcW w:w="6713" w:type="dxa"/>
          </w:tcPr>
          <w:p w14:paraId="44056417">
            <w:pPr>
              <w:pStyle w:val="12"/>
              <w:ind w:firstLine="0" w:firstLineChars="0"/>
              <w:rPr>
                <w:rFonts w:ascii="仿宋_GB2312" w:eastAsia="仿宋_GB2312"/>
                <w:kern w:val="0"/>
                <w:lang w:bidi="en-US"/>
              </w:rPr>
            </w:pPr>
            <w:r>
              <w:rPr>
                <w:rFonts w:hint="eastAsia" w:ascii="仿宋_GB2312" w:hAnsi="宋体" w:eastAsia="仿宋_GB2312"/>
                <w:kern w:val="0"/>
                <w:lang w:eastAsia="zh-CN" w:bidi="en-US"/>
              </w:rPr>
              <w:t>交易品种的</w:t>
            </w:r>
            <w:r>
              <w:rPr>
                <w:rFonts w:hint="eastAsia" w:ascii="仿宋_GB2312" w:hAnsi="宋体" w:eastAsia="仿宋_GB2312"/>
                <w:kern w:val="0"/>
                <w:lang w:bidi="en-US"/>
              </w:rPr>
              <w:t>证券代码</w:t>
            </w:r>
          </w:p>
        </w:tc>
      </w:tr>
      <w:tr w14:paraId="25B82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tcPr>
          <w:p w14:paraId="6380323F">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方向</w:t>
            </w:r>
          </w:p>
        </w:tc>
        <w:tc>
          <w:tcPr>
            <w:tcW w:w="6713" w:type="dxa"/>
          </w:tcPr>
          <w:p w14:paraId="7E35C8A6">
            <w:pPr>
              <w:pStyle w:val="12"/>
              <w:ind w:firstLine="0" w:firstLineChars="0"/>
              <w:rPr>
                <w:rFonts w:ascii="仿宋_GB2312" w:eastAsia="仿宋_GB2312"/>
                <w:kern w:val="0"/>
                <w:lang w:bidi="en-US"/>
              </w:rPr>
            </w:pPr>
            <w:r>
              <w:rPr>
                <w:rFonts w:hint="eastAsia" w:ascii="仿宋_GB2312" w:eastAsia="仿宋_GB2312"/>
                <w:kern w:val="0"/>
                <w:lang w:bidi="en-US"/>
              </w:rPr>
              <w:t>交易的买卖方向，即买入/卖出</w:t>
            </w:r>
          </w:p>
        </w:tc>
      </w:tr>
      <w:tr w14:paraId="44C08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16FE3BB3">
            <w:pPr>
              <w:pStyle w:val="12"/>
              <w:ind w:firstLine="0" w:firstLineChars="0"/>
              <w:rPr>
                <w:rFonts w:ascii="仿宋_GB2312" w:eastAsia="仿宋_GB2312"/>
                <w:b/>
                <w:kern w:val="0"/>
                <w:lang w:eastAsia="en-US" w:bidi="en-US"/>
              </w:rPr>
            </w:pPr>
            <w:r>
              <w:rPr>
                <w:rFonts w:hint="eastAsia" w:ascii="仿宋_GB2312" w:eastAsia="仿宋_GB2312"/>
                <w:b/>
                <w:kern w:val="0"/>
                <w:lang w:eastAsia="zh-CN" w:bidi="en-US"/>
              </w:rPr>
              <w:t>买入</w:t>
            </w:r>
            <w:r>
              <w:rPr>
                <w:rFonts w:hint="eastAsia" w:ascii="仿宋_GB2312" w:eastAsia="仿宋_GB2312"/>
                <w:b/>
                <w:kern w:val="0"/>
                <w:lang w:val="en-US" w:eastAsia="zh-CN" w:bidi="en-US"/>
              </w:rPr>
              <w:t>/卖出</w:t>
            </w:r>
            <w:r>
              <w:rPr>
                <w:rFonts w:hint="eastAsia" w:ascii="仿宋_GB2312" w:eastAsia="仿宋_GB2312"/>
                <w:b/>
                <w:kern w:val="0"/>
                <w:lang w:eastAsia="en-US" w:bidi="en-US"/>
              </w:rPr>
              <w:t>价格</w:t>
            </w:r>
          </w:p>
        </w:tc>
        <w:tc>
          <w:tcPr>
            <w:tcW w:w="6713" w:type="dxa"/>
          </w:tcPr>
          <w:p w14:paraId="09045666">
            <w:pPr>
              <w:pStyle w:val="12"/>
              <w:ind w:firstLine="0" w:firstLineChars="0"/>
              <w:rPr>
                <w:rFonts w:ascii="仿宋_GB2312" w:eastAsia="仿宋_GB2312"/>
                <w:kern w:val="0"/>
                <w:lang w:bidi="en-US"/>
              </w:rPr>
            </w:pPr>
            <w:r>
              <w:rPr>
                <w:rFonts w:hint="eastAsia" w:ascii="仿宋_GB2312" w:eastAsia="仿宋_GB2312"/>
                <w:kern w:val="0"/>
                <w:lang w:bidi="en-US"/>
              </w:rPr>
              <w:t>报价价格，单位：元</w:t>
            </w:r>
          </w:p>
        </w:tc>
      </w:tr>
      <w:tr w14:paraId="053C3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33F449E9">
            <w:pPr>
              <w:pStyle w:val="12"/>
              <w:ind w:firstLine="0" w:firstLineChars="0"/>
              <w:rPr>
                <w:rFonts w:ascii="仿宋_GB2312" w:eastAsia="仿宋_GB2312"/>
                <w:b/>
                <w:kern w:val="0"/>
                <w:lang w:eastAsia="en-US" w:bidi="en-US"/>
              </w:rPr>
            </w:pPr>
            <w:r>
              <w:rPr>
                <w:rFonts w:hint="eastAsia" w:ascii="仿宋_GB2312" w:eastAsia="仿宋_GB2312"/>
                <w:b/>
                <w:kern w:val="0"/>
                <w:lang w:eastAsia="zh-CN" w:bidi="en-US"/>
              </w:rPr>
              <w:t>买入</w:t>
            </w:r>
            <w:r>
              <w:rPr>
                <w:rFonts w:hint="eastAsia" w:ascii="仿宋_GB2312" w:eastAsia="仿宋_GB2312"/>
                <w:b/>
                <w:kern w:val="0"/>
                <w:lang w:val="en-US" w:eastAsia="zh-CN" w:bidi="en-US"/>
              </w:rPr>
              <w:t>/卖出</w:t>
            </w:r>
            <w:r>
              <w:rPr>
                <w:rFonts w:hint="eastAsia" w:ascii="仿宋_GB2312" w:eastAsia="仿宋_GB2312"/>
                <w:b/>
                <w:kern w:val="0"/>
                <w:lang w:eastAsia="en-US" w:bidi="en-US"/>
              </w:rPr>
              <w:t>数量</w:t>
            </w:r>
          </w:p>
        </w:tc>
        <w:tc>
          <w:tcPr>
            <w:tcW w:w="6713" w:type="dxa"/>
          </w:tcPr>
          <w:p w14:paraId="26367C75">
            <w:pPr>
              <w:pStyle w:val="12"/>
              <w:ind w:firstLine="0" w:firstLineChars="0"/>
              <w:rPr>
                <w:rFonts w:ascii="仿宋_GB2312" w:eastAsia="仿宋_GB2312"/>
                <w:kern w:val="0"/>
                <w:lang w:bidi="en-US"/>
              </w:rPr>
            </w:pPr>
            <w:r>
              <w:rPr>
                <w:rFonts w:hint="eastAsia" w:ascii="仿宋_GB2312" w:eastAsia="仿宋_GB2312"/>
                <w:kern w:val="0"/>
                <w:lang w:bidi="en-US"/>
              </w:rPr>
              <w:t>报价数量，单位：千元面额</w:t>
            </w:r>
            <w:r>
              <w:rPr>
                <w:rFonts w:hint="eastAsia" w:ascii="仿宋_GB2312" w:eastAsia="仿宋_GB2312"/>
                <w:kern w:val="0"/>
                <w:lang w:val="en-US" w:eastAsia="zh-CN" w:bidi="en-US"/>
              </w:rPr>
              <w:t>/份</w:t>
            </w:r>
            <w:r>
              <w:rPr>
                <w:rFonts w:hint="eastAsia" w:ascii="仿宋_GB2312" w:eastAsia="仿宋_GB2312"/>
                <w:kern w:val="0"/>
                <w:lang w:bidi="en-US"/>
              </w:rPr>
              <w:t>。</w:t>
            </w:r>
          </w:p>
        </w:tc>
      </w:tr>
      <w:tr w14:paraId="44210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546AA25A">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zh-CN" w:bidi="en-US"/>
              </w:rPr>
              <w:t>证券账户</w:t>
            </w:r>
          </w:p>
        </w:tc>
        <w:tc>
          <w:tcPr>
            <w:tcW w:w="6713" w:type="dxa"/>
          </w:tcPr>
          <w:p w14:paraId="66E3E032">
            <w:pPr>
              <w:pStyle w:val="12"/>
              <w:ind w:firstLine="0" w:firstLineChars="0"/>
              <w:rPr>
                <w:rFonts w:ascii="仿宋_GB2312" w:eastAsia="仿宋_GB2312"/>
                <w:kern w:val="0"/>
                <w:lang w:bidi="en-US"/>
              </w:rPr>
            </w:pPr>
            <w:r>
              <w:rPr>
                <w:rFonts w:hint="eastAsia" w:ascii="仿宋_GB2312" w:eastAsia="仿宋_GB2312"/>
                <w:kern w:val="0"/>
                <w:lang w:bidi="en-US"/>
              </w:rPr>
              <w:t>报价方的证券账户号码。</w:t>
            </w:r>
          </w:p>
        </w:tc>
      </w:tr>
      <w:tr w14:paraId="3CDBD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vAlign w:val="top"/>
          </w:tcPr>
          <w:p w14:paraId="6C21E93E">
            <w:pPr>
              <w:pStyle w:val="12"/>
              <w:ind w:firstLine="0" w:firstLineChars="0"/>
              <w:rPr>
                <w:rFonts w:hint="eastAsia" w:ascii="仿宋_GB2312" w:eastAsia="仿宋_GB2312"/>
                <w:b/>
                <w:kern w:val="0"/>
                <w:lang w:eastAsia="en-US" w:bidi="en-US"/>
              </w:rPr>
            </w:pPr>
            <w:r>
              <w:rPr>
                <w:rFonts w:hint="eastAsia" w:ascii="仿宋_GB2312" w:eastAsia="仿宋_GB2312"/>
                <w:b/>
                <w:kern w:val="0"/>
                <w:lang w:eastAsia="zh-CN" w:bidi="en-US"/>
              </w:rPr>
              <w:t>账户名称</w:t>
            </w:r>
          </w:p>
        </w:tc>
        <w:tc>
          <w:tcPr>
            <w:tcW w:w="6713" w:type="dxa"/>
            <w:vAlign w:val="top"/>
          </w:tcPr>
          <w:p w14:paraId="2B850253">
            <w:pPr>
              <w:pStyle w:val="12"/>
              <w:ind w:firstLine="0" w:firstLineChars="0"/>
              <w:rPr>
                <w:rFonts w:hint="eastAsia" w:ascii="仿宋_GB2312" w:eastAsia="仿宋_GB2312"/>
                <w:kern w:val="0"/>
                <w:lang w:bidi="en-US"/>
              </w:rPr>
            </w:pPr>
            <w:r>
              <w:rPr>
                <w:rFonts w:hint="eastAsia" w:ascii="仿宋_GB2312" w:eastAsia="仿宋_GB2312"/>
                <w:kern w:val="0"/>
                <w:lang w:eastAsia="zh-CN" w:bidi="en-US"/>
              </w:rPr>
              <w:t>本方</w:t>
            </w:r>
            <w:r>
              <w:rPr>
                <w:rFonts w:hint="eastAsia" w:ascii="仿宋_GB2312" w:eastAsia="仿宋_GB2312"/>
                <w:kern w:val="0"/>
                <w:lang w:bidi="en-US"/>
              </w:rPr>
              <w:t>的证券账户名称</w:t>
            </w:r>
            <w:r>
              <w:rPr>
                <w:rFonts w:hint="eastAsia" w:ascii="仿宋_GB2312" w:eastAsia="仿宋_GB2312"/>
                <w:kern w:val="0"/>
                <w:lang w:eastAsia="zh-CN" w:bidi="en-US"/>
              </w:rPr>
              <w:t>，自动带出</w:t>
            </w:r>
          </w:p>
        </w:tc>
      </w:tr>
      <w:tr w14:paraId="517A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09F45708">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发</w:t>
            </w:r>
            <w:r>
              <w:rPr>
                <w:rFonts w:hint="eastAsia" w:ascii="仿宋_GB2312" w:eastAsia="仿宋_GB2312"/>
                <w:b/>
                <w:kern w:val="0"/>
                <w:lang w:eastAsia="zh-CN" w:bidi="en-US"/>
              </w:rPr>
              <w:t>布</w:t>
            </w:r>
            <w:r>
              <w:rPr>
                <w:rFonts w:hint="eastAsia" w:ascii="仿宋_GB2312" w:eastAsia="仿宋_GB2312"/>
                <w:b/>
                <w:kern w:val="0"/>
                <w:lang w:eastAsia="en-US" w:bidi="en-US"/>
              </w:rPr>
              <w:t>范围</w:t>
            </w:r>
          </w:p>
        </w:tc>
        <w:tc>
          <w:tcPr>
            <w:tcW w:w="6713" w:type="dxa"/>
          </w:tcPr>
          <w:p w14:paraId="35B5DA75">
            <w:pPr>
              <w:pStyle w:val="12"/>
              <w:ind w:firstLine="0" w:firstLineChars="0"/>
              <w:rPr>
                <w:rFonts w:ascii="仿宋_GB2312" w:eastAsia="仿宋_GB2312"/>
                <w:kern w:val="0"/>
                <w:lang w:bidi="en-US"/>
              </w:rPr>
            </w:pPr>
            <w:r>
              <w:rPr>
                <w:rFonts w:hint="eastAsia" w:ascii="仿宋_GB2312" w:eastAsia="仿宋_GB2312"/>
                <w:kern w:val="0"/>
                <w:lang w:bidi="en-US"/>
              </w:rPr>
              <w:t>勾选向全市场或向指定债券交易参与人发送</w:t>
            </w:r>
          </w:p>
        </w:tc>
      </w:tr>
      <w:tr w14:paraId="270CC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764201F6">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结算方式</w:t>
            </w:r>
          </w:p>
        </w:tc>
        <w:tc>
          <w:tcPr>
            <w:tcW w:w="6713" w:type="dxa"/>
          </w:tcPr>
          <w:p w14:paraId="7BBDC459">
            <w:pPr>
              <w:pStyle w:val="12"/>
              <w:ind w:firstLine="0" w:firstLineChars="0"/>
              <w:rPr>
                <w:rFonts w:ascii="仿宋_GB2312" w:eastAsia="仿宋_GB2312"/>
                <w:kern w:val="0"/>
                <w:lang w:bidi="en-US"/>
              </w:rPr>
            </w:pPr>
            <w:r>
              <w:rPr>
                <w:rFonts w:hint="eastAsia" w:ascii="仿宋_GB2312" w:eastAsia="仿宋_GB2312"/>
                <w:kern w:val="0"/>
                <w:lang w:bidi="en-US"/>
              </w:rPr>
              <w:t>根据</w:t>
            </w:r>
            <w:r>
              <w:rPr>
                <w:rFonts w:ascii="仿宋_GB2312" w:eastAsia="仿宋_GB2312"/>
                <w:kern w:val="0"/>
                <w:lang w:bidi="en-US"/>
              </w:rPr>
              <w:t>交易品种自动带出</w:t>
            </w:r>
            <w:r>
              <w:rPr>
                <w:rFonts w:hint="eastAsia" w:ascii="仿宋_GB2312" w:eastAsia="仿宋_GB2312"/>
                <w:kern w:val="0"/>
                <w:lang w:bidi="en-US"/>
              </w:rPr>
              <w:t>“逐笔全额结算”或“多边净额结算”。</w:t>
            </w:r>
          </w:p>
        </w:tc>
      </w:tr>
      <w:tr w14:paraId="17BBC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64031850">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en-US" w:bidi="en-US"/>
              </w:rPr>
              <w:t>匿名</w:t>
            </w:r>
            <w:r>
              <w:rPr>
                <w:rFonts w:hint="eastAsia" w:ascii="仿宋_GB2312" w:eastAsia="仿宋_GB2312"/>
                <w:b/>
                <w:kern w:val="0"/>
                <w:lang w:eastAsia="zh-CN" w:bidi="en-US"/>
              </w:rPr>
              <w:t>报价</w:t>
            </w:r>
          </w:p>
        </w:tc>
        <w:tc>
          <w:tcPr>
            <w:tcW w:w="6713" w:type="dxa"/>
          </w:tcPr>
          <w:p w14:paraId="05D0B2BC">
            <w:pPr>
              <w:pStyle w:val="12"/>
              <w:ind w:firstLine="0" w:firstLineChars="0"/>
              <w:rPr>
                <w:rFonts w:ascii="仿宋_GB2312" w:eastAsia="仿宋_GB2312"/>
                <w:kern w:val="0"/>
                <w:lang w:bidi="en-US"/>
              </w:rPr>
            </w:pPr>
            <w:r>
              <w:rPr>
                <w:rFonts w:hint="eastAsia" w:ascii="仿宋_GB2312" w:hAnsi="宋体" w:eastAsia="仿宋_GB2312"/>
                <w:color w:val="000000"/>
                <w:kern w:val="0"/>
                <w:lang w:bidi="en-US"/>
              </w:rPr>
              <w:t>需匿名的，勾选“</w:t>
            </w:r>
            <w:r>
              <w:rPr>
                <w:rFonts w:hint="eastAsia" w:ascii="仿宋_GB2312" w:hAnsi="宋体" w:eastAsia="仿宋_GB2312"/>
                <w:color w:val="000000"/>
                <w:kern w:val="0"/>
                <w:lang w:eastAsia="zh-CN" w:bidi="en-US"/>
              </w:rPr>
              <w:t>是</w:t>
            </w:r>
            <w:r>
              <w:rPr>
                <w:rFonts w:hint="eastAsia" w:ascii="仿宋_GB2312" w:hAnsi="宋体" w:eastAsia="仿宋_GB2312"/>
                <w:color w:val="000000"/>
                <w:kern w:val="0"/>
                <w:lang w:bidi="en-US"/>
              </w:rPr>
              <w:t>”</w:t>
            </w:r>
          </w:p>
        </w:tc>
      </w:tr>
      <w:tr w14:paraId="2FC28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tcPr>
          <w:p w14:paraId="48784AF6">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en-US" w:bidi="en-US"/>
              </w:rPr>
              <w:t>冰山订单</w:t>
            </w:r>
            <w:r>
              <w:rPr>
                <w:rFonts w:hint="eastAsia" w:ascii="仿宋_GB2312" w:eastAsia="仿宋_GB2312"/>
                <w:b/>
                <w:kern w:val="0"/>
                <w:lang w:eastAsia="zh-CN" w:bidi="en-US"/>
              </w:rPr>
              <w:t>数量</w:t>
            </w:r>
          </w:p>
        </w:tc>
        <w:tc>
          <w:tcPr>
            <w:tcW w:w="6713" w:type="dxa"/>
          </w:tcPr>
          <w:p w14:paraId="74CB0332">
            <w:pPr>
              <w:pStyle w:val="12"/>
              <w:ind w:firstLine="0" w:firstLineChars="0"/>
              <w:rPr>
                <w:rFonts w:ascii="仿宋_GB2312" w:eastAsia="仿宋_GB2312"/>
                <w:kern w:val="0"/>
                <w:lang w:bidi="en-US"/>
              </w:rPr>
            </w:pPr>
            <w:r>
              <w:rPr>
                <w:rFonts w:hint="eastAsia" w:ascii="仿宋_GB2312" w:eastAsia="仿宋_GB2312"/>
                <w:kern w:val="0"/>
                <w:lang w:bidi="en-US"/>
              </w:rPr>
              <w:t>对于向全市场发布的报价申报，如全额成交选择</w:t>
            </w:r>
            <w:r>
              <w:rPr>
                <w:rFonts w:hint="eastAsia" w:ascii="仿宋_GB2312" w:eastAsia="仿宋_GB2312"/>
                <w:kern w:val="0"/>
                <w:lang w:eastAsia="zh-CN" w:bidi="en-US"/>
              </w:rPr>
              <w:t>“</w:t>
            </w:r>
            <w:r>
              <w:rPr>
                <w:rFonts w:hint="eastAsia" w:ascii="仿宋_GB2312" w:eastAsia="仿宋_GB2312"/>
                <w:kern w:val="0"/>
                <w:lang w:bidi="en-US"/>
              </w:rPr>
              <w:t>否</w:t>
            </w:r>
            <w:r>
              <w:rPr>
                <w:rFonts w:hint="eastAsia" w:ascii="仿宋_GB2312" w:eastAsia="仿宋_GB2312"/>
                <w:kern w:val="0"/>
                <w:lang w:eastAsia="zh-CN" w:bidi="en-US"/>
              </w:rPr>
              <w:t>”</w:t>
            </w:r>
            <w:r>
              <w:rPr>
                <w:rFonts w:hint="eastAsia" w:ascii="仿宋_GB2312" w:eastAsia="仿宋_GB2312"/>
                <w:kern w:val="0"/>
                <w:lang w:bidi="en-US"/>
              </w:rPr>
              <w:t>，则可填写冰山订单数量，冰山订单数量应当小于买入或卖出数量中的较小者</w:t>
            </w:r>
            <w:r>
              <w:rPr>
                <w:rFonts w:hint="eastAsia" w:ascii="仿宋_GB2312" w:eastAsia="仿宋_GB2312"/>
                <w:kern w:val="0"/>
                <w:lang w:eastAsia="zh-CN" w:bidi="en-US"/>
              </w:rPr>
              <w:t>。</w:t>
            </w:r>
            <w:r>
              <w:rPr>
                <w:rFonts w:hint="eastAsia" w:ascii="仿宋_GB2312" w:eastAsia="仿宋_GB2312"/>
                <w:kern w:val="0"/>
                <w:lang w:bidi="en-US"/>
              </w:rPr>
              <w:t>设置冰山订单的，每次成交数量不得超过</w:t>
            </w:r>
            <w:r>
              <w:rPr>
                <w:rFonts w:hint="eastAsia" w:ascii="仿宋_GB2312" w:eastAsia="仿宋_GB2312"/>
                <w:kern w:val="0"/>
                <w:lang w:eastAsia="zh-CN" w:bidi="en-US"/>
              </w:rPr>
              <w:t>冰山订单</w:t>
            </w:r>
            <w:r>
              <w:rPr>
                <w:rFonts w:hint="eastAsia" w:ascii="仿宋_GB2312" w:eastAsia="仿宋_GB2312"/>
                <w:kern w:val="0"/>
                <w:lang w:bidi="en-US"/>
              </w:rPr>
              <w:t>数量。</w:t>
            </w:r>
            <w:r>
              <w:rPr>
                <w:rFonts w:hint="eastAsia" w:ascii="仿宋_GB2312" w:eastAsia="仿宋_GB2312"/>
                <w:kern w:val="0"/>
                <w:lang w:eastAsia="zh-CN" w:bidi="en-US"/>
              </w:rPr>
              <w:t>冰山订单</w:t>
            </w:r>
            <w:r>
              <w:rPr>
                <w:rFonts w:hint="eastAsia" w:ascii="仿宋_GB2312" w:eastAsia="仿宋_GB2312"/>
                <w:kern w:val="0"/>
                <w:lang w:bidi="en-US"/>
              </w:rPr>
              <w:t>数量全部成交后，继续显示剩余申报数量与</w:t>
            </w:r>
            <w:r>
              <w:rPr>
                <w:rFonts w:hint="eastAsia" w:ascii="仿宋_GB2312" w:eastAsia="仿宋_GB2312"/>
                <w:kern w:val="0"/>
                <w:lang w:eastAsia="zh-CN" w:bidi="en-US"/>
              </w:rPr>
              <w:t>冰山订单</w:t>
            </w:r>
            <w:r>
              <w:rPr>
                <w:rFonts w:hint="eastAsia" w:ascii="仿宋_GB2312" w:eastAsia="仿宋_GB2312"/>
                <w:kern w:val="0"/>
                <w:lang w:bidi="en-US"/>
              </w:rPr>
              <w:t>数量的孰低值，直至申报数量完全显示并成交。</w:t>
            </w:r>
          </w:p>
          <w:p w14:paraId="5F8473CD">
            <w:pPr>
              <w:pStyle w:val="12"/>
              <w:ind w:firstLine="0" w:firstLineChars="0"/>
              <w:rPr>
                <w:rFonts w:ascii="仿宋_GB2312" w:eastAsia="仿宋_GB2312"/>
                <w:kern w:val="0"/>
                <w:lang w:bidi="en-US"/>
              </w:rPr>
            </w:pPr>
            <w:r>
              <w:rPr>
                <w:rFonts w:hint="eastAsia" w:ascii="仿宋_GB2312" w:eastAsia="仿宋_GB2312"/>
                <w:kern w:val="0"/>
                <w:lang w:bidi="en-US"/>
              </w:rPr>
              <w:t>冰山订单字段单位为“千元面额</w:t>
            </w:r>
            <w:r>
              <w:rPr>
                <w:rFonts w:hint="eastAsia" w:ascii="仿宋_GB2312" w:eastAsia="仿宋_GB2312"/>
                <w:kern w:val="0"/>
                <w:lang w:val="en-US" w:eastAsia="zh-CN" w:bidi="en-US"/>
              </w:rPr>
              <w:t>/份</w:t>
            </w:r>
            <w:r>
              <w:rPr>
                <w:rFonts w:hint="eastAsia" w:ascii="仿宋_GB2312" w:eastAsia="仿宋_GB2312"/>
                <w:kern w:val="0"/>
                <w:lang w:bidi="en-US"/>
              </w:rPr>
              <w:t>”，不填写则默认该笔申报不是冰山订单。</w:t>
            </w:r>
          </w:p>
        </w:tc>
      </w:tr>
      <w:tr w14:paraId="1E5D9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170D3C18">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全额成交</w:t>
            </w:r>
          </w:p>
        </w:tc>
        <w:tc>
          <w:tcPr>
            <w:tcW w:w="6713" w:type="dxa"/>
          </w:tcPr>
          <w:p w14:paraId="1024B6AC">
            <w:pPr>
              <w:pStyle w:val="12"/>
              <w:ind w:firstLine="0" w:firstLineChars="0"/>
              <w:rPr>
                <w:rFonts w:ascii="仿宋_GB2312" w:eastAsia="仿宋_GB2312"/>
                <w:kern w:val="0"/>
                <w:lang w:bidi="en-US"/>
              </w:rPr>
            </w:pPr>
            <w:r>
              <w:rPr>
                <w:rFonts w:hint="eastAsia" w:ascii="仿宋_GB2312" w:eastAsia="仿宋_GB2312"/>
                <w:kern w:val="0"/>
                <w:lang w:bidi="en-US"/>
              </w:rPr>
              <w:t>在</w:t>
            </w:r>
            <w:r>
              <w:rPr>
                <w:rFonts w:hint="eastAsia" w:ascii="仿宋_GB2312" w:eastAsia="仿宋_GB2312"/>
                <w:kern w:val="0"/>
                <w:lang w:eastAsia="zh-CN" w:bidi="en-US"/>
              </w:rPr>
              <w:t>新固定收益系统</w:t>
            </w:r>
            <w:r>
              <w:rPr>
                <w:rFonts w:hint="eastAsia" w:ascii="仿宋_GB2312" w:eastAsia="仿宋_GB2312"/>
                <w:kern w:val="0"/>
                <w:lang w:bidi="en-US"/>
              </w:rPr>
              <w:t>点击成交申报页面进行标签勾选，全额成交被勾选的，表示该申报不能部分成交。</w:t>
            </w:r>
          </w:p>
        </w:tc>
      </w:tr>
      <w:tr w14:paraId="10BBE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001CDA03">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证券简称</w:t>
            </w:r>
          </w:p>
        </w:tc>
        <w:tc>
          <w:tcPr>
            <w:tcW w:w="6713" w:type="dxa"/>
          </w:tcPr>
          <w:p w14:paraId="3C2BD914">
            <w:pPr>
              <w:pStyle w:val="12"/>
              <w:ind w:firstLine="0" w:firstLineChars="0"/>
              <w:rPr>
                <w:rFonts w:ascii="仿宋_GB2312" w:eastAsia="仿宋_GB2312"/>
                <w:kern w:val="0"/>
                <w:lang w:bidi="en-US"/>
              </w:rPr>
            </w:pPr>
            <w:r>
              <w:rPr>
                <w:rFonts w:hint="eastAsia" w:ascii="仿宋_GB2312" w:hAnsi="宋体" w:eastAsia="仿宋_GB2312"/>
                <w:kern w:val="0"/>
                <w:lang w:bidi="en-US"/>
              </w:rPr>
              <w:t>上交所证券简称，有证券代码的交易品种，简称根据证券代码自动显示</w:t>
            </w:r>
          </w:p>
        </w:tc>
      </w:tr>
      <w:tr w14:paraId="5BBB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0935D2E1">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zh-CN" w:bidi="en-US"/>
              </w:rPr>
              <w:t>计价方式</w:t>
            </w:r>
          </w:p>
        </w:tc>
        <w:tc>
          <w:tcPr>
            <w:tcW w:w="6713" w:type="dxa"/>
          </w:tcPr>
          <w:p w14:paraId="64E4AF3B">
            <w:pPr>
              <w:pStyle w:val="12"/>
              <w:ind w:firstLine="0" w:firstLineChars="0"/>
              <w:rPr>
                <w:rFonts w:ascii="仿宋_GB2312" w:hAnsi="宋体" w:eastAsia="仿宋_GB2312"/>
                <w:kern w:val="0"/>
                <w:lang w:bidi="en-US"/>
              </w:rPr>
            </w:pPr>
            <w:r>
              <w:rPr>
                <w:rFonts w:hint="eastAsia" w:ascii="仿宋_GB2312" w:eastAsia="仿宋_GB2312"/>
                <w:kern w:val="0"/>
                <w:lang w:bidi="en-US"/>
              </w:rPr>
              <w:t>净价或全价，当输入证券代码时自动显示价格类型</w:t>
            </w:r>
          </w:p>
        </w:tc>
      </w:tr>
      <w:tr w14:paraId="5D777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tcPr>
          <w:p w14:paraId="74877593">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w:t>
            </w:r>
            <w:r>
              <w:rPr>
                <w:rFonts w:hint="eastAsia" w:ascii="仿宋_GB2312" w:eastAsia="仿宋_GB2312"/>
                <w:b/>
                <w:kern w:val="0"/>
                <w:lang w:eastAsia="zh-CN" w:bidi="en-US"/>
              </w:rPr>
              <w:t>单元</w:t>
            </w:r>
          </w:p>
        </w:tc>
        <w:tc>
          <w:tcPr>
            <w:tcW w:w="6713" w:type="dxa"/>
          </w:tcPr>
          <w:p w14:paraId="43DD327B">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交易参与人的交易单元号码，自动显示</w:t>
            </w:r>
          </w:p>
        </w:tc>
      </w:tr>
      <w:tr w14:paraId="5108E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57D0CAB4">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zh-CN" w:bidi="en-US"/>
              </w:rPr>
              <w:t>本方</w:t>
            </w:r>
          </w:p>
        </w:tc>
        <w:tc>
          <w:tcPr>
            <w:tcW w:w="6713" w:type="dxa"/>
          </w:tcPr>
          <w:p w14:paraId="46B86975">
            <w:pPr>
              <w:pStyle w:val="12"/>
              <w:ind w:firstLine="0" w:firstLineChars="0"/>
              <w:rPr>
                <w:rFonts w:ascii="仿宋_GB2312" w:hAnsi="宋体" w:eastAsia="仿宋_GB2312"/>
                <w:color w:val="000000"/>
                <w:kern w:val="0"/>
                <w:lang w:bidi="en-US"/>
              </w:rPr>
            </w:pPr>
            <w:r>
              <w:rPr>
                <w:rFonts w:hint="eastAsia" w:ascii="仿宋_GB2312" w:eastAsia="仿宋_GB2312"/>
                <w:kern w:val="0"/>
                <w:lang w:eastAsia="zh-CN" w:bidi="en-US"/>
              </w:rPr>
              <w:t>本方</w:t>
            </w:r>
            <w:r>
              <w:rPr>
                <w:rFonts w:hint="eastAsia" w:ascii="仿宋_GB2312" w:eastAsia="仿宋_GB2312"/>
                <w:kern w:val="0"/>
                <w:lang w:bidi="en-US"/>
              </w:rPr>
              <w:t>交易参与人简称，自动显示，无需输入</w:t>
            </w:r>
          </w:p>
        </w:tc>
      </w:tr>
      <w:tr w14:paraId="5F535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3BB50DAD">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zh-CN" w:bidi="en-US"/>
              </w:rPr>
              <w:t>本方一债通账户</w:t>
            </w:r>
          </w:p>
        </w:tc>
        <w:tc>
          <w:tcPr>
            <w:tcW w:w="6713" w:type="dxa"/>
          </w:tcPr>
          <w:p w14:paraId="375EB6BD">
            <w:pPr>
              <w:pStyle w:val="12"/>
              <w:ind w:firstLine="0" w:firstLineChars="0"/>
              <w:rPr>
                <w:rFonts w:ascii="仿宋_GB2312" w:hAnsi="宋体" w:eastAsia="仿宋_GB2312"/>
                <w:color w:val="000000"/>
                <w:kern w:val="0"/>
                <w:lang w:bidi="en-US"/>
              </w:rPr>
            </w:pPr>
            <w:r>
              <w:rPr>
                <w:rFonts w:hint="eastAsia" w:ascii="仿宋_GB2312" w:eastAsia="仿宋_GB2312"/>
                <w:kern w:val="0"/>
                <w:lang w:eastAsia="zh-CN" w:bidi="en-US"/>
              </w:rPr>
              <w:t>本方</w:t>
            </w:r>
            <w:r>
              <w:rPr>
                <w:rFonts w:hint="eastAsia" w:ascii="仿宋_GB2312" w:eastAsia="仿宋_GB2312"/>
                <w:kern w:val="0"/>
                <w:lang w:bidi="en-US"/>
              </w:rPr>
              <w:t>交易员</w:t>
            </w:r>
            <w:r>
              <w:rPr>
                <w:rFonts w:hint="eastAsia" w:ascii="仿宋_GB2312" w:eastAsia="仿宋_GB2312"/>
                <w:kern w:val="0"/>
                <w:lang w:eastAsia="zh-CN" w:bidi="en-US"/>
              </w:rPr>
              <w:t>一债通账户号码</w:t>
            </w:r>
            <w:r>
              <w:rPr>
                <w:rFonts w:hint="eastAsia" w:ascii="仿宋_GB2312" w:eastAsia="仿宋_GB2312"/>
                <w:kern w:val="0"/>
                <w:lang w:bidi="en-US"/>
              </w:rPr>
              <w:t>，自动显示，无需输入</w:t>
            </w:r>
          </w:p>
        </w:tc>
      </w:tr>
      <w:tr w14:paraId="608C6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05E7E76E">
            <w:pPr>
              <w:pStyle w:val="12"/>
              <w:ind w:firstLine="0" w:firstLineChars="0"/>
              <w:rPr>
                <w:rFonts w:ascii="仿宋_GB2312" w:eastAsia="仿宋_GB2312"/>
                <w:b/>
                <w:kern w:val="0"/>
                <w:lang w:eastAsia="en-US" w:bidi="en-US"/>
              </w:rPr>
            </w:pPr>
            <w:r>
              <w:rPr>
                <w:rFonts w:hint="eastAsia" w:ascii="仿宋_GB2312" w:eastAsia="仿宋_GB2312"/>
                <w:b/>
                <w:kern w:val="0"/>
                <w:lang w:eastAsia="zh-CN" w:bidi="en-US"/>
              </w:rPr>
              <w:t>本方</w:t>
            </w:r>
            <w:r>
              <w:rPr>
                <w:rFonts w:hint="eastAsia" w:ascii="仿宋_GB2312" w:eastAsia="仿宋_GB2312"/>
                <w:b/>
                <w:kern w:val="0"/>
                <w:lang w:eastAsia="en-US" w:bidi="en-US"/>
              </w:rPr>
              <w:t>交易员</w:t>
            </w:r>
          </w:p>
        </w:tc>
        <w:tc>
          <w:tcPr>
            <w:tcW w:w="6713" w:type="dxa"/>
          </w:tcPr>
          <w:p w14:paraId="7F598513">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交易员名称，自动显示，无需输入</w:t>
            </w:r>
          </w:p>
        </w:tc>
      </w:tr>
    </w:tbl>
    <w:p w14:paraId="5868F1C2">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2）双边报价</w:t>
      </w:r>
    </w:p>
    <w:p w14:paraId="5DC3EAC2">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双边报价具体要素及要素说明如下：</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6713"/>
      </w:tblGrid>
      <w:tr w14:paraId="4859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5738C620">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要素名称</w:t>
            </w:r>
          </w:p>
        </w:tc>
        <w:tc>
          <w:tcPr>
            <w:tcW w:w="6713" w:type="dxa"/>
          </w:tcPr>
          <w:p w14:paraId="7FD78D5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要素说明</w:t>
            </w:r>
          </w:p>
        </w:tc>
      </w:tr>
      <w:tr w14:paraId="2E13B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1421573A">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zh-CN" w:bidi="en-US"/>
              </w:rPr>
              <w:t>订单类型</w:t>
            </w:r>
          </w:p>
        </w:tc>
        <w:tc>
          <w:tcPr>
            <w:tcW w:w="6713" w:type="dxa"/>
          </w:tcPr>
          <w:p w14:paraId="60FDEAB4">
            <w:pPr>
              <w:pStyle w:val="12"/>
              <w:ind w:firstLine="0" w:firstLineChars="0"/>
              <w:rPr>
                <w:rFonts w:hint="default" w:ascii="仿宋_GB2312" w:eastAsia="仿宋_GB2312"/>
                <w:b/>
                <w:kern w:val="0"/>
                <w:lang w:val="en-US" w:eastAsia="zh-CN" w:bidi="en-US"/>
              </w:rPr>
            </w:pPr>
            <w:r>
              <w:rPr>
                <w:rFonts w:hint="eastAsia" w:ascii="仿宋_GB2312" w:eastAsia="仿宋_GB2312"/>
                <w:b w:val="0"/>
                <w:bCs/>
                <w:kern w:val="0"/>
                <w:lang w:eastAsia="zh-CN" w:bidi="en-US"/>
              </w:rPr>
              <w:t>报价类型，确定报价</w:t>
            </w:r>
            <w:r>
              <w:rPr>
                <w:rFonts w:hint="eastAsia" w:ascii="仿宋_GB2312" w:eastAsia="仿宋_GB2312"/>
                <w:b w:val="0"/>
                <w:bCs/>
                <w:kern w:val="0"/>
                <w:lang w:val="en-US" w:eastAsia="zh-CN" w:bidi="en-US"/>
              </w:rPr>
              <w:t>/待定报价</w:t>
            </w:r>
          </w:p>
        </w:tc>
      </w:tr>
      <w:tr w14:paraId="38A83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top"/>
          </w:tcPr>
          <w:p w14:paraId="3D3BB803">
            <w:pPr>
              <w:pStyle w:val="12"/>
              <w:ind w:firstLine="0" w:firstLineChars="0"/>
              <w:rPr>
                <w:rFonts w:ascii="仿宋_GB2312" w:eastAsia="仿宋_GB2312"/>
                <w:b/>
                <w:kern w:val="0"/>
                <w:lang w:eastAsia="en-US" w:bidi="en-US"/>
              </w:rPr>
            </w:pPr>
            <w:r>
              <w:rPr>
                <w:rFonts w:hint="eastAsia" w:ascii="仿宋_GB2312" w:eastAsia="仿宋_GB2312"/>
                <w:b/>
                <w:kern w:val="0"/>
                <w:lang w:eastAsia="zh-CN" w:bidi="en-US"/>
              </w:rPr>
              <w:t>方向</w:t>
            </w:r>
          </w:p>
        </w:tc>
        <w:tc>
          <w:tcPr>
            <w:tcW w:w="6713" w:type="dxa"/>
            <w:vAlign w:val="top"/>
          </w:tcPr>
          <w:p w14:paraId="16F34A62">
            <w:pPr>
              <w:pStyle w:val="12"/>
              <w:ind w:firstLine="0" w:firstLineChars="0"/>
              <w:rPr>
                <w:rFonts w:ascii="仿宋_GB2312" w:hAnsi="宋体" w:eastAsia="仿宋_GB2312"/>
                <w:kern w:val="0"/>
                <w:lang w:eastAsia="en-US" w:bidi="en-US"/>
              </w:rPr>
            </w:pPr>
            <w:r>
              <w:rPr>
                <w:rFonts w:hint="eastAsia" w:ascii="仿宋_GB2312" w:eastAsia="仿宋_GB2312"/>
                <w:kern w:val="0"/>
                <w:lang w:bidi="en-US"/>
              </w:rPr>
              <w:t>交易的买卖方向，</w:t>
            </w:r>
            <w:r>
              <w:rPr>
                <w:rFonts w:hint="eastAsia" w:ascii="仿宋_GB2312" w:hAnsi="宋体" w:eastAsia="仿宋_GB2312"/>
                <w:kern w:val="0"/>
                <w:lang w:eastAsia="zh-CN" w:bidi="en-US"/>
              </w:rPr>
              <w:t>选择“</w:t>
            </w:r>
            <w:r>
              <w:rPr>
                <w:rFonts w:hint="eastAsia" w:ascii="仿宋_GB2312" w:hAnsi="宋体" w:eastAsia="仿宋_GB2312"/>
                <w:kern w:val="0"/>
                <w:lang w:eastAsia="en-US" w:bidi="en-US"/>
              </w:rPr>
              <w:t>双边</w:t>
            </w:r>
            <w:r>
              <w:rPr>
                <w:rFonts w:hint="eastAsia" w:ascii="仿宋_GB2312" w:hAnsi="宋体" w:eastAsia="仿宋_GB2312"/>
                <w:kern w:val="0"/>
                <w:lang w:eastAsia="zh-CN" w:bidi="en-US"/>
              </w:rPr>
              <w:t>”</w:t>
            </w:r>
          </w:p>
        </w:tc>
      </w:tr>
      <w:tr w14:paraId="53EE5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vAlign w:val="top"/>
          </w:tcPr>
          <w:p w14:paraId="2AE109EB">
            <w:pPr>
              <w:pStyle w:val="12"/>
              <w:ind w:firstLine="0" w:firstLineChars="0"/>
              <w:rPr>
                <w:rFonts w:ascii="仿宋_GB2312" w:eastAsia="仿宋_GB2312"/>
                <w:b/>
                <w:kern w:val="0"/>
                <w:lang w:bidi="en-US"/>
              </w:rPr>
            </w:pPr>
            <w:r>
              <w:rPr>
                <w:rFonts w:hint="eastAsia" w:ascii="仿宋_GB2312" w:eastAsia="仿宋_GB2312"/>
                <w:b/>
                <w:kern w:val="0"/>
                <w:lang w:eastAsia="zh-CN" w:bidi="en-US"/>
              </w:rPr>
              <w:t>证券代码</w:t>
            </w:r>
          </w:p>
        </w:tc>
        <w:tc>
          <w:tcPr>
            <w:tcW w:w="6713" w:type="dxa"/>
            <w:vAlign w:val="top"/>
          </w:tcPr>
          <w:p w14:paraId="7B8021A5">
            <w:pPr>
              <w:pStyle w:val="12"/>
              <w:ind w:firstLine="0" w:firstLineChars="0"/>
              <w:rPr>
                <w:rFonts w:ascii="仿宋_GB2312" w:hAnsi="宋体" w:eastAsia="仿宋_GB2312"/>
                <w:kern w:val="0"/>
                <w:lang w:bidi="en-US"/>
              </w:rPr>
            </w:pPr>
            <w:r>
              <w:rPr>
                <w:rFonts w:hint="eastAsia" w:ascii="仿宋_GB2312" w:hAnsi="宋体" w:eastAsia="仿宋_GB2312"/>
                <w:kern w:val="0"/>
                <w:lang w:bidi="en-US"/>
              </w:rPr>
              <w:t>证券代码</w:t>
            </w:r>
          </w:p>
        </w:tc>
      </w:tr>
      <w:tr w14:paraId="6A3C9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7F90AC67">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买入价格</w:t>
            </w:r>
          </w:p>
        </w:tc>
        <w:tc>
          <w:tcPr>
            <w:tcW w:w="6713" w:type="dxa"/>
          </w:tcPr>
          <w:p w14:paraId="4C3E388E">
            <w:pPr>
              <w:pStyle w:val="12"/>
              <w:ind w:firstLine="0" w:firstLineChars="0"/>
              <w:rPr>
                <w:rFonts w:ascii="仿宋_GB2312" w:eastAsia="仿宋_GB2312"/>
                <w:kern w:val="0"/>
                <w:lang w:bidi="en-US"/>
              </w:rPr>
            </w:pPr>
            <w:r>
              <w:rPr>
                <w:rFonts w:hint="eastAsia" w:ascii="仿宋_GB2312" w:eastAsia="仿宋_GB2312"/>
                <w:kern w:val="0"/>
                <w:lang w:bidi="en-US"/>
              </w:rPr>
              <w:t>单位：元</w:t>
            </w:r>
          </w:p>
        </w:tc>
      </w:tr>
      <w:tr w14:paraId="11E36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113D2F83">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买入数量</w:t>
            </w:r>
          </w:p>
        </w:tc>
        <w:tc>
          <w:tcPr>
            <w:tcW w:w="6713" w:type="dxa"/>
          </w:tcPr>
          <w:p w14:paraId="06996E08">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单位：</w:t>
            </w:r>
            <w:r>
              <w:rPr>
                <w:rFonts w:hint="eastAsia" w:ascii="仿宋_GB2312" w:eastAsia="仿宋_GB2312"/>
                <w:kern w:val="0"/>
                <w:lang w:bidi="en-US"/>
              </w:rPr>
              <w:t>千</w:t>
            </w:r>
            <w:r>
              <w:rPr>
                <w:rFonts w:hint="eastAsia" w:ascii="仿宋_GB2312" w:eastAsia="仿宋_GB2312"/>
                <w:kern w:val="0"/>
                <w:lang w:eastAsia="en-US" w:bidi="en-US"/>
              </w:rPr>
              <w:t>元面额</w:t>
            </w:r>
            <w:r>
              <w:rPr>
                <w:rFonts w:hint="eastAsia" w:ascii="仿宋_GB2312" w:eastAsia="仿宋_GB2312"/>
                <w:kern w:val="0"/>
                <w:lang w:val="en-US" w:eastAsia="zh-CN" w:bidi="en-US"/>
              </w:rPr>
              <w:t>/份</w:t>
            </w:r>
            <w:r>
              <w:rPr>
                <w:rFonts w:hint="eastAsia" w:ascii="仿宋_GB2312" w:eastAsia="仿宋_GB2312"/>
                <w:kern w:val="0"/>
                <w:lang w:eastAsia="en-US" w:bidi="en-US"/>
              </w:rPr>
              <w:t>。</w:t>
            </w:r>
          </w:p>
        </w:tc>
      </w:tr>
      <w:tr w14:paraId="7394F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611E680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卖出价格</w:t>
            </w:r>
          </w:p>
        </w:tc>
        <w:tc>
          <w:tcPr>
            <w:tcW w:w="6713" w:type="dxa"/>
          </w:tcPr>
          <w:p w14:paraId="68F30E92">
            <w:pPr>
              <w:pStyle w:val="12"/>
              <w:ind w:firstLine="0" w:firstLineChars="0"/>
              <w:rPr>
                <w:rFonts w:ascii="仿宋_GB2312" w:eastAsia="仿宋_GB2312"/>
                <w:kern w:val="0"/>
                <w:lang w:bidi="en-US"/>
              </w:rPr>
            </w:pPr>
            <w:r>
              <w:rPr>
                <w:rFonts w:hint="eastAsia" w:ascii="仿宋_GB2312" w:eastAsia="仿宋_GB2312"/>
                <w:kern w:val="0"/>
                <w:lang w:bidi="en-US"/>
              </w:rPr>
              <w:t>单位：元</w:t>
            </w:r>
          </w:p>
        </w:tc>
      </w:tr>
      <w:tr w14:paraId="5352D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tcPr>
          <w:p w14:paraId="1CE7D6F9">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卖出数量</w:t>
            </w:r>
          </w:p>
        </w:tc>
        <w:tc>
          <w:tcPr>
            <w:tcW w:w="6713" w:type="dxa"/>
          </w:tcPr>
          <w:p w14:paraId="6D8A04A7">
            <w:pPr>
              <w:pStyle w:val="12"/>
              <w:ind w:firstLine="0" w:firstLineChars="0"/>
              <w:rPr>
                <w:rFonts w:ascii="仿宋_GB2312" w:eastAsia="仿宋_GB2312"/>
                <w:kern w:val="0"/>
                <w:lang w:eastAsia="en-US" w:bidi="en-US"/>
              </w:rPr>
            </w:pPr>
            <w:r>
              <w:rPr>
                <w:rFonts w:hint="eastAsia" w:ascii="仿宋_GB2312" w:eastAsia="仿宋_GB2312"/>
                <w:kern w:val="0"/>
                <w:lang w:eastAsia="en-US" w:bidi="en-US"/>
              </w:rPr>
              <w:t>单位：</w:t>
            </w:r>
            <w:r>
              <w:rPr>
                <w:rFonts w:hint="eastAsia" w:ascii="仿宋_GB2312" w:eastAsia="仿宋_GB2312"/>
                <w:kern w:val="0"/>
                <w:lang w:bidi="en-US"/>
              </w:rPr>
              <w:t>千</w:t>
            </w:r>
            <w:r>
              <w:rPr>
                <w:rFonts w:hint="eastAsia" w:ascii="仿宋_GB2312" w:eastAsia="仿宋_GB2312"/>
                <w:kern w:val="0"/>
                <w:lang w:eastAsia="en-US" w:bidi="en-US"/>
              </w:rPr>
              <w:t>元面额</w:t>
            </w:r>
            <w:r>
              <w:rPr>
                <w:rFonts w:hint="eastAsia" w:ascii="仿宋_GB2312" w:eastAsia="仿宋_GB2312"/>
                <w:kern w:val="0"/>
                <w:lang w:val="en-US" w:eastAsia="zh-CN" w:bidi="en-US"/>
              </w:rPr>
              <w:t>/份</w:t>
            </w:r>
            <w:r>
              <w:rPr>
                <w:rFonts w:hint="eastAsia" w:ascii="仿宋_GB2312" w:eastAsia="仿宋_GB2312"/>
                <w:kern w:val="0"/>
                <w:lang w:eastAsia="en-US" w:bidi="en-US"/>
              </w:rPr>
              <w:t>。</w:t>
            </w:r>
          </w:p>
        </w:tc>
      </w:tr>
      <w:tr w14:paraId="56436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13E45DD7">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zh-CN" w:bidi="en-US"/>
              </w:rPr>
              <w:t>证券账户</w:t>
            </w:r>
          </w:p>
        </w:tc>
        <w:tc>
          <w:tcPr>
            <w:tcW w:w="6713" w:type="dxa"/>
          </w:tcPr>
          <w:p w14:paraId="28E16613">
            <w:pPr>
              <w:pStyle w:val="12"/>
              <w:ind w:firstLine="0" w:firstLineChars="0"/>
              <w:rPr>
                <w:rFonts w:ascii="仿宋_GB2312" w:eastAsia="仿宋_GB2312"/>
                <w:kern w:val="0"/>
                <w:lang w:bidi="en-US"/>
              </w:rPr>
            </w:pPr>
            <w:r>
              <w:rPr>
                <w:rFonts w:hint="eastAsia" w:ascii="仿宋_GB2312" w:eastAsia="仿宋_GB2312"/>
                <w:kern w:val="0"/>
                <w:lang w:bidi="en-US"/>
              </w:rPr>
              <w:t>报价方的证券账户号码（可以选择本交易员有权使用的所有交易账户）。</w:t>
            </w:r>
          </w:p>
        </w:tc>
      </w:tr>
      <w:tr w14:paraId="50E1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top"/>
          </w:tcPr>
          <w:p w14:paraId="13D90234">
            <w:pPr>
              <w:pStyle w:val="12"/>
              <w:ind w:firstLine="0" w:firstLineChars="0"/>
              <w:rPr>
                <w:rFonts w:hint="eastAsia" w:ascii="仿宋_GB2312" w:eastAsia="仿宋_GB2312"/>
                <w:b/>
                <w:kern w:val="0"/>
                <w:lang w:eastAsia="en-US" w:bidi="en-US"/>
              </w:rPr>
            </w:pPr>
            <w:r>
              <w:rPr>
                <w:rFonts w:hint="eastAsia" w:ascii="仿宋_GB2312" w:eastAsia="仿宋_GB2312"/>
                <w:b/>
                <w:kern w:val="0"/>
                <w:lang w:eastAsia="zh-CN" w:bidi="en-US"/>
              </w:rPr>
              <w:t>账户名称</w:t>
            </w:r>
          </w:p>
        </w:tc>
        <w:tc>
          <w:tcPr>
            <w:tcW w:w="6713" w:type="dxa"/>
            <w:vAlign w:val="top"/>
          </w:tcPr>
          <w:p w14:paraId="1B5CCCCB">
            <w:pPr>
              <w:pStyle w:val="12"/>
              <w:ind w:firstLine="0" w:firstLineChars="0"/>
              <w:rPr>
                <w:rFonts w:hint="eastAsia" w:ascii="仿宋_GB2312" w:eastAsia="仿宋_GB2312"/>
                <w:kern w:val="0"/>
                <w:lang w:bidi="en-US"/>
              </w:rPr>
            </w:pPr>
            <w:r>
              <w:rPr>
                <w:rFonts w:hint="eastAsia" w:ascii="仿宋_GB2312" w:eastAsia="仿宋_GB2312"/>
                <w:kern w:val="0"/>
                <w:lang w:eastAsia="zh-CN" w:bidi="en-US"/>
              </w:rPr>
              <w:t>本方</w:t>
            </w:r>
            <w:r>
              <w:rPr>
                <w:rFonts w:hint="eastAsia" w:ascii="仿宋_GB2312" w:eastAsia="仿宋_GB2312"/>
                <w:kern w:val="0"/>
                <w:lang w:bidi="en-US"/>
              </w:rPr>
              <w:t>的证券账户名称</w:t>
            </w:r>
            <w:r>
              <w:rPr>
                <w:rFonts w:hint="eastAsia" w:ascii="仿宋_GB2312" w:eastAsia="仿宋_GB2312"/>
                <w:kern w:val="0"/>
                <w:lang w:eastAsia="zh-CN" w:bidi="en-US"/>
              </w:rPr>
              <w:t>，自动带出</w:t>
            </w:r>
          </w:p>
        </w:tc>
      </w:tr>
      <w:tr w14:paraId="2841D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49BEE712">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发送范围</w:t>
            </w:r>
          </w:p>
        </w:tc>
        <w:tc>
          <w:tcPr>
            <w:tcW w:w="6713" w:type="dxa"/>
          </w:tcPr>
          <w:p w14:paraId="2623B007">
            <w:pPr>
              <w:pStyle w:val="12"/>
              <w:ind w:firstLine="0" w:firstLineChars="0"/>
              <w:rPr>
                <w:rFonts w:ascii="仿宋_GB2312" w:eastAsia="仿宋_GB2312"/>
                <w:kern w:val="0"/>
                <w:lang w:bidi="en-US"/>
              </w:rPr>
            </w:pPr>
            <w:r>
              <w:rPr>
                <w:rFonts w:hint="eastAsia" w:ascii="仿宋_GB2312" w:eastAsia="仿宋_GB2312"/>
                <w:kern w:val="0"/>
                <w:lang w:bidi="en-US"/>
              </w:rPr>
              <w:t>勾选向全市场或向部分债券交易参与人发送</w:t>
            </w:r>
          </w:p>
        </w:tc>
      </w:tr>
      <w:tr w14:paraId="7FA44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9" w:type="dxa"/>
          </w:tcPr>
          <w:p w14:paraId="035A7759">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结算方式</w:t>
            </w:r>
          </w:p>
        </w:tc>
        <w:tc>
          <w:tcPr>
            <w:tcW w:w="6713" w:type="dxa"/>
          </w:tcPr>
          <w:p w14:paraId="74BD56EA">
            <w:pPr>
              <w:pStyle w:val="12"/>
              <w:ind w:firstLine="0" w:firstLineChars="0"/>
              <w:rPr>
                <w:rFonts w:ascii="仿宋_GB2312" w:eastAsia="仿宋_GB2312"/>
                <w:kern w:val="0"/>
                <w:lang w:bidi="en-US"/>
              </w:rPr>
            </w:pPr>
            <w:r>
              <w:rPr>
                <w:rFonts w:hint="eastAsia" w:ascii="仿宋_GB2312" w:eastAsia="仿宋_GB2312"/>
                <w:kern w:val="0"/>
                <w:lang w:bidi="en-US"/>
              </w:rPr>
              <w:t>根据</w:t>
            </w:r>
            <w:r>
              <w:rPr>
                <w:rFonts w:ascii="仿宋_GB2312" w:eastAsia="仿宋_GB2312"/>
                <w:kern w:val="0"/>
                <w:lang w:bidi="en-US"/>
              </w:rPr>
              <w:t>交易品种</w:t>
            </w:r>
            <w:r>
              <w:rPr>
                <w:rFonts w:hint="eastAsia" w:ascii="仿宋_GB2312" w:eastAsia="仿宋_GB2312"/>
                <w:kern w:val="0"/>
                <w:lang w:bidi="en-US"/>
              </w:rPr>
              <w:t>自动带出</w:t>
            </w:r>
            <w:r>
              <w:rPr>
                <w:rFonts w:hint="eastAsia" w:ascii="仿宋_GB2312" w:eastAsia="仿宋_GB2312"/>
                <w:kern w:val="0"/>
                <w:lang w:eastAsia="zh-CN" w:bidi="en-US"/>
              </w:rPr>
              <w:t>“</w:t>
            </w:r>
            <w:r>
              <w:rPr>
                <w:rFonts w:hint="eastAsia" w:ascii="仿宋_GB2312" w:eastAsia="仿宋_GB2312"/>
                <w:kern w:val="0"/>
                <w:lang w:bidi="en-US"/>
              </w:rPr>
              <w:t xml:space="preserve">逐笔全额结算”或“多边净额结算” </w:t>
            </w:r>
          </w:p>
        </w:tc>
      </w:tr>
      <w:tr w14:paraId="4B292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top"/>
          </w:tcPr>
          <w:p w14:paraId="7814376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冰山订单</w:t>
            </w:r>
            <w:r>
              <w:rPr>
                <w:rFonts w:hint="eastAsia" w:ascii="仿宋_GB2312" w:eastAsia="仿宋_GB2312"/>
                <w:b/>
                <w:kern w:val="0"/>
                <w:lang w:eastAsia="zh-CN" w:bidi="en-US"/>
              </w:rPr>
              <w:t>数量</w:t>
            </w:r>
          </w:p>
        </w:tc>
        <w:tc>
          <w:tcPr>
            <w:tcW w:w="6713" w:type="dxa"/>
            <w:vAlign w:val="top"/>
          </w:tcPr>
          <w:p w14:paraId="2A6C3777">
            <w:pPr>
              <w:pStyle w:val="12"/>
              <w:ind w:firstLine="0" w:firstLineChars="0"/>
              <w:rPr>
                <w:rFonts w:ascii="仿宋_GB2312" w:eastAsia="仿宋_GB2312"/>
                <w:kern w:val="0"/>
                <w:lang w:bidi="en-US"/>
              </w:rPr>
            </w:pPr>
            <w:r>
              <w:rPr>
                <w:rFonts w:hint="eastAsia" w:ascii="仿宋_GB2312" w:eastAsia="仿宋_GB2312"/>
                <w:kern w:val="0"/>
                <w:lang w:bidi="en-US"/>
              </w:rPr>
              <w:t>对于向全市场发布的报价申报，如全额成交选择</w:t>
            </w:r>
            <w:r>
              <w:rPr>
                <w:rFonts w:hint="eastAsia" w:ascii="仿宋_GB2312" w:eastAsia="仿宋_GB2312"/>
                <w:kern w:val="0"/>
                <w:lang w:eastAsia="zh-CN" w:bidi="en-US"/>
              </w:rPr>
              <w:t>“</w:t>
            </w:r>
            <w:r>
              <w:rPr>
                <w:rFonts w:hint="eastAsia" w:ascii="仿宋_GB2312" w:eastAsia="仿宋_GB2312"/>
                <w:kern w:val="0"/>
                <w:lang w:bidi="en-US"/>
              </w:rPr>
              <w:t>否</w:t>
            </w:r>
            <w:r>
              <w:rPr>
                <w:rFonts w:hint="eastAsia" w:ascii="仿宋_GB2312" w:eastAsia="仿宋_GB2312"/>
                <w:kern w:val="0"/>
                <w:lang w:eastAsia="zh-CN" w:bidi="en-US"/>
              </w:rPr>
              <w:t>”</w:t>
            </w:r>
            <w:r>
              <w:rPr>
                <w:rFonts w:hint="eastAsia" w:ascii="仿宋_GB2312" w:eastAsia="仿宋_GB2312"/>
                <w:kern w:val="0"/>
                <w:lang w:bidi="en-US"/>
              </w:rPr>
              <w:t>，则可填写冰山订单数量，冰山订单数量应当小于买入或卖出数量中的较小者</w:t>
            </w:r>
            <w:r>
              <w:rPr>
                <w:rFonts w:hint="eastAsia" w:ascii="仿宋_GB2312" w:eastAsia="仿宋_GB2312"/>
                <w:kern w:val="0"/>
                <w:lang w:eastAsia="zh-CN" w:bidi="en-US"/>
              </w:rPr>
              <w:t>。</w:t>
            </w:r>
            <w:r>
              <w:rPr>
                <w:rFonts w:hint="eastAsia" w:ascii="仿宋_GB2312" w:eastAsia="仿宋_GB2312"/>
                <w:kern w:val="0"/>
                <w:lang w:bidi="en-US"/>
              </w:rPr>
              <w:t>设置冰山订单的，每次成交数量不得超过</w:t>
            </w:r>
            <w:r>
              <w:rPr>
                <w:rFonts w:hint="eastAsia" w:ascii="仿宋_GB2312" w:eastAsia="仿宋_GB2312"/>
                <w:kern w:val="0"/>
                <w:lang w:eastAsia="zh-CN" w:bidi="en-US"/>
              </w:rPr>
              <w:t>冰山订单</w:t>
            </w:r>
            <w:r>
              <w:rPr>
                <w:rFonts w:hint="eastAsia" w:ascii="仿宋_GB2312" w:eastAsia="仿宋_GB2312"/>
                <w:kern w:val="0"/>
                <w:lang w:bidi="en-US"/>
              </w:rPr>
              <w:t>数量。</w:t>
            </w:r>
            <w:r>
              <w:rPr>
                <w:rFonts w:hint="eastAsia" w:ascii="仿宋_GB2312" w:eastAsia="仿宋_GB2312"/>
                <w:kern w:val="0"/>
                <w:lang w:eastAsia="zh-CN" w:bidi="en-US"/>
              </w:rPr>
              <w:t>冰山订单</w:t>
            </w:r>
            <w:r>
              <w:rPr>
                <w:rFonts w:hint="eastAsia" w:ascii="仿宋_GB2312" w:eastAsia="仿宋_GB2312"/>
                <w:kern w:val="0"/>
                <w:lang w:bidi="en-US"/>
              </w:rPr>
              <w:t>数量全部成交后，继续显示剩余申报数量与</w:t>
            </w:r>
            <w:r>
              <w:rPr>
                <w:rFonts w:hint="eastAsia" w:ascii="仿宋_GB2312" w:eastAsia="仿宋_GB2312"/>
                <w:kern w:val="0"/>
                <w:lang w:eastAsia="zh-CN" w:bidi="en-US"/>
              </w:rPr>
              <w:t>冰山订单</w:t>
            </w:r>
            <w:r>
              <w:rPr>
                <w:rFonts w:hint="eastAsia" w:ascii="仿宋_GB2312" w:eastAsia="仿宋_GB2312"/>
                <w:kern w:val="0"/>
                <w:lang w:bidi="en-US"/>
              </w:rPr>
              <w:t>数量的孰低值，直至申报数量完全显示并成交。</w:t>
            </w:r>
          </w:p>
          <w:p w14:paraId="66F2A9AD">
            <w:pPr>
              <w:pStyle w:val="12"/>
              <w:ind w:firstLine="0" w:firstLineChars="0"/>
              <w:rPr>
                <w:rFonts w:ascii="仿宋_GB2312" w:eastAsia="仿宋_GB2312"/>
                <w:kern w:val="0"/>
                <w:lang w:bidi="en-US"/>
              </w:rPr>
            </w:pPr>
            <w:r>
              <w:rPr>
                <w:rFonts w:hint="eastAsia" w:ascii="仿宋_GB2312" w:eastAsia="仿宋_GB2312"/>
                <w:kern w:val="0"/>
                <w:lang w:bidi="en-US"/>
              </w:rPr>
              <w:t>冰山订单字段单位为“千元面额</w:t>
            </w:r>
            <w:r>
              <w:rPr>
                <w:rFonts w:hint="eastAsia" w:ascii="仿宋_GB2312" w:eastAsia="仿宋_GB2312"/>
                <w:kern w:val="0"/>
                <w:lang w:val="en-US" w:eastAsia="zh-CN" w:bidi="en-US"/>
              </w:rPr>
              <w:t>/份</w:t>
            </w:r>
            <w:r>
              <w:rPr>
                <w:rFonts w:hint="eastAsia" w:ascii="仿宋_GB2312" w:eastAsia="仿宋_GB2312"/>
                <w:kern w:val="0"/>
                <w:lang w:bidi="en-US"/>
              </w:rPr>
              <w:t>”，不填写则默认该笔申报不是冰山订单。</w:t>
            </w:r>
          </w:p>
        </w:tc>
      </w:tr>
      <w:tr w14:paraId="13560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top"/>
          </w:tcPr>
          <w:p w14:paraId="14BD97C3">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匿名</w:t>
            </w:r>
            <w:r>
              <w:rPr>
                <w:rFonts w:hint="eastAsia" w:ascii="仿宋_GB2312" w:eastAsia="仿宋_GB2312"/>
                <w:b/>
                <w:kern w:val="0"/>
                <w:lang w:eastAsia="zh-CN" w:bidi="en-US"/>
              </w:rPr>
              <w:t>报价</w:t>
            </w:r>
          </w:p>
        </w:tc>
        <w:tc>
          <w:tcPr>
            <w:tcW w:w="6713" w:type="dxa"/>
            <w:vAlign w:val="top"/>
          </w:tcPr>
          <w:p w14:paraId="162D028F">
            <w:pPr>
              <w:pStyle w:val="12"/>
              <w:ind w:firstLine="0" w:firstLineChars="0"/>
              <w:rPr>
                <w:rFonts w:ascii="仿宋_GB2312" w:eastAsia="仿宋_GB2312"/>
                <w:kern w:val="0"/>
                <w:lang w:bidi="en-US"/>
              </w:rPr>
            </w:pPr>
            <w:r>
              <w:rPr>
                <w:rFonts w:hint="eastAsia" w:ascii="仿宋_GB2312" w:hAnsi="宋体" w:eastAsia="仿宋_GB2312"/>
                <w:color w:val="000000"/>
                <w:kern w:val="0"/>
                <w:lang w:bidi="en-US"/>
              </w:rPr>
              <w:t>需匿名的，勾选“</w:t>
            </w:r>
            <w:r>
              <w:rPr>
                <w:rFonts w:hint="eastAsia" w:ascii="仿宋_GB2312" w:hAnsi="宋体" w:eastAsia="仿宋_GB2312"/>
                <w:color w:val="000000"/>
                <w:kern w:val="0"/>
                <w:lang w:eastAsia="zh-CN" w:bidi="en-US"/>
              </w:rPr>
              <w:t>是</w:t>
            </w:r>
            <w:r>
              <w:rPr>
                <w:rFonts w:hint="eastAsia" w:ascii="仿宋_GB2312" w:hAnsi="宋体" w:eastAsia="仿宋_GB2312"/>
                <w:color w:val="000000"/>
                <w:kern w:val="0"/>
                <w:lang w:bidi="en-US"/>
              </w:rPr>
              <w:t>”</w:t>
            </w:r>
          </w:p>
        </w:tc>
      </w:tr>
      <w:tr w14:paraId="04F6F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6A822786">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全额成交</w:t>
            </w:r>
          </w:p>
        </w:tc>
        <w:tc>
          <w:tcPr>
            <w:tcW w:w="6713" w:type="dxa"/>
          </w:tcPr>
          <w:p w14:paraId="18E0B168">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在</w:t>
            </w:r>
            <w:r>
              <w:rPr>
                <w:rFonts w:hint="eastAsia" w:ascii="仿宋_GB2312" w:eastAsia="仿宋_GB2312"/>
                <w:kern w:val="0"/>
                <w:lang w:eastAsia="zh-CN" w:bidi="en-US"/>
              </w:rPr>
              <w:t>新固定收益系统</w:t>
            </w:r>
            <w:r>
              <w:rPr>
                <w:rFonts w:hint="eastAsia" w:ascii="仿宋_GB2312" w:eastAsia="仿宋_GB2312"/>
                <w:kern w:val="0"/>
                <w:lang w:bidi="en-US"/>
              </w:rPr>
              <w:t>点击成交申报页面进行标签勾选，全额成交被勾选的，表示该申报不能部分成交。</w:t>
            </w:r>
          </w:p>
        </w:tc>
      </w:tr>
      <w:tr w14:paraId="003A0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4DD418E2">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证券简称</w:t>
            </w:r>
          </w:p>
        </w:tc>
        <w:tc>
          <w:tcPr>
            <w:tcW w:w="6713" w:type="dxa"/>
          </w:tcPr>
          <w:p w14:paraId="3C538399">
            <w:pPr>
              <w:pStyle w:val="12"/>
              <w:ind w:firstLine="0" w:firstLineChars="0"/>
              <w:rPr>
                <w:rFonts w:ascii="仿宋_GB2312" w:eastAsia="仿宋_GB2312"/>
                <w:kern w:val="0"/>
                <w:lang w:bidi="en-US"/>
              </w:rPr>
            </w:pPr>
            <w:r>
              <w:rPr>
                <w:rFonts w:hint="eastAsia" w:ascii="仿宋_GB2312" w:hAnsi="宋体" w:eastAsia="仿宋_GB2312"/>
                <w:kern w:val="0"/>
                <w:lang w:bidi="en-US"/>
              </w:rPr>
              <w:t>上交所证券简称，有证券代码的交易品种，简称根据证券代码自动显示</w:t>
            </w:r>
          </w:p>
        </w:tc>
      </w:tr>
      <w:tr w14:paraId="05E66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00077AAE">
            <w:pPr>
              <w:pStyle w:val="12"/>
              <w:ind w:firstLine="0" w:firstLineChars="0"/>
              <w:rPr>
                <w:rFonts w:ascii="仿宋_GB2312" w:eastAsia="仿宋_GB2312"/>
                <w:b/>
                <w:kern w:val="0"/>
                <w:lang w:eastAsia="en-US" w:bidi="en-US"/>
              </w:rPr>
            </w:pPr>
            <w:r>
              <w:rPr>
                <w:rFonts w:hint="eastAsia" w:ascii="仿宋_GB2312" w:eastAsia="仿宋_GB2312"/>
                <w:b/>
                <w:kern w:val="0"/>
                <w:lang w:eastAsia="zh-CN" w:bidi="en-US"/>
              </w:rPr>
              <w:t>计价方式</w:t>
            </w:r>
          </w:p>
        </w:tc>
        <w:tc>
          <w:tcPr>
            <w:tcW w:w="6713" w:type="dxa"/>
          </w:tcPr>
          <w:p w14:paraId="21AA5230">
            <w:pPr>
              <w:pStyle w:val="12"/>
              <w:ind w:firstLine="0" w:firstLineChars="0"/>
              <w:rPr>
                <w:rFonts w:ascii="仿宋_GB2312" w:hAnsi="宋体" w:eastAsia="仿宋_GB2312"/>
                <w:kern w:val="0"/>
                <w:lang w:bidi="en-US"/>
              </w:rPr>
            </w:pPr>
            <w:r>
              <w:rPr>
                <w:rFonts w:hint="eastAsia" w:ascii="仿宋_GB2312" w:eastAsia="仿宋_GB2312"/>
                <w:kern w:val="0"/>
                <w:lang w:bidi="en-US"/>
              </w:rPr>
              <w:t>净价或全价，当输入证券代码时自动显示价格类型</w:t>
            </w:r>
          </w:p>
        </w:tc>
      </w:tr>
      <w:tr w14:paraId="2509D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214327E6">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w:t>
            </w:r>
            <w:r>
              <w:rPr>
                <w:rFonts w:hint="eastAsia" w:ascii="仿宋_GB2312" w:eastAsia="仿宋_GB2312"/>
                <w:b/>
                <w:kern w:val="0"/>
                <w:lang w:eastAsia="zh-CN" w:bidi="en-US"/>
              </w:rPr>
              <w:t>单元</w:t>
            </w:r>
          </w:p>
        </w:tc>
        <w:tc>
          <w:tcPr>
            <w:tcW w:w="6713" w:type="dxa"/>
          </w:tcPr>
          <w:p w14:paraId="3C14563A">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交易参与人的交易单元号码，自动显示</w:t>
            </w:r>
          </w:p>
        </w:tc>
      </w:tr>
      <w:tr w14:paraId="29E4F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08778A68">
            <w:pPr>
              <w:pStyle w:val="12"/>
              <w:ind w:firstLine="0" w:firstLineChars="0"/>
              <w:rPr>
                <w:rFonts w:ascii="仿宋_GB2312" w:eastAsia="仿宋_GB2312"/>
                <w:b/>
                <w:kern w:val="0"/>
                <w:lang w:eastAsia="en-US" w:bidi="en-US"/>
              </w:rPr>
            </w:pPr>
            <w:r>
              <w:rPr>
                <w:rFonts w:hint="eastAsia" w:ascii="仿宋_GB2312" w:eastAsia="仿宋_GB2312"/>
                <w:b/>
                <w:kern w:val="0"/>
                <w:lang w:eastAsia="zh-CN" w:bidi="en-US"/>
              </w:rPr>
              <w:t>本方</w:t>
            </w:r>
          </w:p>
        </w:tc>
        <w:tc>
          <w:tcPr>
            <w:tcW w:w="6713" w:type="dxa"/>
          </w:tcPr>
          <w:p w14:paraId="19F2284B">
            <w:pPr>
              <w:pStyle w:val="12"/>
              <w:ind w:firstLine="0" w:firstLineChars="0"/>
              <w:rPr>
                <w:rFonts w:ascii="仿宋_GB2312" w:hAnsi="宋体" w:eastAsia="仿宋_GB2312"/>
                <w:color w:val="000000"/>
                <w:kern w:val="0"/>
                <w:lang w:bidi="en-US"/>
              </w:rPr>
            </w:pPr>
            <w:r>
              <w:rPr>
                <w:rFonts w:hint="eastAsia" w:ascii="仿宋_GB2312" w:eastAsia="仿宋_GB2312"/>
                <w:kern w:val="0"/>
                <w:lang w:eastAsia="zh-CN" w:bidi="en-US"/>
              </w:rPr>
              <w:t>本方</w:t>
            </w:r>
            <w:r>
              <w:rPr>
                <w:rFonts w:hint="eastAsia" w:ascii="仿宋_GB2312" w:eastAsia="仿宋_GB2312"/>
                <w:kern w:val="0"/>
                <w:lang w:bidi="en-US"/>
              </w:rPr>
              <w:t>交易参与人简称，自动显示，无需输入</w:t>
            </w:r>
          </w:p>
        </w:tc>
      </w:tr>
      <w:tr w14:paraId="2829B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7D43ACFC">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zh-CN" w:bidi="en-US"/>
              </w:rPr>
              <w:t>本方一债通账户</w:t>
            </w:r>
          </w:p>
        </w:tc>
        <w:tc>
          <w:tcPr>
            <w:tcW w:w="6713" w:type="dxa"/>
          </w:tcPr>
          <w:p w14:paraId="552D90F6">
            <w:pPr>
              <w:pStyle w:val="12"/>
              <w:ind w:firstLine="0" w:firstLineChars="0"/>
              <w:rPr>
                <w:rFonts w:ascii="仿宋_GB2312" w:hAnsi="宋体" w:eastAsia="仿宋_GB2312"/>
                <w:color w:val="000000"/>
                <w:kern w:val="0"/>
                <w:lang w:bidi="en-US"/>
              </w:rPr>
            </w:pPr>
            <w:r>
              <w:rPr>
                <w:rFonts w:hint="eastAsia" w:ascii="仿宋_GB2312" w:eastAsia="仿宋_GB2312"/>
                <w:kern w:val="0"/>
                <w:lang w:eastAsia="zh-CN" w:bidi="en-US"/>
              </w:rPr>
              <w:t>本方</w:t>
            </w:r>
            <w:r>
              <w:rPr>
                <w:rFonts w:hint="eastAsia" w:ascii="仿宋_GB2312" w:eastAsia="仿宋_GB2312"/>
                <w:kern w:val="0"/>
                <w:lang w:bidi="en-US"/>
              </w:rPr>
              <w:t>交易员</w:t>
            </w:r>
            <w:r>
              <w:rPr>
                <w:rFonts w:hint="eastAsia" w:ascii="仿宋_GB2312" w:eastAsia="仿宋_GB2312"/>
                <w:kern w:val="0"/>
                <w:lang w:eastAsia="zh-CN" w:bidi="en-US"/>
              </w:rPr>
              <w:t>一债通账户号码</w:t>
            </w:r>
            <w:r>
              <w:rPr>
                <w:rFonts w:hint="eastAsia" w:ascii="仿宋_GB2312" w:eastAsia="仿宋_GB2312"/>
                <w:kern w:val="0"/>
                <w:lang w:bidi="en-US"/>
              </w:rPr>
              <w:t>，自动显示，无需输入</w:t>
            </w:r>
          </w:p>
        </w:tc>
      </w:tr>
      <w:tr w14:paraId="2578C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282769A2">
            <w:pPr>
              <w:pStyle w:val="12"/>
              <w:ind w:firstLine="0" w:firstLineChars="0"/>
              <w:rPr>
                <w:rFonts w:ascii="仿宋_GB2312" w:eastAsia="仿宋_GB2312"/>
                <w:b/>
                <w:kern w:val="0"/>
                <w:lang w:eastAsia="en-US" w:bidi="en-US"/>
              </w:rPr>
            </w:pPr>
            <w:r>
              <w:rPr>
                <w:rFonts w:hint="eastAsia" w:ascii="仿宋_GB2312" w:eastAsia="仿宋_GB2312"/>
                <w:b/>
                <w:kern w:val="0"/>
                <w:lang w:eastAsia="zh-CN" w:bidi="en-US"/>
              </w:rPr>
              <w:t>本方</w:t>
            </w:r>
            <w:r>
              <w:rPr>
                <w:rFonts w:hint="eastAsia" w:ascii="仿宋_GB2312" w:eastAsia="仿宋_GB2312"/>
                <w:b/>
                <w:kern w:val="0"/>
                <w:lang w:eastAsia="en-US" w:bidi="en-US"/>
              </w:rPr>
              <w:t>交易员</w:t>
            </w:r>
          </w:p>
        </w:tc>
        <w:tc>
          <w:tcPr>
            <w:tcW w:w="6713" w:type="dxa"/>
          </w:tcPr>
          <w:p w14:paraId="5CEE0283">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交易员名称，自动显示，无需输入</w:t>
            </w:r>
          </w:p>
        </w:tc>
      </w:tr>
    </w:tbl>
    <w:p w14:paraId="5AE2D33F">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（3）全额成交</w:t>
      </w:r>
    </w:p>
    <w:p w14:paraId="59903979">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报价方发出报价时，可设置申报数量全额成交要求。</w:t>
      </w:r>
    </w:p>
    <w:p w14:paraId="6D2922B7">
      <w:pPr>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本指南所称全额成交，是指相关报价仅在全部申报数量经报价点击方（以下简称点击方）一次性点击接受的情形下方可确认成交，不接受部分成交。</w:t>
      </w:r>
    </w:p>
    <w:p w14:paraId="03C4A111">
      <w:pPr>
        <w:spacing w:line="600" w:lineRule="exact"/>
        <w:ind w:firstLine="600" w:firstLineChars="200"/>
        <w:rPr>
          <w:rFonts w:ascii="仿宋_GB2312" w:hAnsi="仿宋" w:eastAsia="仿宋_GB2312"/>
          <w:sz w:val="30"/>
          <w:szCs w:val="30"/>
        </w:rPr>
      </w:pPr>
      <w:r>
        <w:rPr>
          <w:rFonts w:hint="eastAsia" w:ascii="仿宋_GB2312" w:eastAsia="仿宋_GB2312"/>
          <w:color w:val="000000"/>
          <w:sz w:val="30"/>
          <w:szCs w:val="30"/>
        </w:rPr>
        <w:t>债券投资者可在</w:t>
      </w:r>
      <w:r>
        <w:rPr>
          <w:rFonts w:hint="eastAsia" w:ascii="仿宋_GB2312" w:eastAsia="仿宋_GB2312"/>
          <w:color w:val="000000"/>
          <w:sz w:val="30"/>
          <w:szCs w:val="30"/>
          <w:lang w:eastAsia="zh-CN"/>
        </w:rPr>
        <w:t>新固定收益系统</w:t>
      </w:r>
      <w:r>
        <w:rPr>
          <w:rFonts w:hint="eastAsia" w:ascii="仿宋_GB2312" w:eastAsia="仿宋_GB2312"/>
          <w:color w:val="000000"/>
          <w:sz w:val="30"/>
          <w:szCs w:val="30"/>
        </w:rPr>
        <w:t>点击成交申报页面进行勾选</w:t>
      </w:r>
      <w:r>
        <w:rPr>
          <w:rFonts w:hint="eastAsia" w:ascii="仿宋_GB2312" w:hAnsi="仿宋" w:eastAsia="仿宋_GB2312"/>
          <w:sz w:val="30"/>
          <w:szCs w:val="30"/>
        </w:rPr>
        <w:t>，全额成交被勾选的，表示该申报不能部分成交。</w:t>
      </w:r>
    </w:p>
    <w:p w14:paraId="34844013">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（4）分次显示与成交（冰山订单）</w:t>
      </w:r>
    </w:p>
    <w:p w14:paraId="33CF8AC4">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报价方可设定申报数量分次显示与成交，每次仅显示部分申报数量（以下简称显示数量）。显示数量由报价方于发起报价时设置，并应符合《债券交易规则》和本指南关于点击成交方式申报数量的相关规定。</w:t>
      </w:r>
    </w:p>
    <w:p w14:paraId="11E4054B">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每次成交数量不得超过显示数量。前次显示数量全部成交后，继续显示剩余申报数量与显示数量的孰低值，直至申报数量完全显示并成交。</w:t>
      </w:r>
    </w:p>
    <w:p w14:paraId="25F60A0F">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（5</w:t>
      </w:r>
      <w:r>
        <w:rPr>
          <w:rFonts w:ascii="仿宋_GB2312" w:hAnsi="仿宋" w:eastAsia="仿宋_GB2312"/>
          <w:sz w:val="30"/>
          <w:szCs w:val="30"/>
        </w:rPr>
        <w:t>）</w:t>
      </w:r>
      <w:r>
        <w:rPr>
          <w:rFonts w:hint="eastAsia" w:ascii="仿宋_GB2312" w:hAnsi="仿宋" w:eastAsia="仿宋_GB2312"/>
          <w:sz w:val="30"/>
          <w:szCs w:val="30"/>
        </w:rPr>
        <w:t>修改价格和数量</w:t>
      </w:r>
    </w:p>
    <w:p w14:paraId="587FE896">
      <w:pPr>
        <w:spacing w:line="600" w:lineRule="exact"/>
        <w:ind w:firstLine="600" w:firstLineChars="200"/>
        <w:rPr>
          <w:rFonts w:ascii="仿宋_GB2312" w:eastAsia="仿宋_GB2312"/>
          <w:sz w:val="30"/>
          <w:szCs w:val="30"/>
        </w:rPr>
      </w:pPr>
      <w:r>
        <w:rPr>
          <w:rFonts w:hint="eastAsia" w:ascii="仿宋_GB2312" w:hAnsi="仿宋" w:eastAsia="仿宋_GB2312"/>
          <w:sz w:val="30"/>
          <w:szCs w:val="30"/>
        </w:rPr>
        <w:t>报价方发出报价后，可</w:t>
      </w:r>
      <w:r>
        <w:rPr>
          <w:rFonts w:hint="eastAsia" w:ascii="仿宋_GB2312" w:hAnsi="仿宋" w:eastAsia="仿宋_GB2312"/>
          <w:sz w:val="30"/>
          <w:szCs w:val="30"/>
          <w:lang w:eastAsia="zh-CN"/>
        </w:rPr>
        <w:t>通过撤单后再次申报的方式</w:t>
      </w:r>
      <w:r>
        <w:rPr>
          <w:rFonts w:hint="eastAsia" w:ascii="仿宋_GB2312" w:hAnsi="仿宋" w:eastAsia="仿宋_GB2312"/>
          <w:sz w:val="30"/>
          <w:szCs w:val="30"/>
        </w:rPr>
        <w:t>修改未成交部分的价格、数量等要素。</w:t>
      </w:r>
      <w:r>
        <w:rPr>
          <w:rFonts w:hint="eastAsia" w:ascii="仿宋_GB2312" w:hAnsi="仿宋" w:eastAsia="仿宋_GB2312"/>
          <w:sz w:val="30"/>
          <w:szCs w:val="30"/>
          <w:lang w:eastAsia="zh-CN"/>
        </w:rPr>
        <w:t>已经成交的部分无法修改。</w:t>
      </w:r>
    </w:p>
    <w:p w14:paraId="6944BAC0">
      <w:pPr>
        <w:numPr>
          <w:ilvl w:val="2"/>
          <w:numId w:val="4"/>
        </w:numPr>
        <w:spacing w:line="600" w:lineRule="exact"/>
        <w:ind w:left="0" w:firstLine="0"/>
        <w:outlineLvl w:val="2"/>
        <w:rPr>
          <w:rFonts w:ascii="仿宋_GB2312" w:eastAsia="仿宋_GB2312"/>
          <w:b/>
          <w:sz w:val="30"/>
          <w:szCs w:val="30"/>
        </w:rPr>
      </w:pPr>
      <w:bookmarkStart w:id="534" w:name="_Toc57908899"/>
      <w:r>
        <w:rPr>
          <w:rFonts w:hint="eastAsia" w:ascii="仿宋_GB2312" w:eastAsia="仿宋_GB2312"/>
          <w:b/>
          <w:sz w:val="30"/>
          <w:szCs w:val="30"/>
        </w:rPr>
        <w:t>成交</w:t>
      </w:r>
      <w:bookmarkEnd w:id="534"/>
    </w:p>
    <w:p w14:paraId="6FFC8C86">
      <w:pPr>
        <w:spacing w:line="600" w:lineRule="exact"/>
        <w:ind w:firstLine="600" w:firstLineChars="200"/>
        <w:outlineLvl w:val="3"/>
        <w:rPr>
          <w:rFonts w:ascii="仿宋_GB2312" w:eastAsia="仿宋_GB2312"/>
          <w:sz w:val="30"/>
          <w:szCs w:val="30"/>
        </w:rPr>
      </w:pPr>
      <w:r>
        <w:rPr>
          <w:rFonts w:hint="eastAsia" w:ascii="仿宋_GB2312" w:eastAsia="仿宋_GB2312"/>
          <w:sz w:val="30"/>
          <w:szCs w:val="30"/>
        </w:rPr>
        <w:t>（1）报价点击</w:t>
      </w:r>
    </w:p>
    <w:p w14:paraId="18B5BF02">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点击方在点击相关报价时，应输入拟接受的申报数量（以下简称点击数量）。点击数量的设置应符合本节相关条款的规定，</w:t>
      </w:r>
      <w:r>
        <w:rPr>
          <w:rFonts w:hint="eastAsia" w:ascii="仿宋_GB2312" w:eastAsia="仿宋_GB2312"/>
          <w:color w:val="000000"/>
          <w:sz w:val="30"/>
          <w:szCs w:val="30"/>
        </w:rPr>
        <w:t>点击数量不得超过报价数量或冰</w:t>
      </w:r>
      <w:r>
        <w:rPr>
          <w:rFonts w:hint="eastAsia" w:ascii="仿宋_GB2312" w:hAnsi="仿宋" w:eastAsia="仿宋_GB2312"/>
          <w:sz w:val="30"/>
          <w:szCs w:val="30"/>
        </w:rPr>
        <w:t>山订单报价方设置的显示数量。</w:t>
      </w:r>
    </w:p>
    <w:p w14:paraId="49CA70E0">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（2）成交规则</w:t>
      </w:r>
    </w:p>
    <w:p w14:paraId="0506E32A">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相关交易应按点击数量以及报价方所报价格、结算方式等其他报价要素成交。</w:t>
      </w:r>
    </w:p>
    <w:p w14:paraId="290484DE">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（3）</w:t>
      </w:r>
      <w:r>
        <w:rPr>
          <w:rFonts w:hint="eastAsia" w:ascii="仿宋_GB2312" w:eastAsia="仿宋_GB2312"/>
          <w:sz w:val="30"/>
          <w:szCs w:val="30"/>
        </w:rPr>
        <w:t>成交数据发送</w:t>
      </w:r>
    </w:p>
    <w:p w14:paraId="6A422E87">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成交后，系统</w:t>
      </w:r>
      <w:r>
        <w:rPr>
          <w:rFonts w:ascii="仿宋_GB2312" w:hAnsi="仿宋" w:eastAsia="仿宋_GB2312"/>
          <w:sz w:val="30"/>
          <w:szCs w:val="30"/>
        </w:rPr>
        <w:t>将</w:t>
      </w:r>
      <w:r>
        <w:rPr>
          <w:rFonts w:hint="eastAsia" w:ascii="仿宋_GB2312" w:hAnsi="仿宋" w:eastAsia="仿宋_GB2312"/>
          <w:sz w:val="30"/>
          <w:szCs w:val="30"/>
        </w:rPr>
        <w:t>逐笔成交数据</w:t>
      </w:r>
      <w:r>
        <w:rPr>
          <w:rFonts w:ascii="仿宋_GB2312" w:hAnsi="仿宋" w:eastAsia="仿宋_GB2312"/>
          <w:sz w:val="30"/>
          <w:szCs w:val="30"/>
        </w:rPr>
        <w:t>分别发送给交易</w:t>
      </w:r>
      <w:r>
        <w:rPr>
          <w:rFonts w:hint="eastAsia" w:ascii="仿宋_GB2312" w:hAnsi="仿宋" w:eastAsia="仿宋_GB2312"/>
          <w:sz w:val="30"/>
          <w:szCs w:val="30"/>
        </w:rPr>
        <w:t>对应的</w:t>
      </w:r>
      <w:r>
        <w:rPr>
          <w:rFonts w:ascii="仿宋_GB2312" w:hAnsi="仿宋" w:eastAsia="仿宋_GB2312"/>
          <w:sz w:val="30"/>
          <w:szCs w:val="30"/>
        </w:rPr>
        <w:t>买卖双方</w:t>
      </w:r>
      <w:r>
        <w:rPr>
          <w:rFonts w:hint="eastAsia" w:ascii="仿宋_GB2312" w:hAnsi="仿宋" w:eastAsia="仿宋_GB2312"/>
          <w:sz w:val="30"/>
          <w:szCs w:val="30"/>
        </w:rPr>
        <w:t>，债券投资者</w:t>
      </w:r>
      <w:r>
        <w:rPr>
          <w:rFonts w:ascii="仿宋_GB2312" w:hAnsi="仿宋" w:eastAsia="仿宋_GB2312"/>
          <w:sz w:val="30"/>
          <w:szCs w:val="30"/>
        </w:rPr>
        <w:t>仅能收到与自己相关的成交数据。</w:t>
      </w:r>
    </w:p>
    <w:p w14:paraId="67970BC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成交信息包括成交编号，</w:t>
      </w:r>
      <w:r>
        <w:rPr>
          <w:rFonts w:hint="eastAsia" w:ascii="仿宋_GB2312" w:hAnsi="仿宋" w:eastAsia="仿宋_GB2312"/>
          <w:sz w:val="30"/>
          <w:szCs w:val="30"/>
          <w:lang w:eastAsia="zh-CN"/>
        </w:rPr>
        <w:t>订单编号，成交方式，成交状态，买方（交易参与人、交易员），卖方（交易参与人、交易员），证券代码（证券简称），成交价格</w:t>
      </w:r>
      <w:r>
        <w:rPr>
          <w:rFonts w:hint="eastAsia" w:ascii="仿宋_GB2312" w:hAnsi="仿宋" w:eastAsia="仿宋_GB2312"/>
          <w:sz w:val="30"/>
          <w:szCs w:val="30"/>
        </w:rPr>
        <w:t>，成交</w:t>
      </w:r>
      <w:r>
        <w:rPr>
          <w:rFonts w:hint="eastAsia" w:ascii="仿宋_GB2312" w:hAnsi="仿宋" w:eastAsia="仿宋_GB2312"/>
          <w:sz w:val="30"/>
          <w:szCs w:val="30"/>
          <w:lang w:eastAsia="zh-CN"/>
        </w:rPr>
        <w:t>数</w:t>
      </w:r>
      <w:r>
        <w:rPr>
          <w:rFonts w:hint="eastAsia" w:ascii="仿宋_GB2312" w:hAnsi="仿宋" w:eastAsia="仿宋_GB2312"/>
          <w:sz w:val="30"/>
          <w:szCs w:val="30"/>
        </w:rPr>
        <w:t>量等。</w:t>
      </w:r>
    </w:p>
    <w:p w14:paraId="6D72EC3B">
      <w:pPr>
        <w:spacing w:line="600" w:lineRule="exact"/>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成交数据</w:t>
      </w:r>
      <w:r>
        <w:rPr>
          <w:rFonts w:hint="eastAsia" w:ascii="Times New Roman" w:eastAsia="仿宋_GB2312"/>
          <w:color w:val="000000"/>
          <w:sz w:val="30"/>
          <w:szCs w:val="30"/>
        </w:rPr>
        <w:t>具体要素及要素说明</w:t>
      </w:r>
      <w:r>
        <w:rPr>
          <w:rFonts w:hint="eastAsia" w:ascii="Times New Roman" w:hAnsi="Times New Roman" w:eastAsia="仿宋_GB2312"/>
          <w:sz w:val="30"/>
          <w:szCs w:val="30"/>
        </w:rPr>
        <w:t>如下：</w:t>
      </w:r>
    </w:p>
    <w:tbl>
      <w:tblPr>
        <w:tblStyle w:val="43"/>
        <w:tblW w:w="87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950"/>
        <w:gridCol w:w="6149"/>
      </w:tblGrid>
      <w:tr w14:paraId="4AC36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0" w:type="dxa"/>
            <w:gridSpan w:val="2"/>
            <w:tcBorders>
              <w:top w:val="single" w:color="auto" w:sz="4" w:space="0"/>
              <w:left w:val="single" w:color="auto" w:sz="4" w:space="0"/>
              <w:bottom w:val="single" w:color="auto" w:sz="4" w:space="0"/>
              <w:right w:val="single" w:color="auto" w:sz="4" w:space="0"/>
            </w:tcBorders>
            <w:shd w:val="clear" w:color="auto" w:fill="D7D7D7"/>
            <w:vAlign w:val="top"/>
          </w:tcPr>
          <w:p w14:paraId="5120BA25">
            <w:pPr>
              <w:pStyle w:val="12"/>
              <w:ind w:firstLine="0" w:firstLineChars="0"/>
              <w:rPr>
                <w:rFonts w:eastAsia="仿宋_GB2312"/>
                <w:b/>
                <w:bCs/>
                <w:color w:val="000000"/>
              </w:rPr>
            </w:pPr>
            <w:r>
              <w:rPr>
                <w:rFonts w:hint="eastAsia" w:ascii="仿宋_GB2312" w:eastAsia="仿宋_GB2312"/>
                <w:b/>
                <w:kern w:val="0"/>
                <w:lang w:eastAsia="en-US" w:bidi="en-US"/>
              </w:rPr>
              <w:t>要素名称</w:t>
            </w:r>
          </w:p>
        </w:tc>
        <w:tc>
          <w:tcPr>
            <w:tcW w:w="6149" w:type="dxa"/>
            <w:tcBorders>
              <w:top w:val="single" w:color="auto" w:sz="4" w:space="0"/>
              <w:left w:val="nil"/>
              <w:bottom w:val="single" w:color="auto" w:sz="4" w:space="0"/>
              <w:right w:val="single" w:color="auto" w:sz="4" w:space="0"/>
            </w:tcBorders>
            <w:shd w:val="clear" w:color="auto" w:fill="D7D7D7"/>
            <w:vAlign w:val="top"/>
          </w:tcPr>
          <w:p w14:paraId="7A028787">
            <w:pPr>
              <w:pStyle w:val="12"/>
              <w:ind w:firstLine="0" w:firstLineChars="0"/>
              <w:rPr>
                <w:rFonts w:eastAsia="仿宋_GB2312"/>
                <w:b/>
                <w:bCs/>
                <w:color w:val="000000"/>
              </w:rPr>
            </w:pPr>
            <w:r>
              <w:rPr>
                <w:rFonts w:hint="eastAsia" w:ascii="仿宋_GB2312" w:eastAsia="仿宋_GB2312"/>
                <w:b/>
                <w:kern w:val="0"/>
                <w:lang w:eastAsia="en-US" w:bidi="en-US"/>
              </w:rPr>
              <w:t>要素说明</w:t>
            </w:r>
          </w:p>
        </w:tc>
      </w:tr>
      <w:tr w14:paraId="25602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10" w:type="dxa"/>
            <w:gridSpan w:val="2"/>
            <w:tcBorders>
              <w:top w:val="single" w:color="auto" w:sz="4" w:space="0"/>
              <w:left w:val="single" w:color="auto" w:sz="4" w:space="0"/>
              <w:bottom w:val="single" w:color="auto" w:sz="4" w:space="0"/>
              <w:right w:val="single" w:color="auto" w:sz="4" w:space="0"/>
            </w:tcBorders>
            <w:vAlign w:val="center"/>
          </w:tcPr>
          <w:p w14:paraId="336F4461">
            <w:pPr>
              <w:widowControl/>
              <w:jc w:val="left"/>
              <w:textAlignment w:val="center"/>
              <w:rPr>
                <w:rFonts w:eastAsia="仿宋_GB2312"/>
                <w:color w:val="000000"/>
                <w:kern w:val="0"/>
                <w:sz w:val="24"/>
                <w:szCs w:val="24"/>
                <w:lang w:bidi="ar"/>
              </w:rPr>
            </w:pPr>
            <w:r>
              <w:rPr>
                <w:rFonts w:hint="eastAsia" w:eastAsia="仿宋_GB2312"/>
                <w:color w:val="000000"/>
                <w:kern w:val="0"/>
                <w:sz w:val="24"/>
                <w:szCs w:val="24"/>
                <w:lang w:bidi="ar"/>
              </w:rPr>
              <w:t>成交编号</w:t>
            </w:r>
          </w:p>
        </w:tc>
        <w:tc>
          <w:tcPr>
            <w:tcW w:w="6149" w:type="dxa"/>
            <w:tcBorders>
              <w:top w:val="single" w:color="auto" w:sz="4" w:space="0"/>
              <w:left w:val="nil"/>
              <w:bottom w:val="single" w:color="auto" w:sz="4" w:space="0"/>
              <w:right w:val="single" w:color="auto" w:sz="4" w:space="0"/>
            </w:tcBorders>
          </w:tcPr>
          <w:p w14:paraId="2F0A6ED9">
            <w:pPr>
              <w:spacing w:before="48" w:after="48"/>
              <w:rPr>
                <w:rFonts w:eastAsia="仿宋_GB2312"/>
                <w:sz w:val="24"/>
                <w:szCs w:val="24"/>
              </w:rPr>
            </w:pPr>
            <w:r>
              <w:rPr>
                <w:rFonts w:hint="eastAsia" w:ascii="Times New Roman" w:eastAsia="仿宋_GB2312"/>
                <w:kern w:val="0"/>
                <w:sz w:val="24"/>
                <w:szCs w:val="24"/>
                <w:lang w:bidi="en-US"/>
              </w:rPr>
              <w:t>系统给成交单分配的唯一标识</w:t>
            </w:r>
          </w:p>
        </w:tc>
      </w:tr>
      <w:tr w14:paraId="2BD21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10" w:type="dxa"/>
            <w:gridSpan w:val="2"/>
            <w:tcBorders>
              <w:top w:val="single" w:color="auto" w:sz="4" w:space="0"/>
              <w:left w:val="single" w:color="auto" w:sz="4" w:space="0"/>
              <w:bottom w:val="single" w:color="auto" w:sz="4" w:space="0"/>
              <w:right w:val="single" w:color="auto" w:sz="4" w:space="0"/>
            </w:tcBorders>
            <w:vAlign w:val="center"/>
          </w:tcPr>
          <w:p w14:paraId="40F6E42D">
            <w:pPr>
              <w:widowControl/>
              <w:jc w:val="left"/>
              <w:textAlignment w:val="center"/>
              <w:rPr>
                <w:rFonts w:eastAsia="仿宋_GB2312"/>
                <w:sz w:val="24"/>
                <w:szCs w:val="24"/>
              </w:rPr>
            </w:pPr>
            <w:r>
              <w:rPr>
                <w:rFonts w:hint="eastAsia" w:eastAsia="仿宋_GB2312"/>
                <w:color w:val="000000"/>
                <w:kern w:val="0"/>
                <w:sz w:val="24"/>
                <w:szCs w:val="24"/>
                <w:lang w:bidi="ar"/>
              </w:rPr>
              <w:t>订单编号</w:t>
            </w:r>
          </w:p>
        </w:tc>
        <w:tc>
          <w:tcPr>
            <w:tcW w:w="6149" w:type="dxa"/>
            <w:tcBorders>
              <w:top w:val="single" w:color="auto" w:sz="4" w:space="0"/>
              <w:left w:val="nil"/>
              <w:bottom w:val="single" w:color="auto" w:sz="4" w:space="0"/>
              <w:right w:val="single" w:color="auto" w:sz="4" w:space="0"/>
            </w:tcBorders>
          </w:tcPr>
          <w:p w14:paraId="204BF146">
            <w:pPr>
              <w:spacing w:before="48" w:after="48"/>
              <w:rPr>
                <w:rFonts w:eastAsia="仿宋_GB2312"/>
                <w:sz w:val="24"/>
                <w:szCs w:val="24"/>
              </w:rPr>
            </w:pPr>
            <w:r>
              <w:rPr>
                <w:rFonts w:hint="eastAsia" w:ascii="Times New Roman" w:hAnsi="Times New Roman" w:eastAsia="仿宋_GB2312"/>
                <w:sz w:val="24"/>
                <w:szCs w:val="24"/>
                <w:lang w:eastAsia="zh-CN"/>
              </w:rPr>
              <w:t>上交所为</w:t>
            </w:r>
            <w:r>
              <w:rPr>
                <w:rFonts w:hint="eastAsia" w:ascii="Times New Roman" w:hAnsi="Times New Roman" w:eastAsia="仿宋_GB2312"/>
                <w:sz w:val="24"/>
                <w:szCs w:val="24"/>
              </w:rPr>
              <w:t>申报订单编制的序号</w:t>
            </w:r>
          </w:p>
        </w:tc>
      </w:tr>
      <w:tr w14:paraId="0970F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0" w:type="dxa"/>
            <w:gridSpan w:val="2"/>
            <w:tcBorders>
              <w:top w:val="single" w:color="auto" w:sz="4" w:space="0"/>
              <w:left w:val="single" w:color="auto" w:sz="4" w:space="0"/>
              <w:bottom w:val="single" w:color="auto" w:sz="4" w:space="0"/>
              <w:right w:val="single" w:color="auto" w:sz="4" w:space="0"/>
            </w:tcBorders>
            <w:vAlign w:val="center"/>
          </w:tcPr>
          <w:p w14:paraId="6D686B2A">
            <w:pPr>
              <w:widowControl/>
              <w:jc w:val="left"/>
              <w:textAlignment w:val="center"/>
              <w:rPr>
                <w:rFonts w:eastAsia="仿宋_GB2312"/>
                <w:sz w:val="24"/>
                <w:szCs w:val="24"/>
              </w:rPr>
            </w:pPr>
            <w:r>
              <w:rPr>
                <w:rFonts w:hint="eastAsia" w:eastAsia="仿宋_GB2312"/>
                <w:sz w:val="24"/>
                <w:szCs w:val="24"/>
              </w:rPr>
              <w:t>成交方式</w:t>
            </w:r>
          </w:p>
        </w:tc>
        <w:tc>
          <w:tcPr>
            <w:tcW w:w="6149" w:type="dxa"/>
            <w:tcBorders>
              <w:top w:val="single" w:color="auto" w:sz="4" w:space="0"/>
              <w:left w:val="nil"/>
              <w:bottom w:val="single" w:color="auto" w:sz="4" w:space="0"/>
              <w:right w:val="single" w:color="auto" w:sz="4" w:space="0"/>
            </w:tcBorders>
          </w:tcPr>
          <w:p w14:paraId="6B7839D6">
            <w:pPr>
              <w:spacing w:before="48" w:after="48"/>
              <w:rPr>
                <w:rFonts w:hint="eastAsia" w:eastAsia="仿宋_GB2312"/>
                <w:sz w:val="24"/>
                <w:szCs w:val="24"/>
              </w:rPr>
            </w:pPr>
            <w:r>
              <w:rPr>
                <w:rFonts w:hint="eastAsia" w:ascii="Times New Roman" w:hAnsi="Times New Roman" w:eastAsia="仿宋_GB2312"/>
                <w:sz w:val="24"/>
                <w:szCs w:val="24"/>
                <w:lang w:eastAsia="zh-CN"/>
              </w:rPr>
              <w:t>点击成交</w:t>
            </w:r>
          </w:p>
        </w:tc>
      </w:tr>
      <w:tr w14:paraId="6DDE2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0" w:type="dxa"/>
            <w:gridSpan w:val="2"/>
            <w:tcBorders>
              <w:top w:val="single" w:color="auto" w:sz="4" w:space="0"/>
              <w:left w:val="single" w:color="auto" w:sz="4" w:space="0"/>
              <w:bottom w:val="single" w:color="auto" w:sz="4" w:space="0"/>
              <w:right w:val="single" w:color="auto" w:sz="4" w:space="0"/>
            </w:tcBorders>
            <w:vAlign w:val="top"/>
          </w:tcPr>
          <w:p w14:paraId="3654E946">
            <w:pPr>
              <w:pStyle w:val="12"/>
              <w:ind w:firstLine="0" w:firstLineChars="0"/>
              <w:rPr>
                <w:rFonts w:hint="eastAsia" w:eastAsia="仿宋_GB2312"/>
                <w:bCs/>
                <w:sz w:val="24"/>
                <w:szCs w:val="24"/>
              </w:rPr>
            </w:pPr>
            <w:r>
              <w:rPr>
                <w:rFonts w:hint="eastAsia" w:ascii="仿宋_GB2312" w:eastAsia="仿宋_GB2312"/>
                <w:b w:val="0"/>
                <w:bCs/>
                <w:kern w:val="0"/>
                <w:lang w:eastAsia="en-US" w:bidi="en-US"/>
              </w:rPr>
              <w:t>结算方式</w:t>
            </w:r>
          </w:p>
        </w:tc>
        <w:tc>
          <w:tcPr>
            <w:tcW w:w="6149" w:type="dxa"/>
            <w:tcBorders>
              <w:top w:val="single" w:color="auto" w:sz="4" w:space="0"/>
              <w:left w:val="nil"/>
              <w:bottom w:val="single" w:color="auto" w:sz="4" w:space="0"/>
              <w:right w:val="single" w:color="auto" w:sz="4" w:space="0"/>
            </w:tcBorders>
            <w:vAlign w:val="top"/>
          </w:tcPr>
          <w:p w14:paraId="02A76F3F">
            <w:pPr>
              <w:pStyle w:val="12"/>
              <w:ind w:firstLine="0" w:firstLineChars="0"/>
              <w:rPr>
                <w:rFonts w:hint="eastAsia" w:ascii="Times New Roman" w:hAnsi="Times New Roman" w:eastAsia="仿宋_GB2312"/>
                <w:bCs/>
                <w:sz w:val="24"/>
                <w:szCs w:val="24"/>
                <w:lang w:eastAsia="zh-CN"/>
              </w:rPr>
            </w:pPr>
            <w:r>
              <w:rPr>
                <w:rFonts w:hint="eastAsia" w:ascii="仿宋_GB2312" w:eastAsia="仿宋_GB2312"/>
                <w:bCs/>
                <w:kern w:val="0"/>
                <w:lang w:eastAsia="zh-CN" w:bidi="en-US"/>
              </w:rPr>
              <w:t>净额结算或</w:t>
            </w:r>
            <w:r>
              <w:rPr>
                <w:rFonts w:hint="eastAsia" w:ascii="仿宋_GB2312" w:eastAsia="仿宋_GB2312"/>
                <w:bCs/>
                <w:kern w:val="0"/>
                <w:lang w:val="en-US" w:eastAsia="zh-CN" w:bidi="en-US"/>
              </w:rPr>
              <w:t>RTGS结算</w:t>
            </w:r>
          </w:p>
        </w:tc>
      </w:tr>
      <w:tr w14:paraId="2AF4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0" w:type="dxa"/>
            <w:gridSpan w:val="2"/>
            <w:tcBorders>
              <w:top w:val="single" w:color="auto" w:sz="4" w:space="0"/>
              <w:left w:val="single" w:color="auto" w:sz="4" w:space="0"/>
              <w:bottom w:val="single" w:color="auto" w:sz="4" w:space="0"/>
              <w:right w:val="single" w:color="auto" w:sz="4" w:space="0"/>
            </w:tcBorders>
            <w:vAlign w:val="center"/>
          </w:tcPr>
          <w:p w14:paraId="4EA78F74">
            <w:pPr>
              <w:widowControl/>
              <w:jc w:val="left"/>
              <w:textAlignment w:val="center"/>
              <w:rPr>
                <w:rFonts w:eastAsia="仿宋_GB2312"/>
                <w:color w:val="000000"/>
                <w:kern w:val="0"/>
                <w:sz w:val="24"/>
                <w:szCs w:val="24"/>
                <w:lang w:bidi="ar"/>
              </w:rPr>
            </w:pPr>
            <w:r>
              <w:rPr>
                <w:rFonts w:hint="eastAsia" w:eastAsia="仿宋_GB2312"/>
                <w:color w:val="000000"/>
                <w:kern w:val="0"/>
                <w:sz w:val="24"/>
                <w:szCs w:val="24"/>
                <w:lang w:bidi="ar"/>
              </w:rPr>
              <w:t>成交状态</w:t>
            </w:r>
          </w:p>
        </w:tc>
        <w:tc>
          <w:tcPr>
            <w:tcW w:w="6149" w:type="dxa"/>
            <w:tcBorders>
              <w:top w:val="single" w:color="auto" w:sz="4" w:space="0"/>
              <w:left w:val="nil"/>
              <w:bottom w:val="single" w:color="auto" w:sz="4" w:space="0"/>
              <w:right w:val="single" w:color="auto" w:sz="4" w:space="0"/>
            </w:tcBorders>
          </w:tcPr>
          <w:p w14:paraId="72342DE9">
            <w:pPr>
              <w:spacing w:before="48" w:after="48"/>
              <w:rPr>
                <w:rFonts w:hint="eastAsia" w:eastAsia="仿宋_GB2312"/>
                <w:sz w:val="24"/>
                <w:szCs w:val="24"/>
              </w:rPr>
            </w:pPr>
            <w:r>
              <w:rPr>
                <w:rFonts w:hint="eastAsia" w:ascii="Times New Roman" w:hAnsi="Times New Roman" w:eastAsia="仿宋_GB2312"/>
                <w:sz w:val="24"/>
                <w:szCs w:val="24"/>
                <w:lang w:eastAsia="zh-CN"/>
              </w:rPr>
              <w:t>订单成交状态（已成交、交收成功、交收失败等）</w:t>
            </w:r>
          </w:p>
        </w:tc>
      </w:tr>
      <w:tr w14:paraId="3D4C2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60" w:type="dxa"/>
            <w:vMerge w:val="restart"/>
            <w:tcBorders>
              <w:top w:val="single" w:color="auto" w:sz="4" w:space="0"/>
              <w:left w:val="single" w:color="auto" w:sz="4" w:space="0"/>
              <w:right w:val="single" w:color="auto" w:sz="4" w:space="0"/>
            </w:tcBorders>
            <w:vAlign w:val="center"/>
          </w:tcPr>
          <w:p w14:paraId="44F1B736">
            <w:pPr>
              <w:rPr>
                <w:rFonts w:eastAsia="仿宋_GB2312"/>
                <w:color w:val="000000"/>
                <w:kern w:val="0"/>
                <w:sz w:val="24"/>
                <w:szCs w:val="24"/>
                <w:lang w:bidi="ar"/>
              </w:rPr>
            </w:pPr>
            <w:r>
              <w:rPr>
                <w:rFonts w:hint="eastAsia" w:eastAsia="仿宋_GB2312"/>
                <w:sz w:val="24"/>
                <w:szCs w:val="24"/>
              </w:rPr>
              <w:t>买方</w:t>
            </w:r>
          </w:p>
        </w:tc>
        <w:tc>
          <w:tcPr>
            <w:tcW w:w="1950" w:type="dxa"/>
            <w:tcBorders>
              <w:top w:val="single" w:color="auto" w:sz="4" w:space="0"/>
              <w:left w:val="single" w:color="auto" w:sz="4" w:space="0"/>
              <w:bottom w:val="single" w:color="auto" w:sz="4" w:space="0"/>
              <w:right w:val="single" w:color="auto" w:sz="4" w:space="0"/>
            </w:tcBorders>
          </w:tcPr>
          <w:p w14:paraId="55373ADC">
            <w:pPr>
              <w:spacing w:before="48" w:after="48"/>
              <w:rPr>
                <w:rFonts w:eastAsia="仿宋_GB2312"/>
                <w:sz w:val="24"/>
                <w:szCs w:val="24"/>
              </w:rPr>
            </w:pPr>
            <w:r>
              <w:rPr>
                <w:rFonts w:hint="eastAsia" w:eastAsia="仿宋_GB2312"/>
                <w:sz w:val="24"/>
                <w:szCs w:val="24"/>
              </w:rPr>
              <w:t>交易参与人</w:t>
            </w:r>
          </w:p>
        </w:tc>
        <w:tc>
          <w:tcPr>
            <w:tcW w:w="6149" w:type="dxa"/>
            <w:tcBorders>
              <w:top w:val="single" w:color="auto" w:sz="4" w:space="0"/>
              <w:left w:val="nil"/>
              <w:bottom w:val="single" w:color="auto" w:sz="4" w:space="0"/>
              <w:right w:val="single" w:color="auto" w:sz="4" w:space="0"/>
            </w:tcBorders>
          </w:tcPr>
          <w:p w14:paraId="6B153047">
            <w:pPr>
              <w:spacing w:before="48" w:after="48"/>
              <w:rPr>
                <w:rFonts w:hint="eastAsia" w:eastAsia="仿宋_GB2312"/>
                <w:sz w:val="24"/>
                <w:szCs w:val="24"/>
              </w:rPr>
            </w:pPr>
            <w:r>
              <w:rPr>
                <w:rFonts w:hint="eastAsia" w:ascii="Times New Roman" w:hAnsi="Times New Roman" w:eastAsia="仿宋_GB2312"/>
                <w:sz w:val="24"/>
                <w:szCs w:val="24"/>
                <w:lang w:eastAsia="zh-CN"/>
              </w:rPr>
              <w:t>买方交易参与人机构简称</w:t>
            </w:r>
          </w:p>
        </w:tc>
      </w:tr>
      <w:tr w14:paraId="48427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60" w:type="dxa"/>
            <w:vMerge w:val="continue"/>
            <w:tcBorders>
              <w:left w:val="single" w:color="auto" w:sz="4" w:space="0"/>
              <w:bottom w:val="single" w:color="auto" w:sz="4" w:space="0"/>
              <w:right w:val="single" w:color="auto" w:sz="4" w:space="0"/>
            </w:tcBorders>
            <w:vAlign w:val="center"/>
          </w:tcPr>
          <w:p w14:paraId="3897BA02">
            <w:pPr>
              <w:spacing w:before="48" w:after="48"/>
              <w:rPr>
                <w:rFonts w:eastAsia="仿宋_GB2312"/>
                <w:color w:val="000000"/>
                <w:kern w:val="0"/>
                <w:sz w:val="24"/>
                <w:szCs w:val="24"/>
                <w:lang w:bidi="ar"/>
              </w:rPr>
            </w:pPr>
          </w:p>
        </w:tc>
        <w:tc>
          <w:tcPr>
            <w:tcW w:w="1950" w:type="dxa"/>
            <w:tcBorders>
              <w:top w:val="single" w:color="auto" w:sz="4" w:space="0"/>
              <w:left w:val="single" w:color="auto" w:sz="4" w:space="0"/>
              <w:bottom w:val="single" w:color="auto" w:sz="4" w:space="0"/>
              <w:right w:val="single" w:color="auto" w:sz="4" w:space="0"/>
            </w:tcBorders>
          </w:tcPr>
          <w:p w14:paraId="0CB3E91A">
            <w:pPr>
              <w:spacing w:before="48" w:after="48"/>
              <w:rPr>
                <w:rFonts w:eastAsia="仿宋_GB2312"/>
                <w:color w:val="000000"/>
                <w:kern w:val="0"/>
                <w:sz w:val="24"/>
                <w:szCs w:val="24"/>
                <w:lang w:bidi="ar"/>
              </w:rPr>
            </w:pPr>
            <w:r>
              <w:rPr>
                <w:rFonts w:eastAsia="仿宋_GB2312"/>
                <w:sz w:val="24"/>
                <w:szCs w:val="24"/>
              </w:rPr>
              <w:t>交易员</w:t>
            </w:r>
          </w:p>
        </w:tc>
        <w:tc>
          <w:tcPr>
            <w:tcW w:w="6149" w:type="dxa"/>
            <w:tcBorders>
              <w:top w:val="single" w:color="auto" w:sz="4" w:space="0"/>
              <w:left w:val="nil"/>
              <w:bottom w:val="single" w:color="auto" w:sz="4" w:space="0"/>
              <w:right w:val="single" w:color="auto" w:sz="4" w:space="0"/>
            </w:tcBorders>
          </w:tcPr>
          <w:p w14:paraId="632D7C5D">
            <w:pPr>
              <w:spacing w:before="48" w:after="48"/>
              <w:rPr>
                <w:rFonts w:hint="eastAsia" w:eastAsia="仿宋_GB2312"/>
                <w:sz w:val="24"/>
                <w:szCs w:val="24"/>
              </w:rPr>
            </w:pPr>
            <w:r>
              <w:rPr>
                <w:rFonts w:hint="eastAsia" w:ascii="Times New Roman" w:hAnsi="Times New Roman" w:eastAsia="仿宋_GB2312"/>
                <w:sz w:val="24"/>
                <w:szCs w:val="24"/>
                <w:lang w:eastAsia="zh-CN"/>
              </w:rPr>
              <w:t>买方交易员名称</w:t>
            </w:r>
          </w:p>
        </w:tc>
      </w:tr>
      <w:tr w14:paraId="05939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0" w:type="dxa"/>
            <w:vMerge w:val="restart"/>
            <w:tcBorders>
              <w:top w:val="single" w:color="auto" w:sz="4" w:space="0"/>
              <w:left w:val="single" w:color="auto" w:sz="4" w:space="0"/>
              <w:right w:val="single" w:color="auto" w:sz="4" w:space="0"/>
            </w:tcBorders>
            <w:vAlign w:val="center"/>
          </w:tcPr>
          <w:p w14:paraId="58576F85">
            <w:pPr>
              <w:rPr>
                <w:rFonts w:eastAsia="仿宋_GB2312"/>
                <w:color w:val="000000"/>
                <w:kern w:val="0"/>
                <w:sz w:val="24"/>
                <w:szCs w:val="24"/>
                <w:lang w:bidi="ar"/>
              </w:rPr>
            </w:pPr>
            <w:r>
              <w:rPr>
                <w:rFonts w:hint="eastAsia" w:eastAsia="仿宋_GB2312"/>
                <w:sz w:val="24"/>
                <w:szCs w:val="24"/>
              </w:rPr>
              <w:t>卖方</w:t>
            </w:r>
          </w:p>
        </w:tc>
        <w:tc>
          <w:tcPr>
            <w:tcW w:w="1950" w:type="dxa"/>
            <w:tcBorders>
              <w:top w:val="single" w:color="auto" w:sz="4" w:space="0"/>
              <w:left w:val="single" w:color="auto" w:sz="4" w:space="0"/>
              <w:bottom w:val="single" w:color="auto" w:sz="4" w:space="0"/>
              <w:right w:val="single" w:color="auto" w:sz="4" w:space="0"/>
            </w:tcBorders>
          </w:tcPr>
          <w:p w14:paraId="5F93409F">
            <w:pPr>
              <w:spacing w:before="48" w:after="48"/>
              <w:rPr>
                <w:rFonts w:eastAsia="仿宋_GB2312"/>
                <w:sz w:val="24"/>
                <w:szCs w:val="24"/>
              </w:rPr>
            </w:pPr>
            <w:r>
              <w:rPr>
                <w:rFonts w:hint="eastAsia" w:eastAsia="仿宋_GB2312"/>
                <w:sz w:val="24"/>
                <w:szCs w:val="24"/>
              </w:rPr>
              <w:t>交易参与人</w:t>
            </w:r>
          </w:p>
        </w:tc>
        <w:tc>
          <w:tcPr>
            <w:tcW w:w="6149" w:type="dxa"/>
            <w:tcBorders>
              <w:top w:val="single" w:color="auto" w:sz="4" w:space="0"/>
              <w:left w:val="nil"/>
              <w:bottom w:val="single" w:color="auto" w:sz="4" w:space="0"/>
              <w:right w:val="single" w:color="auto" w:sz="4" w:space="0"/>
            </w:tcBorders>
          </w:tcPr>
          <w:p w14:paraId="797023D9">
            <w:pPr>
              <w:spacing w:before="48" w:after="48"/>
              <w:rPr>
                <w:rFonts w:hint="eastAsia" w:eastAsia="仿宋_GB2312"/>
                <w:sz w:val="24"/>
                <w:szCs w:val="24"/>
              </w:rPr>
            </w:pPr>
            <w:r>
              <w:rPr>
                <w:rFonts w:hint="eastAsia" w:ascii="Times New Roman" w:hAnsi="Times New Roman" w:eastAsia="仿宋_GB2312"/>
                <w:sz w:val="24"/>
                <w:szCs w:val="24"/>
                <w:lang w:eastAsia="zh-CN"/>
              </w:rPr>
              <w:t>卖方交易参与人机构简称</w:t>
            </w:r>
          </w:p>
        </w:tc>
      </w:tr>
      <w:tr w14:paraId="4A1C7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60" w:type="dxa"/>
            <w:vMerge w:val="continue"/>
            <w:tcBorders>
              <w:left w:val="single" w:color="auto" w:sz="4" w:space="0"/>
              <w:right w:val="single" w:color="auto" w:sz="4" w:space="0"/>
            </w:tcBorders>
          </w:tcPr>
          <w:p w14:paraId="1501A91D">
            <w:pPr>
              <w:spacing w:before="48" w:after="48"/>
              <w:rPr>
                <w:rFonts w:eastAsia="仿宋_GB2312"/>
                <w:color w:val="000000"/>
                <w:kern w:val="0"/>
                <w:sz w:val="24"/>
                <w:szCs w:val="24"/>
                <w:lang w:bidi="ar"/>
              </w:rPr>
            </w:pPr>
          </w:p>
        </w:tc>
        <w:tc>
          <w:tcPr>
            <w:tcW w:w="1950" w:type="dxa"/>
            <w:tcBorders>
              <w:top w:val="single" w:color="auto" w:sz="4" w:space="0"/>
              <w:left w:val="single" w:color="auto" w:sz="4" w:space="0"/>
              <w:bottom w:val="single" w:color="auto" w:sz="4" w:space="0"/>
              <w:right w:val="single" w:color="auto" w:sz="4" w:space="0"/>
            </w:tcBorders>
          </w:tcPr>
          <w:p w14:paraId="42C0124A">
            <w:pPr>
              <w:spacing w:before="48" w:after="48"/>
              <w:rPr>
                <w:rFonts w:eastAsia="仿宋_GB2312"/>
                <w:color w:val="000000"/>
                <w:kern w:val="0"/>
                <w:sz w:val="24"/>
                <w:szCs w:val="24"/>
                <w:lang w:bidi="ar"/>
              </w:rPr>
            </w:pPr>
            <w:r>
              <w:rPr>
                <w:rFonts w:eastAsia="仿宋_GB2312"/>
                <w:sz w:val="24"/>
                <w:szCs w:val="24"/>
              </w:rPr>
              <w:t>交易员</w:t>
            </w:r>
          </w:p>
        </w:tc>
        <w:tc>
          <w:tcPr>
            <w:tcW w:w="6149" w:type="dxa"/>
            <w:tcBorders>
              <w:top w:val="single" w:color="auto" w:sz="4" w:space="0"/>
              <w:left w:val="nil"/>
              <w:bottom w:val="single" w:color="auto" w:sz="4" w:space="0"/>
              <w:right w:val="single" w:color="auto" w:sz="4" w:space="0"/>
            </w:tcBorders>
          </w:tcPr>
          <w:p w14:paraId="361937C4">
            <w:pPr>
              <w:spacing w:before="48" w:after="48"/>
              <w:rPr>
                <w:rFonts w:hint="eastAsia" w:eastAsia="仿宋_GB2312"/>
                <w:sz w:val="24"/>
                <w:szCs w:val="24"/>
              </w:rPr>
            </w:pPr>
            <w:r>
              <w:rPr>
                <w:rFonts w:hint="eastAsia" w:ascii="Times New Roman" w:hAnsi="Times New Roman" w:eastAsia="仿宋_GB2312"/>
                <w:sz w:val="24"/>
                <w:szCs w:val="24"/>
                <w:lang w:eastAsia="zh-CN"/>
              </w:rPr>
              <w:t>卖方交易员名称</w:t>
            </w:r>
          </w:p>
        </w:tc>
      </w:tr>
      <w:tr w14:paraId="0A20A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0" w:type="dxa"/>
            <w:gridSpan w:val="2"/>
            <w:tcBorders>
              <w:top w:val="single" w:color="auto" w:sz="4" w:space="0"/>
              <w:left w:val="single" w:color="auto" w:sz="4" w:space="0"/>
              <w:bottom w:val="single" w:color="auto" w:sz="4" w:space="0"/>
              <w:right w:val="single" w:color="auto" w:sz="4" w:space="0"/>
            </w:tcBorders>
          </w:tcPr>
          <w:p w14:paraId="065CD04E">
            <w:pPr>
              <w:spacing w:before="48" w:after="48"/>
              <w:rPr>
                <w:rFonts w:eastAsia="仿宋_GB2312"/>
                <w:sz w:val="24"/>
                <w:szCs w:val="24"/>
              </w:rPr>
            </w:pPr>
            <w:r>
              <w:rPr>
                <w:rFonts w:hint="eastAsia" w:eastAsia="仿宋_GB2312"/>
                <w:sz w:val="24"/>
                <w:szCs w:val="24"/>
              </w:rPr>
              <w:t>证券代码（简称）</w:t>
            </w:r>
          </w:p>
        </w:tc>
        <w:tc>
          <w:tcPr>
            <w:tcW w:w="6149" w:type="dxa"/>
            <w:tcBorders>
              <w:top w:val="single" w:color="auto" w:sz="4" w:space="0"/>
              <w:left w:val="nil"/>
              <w:bottom w:val="single" w:color="auto" w:sz="4" w:space="0"/>
              <w:right w:val="single" w:color="auto" w:sz="4" w:space="0"/>
            </w:tcBorders>
          </w:tcPr>
          <w:p w14:paraId="6E9240CD">
            <w:pPr>
              <w:spacing w:before="48" w:after="48"/>
              <w:rPr>
                <w:rFonts w:hint="eastAsia" w:eastAsia="仿宋_GB2312"/>
                <w:sz w:val="24"/>
                <w:szCs w:val="24"/>
              </w:rPr>
            </w:pPr>
            <w:r>
              <w:rPr>
                <w:rFonts w:hint="eastAsia" w:ascii="Times New Roman" w:hAnsi="Times New Roman" w:eastAsia="仿宋_GB2312"/>
                <w:sz w:val="24"/>
                <w:szCs w:val="24"/>
                <w:lang w:eastAsia="zh-CN"/>
              </w:rPr>
              <w:t>6位数证券代码（证券简称）</w:t>
            </w:r>
          </w:p>
        </w:tc>
      </w:tr>
      <w:tr w14:paraId="34C46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2610" w:type="dxa"/>
            <w:gridSpan w:val="2"/>
            <w:tcBorders>
              <w:left w:val="single" w:color="auto" w:sz="4" w:space="0"/>
              <w:right w:val="single" w:color="auto" w:sz="4" w:space="0"/>
            </w:tcBorders>
          </w:tcPr>
          <w:p w14:paraId="7D1C5B80">
            <w:pPr>
              <w:spacing w:before="48" w:after="48"/>
              <w:rPr>
                <w:rFonts w:eastAsia="仿宋_GB2312"/>
                <w:sz w:val="24"/>
                <w:szCs w:val="24"/>
              </w:rPr>
            </w:pPr>
            <w:r>
              <w:rPr>
                <w:rFonts w:hint="eastAsia" w:eastAsia="仿宋_GB2312"/>
                <w:sz w:val="24"/>
                <w:szCs w:val="24"/>
              </w:rPr>
              <w:t>成交价格（元）</w:t>
            </w:r>
          </w:p>
        </w:tc>
        <w:tc>
          <w:tcPr>
            <w:tcW w:w="6149" w:type="dxa"/>
            <w:tcBorders>
              <w:top w:val="single" w:color="auto" w:sz="4" w:space="0"/>
              <w:left w:val="nil"/>
              <w:bottom w:val="single" w:color="auto" w:sz="4" w:space="0"/>
              <w:right w:val="single" w:color="auto" w:sz="4" w:space="0"/>
            </w:tcBorders>
          </w:tcPr>
          <w:p w14:paraId="74177629">
            <w:pPr>
              <w:spacing w:before="48" w:after="48"/>
              <w:rPr>
                <w:rFonts w:hint="eastAsia" w:eastAsia="仿宋_GB2312"/>
                <w:sz w:val="24"/>
                <w:szCs w:val="24"/>
              </w:rPr>
            </w:pPr>
            <w:r>
              <w:rPr>
                <w:rFonts w:hint="eastAsia" w:ascii="Times New Roman" w:hAnsi="Times New Roman" w:eastAsia="仿宋_GB2312"/>
                <w:sz w:val="24"/>
                <w:szCs w:val="24"/>
                <w:lang w:eastAsia="zh-CN"/>
              </w:rPr>
              <w:t>对于债券是每百元面额成交价格，对基金为每份价格</w:t>
            </w:r>
          </w:p>
        </w:tc>
      </w:tr>
      <w:tr w14:paraId="4A2C5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2610" w:type="dxa"/>
            <w:gridSpan w:val="2"/>
            <w:tcBorders>
              <w:left w:val="single" w:color="auto" w:sz="4" w:space="0"/>
              <w:right w:val="single" w:color="auto" w:sz="4" w:space="0"/>
            </w:tcBorders>
          </w:tcPr>
          <w:p w14:paraId="4A5B75E6">
            <w:pPr>
              <w:spacing w:before="48" w:after="48"/>
              <w:rPr>
                <w:rFonts w:eastAsia="仿宋_GB2312"/>
                <w:sz w:val="24"/>
                <w:szCs w:val="24"/>
              </w:rPr>
            </w:pPr>
            <w:r>
              <w:rPr>
                <w:rFonts w:hint="eastAsia" w:eastAsia="仿宋_GB2312"/>
                <w:sz w:val="24"/>
                <w:szCs w:val="24"/>
              </w:rPr>
              <w:t>成交数量（千元面额/份）</w:t>
            </w:r>
          </w:p>
        </w:tc>
        <w:tc>
          <w:tcPr>
            <w:tcW w:w="6149" w:type="dxa"/>
            <w:tcBorders>
              <w:top w:val="single" w:color="auto" w:sz="4" w:space="0"/>
              <w:left w:val="nil"/>
              <w:bottom w:val="single" w:color="auto" w:sz="4" w:space="0"/>
              <w:right w:val="single" w:color="auto" w:sz="4" w:space="0"/>
            </w:tcBorders>
          </w:tcPr>
          <w:p w14:paraId="2A029283">
            <w:pPr>
              <w:spacing w:before="48" w:after="48"/>
              <w:rPr>
                <w:rFonts w:hint="eastAsia" w:eastAsia="仿宋_GB2312"/>
                <w:sz w:val="24"/>
                <w:szCs w:val="24"/>
              </w:rPr>
            </w:pPr>
            <w:r>
              <w:rPr>
                <w:rFonts w:hint="eastAsia" w:ascii="Times New Roman" w:hAnsi="Times New Roman" w:eastAsia="仿宋_GB2312"/>
                <w:sz w:val="24"/>
                <w:szCs w:val="24"/>
                <w:lang w:eastAsia="zh-CN"/>
              </w:rPr>
              <w:t>对债券是千元面额，对于基金为份</w:t>
            </w:r>
          </w:p>
        </w:tc>
      </w:tr>
    </w:tbl>
    <w:p w14:paraId="429483E7">
      <w:pPr>
        <w:spacing w:line="600" w:lineRule="exact"/>
        <w:ind w:firstLine="600" w:firstLineChars="200"/>
        <w:rPr>
          <w:rFonts w:hint="eastAsia" w:ascii="Times New Roman" w:hAnsi="Times New Roman" w:eastAsia="仿宋_GB2312"/>
          <w:sz w:val="30"/>
          <w:szCs w:val="30"/>
        </w:rPr>
      </w:pPr>
    </w:p>
    <w:p w14:paraId="3F070C7B">
      <w:pPr>
        <w:numPr>
          <w:ilvl w:val="1"/>
          <w:numId w:val="4"/>
        </w:numPr>
        <w:spacing w:line="600" w:lineRule="exact"/>
        <w:ind w:left="0" w:firstLine="0"/>
        <w:outlineLvl w:val="1"/>
        <w:rPr>
          <w:rFonts w:ascii="仿宋_GB2312" w:eastAsia="仿宋_GB2312"/>
          <w:b/>
          <w:sz w:val="30"/>
          <w:szCs w:val="30"/>
        </w:rPr>
      </w:pPr>
      <w:bookmarkStart w:id="535" w:name="_Toc1517408211"/>
      <w:bookmarkStart w:id="536" w:name="_Toc566298335"/>
      <w:bookmarkStart w:id="537" w:name="_Toc1735581004"/>
      <w:bookmarkStart w:id="538" w:name="_Toc151136903"/>
      <w:bookmarkStart w:id="539" w:name="_Toc1918346849"/>
      <w:bookmarkStart w:id="540" w:name="_Toc1679294801"/>
      <w:bookmarkStart w:id="541" w:name="_Toc530753267"/>
      <w:r>
        <w:rPr>
          <w:rFonts w:hint="eastAsia" w:ascii="仿宋_GB2312" w:eastAsia="仿宋_GB2312"/>
          <w:b/>
          <w:sz w:val="30"/>
          <w:szCs w:val="30"/>
        </w:rPr>
        <w:t>询价成交</w:t>
      </w:r>
      <w:bookmarkEnd w:id="535"/>
      <w:bookmarkEnd w:id="536"/>
      <w:bookmarkEnd w:id="537"/>
      <w:bookmarkEnd w:id="538"/>
      <w:bookmarkEnd w:id="539"/>
      <w:bookmarkEnd w:id="540"/>
      <w:bookmarkEnd w:id="541"/>
    </w:p>
    <w:p w14:paraId="2D6B8D8D">
      <w:pPr>
        <w:numPr>
          <w:ilvl w:val="2"/>
          <w:numId w:val="4"/>
        </w:numPr>
        <w:spacing w:line="600" w:lineRule="exact"/>
        <w:ind w:left="0" w:firstLine="0"/>
        <w:outlineLvl w:val="2"/>
        <w:rPr>
          <w:rFonts w:ascii="仿宋_GB2312" w:eastAsia="仿宋_GB2312"/>
          <w:b/>
          <w:sz w:val="30"/>
          <w:szCs w:val="30"/>
        </w:rPr>
      </w:pPr>
      <w:bookmarkStart w:id="542" w:name="_Toc57908901"/>
      <w:r>
        <w:rPr>
          <w:rFonts w:hint="eastAsia" w:ascii="仿宋_GB2312" w:eastAsia="仿宋_GB2312"/>
          <w:b/>
          <w:sz w:val="30"/>
          <w:szCs w:val="30"/>
        </w:rPr>
        <w:t>定义</w:t>
      </w:r>
      <w:bookmarkEnd w:id="542"/>
    </w:p>
    <w:p w14:paraId="093B69EA">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询价成交是指询价方向做市商或者其他债券交易参与人发送询价请求，并选择一个或多个询价回复确认成交的交易方式。</w:t>
      </w:r>
    </w:p>
    <w:p w14:paraId="6EFA4B59">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本所</w:t>
      </w:r>
      <w:r>
        <w:rPr>
          <w:rFonts w:hint="eastAsia" w:ascii="仿宋_GB2312" w:hAnsi="仿宋" w:eastAsia="仿宋_GB2312"/>
          <w:sz w:val="30"/>
          <w:szCs w:val="30"/>
          <w:lang w:eastAsia="zh-CN"/>
        </w:rPr>
        <w:t>新固定收益系统</w:t>
      </w:r>
      <w:r>
        <w:rPr>
          <w:rFonts w:hint="eastAsia" w:ascii="仿宋_GB2312" w:hAnsi="仿宋" w:eastAsia="仿宋_GB2312"/>
          <w:sz w:val="30"/>
          <w:szCs w:val="30"/>
        </w:rPr>
        <w:t>为询价请求与询价回复申报提供电子化接口及</w:t>
      </w:r>
      <w:r>
        <w:rPr>
          <w:rFonts w:hint="eastAsia" w:ascii="仿宋_GB2312" w:hAnsi="仿宋" w:eastAsia="仿宋_GB2312"/>
          <w:sz w:val="30"/>
          <w:szCs w:val="30"/>
          <w:lang w:eastAsia="zh-CN"/>
        </w:rPr>
        <w:t>一债通</w:t>
      </w:r>
      <w:r>
        <w:rPr>
          <w:rFonts w:hint="eastAsia" w:ascii="仿宋_GB2312" w:hAnsi="仿宋" w:eastAsia="仿宋_GB2312"/>
          <w:sz w:val="30"/>
          <w:szCs w:val="30"/>
        </w:rPr>
        <w:t>，债券交易参与人可通过电子化接口及</w:t>
      </w:r>
      <w:r>
        <w:rPr>
          <w:rFonts w:hint="eastAsia" w:ascii="仿宋_GB2312" w:hAnsi="仿宋" w:eastAsia="仿宋_GB2312"/>
          <w:sz w:val="30"/>
          <w:szCs w:val="30"/>
          <w:lang w:eastAsia="zh-CN"/>
        </w:rPr>
        <w:t>一债通</w:t>
      </w:r>
      <w:r>
        <w:rPr>
          <w:rFonts w:hint="eastAsia" w:ascii="仿宋_GB2312" w:hAnsi="仿宋" w:eastAsia="仿宋_GB2312"/>
          <w:sz w:val="30"/>
          <w:szCs w:val="30"/>
        </w:rPr>
        <w:t>接入本所系统，并提交询价请求与询价回复申报。</w:t>
      </w:r>
    </w:p>
    <w:p w14:paraId="0DCF1967">
      <w:pPr>
        <w:numPr>
          <w:ilvl w:val="2"/>
          <w:numId w:val="4"/>
        </w:numPr>
        <w:spacing w:line="600" w:lineRule="exact"/>
        <w:ind w:left="0" w:firstLine="0"/>
        <w:outlineLvl w:val="2"/>
        <w:rPr>
          <w:rFonts w:ascii="仿宋_GB2312" w:eastAsia="仿宋_GB2312"/>
          <w:b/>
          <w:sz w:val="30"/>
          <w:szCs w:val="30"/>
        </w:rPr>
      </w:pPr>
      <w:bookmarkStart w:id="543" w:name="_Toc57908902"/>
      <w:r>
        <w:rPr>
          <w:rFonts w:hint="eastAsia" w:ascii="仿宋_GB2312" w:eastAsia="仿宋_GB2312"/>
          <w:b/>
          <w:sz w:val="30"/>
          <w:szCs w:val="30"/>
        </w:rPr>
        <w:t>申报要求</w:t>
      </w:r>
      <w:bookmarkEnd w:id="543"/>
    </w:p>
    <w:p w14:paraId="7D3E5D31">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（1）询价请求</w:t>
      </w:r>
    </w:p>
    <w:p w14:paraId="278D74DB">
      <w:pPr>
        <w:spacing w:line="600" w:lineRule="exact"/>
        <w:ind w:firstLine="600" w:firstLineChars="200"/>
        <w:rPr>
          <w:rFonts w:ascii="仿宋_GB2312" w:eastAsia="仿宋_GB2312"/>
          <w:sz w:val="30"/>
          <w:szCs w:val="30"/>
        </w:rPr>
      </w:pPr>
      <w:r>
        <w:rPr>
          <w:rFonts w:hint="eastAsia" w:ascii="仿宋_GB2312" w:hAnsi="仿宋" w:eastAsia="仿宋_GB2312"/>
          <w:sz w:val="30"/>
          <w:szCs w:val="30"/>
        </w:rPr>
        <w:t>询价方可以向其他部分债券投资者发送询价请求，被询价方可为做市商、其他债券交易参与人。</w:t>
      </w:r>
      <w:r>
        <w:rPr>
          <w:rFonts w:hint="eastAsia" w:ascii="仿宋_GB2312" w:eastAsia="仿宋_GB2312"/>
          <w:sz w:val="30"/>
          <w:szCs w:val="30"/>
        </w:rPr>
        <w:t>支持面向多主体询价。</w:t>
      </w:r>
    </w:p>
    <w:p w14:paraId="05ADC6F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询价请求录入界面中，可以向自行选择的1-</w:t>
      </w:r>
      <w:r>
        <w:rPr>
          <w:rFonts w:ascii="仿宋_GB2312" w:hAnsi="仿宋" w:eastAsia="仿宋_GB2312"/>
          <w:sz w:val="30"/>
          <w:szCs w:val="30"/>
        </w:rPr>
        <w:t>5</w:t>
      </w:r>
      <w:r>
        <w:rPr>
          <w:rFonts w:hint="eastAsia" w:ascii="仿宋_GB2312" w:hAnsi="仿宋" w:eastAsia="仿宋_GB2312"/>
          <w:sz w:val="30"/>
          <w:szCs w:val="30"/>
        </w:rPr>
        <w:t>名债券交易参与人或者“</w:t>
      </w:r>
      <w:r>
        <w:rPr>
          <w:rFonts w:ascii="仿宋_GB2312" w:hAnsi="仿宋" w:eastAsia="仿宋_GB2312"/>
          <w:sz w:val="30"/>
          <w:szCs w:val="30"/>
        </w:rPr>
        <w:t>潜在投资者</w:t>
      </w:r>
      <w:r>
        <w:rPr>
          <w:rFonts w:hint="eastAsia" w:ascii="仿宋_GB2312" w:hAnsi="仿宋" w:eastAsia="仿宋_GB2312"/>
          <w:sz w:val="30"/>
          <w:szCs w:val="30"/>
        </w:rPr>
        <w:t>”发送询价请求。</w:t>
      </w:r>
      <w:r>
        <w:rPr>
          <w:rFonts w:hint="eastAsia" w:ascii="仿宋_GB2312" w:hAnsi="仿宋" w:eastAsia="仿宋_GB2312"/>
          <w:sz w:val="30"/>
          <w:szCs w:val="30"/>
          <w:lang w:eastAsia="zh-CN"/>
        </w:rPr>
        <w:t>新固定收益系统</w:t>
      </w:r>
      <w:r>
        <w:rPr>
          <w:rFonts w:hint="eastAsia" w:ascii="仿宋_GB2312" w:hAnsi="仿宋" w:eastAsia="仿宋_GB2312"/>
          <w:sz w:val="30"/>
          <w:szCs w:val="30"/>
        </w:rPr>
        <w:t>的询价请求接收方“</w:t>
      </w:r>
      <w:r>
        <w:rPr>
          <w:rFonts w:hint="eastAsia" w:ascii="仿宋_GB2312" w:hAnsi="仿宋" w:eastAsia="仿宋_GB2312"/>
          <w:sz w:val="30"/>
          <w:szCs w:val="30"/>
          <w:lang w:eastAsia="zh-CN"/>
        </w:rPr>
        <w:t>对手方发起申报</w:t>
      </w:r>
      <w:r>
        <w:rPr>
          <w:rFonts w:hint="eastAsia" w:ascii="仿宋_GB2312" w:hAnsi="仿宋" w:eastAsia="仿宋_GB2312"/>
          <w:sz w:val="30"/>
          <w:szCs w:val="30"/>
        </w:rPr>
        <w:t>”中对于发送范围不同的询价请求展示不做区分。</w:t>
      </w:r>
    </w:p>
    <w:p w14:paraId="3593E5B0">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询价请求要素应当包括交易品种、交易方向、数量、发送范围、询价方证券账号、结算方式，是否匿名等内容。</w:t>
      </w:r>
    </w:p>
    <w:p w14:paraId="515BDB02">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询价请求具体要素及要素说明如下：</w:t>
      </w:r>
    </w:p>
    <w:tbl>
      <w:tblPr>
        <w:tblStyle w:val="4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33"/>
        <w:gridCol w:w="6322"/>
      </w:tblGrid>
      <w:tr w14:paraId="2802F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3" w:type="dxa"/>
          </w:tcPr>
          <w:p w14:paraId="3E0BB4CA">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要素名称</w:t>
            </w:r>
          </w:p>
        </w:tc>
        <w:tc>
          <w:tcPr>
            <w:tcW w:w="6322" w:type="dxa"/>
          </w:tcPr>
          <w:p w14:paraId="5779230B">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要素说明</w:t>
            </w:r>
          </w:p>
        </w:tc>
      </w:tr>
      <w:tr w14:paraId="2D498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3" w:type="dxa"/>
          </w:tcPr>
          <w:p w14:paraId="12DB0603">
            <w:pPr>
              <w:pStyle w:val="12"/>
              <w:ind w:firstLine="0" w:firstLineChars="0"/>
              <w:rPr>
                <w:rFonts w:ascii="仿宋_GB2312" w:eastAsia="仿宋_GB2312"/>
                <w:b/>
                <w:kern w:val="0"/>
                <w:lang w:eastAsia="en-US" w:bidi="en-US"/>
              </w:rPr>
            </w:pPr>
            <w:r>
              <w:rPr>
                <w:rFonts w:hint="eastAsia" w:ascii="仿宋_GB2312" w:eastAsia="仿宋_GB2312"/>
                <w:b/>
                <w:kern w:val="0"/>
                <w:lang w:eastAsia="zh-CN" w:bidi="en-US"/>
              </w:rPr>
              <w:t>订单</w:t>
            </w:r>
            <w:r>
              <w:rPr>
                <w:rFonts w:hint="eastAsia" w:ascii="仿宋_GB2312" w:eastAsia="仿宋_GB2312"/>
                <w:b/>
                <w:kern w:val="0"/>
                <w:lang w:eastAsia="en-US" w:bidi="en-US"/>
              </w:rPr>
              <w:t>类型</w:t>
            </w:r>
          </w:p>
        </w:tc>
        <w:tc>
          <w:tcPr>
            <w:tcW w:w="6322" w:type="dxa"/>
          </w:tcPr>
          <w:p w14:paraId="23342789">
            <w:pPr>
              <w:pStyle w:val="12"/>
              <w:ind w:firstLine="0" w:firstLineChars="0"/>
              <w:rPr>
                <w:rFonts w:hint="eastAsia" w:ascii="仿宋_GB2312" w:hAnsi="宋体" w:eastAsia="仿宋_GB2312"/>
                <w:kern w:val="0"/>
                <w:lang w:eastAsia="zh-CN" w:bidi="en-US"/>
              </w:rPr>
            </w:pPr>
            <w:r>
              <w:rPr>
                <w:rFonts w:hint="eastAsia" w:ascii="仿宋_GB2312" w:hAnsi="宋体" w:eastAsia="仿宋_GB2312"/>
                <w:kern w:val="0"/>
                <w:lang w:eastAsia="en-US" w:bidi="en-US"/>
              </w:rPr>
              <w:t>询价</w:t>
            </w:r>
            <w:r>
              <w:rPr>
                <w:rFonts w:hint="eastAsia" w:ascii="仿宋_GB2312" w:hAnsi="宋体" w:eastAsia="仿宋_GB2312"/>
                <w:kern w:val="0"/>
                <w:lang w:eastAsia="zh-CN" w:bidi="en-US"/>
              </w:rPr>
              <w:t>申报</w:t>
            </w:r>
          </w:p>
        </w:tc>
      </w:tr>
      <w:tr w14:paraId="406AB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3" w:type="dxa"/>
          </w:tcPr>
          <w:p w14:paraId="540627B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交易方向</w:t>
            </w:r>
          </w:p>
        </w:tc>
        <w:tc>
          <w:tcPr>
            <w:tcW w:w="6322" w:type="dxa"/>
          </w:tcPr>
          <w:p w14:paraId="2D01E7E6">
            <w:pPr>
              <w:pStyle w:val="12"/>
              <w:ind w:firstLine="0" w:firstLineChars="0"/>
              <w:rPr>
                <w:rFonts w:ascii="仿宋_GB2312" w:eastAsia="仿宋_GB2312"/>
                <w:kern w:val="0"/>
                <w:lang w:bidi="en-US"/>
              </w:rPr>
            </w:pPr>
            <w:r>
              <w:rPr>
                <w:rFonts w:hint="eastAsia" w:ascii="仿宋_GB2312" w:eastAsia="仿宋_GB2312"/>
                <w:kern w:val="0"/>
                <w:lang w:bidi="en-US"/>
              </w:rPr>
              <w:t>交易的买卖方向，即买入/卖出</w:t>
            </w:r>
          </w:p>
        </w:tc>
      </w:tr>
      <w:tr w14:paraId="33C0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33" w:type="dxa"/>
            <w:vAlign w:val="top"/>
          </w:tcPr>
          <w:p w14:paraId="19AE6AC4">
            <w:pPr>
              <w:pStyle w:val="12"/>
              <w:ind w:firstLine="0" w:firstLineChars="0"/>
              <w:rPr>
                <w:rFonts w:hint="eastAsia" w:ascii="仿宋_GB2312" w:eastAsia="仿宋_GB2312"/>
                <w:b/>
                <w:kern w:val="0"/>
                <w:lang w:eastAsia="en-US" w:bidi="en-US"/>
              </w:rPr>
            </w:pPr>
            <w:r>
              <w:rPr>
                <w:rFonts w:hint="eastAsia" w:ascii="仿宋_GB2312" w:eastAsia="仿宋_GB2312"/>
                <w:b/>
                <w:kern w:val="0"/>
                <w:lang w:eastAsia="zh-CN" w:bidi="en-US"/>
              </w:rPr>
              <w:t>本方</w:t>
            </w:r>
          </w:p>
        </w:tc>
        <w:tc>
          <w:tcPr>
            <w:tcW w:w="6322" w:type="dxa"/>
            <w:vAlign w:val="top"/>
          </w:tcPr>
          <w:p w14:paraId="7157F8BE">
            <w:pPr>
              <w:pStyle w:val="12"/>
              <w:ind w:firstLine="0" w:firstLineChars="0"/>
              <w:rPr>
                <w:rFonts w:hint="eastAsia" w:ascii="仿宋_GB2312" w:eastAsia="仿宋_GB2312"/>
                <w:kern w:val="0"/>
                <w:lang w:bidi="en-US"/>
              </w:rPr>
            </w:pPr>
            <w:r>
              <w:rPr>
                <w:rFonts w:hint="eastAsia" w:ascii="仿宋_GB2312" w:eastAsia="仿宋_GB2312"/>
                <w:kern w:val="0"/>
                <w:lang w:eastAsia="zh-CN" w:bidi="en-US"/>
              </w:rPr>
              <w:t>本方</w:t>
            </w:r>
            <w:r>
              <w:rPr>
                <w:rFonts w:hint="eastAsia" w:ascii="仿宋_GB2312" w:eastAsia="仿宋_GB2312"/>
                <w:kern w:val="0"/>
                <w:lang w:bidi="en-US"/>
              </w:rPr>
              <w:t>交易参与人简称，自动显示，无需输入</w:t>
            </w:r>
          </w:p>
        </w:tc>
      </w:tr>
      <w:tr w14:paraId="4C812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3" w:type="dxa"/>
            <w:vAlign w:val="top"/>
          </w:tcPr>
          <w:p w14:paraId="54C233AE">
            <w:pPr>
              <w:pStyle w:val="12"/>
              <w:ind w:firstLine="0" w:firstLineChars="0"/>
              <w:rPr>
                <w:rFonts w:hint="eastAsia" w:ascii="仿宋_GB2312" w:eastAsia="仿宋_GB2312"/>
                <w:b/>
                <w:kern w:val="0"/>
                <w:lang w:eastAsia="en-US" w:bidi="en-US"/>
              </w:rPr>
            </w:pPr>
            <w:r>
              <w:rPr>
                <w:rFonts w:hint="eastAsia" w:ascii="仿宋_GB2312" w:eastAsia="仿宋_GB2312"/>
                <w:b/>
                <w:kern w:val="0"/>
                <w:lang w:eastAsia="zh-CN" w:bidi="en-US"/>
              </w:rPr>
              <w:t>本方一债通账户</w:t>
            </w:r>
          </w:p>
        </w:tc>
        <w:tc>
          <w:tcPr>
            <w:tcW w:w="6322" w:type="dxa"/>
            <w:vAlign w:val="top"/>
          </w:tcPr>
          <w:p w14:paraId="34D92C17">
            <w:pPr>
              <w:pStyle w:val="12"/>
              <w:ind w:firstLine="0" w:firstLineChars="0"/>
              <w:rPr>
                <w:rFonts w:hint="eastAsia" w:ascii="仿宋_GB2312" w:eastAsia="仿宋_GB2312"/>
                <w:kern w:val="0"/>
                <w:lang w:bidi="en-US"/>
              </w:rPr>
            </w:pPr>
            <w:r>
              <w:rPr>
                <w:rFonts w:hint="eastAsia" w:ascii="仿宋_GB2312" w:eastAsia="仿宋_GB2312"/>
                <w:kern w:val="0"/>
                <w:lang w:bidi="en-US"/>
              </w:rPr>
              <w:t>交易员</w:t>
            </w:r>
            <w:r>
              <w:rPr>
                <w:rFonts w:hint="eastAsia" w:ascii="仿宋_GB2312" w:eastAsia="仿宋_GB2312"/>
                <w:kern w:val="0"/>
                <w:lang w:eastAsia="zh-CN" w:bidi="en-US"/>
              </w:rPr>
              <w:t>一债通账户号</w:t>
            </w:r>
            <w:r>
              <w:rPr>
                <w:rFonts w:hint="eastAsia" w:ascii="仿宋_GB2312" w:eastAsia="仿宋_GB2312"/>
                <w:kern w:val="0"/>
                <w:lang w:bidi="en-US"/>
              </w:rPr>
              <w:t>，自动显示，无需输入</w:t>
            </w:r>
          </w:p>
        </w:tc>
      </w:tr>
      <w:tr w14:paraId="13243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3" w:type="dxa"/>
            <w:vAlign w:val="top"/>
          </w:tcPr>
          <w:p w14:paraId="74FC916F">
            <w:pPr>
              <w:pStyle w:val="12"/>
              <w:ind w:firstLine="0" w:firstLineChars="0"/>
              <w:rPr>
                <w:rFonts w:hint="eastAsia" w:ascii="仿宋_GB2312" w:eastAsia="仿宋_GB2312"/>
                <w:b/>
                <w:kern w:val="0"/>
                <w:lang w:eastAsia="en-US" w:bidi="en-US"/>
              </w:rPr>
            </w:pPr>
            <w:r>
              <w:rPr>
                <w:rFonts w:hint="eastAsia" w:ascii="仿宋_GB2312" w:eastAsia="仿宋_GB2312"/>
                <w:b/>
                <w:kern w:val="0"/>
                <w:lang w:eastAsia="zh-CN" w:bidi="en-US"/>
              </w:rPr>
              <w:t>本方交易员</w:t>
            </w:r>
          </w:p>
        </w:tc>
        <w:tc>
          <w:tcPr>
            <w:tcW w:w="6322" w:type="dxa"/>
            <w:vAlign w:val="top"/>
          </w:tcPr>
          <w:p w14:paraId="3C26810F">
            <w:pPr>
              <w:pStyle w:val="12"/>
              <w:ind w:firstLine="0" w:firstLineChars="0"/>
              <w:rPr>
                <w:rFonts w:hint="eastAsia" w:ascii="仿宋_GB2312" w:eastAsia="仿宋_GB2312"/>
                <w:kern w:val="0"/>
                <w:lang w:bidi="en-US"/>
              </w:rPr>
            </w:pPr>
            <w:r>
              <w:rPr>
                <w:rFonts w:hint="eastAsia" w:ascii="仿宋_GB2312" w:eastAsia="仿宋_GB2312"/>
                <w:kern w:val="0"/>
                <w:lang w:eastAsia="zh-CN" w:bidi="en-US"/>
              </w:rPr>
              <w:t>本方</w:t>
            </w:r>
            <w:r>
              <w:rPr>
                <w:rFonts w:hint="eastAsia" w:ascii="仿宋_GB2312" w:eastAsia="仿宋_GB2312"/>
                <w:kern w:val="0"/>
                <w:lang w:bidi="en-US"/>
              </w:rPr>
              <w:t>交易员名称，自动显示，无需输入</w:t>
            </w:r>
          </w:p>
        </w:tc>
      </w:tr>
      <w:tr w14:paraId="584C8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3" w:type="dxa"/>
          </w:tcPr>
          <w:p w14:paraId="5950032D">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zh-CN" w:bidi="en-US"/>
              </w:rPr>
              <w:t>证券账户</w:t>
            </w:r>
          </w:p>
        </w:tc>
        <w:tc>
          <w:tcPr>
            <w:tcW w:w="6322" w:type="dxa"/>
          </w:tcPr>
          <w:p w14:paraId="05CABFF9">
            <w:pPr>
              <w:pStyle w:val="12"/>
              <w:ind w:firstLine="0" w:firstLineChars="0"/>
              <w:rPr>
                <w:rFonts w:ascii="仿宋_GB2312" w:eastAsia="仿宋_GB2312"/>
                <w:kern w:val="0"/>
                <w:lang w:bidi="en-US"/>
              </w:rPr>
            </w:pPr>
            <w:r>
              <w:rPr>
                <w:rFonts w:hint="eastAsia" w:ascii="仿宋_GB2312" w:eastAsia="仿宋_GB2312"/>
                <w:kern w:val="0"/>
                <w:lang w:bidi="en-US"/>
              </w:rPr>
              <w:t>询价方的证券账户号码</w:t>
            </w:r>
          </w:p>
        </w:tc>
      </w:tr>
      <w:tr w14:paraId="6099C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33" w:type="dxa"/>
            <w:vAlign w:val="top"/>
          </w:tcPr>
          <w:p w14:paraId="6B3F9130">
            <w:pPr>
              <w:pStyle w:val="12"/>
              <w:ind w:firstLine="0" w:firstLineChars="0"/>
              <w:rPr>
                <w:rFonts w:hint="eastAsia" w:ascii="仿宋_GB2312" w:eastAsia="仿宋_GB2312"/>
                <w:b/>
                <w:kern w:val="0"/>
                <w:lang w:eastAsia="en-US" w:bidi="en-US"/>
              </w:rPr>
            </w:pPr>
            <w:r>
              <w:rPr>
                <w:rFonts w:hint="eastAsia" w:ascii="仿宋_GB2312" w:eastAsia="仿宋_GB2312"/>
                <w:b/>
                <w:kern w:val="0"/>
                <w:lang w:eastAsia="zh-CN" w:bidi="en-US"/>
              </w:rPr>
              <w:t>交易单元</w:t>
            </w:r>
          </w:p>
        </w:tc>
        <w:tc>
          <w:tcPr>
            <w:tcW w:w="6322" w:type="dxa"/>
            <w:vAlign w:val="top"/>
          </w:tcPr>
          <w:p w14:paraId="5DF41996">
            <w:pPr>
              <w:pStyle w:val="12"/>
              <w:ind w:firstLine="0" w:firstLineChars="0"/>
              <w:rPr>
                <w:rFonts w:hint="eastAsia" w:ascii="仿宋_GB2312" w:eastAsia="仿宋_GB2312"/>
                <w:kern w:val="0"/>
                <w:lang w:bidi="en-US"/>
              </w:rPr>
            </w:pPr>
            <w:r>
              <w:rPr>
                <w:rFonts w:hint="eastAsia" w:ascii="仿宋_GB2312" w:eastAsia="仿宋_GB2312"/>
                <w:kern w:val="0"/>
                <w:lang w:bidi="en-US"/>
              </w:rPr>
              <w:t>交易参与人的交易单元号码</w:t>
            </w:r>
            <w:r>
              <w:rPr>
                <w:rFonts w:hint="eastAsia" w:ascii="仿宋_GB2312" w:hAnsi="宋体" w:eastAsia="仿宋_GB2312"/>
                <w:kern w:val="0"/>
                <w:lang w:bidi="en-US"/>
              </w:rPr>
              <w:t>，</w:t>
            </w:r>
            <w:r>
              <w:rPr>
                <w:rFonts w:hint="eastAsia" w:ascii="仿宋_GB2312" w:hAnsi="宋体" w:eastAsia="仿宋_GB2312"/>
                <w:kern w:val="0"/>
                <w:lang w:eastAsia="zh-CN" w:bidi="en-US"/>
              </w:rPr>
              <w:t>根据证券账户号</w:t>
            </w:r>
            <w:r>
              <w:rPr>
                <w:rFonts w:hint="eastAsia" w:ascii="仿宋_GB2312" w:eastAsia="仿宋_GB2312"/>
                <w:kern w:val="0"/>
                <w:lang w:bidi="en-US"/>
              </w:rPr>
              <w:t>自动显示</w:t>
            </w:r>
          </w:p>
        </w:tc>
      </w:tr>
      <w:tr w14:paraId="77C2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3" w:type="dxa"/>
            <w:vAlign w:val="top"/>
          </w:tcPr>
          <w:p w14:paraId="76146AC3">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zh-CN" w:bidi="en-US"/>
              </w:rPr>
              <w:t>账户名称</w:t>
            </w:r>
          </w:p>
        </w:tc>
        <w:tc>
          <w:tcPr>
            <w:tcW w:w="6322" w:type="dxa"/>
            <w:vAlign w:val="top"/>
          </w:tcPr>
          <w:p w14:paraId="03C2A12C">
            <w:pPr>
              <w:pStyle w:val="12"/>
              <w:ind w:firstLine="0" w:firstLineChars="0"/>
              <w:rPr>
                <w:rFonts w:hint="eastAsia" w:ascii="仿宋_GB2312" w:eastAsia="仿宋_GB2312"/>
                <w:kern w:val="0"/>
                <w:lang w:eastAsia="zh-CN" w:bidi="en-US"/>
              </w:rPr>
            </w:pPr>
            <w:r>
              <w:rPr>
                <w:rFonts w:hint="eastAsia" w:ascii="仿宋_GB2312" w:eastAsia="仿宋_GB2312"/>
                <w:kern w:val="0"/>
                <w:lang w:bidi="en-US"/>
              </w:rPr>
              <w:t>询价方的证券账户</w:t>
            </w:r>
            <w:r>
              <w:rPr>
                <w:rFonts w:hint="eastAsia" w:ascii="仿宋_GB2312" w:eastAsia="仿宋_GB2312"/>
                <w:kern w:val="0"/>
                <w:lang w:eastAsia="zh-CN" w:bidi="en-US"/>
              </w:rPr>
              <w:t>名称，根据账户号码自动带出</w:t>
            </w:r>
          </w:p>
        </w:tc>
      </w:tr>
      <w:tr w14:paraId="4E3E9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3" w:type="dxa"/>
          </w:tcPr>
          <w:p w14:paraId="6AE5849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发</w:t>
            </w:r>
            <w:r>
              <w:rPr>
                <w:rFonts w:hint="eastAsia" w:ascii="仿宋_GB2312" w:eastAsia="仿宋_GB2312"/>
                <w:b/>
                <w:kern w:val="0"/>
                <w:lang w:eastAsia="zh-CN" w:bidi="en-US"/>
              </w:rPr>
              <w:t>布</w:t>
            </w:r>
            <w:r>
              <w:rPr>
                <w:rFonts w:hint="eastAsia" w:ascii="仿宋_GB2312" w:eastAsia="仿宋_GB2312"/>
                <w:b/>
                <w:kern w:val="0"/>
                <w:lang w:eastAsia="en-US" w:bidi="en-US"/>
              </w:rPr>
              <w:t>范围/询价对象</w:t>
            </w:r>
          </w:p>
        </w:tc>
        <w:tc>
          <w:tcPr>
            <w:tcW w:w="6322" w:type="dxa"/>
          </w:tcPr>
          <w:p w14:paraId="31C3CF09">
            <w:pPr>
              <w:pStyle w:val="12"/>
              <w:ind w:firstLine="0" w:firstLineChars="0"/>
              <w:rPr>
                <w:rFonts w:ascii="仿宋_GB2312" w:eastAsia="仿宋_GB2312"/>
                <w:kern w:val="0"/>
                <w:lang w:bidi="en-US"/>
              </w:rPr>
            </w:pPr>
            <w:r>
              <w:rPr>
                <w:rFonts w:hint="eastAsia" w:ascii="仿宋_GB2312" w:eastAsia="仿宋_GB2312"/>
                <w:kern w:val="0"/>
                <w:lang w:bidi="en-US"/>
              </w:rPr>
              <w:t>勾选询价请求发送对象。</w:t>
            </w:r>
          </w:p>
          <w:p w14:paraId="6182F29D">
            <w:pPr>
              <w:pStyle w:val="12"/>
              <w:ind w:firstLine="0" w:firstLineChars="0"/>
              <w:rPr>
                <w:rFonts w:ascii="仿宋_GB2312" w:eastAsia="仿宋_GB2312"/>
                <w:kern w:val="0"/>
                <w:lang w:bidi="en-US"/>
              </w:rPr>
            </w:pPr>
            <w:r>
              <w:rPr>
                <w:rFonts w:hint="eastAsia" w:ascii="仿宋_GB2312" w:eastAsia="仿宋_GB2312"/>
                <w:kern w:val="0"/>
                <w:lang w:eastAsia="zh-CN" w:bidi="en-US"/>
              </w:rPr>
              <w:t>可选择向“部分债券交易参与人”或“潜在投资者”发送</w:t>
            </w:r>
          </w:p>
        </w:tc>
      </w:tr>
      <w:tr w14:paraId="20222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3" w:type="dxa"/>
            <w:vAlign w:val="top"/>
          </w:tcPr>
          <w:p w14:paraId="22E9D118">
            <w:pPr>
              <w:pStyle w:val="12"/>
              <w:ind w:firstLine="0" w:firstLineChars="0"/>
              <w:rPr>
                <w:rFonts w:ascii="仿宋_GB2312" w:eastAsia="仿宋_GB2312"/>
                <w:b/>
                <w:kern w:val="0"/>
                <w:lang w:eastAsia="en-US" w:bidi="en-US"/>
              </w:rPr>
            </w:pPr>
            <w:r>
              <w:rPr>
                <w:rFonts w:hint="eastAsia" w:ascii="仿宋_GB2312" w:eastAsia="仿宋_GB2312"/>
                <w:b/>
                <w:kern w:val="0"/>
                <w:lang w:bidi="en-US"/>
              </w:rPr>
              <w:t>匿名</w:t>
            </w:r>
            <w:r>
              <w:rPr>
                <w:rFonts w:hint="eastAsia" w:ascii="仿宋_GB2312" w:eastAsia="仿宋_GB2312"/>
                <w:b/>
                <w:kern w:val="0"/>
                <w:lang w:eastAsia="zh-CN" w:bidi="en-US"/>
              </w:rPr>
              <w:t>报价</w:t>
            </w:r>
          </w:p>
        </w:tc>
        <w:tc>
          <w:tcPr>
            <w:tcW w:w="6322" w:type="dxa"/>
            <w:vAlign w:val="top"/>
          </w:tcPr>
          <w:p w14:paraId="7455D3E8">
            <w:pPr>
              <w:pStyle w:val="12"/>
              <w:ind w:firstLine="0" w:firstLineChars="0"/>
              <w:rPr>
                <w:rFonts w:ascii="仿宋_GB2312" w:eastAsia="仿宋_GB2312"/>
                <w:kern w:val="0"/>
                <w:lang w:bidi="en-US"/>
              </w:rPr>
            </w:pPr>
            <w:r>
              <w:rPr>
                <w:rFonts w:hint="eastAsia" w:ascii="仿宋_GB2312" w:hAnsi="宋体" w:eastAsia="仿宋_GB2312"/>
                <w:color w:val="000000"/>
                <w:kern w:val="0"/>
                <w:lang w:bidi="en-US"/>
              </w:rPr>
              <w:t>需匿名的，勾选“</w:t>
            </w:r>
            <w:r>
              <w:rPr>
                <w:rFonts w:hint="eastAsia" w:ascii="仿宋_GB2312" w:hAnsi="宋体" w:eastAsia="仿宋_GB2312"/>
                <w:color w:val="000000"/>
                <w:kern w:val="0"/>
                <w:lang w:eastAsia="zh-CN" w:bidi="en-US"/>
              </w:rPr>
              <w:t>是</w:t>
            </w:r>
            <w:r>
              <w:rPr>
                <w:rFonts w:hint="eastAsia" w:ascii="仿宋_GB2312" w:hAnsi="宋体" w:eastAsia="仿宋_GB2312"/>
                <w:color w:val="000000"/>
                <w:kern w:val="0"/>
                <w:lang w:bidi="en-US"/>
              </w:rPr>
              <w:t>”</w:t>
            </w:r>
          </w:p>
        </w:tc>
      </w:tr>
      <w:tr w14:paraId="77E5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33" w:type="dxa"/>
          </w:tcPr>
          <w:p w14:paraId="09625B94">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结算方式</w:t>
            </w:r>
          </w:p>
        </w:tc>
        <w:tc>
          <w:tcPr>
            <w:tcW w:w="6322" w:type="dxa"/>
          </w:tcPr>
          <w:p w14:paraId="5F090BFC">
            <w:pPr>
              <w:pStyle w:val="12"/>
              <w:ind w:firstLine="0" w:firstLineChars="0"/>
              <w:rPr>
                <w:rFonts w:ascii="仿宋_GB2312" w:eastAsia="仿宋_GB2312"/>
                <w:kern w:val="0"/>
                <w:lang w:bidi="en-US"/>
              </w:rPr>
            </w:pPr>
            <w:r>
              <w:rPr>
                <w:rFonts w:hint="eastAsia" w:ascii="仿宋_GB2312" w:eastAsia="仿宋_GB2312"/>
                <w:kern w:val="0"/>
                <w:lang w:bidi="en-US"/>
              </w:rPr>
              <w:t>根据</w:t>
            </w:r>
            <w:r>
              <w:rPr>
                <w:rFonts w:ascii="仿宋_GB2312" w:eastAsia="仿宋_GB2312"/>
                <w:kern w:val="0"/>
                <w:lang w:bidi="en-US"/>
              </w:rPr>
              <w:t>交易品种</w:t>
            </w:r>
            <w:r>
              <w:rPr>
                <w:rFonts w:hint="eastAsia" w:ascii="仿宋_GB2312" w:eastAsia="仿宋_GB2312"/>
                <w:kern w:val="0"/>
                <w:lang w:bidi="en-US"/>
              </w:rPr>
              <w:t>自动带出“逐笔全额结算”或“多边净额结算”。</w:t>
            </w:r>
          </w:p>
        </w:tc>
      </w:tr>
      <w:tr w14:paraId="3F9EB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3" w:type="dxa"/>
            <w:vAlign w:val="top"/>
          </w:tcPr>
          <w:p w14:paraId="77B2AE97">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zh-CN" w:bidi="en-US"/>
              </w:rPr>
              <w:t>证券代码</w:t>
            </w:r>
          </w:p>
        </w:tc>
        <w:tc>
          <w:tcPr>
            <w:tcW w:w="6322" w:type="dxa"/>
            <w:vAlign w:val="top"/>
          </w:tcPr>
          <w:p w14:paraId="768F119C">
            <w:pPr>
              <w:pStyle w:val="12"/>
              <w:ind w:firstLine="0" w:firstLineChars="0"/>
              <w:rPr>
                <w:rFonts w:hint="eastAsia" w:ascii="仿宋_GB2312" w:hAnsi="宋体" w:eastAsia="仿宋_GB2312"/>
                <w:kern w:val="0"/>
                <w:lang w:bidi="en-US"/>
              </w:rPr>
            </w:pPr>
            <w:r>
              <w:rPr>
                <w:rFonts w:hint="eastAsia" w:ascii="仿宋_GB2312" w:hAnsi="宋体" w:eastAsia="仿宋_GB2312"/>
                <w:kern w:val="0"/>
                <w:lang w:bidi="en-US"/>
              </w:rPr>
              <w:t>证券代码</w:t>
            </w:r>
          </w:p>
        </w:tc>
      </w:tr>
      <w:tr w14:paraId="2E140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3" w:type="dxa"/>
          </w:tcPr>
          <w:p w14:paraId="053474A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证券简称</w:t>
            </w:r>
          </w:p>
        </w:tc>
        <w:tc>
          <w:tcPr>
            <w:tcW w:w="6322" w:type="dxa"/>
          </w:tcPr>
          <w:p w14:paraId="1F8E1443">
            <w:pPr>
              <w:pStyle w:val="12"/>
              <w:ind w:firstLine="0" w:firstLineChars="0"/>
              <w:rPr>
                <w:rFonts w:ascii="仿宋_GB2312" w:eastAsia="仿宋_GB2312"/>
                <w:kern w:val="0"/>
                <w:lang w:bidi="en-US"/>
              </w:rPr>
            </w:pPr>
            <w:r>
              <w:rPr>
                <w:rFonts w:hint="eastAsia" w:ascii="仿宋_GB2312" w:hAnsi="宋体" w:eastAsia="仿宋_GB2312"/>
                <w:kern w:val="0"/>
                <w:lang w:bidi="en-US"/>
              </w:rPr>
              <w:t>即上交所证券简称，有证券代码的交易品种，简称根据证券代码自动显示</w:t>
            </w:r>
          </w:p>
        </w:tc>
      </w:tr>
      <w:tr w14:paraId="0389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3" w:type="dxa"/>
          </w:tcPr>
          <w:p w14:paraId="0E37B00E">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zh-CN" w:bidi="en-US"/>
              </w:rPr>
              <w:t>计价方式</w:t>
            </w:r>
          </w:p>
        </w:tc>
        <w:tc>
          <w:tcPr>
            <w:tcW w:w="6322" w:type="dxa"/>
          </w:tcPr>
          <w:p w14:paraId="0C46DFA6">
            <w:pPr>
              <w:pStyle w:val="12"/>
              <w:ind w:firstLine="0" w:firstLineChars="0"/>
              <w:rPr>
                <w:rFonts w:ascii="仿宋_GB2312" w:hAnsi="宋体" w:eastAsia="仿宋_GB2312"/>
                <w:kern w:val="0"/>
                <w:lang w:bidi="en-US"/>
              </w:rPr>
            </w:pPr>
            <w:r>
              <w:rPr>
                <w:rFonts w:hint="eastAsia" w:ascii="仿宋_GB2312" w:eastAsia="仿宋_GB2312"/>
                <w:kern w:val="0"/>
                <w:lang w:bidi="en-US"/>
              </w:rPr>
              <w:t>净价或全价，当输入证券代码时自动显示价格类型</w:t>
            </w:r>
          </w:p>
        </w:tc>
      </w:tr>
      <w:tr w14:paraId="0A33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33" w:type="dxa"/>
            <w:vAlign w:val="top"/>
          </w:tcPr>
          <w:p w14:paraId="3E770612">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en-US" w:bidi="en-US"/>
              </w:rPr>
              <w:t>申报数量</w:t>
            </w:r>
          </w:p>
        </w:tc>
        <w:tc>
          <w:tcPr>
            <w:tcW w:w="6322" w:type="dxa"/>
            <w:vAlign w:val="top"/>
          </w:tcPr>
          <w:p w14:paraId="20E08C06">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询价请求的申报数量，单位：千元面额</w:t>
            </w:r>
            <w:r>
              <w:rPr>
                <w:rFonts w:hint="eastAsia" w:ascii="仿宋_GB2312" w:eastAsia="仿宋_GB2312"/>
                <w:kern w:val="0"/>
                <w:lang w:val="en-US" w:eastAsia="zh-CN" w:bidi="en-US"/>
              </w:rPr>
              <w:t>/份</w:t>
            </w:r>
            <w:r>
              <w:rPr>
                <w:rFonts w:hint="eastAsia" w:ascii="仿宋_GB2312" w:eastAsia="仿宋_GB2312"/>
                <w:kern w:val="0"/>
                <w:lang w:bidi="en-US"/>
              </w:rPr>
              <w:t>。</w:t>
            </w:r>
          </w:p>
        </w:tc>
      </w:tr>
    </w:tbl>
    <w:p w14:paraId="57AAE500">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w:t>
      </w:r>
      <w:r>
        <w:rPr>
          <w:rFonts w:ascii="仿宋_GB2312" w:hAnsi="仿宋" w:eastAsia="仿宋_GB2312"/>
          <w:sz w:val="30"/>
          <w:szCs w:val="30"/>
        </w:rPr>
        <w:t>2）询价</w:t>
      </w:r>
      <w:r>
        <w:rPr>
          <w:rFonts w:hint="eastAsia" w:ascii="仿宋_GB2312" w:hAnsi="仿宋" w:eastAsia="仿宋_GB2312"/>
          <w:sz w:val="30"/>
          <w:szCs w:val="30"/>
        </w:rPr>
        <w:t>回复</w:t>
      </w:r>
    </w:p>
    <w:p w14:paraId="05A4A428">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被询价方收到询价请求后，可依据相关规则与本指南相关规定对询价请求进行回复。</w:t>
      </w:r>
      <w:r>
        <w:rPr>
          <w:rFonts w:hint="eastAsia" w:ascii="仿宋_GB2312" w:eastAsia="仿宋_GB2312"/>
          <w:sz w:val="30"/>
          <w:szCs w:val="30"/>
        </w:rPr>
        <w:t>询价回复方针对询价请求进行询价回复时，可以修改数量等。</w:t>
      </w:r>
    </w:p>
    <w:p w14:paraId="6D6EA217">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询价回复的要素应当包括价格、数量、被询价方证券账户等内容，</w:t>
      </w:r>
      <w:r>
        <w:rPr>
          <w:rFonts w:hint="eastAsia" w:ascii="仿宋_GB2312" w:eastAsia="仿宋_GB2312"/>
          <w:color w:val="000000"/>
          <w:sz w:val="30"/>
          <w:szCs w:val="30"/>
        </w:rPr>
        <w:t>具体要素及要素说明</w:t>
      </w:r>
      <w:r>
        <w:rPr>
          <w:rFonts w:hint="eastAsia" w:ascii="仿宋_GB2312" w:hAnsi="仿宋" w:eastAsia="仿宋_GB2312"/>
          <w:sz w:val="30"/>
          <w:szCs w:val="30"/>
        </w:rPr>
        <w:t>如下：</w:t>
      </w:r>
    </w:p>
    <w:tbl>
      <w:tblPr>
        <w:tblStyle w:val="43"/>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4"/>
        <w:gridCol w:w="6189"/>
      </w:tblGrid>
      <w:tr w14:paraId="6C7F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4" w:type="dxa"/>
          </w:tcPr>
          <w:p w14:paraId="6DD3D6C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要素名称</w:t>
            </w:r>
          </w:p>
        </w:tc>
        <w:tc>
          <w:tcPr>
            <w:tcW w:w="6189" w:type="dxa"/>
          </w:tcPr>
          <w:p w14:paraId="512DDC7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要素说明</w:t>
            </w:r>
          </w:p>
        </w:tc>
      </w:tr>
      <w:tr w14:paraId="7BFD0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4" w:type="dxa"/>
            <w:vAlign w:val="center"/>
          </w:tcPr>
          <w:p w14:paraId="1BA18884">
            <w:pPr>
              <w:pStyle w:val="12"/>
              <w:widowControl w:val="0"/>
              <w:ind w:firstLine="0" w:firstLineChars="0"/>
              <w:jc w:val="left"/>
              <w:textAlignment w:val="auto"/>
              <w:rPr>
                <w:rFonts w:ascii="仿宋_GB2312" w:eastAsia="仿宋_GB2312"/>
                <w:b/>
                <w:kern w:val="0"/>
                <w:lang w:eastAsia="en-US" w:bidi="en-US"/>
              </w:rPr>
            </w:pPr>
            <w:r>
              <w:rPr>
                <w:rFonts w:hint="eastAsia" w:ascii="仿宋_GB2312" w:eastAsia="仿宋_GB2312"/>
                <w:b/>
                <w:color w:val="000000"/>
                <w:kern w:val="0"/>
                <w:sz w:val="24"/>
                <w:szCs w:val="24"/>
                <w:lang w:eastAsia="en-US" w:bidi="en-US"/>
              </w:rPr>
              <w:t>订单类型</w:t>
            </w:r>
          </w:p>
        </w:tc>
        <w:tc>
          <w:tcPr>
            <w:tcW w:w="6189" w:type="dxa"/>
          </w:tcPr>
          <w:p w14:paraId="2424422F">
            <w:pPr>
              <w:pStyle w:val="12"/>
              <w:ind w:firstLine="0" w:firstLineChars="0"/>
              <w:rPr>
                <w:rFonts w:ascii="仿宋_GB2312" w:hAnsi="宋体" w:eastAsia="仿宋_GB2312"/>
                <w:kern w:val="0"/>
                <w:lang w:eastAsia="en-US" w:bidi="en-US"/>
              </w:rPr>
            </w:pPr>
            <w:r>
              <w:rPr>
                <w:rFonts w:hint="eastAsia" w:ascii="仿宋_GB2312" w:hAnsi="宋体" w:eastAsia="仿宋_GB2312"/>
                <w:kern w:val="0"/>
                <w:lang w:eastAsia="en-US" w:bidi="en-US"/>
              </w:rPr>
              <w:t>询价回复</w:t>
            </w:r>
            <w:r>
              <w:rPr>
                <w:rFonts w:hint="eastAsia" w:ascii="仿宋_GB2312" w:hAnsi="宋体" w:eastAsia="仿宋_GB2312"/>
                <w:kern w:val="0"/>
                <w:lang w:eastAsia="zh-CN" w:bidi="en-US"/>
              </w:rPr>
              <w:t>，自动带出</w:t>
            </w:r>
          </w:p>
        </w:tc>
      </w:tr>
      <w:tr w14:paraId="24CF5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4" w:type="dxa"/>
            <w:vAlign w:val="center"/>
          </w:tcPr>
          <w:p w14:paraId="523F13C7">
            <w:pPr>
              <w:pStyle w:val="12"/>
              <w:widowControl w:val="0"/>
              <w:ind w:firstLine="0" w:firstLineChars="0"/>
              <w:jc w:val="left"/>
              <w:textAlignment w:val="auto"/>
              <w:rPr>
                <w:rFonts w:ascii="仿宋_GB2312" w:eastAsia="仿宋_GB2312"/>
                <w:b/>
                <w:kern w:val="0"/>
                <w:lang w:eastAsia="en-US" w:bidi="en-US"/>
              </w:rPr>
            </w:pPr>
            <w:r>
              <w:rPr>
                <w:rFonts w:hint="eastAsia" w:ascii="仿宋_GB2312" w:eastAsia="仿宋_GB2312"/>
                <w:b/>
                <w:color w:val="000000"/>
                <w:kern w:val="0"/>
                <w:sz w:val="24"/>
                <w:szCs w:val="24"/>
                <w:lang w:eastAsia="en-US" w:bidi="en-US"/>
              </w:rPr>
              <w:t>本方</w:t>
            </w:r>
          </w:p>
        </w:tc>
        <w:tc>
          <w:tcPr>
            <w:tcW w:w="6189" w:type="dxa"/>
          </w:tcPr>
          <w:p w14:paraId="742FC96F">
            <w:pPr>
              <w:pStyle w:val="12"/>
              <w:ind w:firstLine="0" w:firstLineChars="0"/>
              <w:rPr>
                <w:rFonts w:hint="eastAsia" w:ascii="仿宋_GB2312" w:hAnsi="宋体" w:eastAsia="仿宋_GB2312"/>
                <w:kern w:val="0"/>
                <w:lang w:eastAsia="zh-CN" w:bidi="en-US"/>
              </w:rPr>
            </w:pPr>
            <w:r>
              <w:rPr>
                <w:rFonts w:hint="eastAsia" w:ascii="仿宋_GB2312" w:hAnsi="宋体" w:eastAsia="仿宋_GB2312"/>
                <w:kern w:val="0"/>
                <w:lang w:eastAsia="zh-CN" w:bidi="en-US"/>
              </w:rPr>
              <w:t>本方债券交易参与人的机构简称，自动带出</w:t>
            </w:r>
          </w:p>
        </w:tc>
      </w:tr>
      <w:tr w14:paraId="1EA7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24" w:type="dxa"/>
            <w:vAlign w:val="center"/>
          </w:tcPr>
          <w:p w14:paraId="4FF7BD26">
            <w:pPr>
              <w:pStyle w:val="12"/>
              <w:widowControl w:val="0"/>
              <w:ind w:firstLine="0" w:firstLineChars="0"/>
              <w:jc w:val="left"/>
              <w:textAlignment w:val="auto"/>
              <w:rPr>
                <w:rFonts w:ascii="仿宋_GB2312" w:eastAsia="仿宋_GB2312"/>
                <w:b/>
                <w:kern w:val="0"/>
                <w:lang w:eastAsia="en-US" w:bidi="en-US"/>
              </w:rPr>
            </w:pPr>
            <w:r>
              <w:rPr>
                <w:rFonts w:hint="eastAsia" w:ascii="仿宋_GB2312" w:eastAsia="仿宋_GB2312"/>
                <w:b/>
                <w:color w:val="000000"/>
                <w:kern w:val="0"/>
                <w:sz w:val="24"/>
                <w:szCs w:val="24"/>
                <w:lang w:eastAsia="en-US" w:bidi="en-US"/>
              </w:rPr>
              <w:t>本方方向</w:t>
            </w:r>
          </w:p>
        </w:tc>
        <w:tc>
          <w:tcPr>
            <w:tcW w:w="6189" w:type="dxa"/>
          </w:tcPr>
          <w:p w14:paraId="3DF63509">
            <w:pPr>
              <w:pStyle w:val="12"/>
              <w:ind w:firstLine="0" w:firstLineChars="0"/>
              <w:rPr>
                <w:rFonts w:hint="eastAsia" w:ascii="仿宋_GB2312" w:hAnsi="宋体" w:eastAsia="仿宋_GB2312"/>
                <w:kern w:val="0"/>
                <w:lang w:eastAsia="zh-CN" w:bidi="en-US"/>
              </w:rPr>
            </w:pPr>
            <w:r>
              <w:rPr>
                <w:rFonts w:hint="eastAsia" w:ascii="仿宋_GB2312" w:hAnsi="宋体" w:eastAsia="仿宋_GB2312"/>
                <w:kern w:val="0"/>
                <w:lang w:eastAsia="zh-CN" w:bidi="en-US"/>
              </w:rPr>
              <w:t>买入或卖出，自动带出</w:t>
            </w:r>
          </w:p>
        </w:tc>
      </w:tr>
      <w:tr w14:paraId="204CC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4" w:type="dxa"/>
            <w:vAlign w:val="center"/>
          </w:tcPr>
          <w:p w14:paraId="6DFC084B">
            <w:pPr>
              <w:pStyle w:val="12"/>
              <w:widowControl w:val="0"/>
              <w:ind w:firstLine="0" w:firstLineChars="0"/>
              <w:jc w:val="left"/>
              <w:textAlignment w:val="auto"/>
              <w:rPr>
                <w:rFonts w:ascii="仿宋_GB2312" w:eastAsia="仿宋_GB2312"/>
                <w:b/>
                <w:kern w:val="0"/>
                <w:lang w:eastAsia="en-US" w:bidi="en-US"/>
              </w:rPr>
            </w:pPr>
            <w:r>
              <w:rPr>
                <w:rFonts w:hint="eastAsia" w:ascii="仿宋_GB2312" w:eastAsia="仿宋_GB2312"/>
                <w:b/>
                <w:color w:val="000000"/>
                <w:kern w:val="0"/>
                <w:sz w:val="24"/>
                <w:szCs w:val="24"/>
                <w:lang w:eastAsia="en-US" w:bidi="en-US"/>
              </w:rPr>
              <w:t>本方一债通账户</w:t>
            </w:r>
          </w:p>
        </w:tc>
        <w:tc>
          <w:tcPr>
            <w:tcW w:w="6189" w:type="dxa"/>
          </w:tcPr>
          <w:p w14:paraId="293BB5FE">
            <w:pPr>
              <w:pStyle w:val="12"/>
              <w:ind w:firstLine="0" w:firstLineChars="0"/>
              <w:rPr>
                <w:rFonts w:hint="eastAsia" w:ascii="仿宋_GB2312" w:eastAsia="仿宋_GB2312"/>
                <w:kern w:val="0"/>
                <w:lang w:eastAsia="zh-CN" w:bidi="en-US"/>
              </w:rPr>
            </w:pPr>
            <w:r>
              <w:rPr>
                <w:rFonts w:hint="eastAsia" w:ascii="仿宋_GB2312" w:eastAsia="仿宋_GB2312"/>
                <w:kern w:val="0"/>
                <w:lang w:eastAsia="zh-CN" w:bidi="en-US"/>
              </w:rPr>
              <w:t>本方交易员一债通账户号码</w:t>
            </w:r>
            <w:r>
              <w:rPr>
                <w:rFonts w:hint="eastAsia" w:ascii="仿宋_GB2312" w:hAnsi="宋体" w:eastAsia="仿宋_GB2312"/>
                <w:kern w:val="0"/>
                <w:lang w:eastAsia="zh-CN" w:bidi="en-US"/>
              </w:rPr>
              <w:t>，自动带出</w:t>
            </w:r>
          </w:p>
        </w:tc>
      </w:tr>
      <w:tr w14:paraId="1CF8E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4" w:type="dxa"/>
            <w:vAlign w:val="center"/>
          </w:tcPr>
          <w:p w14:paraId="59DF4852">
            <w:pPr>
              <w:pStyle w:val="12"/>
              <w:ind w:firstLine="0" w:firstLineChars="0"/>
              <w:jc w:val="left"/>
              <w:rPr>
                <w:rFonts w:ascii="仿宋_GB2312" w:eastAsia="仿宋_GB2312"/>
                <w:b/>
                <w:kern w:val="0"/>
                <w:lang w:eastAsia="en-US" w:bidi="en-US"/>
              </w:rPr>
            </w:pPr>
            <w:r>
              <w:rPr>
                <w:rFonts w:hint="eastAsia" w:ascii="仿宋_GB2312" w:eastAsia="仿宋_GB2312"/>
                <w:b/>
                <w:kern w:val="0"/>
                <w:sz w:val="24"/>
                <w:szCs w:val="24"/>
                <w:lang w:eastAsia="en-US" w:bidi="en-US"/>
              </w:rPr>
              <w:t>本方交易员</w:t>
            </w:r>
          </w:p>
        </w:tc>
        <w:tc>
          <w:tcPr>
            <w:tcW w:w="6189" w:type="dxa"/>
          </w:tcPr>
          <w:p w14:paraId="628D9033">
            <w:pPr>
              <w:pStyle w:val="12"/>
              <w:ind w:firstLine="0" w:firstLineChars="0"/>
              <w:rPr>
                <w:rFonts w:hint="eastAsia" w:ascii="仿宋_GB2312" w:eastAsia="仿宋_GB2312"/>
                <w:kern w:val="0"/>
                <w:lang w:eastAsia="zh-CN" w:bidi="en-US"/>
              </w:rPr>
            </w:pPr>
            <w:r>
              <w:rPr>
                <w:rFonts w:hint="eastAsia" w:ascii="仿宋_GB2312" w:eastAsia="仿宋_GB2312"/>
                <w:kern w:val="0"/>
                <w:lang w:eastAsia="zh-CN" w:bidi="en-US"/>
              </w:rPr>
              <w:t>本方交易员名称</w:t>
            </w:r>
            <w:r>
              <w:rPr>
                <w:rFonts w:hint="eastAsia" w:ascii="仿宋_GB2312" w:hAnsi="宋体" w:eastAsia="仿宋_GB2312"/>
                <w:kern w:val="0"/>
                <w:lang w:eastAsia="zh-CN" w:bidi="en-US"/>
              </w:rPr>
              <w:t>，自动带出</w:t>
            </w:r>
          </w:p>
        </w:tc>
      </w:tr>
      <w:tr w14:paraId="0BD2A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4" w:type="dxa"/>
            <w:vAlign w:val="center"/>
          </w:tcPr>
          <w:p w14:paraId="2978F85E">
            <w:pPr>
              <w:pStyle w:val="12"/>
              <w:widowControl w:val="0"/>
              <w:ind w:firstLine="0" w:firstLineChars="0"/>
              <w:jc w:val="left"/>
              <w:textAlignment w:val="auto"/>
              <w:rPr>
                <w:rFonts w:ascii="仿宋_GB2312" w:eastAsia="仿宋_GB2312"/>
                <w:b/>
                <w:kern w:val="0"/>
                <w:lang w:eastAsia="en-US" w:bidi="en-US"/>
              </w:rPr>
            </w:pPr>
            <w:r>
              <w:rPr>
                <w:rFonts w:hint="eastAsia" w:ascii="仿宋_GB2312" w:eastAsia="仿宋_GB2312"/>
                <w:b/>
                <w:color w:val="000000"/>
                <w:kern w:val="0"/>
                <w:sz w:val="24"/>
                <w:szCs w:val="24"/>
                <w:lang w:eastAsia="en-US" w:bidi="en-US"/>
              </w:rPr>
              <w:t>对手方</w:t>
            </w:r>
          </w:p>
        </w:tc>
        <w:tc>
          <w:tcPr>
            <w:tcW w:w="6189" w:type="dxa"/>
          </w:tcPr>
          <w:p w14:paraId="3DD1A94B">
            <w:pPr>
              <w:pStyle w:val="12"/>
              <w:ind w:firstLine="0" w:firstLineChars="0"/>
              <w:rPr>
                <w:rFonts w:ascii="仿宋_GB2312" w:eastAsia="仿宋_GB2312"/>
                <w:kern w:val="0"/>
                <w:lang w:bidi="en-US"/>
              </w:rPr>
            </w:pPr>
            <w:r>
              <w:rPr>
                <w:rFonts w:hint="eastAsia" w:ascii="仿宋_GB2312" w:eastAsia="仿宋_GB2312"/>
                <w:kern w:val="0"/>
                <w:lang w:bidi="en-US"/>
              </w:rPr>
              <w:t>询价方</w:t>
            </w:r>
            <w:r>
              <w:rPr>
                <w:rFonts w:hint="eastAsia" w:ascii="仿宋_GB2312" w:eastAsia="仿宋_GB2312"/>
                <w:kern w:val="0"/>
                <w:lang w:eastAsia="zh-CN" w:bidi="en-US"/>
              </w:rPr>
              <w:t>债券交易参与人的机构简称</w:t>
            </w:r>
            <w:r>
              <w:rPr>
                <w:rFonts w:hint="eastAsia" w:ascii="仿宋_GB2312" w:hAnsi="宋体" w:eastAsia="仿宋_GB2312"/>
                <w:kern w:val="0"/>
                <w:lang w:eastAsia="zh-CN" w:bidi="en-US"/>
              </w:rPr>
              <w:t>，自动带出</w:t>
            </w:r>
          </w:p>
        </w:tc>
      </w:tr>
      <w:tr w14:paraId="5ABD7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24" w:type="dxa"/>
            <w:vAlign w:val="center"/>
          </w:tcPr>
          <w:p w14:paraId="0EF1C09A">
            <w:pPr>
              <w:pStyle w:val="12"/>
              <w:widowControl w:val="0"/>
              <w:ind w:firstLine="0" w:firstLineChars="0"/>
              <w:jc w:val="left"/>
              <w:textAlignment w:val="auto"/>
              <w:rPr>
                <w:rFonts w:hint="eastAsia" w:ascii="仿宋_GB2312" w:eastAsia="仿宋_GB2312"/>
                <w:b/>
                <w:kern w:val="0"/>
                <w:lang w:eastAsia="en-US" w:bidi="en-US"/>
              </w:rPr>
            </w:pPr>
            <w:r>
              <w:rPr>
                <w:rFonts w:hint="eastAsia" w:ascii="仿宋_GB2312" w:eastAsia="仿宋_GB2312"/>
                <w:b/>
                <w:color w:val="000000"/>
                <w:kern w:val="0"/>
                <w:sz w:val="24"/>
                <w:szCs w:val="24"/>
                <w:lang w:eastAsia="en-US" w:bidi="en-US"/>
              </w:rPr>
              <w:t>对手方一债通账户</w:t>
            </w:r>
          </w:p>
        </w:tc>
        <w:tc>
          <w:tcPr>
            <w:tcW w:w="6189" w:type="dxa"/>
          </w:tcPr>
          <w:p w14:paraId="3A7B15A8">
            <w:pPr>
              <w:pStyle w:val="12"/>
              <w:ind w:firstLine="0" w:firstLineChars="0"/>
              <w:rPr>
                <w:rFonts w:ascii="仿宋_GB2312" w:eastAsia="仿宋_GB2312"/>
                <w:kern w:val="0"/>
                <w:lang w:bidi="en-US"/>
              </w:rPr>
            </w:pPr>
            <w:r>
              <w:rPr>
                <w:rFonts w:hint="eastAsia" w:ascii="仿宋_GB2312" w:eastAsia="仿宋_GB2312"/>
                <w:kern w:val="0"/>
                <w:lang w:bidi="en-US"/>
              </w:rPr>
              <w:t>询价方</w:t>
            </w:r>
            <w:r>
              <w:rPr>
                <w:rFonts w:hint="eastAsia" w:ascii="仿宋_GB2312" w:eastAsia="仿宋_GB2312"/>
                <w:kern w:val="0"/>
                <w:lang w:eastAsia="zh-CN" w:bidi="en-US"/>
              </w:rPr>
              <w:t>的一债通账户号码</w:t>
            </w:r>
            <w:r>
              <w:rPr>
                <w:rFonts w:hint="eastAsia" w:ascii="仿宋_GB2312" w:hAnsi="宋体" w:eastAsia="仿宋_GB2312"/>
                <w:kern w:val="0"/>
                <w:lang w:eastAsia="zh-CN" w:bidi="en-US"/>
              </w:rPr>
              <w:t>，自动带出</w:t>
            </w:r>
          </w:p>
        </w:tc>
      </w:tr>
      <w:tr w14:paraId="3340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4" w:type="dxa"/>
            <w:vAlign w:val="center"/>
          </w:tcPr>
          <w:p w14:paraId="60BA7E6D">
            <w:pPr>
              <w:pStyle w:val="12"/>
              <w:widowControl w:val="0"/>
              <w:ind w:firstLine="0" w:firstLineChars="0"/>
              <w:jc w:val="left"/>
              <w:textAlignment w:val="auto"/>
              <w:rPr>
                <w:rFonts w:ascii="仿宋_GB2312" w:eastAsia="仿宋_GB2312"/>
                <w:b/>
                <w:kern w:val="0"/>
                <w:lang w:eastAsia="en-US" w:bidi="en-US"/>
              </w:rPr>
            </w:pPr>
            <w:r>
              <w:rPr>
                <w:rFonts w:hint="eastAsia" w:ascii="仿宋_GB2312" w:eastAsia="仿宋_GB2312"/>
                <w:b/>
                <w:color w:val="000000"/>
                <w:kern w:val="0"/>
                <w:sz w:val="24"/>
                <w:szCs w:val="24"/>
                <w:lang w:eastAsia="en-US" w:bidi="en-US"/>
              </w:rPr>
              <w:t>对手方交易员</w:t>
            </w:r>
          </w:p>
        </w:tc>
        <w:tc>
          <w:tcPr>
            <w:tcW w:w="6189" w:type="dxa"/>
          </w:tcPr>
          <w:p w14:paraId="1453A675">
            <w:pPr>
              <w:pStyle w:val="12"/>
              <w:ind w:firstLine="0" w:firstLineChars="0"/>
              <w:rPr>
                <w:rFonts w:ascii="仿宋_GB2312" w:eastAsia="仿宋_GB2312"/>
                <w:kern w:val="0"/>
                <w:lang w:bidi="en-US"/>
              </w:rPr>
            </w:pPr>
            <w:r>
              <w:rPr>
                <w:rFonts w:hint="eastAsia" w:ascii="仿宋_GB2312" w:eastAsia="仿宋_GB2312"/>
                <w:kern w:val="0"/>
                <w:lang w:eastAsia="zh-CN" w:bidi="en-US"/>
              </w:rPr>
              <w:t>询价方交易员名称</w:t>
            </w:r>
            <w:r>
              <w:rPr>
                <w:rFonts w:hint="eastAsia" w:ascii="仿宋_GB2312" w:hAnsi="宋体" w:eastAsia="仿宋_GB2312"/>
                <w:kern w:val="0"/>
                <w:lang w:eastAsia="zh-CN" w:bidi="en-US"/>
              </w:rPr>
              <w:t>，自动带出</w:t>
            </w:r>
          </w:p>
        </w:tc>
      </w:tr>
      <w:tr w14:paraId="6BFA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4" w:type="dxa"/>
            <w:vAlign w:val="center"/>
          </w:tcPr>
          <w:p w14:paraId="112B6CF8">
            <w:pPr>
              <w:pStyle w:val="12"/>
              <w:widowControl w:val="0"/>
              <w:ind w:firstLine="0" w:firstLineChars="0"/>
              <w:jc w:val="left"/>
              <w:textAlignment w:val="auto"/>
              <w:rPr>
                <w:rFonts w:ascii="仿宋_GB2312" w:eastAsia="仿宋_GB2312"/>
                <w:b/>
                <w:kern w:val="0"/>
                <w:lang w:eastAsia="en-US" w:bidi="en-US"/>
              </w:rPr>
            </w:pPr>
            <w:r>
              <w:rPr>
                <w:rFonts w:hint="eastAsia" w:ascii="仿宋_GB2312" w:eastAsia="仿宋_GB2312"/>
                <w:b/>
                <w:color w:val="000000"/>
                <w:kern w:val="0"/>
                <w:sz w:val="24"/>
                <w:szCs w:val="24"/>
                <w:lang w:eastAsia="en-US" w:bidi="en-US"/>
              </w:rPr>
              <w:t>询价请求编号</w:t>
            </w:r>
          </w:p>
        </w:tc>
        <w:tc>
          <w:tcPr>
            <w:tcW w:w="6189" w:type="dxa"/>
          </w:tcPr>
          <w:p w14:paraId="5CA94CAF">
            <w:pPr>
              <w:pStyle w:val="12"/>
              <w:ind w:firstLine="0" w:firstLineChars="0"/>
              <w:rPr>
                <w:rFonts w:hint="eastAsia" w:ascii="仿宋_GB2312" w:eastAsia="仿宋_GB2312"/>
                <w:kern w:val="0"/>
                <w:lang w:eastAsia="zh-CN" w:bidi="en-US"/>
              </w:rPr>
            </w:pPr>
            <w:r>
              <w:rPr>
                <w:rFonts w:hint="eastAsia" w:ascii="仿宋_GB2312" w:eastAsia="仿宋_GB2312"/>
                <w:kern w:val="0"/>
                <w:lang w:eastAsia="zh-CN" w:bidi="en-US"/>
              </w:rPr>
              <w:t>上交所对该笔订单的编号</w:t>
            </w:r>
            <w:r>
              <w:rPr>
                <w:rFonts w:hint="eastAsia" w:ascii="仿宋_GB2312" w:hAnsi="宋体" w:eastAsia="仿宋_GB2312"/>
                <w:kern w:val="0"/>
                <w:lang w:eastAsia="zh-CN" w:bidi="en-US"/>
              </w:rPr>
              <w:t>，自动带出</w:t>
            </w:r>
          </w:p>
        </w:tc>
      </w:tr>
      <w:tr w14:paraId="0DECF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4" w:type="dxa"/>
            <w:vAlign w:val="center"/>
          </w:tcPr>
          <w:p w14:paraId="04DDF20D">
            <w:pPr>
              <w:pStyle w:val="12"/>
              <w:widowControl w:val="0"/>
              <w:ind w:firstLine="0" w:firstLineChars="0"/>
              <w:jc w:val="left"/>
              <w:textAlignment w:val="auto"/>
              <w:rPr>
                <w:rFonts w:ascii="仿宋_GB2312" w:eastAsia="仿宋_GB2312"/>
                <w:b/>
                <w:kern w:val="0"/>
                <w:lang w:eastAsia="en-US" w:bidi="en-US"/>
              </w:rPr>
            </w:pPr>
            <w:r>
              <w:rPr>
                <w:rFonts w:hint="eastAsia" w:ascii="仿宋_GB2312" w:eastAsia="仿宋_GB2312"/>
                <w:b/>
                <w:color w:val="000000"/>
                <w:kern w:val="0"/>
                <w:sz w:val="24"/>
                <w:szCs w:val="24"/>
                <w:lang w:eastAsia="en-US" w:bidi="en-US"/>
              </w:rPr>
              <w:t>证券账户</w:t>
            </w:r>
          </w:p>
        </w:tc>
        <w:tc>
          <w:tcPr>
            <w:tcW w:w="6189" w:type="dxa"/>
          </w:tcPr>
          <w:p w14:paraId="598FEF8B">
            <w:pPr>
              <w:pStyle w:val="12"/>
              <w:ind w:firstLine="0" w:firstLineChars="0"/>
              <w:rPr>
                <w:rFonts w:hint="eastAsia" w:ascii="仿宋_GB2312" w:hAnsi="宋体" w:eastAsia="仿宋_GB2312"/>
                <w:color w:val="000000"/>
                <w:kern w:val="0"/>
                <w:lang w:eastAsia="zh-CN" w:bidi="en-US"/>
              </w:rPr>
            </w:pPr>
            <w:r>
              <w:rPr>
                <w:rFonts w:hint="eastAsia" w:ascii="仿宋_GB2312" w:eastAsia="仿宋_GB2312"/>
                <w:kern w:val="0"/>
                <w:lang w:eastAsia="zh-CN" w:bidi="en-US"/>
              </w:rPr>
              <w:t>本方证券账户号码</w:t>
            </w:r>
          </w:p>
        </w:tc>
      </w:tr>
      <w:tr w14:paraId="4282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24" w:type="dxa"/>
            <w:vAlign w:val="center"/>
          </w:tcPr>
          <w:p w14:paraId="22EF8897">
            <w:pPr>
              <w:pStyle w:val="12"/>
              <w:ind w:firstLine="0" w:firstLineChars="0"/>
              <w:jc w:val="left"/>
              <w:rPr>
                <w:rFonts w:ascii="仿宋_GB2312" w:eastAsia="仿宋_GB2312"/>
                <w:b/>
                <w:kern w:val="0"/>
                <w:lang w:eastAsia="en-US" w:bidi="en-US"/>
              </w:rPr>
            </w:pPr>
            <w:r>
              <w:rPr>
                <w:rFonts w:hint="eastAsia" w:ascii="仿宋_GB2312" w:eastAsia="仿宋_GB2312"/>
                <w:b/>
                <w:kern w:val="0"/>
                <w:sz w:val="24"/>
                <w:szCs w:val="24"/>
                <w:lang w:eastAsia="en-US" w:bidi="en-US"/>
              </w:rPr>
              <w:t>交易单元</w:t>
            </w:r>
          </w:p>
        </w:tc>
        <w:tc>
          <w:tcPr>
            <w:tcW w:w="6189" w:type="dxa"/>
          </w:tcPr>
          <w:p w14:paraId="5659D623">
            <w:pPr>
              <w:pStyle w:val="12"/>
              <w:ind w:firstLine="0" w:firstLineChars="0"/>
              <w:rPr>
                <w:rFonts w:hint="eastAsia" w:ascii="仿宋_GB2312" w:eastAsia="仿宋_GB2312"/>
                <w:kern w:val="0"/>
                <w:lang w:eastAsia="zh-CN" w:bidi="en-US"/>
              </w:rPr>
            </w:pPr>
            <w:r>
              <w:rPr>
                <w:rFonts w:hint="eastAsia" w:ascii="仿宋_GB2312" w:eastAsia="仿宋_GB2312"/>
                <w:kern w:val="0"/>
                <w:lang w:eastAsia="zh-CN" w:bidi="en-US"/>
              </w:rPr>
              <w:t>本方的交易单元号码，根据证券账户自动带出</w:t>
            </w:r>
          </w:p>
        </w:tc>
      </w:tr>
      <w:tr w14:paraId="3B9E7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4" w:type="dxa"/>
            <w:vAlign w:val="center"/>
          </w:tcPr>
          <w:p w14:paraId="701C1218">
            <w:pPr>
              <w:pStyle w:val="12"/>
              <w:ind w:firstLine="0" w:firstLineChars="0"/>
              <w:jc w:val="left"/>
              <w:rPr>
                <w:rFonts w:ascii="仿宋_GB2312" w:eastAsia="仿宋_GB2312"/>
                <w:b/>
                <w:kern w:val="0"/>
                <w:lang w:eastAsia="en-US" w:bidi="en-US"/>
              </w:rPr>
            </w:pPr>
            <w:r>
              <w:rPr>
                <w:rFonts w:hint="eastAsia" w:ascii="仿宋_GB2312" w:eastAsia="仿宋_GB2312"/>
                <w:b/>
                <w:kern w:val="0"/>
                <w:sz w:val="24"/>
                <w:szCs w:val="24"/>
                <w:lang w:eastAsia="en-US" w:bidi="en-US"/>
              </w:rPr>
              <w:t>账户名称</w:t>
            </w:r>
          </w:p>
        </w:tc>
        <w:tc>
          <w:tcPr>
            <w:tcW w:w="6189" w:type="dxa"/>
          </w:tcPr>
          <w:p w14:paraId="2384C041">
            <w:pPr>
              <w:pStyle w:val="12"/>
              <w:ind w:firstLine="0" w:firstLineChars="0"/>
              <w:rPr>
                <w:rFonts w:ascii="仿宋_GB2312" w:eastAsia="仿宋_GB2312"/>
                <w:kern w:val="0"/>
                <w:lang w:bidi="en-US"/>
              </w:rPr>
            </w:pPr>
            <w:r>
              <w:rPr>
                <w:rFonts w:hint="eastAsia" w:ascii="仿宋_GB2312" w:eastAsia="仿宋_GB2312"/>
                <w:kern w:val="0"/>
                <w:lang w:eastAsia="zh-CN" w:bidi="en-US"/>
              </w:rPr>
              <w:t>本方证券账户名称</w:t>
            </w:r>
            <w:r>
              <w:rPr>
                <w:rFonts w:hint="eastAsia" w:ascii="仿宋_GB2312" w:eastAsia="仿宋_GB2312"/>
                <w:kern w:val="0"/>
                <w:lang w:bidi="en-US"/>
              </w:rPr>
              <w:t>，自动显示</w:t>
            </w:r>
          </w:p>
        </w:tc>
      </w:tr>
      <w:tr w14:paraId="14B5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4" w:type="dxa"/>
            <w:vAlign w:val="center"/>
          </w:tcPr>
          <w:p w14:paraId="52D2E6F0">
            <w:pPr>
              <w:pStyle w:val="12"/>
              <w:widowControl w:val="0"/>
              <w:ind w:firstLine="0" w:firstLineChars="0"/>
              <w:jc w:val="left"/>
              <w:textAlignment w:val="auto"/>
              <w:rPr>
                <w:rFonts w:ascii="仿宋_GB2312" w:eastAsia="仿宋_GB2312"/>
                <w:b/>
                <w:kern w:val="0"/>
                <w:lang w:eastAsia="en-US" w:bidi="en-US"/>
              </w:rPr>
            </w:pPr>
            <w:r>
              <w:rPr>
                <w:rFonts w:hint="eastAsia" w:ascii="仿宋_GB2312" w:eastAsia="仿宋_GB2312"/>
                <w:b/>
                <w:color w:val="000000"/>
                <w:kern w:val="0"/>
                <w:sz w:val="24"/>
                <w:szCs w:val="24"/>
                <w:lang w:eastAsia="en-US" w:bidi="en-US"/>
              </w:rPr>
              <w:t>证券代码</w:t>
            </w:r>
          </w:p>
        </w:tc>
        <w:tc>
          <w:tcPr>
            <w:tcW w:w="6189" w:type="dxa"/>
          </w:tcPr>
          <w:p w14:paraId="23129B81">
            <w:pPr>
              <w:pStyle w:val="12"/>
              <w:ind w:firstLine="0" w:firstLineChars="0"/>
              <w:rPr>
                <w:rFonts w:hint="eastAsia" w:ascii="仿宋_GB2312" w:hAnsi="宋体" w:eastAsia="仿宋_GB2312"/>
                <w:b/>
                <w:bCs/>
                <w:kern w:val="0"/>
                <w:lang w:eastAsia="zh-CN" w:bidi="en-US"/>
              </w:rPr>
            </w:pPr>
            <w:r>
              <w:rPr>
                <w:rFonts w:hint="eastAsia" w:ascii="仿宋_GB2312" w:eastAsia="仿宋_GB2312"/>
                <w:kern w:val="0"/>
                <w:lang w:eastAsia="zh-CN" w:bidi="en-US"/>
              </w:rPr>
              <w:t>交易证券的证券代码</w:t>
            </w:r>
            <w:r>
              <w:rPr>
                <w:rFonts w:hint="eastAsia" w:ascii="仿宋_GB2312" w:hAnsi="宋体" w:eastAsia="仿宋_GB2312"/>
                <w:kern w:val="0"/>
                <w:lang w:eastAsia="zh-CN" w:bidi="en-US"/>
              </w:rPr>
              <w:t>，自动带出</w:t>
            </w:r>
          </w:p>
        </w:tc>
      </w:tr>
      <w:tr w14:paraId="3F46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4" w:type="dxa"/>
            <w:vAlign w:val="center"/>
          </w:tcPr>
          <w:p w14:paraId="58290D7A">
            <w:pPr>
              <w:pStyle w:val="12"/>
              <w:widowControl w:val="0"/>
              <w:ind w:firstLine="0" w:firstLineChars="0"/>
              <w:jc w:val="left"/>
              <w:textAlignment w:val="auto"/>
              <w:rPr>
                <w:rFonts w:ascii="仿宋_GB2312" w:eastAsia="仿宋_GB2312"/>
                <w:b/>
                <w:kern w:val="0"/>
                <w:lang w:eastAsia="en-US" w:bidi="en-US"/>
              </w:rPr>
            </w:pPr>
            <w:r>
              <w:rPr>
                <w:rFonts w:hint="eastAsia" w:ascii="仿宋_GB2312" w:eastAsia="仿宋_GB2312"/>
                <w:b/>
                <w:color w:val="000000"/>
                <w:kern w:val="0"/>
                <w:sz w:val="24"/>
                <w:szCs w:val="24"/>
                <w:lang w:eastAsia="en-US" w:bidi="en-US"/>
              </w:rPr>
              <w:t>证券简称</w:t>
            </w:r>
          </w:p>
        </w:tc>
        <w:tc>
          <w:tcPr>
            <w:tcW w:w="6189" w:type="dxa"/>
          </w:tcPr>
          <w:p w14:paraId="1D10653F">
            <w:pPr>
              <w:pStyle w:val="12"/>
              <w:ind w:firstLine="0" w:firstLineChars="0"/>
              <w:rPr>
                <w:rFonts w:ascii="仿宋_GB2312" w:eastAsia="仿宋_GB2312"/>
                <w:kern w:val="0"/>
                <w:lang w:bidi="en-US"/>
              </w:rPr>
            </w:pPr>
            <w:r>
              <w:rPr>
                <w:rFonts w:hint="eastAsia" w:ascii="仿宋_GB2312" w:eastAsia="仿宋_GB2312"/>
                <w:kern w:val="0"/>
                <w:lang w:eastAsia="zh-CN" w:bidi="en-US"/>
              </w:rPr>
              <w:t>交易证券的证券简称</w:t>
            </w:r>
            <w:r>
              <w:rPr>
                <w:rFonts w:hint="eastAsia" w:ascii="仿宋_GB2312" w:eastAsia="仿宋_GB2312"/>
                <w:kern w:val="0"/>
                <w:lang w:bidi="en-US"/>
              </w:rPr>
              <w:t>，自动显示</w:t>
            </w:r>
          </w:p>
        </w:tc>
      </w:tr>
      <w:tr w14:paraId="7C65F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24" w:type="dxa"/>
            <w:vAlign w:val="center"/>
          </w:tcPr>
          <w:p w14:paraId="11F370A5">
            <w:pPr>
              <w:pStyle w:val="12"/>
              <w:widowControl w:val="0"/>
              <w:ind w:firstLine="0" w:firstLineChars="0"/>
              <w:jc w:val="left"/>
              <w:textAlignment w:val="auto"/>
              <w:rPr>
                <w:rFonts w:ascii="仿宋_GB2312" w:eastAsia="仿宋_GB2312"/>
                <w:b/>
                <w:kern w:val="0"/>
                <w:lang w:eastAsia="en-US" w:bidi="en-US"/>
              </w:rPr>
            </w:pPr>
            <w:r>
              <w:rPr>
                <w:rFonts w:hint="eastAsia" w:ascii="仿宋_GB2312" w:eastAsia="仿宋_GB2312"/>
                <w:b/>
                <w:color w:val="000000"/>
                <w:kern w:val="0"/>
                <w:sz w:val="24"/>
                <w:szCs w:val="24"/>
                <w:lang w:eastAsia="en-US" w:bidi="en-US"/>
              </w:rPr>
              <w:t>结算方式</w:t>
            </w:r>
          </w:p>
        </w:tc>
        <w:tc>
          <w:tcPr>
            <w:tcW w:w="6189" w:type="dxa"/>
          </w:tcPr>
          <w:p w14:paraId="50C4EF13">
            <w:pPr>
              <w:pStyle w:val="12"/>
              <w:ind w:firstLine="0" w:firstLineChars="0"/>
              <w:rPr>
                <w:rFonts w:hint="eastAsia" w:ascii="仿宋_GB2312" w:eastAsia="仿宋_GB2312"/>
                <w:kern w:val="0"/>
                <w:lang w:eastAsia="zh-CN" w:bidi="en-US"/>
              </w:rPr>
            </w:pPr>
            <w:r>
              <w:rPr>
                <w:rFonts w:hint="eastAsia" w:ascii="仿宋_GB2312" w:hAnsi="宋体" w:eastAsia="仿宋_GB2312"/>
                <w:kern w:val="0"/>
                <w:lang w:eastAsia="zh-CN" w:bidi="en-US"/>
              </w:rPr>
              <w:t>根据询价方选择，显示“净额结算”或“</w:t>
            </w:r>
            <w:r>
              <w:rPr>
                <w:rFonts w:hint="eastAsia" w:ascii="仿宋_GB2312" w:hAnsi="宋体" w:eastAsia="仿宋_GB2312"/>
                <w:kern w:val="0"/>
                <w:lang w:val="en-US" w:eastAsia="zh-CN" w:bidi="en-US"/>
              </w:rPr>
              <w:t>RTGS</w:t>
            </w:r>
            <w:r>
              <w:rPr>
                <w:rFonts w:hint="eastAsia" w:ascii="仿宋_GB2312" w:hAnsi="宋体" w:eastAsia="仿宋_GB2312"/>
                <w:kern w:val="0"/>
                <w:lang w:eastAsia="zh-CN" w:bidi="en-US"/>
              </w:rPr>
              <w:t>”</w:t>
            </w:r>
          </w:p>
        </w:tc>
      </w:tr>
      <w:tr w14:paraId="45BFC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4" w:type="dxa"/>
            <w:vAlign w:val="center"/>
          </w:tcPr>
          <w:p w14:paraId="16D3B0C0">
            <w:pPr>
              <w:pStyle w:val="12"/>
              <w:widowControl w:val="0"/>
              <w:ind w:firstLine="0" w:firstLineChars="0"/>
              <w:jc w:val="left"/>
              <w:textAlignment w:val="auto"/>
              <w:rPr>
                <w:rFonts w:ascii="仿宋_GB2312" w:eastAsia="仿宋_GB2312"/>
                <w:b/>
                <w:kern w:val="0"/>
                <w:lang w:eastAsia="en-US" w:bidi="en-US"/>
              </w:rPr>
            </w:pPr>
            <w:r>
              <w:rPr>
                <w:rFonts w:hint="eastAsia" w:ascii="仿宋_GB2312" w:eastAsia="仿宋_GB2312"/>
                <w:b/>
                <w:color w:val="000000"/>
                <w:kern w:val="0"/>
                <w:sz w:val="24"/>
                <w:szCs w:val="24"/>
                <w:lang w:eastAsia="en-US" w:bidi="en-US"/>
              </w:rPr>
              <w:t>计价方式</w:t>
            </w:r>
          </w:p>
        </w:tc>
        <w:tc>
          <w:tcPr>
            <w:tcW w:w="6189" w:type="dxa"/>
          </w:tcPr>
          <w:p w14:paraId="5DEDF9DE">
            <w:pPr>
              <w:pStyle w:val="12"/>
              <w:ind w:firstLine="0" w:firstLineChars="0"/>
              <w:rPr>
                <w:rFonts w:hint="eastAsia" w:ascii="仿宋_GB2312" w:eastAsia="仿宋_GB2312"/>
                <w:kern w:val="0"/>
                <w:lang w:eastAsia="zh-CN" w:bidi="en-US"/>
              </w:rPr>
            </w:pPr>
            <w:r>
              <w:rPr>
                <w:rFonts w:hint="eastAsia" w:ascii="仿宋_GB2312" w:hAnsi="宋体" w:eastAsia="仿宋_GB2312"/>
                <w:kern w:val="0"/>
                <w:lang w:eastAsia="zh-CN" w:bidi="en-US"/>
              </w:rPr>
              <w:t>交易证券的计价方式“净价”或“全价”，自动带出</w:t>
            </w:r>
          </w:p>
        </w:tc>
      </w:tr>
      <w:tr w14:paraId="3890A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4" w:type="dxa"/>
            <w:vAlign w:val="center"/>
          </w:tcPr>
          <w:p w14:paraId="44117D63">
            <w:pPr>
              <w:pStyle w:val="12"/>
              <w:widowControl w:val="0"/>
              <w:ind w:firstLine="0" w:firstLineChars="0"/>
              <w:jc w:val="left"/>
              <w:textAlignment w:val="auto"/>
              <w:rPr>
                <w:rFonts w:ascii="仿宋_GB2312" w:eastAsia="仿宋_GB2312"/>
                <w:b/>
                <w:kern w:val="0"/>
                <w:lang w:eastAsia="en-US" w:bidi="en-US"/>
              </w:rPr>
            </w:pPr>
            <w:r>
              <w:rPr>
                <w:rFonts w:hint="eastAsia" w:ascii="仿宋_GB2312" w:eastAsia="仿宋_GB2312"/>
                <w:b/>
                <w:kern w:val="0"/>
                <w:sz w:val="24"/>
                <w:szCs w:val="24"/>
                <w:lang w:eastAsia="en-US" w:bidi="en-US"/>
              </w:rPr>
              <w:t>价格（元）</w:t>
            </w:r>
          </w:p>
        </w:tc>
        <w:tc>
          <w:tcPr>
            <w:tcW w:w="6189" w:type="dxa"/>
          </w:tcPr>
          <w:p w14:paraId="046E0FE4">
            <w:pPr>
              <w:pStyle w:val="12"/>
              <w:ind w:firstLine="0" w:firstLineChars="0"/>
              <w:rPr>
                <w:rFonts w:hint="eastAsia" w:ascii="仿宋_GB2312" w:eastAsia="仿宋_GB2312"/>
                <w:kern w:val="0"/>
                <w:lang w:eastAsia="zh-CN" w:bidi="en-US"/>
              </w:rPr>
            </w:pPr>
            <w:r>
              <w:rPr>
                <w:rFonts w:hint="eastAsia" w:ascii="仿宋_GB2312" w:eastAsia="仿宋_GB2312"/>
                <w:kern w:val="0"/>
                <w:lang w:eastAsia="zh-CN" w:bidi="en-US"/>
              </w:rPr>
              <w:t>对于债券是每百元价格，对于基金为每份价格</w:t>
            </w:r>
          </w:p>
        </w:tc>
      </w:tr>
      <w:tr w14:paraId="6D157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4" w:type="dxa"/>
            <w:vAlign w:val="center"/>
          </w:tcPr>
          <w:p w14:paraId="09B7FB50">
            <w:pPr>
              <w:pStyle w:val="12"/>
              <w:widowControl w:val="0"/>
              <w:ind w:firstLine="0" w:firstLineChars="0"/>
              <w:jc w:val="left"/>
              <w:textAlignment w:val="auto"/>
              <w:rPr>
                <w:rFonts w:ascii="仿宋_GB2312" w:eastAsia="仿宋_GB2312"/>
                <w:b/>
                <w:kern w:val="0"/>
                <w:lang w:eastAsia="en-US" w:bidi="en-US"/>
              </w:rPr>
            </w:pPr>
            <w:r>
              <w:rPr>
                <w:rFonts w:hint="eastAsia" w:ascii="仿宋_GB2312" w:eastAsia="仿宋_GB2312"/>
                <w:b/>
                <w:kern w:val="0"/>
                <w:sz w:val="24"/>
                <w:szCs w:val="24"/>
                <w:lang w:eastAsia="en-US" w:bidi="en-US"/>
              </w:rPr>
              <w:t>数量（千元面额/份）</w:t>
            </w:r>
          </w:p>
        </w:tc>
        <w:tc>
          <w:tcPr>
            <w:tcW w:w="6189" w:type="dxa"/>
          </w:tcPr>
          <w:p w14:paraId="48045612">
            <w:pPr>
              <w:pStyle w:val="12"/>
              <w:ind w:firstLine="0" w:firstLineChars="0"/>
              <w:rPr>
                <w:rFonts w:hint="eastAsia" w:ascii="仿宋_GB2312" w:eastAsia="仿宋_GB2312"/>
                <w:kern w:val="0"/>
                <w:lang w:eastAsia="zh-CN" w:bidi="en-US"/>
              </w:rPr>
            </w:pPr>
            <w:r>
              <w:rPr>
                <w:rFonts w:hint="eastAsia" w:ascii="仿宋_GB2312" w:eastAsia="仿宋_GB2312"/>
                <w:kern w:val="0"/>
                <w:lang w:eastAsia="zh-CN" w:bidi="en-US"/>
              </w:rPr>
              <w:t>对于债券是每千元面额，对于基金为份</w:t>
            </w:r>
          </w:p>
        </w:tc>
      </w:tr>
    </w:tbl>
    <w:p w14:paraId="5B106D05">
      <w:pPr>
        <w:spacing w:line="600" w:lineRule="exact"/>
        <w:ind w:firstLine="600" w:firstLineChars="200"/>
        <w:rPr>
          <w:rFonts w:ascii="仿宋_GB2312" w:eastAsia="仿宋_GB2312"/>
          <w:sz w:val="30"/>
          <w:szCs w:val="30"/>
        </w:rPr>
      </w:pPr>
      <w:r>
        <w:rPr>
          <w:rFonts w:hint="eastAsia" w:ascii="仿宋_GB2312" w:hAnsi="仿宋" w:eastAsia="仿宋_GB2312"/>
          <w:sz w:val="30"/>
          <w:szCs w:val="30"/>
        </w:rPr>
        <w:t>当日提交的询价回复当日有效，未成交询价回复由被询价方撤销的情形除外。</w:t>
      </w:r>
    </w:p>
    <w:p w14:paraId="36FF5F0D">
      <w:pPr>
        <w:numPr>
          <w:ilvl w:val="2"/>
          <w:numId w:val="4"/>
        </w:numPr>
        <w:spacing w:line="600" w:lineRule="exact"/>
        <w:ind w:left="0" w:firstLine="0"/>
        <w:outlineLvl w:val="2"/>
        <w:rPr>
          <w:rFonts w:ascii="仿宋_GB2312" w:eastAsia="仿宋_GB2312"/>
          <w:b/>
          <w:sz w:val="30"/>
          <w:szCs w:val="30"/>
        </w:rPr>
      </w:pPr>
      <w:bookmarkStart w:id="544" w:name="_Toc57908903"/>
      <w:r>
        <w:rPr>
          <w:rFonts w:hint="eastAsia" w:ascii="仿宋_GB2312" w:eastAsia="仿宋_GB2312"/>
          <w:b/>
          <w:sz w:val="30"/>
          <w:szCs w:val="30"/>
        </w:rPr>
        <w:t>成交</w:t>
      </w:r>
      <w:bookmarkEnd w:id="544"/>
    </w:p>
    <w:p w14:paraId="69744F78">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（1）成交规则</w:t>
      </w:r>
    </w:p>
    <w:p w14:paraId="2CF56160">
      <w:pPr>
        <w:spacing w:line="600" w:lineRule="exact"/>
        <w:ind w:firstLine="600" w:firstLineChars="200"/>
        <w:outlineLvl w:val="9"/>
        <w:rPr>
          <w:rFonts w:ascii="仿宋_GB2312" w:hAnsi="仿宋" w:eastAsia="仿宋_GB2312"/>
          <w:sz w:val="30"/>
          <w:szCs w:val="30"/>
        </w:rPr>
      </w:pPr>
      <w:r>
        <w:rPr>
          <w:rFonts w:hint="eastAsia" w:ascii="仿宋_GB2312" w:hAnsi="仿宋" w:eastAsia="仿宋_GB2312"/>
          <w:sz w:val="30"/>
          <w:szCs w:val="30"/>
        </w:rPr>
        <w:t>询价方收到询价回复后，依据本所规定的债券交易成交原则选择询价回复，对询价回复要素无异议的，点击确认后，相关交易按询价方确认的数量、价格、结算方式与结算周期成交。</w:t>
      </w:r>
    </w:p>
    <w:p w14:paraId="395FE288">
      <w:pPr>
        <w:spacing w:line="600" w:lineRule="exact"/>
        <w:ind w:firstLine="600" w:firstLineChars="200"/>
        <w:outlineLvl w:val="9"/>
        <w:rPr>
          <w:rFonts w:ascii="仿宋_GB2312" w:eastAsia="仿宋_GB2312"/>
          <w:sz w:val="30"/>
          <w:szCs w:val="30"/>
        </w:rPr>
      </w:pPr>
      <w:r>
        <w:rPr>
          <w:rFonts w:hint="eastAsia" w:ascii="仿宋_GB2312" w:hAnsi="仿宋" w:eastAsia="仿宋_GB2312"/>
          <w:sz w:val="30"/>
          <w:szCs w:val="30"/>
        </w:rPr>
        <w:t>询价方对多笔询价回复点击确认的，经询价方确认的询价回复均由系统确认成交。</w:t>
      </w:r>
      <w:r>
        <w:rPr>
          <w:rFonts w:hint="eastAsia" w:ascii="仿宋_GB2312" w:eastAsia="仿宋_GB2312"/>
          <w:sz w:val="30"/>
          <w:szCs w:val="30"/>
        </w:rPr>
        <w:t>如果多个询价回复方回复后，询价方对多个报价均进行确认，则累计数量可能超过原询价申报数量，这种确认均认定有效。</w:t>
      </w:r>
    </w:p>
    <w:p w14:paraId="47C964E0">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（2）询价请求与询价回复的撤销</w:t>
      </w:r>
    </w:p>
    <w:p w14:paraId="4A9D84BD">
      <w:pPr>
        <w:spacing w:line="600" w:lineRule="exact"/>
        <w:ind w:firstLine="600" w:firstLineChars="200"/>
        <w:outlineLvl w:val="9"/>
        <w:rPr>
          <w:rFonts w:ascii="仿宋_GB2312" w:hAnsi="仿宋" w:eastAsia="仿宋_GB2312"/>
          <w:sz w:val="30"/>
          <w:szCs w:val="30"/>
        </w:rPr>
      </w:pPr>
      <w:r>
        <w:rPr>
          <w:rFonts w:hint="eastAsia" w:ascii="仿宋_GB2312" w:hAnsi="仿宋" w:eastAsia="仿宋_GB2312"/>
          <w:sz w:val="30"/>
          <w:szCs w:val="30"/>
        </w:rPr>
        <w:t>询价方可以撤销未成交的询价请求，被询价方可以撤销未成交的询价回复。询价请求被撤销后，针对该询价的回复也随之自动撤销。被询价方撤销其询价回复的，不影响询价请求的效力。</w:t>
      </w:r>
    </w:p>
    <w:p w14:paraId="3F0A1F1F">
      <w:pPr>
        <w:spacing w:line="600" w:lineRule="exact"/>
        <w:ind w:firstLine="600" w:firstLineChars="200"/>
        <w:outlineLvl w:val="9"/>
        <w:rPr>
          <w:rFonts w:hint="eastAsia" w:ascii="仿宋_GB2312" w:hAnsi="仿宋" w:eastAsia="仿宋_GB2312"/>
          <w:sz w:val="30"/>
          <w:szCs w:val="30"/>
        </w:rPr>
      </w:pPr>
      <w:r>
        <w:rPr>
          <w:rFonts w:hint="eastAsia" w:ascii="仿宋_GB2312" w:hAnsi="仿宋" w:eastAsia="仿宋_GB2312"/>
          <w:sz w:val="30"/>
          <w:szCs w:val="30"/>
        </w:rPr>
        <w:t>询价请求可部分成交，未成交部分可由询价方撤销，询价方未提交撤销申报的，未成交部分当日继续有效。询价请求部分成交的，询价方未选择的询价回复当日继续有效。</w:t>
      </w:r>
    </w:p>
    <w:p w14:paraId="0E0FB989">
      <w:pPr>
        <w:spacing w:line="600" w:lineRule="exact"/>
        <w:ind w:firstLine="600" w:firstLineChars="200"/>
        <w:outlineLvl w:val="9"/>
        <w:rPr>
          <w:rFonts w:hint="eastAsia" w:ascii="仿宋_GB2312" w:hAnsi="仿宋" w:eastAsia="仿宋_GB2312"/>
          <w:sz w:val="30"/>
          <w:szCs w:val="30"/>
        </w:rPr>
      </w:pPr>
      <w:r>
        <w:rPr>
          <w:rFonts w:hint="eastAsia" w:ascii="仿宋_GB2312" w:eastAsia="仿宋_GB2312"/>
          <w:sz w:val="30"/>
          <w:szCs w:val="30"/>
          <w:lang w:eastAsia="zh-CN"/>
        </w:rPr>
        <w:t>对于同一笔询价请求，同一被询价方债券交易参与人下的交易员仅能进行一次询价回复。被询价方撤销未成交的询价回复后，发起撤销的交易参与人不能再次回复该笔询价请求。询价方拒绝询价回复的，被拒绝的交易参与人不能再次回复该笔询价请求。</w:t>
      </w:r>
    </w:p>
    <w:p w14:paraId="28060D04">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（3）成交数据发送</w:t>
      </w:r>
    </w:p>
    <w:p w14:paraId="5668937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成交后，系统</w:t>
      </w:r>
      <w:r>
        <w:rPr>
          <w:rFonts w:ascii="仿宋_GB2312" w:hAnsi="仿宋" w:eastAsia="仿宋_GB2312"/>
          <w:sz w:val="30"/>
          <w:szCs w:val="30"/>
        </w:rPr>
        <w:t>将</w:t>
      </w:r>
      <w:r>
        <w:rPr>
          <w:rFonts w:hint="eastAsia" w:ascii="仿宋_GB2312" w:hAnsi="仿宋" w:eastAsia="仿宋_GB2312"/>
          <w:sz w:val="30"/>
          <w:szCs w:val="30"/>
        </w:rPr>
        <w:t>逐笔成交数据</w:t>
      </w:r>
      <w:r>
        <w:rPr>
          <w:rFonts w:ascii="仿宋_GB2312" w:hAnsi="仿宋" w:eastAsia="仿宋_GB2312"/>
          <w:sz w:val="30"/>
          <w:szCs w:val="30"/>
        </w:rPr>
        <w:t>分别发送给交易</w:t>
      </w:r>
      <w:r>
        <w:rPr>
          <w:rFonts w:hint="eastAsia" w:ascii="仿宋_GB2312" w:hAnsi="仿宋" w:eastAsia="仿宋_GB2312"/>
          <w:sz w:val="30"/>
          <w:szCs w:val="30"/>
        </w:rPr>
        <w:t>对应的</w:t>
      </w:r>
      <w:r>
        <w:rPr>
          <w:rFonts w:ascii="仿宋_GB2312" w:hAnsi="仿宋" w:eastAsia="仿宋_GB2312"/>
          <w:sz w:val="30"/>
          <w:szCs w:val="30"/>
        </w:rPr>
        <w:t>买卖双方</w:t>
      </w:r>
      <w:r>
        <w:rPr>
          <w:rFonts w:hint="eastAsia" w:ascii="仿宋_GB2312" w:hAnsi="仿宋" w:eastAsia="仿宋_GB2312"/>
          <w:sz w:val="30"/>
          <w:szCs w:val="30"/>
        </w:rPr>
        <w:t>，债券投资者</w:t>
      </w:r>
      <w:r>
        <w:rPr>
          <w:rFonts w:ascii="仿宋_GB2312" w:hAnsi="仿宋" w:eastAsia="仿宋_GB2312"/>
          <w:sz w:val="30"/>
          <w:szCs w:val="30"/>
        </w:rPr>
        <w:t>仅能收到与自己相关的成交数据。</w:t>
      </w:r>
    </w:p>
    <w:p w14:paraId="38BE74A8">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成交信息包括成交编号，</w:t>
      </w:r>
      <w:r>
        <w:rPr>
          <w:rFonts w:hint="eastAsia" w:ascii="仿宋_GB2312" w:hAnsi="仿宋" w:eastAsia="仿宋_GB2312"/>
          <w:sz w:val="30"/>
          <w:szCs w:val="30"/>
          <w:lang w:eastAsia="zh-CN"/>
        </w:rPr>
        <w:t>订单编号</w:t>
      </w:r>
      <w:r>
        <w:rPr>
          <w:rFonts w:hint="eastAsia" w:ascii="仿宋_GB2312" w:hAnsi="仿宋" w:eastAsia="仿宋_GB2312"/>
          <w:sz w:val="30"/>
          <w:szCs w:val="30"/>
        </w:rPr>
        <w:t>，交易品种，成交账户，买卖方向，对手方，成交</w:t>
      </w:r>
      <w:r>
        <w:rPr>
          <w:rFonts w:hint="eastAsia" w:ascii="仿宋_GB2312" w:hAnsi="仿宋" w:eastAsia="仿宋_GB2312"/>
          <w:sz w:val="30"/>
          <w:szCs w:val="30"/>
          <w:lang w:eastAsia="zh-CN"/>
        </w:rPr>
        <w:t>价格</w:t>
      </w:r>
      <w:r>
        <w:rPr>
          <w:rFonts w:hint="eastAsia" w:ascii="仿宋_GB2312" w:hAnsi="仿宋" w:eastAsia="仿宋_GB2312"/>
          <w:sz w:val="30"/>
          <w:szCs w:val="30"/>
        </w:rPr>
        <w:t>，成交量，交易员，结算</w:t>
      </w:r>
      <w:r>
        <w:rPr>
          <w:rFonts w:hint="eastAsia" w:ascii="仿宋_GB2312" w:hAnsi="仿宋" w:eastAsia="仿宋_GB2312"/>
          <w:sz w:val="30"/>
          <w:szCs w:val="30"/>
          <w:lang w:eastAsia="zh-CN"/>
        </w:rPr>
        <w:t>方式</w:t>
      </w:r>
      <w:r>
        <w:rPr>
          <w:rFonts w:hint="eastAsia" w:ascii="仿宋_GB2312" w:hAnsi="仿宋" w:eastAsia="仿宋_GB2312"/>
          <w:sz w:val="30"/>
          <w:szCs w:val="30"/>
        </w:rPr>
        <w:t>等。</w:t>
      </w:r>
    </w:p>
    <w:p w14:paraId="2BA3292B">
      <w:pPr>
        <w:spacing w:line="600" w:lineRule="exact"/>
        <w:ind w:firstLine="600" w:firstLineChars="200"/>
        <w:rPr>
          <w:rFonts w:hint="eastAsia" w:ascii="Times New Roman" w:hAnsi="Times New Roman" w:eastAsia="仿宋_GB2312"/>
          <w:sz w:val="30"/>
          <w:szCs w:val="30"/>
        </w:rPr>
      </w:pPr>
      <w:r>
        <w:rPr>
          <w:rFonts w:hint="eastAsia" w:ascii="Times New Roman" w:hAnsi="Times New Roman" w:eastAsia="仿宋_GB2312"/>
          <w:sz w:val="30"/>
          <w:szCs w:val="30"/>
        </w:rPr>
        <w:t>成交数据</w:t>
      </w:r>
      <w:r>
        <w:rPr>
          <w:rFonts w:hint="eastAsia" w:ascii="Times New Roman" w:eastAsia="仿宋_GB2312"/>
          <w:color w:val="000000"/>
          <w:sz w:val="30"/>
          <w:szCs w:val="30"/>
        </w:rPr>
        <w:t>具体要素及要素说明</w:t>
      </w:r>
      <w:r>
        <w:rPr>
          <w:rFonts w:hint="eastAsia" w:ascii="Times New Roman" w:hAnsi="Times New Roman" w:eastAsia="仿宋_GB2312"/>
          <w:sz w:val="30"/>
          <w:szCs w:val="30"/>
        </w:rPr>
        <w:t>如下：</w:t>
      </w:r>
    </w:p>
    <w:tbl>
      <w:tblPr>
        <w:tblStyle w:val="43"/>
        <w:tblW w:w="87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950"/>
        <w:gridCol w:w="6149"/>
      </w:tblGrid>
      <w:tr w14:paraId="4D82D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0" w:type="dxa"/>
            <w:gridSpan w:val="2"/>
            <w:tcBorders>
              <w:top w:val="single" w:color="auto" w:sz="4" w:space="0"/>
              <w:left w:val="single" w:color="auto" w:sz="4" w:space="0"/>
              <w:bottom w:val="single" w:color="auto" w:sz="4" w:space="0"/>
              <w:right w:val="single" w:color="auto" w:sz="4" w:space="0"/>
            </w:tcBorders>
            <w:shd w:val="clear" w:color="auto" w:fill="D7D7D7"/>
            <w:vAlign w:val="top"/>
          </w:tcPr>
          <w:p w14:paraId="02B3DE38">
            <w:pPr>
              <w:pStyle w:val="12"/>
              <w:ind w:firstLine="0" w:firstLineChars="0"/>
              <w:rPr>
                <w:rFonts w:eastAsia="仿宋_GB2312"/>
                <w:b/>
                <w:bCs/>
                <w:color w:val="000000"/>
              </w:rPr>
            </w:pPr>
            <w:r>
              <w:rPr>
                <w:rFonts w:hint="eastAsia" w:ascii="仿宋_GB2312" w:eastAsia="仿宋_GB2312"/>
                <w:b/>
                <w:kern w:val="0"/>
                <w:lang w:eastAsia="en-US" w:bidi="en-US"/>
              </w:rPr>
              <w:t>要素名称</w:t>
            </w:r>
          </w:p>
        </w:tc>
        <w:tc>
          <w:tcPr>
            <w:tcW w:w="6149" w:type="dxa"/>
            <w:tcBorders>
              <w:top w:val="single" w:color="auto" w:sz="4" w:space="0"/>
              <w:left w:val="nil"/>
              <w:bottom w:val="single" w:color="auto" w:sz="4" w:space="0"/>
              <w:right w:val="single" w:color="auto" w:sz="4" w:space="0"/>
            </w:tcBorders>
            <w:shd w:val="clear" w:color="auto" w:fill="D7D7D7"/>
            <w:vAlign w:val="top"/>
          </w:tcPr>
          <w:p w14:paraId="60FA0A3B">
            <w:pPr>
              <w:pStyle w:val="12"/>
              <w:ind w:firstLine="0" w:firstLineChars="0"/>
              <w:rPr>
                <w:rFonts w:eastAsia="仿宋_GB2312"/>
                <w:b/>
                <w:bCs/>
                <w:color w:val="000000"/>
              </w:rPr>
            </w:pPr>
            <w:r>
              <w:rPr>
                <w:rFonts w:hint="eastAsia" w:ascii="仿宋_GB2312" w:eastAsia="仿宋_GB2312"/>
                <w:b/>
                <w:kern w:val="0"/>
                <w:lang w:eastAsia="en-US" w:bidi="en-US"/>
              </w:rPr>
              <w:t>要素说明</w:t>
            </w:r>
          </w:p>
        </w:tc>
      </w:tr>
      <w:tr w14:paraId="600EC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10" w:type="dxa"/>
            <w:gridSpan w:val="2"/>
            <w:tcBorders>
              <w:top w:val="single" w:color="auto" w:sz="4" w:space="0"/>
              <w:left w:val="single" w:color="auto" w:sz="4" w:space="0"/>
              <w:bottom w:val="single" w:color="auto" w:sz="4" w:space="0"/>
              <w:right w:val="single" w:color="auto" w:sz="4" w:space="0"/>
            </w:tcBorders>
            <w:vAlign w:val="center"/>
          </w:tcPr>
          <w:p w14:paraId="37F1D690">
            <w:pPr>
              <w:widowControl/>
              <w:jc w:val="left"/>
              <w:textAlignment w:val="center"/>
              <w:rPr>
                <w:rFonts w:eastAsia="仿宋_GB2312"/>
                <w:color w:val="000000"/>
                <w:kern w:val="0"/>
                <w:sz w:val="24"/>
                <w:szCs w:val="24"/>
                <w:lang w:bidi="ar"/>
              </w:rPr>
            </w:pPr>
            <w:r>
              <w:rPr>
                <w:rFonts w:hint="eastAsia" w:eastAsia="仿宋_GB2312"/>
                <w:color w:val="000000"/>
                <w:kern w:val="0"/>
                <w:sz w:val="24"/>
                <w:szCs w:val="24"/>
                <w:lang w:bidi="ar"/>
              </w:rPr>
              <w:t>成交编号</w:t>
            </w:r>
          </w:p>
        </w:tc>
        <w:tc>
          <w:tcPr>
            <w:tcW w:w="6149" w:type="dxa"/>
            <w:tcBorders>
              <w:top w:val="single" w:color="auto" w:sz="4" w:space="0"/>
              <w:left w:val="nil"/>
              <w:bottom w:val="single" w:color="auto" w:sz="4" w:space="0"/>
              <w:right w:val="single" w:color="auto" w:sz="4" w:space="0"/>
            </w:tcBorders>
          </w:tcPr>
          <w:p w14:paraId="79DAD77B">
            <w:pPr>
              <w:spacing w:before="48" w:after="48"/>
              <w:rPr>
                <w:rFonts w:eastAsia="仿宋_GB2312"/>
                <w:sz w:val="24"/>
                <w:szCs w:val="24"/>
              </w:rPr>
            </w:pPr>
            <w:r>
              <w:rPr>
                <w:rFonts w:hint="eastAsia" w:ascii="Times New Roman" w:eastAsia="仿宋_GB2312"/>
                <w:kern w:val="0"/>
                <w:sz w:val="24"/>
                <w:szCs w:val="24"/>
                <w:lang w:bidi="en-US"/>
              </w:rPr>
              <w:t>系统给成交单分配的唯一标识</w:t>
            </w:r>
          </w:p>
        </w:tc>
      </w:tr>
      <w:tr w14:paraId="04FA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10" w:type="dxa"/>
            <w:gridSpan w:val="2"/>
            <w:tcBorders>
              <w:top w:val="single" w:color="auto" w:sz="4" w:space="0"/>
              <w:left w:val="single" w:color="auto" w:sz="4" w:space="0"/>
              <w:bottom w:val="single" w:color="auto" w:sz="4" w:space="0"/>
              <w:right w:val="single" w:color="auto" w:sz="4" w:space="0"/>
            </w:tcBorders>
            <w:vAlign w:val="center"/>
          </w:tcPr>
          <w:p w14:paraId="4195F98C">
            <w:pPr>
              <w:widowControl/>
              <w:jc w:val="left"/>
              <w:textAlignment w:val="center"/>
              <w:rPr>
                <w:rFonts w:eastAsia="仿宋_GB2312"/>
                <w:sz w:val="24"/>
                <w:szCs w:val="24"/>
              </w:rPr>
            </w:pPr>
            <w:r>
              <w:rPr>
                <w:rFonts w:hint="eastAsia" w:eastAsia="仿宋_GB2312"/>
                <w:color w:val="000000"/>
                <w:kern w:val="0"/>
                <w:sz w:val="24"/>
                <w:szCs w:val="24"/>
                <w:lang w:bidi="ar"/>
              </w:rPr>
              <w:t>订单编号</w:t>
            </w:r>
          </w:p>
        </w:tc>
        <w:tc>
          <w:tcPr>
            <w:tcW w:w="6149" w:type="dxa"/>
            <w:tcBorders>
              <w:top w:val="single" w:color="auto" w:sz="4" w:space="0"/>
              <w:left w:val="nil"/>
              <w:bottom w:val="single" w:color="auto" w:sz="4" w:space="0"/>
              <w:right w:val="single" w:color="auto" w:sz="4" w:space="0"/>
            </w:tcBorders>
          </w:tcPr>
          <w:p w14:paraId="3E2A46DC">
            <w:pPr>
              <w:spacing w:before="48" w:after="48"/>
              <w:rPr>
                <w:rFonts w:eastAsia="仿宋_GB2312"/>
                <w:sz w:val="24"/>
                <w:szCs w:val="24"/>
              </w:rPr>
            </w:pPr>
            <w:r>
              <w:rPr>
                <w:rFonts w:hint="eastAsia" w:ascii="Times New Roman" w:hAnsi="Times New Roman" w:eastAsia="仿宋_GB2312"/>
                <w:sz w:val="24"/>
                <w:szCs w:val="24"/>
                <w:lang w:eastAsia="zh-CN"/>
              </w:rPr>
              <w:t>上交所为</w:t>
            </w:r>
            <w:r>
              <w:rPr>
                <w:rFonts w:hint="eastAsia" w:ascii="Times New Roman" w:hAnsi="Times New Roman" w:eastAsia="仿宋_GB2312"/>
                <w:sz w:val="24"/>
                <w:szCs w:val="24"/>
              </w:rPr>
              <w:t>申报订单编制的序号</w:t>
            </w:r>
          </w:p>
        </w:tc>
      </w:tr>
      <w:tr w14:paraId="57AB7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0" w:type="dxa"/>
            <w:gridSpan w:val="2"/>
            <w:tcBorders>
              <w:top w:val="single" w:color="auto" w:sz="4" w:space="0"/>
              <w:left w:val="single" w:color="auto" w:sz="4" w:space="0"/>
              <w:bottom w:val="single" w:color="auto" w:sz="4" w:space="0"/>
              <w:right w:val="single" w:color="auto" w:sz="4" w:space="0"/>
            </w:tcBorders>
            <w:vAlign w:val="center"/>
          </w:tcPr>
          <w:p w14:paraId="117CB5A8">
            <w:pPr>
              <w:widowControl/>
              <w:jc w:val="left"/>
              <w:textAlignment w:val="center"/>
              <w:rPr>
                <w:rFonts w:eastAsia="仿宋_GB2312"/>
                <w:sz w:val="24"/>
                <w:szCs w:val="24"/>
              </w:rPr>
            </w:pPr>
            <w:r>
              <w:rPr>
                <w:rFonts w:hint="eastAsia" w:eastAsia="仿宋_GB2312"/>
                <w:sz w:val="24"/>
                <w:szCs w:val="24"/>
              </w:rPr>
              <w:t>成交方式</w:t>
            </w:r>
          </w:p>
        </w:tc>
        <w:tc>
          <w:tcPr>
            <w:tcW w:w="6149" w:type="dxa"/>
            <w:tcBorders>
              <w:top w:val="single" w:color="auto" w:sz="4" w:space="0"/>
              <w:left w:val="nil"/>
              <w:bottom w:val="single" w:color="auto" w:sz="4" w:space="0"/>
              <w:right w:val="single" w:color="auto" w:sz="4" w:space="0"/>
            </w:tcBorders>
          </w:tcPr>
          <w:p w14:paraId="0DE9AD97">
            <w:pPr>
              <w:spacing w:before="48" w:after="48"/>
              <w:rPr>
                <w:rFonts w:hint="eastAsia" w:eastAsia="仿宋_GB2312"/>
                <w:sz w:val="24"/>
                <w:szCs w:val="24"/>
              </w:rPr>
            </w:pPr>
            <w:r>
              <w:rPr>
                <w:rFonts w:hint="eastAsia" w:eastAsia="仿宋_GB2312"/>
                <w:sz w:val="24"/>
                <w:szCs w:val="24"/>
                <w:lang w:eastAsia="zh-CN"/>
              </w:rPr>
              <w:t>询价</w:t>
            </w:r>
            <w:r>
              <w:rPr>
                <w:rFonts w:hint="eastAsia" w:ascii="Times New Roman" w:hAnsi="Times New Roman" w:eastAsia="仿宋_GB2312"/>
                <w:sz w:val="24"/>
                <w:szCs w:val="24"/>
                <w:lang w:eastAsia="zh-CN"/>
              </w:rPr>
              <w:t>成交</w:t>
            </w:r>
          </w:p>
        </w:tc>
      </w:tr>
      <w:tr w14:paraId="38451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0" w:type="dxa"/>
            <w:gridSpan w:val="2"/>
            <w:tcBorders>
              <w:top w:val="single" w:color="auto" w:sz="4" w:space="0"/>
              <w:left w:val="single" w:color="auto" w:sz="4" w:space="0"/>
              <w:bottom w:val="single" w:color="auto" w:sz="4" w:space="0"/>
              <w:right w:val="single" w:color="auto" w:sz="4" w:space="0"/>
            </w:tcBorders>
            <w:vAlign w:val="top"/>
          </w:tcPr>
          <w:p w14:paraId="6F9EF3C8">
            <w:pPr>
              <w:pStyle w:val="12"/>
              <w:ind w:firstLine="0" w:firstLineChars="0"/>
              <w:rPr>
                <w:rFonts w:hint="eastAsia" w:eastAsia="仿宋_GB2312"/>
                <w:sz w:val="24"/>
                <w:szCs w:val="24"/>
              </w:rPr>
            </w:pPr>
            <w:r>
              <w:rPr>
                <w:rFonts w:hint="eastAsia" w:ascii="仿宋_GB2312" w:eastAsia="仿宋_GB2312"/>
                <w:b w:val="0"/>
                <w:bCs/>
                <w:kern w:val="0"/>
                <w:lang w:eastAsia="en-US" w:bidi="en-US"/>
              </w:rPr>
              <w:t>结算方式</w:t>
            </w:r>
          </w:p>
        </w:tc>
        <w:tc>
          <w:tcPr>
            <w:tcW w:w="6149" w:type="dxa"/>
            <w:tcBorders>
              <w:top w:val="single" w:color="auto" w:sz="4" w:space="0"/>
              <w:left w:val="nil"/>
              <w:bottom w:val="single" w:color="auto" w:sz="4" w:space="0"/>
              <w:right w:val="single" w:color="auto" w:sz="4" w:space="0"/>
            </w:tcBorders>
            <w:vAlign w:val="top"/>
          </w:tcPr>
          <w:p w14:paraId="1F39FAE5">
            <w:pPr>
              <w:pStyle w:val="12"/>
              <w:ind w:firstLine="0" w:firstLineChars="0"/>
              <w:rPr>
                <w:rFonts w:hint="eastAsia" w:eastAsia="仿宋_GB2312"/>
                <w:sz w:val="24"/>
                <w:szCs w:val="24"/>
                <w:lang w:eastAsia="zh-CN"/>
              </w:rPr>
            </w:pPr>
            <w:r>
              <w:rPr>
                <w:rFonts w:hint="eastAsia" w:ascii="仿宋_GB2312" w:eastAsia="仿宋_GB2312"/>
                <w:kern w:val="0"/>
                <w:lang w:eastAsia="zh-CN" w:bidi="en-US"/>
              </w:rPr>
              <w:t>净额结算或</w:t>
            </w:r>
            <w:r>
              <w:rPr>
                <w:rFonts w:hint="eastAsia" w:ascii="仿宋_GB2312" w:eastAsia="仿宋_GB2312"/>
                <w:kern w:val="0"/>
                <w:lang w:val="en-US" w:eastAsia="zh-CN" w:bidi="en-US"/>
              </w:rPr>
              <w:t>RTGS结算</w:t>
            </w:r>
          </w:p>
        </w:tc>
      </w:tr>
      <w:tr w14:paraId="5C18E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0" w:type="dxa"/>
            <w:gridSpan w:val="2"/>
            <w:tcBorders>
              <w:top w:val="single" w:color="auto" w:sz="4" w:space="0"/>
              <w:left w:val="single" w:color="auto" w:sz="4" w:space="0"/>
              <w:bottom w:val="single" w:color="auto" w:sz="4" w:space="0"/>
              <w:right w:val="single" w:color="auto" w:sz="4" w:space="0"/>
            </w:tcBorders>
            <w:vAlign w:val="center"/>
          </w:tcPr>
          <w:p w14:paraId="78545F2C">
            <w:pPr>
              <w:widowControl/>
              <w:jc w:val="left"/>
              <w:textAlignment w:val="center"/>
              <w:rPr>
                <w:rFonts w:eastAsia="仿宋_GB2312"/>
                <w:color w:val="000000"/>
                <w:kern w:val="0"/>
                <w:sz w:val="24"/>
                <w:szCs w:val="24"/>
                <w:lang w:bidi="ar"/>
              </w:rPr>
            </w:pPr>
            <w:r>
              <w:rPr>
                <w:rFonts w:hint="eastAsia" w:eastAsia="仿宋_GB2312"/>
                <w:color w:val="000000"/>
                <w:kern w:val="0"/>
                <w:sz w:val="24"/>
                <w:szCs w:val="24"/>
                <w:lang w:bidi="ar"/>
              </w:rPr>
              <w:t>成交状态</w:t>
            </w:r>
          </w:p>
        </w:tc>
        <w:tc>
          <w:tcPr>
            <w:tcW w:w="6149" w:type="dxa"/>
            <w:tcBorders>
              <w:top w:val="single" w:color="auto" w:sz="4" w:space="0"/>
              <w:left w:val="nil"/>
              <w:bottom w:val="single" w:color="auto" w:sz="4" w:space="0"/>
              <w:right w:val="single" w:color="auto" w:sz="4" w:space="0"/>
            </w:tcBorders>
          </w:tcPr>
          <w:p w14:paraId="2DE757DD">
            <w:pPr>
              <w:spacing w:before="48" w:after="48"/>
              <w:rPr>
                <w:rFonts w:hint="eastAsia" w:eastAsia="仿宋_GB2312"/>
                <w:sz w:val="24"/>
                <w:szCs w:val="24"/>
              </w:rPr>
            </w:pPr>
            <w:r>
              <w:rPr>
                <w:rFonts w:hint="eastAsia" w:ascii="Times New Roman" w:hAnsi="Times New Roman" w:eastAsia="仿宋_GB2312"/>
                <w:sz w:val="24"/>
                <w:szCs w:val="24"/>
                <w:lang w:eastAsia="zh-CN"/>
              </w:rPr>
              <w:t>订单成交状态（已成交、交收成功、交收失败等）</w:t>
            </w:r>
          </w:p>
        </w:tc>
      </w:tr>
      <w:tr w14:paraId="2EDA7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60" w:type="dxa"/>
            <w:vMerge w:val="restart"/>
            <w:tcBorders>
              <w:top w:val="single" w:color="auto" w:sz="4" w:space="0"/>
              <w:left w:val="single" w:color="auto" w:sz="4" w:space="0"/>
              <w:right w:val="single" w:color="auto" w:sz="4" w:space="0"/>
            </w:tcBorders>
            <w:vAlign w:val="center"/>
          </w:tcPr>
          <w:p w14:paraId="2B507539">
            <w:pPr>
              <w:rPr>
                <w:rFonts w:eastAsia="仿宋_GB2312"/>
                <w:color w:val="000000"/>
                <w:kern w:val="0"/>
                <w:sz w:val="24"/>
                <w:szCs w:val="24"/>
                <w:lang w:bidi="ar"/>
              </w:rPr>
            </w:pPr>
            <w:r>
              <w:rPr>
                <w:rFonts w:hint="eastAsia" w:eastAsia="仿宋_GB2312"/>
                <w:sz w:val="24"/>
                <w:szCs w:val="24"/>
              </w:rPr>
              <w:t>买方</w:t>
            </w:r>
          </w:p>
        </w:tc>
        <w:tc>
          <w:tcPr>
            <w:tcW w:w="1950" w:type="dxa"/>
            <w:tcBorders>
              <w:top w:val="single" w:color="auto" w:sz="4" w:space="0"/>
              <w:left w:val="single" w:color="auto" w:sz="4" w:space="0"/>
              <w:bottom w:val="single" w:color="auto" w:sz="4" w:space="0"/>
              <w:right w:val="single" w:color="auto" w:sz="4" w:space="0"/>
            </w:tcBorders>
          </w:tcPr>
          <w:p w14:paraId="4B1EDDEC">
            <w:pPr>
              <w:spacing w:before="48" w:after="48"/>
              <w:rPr>
                <w:rFonts w:eastAsia="仿宋_GB2312"/>
                <w:sz w:val="24"/>
                <w:szCs w:val="24"/>
              </w:rPr>
            </w:pPr>
            <w:r>
              <w:rPr>
                <w:rFonts w:hint="eastAsia" w:eastAsia="仿宋_GB2312"/>
                <w:sz w:val="24"/>
                <w:szCs w:val="24"/>
              </w:rPr>
              <w:t>交易参与人</w:t>
            </w:r>
          </w:p>
        </w:tc>
        <w:tc>
          <w:tcPr>
            <w:tcW w:w="6149" w:type="dxa"/>
            <w:tcBorders>
              <w:top w:val="single" w:color="auto" w:sz="4" w:space="0"/>
              <w:left w:val="nil"/>
              <w:bottom w:val="single" w:color="auto" w:sz="4" w:space="0"/>
              <w:right w:val="single" w:color="auto" w:sz="4" w:space="0"/>
            </w:tcBorders>
          </w:tcPr>
          <w:p w14:paraId="77665DC1">
            <w:pPr>
              <w:spacing w:before="48" w:after="48"/>
              <w:rPr>
                <w:rFonts w:hint="eastAsia" w:eastAsia="仿宋_GB2312"/>
                <w:sz w:val="24"/>
                <w:szCs w:val="24"/>
              </w:rPr>
            </w:pPr>
            <w:r>
              <w:rPr>
                <w:rFonts w:hint="eastAsia" w:ascii="Times New Roman" w:hAnsi="Times New Roman" w:eastAsia="仿宋_GB2312"/>
                <w:sz w:val="24"/>
                <w:szCs w:val="24"/>
                <w:lang w:eastAsia="zh-CN"/>
              </w:rPr>
              <w:t>买方交易参与人机构简称</w:t>
            </w:r>
          </w:p>
        </w:tc>
      </w:tr>
      <w:tr w14:paraId="24B9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60" w:type="dxa"/>
            <w:vMerge w:val="continue"/>
            <w:tcBorders>
              <w:left w:val="single" w:color="auto" w:sz="4" w:space="0"/>
              <w:bottom w:val="single" w:color="auto" w:sz="4" w:space="0"/>
              <w:right w:val="single" w:color="auto" w:sz="4" w:space="0"/>
            </w:tcBorders>
            <w:vAlign w:val="center"/>
          </w:tcPr>
          <w:p w14:paraId="1EB233A8">
            <w:pPr>
              <w:spacing w:before="48" w:after="48"/>
              <w:rPr>
                <w:rFonts w:eastAsia="仿宋_GB2312"/>
                <w:color w:val="000000"/>
                <w:kern w:val="0"/>
                <w:sz w:val="24"/>
                <w:szCs w:val="24"/>
                <w:lang w:bidi="ar"/>
              </w:rPr>
            </w:pPr>
          </w:p>
        </w:tc>
        <w:tc>
          <w:tcPr>
            <w:tcW w:w="1950" w:type="dxa"/>
            <w:tcBorders>
              <w:top w:val="single" w:color="auto" w:sz="4" w:space="0"/>
              <w:left w:val="single" w:color="auto" w:sz="4" w:space="0"/>
              <w:bottom w:val="single" w:color="auto" w:sz="4" w:space="0"/>
              <w:right w:val="single" w:color="auto" w:sz="4" w:space="0"/>
            </w:tcBorders>
          </w:tcPr>
          <w:p w14:paraId="55CBE60F">
            <w:pPr>
              <w:spacing w:before="48" w:after="48"/>
              <w:rPr>
                <w:rFonts w:eastAsia="仿宋_GB2312"/>
                <w:color w:val="000000"/>
                <w:kern w:val="0"/>
                <w:sz w:val="24"/>
                <w:szCs w:val="24"/>
                <w:lang w:bidi="ar"/>
              </w:rPr>
            </w:pPr>
            <w:r>
              <w:rPr>
                <w:rFonts w:eastAsia="仿宋_GB2312"/>
                <w:sz w:val="24"/>
                <w:szCs w:val="24"/>
              </w:rPr>
              <w:t>交易员</w:t>
            </w:r>
          </w:p>
        </w:tc>
        <w:tc>
          <w:tcPr>
            <w:tcW w:w="6149" w:type="dxa"/>
            <w:tcBorders>
              <w:top w:val="single" w:color="auto" w:sz="4" w:space="0"/>
              <w:left w:val="nil"/>
              <w:bottom w:val="single" w:color="auto" w:sz="4" w:space="0"/>
              <w:right w:val="single" w:color="auto" w:sz="4" w:space="0"/>
            </w:tcBorders>
          </w:tcPr>
          <w:p w14:paraId="3FB9D721">
            <w:pPr>
              <w:spacing w:before="48" w:after="48"/>
              <w:rPr>
                <w:rFonts w:hint="eastAsia" w:eastAsia="仿宋_GB2312"/>
                <w:sz w:val="24"/>
                <w:szCs w:val="24"/>
              </w:rPr>
            </w:pPr>
            <w:r>
              <w:rPr>
                <w:rFonts w:hint="eastAsia" w:ascii="Times New Roman" w:hAnsi="Times New Roman" w:eastAsia="仿宋_GB2312"/>
                <w:sz w:val="24"/>
                <w:szCs w:val="24"/>
                <w:lang w:eastAsia="zh-CN"/>
              </w:rPr>
              <w:t>买方交易员名称</w:t>
            </w:r>
          </w:p>
        </w:tc>
      </w:tr>
      <w:tr w14:paraId="1196D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0" w:type="dxa"/>
            <w:vMerge w:val="restart"/>
            <w:tcBorders>
              <w:top w:val="single" w:color="auto" w:sz="4" w:space="0"/>
              <w:left w:val="single" w:color="auto" w:sz="4" w:space="0"/>
              <w:right w:val="single" w:color="auto" w:sz="4" w:space="0"/>
            </w:tcBorders>
            <w:vAlign w:val="center"/>
          </w:tcPr>
          <w:p w14:paraId="39C116BE">
            <w:pPr>
              <w:rPr>
                <w:rFonts w:eastAsia="仿宋_GB2312"/>
                <w:color w:val="000000"/>
                <w:kern w:val="0"/>
                <w:sz w:val="24"/>
                <w:szCs w:val="24"/>
                <w:lang w:bidi="ar"/>
              </w:rPr>
            </w:pPr>
            <w:r>
              <w:rPr>
                <w:rFonts w:hint="eastAsia" w:eastAsia="仿宋_GB2312"/>
                <w:sz w:val="24"/>
                <w:szCs w:val="24"/>
              </w:rPr>
              <w:t>卖方</w:t>
            </w:r>
          </w:p>
        </w:tc>
        <w:tc>
          <w:tcPr>
            <w:tcW w:w="1950" w:type="dxa"/>
            <w:tcBorders>
              <w:top w:val="single" w:color="auto" w:sz="4" w:space="0"/>
              <w:left w:val="single" w:color="auto" w:sz="4" w:space="0"/>
              <w:bottom w:val="single" w:color="auto" w:sz="4" w:space="0"/>
              <w:right w:val="single" w:color="auto" w:sz="4" w:space="0"/>
            </w:tcBorders>
          </w:tcPr>
          <w:p w14:paraId="1FD5DC16">
            <w:pPr>
              <w:spacing w:before="48" w:after="48"/>
              <w:rPr>
                <w:rFonts w:eastAsia="仿宋_GB2312"/>
                <w:sz w:val="24"/>
                <w:szCs w:val="24"/>
              </w:rPr>
            </w:pPr>
            <w:r>
              <w:rPr>
                <w:rFonts w:hint="eastAsia" w:eastAsia="仿宋_GB2312"/>
                <w:sz w:val="24"/>
                <w:szCs w:val="24"/>
              </w:rPr>
              <w:t>交易参与人</w:t>
            </w:r>
          </w:p>
        </w:tc>
        <w:tc>
          <w:tcPr>
            <w:tcW w:w="6149" w:type="dxa"/>
            <w:tcBorders>
              <w:top w:val="single" w:color="auto" w:sz="4" w:space="0"/>
              <w:left w:val="nil"/>
              <w:bottom w:val="single" w:color="auto" w:sz="4" w:space="0"/>
              <w:right w:val="single" w:color="auto" w:sz="4" w:space="0"/>
            </w:tcBorders>
          </w:tcPr>
          <w:p w14:paraId="354D9EEF">
            <w:pPr>
              <w:spacing w:before="48" w:after="48"/>
              <w:rPr>
                <w:rFonts w:hint="eastAsia" w:eastAsia="仿宋_GB2312"/>
                <w:sz w:val="24"/>
                <w:szCs w:val="24"/>
              </w:rPr>
            </w:pPr>
            <w:r>
              <w:rPr>
                <w:rFonts w:hint="eastAsia" w:ascii="Times New Roman" w:hAnsi="Times New Roman" w:eastAsia="仿宋_GB2312"/>
                <w:sz w:val="24"/>
                <w:szCs w:val="24"/>
                <w:lang w:eastAsia="zh-CN"/>
              </w:rPr>
              <w:t>卖方交易参与人机构简称</w:t>
            </w:r>
          </w:p>
        </w:tc>
      </w:tr>
      <w:tr w14:paraId="66C5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60" w:type="dxa"/>
            <w:vMerge w:val="continue"/>
            <w:tcBorders>
              <w:left w:val="single" w:color="auto" w:sz="4" w:space="0"/>
              <w:right w:val="single" w:color="auto" w:sz="4" w:space="0"/>
            </w:tcBorders>
          </w:tcPr>
          <w:p w14:paraId="54D458F5">
            <w:pPr>
              <w:spacing w:before="48" w:after="48"/>
              <w:rPr>
                <w:rFonts w:eastAsia="仿宋_GB2312"/>
                <w:color w:val="000000"/>
                <w:kern w:val="0"/>
                <w:sz w:val="24"/>
                <w:szCs w:val="24"/>
                <w:lang w:bidi="ar"/>
              </w:rPr>
            </w:pPr>
          </w:p>
        </w:tc>
        <w:tc>
          <w:tcPr>
            <w:tcW w:w="1950" w:type="dxa"/>
            <w:tcBorders>
              <w:top w:val="single" w:color="auto" w:sz="4" w:space="0"/>
              <w:left w:val="single" w:color="auto" w:sz="4" w:space="0"/>
              <w:bottom w:val="single" w:color="auto" w:sz="4" w:space="0"/>
              <w:right w:val="single" w:color="auto" w:sz="4" w:space="0"/>
            </w:tcBorders>
          </w:tcPr>
          <w:p w14:paraId="64233CF5">
            <w:pPr>
              <w:spacing w:before="48" w:after="48"/>
              <w:rPr>
                <w:rFonts w:eastAsia="仿宋_GB2312"/>
                <w:color w:val="000000"/>
                <w:kern w:val="0"/>
                <w:sz w:val="24"/>
                <w:szCs w:val="24"/>
                <w:lang w:bidi="ar"/>
              </w:rPr>
            </w:pPr>
            <w:r>
              <w:rPr>
                <w:rFonts w:eastAsia="仿宋_GB2312"/>
                <w:sz w:val="24"/>
                <w:szCs w:val="24"/>
              </w:rPr>
              <w:t>交易员</w:t>
            </w:r>
          </w:p>
        </w:tc>
        <w:tc>
          <w:tcPr>
            <w:tcW w:w="6149" w:type="dxa"/>
            <w:tcBorders>
              <w:top w:val="single" w:color="auto" w:sz="4" w:space="0"/>
              <w:left w:val="nil"/>
              <w:bottom w:val="single" w:color="auto" w:sz="4" w:space="0"/>
              <w:right w:val="single" w:color="auto" w:sz="4" w:space="0"/>
            </w:tcBorders>
          </w:tcPr>
          <w:p w14:paraId="34B7C891">
            <w:pPr>
              <w:spacing w:before="48" w:after="48"/>
              <w:rPr>
                <w:rFonts w:hint="eastAsia" w:eastAsia="仿宋_GB2312"/>
                <w:sz w:val="24"/>
                <w:szCs w:val="24"/>
              </w:rPr>
            </w:pPr>
            <w:r>
              <w:rPr>
                <w:rFonts w:hint="eastAsia" w:ascii="Times New Roman" w:hAnsi="Times New Roman" w:eastAsia="仿宋_GB2312"/>
                <w:sz w:val="24"/>
                <w:szCs w:val="24"/>
                <w:lang w:eastAsia="zh-CN"/>
              </w:rPr>
              <w:t>卖方交易员名称</w:t>
            </w:r>
          </w:p>
        </w:tc>
      </w:tr>
      <w:tr w14:paraId="7DE3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10" w:type="dxa"/>
            <w:gridSpan w:val="2"/>
            <w:tcBorders>
              <w:top w:val="single" w:color="auto" w:sz="4" w:space="0"/>
              <w:left w:val="single" w:color="auto" w:sz="4" w:space="0"/>
              <w:bottom w:val="single" w:color="auto" w:sz="4" w:space="0"/>
              <w:right w:val="single" w:color="auto" w:sz="4" w:space="0"/>
            </w:tcBorders>
          </w:tcPr>
          <w:p w14:paraId="2228E88F">
            <w:pPr>
              <w:spacing w:before="48" w:after="48"/>
              <w:rPr>
                <w:rFonts w:eastAsia="仿宋_GB2312"/>
                <w:sz w:val="24"/>
                <w:szCs w:val="24"/>
              </w:rPr>
            </w:pPr>
            <w:r>
              <w:rPr>
                <w:rFonts w:hint="eastAsia" w:eastAsia="仿宋_GB2312"/>
                <w:sz w:val="24"/>
                <w:szCs w:val="24"/>
              </w:rPr>
              <w:t>证券代码（简称）</w:t>
            </w:r>
          </w:p>
        </w:tc>
        <w:tc>
          <w:tcPr>
            <w:tcW w:w="6149" w:type="dxa"/>
            <w:tcBorders>
              <w:top w:val="single" w:color="auto" w:sz="4" w:space="0"/>
              <w:left w:val="nil"/>
              <w:bottom w:val="single" w:color="auto" w:sz="4" w:space="0"/>
              <w:right w:val="single" w:color="auto" w:sz="4" w:space="0"/>
            </w:tcBorders>
          </w:tcPr>
          <w:p w14:paraId="764B8117">
            <w:pPr>
              <w:spacing w:before="48" w:after="48"/>
              <w:rPr>
                <w:rFonts w:hint="eastAsia" w:eastAsia="仿宋_GB2312"/>
                <w:sz w:val="24"/>
                <w:szCs w:val="24"/>
              </w:rPr>
            </w:pPr>
            <w:r>
              <w:rPr>
                <w:rFonts w:hint="eastAsia" w:ascii="Times New Roman" w:hAnsi="Times New Roman" w:eastAsia="仿宋_GB2312"/>
                <w:sz w:val="24"/>
                <w:szCs w:val="24"/>
                <w:lang w:eastAsia="zh-CN"/>
              </w:rPr>
              <w:t>6位数证券代码（证券简称）</w:t>
            </w:r>
          </w:p>
        </w:tc>
      </w:tr>
      <w:tr w14:paraId="65CB8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2610" w:type="dxa"/>
            <w:gridSpan w:val="2"/>
            <w:tcBorders>
              <w:left w:val="single" w:color="auto" w:sz="4" w:space="0"/>
              <w:right w:val="single" w:color="auto" w:sz="4" w:space="0"/>
            </w:tcBorders>
          </w:tcPr>
          <w:p w14:paraId="710F6C63">
            <w:pPr>
              <w:spacing w:before="48" w:after="48"/>
              <w:rPr>
                <w:rFonts w:eastAsia="仿宋_GB2312"/>
                <w:sz w:val="24"/>
                <w:szCs w:val="24"/>
              </w:rPr>
            </w:pPr>
            <w:r>
              <w:rPr>
                <w:rFonts w:hint="eastAsia" w:eastAsia="仿宋_GB2312"/>
                <w:sz w:val="24"/>
                <w:szCs w:val="24"/>
              </w:rPr>
              <w:t>成交价格（元）</w:t>
            </w:r>
          </w:p>
        </w:tc>
        <w:tc>
          <w:tcPr>
            <w:tcW w:w="6149" w:type="dxa"/>
            <w:tcBorders>
              <w:top w:val="single" w:color="auto" w:sz="4" w:space="0"/>
              <w:left w:val="nil"/>
              <w:bottom w:val="single" w:color="auto" w:sz="4" w:space="0"/>
              <w:right w:val="single" w:color="auto" w:sz="4" w:space="0"/>
            </w:tcBorders>
          </w:tcPr>
          <w:p w14:paraId="45A25C99">
            <w:pPr>
              <w:spacing w:before="48" w:after="48"/>
              <w:rPr>
                <w:rFonts w:hint="eastAsia" w:eastAsia="仿宋_GB2312"/>
                <w:sz w:val="24"/>
                <w:szCs w:val="24"/>
              </w:rPr>
            </w:pPr>
            <w:r>
              <w:rPr>
                <w:rFonts w:hint="eastAsia" w:ascii="Times New Roman" w:hAnsi="Times New Roman" w:eastAsia="仿宋_GB2312"/>
                <w:sz w:val="24"/>
                <w:szCs w:val="24"/>
                <w:lang w:eastAsia="zh-CN"/>
              </w:rPr>
              <w:t>对于债券是每百元面额成交价格，对基金为每份价格</w:t>
            </w:r>
          </w:p>
        </w:tc>
      </w:tr>
      <w:tr w14:paraId="73CCC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2610" w:type="dxa"/>
            <w:gridSpan w:val="2"/>
            <w:tcBorders>
              <w:left w:val="single" w:color="auto" w:sz="4" w:space="0"/>
              <w:right w:val="single" w:color="auto" w:sz="4" w:space="0"/>
            </w:tcBorders>
          </w:tcPr>
          <w:p w14:paraId="1601ABD0">
            <w:pPr>
              <w:spacing w:before="48" w:after="48"/>
              <w:rPr>
                <w:rFonts w:eastAsia="仿宋_GB2312"/>
                <w:sz w:val="24"/>
                <w:szCs w:val="24"/>
              </w:rPr>
            </w:pPr>
            <w:r>
              <w:rPr>
                <w:rFonts w:hint="eastAsia" w:eastAsia="仿宋_GB2312"/>
                <w:sz w:val="24"/>
                <w:szCs w:val="24"/>
              </w:rPr>
              <w:t>成交数量（千元面额/份）</w:t>
            </w:r>
          </w:p>
        </w:tc>
        <w:tc>
          <w:tcPr>
            <w:tcW w:w="6149" w:type="dxa"/>
            <w:tcBorders>
              <w:top w:val="single" w:color="auto" w:sz="4" w:space="0"/>
              <w:left w:val="nil"/>
              <w:bottom w:val="single" w:color="auto" w:sz="4" w:space="0"/>
              <w:right w:val="single" w:color="auto" w:sz="4" w:space="0"/>
            </w:tcBorders>
          </w:tcPr>
          <w:p w14:paraId="4E5C691B">
            <w:pPr>
              <w:spacing w:before="48" w:after="48"/>
              <w:rPr>
                <w:rFonts w:hint="eastAsia" w:eastAsia="仿宋_GB2312"/>
                <w:sz w:val="24"/>
                <w:szCs w:val="24"/>
              </w:rPr>
            </w:pPr>
            <w:r>
              <w:rPr>
                <w:rFonts w:hint="eastAsia" w:ascii="Times New Roman" w:hAnsi="Times New Roman" w:eastAsia="仿宋_GB2312"/>
                <w:sz w:val="24"/>
                <w:szCs w:val="24"/>
                <w:lang w:eastAsia="zh-CN"/>
              </w:rPr>
              <w:t>对债券是千元面额，对于基金为份</w:t>
            </w:r>
          </w:p>
        </w:tc>
      </w:tr>
    </w:tbl>
    <w:p w14:paraId="0EEE9ABC">
      <w:pPr>
        <w:numPr>
          <w:ilvl w:val="1"/>
          <w:numId w:val="4"/>
        </w:numPr>
        <w:spacing w:line="600" w:lineRule="exact"/>
        <w:ind w:left="0" w:firstLine="0"/>
        <w:outlineLvl w:val="1"/>
        <w:rPr>
          <w:rFonts w:ascii="仿宋_GB2312" w:eastAsia="仿宋_GB2312"/>
          <w:b/>
          <w:sz w:val="30"/>
          <w:szCs w:val="30"/>
        </w:rPr>
      </w:pPr>
      <w:bookmarkStart w:id="545" w:name="_Toc1700726684"/>
      <w:bookmarkStart w:id="546" w:name="_Toc352660890"/>
      <w:bookmarkStart w:id="547" w:name="_Toc1832952074"/>
      <w:bookmarkStart w:id="548" w:name="_Toc700881974"/>
      <w:bookmarkStart w:id="549" w:name="_Toc235611025"/>
      <w:bookmarkStart w:id="550" w:name="_Toc151136904"/>
      <w:bookmarkStart w:id="551" w:name="_Toc876586831"/>
      <w:r>
        <w:rPr>
          <w:rFonts w:hint="eastAsia" w:ascii="仿宋_GB2312" w:eastAsia="仿宋_GB2312"/>
          <w:b/>
          <w:sz w:val="30"/>
          <w:szCs w:val="30"/>
        </w:rPr>
        <w:t>竞买成交</w:t>
      </w:r>
      <w:bookmarkEnd w:id="545"/>
      <w:bookmarkEnd w:id="546"/>
      <w:bookmarkEnd w:id="547"/>
      <w:bookmarkEnd w:id="548"/>
      <w:bookmarkEnd w:id="549"/>
      <w:bookmarkEnd w:id="550"/>
      <w:bookmarkEnd w:id="551"/>
    </w:p>
    <w:p w14:paraId="71CF39B1">
      <w:pPr>
        <w:numPr>
          <w:ilvl w:val="2"/>
          <w:numId w:val="4"/>
        </w:numPr>
        <w:spacing w:line="600" w:lineRule="exact"/>
        <w:ind w:left="0" w:firstLine="0"/>
        <w:outlineLvl w:val="2"/>
        <w:rPr>
          <w:rFonts w:ascii="仿宋_GB2312" w:eastAsia="仿宋_GB2312"/>
          <w:b/>
          <w:sz w:val="30"/>
          <w:szCs w:val="30"/>
        </w:rPr>
      </w:pPr>
      <w:bookmarkStart w:id="552" w:name="_Toc57908905"/>
      <w:r>
        <w:rPr>
          <w:rFonts w:hint="eastAsia" w:ascii="仿宋_GB2312" w:eastAsia="仿宋_GB2312"/>
          <w:b/>
          <w:sz w:val="30"/>
          <w:szCs w:val="30"/>
        </w:rPr>
        <w:t>定义</w:t>
      </w:r>
      <w:bookmarkEnd w:id="552"/>
    </w:p>
    <w:p w14:paraId="65D8FDD5">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竞买成交是指卖方在限定时间内按照确定的竞买成交规则，将债券出售给最优应价的单个或者多个应价方的交易方式。</w:t>
      </w:r>
    </w:p>
    <w:p w14:paraId="1163ACED">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竞买成交方式通常适用于流动性较低的债券（例如，特定债券）与资产支持证券等。</w:t>
      </w:r>
    </w:p>
    <w:p w14:paraId="5EBF0038">
      <w:pPr>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债券交易参与人可通过</w:t>
      </w:r>
      <w:r>
        <w:rPr>
          <w:rFonts w:hint="eastAsia" w:ascii="仿宋_GB2312" w:hAnsi="仿宋" w:eastAsia="仿宋_GB2312"/>
          <w:sz w:val="30"/>
          <w:szCs w:val="30"/>
          <w:lang w:eastAsia="zh-CN"/>
        </w:rPr>
        <w:t>一债通</w:t>
      </w:r>
      <w:r>
        <w:rPr>
          <w:rFonts w:hint="eastAsia" w:ascii="仿宋_GB2312" w:eastAsia="仿宋_GB2312"/>
          <w:color w:val="000000"/>
          <w:sz w:val="30"/>
          <w:szCs w:val="30"/>
        </w:rPr>
        <w:t>接入本所系统，并提交竞买信息、竞买发起申报与应价申报。</w:t>
      </w:r>
    </w:p>
    <w:p w14:paraId="79B26770">
      <w:pPr>
        <w:numPr>
          <w:ilvl w:val="2"/>
          <w:numId w:val="4"/>
        </w:numPr>
        <w:spacing w:line="600" w:lineRule="exact"/>
        <w:ind w:left="0" w:firstLine="0"/>
        <w:outlineLvl w:val="2"/>
        <w:rPr>
          <w:rFonts w:ascii="仿宋_GB2312" w:eastAsia="仿宋_GB2312"/>
          <w:b/>
          <w:sz w:val="30"/>
          <w:szCs w:val="30"/>
        </w:rPr>
      </w:pPr>
      <w:bookmarkStart w:id="553" w:name="_Toc57908906"/>
      <w:r>
        <w:rPr>
          <w:rFonts w:hint="eastAsia" w:ascii="仿宋_GB2312" w:eastAsia="仿宋_GB2312"/>
          <w:b/>
          <w:sz w:val="30"/>
          <w:szCs w:val="30"/>
        </w:rPr>
        <w:t>选定竞买方式、确定价格区间</w:t>
      </w:r>
      <w:bookmarkEnd w:id="553"/>
    </w:p>
    <w:p w14:paraId="1E615FB9">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（1）竞买方式选择</w:t>
      </w:r>
    </w:p>
    <w:p w14:paraId="0F4B7C70">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债券投资者采用竞买成交方式的，可选择单一主体中标方式或多主体中标方式，其中多主体中标方式暂缓实施。</w:t>
      </w:r>
    </w:p>
    <w:p w14:paraId="616DA865">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（2）确定价格区间/竞买底价</w:t>
      </w:r>
    </w:p>
    <w:p w14:paraId="20A9EC48">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选定竞买方式后，卖方还需根据债券的市场行情确定价格区间/竞买底价。卖方应充分参考债券的市场估值、市场成交价以及市场报价等信息，合理确定竞买价格区间。</w:t>
      </w:r>
    </w:p>
    <w:p w14:paraId="4BF37359">
      <w:pPr>
        <w:numPr>
          <w:ilvl w:val="2"/>
          <w:numId w:val="4"/>
        </w:numPr>
        <w:spacing w:line="600" w:lineRule="exact"/>
        <w:ind w:left="0" w:firstLine="0"/>
        <w:outlineLvl w:val="2"/>
        <w:rPr>
          <w:rFonts w:ascii="仿宋_GB2312" w:eastAsia="仿宋_GB2312"/>
          <w:b/>
          <w:sz w:val="30"/>
          <w:szCs w:val="30"/>
        </w:rPr>
      </w:pPr>
      <w:bookmarkStart w:id="554" w:name="_Toc57908907"/>
      <w:r>
        <w:rPr>
          <w:rFonts w:hint="eastAsia" w:ascii="仿宋_GB2312" w:eastAsia="仿宋_GB2312"/>
          <w:b/>
          <w:sz w:val="30"/>
          <w:szCs w:val="30"/>
        </w:rPr>
        <w:t>竞买预约</w:t>
      </w:r>
      <w:bookmarkEnd w:id="554"/>
    </w:p>
    <w:p w14:paraId="19363F7A">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竞买日前，卖方应当提前1至5个交易日通过</w:t>
      </w:r>
      <w:r>
        <w:rPr>
          <w:rFonts w:hint="eastAsia" w:ascii="仿宋_GB2312" w:hAnsi="仿宋" w:eastAsia="仿宋_GB2312"/>
          <w:sz w:val="30"/>
          <w:szCs w:val="30"/>
          <w:lang w:eastAsia="zh-CN"/>
        </w:rPr>
        <w:t>新固定收益系统</w:t>
      </w:r>
      <w:r>
        <w:rPr>
          <w:rFonts w:hint="eastAsia" w:ascii="仿宋_GB2312" w:hAnsi="仿宋" w:eastAsia="仿宋_GB2312"/>
          <w:sz w:val="30"/>
          <w:szCs w:val="30"/>
        </w:rPr>
        <w:t>向本所提前预约竞买，确定竞买日，并通过本所向市场发布竞买信息，方可在竞买日当天提交竞买发起申报。</w:t>
      </w:r>
    </w:p>
    <w:p w14:paraId="25EEDDBC">
      <w:pPr>
        <w:numPr>
          <w:ilvl w:val="255"/>
          <w:numId w:val="0"/>
        </w:numPr>
        <w:spacing w:line="600" w:lineRule="exact"/>
        <w:ind w:firstLine="600" w:firstLineChars="200"/>
        <w:outlineLvl w:val="3"/>
        <w:rPr>
          <w:rFonts w:ascii="仿宋_GB2312" w:eastAsia="仿宋_GB2312"/>
          <w:sz w:val="30"/>
          <w:szCs w:val="30"/>
        </w:rPr>
      </w:pPr>
      <w:r>
        <w:rPr>
          <w:rFonts w:hint="eastAsia" w:ascii="仿宋_GB2312" w:eastAsia="仿宋_GB2312"/>
          <w:sz w:val="30"/>
          <w:szCs w:val="30"/>
        </w:rPr>
        <w:t>（1）竞买预约提交</w:t>
      </w:r>
    </w:p>
    <w:p w14:paraId="1898E4C8">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卖方应提前向本所提交以下信息以完成竞买预约：</w:t>
      </w:r>
      <w:r>
        <w:rPr>
          <w:rFonts w:hint="eastAsia" w:ascii="仿宋_GB2312" w:hAnsi="仿宋" w:eastAsia="仿宋_GB2312"/>
          <w:sz w:val="30"/>
          <w:szCs w:val="30"/>
          <w:lang w:eastAsia="zh-CN"/>
        </w:rPr>
        <w:t>证券代码和简称，卖方信息，</w:t>
      </w:r>
      <w:r>
        <w:rPr>
          <w:rFonts w:hint="eastAsia" w:ascii="仿宋_GB2312" w:hAnsi="仿宋" w:eastAsia="仿宋_GB2312"/>
          <w:sz w:val="30"/>
          <w:szCs w:val="30"/>
        </w:rPr>
        <w:t>价格区间（底价）</w:t>
      </w:r>
      <w:r>
        <w:rPr>
          <w:rFonts w:hint="eastAsia" w:ascii="仿宋_GB2312" w:hAnsi="仿宋" w:eastAsia="仿宋_GB2312"/>
          <w:sz w:val="30"/>
          <w:szCs w:val="30"/>
          <w:lang w:eastAsia="zh-CN"/>
        </w:rPr>
        <w:t>，竞买</w:t>
      </w:r>
      <w:r>
        <w:rPr>
          <w:rFonts w:hint="eastAsia" w:ascii="仿宋_GB2312" w:hAnsi="仿宋" w:eastAsia="仿宋_GB2312"/>
          <w:sz w:val="30"/>
          <w:szCs w:val="30"/>
        </w:rPr>
        <w:t>数量</w:t>
      </w:r>
      <w:r>
        <w:rPr>
          <w:rFonts w:ascii="仿宋_GB2312" w:hAnsi="仿宋" w:eastAsia="仿宋_GB2312"/>
          <w:sz w:val="30"/>
          <w:szCs w:val="30"/>
        </w:rPr>
        <w:t>、方式</w:t>
      </w:r>
      <w:r>
        <w:rPr>
          <w:rFonts w:hint="eastAsia" w:ascii="仿宋_GB2312" w:hAnsi="仿宋" w:eastAsia="仿宋_GB2312"/>
          <w:sz w:val="30"/>
          <w:szCs w:val="30"/>
          <w:lang w:eastAsia="zh-CN"/>
        </w:rPr>
        <w:t>和申报日期，</w:t>
      </w:r>
      <w:r>
        <w:rPr>
          <w:rFonts w:hint="eastAsia" w:ascii="仿宋_GB2312" w:hAnsi="仿宋" w:eastAsia="仿宋_GB2312"/>
          <w:sz w:val="30"/>
          <w:szCs w:val="30"/>
        </w:rPr>
        <w:t>是否匿名等。</w:t>
      </w:r>
      <w:r>
        <w:rPr>
          <w:rFonts w:hint="eastAsia" w:ascii="仿宋_GB2312" w:eastAsia="仿宋_GB2312"/>
          <w:sz w:val="30"/>
          <w:szCs w:val="30"/>
        </w:rPr>
        <w:t>竞买预约具体要素及要素说明如下</w:t>
      </w:r>
      <w:r>
        <w:rPr>
          <w:rFonts w:hint="eastAsia" w:ascii="仿宋_GB2312" w:hAnsi="仿宋" w:eastAsia="仿宋_GB2312"/>
          <w:sz w:val="30"/>
          <w:szCs w:val="30"/>
        </w:rPr>
        <w:t>：</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5"/>
        <w:gridCol w:w="5609"/>
      </w:tblGrid>
      <w:tr w14:paraId="59848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5" w:type="dxa"/>
          </w:tcPr>
          <w:p w14:paraId="77616146">
            <w:pPr>
              <w:pStyle w:val="12"/>
              <w:ind w:firstLine="0" w:firstLineChars="0"/>
              <w:jc w:val="left"/>
              <w:rPr>
                <w:rFonts w:ascii="宋体" w:hAnsi="宋体"/>
                <w:b/>
                <w:color w:val="000000"/>
                <w:kern w:val="0"/>
                <w:lang w:eastAsia="en-US" w:bidi="en-US"/>
              </w:rPr>
            </w:pPr>
            <w:r>
              <w:rPr>
                <w:rFonts w:hint="eastAsia" w:ascii="仿宋_GB2312" w:eastAsia="仿宋_GB2312"/>
                <w:b/>
                <w:kern w:val="0"/>
                <w:lang w:eastAsia="en-US" w:bidi="en-US"/>
              </w:rPr>
              <w:t>要素名称</w:t>
            </w:r>
          </w:p>
        </w:tc>
        <w:tc>
          <w:tcPr>
            <w:tcW w:w="5609" w:type="dxa"/>
          </w:tcPr>
          <w:p w14:paraId="21F95F4C">
            <w:pPr>
              <w:pStyle w:val="12"/>
              <w:ind w:firstLine="0" w:firstLineChars="0"/>
              <w:jc w:val="left"/>
              <w:rPr>
                <w:rFonts w:ascii="宋体" w:hAnsi="宋体"/>
                <w:b/>
                <w:color w:val="000000"/>
                <w:kern w:val="0"/>
                <w:lang w:eastAsia="en-US" w:bidi="en-US"/>
              </w:rPr>
            </w:pPr>
            <w:r>
              <w:rPr>
                <w:rFonts w:hint="eastAsia" w:ascii="仿宋_GB2312" w:eastAsia="仿宋_GB2312"/>
                <w:b/>
                <w:kern w:val="0"/>
                <w:lang w:eastAsia="en-US" w:bidi="en-US"/>
              </w:rPr>
              <w:t>要素说明</w:t>
            </w:r>
          </w:p>
        </w:tc>
      </w:tr>
      <w:tr w14:paraId="77C8D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5" w:type="dxa"/>
          </w:tcPr>
          <w:p w14:paraId="73456EC9">
            <w:pPr>
              <w:pStyle w:val="12"/>
              <w:ind w:firstLine="0" w:firstLineChars="0"/>
              <w:rPr>
                <w:rFonts w:hint="eastAsia" w:ascii="仿宋_GB2312" w:hAnsi="宋体" w:eastAsia="仿宋_GB2312"/>
                <w:b/>
                <w:color w:val="000000"/>
                <w:kern w:val="0"/>
                <w:lang w:eastAsia="zh-CN" w:bidi="en-US"/>
              </w:rPr>
            </w:pPr>
            <w:r>
              <w:rPr>
                <w:rFonts w:hint="eastAsia" w:ascii="仿宋_GB2312" w:hAnsi="宋体" w:eastAsia="仿宋_GB2312"/>
                <w:b/>
                <w:color w:val="000000"/>
                <w:kern w:val="0"/>
                <w:lang w:eastAsia="zh-CN" w:bidi="en-US"/>
              </w:rPr>
              <w:t>订单类型</w:t>
            </w:r>
          </w:p>
        </w:tc>
        <w:tc>
          <w:tcPr>
            <w:tcW w:w="5609" w:type="dxa"/>
          </w:tcPr>
          <w:p w14:paraId="02DBA28F">
            <w:pPr>
              <w:pStyle w:val="12"/>
              <w:ind w:firstLine="0" w:firstLineChars="0"/>
              <w:rPr>
                <w:rFonts w:hint="eastAsia" w:ascii="仿宋_GB2312" w:hAnsi="宋体" w:eastAsia="仿宋_GB2312"/>
                <w:color w:val="000000"/>
                <w:kern w:val="0"/>
                <w:lang w:eastAsia="zh-CN" w:bidi="en-US"/>
              </w:rPr>
            </w:pPr>
            <w:r>
              <w:rPr>
                <w:rFonts w:hint="eastAsia" w:ascii="仿宋_GB2312" w:hAnsi="宋体" w:eastAsia="仿宋_GB2312"/>
                <w:color w:val="000000"/>
                <w:kern w:val="0"/>
                <w:lang w:eastAsia="zh-CN" w:bidi="en-US"/>
              </w:rPr>
              <w:t>竞买预约，自动带出</w:t>
            </w:r>
          </w:p>
        </w:tc>
      </w:tr>
      <w:tr w14:paraId="6810E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5" w:type="dxa"/>
          </w:tcPr>
          <w:p w14:paraId="3D69D5C0">
            <w:pPr>
              <w:pStyle w:val="12"/>
              <w:ind w:firstLine="0" w:firstLineChars="0"/>
              <w:rPr>
                <w:rFonts w:hint="eastAsia" w:ascii="仿宋_GB2312" w:hAnsi="宋体" w:eastAsia="仿宋_GB2312"/>
                <w:b/>
                <w:color w:val="000000"/>
                <w:kern w:val="0"/>
                <w:lang w:eastAsia="zh-CN" w:bidi="en-US"/>
              </w:rPr>
            </w:pPr>
            <w:r>
              <w:rPr>
                <w:rFonts w:hint="eastAsia" w:ascii="仿宋_GB2312" w:hAnsi="宋体" w:eastAsia="仿宋_GB2312"/>
                <w:b/>
                <w:color w:val="000000"/>
                <w:kern w:val="0"/>
                <w:lang w:eastAsia="zh-CN" w:bidi="en-US"/>
              </w:rPr>
              <w:t>本方</w:t>
            </w:r>
          </w:p>
        </w:tc>
        <w:tc>
          <w:tcPr>
            <w:tcW w:w="5609" w:type="dxa"/>
          </w:tcPr>
          <w:p w14:paraId="67CBD13A">
            <w:pPr>
              <w:pStyle w:val="12"/>
              <w:ind w:firstLine="0" w:firstLineChars="0"/>
              <w:rPr>
                <w:rFonts w:hint="eastAsia" w:ascii="仿宋_GB2312" w:hAnsi="宋体" w:eastAsia="仿宋_GB2312"/>
                <w:color w:val="000000"/>
                <w:kern w:val="0"/>
                <w:lang w:eastAsia="zh-CN" w:bidi="en-US"/>
              </w:rPr>
            </w:pPr>
            <w:r>
              <w:rPr>
                <w:rFonts w:hint="eastAsia" w:ascii="仿宋_GB2312" w:hAnsi="宋体" w:eastAsia="仿宋_GB2312"/>
                <w:color w:val="000000"/>
                <w:kern w:val="0"/>
                <w:lang w:eastAsia="zh-CN" w:bidi="en-US"/>
              </w:rPr>
              <w:t>本方债券交易参与人简称，自动带出</w:t>
            </w:r>
          </w:p>
        </w:tc>
      </w:tr>
      <w:tr w14:paraId="1EEBE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05" w:type="dxa"/>
          </w:tcPr>
          <w:p w14:paraId="03843EB3">
            <w:pPr>
              <w:pStyle w:val="12"/>
              <w:ind w:firstLine="0" w:firstLineChars="0"/>
              <w:rPr>
                <w:rFonts w:hint="eastAsia" w:ascii="仿宋_GB2312" w:hAnsi="宋体" w:eastAsia="仿宋_GB2312"/>
                <w:b/>
                <w:color w:val="000000"/>
                <w:kern w:val="0"/>
                <w:lang w:eastAsia="zh-CN" w:bidi="en-US"/>
              </w:rPr>
            </w:pPr>
            <w:r>
              <w:rPr>
                <w:rFonts w:hint="eastAsia" w:ascii="仿宋_GB2312" w:hAnsi="宋体" w:eastAsia="仿宋_GB2312"/>
                <w:b/>
                <w:color w:val="000000"/>
                <w:kern w:val="0"/>
                <w:lang w:eastAsia="zh-CN" w:bidi="en-US"/>
              </w:rPr>
              <w:t>本方一债通账户</w:t>
            </w:r>
          </w:p>
        </w:tc>
        <w:tc>
          <w:tcPr>
            <w:tcW w:w="5609" w:type="dxa"/>
          </w:tcPr>
          <w:p w14:paraId="6460BBD4">
            <w:pPr>
              <w:pStyle w:val="12"/>
              <w:ind w:firstLine="0" w:firstLineChars="0"/>
              <w:rPr>
                <w:rFonts w:hint="eastAsia" w:ascii="仿宋_GB2312" w:hAnsi="宋体" w:eastAsia="仿宋_GB2312"/>
                <w:color w:val="000000"/>
                <w:kern w:val="0"/>
                <w:lang w:eastAsia="zh-CN" w:bidi="en-US"/>
              </w:rPr>
            </w:pPr>
            <w:r>
              <w:rPr>
                <w:rFonts w:hint="eastAsia" w:ascii="仿宋_GB2312" w:hAnsi="宋体" w:eastAsia="仿宋_GB2312"/>
                <w:color w:val="000000"/>
                <w:kern w:val="0"/>
                <w:lang w:eastAsia="zh-CN" w:bidi="en-US"/>
              </w:rPr>
              <w:t>本方</w:t>
            </w:r>
            <w:r>
              <w:rPr>
                <w:rFonts w:hint="eastAsia" w:ascii="仿宋_GB2312" w:eastAsia="仿宋_GB2312"/>
                <w:kern w:val="0"/>
                <w:lang w:eastAsia="zh-CN" w:bidi="en-US"/>
              </w:rPr>
              <w:t>交易员一债通账户号码，自动带出</w:t>
            </w:r>
          </w:p>
        </w:tc>
      </w:tr>
      <w:tr w14:paraId="7C1D0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5" w:type="dxa"/>
          </w:tcPr>
          <w:p w14:paraId="5AA949E3">
            <w:pPr>
              <w:pStyle w:val="12"/>
              <w:ind w:firstLine="0" w:firstLineChars="0"/>
              <w:rPr>
                <w:rFonts w:hint="eastAsia" w:ascii="仿宋_GB2312" w:hAnsi="宋体" w:eastAsia="仿宋_GB2312"/>
                <w:b/>
                <w:color w:val="000000"/>
                <w:kern w:val="0"/>
                <w:lang w:eastAsia="zh-CN" w:bidi="en-US"/>
              </w:rPr>
            </w:pPr>
            <w:r>
              <w:rPr>
                <w:rFonts w:hint="eastAsia" w:ascii="仿宋_GB2312" w:hAnsi="宋体" w:eastAsia="仿宋_GB2312"/>
                <w:b/>
                <w:color w:val="000000"/>
                <w:kern w:val="0"/>
                <w:lang w:eastAsia="zh-CN" w:bidi="en-US"/>
              </w:rPr>
              <w:t>本方交易员</w:t>
            </w:r>
          </w:p>
        </w:tc>
        <w:tc>
          <w:tcPr>
            <w:tcW w:w="5609" w:type="dxa"/>
          </w:tcPr>
          <w:p w14:paraId="42E7FDC1">
            <w:pPr>
              <w:pStyle w:val="12"/>
              <w:ind w:firstLine="0" w:firstLineChars="0"/>
              <w:rPr>
                <w:rFonts w:hint="eastAsia" w:ascii="仿宋_GB2312" w:hAnsi="宋体" w:eastAsia="仿宋_GB2312"/>
                <w:color w:val="000000"/>
                <w:kern w:val="0"/>
                <w:lang w:eastAsia="zh-CN" w:bidi="en-US"/>
              </w:rPr>
            </w:pPr>
            <w:r>
              <w:rPr>
                <w:rFonts w:hint="eastAsia" w:ascii="仿宋_GB2312" w:hAnsi="宋体" w:eastAsia="仿宋_GB2312"/>
                <w:color w:val="000000"/>
                <w:kern w:val="0"/>
                <w:lang w:eastAsia="zh-CN" w:bidi="en-US"/>
              </w:rPr>
              <w:t>本方交易员名称，自动带出</w:t>
            </w:r>
          </w:p>
        </w:tc>
      </w:tr>
      <w:tr w14:paraId="3052A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5" w:type="dxa"/>
          </w:tcPr>
          <w:p w14:paraId="78587AD4">
            <w:pPr>
              <w:pStyle w:val="12"/>
              <w:ind w:firstLine="0" w:firstLineChars="0"/>
              <w:rPr>
                <w:rFonts w:hint="eastAsia" w:ascii="仿宋_GB2312" w:hAnsi="宋体" w:eastAsia="仿宋_GB2312"/>
                <w:b/>
                <w:color w:val="000000"/>
                <w:kern w:val="0"/>
                <w:lang w:eastAsia="zh-CN" w:bidi="en-US"/>
              </w:rPr>
            </w:pPr>
            <w:r>
              <w:rPr>
                <w:rFonts w:hint="eastAsia" w:ascii="仿宋_GB2312" w:hAnsi="宋体" w:eastAsia="仿宋_GB2312"/>
                <w:b/>
                <w:color w:val="000000"/>
                <w:kern w:val="0"/>
                <w:lang w:eastAsia="zh-CN" w:bidi="en-US"/>
              </w:rPr>
              <w:t>证券账户</w:t>
            </w:r>
          </w:p>
        </w:tc>
        <w:tc>
          <w:tcPr>
            <w:tcW w:w="5609" w:type="dxa"/>
          </w:tcPr>
          <w:p w14:paraId="113E339A">
            <w:pPr>
              <w:pStyle w:val="12"/>
              <w:ind w:firstLine="0" w:firstLineChars="0"/>
              <w:rPr>
                <w:rFonts w:hint="eastAsia" w:ascii="仿宋_GB2312" w:hAnsi="宋体" w:eastAsia="仿宋_GB2312"/>
                <w:color w:val="000000"/>
                <w:kern w:val="0"/>
                <w:lang w:bidi="en-US"/>
              </w:rPr>
            </w:pPr>
            <w:r>
              <w:rPr>
                <w:rFonts w:hint="eastAsia" w:ascii="仿宋_GB2312" w:eastAsia="仿宋_GB2312"/>
                <w:kern w:val="0"/>
                <w:lang w:eastAsia="zh-CN" w:bidi="en-US"/>
              </w:rPr>
              <w:t>本方债券</w:t>
            </w:r>
            <w:r>
              <w:rPr>
                <w:rFonts w:hint="eastAsia" w:ascii="仿宋_GB2312" w:eastAsia="仿宋_GB2312"/>
                <w:kern w:val="0"/>
                <w:lang w:bidi="en-US"/>
              </w:rPr>
              <w:t>交易参与人的证券账户号码</w:t>
            </w:r>
          </w:p>
        </w:tc>
      </w:tr>
      <w:tr w14:paraId="01122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5" w:type="dxa"/>
          </w:tcPr>
          <w:p w14:paraId="03637C40">
            <w:pPr>
              <w:pStyle w:val="12"/>
              <w:ind w:firstLine="0" w:firstLineChars="0"/>
              <w:rPr>
                <w:rFonts w:hint="eastAsia" w:ascii="仿宋_GB2312" w:hAnsi="宋体" w:eastAsia="仿宋_GB2312"/>
                <w:b/>
                <w:color w:val="000000"/>
                <w:kern w:val="0"/>
                <w:lang w:eastAsia="zh-CN" w:bidi="en-US"/>
              </w:rPr>
            </w:pPr>
            <w:r>
              <w:rPr>
                <w:rFonts w:hint="eastAsia" w:ascii="仿宋_GB2312" w:hAnsi="宋体" w:eastAsia="仿宋_GB2312"/>
                <w:b/>
                <w:color w:val="000000"/>
                <w:kern w:val="0"/>
                <w:lang w:eastAsia="zh-CN" w:bidi="en-US"/>
              </w:rPr>
              <w:t>交易单元</w:t>
            </w:r>
          </w:p>
        </w:tc>
        <w:tc>
          <w:tcPr>
            <w:tcW w:w="5609" w:type="dxa"/>
          </w:tcPr>
          <w:p w14:paraId="6BAB7675">
            <w:pPr>
              <w:pStyle w:val="12"/>
              <w:ind w:firstLine="0" w:firstLineChars="0"/>
              <w:rPr>
                <w:rFonts w:hint="eastAsia" w:ascii="仿宋_GB2312" w:hAnsi="宋体" w:eastAsia="仿宋_GB2312"/>
                <w:color w:val="000000"/>
                <w:kern w:val="0"/>
                <w:lang w:eastAsia="zh-CN" w:bidi="en-US"/>
              </w:rPr>
            </w:pPr>
            <w:r>
              <w:rPr>
                <w:rFonts w:hint="eastAsia" w:ascii="仿宋_GB2312" w:eastAsia="仿宋_GB2312"/>
                <w:kern w:val="0"/>
                <w:lang w:bidi="en-US"/>
              </w:rPr>
              <w:t>交易参与人的交易单元号码</w:t>
            </w:r>
            <w:r>
              <w:rPr>
                <w:rFonts w:hint="eastAsia" w:ascii="仿宋_GB2312" w:hAnsi="宋体" w:eastAsia="仿宋_GB2312"/>
                <w:kern w:val="0"/>
                <w:lang w:bidi="en-US"/>
              </w:rPr>
              <w:t>，</w:t>
            </w:r>
            <w:r>
              <w:rPr>
                <w:rFonts w:hint="eastAsia" w:ascii="仿宋_GB2312" w:hAnsi="宋体" w:eastAsia="仿宋_GB2312"/>
                <w:kern w:val="0"/>
                <w:lang w:eastAsia="zh-CN" w:bidi="en-US"/>
              </w:rPr>
              <w:t>根据证券账户号</w:t>
            </w:r>
            <w:r>
              <w:rPr>
                <w:rFonts w:hint="eastAsia" w:ascii="仿宋_GB2312" w:eastAsia="仿宋_GB2312"/>
                <w:kern w:val="0"/>
                <w:lang w:bidi="en-US"/>
              </w:rPr>
              <w:t>自动</w:t>
            </w:r>
            <w:r>
              <w:rPr>
                <w:rFonts w:hint="eastAsia" w:ascii="仿宋_GB2312" w:eastAsia="仿宋_GB2312"/>
                <w:kern w:val="0"/>
                <w:lang w:eastAsia="zh-CN" w:bidi="en-US"/>
              </w:rPr>
              <w:t>带出</w:t>
            </w:r>
          </w:p>
        </w:tc>
      </w:tr>
      <w:tr w14:paraId="268D6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05" w:type="dxa"/>
          </w:tcPr>
          <w:p w14:paraId="639EE8C6">
            <w:pPr>
              <w:pStyle w:val="12"/>
              <w:ind w:firstLine="0" w:firstLineChars="0"/>
              <w:rPr>
                <w:rFonts w:hint="eastAsia" w:ascii="仿宋_GB2312" w:hAnsi="宋体" w:eastAsia="仿宋_GB2312"/>
                <w:b/>
                <w:color w:val="000000"/>
                <w:kern w:val="0"/>
                <w:lang w:eastAsia="zh-CN" w:bidi="en-US"/>
              </w:rPr>
            </w:pPr>
            <w:r>
              <w:rPr>
                <w:rFonts w:hint="eastAsia" w:ascii="仿宋_GB2312" w:hAnsi="宋体" w:eastAsia="仿宋_GB2312"/>
                <w:b/>
                <w:color w:val="000000"/>
                <w:kern w:val="0"/>
                <w:lang w:eastAsia="zh-CN" w:bidi="en-US"/>
              </w:rPr>
              <w:t>账户名称</w:t>
            </w:r>
          </w:p>
        </w:tc>
        <w:tc>
          <w:tcPr>
            <w:tcW w:w="5609" w:type="dxa"/>
          </w:tcPr>
          <w:p w14:paraId="1284EC05">
            <w:pPr>
              <w:pStyle w:val="12"/>
              <w:ind w:firstLine="0" w:firstLineChars="0"/>
              <w:rPr>
                <w:rFonts w:hint="eastAsia" w:ascii="仿宋_GB2312" w:hAnsi="宋体" w:eastAsia="仿宋_GB2312"/>
                <w:color w:val="000000"/>
                <w:kern w:val="0"/>
                <w:lang w:bidi="en-US"/>
              </w:rPr>
            </w:pPr>
            <w:r>
              <w:rPr>
                <w:rFonts w:hint="eastAsia" w:ascii="仿宋_GB2312" w:eastAsia="仿宋_GB2312"/>
                <w:kern w:val="0"/>
                <w:lang w:eastAsia="zh-CN" w:bidi="en-US"/>
              </w:rPr>
              <w:t>本方</w:t>
            </w:r>
            <w:r>
              <w:rPr>
                <w:rFonts w:hint="eastAsia" w:ascii="仿宋_GB2312" w:eastAsia="仿宋_GB2312"/>
                <w:kern w:val="0"/>
                <w:lang w:bidi="en-US"/>
              </w:rPr>
              <w:t>证券账户</w:t>
            </w:r>
            <w:r>
              <w:rPr>
                <w:rFonts w:hint="eastAsia" w:ascii="仿宋_GB2312" w:eastAsia="仿宋_GB2312"/>
                <w:kern w:val="0"/>
                <w:lang w:eastAsia="zh-CN" w:bidi="en-US"/>
              </w:rPr>
              <w:t>名称，根据账户号码自动带出</w:t>
            </w:r>
          </w:p>
        </w:tc>
      </w:tr>
      <w:tr w14:paraId="0BBE7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5" w:type="dxa"/>
          </w:tcPr>
          <w:p w14:paraId="12A0DD98">
            <w:pPr>
              <w:pStyle w:val="12"/>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en-US" w:bidi="en-US"/>
              </w:rPr>
              <w:t>竞买方式</w:t>
            </w:r>
          </w:p>
        </w:tc>
        <w:tc>
          <w:tcPr>
            <w:tcW w:w="5609" w:type="dxa"/>
          </w:tcPr>
          <w:p w14:paraId="2F17CA51">
            <w:pPr>
              <w:pStyle w:val="12"/>
              <w:ind w:firstLine="0" w:firstLineChars="0"/>
              <w:rPr>
                <w:rFonts w:hint="eastAsia" w:ascii="仿宋_GB2312" w:hAnsi="宋体" w:eastAsia="仿宋_GB2312"/>
                <w:kern w:val="0"/>
                <w:lang w:eastAsia="zh-CN" w:bidi="en-US"/>
              </w:rPr>
            </w:pPr>
            <w:r>
              <w:rPr>
                <w:rFonts w:hint="eastAsia" w:ascii="仿宋_GB2312" w:hAnsi="宋体" w:eastAsia="仿宋_GB2312"/>
                <w:color w:val="000000"/>
                <w:kern w:val="0"/>
                <w:lang w:bidi="en-US"/>
              </w:rPr>
              <w:t>单一主体中标</w:t>
            </w:r>
            <w:r>
              <w:rPr>
                <w:rFonts w:hint="eastAsia" w:ascii="仿宋_GB2312" w:hAnsi="宋体" w:eastAsia="仿宋_GB2312"/>
                <w:color w:val="000000"/>
                <w:kern w:val="0"/>
                <w:lang w:eastAsia="zh-CN" w:bidi="en-US"/>
              </w:rPr>
              <w:t>，其他方式暂不可选</w:t>
            </w:r>
          </w:p>
        </w:tc>
      </w:tr>
      <w:tr w14:paraId="25E43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5" w:type="dxa"/>
          </w:tcPr>
          <w:p w14:paraId="546B3135">
            <w:pPr>
              <w:pStyle w:val="12"/>
              <w:ind w:firstLine="0" w:firstLineChars="0"/>
              <w:rPr>
                <w:rFonts w:hint="eastAsia" w:ascii="仿宋_GB2312" w:hAnsi="宋体" w:eastAsia="仿宋_GB2312"/>
                <w:b/>
                <w:color w:val="000000"/>
                <w:kern w:val="0"/>
                <w:lang w:eastAsia="zh-CN" w:bidi="en-US"/>
              </w:rPr>
            </w:pPr>
            <w:r>
              <w:rPr>
                <w:rFonts w:hint="eastAsia" w:ascii="仿宋_GB2312" w:hAnsi="宋体" w:eastAsia="仿宋_GB2312"/>
                <w:b/>
                <w:color w:val="000000"/>
                <w:kern w:val="0"/>
                <w:lang w:eastAsia="zh-CN" w:bidi="en-US"/>
              </w:rPr>
              <w:t>证券代码</w:t>
            </w:r>
          </w:p>
        </w:tc>
        <w:tc>
          <w:tcPr>
            <w:tcW w:w="5609" w:type="dxa"/>
          </w:tcPr>
          <w:p w14:paraId="08771B4F">
            <w:pPr>
              <w:pStyle w:val="12"/>
              <w:ind w:firstLine="0" w:firstLineChars="0"/>
              <w:rPr>
                <w:rFonts w:ascii="宋体" w:hAnsi="宋体"/>
                <w:color w:val="000000"/>
                <w:kern w:val="0"/>
                <w:lang w:bidi="en-US"/>
              </w:rPr>
            </w:pPr>
            <w:r>
              <w:rPr>
                <w:rFonts w:hint="eastAsia" w:ascii="仿宋_GB2312" w:hAnsi="宋体" w:eastAsia="仿宋_GB2312"/>
                <w:kern w:val="0"/>
                <w:lang w:bidi="en-US"/>
              </w:rPr>
              <w:t>交易品种的证券代码</w:t>
            </w:r>
          </w:p>
        </w:tc>
      </w:tr>
      <w:tr w14:paraId="7E6D6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5" w:type="dxa"/>
          </w:tcPr>
          <w:p w14:paraId="22AE3576">
            <w:pPr>
              <w:pStyle w:val="12"/>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zh-CN" w:bidi="en-US"/>
              </w:rPr>
              <w:t>竞买</w:t>
            </w:r>
            <w:r>
              <w:rPr>
                <w:rFonts w:hint="eastAsia" w:ascii="仿宋_GB2312" w:hAnsi="宋体" w:eastAsia="仿宋_GB2312"/>
                <w:b/>
                <w:color w:val="000000"/>
                <w:kern w:val="0"/>
                <w:lang w:eastAsia="en-US" w:bidi="en-US"/>
              </w:rPr>
              <w:t>数量</w:t>
            </w:r>
          </w:p>
        </w:tc>
        <w:tc>
          <w:tcPr>
            <w:tcW w:w="5609" w:type="dxa"/>
          </w:tcPr>
          <w:p w14:paraId="67A659DC">
            <w:pPr>
              <w:pStyle w:val="12"/>
              <w:ind w:firstLine="0" w:firstLineChars="0"/>
              <w:rPr>
                <w:rFonts w:ascii="仿宋_GB2312" w:hAnsi="宋体" w:eastAsia="仿宋_GB2312"/>
                <w:color w:val="000000"/>
                <w:kern w:val="0"/>
                <w:lang w:bidi="en-US"/>
              </w:rPr>
            </w:pPr>
            <w:r>
              <w:rPr>
                <w:rFonts w:hint="eastAsia" w:ascii="仿宋_GB2312" w:hAnsi="宋体" w:eastAsia="仿宋_GB2312"/>
                <w:color w:val="000000"/>
                <w:kern w:val="0"/>
                <w:lang w:bidi="en-US"/>
              </w:rPr>
              <w:t>拟卖出数量，单位：千元面额</w:t>
            </w:r>
          </w:p>
        </w:tc>
      </w:tr>
      <w:tr w14:paraId="6BBC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05" w:type="dxa"/>
          </w:tcPr>
          <w:p w14:paraId="352A7098">
            <w:pPr>
              <w:pStyle w:val="12"/>
              <w:ind w:firstLine="0" w:firstLineChars="0"/>
              <w:rPr>
                <w:rFonts w:hint="eastAsia" w:ascii="仿宋_GB2312" w:hAnsi="宋体" w:eastAsia="仿宋_GB2312"/>
                <w:b/>
                <w:color w:val="000000"/>
                <w:kern w:val="0"/>
                <w:lang w:eastAsia="zh-CN" w:bidi="en-US"/>
              </w:rPr>
            </w:pPr>
            <w:r>
              <w:rPr>
                <w:rFonts w:hint="eastAsia" w:ascii="仿宋_GB2312" w:hAnsi="宋体" w:eastAsia="仿宋_GB2312"/>
                <w:b/>
                <w:color w:val="000000"/>
                <w:kern w:val="0"/>
                <w:lang w:eastAsia="zh-CN" w:bidi="en-US"/>
              </w:rPr>
              <w:t>底价</w:t>
            </w:r>
          </w:p>
        </w:tc>
        <w:tc>
          <w:tcPr>
            <w:tcW w:w="5609" w:type="dxa"/>
          </w:tcPr>
          <w:p w14:paraId="47EDBFA7">
            <w:pPr>
              <w:pStyle w:val="12"/>
              <w:ind w:firstLine="0" w:firstLineChars="0"/>
              <w:rPr>
                <w:rFonts w:ascii="仿宋_GB2312" w:hAnsi="宋体" w:eastAsia="仿宋_GB2312"/>
                <w:color w:val="000000"/>
                <w:kern w:val="0"/>
                <w:lang w:eastAsia="en-US" w:bidi="en-US"/>
              </w:rPr>
            </w:pPr>
            <w:r>
              <w:rPr>
                <w:rFonts w:hint="eastAsia" w:ascii="仿宋_GB2312" w:hAnsi="宋体" w:eastAsia="仿宋_GB2312"/>
                <w:color w:val="000000"/>
                <w:kern w:val="0"/>
                <w:lang w:eastAsia="zh-CN" w:bidi="en-US"/>
              </w:rPr>
              <w:t>单位：元，</w:t>
            </w:r>
            <w:r>
              <w:rPr>
                <w:rFonts w:hint="eastAsia" w:ascii="仿宋_GB2312" w:hAnsi="宋体" w:eastAsia="仿宋_GB2312"/>
                <w:color w:val="000000"/>
                <w:kern w:val="0"/>
                <w:lang w:eastAsia="en-US" w:bidi="en-US"/>
              </w:rPr>
              <w:t>卖方底价</w:t>
            </w:r>
          </w:p>
        </w:tc>
      </w:tr>
      <w:tr w14:paraId="0BE89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5" w:type="dxa"/>
          </w:tcPr>
          <w:p w14:paraId="0C2C049F">
            <w:pPr>
              <w:pStyle w:val="12"/>
              <w:ind w:firstLine="0" w:firstLineChars="0"/>
              <w:rPr>
                <w:rFonts w:ascii="仿宋_GB2312" w:hAnsi="宋体" w:eastAsia="仿宋_GB2312"/>
                <w:b/>
                <w:color w:val="000000"/>
                <w:kern w:val="0"/>
                <w:lang w:eastAsia="en-US" w:bidi="en-US"/>
              </w:rPr>
            </w:pPr>
            <w:r>
              <w:rPr>
                <w:rFonts w:ascii="仿宋_GB2312" w:hAnsi="宋体" w:eastAsia="仿宋_GB2312"/>
                <w:b/>
                <w:color w:val="000000"/>
                <w:kern w:val="0"/>
                <w:lang w:eastAsia="en-US" w:bidi="en-US"/>
              </w:rPr>
              <w:t>竞买</w:t>
            </w:r>
            <w:r>
              <w:rPr>
                <w:rFonts w:hint="eastAsia" w:ascii="仿宋_GB2312" w:hAnsi="宋体" w:eastAsia="仿宋_GB2312"/>
                <w:b/>
                <w:color w:val="000000"/>
                <w:kern w:val="0"/>
                <w:lang w:bidi="en-US"/>
              </w:rPr>
              <w:t>申报日</w:t>
            </w:r>
          </w:p>
        </w:tc>
        <w:tc>
          <w:tcPr>
            <w:tcW w:w="5609" w:type="dxa"/>
          </w:tcPr>
          <w:p w14:paraId="7FD513CD">
            <w:pPr>
              <w:pStyle w:val="12"/>
              <w:ind w:firstLine="0" w:firstLineChars="0"/>
              <w:rPr>
                <w:rFonts w:hint="eastAsia" w:ascii="仿宋_GB2312" w:hAnsi="宋体" w:eastAsia="仿宋_GB2312"/>
                <w:color w:val="000000"/>
                <w:kern w:val="0"/>
                <w:lang w:eastAsia="zh-CN" w:bidi="en-US"/>
              </w:rPr>
            </w:pPr>
            <w:r>
              <w:rPr>
                <w:rFonts w:hint="eastAsia" w:ascii="仿宋_GB2312" w:hAnsi="宋体" w:eastAsia="仿宋_GB2312"/>
                <w:color w:val="000000"/>
                <w:kern w:val="0"/>
                <w:lang w:eastAsia="zh-CN" w:bidi="en-US"/>
              </w:rPr>
              <w:t>发起</w:t>
            </w:r>
            <w:r>
              <w:rPr>
                <w:rFonts w:ascii="仿宋_GB2312" w:hAnsi="宋体" w:eastAsia="仿宋_GB2312"/>
                <w:color w:val="000000"/>
                <w:kern w:val="0"/>
                <w:lang w:eastAsia="en-US" w:bidi="en-US"/>
              </w:rPr>
              <w:t>竞买</w:t>
            </w:r>
            <w:r>
              <w:rPr>
                <w:rFonts w:hint="eastAsia" w:ascii="仿宋_GB2312" w:hAnsi="宋体" w:eastAsia="仿宋_GB2312"/>
                <w:color w:val="000000"/>
                <w:kern w:val="0"/>
                <w:lang w:eastAsia="zh-CN" w:bidi="en-US"/>
              </w:rPr>
              <w:t>申报的</w:t>
            </w:r>
            <w:r>
              <w:rPr>
                <w:rFonts w:ascii="仿宋_GB2312" w:hAnsi="宋体" w:eastAsia="仿宋_GB2312"/>
                <w:color w:val="000000"/>
                <w:kern w:val="0"/>
                <w:lang w:eastAsia="en-US" w:bidi="en-US"/>
              </w:rPr>
              <w:t>日</w:t>
            </w:r>
            <w:r>
              <w:rPr>
                <w:rFonts w:hint="eastAsia" w:ascii="仿宋_GB2312" w:hAnsi="宋体" w:eastAsia="仿宋_GB2312"/>
                <w:color w:val="000000"/>
                <w:kern w:val="0"/>
                <w:lang w:eastAsia="zh-CN" w:bidi="en-US"/>
              </w:rPr>
              <w:t>期</w:t>
            </w:r>
          </w:p>
        </w:tc>
      </w:tr>
      <w:tr w14:paraId="3ED5C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5" w:type="dxa"/>
          </w:tcPr>
          <w:p w14:paraId="0780AC0D">
            <w:pPr>
              <w:pStyle w:val="12"/>
              <w:ind w:firstLine="0" w:firstLineChars="0"/>
              <w:rPr>
                <w:rFonts w:hint="eastAsia" w:ascii="仿宋_GB2312" w:hAnsi="宋体" w:eastAsia="仿宋_GB2312"/>
                <w:b/>
                <w:color w:val="000000"/>
                <w:kern w:val="0"/>
                <w:lang w:eastAsia="zh-CN" w:bidi="en-US"/>
              </w:rPr>
            </w:pPr>
            <w:r>
              <w:rPr>
                <w:rFonts w:hint="eastAsia" w:ascii="仿宋_GB2312" w:hAnsi="宋体" w:eastAsia="仿宋_GB2312"/>
                <w:b/>
                <w:color w:val="000000"/>
                <w:kern w:val="0"/>
                <w:lang w:eastAsia="en-US" w:bidi="en-US"/>
              </w:rPr>
              <w:t>匿名</w:t>
            </w:r>
            <w:r>
              <w:rPr>
                <w:rFonts w:hint="eastAsia" w:ascii="仿宋_GB2312" w:hAnsi="宋体" w:eastAsia="仿宋_GB2312"/>
                <w:b/>
                <w:color w:val="000000"/>
                <w:kern w:val="0"/>
                <w:lang w:eastAsia="zh-CN" w:bidi="en-US"/>
              </w:rPr>
              <w:t>报价</w:t>
            </w:r>
          </w:p>
        </w:tc>
        <w:tc>
          <w:tcPr>
            <w:tcW w:w="5609" w:type="dxa"/>
          </w:tcPr>
          <w:p w14:paraId="402DA041">
            <w:pPr>
              <w:pStyle w:val="12"/>
              <w:ind w:firstLine="0" w:firstLineChars="0"/>
              <w:rPr>
                <w:rFonts w:ascii="宋体" w:hAnsi="宋体"/>
                <w:color w:val="000000"/>
                <w:kern w:val="0"/>
                <w:lang w:bidi="en-US"/>
              </w:rPr>
            </w:pPr>
            <w:r>
              <w:rPr>
                <w:rFonts w:hint="eastAsia" w:ascii="仿宋_GB2312" w:hAnsi="宋体" w:eastAsia="仿宋_GB2312"/>
                <w:color w:val="000000"/>
                <w:kern w:val="0"/>
                <w:lang w:bidi="en-US"/>
              </w:rPr>
              <w:t>需匿名的，勾选“</w:t>
            </w:r>
            <w:r>
              <w:rPr>
                <w:rFonts w:hint="eastAsia" w:ascii="仿宋_GB2312" w:hAnsi="宋体" w:eastAsia="仿宋_GB2312"/>
                <w:color w:val="000000"/>
                <w:kern w:val="0"/>
                <w:lang w:eastAsia="zh-CN" w:bidi="en-US"/>
              </w:rPr>
              <w:t>是</w:t>
            </w:r>
            <w:r>
              <w:rPr>
                <w:rFonts w:hint="eastAsia" w:ascii="仿宋_GB2312" w:hAnsi="宋体" w:eastAsia="仿宋_GB2312"/>
                <w:color w:val="000000"/>
                <w:kern w:val="0"/>
                <w:lang w:bidi="en-US"/>
              </w:rPr>
              <w:t>”</w:t>
            </w:r>
          </w:p>
        </w:tc>
      </w:tr>
      <w:tr w14:paraId="4AA09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5" w:type="dxa"/>
          </w:tcPr>
          <w:p w14:paraId="74A00BE8">
            <w:pPr>
              <w:pStyle w:val="12"/>
              <w:ind w:firstLine="0" w:firstLineChars="0"/>
              <w:rPr>
                <w:rFonts w:ascii="仿宋_GB2312" w:hAnsi="宋体" w:eastAsia="仿宋_GB2312"/>
                <w:b/>
                <w:color w:val="000000"/>
                <w:kern w:val="0"/>
                <w:lang w:bidi="en-US"/>
              </w:rPr>
            </w:pPr>
            <w:r>
              <w:rPr>
                <w:rFonts w:hint="eastAsia" w:ascii="仿宋_GB2312" w:hAnsi="宋体" w:eastAsia="仿宋_GB2312"/>
                <w:b/>
                <w:color w:val="000000"/>
                <w:kern w:val="0"/>
                <w:lang w:bidi="en-US"/>
              </w:rPr>
              <w:t>结算方</w:t>
            </w:r>
            <w:r>
              <w:rPr>
                <w:rFonts w:ascii="仿宋_GB2312" w:hAnsi="宋体" w:eastAsia="仿宋_GB2312"/>
                <w:b/>
                <w:color w:val="000000"/>
                <w:kern w:val="0"/>
                <w:lang w:bidi="en-US"/>
              </w:rPr>
              <w:t>式</w:t>
            </w:r>
          </w:p>
        </w:tc>
        <w:tc>
          <w:tcPr>
            <w:tcW w:w="5609" w:type="dxa"/>
          </w:tcPr>
          <w:p w14:paraId="76111665">
            <w:pPr>
              <w:pStyle w:val="12"/>
              <w:ind w:firstLine="0" w:firstLineChars="0"/>
              <w:rPr>
                <w:rFonts w:hint="eastAsia" w:ascii="仿宋_GB2312" w:hAnsi="宋体" w:eastAsia="仿宋_GB2312"/>
                <w:color w:val="000000"/>
                <w:kern w:val="0"/>
                <w:lang w:eastAsia="zh-CN" w:bidi="en-US"/>
              </w:rPr>
            </w:pPr>
            <w:r>
              <w:rPr>
                <w:rFonts w:hint="eastAsia" w:ascii="仿宋_GB2312" w:eastAsia="仿宋_GB2312"/>
                <w:kern w:val="0"/>
                <w:lang w:eastAsia="zh-CN" w:bidi="en-US"/>
              </w:rPr>
              <w:t>可选“净额结算”或“</w:t>
            </w:r>
            <w:r>
              <w:rPr>
                <w:rFonts w:hint="eastAsia" w:ascii="仿宋_GB2312" w:eastAsia="仿宋_GB2312"/>
                <w:kern w:val="0"/>
                <w:lang w:val="en-US" w:eastAsia="zh-CN" w:bidi="en-US"/>
              </w:rPr>
              <w:t>RTGS结算</w:t>
            </w:r>
            <w:r>
              <w:rPr>
                <w:rFonts w:hint="eastAsia" w:ascii="仿宋_GB2312" w:eastAsia="仿宋_GB2312"/>
                <w:kern w:val="0"/>
                <w:lang w:eastAsia="zh-CN" w:bidi="en-US"/>
              </w:rPr>
              <w:t>”</w:t>
            </w:r>
          </w:p>
        </w:tc>
      </w:tr>
      <w:tr w14:paraId="7322B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05" w:type="dxa"/>
          </w:tcPr>
          <w:p w14:paraId="0F024FBB">
            <w:pPr>
              <w:pStyle w:val="12"/>
              <w:ind w:firstLine="0" w:firstLineChars="0"/>
              <w:rPr>
                <w:rFonts w:ascii="仿宋_GB2312" w:hAnsi="宋体" w:eastAsia="仿宋_GB2312"/>
                <w:b/>
                <w:color w:val="000000"/>
                <w:kern w:val="0"/>
                <w:lang w:bidi="en-US"/>
              </w:rPr>
            </w:pPr>
            <w:r>
              <w:rPr>
                <w:rFonts w:hint="eastAsia" w:ascii="仿宋_GB2312" w:hAnsi="宋体" w:eastAsia="仿宋_GB2312"/>
                <w:b/>
                <w:color w:val="000000"/>
                <w:kern w:val="0"/>
                <w:lang w:bidi="en-US"/>
              </w:rPr>
              <w:t>自动发起</w:t>
            </w:r>
          </w:p>
        </w:tc>
        <w:tc>
          <w:tcPr>
            <w:tcW w:w="5609" w:type="dxa"/>
          </w:tcPr>
          <w:p w14:paraId="3B7FA8B3">
            <w:pPr>
              <w:pStyle w:val="12"/>
              <w:ind w:firstLine="0" w:firstLineChars="0"/>
              <w:rPr>
                <w:rFonts w:hint="eastAsia" w:ascii="仿宋_GB2312" w:hAnsi="宋体" w:eastAsia="仿宋_GB2312"/>
                <w:color w:val="000000"/>
                <w:kern w:val="0"/>
                <w:lang w:eastAsia="zh-CN" w:bidi="en-US"/>
              </w:rPr>
            </w:pPr>
            <w:r>
              <w:rPr>
                <w:rFonts w:hint="eastAsia" w:ascii="仿宋_GB2312" w:hAnsi="宋体" w:eastAsia="仿宋_GB2312"/>
                <w:color w:val="000000"/>
                <w:kern w:val="0"/>
                <w:lang w:bidi="en-US"/>
              </w:rPr>
              <w:t>默认勾选</w:t>
            </w:r>
            <w:r>
              <w:rPr>
                <w:rFonts w:hint="eastAsia" w:ascii="仿宋_GB2312" w:hAnsi="宋体" w:eastAsia="仿宋_GB2312"/>
                <w:color w:val="000000"/>
                <w:kern w:val="0"/>
                <w:lang w:eastAsia="zh-CN" w:bidi="en-US"/>
              </w:rPr>
              <w:t>“是”</w:t>
            </w:r>
            <w:r>
              <w:rPr>
                <w:rFonts w:hint="eastAsia" w:ascii="仿宋_GB2312" w:hAnsi="宋体" w:eastAsia="仿宋_GB2312"/>
                <w:color w:val="000000"/>
                <w:kern w:val="0"/>
                <w:lang w:bidi="en-US"/>
              </w:rPr>
              <w:t>，同意系统于竞买日自动将竞买预约转竞买申报</w:t>
            </w:r>
            <w:r>
              <w:rPr>
                <w:rFonts w:hint="eastAsia" w:ascii="仿宋_GB2312" w:hAnsi="宋体" w:eastAsia="仿宋_GB2312"/>
                <w:color w:val="000000"/>
                <w:kern w:val="0"/>
                <w:lang w:eastAsia="zh-CN" w:bidi="en-US"/>
              </w:rPr>
              <w:t>，否则需于竞买日</w:t>
            </w:r>
            <w:r>
              <w:rPr>
                <w:rFonts w:hint="eastAsia" w:ascii="仿宋_GB2312" w:hAnsi="宋体" w:eastAsia="仿宋_GB2312"/>
                <w:color w:val="000000"/>
                <w:kern w:val="0"/>
                <w:lang w:val="en-US" w:eastAsia="zh-CN" w:bidi="en-US"/>
              </w:rPr>
              <w:t>9：00-10：00期间</w:t>
            </w:r>
            <w:r>
              <w:rPr>
                <w:rFonts w:hint="eastAsia" w:ascii="仿宋_GB2312" w:hAnsi="宋体" w:eastAsia="仿宋_GB2312"/>
                <w:color w:val="000000"/>
                <w:kern w:val="0"/>
                <w:lang w:eastAsia="zh-CN" w:bidi="en-US"/>
              </w:rPr>
              <w:t>手工发起竞买申报</w:t>
            </w:r>
          </w:p>
        </w:tc>
      </w:tr>
      <w:tr w14:paraId="2F2CD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05" w:type="dxa"/>
          </w:tcPr>
          <w:p w14:paraId="4F7CBC65">
            <w:pPr>
              <w:pStyle w:val="12"/>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en-US" w:bidi="en-US"/>
              </w:rPr>
              <w:t>证券简称</w:t>
            </w:r>
          </w:p>
        </w:tc>
        <w:tc>
          <w:tcPr>
            <w:tcW w:w="5609" w:type="dxa"/>
          </w:tcPr>
          <w:p w14:paraId="5A10F1B1">
            <w:pPr>
              <w:pStyle w:val="12"/>
              <w:ind w:firstLine="0" w:firstLineChars="0"/>
              <w:rPr>
                <w:rFonts w:ascii="仿宋_GB2312" w:hAnsi="宋体" w:eastAsia="仿宋_GB2312"/>
                <w:color w:val="000000"/>
                <w:kern w:val="0"/>
                <w:lang w:bidi="en-US"/>
              </w:rPr>
            </w:pPr>
            <w:r>
              <w:rPr>
                <w:rFonts w:hint="eastAsia" w:ascii="仿宋_GB2312" w:hAnsi="宋体" w:eastAsia="仿宋_GB2312"/>
                <w:kern w:val="0"/>
                <w:lang w:bidi="en-US"/>
              </w:rPr>
              <w:t>即上交所证券简称，有证券代码的交易品种，简称根据证券代码自动显示</w:t>
            </w:r>
          </w:p>
        </w:tc>
      </w:tr>
    </w:tbl>
    <w:p w14:paraId="42FC60CD">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卖方</w:t>
      </w:r>
      <w:r>
        <w:rPr>
          <w:rFonts w:hint="eastAsia" w:ascii="仿宋_GB2312" w:eastAsia="仿宋_GB2312"/>
          <w:sz w:val="30"/>
          <w:szCs w:val="30"/>
        </w:rPr>
        <w:t>提交竞买预约</w:t>
      </w:r>
      <w:r>
        <w:rPr>
          <w:rFonts w:hint="eastAsia" w:ascii="仿宋_GB2312" w:hAnsi="仿宋" w:eastAsia="仿宋_GB2312"/>
          <w:sz w:val="30"/>
          <w:szCs w:val="30"/>
        </w:rPr>
        <w:t>时，可以同时委托系统自动提交</w:t>
      </w:r>
      <w:r>
        <w:rPr>
          <w:rFonts w:hint="eastAsia" w:ascii="仿宋_GB2312" w:eastAsia="仿宋_GB2312"/>
          <w:sz w:val="30"/>
          <w:szCs w:val="30"/>
        </w:rPr>
        <w:t>竞买发起</w:t>
      </w:r>
      <w:r>
        <w:rPr>
          <w:rFonts w:hint="eastAsia" w:ascii="仿宋_GB2312" w:hAnsi="仿宋" w:eastAsia="仿宋_GB2312"/>
          <w:sz w:val="30"/>
          <w:szCs w:val="30"/>
        </w:rPr>
        <w:t>申报，若同意委托且未手工提交</w:t>
      </w:r>
      <w:r>
        <w:rPr>
          <w:rFonts w:hint="eastAsia" w:ascii="仿宋_GB2312" w:eastAsia="仿宋_GB2312"/>
          <w:sz w:val="30"/>
          <w:szCs w:val="30"/>
        </w:rPr>
        <w:t>竞买发起</w:t>
      </w:r>
      <w:r>
        <w:rPr>
          <w:rFonts w:hint="eastAsia" w:ascii="仿宋_GB2312" w:hAnsi="仿宋" w:eastAsia="仿宋_GB2312"/>
          <w:sz w:val="30"/>
          <w:szCs w:val="30"/>
        </w:rPr>
        <w:t>申报的，则</w:t>
      </w:r>
      <w:r>
        <w:rPr>
          <w:rFonts w:hint="eastAsia" w:ascii="仿宋_GB2312" w:eastAsia="仿宋_GB2312"/>
          <w:sz w:val="30"/>
          <w:szCs w:val="30"/>
        </w:rPr>
        <w:t>竞买</w:t>
      </w:r>
      <w:r>
        <w:rPr>
          <w:rFonts w:hint="eastAsia" w:ascii="仿宋_GB2312" w:hAnsi="仿宋" w:eastAsia="仿宋_GB2312"/>
          <w:sz w:val="30"/>
          <w:szCs w:val="30"/>
        </w:rPr>
        <w:t>日当天</w:t>
      </w:r>
      <w:r>
        <w:rPr>
          <w:rFonts w:ascii="仿宋_GB2312" w:hAnsi="仿宋" w:eastAsia="仿宋_GB2312"/>
          <w:sz w:val="30"/>
          <w:szCs w:val="30"/>
        </w:rPr>
        <w:t>10：00系统将自动</w:t>
      </w:r>
      <w:r>
        <w:rPr>
          <w:rFonts w:hint="eastAsia" w:ascii="仿宋_GB2312" w:hAnsi="仿宋" w:eastAsia="仿宋_GB2312"/>
          <w:sz w:val="30"/>
          <w:szCs w:val="30"/>
        </w:rPr>
        <w:t>提交</w:t>
      </w:r>
      <w:r>
        <w:rPr>
          <w:rFonts w:hint="eastAsia" w:ascii="仿宋_GB2312" w:eastAsia="仿宋_GB2312"/>
          <w:sz w:val="30"/>
          <w:szCs w:val="30"/>
        </w:rPr>
        <w:t>竞买发起</w:t>
      </w:r>
      <w:r>
        <w:rPr>
          <w:rFonts w:hint="eastAsia" w:ascii="仿宋_GB2312" w:hAnsi="仿宋" w:eastAsia="仿宋_GB2312"/>
          <w:sz w:val="30"/>
          <w:szCs w:val="30"/>
        </w:rPr>
        <w:t>申报。</w:t>
      </w:r>
    </w:p>
    <w:p w14:paraId="18307B6D">
      <w:pPr>
        <w:numPr>
          <w:ilvl w:val="255"/>
          <w:numId w:val="0"/>
        </w:numPr>
        <w:spacing w:line="600" w:lineRule="exact"/>
        <w:ind w:firstLine="600" w:firstLineChars="200"/>
        <w:outlineLvl w:val="3"/>
        <w:rPr>
          <w:rFonts w:ascii="仿宋_GB2312" w:hAnsi="仿宋" w:eastAsia="仿宋_GB2312"/>
          <w:sz w:val="30"/>
          <w:szCs w:val="30"/>
        </w:rPr>
      </w:pPr>
      <w:r>
        <w:rPr>
          <w:rFonts w:hint="eastAsia" w:ascii="仿宋_GB2312" w:eastAsia="仿宋_GB2312"/>
          <w:sz w:val="30"/>
          <w:szCs w:val="30"/>
        </w:rPr>
        <w:t>（2）竞买信息发布</w:t>
      </w:r>
    </w:p>
    <w:p w14:paraId="1C20D60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卖方完成竞买预约后，卖方提交的前述信息将在</w:t>
      </w:r>
      <w:r>
        <w:rPr>
          <w:rFonts w:hint="eastAsia" w:ascii="仿宋_GB2312" w:hAnsi="仿宋" w:eastAsia="仿宋_GB2312"/>
          <w:sz w:val="30"/>
          <w:szCs w:val="30"/>
          <w:lang w:eastAsia="zh-CN"/>
        </w:rPr>
        <w:t>新固定收益系统市场信息</w:t>
      </w:r>
      <w:r>
        <w:rPr>
          <w:rFonts w:hint="eastAsia" w:ascii="仿宋_GB2312" w:hAnsi="仿宋" w:eastAsia="仿宋_GB2312"/>
          <w:sz w:val="30"/>
          <w:szCs w:val="30"/>
        </w:rPr>
        <w:t>界面展示，</w:t>
      </w:r>
      <w:r>
        <w:rPr>
          <w:rFonts w:hint="eastAsia" w:ascii="仿宋_GB2312" w:hAnsi="仿宋" w:eastAsia="仿宋_GB2312"/>
          <w:sz w:val="30"/>
          <w:szCs w:val="30"/>
          <w:lang w:eastAsia="zh-CN"/>
        </w:rPr>
        <w:t>新固定收益系统</w:t>
      </w:r>
      <w:r>
        <w:rPr>
          <w:rFonts w:hint="eastAsia" w:ascii="仿宋_GB2312" w:hAnsi="仿宋" w:eastAsia="仿宋_GB2312"/>
          <w:sz w:val="30"/>
          <w:szCs w:val="30"/>
        </w:rPr>
        <w:t>将生成对外发布的竞买信息。竞买信息生成后，债券投资者可在“</w:t>
      </w:r>
      <w:r>
        <w:rPr>
          <w:rFonts w:hint="eastAsia" w:ascii="仿宋_GB2312" w:hAnsi="仿宋" w:eastAsia="仿宋_GB2312"/>
          <w:sz w:val="30"/>
          <w:szCs w:val="30"/>
          <w:lang w:eastAsia="zh-CN"/>
        </w:rPr>
        <w:t>一债通</w:t>
      </w:r>
      <w:r>
        <w:rPr>
          <w:rFonts w:hint="eastAsia" w:ascii="仿宋_GB2312" w:eastAsia="仿宋_GB2312"/>
          <w:sz w:val="30"/>
          <w:szCs w:val="30"/>
        </w:rPr>
        <w:t>首页-</w:t>
      </w:r>
      <w:r>
        <w:rPr>
          <w:rFonts w:hint="eastAsia" w:ascii="仿宋_GB2312" w:eastAsia="仿宋_GB2312"/>
          <w:sz w:val="30"/>
          <w:szCs w:val="30"/>
          <w:lang w:eastAsia="zh-CN"/>
        </w:rPr>
        <w:t>市场</w:t>
      </w:r>
      <w:r>
        <w:rPr>
          <w:rFonts w:hint="eastAsia" w:ascii="仿宋_GB2312" w:eastAsia="仿宋_GB2312"/>
          <w:sz w:val="30"/>
          <w:szCs w:val="30"/>
        </w:rPr>
        <w:t>信息-</w:t>
      </w:r>
      <w:r>
        <w:rPr>
          <w:rFonts w:hint="eastAsia" w:ascii="仿宋_GB2312" w:eastAsia="仿宋_GB2312"/>
          <w:sz w:val="30"/>
          <w:szCs w:val="30"/>
          <w:lang w:eastAsia="zh-CN"/>
        </w:rPr>
        <w:t>交易行情</w:t>
      </w:r>
      <w:r>
        <w:rPr>
          <w:rFonts w:hint="eastAsia" w:ascii="仿宋_GB2312" w:eastAsia="仿宋_GB2312"/>
          <w:sz w:val="30"/>
          <w:szCs w:val="30"/>
          <w:lang w:val="en-US" w:eastAsia="zh-CN"/>
        </w:rPr>
        <w:t>-</w:t>
      </w:r>
      <w:r>
        <w:rPr>
          <w:rFonts w:hint="eastAsia" w:ascii="仿宋_GB2312" w:eastAsia="仿宋_GB2312"/>
          <w:sz w:val="30"/>
          <w:szCs w:val="30"/>
        </w:rPr>
        <w:t>竞买</w:t>
      </w:r>
      <w:r>
        <w:rPr>
          <w:rFonts w:hint="eastAsia" w:ascii="仿宋_GB2312" w:hAnsi="仿宋" w:eastAsia="仿宋_GB2312"/>
          <w:sz w:val="30"/>
          <w:szCs w:val="30"/>
        </w:rPr>
        <w:t>”栏目和上证债券信息网“</w:t>
      </w:r>
      <w:r>
        <w:rPr>
          <w:rFonts w:hint="eastAsia" w:ascii="仿宋_GB2312" w:hAnsi="黑体" w:eastAsia="仿宋_GB2312"/>
          <w:sz w:val="30"/>
          <w:szCs w:val="30"/>
        </w:rPr>
        <w:t>首页</w:t>
      </w:r>
      <w:r>
        <w:rPr>
          <w:rFonts w:ascii="仿宋_GB2312" w:hAnsi="黑体" w:eastAsia="仿宋_GB2312"/>
          <w:sz w:val="30"/>
          <w:szCs w:val="30"/>
        </w:rPr>
        <w:t>-市场数据-行情展示-竞买业务-竞买预约提示</w:t>
      </w:r>
      <w:r>
        <w:rPr>
          <w:rFonts w:hint="eastAsia" w:ascii="仿宋_GB2312" w:hAnsi="仿宋" w:eastAsia="仿宋_GB2312"/>
          <w:sz w:val="30"/>
          <w:szCs w:val="30"/>
        </w:rPr>
        <w:t>”栏目查询到实时发布的竞买信息。竞买信息包括以下内容：竞买债券基础信息（债券名称、债券代码、债券简称）、价格区间（底价）、拟竞买数量</w:t>
      </w:r>
      <w:r>
        <w:rPr>
          <w:rFonts w:ascii="仿宋_GB2312" w:hAnsi="仿宋" w:eastAsia="仿宋_GB2312"/>
          <w:sz w:val="30"/>
          <w:szCs w:val="30"/>
        </w:rPr>
        <w:t>、</w:t>
      </w:r>
      <w:r>
        <w:rPr>
          <w:rFonts w:hint="eastAsia" w:ascii="仿宋_GB2312" w:hAnsi="仿宋" w:eastAsia="仿宋_GB2312"/>
          <w:sz w:val="30"/>
          <w:szCs w:val="30"/>
        </w:rPr>
        <w:t>竞买方式、竞买日等，详见附件6示例一。</w:t>
      </w:r>
    </w:p>
    <w:p w14:paraId="774F4416">
      <w:pPr>
        <w:numPr>
          <w:ilvl w:val="255"/>
          <w:numId w:val="0"/>
        </w:numPr>
        <w:spacing w:line="600" w:lineRule="exact"/>
        <w:ind w:firstLine="600" w:firstLineChars="200"/>
        <w:outlineLvl w:val="3"/>
        <w:rPr>
          <w:rFonts w:ascii="仿宋_GB2312" w:eastAsia="仿宋_GB2312"/>
          <w:sz w:val="30"/>
          <w:szCs w:val="30"/>
        </w:rPr>
      </w:pPr>
      <w:r>
        <w:rPr>
          <w:rFonts w:hint="eastAsia" w:ascii="仿宋_GB2312" w:eastAsia="仿宋_GB2312"/>
          <w:sz w:val="30"/>
          <w:szCs w:val="30"/>
        </w:rPr>
        <w:t>（3）竞买预约的修改及撤销</w:t>
      </w:r>
    </w:p>
    <w:p w14:paraId="0EE5FA94">
      <w:pPr>
        <w:spacing w:line="600" w:lineRule="exact"/>
        <w:ind w:firstLine="600" w:firstLineChars="200"/>
        <w:rPr>
          <w:rFonts w:ascii="仿宋_GB2312" w:eastAsia="仿宋_GB2312"/>
          <w:sz w:val="30"/>
          <w:szCs w:val="30"/>
        </w:rPr>
      </w:pPr>
      <w:r>
        <w:rPr>
          <w:rFonts w:hint="eastAsia" w:ascii="仿宋_GB2312" w:eastAsia="仿宋_GB2312" w:cs="宋体"/>
          <w:color w:val="000000"/>
          <w:sz w:val="30"/>
          <w:szCs w:val="30"/>
        </w:rPr>
        <w:t>竞买日前，卖方可以撤销</w:t>
      </w:r>
      <w:r>
        <w:rPr>
          <w:rFonts w:hint="eastAsia" w:ascii="仿宋_GB2312" w:eastAsia="仿宋_GB2312"/>
          <w:color w:val="000000"/>
          <w:sz w:val="30"/>
          <w:szCs w:val="30"/>
        </w:rPr>
        <w:t>竞买</w:t>
      </w:r>
      <w:r>
        <w:rPr>
          <w:rFonts w:hint="eastAsia" w:ascii="仿宋_GB2312" w:eastAsia="仿宋_GB2312" w:cs="宋体"/>
          <w:color w:val="000000"/>
          <w:sz w:val="30"/>
          <w:szCs w:val="30"/>
        </w:rPr>
        <w:t>预约</w:t>
      </w:r>
      <w:r>
        <w:rPr>
          <w:rFonts w:hint="eastAsia" w:ascii="仿宋_GB2312" w:eastAsia="仿宋_GB2312"/>
          <w:sz w:val="30"/>
          <w:szCs w:val="30"/>
        </w:rPr>
        <w:t>并修改要素后重新发起竞买预约。</w:t>
      </w:r>
    </w:p>
    <w:p w14:paraId="73DD31E0">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卖方可在竞买日之前</w:t>
      </w:r>
      <w:r>
        <w:rPr>
          <w:rFonts w:hint="eastAsia" w:ascii="仿宋_GB2312" w:eastAsia="仿宋_GB2312" w:cs="宋体"/>
          <w:color w:val="000000"/>
          <w:sz w:val="30"/>
          <w:szCs w:val="30"/>
          <w:lang w:eastAsia="zh-CN"/>
        </w:rPr>
        <w:t>撤销</w:t>
      </w:r>
      <w:r>
        <w:rPr>
          <w:rFonts w:hint="eastAsia" w:ascii="仿宋_GB2312" w:hAnsi="仿宋" w:eastAsia="仿宋_GB2312"/>
          <w:sz w:val="30"/>
          <w:szCs w:val="30"/>
        </w:rPr>
        <w:t>竞买预约，</w:t>
      </w:r>
      <w:r>
        <w:rPr>
          <w:rFonts w:hint="eastAsia" w:ascii="仿宋_GB2312" w:hAnsi="仿宋" w:eastAsia="仿宋_GB2312"/>
          <w:sz w:val="30"/>
          <w:szCs w:val="30"/>
          <w:lang w:eastAsia="zh-CN"/>
        </w:rPr>
        <w:t>撤销后新固定收益系统市场信息栏目将不再展示该条预约信息，并</w:t>
      </w:r>
      <w:r>
        <w:rPr>
          <w:rFonts w:hint="eastAsia" w:ascii="仿宋_GB2312" w:hAnsi="仿宋" w:eastAsia="仿宋_GB2312"/>
          <w:sz w:val="30"/>
          <w:szCs w:val="30"/>
        </w:rPr>
        <w:t>将生成竞买预约撤销提示。竞买预约撤销提示生成后，当日日终自动发布到本所官网“</w:t>
      </w:r>
      <w:r>
        <w:rPr>
          <w:rFonts w:hint="eastAsia" w:ascii="仿宋_GB2312" w:eastAsia="仿宋_GB2312"/>
          <w:sz w:val="30"/>
          <w:szCs w:val="30"/>
        </w:rPr>
        <w:t>首页-披露-债券信息-竞买业务-竞买预约提示</w:t>
      </w:r>
      <w:r>
        <w:rPr>
          <w:rFonts w:hint="eastAsia" w:ascii="仿宋_GB2312" w:hAnsi="仿宋" w:eastAsia="仿宋_GB2312"/>
          <w:sz w:val="30"/>
          <w:szCs w:val="30"/>
        </w:rPr>
        <w:t>”栏目和上证债券信息网“</w:t>
      </w:r>
      <w:r>
        <w:rPr>
          <w:rFonts w:hint="eastAsia" w:ascii="仿宋_GB2312" w:hAnsi="黑体" w:eastAsia="仿宋_GB2312"/>
          <w:sz w:val="30"/>
          <w:szCs w:val="30"/>
        </w:rPr>
        <w:t>首页</w:t>
      </w:r>
      <w:r>
        <w:rPr>
          <w:rFonts w:ascii="仿宋_GB2312" w:hAnsi="黑体" w:eastAsia="仿宋_GB2312"/>
          <w:sz w:val="30"/>
          <w:szCs w:val="30"/>
        </w:rPr>
        <w:t>-市场数据-行情展示-竞买业务-竞买预约提示</w:t>
      </w:r>
      <w:r>
        <w:rPr>
          <w:rFonts w:hint="eastAsia" w:ascii="仿宋_GB2312" w:hAnsi="仿宋" w:eastAsia="仿宋_GB2312"/>
          <w:sz w:val="30"/>
          <w:szCs w:val="30"/>
        </w:rPr>
        <w:t>”栏目，债券投资者可在上述栏目查询到前述竞买预约撤销提示，详见附件6</w:t>
      </w:r>
      <w:r>
        <w:rPr>
          <w:rFonts w:ascii="仿宋_GB2312" w:hAnsi="仿宋" w:eastAsia="仿宋_GB2312"/>
          <w:sz w:val="30"/>
          <w:szCs w:val="30"/>
        </w:rPr>
        <w:t>示例二</w:t>
      </w:r>
      <w:r>
        <w:rPr>
          <w:rFonts w:hint="eastAsia" w:ascii="仿宋_GB2312" w:hAnsi="仿宋" w:eastAsia="仿宋_GB2312"/>
          <w:sz w:val="30"/>
          <w:szCs w:val="30"/>
        </w:rPr>
        <w:t>。</w:t>
      </w:r>
    </w:p>
    <w:p w14:paraId="20867CCA">
      <w:pPr>
        <w:numPr>
          <w:ilvl w:val="255"/>
          <w:numId w:val="0"/>
        </w:numPr>
        <w:spacing w:line="600" w:lineRule="exact"/>
        <w:ind w:firstLine="600" w:firstLineChars="200"/>
        <w:outlineLvl w:val="3"/>
        <w:rPr>
          <w:rFonts w:ascii="仿宋_GB2312" w:hAnsi="仿宋" w:eastAsia="仿宋_GB2312"/>
          <w:sz w:val="30"/>
          <w:szCs w:val="30"/>
        </w:rPr>
      </w:pPr>
      <w:r>
        <w:rPr>
          <w:rFonts w:hint="eastAsia" w:ascii="仿宋_GB2312" w:eastAsia="仿宋_GB2312"/>
          <w:sz w:val="30"/>
          <w:szCs w:val="30"/>
        </w:rPr>
        <w:t>（4）</w:t>
      </w:r>
      <w:r>
        <w:rPr>
          <w:rFonts w:hint="eastAsia" w:ascii="仿宋_GB2312" w:hAnsi="仿宋" w:eastAsia="仿宋_GB2312"/>
          <w:sz w:val="30"/>
          <w:szCs w:val="30"/>
        </w:rPr>
        <w:t>竞买债券投资者组织</w:t>
      </w:r>
    </w:p>
    <w:p w14:paraId="25113399">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竞买日前，卖方可以提前联系竞买债券的潜在债券投资者。 卖方应当</w:t>
      </w:r>
      <w:r>
        <w:rPr>
          <w:rFonts w:hint="eastAsia" w:ascii="仿宋_GB2312" w:eastAsia="仿宋_GB2312"/>
          <w:color w:val="000000"/>
          <w:sz w:val="30"/>
          <w:szCs w:val="30"/>
        </w:rPr>
        <w:t>视</w:t>
      </w:r>
      <w:r>
        <w:rPr>
          <w:rFonts w:ascii="仿宋_GB2312" w:eastAsia="仿宋_GB2312"/>
          <w:color w:val="000000"/>
          <w:sz w:val="30"/>
          <w:szCs w:val="30"/>
        </w:rPr>
        <w:t>自身需求</w:t>
      </w:r>
      <w:r>
        <w:rPr>
          <w:rFonts w:hint="eastAsia" w:ascii="仿宋_GB2312" w:hAnsi="仿宋" w:eastAsia="仿宋_GB2312"/>
          <w:sz w:val="30"/>
          <w:szCs w:val="30"/>
        </w:rPr>
        <w:t>做好债券投资者组织工作，事先了解潜在债券投资者的投资需求和申报意向，确保竞买平稳有序进行。</w:t>
      </w:r>
    </w:p>
    <w:p w14:paraId="4AD1BA8F">
      <w:pPr>
        <w:numPr>
          <w:ilvl w:val="2"/>
          <w:numId w:val="4"/>
        </w:numPr>
        <w:spacing w:line="600" w:lineRule="exact"/>
        <w:ind w:left="0" w:firstLine="0"/>
        <w:outlineLvl w:val="2"/>
        <w:rPr>
          <w:rFonts w:ascii="仿宋_GB2312" w:eastAsia="仿宋_GB2312"/>
          <w:b/>
          <w:sz w:val="30"/>
          <w:szCs w:val="30"/>
        </w:rPr>
      </w:pPr>
      <w:bookmarkStart w:id="555" w:name="_Toc57908908"/>
      <w:r>
        <w:rPr>
          <w:rFonts w:hint="eastAsia" w:ascii="仿宋_GB2312" w:eastAsia="仿宋_GB2312"/>
          <w:b/>
          <w:sz w:val="30"/>
          <w:szCs w:val="30"/>
        </w:rPr>
        <w:t>竞买发起申报</w:t>
      </w:r>
      <w:bookmarkEnd w:id="555"/>
    </w:p>
    <w:p w14:paraId="69304525">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（1）竞买发起申报提交</w:t>
      </w:r>
    </w:p>
    <w:p w14:paraId="5A85BBC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在竞买日9:00-10:00，卖方通过</w:t>
      </w:r>
      <w:r>
        <w:rPr>
          <w:rFonts w:hint="eastAsia" w:ascii="仿宋_GB2312" w:hAnsi="仿宋" w:eastAsia="仿宋_GB2312"/>
          <w:sz w:val="30"/>
          <w:szCs w:val="30"/>
          <w:lang w:eastAsia="zh-CN"/>
        </w:rPr>
        <w:t>新固定收益系统</w:t>
      </w:r>
      <w:r>
        <w:rPr>
          <w:rFonts w:hint="eastAsia" w:ascii="仿宋_GB2312" w:hAnsi="仿宋" w:eastAsia="仿宋_GB2312"/>
          <w:sz w:val="30"/>
          <w:szCs w:val="30"/>
        </w:rPr>
        <w:t>提交竞买发起申报。竞买预约时卖方委托系统自动提交竞买发起申报的，竞买日</w:t>
      </w:r>
      <w:r>
        <w:rPr>
          <w:rFonts w:ascii="仿宋_GB2312" w:hAnsi="仿宋" w:eastAsia="仿宋_GB2312"/>
          <w:sz w:val="30"/>
          <w:szCs w:val="30"/>
        </w:rPr>
        <w:t>10:00系统自动</w:t>
      </w:r>
      <w:r>
        <w:rPr>
          <w:rFonts w:hint="eastAsia" w:ascii="仿宋_GB2312" w:hAnsi="仿宋" w:eastAsia="仿宋_GB2312"/>
          <w:sz w:val="30"/>
          <w:szCs w:val="30"/>
        </w:rPr>
        <w:t>按照竞买预约要素提交竞买发起申报。否则，卖方应当自行通过</w:t>
      </w:r>
      <w:r>
        <w:rPr>
          <w:rFonts w:hint="eastAsia" w:ascii="仿宋_GB2312" w:hAnsi="仿宋" w:eastAsia="仿宋_GB2312"/>
          <w:sz w:val="30"/>
          <w:szCs w:val="30"/>
          <w:lang w:eastAsia="zh-CN"/>
        </w:rPr>
        <w:t>新固定收益系统</w:t>
      </w:r>
      <w:r>
        <w:rPr>
          <w:rFonts w:hint="eastAsia" w:ascii="仿宋_GB2312" w:hAnsi="仿宋" w:eastAsia="仿宋_GB2312"/>
          <w:sz w:val="30"/>
          <w:szCs w:val="30"/>
        </w:rPr>
        <w:t>提交竞买发起申报。</w:t>
      </w:r>
    </w:p>
    <w:p w14:paraId="14AD7F2F">
      <w:pPr>
        <w:spacing w:line="600" w:lineRule="exact"/>
        <w:ind w:firstLine="600" w:firstLineChars="200"/>
        <w:rPr>
          <w:rFonts w:hint="eastAsia" w:ascii="仿宋_GB2312" w:hAnsi="仿宋" w:eastAsia="仿宋_GB2312"/>
          <w:sz w:val="30"/>
          <w:szCs w:val="30"/>
        </w:rPr>
      </w:pPr>
      <w:r>
        <w:rPr>
          <w:rFonts w:hint="eastAsia" w:ascii="仿宋_GB2312" w:hAnsi="仿宋" w:eastAsia="仿宋_GB2312"/>
          <w:sz w:val="30"/>
          <w:szCs w:val="30"/>
        </w:rPr>
        <w:t>提交竞买发起申报时，应当已完成竞买预约。竞买预约和竞买发起申报是一对一关系，一笔竞买预约只能提交一笔竞买发起申报。</w:t>
      </w:r>
    </w:p>
    <w:p w14:paraId="3D2D50D1">
      <w:pPr>
        <w:spacing w:line="600" w:lineRule="exact"/>
        <w:ind w:firstLine="600" w:firstLineChars="200"/>
        <w:rPr>
          <w:rFonts w:hint="eastAsia" w:ascii="仿宋_GB2312" w:hAnsi="仿宋" w:eastAsia="仿宋_GB2312"/>
          <w:sz w:val="30"/>
          <w:szCs w:val="30"/>
        </w:rPr>
      </w:pPr>
      <w:r>
        <w:rPr>
          <w:rFonts w:hint="eastAsia" w:ascii="仿宋_GB2312" w:hAnsi="仿宋" w:eastAsia="仿宋_GB2312"/>
          <w:sz w:val="30"/>
          <w:szCs w:val="30"/>
          <w:lang w:eastAsia="zh-CN"/>
        </w:rPr>
        <w:t>竞买申报提交后，</w:t>
      </w:r>
      <w:r>
        <w:rPr>
          <w:rFonts w:hint="eastAsia" w:ascii="仿宋_GB2312" w:hAnsi="仿宋" w:eastAsia="仿宋_GB2312"/>
          <w:sz w:val="30"/>
          <w:szCs w:val="30"/>
        </w:rPr>
        <w:t>债券投资者可在“</w:t>
      </w:r>
      <w:r>
        <w:rPr>
          <w:rFonts w:hint="eastAsia" w:ascii="仿宋_GB2312" w:hAnsi="仿宋" w:eastAsia="仿宋_GB2312"/>
          <w:sz w:val="30"/>
          <w:szCs w:val="30"/>
          <w:lang w:eastAsia="zh-CN"/>
        </w:rPr>
        <w:t>一债通</w:t>
      </w:r>
      <w:r>
        <w:rPr>
          <w:rFonts w:hint="eastAsia" w:ascii="仿宋_GB2312" w:eastAsia="仿宋_GB2312"/>
          <w:sz w:val="30"/>
          <w:szCs w:val="30"/>
        </w:rPr>
        <w:t>首页-</w:t>
      </w:r>
      <w:r>
        <w:rPr>
          <w:rFonts w:hint="eastAsia" w:ascii="仿宋_GB2312" w:eastAsia="仿宋_GB2312"/>
          <w:sz w:val="30"/>
          <w:szCs w:val="30"/>
          <w:lang w:eastAsia="zh-CN"/>
        </w:rPr>
        <w:t>市场</w:t>
      </w:r>
      <w:r>
        <w:rPr>
          <w:rFonts w:hint="eastAsia" w:ascii="仿宋_GB2312" w:eastAsia="仿宋_GB2312"/>
          <w:sz w:val="30"/>
          <w:szCs w:val="30"/>
        </w:rPr>
        <w:t>信息-</w:t>
      </w:r>
      <w:r>
        <w:rPr>
          <w:rFonts w:hint="eastAsia" w:ascii="仿宋_GB2312" w:eastAsia="仿宋_GB2312"/>
          <w:sz w:val="30"/>
          <w:szCs w:val="30"/>
          <w:lang w:eastAsia="zh-CN"/>
        </w:rPr>
        <w:t>交易行情</w:t>
      </w:r>
      <w:r>
        <w:rPr>
          <w:rFonts w:hint="eastAsia" w:ascii="仿宋_GB2312" w:eastAsia="仿宋_GB2312"/>
          <w:sz w:val="30"/>
          <w:szCs w:val="30"/>
          <w:lang w:val="en-US" w:eastAsia="zh-CN"/>
        </w:rPr>
        <w:t>-</w:t>
      </w:r>
      <w:r>
        <w:rPr>
          <w:rFonts w:hint="eastAsia" w:ascii="仿宋_GB2312" w:eastAsia="仿宋_GB2312"/>
          <w:sz w:val="30"/>
          <w:szCs w:val="30"/>
        </w:rPr>
        <w:t>竞买</w:t>
      </w:r>
      <w:r>
        <w:rPr>
          <w:rFonts w:hint="eastAsia" w:ascii="仿宋_GB2312" w:hAnsi="仿宋" w:eastAsia="仿宋_GB2312"/>
          <w:sz w:val="30"/>
          <w:szCs w:val="30"/>
        </w:rPr>
        <w:t>”栏目查询到实时发布的竞买</w:t>
      </w:r>
      <w:r>
        <w:rPr>
          <w:rFonts w:hint="eastAsia" w:ascii="仿宋_GB2312" w:hAnsi="仿宋" w:eastAsia="仿宋_GB2312"/>
          <w:sz w:val="30"/>
          <w:szCs w:val="30"/>
          <w:lang w:eastAsia="zh-CN"/>
        </w:rPr>
        <w:t>申报</w:t>
      </w:r>
      <w:r>
        <w:rPr>
          <w:rFonts w:hint="eastAsia" w:ascii="仿宋_GB2312" w:hAnsi="仿宋" w:eastAsia="仿宋_GB2312"/>
          <w:sz w:val="30"/>
          <w:szCs w:val="30"/>
        </w:rPr>
        <w:t>信息。</w:t>
      </w:r>
    </w:p>
    <w:p w14:paraId="5147B13D">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（2）竞买发起申报要素</w:t>
      </w:r>
    </w:p>
    <w:p w14:paraId="74569846">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竞买发起申报要素应当包括竞买方式、竞买时间、交易品种、价格区间（底价）、数量、最低成交总量（如有）、卖方证券账户、结算方式、结算周期、是否匿名等。</w:t>
      </w:r>
      <w:r>
        <w:rPr>
          <w:rFonts w:hint="eastAsia" w:ascii="仿宋_GB2312" w:eastAsia="仿宋_GB2312"/>
          <w:sz w:val="30"/>
          <w:szCs w:val="30"/>
        </w:rPr>
        <w:t>竞买发起申报具体要素及要素说明如下</w:t>
      </w:r>
      <w:r>
        <w:rPr>
          <w:rFonts w:hint="eastAsia" w:ascii="仿宋_GB2312" w:hAnsi="仿宋" w:eastAsia="仿宋_GB2312"/>
          <w:sz w:val="30"/>
          <w:szCs w:val="30"/>
        </w:rPr>
        <w:t>：</w:t>
      </w:r>
    </w:p>
    <w:tbl>
      <w:tblPr>
        <w:tblStyle w:val="43"/>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6520"/>
      </w:tblGrid>
      <w:tr w14:paraId="758E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46AE8C61">
            <w:pPr>
              <w:pStyle w:val="12"/>
              <w:ind w:firstLine="0" w:firstLineChars="0"/>
              <w:jc w:val="left"/>
              <w:rPr>
                <w:rFonts w:ascii="宋体" w:hAnsi="宋体"/>
                <w:b/>
                <w:color w:val="000000"/>
                <w:kern w:val="0"/>
                <w:lang w:eastAsia="en-US" w:bidi="en-US"/>
              </w:rPr>
            </w:pPr>
            <w:r>
              <w:rPr>
                <w:rFonts w:hint="eastAsia" w:ascii="仿宋_GB2312" w:eastAsia="仿宋_GB2312"/>
                <w:b/>
                <w:kern w:val="0"/>
                <w:lang w:eastAsia="en-US" w:bidi="en-US"/>
              </w:rPr>
              <w:t>要素名称</w:t>
            </w:r>
          </w:p>
        </w:tc>
        <w:tc>
          <w:tcPr>
            <w:tcW w:w="6520" w:type="dxa"/>
          </w:tcPr>
          <w:p w14:paraId="2EFA9E82">
            <w:pPr>
              <w:pStyle w:val="12"/>
              <w:ind w:firstLine="0" w:firstLineChars="0"/>
              <w:jc w:val="left"/>
              <w:rPr>
                <w:rFonts w:ascii="宋体" w:hAnsi="宋体"/>
                <w:b/>
                <w:color w:val="000000"/>
                <w:kern w:val="0"/>
                <w:lang w:eastAsia="en-US" w:bidi="en-US"/>
              </w:rPr>
            </w:pPr>
            <w:r>
              <w:rPr>
                <w:rFonts w:hint="eastAsia" w:ascii="仿宋_GB2312" w:eastAsia="仿宋_GB2312"/>
                <w:b/>
                <w:kern w:val="0"/>
                <w:lang w:eastAsia="en-US" w:bidi="en-US"/>
              </w:rPr>
              <w:t>要素说明</w:t>
            </w:r>
          </w:p>
        </w:tc>
      </w:tr>
      <w:tr w14:paraId="16490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0D6C63EF">
            <w:pPr>
              <w:jc w:val="left"/>
              <w:rPr>
                <w:rFonts w:ascii="仿宋_GB2312" w:hAnsi="宋体" w:eastAsia="仿宋_GB2312"/>
                <w:b/>
                <w:color w:val="000000"/>
                <w:kern w:val="0"/>
                <w:lang w:eastAsia="en-US" w:bidi="en-US"/>
              </w:rPr>
            </w:pPr>
            <w:r>
              <w:rPr>
                <w:rFonts w:hint="eastAsia" w:ascii="仿宋_GB2312" w:eastAsia="仿宋_GB2312"/>
                <w:b/>
                <w:kern w:val="0"/>
                <w:sz w:val="24"/>
                <w:szCs w:val="24"/>
                <w:lang w:eastAsia="en-US" w:bidi="en-US"/>
              </w:rPr>
              <w:t>订单类型</w:t>
            </w:r>
          </w:p>
        </w:tc>
        <w:tc>
          <w:tcPr>
            <w:tcW w:w="6520" w:type="dxa"/>
          </w:tcPr>
          <w:p w14:paraId="4E46ED0F">
            <w:pPr>
              <w:pStyle w:val="12"/>
              <w:ind w:firstLine="0" w:firstLineChars="0"/>
              <w:rPr>
                <w:rFonts w:hint="eastAsia" w:ascii="仿宋_GB2312" w:hAnsi="宋体" w:eastAsia="仿宋_GB2312"/>
                <w:kern w:val="0"/>
                <w:lang w:eastAsia="zh-CN" w:bidi="en-US"/>
              </w:rPr>
            </w:pPr>
            <w:r>
              <w:rPr>
                <w:rFonts w:hint="eastAsia" w:ascii="仿宋_GB2312" w:hAnsi="宋体" w:eastAsia="仿宋_GB2312"/>
                <w:color w:val="000000"/>
                <w:kern w:val="0"/>
                <w:lang w:eastAsia="zh-CN" w:bidi="en-US"/>
              </w:rPr>
              <w:t>竞买申报，自动带出</w:t>
            </w:r>
          </w:p>
        </w:tc>
      </w:tr>
      <w:tr w14:paraId="55BB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207C00AF">
            <w:pPr>
              <w:pStyle w:val="12"/>
              <w:widowControl/>
              <w:ind w:firstLine="0" w:firstLineChars="0"/>
              <w:jc w:val="left"/>
              <w:textAlignment w:val="center"/>
              <w:rPr>
                <w:rFonts w:hint="eastAsia" w:ascii="仿宋_GB2312" w:hAnsi="Times New Roman" w:eastAsia="仿宋_GB2312"/>
                <w:b/>
                <w:color w:val="000000"/>
                <w:kern w:val="0"/>
                <w:lang w:eastAsia="en-US" w:bidi="en-US"/>
              </w:rPr>
            </w:pPr>
            <w:r>
              <w:rPr>
                <w:rFonts w:hint="eastAsia" w:ascii="仿宋_GB2312" w:eastAsia="仿宋_GB2312"/>
                <w:b/>
                <w:color w:val="000000"/>
                <w:kern w:val="0"/>
                <w:sz w:val="24"/>
                <w:szCs w:val="24"/>
                <w:lang w:eastAsia="en-US" w:bidi="en-US"/>
              </w:rPr>
              <w:t>本方</w:t>
            </w:r>
          </w:p>
        </w:tc>
        <w:tc>
          <w:tcPr>
            <w:tcW w:w="6520" w:type="dxa"/>
          </w:tcPr>
          <w:p w14:paraId="0662B26E">
            <w:pPr>
              <w:pStyle w:val="12"/>
              <w:ind w:firstLine="0" w:firstLineChars="0"/>
              <w:rPr>
                <w:rFonts w:hint="eastAsia" w:ascii="仿宋_GB2312" w:hAnsi="宋体" w:eastAsia="仿宋_GB2312"/>
                <w:color w:val="000000"/>
                <w:kern w:val="0"/>
                <w:lang w:eastAsia="zh-CN" w:bidi="en-US"/>
              </w:rPr>
            </w:pPr>
            <w:r>
              <w:rPr>
                <w:rFonts w:hint="eastAsia" w:ascii="仿宋_GB2312" w:hAnsi="宋体" w:eastAsia="仿宋_GB2312"/>
                <w:color w:val="000000"/>
                <w:kern w:val="0"/>
                <w:lang w:eastAsia="zh-CN" w:bidi="en-US"/>
              </w:rPr>
              <w:t>本方债券交易参与人简称，自动带出</w:t>
            </w:r>
          </w:p>
        </w:tc>
      </w:tr>
      <w:tr w14:paraId="725BB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vAlign w:val="center"/>
          </w:tcPr>
          <w:p w14:paraId="2F2E3E00">
            <w:pPr>
              <w:pStyle w:val="12"/>
              <w:widowControl/>
              <w:ind w:firstLine="0" w:firstLineChars="0"/>
              <w:jc w:val="left"/>
              <w:textAlignment w:val="center"/>
              <w:rPr>
                <w:rFonts w:hint="eastAsia" w:ascii="仿宋_GB2312" w:hAnsi="Times New Roman" w:eastAsia="仿宋_GB2312"/>
                <w:b/>
                <w:color w:val="000000"/>
                <w:kern w:val="0"/>
                <w:lang w:eastAsia="en-US" w:bidi="en-US"/>
              </w:rPr>
            </w:pPr>
            <w:r>
              <w:rPr>
                <w:rFonts w:hint="eastAsia" w:ascii="仿宋_GB2312" w:eastAsia="仿宋_GB2312"/>
                <w:b/>
                <w:color w:val="000000"/>
                <w:kern w:val="0"/>
                <w:sz w:val="24"/>
                <w:szCs w:val="24"/>
                <w:lang w:eastAsia="en-US" w:bidi="en-US"/>
              </w:rPr>
              <w:t>本方一债通账户</w:t>
            </w:r>
          </w:p>
        </w:tc>
        <w:tc>
          <w:tcPr>
            <w:tcW w:w="6520" w:type="dxa"/>
          </w:tcPr>
          <w:p w14:paraId="31FACBE1">
            <w:pPr>
              <w:pStyle w:val="12"/>
              <w:ind w:firstLine="0" w:firstLineChars="0"/>
              <w:rPr>
                <w:rFonts w:hint="eastAsia" w:ascii="宋体" w:hAnsi="宋体" w:eastAsia="仿宋_GB2312"/>
                <w:color w:val="000000"/>
                <w:kern w:val="0"/>
                <w:lang w:eastAsia="zh-CN" w:bidi="en-US"/>
              </w:rPr>
            </w:pPr>
            <w:r>
              <w:rPr>
                <w:rFonts w:hint="eastAsia" w:ascii="仿宋_GB2312" w:hAnsi="宋体" w:eastAsia="仿宋_GB2312"/>
                <w:kern w:val="0"/>
                <w:lang w:eastAsia="zh-CN" w:bidi="en-US"/>
              </w:rPr>
              <w:t>登录交易员一债通账户号</w:t>
            </w:r>
            <w:r>
              <w:rPr>
                <w:rFonts w:hint="eastAsia" w:ascii="仿宋_GB2312" w:hAnsi="宋体" w:eastAsia="仿宋_GB2312"/>
                <w:color w:val="000000"/>
                <w:kern w:val="0"/>
                <w:lang w:eastAsia="zh-CN" w:bidi="en-US"/>
              </w:rPr>
              <w:t>，自动带出</w:t>
            </w:r>
          </w:p>
        </w:tc>
      </w:tr>
      <w:tr w14:paraId="5C5FE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1441C110">
            <w:pPr>
              <w:pStyle w:val="12"/>
              <w:ind w:firstLine="0" w:firstLineChars="0"/>
              <w:jc w:val="left"/>
              <w:rPr>
                <w:rFonts w:hint="eastAsia" w:ascii="仿宋_GB2312" w:hAnsi="Times New Roman" w:eastAsia="仿宋_GB2312"/>
                <w:b/>
                <w:color w:val="000000"/>
                <w:kern w:val="0"/>
                <w:lang w:eastAsia="en-US" w:bidi="en-US"/>
              </w:rPr>
            </w:pPr>
            <w:r>
              <w:rPr>
                <w:rFonts w:hint="eastAsia" w:ascii="仿宋_GB2312" w:eastAsia="仿宋_GB2312"/>
                <w:b/>
                <w:kern w:val="0"/>
                <w:sz w:val="24"/>
                <w:szCs w:val="24"/>
                <w:lang w:eastAsia="en-US" w:bidi="en-US"/>
              </w:rPr>
              <w:t>本方交易员</w:t>
            </w:r>
          </w:p>
        </w:tc>
        <w:tc>
          <w:tcPr>
            <w:tcW w:w="6520" w:type="dxa"/>
          </w:tcPr>
          <w:p w14:paraId="4037857B">
            <w:pPr>
              <w:pStyle w:val="12"/>
              <w:ind w:firstLine="0" w:firstLineChars="0"/>
              <w:rPr>
                <w:rFonts w:hint="eastAsia" w:ascii="仿宋_GB2312" w:hAnsi="宋体" w:eastAsia="仿宋_GB2312"/>
                <w:color w:val="000000"/>
                <w:kern w:val="0"/>
                <w:lang w:eastAsia="zh-CN" w:bidi="en-US"/>
              </w:rPr>
            </w:pPr>
            <w:r>
              <w:rPr>
                <w:rFonts w:hint="eastAsia" w:ascii="仿宋_GB2312" w:hAnsi="宋体" w:eastAsia="仿宋_GB2312"/>
                <w:color w:val="000000"/>
                <w:kern w:val="0"/>
                <w:lang w:eastAsia="zh-CN" w:bidi="en-US"/>
              </w:rPr>
              <w:t>本方交易员名称，自动带出</w:t>
            </w:r>
          </w:p>
        </w:tc>
      </w:tr>
      <w:tr w14:paraId="48EC9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69B65B25">
            <w:pPr>
              <w:pStyle w:val="12"/>
              <w:widowControl/>
              <w:ind w:firstLine="0" w:firstLineChars="0"/>
              <w:jc w:val="left"/>
              <w:textAlignment w:val="center"/>
              <w:rPr>
                <w:rFonts w:hint="eastAsia" w:ascii="仿宋_GB2312" w:hAnsi="Times New Roman" w:eastAsia="仿宋_GB2312"/>
                <w:b/>
                <w:color w:val="000000"/>
                <w:kern w:val="0"/>
                <w:lang w:eastAsia="en-US" w:bidi="en-US"/>
              </w:rPr>
            </w:pPr>
            <w:r>
              <w:rPr>
                <w:rFonts w:hint="eastAsia" w:ascii="仿宋_GB2312" w:eastAsia="仿宋_GB2312"/>
                <w:b/>
                <w:color w:val="000000"/>
                <w:kern w:val="0"/>
                <w:sz w:val="24"/>
                <w:szCs w:val="24"/>
                <w:lang w:eastAsia="en-US" w:bidi="en-US"/>
              </w:rPr>
              <w:t>证券账户</w:t>
            </w:r>
          </w:p>
        </w:tc>
        <w:tc>
          <w:tcPr>
            <w:tcW w:w="6520" w:type="dxa"/>
          </w:tcPr>
          <w:p w14:paraId="394E16C2">
            <w:pPr>
              <w:pStyle w:val="12"/>
              <w:ind w:firstLine="0" w:firstLineChars="0"/>
              <w:rPr>
                <w:rFonts w:hint="eastAsia" w:ascii="仿宋_GB2312" w:hAnsi="宋体" w:eastAsia="仿宋_GB2312"/>
                <w:color w:val="000000"/>
                <w:kern w:val="0"/>
                <w:lang w:eastAsia="zh-CN" w:bidi="en-US"/>
              </w:rPr>
            </w:pPr>
            <w:r>
              <w:rPr>
                <w:rFonts w:hint="eastAsia" w:ascii="仿宋_GB2312" w:hAnsi="宋体" w:eastAsia="仿宋_GB2312"/>
                <w:color w:val="000000"/>
                <w:kern w:val="0"/>
                <w:lang w:eastAsia="zh-CN" w:bidi="en-US"/>
              </w:rPr>
              <w:t>证券账户号码</w:t>
            </w:r>
          </w:p>
        </w:tc>
      </w:tr>
      <w:tr w14:paraId="1BEB4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185E654E">
            <w:pPr>
              <w:pStyle w:val="12"/>
              <w:widowControl/>
              <w:ind w:firstLine="0" w:firstLineChars="0"/>
              <w:jc w:val="left"/>
              <w:textAlignment w:val="center"/>
              <w:rPr>
                <w:rFonts w:hint="eastAsia" w:ascii="仿宋_GB2312" w:eastAsia="仿宋_GB2312"/>
                <w:b/>
                <w:color w:val="000000"/>
                <w:kern w:val="0"/>
                <w:sz w:val="24"/>
                <w:szCs w:val="24"/>
                <w:lang w:eastAsia="en-US" w:bidi="en-US"/>
              </w:rPr>
            </w:pPr>
            <w:r>
              <w:rPr>
                <w:rFonts w:hint="eastAsia" w:ascii="仿宋_GB2312" w:eastAsia="仿宋_GB2312"/>
                <w:b/>
                <w:kern w:val="0"/>
                <w:sz w:val="24"/>
                <w:szCs w:val="24"/>
                <w:lang w:eastAsia="zh-CN" w:bidi="en-US"/>
              </w:rPr>
              <w:t>结算方式</w:t>
            </w:r>
          </w:p>
        </w:tc>
        <w:tc>
          <w:tcPr>
            <w:tcW w:w="6520" w:type="dxa"/>
            <w:vAlign w:val="top"/>
          </w:tcPr>
          <w:p w14:paraId="6C8903C9">
            <w:pPr>
              <w:pStyle w:val="12"/>
              <w:tabs>
                <w:tab w:val="left" w:pos="0"/>
                <w:tab w:val="center" w:pos="4867"/>
                <w:tab w:val="right" w:pos="9360"/>
              </w:tabs>
              <w:ind w:firstLine="0" w:firstLineChars="0"/>
              <w:rPr>
                <w:rFonts w:hint="eastAsia" w:ascii="仿宋_GB2312" w:hAnsi="宋体" w:eastAsia="仿宋_GB2312"/>
                <w:color w:val="000000"/>
                <w:kern w:val="0"/>
                <w:lang w:eastAsia="en-US" w:bidi="en-US"/>
              </w:rPr>
            </w:pPr>
            <w:r>
              <w:rPr>
                <w:rFonts w:hint="eastAsia" w:ascii="仿宋_GB2312" w:hAnsi="宋体" w:eastAsia="仿宋_GB2312"/>
                <w:color w:val="000000"/>
                <w:kern w:val="0"/>
                <w:lang w:eastAsia="zh-CN" w:bidi="en-US"/>
              </w:rPr>
              <w:t>可选“净额结算”或“</w:t>
            </w:r>
            <w:r>
              <w:rPr>
                <w:rFonts w:hint="eastAsia" w:ascii="仿宋_GB2312" w:hAnsi="宋体" w:eastAsia="仿宋_GB2312"/>
                <w:color w:val="000000"/>
                <w:kern w:val="0"/>
                <w:lang w:val="en-US" w:eastAsia="zh-CN" w:bidi="en-US"/>
              </w:rPr>
              <w:t>RTGS结算</w:t>
            </w:r>
            <w:r>
              <w:rPr>
                <w:rFonts w:hint="eastAsia" w:ascii="仿宋_GB2312" w:hAnsi="宋体" w:eastAsia="仿宋_GB2312"/>
                <w:color w:val="000000"/>
                <w:kern w:val="0"/>
                <w:lang w:eastAsia="zh-CN" w:bidi="en-US"/>
              </w:rPr>
              <w:t>”</w:t>
            </w:r>
          </w:p>
        </w:tc>
      </w:tr>
      <w:tr w14:paraId="2EDB4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vAlign w:val="center"/>
          </w:tcPr>
          <w:p w14:paraId="5D64CC75">
            <w:pPr>
              <w:pStyle w:val="12"/>
              <w:ind w:firstLine="0" w:firstLineChars="0"/>
              <w:jc w:val="left"/>
              <w:rPr>
                <w:rFonts w:hint="eastAsia" w:ascii="仿宋_GB2312" w:hAnsi="Times New Roman" w:eastAsia="仿宋_GB2312"/>
                <w:b/>
                <w:color w:val="000000"/>
                <w:kern w:val="0"/>
                <w:lang w:eastAsia="en-US" w:bidi="en-US"/>
              </w:rPr>
            </w:pPr>
            <w:r>
              <w:rPr>
                <w:rFonts w:hint="eastAsia" w:ascii="仿宋_GB2312" w:eastAsia="仿宋_GB2312"/>
                <w:b/>
                <w:kern w:val="0"/>
                <w:sz w:val="24"/>
                <w:szCs w:val="24"/>
                <w:lang w:eastAsia="en-US" w:bidi="en-US"/>
              </w:rPr>
              <w:t>交易单元</w:t>
            </w:r>
          </w:p>
        </w:tc>
        <w:tc>
          <w:tcPr>
            <w:tcW w:w="6520" w:type="dxa"/>
          </w:tcPr>
          <w:p w14:paraId="0E2C852C">
            <w:pPr>
              <w:pStyle w:val="12"/>
              <w:ind w:firstLine="0" w:firstLineChars="0"/>
              <w:rPr>
                <w:rFonts w:hint="default" w:ascii="仿宋_GB2312" w:hAnsi="宋体" w:eastAsia="仿宋_GB2312"/>
                <w:color w:val="000000"/>
                <w:kern w:val="0"/>
                <w:lang w:val="en-US" w:eastAsia="zh-CN" w:bidi="en-US"/>
              </w:rPr>
            </w:pPr>
            <w:r>
              <w:rPr>
                <w:rFonts w:hint="eastAsia" w:ascii="仿宋_GB2312" w:hAnsi="宋体" w:eastAsia="仿宋_GB2312"/>
                <w:color w:val="000000"/>
                <w:kern w:val="0"/>
                <w:lang w:eastAsia="zh-CN" w:bidi="en-US"/>
              </w:rPr>
              <w:t>证券账户对应的</w:t>
            </w:r>
            <w:r>
              <w:rPr>
                <w:rFonts w:hint="eastAsia" w:ascii="仿宋_GB2312" w:hAnsi="宋体" w:eastAsia="仿宋_GB2312"/>
                <w:color w:val="000000"/>
                <w:kern w:val="0"/>
                <w:lang w:val="en-US" w:eastAsia="zh-CN" w:bidi="en-US"/>
              </w:rPr>
              <w:t>交易单元</w:t>
            </w:r>
            <w:r>
              <w:rPr>
                <w:rFonts w:hint="eastAsia" w:ascii="仿宋_GB2312" w:hAnsi="宋体" w:eastAsia="仿宋_GB2312"/>
                <w:color w:val="000000"/>
                <w:kern w:val="0"/>
                <w:lang w:eastAsia="zh-CN" w:bidi="en-US"/>
              </w:rPr>
              <w:t>，根据证券账户自动带出</w:t>
            </w:r>
          </w:p>
        </w:tc>
      </w:tr>
      <w:tr w14:paraId="2AA59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6F9B963D">
            <w:pPr>
              <w:pStyle w:val="12"/>
              <w:widowControl/>
              <w:ind w:firstLine="0" w:firstLineChars="0"/>
              <w:jc w:val="left"/>
              <w:textAlignment w:val="center"/>
              <w:rPr>
                <w:rFonts w:hint="eastAsia" w:ascii="仿宋_GB2312" w:hAnsi="Times New Roman" w:eastAsia="仿宋_GB2312"/>
                <w:b/>
                <w:color w:val="000000"/>
                <w:kern w:val="0"/>
                <w:lang w:eastAsia="en-US" w:bidi="en-US"/>
              </w:rPr>
            </w:pPr>
            <w:r>
              <w:rPr>
                <w:rFonts w:hint="eastAsia" w:ascii="仿宋_GB2312" w:eastAsia="仿宋_GB2312"/>
                <w:b/>
                <w:color w:val="000000"/>
                <w:kern w:val="0"/>
                <w:sz w:val="24"/>
                <w:szCs w:val="24"/>
                <w:lang w:eastAsia="en-US" w:bidi="en-US"/>
              </w:rPr>
              <w:t>账户名称</w:t>
            </w:r>
          </w:p>
        </w:tc>
        <w:tc>
          <w:tcPr>
            <w:tcW w:w="6520" w:type="dxa"/>
          </w:tcPr>
          <w:p w14:paraId="2DDDFF25">
            <w:pPr>
              <w:pStyle w:val="12"/>
              <w:tabs>
                <w:tab w:val="left" w:pos="0"/>
                <w:tab w:val="center" w:pos="4867"/>
                <w:tab w:val="right" w:pos="9360"/>
              </w:tabs>
              <w:ind w:firstLine="0" w:firstLineChars="0"/>
              <w:rPr>
                <w:rFonts w:hint="eastAsia" w:ascii="仿宋_GB2312" w:hAnsi="宋体" w:eastAsia="仿宋_GB2312"/>
                <w:color w:val="000000"/>
                <w:kern w:val="0"/>
                <w:lang w:eastAsia="zh-CN" w:bidi="en-US"/>
              </w:rPr>
            </w:pPr>
            <w:r>
              <w:rPr>
                <w:rFonts w:hint="eastAsia" w:ascii="仿宋_GB2312" w:eastAsia="仿宋_GB2312"/>
                <w:kern w:val="0"/>
                <w:lang w:eastAsia="zh-CN" w:bidi="en-US"/>
              </w:rPr>
              <w:t>证券账户对应的账户名称，自动带出</w:t>
            </w:r>
          </w:p>
        </w:tc>
      </w:tr>
      <w:tr w14:paraId="4EE31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6F10EEF2">
            <w:pPr>
              <w:pStyle w:val="12"/>
              <w:widowControl/>
              <w:ind w:firstLine="0" w:firstLineChars="0"/>
              <w:jc w:val="left"/>
              <w:textAlignment w:val="center"/>
              <w:rPr>
                <w:rFonts w:hint="eastAsia" w:ascii="仿宋_GB2312" w:hAnsi="Times New Roman" w:eastAsia="仿宋_GB2312"/>
                <w:b/>
                <w:color w:val="000000"/>
                <w:kern w:val="0"/>
                <w:lang w:eastAsia="en-US" w:bidi="en-US"/>
              </w:rPr>
            </w:pPr>
            <w:r>
              <w:rPr>
                <w:rFonts w:hint="eastAsia" w:ascii="仿宋_GB2312" w:eastAsia="仿宋_GB2312"/>
                <w:b/>
                <w:kern w:val="0"/>
                <w:sz w:val="24"/>
                <w:szCs w:val="24"/>
                <w:lang w:eastAsia="en-US" w:bidi="en-US"/>
              </w:rPr>
              <w:t>竞买数量</w:t>
            </w:r>
          </w:p>
        </w:tc>
        <w:tc>
          <w:tcPr>
            <w:tcW w:w="6520" w:type="dxa"/>
          </w:tcPr>
          <w:p w14:paraId="5938EB29">
            <w:pPr>
              <w:pStyle w:val="12"/>
              <w:tabs>
                <w:tab w:val="left" w:pos="0"/>
                <w:tab w:val="center" w:pos="4867"/>
                <w:tab w:val="right" w:pos="9360"/>
              </w:tabs>
              <w:ind w:firstLine="0" w:firstLineChars="0"/>
              <w:rPr>
                <w:rFonts w:hint="eastAsia" w:ascii="仿宋_GB2312" w:hAnsi="宋体" w:eastAsia="仿宋_GB2312"/>
                <w:color w:val="000000"/>
                <w:kern w:val="0"/>
                <w:lang w:eastAsia="zh-CN" w:bidi="en-US"/>
              </w:rPr>
            </w:pPr>
            <w:r>
              <w:rPr>
                <w:rFonts w:hint="eastAsia" w:ascii="仿宋_GB2312" w:hAnsi="宋体" w:eastAsia="仿宋_GB2312"/>
                <w:color w:val="000000"/>
                <w:kern w:val="0"/>
                <w:lang w:eastAsia="zh-CN" w:bidi="en-US"/>
              </w:rPr>
              <w:t>竞买的数量，债券为千元面额</w:t>
            </w:r>
          </w:p>
        </w:tc>
      </w:tr>
      <w:tr w14:paraId="7627C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3DD018FD">
            <w:pPr>
              <w:widowControl/>
              <w:jc w:val="left"/>
              <w:textAlignment w:val="auto"/>
              <w:rPr>
                <w:rFonts w:hint="eastAsia" w:ascii="仿宋_GB2312" w:hAnsi="Times New Roman" w:eastAsia="仿宋_GB2312"/>
                <w:b/>
                <w:color w:val="auto"/>
                <w:kern w:val="0"/>
                <w:sz w:val="24"/>
                <w:szCs w:val="24"/>
                <w:lang w:eastAsia="en-US" w:bidi="en-US"/>
              </w:rPr>
            </w:pPr>
            <w:r>
              <w:rPr>
                <w:rFonts w:hint="eastAsia" w:ascii="仿宋_GB2312" w:eastAsia="仿宋_GB2312"/>
                <w:b/>
                <w:kern w:val="0"/>
                <w:sz w:val="24"/>
                <w:szCs w:val="24"/>
                <w:lang w:eastAsia="en-US" w:bidi="en-US"/>
              </w:rPr>
              <w:t>底价</w:t>
            </w:r>
          </w:p>
        </w:tc>
        <w:tc>
          <w:tcPr>
            <w:tcW w:w="6520" w:type="dxa"/>
          </w:tcPr>
          <w:p w14:paraId="38DE26E6">
            <w:pPr>
              <w:pStyle w:val="12"/>
              <w:ind w:firstLine="0" w:firstLineChars="0"/>
              <w:rPr>
                <w:rFonts w:hint="eastAsia" w:ascii="仿宋_GB2312" w:hAnsi="宋体" w:eastAsia="仿宋_GB2312"/>
                <w:color w:val="000000"/>
                <w:kern w:val="0"/>
                <w:lang w:eastAsia="zh-CN" w:bidi="en-US"/>
              </w:rPr>
            </w:pPr>
            <w:r>
              <w:rPr>
                <w:rFonts w:hint="eastAsia" w:ascii="仿宋_GB2312" w:eastAsia="仿宋_GB2312"/>
                <w:kern w:val="0"/>
                <w:lang w:eastAsia="zh-CN" w:bidi="en-US"/>
              </w:rPr>
              <w:t>竞买应价的最低价格，元</w:t>
            </w:r>
          </w:p>
        </w:tc>
      </w:tr>
      <w:tr w14:paraId="5C02F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vAlign w:val="center"/>
          </w:tcPr>
          <w:p w14:paraId="6A5A8682">
            <w:pPr>
              <w:widowControl/>
              <w:jc w:val="left"/>
              <w:textAlignment w:val="auto"/>
              <w:rPr>
                <w:rFonts w:hint="eastAsia" w:ascii="仿宋_GB2312" w:eastAsia="仿宋_GB2312"/>
                <w:b/>
                <w:kern w:val="0"/>
                <w:sz w:val="24"/>
                <w:szCs w:val="24"/>
                <w:lang w:eastAsia="en-US" w:bidi="en-US"/>
              </w:rPr>
            </w:pPr>
            <w:r>
              <w:rPr>
                <w:rFonts w:hint="eastAsia" w:ascii="仿宋_GB2312" w:eastAsia="仿宋_GB2312"/>
                <w:b/>
                <w:kern w:val="0"/>
                <w:sz w:val="24"/>
                <w:szCs w:val="24"/>
                <w:lang w:eastAsia="en-US" w:bidi="en-US"/>
              </w:rPr>
              <w:t>最低成交数量</w:t>
            </w:r>
          </w:p>
        </w:tc>
        <w:tc>
          <w:tcPr>
            <w:tcW w:w="6520" w:type="dxa"/>
          </w:tcPr>
          <w:p w14:paraId="25D6499D">
            <w:pPr>
              <w:pStyle w:val="12"/>
              <w:ind w:firstLine="0" w:firstLineChars="0"/>
              <w:rPr>
                <w:rFonts w:hint="eastAsia" w:ascii="仿宋_GB2312" w:hAnsi="宋体" w:eastAsia="仿宋_GB2312"/>
                <w:kern w:val="0"/>
                <w:lang w:eastAsia="zh-CN" w:bidi="en-US"/>
              </w:rPr>
            </w:pPr>
            <w:r>
              <w:rPr>
                <w:rFonts w:hint="eastAsia" w:ascii="仿宋_GB2312" w:hAnsi="宋体" w:eastAsia="仿宋_GB2312"/>
                <w:kern w:val="0"/>
                <w:lang w:eastAsia="zh-CN" w:bidi="en-US"/>
              </w:rPr>
              <w:t>允许成交的最小数量，如有</w:t>
            </w:r>
          </w:p>
        </w:tc>
      </w:tr>
      <w:tr w14:paraId="3A40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7F8BFB81">
            <w:pPr>
              <w:widowControl/>
              <w:jc w:val="left"/>
              <w:textAlignment w:val="auto"/>
              <w:rPr>
                <w:rFonts w:hint="eastAsia" w:ascii="仿宋_GB2312" w:eastAsia="仿宋_GB2312"/>
                <w:b/>
                <w:kern w:val="0"/>
                <w:sz w:val="24"/>
                <w:szCs w:val="24"/>
                <w:lang w:eastAsia="en-US" w:bidi="en-US"/>
              </w:rPr>
            </w:pPr>
            <w:r>
              <w:rPr>
                <w:rFonts w:hint="eastAsia" w:ascii="仿宋_GB2312" w:eastAsia="仿宋_GB2312"/>
                <w:b/>
                <w:color w:val="auto"/>
                <w:kern w:val="0"/>
                <w:sz w:val="24"/>
                <w:szCs w:val="24"/>
                <w:lang w:eastAsia="en-US" w:bidi="en-US"/>
              </w:rPr>
              <w:t>证券代码</w:t>
            </w:r>
          </w:p>
        </w:tc>
        <w:tc>
          <w:tcPr>
            <w:tcW w:w="6520" w:type="dxa"/>
          </w:tcPr>
          <w:p w14:paraId="454CC131">
            <w:pPr>
              <w:pStyle w:val="12"/>
              <w:ind w:firstLine="0" w:firstLineChars="0"/>
              <w:rPr>
                <w:rFonts w:hint="eastAsia" w:ascii="仿宋_GB2312" w:eastAsia="仿宋_GB2312"/>
                <w:kern w:val="0"/>
                <w:lang w:eastAsia="zh-CN" w:bidi="en-US"/>
              </w:rPr>
            </w:pPr>
            <w:r>
              <w:rPr>
                <w:rFonts w:hint="eastAsia" w:ascii="仿宋_GB2312" w:eastAsia="仿宋_GB2312"/>
                <w:kern w:val="0"/>
                <w:lang w:eastAsia="zh-CN" w:bidi="en-US"/>
              </w:rPr>
              <w:t>证券代码</w:t>
            </w:r>
          </w:p>
        </w:tc>
      </w:tr>
      <w:tr w14:paraId="37168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shd w:val="clear" w:color="auto" w:fill="auto"/>
            <w:vAlign w:val="center"/>
          </w:tcPr>
          <w:p w14:paraId="2C9A6C21">
            <w:pPr>
              <w:widowControl/>
              <w:jc w:val="left"/>
              <w:textAlignment w:val="auto"/>
              <w:rPr>
                <w:rFonts w:hint="eastAsia" w:ascii="仿宋_GB2312" w:hAnsi="Times New Roman" w:eastAsia="仿宋_GB2312" w:cs="Times New Roman"/>
                <w:b/>
                <w:color w:val="auto"/>
                <w:kern w:val="0"/>
                <w:sz w:val="24"/>
                <w:szCs w:val="24"/>
                <w:lang w:val="en-US" w:eastAsia="en-US" w:bidi="en-US"/>
              </w:rPr>
            </w:pPr>
            <w:r>
              <w:rPr>
                <w:rFonts w:hint="eastAsia" w:ascii="仿宋_GB2312" w:eastAsia="仿宋_GB2312"/>
                <w:b/>
                <w:color w:val="auto"/>
                <w:kern w:val="0"/>
                <w:sz w:val="24"/>
                <w:szCs w:val="24"/>
                <w:lang w:eastAsia="zh-CN" w:bidi="en-US"/>
              </w:rPr>
              <w:t>证券简称</w:t>
            </w:r>
          </w:p>
        </w:tc>
        <w:tc>
          <w:tcPr>
            <w:tcW w:w="6520" w:type="dxa"/>
            <w:shd w:val="clear" w:color="auto" w:fill="auto"/>
            <w:vAlign w:val="top"/>
          </w:tcPr>
          <w:p w14:paraId="15E02836">
            <w:pPr>
              <w:pStyle w:val="12"/>
              <w:ind w:firstLine="0" w:firstLineChars="0"/>
              <w:rPr>
                <w:rFonts w:hint="eastAsia" w:ascii="仿宋_GB2312" w:hAnsi="Times New Roman" w:eastAsia="仿宋_GB2312" w:cs="Times New Roman"/>
                <w:kern w:val="0"/>
                <w:sz w:val="24"/>
                <w:szCs w:val="24"/>
                <w:lang w:val="en-US" w:eastAsia="zh-CN" w:bidi="en-US"/>
              </w:rPr>
            </w:pPr>
            <w:r>
              <w:rPr>
                <w:rFonts w:hint="eastAsia" w:ascii="仿宋_GB2312" w:hAnsi="宋体" w:eastAsia="仿宋_GB2312"/>
                <w:kern w:val="0"/>
                <w:lang w:bidi="en-US"/>
              </w:rPr>
              <w:t>即上交所证券简称，有证券代码的交易品种，简称根据证券代码自动</w:t>
            </w:r>
            <w:r>
              <w:rPr>
                <w:rFonts w:hint="eastAsia" w:ascii="仿宋_GB2312" w:hAnsi="宋体" w:eastAsia="仿宋_GB2312"/>
                <w:kern w:val="0"/>
                <w:lang w:eastAsia="zh-CN" w:bidi="en-US"/>
              </w:rPr>
              <w:t>显示</w:t>
            </w:r>
          </w:p>
        </w:tc>
      </w:tr>
      <w:tr w14:paraId="09C5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61BD4A88">
            <w:pPr>
              <w:widowControl/>
              <w:jc w:val="left"/>
              <w:textAlignment w:val="auto"/>
              <w:rPr>
                <w:rFonts w:hint="eastAsia" w:ascii="仿宋_GB2312" w:hAnsi="Times New Roman" w:eastAsia="仿宋_GB2312"/>
                <w:b/>
                <w:color w:val="auto"/>
                <w:kern w:val="0"/>
                <w:sz w:val="24"/>
                <w:szCs w:val="24"/>
                <w:lang w:eastAsia="en-US" w:bidi="en-US"/>
              </w:rPr>
            </w:pPr>
            <w:r>
              <w:rPr>
                <w:rFonts w:hint="eastAsia" w:ascii="仿宋_GB2312" w:eastAsia="仿宋_GB2312"/>
                <w:b/>
                <w:color w:val="auto"/>
                <w:kern w:val="0"/>
                <w:sz w:val="24"/>
                <w:szCs w:val="24"/>
                <w:lang w:eastAsia="en-US" w:bidi="en-US"/>
              </w:rPr>
              <w:t>竞买方式</w:t>
            </w:r>
          </w:p>
        </w:tc>
        <w:tc>
          <w:tcPr>
            <w:tcW w:w="6520" w:type="dxa"/>
          </w:tcPr>
          <w:p w14:paraId="73B23872">
            <w:pPr>
              <w:pStyle w:val="12"/>
              <w:ind w:firstLine="0" w:firstLineChars="0"/>
              <w:rPr>
                <w:rFonts w:hint="eastAsia" w:ascii="仿宋_GB2312" w:hAnsi="宋体" w:eastAsia="仿宋_GB2312"/>
                <w:color w:val="000000"/>
                <w:kern w:val="0"/>
                <w:lang w:eastAsia="zh-CN" w:bidi="en-US"/>
              </w:rPr>
            </w:pPr>
            <w:r>
              <w:rPr>
                <w:rFonts w:hint="eastAsia" w:ascii="仿宋_GB2312" w:eastAsia="仿宋_GB2312"/>
                <w:kern w:val="0"/>
                <w:lang w:eastAsia="zh-CN" w:bidi="en-US"/>
              </w:rPr>
              <w:t>单一主体中标，其他方式暂不支持，自动带出</w:t>
            </w:r>
          </w:p>
        </w:tc>
      </w:tr>
      <w:tr w14:paraId="54CA6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vAlign w:val="center"/>
          </w:tcPr>
          <w:p w14:paraId="2D139F3A">
            <w:pPr>
              <w:widowControl/>
              <w:jc w:val="left"/>
              <w:textAlignment w:val="auto"/>
              <w:rPr>
                <w:rFonts w:hint="eastAsia" w:ascii="仿宋_GB2312" w:hAnsi="Times New Roman" w:eastAsia="仿宋_GB2312"/>
                <w:b/>
                <w:color w:val="auto"/>
                <w:kern w:val="0"/>
                <w:sz w:val="24"/>
                <w:szCs w:val="24"/>
                <w:lang w:eastAsia="en-US" w:bidi="en-US"/>
              </w:rPr>
            </w:pPr>
            <w:r>
              <w:rPr>
                <w:rFonts w:hint="eastAsia" w:ascii="仿宋_GB2312" w:eastAsia="仿宋_GB2312"/>
                <w:b/>
                <w:kern w:val="0"/>
                <w:sz w:val="24"/>
                <w:szCs w:val="24"/>
                <w:lang w:eastAsia="en-US" w:bidi="en-US"/>
              </w:rPr>
              <w:t>竞买预约日</w:t>
            </w:r>
          </w:p>
        </w:tc>
        <w:tc>
          <w:tcPr>
            <w:tcW w:w="6520" w:type="dxa"/>
          </w:tcPr>
          <w:p w14:paraId="5F356B60">
            <w:pPr>
              <w:pStyle w:val="12"/>
              <w:ind w:firstLine="0" w:firstLineChars="0"/>
              <w:rPr>
                <w:rFonts w:hint="eastAsia" w:ascii="仿宋_GB2312" w:hAnsi="宋体" w:eastAsia="仿宋_GB2312"/>
                <w:color w:val="000000"/>
                <w:kern w:val="0"/>
                <w:lang w:eastAsia="zh-CN" w:bidi="en-US"/>
              </w:rPr>
            </w:pPr>
            <w:r>
              <w:rPr>
                <w:rFonts w:hint="eastAsia" w:ascii="仿宋_GB2312" w:eastAsia="仿宋_GB2312"/>
                <w:kern w:val="0"/>
                <w:lang w:eastAsia="zh-CN" w:bidi="en-US"/>
              </w:rPr>
              <w:t>发起竞买预约的日期，自动带出</w:t>
            </w:r>
          </w:p>
        </w:tc>
      </w:tr>
      <w:tr w14:paraId="2FD18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5C4D9C82">
            <w:pPr>
              <w:widowControl/>
              <w:jc w:val="left"/>
              <w:textAlignment w:val="auto"/>
              <w:rPr>
                <w:rFonts w:hint="eastAsia" w:ascii="仿宋_GB2312" w:hAnsi="Times New Roman" w:eastAsia="仿宋_GB2312"/>
                <w:b/>
                <w:color w:val="auto"/>
                <w:kern w:val="0"/>
                <w:sz w:val="24"/>
                <w:szCs w:val="24"/>
                <w:lang w:eastAsia="en-US" w:bidi="en-US"/>
              </w:rPr>
            </w:pPr>
            <w:r>
              <w:rPr>
                <w:rFonts w:hint="eastAsia" w:ascii="仿宋_GB2312" w:eastAsia="仿宋_GB2312"/>
                <w:b/>
                <w:kern w:val="0"/>
                <w:sz w:val="24"/>
                <w:szCs w:val="24"/>
                <w:lang w:eastAsia="en-US" w:bidi="en-US"/>
              </w:rPr>
              <w:t>竞买申报日</w:t>
            </w:r>
          </w:p>
        </w:tc>
        <w:tc>
          <w:tcPr>
            <w:tcW w:w="6520" w:type="dxa"/>
          </w:tcPr>
          <w:p w14:paraId="4E4C1E12">
            <w:pPr>
              <w:pStyle w:val="12"/>
              <w:ind w:firstLine="0" w:firstLineChars="0"/>
              <w:rPr>
                <w:rFonts w:hint="eastAsia" w:ascii="仿宋_GB2312" w:hAnsi="宋体" w:eastAsia="仿宋_GB2312"/>
                <w:color w:val="000000"/>
                <w:kern w:val="0"/>
                <w:lang w:eastAsia="zh-CN" w:bidi="en-US"/>
              </w:rPr>
            </w:pPr>
            <w:r>
              <w:rPr>
                <w:rFonts w:hint="eastAsia" w:ascii="仿宋_GB2312" w:eastAsia="仿宋_GB2312"/>
                <w:kern w:val="0"/>
                <w:lang w:eastAsia="zh-CN" w:bidi="en-US"/>
              </w:rPr>
              <w:t>发起竞买申报的日期，自动带出</w:t>
            </w:r>
          </w:p>
        </w:tc>
      </w:tr>
      <w:tr w14:paraId="6C69D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55A8BBDC">
            <w:pPr>
              <w:widowControl/>
              <w:jc w:val="left"/>
              <w:textAlignment w:val="auto"/>
              <w:rPr>
                <w:rFonts w:hint="eastAsia" w:ascii="仿宋_GB2312" w:hAnsi="Times New Roman" w:eastAsia="仿宋_GB2312"/>
                <w:b/>
                <w:color w:val="auto"/>
                <w:kern w:val="0"/>
                <w:sz w:val="24"/>
                <w:szCs w:val="24"/>
                <w:lang w:eastAsia="en-US" w:bidi="en-US"/>
              </w:rPr>
            </w:pPr>
            <w:r>
              <w:rPr>
                <w:rFonts w:hint="eastAsia" w:ascii="仿宋_GB2312" w:eastAsia="仿宋_GB2312"/>
                <w:b/>
                <w:color w:val="auto"/>
                <w:kern w:val="0"/>
                <w:sz w:val="24"/>
                <w:szCs w:val="24"/>
                <w:lang w:eastAsia="en-US" w:bidi="en-US"/>
              </w:rPr>
              <w:t>匿名报价</w:t>
            </w:r>
          </w:p>
        </w:tc>
        <w:tc>
          <w:tcPr>
            <w:tcW w:w="6520" w:type="dxa"/>
          </w:tcPr>
          <w:p w14:paraId="32B30FB0">
            <w:pPr>
              <w:pStyle w:val="12"/>
              <w:ind w:firstLine="0" w:firstLineChars="0"/>
              <w:rPr>
                <w:rFonts w:hint="eastAsia" w:ascii="仿宋_GB2312" w:hAnsi="宋体" w:eastAsia="仿宋_GB2312"/>
                <w:color w:val="000000"/>
                <w:kern w:val="0"/>
                <w:lang w:eastAsia="zh-CN" w:bidi="en-US"/>
              </w:rPr>
            </w:pPr>
            <w:r>
              <w:rPr>
                <w:rFonts w:hint="eastAsia" w:ascii="仿宋_GB2312" w:eastAsia="仿宋_GB2312"/>
                <w:kern w:val="0"/>
                <w:lang w:eastAsia="zh-CN" w:bidi="en-US"/>
              </w:rPr>
              <w:t>是否匿名报价，自动带出</w:t>
            </w:r>
          </w:p>
        </w:tc>
      </w:tr>
      <w:tr w14:paraId="4D65F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195B2F7C">
            <w:pPr>
              <w:widowControl/>
              <w:jc w:val="left"/>
              <w:textAlignment w:val="auto"/>
              <w:rPr>
                <w:rFonts w:hint="eastAsia" w:ascii="仿宋_GB2312" w:hAnsi="Times New Roman" w:eastAsia="仿宋_GB2312"/>
                <w:b/>
                <w:color w:val="auto"/>
                <w:kern w:val="0"/>
                <w:sz w:val="24"/>
                <w:szCs w:val="24"/>
                <w:lang w:eastAsia="en-US" w:bidi="en-US"/>
              </w:rPr>
            </w:pPr>
            <w:r>
              <w:rPr>
                <w:rFonts w:hint="eastAsia" w:ascii="仿宋_GB2312" w:eastAsia="仿宋_GB2312"/>
                <w:b/>
                <w:color w:val="auto"/>
                <w:kern w:val="0"/>
                <w:sz w:val="24"/>
                <w:szCs w:val="24"/>
                <w:lang w:eastAsia="en-US" w:bidi="en-US"/>
              </w:rPr>
              <w:t>自动发起</w:t>
            </w:r>
          </w:p>
        </w:tc>
        <w:tc>
          <w:tcPr>
            <w:tcW w:w="6520" w:type="dxa"/>
          </w:tcPr>
          <w:p w14:paraId="467749B2">
            <w:pPr>
              <w:pStyle w:val="12"/>
              <w:ind w:firstLine="0" w:firstLineChars="0"/>
              <w:rPr>
                <w:rFonts w:ascii="仿宋_GB2312" w:hAnsi="宋体" w:eastAsia="仿宋_GB2312"/>
                <w:color w:val="000000"/>
                <w:kern w:val="0"/>
                <w:lang w:eastAsia="en-US" w:bidi="en-US"/>
              </w:rPr>
            </w:pPr>
            <w:r>
              <w:rPr>
                <w:rFonts w:hint="eastAsia" w:ascii="仿宋_GB2312" w:hAnsi="宋体" w:eastAsia="仿宋_GB2312"/>
                <w:color w:val="000000"/>
                <w:kern w:val="0"/>
                <w:lang w:eastAsia="zh-CN" w:bidi="en-US"/>
              </w:rPr>
              <w:t>是否自动发起</w:t>
            </w:r>
            <w:r>
              <w:rPr>
                <w:rFonts w:hint="eastAsia" w:ascii="仿宋_GB2312" w:eastAsia="仿宋_GB2312"/>
                <w:kern w:val="0"/>
                <w:lang w:eastAsia="zh-CN" w:bidi="en-US"/>
              </w:rPr>
              <w:t>，自动带出</w:t>
            </w:r>
          </w:p>
        </w:tc>
      </w:tr>
    </w:tbl>
    <w:p w14:paraId="08FD0211">
      <w:pPr>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竞买发起申报要素原则上应当与对应竞买预约的相关要素一致，本所另有规定的情形除外。</w:t>
      </w:r>
    </w:p>
    <w:p w14:paraId="197A79F6">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债券投资者提交竞买发起申报时，债券代码、竞买方式应与提前发布的竞买信息一致。竞买当日，价格区间（底价）、数量、结算方式等要素可</w:t>
      </w:r>
      <w:r>
        <w:rPr>
          <w:rFonts w:ascii="仿宋_GB2312" w:hAnsi="仿宋" w:eastAsia="仿宋_GB2312"/>
          <w:sz w:val="30"/>
          <w:szCs w:val="30"/>
        </w:rPr>
        <w:t>在提交竞买发起申报时修改</w:t>
      </w:r>
      <w:r>
        <w:rPr>
          <w:rFonts w:hint="eastAsia" w:ascii="仿宋_GB2312" w:hAnsi="仿宋" w:eastAsia="仿宋_GB2312"/>
          <w:sz w:val="30"/>
          <w:szCs w:val="30"/>
        </w:rPr>
        <w:t>。证券</w:t>
      </w:r>
      <w:r>
        <w:rPr>
          <w:rFonts w:ascii="仿宋_GB2312" w:hAnsi="仿宋" w:eastAsia="仿宋_GB2312"/>
          <w:sz w:val="30"/>
          <w:szCs w:val="30"/>
        </w:rPr>
        <w:t>代码、竞买方式、竞买日期</w:t>
      </w:r>
      <w:r>
        <w:rPr>
          <w:rFonts w:hint="eastAsia" w:ascii="仿宋_GB2312" w:hAnsi="仿宋" w:eastAsia="仿宋_GB2312"/>
          <w:sz w:val="30"/>
          <w:szCs w:val="30"/>
        </w:rPr>
        <w:t>等</w:t>
      </w:r>
      <w:r>
        <w:rPr>
          <w:rFonts w:ascii="仿宋_GB2312" w:hAnsi="仿宋" w:eastAsia="仿宋_GB2312"/>
          <w:sz w:val="30"/>
          <w:szCs w:val="30"/>
        </w:rPr>
        <w:t>要素</w:t>
      </w:r>
      <w:r>
        <w:rPr>
          <w:rFonts w:hint="eastAsia" w:ascii="仿宋_GB2312" w:hAnsi="仿宋" w:eastAsia="仿宋_GB2312"/>
          <w:sz w:val="30"/>
          <w:szCs w:val="30"/>
        </w:rPr>
        <w:t>确有需要修改的，可在竞买日之前</w:t>
      </w:r>
      <w:r>
        <w:rPr>
          <w:rFonts w:hint="eastAsia" w:ascii="仿宋_GB2312" w:eastAsia="仿宋_GB2312" w:cs="宋体"/>
          <w:color w:val="000000"/>
          <w:sz w:val="30"/>
          <w:szCs w:val="30"/>
        </w:rPr>
        <w:t>撤销</w:t>
      </w:r>
      <w:r>
        <w:rPr>
          <w:rFonts w:hint="eastAsia" w:ascii="仿宋_GB2312" w:hAnsi="仿宋" w:eastAsia="仿宋_GB2312"/>
          <w:sz w:val="30"/>
          <w:szCs w:val="30"/>
        </w:rPr>
        <w:t>竞买预约，</w:t>
      </w:r>
      <w:r>
        <w:rPr>
          <w:rFonts w:ascii="仿宋_GB2312" w:hAnsi="仿宋" w:eastAsia="仿宋_GB2312"/>
          <w:sz w:val="30"/>
          <w:szCs w:val="30"/>
        </w:rPr>
        <w:t>重新</w:t>
      </w:r>
      <w:r>
        <w:rPr>
          <w:rFonts w:hint="eastAsia" w:ascii="仿宋_GB2312" w:hAnsi="仿宋" w:eastAsia="仿宋_GB2312"/>
          <w:sz w:val="30"/>
          <w:szCs w:val="30"/>
        </w:rPr>
        <w:t>提交</w:t>
      </w:r>
      <w:r>
        <w:rPr>
          <w:rFonts w:ascii="仿宋_GB2312" w:hAnsi="仿宋" w:eastAsia="仿宋_GB2312"/>
          <w:sz w:val="30"/>
          <w:szCs w:val="30"/>
        </w:rPr>
        <w:t>竞买预约</w:t>
      </w:r>
      <w:r>
        <w:rPr>
          <w:rFonts w:hint="eastAsia" w:ascii="仿宋_GB2312" w:hAnsi="仿宋" w:eastAsia="仿宋_GB2312"/>
          <w:sz w:val="30"/>
          <w:szCs w:val="30"/>
        </w:rPr>
        <w:t>。最终竞买成交申报要素以竞买发起申报要素为准。</w:t>
      </w:r>
    </w:p>
    <w:p w14:paraId="462A9875">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（3）竞买取消与竞买发起申报撤销</w:t>
      </w:r>
    </w:p>
    <w:p w14:paraId="3908A2F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竞买日当天，卖方未</w:t>
      </w:r>
      <w:r>
        <w:rPr>
          <w:rFonts w:hint="eastAsia" w:ascii="仿宋_GB2312" w:hAnsi="仿宋" w:eastAsia="仿宋_GB2312"/>
          <w:sz w:val="30"/>
          <w:szCs w:val="30"/>
          <w:lang w:eastAsia="zh-CN"/>
        </w:rPr>
        <w:t>在</w:t>
      </w:r>
      <w:r>
        <w:rPr>
          <w:rFonts w:hint="eastAsia" w:ascii="仿宋_GB2312" w:hAnsi="仿宋" w:eastAsia="仿宋_GB2312"/>
          <w:sz w:val="30"/>
          <w:szCs w:val="30"/>
          <w:lang w:val="en-US" w:eastAsia="zh-CN"/>
        </w:rPr>
        <w:t>9：00-10：00期间</w:t>
      </w:r>
      <w:r>
        <w:rPr>
          <w:rFonts w:hint="eastAsia" w:ascii="仿宋_GB2312" w:hAnsi="仿宋" w:eastAsia="仿宋_GB2312"/>
          <w:sz w:val="30"/>
          <w:szCs w:val="30"/>
        </w:rPr>
        <w:t>针对已预约的竞买提交竞买发起申报，且</w:t>
      </w:r>
      <w:r>
        <w:rPr>
          <w:rFonts w:hint="eastAsia" w:ascii="仿宋_GB2312" w:hAnsi="仿宋" w:eastAsia="仿宋_GB2312"/>
          <w:sz w:val="30"/>
          <w:szCs w:val="30"/>
          <w:lang w:eastAsia="zh-CN"/>
        </w:rPr>
        <w:t>此前</w:t>
      </w:r>
      <w:r>
        <w:rPr>
          <w:rFonts w:hint="eastAsia" w:ascii="仿宋_GB2312" w:hAnsi="仿宋" w:eastAsia="仿宋_GB2312"/>
          <w:sz w:val="30"/>
          <w:szCs w:val="30"/>
        </w:rPr>
        <w:t>未在竞买预约时同意委托系统自动提交竞买发起申报，则竞买取消</w:t>
      </w:r>
      <w:r>
        <w:rPr>
          <w:rFonts w:hint="eastAsia" w:ascii="仿宋_GB2312" w:hAnsi="仿宋" w:eastAsia="仿宋_GB2312"/>
          <w:sz w:val="30"/>
          <w:szCs w:val="30"/>
          <w:lang w:eastAsia="zh-CN"/>
        </w:rPr>
        <w:t>。取消后，新固定收益系统市场信息栏目</w:t>
      </w:r>
      <w:r>
        <w:rPr>
          <w:rFonts w:hint="eastAsia" w:ascii="仿宋_GB2312" w:hAnsi="仿宋" w:eastAsia="仿宋_GB2312"/>
          <w:sz w:val="30"/>
          <w:szCs w:val="30"/>
          <w:lang w:val="en-US" w:eastAsia="zh-CN"/>
        </w:rPr>
        <w:t>将</w:t>
      </w:r>
      <w:r>
        <w:rPr>
          <w:rFonts w:hint="eastAsia" w:ascii="仿宋_GB2312" w:hAnsi="仿宋" w:eastAsia="仿宋_GB2312"/>
          <w:sz w:val="30"/>
          <w:szCs w:val="30"/>
          <w:lang w:eastAsia="zh-CN"/>
        </w:rPr>
        <w:t>不再展示该条预约信息，并</w:t>
      </w:r>
      <w:r>
        <w:rPr>
          <w:rFonts w:hint="eastAsia" w:ascii="仿宋_GB2312" w:hAnsi="仿宋" w:eastAsia="仿宋_GB2312"/>
          <w:sz w:val="30"/>
          <w:szCs w:val="30"/>
        </w:rPr>
        <w:t>将自动生成竞买取消提示。竞买取消提示（详见附件6示例三）生成后，当日自动发布到本所官网“</w:t>
      </w:r>
      <w:r>
        <w:rPr>
          <w:rFonts w:hint="eastAsia" w:ascii="仿宋_GB2312" w:eastAsia="仿宋_GB2312"/>
          <w:sz w:val="30"/>
          <w:szCs w:val="30"/>
        </w:rPr>
        <w:t>首页-披露-债券信息-竞买业务-竞买预约提示</w:t>
      </w:r>
      <w:r>
        <w:rPr>
          <w:rFonts w:hint="eastAsia" w:ascii="仿宋_GB2312" w:hAnsi="仿宋" w:eastAsia="仿宋_GB2312"/>
          <w:sz w:val="30"/>
          <w:szCs w:val="30"/>
        </w:rPr>
        <w:t>”栏目和上证债券信息网“</w:t>
      </w:r>
      <w:r>
        <w:rPr>
          <w:rFonts w:hint="eastAsia" w:ascii="仿宋_GB2312" w:hAnsi="黑体" w:eastAsia="仿宋_GB2312"/>
          <w:sz w:val="30"/>
          <w:szCs w:val="30"/>
        </w:rPr>
        <w:t>首页</w:t>
      </w:r>
      <w:r>
        <w:rPr>
          <w:rFonts w:ascii="仿宋_GB2312" w:hAnsi="黑体" w:eastAsia="仿宋_GB2312"/>
          <w:sz w:val="30"/>
          <w:szCs w:val="30"/>
        </w:rPr>
        <w:t>-市场数据-行情展示-竞买业务-竞买预约提示</w:t>
      </w:r>
      <w:r>
        <w:rPr>
          <w:rFonts w:hint="eastAsia" w:ascii="仿宋_GB2312" w:hAnsi="仿宋" w:eastAsia="仿宋_GB2312"/>
          <w:sz w:val="30"/>
          <w:szCs w:val="30"/>
        </w:rPr>
        <w:t>”栏目。</w:t>
      </w:r>
    </w:p>
    <w:p w14:paraId="1D72461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在应价方提交有效的应价申报前，卖方申请并经本所认可后，可以撤销竞买发起申报。</w:t>
      </w:r>
      <w:r>
        <w:rPr>
          <w:rFonts w:hint="eastAsia" w:ascii="仿宋_GB2312" w:hAnsi="仿宋" w:eastAsia="仿宋_GB2312"/>
          <w:sz w:val="30"/>
          <w:szCs w:val="30"/>
          <w:lang w:eastAsia="zh-CN"/>
        </w:rPr>
        <w:t>撤销后，新固定收益系统市场信息栏目</w:t>
      </w:r>
      <w:r>
        <w:rPr>
          <w:rFonts w:hint="eastAsia" w:ascii="仿宋_GB2312" w:hAnsi="仿宋" w:eastAsia="仿宋_GB2312"/>
          <w:sz w:val="30"/>
          <w:szCs w:val="30"/>
          <w:lang w:val="en-US" w:eastAsia="zh-CN"/>
        </w:rPr>
        <w:t xml:space="preserve"> 将</w:t>
      </w:r>
      <w:r>
        <w:rPr>
          <w:rFonts w:hint="eastAsia" w:ascii="仿宋_GB2312" w:hAnsi="仿宋" w:eastAsia="仿宋_GB2312"/>
          <w:sz w:val="30"/>
          <w:szCs w:val="30"/>
          <w:lang w:eastAsia="zh-CN"/>
        </w:rPr>
        <w:t>不再展示该条申报信息。</w:t>
      </w:r>
      <w:r>
        <w:rPr>
          <w:rFonts w:hint="eastAsia" w:ascii="仿宋_GB2312" w:hAnsi="仿宋" w:eastAsia="仿宋_GB2312"/>
          <w:sz w:val="30"/>
          <w:szCs w:val="30"/>
        </w:rPr>
        <w:t>债券投资者可通过上述栏目查看相关提示。</w:t>
      </w:r>
    </w:p>
    <w:p w14:paraId="442DA538">
      <w:pPr>
        <w:numPr>
          <w:ilvl w:val="2"/>
          <w:numId w:val="4"/>
        </w:numPr>
        <w:spacing w:line="600" w:lineRule="exact"/>
        <w:ind w:left="0" w:firstLine="0"/>
        <w:outlineLvl w:val="2"/>
        <w:rPr>
          <w:rFonts w:ascii="仿宋_GB2312" w:eastAsia="仿宋_GB2312"/>
          <w:b/>
          <w:sz w:val="30"/>
          <w:szCs w:val="30"/>
        </w:rPr>
      </w:pPr>
      <w:bookmarkStart w:id="556" w:name="_Toc57908909"/>
      <w:r>
        <w:rPr>
          <w:rFonts w:hint="eastAsia" w:ascii="仿宋_GB2312" w:eastAsia="仿宋_GB2312"/>
          <w:b/>
          <w:sz w:val="30"/>
          <w:szCs w:val="30"/>
        </w:rPr>
        <w:t>应价申报</w:t>
      </w:r>
      <w:bookmarkEnd w:id="556"/>
    </w:p>
    <w:p w14:paraId="4F1FB543">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（1）应价申报提交</w:t>
      </w:r>
    </w:p>
    <w:p w14:paraId="091ADCDA">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债券投资者可通过</w:t>
      </w:r>
      <w:r>
        <w:rPr>
          <w:rFonts w:hint="eastAsia" w:ascii="仿宋_GB2312" w:hAnsi="仿宋" w:eastAsia="仿宋_GB2312"/>
          <w:sz w:val="30"/>
          <w:szCs w:val="30"/>
          <w:lang w:eastAsia="zh-CN"/>
        </w:rPr>
        <w:t>新固定收益系统市场信息栏目、</w:t>
      </w:r>
      <w:r>
        <w:rPr>
          <w:rFonts w:hint="eastAsia" w:ascii="仿宋_GB2312" w:hAnsi="仿宋" w:eastAsia="仿宋_GB2312"/>
          <w:sz w:val="30"/>
          <w:szCs w:val="30"/>
        </w:rPr>
        <w:t>本所官网和上证债券信息网“竞买预约提示”栏目查看竞买信息，经履行内部合规风控等相关流程后，于应价申报提交时间内（竞买日10:00-11:30），作为应价方提交应价申报。</w:t>
      </w:r>
    </w:p>
    <w:p w14:paraId="274AEB63">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债券投资者可对正在进行的竞买发起申报进行应价申报。应价方可以针对同一笔竞买发起申报提交多笔应价申报。对于单一主体中标，</w:t>
      </w:r>
      <w:r>
        <w:rPr>
          <w:rFonts w:hint="eastAsia" w:ascii="仿宋_GB2312" w:hAnsi="仿宋" w:eastAsia="仿宋_GB2312"/>
          <w:sz w:val="30"/>
          <w:szCs w:val="30"/>
          <w:lang w:eastAsia="zh-CN"/>
        </w:rPr>
        <w:t>新固定收益系统</w:t>
      </w:r>
      <w:r>
        <w:rPr>
          <w:rFonts w:hint="eastAsia" w:ascii="仿宋_GB2312" w:hAnsi="仿宋" w:eastAsia="仿宋_GB2312"/>
          <w:sz w:val="30"/>
          <w:szCs w:val="30"/>
        </w:rPr>
        <w:t>将在“</w:t>
      </w:r>
      <w:r>
        <w:rPr>
          <w:rFonts w:hint="eastAsia" w:ascii="仿宋_GB2312" w:hAnsi="仿宋" w:eastAsia="仿宋_GB2312"/>
          <w:sz w:val="30"/>
          <w:szCs w:val="30"/>
          <w:lang w:eastAsia="zh-CN"/>
        </w:rPr>
        <w:t>查看应价</w:t>
      </w:r>
      <w:r>
        <w:rPr>
          <w:rFonts w:hint="eastAsia" w:ascii="仿宋_GB2312" w:hAnsi="仿宋" w:eastAsia="仿宋_GB2312"/>
          <w:sz w:val="30"/>
          <w:szCs w:val="30"/>
        </w:rPr>
        <w:t>”菜单显示当前最优价的应价申报信息。</w:t>
      </w:r>
    </w:p>
    <w:p w14:paraId="484E482D">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（2）应价申报要素</w:t>
      </w:r>
    </w:p>
    <w:p w14:paraId="7A01C016">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应价申报要素应当包括交易品种、价格、数量、应价方证券账户、是否匿名等内容。应价申报</w:t>
      </w:r>
      <w:r>
        <w:rPr>
          <w:rFonts w:hint="eastAsia" w:ascii="仿宋_GB2312" w:eastAsia="仿宋_GB2312"/>
          <w:sz w:val="30"/>
          <w:szCs w:val="30"/>
        </w:rPr>
        <w:t>具体要素及要素说明如下</w:t>
      </w:r>
      <w:r>
        <w:rPr>
          <w:rFonts w:hint="eastAsia" w:ascii="仿宋_GB2312" w:hAnsi="仿宋" w:eastAsia="仿宋_GB2312"/>
          <w:sz w:val="30"/>
          <w:szCs w:val="30"/>
        </w:rPr>
        <w:t>：</w:t>
      </w:r>
    </w:p>
    <w:tbl>
      <w:tblPr>
        <w:tblStyle w:val="43"/>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6004"/>
      </w:tblGrid>
      <w:tr w14:paraId="77E2D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067CBAE6">
            <w:pPr>
              <w:pStyle w:val="12"/>
              <w:ind w:firstLine="0" w:firstLineChars="0"/>
              <w:jc w:val="left"/>
              <w:rPr>
                <w:rFonts w:ascii="宋体" w:hAnsi="宋体"/>
                <w:b/>
                <w:color w:val="000000"/>
                <w:kern w:val="0"/>
                <w:lang w:eastAsia="en-US" w:bidi="en-US"/>
              </w:rPr>
            </w:pPr>
            <w:r>
              <w:rPr>
                <w:rFonts w:hint="eastAsia" w:ascii="仿宋_GB2312" w:eastAsia="仿宋_GB2312"/>
                <w:b/>
                <w:kern w:val="0"/>
                <w:lang w:eastAsia="en-US" w:bidi="en-US"/>
              </w:rPr>
              <w:t>要素名称</w:t>
            </w:r>
          </w:p>
        </w:tc>
        <w:tc>
          <w:tcPr>
            <w:tcW w:w="6004" w:type="dxa"/>
          </w:tcPr>
          <w:p w14:paraId="11AF95FF">
            <w:pPr>
              <w:pStyle w:val="12"/>
              <w:ind w:firstLine="0" w:firstLineChars="0"/>
              <w:jc w:val="left"/>
              <w:rPr>
                <w:rFonts w:ascii="宋体" w:hAnsi="宋体"/>
                <w:b/>
                <w:color w:val="000000"/>
                <w:kern w:val="0"/>
                <w:lang w:eastAsia="en-US" w:bidi="en-US"/>
              </w:rPr>
            </w:pPr>
            <w:r>
              <w:rPr>
                <w:rFonts w:hint="eastAsia" w:ascii="仿宋_GB2312" w:eastAsia="仿宋_GB2312"/>
                <w:b/>
                <w:kern w:val="0"/>
                <w:lang w:eastAsia="en-US" w:bidi="en-US"/>
              </w:rPr>
              <w:t>要素说明</w:t>
            </w:r>
          </w:p>
        </w:tc>
      </w:tr>
      <w:tr w14:paraId="53CF9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0DB7BD56">
            <w:pPr>
              <w:pStyle w:val="12"/>
              <w:ind w:firstLine="0" w:firstLineChars="0"/>
              <w:rPr>
                <w:rFonts w:ascii="仿宋_GB2312" w:hAnsi="宋体" w:eastAsia="仿宋_GB2312"/>
                <w:b/>
                <w:color w:val="000000"/>
                <w:kern w:val="0"/>
                <w:lang w:eastAsia="en-US" w:bidi="en-US"/>
              </w:rPr>
            </w:pPr>
            <w:r>
              <w:rPr>
                <w:rFonts w:ascii="仿宋_GB2312" w:hAnsi="宋体" w:eastAsia="仿宋_GB2312"/>
                <w:b/>
                <w:color w:val="000000"/>
                <w:kern w:val="0"/>
                <w:lang w:eastAsia="en-US" w:bidi="en-US"/>
              </w:rPr>
              <w:t>竞买方式</w:t>
            </w:r>
          </w:p>
        </w:tc>
        <w:tc>
          <w:tcPr>
            <w:tcW w:w="6004" w:type="dxa"/>
          </w:tcPr>
          <w:p w14:paraId="2699C34E">
            <w:pPr>
              <w:pStyle w:val="12"/>
              <w:ind w:firstLine="0" w:firstLineChars="0"/>
              <w:rPr>
                <w:rFonts w:ascii="仿宋_GB2312" w:hAnsi="宋体" w:eastAsia="仿宋_GB2312"/>
                <w:kern w:val="0"/>
                <w:lang w:bidi="en-US"/>
              </w:rPr>
            </w:pPr>
            <w:r>
              <w:rPr>
                <w:rFonts w:hint="eastAsia" w:ascii="仿宋_GB2312" w:hAnsi="宋体" w:eastAsia="仿宋_GB2312"/>
                <w:color w:val="000000"/>
                <w:kern w:val="0"/>
                <w:lang w:bidi="en-US"/>
              </w:rPr>
              <w:t>单一主体中标</w:t>
            </w:r>
            <w:r>
              <w:rPr>
                <w:rFonts w:hint="eastAsia" w:ascii="仿宋_GB2312" w:hAnsi="宋体" w:eastAsia="仿宋_GB2312"/>
                <w:color w:val="000000"/>
                <w:kern w:val="0"/>
                <w:lang w:eastAsia="zh-CN" w:bidi="en-US"/>
              </w:rPr>
              <w:t>，</w:t>
            </w:r>
            <w:r>
              <w:rPr>
                <w:rFonts w:hint="eastAsia" w:ascii="仿宋_GB2312" w:eastAsia="仿宋_GB2312"/>
                <w:kern w:val="0"/>
                <w:lang w:eastAsia="zh-CN" w:bidi="en-US"/>
              </w:rPr>
              <w:t>其他方式暂不支持，</w:t>
            </w:r>
            <w:r>
              <w:rPr>
                <w:rFonts w:hint="eastAsia" w:ascii="仿宋_GB2312" w:hAnsi="宋体" w:eastAsia="仿宋_GB2312"/>
                <w:color w:val="000000"/>
                <w:kern w:val="0"/>
                <w:lang w:eastAsia="zh-CN" w:bidi="en-US"/>
              </w:rPr>
              <w:t>自动带出</w:t>
            </w:r>
          </w:p>
        </w:tc>
      </w:tr>
      <w:tr w14:paraId="288A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27F95D43">
            <w:pPr>
              <w:pStyle w:val="12"/>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zh-CN" w:bidi="en-US"/>
              </w:rPr>
              <w:t>订单</w:t>
            </w:r>
            <w:r>
              <w:rPr>
                <w:rFonts w:hint="eastAsia" w:ascii="仿宋_GB2312" w:hAnsi="宋体" w:eastAsia="仿宋_GB2312"/>
                <w:b/>
                <w:color w:val="000000"/>
                <w:kern w:val="0"/>
                <w:lang w:eastAsia="en-US" w:bidi="en-US"/>
              </w:rPr>
              <w:t>类型</w:t>
            </w:r>
          </w:p>
        </w:tc>
        <w:tc>
          <w:tcPr>
            <w:tcW w:w="6004" w:type="dxa"/>
          </w:tcPr>
          <w:p w14:paraId="1F1C334A">
            <w:pPr>
              <w:pStyle w:val="12"/>
              <w:ind w:firstLine="0" w:firstLineChars="0"/>
              <w:rPr>
                <w:rFonts w:hint="eastAsia" w:ascii="仿宋_GB2312" w:hAnsi="宋体" w:eastAsia="仿宋_GB2312"/>
                <w:color w:val="000000"/>
                <w:kern w:val="0"/>
                <w:lang w:eastAsia="zh-CN" w:bidi="en-US"/>
              </w:rPr>
            </w:pPr>
            <w:r>
              <w:rPr>
                <w:rFonts w:hint="eastAsia" w:ascii="仿宋_GB2312" w:hAnsi="宋体" w:eastAsia="仿宋_GB2312"/>
                <w:color w:val="000000"/>
                <w:kern w:val="0"/>
                <w:lang w:eastAsia="en-US" w:bidi="en-US"/>
              </w:rPr>
              <w:t>应价申报</w:t>
            </w:r>
            <w:r>
              <w:rPr>
                <w:rFonts w:hint="eastAsia" w:ascii="仿宋_GB2312" w:hAnsi="宋体" w:eastAsia="仿宋_GB2312"/>
                <w:color w:val="000000"/>
                <w:kern w:val="0"/>
                <w:lang w:eastAsia="zh-CN" w:bidi="en-US"/>
              </w:rPr>
              <w:t>，自动带出</w:t>
            </w:r>
          </w:p>
        </w:tc>
      </w:tr>
      <w:tr w14:paraId="7A1A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8" w:type="dxa"/>
          </w:tcPr>
          <w:p w14:paraId="551FF7BC">
            <w:pPr>
              <w:pStyle w:val="12"/>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en-US" w:bidi="en-US"/>
              </w:rPr>
              <w:t>数量</w:t>
            </w:r>
          </w:p>
        </w:tc>
        <w:tc>
          <w:tcPr>
            <w:tcW w:w="6004" w:type="dxa"/>
          </w:tcPr>
          <w:p w14:paraId="67B8A272">
            <w:pPr>
              <w:pStyle w:val="12"/>
              <w:ind w:firstLine="0" w:firstLineChars="0"/>
              <w:rPr>
                <w:rFonts w:ascii="仿宋_GB2312" w:hAnsi="宋体" w:eastAsia="仿宋_GB2312"/>
                <w:color w:val="000000"/>
                <w:kern w:val="0"/>
                <w:lang w:eastAsia="en-US" w:bidi="en-US"/>
              </w:rPr>
            </w:pPr>
            <w:r>
              <w:rPr>
                <w:rFonts w:hint="eastAsia" w:ascii="仿宋_GB2312" w:hAnsi="宋体" w:eastAsia="仿宋_GB2312"/>
                <w:color w:val="000000"/>
                <w:kern w:val="0"/>
                <w:lang w:eastAsia="en-US" w:bidi="en-US"/>
              </w:rPr>
              <w:t>单位：</w:t>
            </w:r>
            <w:r>
              <w:rPr>
                <w:rFonts w:hint="eastAsia" w:ascii="仿宋_GB2312" w:hAnsi="宋体" w:eastAsia="仿宋_GB2312"/>
                <w:color w:val="000000"/>
                <w:kern w:val="0"/>
                <w:lang w:bidi="en-US"/>
              </w:rPr>
              <w:t>千</w:t>
            </w:r>
            <w:r>
              <w:rPr>
                <w:rFonts w:hint="eastAsia" w:ascii="仿宋_GB2312" w:hAnsi="宋体" w:eastAsia="仿宋_GB2312"/>
                <w:color w:val="000000"/>
                <w:kern w:val="0"/>
                <w:lang w:eastAsia="en-US" w:bidi="en-US"/>
              </w:rPr>
              <w:t>元面额</w:t>
            </w:r>
          </w:p>
        </w:tc>
      </w:tr>
      <w:tr w14:paraId="76FF8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64695ABF">
            <w:pPr>
              <w:pStyle w:val="12"/>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en-US" w:bidi="en-US"/>
              </w:rPr>
              <w:t>价格</w:t>
            </w:r>
          </w:p>
        </w:tc>
        <w:tc>
          <w:tcPr>
            <w:tcW w:w="6004" w:type="dxa"/>
          </w:tcPr>
          <w:p w14:paraId="41B29182">
            <w:pPr>
              <w:pStyle w:val="12"/>
              <w:ind w:firstLine="0" w:firstLineChars="0"/>
              <w:rPr>
                <w:rFonts w:hint="eastAsia" w:ascii="仿宋_GB2312" w:hAnsi="宋体" w:eastAsia="仿宋_GB2312"/>
                <w:color w:val="000000"/>
                <w:kern w:val="0"/>
                <w:lang w:eastAsia="zh-CN" w:bidi="en-US"/>
              </w:rPr>
            </w:pPr>
            <w:r>
              <w:rPr>
                <w:rFonts w:hint="eastAsia" w:ascii="仿宋_GB2312" w:hAnsi="宋体" w:eastAsia="仿宋_GB2312"/>
                <w:color w:val="000000"/>
                <w:kern w:val="0"/>
                <w:lang w:eastAsia="en-US" w:bidi="en-US"/>
              </w:rPr>
              <w:t>应价价格</w:t>
            </w:r>
            <w:r>
              <w:rPr>
                <w:rFonts w:hint="eastAsia" w:ascii="仿宋_GB2312" w:hAnsi="宋体" w:eastAsia="仿宋_GB2312"/>
                <w:color w:val="000000"/>
                <w:kern w:val="0"/>
                <w:lang w:eastAsia="zh-CN" w:bidi="en-US"/>
              </w:rPr>
              <w:t>，单位：元</w:t>
            </w:r>
          </w:p>
        </w:tc>
      </w:tr>
      <w:tr w14:paraId="0C1E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63B6D5FE">
            <w:pPr>
              <w:pStyle w:val="12"/>
              <w:ind w:firstLine="0" w:firstLineChars="0"/>
              <w:rPr>
                <w:rFonts w:hint="eastAsia" w:ascii="仿宋_GB2312" w:hAnsi="宋体" w:eastAsia="仿宋_GB2312"/>
                <w:b/>
                <w:color w:val="000000"/>
                <w:kern w:val="0"/>
                <w:lang w:eastAsia="zh-CN" w:bidi="en-US"/>
              </w:rPr>
            </w:pPr>
            <w:r>
              <w:rPr>
                <w:rFonts w:hint="eastAsia" w:ascii="仿宋_GB2312" w:eastAsia="仿宋_GB2312"/>
                <w:b/>
                <w:kern w:val="0"/>
                <w:lang w:eastAsia="en-US" w:bidi="en-US"/>
              </w:rPr>
              <w:t>证券账</w:t>
            </w:r>
            <w:r>
              <w:rPr>
                <w:rFonts w:hint="eastAsia" w:ascii="仿宋_GB2312" w:eastAsia="仿宋_GB2312"/>
                <w:b/>
                <w:kern w:val="0"/>
                <w:lang w:eastAsia="zh-CN" w:bidi="en-US"/>
              </w:rPr>
              <w:t>户</w:t>
            </w:r>
          </w:p>
        </w:tc>
        <w:tc>
          <w:tcPr>
            <w:tcW w:w="6004" w:type="dxa"/>
          </w:tcPr>
          <w:p w14:paraId="3A8724F7">
            <w:pPr>
              <w:pStyle w:val="12"/>
              <w:tabs>
                <w:tab w:val="left" w:pos="0"/>
                <w:tab w:val="center" w:pos="4867"/>
                <w:tab w:val="right" w:pos="9360"/>
              </w:tabs>
              <w:ind w:firstLine="0" w:firstLineChars="0"/>
              <w:rPr>
                <w:rFonts w:ascii="仿宋_GB2312" w:hAnsi="宋体" w:eastAsia="仿宋_GB2312"/>
                <w:kern w:val="0"/>
                <w:lang w:bidi="en-US"/>
              </w:rPr>
            </w:pPr>
            <w:r>
              <w:rPr>
                <w:rFonts w:hint="eastAsia" w:ascii="仿宋_GB2312" w:eastAsia="仿宋_GB2312"/>
                <w:kern w:val="0"/>
                <w:lang w:bidi="en-US"/>
              </w:rPr>
              <w:t>应价方的证券账户号码</w:t>
            </w:r>
          </w:p>
        </w:tc>
      </w:tr>
      <w:tr w14:paraId="5D189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466CB820">
            <w:pPr>
              <w:pStyle w:val="12"/>
              <w:ind w:firstLine="0" w:firstLineChars="0"/>
              <w:rPr>
                <w:rFonts w:ascii="仿宋_GB2312" w:hAnsi="宋体" w:eastAsia="仿宋_GB2312"/>
                <w:b/>
                <w:color w:val="000000"/>
                <w:kern w:val="0"/>
                <w:lang w:eastAsia="en-US" w:bidi="en-US"/>
              </w:rPr>
            </w:pPr>
            <w:r>
              <w:rPr>
                <w:rFonts w:hint="eastAsia" w:ascii="仿宋_GB2312" w:eastAsia="仿宋_GB2312"/>
                <w:b/>
                <w:kern w:val="0"/>
                <w:lang w:eastAsia="en-US" w:bidi="en-US"/>
              </w:rPr>
              <w:t>证券账户名称</w:t>
            </w:r>
          </w:p>
        </w:tc>
        <w:tc>
          <w:tcPr>
            <w:tcW w:w="6004" w:type="dxa"/>
          </w:tcPr>
          <w:p w14:paraId="312947FC">
            <w:pPr>
              <w:pStyle w:val="12"/>
              <w:tabs>
                <w:tab w:val="left" w:pos="0"/>
                <w:tab w:val="center" w:pos="4867"/>
                <w:tab w:val="right" w:pos="9360"/>
              </w:tabs>
              <w:ind w:firstLine="0" w:firstLineChars="0"/>
              <w:rPr>
                <w:rFonts w:hint="eastAsia" w:ascii="仿宋_GB2312" w:hAnsi="宋体" w:eastAsia="仿宋_GB2312"/>
                <w:kern w:val="0"/>
                <w:lang w:eastAsia="zh-CN" w:bidi="en-US"/>
              </w:rPr>
            </w:pPr>
            <w:r>
              <w:rPr>
                <w:rFonts w:hint="eastAsia" w:ascii="仿宋_GB2312" w:eastAsia="仿宋_GB2312"/>
                <w:kern w:val="0"/>
                <w:lang w:bidi="en-US"/>
              </w:rPr>
              <w:t>应价方的证券账户名称</w:t>
            </w:r>
            <w:r>
              <w:rPr>
                <w:rFonts w:hint="eastAsia" w:ascii="仿宋_GB2312" w:eastAsia="仿宋_GB2312"/>
                <w:kern w:val="0"/>
                <w:lang w:eastAsia="zh-CN" w:bidi="en-US"/>
              </w:rPr>
              <w:t>，自动带出</w:t>
            </w:r>
          </w:p>
        </w:tc>
      </w:tr>
      <w:tr w14:paraId="00417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8" w:type="dxa"/>
            <w:vAlign w:val="top"/>
          </w:tcPr>
          <w:p w14:paraId="19517231">
            <w:pPr>
              <w:pStyle w:val="12"/>
              <w:ind w:firstLine="0" w:firstLineChars="0"/>
              <w:rPr>
                <w:rFonts w:ascii="仿宋_GB2312" w:eastAsia="仿宋_GB2312"/>
                <w:b/>
                <w:kern w:val="0"/>
                <w:lang w:eastAsia="en-US" w:bidi="en-US"/>
              </w:rPr>
            </w:pPr>
            <w:r>
              <w:rPr>
                <w:rFonts w:hint="eastAsia" w:ascii="仿宋_GB2312" w:hAnsi="宋体" w:eastAsia="仿宋_GB2312"/>
                <w:b/>
                <w:color w:val="000000"/>
                <w:kern w:val="0"/>
                <w:lang w:eastAsia="en-US" w:bidi="en-US"/>
              </w:rPr>
              <w:t>匿名</w:t>
            </w:r>
            <w:r>
              <w:rPr>
                <w:rFonts w:hint="eastAsia" w:ascii="仿宋_GB2312" w:hAnsi="宋体" w:eastAsia="仿宋_GB2312"/>
                <w:b/>
                <w:color w:val="000000"/>
                <w:kern w:val="0"/>
                <w:lang w:eastAsia="zh-CN" w:bidi="en-US"/>
              </w:rPr>
              <w:t>报价</w:t>
            </w:r>
          </w:p>
        </w:tc>
        <w:tc>
          <w:tcPr>
            <w:tcW w:w="6004" w:type="dxa"/>
            <w:vAlign w:val="top"/>
          </w:tcPr>
          <w:p w14:paraId="38BDF97C">
            <w:pPr>
              <w:pStyle w:val="12"/>
              <w:tabs>
                <w:tab w:val="left" w:pos="0"/>
                <w:tab w:val="center" w:pos="4867"/>
                <w:tab w:val="right" w:pos="9360"/>
              </w:tabs>
              <w:ind w:firstLine="0" w:firstLineChars="0"/>
              <w:rPr>
                <w:rFonts w:ascii="仿宋_GB2312" w:eastAsia="仿宋_GB2312"/>
                <w:kern w:val="0"/>
                <w:lang w:bidi="en-US"/>
              </w:rPr>
            </w:pPr>
            <w:r>
              <w:rPr>
                <w:rFonts w:hint="eastAsia" w:ascii="仿宋_GB2312" w:hAnsi="宋体" w:eastAsia="仿宋_GB2312"/>
                <w:color w:val="000000"/>
                <w:kern w:val="0"/>
                <w:lang w:bidi="en-US"/>
              </w:rPr>
              <w:t>需匿名的，勾选“</w:t>
            </w:r>
            <w:r>
              <w:rPr>
                <w:rFonts w:hint="eastAsia" w:ascii="仿宋_GB2312" w:hAnsi="宋体" w:eastAsia="仿宋_GB2312"/>
                <w:color w:val="000000"/>
                <w:kern w:val="0"/>
                <w:lang w:eastAsia="zh-CN" w:bidi="en-US"/>
              </w:rPr>
              <w:t>是</w:t>
            </w:r>
            <w:r>
              <w:rPr>
                <w:rFonts w:hint="eastAsia" w:ascii="仿宋_GB2312" w:hAnsi="宋体" w:eastAsia="仿宋_GB2312"/>
                <w:color w:val="000000"/>
                <w:kern w:val="0"/>
                <w:lang w:bidi="en-US"/>
              </w:rPr>
              <w:t>”</w:t>
            </w:r>
          </w:p>
        </w:tc>
      </w:tr>
      <w:tr w14:paraId="27CBA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5753C311">
            <w:pPr>
              <w:pStyle w:val="12"/>
              <w:ind w:firstLine="0" w:firstLineChars="0"/>
              <w:rPr>
                <w:rFonts w:hint="eastAsia" w:ascii="仿宋_GB2312" w:eastAsia="仿宋_GB2312"/>
                <w:b/>
                <w:kern w:val="0"/>
                <w:lang w:eastAsia="zh-CN" w:bidi="en-US"/>
              </w:rPr>
            </w:pPr>
            <w:r>
              <w:rPr>
                <w:rFonts w:hint="eastAsia" w:ascii="仿宋_GB2312" w:hAnsi="宋体" w:eastAsia="仿宋_GB2312"/>
                <w:b/>
                <w:color w:val="000000"/>
                <w:kern w:val="0"/>
                <w:lang w:eastAsia="zh-CN" w:bidi="en-US"/>
              </w:rPr>
              <w:t>证券代码</w:t>
            </w:r>
          </w:p>
        </w:tc>
        <w:tc>
          <w:tcPr>
            <w:tcW w:w="6004" w:type="dxa"/>
          </w:tcPr>
          <w:p w14:paraId="490C8A5D">
            <w:pPr>
              <w:pStyle w:val="12"/>
              <w:tabs>
                <w:tab w:val="left" w:pos="0"/>
                <w:tab w:val="center" w:pos="4867"/>
                <w:tab w:val="right" w:pos="9360"/>
              </w:tabs>
              <w:ind w:firstLine="0" w:firstLineChars="0"/>
              <w:rPr>
                <w:rFonts w:ascii="仿宋_GB2312" w:eastAsia="仿宋_GB2312"/>
                <w:kern w:val="0"/>
                <w:lang w:bidi="en-US"/>
              </w:rPr>
            </w:pPr>
            <w:r>
              <w:rPr>
                <w:rFonts w:hint="eastAsia" w:ascii="仿宋_GB2312" w:hAnsi="宋体" w:eastAsia="仿宋_GB2312"/>
                <w:kern w:val="0"/>
                <w:lang w:bidi="en-US"/>
              </w:rPr>
              <w:t>交易品种的证券代码</w:t>
            </w:r>
            <w:r>
              <w:rPr>
                <w:rFonts w:hint="eastAsia" w:ascii="仿宋_GB2312" w:eastAsia="仿宋_GB2312"/>
                <w:kern w:val="0"/>
                <w:lang w:bidi="en-US"/>
              </w:rPr>
              <w:t>，自动显示</w:t>
            </w:r>
          </w:p>
        </w:tc>
      </w:tr>
      <w:tr w14:paraId="45A31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vAlign w:val="top"/>
          </w:tcPr>
          <w:p w14:paraId="3DC9D389">
            <w:pPr>
              <w:pStyle w:val="12"/>
              <w:ind w:firstLine="0" w:firstLineChars="0"/>
              <w:rPr>
                <w:rFonts w:hint="eastAsia" w:ascii="仿宋_GB2312" w:hAnsi="宋体" w:eastAsia="仿宋_GB2312"/>
                <w:b/>
                <w:color w:val="000000"/>
                <w:kern w:val="0"/>
                <w:lang w:bidi="en-US"/>
              </w:rPr>
            </w:pPr>
            <w:r>
              <w:rPr>
                <w:rFonts w:hint="eastAsia" w:ascii="仿宋_GB2312" w:eastAsia="仿宋_GB2312"/>
                <w:b/>
                <w:kern w:val="0"/>
                <w:lang w:eastAsia="zh-CN" w:bidi="en-US"/>
              </w:rPr>
              <w:t>证券简称</w:t>
            </w:r>
          </w:p>
        </w:tc>
        <w:tc>
          <w:tcPr>
            <w:tcW w:w="6004" w:type="dxa"/>
            <w:vAlign w:val="top"/>
          </w:tcPr>
          <w:p w14:paraId="4143553E">
            <w:pPr>
              <w:pStyle w:val="12"/>
              <w:tabs>
                <w:tab w:val="left" w:pos="0"/>
                <w:tab w:val="center" w:pos="4867"/>
                <w:tab w:val="right" w:pos="9360"/>
              </w:tabs>
              <w:ind w:firstLine="0" w:firstLineChars="0"/>
              <w:rPr>
                <w:rFonts w:hint="eastAsia" w:ascii="仿宋_GB2312" w:hAnsi="宋体" w:eastAsia="仿宋_GB2312"/>
                <w:kern w:val="0"/>
                <w:lang w:bidi="en-US"/>
              </w:rPr>
            </w:pPr>
            <w:r>
              <w:rPr>
                <w:rFonts w:hint="eastAsia" w:ascii="仿宋_GB2312" w:hAnsi="宋体" w:eastAsia="仿宋_GB2312"/>
                <w:kern w:val="0"/>
                <w:lang w:bidi="en-US"/>
              </w:rPr>
              <w:t>根据证券代码自动</w:t>
            </w:r>
            <w:r>
              <w:rPr>
                <w:rFonts w:hint="eastAsia" w:ascii="仿宋_GB2312" w:hAnsi="宋体" w:eastAsia="仿宋_GB2312"/>
                <w:kern w:val="0"/>
                <w:lang w:eastAsia="zh-CN" w:bidi="en-US"/>
              </w:rPr>
              <w:t>显示</w:t>
            </w:r>
          </w:p>
        </w:tc>
      </w:tr>
      <w:tr w14:paraId="672B8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4C6E58C8">
            <w:pPr>
              <w:pStyle w:val="12"/>
              <w:ind w:firstLine="0" w:firstLineChars="0"/>
              <w:rPr>
                <w:rFonts w:ascii="仿宋_GB2312" w:hAnsi="宋体" w:eastAsia="仿宋_GB2312"/>
                <w:b/>
                <w:color w:val="000000"/>
                <w:kern w:val="0"/>
                <w:lang w:eastAsia="en-US" w:bidi="en-US"/>
              </w:rPr>
            </w:pPr>
            <w:r>
              <w:rPr>
                <w:rFonts w:hint="eastAsia" w:ascii="仿宋_GB2312" w:eastAsia="仿宋_GB2312"/>
                <w:b/>
                <w:kern w:val="0"/>
                <w:lang w:eastAsia="en-US" w:bidi="en-US"/>
              </w:rPr>
              <w:t>结算方式</w:t>
            </w:r>
          </w:p>
        </w:tc>
        <w:tc>
          <w:tcPr>
            <w:tcW w:w="6004" w:type="dxa"/>
          </w:tcPr>
          <w:p w14:paraId="6CEDBA3F">
            <w:pPr>
              <w:pStyle w:val="12"/>
              <w:tabs>
                <w:tab w:val="left" w:pos="0"/>
                <w:tab w:val="center" w:pos="4867"/>
                <w:tab w:val="right" w:pos="9360"/>
              </w:tabs>
              <w:ind w:firstLine="0" w:firstLineChars="0"/>
              <w:rPr>
                <w:rFonts w:ascii="仿宋_GB2312" w:hAnsi="宋体" w:eastAsia="仿宋_GB2312"/>
                <w:color w:val="000000"/>
                <w:kern w:val="0"/>
                <w:lang w:eastAsia="en-US" w:bidi="en-US"/>
              </w:rPr>
            </w:pPr>
            <w:r>
              <w:rPr>
                <w:rFonts w:hint="eastAsia" w:ascii="仿宋_GB2312" w:eastAsia="仿宋_GB2312"/>
                <w:kern w:val="0"/>
                <w:lang w:eastAsia="zh-CN" w:bidi="en-US"/>
              </w:rPr>
              <w:t>净额结算或</w:t>
            </w:r>
            <w:r>
              <w:rPr>
                <w:rFonts w:hint="eastAsia" w:ascii="仿宋_GB2312" w:eastAsia="仿宋_GB2312"/>
                <w:kern w:val="0"/>
                <w:lang w:val="en-US" w:eastAsia="zh-CN" w:bidi="en-US"/>
              </w:rPr>
              <w:t>RTGS结算</w:t>
            </w:r>
            <w:r>
              <w:rPr>
                <w:rFonts w:hint="eastAsia" w:ascii="仿宋_GB2312" w:eastAsia="仿宋_GB2312"/>
                <w:kern w:val="0"/>
                <w:lang w:eastAsia="en-US" w:bidi="en-US"/>
              </w:rPr>
              <w:t>，自动显示</w:t>
            </w:r>
          </w:p>
        </w:tc>
      </w:tr>
      <w:tr w14:paraId="2323A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8" w:type="dxa"/>
          </w:tcPr>
          <w:p w14:paraId="163DFB58">
            <w:pPr>
              <w:pStyle w:val="12"/>
              <w:ind w:firstLine="0" w:firstLineChars="0"/>
              <w:rPr>
                <w:rFonts w:hint="eastAsia" w:ascii="仿宋_GB2312" w:hAnsi="宋体" w:eastAsia="仿宋_GB2312"/>
                <w:b/>
                <w:color w:val="000000"/>
                <w:kern w:val="0"/>
                <w:lang w:eastAsia="zh-CN" w:bidi="en-US"/>
              </w:rPr>
            </w:pPr>
            <w:r>
              <w:rPr>
                <w:rFonts w:hint="eastAsia" w:ascii="仿宋_GB2312" w:eastAsia="仿宋_GB2312"/>
                <w:b/>
                <w:kern w:val="0"/>
                <w:lang w:eastAsia="zh-CN" w:bidi="en-US"/>
              </w:rPr>
              <w:t>交易单元</w:t>
            </w:r>
          </w:p>
        </w:tc>
        <w:tc>
          <w:tcPr>
            <w:tcW w:w="6004" w:type="dxa"/>
          </w:tcPr>
          <w:p w14:paraId="6F166384">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应价方交易参与人的交易单元号码，自动显示，无需输入</w:t>
            </w:r>
          </w:p>
        </w:tc>
      </w:tr>
      <w:tr w14:paraId="692B0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0038E57A">
            <w:pPr>
              <w:pStyle w:val="12"/>
              <w:ind w:firstLine="0" w:firstLineChars="0"/>
              <w:rPr>
                <w:rFonts w:hint="eastAsia" w:ascii="仿宋_GB2312" w:hAnsi="宋体" w:eastAsia="仿宋_GB2312"/>
                <w:b/>
                <w:color w:val="000000"/>
                <w:kern w:val="0"/>
                <w:lang w:eastAsia="zh-CN" w:bidi="en-US"/>
              </w:rPr>
            </w:pPr>
            <w:r>
              <w:rPr>
                <w:rFonts w:hint="eastAsia" w:ascii="仿宋_GB2312" w:eastAsia="仿宋_GB2312"/>
                <w:b/>
                <w:kern w:val="0"/>
                <w:lang w:eastAsia="zh-CN" w:bidi="en-US"/>
              </w:rPr>
              <w:t>本方</w:t>
            </w:r>
          </w:p>
        </w:tc>
        <w:tc>
          <w:tcPr>
            <w:tcW w:w="6004" w:type="dxa"/>
          </w:tcPr>
          <w:p w14:paraId="645C8C78">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应价方交易参与人简称，自动显示，无需输入</w:t>
            </w:r>
          </w:p>
        </w:tc>
      </w:tr>
      <w:tr w14:paraId="18836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4F42E939">
            <w:pPr>
              <w:pStyle w:val="12"/>
              <w:ind w:firstLine="0" w:firstLineChars="0"/>
              <w:rPr>
                <w:rFonts w:hint="eastAsia" w:ascii="仿宋_GB2312" w:hAnsi="宋体" w:eastAsia="仿宋_GB2312"/>
                <w:b/>
                <w:color w:val="000000"/>
                <w:kern w:val="0"/>
                <w:lang w:eastAsia="zh-CN" w:bidi="en-US"/>
              </w:rPr>
            </w:pPr>
            <w:r>
              <w:rPr>
                <w:rFonts w:hint="eastAsia" w:ascii="仿宋_GB2312" w:eastAsia="仿宋_GB2312"/>
                <w:b/>
                <w:kern w:val="0"/>
                <w:lang w:eastAsia="zh-CN" w:bidi="en-US"/>
              </w:rPr>
              <w:t>一债通账户</w:t>
            </w:r>
          </w:p>
        </w:tc>
        <w:tc>
          <w:tcPr>
            <w:tcW w:w="6004" w:type="dxa"/>
          </w:tcPr>
          <w:p w14:paraId="1F799595">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应价方交易员</w:t>
            </w:r>
            <w:r>
              <w:rPr>
                <w:rFonts w:hint="eastAsia" w:ascii="仿宋_GB2312" w:eastAsia="仿宋_GB2312"/>
                <w:kern w:val="0"/>
                <w:lang w:eastAsia="zh-CN" w:bidi="en-US"/>
              </w:rPr>
              <w:t>一债通账户号</w:t>
            </w:r>
            <w:r>
              <w:rPr>
                <w:rFonts w:hint="eastAsia" w:ascii="仿宋_GB2312" w:eastAsia="仿宋_GB2312"/>
                <w:kern w:val="0"/>
                <w:lang w:bidi="en-US"/>
              </w:rPr>
              <w:t>码，自动显示，无需输入</w:t>
            </w:r>
          </w:p>
        </w:tc>
      </w:tr>
      <w:tr w14:paraId="0172C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Pr>
          <w:p w14:paraId="3135A4CF">
            <w:pPr>
              <w:pStyle w:val="12"/>
              <w:ind w:firstLine="0" w:firstLineChars="0"/>
              <w:rPr>
                <w:rFonts w:ascii="仿宋_GB2312" w:hAnsi="宋体" w:eastAsia="仿宋_GB2312"/>
                <w:b/>
                <w:color w:val="000000"/>
                <w:kern w:val="0"/>
                <w:lang w:eastAsia="en-US" w:bidi="en-US"/>
              </w:rPr>
            </w:pPr>
            <w:r>
              <w:rPr>
                <w:rFonts w:hint="eastAsia" w:ascii="仿宋_GB2312" w:eastAsia="仿宋_GB2312"/>
                <w:b/>
                <w:kern w:val="0"/>
                <w:lang w:eastAsia="zh-CN" w:bidi="en-US"/>
              </w:rPr>
              <w:t>本方</w:t>
            </w:r>
            <w:r>
              <w:rPr>
                <w:rFonts w:hint="eastAsia" w:ascii="仿宋_GB2312" w:eastAsia="仿宋_GB2312"/>
                <w:b/>
                <w:kern w:val="0"/>
                <w:lang w:eastAsia="en-US" w:bidi="en-US"/>
              </w:rPr>
              <w:t>交易员</w:t>
            </w:r>
          </w:p>
        </w:tc>
        <w:tc>
          <w:tcPr>
            <w:tcW w:w="6004" w:type="dxa"/>
          </w:tcPr>
          <w:p w14:paraId="41BCF6D9">
            <w:pPr>
              <w:pStyle w:val="12"/>
              <w:ind w:firstLine="0" w:firstLineChars="0"/>
              <w:rPr>
                <w:rFonts w:ascii="仿宋_GB2312" w:hAnsi="宋体" w:eastAsia="仿宋_GB2312"/>
                <w:color w:val="000000"/>
                <w:kern w:val="0"/>
                <w:lang w:bidi="en-US"/>
              </w:rPr>
            </w:pPr>
            <w:r>
              <w:rPr>
                <w:rFonts w:hint="eastAsia" w:ascii="仿宋_GB2312" w:eastAsia="仿宋_GB2312"/>
                <w:kern w:val="0"/>
                <w:lang w:bidi="en-US"/>
              </w:rPr>
              <w:t>应价方交易员名称，自动显示，无需输入</w:t>
            </w:r>
          </w:p>
        </w:tc>
      </w:tr>
      <w:tr w14:paraId="68ABA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8" w:type="dxa"/>
            <w:vAlign w:val="top"/>
          </w:tcPr>
          <w:p w14:paraId="59B225CA">
            <w:pPr>
              <w:pStyle w:val="12"/>
              <w:ind w:firstLine="0" w:firstLineChars="0"/>
              <w:rPr>
                <w:rFonts w:ascii="仿宋_GB2312" w:hAnsi="宋体" w:eastAsia="仿宋_GB2312"/>
                <w:b/>
                <w:color w:val="000000"/>
                <w:kern w:val="0"/>
                <w:lang w:eastAsia="en-US" w:bidi="en-US"/>
              </w:rPr>
            </w:pPr>
            <w:r>
              <w:rPr>
                <w:rFonts w:hint="eastAsia" w:ascii="仿宋_GB2312" w:hAnsi="宋体" w:eastAsia="仿宋_GB2312"/>
                <w:b/>
                <w:color w:val="000000"/>
                <w:kern w:val="0"/>
                <w:lang w:eastAsia="zh-CN" w:bidi="en-US"/>
              </w:rPr>
              <w:t>竞买编号</w:t>
            </w:r>
          </w:p>
        </w:tc>
        <w:tc>
          <w:tcPr>
            <w:tcW w:w="6004" w:type="dxa"/>
            <w:vAlign w:val="top"/>
          </w:tcPr>
          <w:p w14:paraId="3DFCA539">
            <w:pPr>
              <w:pStyle w:val="12"/>
              <w:ind w:firstLine="0" w:firstLineChars="0"/>
              <w:rPr>
                <w:rFonts w:ascii="仿宋_GB2312" w:hAnsi="宋体" w:eastAsia="仿宋_GB2312"/>
                <w:color w:val="000000"/>
                <w:kern w:val="0"/>
                <w:lang w:bidi="en-US"/>
              </w:rPr>
            </w:pPr>
            <w:r>
              <w:rPr>
                <w:rFonts w:hint="eastAsia" w:ascii="仿宋_GB2312" w:hAnsi="宋体" w:eastAsia="仿宋_GB2312"/>
                <w:color w:val="000000"/>
                <w:kern w:val="0"/>
                <w:lang w:eastAsia="zh-CN" w:bidi="en-US"/>
              </w:rPr>
              <w:t>自动带出</w:t>
            </w:r>
          </w:p>
        </w:tc>
      </w:tr>
    </w:tbl>
    <w:p w14:paraId="718CAF24">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采用单一主体中标方式的，应价申报包含交易品种、价格、应价方证券账户等信息。其中，应价申报价格应处于卖方明确的价格区间内，不得低于底价，否则视作无效应价申报。</w:t>
      </w:r>
    </w:p>
    <w:p w14:paraId="792FE0A5">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（3）应价申报撤销</w:t>
      </w:r>
    </w:p>
    <w:p w14:paraId="1422BD54">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采用单一主体中标方式的，应价申报不可撤销。</w:t>
      </w:r>
    </w:p>
    <w:p w14:paraId="0AB84308">
      <w:pPr>
        <w:numPr>
          <w:ilvl w:val="2"/>
          <w:numId w:val="4"/>
        </w:numPr>
        <w:spacing w:line="600" w:lineRule="exact"/>
        <w:ind w:left="0" w:firstLine="0"/>
        <w:outlineLvl w:val="2"/>
        <w:rPr>
          <w:rFonts w:ascii="仿宋_GB2312" w:eastAsia="仿宋_GB2312"/>
          <w:b/>
          <w:sz w:val="30"/>
          <w:szCs w:val="30"/>
        </w:rPr>
      </w:pPr>
      <w:bookmarkStart w:id="557" w:name="_Toc57908910"/>
      <w:r>
        <w:rPr>
          <w:rFonts w:hint="eastAsia" w:ascii="仿宋_GB2312" w:eastAsia="仿宋_GB2312"/>
          <w:b/>
          <w:sz w:val="30"/>
          <w:szCs w:val="30"/>
        </w:rPr>
        <w:t>成交</w:t>
      </w:r>
      <w:bookmarkEnd w:id="557"/>
    </w:p>
    <w:p w14:paraId="22B2FFE8">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在竞买时间截止后（竞买日11:30后），系统按竞买方式对应的成交规则计算成交价格和成交数量，生成成交信息。对于采用净额结算方式结算的，若交易对手方选择“匿名提交”，则成交信息不含交易对手方信息；反之，则显示交易对手方信息。对于采用逐笔全额结算方式的，成交信息包含交易双方信息。</w:t>
      </w:r>
    </w:p>
    <w:p w14:paraId="275BF9CD">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采用单一主体中标方式的，</w:t>
      </w:r>
      <w:r>
        <w:rPr>
          <w:rFonts w:hint="eastAsia" w:ascii="仿宋_GB2312" w:eastAsia="仿宋_GB2312"/>
          <w:color w:val="000000"/>
          <w:sz w:val="30"/>
          <w:szCs w:val="30"/>
        </w:rPr>
        <w:t>由最优出价的应价方按照其应价价格、该笔竞买的全部申报数量成交</w:t>
      </w:r>
      <w:r>
        <w:rPr>
          <w:rFonts w:hint="eastAsia" w:ascii="仿宋_GB2312" w:hAnsi="仿宋" w:eastAsia="仿宋_GB2312"/>
          <w:sz w:val="30"/>
          <w:szCs w:val="30"/>
        </w:rPr>
        <w:t>。若最优出价存在多笔应价申报的，按时间优先原则成交。</w:t>
      </w:r>
      <w:r>
        <w:rPr>
          <w:rFonts w:ascii="仿宋_GB2312" w:hAnsi="仿宋" w:eastAsia="仿宋_GB2312"/>
          <w:sz w:val="30"/>
          <w:szCs w:val="30"/>
        </w:rPr>
        <w:t>多主体中标</w:t>
      </w:r>
      <w:r>
        <w:rPr>
          <w:rFonts w:hint="eastAsia" w:ascii="仿宋_GB2312" w:hAnsi="仿宋" w:eastAsia="仿宋_GB2312"/>
          <w:sz w:val="30"/>
          <w:szCs w:val="30"/>
        </w:rPr>
        <w:t>方式因</w:t>
      </w:r>
      <w:r>
        <w:rPr>
          <w:rFonts w:ascii="仿宋_GB2312" w:hAnsi="仿宋" w:eastAsia="仿宋_GB2312"/>
          <w:sz w:val="30"/>
          <w:szCs w:val="30"/>
        </w:rPr>
        <w:t>暂缓实施</w:t>
      </w:r>
      <w:r>
        <w:rPr>
          <w:rFonts w:hint="eastAsia" w:ascii="仿宋_GB2312" w:hAnsi="仿宋" w:eastAsia="仿宋_GB2312"/>
          <w:sz w:val="30"/>
          <w:szCs w:val="30"/>
        </w:rPr>
        <w:t>不再赘述。</w:t>
      </w:r>
    </w:p>
    <w:p w14:paraId="068A5F24">
      <w:pPr>
        <w:numPr>
          <w:ilvl w:val="2"/>
          <w:numId w:val="4"/>
        </w:numPr>
        <w:spacing w:line="600" w:lineRule="exact"/>
        <w:ind w:left="0" w:firstLine="0"/>
        <w:outlineLvl w:val="2"/>
        <w:rPr>
          <w:rFonts w:ascii="仿宋_GB2312" w:eastAsia="仿宋_GB2312"/>
          <w:b/>
          <w:sz w:val="30"/>
          <w:szCs w:val="30"/>
        </w:rPr>
      </w:pPr>
      <w:bookmarkStart w:id="558" w:name="_Toc57908911"/>
      <w:r>
        <w:rPr>
          <w:rFonts w:hint="eastAsia" w:ascii="仿宋_GB2312" w:eastAsia="仿宋_GB2312"/>
          <w:b/>
          <w:sz w:val="30"/>
          <w:szCs w:val="30"/>
        </w:rPr>
        <w:t>竞买结果</w:t>
      </w:r>
      <w:bookmarkEnd w:id="558"/>
    </w:p>
    <w:p w14:paraId="46C79AE7">
      <w:pPr>
        <w:spacing w:line="600" w:lineRule="exact"/>
        <w:ind w:firstLine="600" w:firstLineChars="200"/>
        <w:outlineLvl w:val="3"/>
        <w:rPr>
          <w:rFonts w:ascii="仿宋_GB2312" w:eastAsia="仿宋_GB2312"/>
          <w:sz w:val="30"/>
          <w:szCs w:val="30"/>
        </w:rPr>
      </w:pPr>
      <w:r>
        <w:rPr>
          <w:rFonts w:hint="eastAsia" w:ascii="仿宋_GB2312" w:hAnsi="仿宋" w:eastAsia="仿宋_GB2312"/>
          <w:sz w:val="30"/>
          <w:szCs w:val="30"/>
        </w:rPr>
        <w:t>（1）成交数据发送</w:t>
      </w:r>
    </w:p>
    <w:p w14:paraId="6757BA53">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成交后，系统将逐笔成交数据分别发送给交易对应的买卖双方，债券投资者仅能收到与自己相关的成交数据。</w:t>
      </w:r>
    </w:p>
    <w:p w14:paraId="6EB1D72C">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成交数据</w:t>
      </w:r>
      <w:r>
        <w:rPr>
          <w:rFonts w:hint="eastAsia" w:ascii="仿宋_GB2312" w:eastAsia="仿宋_GB2312"/>
          <w:color w:val="000000"/>
          <w:sz w:val="30"/>
          <w:szCs w:val="30"/>
        </w:rPr>
        <w:t>具体要素及要素说明</w:t>
      </w:r>
      <w:r>
        <w:rPr>
          <w:rFonts w:hint="eastAsia" w:ascii="仿宋_GB2312" w:hAnsi="仿宋" w:eastAsia="仿宋_GB2312"/>
          <w:sz w:val="30"/>
          <w:szCs w:val="30"/>
        </w:rPr>
        <w:t>如下：</w:t>
      </w:r>
    </w:p>
    <w:tbl>
      <w:tblPr>
        <w:tblStyle w:val="43"/>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6571"/>
      </w:tblGrid>
      <w:tr w14:paraId="2C385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2CF442F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要素名称</w:t>
            </w:r>
          </w:p>
        </w:tc>
        <w:tc>
          <w:tcPr>
            <w:tcW w:w="6571" w:type="dxa"/>
          </w:tcPr>
          <w:p w14:paraId="1A414BD0">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要素说明</w:t>
            </w:r>
          </w:p>
        </w:tc>
      </w:tr>
      <w:tr w14:paraId="50BA5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4DAEFA84">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成交编号</w:t>
            </w:r>
          </w:p>
        </w:tc>
        <w:tc>
          <w:tcPr>
            <w:tcW w:w="6571" w:type="dxa"/>
          </w:tcPr>
          <w:p w14:paraId="2657A321">
            <w:pPr>
              <w:pStyle w:val="12"/>
              <w:ind w:firstLine="0" w:firstLineChars="0"/>
              <w:rPr>
                <w:rFonts w:ascii="仿宋_GB2312" w:eastAsia="仿宋_GB2312"/>
                <w:kern w:val="0"/>
                <w:lang w:bidi="en-US"/>
              </w:rPr>
            </w:pPr>
            <w:r>
              <w:rPr>
                <w:rFonts w:hint="eastAsia" w:ascii="仿宋_GB2312" w:eastAsia="仿宋_GB2312"/>
                <w:kern w:val="0"/>
                <w:lang w:bidi="en-US"/>
              </w:rPr>
              <w:t>系统给成交单分配的唯一标识</w:t>
            </w:r>
          </w:p>
        </w:tc>
      </w:tr>
      <w:tr w14:paraId="55B40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2B02FE4A">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zh-CN" w:bidi="en-US"/>
              </w:rPr>
              <w:t>订单编号</w:t>
            </w:r>
          </w:p>
        </w:tc>
        <w:tc>
          <w:tcPr>
            <w:tcW w:w="6571" w:type="dxa"/>
          </w:tcPr>
          <w:p w14:paraId="21CD3A5C">
            <w:pPr>
              <w:pStyle w:val="12"/>
              <w:ind w:firstLine="0" w:firstLineChars="0"/>
              <w:rPr>
                <w:rFonts w:ascii="仿宋_GB2312" w:eastAsia="仿宋_GB2312"/>
                <w:kern w:val="0"/>
                <w:lang w:bidi="en-US"/>
              </w:rPr>
            </w:pPr>
            <w:r>
              <w:rPr>
                <w:rFonts w:hint="eastAsia" w:ascii="仿宋_GB2312" w:eastAsia="仿宋_GB2312"/>
                <w:kern w:val="0"/>
                <w:lang w:eastAsia="zh-CN" w:bidi="en-US"/>
              </w:rPr>
              <w:t>竞买或应价申报时订单编号</w:t>
            </w:r>
          </w:p>
        </w:tc>
      </w:tr>
      <w:tr w14:paraId="3C4A6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27" w:type="dxa"/>
          </w:tcPr>
          <w:p w14:paraId="064905E2">
            <w:pPr>
              <w:pStyle w:val="12"/>
              <w:ind w:firstLine="0" w:firstLineChars="0"/>
              <w:rPr>
                <w:rFonts w:hint="default" w:ascii="仿宋_GB2312" w:eastAsia="仿宋_GB2312"/>
                <w:b/>
                <w:kern w:val="0"/>
                <w:lang w:val="en-US" w:eastAsia="zh-CN" w:bidi="en-US"/>
              </w:rPr>
            </w:pPr>
            <w:r>
              <w:rPr>
                <w:rFonts w:hint="eastAsia" w:ascii="仿宋_GB2312" w:eastAsia="仿宋_GB2312"/>
                <w:b/>
                <w:kern w:val="0"/>
                <w:lang w:val="en-US" w:eastAsia="zh-CN" w:bidi="en-US"/>
              </w:rPr>
              <w:t>成交方式</w:t>
            </w:r>
          </w:p>
        </w:tc>
        <w:tc>
          <w:tcPr>
            <w:tcW w:w="6571" w:type="dxa"/>
          </w:tcPr>
          <w:p w14:paraId="6383D138">
            <w:pPr>
              <w:pStyle w:val="12"/>
              <w:ind w:firstLine="0" w:firstLineChars="0"/>
              <w:rPr>
                <w:rFonts w:hint="eastAsia" w:ascii="仿宋_GB2312" w:eastAsia="仿宋_GB2312"/>
                <w:kern w:val="0"/>
                <w:lang w:eastAsia="zh-CN" w:bidi="en-US"/>
              </w:rPr>
            </w:pPr>
            <w:r>
              <w:rPr>
                <w:rFonts w:hint="eastAsia" w:ascii="仿宋_GB2312" w:eastAsia="仿宋_GB2312"/>
                <w:kern w:val="0"/>
                <w:lang w:eastAsia="zh-CN" w:bidi="en-US"/>
              </w:rPr>
              <w:t>竞买成交</w:t>
            </w:r>
          </w:p>
        </w:tc>
      </w:tr>
      <w:tr w14:paraId="79D78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296B9124">
            <w:pPr>
              <w:pStyle w:val="12"/>
              <w:ind w:firstLine="0" w:firstLineChars="0"/>
              <w:rPr>
                <w:rFonts w:hint="eastAsia" w:ascii="仿宋_GB2312" w:eastAsia="仿宋_GB2312"/>
                <w:b/>
                <w:kern w:val="0"/>
                <w:lang w:val="en-US" w:eastAsia="zh-CN" w:bidi="en-US"/>
              </w:rPr>
            </w:pPr>
            <w:r>
              <w:rPr>
                <w:rFonts w:hint="eastAsia" w:ascii="仿宋_GB2312" w:eastAsia="仿宋_GB2312"/>
                <w:b/>
                <w:kern w:val="0"/>
                <w:lang w:val="en-US" w:eastAsia="zh-CN" w:bidi="en-US"/>
              </w:rPr>
              <w:t>买方</w:t>
            </w:r>
          </w:p>
        </w:tc>
        <w:tc>
          <w:tcPr>
            <w:tcW w:w="6571" w:type="dxa"/>
          </w:tcPr>
          <w:p w14:paraId="2C97037B">
            <w:pPr>
              <w:pStyle w:val="12"/>
              <w:ind w:firstLine="0" w:firstLineChars="0"/>
              <w:rPr>
                <w:rFonts w:hint="eastAsia" w:ascii="仿宋_GB2312" w:eastAsia="仿宋_GB2312"/>
                <w:kern w:val="0"/>
                <w:lang w:eastAsia="zh-CN" w:bidi="en-US"/>
              </w:rPr>
            </w:pPr>
            <w:r>
              <w:rPr>
                <w:rFonts w:hint="eastAsia" w:ascii="仿宋_GB2312" w:eastAsia="仿宋_GB2312"/>
                <w:kern w:val="0"/>
                <w:lang w:eastAsia="zh-CN" w:bidi="en-US"/>
              </w:rPr>
              <w:t>买方债券交易参与人简称</w:t>
            </w:r>
          </w:p>
        </w:tc>
      </w:tr>
      <w:tr w14:paraId="764A9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6861431C">
            <w:pPr>
              <w:pStyle w:val="12"/>
              <w:ind w:firstLine="0" w:firstLineChars="0"/>
              <w:rPr>
                <w:rFonts w:hint="eastAsia" w:ascii="仿宋_GB2312" w:eastAsia="仿宋_GB2312"/>
                <w:b/>
                <w:kern w:val="0"/>
                <w:lang w:val="en-US" w:eastAsia="zh-CN" w:bidi="en-US"/>
              </w:rPr>
            </w:pPr>
            <w:r>
              <w:rPr>
                <w:rFonts w:hint="eastAsia" w:ascii="仿宋_GB2312" w:eastAsia="仿宋_GB2312"/>
                <w:b/>
                <w:kern w:val="0"/>
                <w:lang w:val="en-US" w:eastAsia="zh-CN" w:bidi="en-US"/>
              </w:rPr>
              <w:t>买方交易员</w:t>
            </w:r>
          </w:p>
        </w:tc>
        <w:tc>
          <w:tcPr>
            <w:tcW w:w="6571" w:type="dxa"/>
          </w:tcPr>
          <w:p w14:paraId="1343EF5B">
            <w:pPr>
              <w:pStyle w:val="12"/>
              <w:ind w:firstLine="0" w:firstLineChars="0"/>
              <w:rPr>
                <w:rFonts w:hint="eastAsia" w:ascii="仿宋_GB2312" w:eastAsia="仿宋_GB2312"/>
                <w:kern w:val="0"/>
                <w:lang w:eastAsia="zh-CN" w:bidi="en-US"/>
              </w:rPr>
            </w:pPr>
            <w:r>
              <w:rPr>
                <w:rFonts w:hint="eastAsia" w:ascii="仿宋_GB2312" w:eastAsia="仿宋_GB2312"/>
                <w:kern w:val="0"/>
                <w:lang w:eastAsia="zh-CN" w:bidi="en-US"/>
              </w:rPr>
              <w:t>买方交易员名称</w:t>
            </w:r>
          </w:p>
        </w:tc>
      </w:tr>
      <w:tr w14:paraId="07610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376B60A4">
            <w:pPr>
              <w:pStyle w:val="12"/>
              <w:ind w:firstLine="0" w:firstLineChars="0"/>
              <w:rPr>
                <w:rFonts w:hint="eastAsia" w:ascii="仿宋_GB2312" w:eastAsia="仿宋_GB2312"/>
                <w:b/>
                <w:kern w:val="0"/>
                <w:lang w:val="en-US" w:eastAsia="zh-CN" w:bidi="en-US"/>
              </w:rPr>
            </w:pPr>
            <w:r>
              <w:rPr>
                <w:rFonts w:hint="eastAsia" w:ascii="仿宋_GB2312" w:eastAsia="仿宋_GB2312"/>
                <w:b/>
                <w:kern w:val="0"/>
                <w:lang w:val="en-US" w:eastAsia="zh-CN" w:bidi="en-US"/>
              </w:rPr>
              <w:t>卖方</w:t>
            </w:r>
          </w:p>
        </w:tc>
        <w:tc>
          <w:tcPr>
            <w:tcW w:w="6571" w:type="dxa"/>
          </w:tcPr>
          <w:p w14:paraId="3F890DB9">
            <w:pPr>
              <w:pStyle w:val="12"/>
              <w:ind w:firstLine="0" w:firstLineChars="0"/>
              <w:rPr>
                <w:rFonts w:hint="eastAsia" w:ascii="仿宋_GB2312" w:eastAsia="仿宋_GB2312"/>
                <w:kern w:val="0"/>
                <w:lang w:eastAsia="zh-CN" w:bidi="en-US"/>
              </w:rPr>
            </w:pPr>
            <w:r>
              <w:rPr>
                <w:rFonts w:hint="eastAsia" w:ascii="仿宋_GB2312" w:eastAsia="仿宋_GB2312"/>
                <w:kern w:val="0"/>
                <w:lang w:eastAsia="zh-CN" w:bidi="en-US"/>
              </w:rPr>
              <w:t>卖方交易参与人简称</w:t>
            </w:r>
          </w:p>
        </w:tc>
      </w:tr>
      <w:tr w14:paraId="63ADC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27" w:type="dxa"/>
          </w:tcPr>
          <w:p w14:paraId="362EFBE7">
            <w:pPr>
              <w:pStyle w:val="12"/>
              <w:ind w:firstLine="0" w:firstLineChars="0"/>
              <w:rPr>
                <w:rFonts w:hint="eastAsia" w:ascii="仿宋_GB2312" w:eastAsia="仿宋_GB2312"/>
                <w:b/>
                <w:kern w:val="0"/>
                <w:lang w:val="en-US" w:eastAsia="zh-CN" w:bidi="en-US"/>
              </w:rPr>
            </w:pPr>
            <w:r>
              <w:rPr>
                <w:rFonts w:hint="eastAsia" w:ascii="仿宋_GB2312" w:eastAsia="仿宋_GB2312"/>
                <w:b/>
                <w:kern w:val="0"/>
                <w:lang w:val="en-US" w:eastAsia="zh-CN" w:bidi="en-US"/>
              </w:rPr>
              <w:t>卖方交易员</w:t>
            </w:r>
          </w:p>
        </w:tc>
        <w:tc>
          <w:tcPr>
            <w:tcW w:w="6571" w:type="dxa"/>
          </w:tcPr>
          <w:p w14:paraId="5DD49D62">
            <w:pPr>
              <w:pStyle w:val="12"/>
              <w:ind w:firstLine="0" w:firstLineChars="0"/>
              <w:rPr>
                <w:rFonts w:hint="eastAsia" w:ascii="仿宋_GB2312" w:eastAsia="仿宋_GB2312"/>
                <w:kern w:val="0"/>
                <w:lang w:eastAsia="zh-CN" w:bidi="en-US"/>
              </w:rPr>
            </w:pPr>
            <w:r>
              <w:rPr>
                <w:rFonts w:hint="eastAsia" w:ascii="仿宋_GB2312" w:eastAsia="仿宋_GB2312"/>
                <w:kern w:val="0"/>
                <w:lang w:eastAsia="zh-CN" w:bidi="en-US"/>
              </w:rPr>
              <w:t>卖方交易员名称</w:t>
            </w:r>
          </w:p>
        </w:tc>
      </w:tr>
      <w:tr w14:paraId="078DC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78AA34C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证券</w:t>
            </w:r>
            <w:r>
              <w:rPr>
                <w:rFonts w:hint="eastAsia" w:ascii="仿宋_GB2312" w:eastAsia="仿宋_GB2312"/>
                <w:b/>
                <w:kern w:val="0"/>
                <w:lang w:eastAsia="zh-CN" w:bidi="en-US"/>
              </w:rPr>
              <w:t>代码（</w:t>
            </w:r>
            <w:r>
              <w:rPr>
                <w:rFonts w:hint="eastAsia" w:ascii="仿宋_GB2312" w:eastAsia="仿宋_GB2312"/>
                <w:b/>
                <w:kern w:val="0"/>
                <w:lang w:eastAsia="en-US" w:bidi="en-US"/>
              </w:rPr>
              <w:t>简称</w:t>
            </w:r>
            <w:r>
              <w:rPr>
                <w:rFonts w:hint="eastAsia" w:ascii="仿宋_GB2312" w:eastAsia="仿宋_GB2312"/>
                <w:b/>
                <w:kern w:val="0"/>
                <w:lang w:eastAsia="zh-CN" w:bidi="en-US"/>
              </w:rPr>
              <w:t>）</w:t>
            </w:r>
          </w:p>
        </w:tc>
        <w:tc>
          <w:tcPr>
            <w:tcW w:w="6571" w:type="dxa"/>
          </w:tcPr>
          <w:p w14:paraId="18D3AD54">
            <w:pPr>
              <w:pStyle w:val="12"/>
              <w:ind w:firstLine="0" w:firstLineChars="0"/>
              <w:rPr>
                <w:rFonts w:ascii="仿宋_GB2312" w:hAnsi="宋体" w:eastAsia="仿宋_GB2312"/>
                <w:b/>
                <w:kern w:val="0"/>
                <w:lang w:bidi="en-US"/>
              </w:rPr>
            </w:pPr>
            <w:r>
              <w:rPr>
                <w:rFonts w:hint="eastAsia" w:ascii="仿宋_GB2312" w:hAnsi="宋体" w:eastAsia="仿宋_GB2312"/>
                <w:kern w:val="0"/>
                <w:lang w:bidi="en-US"/>
              </w:rPr>
              <w:t>上交所证券</w:t>
            </w:r>
            <w:r>
              <w:rPr>
                <w:rFonts w:hint="eastAsia" w:ascii="仿宋_GB2312" w:hAnsi="宋体" w:eastAsia="仿宋_GB2312"/>
                <w:kern w:val="0"/>
                <w:lang w:eastAsia="zh-CN" w:bidi="en-US"/>
              </w:rPr>
              <w:t>代码及</w:t>
            </w:r>
            <w:r>
              <w:rPr>
                <w:rFonts w:hint="eastAsia" w:ascii="仿宋_GB2312" w:hAnsi="宋体" w:eastAsia="仿宋_GB2312"/>
                <w:kern w:val="0"/>
                <w:lang w:bidi="en-US"/>
              </w:rPr>
              <w:t>简称</w:t>
            </w:r>
          </w:p>
        </w:tc>
      </w:tr>
      <w:tr w14:paraId="47EFB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vAlign w:val="top"/>
          </w:tcPr>
          <w:p w14:paraId="0EA973D5">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成交价格</w:t>
            </w:r>
          </w:p>
        </w:tc>
        <w:tc>
          <w:tcPr>
            <w:tcW w:w="6571" w:type="dxa"/>
            <w:vAlign w:val="top"/>
          </w:tcPr>
          <w:p w14:paraId="3F055856">
            <w:pPr>
              <w:pStyle w:val="12"/>
              <w:ind w:firstLine="0" w:firstLineChars="0"/>
              <w:rPr>
                <w:rFonts w:ascii="仿宋_GB2312" w:eastAsia="仿宋_GB2312"/>
                <w:kern w:val="0"/>
                <w:lang w:bidi="en-US"/>
              </w:rPr>
            </w:pPr>
            <w:r>
              <w:rPr>
                <w:rFonts w:hint="eastAsia" w:ascii="仿宋_GB2312" w:eastAsia="仿宋_GB2312"/>
                <w:kern w:val="0"/>
                <w:lang w:bidi="en-US"/>
              </w:rPr>
              <w:t>成交的价格，单位：元</w:t>
            </w:r>
          </w:p>
        </w:tc>
      </w:tr>
      <w:tr w14:paraId="010B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vAlign w:val="top"/>
          </w:tcPr>
          <w:p w14:paraId="48FC460F">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成交数量</w:t>
            </w:r>
          </w:p>
        </w:tc>
        <w:tc>
          <w:tcPr>
            <w:tcW w:w="6571" w:type="dxa"/>
            <w:vAlign w:val="top"/>
          </w:tcPr>
          <w:p w14:paraId="400FA697">
            <w:pPr>
              <w:pStyle w:val="12"/>
              <w:ind w:firstLine="0" w:firstLineChars="0"/>
              <w:rPr>
                <w:rFonts w:ascii="仿宋_GB2312" w:eastAsia="仿宋_GB2312"/>
                <w:kern w:val="0"/>
                <w:lang w:bidi="en-US"/>
              </w:rPr>
            </w:pPr>
            <w:r>
              <w:rPr>
                <w:rFonts w:hint="eastAsia" w:ascii="仿宋_GB2312" w:eastAsia="仿宋_GB2312"/>
                <w:kern w:val="0"/>
                <w:lang w:bidi="en-US"/>
              </w:rPr>
              <w:t>成交的数量，单位：千元面额，</w:t>
            </w:r>
          </w:p>
        </w:tc>
      </w:tr>
      <w:tr w14:paraId="14964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27" w:type="dxa"/>
            <w:vAlign w:val="top"/>
          </w:tcPr>
          <w:p w14:paraId="76D2E39F">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结算方式</w:t>
            </w:r>
          </w:p>
        </w:tc>
        <w:tc>
          <w:tcPr>
            <w:tcW w:w="6571" w:type="dxa"/>
            <w:vAlign w:val="top"/>
          </w:tcPr>
          <w:p w14:paraId="27086F9E">
            <w:pPr>
              <w:pStyle w:val="12"/>
              <w:ind w:firstLine="0" w:firstLineChars="0"/>
              <w:rPr>
                <w:rFonts w:ascii="仿宋_GB2312" w:eastAsia="仿宋_GB2312"/>
                <w:kern w:val="0"/>
                <w:lang w:bidi="en-US"/>
              </w:rPr>
            </w:pPr>
            <w:r>
              <w:rPr>
                <w:rFonts w:hint="eastAsia" w:ascii="仿宋_GB2312" w:eastAsia="仿宋_GB2312"/>
                <w:kern w:val="0"/>
                <w:lang w:eastAsia="zh-CN" w:bidi="en-US"/>
              </w:rPr>
              <w:t>净额结算或</w:t>
            </w:r>
            <w:r>
              <w:rPr>
                <w:rFonts w:hint="eastAsia" w:ascii="仿宋_GB2312" w:eastAsia="仿宋_GB2312"/>
                <w:kern w:val="0"/>
                <w:lang w:val="en-US" w:eastAsia="zh-CN" w:bidi="en-US"/>
              </w:rPr>
              <w:t>RTGS结算</w:t>
            </w:r>
          </w:p>
        </w:tc>
      </w:tr>
      <w:tr w14:paraId="6083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vAlign w:val="top"/>
          </w:tcPr>
          <w:p w14:paraId="4B772C4E">
            <w:pPr>
              <w:pStyle w:val="12"/>
              <w:ind w:firstLine="0" w:firstLineChars="0"/>
              <w:rPr>
                <w:rFonts w:ascii="仿宋_GB2312" w:eastAsia="仿宋_GB2312"/>
                <w:b/>
                <w:kern w:val="0"/>
                <w:lang w:eastAsia="en-US" w:bidi="en-US"/>
              </w:rPr>
            </w:pPr>
            <w:r>
              <w:rPr>
                <w:rFonts w:hint="eastAsia" w:ascii="仿宋_GB2312" w:eastAsia="仿宋_GB2312"/>
                <w:b/>
                <w:kern w:val="0"/>
                <w:lang w:eastAsia="zh-CN" w:bidi="en-US"/>
              </w:rPr>
              <w:t>成交</w:t>
            </w:r>
            <w:r>
              <w:rPr>
                <w:rFonts w:hint="eastAsia" w:ascii="仿宋_GB2312" w:eastAsia="仿宋_GB2312"/>
                <w:b/>
                <w:kern w:val="0"/>
                <w:lang w:eastAsia="en-US" w:bidi="en-US"/>
              </w:rPr>
              <w:t>状态</w:t>
            </w:r>
          </w:p>
        </w:tc>
        <w:tc>
          <w:tcPr>
            <w:tcW w:w="6571" w:type="dxa"/>
            <w:vAlign w:val="top"/>
          </w:tcPr>
          <w:p w14:paraId="2BF5C056">
            <w:pPr>
              <w:pStyle w:val="12"/>
              <w:ind w:firstLine="0" w:firstLineChars="0"/>
              <w:rPr>
                <w:rFonts w:ascii="仿宋_GB2312" w:eastAsia="仿宋_GB2312"/>
                <w:kern w:val="0"/>
                <w:lang w:bidi="en-US"/>
              </w:rPr>
            </w:pPr>
            <w:r>
              <w:rPr>
                <w:rFonts w:hint="eastAsia" w:ascii="仿宋_GB2312" w:eastAsia="仿宋_GB2312"/>
                <w:kern w:val="0"/>
                <w:lang w:eastAsia="zh-CN" w:bidi="en-US"/>
              </w:rPr>
              <w:t>已成交</w:t>
            </w:r>
            <w:r>
              <w:rPr>
                <w:rFonts w:hint="eastAsia" w:ascii="仿宋_GB2312" w:eastAsia="仿宋_GB2312"/>
                <w:kern w:val="0"/>
                <w:lang w:bidi="en-US"/>
              </w:rPr>
              <w:t>/交收成功/交收失败（原因）</w:t>
            </w:r>
          </w:p>
        </w:tc>
      </w:tr>
    </w:tbl>
    <w:p w14:paraId="1083EA07">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（2）竞买结果发布</w:t>
      </w:r>
    </w:p>
    <w:p w14:paraId="304382CB">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竞买完成后，</w:t>
      </w:r>
      <w:r>
        <w:rPr>
          <w:rFonts w:hint="eastAsia" w:ascii="仿宋_GB2312" w:hAnsi="仿宋" w:eastAsia="仿宋_GB2312"/>
          <w:sz w:val="30"/>
          <w:szCs w:val="30"/>
          <w:lang w:eastAsia="zh-CN"/>
        </w:rPr>
        <w:t>新固定收益系统</w:t>
      </w:r>
      <w:r>
        <w:rPr>
          <w:rFonts w:hint="eastAsia" w:ascii="仿宋_GB2312" w:hAnsi="仿宋" w:eastAsia="仿宋_GB2312"/>
          <w:sz w:val="30"/>
          <w:szCs w:val="30"/>
        </w:rPr>
        <w:t>将根据竞买结果信息自动生成竞买结果公告，并于当日对外发布。债券投资者可在本所官网、上证债券信息网、</w:t>
      </w:r>
      <w:r>
        <w:rPr>
          <w:rFonts w:hint="eastAsia" w:ascii="仿宋_GB2312" w:hAnsi="仿宋" w:eastAsia="仿宋_GB2312"/>
          <w:sz w:val="30"/>
          <w:szCs w:val="30"/>
          <w:lang w:eastAsia="zh-CN"/>
        </w:rPr>
        <w:t>一债通</w:t>
      </w:r>
      <w:r>
        <w:rPr>
          <w:rFonts w:hint="eastAsia" w:ascii="仿宋_GB2312" w:hAnsi="仿宋" w:eastAsia="仿宋_GB2312"/>
          <w:sz w:val="30"/>
          <w:szCs w:val="30"/>
        </w:rPr>
        <w:t>查询到发布的竞买结果信息。</w:t>
      </w:r>
    </w:p>
    <w:p w14:paraId="7E02E269">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采用单一主体中标方式的，发布竞买债券信息、中标量、中标价格等信息（详见附件6示例四）。</w:t>
      </w:r>
    </w:p>
    <w:p w14:paraId="3D7218D7">
      <w:pPr>
        <w:spacing w:line="600" w:lineRule="exact"/>
        <w:ind w:firstLine="600" w:firstLineChars="200"/>
        <w:outlineLvl w:val="3"/>
        <w:rPr>
          <w:rFonts w:ascii="仿宋_GB2312" w:hAnsi="仿宋" w:eastAsia="仿宋_GB2312"/>
          <w:sz w:val="30"/>
          <w:szCs w:val="30"/>
        </w:rPr>
      </w:pPr>
      <w:r>
        <w:rPr>
          <w:rFonts w:hint="eastAsia" w:ascii="仿宋_GB2312" w:hAnsi="仿宋" w:eastAsia="仿宋_GB2312"/>
          <w:sz w:val="30"/>
          <w:szCs w:val="30"/>
        </w:rPr>
        <w:t>（3）</w:t>
      </w:r>
      <w:r>
        <w:rPr>
          <w:rFonts w:hint="eastAsia" w:ascii="仿宋_GB2312" w:eastAsia="仿宋_GB2312"/>
          <w:sz w:val="30"/>
          <w:szCs w:val="30"/>
        </w:rPr>
        <w:t>流拍情形</w:t>
      </w:r>
    </w:p>
    <w:p w14:paraId="029C530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若竞买最终未达成成交，则不对外发布结果公告信息。</w:t>
      </w:r>
    </w:p>
    <w:p w14:paraId="587782C6">
      <w:pPr>
        <w:numPr>
          <w:ilvl w:val="1"/>
          <w:numId w:val="4"/>
        </w:numPr>
        <w:spacing w:line="600" w:lineRule="exact"/>
        <w:ind w:left="0" w:firstLine="0"/>
        <w:outlineLvl w:val="1"/>
        <w:rPr>
          <w:rFonts w:ascii="仿宋_GB2312" w:eastAsia="仿宋_GB2312"/>
          <w:b/>
          <w:sz w:val="30"/>
          <w:szCs w:val="30"/>
        </w:rPr>
      </w:pPr>
      <w:bookmarkStart w:id="559" w:name="_Toc97819656"/>
      <w:bookmarkEnd w:id="559"/>
      <w:bookmarkStart w:id="560" w:name="_Toc97819657"/>
      <w:bookmarkEnd w:id="560"/>
      <w:bookmarkStart w:id="561" w:name="_Toc97819658"/>
      <w:bookmarkEnd w:id="561"/>
      <w:bookmarkStart w:id="562" w:name="_Toc1848827109"/>
      <w:bookmarkStart w:id="563" w:name="_Toc84635389"/>
      <w:bookmarkStart w:id="564" w:name="_Toc911540159"/>
      <w:bookmarkStart w:id="565" w:name="_Toc1952727922"/>
      <w:bookmarkStart w:id="566" w:name="_Toc757296045"/>
      <w:bookmarkStart w:id="567" w:name="_Toc56166084"/>
      <w:bookmarkStart w:id="568" w:name="_Toc151136905"/>
      <w:bookmarkStart w:id="569" w:name="_Toc56166273"/>
      <w:bookmarkStart w:id="570" w:name="_Toc723454005"/>
      <w:r>
        <w:rPr>
          <w:rFonts w:hint="eastAsia" w:ascii="仿宋_GB2312" w:eastAsia="仿宋_GB2312"/>
          <w:b/>
          <w:sz w:val="30"/>
          <w:szCs w:val="30"/>
        </w:rPr>
        <w:t>意向申报</w:t>
      </w:r>
      <w:bookmarkEnd w:id="562"/>
      <w:bookmarkEnd w:id="563"/>
      <w:bookmarkEnd w:id="564"/>
      <w:bookmarkEnd w:id="565"/>
      <w:bookmarkEnd w:id="566"/>
      <w:bookmarkEnd w:id="567"/>
      <w:bookmarkEnd w:id="568"/>
      <w:bookmarkEnd w:id="569"/>
      <w:bookmarkEnd w:id="570"/>
    </w:p>
    <w:p w14:paraId="5621513A">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定义</w:t>
      </w:r>
    </w:p>
    <w:p w14:paraId="786AE193">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意向申报是指表明其交易意向的申报，债券投资者可以向全市场或者部分债券投资者发送意向申报，意向申报不可直接确认成交。其他债券投资者可以通过询价成交、协商成交等方式与意向申报发出方达成交易。</w:t>
      </w:r>
    </w:p>
    <w:p w14:paraId="20CF14E1">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申报要求</w:t>
      </w:r>
    </w:p>
    <w:p w14:paraId="7F64ED7B">
      <w:pPr>
        <w:spacing w:line="6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意向申报要素应当包括交易品种、交易方向、意向申报价格、</w:t>
      </w:r>
      <w:r>
        <w:rPr>
          <w:rFonts w:hint="eastAsia" w:ascii="仿宋_GB2312" w:hAnsi="仿宋" w:eastAsia="仿宋_GB2312"/>
          <w:bCs/>
          <w:sz w:val="30"/>
          <w:szCs w:val="30"/>
          <w:lang w:eastAsia="zh-CN"/>
        </w:rPr>
        <w:t>发布范围</w:t>
      </w:r>
      <w:r>
        <w:rPr>
          <w:rFonts w:hint="eastAsia" w:ascii="仿宋_GB2312" w:hAnsi="仿宋" w:eastAsia="仿宋_GB2312"/>
          <w:bCs/>
          <w:sz w:val="30"/>
          <w:szCs w:val="30"/>
        </w:rPr>
        <w:t>等内容。债券投资者可以选填意向申报数量等。</w:t>
      </w:r>
    </w:p>
    <w:p w14:paraId="5151C528">
      <w:pPr>
        <w:spacing w:line="600" w:lineRule="exact"/>
        <w:ind w:firstLine="600" w:firstLineChars="200"/>
        <w:rPr>
          <w:rFonts w:ascii="仿宋_GB2312" w:eastAsia="仿宋_GB2312"/>
          <w:color w:val="000000"/>
          <w:sz w:val="30"/>
          <w:szCs w:val="30"/>
        </w:rPr>
      </w:pPr>
      <w:r>
        <w:rPr>
          <w:rFonts w:hint="eastAsia" w:ascii="仿宋_GB2312" w:hAnsi="仿宋" w:eastAsia="仿宋_GB2312"/>
          <w:bCs/>
          <w:sz w:val="30"/>
          <w:szCs w:val="30"/>
        </w:rPr>
        <w:t>交易品种要素，包括标的债券的证券简称、证券代码（如适用），下同。</w:t>
      </w:r>
    </w:p>
    <w:p w14:paraId="5FCFB866">
      <w:pPr>
        <w:spacing w:line="600" w:lineRule="exact"/>
        <w:ind w:firstLine="600" w:firstLineChars="200"/>
        <w:outlineLvl w:val="3"/>
        <w:rPr>
          <w:rFonts w:ascii="仿宋_GB2312" w:eastAsia="仿宋_GB2312"/>
          <w:color w:val="000000"/>
          <w:sz w:val="30"/>
          <w:szCs w:val="30"/>
        </w:rPr>
      </w:pPr>
      <w:r>
        <w:rPr>
          <w:rFonts w:hint="eastAsia" w:ascii="仿宋_GB2312" w:eastAsia="仿宋_GB2312"/>
          <w:color w:val="000000"/>
          <w:sz w:val="30"/>
          <w:szCs w:val="30"/>
        </w:rPr>
        <w:t>（1）现券交易意向申报</w:t>
      </w:r>
    </w:p>
    <w:p w14:paraId="3AD6EE78">
      <w:pPr>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债券投资者可填写的现券交易意向申报信息，包含证券代码、交易品种、买卖方向、意向申报价格、意向申报数量、</w:t>
      </w:r>
      <w:r>
        <w:rPr>
          <w:rFonts w:hint="eastAsia" w:ascii="仿宋_GB2312" w:eastAsia="仿宋_GB2312"/>
          <w:color w:val="000000"/>
          <w:sz w:val="30"/>
          <w:szCs w:val="30"/>
          <w:lang w:eastAsia="zh-CN"/>
        </w:rPr>
        <w:t>发布范围</w:t>
      </w:r>
      <w:r>
        <w:rPr>
          <w:rFonts w:hint="eastAsia" w:ascii="仿宋_GB2312" w:eastAsia="仿宋_GB2312"/>
          <w:color w:val="000000"/>
          <w:sz w:val="30"/>
          <w:szCs w:val="30"/>
        </w:rPr>
        <w:t>等。</w:t>
      </w:r>
    </w:p>
    <w:p w14:paraId="439C5B20">
      <w:pPr>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现券交易意向申报具体要素及要素说明如下：</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2"/>
        <w:gridCol w:w="6110"/>
      </w:tblGrid>
      <w:tr w14:paraId="2BAFE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2" w:type="dxa"/>
          </w:tcPr>
          <w:p w14:paraId="624B0761">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要素名称</w:t>
            </w:r>
          </w:p>
        </w:tc>
        <w:tc>
          <w:tcPr>
            <w:tcW w:w="6110" w:type="dxa"/>
          </w:tcPr>
          <w:p w14:paraId="74F7A143">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要素说明</w:t>
            </w:r>
          </w:p>
        </w:tc>
      </w:tr>
      <w:tr w14:paraId="4209F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2" w:type="dxa"/>
          </w:tcPr>
          <w:p w14:paraId="3898C383">
            <w:pPr>
              <w:pStyle w:val="12"/>
              <w:ind w:firstLine="0" w:firstLineChars="0"/>
              <w:rPr>
                <w:rFonts w:ascii="仿宋_GB2312" w:eastAsia="仿宋_GB2312"/>
                <w:b/>
                <w:kern w:val="0"/>
                <w:lang w:eastAsia="en-US" w:bidi="en-US"/>
              </w:rPr>
            </w:pPr>
            <w:r>
              <w:rPr>
                <w:rFonts w:hint="eastAsia" w:ascii="仿宋_GB2312" w:eastAsia="仿宋_GB2312"/>
                <w:b/>
                <w:kern w:val="0"/>
                <w:lang w:eastAsia="zh-CN" w:bidi="en-US"/>
              </w:rPr>
              <w:t>订单</w:t>
            </w:r>
            <w:r>
              <w:rPr>
                <w:rFonts w:hint="eastAsia" w:ascii="仿宋_GB2312" w:eastAsia="仿宋_GB2312"/>
                <w:b/>
                <w:kern w:val="0"/>
                <w:lang w:eastAsia="en-US" w:bidi="en-US"/>
              </w:rPr>
              <w:t>类型</w:t>
            </w:r>
          </w:p>
        </w:tc>
        <w:tc>
          <w:tcPr>
            <w:tcW w:w="6110" w:type="dxa"/>
          </w:tcPr>
          <w:p w14:paraId="53A76501">
            <w:pPr>
              <w:pStyle w:val="12"/>
              <w:ind w:firstLine="0" w:firstLineChars="0"/>
              <w:rPr>
                <w:rFonts w:hint="eastAsia" w:ascii="仿宋_GB2312" w:eastAsia="仿宋_GB2312"/>
                <w:kern w:val="0"/>
                <w:lang w:eastAsia="zh-CN" w:bidi="en-US"/>
              </w:rPr>
            </w:pPr>
            <w:r>
              <w:rPr>
                <w:rFonts w:hint="eastAsia" w:ascii="仿宋_GB2312" w:eastAsia="仿宋_GB2312"/>
                <w:kern w:val="0"/>
                <w:lang w:eastAsia="zh-CN" w:bidi="en-US"/>
              </w:rPr>
              <w:t>现券</w:t>
            </w:r>
            <w:r>
              <w:rPr>
                <w:rFonts w:hint="eastAsia" w:ascii="仿宋_GB2312" w:eastAsia="仿宋_GB2312"/>
                <w:kern w:val="0"/>
                <w:lang w:eastAsia="en-US" w:bidi="en-US"/>
              </w:rPr>
              <w:t>意向申报</w:t>
            </w:r>
            <w:r>
              <w:rPr>
                <w:rFonts w:hint="eastAsia" w:ascii="仿宋_GB2312" w:eastAsia="仿宋_GB2312"/>
                <w:kern w:val="0"/>
                <w:lang w:eastAsia="zh-CN" w:bidi="en-US"/>
              </w:rPr>
              <w:t>，自动带出</w:t>
            </w:r>
          </w:p>
        </w:tc>
      </w:tr>
      <w:tr w14:paraId="64006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2" w:type="dxa"/>
            <w:vAlign w:val="top"/>
          </w:tcPr>
          <w:p w14:paraId="3FF752CE">
            <w:pPr>
              <w:pStyle w:val="12"/>
              <w:ind w:firstLine="0" w:firstLineChars="0"/>
              <w:rPr>
                <w:rFonts w:hint="eastAsia" w:ascii="仿宋_GB2312" w:eastAsia="仿宋_GB2312"/>
                <w:b/>
                <w:kern w:val="0"/>
                <w:lang w:eastAsia="en-US" w:bidi="en-US"/>
              </w:rPr>
            </w:pPr>
            <w:r>
              <w:rPr>
                <w:rFonts w:hint="eastAsia" w:ascii="仿宋_GB2312" w:eastAsia="仿宋_GB2312"/>
                <w:b/>
                <w:kern w:val="0"/>
                <w:lang w:eastAsia="en-US" w:bidi="en-US"/>
              </w:rPr>
              <w:t>方向</w:t>
            </w:r>
          </w:p>
        </w:tc>
        <w:tc>
          <w:tcPr>
            <w:tcW w:w="6110" w:type="dxa"/>
            <w:vAlign w:val="top"/>
          </w:tcPr>
          <w:p w14:paraId="0781DB65">
            <w:pPr>
              <w:pStyle w:val="12"/>
              <w:ind w:firstLine="0" w:firstLineChars="0"/>
              <w:rPr>
                <w:rFonts w:hint="eastAsia" w:ascii="仿宋_GB2312" w:eastAsia="仿宋_GB2312"/>
                <w:kern w:val="0"/>
                <w:lang w:eastAsia="en-US" w:bidi="en-US"/>
              </w:rPr>
            </w:pPr>
            <w:r>
              <w:rPr>
                <w:rFonts w:hint="eastAsia" w:ascii="仿宋_GB2312" w:eastAsia="仿宋_GB2312"/>
                <w:kern w:val="0"/>
                <w:lang w:eastAsia="en-US" w:bidi="en-US"/>
              </w:rPr>
              <w:t>买入</w:t>
            </w:r>
            <w:r>
              <w:rPr>
                <w:rFonts w:ascii="仿宋_GB2312" w:eastAsia="仿宋_GB2312"/>
                <w:kern w:val="0"/>
                <w:lang w:eastAsia="en-US" w:bidi="en-US"/>
              </w:rPr>
              <w:t>/</w:t>
            </w:r>
            <w:r>
              <w:rPr>
                <w:rFonts w:hint="eastAsia" w:ascii="仿宋_GB2312" w:eastAsia="仿宋_GB2312"/>
                <w:kern w:val="0"/>
                <w:lang w:eastAsia="en-US" w:bidi="en-US"/>
              </w:rPr>
              <w:t>卖出</w:t>
            </w:r>
          </w:p>
        </w:tc>
      </w:tr>
      <w:tr w14:paraId="60A4C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2" w:type="dxa"/>
            <w:vAlign w:val="top"/>
          </w:tcPr>
          <w:p w14:paraId="4694850E">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zh-CN" w:bidi="en-US"/>
              </w:rPr>
              <w:t>报价方</w:t>
            </w:r>
          </w:p>
        </w:tc>
        <w:tc>
          <w:tcPr>
            <w:tcW w:w="6110" w:type="dxa"/>
            <w:vAlign w:val="top"/>
          </w:tcPr>
          <w:p w14:paraId="114C7E67">
            <w:pPr>
              <w:pStyle w:val="12"/>
              <w:ind w:firstLine="0" w:firstLineChars="0"/>
              <w:rPr>
                <w:rFonts w:hint="eastAsia" w:ascii="仿宋_GB2312" w:eastAsia="仿宋_GB2312"/>
                <w:kern w:val="0"/>
                <w:lang w:bidi="en-US"/>
              </w:rPr>
            </w:pPr>
            <w:r>
              <w:rPr>
                <w:rFonts w:hint="eastAsia" w:ascii="仿宋_GB2312" w:eastAsia="仿宋_GB2312"/>
                <w:kern w:val="0"/>
                <w:lang w:bidi="en-US"/>
              </w:rPr>
              <w:t>交易参与人简称，自动显示，无需输入</w:t>
            </w:r>
          </w:p>
        </w:tc>
      </w:tr>
      <w:tr w14:paraId="718E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2" w:type="dxa"/>
            <w:vAlign w:val="top"/>
          </w:tcPr>
          <w:p w14:paraId="47A72F1D">
            <w:pPr>
              <w:pStyle w:val="12"/>
              <w:ind w:firstLine="0" w:firstLineChars="0"/>
              <w:rPr>
                <w:rFonts w:hint="default" w:ascii="仿宋_GB2312" w:eastAsia="仿宋_GB2312"/>
                <w:b/>
                <w:kern w:val="0"/>
                <w:lang w:val="en-US" w:eastAsia="zh-CN" w:bidi="en-US"/>
              </w:rPr>
            </w:pPr>
            <w:r>
              <w:rPr>
                <w:rFonts w:hint="eastAsia" w:ascii="仿宋_GB2312" w:eastAsia="仿宋_GB2312"/>
                <w:b/>
                <w:kern w:val="0"/>
                <w:lang w:val="en-US" w:eastAsia="zh-CN" w:bidi="en-US"/>
              </w:rPr>
              <w:t>报价方一债通账户</w:t>
            </w:r>
          </w:p>
        </w:tc>
        <w:tc>
          <w:tcPr>
            <w:tcW w:w="6110" w:type="dxa"/>
            <w:vAlign w:val="top"/>
          </w:tcPr>
          <w:p w14:paraId="0504927C">
            <w:pPr>
              <w:pStyle w:val="12"/>
              <w:ind w:firstLine="0" w:firstLineChars="0"/>
              <w:rPr>
                <w:rFonts w:hint="eastAsia" w:ascii="仿宋_GB2312" w:eastAsia="仿宋_GB2312"/>
                <w:kern w:val="0"/>
                <w:lang w:bidi="en-US"/>
              </w:rPr>
            </w:pPr>
            <w:r>
              <w:rPr>
                <w:rFonts w:hint="eastAsia" w:ascii="仿宋_GB2312" w:eastAsia="仿宋_GB2312"/>
                <w:kern w:val="0"/>
                <w:lang w:bidi="en-US"/>
              </w:rPr>
              <w:t>申报方交易员</w:t>
            </w:r>
            <w:r>
              <w:rPr>
                <w:rFonts w:hint="eastAsia" w:ascii="仿宋_GB2312" w:eastAsia="仿宋_GB2312"/>
                <w:kern w:val="0"/>
                <w:lang w:eastAsia="zh-CN" w:bidi="en-US"/>
              </w:rPr>
              <w:t>一债通账户号</w:t>
            </w:r>
            <w:r>
              <w:rPr>
                <w:rFonts w:hint="eastAsia" w:ascii="仿宋_GB2312" w:eastAsia="仿宋_GB2312"/>
                <w:kern w:val="0"/>
                <w:lang w:bidi="en-US"/>
              </w:rPr>
              <w:t>码，自动显示，无需输入</w:t>
            </w:r>
          </w:p>
        </w:tc>
      </w:tr>
      <w:tr w14:paraId="1B3E5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2" w:type="dxa"/>
            <w:vAlign w:val="top"/>
          </w:tcPr>
          <w:p w14:paraId="25B6B06E">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zh-CN" w:bidi="en-US"/>
              </w:rPr>
              <w:t>报价方交易员</w:t>
            </w:r>
          </w:p>
        </w:tc>
        <w:tc>
          <w:tcPr>
            <w:tcW w:w="6110" w:type="dxa"/>
            <w:vAlign w:val="top"/>
          </w:tcPr>
          <w:p w14:paraId="61D49A95">
            <w:pPr>
              <w:pStyle w:val="12"/>
              <w:ind w:firstLine="0" w:firstLineChars="0"/>
              <w:rPr>
                <w:rFonts w:hint="eastAsia" w:ascii="仿宋_GB2312" w:eastAsia="仿宋_GB2312"/>
                <w:kern w:val="0"/>
                <w:lang w:bidi="en-US"/>
              </w:rPr>
            </w:pPr>
            <w:r>
              <w:rPr>
                <w:rFonts w:hint="eastAsia" w:ascii="仿宋_GB2312" w:eastAsia="仿宋_GB2312"/>
                <w:kern w:val="0"/>
                <w:lang w:bidi="en-US"/>
              </w:rPr>
              <w:t>申报方交易员名称，自动显示，无需输入</w:t>
            </w:r>
          </w:p>
        </w:tc>
      </w:tr>
      <w:tr w14:paraId="64CEE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2" w:type="dxa"/>
          </w:tcPr>
          <w:p w14:paraId="3BA7821C">
            <w:pPr>
              <w:pStyle w:val="12"/>
              <w:ind w:firstLine="0" w:firstLineChars="0"/>
              <w:rPr>
                <w:rFonts w:ascii="仿宋_GB2312" w:eastAsia="仿宋_GB2312"/>
                <w:b/>
                <w:kern w:val="0"/>
                <w:lang w:eastAsia="en-US" w:bidi="en-US"/>
              </w:rPr>
            </w:pPr>
            <w:r>
              <w:rPr>
                <w:rFonts w:hint="eastAsia" w:ascii="仿宋_GB2312" w:eastAsia="仿宋_GB2312"/>
                <w:b/>
                <w:kern w:val="0"/>
                <w:lang w:eastAsia="zh-CN" w:bidi="en-US"/>
              </w:rPr>
              <w:t>证券账户</w:t>
            </w:r>
          </w:p>
        </w:tc>
        <w:tc>
          <w:tcPr>
            <w:tcW w:w="6110" w:type="dxa"/>
          </w:tcPr>
          <w:p w14:paraId="19CAFE03">
            <w:pPr>
              <w:pStyle w:val="12"/>
              <w:ind w:firstLine="0" w:firstLineChars="0"/>
              <w:rPr>
                <w:rFonts w:ascii="仿宋_GB2312" w:eastAsia="仿宋_GB2312"/>
                <w:kern w:val="0"/>
                <w:lang w:bidi="en-US"/>
              </w:rPr>
            </w:pPr>
            <w:r>
              <w:rPr>
                <w:rFonts w:hint="eastAsia" w:ascii="仿宋_GB2312" w:eastAsia="仿宋_GB2312"/>
                <w:kern w:val="0"/>
                <w:lang w:eastAsia="zh-CN" w:bidi="en-US"/>
              </w:rPr>
              <w:t>本方证券账户号码</w:t>
            </w:r>
          </w:p>
        </w:tc>
      </w:tr>
      <w:tr w14:paraId="7668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2" w:type="dxa"/>
          </w:tcPr>
          <w:p w14:paraId="719B71AA">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zh-CN" w:bidi="en-US"/>
              </w:rPr>
              <w:t>交易单元</w:t>
            </w:r>
          </w:p>
        </w:tc>
        <w:tc>
          <w:tcPr>
            <w:tcW w:w="6110" w:type="dxa"/>
          </w:tcPr>
          <w:p w14:paraId="2498276A">
            <w:pPr>
              <w:pStyle w:val="12"/>
              <w:ind w:firstLine="0" w:firstLineChars="0"/>
              <w:rPr>
                <w:rFonts w:hint="eastAsia" w:ascii="仿宋_GB2312" w:eastAsia="仿宋_GB2312"/>
                <w:kern w:val="0"/>
                <w:lang w:eastAsia="zh-CN" w:bidi="en-US"/>
              </w:rPr>
            </w:pPr>
            <w:r>
              <w:rPr>
                <w:rFonts w:hint="eastAsia" w:ascii="仿宋_GB2312" w:eastAsia="仿宋_GB2312"/>
                <w:kern w:val="0"/>
                <w:lang w:eastAsia="zh-CN" w:bidi="en-US"/>
              </w:rPr>
              <w:t>证券账户号码对应交易单元号</w:t>
            </w:r>
          </w:p>
        </w:tc>
      </w:tr>
      <w:tr w14:paraId="4D9A3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2" w:type="dxa"/>
            <w:vAlign w:val="top"/>
          </w:tcPr>
          <w:p w14:paraId="5C2FA14A">
            <w:pPr>
              <w:pStyle w:val="12"/>
              <w:ind w:firstLine="0" w:firstLineChars="0"/>
              <w:rPr>
                <w:rFonts w:ascii="仿宋_GB2312" w:eastAsia="仿宋_GB2312"/>
                <w:b/>
                <w:kern w:val="0"/>
                <w:lang w:eastAsia="en-US" w:bidi="en-US"/>
              </w:rPr>
            </w:pPr>
            <w:r>
              <w:rPr>
                <w:rFonts w:hint="eastAsia" w:ascii="仿宋_GB2312" w:eastAsia="仿宋_GB2312"/>
                <w:b/>
                <w:kern w:val="0"/>
                <w:lang w:eastAsia="zh-CN" w:bidi="en-US"/>
              </w:rPr>
              <w:t>证券代码</w:t>
            </w:r>
          </w:p>
        </w:tc>
        <w:tc>
          <w:tcPr>
            <w:tcW w:w="6110" w:type="dxa"/>
            <w:vAlign w:val="top"/>
          </w:tcPr>
          <w:p w14:paraId="36A873E0">
            <w:pPr>
              <w:pStyle w:val="12"/>
              <w:ind w:firstLine="0" w:firstLineChars="0"/>
              <w:rPr>
                <w:rFonts w:ascii="仿宋_GB2312" w:eastAsia="仿宋_GB2312"/>
                <w:kern w:val="0"/>
                <w:lang w:eastAsia="en-US" w:bidi="en-US"/>
              </w:rPr>
            </w:pPr>
            <w:r>
              <w:rPr>
                <w:rFonts w:hint="eastAsia" w:ascii="仿宋_GB2312" w:eastAsia="仿宋_GB2312"/>
                <w:kern w:val="0"/>
                <w:lang w:bidi="en-US"/>
              </w:rPr>
              <w:t>交易品种的证券代码</w:t>
            </w:r>
          </w:p>
        </w:tc>
      </w:tr>
      <w:tr w14:paraId="37D0C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2" w:type="dxa"/>
            <w:vAlign w:val="top"/>
          </w:tcPr>
          <w:p w14:paraId="1BDB587F">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zh-CN" w:bidi="en-US"/>
              </w:rPr>
              <w:t>证券简称</w:t>
            </w:r>
          </w:p>
        </w:tc>
        <w:tc>
          <w:tcPr>
            <w:tcW w:w="6110" w:type="dxa"/>
            <w:shd w:val="clear" w:color="auto" w:fill="auto"/>
            <w:vAlign w:val="top"/>
          </w:tcPr>
          <w:p w14:paraId="3B33AE70">
            <w:pPr>
              <w:pStyle w:val="12"/>
              <w:ind w:firstLine="0" w:firstLineChars="0"/>
              <w:rPr>
                <w:rFonts w:hint="eastAsia" w:ascii="仿宋_GB2312" w:hAnsi="Times New Roman" w:eastAsia="仿宋_GB2312" w:cs="Times New Roman"/>
                <w:kern w:val="0"/>
                <w:sz w:val="24"/>
                <w:szCs w:val="24"/>
                <w:lang w:val="en-US" w:eastAsia="zh-CN" w:bidi="en-US"/>
              </w:rPr>
            </w:pPr>
            <w:r>
              <w:rPr>
                <w:rFonts w:hint="eastAsia" w:ascii="仿宋_GB2312" w:eastAsia="仿宋_GB2312"/>
                <w:kern w:val="0"/>
                <w:lang w:bidi="en-US"/>
              </w:rPr>
              <w:t>交易品种的证券</w:t>
            </w:r>
            <w:r>
              <w:rPr>
                <w:rFonts w:hint="eastAsia" w:ascii="仿宋_GB2312" w:eastAsia="仿宋_GB2312"/>
                <w:kern w:val="0"/>
                <w:lang w:eastAsia="zh-CN" w:bidi="en-US"/>
              </w:rPr>
              <w:t>简称，根据证券代码自动显示</w:t>
            </w:r>
          </w:p>
        </w:tc>
      </w:tr>
      <w:tr w14:paraId="744D6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2" w:type="dxa"/>
            <w:vAlign w:val="top"/>
          </w:tcPr>
          <w:p w14:paraId="52597075">
            <w:pPr>
              <w:pStyle w:val="12"/>
              <w:ind w:firstLine="0" w:firstLineChars="0"/>
              <w:rPr>
                <w:rFonts w:hint="eastAsia" w:ascii="仿宋_GB2312" w:eastAsia="仿宋_GB2312"/>
                <w:b/>
                <w:kern w:val="0"/>
                <w:lang w:eastAsia="zh-CN" w:bidi="en-US"/>
              </w:rPr>
            </w:pPr>
            <w:r>
              <w:rPr>
                <w:rFonts w:hint="eastAsia" w:ascii="仿宋_GB2312" w:eastAsia="仿宋_GB2312"/>
                <w:b/>
                <w:kern w:val="0"/>
                <w:lang w:eastAsia="zh-CN" w:bidi="en-US"/>
              </w:rPr>
              <w:t>计价方式</w:t>
            </w:r>
          </w:p>
        </w:tc>
        <w:tc>
          <w:tcPr>
            <w:tcW w:w="6110" w:type="dxa"/>
            <w:shd w:val="clear" w:color="auto" w:fill="auto"/>
            <w:vAlign w:val="top"/>
          </w:tcPr>
          <w:p w14:paraId="7877A587">
            <w:pPr>
              <w:pStyle w:val="12"/>
              <w:ind w:firstLine="0" w:firstLineChars="0"/>
              <w:rPr>
                <w:rFonts w:hint="default" w:ascii="仿宋_GB2312" w:eastAsia="仿宋_GB2312"/>
                <w:kern w:val="0"/>
                <w:lang w:val="en-US" w:eastAsia="zh-CN" w:bidi="en-US"/>
              </w:rPr>
            </w:pPr>
            <w:r>
              <w:rPr>
                <w:rFonts w:hint="eastAsia" w:ascii="仿宋_GB2312" w:eastAsia="仿宋_GB2312"/>
                <w:kern w:val="0"/>
                <w:lang w:eastAsia="zh-CN" w:bidi="en-US"/>
              </w:rPr>
              <w:t>净价</w:t>
            </w:r>
            <w:r>
              <w:rPr>
                <w:rFonts w:hint="eastAsia" w:ascii="仿宋_GB2312" w:eastAsia="仿宋_GB2312"/>
                <w:kern w:val="0"/>
                <w:lang w:val="en-US" w:eastAsia="zh-CN" w:bidi="en-US"/>
              </w:rPr>
              <w:t>/全价，</w:t>
            </w:r>
            <w:r>
              <w:rPr>
                <w:rFonts w:hint="eastAsia" w:ascii="仿宋_GB2312" w:eastAsia="仿宋_GB2312"/>
                <w:kern w:val="0"/>
                <w:lang w:eastAsia="zh-CN" w:bidi="en-US"/>
              </w:rPr>
              <w:t>根据证券代码自动显示</w:t>
            </w:r>
          </w:p>
        </w:tc>
      </w:tr>
      <w:tr w14:paraId="3E20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2" w:type="dxa"/>
          </w:tcPr>
          <w:p w14:paraId="2690E8AD">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价格</w:t>
            </w:r>
          </w:p>
        </w:tc>
        <w:tc>
          <w:tcPr>
            <w:tcW w:w="6110" w:type="dxa"/>
          </w:tcPr>
          <w:p w14:paraId="06F6B148">
            <w:pPr>
              <w:pStyle w:val="12"/>
              <w:ind w:firstLine="0" w:firstLineChars="0"/>
              <w:rPr>
                <w:rFonts w:ascii="仿宋_GB2312" w:eastAsia="仿宋_GB2312"/>
                <w:kern w:val="0"/>
                <w:lang w:bidi="en-US"/>
              </w:rPr>
            </w:pPr>
            <w:r>
              <w:rPr>
                <w:rFonts w:hint="eastAsia" w:ascii="仿宋_GB2312" w:eastAsia="仿宋_GB2312"/>
                <w:kern w:val="0"/>
                <w:lang w:bidi="en-US"/>
              </w:rPr>
              <w:t>意向申报的价格，单位：元</w:t>
            </w:r>
          </w:p>
        </w:tc>
      </w:tr>
      <w:tr w14:paraId="1F584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2" w:type="dxa"/>
          </w:tcPr>
          <w:p w14:paraId="5F2A5AD7">
            <w:pPr>
              <w:pStyle w:val="12"/>
              <w:ind w:firstLine="0" w:firstLineChars="0"/>
              <w:rPr>
                <w:rFonts w:ascii="仿宋_GB2312" w:eastAsia="仿宋_GB2312"/>
                <w:b/>
                <w:kern w:val="0"/>
                <w:lang w:eastAsia="en-US" w:bidi="en-US"/>
              </w:rPr>
            </w:pPr>
            <w:r>
              <w:rPr>
                <w:rFonts w:hint="eastAsia" w:ascii="仿宋_GB2312" w:eastAsia="仿宋_GB2312"/>
                <w:b/>
                <w:kern w:val="0"/>
                <w:lang w:eastAsia="en-US" w:bidi="en-US"/>
              </w:rPr>
              <w:t>数量</w:t>
            </w:r>
          </w:p>
        </w:tc>
        <w:tc>
          <w:tcPr>
            <w:tcW w:w="6110" w:type="dxa"/>
          </w:tcPr>
          <w:p w14:paraId="10D0EBF2">
            <w:pPr>
              <w:pStyle w:val="12"/>
              <w:ind w:firstLine="0" w:firstLineChars="0"/>
              <w:rPr>
                <w:rFonts w:ascii="仿宋_GB2312" w:eastAsia="仿宋_GB2312"/>
                <w:kern w:val="0"/>
                <w:lang w:bidi="en-US"/>
              </w:rPr>
            </w:pPr>
            <w:r>
              <w:rPr>
                <w:rFonts w:hint="eastAsia" w:ascii="仿宋_GB2312" w:eastAsia="仿宋_GB2312"/>
                <w:kern w:val="0"/>
                <w:lang w:bidi="en-US"/>
              </w:rPr>
              <w:t>意向申报数量，单位：千元面额</w:t>
            </w:r>
          </w:p>
        </w:tc>
      </w:tr>
      <w:tr w14:paraId="4D1D9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2" w:type="dxa"/>
          </w:tcPr>
          <w:p w14:paraId="0D5008BE">
            <w:pPr>
              <w:pStyle w:val="12"/>
              <w:ind w:firstLine="0" w:firstLineChars="0"/>
              <w:rPr>
                <w:rFonts w:hint="eastAsia" w:ascii="仿宋_GB2312" w:eastAsia="仿宋_GB2312"/>
                <w:b/>
                <w:kern w:val="0"/>
                <w:lang w:eastAsia="zh-CN" w:bidi="en-US"/>
              </w:rPr>
            </w:pPr>
            <w:r>
              <w:rPr>
                <w:rFonts w:hint="eastAsia" w:ascii="仿宋_GB2312" w:hAnsi="宋体" w:eastAsia="仿宋_GB2312"/>
                <w:b/>
                <w:color w:val="000000"/>
                <w:kern w:val="0"/>
                <w:lang w:eastAsia="zh-CN" w:bidi="en-US"/>
              </w:rPr>
              <w:t>发布范围</w:t>
            </w:r>
          </w:p>
        </w:tc>
        <w:tc>
          <w:tcPr>
            <w:tcW w:w="6110" w:type="dxa"/>
          </w:tcPr>
          <w:p w14:paraId="39A91E59">
            <w:pPr>
              <w:pStyle w:val="12"/>
              <w:ind w:firstLine="0" w:firstLineChars="0"/>
              <w:rPr>
                <w:rFonts w:hint="default" w:ascii="仿宋_GB2312" w:eastAsia="仿宋_GB2312"/>
                <w:kern w:val="0"/>
                <w:lang w:val="en-US" w:eastAsia="zh-CN" w:bidi="en-US"/>
              </w:rPr>
            </w:pPr>
            <w:r>
              <w:rPr>
                <w:rFonts w:hint="eastAsia" w:ascii="仿宋_GB2312" w:hAnsi="宋体" w:eastAsia="仿宋_GB2312"/>
                <w:color w:val="000000"/>
                <w:kern w:val="0"/>
                <w:lang w:eastAsia="zh-CN" w:bidi="en-US"/>
              </w:rPr>
              <w:t>全市场</w:t>
            </w:r>
            <w:r>
              <w:rPr>
                <w:rFonts w:hint="eastAsia" w:ascii="仿宋_GB2312" w:hAnsi="宋体" w:eastAsia="仿宋_GB2312"/>
                <w:color w:val="000000"/>
                <w:kern w:val="0"/>
                <w:lang w:val="en-US" w:eastAsia="zh-CN" w:bidi="en-US"/>
              </w:rPr>
              <w:t>/部分交易参与人</w:t>
            </w:r>
          </w:p>
        </w:tc>
      </w:tr>
    </w:tbl>
    <w:p w14:paraId="31AFBE56">
      <w:pPr>
        <w:spacing w:line="600" w:lineRule="exact"/>
        <w:ind w:firstLine="600" w:firstLineChars="200"/>
        <w:outlineLvl w:val="3"/>
        <w:rPr>
          <w:rFonts w:ascii="仿宋_GB2312" w:eastAsia="仿宋_GB2312"/>
          <w:color w:val="000000"/>
          <w:sz w:val="30"/>
          <w:szCs w:val="30"/>
        </w:rPr>
      </w:pPr>
      <w:r>
        <w:rPr>
          <w:rFonts w:hint="eastAsia" w:ascii="仿宋_GB2312" w:eastAsia="仿宋_GB2312"/>
          <w:color w:val="000000"/>
          <w:sz w:val="30"/>
          <w:szCs w:val="30"/>
        </w:rPr>
        <w:t>（2）债券质押式协议回购意向申报</w:t>
      </w:r>
    </w:p>
    <w:p w14:paraId="57465C70">
      <w:pPr>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债券质押式协议回购（以下简称协议回购）意向申报信息，包含</w:t>
      </w:r>
      <w:r>
        <w:rPr>
          <w:rFonts w:hint="eastAsia" w:ascii="仿宋_GB2312" w:eastAsia="仿宋_GB2312"/>
          <w:color w:val="000000"/>
          <w:sz w:val="30"/>
          <w:szCs w:val="30"/>
          <w:lang w:eastAsia="zh-CN"/>
        </w:rPr>
        <w:t>本方</w:t>
      </w:r>
      <w:r>
        <w:rPr>
          <w:rFonts w:hint="eastAsia" w:ascii="仿宋_GB2312" w:eastAsia="仿宋_GB2312"/>
          <w:color w:val="000000"/>
          <w:sz w:val="30"/>
          <w:szCs w:val="30"/>
        </w:rPr>
        <w:t>方向、回购期限、质押券代码、质押券简称、回购利率、面</w:t>
      </w:r>
      <w:r>
        <w:rPr>
          <w:rFonts w:hint="eastAsia" w:ascii="仿宋_GB2312" w:eastAsia="仿宋_GB2312"/>
          <w:color w:val="000000"/>
          <w:sz w:val="30"/>
          <w:szCs w:val="30"/>
          <w:lang w:eastAsia="zh-CN"/>
        </w:rPr>
        <w:t>值</w:t>
      </w:r>
      <w:r>
        <w:rPr>
          <w:rFonts w:hint="eastAsia" w:ascii="仿宋_GB2312" w:eastAsia="仿宋_GB2312"/>
          <w:color w:val="000000"/>
          <w:sz w:val="30"/>
          <w:szCs w:val="30"/>
        </w:rPr>
        <w:t>总额、质押数量、折算比例、成交金额、首次结算日、回购到期日、申报交易参与人简称、</w:t>
      </w:r>
      <w:r>
        <w:rPr>
          <w:rFonts w:hint="eastAsia" w:ascii="仿宋_GB2312" w:eastAsia="仿宋_GB2312"/>
          <w:color w:val="000000"/>
          <w:sz w:val="30"/>
          <w:szCs w:val="30"/>
          <w:lang w:eastAsia="zh-CN"/>
        </w:rPr>
        <w:t>交易单元、一债通账户</w:t>
      </w:r>
      <w:r>
        <w:rPr>
          <w:rFonts w:hint="eastAsia" w:ascii="仿宋_GB2312" w:eastAsia="仿宋_GB2312"/>
          <w:color w:val="000000"/>
          <w:sz w:val="30"/>
          <w:szCs w:val="30"/>
        </w:rPr>
        <w:t>等。</w:t>
      </w:r>
    </w:p>
    <w:p w14:paraId="6980F36A">
      <w:pPr>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协议回购意向申报具体要素及要素说明详见本指南第7章关于债券质押式协议回购的相关规定。</w:t>
      </w:r>
    </w:p>
    <w:p w14:paraId="0DF74093">
      <w:pPr>
        <w:spacing w:line="600" w:lineRule="exact"/>
        <w:ind w:firstLine="600" w:firstLineChars="200"/>
        <w:outlineLvl w:val="3"/>
        <w:rPr>
          <w:rFonts w:ascii="仿宋_GB2312" w:eastAsia="仿宋_GB2312"/>
          <w:color w:val="000000"/>
          <w:sz w:val="30"/>
          <w:szCs w:val="30"/>
        </w:rPr>
      </w:pPr>
      <w:r>
        <w:rPr>
          <w:rFonts w:hint="eastAsia" w:ascii="仿宋_GB2312" w:eastAsia="仿宋_GB2312"/>
          <w:color w:val="000000"/>
          <w:sz w:val="30"/>
          <w:szCs w:val="30"/>
        </w:rPr>
        <w:t>（3）债券质押式三方回购意向申报</w:t>
      </w:r>
    </w:p>
    <w:p w14:paraId="5E55E1F3">
      <w:pPr>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债券质押式三方回购（以下简称三方回购）意向申报信息，包含</w:t>
      </w:r>
      <w:r>
        <w:rPr>
          <w:rFonts w:hint="eastAsia" w:ascii="仿宋_GB2312" w:eastAsia="仿宋_GB2312"/>
          <w:color w:val="000000"/>
          <w:sz w:val="30"/>
          <w:szCs w:val="30"/>
          <w:lang w:eastAsia="zh-CN"/>
        </w:rPr>
        <w:t>本方</w:t>
      </w:r>
      <w:r>
        <w:rPr>
          <w:rFonts w:hint="eastAsia" w:ascii="仿宋_GB2312" w:eastAsia="仿宋_GB2312"/>
          <w:color w:val="000000"/>
          <w:sz w:val="30"/>
          <w:szCs w:val="30"/>
        </w:rPr>
        <w:t>方向、回购期限、回购利率、金额、质押券篮子、申报交易参与人简称、</w:t>
      </w:r>
      <w:r>
        <w:rPr>
          <w:rFonts w:hint="eastAsia" w:ascii="仿宋_GB2312" w:eastAsia="仿宋_GB2312"/>
          <w:color w:val="000000"/>
          <w:sz w:val="30"/>
          <w:szCs w:val="30"/>
          <w:lang w:eastAsia="zh-CN"/>
        </w:rPr>
        <w:t>一债通账户</w:t>
      </w:r>
      <w:r>
        <w:rPr>
          <w:rFonts w:hint="eastAsia" w:ascii="仿宋_GB2312" w:eastAsia="仿宋_GB2312"/>
          <w:color w:val="000000"/>
          <w:sz w:val="30"/>
          <w:szCs w:val="30"/>
        </w:rPr>
        <w:t>等。</w:t>
      </w:r>
    </w:p>
    <w:p w14:paraId="7E792589">
      <w:pPr>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三方回购意向申报具体要素及要素说明详见本指南第7章关于债券质押式三方回购的相关规定。</w:t>
      </w:r>
    </w:p>
    <w:p w14:paraId="44C95BA0">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 xml:space="preserve">申报方式 </w:t>
      </w:r>
    </w:p>
    <w:p w14:paraId="4743C60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本所</w:t>
      </w:r>
      <w:r>
        <w:rPr>
          <w:rFonts w:hint="eastAsia" w:ascii="仿宋_GB2312" w:hAnsi="仿宋" w:eastAsia="仿宋_GB2312"/>
          <w:sz w:val="30"/>
          <w:szCs w:val="30"/>
          <w:lang w:eastAsia="zh-CN"/>
        </w:rPr>
        <w:t>新固定收益系统</w:t>
      </w:r>
      <w:r>
        <w:rPr>
          <w:rFonts w:hint="eastAsia" w:ascii="仿宋_GB2312" w:hAnsi="仿宋" w:eastAsia="仿宋_GB2312"/>
          <w:sz w:val="30"/>
          <w:szCs w:val="30"/>
        </w:rPr>
        <w:t>为意向申报提供电子化接口及</w:t>
      </w:r>
      <w:r>
        <w:rPr>
          <w:rFonts w:hint="eastAsia" w:ascii="仿宋_GB2312" w:hAnsi="仿宋" w:eastAsia="仿宋_GB2312"/>
          <w:sz w:val="30"/>
          <w:szCs w:val="30"/>
          <w:lang w:eastAsia="zh-CN"/>
        </w:rPr>
        <w:t>一债通</w:t>
      </w:r>
      <w:r>
        <w:rPr>
          <w:rFonts w:hint="eastAsia" w:ascii="仿宋_GB2312" w:hAnsi="仿宋" w:eastAsia="仿宋_GB2312"/>
          <w:sz w:val="30"/>
          <w:szCs w:val="30"/>
        </w:rPr>
        <w:t>，债券交易参与人可通过电子化接口及</w:t>
      </w:r>
      <w:r>
        <w:rPr>
          <w:rFonts w:hint="eastAsia" w:ascii="仿宋_GB2312" w:hAnsi="仿宋" w:eastAsia="仿宋_GB2312"/>
          <w:sz w:val="30"/>
          <w:szCs w:val="30"/>
          <w:lang w:eastAsia="zh-CN"/>
        </w:rPr>
        <w:t>一债通</w:t>
      </w:r>
      <w:r>
        <w:rPr>
          <w:rFonts w:hint="eastAsia" w:ascii="仿宋_GB2312" w:hAnsi="仿宋" w:eastAsia="仿宋_GB2312"/>
          <w:sz w:val="30"/>
          <w:szCs w:val="30"/>
        </w:rPr>
        <w:t>接入本所系统，并提交意向申报。</w:t>
      </w:r>
    </w:p>
    <w:p w14:paraId="1A329AD2">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关于债券投资者其他接入本所系统相关事宜详见本指南第2章。</w:t>
      </w:r>
    </w:p>
    <w:p w14:paraId="67EA0B9C">
      <w:pPr>
        <w:numPr>
          <w:ilvl w:val="0"/>
          <w:numId w:val="4"/>
        </w:numPr>
        <w:spacing w:line="600" w:lineRule="exact"/>
        <w:outlineLvl w:val="0"/>
        <w:rPr>
          <w:szCs w:val="30"/>
        </w:rPr>
      </w:pPr>
      <w:r>
        <w:rPr>
          <w:rFonts w:ascii="仿宋_GB2312" w:hAnsi="仿宋" w:eastAsia="仿宋_GB2312"/>
          <w:szCs w:val="30"/>
        </w:rPr>
        <w:br w:type="page"/>
      </w:r>
      <w:bookmarkStart w:id="571" w:name="_Toc980562239"/>
      <w:bookmarkStart w:id="572" w:name="_Toc55318666"/>
      <w:bookmarkStart w:id="573" w:name="_Toc1183737388"/>
      <w:bookmarkStart w:id="574" w:name="_Toc318541437"/>
      <w:bookmarkStart w:id="575" w:name="_Toc151136906"/>
      <w:bookmarkStart w:id="576" w:name="_Toc46910494"/>
      <w:bookmarkStart w:id="577" w:name="_Toc59915378"/>
      <w:bookmarkStart w:id="578" w:name="_Toc47457021"/>
      <w:bookmarkStart w:id="579" w:name="_Toc48742264"/>
      <w:bookmarkStart w:id="580" w:name="_Toc56166085"/>
      <w:bookmarkStart w:id="581" w:name="_Toc47455764"/>
      <w:bookmarkStart w:id="582" w:name="_Toc56166274"/>
      <w:bookmarkStart w:id="583" w:name="_Toc1934392113"/>
      <w:bookmarkStart w:id="584" w:name="_Toc1153190013"/>
      <w:r>
        <w:rPr>
          <w:rFonts w:hint="eastAsia" w:ascii="黑体" w:hAnsi="黑体" w:eastAsia="黑体" w:cs="黑体"/>
          <w:b/>
          <w:sz w:val="36"/>
        </w:rPr>
        <w:t>债券现券交易</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14:paraId="27EA3BF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本章主要对债券现券交易中的交易品种、现券交易申报与成交、做市业务、特定债券转让、价格异常波动临时停牌机制等事项进行明确。</w:t>
      </w:r>
    </w:p>
    <w:p w14:paraId="4DCBB22C">
      <w:pPr>
        <w:numPr>
          <w:ilvl w:val="1"/>
          <w:numId w:val="4"/>
        </w:numPr>
        <w:spacing w:line="600" w:lineRule="exact"/>
        <w:ind w:left="0" w:firstLine="0"/>
        <w:outlineLvl w:val="1"/>
        <w:rPr>
          <w:rFonts w:ascii="仿宋_GB2312" w:eastAsia="仿宋_GB2312"/>
          <w:b/>
          <w:sz w:val="30"/>
          <w:szCs w:val="30"/>
        </w:rPr>
      </w:pPr>
      <w:bookmarkStart w:id="585" w:name="_Toc1524488779"/>
      <w:bookmarkStart w:id="586" w:name="_Toc510387665"/>
      <w:bookmarkStart w:id="587" w:name="_Toc1103429414"/>
      <w:bookmarkStart w:id="588" w:name="_Toc48742265"/>
      <w:bookmarkStart w:id="589" w:name="_Toc151136907"/>
      <w:bookmarkStart w:id="590" w:name="_Toc55318667"/>
      <w:bookmarkStart w:id="591" w:name="_Toc1453990848"/>
      <w:bookmarkStart w:id="592" w:name="_Toc47455765"/>
      <w:bookmarkStart w:id="593" w:name="_Toc47457022"/>
      <w:bookmarkStart w:id="594" w:name="_Toc56166275"/>
      <w:bookmarkStart w:id="595" w:name="_Toc440585617"/>
      <w:bookmarkStart w:id="596" w:name="_Toc56166086"/>
      <w:bookmarkStart w:id="597" w:name="_Toc1724982210"/>
      <w:bookmarkStart w:id="598" w:name="_Toc46910495"/>
      <w:r>
        <w:rPr>
          <w:rFonts w:hint="eastAsia" w:ascii="仿宋_GB2312" w:eastAsia="仿宋_GB2312"/>
          <w:b/>
          <w:sz w:val="30"/>
          <w:szCs w:val="30"/>
        </w:rPr>
        <w:t>交易品种</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14:paraId="32222FF2">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目前在本所债券市场挂牌交易的债券现券包括国债、地方政府债券、政策性金融债、政府支持债券、公司债券、资产支持证券、可交换公司债券、</w:t>
      </w:r>
      <w:r>
        <w:rPr>
          <w:rFonts w:ascii="仿宋_GB2312" w:hAnsi="仿宋" w:eastAsia="仿宋_GB2312"/>
          <w:sz w:val="30"/>
          <w:szCs w:val="30"/>
        </w:rPr>
        <w:t>可转换公司</w:t>
      </w:r>
      <w:r>
        <w:rPr>
          <w:rFonts w:hint="eastAsia" w:ascii="仿宋_GB2312" w:hAnsi="仿宋" w:eastAsia="仿宋_GB2312"/>
          <w:sz w:val="30"/>
          <w:szCs w:val="30"/>
        </w:rPr>
        <w:t>债券等品种：</w:t>
      </w:r>
    </w:p>
    <w:p w14:paraId="6EBC869D">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（1）国债</w:t>
      </w:r>
    </w:p>
    <w:p w14:paraId="46B05DC8">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国债是国家为筹集财政资金，以其信用为基础，通过向社会筹集资金所形成的债权债务关系。目前，我国国债托管在交易所市场的均为记账式国债。记账式国债又分为附息国债和贴现国债两类。附息国债定期支付利息、到期还本付息、期限为</w:t>
      </w:r>
      <w:r>
        <w:rPr>
          <w:rFonts w:ascii="仿宋_GB2312" w:hAnsi="仿宋" w:eastAsia="仿宋_GB2312"/>
          <w:sz w:val="30"/>
          <w:szCs w:val="30"/>
        </w:rPr>
        <w:t>1年以上（含1年）。贴现国债以低于面值的价格贴现发行、到期按面值还本、期限为1年以下（不含1年）。</w:t>
      </w:r>
    </w:p>
    <w:p w14:paraId="7DA503E2">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（2）</w:t>
      </w:r>
      <w:r>
        <w:rPr>
          <w:rFonts w:ascii="仿宋_GB2312" w:hAnsi="仿宋" w:eastAsia="仿宋_GB2312"/>
          <w:sz w:val="30"/>
          <w:szCs w:val="30"/>
        </w:rPr>
        <w:t>地方政府债券（以下简称地方债）</w:t>
      </w:r>
    </w:p>
    <w:p w14:paraId="64DC692C">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地方债是指地方政府、地方公共机构发行的债券。一般用于交通、通讯、住宅、教育、医院和污水处理系统等的建设，以当地政府的税收能力和其他收入作为还本付息的担保，包含地方政府一般债券、地方政府专项债券。</w:t>
      </w:r>
      <w:r>
        <w:rPr>
          <w:rFonts w:ascii="仿宋_GB2312" w:hAnsi="仿宋" w:eastAsia="仿宋_GB2312"/>
          <w:sz w:val="30"/>
          <w:szCs w:val="30"/>
        </w:rPr>
        <w:t xml:space="preserve"> </w:t>
      </w:r>
    </w:p>
    <w:p w14:paraId="156BA98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（3）</w:t>
      </w:r>
      <w:r>
        <w:rPr>
          <w:rFonts w:ascii="仿宋_GB2312" w:hAnsi="仿宋" w:eastAsia="仿宋_GB2312"/>
          <w:sz w:val="30"/>
          <w:szCs w:val="30"/>
        </w:rPr>
        <w:t>政策性金融债</w:t>
      </w:r>
    </w:p>
    <w:p w14:paraId="7B6CE08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政策性金融债是由我国政策性银行为筹集信贷资金，经国务院批准向银行金融机构及其机构发行的金融债券，包含国家开发银行金融债券、农业发展银行金融债券和进出口银行金融债券。</w:t>
      </w:r>
    </w:p>
    <w:p w14:paraId="6E4E68FE">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（4）</w:t>
      </w:r>
      <w:r>
        <w:rPr>
          <w:rFonts w:ascii="仿宋_GB2312" w:hAnsi="仿宋" w:eastAsia="仿宋_GB2312"/>
          <w:sz w:val="30"/>
          <w:szCs w:val="30"/>
        </w:rPr>
        <w:t>政府支持债券</w:t>
      </w:r>
    </w:p>
    <w:p w14:paraId="184BBE4D">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政府支持债券是政府机构证券的一种，在交易所市场指</w:t>
      </w:r>
      <w:r>
        <w:fldChar w:fldCharType="begin"/>
      </w:r>
      <w:r>
        <w:instrText xml:space="preserve"> HYPERLINK "http://x/local/!CommandParam(8514,CompanyId=2002209)" </w:instrText>
      </w:r>
      <w:r>
        <w:fldChar w:fldCharType="separate"/>
      </w:r>
      <w:r>
        <w:rPr>
          <w:rFonts w:hint="eastAsia" w:ascii="仿宋_GB2312" w:hAnsi="仿宋" w:eastAsia="仿宋_GB2312"/>
          <w:sz w:val="30"/>
          <w:szCs w:val="30"/>
        </w:rPr>
        <w:t>中国国家铁路集团有限公司</w:t>
      </w:r>
      <w:r>
        <w:rPr>
          <w:rFonts w:hint="eastAsia" w:ascii="仿宋_GB2312" w:hAnsi="仿宋" w:eastAsia="仿宋_GB2312"/>
          <w:sz w:val="30"/>
          <w:szCs w:val="30"/>
        </w:rPr>
        <w:fldChar w:fldCharType="end"/>
      </w:r>
      <w:r>
        <w:rPr>
          <w:rFonts w:hint="eastAsia" w:ascii="仿宋_GB2312" w:hAnsi="仿宋" w:eastAsia="仿宋_GB2312"/>
          <w:sz w:val="30"/>
          <w:szCs w:val="30"/>
        </w:rPr>
        <w:t>（原铁道部）发行的铁路建设债券。自</w:t>
      </w:r>
      <w:r>
        <w:rPr>
          <w:rFonts w:ascii="仿宋_GB2312" w:hAnsi="仿宋" w:eastAsia="仿宋_GB2312"/>
          <w:sz w:val="30"/>
          <w:szCs w:val="30"/>
        </w:rPr>
        <w:t>2011年10月起，中国铁路建设债券被认定为“政府支持债券”</w:t>
      </w:r>
      <w:r>
        <w:rPr>
          <w:rFonts w:hint="eastAsia" w:ascii="仿宋_GB2312" w:hAnsi="仿宋" w:eastAsia="仿宋_GB2312"/>
          <w:sz w:val="30"/>
          <w:szCs w:val="30"/>
        </w:rPr>
        <w:t>。</w:t>
      </w:r>
    </w:p>
    <w:p w14:paraId="6EE5DB56">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（5）公司债券</w:t>
      </w:r>
    </w:p>
    <w:p w14:paraId="0631EF2B">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公司债券是指公司依照法定程序发行、约定在一定期限内还本付息的有价证券。公司债以公司制法人作为发行主体，按照法定程序发行，到期还本付息的有价证券。</w:t>
      </w:r>
    </w:p>
    <w:p w14:paraId="5B4B1970">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w:t>
      </w:r>
      <w:r>
        <w:rPr>
          <w:rFonts w:ascii="仿宋_GB2312" w:hAnsi="仿宋" w:eastAsia="仿宋_GB2312"/>
          <w:sz w:val="30"/>
          <w:szCs w:val="30"/>
        </w:rPr>
        <w:t>6</w:t>
      </w:r>
      <w:r>
        <w:rPr>
          <w:rFonts w:hint="eastAsia" w:ascii="仿宋_GB2312" w:hAnsi="仿宋" w:eastAsia="仿宋_GB2312"/>
          <w:sz w:val="30"/>
          <w:szCs w:val="30"/>
        </w:rPr>
        <w:t>）</w:t>
      </w:r>
      <w:r>
        <w:rPr>
          <w:rFonts w:ascii="仿宋_GB2312" w:hAnsi="仿宋" w:eastAsia="仿宋_GB2312"/>
          <w:sz w:val="30"/>
          <w:szCs w:val="30"/>
        </w:rPr>
        <w:t>资产支持证券</w:t>
      </w:r>
    </w:p>
    <w:p w14:paraId="4CE4FD6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资产支持证券，是指企业或其他融资主体将合法享有的、缺乏流动性但具有可预测的稳定现金流的资产或资产组合（基础资产）出售给特定的机构或载体（</w:t>
      </w:r>
      <w:r>
        <w:rPr>
          <w:rFonts w:ascii="仿宋_GB2312" w:hAnsi="仿宋" w:eastAsia="仿宋_GB2312"/>
          <w:sz w:val="30"/>
          <w:szCs w:val="30"/>
        </w:rPr>
        <w:t>SPV），SPV以该基础资产产生的现金流为支持发行证券，以获得融资并最大化提高资产流动性的一种结构性融资</w:t>
      </w:r>
      <w:r>
        <w:rPr>
          <w:rFonts w:hint="eastAsia" w:ascii="仿宋_GB2312" w:hAnsi="仿宋" w:eastAsia="仿宋_GB2312"/>
          <w:sz w:val="30"/>
          <w:szCs w:val="30"/>
        </w:rPr>
        <w:t>工具</w:t>
      </w:r>
      <w:r>
        <w:rPr>
          <w:rFonts w:ascii="仿宋_GB2312" w:hAnsi="仿宋" w:eastAsia="仿宋_GB2312"/>
          <w:sz w:val="30"/>
          <w:szCs w:val="30"/>
        </w:rPr>
        <w:t>。</w:t>
      </w:r>
    </w:p>
    <w:p w14:paraId="76DA93C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w:t>
      </w:r>
      <w:r>
        <w:rPr>
          <w:rFonts w:ascii="仿宋_GB2312" w:hAnsi="仿宋" w:eastAsia="仿宋_GB2312"/>
          <w:sz w:val="30"/>
          <w:szCs w:val="30"/>
        </w:rPr>
        <w:t>7</w:t>
      </w:r>
      <w:r>
        <w:rPr>
          <w:rFonts w:hint="eastAsia" w:ascii="仿宋_GB2312" w:hAnsi="仿宋" w:eastAsia="仿宋_GB2312"/>
          <w:sz w:val="30"/>
          <w:szCs w:val="30"/>
        </w:rPr>
        <w:t>）</w:t>
      </w:r>
      <w:r>
        <w:rPr>
          <w:rFonts w:ascii="仿宋_GB2312" w:hAnsi="仿宋" w:eastAsia="仿宋_GB2312"/>
          <w:sz w:val="30"/>
          <w:szCs w:val="30"/>
        </w:rPr>
        <w:t>可交换</w:t>
      </w:r>
      <w:r>
        <w:rPr>
          <w:rFonts w:hint="eastAsia" w:ascii="仿宋_GB2312" w:hAnsi="仿宋" w:eastAsia="仿宋_GB2312"/>
          <w:sz w:val="30"/>
          <w:szCs w:val="30"/>
        </w:rPr>
        <w:t>公司</w:t>
      </w:r>
      <w:r>
        <w:rPr>
          <w:rFonts w:ascii="仿宋_GB2312" w:hAnsi="仿宋" w:eastAsia="仿宋_GB2312"/>
          <w:sz w:val="30"/>
          <w:szCs w:val="30"/>
        </w:rPr>
        <w:t>债券</w:t>
      </w:r>
    </w:p>
    <w:p w14:paraId="42BFAF77">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可交换债券是指上市公司的股东依法发行、在一定期限内依据约定的条件可以交换成该股东所持有的上市公司股票的债券品种。可交换债的持有人有权按一定条件将债券交换为标的公司的股票，在此之前可定期获得如纯债一样的票息，若持有到期未行权可获得到期本息偿付。</w:t>
      </w:r>
    </w:p>
    <w:p w14:paraId="009C1A72">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w:t>
      </w:r>
      <w:r>
        <w:rPr>
          <w:rFonts w:ascii="仿宋_GB2312" w:hAnsi="仿宋" w:eastAsia="仿宋_GB2312"/>
          <w:sz w:val="30"/>
          <w:szCs w:val="30"/>
        </w:rPr>
        <w:t>8</w:t>
      </w:r>
      <w:r>
        <w:rPr>
          <w:rFonts w:hint="eastAsia" w:ascii="仿宋_GB2312" w:hAnsi="仿宋" w:eastAsia="仿宋_GB2312"/>
          <w:sz w:val="30"/>
          <w:szCs w:val="30"/>
        </w:rPr>
        <w:t>）可转换</w:t>
      </w:r>
      <w:r>
        <w:rPr>
          <w:rFonts w:ascii="仿宋_GB2312" w:hAnsi="仿宋" w:eastAsia="仿宋_GB2312"/>
          <w:sz w:val="30"/>
          <w:szCs w:val="30"/>
        </w:rPr>
        <w:t>公司债券</w:t>
      </w:r>
    </w:p>
    <w:p w14:paraId="38A03306">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可转换</w:t>
      </w:r>
      <w:r>
        <w:rPr>
          <w:rFonts w:ascii="仿宋_GB2312" w:hAnsi="仿宋" w:eastAsia="仿宋_GB2312"/>
          <w:sz w:val="30"/>
          <w:szCs w:val="30"/>
        </w:rPr>
        <w:t>公司债券</w:t>
      </w:r>
      <w:r>
        <w:rPr>
          <w:rFonts w:hint="eastAsia" w:ascii="仿宋_GB2312" w:hAnsi="仿宋" w:eastAsia="仿宋_GB2312"/>
          <w:sz w:val="30"/>
          <w:szCs w:val="30"/>
        </w:rPr>
        <w:t>是指上市公司</w:t>
      </w:r>
      <w:r>
        <w:rPr>
          <w:rFonts w:ascii="仿宋_GB2312" w:hAnsi="仿宋" w:eastAsia="仿宋_GB2312"/>
          <w:sz w:val="30"/>
          <w:szCs w:val="30"/>
        </w:rPr>
        <w:t>依法发行、在一定期间内依据约定的条件可以转换成本公司股票的公司债券。</w:t>
      </w:r>
    </w:p>
    <w:p w14:paraId="2D7E868E">
      <w:pPr>
        <w:spacing w:line="600" w:lineRule="exact"/>
        <w:ind w:firstLine="600" w:firstLineChars="200"/>
        <w:rPr>
          <w:rFonts w:ascii="仿宋_GB2312" w:hAnsi="仿宋" w:eastAsia="仿宋_GB2312"/>
          <w:sz w:val="30"/>
          <w:szCs w:val="30"/>
        </w:rPr>
      </w:pPr>
      <w:r>
        <w:rPr>
          <w:rFonts w:hint="eastAsia" w:ascii="仿宋_GB2312" w:eastAsia="仿宋_GB2312"/>
          <w:color w:val="000000"/>
          <w:sz w:val="30"/>
          <w:szCs w:val="30"/>
        </w:rPr>
        <w:t>本所对上市公司发行的可转换公司债券的交易</w:t>
      </w:r>
      <w:r>
        <w:rPr>
          <w:rFonts w:ascii="仿宋_GB2312" w:eastAsia="仿宋_GB2312"/>
          <w:color w:val="000000"/>
          <w:sz w:val="30"/>
          <w:szCs w:val="30"/>
        </w:rPr>
        <w:t>另有规定的</w:t>
      </w:r>
      <w:r>
        <w:rPr>
          <w:rFonts w:hint="eastAsia" w:ascii="仿宋_GB2312" w:eastAsia="仿宋_GB2312"/>
          <w:color w:val="000000"/>
          <w:sz w:val="30"/>
          <w:szCs w:val="30"/>
        </w:rPr>
        <w:t>，</w:t>
      </w:r>
      <w:r>
        <w:rPr>
          <w:rFonts w:ascii="仿宋_GB2312" w:eastAsia="仿宋_GB2312"/>
          <w:color w:val="000000"/>
          <w:sz w:val="30"/>
          <w:szCs w:val="30"/>
        </w:rPr>
        <w:t>从其规定</w:t>
      </w:r>
      <w:r>
        <w:rPr>
          <w:rFonts w:hint="eastAsia" w:ascii="仿宋_GB2312" w:eastAsia="仿宋_GB2312"/>
          <w:color w:val="000000"/>
          <w:sz w:val="30"/>
          <w:szCs w:val="30"/>
        </w:rPr>
        <w:t>。</w:t>
      </w:r>
    </w:p>
    <w:p w14:paraId="6D78EC56">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w:t>
      </w:r>
      <w:r>
        <w:rPr>
          <w:rFonts w:ascii="仿宋_GB2312" w:hAnsi="仿宋" w:eastAsia="仿宋_GB2312"/>
          <w:sz w:val="30"/>
          <w:szCs w:val="30"/>
        </w:rPr>
        <w:t>9</w:t>
      </w:r>
      <w:r>
        <w:rPr>
          <w:rFonts w:hint="eastAsia" w:ascii="仿宋_GB2312" w:hAnsi="仿宋" w:eastAsia="仿宋_GB2312"/>
          <w:sz w:val="30"/>
          <w:szCs w:val="30"/>
        </w:rPr>
        <w:t>）</w:t>
      </w:r>
      <w:r>
        <w:rPr>
          <w:rFonts w:ascii="仿宋_GB2312" w:hAnsi="仿宋" w:eastAsia="仿宋_GB2312"/>
          <w:sz w:val="30"/>
          <w:szCs w:val="30"/>
        </w:rPr>
        <w:t>本所规定的其他品种</w:t>
      </w:r>
    </w:p>
    <w:p w14:paraId="30DE4BD0">
      <w:pPr>
        <w:numPr>
          <w:ilvl w:val="1"/>
          <w:numId w:val="4"/>
        </w:numPr>
        <w:spacing w:line="600" w:lineRule="exact"/>
        <w:ind w:left="0" w:firstLine="0"/>
        <w:outlineLvl w:val="1"/>
        <w:rPr>
          <w:rFonts w:ascii="仿宋_GB2312" w:eastAsia="仿宋_GB2312"/>
          <w:b/>
          <w:sz w:val="30"/>
          <w:szCs w:val="30"/>
        </w:rPr>
      </w:pPr>
      <w:bookmarkStart w:id="599" w:name="_Toc48742266"/>
      <w:bookmarkStart w:id="600" w:name="_Toc126438398"/>
      <w:bookmarkStart w:id="601" w:name="_Toc839486100"/>
      <w:bookmarkStart w:id="602" w:name="_Toc2078022077"/>
      <w:bookmarkStart w:id="603" w:name="_Toc56166276"/>
      <w:bookmarkStart w:id="604" w:name="_Toc55318668"/>
      <w:bookmarkStart w:id="605" w:name="_Toc56166087"/>
      <w:bookmarkStart w:id="606" w:name="_Toc650523462"/>
      <w:bookmarkStart w:id="607" w:name="_Toc151136908"/>
      <w:bookmarkStart w:id="608" w:name="_Toc1703443926"/>
      <w:bookmarkStart w:id="609" w:name="_Toc631157597"/>
      <w:r>
        <w:rPr>
          <w:rFonts w:hint="eastAsia" w:ascii="仿宋_GB2312" w:eastAsia="仿宋_GB2312"/>
          <w:b/>
          <w:sz w:val="30"/>
          <w:szCs w:val="30"/>
        </w:rPr>
        <w:t>现券交易申报与成交</w:t>
      </w:r>
      <w:bookmarkEnd w:id="599"/>
      <w:bookmarkEnd w:id="600"/>
      <w:bookmarkEnd w:id="601"/>
      <w:bookmarkEnd w:id="602"/>
      <w:bookmarkEnd w:id="603"/>
      <w:bookmarkEnd w:id="604"/>
      <w:bookmarkEnd w:id="605"/>
      <w:bookmarkEnd w:id="606"/>
      <w:bookmarkEnd w:id="607"/>
      <w:bookmarkEnd w:id="608"/>
      <w:bookmarkEnd w:id="609"/>
    </w:p>
    <w:p w14:paraId="05F9D547">
      <w:pPr>
        <w:spacing w:line="600" w:lineRule="exact"/>
        <w:ind w:firstLine="600" w:firstLineChars="200"/>
        <w:rPr>
          <w:rFonts w:ascii="仿宋_GB2312" w:hAnsi="微软雅黑"/>
          <w:sz w:val="30"/>
        </w:rPr>
      </w:pPr>
      <w:r>
        <w:rPr>
          <w:rFonts w:hint="eastAsia" w:ascii="仿宋_GB2312" w:hAnsi="微软雅黑" w:eastAsia="仿宋_GB2312"/>
          <w:sz w:val="30"/>
          <w:szCs w:val="30"/>
        </w:rPr>
        <w:t>债券交易参与人在进行现券交易申报与成交时，相关</w:t>
      </w:r>
      <w:r>
        <w:rPr>
          <w:rFonts w:ascii="仿宋_GB2312" w:hAnsi="微软雅黑" w:eastAsia="仿宋_GB2312"/>
          <w:sz w:val="30"/>
          <w:szCs w:val="30"/>
        </w:rPr>
        <w:t>申报数量要求、申报价格最小变动单位及价格限制、有效申报价格范围</w:t>
      </w:r>
      <w:r>
        <w:rPr>
          <w:rFonts w:hint="eastAsia" w:ascii="仿宋_GB2312" w:hAnsi="微软雅黑" w:eastAsia="仿宋_GB2312"/>
          <w:sz w:val="30"/>
          <w:szCs w:val="30"/>
        </w:rPr>
        <w:t>、申报有效期及申报撤销安排、成交原则、交易解除安排、交易对手范围设置、不同交易方式的申报要素要求等详见本指南第4章和第5章的相关规定。</w:t>
      </w:r>
    </w:p>
    <w:p w14:paraId="5529AD47">
      <w:pPr>
        <w:numPr>
          <w:ilvl w:val="1"/>
          <w:numId w:val="4"/>
        </w:numPr>
        <w:spacing w:line="600" w:lineRule="exact"/>
        <w:ind w:left="0" w:firstLine="0"/>
        <w:outlineLvl w:val="1"/>
        <w:rPr>
          <w:rFonts w:ascii="仿宋_GB2312" w:eastAsia="仿宋_GB2312"/>
          <w:b/>
          <w:sz w:val="30"/>
          <w:szCs w:val="30"/>
        </w:rPr>
      </w:pPr>
      <w:bookmarkStart w:id="610" w:name="_Toc47443107"/>
      <w:bookmarkEnd w:id="610"/>
      <w:bookmarkStart w:id="611" w:name="_Toc47345559"/>
      <w:bookmarkEnd w:id="611"/>
      <w:bookmarkStart w:id="612" w:name="_Toc47451491"/>
      <w:bookmarkEnd w:id="612"/>
      <w:bookmarkStart w:id="613" w:name="_Toc47346908"/>
      <w:bookmarkEnd w:id="613"/>
      <w:bookmarkStart w:id="614" w:name="_Toc47443667"/>
      <w:bookmarkEnd w:id="614"/>
      <w:bookmarkStart w:id="615" w:name="_Toc47346916"/>
      <w:bookmarkEnd w:id="615"/>
      <w:bookmarkStart w:id="616" w:name="_Toc47457039"/>
      <w:bookmarkEnd w:id="616"/>
      <w:bookmarkStart w:id="617" w:name="_Toc47443004"/>
      <w:bookmarkEnd w:id="617"/>
      <w:bookmarkStart w:id="618" w:name="_Toc47451496"/>
      <w:bookmarkEnd w:id="618"/>
      <w:bookmarkStart w:id="619" w:name="_Toc46147890"/>
      <w:bookmarkEnd w:id="619"/>
      <w:bookmarkStart w:id="620" w:name="_Toc47443690"/>
      <w:bookmarkEnd w:id="620"/>
      <w:bookmarkStart w:id="621" w:name="_Toc47366751"/>
      <w:bookmarkEnd w:id="621"/>
      <w:bookmarkStart w:id="622" w:name="_Toc47443106"/>
      <w:bookmarkEnd w:id="622"/>
      <w:bookmarkStart w:id="623" w:name="_Toc47455787"/>
      <w:bookmarkEnd w:id="623"/>
      <w:bookmarkStart w:id="624" w:name="_Toc47366749"/>
      <w:bookmarkEnd w:id="624"/>
      <w:bookmarkStart w:id="625" w:name="_Toc47346910"/>
      <w:bookmarkEnd w:id="625"/>
      <w:bookmarkStart w:id="626" w:name="_Toc47442993"/>
      <w:bookmarkEnd w:id="626"/>
      <w:bookmarkStart w:id="627" w:name="_Toc47366753"/>
      <w:bookmarkEnd w:id="627"/>
      <w:bookmarkStart w:id="628" w:name="_Toc47451483"/>
      <w:bookmarkEnd w:id="628"/>
      <w:bookmarkStart w:id="629" w:name="_Toc47443674"/>
      <w:bookmarkEnd w:id="629"/>
      <w:bookmarkStart w:id="630" w:name="_Toc47443685"/>
      <w:bookmarkEnd w:id="630"/>
      <w:bookmarkStart w:id="631" w:name="_Toc47452085"/>
      <w:bookmarkEnd w:id="631"/>
      <w:bookmarkStart w:id="632" w:name="_Toc47366756"/>
      <w:bookmarkEnd w:id="632"/>
      <w:bookmarkStart w:id="633" w:name="_Toc47451477"/>
      <w:bookmarkEnd w:id="633"/>
      <w:bookmarkStart w:id="634" w:name="_Toc46137830"/>
      <w:bookmarkEnd w:id="634"/>
      <w:bookmarkStart w:id="635" w:name="_Toc47455783"/>
      <w:bookmarkEnd w:id="635"/>
      <w:bookmarkStart w:id="636" w:name="_Toc47346914"/>
      <w:bookmarkEnd w:id="636"/>
      <w:bookmarkStart w:id="637" w:name="_Toc47451379"/>
      <w:bookmarkEnd w:id="637"/>
      <w:bookmarkStart w:id="638" w:name="_Toc47347737"/>
      <w:bookmarkEnd w:id="638"/>
      <w:bookmarkStart w:id="639" w:name="_Toc47443689"/>
      <w:bookmarkEnd w:id="639"/>
      <w:bookmarkStart w:id="640" w:name="_Toc47442997"/>
      <w:bookmarkEnd w:id="640"/>
      <w:bookmarkStart w:id="641" w:name="_Toc47442986"/>
      <w:bookmarkEnd w:id="641"/>
      <w:bookmarkStart w:id="642" w:name="_Toc47451481"/>
      <w:bookmarkEnd w:id="642"/>
      <w:bookmarkStart w:id="643" w:name="_Toc47347760"/>
      <w:bookmarkEnd w:id="643"/>
      <w:bookmarkStart w:id="644" w:name="_Toc47451751"/>
      <w:bookmarkEnd w:id="644"/>
      <w:bookmarkStart w:id="645" w:name="_Toc47442994"/>
      <w:bookmarkEnd w:id="645"/>
      <w:bookmarkStart w:id="646" w:name="_Toc46147886"/>
      <w:bookmarkEnd w:id="646"/>
      <w:bookmarkStart w:id="647" w:name="_Toc47372543"/>
      <w:bookmarkEnd w:id="647"/>
      <w:bookmarkStart w:id="648" w:name="_Toc47451498"/>
      <w:bookmarkEnd w:id="648"/>
      <w:bookmarkStart w:id="649" w:name="_Toc47451360"/>
      <w:bookmarkEnd w:id="649"/>
      <w:bookmarkStart w:id="650" w:name="_Toc47443001"/>
      <w:bookmarkEnd w:id="650"/>
      <w:bookmarkStart w:id="651" w:name="_Toc47442995"/>
      <w:bookmarkEnd w:id="651"/>
      <w:bookmarkStart w:id="652" w:name="_Toc47451761"/>
      <w:bookmarkEnd w:id="652"/>
      <w:bookmarkStart w:id="653" w:name="_Toc47372565"/>
      <w:bookmarkEnd w:id="653"/>
      <w:bookmarkStart w:id="654" w:name="_Toc47452092"/>
      <w:bookmarkEnd w:id="654"/>
      <w:bookmarkStart w:id="655" w:name="_Toc47372553"/>
      <w:bookmarkEnd w:id="655"/>
      <w:bookmarkStart w:id="656" w:name="_Toc47443003"/>
      <w:bookmarkEnd w:id="656"/>
      <w:bookmarkStart w:id="657" w:name="_Toc47451376"/>
      <w:bookmarkEnd w:id="657"/>
      <w:bookmarkStart w:id="658" w:name="_Toc47455770"/>
      <w:bookmarkEnd w:id="658"/>
      <w:bookmarkStart w:id="659" w:name="_Toc47451486"/>
      <w:bookmarkEnd w:id="659"/>
      <w:bookmarkStart w:id="660" w:name="_Toc47366750"/>
      <w:bookmarkEnd w:id="660"/>
      <w:bookmarkStart w:id="661" w:name="_Toc47347751"/>
      <w:bookmarkEnd w:id="661"/>
      <w:bookmarkStart w:id="662" w:name="_Toc47457045"/>
      <w:bookmarkEnd w:id="662"/>
      <w:bookmarkStart w:id="663" w:name="_Toc47443000"/>
      <w:bookmarkEnd w:id="663"/>
      <w:bookmarkStart w:id="664" w:name="_Toc47452090"/>
      <w:bookmarkEnd w:id="664"/>
      <w:bookmarkStart w:id="665" w:name="_Toc47372564"/>
      <w:bookmarkEnd w:id="665"/>
      <w:bookmarkStart w:id="666" w:name="_Toc47346929"/>
      <w:bookmarkEnd w:id="666"/>
      <w:bookmarkStart w:id="667" w:name="_Toc47451367"/>
      <w:bookmarkEnd w:id="667"/>
      <w:bookmarkStart w:id="668" w:name="_Toc47451373"/>
      <w:bookmarkEnd w:id="668"/>
      <w:bookmarkStart w:id="669" w:name="_Toc47455785"/>
      <w:bookmarkEnd w:id="669"/>
      <w:bookmarkStart w:id="670" w:name="_Toc47451364"/>
      <w:bookmarkEnd w:id="670"/>
      <w:bookmarkStart w:id="671" w:name="_Toc47347746"/>
      <w:bookmarkEnd w:id="671"/>
      <w:bookmarkStart w:id="672" w:name="_Toc47451368"/>
      <w:bookmarkEnd w:id="672"/>
      <w:bookmarkStart w:id="673" w:name="_Toc47457030"/>
      <w:bookmarkEnd w:id="673"/>
      <w:bookmarkStart w:id="674" w:name="_Toc47457032"/>
      <w:bookmarkEnd w:id="674"/>
      <w:bookmarkStart w:id="675" w:name="_Toc47457042"/>
      <w:bookmarkEnd w:id="675"/>
      <w:bookmarkStart w:id="676" w:name="_Toc47455784"/>
      <w:bookmarkEnd w:id="676"/>
      <w:bookmarkStart w:id="677" w:name="_Toc47346928"/>
      <w:bookmarkEnd w:id="677"/>
      <w:bookmarkStart w:id="678" w:name="_Toc47451752"/>
      <w:bookmarkEnd w:id="678"/>
      <w:bookmarkStart w:id="679" w:name="_Toc47443672"/>
      <w:bookmarkEnd w:id="679"/>
      <w:bookmarkStart w:id="680" w:name="_Toc46137836"/>
      <w:bookmarkEnd w:id="680"/>
      <w:bookmarkStart w:id="681" w:name="_Toc47347748"/>
      <w:bookmarkEnd w:id="681"/>
      <w:bookmarkStart w:id="682" w:name="_Toc47346912"/>
      <w:bookmarkEnd w:id="682"/>
      <w:bookmarkStart w:id="683" w:name="_Toc47347754"/>
      <w:bookmarkEnd w:id="683"/>
      <w:bookmarkStart w:id="684" w:name="_Toc47443100"/>
      <w:bookmarkEnd w:id="684"/>
      <w:bookmarkStart w:id="685" w:name="_Toc47451750"/>
      <w:bookmarkEnd w:id="685"/>
      <w:bookmarkStart w:id="686" w:name="_Toc47443110"/>
      <w:bookmarkEnd w:id="686"/>
      <w:bookmarkStart w:id="687" w:name="_Toc46147892"/>
      <w:bookmarkEnd w:id="687"/>
      <w:bookmarkStart w:id="688" w:name="_Toc47443104"/>
      <w:bookmarkEnd w:id="688"/>
      <w:bookmarkStart w:id="689" w:name="_Toc47451748"/>
      <w:bookmarkEnd w:id="689"/>
      <w:bookmarkStart w:id="690" w:name="_Toc47455779"/>
      <w:bookmarkEnd w:id="690"/>
      <w:bookmarkStart w:id="691" w:name="_Toc47442989"/>
      <w:bookmarkEnd w:id="691"/>
      <w:bookmarkStart w:id="692" w:name="_Toc47443103"/>
      <w:bookmarkEnd w:id="692"/>
      <w:bookmarkStart w:id="693" w:name="_Toc47347742"/>
      <w:bookmarkEnd w:id="693"/>
      <w:bookmarkStart w:id="694" w:name="_Toc47451763"/>
      <w:bookmarkEnd w:id="694"/>
      <w:bookmarkStart w:id="695" w:name="_Toc47372558"/>
      <w:bookmarkEnd w:id="695"/>
      <w:bookmarkStart w:id="696" w:name="_Toc47451494"/>
      <w:bookmarkEnd w:id="696"/>
      <w:bookmarkStart w:id="697" w:name="_Toc47372549"/>
      <w:bookmarkEnd w:id="697"/>
      <w:bookmarkStart w:id="698" w:name="_Toc47443114"/>
      <w:bookmarkEnd w:id="698"/>
      <w:bookmarkStart w:id="699" w:name="_Toc46147887"/>
      <w:bookmarkEnd w:id="699"/>
      <w:bookmarkStart w:id="700" w:name="_Toc47451747"/>
      <w:bookmarkEnd w:id="700"/>
      <w:bookmarkStart w:id="701" w:name="_Toc47443115"/>
      <w:bookmarkEnd w:id="701"/>
      <w:bookmarkStart w:id="702" w:name="_Toc47457037"/>
      <w:bookmarkEnd w:id="702"/>
      <w:bookmarkStart w:id="703" w:name="_Toc47366763"/>
      <w:bookmarkEnd w:id="703"/>
      <w:bookmarkStart w:id="704" w:name="_Toc47452074"/>
      <w:bookmarkEnd w:id="704"/>
      <w:bookmarkStart w:id="705" w:name="_Toc47372556"/>
      <w:bookmarkEnd w:id="705"/>
      <w:bookmarkStart w:id="706" w:name="_Toc47451757"/>
      <w:bookmarkEnd w:id="706"/>
      <w:bookmarkStart w:id="707" w:name="_Toc47451365"/>
      <w:bookmarkEnd w:id="707"/>
      <w:bookmarkStart w:id="708" w:name="_Toc47452077"/>
      <w:bookmarkEnd w:id="708"/>
      <w:bookmarkStart w:id="709" w:name="_Toc47455774"/>
      <w:bookmarkEnd w:id="709"/>
      <w:bookmarkStart w:id="710" w:name="_Toc47366748"/>
      <w:bookmarkEnd w:id="710"/>
      <w:bookmarkStart w:id="711" w:name="_Toc47455768"/>
      <w:bookmarkEnd w:id="711"/>
      <w:bookmarkStart w:id="712" w:name="_Toc46137837"/>
      <w:bookmarkEnd w:id="712"/>
      <w:bookmarkStart w:id="713" w:name="_Toc47346926"/>
      <w:bookmarkEnd w:id="713"/>
      <w:bookmarkStart w:id="714" w:name="_Toc47442998"/>
      <w:bookmarkEnd w:id="714"/>
      <w:bookmarkStart w:id="715" w:name="_Toc47451485"/>
      <w:bookmarkEnd w:id="715"/>
      <w:bookmarkStart w:id="716" w:name="_Toc47457028"/>
      <w:bookmarkEnd w:id="716"/>
      <w:bookmarkStart w:id="717" w:name="_Toc47366746"/>
      <w:bookmarkEnd w:id="717"/>
      <w:bookmarkStart w:id="718" w:name="_Toc47443097"/>
      <w:bookmarkEnd w:id="718"/>
      <w:bookmarkStart w:id="719" w:name="_Toc46137833"/>
      <w:bookmarkEnd w:id="719"/>
      <w:bookmarkStart w:id="720" w:name="_Toc47372566"/>
      <w:bookmarkEnd w:id="720"/>
      <w:bookmarkStart w:id="721" w:name="_Toc47452089"/>
      <w:bookmarkEnd w:id="721"/>
      <w:bookmarkStart w:id="722" w:name="_Toc46137831"/>
      <w:bookmarkEnd w:id="722"/>
      <w:bookmarkStart w:id="723" w:name="_Toc47366752"/>
      <w:bookmarkEnd w:id="723"/>
      <w:bookmarkStart w:id="724" w:name="_Toc47345549"/>
      <w:bookmarkEnd w:id="724"/>
      <w:bookmarkStart w:id="725" w:name="_Toc47372561"/>
      <w:bookmarkEnd w:id="725"/>
      <w:bookmarkStart w:id="726" w:name="_Toc47451359"/>
      <w:bookmarkEnd w:id="726"/>
      <w:bookmarkStart w:id="727" w:name="_Toc47372562"/>
      <w:bookmarkEnd w:id="727"/>
      <w:bookmarkStart w:id="728" w:name="_Toc47451375"/>
      <w:bookmarkEnd w:id="728"/>
      <w:bookmarkStart w:id="729" w:name="_Toc47457035"/>
      <w:bookmarkEnd w:id="729"/>
      <w:bookmarkStart w:id="730" w:name="_Toc47451484"/>
      <w:bookmarkEnd w:id="730"/>
      <w:bookmarkStart w:id="731" w:name="_Toc47455773"/>
      <w:bookmarkEnd w:id="731"/>
      <w:bookmarkStart w:id="732" w:name="_Toc47451479"/>
      <w:bookmarkEnd w:id="732"/>
      <w:bookmarkStart w:id="733" w:name="_Toc47345555"/>
      <w:bookmarkEnd w:id="733"/>
      <w:bookmarkStart w:id="734" w:name="_Toc47346907"/>
      <w:bookmarkEnd w:id="734"/>
      <w:bookmarkStart w:id="735" w:name="_Toc47457034"/>
      <w:bookmarkEnd w:id="735"/>
      <w:bookmarkStart w:id="736" w:name="_Toc47346911"/>
      <w:bookmarkEnd w:id="736"/>
      <w:bookmarkStart w:id="737" w:name="_Toc47451500"/>
      <w:bookmarkEnd w:id="737"/>
      <w:bookmarkStart w:id="738" w:name="_Toc47347756"/>
      <w:bookmarkEnd w:id="738"/>
      <w:bookmarkStart w:id="739" w:name="_Toc47346917"/>
      <w:bookmarkEnd w:id="739"/>
      <w:bookmarkStart w:id="740" w:name="_Toc47451493"/>
      <w:bookmarkEnd w:id="740"/>
      <w:bookmarkStart w:id="741" w:name="_Toc47366765"/>
      <w:bookmarkEnd w:id="741"/>
      <w:bookmarkStart w:id="742" w:name="_Toc47451749"/>
      <w:bookmarkEnd w:id="742"/>
      <w:bookmarkStart w:id="743" w:name="_Toc47451489"/>
      <w:bookmarkEnd w:id="743"/>
      <w:bookmarkStart w:id="744" w:name="_Toc47347743"/>
      <w:bookmarkEnd w:id="744"/>
      <w:bookmarkStart w:id="745" w:name="_Toc47443683"/>
      <w:bookmarkEnd w:id="745"/>
      <w:bookmarkStart w:id="746" w:name="_Toc47452088"/>
      <w:bookmarkEnd w:id="746"/>
      <w:bookmarkStart w:id="747" w:name="_Toc47457040"/>
      <w:bookmarkEnd w:id="747"/>
      <w:bookmarkStart w:id="748" w:name="_Toc47345550"/>
      <w:bookmarkEnd w:id="748"/>
      <w:bookmarkStart w:id="749" w:name="_Toc47452081"/>
      <w:bookmarkEnd w:id="749"/>
      <w:bookmarkStart w:id="750" w:name="_Toc47345557"/>
      <w:bookmarkEnd w:id="750"/>
      <w:bookmarkStart w:id="751" w:name="_Toc47443686"/>
      <w:bookmarkEnd w:id="751"/>
      <w:bookmarkStart w:id="752" w:name="_Toc47366766"/>
      <w:bookmarkEnd w:id="752"/>
      <w:bookmarkStart w:id="753" w:name="_Toc47346921"/>
      <w:bookmarkEnd w:id="753"/>
      <w:bookmarkStart w:id="754" w:name="_Toc47347745"/>
      <w:bookmarkEnd w:id="754"/>
      <w:bookmarkStart w:id="755" w:name="_Toc46137838"/>
      <w:bookmarkEnd w:id="755"/>
      <w:bookmarkStart w:id="756" w:name="_Toc47345558"/>
      <w:bookmarkEnd w:id="756"/>
      <w:bookmarkStart w:id="757" w:name="_Toc47366764"/>
      <w:bookmarkEnd w:id="757"/>
      <w:bookmarkStart w:id="758" w:name="_Toc47443096"/>
      <w:bookmarkEnd w:id="758"/>
      <w:bookmarkStart w:id="759" w:name="_Toc47372546"/>
      <w:bookmarkEnd w:id="759"/>
      <w:bookmarkStart w:id="760" w:name="_Toc47451745"/>
      <w:bookmarkEnd w:id="760"/>
      <w:bookmarkStart w:id="761" w:name="_Toc47451482"/>
      <w:bookmarkEnd w:id="761"/>
      <w:bookmarkStart w:id="762" w:name="_Toc47442992"/>
      <w:bookmarkEnd w:id="762"/>
      <w:bookmarkStart w:id="763" w:name="_Toc47455776"/>
      <w:bookmarkEnd w:id="763"/>
      <w:bookmarkStart w:id="764" w:name="_Toc47443101"/>
      <w:bookmarkEnd w:id="764"/>
      <w:bookmarkStart w:id="765" w:name="_Toc47452095"/>
      <w:bookmarkEnd w:id="765"/>
      <w:bookmarkStart w:id="766" w:name="_Toc47346915"/>
      <w:bookmarkEnd w:id="766"/>
      <w:bookmarkStart w:id="767" w:name="_Toc47455767"/>
      <w:bookmarkEnd w:id="767"/>
      <w:bookmarkStart w:id="768" w:name="_Toc47457043"/>
      <w:bookmarkEnd w:id="768"/>
      <w:bookmarkStart w:id="769" w:name="_Toc47366747"/>
      <w:bookmarkEnd w:id="769"/>
      <w:bookmarkStart w:id="770" w:name="_Toc47452096"/>
      <w:bookmarkEnd w:id="770"/>
      <w:bookmarkStart w:id="771" w:name="_Toc47452087"/>
      <w:bookmarkEnd w:id="771"/>
      <w:bookmarkStart w:id="772" w:name="_Toc46147894"/>
      <w:bookmarkEnd w:id="772"/>
      <w:bookmarkStart w:id="773" w:name="_Toc47451363"/>
      <w:bookmarkEnd w:id="773"/>
      <w:bookmarkStart w:id="774" w:name="_Toc47451366"/>
      <w:bookmarkEnd w:id="774"/>
      <w:bookmarkStart w:id="775" w:name="_Toc47451760"/>
      <w:bookmarkEnd w:id="775"/>
      <w:bookmarkStart w:id="776" w:name="_Toc47372550"/>
      <w:bookmarkEnd w:id="776"/>
      <w:bookmarkStart w:id="777" w:name="_Toc47372559"/>
      <w:bookmarkEnd w:id="777"/>
      <w:bookmarkStart w:id="778" w:name="_Toc47457046"/>
      <w:bookmarkEnd w:id="778"/>
      <w:bookmarkStart w:id="779" w:name="_Toc47443118"/>
      <w:bookmarkEnd w:id="779"/>
      <w:bookmarkStart w:id="780" w:name="_Toc47443669"/>
      <w:bookmarkEnd w:id="780"/>
      <w:bookmarkStart w:id="781" w:name="_Toc47372548"/>
      <w:bookmarkEnd w:id="781"/>
      <w:bookmarkStart w:id="782" w:name="_Toc47346918"/>
      <w:bookmarkEnd w:id="782"/>
      <w:bookmarkStart w:id="783" w:name="_Toc47443112"/>
      <w:bookmarkEnd w:id="783"/>
      <w:bookmarkStart w:id="784" w:name="_Toc47455769"/>
      <w:bookmarkEnd w:id="784"/>
      <w:bookmarkStart w:id="785" w:name="_Toc47451499"/>
      <w:bookmarkEnd w:id="785"/>
      <w:bookmarkStart w:id="786" w:name="_Toc47372552"/>
      <w:bookmarkEnd w:id="786"/>
      <w:bookmarkStart w:id="787" w:name="_Toc47372544"/>
      <w:bookmarkEnd w:id="787"/>
      <w:bookmarkStart w:id="788" w:name="_Toc47451497"/>
      <w:bookmarkEnd w:id="788"/>
      <w:bookmarkStart w:id="789" w:name="_Toc47443102"/>
      <w:bookmarkEnd w:id="789"/>
      <w:bookmarkStart w:id="790" w:name="_Toc46147891"/>
      <w:bookmarkEnd w:id="790"/>
      <w:bookmarkStart w:id="791" w:name="_Toc46137828"/>
      <w:bookmarkEnd w:id="791"/>
      <w:bookmarkStart w:id="792" w:name="_Toc47443005"/>
      <w:bookmarkEnd w:id="792"/>
      <w:bookmarkStart w:id="793" w:name="_Toc47455766"/>
      <w:bookmarkEnd w:id="793"/>
      <w:bookmarkStart w:id="794" w:name="_Toc47443098"/>
      <w:bookmarkEnd w:id="794"/>
      <w:bookmarkStart w:id="795" w:name="_Toc47451762"/>
      <w:bookmarkEnd w:id="795"/>
      <w:bookmarkStart w:id="796" w:name="_Toc47346923"/>
      <w:bookmarkEnd w:id="796"/>
      <w:bookmarkStart w:id="797" w:name="_Toc47442985"/>
      <w:bookmarkEnd w:id="797"/>
      <w:bookmarkStart w:id="798" w:name="_Toc47452075"/>
      <w:bookmarkEnd w:id="798"/>
      <w:bookmarkStart w:id="799" w:name="_Toc46147902"/>
      <w:bookmarkEnd w:id="799"/>
      <w:bookmarkStart w:id="800" w:name="_Toc47347749"/>
      <w:bookmarkEnd w:id="800"/>
      <w:bookmarkStart w:id="801" w:name="_Toc47452076"/>
      <w:bookmarkEnd w:id="801"/>
      <w:bookmarkStart w:id="802" w:name="_Toc47347757"/>
      <w:bookmarkEnd w:id="802"/>
      <w:bookmarkStart w:id="803" w:name="_Toc46137834"/>
      <w:bookmarkEnd w:id="803"/>
      <w:bookmarkStart w:id="804" w:name="_Toc47347744"/>
      <w:bookmarkEnd w:id="804"/>
      <w:bookmarkStart w:id="805" w:name="_Toc47345551"/>
      <w:bookmarkEnd w:id="805"/>
      <w:bookmarkStart w:id="806" w:name="_Toc47455771"/>
      <w:bookmarkEnd w:id="806"/>
      <w:bookmarkStart w:id="807" w:name="_Toc47346927"/>
      <w:bookmarkEnd w:id="807"/>
      <w:bookmarkStart w:id="808" w:name="_Toc47443117"/>
      <w:bookmarkEnd w:id="808"/>
      <w:bookmarkStart w:id="809" w:name="_Toc47366754"/>
      <w:bookmarkEnd w:id="809"/>
      <w:bookmarkStart w:id="810" w:name="_Toc47346920"/>
      <w:bookmarkEnd w:id="810"/>
      <w:bookmarkStart w:id="811" w:name="_Toc47443116"/>
      <w:bookmarkEnd w:id="811"/>
      <w:bookmarkStart w:id="812" w:name="_Toc47443687"/>
      <w:bookmarkEnd w:id="812"/>
      <w:bookmarkStart w:id="813" w:name="_Toc47366762"/>
      <w:bookmarkEnd w:id="813"/>
      <w:bookmarkStart w:id="814" w:name="_Toc47443113"/>
      <w:bookmarkEnd w:id="814"/>
      <w:bookmarkStart w:id="815" w:name="_Toc47347750"/>
      <w:bookmarkEnd w:id="815"/>
      <w:bookmarkStart w:id="816" w:name="_Toc47443671"/>
      <w:bookmarkEnd w:id="816"/>
      <w:bookmarkStart w:id="817" w:name="_Toc47451764"/>
      <w:bookmarkEnd w:id="817"/>
      <w:bookmarkStart w:id="818" w:name="_Toc47372563"/>
      <w:bookmarkEnd w:id="818"/>
      <w:bookmarkStart w:id="819" w:name="_Toc47346922"/>
      <w:bookmarkEnd w:id="819"/>
      <w:bookmarkStart w:id="820" w:name="_Toc47457029"/>
      <w:bookmarkEnd w:id="820"/>
      <w:bookmarkStart w:id="821" w:name="_Toc47443681"/>
      <w:bookmarkEnd w:id="821"/>
      <w:bookmarkStart w:id="822" w:name="_Toc47457041"/>
      <w:bookmarkEnd w:id="822"/>
      <w:bookmarkStart w:id="823" w:name="_Toc47451381"/>
      <w:bookmarkEnd w:id="823"/>
      <w:bookmarkStart w:id="824" w:name="_Toc47443682"/>
      <w:bookmarkEnd w:id="824"/>
      <w:bookmarkStart w:id="825" w:name="_Toc47366758"/>
      <w:bookmarkEnd w:id="825"/>
      <w:bookmarkStart w:id="826" w:name="_Toc47366744"/>
      <w:bookmarkEnd w:id="826"/>
      <w:bookmarkStart w:id="827" w:name="_Toc47451370"/>
      <w:bookmarkEnd w:id="827"/>
      <w:bookmarkStart w:id="828" w:name="_Toc47443679"/>
      <w:bookmarkEnd w:id="828"/>
      <w:bookmarkStart w:id="829" w:name="_Toc47451378"/>
      <w:bookmarkEnd w:id="829"/>
      <w:bookmarkStart w:id="830" w:name="_Toc47451753"/>
      <w:bookmarkEnd w:id="830"/>
      <w:bookmarkStart w:id="831" w:name="_Toc46137827"/>
      <w:bookmarkEnd w:id="831"/>
      <w:bookmarkStart w:id="832" w:name="_Toc47443108"/>
      <w:bookmarkEnd w:id="832"/>
      <w:bookmarkStart w:id="833" w:name="_Toc47455782"/>
      <w:bookmarkEnd w:id="833"/>
      <w:bookmarkStart w:id="834" w:name="_Toc47372547"/>
      <w:bookmarkEnd w:id="834"/>
      <w:bookmarkStart w:id="835" w:name="_Toc47451371"/>
      <w:bookmarkEnd w:id="835"/>
      <w:bookmarkStart w:id="836" w:name="_Toc47457023"/>
      <w:bookmarkEnd w:id="836"/>
      <w:bookmarkStart w:id="837" w:name="_Toc47457044"/>
      <w:bookmarkEnd w:id="837"/>
      <w:bookmarkStart w:id="838" w:name="_Toc47366767"/>
      <w:bookmarkEnd w:id="838"/>
      <w:bookmarkStart w:id="839" w:name="_Toc47455781"/>
      <w:bookmarkEnd w:id="839"/>
      <w:bookmarkStart w:id="840" w:name="_Toc47442984"/>
      <w:bookmarkEnd w:id="840"/>
      <w:bookmarkStart w:id="841" w:name="_Toc47451382"/>
      <w:bookmarkEnd w:id="841"/>
      <w:bookmarkStart w:id="842" w:name="_Toc47372545"/>
      <w:bookmarkEnd w:id="842"/>
      <w:bookmarkStart w:id="843" w:name="_Toc47451372"/>
      <w:bookmarkEnd w:id="843"/>
      <w:bookmarkStart w:id="844" w:name="_Toc47457033"/>
      <w:bookmarkEnd w:id="844"/>
      <w:bookmarkStart w:id="845" w:name="_Toc47443675"/>
      <w:bookmarkEnd w:id="845"/>
      <w:bookmarkStart w:id="846" w:name="_Toc47455789"/>
      <w:bookmarkEnd w:id="846"/>
      <w:bookmarkStart w:id="847" w:name="_Toc47372551"/>
      <w:bookmarkEnd w:id="847"/>
      <w:bookmarkStart w:id="848" w:name="_Toc46147882"/>
      <w:bookmarkEnd w:id="848"/>
      <w:bookmarkStart w:id="849" w:name="_Toc47443676"/>
      <w:bookmarkEnd w:id="849"/>
      <w:bookmarkStart w:id="850" w:name="_Toc47451765"/>
      <w:bookmarkEnd w:id="850"/>
      <w:bookmarkStart w:id="851" w:name="_Toc46137846"/>
      <w:bookmarkEnd w:id="851"/>
      <w:bookmarkStart w:id="852" w:name="_Toc47451487"/>
      <w:bookmarkEnd w:id="852"/>
      <w:bookmarkStart w:id="853" w:name="_Toc47451492"/>
      <w:bookmarkEnd w:id="853"/>
      <w:bookmarkStart w:id="854" w:name="_Toc47455772"/>
      <w:bookmarkEnd w:id="854"/>
      <w:bookmarkStart w:id="855" w:name="_Toc47346909"/>
      <w:bookmarkEnd w:id="855"/>
      <w:bookmarkStart w:id="856" w:name="_Toc47452083"/>
      <w:bookmarkEnd w:id="856"/>
      <w:bookmarkStart w:id="857" w:name="_Toc47347740"/>
      <w:bookmarkEnd w:id="857"/>
      <w:bookmarkStart w:id="858" w:name="_Toc47455786"/>
      <w:bookmarkEnd w:id="858"/>
      <w:bookmarkStart w:id="859" w:name="_Toc47452079"/>
      <w:bookmarkEnd w:id="859"/>
      <w:bookmarkStart w:id="860" w:name="_Toc47451755"/>
      <w:bookmarkEnd w:id="860"/>
      <w:bookmarkStart w:id="861" w:name="_Toc47451495"/>
      <w:bookmarkEnd w:id="861"/>
      <w:bookmarkStart w:id="862" w:name="_Toc47455788"/>
      <w:bookmarkEnd w:id="862"/>
      <w:bookmarkStart w:id="863" w:name="_Toc47366760"/>
      <w:bookmarkEnd w:id="863"/>
      <w:bookmarkStart w:id="864" w:name="_Toc46147889"/>
      <w:bookmarkEnd w:id="864"/>
      <w:bookmarkStart w:id="865" w:name="_Toc47347747"/>
      <w:bookmarkEnd w:id="865"/>
      <w:bookmarkStart w:id="866" w:name="_Toc47457038"/>
      <w:bookmarkEnd w:id="866"/>
      <w:bookmarkStart w:id="867" w:name="_Toc47455780"/>
      <w:bookmarkEnd w:id="867"/>
      <w:bookmarkStart w:id="868" w:name="_Toc47346906"/>
      <w:bookmarkEnd w:id="868"/>
      <w:bookmarkStart w:id="869" w:name="_Toc47457024"/>
      <w:bookmarkEnd w:id="869"/>
      <w:bookmarkStart w:id="870" w:name="_Toc46147883"/>
      <w:bookmarkEnd w:id="870"/>
      <w:bookmarkStart w:id="871" w:name="_Toc47443006"/>
      <w:bookmarkEnd w:id="871"/>
      <w:bookmarkStart w:id="872" w:name="_Toc47443673"/>
      <w:bookmarkEnd w:id="872"/>
      <w:bookmarkStart w:id="873" w:name="_Toc47455777"/>
      <w:bookmarkEnd w:id="873"/>
      <w:bookmarkStart w:id="874" w:name="_Toc47451480"/>
      <w:bookmarkEnd w:id="874"/>
      <w:bookmarkStart w:id="875" w:name="_Toc47443105"/>
      <w:bookmarkEnd w:id="875"/>
      <w:bookmarkStart w:id="876" w:name="_Toc47346925"/>
      <w:bookmarkEnd w:id="876"/>
      <w:bookmarkStart w:id="877" w:name="_Toc46147893"/>
      <w:bookmarkEnd w:id="877"/>
      <w:bookmarkStart w:id="878" w:name="_Toc46147884"/>
      <w:bookmarkEnd w:id="878"/>
      <w:bookmarkStart w:id="879" w:name="_Toc47345548"/>
      <w:bookmarkEnd w:id="879"/>
      <w:bookmarkStart w:id="880" w:name="_Toc47451490"/>
      <w:bookmarkEnd w:id="880"/>
      <w:bookmarkStart w:id="881" w:name="_Toc47442991"/>
      <w:bookmarkEnd w:id="881"/>
      <w:bookmarkStart w:id="882" w:name="_Toc47451362"/>
      <w:bookmarkEnd w:id="882"/>
      <w:bookmarkStart w:id="883" w:name="_Toc47366757"/>
      <w:bookmarkEnd w:id="883"/>
      <w:bookmarkStart w:id="884" w:name="_Toc47372560"/>
      <w:bookmarkEnd w:id="884"/>
      <w:bookmarkStart w:id="885" w:name="_Toc47372554"/>
      <w:bookmarkEnd w:id="885"/>
      <w:bookmarkStart w:id="886" w:name="_Toc47345552"/>
      <w:bookmarkEnd w:id="886"/>
      <w:bookmarkStart w:id="887" w:name="_Toc47451377"/>
      <w:bookmarkEnd w:id="887"/>
      <w:bookmarkStart w:id="888" w:name="_Toc47443680"/>
      <w:bookmarkEnd w:id="888"/>
      <w:bookmarkStart w:id="889" w:name="_Toc47442987"/>
      <w:bookmarkEnd w:id="889"/>
      <w:bookmarkStart w:id="890" w:name="_Toc47451380"/>
      <w:bookmarkEnd w:id="890"/>
      <w:bookmarkStart w:id="891" w:name="_Toc47443670"/>
      <w:bookmarkEnd w:id="891"/>
      <w:bookmarkStart w:id="892" w:name="_Toc47452091"/>
      <w:bookmarkEnd w:id="892"/>
      <w:bookmarkStart w:id="893" w:name="_Toc47346924"/>
      <w:bookmarkEnd w:id="893"/>
      <w:bookmarkStart w:id="894" w:name="_Toc47443109"/>
      <w:bookmarkEnd w:id="894"/>
      <w:bookmarkStart w:id="895" w:name="_Toc47451754"/>
      <w:bookmarkEnd w:id="895"/>
      <w:bookmarkStart w:id="896" w:name="_Toc47457025"/>
      <w:bookmarkEnd w:id="896"/>
      <w:bookmarkStart w:id="897" w:name="_Toc47452082"/>
      <w:bookmarkEnd w:id="897"/>
      <w:bookmarkStart w:id="898" w:name="_Toc47347758"/>
      <w:bookmarkEnd w:id="898"/>
      <w:bookmarkStart w:id="899" w:name="_Toc47443111"/>
      <w:bookmarkEnd w:id="899"/>
      <w:bookmarkStart w:id="900" w:name="_Toc47443677"/>
      <w:bookmarkEnd w:id="900"/>
      <w:bookmarkStart w:id="901" w:name="_Toc47451488"/>
      <w:bookmarkEnd w:id="901"/>
      <w:bookmarkStart w:id="902" w:name="_Toc47457036"/>
      <w:bookmarkEnd w:id="902"/>
      <w:bookmarkStart w:id="903" w:name="_Toc47457026"/>
      <w:bookmarkEnd w:id="903"/>
      <w:bookmarkStart w:id="904" w:name="_Toc47451768"/>
      <w:bookmarkEnd w:id="904"/>
      <w:bookmarkStart w:id="905" w:name="_Toc47451766"/>
      <w:bookmarkEnd w:id="905"/>
      <w:bookmarkStart w:id="906" w:name="_Toc47347739"/>
      <w:bookmarkEnd w:id="906"/>
      <w:bookmarkStart w:id="907" w:name="_Toc47345556"/>
      <w:bookmarkEnd w:id="907"/>
      <w:bookmarkStart w:id="908" w:name="_Toc47451374"/>
      <w:bookmarkEnd w:id="908"/>
      <w:bookmarkStart w:id="909" w:name="_Toc47372557"/>
      <w:bookmarkEnd w:id="909"/>
      <w:bookmarkStart w:id="910" w:name="_Toc47452078"/>
      <w:bookmarkEnd w:id="910"/>
      <w:bookmarkStart w:id="911" w:name="_Toc47442990"/>
      <w:bookmarkEnd w:id="911"/>
      <w:bookmarkStart w:id="912" w:name="_Toc47443095"/>
      <w:bookmarkEnd w:id="912"/>
      <w:bookmarkStart w:id="913" w:name="_Toc47347755"/>
      <w:bookmarkEnd w:id="913"/>
      <w:bookmarkStart w:id="914" w:name="_Toc47452093"/>
      <w:bookmarkEnd w:id="914"/>
      <w:bookmarkStart w:id="915" w:name="_Toc47451756"/>
      <w:bookmarkEnd w:id="915"/>
      <w:bookmarkStart w:id="916" w:name="_Toc47347753"/>
      <w:bookmarkEnd w:id="916"/>
      <w:bookmarkStart w:id="917" w:name="_Toc47455775"/>
      <w:bookmarkEnd w:id="917"/>
      <w:bookmarkStart w:id="918" w:name="_Toc47366761"/>
      <w:bookmarkEnd w:id="918"/>
      <w:bookmarkStart w:id="919" w:name="_Toc47443007"/>
      <w:bookmarkEnd w:id="919"/>
      <w:bookmarkStart w:id="920" w:name="_Toc47345554"/>
      <w:bookmarkEnd w:id="920"/>
      <w:bookmarkStart w:id="921" w:name="_Toc47452094"/>
      <w:bookmarkEnd w:id="921"/>
      <w:bookmarkStart w:id="922" w:name="_Toc47451361"/>
      <w:bookmarkEnd w:id="922"/>
      <w:bookmarkStart w:id="923" w:name="_Toc47451758"/>
      <w:bookmarkEnd w:id="923"/>
      <w:bookmarkStart w:id="924" w:name="_Toc47452080"/>
      <w:bookmarkEnd w:id="924"/>
      <w:bookmarkStart w:id="925" w:name="_Toc47366745"/>
      <w:bookmarkEnd w:id="925"/>
      <w:bookmarkStart w:id="926" w:name="_Toc47347738"/>
      <w:bookmarkEnd w:id="926"/>
      <w:bookmarkStart w:id="927" w:name="_Toc47345553"/>
      <w:bookmarkEnd w:id="927"/>
      <w:bookmarkStart w:id="928" w:name="_Toc47443668"/>
      <w:bookmarkEnd w:id="928"/>
      <w:bookmarkStart w:id="929" w:name="_Toc47443678"/>
      <w:bookmarkEnd w:id="929"/>
      <w:bookmarkStart w:id="930" w:name="_Toc47372555"/>
      <w:bookmarkEnd w:id="930"/>
      <w:bookmarkStart w:id="931" w:name="_Toc47366759"/>
      <w:bookmarkEnd w:id="931"/>
      <w:bookmarkStart w:id="932" w:name="_Toc47451746"/>
      <w:bookmarkEnd w:id="932"/>
      <w:bookmarkStart w:id="933" w:name="_Toc47457027"/>
      <w:bookmarkEnd w:id="933"/>
      <w:bookmarkStart w:id="934" w:name="_Toc47451767"/>
      <w:bookmarkEnd w:id="934"/>
      <w:bookmarkStart w:id="935" w:name="_Toc47443688"/>
      <w:bookmarkEnd w:id="935"/>
      <w:bookmarkStart w:id="936" w:name="_Toc47442999"/>
      <w:bookmarkEnd w:id="936"/>
      <w:bookmarkStart w:id="937" w:name="_Toc47347741"/>
      <w:bookmarkEnd w:id="937"/>
      <w:bookmarkStart w:id="938" w:name="_Toc47442996"/>
      <w:bookmarkEnd w:id="938"/>
      <w:bookmarkStart w:id="939" w:name="_Toc47442988"/>
      <w:bookmarkEnd w:id="939"/>
      <w:bookmarkStart w:id="940" w:name="_Toc47452097"/>
      <w:bookmarkEnd w:id="940"/>
      <w:bookmarkStart w:id="941" w:name="_Toc47452086"/>
      <w:bookmarkEnd w:id="941"/>
      <w:bookmarkStart w:id="942" w:name="_Toc47346913"/>
      <w:bookmarkEnd w:id="942"/>
      <w:bookmarkStart w:id="943" w:name="_Toc47443002"/>
      <w:bookmarkEnd w:id="943"/>
      <w:bookmarkStart w:id="944" w:name="_Toc47347759"/>
      <w:bookmarkEnd w:id="944"/>
      <w:bookmarkStart w:id="945" w:name="_Toc46137826"/>
      <w:bookmarkEnd w:id="945"/>
      <w:bookmarkStart w:id="946" w:name="_Toc47347752"/>
      <w:bookmarkEnd w:id="946"/>
      <w:bookmarkStart w:id="947" w:name="_Toc46147885"/>
      <w:bookmarkEnd w:id="947"/>
      <w:bookmarkStart w:id="948" w:name="_Toc47452084"/>
      <w:bookmarkEnd w:id="948"/>
      <w:bookmarkStart w:id="949" w:name="_Toc47451759"/>
      <w:bookmarkEnd w:id="949"/>
      <w:bookmarkStart w:id="950" w:name="_Toc47457031"/>
      <w:bookmarkEnd w:id="950"/>
      <w:bookmarkStart w:id="951" w:name="_Toc47451369"/>
      <w:bookmarkEnd w:id="951"/>
      <w:bookmarkStart w:id="952" w:name="_Toc47346919"/>
      <w:bookmarkEnd w:id="952"/>
      <w:bookmarkStart w:id="953" w:name="_Toc46137829"/>
      <w:bookmarkEnd w:id="953"/>
      <w:bookmarkStart w:id="954" w:name="_Toc46137835"/>
      <w:bookmarkEnd w:id="954"/>
      <w:bookmarkStart w:id="955" w:name="_Toc47366755"/>
      <w:bookmarkEnd w:id="955"/>
      <w:bookmarkStart w:id="956" w:name="_Toc47443099"/>
      <w:bookmarkEnd w:id="956"/>
      <w:bookmarkStart w:id="957" w:name="_Toc47455778"/>
      <w:bookmarkEnd w:id="957"/>
      <w:bookmarkStart w:id="958" w:name="_Toc47443684"/>
      <w:bookmarkEnd w:id="958"/>
      <w:bookmarkStart w:id="959" w:name="_Toc47451478"/>
      <w:bookmarkEnd w:id="959"/>
      <w:bookmarkStart w:id="960" w:name="_Toc2029679141"/>
      <w:bookmarkStart w:id="961" w:name="_Toc151136909"/>
      <w:bookmarkStart w:id="962" w:name="_Toc1777370114"/>
      <w:bookmarkStart w:id="963" w:name="_Toc832098129"/>
      <w:bookmarkStart w:id="964" w:name="_Toc47457047"/>
      <w:bookmarkStart w:id="965" w:name="_Toc644758731"/>
      <w:bookmarkStart w:id="966" w:name="_Toc55318669"/>
      <w:bookmarkStart w:id="967" w:name="_Toc56166088"/>
      <w:bookmarkStart w:id="968" w:name="_Toc46910498"/>
      <w:bookmarkStart w:id="969" w:name="_Toc48742267"/>
      <w:bookmarkStart w:id="970" w:name="_Toc1161214767"/>
      <w:bookmarkStart w:id="971" w:name="_Toc47455790"/>
      <w:bookmarkStart w:id="972" w:name="_Toc56166277"/>
      <w:bookmarkStart w:id="973" w:name="_Toc1554734142"/>
      <w:r>
        <w:rPr>
          <w:rFonts w:hint="eastAsia" w:ascii="仿宋_GB2312" w:eastAsia="仿宋_GB2312"/>
          <w:b/>
          <w:sz w:val="30"/>
          <w:szCs w:val="30"/>
        </w:rPr>
        <w:t>债券做市</w:t>
      </w:r>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p>
    <w:p w14:paraId="3EF69382">
      <w:pPr>
        <w:spacing w:line="600" w:lineRule="exact"/>
        <w:ind w:firstLine="600" w:firstLineChars="200"/>
        <w:rPr>
          <w:rFonts w:ascii="仿宋_GB2312" w:hAnsi="微软雅黑" w:eastAsia="仿宋_GB2312"/>
          <w:sz w:val="30"/>
          <w:szCs w:val="30"/>
        </w:rPr>
      </w:pPr>
      <w:bookmarkStart w:id="974" w:name="_Toc55318670"/>
      <w:bookmarkEnd w:id="974"/>
      <w:bookmarkStart w:id="975" w:name="_Toc55318643"/>
      <w:bookmarkEnd w:id="975"/>
      <w:bookmarkStart w:id="976" w:name="_Toc55318541"/>
      <w:bookmarkEnd w:id="976"/>
      <w:r>
        <w:rPr>
          <w:rFonts w:hint="eastAsia" w:ascii="仿宋_GB2312" w:hAnsi="微软雅黑" w:eastAsia="仿宋_GB2312"/>
          <w:sz w:val="30"/>
          <w:szCs w:val="30"/>
        </w:rPr>
        <w:t>债券做市商，是指依据《上海证券交易所债券交易规则适用指引第3号——债券做市业务》等规定，在本所债券市场为债券持续提供流动性服务，开展债券做市业务的债券交易参与人。</w:t>
      </w:r>
    </w:p>
    <w:p w14:paraId="29E1F3B2">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债券做市品种包括基准做市品种和自选做市品种。</w:t>
      </w:r>
      <w:r>
        <w:rPr>
          <w:rFonts w:hint="eastAsia" w:ascii="仿宋_GB2312" w:eastAsia="仿宋_GB2312"/>
          <w:sz w:val="30"/>
          <w:szCs w:val="30"/>
        </w:rPr>
        <w:t>基准做市品种包括关键期限的利率类债券、符合本所要求的信用类债券以及本所认可的其他品种。</w:t>
      </w:r>
    </w:p>
    <w:p w14:paraId="52DE166E">
      <w:pPr>
        <w:spacing w:line="560" w:lineRule="exact"/>
        <w:ind w:firstLine="600" w:firstLineChars="200"/>
        <w:rPr>
          <w:rFonts w:ascii="仿宋_GB2312" w:eastAsia="仿宋_GB2312"/>
          <w:sz w:val="30"/>
          <w:szCs w:val="30"/>
        </w:rPr>
      </w:pPr>
      <w:r>
        <w:rPr>
          <w:rFonts w:hint="eastAsia" w:ascii="仿宋_GB2312" w:hAnsi="微软雅黑" w:eastAsia="仿宋_GB2312"/>
          <w:sz w:val="30"/>
          <w:szCs w:val="30"/>
        </w:rPr>
        <w:t>债券做市业务，是指做市商在本所债券市场持续报出做市品种的双边买卖价格，对本所债券投资者的询价请求进行回复，</w:t>
      </w:r>
      <w:r>
        <w:rPr>
          <w:rFonts w:hint="eastAsia" w:ascii="仿宋_GB2312" w:eastAsia="仿宋_GB2312"/>
          <w:sz w:val="30"/>
          <w:szCs w:val="30"/>
        </w:rPr>
        <w:t>以及通过本所认可的其他做市方式，为债券提供流动性的行为。</w:t>
      </w:r>
    </w:p>
    <w:p w14:paraId="725B663C">
      <w:pPr>
        <w:spacing w:line="600" w:lineRule="exact"/>
        <w:ind w:firstLine="600" w:firstLineChars="200"/>
        <w:rPr>
          <w:rFonts w:ascii="仿宋_GB2312" w:hAnsi="微软雅黑" w:eastAsia="仿宋_GB2312"/>
          <w:sz w:val="30"/>
          <w:szCs w:val="30"/>
        </w:rPr>
      </w:pPr>
      <w:r>
        <w:rPr>
          <w:rFonts w:hint="eastAsia" w:eastAsia="仿宋_GB2312"/>
          <w:sz w:val="30"/>
          <w:szCs w:val="30"/>
        </w:rPr>
        <w:t>债券做市商应当具备符合要求的技术系统、风险管理和内部控制制度，加强对市场风险、模型风险、存货风险、做市风险、操作风险等业务风险的识别、监测和控制。</w:t>
      </w:r>
    </w:p>
    <w:p w14:paraId="4933BD17">
      <w:pPr>
        <w:numPr>
          <w:ilvl w:val="2"/>
          <w:numId w:val="4"/>
        </w:numPr>
        <w:spacing w:line="600" w:lineRule="exact"/>
        <w:ind w:left="0" w:firstLine="0"/>
        <w:outlineLvl w:val="2"/>
        <w:rPr>
          <w:rFonts w:ascii="仿宋_GB2312" w:eastAsia="仿宋_GB2312"/>
          <w:b/>
          <w:sz w:val="30"/>
          <w:szCs w:val="30"/>
        </w:rPr>
      </w:pPr>
      <w:bookmarkStart w:id="977" w:name="_Toc47457049"/>
      <w:bookmarkStart w:id="978" w:name="_Toc48742269"/>
      <w:bookmarkStart w:id="979" w:name="_Toc55318672"/>
      <w:bookmarkStart w:id="980" w:name="_Toc47455792"/>
      <w:r>
        <w:rPr>
          <w:rFonts w:hint="eastAsia" w:ascii="仿宋_GB2312" w:eastAsia="仿宋_GB2312"/>
          <w:b/>
          <w:sz w:val="30"/>
          <w:szCs w:val="30"/>
        </w:rPr>
        <w:t>债券做市商</w:t>
      </w:r>
      <w:bookmarkEnd w:id="977"/>
      <w:bookmarkEnd w:id="978"/>
      <w:bookmarkEnd w:id="979"/>
      <w:bookmarkEnd w:id="980"/>
      <w:r>
        <w:rPr>
          <w:rFonts w:hint="eastAsia" w:ascii="仿宋_GB2312" w:eastAsia="仿宋_GB2312"/>
          <w:b/>
          <w:sz w:val="30"/>
          <w:szCs w:val="30"/>
        </w:rPr>
        <w:t>分类</w:t>
      </w:r>
    </w:p>
    <w:p w14:paraId="045E8AD1">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本所债券市场的做市商包括主做市商和一般做市商。</w:t>
      </w:r>
    </w:p>
    <w:p w14:paraId="29806318">
      <w:pPr>
        <w:spacing w:line="600" w:lineRule="exact"/>
        <w:ind w:firstLine="600" w:firstLineChars="200"/>
        <w:rPr>
          <w:rFonts w:ascii="仿宋_GB2312" w:eastAsia="仿宋_GB2312"/>
          <w:sz w:val="30"/>
          <w:szCs w:val="30"/>
        </w:rPr>
      </w:pPr>
      <w:r>
        <w:rPr>
          <w:rFonts w:hint="eastAsia" w:ascii="仿宋_GB2312" w:eastAsia="仿宋_GB2312"/>
          <w:sz w:val="30"/>
          <w:szCs w:val="30"/>
        </w:rPr>
        <w:t>主做市商对基准做市品种开展持续做市业务（以下简称基准做市业务）。</w:t>
      </w:r>
    </w:p>
    <w:p w14:paraId="7AC9FAB2">
      <w:pPr>
        <w:spacing w:line="600" w:lineRule="exact"/>
        <w:ind w:firstLine="600" w:firstLineChars="200"/>
        <w:rPr>
          <w:rFonts w:ascii="仿宋_GB2312" w:eastAsia="仿宋_GB2312"/>
          <w:sz w:val="30"/>
          <w:szCs w:val="30"/>
        </w:rPr>
      </w:pPr>
      <w:r>
        <w:rPr>
          <w:rFonts w:hint="eastAsia" w:ascii="仿宋_GB2312" w:eastAsia="仿宋_GB2312"/>
          <w:sz w:val="30"/>
          <w:szCs w:val="30"/>
        </w:rPr>
        <w:t>一般做市商对其自行选定的基准做市品种以外的</w:t>
      </w:r>
      <w:r>
        <w:rPr>
          <w:rFonts w:ascii="仿宋_GB2312" w:eastAsia="仿宋_GB2312"/>
          <w:sz w:val="30"/>
          <w:szCs w:val="30"/>
        </w:rPr>
        <w:t>债券</w:t>
      </w:r>
      <w:r>
        <w:rPr>
          <w:rFonts w:hint="eastAsia" w:ascii="仿宋_GB2312" w:eastAsia="仿宋_GB2312"/>
          <w:sz w:val="30"/>
          <w:szCs w:val="30"/>
        </w:rPr>
        <w:t>做市品种（</w:t>
      </w:r>
      <w:r>
        <w:rPr>
          <w:rFonts w:ascii="仿宋_GB2312" w:eastAsia="仿宋_GB2312"/>
          <w:sz w:val="30"/>
          <w:szCs w:val="30"/>
        </w:rPr>
        <w:t>以下简称自选做市品种）</w:t>
      </w:r>
      <w:r>
        <w:rPr>
          <w:rFonts w:hint="eastAsia" w:ascii="仿宋_GB2312" w:eastAsia="仿宋_GB2312"/>
          <w:sz w:val="30"/>
          <w:szCs w:val="30"/>
        </w:rPr>
        <w:t>在一定时期内面向全市场或者部分债券投资者开展做市业务（以下简称一般做市业务）。</w:t>
      </w:r>
    </w:p>
    <w:p w14:paraId="28370C7D">
      <w:pPr>
        <w:spacing w:line="600" w:lineRule="exact"/>
        <w:ind w:firstLine="600" w:firstLineChars="200"/>
        <w:rPr>
          <w:rFonts w:ascii="仿宋_GB2312" w:eastAsia="仿宋_GB2312"/>
          <w:sz w:val="30"/>
          <w:szCs w:val="30"/>
        </w:rPr>
      </w:pPr>
      <w:r>
        <w:rPr>
          <w:rFonts w:hint="eastAsia" w:ascii="仿宋_GB2312" w:eastAsia="仿宋_GB2312"/>
          <w:sz w:val="30"/>
          <w:szCs w:val="30"/>
        </w:rPr>
        <w:t>主做市商可以参照一般做市业务的要求对自选做市品种开展做市业务。</w:t>
      </w:r>
    </w:p>
    <w:p w14:paraId="763CCFA6">
      <w:pPr>
        <w:spacing w:line="600" w:lineRule="exact"/>
        <w:ind w:firstLine="600" w:firstLineChars="200"/>
        <w:rPr>
          <w:rFonts w:eastAsia="仿宋_GB2312"/>
          <w:szCs w:val="28"/>
        </w:rPr>
      </w:pPr>
      <w:r>
        <w:rPr>
          <w:rFonts w:hint="eastAsia" w:ascii="仿宋_GB2312" w:hAnsi="微软雅黑" w:eastAsia="仿宋_GB2312"/>
          <w:sz w:val="30"/>
          <w:szCs w:val="30"/>
        </w:rPr>
        <w:t>证券公司为债券交易开展做市业务的，应依据相关法律法规申请相应的经营证券业务许可，</w:t>
      </w:r>
      <w:r>
        <w:rPr>
          <w:rFonts w:hint="eastAsia" w:ascii="仿宋_GB2312" w:hAnsi="黑体" w:eastAsia="仿宋_GB2312"/>
          <w:sz w:val="30"/>
          <w:szCs w:val="30"/>
        </w:rPr>
        <w:t>经证监会核准取得做市交易业务资格的，向本所提供相关</w:t>
      </w:r>
      <w:r>
        <w:rPr>
          <w:rFonts w:ascii="仿宋_GB2312" w:hAnsi="黑体" w:eastAsia="仿宋_GB2312"/>
          <w:sz w:val="30"/>
          <w:szCs w:val="30"/>
        </w:rPr>
        <w:t>文件</w:t>
      </w:r>
      <w:r>
        <w:rPr>
          <w:rFonts w:hint="eastAsia" w:ascii="仿宋_GB2312" w:hAnsi="黑体" w:eastAsia="仿宋_GB2312"/>
          <w:sz w:val="30"/>
          <w:szCs w:val="30"/>
        </w:rPr>
        <w:t>，经本所评估后开展债券做市业务。</w:t>
      </w:r>
    </w:p>
    <w:p w14:paraId="46AE5F27">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债券做市商申请</w:t>
      </w:r>
    </w:p>
    <w:p w14:paraId="1E409E9C">
      <w:pPr>
        <w:spacing w:line="600" w:lineRule="exact"/>
        <w:ind w:firstLine="600" w:firstLineChars="200"/>
        <w:rPr>
          <w:rFonts w:eastAsia="仿宋_GB2312"/>
          <w:sz w:val="30"/>
          <w:szCs w:val="30"/>
        </w:rPr>
      </w:pPr>
      <w:r>
        <w:rPr>
          <w:rFonts w:hint="eastAsia" w:ascii="仿宋_GB2312" w:hAnsi="黑体" w:eastAsia="仿宋_GB2312"/>
          <w:sz w:val="30"/>
          <w:szCs w:val="30"/>
        </w:rPr>
        <w:t>债券</w:t>
      </w:r>
      <w:r>
        <w:rPr>
          <w:rFonts w:hint="eastAsia" w:eastAsia="仿宋_GB2312"/>
          <w:sz w:val="30"/>
          <w:szCs w:val="30"/>
        </w:rPr>
        <w:t>做市商须配置专门的做市团队开展做市业务，不得将做市业务外包，或交给第三方机构开展业务。做市商开展做市业务应当设立交易岗、风险控制岗、技术运维岗等岗位，并建立备岗机制。</w:t>
      </w:r>
    </w:p>
    <w:p w14:paraId="4342157E">
      <w:pPr>
        <w:spacing w:line="600" w:lineRule="exact"/>
        <w:ind w:firstLine="601" w:firstLineChars="200"/>
        <w:outlineLvl w:val="3"/>
        <w:rPr>
          <w:rFonts w:ascii="仿宋_GB2312" w:hAnsi="黑体" w:eastAsia="仿宋_GB2312"/>
          <w:b/>
          <w:sz w:val="30"/>
          <w:szCs w:val="30"/>
        </w:rPr>
      </w:pPr>
      <w:r>
        <w:rPr>
          <w:rFonts w:hint="eastAsia" w:ascii="仿宋_GB2312" w:hAnsi="黑体" w:eastAsia="仿宋_GB2312"/>
          <w:b/>
          <w:sz w:val="30"/>
          <w:szCs w:val="30"/>
        </w:rPr>
        <w:t>（</w:t>
      </w:r>
      <w:r>
        <w:rPr>
          <w:rFonts w:ascii="仿宋_GB2312" w:hAnsi="黑体" w:eastAsia="仿宋_GB2312"/>
          <w:b/>
          <w:sz w:val="30"/>
          <w:szCs w:val="30"/>
        </w:rPr>
        <w:t>1）</w:t>
      </w:r>
      <w:r>
        <w:rPr>
          <w:rFonts w:hint="eastAsia" w:ascii="仿宋_GB2312" w:hAnsi="黑体" w:eastAsia="仿宋_GB2312"/>
          <w:b/>
          <w:sz w:val="30"/>
          <w:szCs w:val="30"/>
        </w:rPr>
        <w:t>做市技术验收申请</w:t>
      </w:r>
    </w:p>
    <w:p w14:paraId="7BAEA9BB">
      <w:pPr>
        <w:spacing w:line="54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1）申请材料</w:t>
      </w:r>
    </w:p>
    <w:p w14:paraId="5A93AC24">
      <w:pPr>
        <w:spacing w:line="540" w:lineRule="exact"/>
        <w:ind w:firstLine="600" w:firstLineChars="200"/>
        <w:rPr>
          <w:rFonts w:ascii="仿宋_GB2312" w:eastAsia="仿宋_GB2312"/>
          <w:sz w:val="30"/>
          <w:szCs w:val="30"/>
        </w:rPr>
      </w:pPr>
      <w:r>
        <w:rPr>
          <w:rFonts w:hint="eastAsia" w:ascii="仿宋_GB2312" w:hAnsi="宋体" w:eastAsia="仿宋_GB2312" w:cs="宋体"/>
          <w:sz w:val="30"/>
          <w:szCs w:val="30"/>
        </w:rPr>
        <w:t>拟成为本所债券</w:t>
      </w:r>
      <w:r>
        <w:rPr>
          <w:rFonts w:hint="eastAsia" w:ascii="仿宋_GB2312" w:eastAsia="仿宋_GB2312"/>
          <w:sz w:val="30"/>
          <w:szCs w:val="30"/>
        </w:rPr>
        <w:t>做市商的债券交易参与人，</w:t>
      </w:r>
      <w:r>
        <w:rPr>
          <w:rFonts w:hint="eastAsia" w:ascii="仿宋_GB2312" w:hAnsi="黑体" w:eastAsia="仿宋_GB2312"/>
          <w:sz w:val="30"/>
          <w:szCs w:val="30"/>
        </w:rPr>
        <w:t>应向本所申请债券做市交易业务相关检查和测试，提交以下申请材料：</w:t>
      </w:r>
    </w:p>
    <w:p w14:paraId="7B2A90E1">
      <w:pPr>
        <w:spacing w:line="540" w:lineRule="exact"/>
        <w:ind w:firstLine="600" w:firstLineChars="200"/>
        <w:rPr>
          <w:rFonts w:ascii="仿宋_GB2312" w:eastAsia="仿宋_GB2312"/>
          <w:sz w:val="30"/>
          <w:szCs w:val="30"/>
        </w:rPr>
      </w:pPr>
      <w:r>
        <w:rPr>
          <w:rFonts w:hint="eastAsia" w:ascii="仿宋_GB2312" w:eastAsia="仿宋_GB2312"/>
          <w:sz w:val="30"/>
          <w:szCs w:val="30"/>
        </w:rPr>
        <w:t>1.做市交易业务技术测试和专项检查申请书（附件7）；</w:t>
      </w:r>
    </w:p>
    <w:p w14:paraId="7BD8AEBF">
      <w:pPr>
        <w:spacing w:line="540" w:lineRule="exact"/>
        <w:ind w:firstLine="600" w:firstLineChars="200"/>
        <w:rPr>
          <w:rFonts w:ascii="仿宋_GB2312" w:eastAsia="仿宋_GB2312"/>
          <w:sz w:val="30"/>
          <w:szCs w:val="30"/>
        </w:rPr>
      </w:pPr>
      <w:r>
        <w:rPr>
          <w:rFonts w:hint="eastAsia" w:ascii="仿宋_GB2312" w:eastAsia="仿宋_GB2312"/>
          <w:sz w:val="30"/>
          <w:szCs w:val="30"/>
        </w:rPr>
        <w:t>2.债券做市交易业务实施方案、风险控制制度、相关内部管理制度、应急风险处置制度（做市交易业务实施方案、管理制度与应急风险处置制度必备要点参考见附件8）；</w:t>
      </w:r>
    </w:p>
    <w:p w14:paraId="54284ED7">
      <w:pPr>
        <w:spacing w:line="540" w:lineRule="exact"/>
        <w:ind w:firstLine="600" w:firstLineChars="200"/>
        <w:rPr>
          <w:rFonts w:ascii="仿宋_GB2312" w:eastAsia="仿宋_GB2312"/>
          <w:sz w:val="30"/>
          <w:szCs w:val="30"/>
        </w:rPr>
      </w:pPr>
      <w:r>
        <w:rPr>
          <w:rFonts w:hint="eastAsia" w:ascii="仿宋_GB2312" w:eastAsia="仿宋_GB2312"/>
          <w:sz w:val="30"/>
          <w:szCs w:val="30"/>
        </w:rPr>
        <w:t>3.债券做市交易业务的部门、岗位设置、人员情况说明（做市交易业务人员情况表见附件9）；</w:t>
      </w:r>
    </w:p>
    <w:p w14:paraId="5C36AA43">
      <w:pPr>
        <w:spacing w:line="540" w:lineRule="exact"/>
        <w:ind w:firstLine="600" w:firstLineChars="200"/>
        <w:rPr>
          <w:rFonts w:ascii="仿宋_GB2312" w:eastAsia="仿宋_GB2312"/>
          <w:sz w:val="30"/>
          <w:szCs w:val="30"/>
        </w:rPr>
      </w:pPr>
      <w:r>
        <w:rPr>
          <w:rFonts w:hint="eastAsia" w:ascii="仿宋_GB2312" w:eastAsia="仿宋_GB2312"/>
          <w:sz w:val="30"/>
          <w:szCs w:val="30"/>
        </w:rPr>
        <w:t>4.开展债券做市交易业务的技术系统准备情况说明；</w:t>
      </w:r>
    </w:p>
    <w:p w14:paraId="2CD95971">
      <w:pPr>
        <w:spacing w:line="540" w:lineRule="exact"/>
        <w:ind w:firstLine="600" w:firstLineChars="200"/>
        <w:rPr>
          <w:rFonts w:ascii="仿宋_GB2312" w:eastAsia="仿宋_GB2312"/>
          <w:sz w:val="30"/>
          <w:szCs w:val="30"/>
        </w:rPr>
      </w:pPr>
      <w:r>
        <w:rPr>
          <w:rFonts w:hint="eastAsia" w:ascii="仿宋_GB2312" w:eastAsia="仿宋_GB2312"/>
          <w:sz w:val="30"/>
          <w:szCs w:val="30"/>
        </w:rPr>
        <w:t>5.本所规定的其他材料。</w:t>
      </w:r>
    </w:p>
    <w:p w14:paraId="252404CD">
      <w:pPr>
        <w:spacing w:line="600" w:lineRule="exact"/>
        <w:ind w:firstLine="600" w:firstLineChars="200"/>
        <w:rPr>
          <w:rFonts w:ascii="仿宋_GB2312" w:hAnsi="黑体" w:eastAsia="仿宋_GB2312"/>
          <w:sz w:val="30"/>
          <w:szCs w:val="30"/>
        </w:rPr>
      </w:pPr>
      <w:r>
        <w:rPr>
          <w:rFonts w:hint="eastAsia" w:ascii="仿宋_GB2312" w:hAnsi="黑体" w:eastAsia="仿宋_GB2312"/>
          <w:sz w:val="30"/>
          <w:szCs w:val="30"/>
        </w:rPr>
        <w:t>申请机构需向本所提交电子版申请材料，材料发送至本所债券做市业务材料报备邮箱</w:t>
      </w:r>
      <w:r>
        <w:rPr>
          <w:rFonts w:hint="eastAsia" w:ascii="仿宋_GB2312" w:eastAsia="仿宋_GB2312"/>
          <w:sz w:val="30"/>
          <w:szCs w:val="30"/>
        </w:rPr>
        <w:t>bondtr</w:t>
      </w:r>
      <w:r>
        <w:rPr>
          <w:rFonts w:ascii="仿宋_GB2312" w:eastAsia="仿宋_GB2312"/>
          <w:sz w:val="30"/>
          <w:szCs w:val="30"/>
        </w:rPr>
        <w:t>ading@sse.com.cn</w:t>
      </w:r>
      <w:r>
        <w:rPr>
          <w:rFonts w:hint="eastAsia" w:ascii="仿宋_GB2312" w:hAnsi="黑体" w:eastAsia="仿宋_GB2312"/>
          <w:sz w:val="30"/>
          <w:szCs w:val="30"/>
        </w:rPr>
        <w:t>，或以本所认可的其他方式提交。材料1需加盖单位公章，并做出如下承诺：申请人提交的申请材料内容真实、准确、完整，如存在虚假记载、误导性陈述或重大遗漏，将承担相关法律责任。</w:t>
      </w:r>
    </w:p>
    <w:p w14:paraId="772A06D0">
      <w:pPr>
        <w:spacing w:line="600" w:lineRule="exact"/>
        <w:ind w:firstLine="600" w:firstLineChars="200"/>
        <w:rPr>
          <w:rFonts w:ascii="仿宋_GB2312" w:hAnsi="黑体" w:eastAsia="仿宋_GB2312"/>
          <w:sz w:val="30"/>
          <w:szCs w:val="30"/>
        </w:rPr>
      </w:pPr>
      <w:r>
        <w:rPr>
          <w:rFonts w:hint="eastAsia" w:ascii="仿宋_GB2312" w:hAnsi="黑体" w:eastAsia="仿宋_GB2312"/>
          <w:sz w:val="30"/>
          <w:szCs w:val="30"/>
        </w:rPr>
        <w:t>2）申请环节</w:t>
      </w:r>
    </w:p>
    <w:p w14:paraId="40D21D57">
      <w:pPr>
        <w:spacing w:line="600" w:lineRule="exact"/>
        <w:ind w:firstLine="600" w:firstLineChars="200"/>
        <w:rPr>
          <w:rFonts w:ascii="仿宋_GB2312" w:eastAsia="仿宋_GB2312"/>
          <w:sz w:val="30"/>
          <w:szCs w:val="30"/>
        </w:rPr>
      </w:pPr>
      <w:r>
        <w:rPr>
          <w:rFonts w:hint="eastAsia" w:ascii="仿宋_GB2312" w:hAnsi="黑体" w:eastAsia="仿宋_GB2312"/>
          <w:sz w:val="30"/>
          <w:szCs w:val="30"/>
        </w:rPr>
        <w:t>本所依据相关规则与做市交易业务检查工作底稿，对申请机构进行检查并开展</w:t>
      </w:r>
      <w:r>
        <w:rPr>
          <w:rFonts w:ascii="仿宋_GB2312" w:hAnsi="黑体" w:eastAsia="仿宋_GB2312"/>
          <w:sz w:val="30"/>
          <w:szCs w:val="30"/>
        </w:rPr>
        <w:t>技术</w:t>
      </w:r>
      <w:r>
        <w:rPr>
          <w:rFonts w:hint="eastAsia" w:ascii="仿宋_GB2312" w:hAnsi="黑体" w:eastAsia="仿宋_GB2312"/>
          <w:sz w:val="30"/>
          <w:szCs w:val="30"/>
        </w:rPr>
        <w:t>测试，</w:t>
      </w:r>
      <w:r>
        <w:rPr>
          <w:rFonts w:hint="eastAsia" w:ascii="仿宋_GB2312" w:eastAsia="仿宋_GB2312"/>
          <w:sz w:val="30"/>
          <w:szCs w:val="30"/>
        </w:rPr>
        <w:t>专项检查重点内容包括做市业务相关制度流程、组织架构、交易管理、风控合规、技术系统等（检查要点详见附件10）。本所将于技术测试和检查完成后10个交易日内做出结果反馈。如本所在验收时发现申请机构在业务方案、制度流程、风险控制、技术准备等方面存在不足，申请机构应按照本所的要求进行完善并补充材料，补充完善后如符合要求,本所于10个交易日内发送通过技术测试和检查结果通知。</w:t>
      </w:r>
    </w:p>
    <w:p w14:paraId="2ED67382">
      <w:pPr>
        <w:spacing w:line="600" w:lineRule="exact"/>
        <w:ind w:firstLine="601" w:firstLineChars="200"/>
        <w:outlineLvl w:val="3"/>
        <w:rPr>
          <w:rFonts w:ascii="仿宋_GB2312" w:hAnsi="黑体" w:eastAsia="仿宋_GB2312"/>
          <w:b/>
          <w:sz w:val="30"/>
          <w:szCs w:val="30"/>
        </w:rPr>
      </w:pPr>
      <w:r>
        <w:rPr>
          <w:rFonts w:hint="eastAsia" w:ascii="仿宋_GB2312" w:hAnsi="黑体" w:eastAsia="仿宋_GB2312"/>
          <w:b/>
          <w:sz w:val="30"/>
          <w:szCs w:val="30"/>
        </w:rPr>
        <w:t>（</w:t>
      </w:r>
      <w:r>
        <w:rPr>
          <w:rFonts w:ascii="仿宋_GB2312" w:hAnsi="黑体" w:eastAsia="仿宋_GB2312"/>
          <w:b/>
          <w:sz w:val="30"/>
          <w:szCs w:val="30"/>
        </w:rPr>
        <w:t>2</w:t>
      </w:r>
      <w:r>
        <w:rPr>
          <w:rFonts w:hint="eastAsia" w:ascii="仿宋_GB2312" w:hAnsi="黑体" w:eastAsia="仿宋_GB2312"/>
          <w:b/>
          <w:sz w:val="30"/>
          <w:szCs w:val="30"/>
        </w:rPr>
        <w:t xml:space="preserve">）主做市商 </w:t>
      </w:r>
    </w:p>
    <w:p w14:paraId="0ECF10B2">
      <w:pPr>
        <w:spacing w:line="600" w:lineRule="exact"/>
        <w:ind w:firstLine="564" w:firstLineChars="188"/>
        <w:rPr>
          <w:rFonts w:ascii="仿宋_GB2312" w:hAnsi="微软雅黑" w:eastAsia="仿宋_GB2312"/>
          <w:sz w:val="30"/>
          <w:szCs w:val="30"/>
        </w:rPr>
      </w:pPr>
      <w:r>
        <w:rPr>
          <w:rFonts w:hint="eastAsia" w:ascii="仿宋_GB2312" w:hAnsi="微软雅黑" w:eastAsia="仿宋_GB2312"/>
          <w:sz w:val="30"/>
          <w:szCs w:val="30"/>
        </w:rPr>
        <w:t>符合下列条件的债券交易参与人可以成为主做市商：</w:t>
      </w:r>
    </w:p>
    <w:p w14:paraId="54289DBB">
      <w:pPr>
        <w:pStyle w:val="92"/>
        <w:widowControl w:val="0"/>
        <w:numPr>
          <w:ilvl w:val="0"/>
          <w:numId w:val="15"/>
        </w:numPr>
        <w:spacing w:line="600" w:lineRule="exact"/>
        <w:ind w:left="0" w:firstLine="601"/>
        <w:jc w:val="both"/>
        <w:rPr>
          <w:rFonts w:ascii="仿宋_GB2312" w:hAnsi="微软雅黑" w:eastAsia="仿宋_GB2312"/>
          <w:sz w:val="30"/>
          <w:szCs w:val="30"/>
          <w:lang w:eastAsia="zh-CN"/>
        </w:rPr>
      </w:pPr>
      <w:r>
        <w:rPr>
          <w:rFonts w:hint="eastAsia" w:ascii="仿宋_GB2312" w:hAnsi="微软雅黑" w:eastAsia="仿宋_GB2312"/>
          <w:sz w:val="30"/>
          <w:szCs w:val="30"/>
          <w:lang w:eastAsia="zh-CN"/>
        </w:rPr>
        <w:t>市场交易活跃，近2年债券交易量排名靠前；</w:t>
      </w:r>
    </w:p>
    <w:p w14:paraId="52DFB4F3">
      <w:pPr>
        <w:pStyle w:val="92"/>
        <w:widowControl w:val="0"/>
        <w:numPr>
          <w:ilvl w:val="0"/>
          <w:numId w:val="15"/>
        </w:numPr>
        <w:spacing w:line="600" w:lineRule="exact"/>
        <w:ind w:left="0" w:firstLine="601"/>
        <w:jc w:val="both"/>
        <w:rPr>
          <w:rFonts w:ascii="仿宋_GB2312" w:hAnsi="微软雅黑" w:eastAsia="仿宋_GB2312"/>
          <w:sz w:val="30"/>
          <w:szCs w:val="30"/>
          <w:lang w:eastAsia="zh-CN"/>
        </w:rPr>
      </w:pPr>
      <w:r>
        <w:rPr>
          <w:rFonts w:hint="eastAsia" w:ascii="仿宋_GB2312" w:hAnsi="微软雅黑" w:eastAsia="仿宋_GB2312"/>
          <w:sz w:val="30"/>
          <w:szCs w:val="30"/>
          <w:lang w:eastAsia="zh-CN"/>
        </w:rPr>
        <w:t>具有专业的做市团队和较强的做市能力；</w:t>
      </w:r>
    </w:p>
    <w:p w14:paraId="5FAFC7CD">
      <w:pPr>
        <w:pStyle w:val="92"/>
        <w:widowControl w:val="0"/>
        <w:numPr>
          <w:ilvl w:val="0"/>
          <w:numId w:val="15"/>
        </w:numPr>
        <w:spacing w:line="600" w:lineRule="exact"/>
        <w:ind w:left="0" w:firstLine="601"/>
        <w:jc w:val="both"/>
        <w:rPr>
          <w:rFonts w:ascii="仿宋_GB2312" w:hAnsi="微软雅黑" w:eastAsia="仿宋_GB2312"/>
          <w:sz w:val="30"/>
          <w:szCs w:val="30"/>
          <w:lang w:eastAsia="zh-CN"/>
        </w:rPr>
      </w:pPr>
      <w:r>
        <w:rPr>
          <w:rFonts w:hint="eastAsia" w:ascii="仿宋_GB2312" w:hAnsi="微软雅黑" w:eastAsia="仿宋_GB2312"/>
          <w:sz w:val="30"/>
          <w:szCs w:val="30"/>
          <w:lang w:eastAsia="zh-CN"/>
        </w:rPr>
        <w:t>本所规定的其他条件。</w:t>
      </w:r>
    </w:p>
    <w:p w14:paraId="7AED3667">
      <w:pPr>
        <w:spacing w:line="600" w:lineRule="exact"/>
        <w:ind w:firstLine="600" w:firstLineChars="200"/>
        <w:rPr>
          <w:rFonts w:ascii="仿宋_GB2312" w:hAnsi="微软雅黑" w:eastAsia="仿宋_GB2312"/>
          <w:sz w:val="30"/>
          <w:szCs w:val="30"/>
        </w:rPr>
      </w:pPr>
      <w:r>
        <w:rPr>
          <w:rFonts w:hint="eastAsia" w:ascii="仿宋_GB2312" w:eastAsia="仿宋_GB2312"/>
          <w:sz w:val="30"/>
          <w:szCs w:val="30"/>
        </w:rPr>
        <w:t>拟开展基准做市业务的债券交易参与人，应在通过债券做市测试与检查后，向本所提交开展债券基准做市业务方案</w:t>
      </w:r>
      <w:r>
        <w:rPr>
          <w:rFonts w:hint="eastAsia" w:ascii="仿宋_GB2312" w:hAnsi="微软雅黑" w:eastAsia="仿宋_GB2312"/>
          <w:sz w:val="30"/>
          <w:szCs w:val="30"/>
        </w:rPr>
        <w:t>（以下简称基准做市方案）。</w:t>
      </w:r>
    </w:p>
    <w:p w14:paraId="6630D03D">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债券基准做市业务方案中应当包含以下内容（附件</w:t>
      </w:r>
      <w:r>
        <w:rPr>
          <w:rFonts w:ascii="仿宋_GB2312" w:hAnsi="微软雅黑" w:eastAsia="仿宋_GB2312"/>
          <w:sz w:val="30"/>
          <w:szCs w:val="30"/>
        </w:rPr>
        <w:t>1</w:t>
      </w:r>
      <w:r>
        <w:rPr>
          <w:rFonts w:hint="eastAsia" w:ascii="仿宋_GB2312" w:hAnsi="微软雅黑" w:eastAsia="仿宋_GB2312"/>
          <w:sz w:val="30"/>
          <w:szCs w:val="30"/>
        </w:rPr>
        <w:t>1）：</w:t>
      </w:r>
    </w:p>
    <w:p w14:paraId="42E9547E">
      <w:pPr>
        <w:pStyle w:val="92"/>
        <w:widowControl w:val="0"/>
        <w:numPr>
          <w:ilvl w:val="0"/>
          <w:numId w:val="16"/>
        </w:numPr>
        <w:spacing w:line="600" w:lineRule="exact"/>
        <w:ind w:left="0" w:firstLine="601"/>
        <w:jc w:val="both"/>
        <w:rPr>
          <w:rFonts w:ascii="仿宋_GB2312" w:hAnsi="微软雅黑" w:eastAsia="仿宋_GB2312"/>
          <w:sz w:val="30"/>
          <w:szCs w:val="30"/>
          <w:lang w:eastAsia="zh-CN"/>
        </w:rPr>
      </w:pPr>
      <w:r>
        <w:rPr>
          <w:rFonts w:hint="eastAsia" w:ascii="仿宋_GB2312" w:hAnsi="微软雅黑" w:eastAsia="仿宋_GB2312"/>
          <w:sz w:val="30"/>
          <w:szCs w:val="30"/>
          <w:lang w:eastAsia="zh-CN"/>
        </w:rPr>
        <w:t>机构基本情况；</w:t>
      </w:r>
    </w:p>
    <w:p w14:paraId="7A6EAB8C">
      <w:pPr>
        <w:pStyle w:val="92"/>
        <w:widowControl w:val="0"/>
        <w:numPr>
          <w:ilvl w:val="0"/>
          <w:numId w:val="16"/>
        </w:numPr>
        <w:spacing w:line="600" w:lineRule="exact"/>
        <w:ind w:left="0" w:firstLine="601"/>
        <w:jc w:val="both"/>
        <w:rPr>
          <w:rFonts w:ascii="仿宋_GB2312" w:hAnsi="微软雅黑" w:eastAsia="仿宋_GB2312"/>
          <w:sz w:val="30"/>
          <w:szCs w:val="30"/>
          <w:lang w:eastAsia="zh-CN"/>
        </w:rPr>
      </w:pPr>
      <w:r>
        <w:rPr>
          <w:rFonts w:hint="eastAsia" w:ascii="仿宋_GB2312" w:hAnsi="微软雅黑" w:eastAsia="仿宋_GB2312"/>
          <w:sz w:val="30"/>
          <w:szCs w:val="30"/>
          <w:lang w:eastAsia="zh-CN"/>
        </w:rPr>
        <w:t>近2年债券投资交易情况；</w:t>
      </w:r>
    </w:p>
    <w:p w14:paraId="6B5F81DD">
      <w:pPr>
        <w:pStyle w:val="92"/>
        <w:widowControl w:val="0"/>
        <w:numPr>
          <w:ilvl w:val="0"/>
          <w:numId w:val="16"/>
        </w:numPr>
        <w:spacing w:line="600" w:lineRule="exact"/>
        <w:ind w:left="0" w:firstLine="601"/>
        <w:jc w:val="both"/>
        <w:rPr>
          <w:rFonts w:ascii="仿宋_GB2312" w:hAnsi="微软雅黑" w:eastAsia="仿宋_GB2312"/>
          <w:sz w:val="30"/>
          <w:szCs w:val="30"/>
          <w:lang w:eastAsia="zh-CN"/>
        </w:rPr>
      </w:pPr>
      <w:r>
        <w:rPr>
          <w:rFonts w:hint="eastAsia" w:ascii="仿宋_GB2312" w:hAnsi="微软雅黑" w:eastAsia="仿宋_GB2312"/>
          <w:sz w:val="30"/>
          <w:szCs w:val="30"/>
          <w:lang w:eastAsia="zh-CN"/>
        </w:rPr>
        <w:t>做市相关部门设置、</w:t>
      </w:r>
      <w:r>
        <w:rPr>
          <w:rFonts w:ascii="仿宋_GB2312" w:hAnsi="微软雅黑" w:eastAsia="仿宋_GB2312"/>
          <w:sz w:val="30"/>
          <w:szCs w:val="30"/>
          <w:lang w:eastAsia="zh-CN"/>
        </w:rPr>
        <w:t>内部控制制度</w:t>
      </w:r>
      <w:r>
        <w:rPr>
          <w:rFonts w:hint="eastAsia" w:ascii="仿宋_GB2312" w:hAnsi="微软雅黑" w:eastAsia="仿宋_GB2312"/>
          <w:sz w:val="30"/>
          <w:szCs w:val="30"/>
          <w:lang w:eastAsia="zh-CN"/>
        </w:rPr>
        <w:t>、</w:t>
      </w:r>
      <w:r>
        <w:rPr>
          <w:rFonts w:ascii="仿宋_GB2312" w:hAnsi="微软雅黑" w:eastAsia="仿宋_GB2312"/>
          <w:sz w:val="30"/>
          <w:szCs w:val="30"/>
          <w:lang w:eastAsia="zh-CN"/>
        </w:rPr>
        <w:t>技术系统准备情况</w:t>
      </w:r>
      <w:r>
        <w:rPr>
          <w:rFonts w:hint="eastAsia" w:ascii="仿宋_GB2312" w:hAnsi="微软雅黑" w:eastAsia="仿宋_GB2312"/>
          <w:sz w:val="30"/>
          <w:szCs w:val="30"/>
          <w:lang w:eastAsia="zh-CN"/>
        </w:rPr>
        <w:t>及业务人员配备情况；</w:t>
      </w:r>
    </w:p>
    <w:p w14:paraId="337E78CA">
      <w:pPr>
        <w:pStyle w:val="92"/>
        <w:widowControl w:val="0"/>
        <w:numPr>
          <w:ilvl w:val="0"/>
          <w:numId w:val="16"/>
        </w:numPr>
        <w:spacing w:line="600" w:lineRule="exact"/>
        <w:ind w:left="0" w:firstLine="601"/>
        <w:jc w:val="both"/>
        <w:rPr>
          <w:rFonts w:ascii="仿宋_GB2312" w:hAnsi="微软雅黑" w:eastAsia="仿宋_GB2312"/>
          <w:sz w:val="30"/>
          <w:szCs w:val="30"/>
          <w:lang w:eastAsia="zh-CN"/>
        </w:rPr>
      </w:pPr>
      <w:r>
        <w:rPr>
          <w:rFonts w:hint="eastAsia" w:ascii="仿宋_GB2312" w:hAnsi="微软雅黑" w:eastAsia="仿宋_GB2312"/>
          <w:sz w:val="30"/>
          <w:szCs w:val="30"/>
          <w:lang w:eastAsia="zh-CN"/>
        </w:rPr>
        <w:t>拟做市品种、做市证券账户安排；</w:t>
      </w:r>
    </w:p>
    <w:p w14:paraId="734C0543">
      <w:pPr>
        <w:pStyle w:val="92"/>
        <w:widowControl w:val="0"/>
        <w:numPr>
          <w:ilvl w:val="0"/>
          <w:numId w:val="16"/>
        </w:numPr>
        <w:spacing w:line="600" w:lineRule="exact"/>
        <w:ind w:left="0" w:firstLine="601"/>
        <w:jc w:val="both"/>
        <w:rPr>
          <w:rFonts w:ascii="仿宋_GB2312" w:hAnsi="微软雅黑" w:eastAsia="仿宋_GB2312"/>
          <w:sz w:val="30"/>
          <w:szCs w:val="30"/>
          <w:lang w:eastAsia="zh-CN"/>
        </w:rPr>
      </w:pPr>
      <w:r>
        <w:rPr>
          <w:rFonts w:hint="eastAsia" w:ascii="仿宋_GB2312" w:hAnsi="微软雅黑" w:eastAsia="仿宋_GB2312"/>
          <w:sz w:val="30"/>
          <w:szCs w:val="30"/>
          <w:lang w:eastAsia="zh-CN"/>
        </w:rPr>
        <w:t>做市相关风险控制安排、</w:t>
      </w:r>
      <w:r>
        <w:rPr>
          <w:rFonts w:ascii="仿宋_GB2312" w:hAnsi="微软雅黑" w:eastAsia="仿宋_GB2312"/>
          <w:sz w:val="30"/>
          <w:szCs w:val="30"/>
          <w:lang w:eastAsia="zh-CN"/>
        </w:rPr>
        <w:t>系统应急预案</w:t>
      </w:r>
      <w:r>
        <w:rPr>
          <w:rFonts w:hint="eastAsia" w:ascii="仿宋_GB2312" w:hAnsi="微软雅黑" w:eastAsia="仿宋_GB2312"/>
          <w:sz w:val="30"/>
          <w:szCs w:val="30"/>
          <w:lang w:eastAsia="zh-CN"/>
        </w:rPr>
        <w:t xml:space="preserve">； </w:t>
      </w:r>
    </w:p>
    <w:p w14:paraId="119B3743">
      <w:pPr>
        <w:pStyle w:val="92"/>
        <w:widowControl w:val="0"/>
        <w:numPr>
          <w:ilvl w:val="0"/>
          <w:numId w:val="16"/>
        </w:numPr>
        <w:spacing w:line="600" w:lineRule="exact"/>
        <w:ind w:left="0" w:firstLine="601"/>
        <w:jc w:val="both"/>
        <w:rPr>
          <w:rFonts w:ascii="仿宋_GB2312" w:hAnsi="微软雅黑" w:eastAsia="仿宋_GB2312"/>
          <w:sz w:val="30"/>
          <w:szCs w:val="30"/>
          <w:lang w:eastAsia="zh-CN"/>
        </w:rPr>
      </w:pPr>
      <w:r>
        <w:rPr>
          <w:rFonts w:hint="eastAsia" w:ascii="仿宋_GB2312" w:hAnsi="微软雅黑" w:eastAsia="仿宋_GB2312"/>
          <w:sz w:val="30"/>
          <w:szCs w:val="30"/>
          <w:lang w:eastAsia="zh-CN"/>
        </w:rPr>
        <w:t>本所要求说明的其他情况。</w:t>
      </w:r>
    </w:p>
    <w:p w14:paraId="4BCE0A30">
      <w:pPr>
        <w:spacing w:line="600" w:lineRule="exact"/>
        <w:ind w:firstLine="600" w:firstLineChars="200"/>
        <w:rPr>
          <w:rFonts w:ascii="仿宋_GB2312" w:eastAsia="仿宋_GB2312"/>
          <w:sz w:val="30"/>
          <w:szCs w:val="30"/>
        </w:rPr>
      </w:pPr>
      <w:r>
        <w:rPr>
          <w:rFonts w:hint="eastAsia" w:ascii="仿宋_GB2312" w:hAnsi="微软雅黑" w:eastAsia="仿宋_GB2312"/>
          <w:sz w:val="30"/>
          <w:szCs w:val="30"/>
        </w:rPr>
        <w:t>申请人应当通过“上交所业务管理系统平台交易参与人模块-债券做市业务”</w:t>
      </w:r>
      <w:r>
        <w:rPr>
          <w:rFonts w:ascii="仿宋_GB2312" w:hAnsi="微软雅黑" w:eastAsia="仿宋_GB2312"/>
          <w:sz w:val="30"/>
          <w:szCs w:val="30"/>
        </w:rPr>
        <w:t>（以下简称</w:t>
      </w:r>
      <w:r>
        <w:rPr>
          <w:rFonts w:hint="eastAsia" w:ascii="仿宋_GB2312" w:hAnsi="微软雅黑" w:eastAsia="仿宋_GB2312"/>
          <w:sz w:val="30"/>
          <w:szCs w:val="30"/>
        </w:rPr>
        <w:t>“业管系统平台交易参与人模块”</w:t>
      </w:r>
      <w:r>
        <w:rPr>
          <w:rFonts w:ascii="仿宋_GB2312" w:hAnsi="微软雅黑" w:eastAsia="仿宋_GB2312"/>
          <w:sz w:val="30"/>
          <w:szCs w:val="30"/>
        </w:rPr>
        <w:t>）</w:t>
      </w:r>
      <w:r>
        <w:rPr>
          <w:rFonts w:hint="eastAsia" w:ascii="仿宋_GB2312" w:hAnsi="微软雅黑" w:eastAsia="仿宋_GB2312"/>
          <w:sz w:val="30"/>
          <w:szCs w:val="30"/>
        </w:rPr>
        <w:t>提交材料，</w:t>
      </w:r>
      <w:r>
        <w:rPr>
          <w:rFonts w:hint="eastAsia" w:ascii="仿宋_GB2312" w:hAnsi="Calibri" w:eastAsia="仿宋_GB2312"/>
          <w:sz w:val="30"/>
          <w:szCs w:val="30"/>
        </w:rPr>
        <w:t>并做出如下承诺：申请材料的内容真实、准确、完整，如申请材料存在虚假记载、误导性陈述和重大遗漏，将承担全部法律责任。</w:t>
      </w:r>
      <w:r>
        <w:rPr>
          <w:rFonts w:hint="eastAsia" w:ascii="仿宋_GB2312" w:hAnsi="微软雅黑" w:eastAsia="仿宋_GB2312"/>
          <w:sz w:val="30"/>
          <w:szCs w:val="30"/>
        </w:rPr>
        <w:t>申请人上传材料的电子件及</w:t>
      </w:r>
      <w:r>
        <w:rPr>
          <w:rFonts w:ascii="仿宋_GB2312" w:hAnsi="微软雅黑" w:eastAsia="仿宋_GB2312"/>
          <w:sz w:val="30"/>
          <w:szCs w:val="30"/>
        </w:rPr>
        <w:t>PDF格式彩色扫描件</w:t>
      </w:r>
      <w:r>
        <w:rPr>
          <w:rFonts w:hint="eastAsia" w:ascii="仿宋_GB2312" w:hAnsi="微软雅黑" w:eastAsia="仿宋_GB2312"/>
          <w:sz w:val="30"/>
          <w:szCs w:val="30"/>
        </w:rPr>
        <w:t>，</w:t>
      </w:r>
      <w:r>
        <w:rPr>
          <w:rFonts w:ascii="仿宋_GB2312" w:hAnsi="微软雅黑" w:eastAsia="仿宋_GB2312"/>
          <w:sz w:val="30"/>
          <w:szCs w:val="30"/>
        </w:rPr>
        <w:t>材料均需加盖机构公章。</w:t>
      </w:r>
      <w:r>
        <w:rPr>
          <w:rFonts w:hint="eastAsia" w:ascii="仿宋_GB2312" w:eastAsia="仿宋_GB2312"/>
          <w:sz w:val="30"/>
          <w:szCs w:val="30"/>
        </w:rPr>
        <w:t>本所自收到基准做市方案之日起5个交易日以内进行评估并通知申请人。</w:t>
      </w:r>
    </w:p>
    <w:p w14:paraId="33A1A5E5">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本所对主做市商的受理持续开放，满足条件的债券交易参与人可以随时提交材料。</w:t>
      </w:r>
    </w:p>
    <w:p w14:paraId="2B538454">
      <w:pPr>
        <w:spacing w:line="600" w:lineRule="exact"/>
        <w:ind w:firstLine="601" w:firstLineChars="200"/>
        <w:outlineLvl w:val="3"/>
        <w:rPr>
          <w:rFonts w:ascii="仿宋_GB2312" w:hAnsi="黑体" w:eastAsia="仿宋_GB2312"/>
          <w:b/>
          <w:sz w:val="30"/>
          <w:szCs w:val="30"/>
        </w:rPr>
      </w:pPr>
      <w:r>
        <w:rPr>
          <w:rFonts w:hint="eastAsia" w:ascii="仿宋_GB2312" w:hAnsi="黑体" w:eastAsia="仿宋_GB2312"/>
          <w:b/>
          <w:sz w:val="30"/>
          <w:szCs w:val="30"/>
        </w:rPr>
        <w:t>（</w:t>
      </w:r>
      <w:r>
        <w:rPr>
          <w:rFonts w:ascii="仿宋_GB2312" w:hAnsi="黑体" w:eastAsia="仿宋_GB2312"/>
          <w:b/>
          <w:sz w:val="30"/>
          <w:szCs w:val="30"/>
        </w:rPr>
        <w:t>3</w:t>
      </w:r>
      <w:r>
        <w:rPr>
          <w:rFonts w:hint="eastAsia" w:ascii="仿宋_GB2312" w:hAnsi="黑体" w:eastAsia="仿宋_GB2312"/>
          <w:b/>
          <w:sz w:val="30"/>
          <w:szCs w:val="30"/>
        </w:rPr>
        <w:t>）一般做市商</w:t>
      </w:r>
    </w:p>
    <w:p w14:paraId="2DC78356">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拟开展一般做市业务的债券交易参与人，应在</w:t>
      </w:r>
      <w:r>
        <w:rPr>
          <w:rFonts w:hint="eastAsia" w:ascii="仿宋_GB2312" w:eastAsia="仿宋_GB2312"/>
          <w:sz w:val="30"/>
          <w:szCs w:val="30"/>
        </w:rPr>
        <w:t>通过债券做市测试与检查后，</w:t>
      </w:r>
      <w:r>
        <w:rPr>
          <w:rFonts w:hint="eastAsia" w:ascii="仿宋_GB2312" w:hAnsi="微软雅黑" w:eastAsia="仿宋_GB2312"/>
          <w:sz w:val="30"/>
          <w:szCs w:val="30"/>
        </w:rPr>
        <w:t>向本所</w:t>
      </w:r>
      <w:r>
        <w:rPr>
          <w:rFonts w:hint="eastAsia" w:ascii="仿宋_GB2312" w:eastAsia="仿宋_GB2312"/>
          <w:sz w:val="30"/>
          <w:szCs w:val="30"/>
        </w:rPr>
        <w:t>提交债券一般做市商登记表，具体需</w:t>
      </w:r>
      <w:r>
        <w:rPr>
          <w:rFonts w:hint="eastAsia" w:ascii="仿宋_GB2312" w:hAnsi="微软雅黑" w:eastAsia="仿宋_GB2312"/>
          <w:sz w:val="30"/>
          <w:szCs w:val="30"/>
        </w:rPr>
        <w:t>提交材料可参考附件</w:t>
      </w:r>
      <w:r>
        <w:rPr>
          <w:rFonts w:ascii="仿宋_GB2312" w:hAnsi="微软雅黑" w:eastAsia="仿宋_GB2312"/>
          <w:sz w:val="30"/>
          <w:szCs w:val="30"/>
        </w:rPr>
        <w:t>1</w:t>
      </w:r>
      <w:r>
        <w:rPr>
          <w:rFonts w:hint="eastAsia" w:ascii="仿宋_GB2312" w:hAnsi="微软雅黑" w:eastAsia="仿宋_GB2312"/>
          <w:sz w:val="30"/>
          <w:szCs w:val="30"/>
        </w:rPr>
        <w:t>2。</w:t>
      </w:r>
    </w:p>
    <w:p w14:paraId="0EABF3C1">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债券交易参与人应当保证所提交的材料真实、准确、完整。申请人应当通过业管系统平台交易参与人模块上传材料的电子件及</w:t>
      </w:r>
      <w:r>
        <w:rPr>
          <w:rFonts w:ascii="仿宋_GB2312" w:hAnsi="微软雅黑" w:eastAsia="仿宋_GB2312"/>
          <w:sz w:val="30"/>
          <w:szCs w:val="30"/>
        </w:rPr>
        <w:t>PDF格式彩色扫描件，材料均需加盖机构公章。</w:t>
      </w:r>
    </w:p>
    <w:p w14:paraId="158F6FA2">
      <w:pPr>
        <w:spacing w:line="600" w:lineRule="exact"/>
        <w:ind w:firstLine="600" w:firstLineChars="200"/>
        <w:rPr>
          <w:rFonts w:ascii="仿宋_GB2312" w:eastAsia="仿宋_GB2312"/>
          <w:sz w:val="30"/>
          <w:szCs w:val="30"/>
        </w:rPr>
      </w:pPr>
      <w:r>
        <w:rPr>
          <w:rFonts w:hint="eastAsia" w:ascii="仿宋_GB2312" w:eastAsia="仿宋_GB2312"/>
          <w:sz w:val="30"/>
          <w:szCs w:val="30"/>
        </w:rPr>
        <w:t>本所自收到债券一般做市商登记表之日起2个交易日以内进行确认。</w:t>
      </w:r>
    </w:p>
    <w:p w14:paraId="4B0FA062">
      <w:pPr>
        <w:spacing w:line="600" w:lineRule="exact"/>
        <w:ind w:firstLine="601" w:firstLineChars="200"/>
        <w:outlineLvl w:val="3"/>
        <w:rPr>
          <w:rFonts w:ascii="仿宋_GB2312" w:hAnsi="黑体" w:eastAsia="仿宋_GB2312"/>
          <w:b/>
          <w:sz w:val="30"/>
          <w:szCs w:val="30"/>
        </w:rPr>
      </w:pPr>
      <w:r>
        <w:rPr>
          <w:rFonts w:hint="eastAsia" w:ascii="仿宋_GB2312" w:hAnsi="黑体" w:eastAsia="仿宋_GB2312"/>
          <w:b/>
          <w:sz w:val="30"/>
          <w:szCs w:val="30"/>
        </w:rPr>
        <w:t>（</w:t>
      </w:r>
      <w:r>
        <w:rPr>
          <w:rFonts w:ascii="仿宋_GB2312" w:hAnsi="黑体" w:eastAsia="仿宋_GB2312"/>
          <w:b/>
          <w:sz w:val="30"/>
          <w:szCs w:val="30"/>
        </w:rPr>
        <w:t>4</w:t>
      </w:r>
      <w:r>
        <w:rPr>
          <w:rFonts w:hint="eastAsia" w:ascii="仿宋_GB2312" w:hAnsi="黑体" w:eastAsia="仿宋_GB2312"/>
          <w:b/>
          <w:sz w:val="30"/>
          <w:szCs w:val="30"/>
        </w:rPr>
        <w:t>）做市商类型变更</w:t>
      </w:r>
    </w:p>
    <w:p w14:paraId="6573CFD9">
      <w:pPr>
        <w:spacing w:line="600" w:lineRule="exact"/>
        <w:ind w:firstLine="600" w:firstLineChars="200"/>
        <w:rPr>
          <w:rFonts w:ascii="仿宋_GB2312" w:eastAsia="仿宋_GB2312"/>
          <w:sz w:val="30"/>
          <w:szCs w:val="30"/>
        </w:rPr>
      </w:pPr>
      <w:r>
        <w:rPr>
          <w:rFonts w:hint="eastAsia" w:ascii="仿宋_GB2312" w:eastAsia="仿宋_GB2312"/>
          <w:sz w:val="30"/>
          <w:szCs w:val="30"/>
        </w:rPr>
        <w:t>一般做市商拟变更为主做市商的，应符合主做市商申请条件，并通过业管系统平台交易参与人模块提交基准做市方案（附件</w:t>
      </w:r>
      <w:r>
        <w:rPr>
          <w:rFonts w:ascii="仿宋_GB2312" w:eastAsia="仿宋_GB2312"/>
          <w:sz w:val="30"/>
          <w:szCs w:val="30"/>
        </w:rPr>
        <w:t>1</w:t>
      </w:r>
      <w:r>
        <w:rPr>
          <w:rFonts w:hint="eastAsia" w:ascii="仿宋_GB2312" w:eastAsia="仿宋_GB2312"/>
          <w:sz w:val="30"/>
          <w:szCs w:val="30"/>
        </w:rPr>
        <w:t>1）。本所自收到基准做市方案之日起5个交易日以内进行评估并通知申请人。</w:t>
      </w:r>
    </w:p>
    <w:p w14:paraId="237BC36A">
      <w:pPr>
        <w:spacing w:line="600" w:lineRule="exact"/>
        <w:ind w:firstLine="600" w:firstLineChars="200"/>
        <w:rPr>
          <w:rFonts w:ascii="仿宋_GB2312" w:eastAsia="仿宋_GB2312"/>
          <w:sz w:val="30"/>
          <w:szCs w:val="30"/>
        </w:rPr>
      </w:pPr>
      <w:r>
        <w:rPr>
          <w:rFonts w:hint="eastAsia" w:ascii="仿宋_GB2312" w:eastAsia="仿宋_GB2312"/>
          <w:sz w:val="30"/>
          <w:szCs w:val="30"/>
        </w:rPr>
        <w:t>主做市商拟变更为一般做市商的，应提交债券一般做市商登记表（附件</w:t>
      </w:r>
      <w:r>
        <w:rPr>
          <w:rFonts w:ascii="仿宋_GB2312" w:eastAsia="仿宋_GB2312"/>
          <w:sz w:val="30"/>
          <w:szCs w:val="30"/>
        </w:rPr>
        <w:t>1</w:t>
      </w:r>
      <w:r>
        <w:rPr>
          <w:rFonts w:hint="eastAsia" w:ascii="仿宋_GB2312" w:eastAsia="仿宋_GB2312"/>
          <w:sz w:val="30"/>
          <w:szCs w:val="30"/>
        </w:rPr>
        <w:t>2）。本所自收到债券一般做市商登记表之日起2个交易日以内进行确认。主</w:t>
      </w:r>
      <w:r>
        <w:rPr>
          <w:rFonts w:hint="eastAsia" w:ascii="仿宋_GB2312" w:hAnsi="微软雅黑" w:eastAsia="仿宋_GB2312"/>
          <w:sz w:val="30"/>
          <w:szCs w:val="30"/>
        </w:rPr>
        <w:t>做市商申请</w:t>
      </w:r>
      <w:r>
        <w:rPr>
          <w:rFonts w:hint="eastAsia" w:ascii="仿宋_GB2312" w:eastAsia="仿宋_GB2312"/>
          <w:sz w:val="30"/>
          <w:szCs w:val="30"/>
        </w:rPr>
        <w:t>变更为一般做市商的</w:t>
      </w:r>
      <w:r>
        <w:rPr>
          <w:rFonts w:hint="eastAsia" w:ascii="仿宋_GB2312" w:hAnsi="微软雅黑" w:eastAsia="仿宋_GB2312"/>
          <w:sz w:val="30"/>
          <w:szCs w:val="30"/>
        </w:rPr>
        <w:t>，</w:t>
      </w:r>
      <w:r>
        <w:rPr>
          <w:rFonts w:ascii="仿宋_GB2312" w:hAnsi="微软雅黑" w:eastAsia="仿宋_GB2312"/>
          <w:sz w:val="30"/>
          <w:szCs w:val="30"/>
        </w:rPr>
        <w:t>3</w:t>
      </w:r>
      <w:r>
        <w:rPr>
          <w:rFonts w:hint="eastAsia" w:ascii="仿宋_GB2312" w:hAnsi="微软雅黑" w:eastAsia="仿宋_GB2312"/>
          <w:sz w:val="30"/>
          <w:szCs w:val="30"/>
        </w:rPr>
        <w:t>个月内不得重新申请变更为主做市商。</w:t>
      </w:r>
    </w:p>
    <w:p w14:paraId="6AFC5501">
      <w:pPr>
        <w:spacing w:line="600" w:lineRule="exact"/>
        <w:ind w:firstLine="601" w:firstLineChars="200"/>
        <w:outlineLvl w:val="3"/>
        <w:rPr>
          <w:rFonts w:ascii="仿宋_GB2312" w:hAnsi="黑体" w:eastAsia="仿宋_GB2312"/>
          <w:b/>
          <w:sz w:val="30"/>
          <w:szCs w:val="30"/>
        </w:rPr>
      </w:pPr>
      <w:r>
        <w:rPr>
          <w:rFonts w:hint="eastAsia" w:ascii="仿宋_GB2312" w:hAnsi="黑体" w:eastAsia="仿宋_GB2312"/>
          <w:b/>
          <w:sz w:val="30"/>
          <w:szCs w:val="30"/>
        </w:rPr>
        <w:t>（</w:t>
      </w:r>
      <w:r>
        <w:rPr>
          <w:rFonts w:ascii="仿宋_GB2312" w:hAnsi="黑体" w:eastAsia="仿宋_GB2312"/>
          <w:b/>
          <w:sz w:val="30"/>
          <w:szCs w:val="30"/>
        </w:rPr>
        <w:t>5</w:t>
      </w:r>
      <w:r>
        <w:rPr>
          <w:rFonts w:hint="eastAsia" w:ascii="仿宋_GB2312" w:hAnsi="黑体" w:eastAsia="仿宋_GB2312"/>
          <w:b/>
          <w:sz w:val="30"/>
          <w:szCs w:val="30"/>
        </w:rPr>
        <w:t>）做市商信息变更与公示</w:t>
      </w:r>
    </w:p>
    <w:p w14:paraId="77BC07C4">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做市商信息与债券交易参与人信息同步变更，不需要单独申请。</w:t>
      </w:r>
    </w:p>
    <w:p w14:paraId="3556069F">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除机构信息、证券账户信息以外的做市业务相关信息变更，如做市业务部门人员、岗位设置等信息的变更，可通过业管系统平台交易参与人模块完成。</w:t>
      </w:r>
    </w:p>
    <w:p w14:paraId="065B1D9E">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本所向市场公示主做市商及一般做市商名单，并对名单进行及时更新。名单可在本所上证债券信息网（</w:t>
      </w:r>
      <w:r>
        <w:rPr>
          <w:rFonts w:ascii="仿宋_GB2312" w:hAnsi="微软雅黑" w:eastAsia="仿宋_GB2312"/>
          <w:sz w:val="30"/>
          <w:szCs w:val="30"/>
        </w:rPr>
        <w:t>http://bond.sse.com.cn/</w:t>
      </w:r>
      <w:r>
        <w:rPr>
          <w:rFonts w:hint="eastAsia" w:ascii="仿宋_GB2312" w:hAnsi="微软雅黑" w:eastAsia="仿宋_GB2312"/>
          <w:sz w:val="30"/>
          <w:szCs w:val="30"/>
        </w:rPr>
        <w:t>）进行查看。</w:t>
      </w:r>
    </w:p>
    <w:p w14:paraId="17CFD04A">
      <w:pPr>
        <w:numPr>
          <w:ilvl w:val="2"/>
          <w:numId w:val="4"/>
        </w:numPr>
        <w:spacing w:line="600" w:lineRule="exact"/>
        <w:ind w:left="0" w:firstLine="0"/>
        <w:outlineLvl w:val="2"/>
        <w:rPr>
          <w:rFonts w:ascii="仿宋_GB2312" w:eastAsia="仿宋_GB2312"/>
          <w:b/>
          <w:sz w:val="30"/>
          <w:szCs w:val="30"/>
        </w:rPr>
      </w:pPr>
      <w:bookmarkStart w:id="981" w:name="_Toc47451504"/>
      <w:bookmarkEnd w:id="981"/>
      <w:bookmarkStart w:id="982" w:name="_Toc47455793"/>
      <w:bookmarkEnd w:id="982"/>
      <w:bookmarkStart w:id="983" w:name="_Toc47451386"/>
      <w:bookmarkEnd w:id="983"/>
      <w:bookmarkStart w:id="984" w:name="_Toc47443694"/>
      <w:bookmarkEnd w:id="984"/>
      <w:bookmarkStart w:id="985" w:name="_Toc47443122"/>
      <w:bookmarkEnd w:id="985"/>
      <w:bookmarkStart w:id="986" w:name="_Toc47372570"/>
      <w:bookmarkEnd w:id="986"/>
      <w:bookmarkStart w:id="987" w:name="_Toc47452101"/>
      <w:bookmarkEnd w:id="987"/>
      <w:bookmarkStart w:id="988" w:name="_Toc47451772"/>
      <w:bookmarkEnd w:id="988"/>
      <w:bookmarkStart w:id="989" w:name="_Toc47457050"/>
      <w:bookmarkEnd w:id="989"/>
      <w:bookmarkStart w:id="990" w:name="_Toc47443011"/>
      <w:bookmarkEnd w:id="990"/>
      <w:bookmarkStart w:id="991" w:name="_Toc55318673"/>
      <w:bookmarkStart w:id="992" w:name="_Toc48742270"/>
      <w:bookmarkStart w:id="993" w:name="_Toc16497684"/>
      <w:bookmarkStart w:id="994" w:name="_Toc47457051"/>
      <w:bookmarkStart w:id="995" w:name="_Toc19541966"/>
      <w:bookmarkStart w:id="996" w:name="_Toc46910499"/>
      <w:bookmarkStart w:id="997" w:name="_Toc35006301"/>
      <w:bookmarkStart w:id="998" w:name="_Toc24459820"/>
      <w:bookmarkStart w:id="999" w:name="_Toc47455794"/>
      <w:r>
        <w:rPr>
          <w:rFonts w:hint="eastAsia" w:ascii="仿宋_GB2312" w:eastAsia="仿宋_GB2312"/>
          <w:b/>
          <w:sz w:val="30"/>
          <w:szCs w:val="30"/>
        </w:rPr>
        <w:t>做市品种</w:t>
      </w:r>
      <w:bookmarkEnd w:id="991"/>
      <w:bookmarkEnd w:id="992"/>
      <w:bookmarkEnd w:id="993"/>
      <w:bookmarkEnd w:id="994"/>
      <w:bookmarkEnd w:id="995"/>
      <w:bookmarkEnd w:id="996"/>
      <w:bookmarkEnd w:id="997"/>
      <w:bookmarkEnd w:id="998"/>
      <w:bookmarkEnd w:id="999"/>
    </w:p>
    <w:p w14:paraId="414DDE6E">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本所债券市场的做市品种包括基准做市品种和自选做市品种。</w:t>
      </w:r>
    </w:p>
    <w:p w14:paraId="23BA65D8">
      <w:pPr>
        <w:spacing w:line="600" w:lineRule="exact"/>
        <w:ind w:left="567"/>
        <w:outlineLvl w:val="3"/>
        <w:rPr>
          <w:rFonts w:ascii="仿宋_GB2312" w:eastAsia="仿宋_GB2312"/>
          <w:b/>
          <w:sz w:val="30"/>
          <w:szCs w:val="30"/>
        </w:rPr>
      </w:pPr>
      <w:r>
        <w:rPr>
          <w:rFonts w:hint="eastAsia" w:ascii="仿宋_GB2312" w:eastAsia="仿宋_GB2312"/>
          <w:b/>
          <w:sz w:val="30"/>
          <w:szCs w:val="30"/>
        </w:rPr>
        <w:t>（1）基准做市品种</w:t>
      </w:r>
    </w:p>
    <w:p w14:paraId="56E64F91">
      <w:pPr>
        <w:spacing w:line="600" w:lineRule="exact"/>
        <w:ind w:firstLine="600" w:firstLineChars="200"/>
        <w:rPr>
          <w:rFonts w:ascii="仿宋_GB2312" w:hAnsi="黑体" w:eastAsia="仿宋_GB2312"/>
          <w:b/>
          <w:sz w:val="30"/>
          <w:szCs w:val="30"/>
        </w:rPr>
      </w:pPr>
      <w:r>
        <w:rPr>
          <w:rFonts w:hint="eastAsia" w:ascii="仿宋_GB2312" w:hAnsi="微软雅黑" w:eastAsia="仿宋_GB2312"/>
          <w:sz w:val="30"/>
          <w:szCs w:val="30"/>
        </w:rPr>
        <w:t>基准做市品种包括基准利率类债券和基准信用类债券及本所认可的其他品种。</w:t>
      </w:r>
    </w:p>
    <w:p w14:paraId="6C0379A7">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1）基准利率类债券</w:t>
      </w:r>
    </w:p>
    <w:p w14:paraId="23CD4E0A">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基准利率类债券包括：</w:t>
      </w:r>
    </w:p>
    <w:p w14:paraId="32416F63">
      <w:pPr>
        <w:spacing w:line="600" w:lineRule="exact"/>
        <w:ind w:firstLine="600" w:firstLineChars="200"/>
        <w:rPr>
          <w:rFonts w:ascii="仿宋_GB2312" w:eastAsia="仿宋_GB2312"/>
          <w:sz w:val="30"/>
          <w:szCs w:val="30"/>
        </w:rPr>
      </w:pPr>
      <w:r>
        <w:rPr>
          <w:rFonts w:hint="eastAsia" w:ascii="仿宋_GB2312" w:hAnsi="微软雅黑" w:eastAsia="仿宋_GB2312"/>
          <w:sz w:val="30"/>
          <w:szCs w:val="30"/>
        </w:rPr>
        <w:t>1.</w:t>
      </w:r>
      <w:r>
        <w:rPr>
          <w:rFonts w:hint="eastAsia" w:ascii="仿宋_GB2312" w:eastAsia="仿宋_GB2312"/>
          <w:sz w:val="30"/>
          <w:szCs w:val="30"/>
        </w:rPr>
        <w:t>1年期、2年期、3年期、5年期、10年期的国债中，分别选取最新上市的</w:t>
      </w:r>
      <w:r>
        <w:rPr>
          <w:rFonts w:ascii="仿宋_GB2312" w:eastAsia="仿宋_GB2312"/>
          <w:sz w:val="30"/>
          <w:szCs w:val="30"/>
        </w:rPr>
        <w:t>两</w:t>
      </w:r>
      <w:r>
        <w:rPr>
          <w:rFonts w:hint="eastAsia" w:ascii="仿宋_GB2312" w:eastAsia="仿宋_GB2312"/>
          <w:sz w:val="30"/>
          <w:szCs w:val="30"/>
        </w:rPr>
        <w:t>期国债；</w:t>
      </w:r>
    </w:p>
    <w:p w14:paraId="17601680">
      <w:pPr>
        <w:numPr>
          <w:ilvl w:val="0"/>
          <w:numId w:val="0"/>
        </w:numPr>
        <w:spacing w:line="600" w:lineRule="exact"/>
        <w:ind w:firstLine="600" w:firstLineChars="200"/>
        <w:rPr>
          <w:rFonts w:ascii="仿宋_GB2312" w:eastAsia="仿宋_GB2312"/>
          <w:sz w:val="30"/>
          <w:szCs w:val="30"/>
        </w:rPr>
      </w:pPr>
      <w:r>
        <w:rPr>
          <w:rFonts w:ascii="仿宋_GB2312" w:hAnsi="Times New Roman" w:eastAsia="仿宋_GB2312" w:cs="Times New Roman"/>
          <w:kern w:val="2"/>
          <w:sz w:val="30"/>
          <w:szCs w:val="30"/>
          <w:lang w:val="en-US" w:eastAsia="zh-CN" w:bidi="ar-SA"/>
        </w:rPr>
        <w:t>2.</w:t>
      </w:r>
      <w:r>
        <w:rPr>
          <w:rFonts w:hint="eastAsia" w:ascii="仿宋_GB2312" w:eastAsia="仿宋_GB2312"/>
          <w:sz w:val="30"/>
          <w:szCs w:val="30"/>
        </w:rPr>
        <w:t>20年期、3</w:t>
      </w:r>
      <w:r>
        <w:rPr>
          <w:rFonts w:ascii="仿宋_GB2312" w:eastAsia="仿宋_GB2312"/>
          <w:sz w:val="30"/>
          <w:szCs w:val="30"/>
        </w:rPr>
        <w:t>0</w:t>
      </w:r>
      <w:r>
        <w:rPr>
          <w:rFonts w:hint="eastAsia" w:ascii="仿宋_GB2312" w:eastAsia="仿宋_GB2312"/>
          <w:sz w:val="30"/>
          <w:szCs w:val="30"/>
        </w:rPr>
        <w:t>年期、50年期的国债中，分别选取最新上市品种，最多选取三期；</w:t>
      </w:r>
    </w:p>
    <w:p w14:paraId="10DF0D4C">
      <w:pPr>
        <w:numPr>
          <w:ilvl w:val="0"/>
          <w:numId w:val="0"/>
        </w:numPr>
        <w:spacing w:line="600" w:lineRule="exact"/>
        <w:ind w:firstLine="600" w:firstLineChars="200"/>
        <w:rPr>
          <w:rFonts w:ascii="仿宋_GB2312" w:hAnsi="微软雅黑" w:eastAsia="仿宋_GB2312"/>
          <w:sz w:val="30"/>
          <w:szCs w:val="30"/>
        </w:rPr>
      </w:pPr>
      <w:r>
        <w:rPr>
          <w:rFonts w:ascii="仿宋_GB2312" w:hAnsi="微软雅黑" w:eastAsia="仿宋_GB2312" w:cs="Times New Roman"/>
          <w:kern w:val="2"/>
          <w:sz w:val="30"/>
          <w:szCs w:val="30"/>
          <w:lang w:val="en-US" w:eastAsia="zh-CN" w:bidi="ar-SA"/>
        </w:rPr>
        <w:t>3.</w:t>
      </w:r>
      <w:r>
        <w:rPr>
          <w:rFonts w:hint="eastAsia" w:ascii="仿宋_GB2312" w:eastAsia="仿宋_GB2312"/>
          <w:sz w:val="30"/>
          <w:szCs w:val="30"/>
        </w:rPr>
        <w:t>新发行且在本所招标发行的单只规模不少于</w:t>
      </w:r>
      <w:r>
        <w:rPr>
          <w:rFonts w:hint="eastAsia" w:ascii="仿宋_GB2312" w:eastAsia="仿宋_GB2312"/>
          <w:sz w:val="30"/>
          <w:szCs w:val="30"/>
          <w:lang w:val="en-US" w:eastAsia="zh-CN"/>
        </w:rPr>
        <w:t>8</w:t>
      </w:r>
      <w:r>
        <w:rPr>
          <w:rFonts w:hint="eastAsia" w:ascii="仿宋_GB2312" w:eastAsia="仿宋_GB2312"/>
          <w:sz w:val="30"/>
          <w:szCs w:val="30"/>
        </w:rPr>
        <w:t>0亿元的地方债；</w:t>
      </w:r>
    </w:p>
    <w:p w14:paraId="5A037A07">
      <w:pPr>
        <w:numPr>
          <w:ilvl w:val="0"/>
          <w:numId w:val="0"/>
        </w:numPr>
        <w:spacing w:line="600" w:lineRule="exact"/>
        <w:ind w:firstLine="600" w:firstLineChars="200"/>
        <w:rPr>
          <w:rFonts w:ascii="仿宋_GB2312" w:hAnsi="微软雅黑" w:eastAsia="仿宋_GB2312"/>
          <w:sz w:val="30"/>
          <w:szCs w:val="30"/>
        </w:rPr>
      </w:pPr>
      <w:r>
        <w:rPr>
          <w:rFonts w:ascii="仿宋_GB2312" w:hAnsi="微软雅黑" w:eastAsia="仿宋_GB2312" w:cs="Times New Roman"/>
          <w:kern w:val="2"/>
          <w:sz w:val="30"/>
          <w:szCs w:val="30"/>
          <w:lang w:val="en-US" w:eastAsia="zh-CN" w:bidi="ar-SA"/>
        </w:rPr>
        <w:t>4.</w:t>
      </w:r>
      <w:r>
        <w:rPr>
          <w:rFonts w:hint="eastAsia" w:ascii="仿宋_GB2312" w:eastAsia="仿宋_GB2312"/>
          <w:sz w:val="30"/>
          <w:szCs w:val="30"/>
        </w:rPr>
        <w:t>新发行且在本所招标发行的政府支持债券；</w:t>
      </w:r>
    </w:p>
    <w:p w14:paraId="5A1170E1">
      <w:pPr>
        <w:numPr>
          <w:ilvl w:val="0"/>
          <w:numId w:val="0"/>
        </w:numPr>
        <w:spacing w:line="600" w:lineRule="exact"/>
        <w:ind w:firstLine="600" w:firstLineChars="200"/>
        <w:rPr>
          <w:rFonts w:ascii="仿宋_GB2312" w:hAnsi="微软雅黑" w:eastAsia="仿宋_GB2312"/>
          <w:sz w:val="30"/>
          <w:szCs w:val="30"/>
        </w:rPr>
      </w:pPr>
      <w:r>
        <w:rPr>
          <w:rFonts w:ascii="仿宋_GB2312" w:hAnsi="微软雅黑" w:eastAsia="仿宋_GB2312" w:cs="Times New Roman"/>
          <w:kern w:val="2"/>
          <w:sz w:val="30"/>
          <w:szCs w:val="30"/>
          <w:lang w:val="en-US" w:eastAsia="zh-CN" w:bidi="ar-SA"/>
        </w:rPr>
        <w:t>5.</w:t>
      </w:r>
      <w:r>
        <w:rPr>
          <w:rFonts w:hint="eastAsia" w:ascii="仿宋_GB2312" w:eastAsia="仿宋_GB2312"/>
          <w:sz w:val="30"/>
          <w:szCs w:val="30"/>
        </w:rPr>
        <w:t>本所指定开展做市的其他政府债券、政策性金融债、政府支持债券等品种</w:t>
      </w:r>
      <w:r>
        <w:rPr>
          <w:rFonts w:ascii="仿宋_GB2312" w:hAnsi="微软雅黑" w:eastAsia="仿宋_GB2312"/>
          <w:sz w:val="30"/>
          <w:szCs w:val="30"/>
        </w:rPr>
        <w:t>。</w:t>
      </w:r>
    </w:p>
    <w:p w14:paraId="2A14441B">
      <w:pPr>
        <w:numPr>
          <w:ilvl w:val="0"/>
          <w:numId w:val="0"/>
        </w:num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lang w:val="en-US" w:eastAsia="zh-CN"/>
        </w:rPr>
        <w:t>第3、4类</w:t>
      </w:r>
      <w:r>
        <w:rPr>
          <w:rFonts w:hint="eastAsia" w:ascii="仿宋_GB2312" w:hAnsi="微软雅黑" w:eastAsia="仿宋_GB2312"/>
          <w:sz w:val="30"/>
          <w:szCs w:val="30"/>
        </w:rPr>
        <w:t>债券品种</w:t>
      </w:r>
      <w:r>
        <w:rPr>
          <w:rFonts w:hint="eastAsia" w:ascii="仿宋_GB2312" w:hAnsi="微软雅黑" w:eastAsia="仿宋_GB2312"/>
          <w:sz w:val="30"/>
          <w:szCs w:val="30"/>
          <w:lang w:eastAsia="zh-CN"/>
        </w:rPr>
        <w:t>做市期限为</w:t>
      </w:r>
      <w:r>
        <w:rPr>
          <w:rFonts w:hint="eastAsia" w:ascii="仿宋_GB2312" w:hAnsi="微软雅黑" w:eastAsia="仿宋_GB2312"/>
          <w:sz w:val="30"/>
          <w:szCs w:val="30"/>
          <w:lang w:val="en-US" w:eastAsia="zh-CN"/>
        </w:rPr>
        <w:t>6个月，本所定期对名单进行调整。第5类债券品种</w:t>
      </w:r>
      <w:r>
        <w:rPr>
          <w:rFonts w:hint="eastAsia" w:ascii="仿宋_GB2312" w:hAnsi="微软雅黑" w:eastAsia="仿宋_GB2312"/>
          <w:sz w:val="30"/>
          <w:szCs w:val="30"/>
        </w:rPr>
        <w:t>由本所从交易活跃程度排名靠前的其他利率类债券（如国开债）中指定，或者根据市场情况选定。</w:t>
      </w:r>
    </w:p>
    <w:p w14:paraId="5CEFD211">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本所将在正式做市开始前至少</w:t>
      </w:r>
      <w:r>
        <w:rPr>
          <w:rFonts w:ascii="仿宋_GB2312" w:hAnsi="微软雅黑" w:eastAsia="仿宋_GB2312"/>
          <w:sz w:val="30"/>
          <w:szCs w:val="30"/>
        </w:rPr>
        <w:t>2个交易日向市场</w:t>
      </w:r>
      <w:r>
        <w:rPr>
          <w:rFonts w:hint="eastAsia" w:ascii="仿宋_GB2312" w:hAnsi="微软雅黑" w:eastAsia="仿宋_GB2312"/>
          <w:sz w:val="30"/>
          <w:szCs w:val="30"/>
        </w:rPr>
        <w:t>公</w:t>
      </w:r>
      <w:r>
        <w:rPr>
          <w:rFonts w:ascii="仿宋_GB2312" w:hAnsi="微软雅黑" w:eastAsia="仿宋_GB2312"/>
          <w:sz w:val="30"/>
          <w:szCs w:val="30"/>
        </w:rPr>
        <w:t>布</w:t>
      </w:r>
      <w:r>
        <w:rPr>
          <w:rFonts w:hint="eastAsia" w:ascii="仿宋_GB2312" w:hAnsi="微软雅黑" w:eastAsia="仿宋_GB2312"/>
          <w:sz w:val="30"/>
          <w:szCs w:val="30"/>
        </w:rPr>
        <w:t>基准利率类债券品种</w:t>
      </w:r>
      <w:r>
        <w:rPr>
          <w:rFonts w:ascii="仿宋_GB2312" w:hAnsi="微软雅黑" w:eastAsia="仿宋_GB2312"/>
          <w:sz w:val="30"/>
          <w:szCs w:val="30"/>
        </w:rPr>
        <w:t>，</w:t>
      </w:r>
      <w:r>
        <w:rPr>
          <w:rFonts w:hint="eastAsia" w:ascii="仿宋_GB2312" w:hAnsi="微软雅黑" w:eastAsia="仿宋_GB2312"/>
          <w:sz w:val="30"/>
          <w:szCs w:val="30"/>
        </w:rPr>
        <w:t>名单可在本所上证债券信息网查看。</w:t>
      </w:r>
    </w:p>
    <w:p w14:paraId="0807F048">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基准信用类债券包括：</w:t>
      </w:r>
    </w:p>
    <w:p w14:paraId="0F140C5F">
      <w:pPr>
        <w:spacing w:line="600" w:lineRule="exact"/>
        <w:ind w:firstLine="600" w:firstLineChars="200"/>
        <w:rPr>
          <w:rFonts w:ascii="仿宋_GB2312" w:eastAsia="仿宋_GB2312"/>
          <w:sz w:val="30"/>
          <w:szCs w:val="30"/>
        </w:rPr>
      </w:pPr>
      <w:r>
        <w:rPr>
          <w:rFonts w:hint="eastAsia" w:ascii="仿宋_GB2312" w:hAnsi="微软雅黑" w:eastAsia="仿宋_GB2312"/>
          <w:sz w:val="30"/>
          <w:szCs w:val="30"/>
        </w:rPr>
        <w:t>1.</w:t>
      </w:r>
      <w:r>
        <w:rPr>
          <w:rFonts w:hint="eastAsia" w:ascii="仿宋_GB2312" w:eastAsia="仿宋_GB2312"/>
          <w:sz w:val="30"/>
          <w:szCs w:val="30"/>
        </w:rPr>
        <w:t>本所指定的发行规模在</w:t>
      </w:r>
      <w:r>
        <w:rPr>
          <w:rFonts w:hint="eastAsia" w:ascii="仿宋_GB2312" w:eastAsia="仿宋_GB2312"/>
          <w:sz w:val="30"/>
          <w:szCs w:val="30"/>
          <w:lang w:val="en-US" w:eastAsia="zh-CN"/>
        </w:rPr>
        <w:t>20</w:t>
      </w:r>
      <w:r>
        <w:rPr>
          <w:rFonts w:hint="eastAsia" w:ascii="仿宋_GB2312" w:eastAsia="仿宋_GB2312"/>
          <w:sz w:val="30"/>
          <w:szCs w:val="30"/>
        </w:rPr>
        <w:t>亿元以上、主体评级为AAA级的公司债券</w:t>
      </w:r>
      <w:r>
        <w:rPr>
          <w:rFonts w:hint="eastAsia" w:ascii="仿宋_GB2312" w:eastAsia="仿宋_GB2312"/>
          <w:sz w:val="30"/>
          <w:szCs w:val="30"/>
          <w:lang w:bidi="en-US"/>
        </w:rPr>
        <w:t>；</w:t>
      </w:r>
    </w:p>
    <w:p w14:paraId="29E57187">
      <w:pPr>
        <w:spacing w:line="600" w:lineRule="exact"/>
        <w:ind w:firstLine="600" w:firstLineChars="200"/>
        <w:rPr>
          <w:rFonts w:hint="eastAsia" w:ascii="仿宋_GB2312" w:eastAsia="仿宋_GB2312"/>
          <w:sz w:val="30"/>
          <w:szCs w:val="30"/>
        </w:rPr>
      </w:pPr>
      <w:r>
        <w:rPr>
          <w:rFonts w:hint="eastAsia" w:ascii="仿宋_GB2312" w:eastAsia="仿宋_GB2312"/>
          <w:sz w:val="30"/>
          <w:szCs w:val="30"/>
        </w:rPr>
        <w:t>2.本所指定的发行规模在</w:t>
      </w:r>
      <w:r>
        <w:rPr>
          <w:rFonts w:hint="eastAsia" w:ascii="仿宋_GB2312" w:eastAsia="仿宋_GB2312"/>
          <w:sz w:val="30"/>
          <w:szCs w:val="30"/>
          <w:lang w:val="en-US" w:eastAsia="zh-CN"/>
        </w:rPr>
        <w:t>15</w:t>
      </w:r>
      <w:r>
        <w:rPr>
          <w:rFonts w:hint="eastAsia" w:ascii="仿宋_GB2312" w:eastAsia="仿宋_GB2312"/>
          <w:sz w:val="30"/>
          <w:szCs w:val="30"/>
        </w:rPr>
        <w:t>亿元以上、主体评级为AAA级的科技创新公司债券、</w:t>
      </w:r>
      <w:r>
        <w:rPr>
          <w:rFonts w:ascii="仿宋_GB2312" w:eastAsia="仿宋_GB2312"/>
          <w:sz w:val="30"/>
          <w:szCs w:val="30"/>
        </w:rPr>
        <w:t>绿色公司</w:t>
      </w:r>
      <w:r>
        <w:rPr>
          <w:rFonts w:hint="eastAsia" w:ascii="仿宋_GB2312" w:eastAsia="仿宋_GB2312"/>
          <w:sz w:val="30"/>
          <w:szCs w:val="30"/>
        </w:rPr>
        <w:t>债券；</w:t>
      </w:r>
    </w:p>
    <w:p w14:paraId="091E9239">
      <w:pPr>
        <w:spacing w:line="600" w:lineRule="exact"/>
        <w:ind w:firstLine="600" w:firstLineChars="200"/>
        <w:rPr>
          <w:rFonts w:hint="eastAsia" w:ascii="仿宋_GB2312" w:eastAsia="仿宋_GB2312"/>
          <w:sz w:val="30"/>
          <w:szCs w:val="30"/>
          <w:lang w:val="en-US" w:eastAsia="zh-CN"/>
        </w:rPr>
      </w:pPr>
      <w:r>
        <w:rPr>
          <w:rFonts w:hint="eastAsia" w:ascii="仿宋_GB2312" w:eastAsia="仿宋_GB2312"/>
          <w:sz w:val="30"/>
          <w:szCs w:val="30"/>
          <w:lang w:val="en-US" w:eastAsia="zh-CN"/>
        </w:rPr>
        <w:t>3.</w:t>
      </w:r>
      <w:r>
        <w:rPr>
          <w:rFonts w:hint="eastAsia" w:ascii="仿宋_GB2312" w:eastAsia="仿宋_GB2312"/>
          <w:sz w:val="30"/>
          <w:szCs w:val="30"/>
        </w:rPr>
        <w:t>本所指定的发行规模在</w:t>
      </w:r>
      <w:r>
        <w:rPr>
          <w:rFonts w:hint="eastAsia" w:ascii="仿宋_GB2312" w:eastAsia="仿宋_GB2312"/>
          <w:sz w:val="30"/>
          <w:szCs w:val="30"/>
          <w:lang w:val="en-US" w:eastAsia="zh-CN"/>
        </w:rPr>
        <w:t>10</w:t>
      </w:r>
      <w:r>
        <w:rPr>
          <w:rFonts w:hint="eastAsia" w:ascii="仿宋_GB2312" w:eastAsia="仿宋_GB2312"/>
          <w:sz w:val="30"/>
          <w:szCs w:val="30"/>
        </w:rPr>
        <w:t>亿元以上、主体评级为AAA级的民营企业发行的公司债券</w:t>
      </w:r>
      <w:r>
        <w:rPr>
          <w:rFonts w:hint="eastAsia" w:ascii="仿宋_GB2312" w:eastAsia="仿宋_GB2312"/>
          <w:sz w:val="30"/>
          <w:szCs w:val="30"/>
          <w:lang w:eastAsia="zh-CN"/>
        </w:rPr>
        <w:t>；</w:t>
      </w:r>
    </w:p>
    <w:p w14:paraId="2F70494F">
      <w:pPr>
        <w:spacing w:line="600" w:lineRule="exact"/>
        <w:ind w:firstLine="600" w:firstLineChars="200"/>
        <w:rPr>
          <w:rFonts w:ascii="仿宋_GB2312" w:hAnsi="微软雅黑" w:eastAsia="仿宋_GB2312"/>
          <w:sz w:val="30"/>
          <w:szCs w:val="30"/>
        </w:rPr>
      </w:pPr>
      <w:r>
        <w:rPr>
          <w:rFonts w:hint="eastAsia" w:ascii="仿宋_GB2312" w:eastAsia="仿宋_GB2312"/>
          <w:sz w:val="30"/>
          <w:szCs w:val="30"/>
          <w:lang w:val="en-US" w:eastAsia="zh-CN"/>
        </w:rPr>
        <w:t>4</w:t>
      </w:r>
      <w:r>
        <w:rPr>
          <w:rFonts w:hint="eastAsia" w:ascii="仿宋_GB2312" w:eastAsia="仿宋_GB2312"/>
          <w:sz w:val="30"/>
          <w:szCs w:val="30"/>
        </w:rPr>
        <w:t>.本所指定开展做市的其他信用类债券。</w:t>
      </w:r>
    </w:p>
    <w:p w14:paraId="48035533">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本所将在每次更新基准信用类债券品种名单时向市场公布，名单可在本所上证债券信息网查看</w:t>
      </w:r>
      <w:r>
        <w:rPr>
          <w:rFonts w:ascii="仿宋_GB2312" w:hAnsi="微软雅黑" w:eastAsia="仿宋_GB2312"/>
          <w:sz w:val="30"/>
          <w:szCs w:val="30"/>
        </w:rPr>
        <w:t>。</w:t>
      </w:r>
    </w:p>
    <w:p w14:paraId="173BE156">
      <w:pPr>
        <w:spacing w:line="600" w:lineRule="exact"/>
        <w:ind w:left="567"/>
        <w:outlineLvl w:val="3"/>
        <w:rPr>
          <w:rFonts w:ascii="仿宋_GB2312" w:eastAsia="仿宋_GB2312"/>
          <w:b/>
          <w:sz w:val="30"/>
          <w:szCs w:val="30"/>
        </w:rPr>
      </w:pPr>
      <w:r>
        <w:rPr>
          <w:rFonts w:hint="eastAsia" w:ascii="仿宋_GB2312" w:eastAsia="仿宋_GB2312"/>
          <w:b/>
          <w:sz w:val="30"/>
          <w:szCs w:val="30"/>
        </w:rPr>
        <w:t>（2）基准做市品种管理</w:t>
      </w:r>
    </w:p>
    <w:p w14:paraId="3638FE31">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1）做市债券选择</w:t>
      </w:r>
    </w:p>
    <w:p w14:paraId="48E21F1A">
      <w:pPr>
        <w:spacing w:line="600" w:lineRule="exact"/>
        <w:ind w:firstLine="600" w:firstLineChars="200"/>
        <w:rPr>
          <w:rFonts w:ascii="仿宋_GB2312" w:eastAsia="仿宋_GB2312"/>
          <w:sz w:val="30"/>
          <w:szCs w:val="30"/>
        </w:rPr>
      </w:pPr>
      <w:r>
        <w:rPr>
          <w:rFonts w:hint="eastAsia" w:ascii="仿宋_GB2312" w:eastAsia="仿宋_GB2312"/>
          <w:sz w:val="30"/>
          <w:szCs w:val="30"/>
        </w:rPr>
        <w:t>主做市商应当从政府债券和政策性金融债基准做市品种范围中选择至少</w:t>
      </w:r>
      <w:r>
        <w:rPr>
          <w:rFonts w:ascii="仿宋_GB2312" w:eastAsia="仿宋_GB2312"/>
          <w:sz w:val="30"/>
          <w:szCs w:val="30"/>
        </w:rPr>
        <w:t>5</w:t>
      </w:r>
      <w:r>
        <w:rPr>
          <w:rFonts w:hint="eastAsia" w:ascii="仿宋_GB2312" w:eastAsia="仿宋_GB2312"/>
          <w:sz w:val="30"/>
          <w:szCs w:val="30"/>
        </w:rPr>
        <w:t>只债券持续做市，从公司债券基准做市品种范围中选择至少</w:t>
      </w:r>
      <w:r>
        <w:rPr>
          <w:rFonts w:ascii="仿宋_GB2312" w:eastAsia="仿宋_GB2312"/>
          <w:sz w:val="30"/>
          <w:szCs w:val="30"/>
        </w:rPr>
        <w:t>10</w:t>
      </w:r>
      <w:r>
        <w:rPr>
          <w:rFonts w:hint="eastAsia" w:ascii="仿宋_GB2312" w:eastAsia="仿宋_GB2312"/>
          <w:sz w:val="30"/>
          <w:szCs w:val="30"/>
        </w:rPr>
        <w:t>只债券持续做市。</w:t>
      </w:r>
    </w:p>
    <w:p w14:paraId="779F223B">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主做市商启动做市业务前，应至少提前</w:t>
      </w:r>
      <w:r>
        <w:rPr>
          <w:rFonts w:ascii="仿宋_GB2312" w:hAnsi="微软雅黑" w:eastAsia="仿宋_GB2312"/>
          <w:sz w:val="30"/>
          <w:szCs w:val="30"/>
        </w:rPr>
        <w:t>2个交易日</w:t>
      </w:r>
      <w:r>
        <w:rPr>
          <w:rFonts w:hint="eastAsia" w:ascii="仿宋_GB2312" w:hAnsi="微软雅黑" w:eastAsia="仿宋_GB2312"/>
          <w:sz w:val="30"/>
          <w:szCs w:val="30"/>
        </w:rPr>
        <w:t>选择基准做市品种并通过业管系统平台交易参与人模块向本所报备，经本所确认后生成做市债券品种列表自动挂网。</w:t>
      </w:r>
    </w:p>
    <w:p w14:paraId="4C326C8B">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2）被动调整</w:t>
      </w:r>
    </w:p>
    <w:p w14:paraId="5EEF8092">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国债新发、其他本所指定利率债品种的变化和基准信用类债券剩余期限、存续规模的减少都会导致基准做市品种调整。本所对于基准做市品种的调入和调出，将在调整前至少</w:t>
      </w:r>
      <w:r>
        <w:rPr>
          <w:rFonts w:ascii="仿宋_GB2312" w:hAnsi="微软雅黑" w:eastAsia="仿宋_GB2312"/>
          <w:sz w:val="30"/>
          <w:szCs w:val="30"/>
        </w:rPr>
        <w:t>2个交易日向市场发布公告</w:t>
      </w:r>
      <w:r>
        <w:rPr>
          <w:rFonts w:hint="eastAsia" w:ascii="仿宋_GB2312" w:hAnsi="微软雅黑" w:eastAsia="仿宋_GB2312"/>
          <w:sz w:val="30"/>
          <w:szCs w:val="30"/>
        </w:rPr>
        <w:t>，在公告中确认基准做市品种调入和调出的日期。</w:t>
      </w:r>
    </w:p>
    <w:p w14:paraId="61855BF1">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主做市商据此添加/取消做市品种选择，并将调整后的做市品种通过业管系统平台交易参与人模块向本所报备，调整后的债券品种替代原有品种，经本所确认后同步挂网。</w:t>
      </w:r>
    </w:p>
    <w:p w14:paraId="65774D9B">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3）主动调整</w:t>
      </w:r>
    </w:p>
    <w:p w14:paraId="6530BBC6">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主做市商选定基准做市品种之后每个季度内仅可主动调整一次（被动调整除外），且须在调整前至少</w:t>
      </w:r>
      <w:r>
        <w:rPr>
          <w:rFonts w:ascii="仿宋_GB2312" w:hAnsi="微软雅黑" w:eastAsia="仿宋_GB2312"/>
          <w:sz w:val="30"/>
          <w:szCs w:val="30"/>
        </w:rPr>
        <w:t>2个交易日</w:t>
      </w:r>
      <w:r>
        <w:rPr>
          <w:rFonts w:hint="eastAsia" w:ascii="仿宋_GB2312" w:hAnsi="微软雅黑" w:eastAsia="仿宋_GB2312"/>
          <w:sz w:val="30"/>
          <w:szCs w:val="30"/>
        </w:rPr>
        <w:t>将</w:t>
      </w:r>
      <w:r>
        <w:rPr>
          <w:rFonts w:ascii="仿宋_GB2312" w:hAnsi="微软雅黑" w:eastAsia="仿宋_GB2312"/>
          <w:sz w:val="30"/>
          <w:szCs w:val="30"/>
        </w:rPr>
        <w:t>相关</w:t>
      </w:r>
      <w:r>
        <w:rPr>
          <w:rFonts w:hint="eastAsia" w:ascii="仿宋_GB2312" w:hAnsi="微软雅黑" w:eastAsia="仿宋_GB2312"/>
          <w:sz w:val="30"/>
          <w:szCs w:val="30"/>
        </w:rPr>
        <w:t>信息上传至业管系统平台交易参与人模块。</w:t>
      </w:r>
      <w:r>
        <w:rPr>
          <w:rFonts w:ascii="仿宋_GB2312" w:hAnsi="微软雅黑" w:eastAsia="仿宋_GB2312"/>
          <w:sz w:val="30"/>
          <w:szCs w:val="30"/>
        </w:rPr>
        <w:t>经本所</w:t>
      </w:r>
      <w:r>
        <w:rPr>
          <w:rFonts w:hint="eastAsia" w:ascii="仿宋_GB2312" w:hAnsi="微软雅黑" w:eastAsia="仿宋_GB2312"/>
          <w:sz w:val="30"/>
          <w:szCs w:val="30"/>
        </w:rPr>
        <w:t>评估确认后挂网并明确调整生效日期，调整后的债券品种替代原有品种。</w:t>
      </w:r>
    </w:p>
    <w:p w14:paraId="45274A5A">
      <w:pPr>
        <w:spacing w:line="600" w:lineRule="exact"/>
        <w:ind w:left="567"/>
        <w:outlineLvl w:val="3"/>
        <w:rPr>
          <w:rFonts w:ascii="仿宋_GB2312" w:eastAsia="仿宋_GB2312"/>
          <w:b/>
          <w:sz w:val="30"/>
          <w:szCs w:val="30"/>
        </w:rPr>
      </w:pPr>
      <w:r>
        <w:rPr>
          <w:rFonts w:hint="eastAsia" w:ascii="仿宋_GB2312" w:eastAsia="仿宋_GB2312"/>
          <w:b/>
          <w:sz w:val="30"/>
          <w:szCs w:val="30"/>
        </w:rPr>
        <w:t>（3）自选做市品种</w:t>
      </w:r>
    </w:p>
    <w:p w14:paraId="3E74973F">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主做市商</w:t>
      </w:r>
      <w:r>
        <w:rPr>
          <w:rFonts w:ascii="仿宋_GB2312" w:hAnsi="微软雅黑" w:eastAsia="仿宋_GB2312"/>
          <w:sz w:val="30"/>
          <w:szCs w:val="30"/>
        </w:rPr>
        <w:t>/一般做市商</w:t>
      </w:r>
      <w:r>
        <w:rPr>
          <w:rFonts w:hint="eastAsia" w:ascii="仿宋_GB2312" w:hAnsi="微软雅黑" w:eastAsia="仿宋_GB2312"/>
          <w:sz w:val="30"/>
          <w:szCs w:val="30"/>
        </w:rPr>
        <w:t>对自选</w:t>
      </w:r>
      <w:r>
        <w:rPr>
          <w:rFonts w:ascii="仿宋_GB2312" w:hAnsi="微软雅黑" w:eastAsia="仿宋_GB2312"/>
          <w:sz w:val="30"/>
          <w:szCs w:val="30"/>
        </w:rPr>
        <w:t>品种</w:t>
      </w:r>
      <w:r>
        <w:rPr>
          <w:rFonts w:hint="eastAsia" w:ascii="仿宋_GB2312" w:hAnsi="微软雅黑" w:eastAsia="仿宋_GB2312"/>
          <w:sz w:val="30"/>
          <w:szCs w:val="30"/>
        </w:rPr>
        <w:t>开展</w:t>
      </w:r>
      <w:r>
        <w:rPr>
          <w:rFonts w:ascii="仿宋_GB2312" w:hAnsi="微软雅黑" w:eastAsia="仿宋_GB2312"/>
          <w:sz w:val="30"/>
          <w:szCs w:val="30"/>
        </w:rPr>
        <w:t>做市</w:t>
      </w:r>
      <w:r>
        <w:rPr>
          <w:rFonts w:hint="eastAsia" w:ascii="仿宋_GB2312" w:hAnsi="微软雅黑" w:eastAsia="仿宋_GB2312"/>
          <w:sz w:val="30"/>
          <w:szCs w:val="30"/>
        </w:rPr>
        <w:t>业务</w:t>
      </w:r>
      <w:r>
        <w:rPr>
          <w:rFonts w:ascii="仿宋_GB2312" w:hAnsi="微软雅黑" w:eastAsia="仿宋_GB2312"/>
          <w:sz w:val="30"/>
          <w:szCs w:val="30"/>
        </w:rPr>
        <w:t>的，</w:t>
      </w:r>
      <w:r>
        <w:rPr>
          <w:rFonts w:hint="eastAsia" w:ascii="仿宋_GB2312" w:hAnsi="微软雅黑" w:eastAsia="仿宋_GB2312"/>
          <w:sz w:val="30"/>
          <w:szCs w:val="30"/>
        </w:rPr>
        <w:t>需在做市开始前至少2</w:t>
      </w:r>
      <w:r>
        <w:rPr>
          <w:rFonts w:ascii="仿宋_GB2312" w:hAnsi="微软雅黑" w:eastAsia="仿宋_GB2312"/>
          <w:sz w:val="30"/>
          <w:szCs w:val="30"/>
        </w:rPr>
        <w:t>个交易日</w:t>
      </w:r>
      <w:r>
        <w:rPr>
          <w:rFonts w:hint="eastAsia" w:ascii="仿宋_GB2312" w:hAnsi="微软雅黑" w:eastAsia="仿宋_GB2312"/>
          <w:sz w:val="30"/>
          <w:szCs w:val="30"/>
        </w:rPr>
        <w:t>选择自选做市品种，通过业管系统平台交易参与人模块向本所报备，经本所确认后自动生成清单挂网。其中，做市期限不得少于</w:t>
      </w:r>
      <w:r>
        <w:rPr>
          <w:rFonts w:ascii="仿宋_GB2312" w:hAnsi="微软雅黑" w:eastAsia="仿宋_GB2312"/>
          <w:sz w:val="30"/>
          <w:szCs w:val="30"/>
        </w:rPr>
        <w:t>1个月。</w:t>
      </w:r>
    </w:p>
    <w:p w14:paraId="4F30B0C2">
      <w:pPr>
        <w:spacing w:line="600" w:lineRule="exact"/>
        <w:ind w:left="567"/>
        <w:outlineLvl w:val="3"/>
        <w:rPr>
          <w:rFonts w:ascii="仿宋_GB2312" w:eastAsia="仿宋_GB2312"/>
          <w:b/>
          <w:sz w:val="30"/>
          <w:szCs w:val="30"/>
        </w:rPr>
      </w:pPr>
      <w:r>
        <w:rPr>
          <w:rFonts w:hint="eastAsia" w:ascii="仿宋_GB2312" w:eastAsia="仿宋_GB2312"/>
          <w:b/>
          <w:sz w:val="30"/>
          <w:szCs w:val="30"/>
        </w:rPr>
        <w:t>（4）信息展示</w:t>
      </w:r>
    </w:p>
    <w:p w14:paraId="019A1198">
      <w:pPr>
        <w:spacing w:line="600" w:lineRule="exact"/>
        <w:ind w:left="567"/>
        <w:outlineLvl w:val="3"/>
        <w:rPr>
          <w:rFonts w:ascii="仿宋_GB2312" w:eastAsia="仿宋_GB2312"/>
          <w:bCs/>
          <w:sz w:val="30"/>
          <w:szCs w:val="30"/>
        </w:rPr>
      </w:pPr>
      <w:r>
        <w:rPr>
          <w:rFonts w:hint="eastAsia" w:ascii="仿宋_GB2312" w:eastAsia="仿宋_GB2312"/>
          <w:bCs/>
          <w:sz w:val="30"/>
          <w:szCs w:val="30"/>
        </w:rPr>
        <w:t>本所做市业务正式启动后，进行以下信息展示：</w:t>
      </w:r>
    </w:p>
    <w:p w14:paraId="00C9C8F5">
      <w:pPr>
        <w:pStyle w:val="92"/>
        <w:widowControl w:val="0"/>
        <w:spacing w:line="600" w:lineRule="exact"/>
        <w:ind w:left="0" w:firstLine="600" w:firstLineChars="200"/>
        <w:rPr>
          <w:rFonts w:ascii="仿宋_GB2312" w:hAnsi="微软雅黑" w:eastAsia="仿宋_GB2312"/>
          <w:sz w:val="30"/>
          <w:szCs w:val="30"/>
          <w:lang w:eastAsia="zh-CN"/>
        </w:rPr>
      </w:pPr>
      <w:r>
        <w:rPr>
          <w:rFonts w:hint="eastAsia" w:ascii="仿宋_GB2312" w:hAnsi="微软雅黑" w:eastAsia="仿宋_GB2312"/>
          <w:sz w:val="30"/>
          <w:szCs w:val="30"/>
          <w:lang w:eastAsia="zh-CN"/>
        </w:rPr>
        <w:t>1）做市商清单</w:t>
      </w:r>
    </w:p>
    <w:p w14:paraId="5E0D2B22">
      <w:pPr>
        <w:pStyle w:val="92"/>
        <w:spacing w:line="600" w:lineRule="exact"/>
        <w:ind w:left="0" w:firstLine="567" w:firstLineChars="189"/>
        <w:rPr>
          <w:rFonts w:ascii="仿宋_GB2312" w:hAnsi="微软雅黑" w:eastAsia="仿宋_GB2312"/>
          <w:sz w:val="30"/>
          <w:szCs w:val="30"/>
          <w:lang w:eastAsia="zh-CN"/>
        </w:rPr>
      </w:pPr>
      <w:r>
        <w:rPr>
          <w:rFonts w:hint="eastAsia" w:ascii="仿宋_GB2312" w:hAnsi="微软雅黑" w:eastAsia="仿宋_GB2312"/>
          <w:sz w:val="30"/>
          <w:szCs w:val="30"/>
          <w:lang w:eastAsia="zh-CN"/>
        </w:rPr>
        <w:t>本所每日向市场公布主做市商及一般做市商名单。</w:t>
      </w:r>
    </w:p>
    <w:p w14:paraId="55FBD0E4">
      <w:pPr>
        <w:pStyle w:val="92"/>
        <w:widowControl w:val="0"/>
        <w:spacing w:line="600" w:lineRule="exact"/>
        <w:ind w:left="0" w:firstLine="600" w:firstLineChars="200"/>
        <w:rPr>
          <w:rFonts w:ascii="仿宋_GB2312" w:hAnsi="微软雅黑" w:eastAsia="仿宋_GB2312"/>
          <w:sz w:val="30"/>
          <w:szCs w:val="30"/>
          <w:lang w:eastAsia="zh-CN"/>
        </w:rPr>
      </w:pPr>
      <w:r>
        <w:rPr>
          <w:rFonts w:hint="eastAsia" w:ascii="仿宋_GB2312" w:hAnsi="微软雅黑" w:eastAsia="仿宋_GB2312"/>
          <w:sz w:val="30"/>
          <w:szCs w:val="30"/>
          <w:lang w:eastAsia="zh-CN"/>
        </w:rPr>
        <w:t>2）基准做市品种</w:t>
      </w:r>
    </w:p>
    <w:p w14:paraId="6D50FD31">
      <w:pPr>
        <w:pStyle w:val="92"/>
        <w:spacing w:line="600" w:lineRule="exact"/>
        <w:ind w:left="0" w:firstLine="567" w:firstLineChars="189"/>
        <w:rPr>
          <w:rFonts w:ascii="仿宋_GB2312" w:hAnsi="微软雅黑" w:eastAsia="仿宋_GB2312"/>
          <w:sz w:val="30"/>
          <w:szCs w:val="30"/>
          <w:lang w:eastAsia="zh-CN"/>
        </w:rPr>
      </w:pPr>
      <w:r>
        <w:rPr>
          <w:rFonts w:hint="eastAsia" w:ascii="仿宋_GB2312" w:hAnsi="微软雅黑" w:eastAsia="仿宋_GB2312"/>
          <w:sz w:val="30"/>
          <w:szCs w:val="30"/>
          <w:lang w:eastAsia="zh-CN"/>
        </w:rPr>
        <w:t>本所每日向市场公布当日利率债基准做市品种和信用债基准做市品种。</w:t>
      </w:r>
      <w:bookmarkStart w:id="1000" w:name="_Toc47347802"/>
      <w:bookmarkEnd w:id="1000"/>
      <w:bookmarkStart w:id="1001" w:name="_Toc47443700"/>
      <w:bookmarkEnd w:id="1001"/>
      <w:bookmarkStart w:id="1002" w:name="_Toc47443167"/>
      <w:bookmarkEnd w:id="1002"/>
      <w:bookmarkStart w:id="1003" w:name="_Toc47366817"/>
      <w:bookmarkEnd w:id="1003"/>
      <w:bookmarkStart w:id="1004" w:name="_Toc47346989"/>
      <w:bookmarkEnd w:id="1004"/>
      <w:bookmarkStart w:id="1005" w:name="_Toc47443052"/>
      <w:bookmarkEnd w:id="1005"/>
      <w:bookmarkStart w:id="1006" w:name="_Toc47455843"/>
      <w:bookmarkEnd w:id="1006"/>
      <w:bookmarkStart w:id="1007" w:name="_Toc47451547"/>
      <w:bookmarkEnd w:id="1007"/>
      <w:bookmarkStart w:id="1008" w:name="_Toc47443014"/>
      <w:bookmarkEnd w:id="1008"/>
      <w:bookmarkStart w:id="1009" w:name="_Toc47452134"/>
      <w:bookmarkEnd w:id="1009"/>
      <w:bookmarkStart w:id="1010" w:name="_Toc47372605"/>
      <w:bookmarkEnd w:id="1010"/>
      <w:bookmarkStart w:id="1011" w:name="_Toc47347823"/>
      <w:bookmarkEnd w:id="1011"/>
      <w:bookmarkStart w:id="1012" w:name="_Toc47372599"/>
      <w:bookmarkEnd w:id="1012"/>
      <w:bookmarkStart w:id="1013" w:name="_Toc47455831"/>
      <w:bookmarkEnd w:id="1013"/>
      <w:bookmarkStart w:id="1014" w:name="_Toc47455822"/>
      <w:bookmarkEnd w:id="1014"/>
      <w:bookmarkStart w:id="1015" w:name="_Toc47457060"/>
      <w:bookmarkEnd w:id="1015"/>
      <w:bookmarkStart w:id="1016" w:name="_Toc47443725"/>
      <w:bookmarkEnd w:id="1016"/>
      <w:bookmarkStart w:id="1017" w:name="_Toc47346967"/>
      <w:bookmarkEnd w:id="1017"/>
      <w:bookmarkStart w:id="1018" w:name="_Toc47443146"/>
      <w:bookmarkEnd w:id="1018"/>
      <w:bookmarkStart w:id="1019" w:name="_Toc47443741"/>
      <w:bookmarkEnd w:id="1019"/>
      <w:bookmarkStart w:id="1020" w:name="_Toc47443699"/>
      <w:bookmarkEnd w:id="1020"/>
      <w:bookmarkStart w:id="1021" w:name="_Toc47372600"/>
      <w:bookmarkEnd w:id="1021"/>
      <w:bookmarkStart w:id="1022" w:name="_Toc47455852"/>
      <w:bookmarkEnd w:id="1022"/>
      <w:bookmarkStart w:id="1023" w:name="_Toc47452153"/>
      <w:bookmarkEnd w:id="1023"/>
      <w:bookmarkStart w:id="1024" w:name="_Toc47452132"/>
      <w:bookmarkEnd w:id="1024"/>
      <w:bookmarkStart w:id="1025" w:name="_Toc47443153"/>
      <w:bookmarkEnd w:id="1025"/>
      <w:bookmarkStart w:id="1026" w:name="_Toc47451511"/>
      <w:bookmarkEnd w:id="1026"/>
      <w:bookmarkStart w:id="1027" w:name="_Toc47451780"/>
      <w:bookmarkEnd w:id="1027"/>
      <w:bookmarkStart w:id="1028" w:name="_Toc47366789"/>
      <w:bookmarkEnd w:id="1028"/>
      <w:bookmarkStart w:id="1029" w:name="_Toc47443698"/>
      <w:bookmarkEnd w:id="1029"/>
      <w:bookmarkStart w:id="1030" w:name="_Toc47443068"/>
      <w:bookmarkEnd w:id="1030"/>
      <w:bookmarkStart w:id="1031" w:name="_Toc47372607"/>
      <w:bookmarkEnd w:id="1031"/>
      <w:bookmarkStart w:id="1032" w:name="_Toc47443738"/>
      <w:bookmarkEnd w:id="1032"/>
      <w:bookmarkStart w:id="1033" w:name="_Toc47346948"/>
      <w:bookmarkEnd w:id="1033"/>
      <w:bookmarkStart w:id="1034" w:name="_Toc47366823"/>
      <w:bookmarkEnd w:id="1034"/>
      <w:bookmarkStart w:id="1035" w:name="_Toc47452146"/>
      <w:bookmarkEnd w:id="1035"/>
      <w:bookmarkStart w:id="1036" w:name="_Toc47451799"/>
      <w:bookmarkEnd w:id="1036"/>
      <w:bookmarkStart w:id="1037" w:name="_Toc47443155"/>
      <w:bookmarkEnd w:id="1037"/>
      <w:bookmarkStart w:id="1038" w:name="_Toc47451512"/>
      <w:bookmarkEnd w:id="1038"/>
      <w:bookmarkStart w:id="1039" w:name="_Toc47457068"/>
      <w:bookmarkEnd w:id="1039"/>
      <w:bookmarkStart w:id="1040" w:name="_Toc47443055"/>
      <w:bookmarkEnd w:id="1040"/>
      <w:bookmarkStart w:id="1041" w:name="_Toc47451414"/>
      <w:bookmarkEnd w:id="1041"/>
      <w:bookmarkStart w:id="1042" w:name="_Toc47443752"/>
      <w:bookmarkEnd w:id="1042"/>
      <w:bookmarkStart w:id="1043" w:name="_Toc47443024"/>
      <w:bookmarkEnd w:id="1043"/>
      <w:bookmarkStart w:id="1044" w:name="_Toc47443748"/>
      <w:bookmarkEnd w:id="1044"/>
      <w:bookmarkStart w:id="1045" w:name="_Toc47443734"/>
      <w:bookmarkEnd w:id="1045"/>
      <w:bookmarkStart w:id="1046" w:name="_Toc47372621"/>
      <w:bookmarkEnd w:id="1046"/>
      <w:bookmarkStart w:id="1047" w:name="_Toc47451436"/>
      <w:bookmarkEnd w:id="1047"/>
      <w:bookmarkStart w:id="1048" w:name="_Toc47366797"/>
      <w:bookmarkEnd w:id="1048"/>
      <w:bookmarkStart w:id="1049" w:name="_Toc47451558"/>
      <w:bookmarkEnd w:id="1049"/>
      <w:bookmarkStart w:id="1050" w:name="_Toc47443037"/>
      <w:bookmarkEnd w:id="1050"/>
      <w:bookmarkStart w:id="1051" w:name="_Toc47451532"/>
      <w:bookmarkEnd w:id="1051"/>
      <w:bookmarkStart w:id="1052" w:name="_Toc47451557"/>
      <w:bookmarkEnd w:id="1052"/>
      <w:bookmarkStart w:id="1053" w:name="_Toc47372586"/>
      <w:bookmarkEnd w:id="1053"/>
      <w:bookmarkStart w:id="1054" w:name="_Toc47451821"/>
      <w:bookmarkEnd w:id="1054"/>
      <w:bookmarkStart w:id="1055" w:name="_Toc47372609"/>
      <w:bookmarkEnd w:id="1055"/>
      <w:bookmarkStart w:id="1056" w:name="_Toc47457061"/>
      <w:bookmarkEnd w:id="1056"/>
      <w:bookmarkStart w:id="1057" w:name="_Toc47452154"/>
      <w:bookmarkEnd w:id="1057"/>
      <w:bookmarkStart w:id="1058" w:name="_Toc47366781"/>
      <w:bookmarkEnd w:id="1058"/>
      <w:bookmarkStart w:id="1059" w:name="_Toc47443028"/>
      <w:bookmarkEnd w:id="1059"/>
      <w:bookmarkStart w:id="1060" w:name="_Toc47366811"/>
      <w:bookmarkEnd w:id="1060"/>
      <w:bookmarkStart w:id="1061" w:name="_Toc47451775"/>
      <w:bookmarkEnd w:id="1061"/>
      <w:bookmarkStart w:id="1062" w:name="_Toc47443171"/>
      <w:bookmarkEnd w:id="1062"/>
      <w:bookmarkStart w:id="1063" w:name="_Toc47443751"/>
      <w:bookmarkEnd w:id="1063"/>
      <w:bookmarkStart w:id="1064" w:name="_Toc47443740"/>
      <w:bookmarkEnd w:id="1064"/>
      <w:bookmarkStart w:id="1065" w:name="_Toc47347779"/>
      <w:bookmarkEnd w:id="1065"/>
      <w:bookmarkStart w:id="1066" w:name="_Toc47443701"/>
      <w:bookmarkEnd w:id="1066"/>
      <w:bookmarkStart w:id="1067" w:name="_Toc47366793"/>
      <w:bookmarkEnd w:id="1067"/>
      <w:bookmarkStart w:id="1068" w:name="_Toc47443043"/>
      <w:bookmarkEnd w:id="1068"/>
      <w:bookmarkStart w:id="1069" w:name="_Toc47443754"/>
      <w:bookmarkEnd w:id="1069"/>
      <w:bookmarkStart w:id="1070" w:name="_Toc47346957"/>
      <w:bookmarkEnd w:id="1070"/>
      <w:bookmarkStart w:id="1071" w:name="_Toc47346943"/>
      <w:bookmarkEnd w:id="1071"/>
      <w:bookmarkStart w:id="1072" w:name="_Toc47457058"/>
      <w:bookmarkEnd w:id="1072"/>
      <w:bookmarkStart w:id="1073" w:name="_Toc47443131"/>
      <w:bookmarkEnd w:id="1073"/>
      <w:bookmarkStart w:id="1074" w:name="_Toc47443128"/>
      <w:bookmarkEnd w:id="1074"/>
      <w:bookmarkStart w:id="1075" w:name="_Toc47366816"/>
      <w:bookmarkEnd w:id="1075"/>
      <w:bookmarkStart w:id="1076" w:name="_Toc47443747"/>
      <w:bookmarkEnd w:id="1076"/>
      <w:bookmarkStart w:id="1077" w:name="_Toc47443053"/>
      <w:bookmarkEnd w:id="1077"/>
      <w:bookmarkStart w:id="1078" w:name="_Toc47452128"/>
      <w:bookmarkEnd w:id="1078"/>
      <w:bookmarkStart w:id="1079" w:name="_Toc47457083"/>
      <w:bookmarkEnd w:id="1079"/>
      <w:bookmarkStart w:id="1080" w:name="_Toc47366819"/>
      <w:bookmarkEnd w:id="1080"/>
      <w:bookmarkStart w:id="1081" w:name="_Toc47451802"/>
      <w:bookmarkEnd w:id="1081"/>
      <w:bookmarkStart w:id="1082" w:name="_Toc47372587"/>
      <w:bookmarkEnd w:id="1082"/>
      <w:bookmarkStart w:id="1083" w:name="_Toc47443743"/>
      <w:bookmarkEnd w:id="1083"/>
      <w:bookmarkStart w:id="1084" w:name="_Toc47443023"/>
      <w:bookmarkEnd w:id="1084"/>
      <w:bookmarkStart w:id="1085" w:name="_Toc47346935"/>
      <w:bookmarkEnd w:id="1085"/>
      <w:bookmarkStart w:id="1086" w:name="_Toc47347786"/>
      <w:bookmarkEnd w:id="1086"/>
      <w:bookmarkStart w:id="1087" w:name="_Toc47443704"/>
      <w:bookmarkEnd w:id="1087"/>
      <w:bookmarkStart w:id="1088" w:name="_Toc47366814"/>
      <w:bookmarkEnd w:id="1088"/>
      <w:bookmarkStart w:id="1089" w:name="_Toc47451519"/>
      <w:bookmarkEnd w:id="1089"/>
      <w:bookmarkStart w:id="1090" w:name="_Toc47451423"/>
      <w:bookmarkEnd w:id="1090"/>
      <w:bookmarkStart w:id="1091" w:name="_Toc41578214"/>
      <w:bookmarkEnd w:id="1091"/>
      <w:bookmarkStart w:id="1092" w:name="_Toc47443710"/>
      <w:bookmarkEnd w:id="1092"/>
      <w:bookmarkStart w:id="1093" w:name="_Toc47346941"/>
      <w:bookmarkEnd w:id="1093"/>
      <w:bookmarkStart w:id="1094" w:name="_Toc47451514"/>
      <w:bookmarkEnd w:id="1094"/>
      <w:bookmarkStart w:id="1095" w:name="_Toc47457092"/>
      <w:bookmarkEnd w:id="1095"/>
      <w:bookmarkStart w:id="1096" w:name="_Toc47451564"/>
      <w:bookmarkEnd w:id="1096"/>
      <w:bookmarkStart w:id="1097" w:name="_Toc47457108"/>
      <w:bookmarkEnd w:id="1097"/>
      <w:bookmarkStart w:id="1098" w:name="_Toc47346956"/>
      <w:bookmarkEnd w:id="1098"/>
      <w:bookmarkStart w:id="1099" w:name="_Toc47451433"/>
      <w:bookmarkEnd w:id="1099"/>
      <w:bookmarkStart w:id="1100" w:name="_Toc47443753"/>
      <w:bookmarkEnd w:id="1100"/>
      <w:bookmarkStart w:id="1101" w:name="_Toc47452120"/>
      <w:bookmarkEnd w:id="1101"/>
      <w:bookmarkStart w:id="1102" w:name="_Toc47443045"/>
      <w:bookmarkEnd w:id="1102"/>
      <w:bookmarkStart w:id="1103" w:name="_Toc47443032"/>
      <w:bookmarkEnd w:id="1103"/>
      <w:bookmarkStart w:id="1104" w:name="_Toc47455820"/>
      <w:bookmarkEnd w:id="1104"/>
      <w:bookmarkStart w:id="1105" w:name="_Toc47372580"/>
      <w:bookmarkEnd w:id="1105"/>
      <w:bookmarkStart w:id="1106" w:name="_Toc47372628"/>
      <w:bookmarkEnd w:id="1106"/>
      <w:bookmarkStart w:id="1107" w:name="_Toc47443031"/>
      <w:bookmarkEnd w:id="1107"/>
      <w:bookmarkStart w:id="1108" w:name="_Toc47451824"/>
      <w:bookmarkEnd w:id="1108"/>
      <w:bookmarkStart w:id="1109" w:name="_Toc47366830"/>
      <w:bookmarkEnd w:id="1109"/>
      <w:bookmarkStart w:id="1110" w:name="_Toc47366784"/>
      <w:bookmarkEnd w:id="1110"/>
      <w:bookmarkStart w:id="1111" w:name="_Toc47451552"/>
      <w:bookmarkEnd w:id="1111"/>
      <w:bookmarkStart w:id="1112" w:name="_Toc47346952"/>
      <w:bookmarkEnd w:id="1112"/>
      <w:bookmarkStart w:id="1113" w:name="_Toc47457070"/>
      <w:bookmarkEnd w:id="1113"/>
      <w:bookmarkStart w:id="1114" w:name="_Toc47366804"/>
      <w:bookmarkEnd w:id="1114"/>
      <w:bookmarkStart w:id="1115" w:name="_Toc47455841"/>
      <w:bookmarkEnd w:id="1115"/>
      <w:bookmarkStart w:id="1116" w:name="_Toc47443140"/>
      <w:bookmarkEnd w:id="1116"/>
      <w:bookmarkStart w:id="1117" w:name="_Toc47451561"/>
      <w:bookmarkEnd w:id="1117"/>
      <w:bookmarkStart w:id="1118" w:name="_Toc47443165"/>
      <w:bookmarkEnd w:id="1118"/>
      <w:bookmarkStart w:id="1119" w:name="_Toc47457085"/>
      <w:bookmarkEnd w:id="1119"/>
      <w:bookmarkStart w:id="1120" w:name="_Toc47366810"/>
      <w:bookmarkEnd w:id="1120"/>
      <w:bookmarkStart w:id="1121" w:name="_Toc47372612"/>
      <w:bookmarkEnd w:id="1121"/>
      <w:bookmarkStart w:id="1122" w:name="_Toc47451432"/>
      <w:bookmarkEnd w:id="1122"/>
      <w:bookmarkStart w:id="1123" w:name="_Toc47452107"/>
      <w:bookmarkEnd w:id="1123"/>
      <w:bookmarkStart w:id="1124" w:name="_Toc47457084"/>
      <w:bookmarkEnd w:id="1124"/>
      <w:bookmarkStart w:id="1125" w:name="_Toc47443744"/>
      <w:bookmarkEnd w:id="1125"/>
      <w:bookmarkStart w:id="1126" w:name="_Toc47451420"/>
      <w:bookmarkEnd w:id="1126"/>
      <w:bookmarkStart w:id="1127" w:name="_Toc47455828"/>
      <w:bookmarkEnd w:id="1127"/>
      <w:bookmarkStart w:id="1128" w:name="_Toc47455826"/>
      <w:bookmarkEnd w:id="1128"/>
      <w:bookmarkStart w:id="1129" w:name="_Toc47443729"/>
      <w:bookmarkEnd w:id="1129"/>
      <w:bookmarkStart w:id="1130" w:name="_Toc47372583"/>
      <w:bookmarkEnd w:id="1130"/>
      <w:bookmarkStart w:id="1131" w:name="_Toc47443127"/>
      <w:bookmarkEnd w:id="1131"/>
      <w:bookmarkStart w:id="1132" w:name="_Toc47346937"/>
      <w:bookmarkEnd w:id="1132"/>
      <w:bookmarkStart w:id="1133" w:name="_Toc47366774"/>
      <w:bookmarkEnd w:id="1133"/>
      <w:bookmarkStart w:id="1134" w:name="_Toc47372577"/>
      <w:bookmarkEnd w:id="1134"/>
      <w:bookmarkStart w:id="1135" w:name="_Toc47451826"/>
      <w:bookmarkEnd w:id="1135"/>
      <w:bookmarkStart w:id="1136" w:name="_Toc47366777"/>
      <w:bookmarkEnd w:id="1136"/>
      <w:bookmarkStart w:id="1137" w:name="_Toc47346951"/>
      <w:bookmarkEnd w:id="1137"/>
      <w:bookmarkStart w:id="1138" w:name="_Toc47451805"/>
      <w:bookmarkEnd w:id="1138"/>
      <w:bookmarkStart w:id="1139" w:name="_Toc47347788"/>
      <w:bookmarkEnd w:id="1139"/>
      <w:bookmarkStart w:id="1140" w:name="_Toc47347785"/>
      <w:bookmarkEnd w:id="1140"/>
      <w:bookmarkStart w:id="1141" w:name="_Toc47346976"/>
      <w:bookmarkEnd w:id="1141"/>
      <w:bookmarkStart w:id="1142" w:name="_Toc47443018"/>
      <w:bookmarkEnd w:id="1142"/>
      <w:bookmarkStart w:id="1143" w:name="_Toc47347820"/>
      <w:bookmarkEnd w:id="1143"/>
      <w:bookmarkStart w:id="1144" w:name="_Toc47452103"/>
      <w:bookmarkEnd w:id="1144"/>
      <w:bookmarkStart w:id="1145" w:name="_Toc47372591"/>
      <w:bookmarkEnd w:id="1145"/>
      <w:bookmarkStart w:id="1146" w:name="_Toc47443125"/>
      <w:bookmarkEnd w:id="1146"/>
      <w:bookmarkStart w:id="1147" w:name="_Toc47457071"/>
      <w:bookmarkEnd w:id="1147"/>
      <w:bookmarkStart w:id="1148" w:name="_Toc47443071"/>
      <w:bookmarkEnd w:id="1148"/>
      <w:bookmarkStart w:id="1149" w:name="_Toc47346934"/>
      <w:bookmarkEnd w:id="1149"/>
      <w:bookmarkStart w:id="1150" w:name="_Toc47366776"/>
      <w:bookmarkEnd w:id="1150"/>
      <w:bookmarkStart w:id="1151" w:name="_Toc47443179"/>
      <w:bookmarkEnd w:id="1151"/>
      <w:bookmarkStart w:id="1152" w:name="_Toc47455802"/>
      <w:bookmarkEnd w:id="1152"/>
      <w:bookmarkStart w:id="1153" w:name="_Toc47451424"/>
      <w:bookmarkEnd w:id="1153"/>
      <w:bookmarkStart w:id="1154" w:name="_Toc47372576"/>
      <w:bookmarkEnd w:id="1154"/>
      <w:bookmarkStart w:id="1155" w:name="_Toc47366779"/>
      <w:bookmarkEnd w:id="1155"/>
      <w:bookmarkStart w:id="1156" w:name="_Toc47443181"/>
      <w:bookmarkEnd w:id="1156"/>
      <w:bookmarkStart w:id="1157" w:name="_Toc47457072"/>
      <w:bookmarkEnd w:id="1157"/>
      <w:bookmarkStart w:id="1158" w:name="_Toc47443025"/>
      <w:bookmarkEnd w:id="1158"/>
      <w:bookmarkStart w:id="1159" w:name="_Toc47443134"/>
      <w:bookmarkEnd w:id="1159"/>
      <w:bookmarkStart w:id="1160" w:name="_Toc47455797"/>
      <w:bookmarkEnd w:id="1160"/>
      <w:bookmarkStart w:id="1161" w:name="_Toc47455811"/>
      <w:bookmarkEnd w:id="1161"/>
      <w:bookmarkStart w:id="1162" w:name="_Toc47372601"/>
      <w:bookmarkEnd w:id="1162"/>
      <w:bookmarkStart w:id="1163" w:name="_Toc47443033"/>
      <w:bookmarkEnd w:id="1163"/>
      <w:bookmarkStart w:id="1164" w:name="_Toc47451820"/>
      <w:bookmarkEnd w:id="1164"/>
      <w:bookmarkStart w:id="1165" w:name="_Toc47451536"/>
      <w:bookmarkEnd w:id="1165"/>
      <w:bookmarkStart w:id="1166" w:name="_Toc47455812"/>
      <w:bookmarkEnd w:id="1166"/>
      <w:bookmarkStart w:id="1167" w:name="_Toc47443061"/>
      <w:bookmarkEnd w:id="1167"/>
      <w:bookmarkStart w:id="1168" w:name="_Toc47443713"/>
      <w:bookmarkEnd w:id="1168"/>
      <w:bookmarkStart w:id="1169" w:name="_Toc47455825"/>
      <w:bookmarkEnd w:id="1169"/>
      <w:bookmarkStart w:id="1170" w:name="_Toc47346949"/>
      <w:bookmarkEnd w:id="1170"/>
      <w:bookmarkStart w:id="1171" w:name="_Toc47451550"/>
      <w:bookmarkEnd w:id="1171"/>
      <w:bookmarkStart w:id="1172" w:name="_Toc47457082"/>
      <w:bookmarkEnd w:id="1172"/>
      <w:bookmarkStart w:id="1173" w:name="_Toc47443064"/>
      <w:bookmarkEnd w:id="1173"/>
      <w:bookmarkStart w:id="1174" w:name="_Toc47346991"/>
      <w:bookmarkEnd w:id="1174"/>
      <w:bookmarkStart w:id="1175" w:name="_Toc47455821"/>
      <w:bookmarkEnd w:id="1175"/>
      <w:bookmarkStart w:id="1176" w:name="_Toc47451402"/>
      <w:bookmarkEnd w:id="1176"/>
      <w:bookmarkStart w:id="1177" w:name="_Toc47372611"/>
      <w:bookmarkEnd w:id="1177"/>
      <w:bookmarkStart w:id="1178" w:name="_Toc47451797"/>
      <w:bookmarkEnd w:id="1178"/>
      <w:bookmarkStart w:id="1179" w:name="_Toc47346945"/>
      <w:bookmarkEnd w:id="1179"/>
      <w:bookmarkStart w:id="1180" w:name="_Toc47451445"/>
      <w:bookmarkEnd w:id="1180"/>
      <w:bookmarkStart w:id="1181" w:name="_Toc47452139"/>
      <w:bookmarkEnd w:id="1181"/>
      <w:bookmarkStart w:id="1182" w:name="_Toc47443152"/>
      <w:bookmarkEnd w:id="1182"/>
      <w:bookmarkStart w:id="1183" w:name="_Toc47452111"/>
      <w:bookmarkEnd w:id="1183"/>
      <w:bookmarkStart w:id="1184" w:name="_Toc47372624"/>
      <w:bookmarkEnd w:id="1184"/>
      <w:bookmarkStart w:id="1185" w:name="_Toc47457109"/>
      <w:bookmarkEnd w:id="1185"/>
      <w:bookmarkStart w:id="1186" w:name="_Toc41581061"/>
      <w:bookmarkEnd w:id="1186"/>
      <w:bookmarkStart w:id="1187" w:name="_Toc47451439"/>
      <w:bookmarkEnd w:id="1187"/>
      <w:bookmarkStart w:id="1188" w:name="_Toc47451544"/>
      <w:bookmarkEnd w:id="1188"/>
      <w:bookmarkStart w:id="1189" w:name="_Toc47451540"/>
      <w:bookmarkEnd w:id="1189"/>
      <w:bookmarkStart w:id="1190" w:name="_Toc47443035"/>
      <w:bookmarkEnd w:id="1190"/>
      <w:bookmarkStart w:id="1191" w:name="_Toc47451788"/>
      <w:bookmarkEnd w:id="1191"/>
      <w:bookmarkStart w:id="1192" w:name="_Toc47347810"/>
      <w:bookmarkEnd w:id="1192"/>
      <w:bookmarkStart w:id="1193" w:name="_Toc47443143"/>
      <w:bookmarkEnd w:id="1193"/>
      <w:bookmarkStart w:id="1194" w:name="_Toc47366785"/>
      <w:bookmarkEnd w:id="1194"/>
      <w:bookmarkStart w:id="1195" w:name="_Toc47346979"/>
      <w:bookmarkEnd w:id="1195"/>
      <w:bookmarkStart w:id="1196" w:name="_Toc47451390"/>
      <w:bookmarkEnd w:id="1196"/>
      <w:bookmarkStart w:id="1197" w:name="_Toc47443750"/>
      <w:bookmarkEnd w:id="1197"/>
      <w:bookmarkStart w:id="1198" w:name="_Toc47346944"/>
      <w:bookmarkEnd w:id="1198"/>
      <w:bookmarkStart w:id="1199" w:name="_Toc47347811"/>
      <w:bookmarkEnd w:id="1199"/>
      <w:bookmarkStart w:id="1200" w:name="_Toc47443176"/>
      <w:bookmarkEnd w:id="1200"/>
      <w:bookmarkStart w:id="1201" w:name="_Toc47457078"/>
      <w:bookmarkEnd w:id="1201"/>
      <w:bookmarkStart w:id="1202" w:name="_Toc47457054"/>
      <w:bookmarkEnd w:id="1202"/>
      <w:bookmarkStart w:id="1203" w:name="_Toc47455795"/>
      <w:bookmarkEnd w:id="1203"/>
      <w:bookmarkStart w:id="1204" w:name="_Toc47451790"/>
      <w:bookmarkEnd w:id="1204"/>
      <w:bookmarkStart w:id="1205" w:name="_Toc47457080"/>
      <w:bookmarkEnd w:id="1205"/>
      <w:bookmarkStart w:id="1206" w:name="_Toc47366799"/>
      <w:bookmarkEnd w:id="1206"/>
      <w:bookmarkStart w:id="1207" w:name="_Toc47346973"/>
      <w:bookmarkEnd w:id="1207"/>
      <w:bookmarkStart w:id="1208" w:name="_Toc47451520"/>
      <w:bookmarkEnd w:id="1208"/>
      <w:bookmarkStart w:id="1209" w:name="_Toc47451529"/>
      <w:bookmarkEnd w:id="1209"/>
      <w:bookmarkStart w:id="1210" w:name="_Toc47451549"/>
      <w:bookmarkEnd w:id="1210"/>
      <w:bookmarkStart w:id="1211" w:name="_Toc47347812"/>
      <w:bookmarkEnd w:id="1211"/>
      <w:bookmarkStart w:id="1212" w:name="_Toc47347799"/>
      <w:bookmarkEnd w:id="1212"/>
      <w:bookmarkStart w:id="1213" w:name="_Toc47372573"/>
      <w:bookmarkEnd w:id="1213"/>
      <w:bookmarkStart w:id="1214" w:name="_Toc47451555"/>
      <w:bookmarkEnd w:id="1214"/>
      <w:bookmarkStart w:id="1215" w:name="_Toc47443697"/>
      <w:bookmarkEnd w:id="1215"/>
      <w:bookmarkStart w:id="1216" w:name="_Toc47366796"/>
      <w:bookmarkEnd w:id="1216"/>
      <w:bookmarkStart w:id="1217" w:name="_Toc47457064"/>
      <w:bookmarkEnd w:id="1217"/>
      <w:bookmarkStart w:id="1218" w:name="_Toc47443050"/>
      <w:bookmarkEnd w:id="1218"/>
      <w:bookmarkStart w:id="1219" w:name="_Toc47457069"/>
      <w:bookmarkEnd w:id="1219"/>
      <w:bookmarkStart w:id="1220" w:name="_Toc47451431"/>
      <w:bookmarkEnd w:id="1220"/>
      <w:bookmarkStart w:id="1221" w:name="_Toc47347800"/>
      <w:bookmarkEnd w:id="1221"/>
      <w:bookmarkStart w:id="1222" w:name="_Toc47451783"/>
      <w:bookmarkEnd w:id="1222"/>
      <w:bookmarkStart w:id="1223" w:name="_Toc47451539"/>
      <w:bookmarkEnd w:id="1223"/>
      <w:bookmarkStart w:id="1224" w:name="_Toc47455827"/>
      <w:bookmarkEnd w:id="1224"/>
      <w:bookmarkStart w:id="1225" w:name="_Toc47457089"/>
      <w:bookmarkEnd w:id="1225"/>
      <w:bookmarkStart w:id="1226" w:name="_Toc47455801"/>
      <w:bookmarkEnd w:id="1226"/>
      <w:bookmarkStart w:id="1227" w:name="_Toc47451537"/>
      <w:bookmarkEnd w:id="1227"/>
      <w:bookmarkStart w:id="1228" w:name="_Toc47346946"/>
      <w:bookmarkEnd w:id="1228"/>
      <w:bookmarkStart w:id="1229" w:name="_Toc47443022"/>
      <w:bookmarkEnd w:id="1229"/>
      <w:bookmarkStart w:id="1230" w:name="_Toc47451815"/>
      <w:bookmarkEnd w:id="1230"/>
      <w:bookmarkStart w:id="1231" w:name="_Toc47346974"/>
      <w:bookmarkEnd w:id="1231"/>
      <w:bookmarkStart w:id="1232" w:name="_Toc47457077"/>
      <w:bookmarkEnd w:id="1232"/>
      <w:bookmarkStart w:id="1233" w:name="_Toc47443057"/>
      <w:bookmarkEnd w:id="1233"/>
      <w:bookmarkStart w:id="1234" w:name="_Toc47452127"/>
      <w:bookmarkEnd w:id="1234"/>
      <w:bookmarkStart w:id="1235" w:name="_Toc47451825"/>
      <w:bookmarkEnd w:id="1235"/>
      <w:bookmarkStart w:id="1236" w:name="_Toc47451786"/>
      <w:bookmarkEnd w:id="1236"/>
      <w:bookmarkStart w:id="1237" w:name="_Toc47451526"/>
      <w:bookmarkEnd w:id="1237"/>
      <w:bookmarkStart w:id="1238" w:name="_Toc47346940"/>
      <w:bookmarkEnd w:id="1238"/>
      <w:bookmarkStart w:id="1239" w:name="_Toc47443041"/>
      <w:bookmarkEnd w:id="1239"/>
      <w:bookmarkStart w:id="1240" w:name="_Toc47443736"/>
      <w:bookmarkEnd w:id="1240"/>
      <w:bookmarkStart w:id="1241" w:name="_Toc47451554"/>
      <w:bookmarkEnd w:id="1241"/>
      <w:bookmarkStart w:id="1242" w:name="_Toc47452123"/>
      <w:bookmarkEnd w:id="1242"/>
      <w:bookmarkStart w:id="1243" w:name="_Toc47443062"/>
      <w:bookmarkEnd w:id="1243"/>
      <w:bookmarkStart w:id="1244" w:name="_Toc47347816"/>
      <w:bookmarkEnd w:id="1244"/>
      <w:bookmarkStart w:id="1245" w:name="_Toc47451827"/>
      <w:bookmarkEnd w:id="1245"/>
      <w:bookmarkStart w:id="1246" w:name="_Toc47443029"/>
      <w:bookmarkEnd w:id="1246"/>
      <w:bookmarkStart w:id="1247" w:name="_Toc47452137"/>
      <w:bookmarkEnd w:id="1247"/>
      <w:bookmarkStart w:id="1248" w:name="_Toc47347818"/>
      <w:bookmarkEnd w:id="1248"/>
      <w:bookmarkStart w:id="1249" w:name="_Toc47451818"/>
      <w:bookmarkEnd w:id="1249"/>
      <w:bookmarkStart w:id="1250" w:name="_Toc47455815"/>
      <w:bookmarkEnd w:id="1250"/>
      <w:bookmarkStart w:id="1251" w:name="_Toc47457059"/>
      <w:bookmarkEnd w:id="1251"/>
      <w:bookmarkStart w:id="1252" w:name="_Toc47443040"/>
      <w:bookmarkEnd w:id="1252"/>
      <w:bookmarkStart w:id="1253" w:name="_Toc47372593"/>
      <w:bookmarkEnd w:id="1253"/>
      <w:bookmarkStart w:id="1254" w:name="_Toc47443021"/>
      <w:bookmarkEnd w:id="1254"/>
      <w:bookmarkStart w:id="1255" w:name="_Toc47366822"/>
      <w:bookmarkEnd w:id="1255"/>
      <w:bookmarkStart w:id="1256" w:name="_Toc47372626"/>
      <w:bookmarkEnd w:id="1256"/>
      <w:bookmarkStart w:id="1257" w:name="_Toc47366827"/>
      <w:bookmarkEnd w:id="1257"/>
      <w:bookmarkStart w:id="1258" w:name="_Toc47443145"/>
      <w:bookmarkEnd w:id="1258"/>
      <w:bookmarkStart w:id="1259" w:name="_Toc47451515"/>
      <w:bookmarkEnd w:id="1259"/>
      <w:bookmarkStart w:id="1260" w:name="_Toc47372618"/>
      <w:bookmarkEnd w:id="1260"/>
      <w:bookmarkStart w:id="1261" w:name="_Toc47366806"/>
      <w:bookmarkEnd w:id="1261"/>
      <w:bookmarkStart w:id="1262" w:name="_Toc47451425"/>
      <w:bookmarkEnd w:id="1262"/>
      <w:bookmarkStart w:id="1263" w:name="_Toc47457055"/>
      <w:bookmarkEnd w:id="1263"/>
      <w:bookmarkStart w:id="1264" w:name="_Toc47451548"/>
      <w:bookmarkEnd w:id="1264"/>
      <w:bookmarkStart w:id="1265" w:name="_Toc47452143"/>
      <w:bookmarkEnd w:id="1265"/>
      <w:bookmarkStart w:id="1266" w:name="_Toc47457110"/>
      <w:bookmarkEnd w:id="1266"/>
      <w:bookmarkStart w:id="1267" w:name="_Toc41580859"/>
      <w:bookmarkEnd w:id="1267"/>
      <w:bookmarkStart w:id="1268" w:name="_Toc47451829"/>
      <w:bookmarkEnd w:id="1268"/>
      <w:bookmarkStart w:id="1269" w:name="_Toc47372622"/>
      <w:bookmarkEnd w:id="1269"/>
      <w:bookmarkStart w:id="1270" w:name="_Toc47366795"/>
      <w:bookmarkEnd w:id="1270"/>
      <w:bookmarkStart w:id="1271" w:name="_Toc47443705"/>
      <w:bookmarkEnd w:id="1271"/>
      <w:bookmarkStart w:id="1272" w:name="_Toc47451800"/>
      <w:bookmarkEnd w:id="1272"/>
      <w:bookmarkStart w:id="1273" w:name="_Toc47443136"/>
      <w:bookmarkEnd w:id="1273"/>
      <w:bookmarkStart w:id="1274" w:name="_Toc47443154"/>
      <w:bookmarkEnd w:id="1274"/>
      <w:bookmarkStart w:id="1275" w:name="_Toc47451779"/>
      <w:bookmarkEnd w:id="1275"/>
      <w:bookmarkStart w:id="1276" w:name="_Toc47443735"/>
      <w:bookmarkEnd w:id="1276"/>
      <w:bookmarkStart w:id="1277" w:name="_Toc47451507"/>
      <w:bookmarkEnd w:id="1277"/>
      <w:bookmarkStart w:id="1278" w:name="_Toc47451438"/>
      <w:bookmarkEnd w:id="1278"/>
      <w:bookmarkStart w:id="1279" w:name="_Toc47443026"/>
      <w:bookmarkEnd w:id="1279"/>
      <w:bookmarkStart w:id="1280" w:name="_Toc47455800"/>
      <w:bookmarkEnd w:id="1280"/>
      <w:bookmarkStart w:id="1281" w:name="_Toc47457101"/>
      <w:bookmarkEnd w:id="1281"/>
      <w:bookmarkStart w:id="1282" w:name="_Toc47347822"/>
      <w:bookmarkEnd w:id="1282"/>
      <w:bookmarkStart w:id="1283" w:name="_Toc47451811"/>
      <w:bookmarkEnd w:id="1283"/>
      <w:bookmarkStart w:id="1284" w:name="_Toc47346992"/>
      <w:bookmarkEnd w:id="1284"/>
      <w:bookmarkStart w:id="1285" w:name="_Toc47452140"/>
      <w:bookmarkEnd w:id="1285"/>
      <w:bookmarkStart w:id="1286" w:name="_Toc47443034"/>
      <w:bookmarkEnd w:id="1286"/>
      <w:bookmarkStart w:id="1287" w:name="_Toc47457081"/>
      <w:bookmarkEnd w:id="1287"/>
      <w:bookmarkStart w:id="1288" w:name="_Toc47451806"/>
      <w:bookmarkEnd w:id="1288"/>
      <w:bookmarkStart w:id="1289" w:name="_Toc47443730"/>
      <w:bookmarkEnd w:id="1289"/>
      <w:bookmarkStart w:id="1290" w:name="_Toc47347792"/>
      <w:bookmarkEnd w:id="1290"/>
      <w:bookmarkStart w:id="1291" w:name="_Toc47366828"/>
      <w:bookmarkEnd w:id="1291"/>
      <w:bookmarkStart w:id="1292" w:name="_Toc47457087"/>
      <w:bookmarkEnd w:id="1292"/>
      <w:bookmarkStart w:id="1293" w:name="_Toc47347778"/>
      <w:bookmarkEnd w:id="1293"/>
      <w:bookmarkStart w:id="1294" w:name="_Toc47452136"/>
      <w:bookmarkEnd w:id="1294"/>
      <w:bookmarkStart w:id="1295" w:name="_Toc47372620"/>
      <w:bookmarkEnd w:id="1295"/>
      <w:bookmarkStart w:id="1296" w:name="_Toc47443159"/>
      <w:bookmarkEnd w:id="1296"/>
      <w:bookmarkStart w:id="1297" w:name="_Toc47443173"/>
      <w:bookmarkEnd w:id="1297"/>
      <w:bookmarkStart w:id="1298" w:name="_Toc47452110"/>
      <w:bookmarkEnd w:id="1298"/>
      <w:bookmarkStart w:id="1299" w:name="_Toc47452112"/>
      <w:bookmarkEnd w:id="1299"/>
      <w:bookmarkStart w:id="1300" w:name="_Toc47455819"/>
      <w:bookmarkEnd w:id="1300"/>
      <w:bookmarkStart w:id="1301" w:name="_Toc47443069"/>
      <w:bookmarkEnd w:id="1301"/>
      <w:bookmarkStart w:id="1302" w:name="_Toc47451804"/>
      <w:bookmarkEnd w:id="1302"/>
      <w:bookmarkStart w:id="1303" w:name="_Toc47346975"/>
      <w:bookmarkEnd w:id="1303"/>
      <w:bookmarkStart w:id="1304" w:name="_Toc47366792"/>
      <w:bookmarkEnd w:id="1304"/>
      <w:bookmarkStart w:id="1305" w:name="_Toc47455813"/>
      <w:bookmarkEnd w:id="1305"/>
      <w:bookmarkStart w:id="1306" w:name="_Toc47346990"/>
      <w:bookmarkEnd w:id="1306"/>
      <w:bookmarkStart w:id="1307" w:name="_Toc47457067"/>
      <w:bookmarkEnd w:id="1307"/>
      <w:bookmarkStart w:id="1308" w:name="_Toc47366782"/>
      <w:bookmarkEnd w:id="1308"/>
      <w:bookmarkStart w:id="1309" w:name="_Toc41581032"/>
      <w:bookmarkEnd w:id="1309"/>
      <w:bookmarkStart w:id="1310" w:name="_Toc47443708"/>
      <w:bookmarkEnd w:id="1310"/>
      <w:bookmarkStart w:id="1311" w:name="_Toc47346984"/>
      <w:bookmarkEnd w:id="1311"/>
      <w:bookmarkStart w:id="1312" w:name="_Toc47346942"/>
      <w:bookmarkEnd w:id="1312"/>
      <w:bookmarkStart w:id="1313" w:name="_Toc47452133"/>
      <w:bookmarkEnd w:id="1313"/>
      <w:bookmarkStart w:id="1314" w:name="_Toc47457076"/>
      <w:bookmarkEnd w:id="1314"/>
      <w:bookmarkStart w:id="1315" w:name="_Toc47372581"/>
      <w:bookmarkEnd w:id="1315"/>
      <w:bookmarkStart w:id="1316" w:name="_Toc47443164"/>
      <w:bookmarkEnd w:id="1316"/>
      <w:bookmarkStart w:id="1317" w:name="_Toc47455810"/>
      <w:bookmarkEnd w:id="1317"/>
      <w:bookmarkStart w:id="1318" w:name="_Toc47451413"/>
      <w:bookmarkEnd w:id="1318"/>
      <w:bookmarkStart w:id="1319" w:name="_Toc47443745"/>
      <w:bookmarkEnd w:id="1319"/>
      <w:bookmarkStart w:id="1320" w:name="_Toc47452126"/>
      <w:bookmarkEnd w:id="1320"/>
      <w:bookmarkStart w:id="1321" w:name="_Toc47455824"/>
      <w:bookmarkEnd w:id="1321"/>
      <w:bookmarkStart w:id="1322" w:name="_Toc47443047"/>
      <w:bookmarkEnd w:id="1322"/>
      <w:bookmarkStart w:id="1323" w:name="_Toc47452115"/>
      <w:bookmarkEnd w:id="1323"/>
      <w:bookmarkStart w:id="1324" w:name="_Toc47346955"/>
      <w:bookmarkEnd w:id="1324"/>
      <w:bookmarkStart w:id="1325" w:name="_Toc47346961"/>
      <w:bookmarkEnd w:id="1325"/>
      <w:bookmarkStart w:id="1326" w:name="_Toc47366815"/>
      <w:bookmarkEnd w:id="1326"/>
      <w:bookmarkStart w:id="1327" w:name="_Toc47347790"/>
      <w:bookmarkEnd w:id="1327"/>
      <w:bookmarkStart w:id="1328" w:name="_Toc47451813"/>
      <w:bookmarkEnd w:id="1328"/>
      <w:bookmarkStart w:id="1329" w:name="_Toc47452109"/>
      <w:bookmarkEnd w:id="1329"/>
      <w:bookmarkStart w:id="1330" w:name="_Toc47443049"/>
      <w:bookmarkEnd w:id="1330"/>
      <w:bookmarkStart w:id="1331" w:name="_Toc47372596"/>
      <w:bookmarkEnd w:id="1331"/>
      <w:bookmarkStart w:id="1332" w:name="_Toc47455818"/>
      <w:bookmarkEnd w:id="1332"/>
      <w:bookmarkStart w:id="1333" w:name="_Toc47443132"/>
      <w:bookmarkEnd w:id="1333"/>
      <w:bookmarkStart w:id="1334" w:name="_Toc47443151"/>
      <w:bookmarkEnd w:id="1334"/>
      <w:bookmarkStart w:id="1335" w:name="_Toc47451546"/>
      <w:bookmarkEnd w:id="1335"/>
      <w:bookmarkStart w:id="1336" w:name="_Toc47346964"/>
      <w:bookmarkEnd w:id="1336"/>
      <w:bookmarkStart w:id="1337" w:name="_Toc47457098"/>
      <w:bookmarkEnd w:id="1337"/>
      <w:bookmarkStart w:id="1338" w:name="_Toc47451559"/>
      <w:bookmarkEnd w:id="1338"/>
      <w:bookmarkStart w:id="1339" w:name="_Toc47372572"/>
      <w:bookmarkEnd w:id="1339"/>
      <w:bookmarkStart w:id="1340" w:name="_Toc47451538"/>
      <w:bookmarkEnd w:id="1340"/>
      <w:bookmarkStart w:id="1341" w:name="_Toc47452105"/>
      <w:bookmarkEnd w:id="1341"/>
      <w:bookmarkStart w:id="1342" w:name="_Toc47372595"/>
      <w:bookmarkEnd w:id="1342"/>
      <w:bookmarkStart w:id="1343" w:name="_Toc47451535"/>
      <w:bookmarkEnd w:id="1343"/>
      <w:bookmarkStart w:id="1344" w:name="_Toc47457097"/>
      <w:bookmarkEnd w:id="1344"/>
      <w:bookmarkStart w:id="1345" w:name="_Toc47443727"/>
      <w:bookmarkEnd w:id="1345"/>
      <w:bookmarkStart w:id="1346" w:name="_Toc47451410"/>
      <w:bookmarkEnd w:id="1346"/>
      <w:bookmarkStart w:id="1347" w:name="_Toc47443059"/>
      <w:bookmarkEnd w:id="1347"/>
      <w:bookmarkStart w:id="1348" w:name="_Toc47366788"/>
      <w:bookmarkEnd w:id="1348"/>
      <w:bookmarkStart w:id="1349" w:name="_Toc47443174"/>
      <w:bookmarkEnd w:id="1349"/>
      <w:bookmarkStart w:id="1350" w:name="_Toc47451828"/>
      <w:bookmarkEnd w:id="1350"/>
      <w:bookmarkStart w:id="1351" w:name="_Toc47455799"/>
      <w:bookmarkEnd w:id="1351"/>
      <w:bookmarkStart w:id="1352" w:name="_Toc47346977"/>
      <w:bookmarkEnd w:id="1352"/>
      <w:bookmarkStart w:id="1353" w:name="_Toc47451408"/>
      <w:bookmarkEnd w:id="1353"/>
      <w:bookmarkStart w:id="1354" w:name="_Toc47347791"/>
      <w:bookmarkEnd w:id="1354"/>
      <w:bookmarkStart w:id="1355" w:name="_Toc47346968"/>
      <w:bookmarkEnd w:id="1355"/>
      <w:bookmarkStart w:id="1356" w:name="_Toc47455844"/>
      <w:bookmarkEnd w:id="1356"/>
      <w:bookmarkStart w:id="1357" w:name="_Toc47455823"/>
      <w:bookmarkEnd w:id="1357"/>
      <w:bookmarkStart w:id="1358" w:name="_Toc47347821"/>
      <w:bookmarkEnd w:id="1358"/>
      <w:bookmarkStart w:id="1359" w:name="_Toc47451816"/>
      <w:bookmarkEnd w:id="1359"/>
      <w:bookmarkStart w:id="1360" w:name="_Toc47347777"/>
      <w:bookmarkEnd w:id="1360"/>
      <w:bookmarkStart w:id="1361" w:name="_Toc47443711"/>
      <w:bookmarkEnd w:id="1361"/>
      <w:bookmarkStart w:id="1362" w:name="_Toc47451822"/>
      <w:bookmarkEnd w:id="1362"/>
      <w:bookmarkStart w:id="1363" w:name="_Toc47346939"/>
      <w:bookmarkEnd w:id="1363"/>
      <w:bookmarkStart w:id="1364" w:name="_Toc47451553"/>
      <w:bookmarkEnd w:id="1364"/>
      <w:bookmarkStart w:id="1365" w:name="_Toc47451405"/>
      <w:bookmarkEnd w:id="1365"/>
      <w:bookmarkStart w:id="1366" w:name="_Toc47457057"/>
      <w:bookmarkEnd w:id="1366"/>
      <w:bookmarkStart w:id="1367" w:name="_Toc47443048"/>
      <w:bookmarkEnd w:id="1367"/>
      <w:bookmarkStart w:id="1368" w:name="_Toc47443703"/>
      <w:bookmarkEnd w:id="1368"/>
      <w:bookmarkStart w:id="1369" w:name="_Toc47455807"/>
      <w:bookmarkEnd w:id="1369"/>
      <w:bookmarkStart w:id="1370" w:name="_Toc47455850"/>
      <w:bookmarkEnd w:id="1370"/>
      <w:bookmarkStart w:id="1371" w:name="_Toc47457066"/>
      <w:bookmarkEnd w:id="1371"/>
      <w:bookmarkStart w:id="1372" w:name="_Toc47366787"/>
      <w:bookmarkEnd w:id="1372"/>
      <w:bookmarkStart w:id="1373" w:name="_Toc47443144"/>
      <w:bookmarkEnd w:id="1373"/>
      <w:bookmarkStart w:id="1374" w:name="_Toc47457052"/>
      <w:bookmarkEnd w:id="1374"/>
      <w:bookmarkStart w:id="1375" w:name="_Toc47443054"/>
      <w:bookmarkEnd w:id="1375"/>
      <w:bookmarkStart w:id="1376" w:name="_Toc47452119"/>
      <w:bookmarkEnd w:id="1376"/>
      <w:bookmarkStart w:id="1377" w:name="_Toc47347804"/>
      <w:bookmarkEnd w:id="1377"/>
      <w:bookmarkStart w:id="1378" w:name="_Toc47346988"/>
      <w:bookmarkEnd w:id="1378"/>
      <w:bookmarkStart w:id="1379" w:name="_Toc47451399"/>
      <w:bookmarkEnd w:id="1379"/>
      <w:bookmarkStart w:id="1380" w:name="_Toc47451393"/>
      <w:bookmarkEnd w:id="1380"/>
      <w:bookmarkStart w:id="1381" w:name="_Toc47443739"/>
      <w:bookmarkEnd w:id="1381"/>
      <w:bookmarkStart w:id="1382" w:name="_Toc47443182"/>
      <w:bookmarkEnd w:id="1382"/>
      <w:bookmarkStart w:id="1383" w:name="_Toc47452129"/>
      <w:bookmarkEnd w:id="1383"/>
      <w:bookmarkStart w:id="1384" w:name="_Toc47372606"/>
      <w:bookmarkEnd w:id="1384"/>
      <w:bookmarkStart w:id="1385" w:name="_Toc47443707"/>
      <w:bookmarkEnd w:id="1385"/>
      <w:bookmarkStart w:id="1386" w:name="_Toc47451528"/>
      <w:bookmarkEnd w:id="1386"/>
      <w:bookmarkStart w:id="1387" w:name="_Toc47452150"/>
      <w:bookmarkEnd w:id="1387"/>
      <w:bookmarkStart w:id="1388" w:name="_Toc47451808"/>
      <w:bookmarkEnd w:id="1388"/>
      <w:bookmarkStart w:id="1389" w:name="_Toc47455849"/>
      <w:bookmarkEnd w:id="1389"/>
      <w:bookmarkStart w:id="1390" w:name="_Toc47455806"/>
      <w:bookmarkEnd w:id="1390"/>
      <w:bookmarkStart w:id="1391" w:name="_Toc47347783"/>
      <w:bookmarkEnd w:id="1391"/>
      <w:bookmarkStart w:id="1392" w:name="_Toc47443733"/>
      <w:bookmarkEnd w:id="1392"/>
      <w:bookmarkStart w:id="1393" w:name="_Toc47455814"/>
      <w:bookmarkEnd w:id="1393"/>
      <w:bookmarkStart w:id="1394" w:name="_Toc47443177"/>
      <w:bookmarkEnd w:id="1394"/>
      <w:bookmarkStart w:id="1395" w:name="_Toc47452141"/>
      <w:bookmarkEnd w:id="1395"/>
      <w:bookmarkStart w:id="1396" w:name="_Toc47451401"/>
      <w:bookmarkEnd w:id="1396"/>
      <w:bookmarkStart w:id="1397" w:name="_Toc47443175"/>
      <w:bookmarkEnd w:id="1397"/>
      <w:bookmarkStart w:id="1398" w:name="_Toc47455845"/>
      <w:bookmarkEnd w:id="1398"/>
      <w:bookmarkStart w:id="1399" w:name="_Toc47455838"/>
      <w:bookmarkEnd w:id="1399"/>
      <w:bookmarkStart w:id="1400" w:name="_Toc47346983"/>
      <w:bookmarkEnd w:id="1400"/>
      <w:bookmarkStart w:id="1401" w:name="_Toc47443716"/>
      <w:bookmarkEnd w:id="1401"/>
      <w:bookmarkStart w:id="1402" w:name="_Toc47457103"/>
      <w:bookmarkEnd w:id="1402"/>
      <w:bookmarkStart w:id="1403" w:name="_Toc47457105"/>
      <w:bookmarkEnd w:id="1403"/>
      <w:bookmarkStart w:id="1404" w:name="_Toc47451416"/>
      <w:bookmarkEnd w:id="1404"/>
      <w:bookmarkStart w:id="1405" w:name="_Toc47443712"/>
      <w:bookmarkEnd w:id="1405"/>
      <w:bookmarkStart w:id="1406" w:name="_Toc47366802"/>
      <w:bookmarkEnd w:id="1406"/>
      <w:bookmarkStart w:id="1407" w:name="_Toc47346986"/>
      <w:bookmarkEnd w:id="1407"/>
      <w:bookmarkStart w:id="1408" w:name="_Toc47347776"/>
      <w:bookmarkEnd w:id="1408"/>
      <w:bookmarkStart w:id="1409" w:name="_Toc47346953"/>
      <w:bookmarkEnd w:id="1409"/>
      <w:bookmarkStart w:id="1410" w:name="_Toc47451446"/>
      <w:bookmarkEnd w:id="1410"/>
      <w:bookmarkStart w:id="1411" w:name="_Toc47443142"/>
      <w:bookmarkEnd w:id="1411"/>
      <w:bookmarkStart w:id="1412" w:name="_Toc47443017"/>
      <w:bookmarkEnd w:id="1412"/>
      <w:bookmarkStart w:id="1413" w:name="_Toc47346987"/>
      <w:bookmarkEnd w:id="1413"/>
      <w:bookmarkStart w:id="1414" w:name="_Toc47457104"/>
      <w:bookmarkEnd w:id="1414"/>
      <w:bookmarkStart w:id="1415" w:name="_Toc47347793"/>
      <w:bookmarkEnd w:id="1415"/>
      <w:bookmarkStart w:id="1416" w:name="_Toc47346959"/>
      <w:bookmarkEnd w:id="1416"/>
      <w:bookmarkStart w:id="1417" w:name="_Toc47455851"/>
      <w:bookmarkEnd w:id="1417"/>
      <w:bookmarkStart w:id="1418" w:name="_Toc47452158"/>
      <w:bookmarkEnd w:id="1418"/>
      <w:bookmarkStart w:id="1419" w:name="_Toc47451389"/>
      <w:bookmarkEnd w:id="1419"/>
      <w:bookmarkStart w:id="1420" w:name="_Toc47366778"/>
      <w:bookmarkEnd w:id="1420"/>
      <w:bookmarkStart w:id="1421" w:name="_Toc47443027"/>
      <w:bookmarkEnd w:id="1421"/>
      <w:bookmarkStart w:id="1422" w:name="_Toc47443158"/>
      <w:bookmarkEnd w:id="1422"/>
      <w:bookmarkStart w:id="1423" w:name="_Toc47347794"/>
      <w:bookmarkEnd w:id="1423"/>
      <w:bookmarkStart w:id="1424" w:name="_Toc47443746"/>
      <w:bookmarkEnd w:id="1424"/>
      <w:bookmarkStart w:id="1425" w:name="_Toc40108225"/>
      <w:bookmarkEnd w:id="1425"/>
      <w:bookmarkStart w:id="1426" w:name="_Toc47451428"/>
      <w:bookmarkEnd w:id="1426"/>
      <w:bookmarkStart w:id="1427" w:name="_Toc47372615"/>
      <w:bookmarkEnd w:id="1427"/>
      <w:bookmarkStart w:id="1428" w:name="_Toc47443019"/>
      <w:bookmarkEnd w:id="1428"/>
      <w:bookmarkStart w:id="1429" w:name="_Toc47443163"/>
      <w:bookmarkEnd w:id="1429"/>
      <w:bookmarkStart w:id="1430" w:name="_Toc47443150"/>
      <w:bookmarkEnd w:id="1430"/>
      <w:bookmarkStart w:id="1431" w:name="_Toc47347813"/>
      <w:bookmarkEnd w:id="1431"/>
      <w:bookmarkStart w:id="1432" w:name="_Toc47451444"/>
      <w:bookmarkEnd w:id="1432"/>
      <w:bookmarkStart w:id="1433" w:name="_Toc47451777"/>
      <w:bookmarkEnd w:id="1433"/>
      <w:bookmarkStart w:id="1434" w:name="_Toc47452104"/>
      <w:bookmarkEnd w:id="1434"/>
      <w:bookmarkStart w:id="1435" w:name="_Toc47347767"/>
      <w:bookmarkEnd w:id="1435"/>
      <w:bookmarkStart w:id="1436" w:name="_Toc47347819"/>
      <w:bookmarkEnd w:id="1436"/>
      <w:bookmarkStart w:id="1437" w:name="_Toc47451422"/>
      <w:bookmarkEnd w:id="1437"/>
      <w:bookmarkStart w:id="1438" w:name="_Toc47347814"/>
      <w:bookmarkEnd w:id="1438"/>
      <w:bookmarkStart w:id="1439" w:name="_Toc47455834"/>
      <w:bookmarkEnd w:id="1439"/>
      <w:bookmarkStart w:id="1440" w:name="_Toc47366821"/>
      <w:bookmarkEnd w:id="1440"/>
      <w:bookmarkStart w:id="1441" w:name="_Toc47455833"/>
      <w:bookmarkEnd w:id="1441"/>
      <w:bookmarkStart w:id="1442" w:name="_Toc47347797"/>
      <w:bookmarkEnd w:id="1442"/>
      <w:bookmarkStart w:id="1443" w:name="_Toc47346947"/>
      <w:bookmarkEnd w:id="1443"/>
      <w:bookmarkStart w:id="1444" w:name="_Toc47452130"/>
      <w:bookmarkEnd w:id="1444"/>
      <w:bookmarkStart w:id="1445" w:name="_Toc47451417"/>
      <w:bookmarkEnd w:id="1445"/>
      <w:bookmarkStart w:id="1446" w:name="_Toc47347789"/>
      <w:bookmarkEnd w:id="1446"/>
      <w:bookmarkStart w:id="1447" w:name="_Toc47451823"/>
      <w:bookmarkEnd w:id="1447"/>
      <w:bookmarkStart w:id="1448" w:name="_Toc47372629"/>
      <w:bookmarkEnd w:id="1448"/>
      <w:bookmarkStart w:id="1449" w:name="_Toc47457107"/>
      <w:bookmarkEnd w:id="1449"/>
      <w:bookmarkStart w:id="1450" w:name="_Toc47443138"/>
      <w:bookmarkEnd w:id="1450"/>
      <w:bookmarkStart w:id="1451" w:name="_Toc47347806"/>
      <w:bookmarkEnd w:id="1451"/>
      <w:bookmarkStart w:id="1452" w:name="_Toc47457053"/>
      <w:bookmarkEnd w:id="1452"/>
      <w:bookmarkStart w:id="1453" w:name="_Toc47346936"/>
      <w:bookmarkEnd w:id="1453"/>
      <w:bookmarkStart w:id="1454" w:name="_Toc47452148"/>
      <w:bookmarkEnd w:id="1454"/>
      <w:bookmarkStart w:id="1455" w:name="_Toc47443039"/>
      <w:bookmarkEnd w:id="1455"/>
      <w:bookmarkStart w:id="1456" w:name="_Toc47455798"/>
      <w:bookmarkEnd w:id="1456"/>
      <w:bookmarkStart w:id="1457" w:name="_Toc47443126"/>
      <w:bookmarkEnd w:id="1457"/>
      <w:bookmarkStart w:id="1458" w:name="_Toc47443715"/>
      <w:bookmarkEnd w:id="1458"/>
      <w:bookmarkStart w:id="1459" w:name="_Toc47347775"/>
      <w:bookmarkEnd w:id="1459"/>
      <w:bookmarkStart w:id="1460" w:name="_Toc47457096"/>
      <w:bookmarkEnd w:id="1460"/>
      <w:bookmarkStart w:id="1461" w:name="_Toc47451563"/>
      <w:bookmarkEnd w:id="1461"/>
      <w:bookmarkStart w:id="1462" w:name="_Toc47443166"/>
      <w:bookmarkEnd w:id="1462"/>
      <w:bookmarkStart w:id="1463" w:name="_Toc47346971"/>
      <w:bookmarkEnd w:id="1463"/>
      <w:bookmarkStart w:id="1464" w:name="_Toc47451791"/>
      <w:bookmarkEnd w:id="1464"/>
      <w:bookmarkStart w:id="1465" w:name="_Toc47443157"/>
      <w:bookmarkEnd w:id="1465"/>
      <w:bookmarkStart w:id="1466" w:name="_Toc47347805"/>
      <w:bookmarkEnd w:id="1466"/>
      <w:bookmarkStart w:id="1467" w:name="_Toc47347817"/>
      <w:bookmarkEnd w:id="1467"/>
      <w:bookmarkStart w:id="1468" w:name="_Toc47451430"/>
      <w:bookmarkEnd w:id="1468"/>
      <w:bookmarkStart w:id="1469" w:name="_Toc47455835"/>
      <w:bookmarkEnd w:id="1469"/>
      <w:bookmarkStart w:id="1470" w:name="_Toc47347780"/>
      <w:bookmarkEnd w:id="1470"/>
      <w:bookmarkStart w:id="1471" w:name="_Toc47451830"/>
      <w:bookmarkEnd w:id="1471"/>
      <w:bookmarkStart w:id="1472" w:name="_Toc47457056"/>
      <w:bookmarkEnd w:id="1472"/>
      <w:bookmarkStart w:id="1473" w:name="_Toc47455816"/>
      <w:bookmarkEnd w:id="1473"/>
      <w:bookmarkStart w:id="1474" w:name="_Toc47443728"/>
      <w:bookmarkEnd w:id="1474"/>
      <w:bookmarkStart w:id="1475" w:name="_Toc47452151"/>
      <w:bookmarkEnd w:id="1475"/>
      <w:bookmarkStart w:id="1476" w:name="_Toc47452156"/>
      <w:bookmarkEnd w:id="1476"/>
      <w:bookmarkStart w:id="1477" w:name="_Toc47451516"/>
      <w:bookmarkEnd w:id="1477"/>
      <w:bookmarkStart w:id="1478" w:name="_Toc47455846"/>
      <w:bookmarkEnd w:id="1478"/>
      <w:bookmarkStart w:id="1479" w:name="_Toc47372630"/>
      <w:bookmarkEnd w:id="1479"/>
      <w:bookmarkStart w:id="1480" w:name="_Toc47452131"/>
      <w:bookmarkEnd w:id="1480"/>
      <w:bookmarkStart w:id="1481" w:name="_Toc47366825"/>
      <w:bookmarkEnd w:id="1481"/>
      <w:bookmarkStart w:id="1482" w:name="_Toc47451812"/>
      <w:bookmarkEnd w:id="1482"/>
      <w:bookmarkStart w:id="1483" w:name="_Toc47455837"/>
      <w:bookmarkEnd w:id="1483"/>
      <w:bookmarkStart w:id="1484" w:name="_Toc47452125"/>
      <w:bookmarkEnd w:id="1484"/>
      <w:bookmarkStart w:id="1485" w:name="_Toc41581118"/>
      <w:bookmarkEnd w:id="1485"/>
      <w:bookmarkStart w:id="1486" w:name="_Toc47451442"/>
      <w:bookmarkEnd w:id="1486"/>
      <w:bookmarkStart w:id="1487" w:name="_Toc47452142"/>
      <w:bookmarkEnd w:id="1487"/>
      <w:bookmarkStart w:id="1488" w:name="_Toc47451810"/>
      <w:bookmarkEnd w:id="1488"/>
      <w:bookmarkStart w:id="1489" w:name="_Toc47451406"/>
      <w:bookmarkEnd w:id="1489"/>
      <w:bookmarkStart w:id="1490" w:name="_Toc47443731"/>
      <w:bookmarkEnd w:id="1490"/>
      <w:bookmarkStart w:id="1491" w:name="_Toc47372616"/>
      <w:bookmarkEnd w:id="1491"/>
      <w:bookmarkStart w:id="1492" w:name="_Toc47451415"/>
      <w:bookmarkEnd w:id="1492"/>
      <w:bookmarkStart w:id="1493" w:name="_Toc47452160"/>
      <w:bookmarkEnd w:id="1493"/>
      <w:bookmarkStart w:id="1494" w:name="_Toc47366772"/>
      <w:bookmarkEnd w:id="1494"/>
      <w:bookmarkStart w:id="1495" w:name="_Toc39759421"/>
      <w:bookmarkEnd w:id="1495"/>
      <w:bookmarkStart w:id="1496" w:name="_Toc47451787"/>
      <w:bookmarkEnd w:id="1496"/>
      <w:bookmarkStart w:id="1497" w:name="_Toc47372575"/>
      <w:bookmarkEnd w:id="1497"/>
      <w:bookmarkStart w:id="1498" w:name="_Toc47455842"/>
      <w:bookmarkEnd w:id="1498"/>
      <w:bookmarkStart w:id="1499" w:name="_Toc47451407"/>
      <w:bookmarkEnd w:id="1499"/>
      <w:bookmarkStart w:id="1500" w:name="_Toc47451530"/>
      <w:bookmarkEnd w:id="1500"/>
      <w:bookmarkStart w:id="1501" w:name="_Toc47451427"/>
      <w:bookmarkEnd w:id="1501"/>
      <w:bookmarkStart w:id="1502" w:name="_Toc47346950"/>
      <w:bookmarkEnd w:id="1502"/>
      <w:bookmarkStart w:id="1503" w:name="_Toc47452122"/>
      <w:bookmarkEnd w:id="1503"/>
      <w:bookmarkStart w:id="1504" w:name="_Toc47366820"/>
      <w:bookmarkEnd w:id="1504"/>
      <w:bookmarkStart w:id="1505" w:name="_Toc47443161"/>
      <w:bookmarkEnd w:id="1505"/>
      <w:bookmarkStart w:id="1506" w:name="_Toc47451388"/>
      <w:bookmarkEnd w:id="1506"/>
      <w:bookmarkStart w:id="1507" w:name="_Toc47455832"/>
      <w:bookmarkEnd w:id="1507"/>
      <w:bookmarkStart w:id="1508" w:name="_Toc47452135"/>
      <w:bookmarkEnd w:id="1508"/>
      <w:bookmarkStart w:id="1509" w:name="_Toc47451429"/>
      <w:bookmarkEnd w:id="1509"/>
      <w:bookmarkStart w:id="1510" w:name="_Toc47457091"/>
      <w:bookmarkEnd w:id="1510"/>
      <w:bookmarkStart w:id="1511" w:name="_Toc47372623"/>
      <w:bookmarkEnd w:id="1511"/>
      <w:bookmarkStart w:id="1512" w:name="_Toc47457079"/>
      <w:bookmarkEnd w:id="1512"/>
      <w:bookmarkStart w:id="1513" w:name="_Toc47451421"/>
      <w:bookmarkEnd w:id="1513"/>
      <w:bookmarkStart w:id="1514" w:name="_Toc47451556"/>
      <w:bookmarkEnd w:id="1514"/>
      <w:bookmarkStart w:id="1515" w:name="_Toc47347781"/>
      <w:bookmarkEnd w:id="1515"/>
      <w:bookmarkStart w:id="1516" w:name="_Toc47366773"/>
      <w:bookmarkEnd w:id="1516"/>
      <w:bookmarkStart w:id="1517" w:name="_Toc47347809"/>
      <w:bookmarkEnd w:id="1517"/>
      <w:bookmarkStart w:id="1518" w:name="_Toc47347773"/>
      <w:bookmarkEnd w:id="1518"/>
      <w:bookmarkStart w:id="1519" w:name="_Toc47443056"/>
      <w:bookmarkEnd w:id="1519"/>
      <w:bookmarkStart w:id="1520" w:name="_Toc47366808"/>
      <w:bookmarkEnd w:id="1520"/>
      <w:bookmarkStart w:id="1521" w:name="_Toc47451434"/>
      <w:bookmarkEnd w:id="1521"/>
      <w:bookmarkStart w:id="1522" w:name="_Toc47347768"/>
      <w:bookmarkEnd w:id="1522"/>
      <w:bookmarkStart w:id="1523" w:name="_Toc47347796"/>
      <w:bookmarkEnd w:id="1523"/>
      <w:bookmarkStart w:id="1524" w:name="_Toc47346970"/>
      <w:bookmarkEnd w:id="1524"/>
      <w:bookmarkStart w:id="1525" w:name="_Toc41581003"/>
      <w:bookmarkEnd w:id="1525"/>
      <w:bookmarkStart w:id="1526" w:name="_Toc47451441"/>
      <w:bookmarkEnd w:id="1526"/>
      <w:bookmarkStart w:id="1527" w:name="_Toc47451792"/>
      <w:bookmarkEnd w:id="1527"/>
      <w:bookmarkStart w:id="1528" w:name="_Toc47443737"/>
      <w:bookmarkEnd w:id="1528"/>
      <w:bookmarkStart w:id="1529" w:name="_Toc47372604"/>
      <w:bookmarkEnd w:id="1529"/>
      <w:bookmarkStart w:id="1530" w:name="_Toc47451419"/>
      <w:bookmarkEnd w:id="1530"/>
      <w:bookmarkStart w:id="1531" w:name="_Toc47451443"/>
      <w:bookmarkEnd w:id="1531"/>
      <w:bookmarkStart w:id="1532" w:name="_Toc47451524"/>
      <w:bookmarkEnd w:id="1532"/>
      <w:bookmarkStart w:id="1533" w:name="_Toc47347766"/>
      <w:bookmarkEnd w:id="1533"/>
      <w:bookmarkStart w:id="1534" w:name="_Toc47366812"/>
      <w:bookmarkEnd w:id="1534"/>
      <w:bookmarkStart w:id="1535" w:name="_Toc47451817"/>
      <w:bookmarkEnd w:id="1535"/>
      <w:bookmarkStart w:id="1536" w:name="_Toc47455847"/>
      <w:bookmarkEnd w:id="1536"/>
      <w:bookmarkStart w:id="1537" w:name="_Toc47457102"/>
      <w:bookmarkEnd w:id="1537"/>
      <w:bookmarkStart w:id="1538" w:name="_Toc47451819"/>
      <w:bookmarkEnd w:id="1538"/>
      <w:bookmarkStart w:id="1539" w:name="_Toc47451411"/>
      <w:bookmarkEnd w:id="1539"/>
      <w:bookmarkStart w:id="1540" w:name="_Toc47347798"/>
      <w:bookmarkEnd w:id="1540"/>
      <w:bookmarkStart w:id="1541" w:name="_Toc47372625"/>
      <w:bookmarkEnd w:id="1541"/>
      <w:bookmarkStart w:id="1542" w:name="_Toc47455839"/>
      <w:bookmarkEnd w:id="1542"/>
      <w:bookmarkStart w:id="1543" w:name="_Toc47457075"/>
      <w:bookmarkEnd w:id="1543"/>
      <w:bookmarkStart w:id="1544" w:name="_Toc47455796"/>
      <w:bookmarkEnd w:id="1544"/>
      <w:bookmarkStart w:id="1545" w:name="_Toc47443718"/>
      <w:bookmarkEnd w:id="1545"/>
      <w:bookmarkStart w:id="1546" w:name="_Toc47443036"/>
      <w:bookmarkEnd w:id="1546"/>
      <w:bookmarkStart w:id="1547" w:name="_Toc47366829"/>
      <w:bookmarkEnd w:id="1547"/>
      <w:bookmarkStart w:id="1548" w:name="_Toc47452116"/>
      <w:bookmarkEnd w:id="1548"/>
      <w:bookmarkStart w:id="1549" w:name="_Toc47455836"/>
      <w:bookmarkEnd w:id="1549"/>
      <w:bookmarkStart w:id="1550" w:name="_Toc47347815"/>
      <w:bookmarkEnd w:id="1550"/>
      <w:bookmarkStart w:id="1551" w:name="_Toc47455829"/>
      <w:bookmarkEnd w:id="1551"/>
      <w:bookmarkStart w:id="1552" w:name="_Toc47452159"/>
      <w:bookmarkEnd w:id="1552"/>
      <w:bookmarkStart w:id="1553" w:name="_Toc47346980"/>
      <w:bookmarkEnd w:id="1553"/>
      <w:bookmarkStart w:id="1554" w:name="_Toc47451394"/>
      <w:bookmarkEnd w:id="1554"/>
      <w:bookmarkStart w:id="1555" w:name="_Toc47451403"/>
      <w:bookmarkEnd w:id="1555"/>
      <w:bookmarkStart w:id="1556" w:name="_Toc47455840"/>
      <w:bookmarkEnd w:id="1556"/>
      <w:bookmarkStart w:id="1557" w:name="_Toc47451523"/>
      <w:bookmarkEnd w:id="1557"/>
      <w:bookmarkStart w:id="1558" w:name="_Toc47443749"/>
      <w:bookmarkEnd w:id="1558"/>
      <w:bookmarkStart w:id="1559" w:name="_Toc47451527"/>
      <w:bookmarkEnd w:id="1559"/>
      <w:bookmarkStart w:id="1560" w:name="_Toc47443723"/>
      <w:bookmarkEnd w:id="1560"/>
      <w:bookmarkStart w:id="1561" w:name="_Toc47451506"/>
      <w:bookmarkEnd w:id="1561"/>
      <w:bookmarkStart w:id="1562" w:name="_Toc47372584"/>
      <w:bookmarkEnd w:id="1562"/>
      <w:bookmarkStart w:id="1563" w:name="_Toc47451534"/>
      <w:bookmarkEnd w:id="1563"/>
      <w:bookmarkStart w:id="1564" w:name="_Toc47443013"/>
      <w:bookmarkEnd w:id="1564"/>
      <w:bookmarkStart w:id="1565" w:name="_Toc47451774"/>
      <w:bookmarkEnd w:id="1565"/>
      <w:bookmarkStart w:id="1566" w:name="_Toc47346972"/>
      <w:bookmarkEnd w:id="1566"/>
      <w:bookmarkStart w:id="1567" w:name="_Toc47452144"/>
      <w:bookmarkEnd w:id="1567"/>
      <w:bookmarkStart w:id="1568" w:name="_Toc47346965"/>
      <w:bookmarkEnd w:id="1568"/>
      <w:bookmarkStart w:id="1569" w:name="_Toc47443020"/>
      <w:bookmarkEnd w:id="1569"/>
      <w:bookmarkStart w:id="1570" w:name="_Toc47372603"/>
      <w:bookmarkEnd w:id="1570"/>
      <w:bookmarkStart w:id="1571" w:name="_Toc47451545"/>
      <w:bookmarkEnd w:id="1571"/>
      <w:bookmarkStart w:id="1572" w:name="_Toc47443696"/>
      <w:bookmarkEnd w:id="1572"/>
      <w:bookmarkStart w:id="1573" w:name="_Toc47443063"/>
      <w:bookmarkEnd w:id="1573"/>
      <w:bookmarkStart w:id="1574" w:name="_Toc47457074"/>
      <w:bookmarkEnd w:id="1574"/>
      <w:bookmarkStart w:id="1575" w:name="_Toc47452113"/>
      <w:bookmarkEnd w:id="1575"/>
      <w:bookmarkStart w:id="1576" w:name="_Toc47443133"/>
      <w:bookmarkEnd w:id="1576"/>
      <w:bookmarkStart w:id="1577" w:name="_Toc47452149"/>
      <w:bookmarkEnd w:id="1577"/>
      <w:bookmarkStart w:id="1578" w:name="_Toc47443160"/>
      <w:bookmarkEnd w:id="1578"/>
      <w:bookmarkStart w:id="1579" w:name="_Toc47451391"/>
      <w:bookmarkEnd w:id="1579"/>
      <w:bookmarkStart w:id="1580" w:name="_Toc47455803"/>
      <w:bookmarkEnd w:id="1580"/>
      <w:bookmarkStart w:id="1581" w:name="_Toc47366807"/>
      <w:bookmarkEnd w:id="1581"/>
      <w:bookmarkStart w:id="1582" w:name="_Toc47372592"/>
      <w:bookmarkEnd w:id="1582"/>
      <w:bookmarkStart w:id="1583" w:name="_Toc47452117"/>
      <w:bookmarkEnd w:id="1583"/>
      <w:bookmarkStart w:id="1584" w:name="_Toc47455808"/>
      <w:bookmarkEnd w:id="1584"/>
      <w:bookmarkStart w:id="1585" w:name="_Toc47372627"/>
      <w:bookmarkEnd w:id="1585"/>
      <w:bookmarkStart w:id="1586" w:name="_Toc47443124"/>
      <w:bookmarkEnd w:id="1586"/>
      <w:bookmarkStart w:id="1587" w:name="_Toc47451518"/>
      <w:bookmarkEnd w:id="1587"/>
      <w:bookmarkStart w:id="1588" w:name="_Toc47443717"/>
      <w:bookmarkEnd w:id="1588"/>
      <w:bookmarkStart w:id="1589" w:name="_Toc47451807"/>
      <w:bookmarkEnd w:id="1589"/>
      <w:bookmarkStart w:id="1590" w:name="_Toc47451400"/>
      <w:bookmarkEnd w:id="1590"/>
      <w:bookmarkStart w:id="1591" w:name="_Toc47346963"/>
      <w:bookmarkEnd w:id="1591"/>
      <w:bookmarkStart w:id="1592" w:name="_Toc47346985"/>
      <w:bookmarkEnd w:id="1592"/>
      <w:bookmarkStart w:id="1593" w:name="_Toc47451412"/>
      <w:bookmarkEnd w:id="1593"/>
      <w:bookmarkStart w:id="1594" w:name="_Toc47451396"/>
      <w:bookmarkEnd w:id="1594"/>
      <w:bookmarkStart w:id="1595" w:name="_Toc47452147"/>
      <w:bookmarkEnd w:id="1595"/>
      <w:bookmarkStart w:id="1596" w:name="_Toc47451832"/>
      <w:bookmarkEnd w:id="1596"/>
      <w:bookmarkStart w:id="1597" w:name="_Toc47452114"/>
      <w:bookmarkEnd w:id="1597"/>
      <w:bookmarkStart w:id="1598" w:name="_Toc47443721"/>
      <w:bookmarkEnd w:id="1598"/>
      <w:bookmarkStart w:id="1599" w:name="_Toc47443714"/>
      <w:bookmarkEnd w:id="1599"/>
      <w:bookmarkStart w:id="1600" w:name="_Toc47347774"/>
      <w:bookmarkEnd w:id="1600"/>
      <w:bookmarkStart w:id="1601" w:name="_Toc47457099"/>
      <w:bookmarkEnd w:id="1601"/>
      <w:bookmarkStart w:id="1602" w:name="_Toc47443065"/>
      <w:bookmarkEnd w:id="1602"/>
      <w:bookmarkStart w:id="1603" w:name="_Toc47443070"/>
      <w:bookmarkEnd w:id="1603"/>
      <w:bookmarkStart w:id="1604" w:name="_Toc47451814"/>
      <w:bookmarkEnd w:id="1604"/>
      <w:bookmarkStart w:id="1605" w:name="_Toc47347770"/>
      <w:bookmarkEnd w:id="1605"/>
      <w:bookmarkStart w:id="1606" w:name="_Toc47443172"/>
      <w:bookmarkEnd w:id="1606"/>
      <w:bookmarkStart w:id="1607" w:name="_Toc47451392"/>
      <w:bookmarkEnd w:id="1607"/>
      <w:bookmarkStart w:id="1608" w:name="_Toc47451803"/>
      <w:bookmarkEnd w:id="1608"/>
      <w:bookmarkStart w:id="1609" w:name="_Toc47347782"/>
      <w:bookmarkEnd w:id="1609"/>
      <w:bookmarkStart w:id="1610" w:name="_Toc47443169"/>
      <w:bookmarkEnd w:id="1610"/>
      <w:bookmarkStart w:id="1611" w:name="_Toc47443051"/>
      <w:bookmarkEnd w:id="1611"/>
      <w:bookmarkStart w:id="1612" w:name="_Toc47366791"/>
      <w:bookmarkEnd w:id="1612"/>
      <w:bookmarkStart w:id="1613" w:name="_Toc47366809"/>
      <w:bookmarkEnd w:id="1613"/>
      <w:bookmarkStart w:id="1614" w:name="_Toc47451562"/>
      <w:bookmarkEnd w:id="1614"/>
      <w:bookmarkStart w:id="1615" w:name="_Toc47451542"/>
      <w:bookmarkEnd w:id="1615"/>
      <w:bookmarkStart w:id="1616" w:name="_Toc47452145"/>
      <w:bookmarkEnd w:id="1616"/>
      <w:bookmarkStart w:id="1617" w:name="_Toc47372582"/>
      <w:bookmarkEnd w:id="1617"/>
      <w:bookmarkStart w:id="1618" w:name="_Toc47457100"/>
      <w:bookmarkEnd w:id="1618"/>
      <w:bookmarkStart w:id="1619" w:name="_Toc47451418"/>
      <w:bookmarkEnd w:id="1619"/>
      <w:bookmarkStart w:id="1620" w:name="_Toc47452124"/>
      <w:bookmarkEnd w:id="1620"/>
      <w:bookmarkStart w:id="1621" w:name="_Toc47451510"/>
      <w:bookmarkEnd w:id="1621"/>
      <w:bookmarkStart w:id="1622" w:name="_Toc47346962"/>
      <w:bookmarkEnd w:id="1622"/>
      <w:bookmarkStart w:id="1623" w:name="_Toc47443030"/>
      <w:bookmarkEnd w:id="1623"/>
      <w:bookmarkStart w:id="1624" w:name="_Toc47346954"/>
      <w:bookmarkEnd w:id="1624"/>
      <w:bookmarkStart w:id="1625" w:name="_Toc47347772"/>
      <w:bookmarkEnd w:id="1625"/>
      <w:bookmarkStart w:id="1626" w:name="_Toc47451796"/>
      <w:bookmarkEnd w:id="1626"/>
      <w:bookmarkStart w:id="1627" w:name="_Toc47455809"/>
      <w:bookmarkEnd w:id="1627"/>
      <w:bookmarkStart w:id="1628" w:name="_Toc47451397"/>
      <w:bookmarkEnd w:id="1628"/>
      <w:bookmarkStart w:id="1629" w:name="_Toc47457095"/>
      <w:bookmarkEnd w:id="1629"/>
      <w:bookmarkStart w:id="1630" w:name="_Toc47366805"/>
      <w:bookmarkEnd w:id="1630"/>
      <w:bookmarkStart w:id="1631" w:name="_Toc47443178"/>
      <w:bookmarkEnd w:id="1631"/>
      <w:bookmarkStart w:id="1632" w:name="_Toc47443066"/>
      <w:bookmarkEnd w:id="1632"/>
      <w:bookmarkStart w:id="1633" w:name="_Toc47457090"/>
      <w:bookmarkEnd w:id="1633"/>
      <w:bookmarkStart w:id="1634" w:name="_Toc47443042"/>
      <w:bookmarkEnd w:id="1634"/>
      <w:bookmarkStart w:id="1635" w:name="_Toc41575878"/>
      <w:bookmarkEnd w:id="1635"/>
      <w:bookmarkStart w:id="1636" w:name="_Toc47346969"/>
      <w:bookmarkEnd w:id="1636"/>
      <w:bookmarkStart w:id="1637" w:name="_Toc47372574"/>
      <w:bookmarkEnd w:id="1637"/>
      <w:bookmarkStart w:id="1638" w:name="_Toc47372613"/>
      <w:bookmarkEnd w:id="1638"/>
      <w:bookmarkStart w:id="1639" w:name="_Toc41581090"/>
      <w:bookmarkEnd w:id="1639"/>
      <w:bookmarkStart w:id="1640" w:name="_Toc47443720"/>
      <w:bookmarkEnd w:id="1640"/>
      <w:bookmarkStart w:id="1641" w:name="_Toc47372597"/>
      <w:bookmarkEnd w:id="1641"/>
      <w:bookmarkStart w:id="1642" w:name="_Toc47451517"/>
      <w:bookmarkEnd w:id="1642"/>
      <w:bookmarkStart w:id="1643" w:name="_Toc47443015"/>
      <w:bookmarkEnd w:id="1643"/>
      <w:bookmarkStart w:id="1644" w:name="_Toc47457073"/>
      <w:bookmarkEnd w:id="1644"/>
      <w:bookmarkStart w:id="1645" w:name="_Toc47443709"/>
      <w:bookmarkEnd w:id="1645"/>
      <w:bookmarkStart w:id="1646" w:name="_Toc47372617"/>
      <w:bookmarkEnd w:id="1646"/>
      <w:bookmarkStart w:id="1647" w:name="_Toc47451789"/>
      <w:bookmarkEnd w:id="1647"/>
      <w:bookmarkStart w:id="1648" w:name="_Toc47366801"/>
      <w:bookmarkEnd w:id="1648"/>
      <w:bookmarkStart w:id="1649" w:name="_Toc47443732"/>
      <w:bookmarkEnd w:id="1649"/>
      <w:bookmarkStart w:id="1650" w:name="_Toc47451525"/>
      <w:bookmarkEnd w:id="1650"/>
      <w:bookmarkStart w:id="1651" w:name="_Toc47443180"/>
      <w:bookmarkEnd w:id="1651"/>
      <w:bookmarkStart w:id="1652" w:name="_Toc47372610"/>
      <w:bookmarkEnd w:id="1652"/>
      <w:bookmarkStart w:id="1653" w:name="_Toc40343396"/>
      <w:bookmarkEnd w:id="1653"/>
      <w:bookmarkStart w:id="1654" w:name="_Toc47347807"/>
      <w:bookmarkEnd w:id="1654"/>
      <w:bookmarkStart w:id="1655" w:name="_Toc47457106"/>
      <w:bookmarkEnd w:id="1655"/>
      <w:bookmarkStart w:id="1656" w:name="_Toc47451398"/>
      <w:bookmarkEnd w:id="1656"/>
      <w:bookmarkStart w:id="1657" w:name="_Toc47372590"/>
      <w:bookmarkEnd w:id="1657"/>
      <w:bookmarkStart w:id="1658" w:name="_Toc47366783"/>
      <w:bookmarkEnd w:id="1658"/>
      <w:bookmarkStart w:id="1659" w:name="_Toc47451440"/>
      <w:bookmarkEnd w:id="1659"/>
      <w:bookmarkStart w:id="1660" w:name="_Toc47347765"/>
      <w:bookmarkEnd w:id="1660"/>
      <w:bookmarkStart w:id="1661" w:name="_Toc47372594"/>
      <w:bookmarkEnd w:id="1661"/>
      <w:bookmarkStart w:id="1662" w:name="_Toc47347787"/>
      <w:bookmarkEnd w:id="1662"/>
      <w:bookmarkStart w:id="1663" w:name="_Toc47347769"/>
      <w:bookmarkEnd w:id="1663"/>
      <w:bookmarkStart w:id="1664" w:name="_Toc47443135"/>
      <w:bookmarkEnd w:id="1664"/>
      <w:bookmarkStart w:id="1665" w:name="_Toc47366775"/>
      <w:bookmarkEnd w:id="1665"/>
      <w:bookmarkStart w:id="1666" w:name="_Toc47347808"/>
      <w:bookmarkEnd w:id="1666"/>
      <w:bookmarkStart w:id="1667" w:name="_Toc47443137"/>
      <w:bookmarkEnd w:id="1667"/>
      <w:bookmarkStart w:id="1668" w:name="_Toc47443129"/>
      <w:bookmarkEnd w:id="1668"/>
      <w:bookmarkStart w:id="1669" w:name="_Toc47372589"/>
      <w:bookmarkEnd w:id="1669"/>
      <w:bookmarkStart w:id="1670" w:name="_Toc47372598"/>
      <w:bookmarkEnd w:id="1670"/>
      <w:bookmarkStart w:id="1671" w:name="_Toc47366818"/>
      <w:bookmarkEnd w:id="1671"/>
      <w:bookmarkStart w:id="1672" w:name="_Toc47451831"/>
      <w:bookmarkEnd w:id="1672"/>
      <w:bookmarkStart w:id="1673" w:name="_Toc47451551"/>
      <w:bookmarkEnd w:id="1673"/>
      <w:bookmarkStart w:id="1674" w:name="_Toc47451522"/>
      <w:bookmarkEnd w:id="1674"/>
      <w:bookmarkStart w:id="1675" w:name="_Toc47366780"/>
      <w:bookmarkEnd w:id="1675"/>
      <w:bookmarkStart w:id="1676" w:name="_Toc47346981"/>
      <w:bookmarkEnd w:id="1676"/>
      <w:bookmarkStart w:id="1677" w:name="_Toc47443168"/>
      <w:bookmarkEnd w:id="1677"/>
      <w:bookmarkStart w:id="1678" w:name="_Toc47451784"/>
      <w:bookmarkEnd w:id="1678"/>
      <w:bookmarkStart w:id="1679" w:name="_Toc47451798"/>
      <w:bookmarkEnd w:id="1679"/>
      <w:bookmarkStart w:id="1680" w:name="_Toc47443044"/>
      <w:bookmarkEnd w:id="1680"/>
      <w:bookmarkStart w:id="1681" w:name="_Toc47347803"/>
      <w:bookmarkEnd w:id="1681"/>
      <w:bookmarkStart w:id="1682" w:name="_Toc47452108"/>
      <w:bookmarkEnd w:id="1682"/>
      <w:bookmarkStart w:id="1683" w:name="_Toc47366794"/>
      <w:bookmarkEnd w:id="1683"/>
      <w:bookmarkStart w:id="1684" w:name="_Toc47451521"/>
      <w:bookmarkEnd w:id="1684"/>
      <w:bookmarkStart w:id="1685" w:name="_Toc47366813"/>
      <w:bookmarkEnd w:id="1685"/>
      <w:bookmarkStart w:id="1686" w:name="_Toc47443722"/>
      <w:bookmarkEnd w:id="1686"/>
      <w:bookmarkStart w:id="1687" w:name="_Toc47372578"/>
      <w:bookmarkEnd w:id="1687"/>
      <w:bookmarkStart w:id="1688" w:name="_Toc47451426"/>
      <w:bookmarkEnd w:id="1688"/>
      <w:bookmarkStart w:id="1689" w:name="_Toc47366790"/>
      <w:bookmarkEnd w:id="1689"/>
      <w:bookmarkStart w:id="1690" w:name="_Toc47451531"/>
      <w:bookmarkEnd w:id="1690"/>
      <w:bookmarkStart w:id="1691" w:name="_Toc47443130"/>
      <w:bookmarkEnd w:id="1691"/>
      <w:bookmarkStart w:id="1692" w:name="_Toc47443706"/>
      <w:bookmarkEnd w:id="1692"/>
      <w:bookmarkStart w:id="1693" w:name="_Toc47372579"/>
      <w:bookmarkEnd w:id="1693"/>
      <w:bookmarkStart w:id="1694" w:name="_Toc47443719"/>
      <w:bookmarkEnd w:id="1694"/>
      <w:bookmarkStart w:id="1695" w:name="_Toc47457063"/>
      <w:bookmarkEnd w:id="1695"/>
      <w:bookmarkStart w:id="1696" w:name="_Toc47347771"/>
      <w:bookmarkEnd w:id="1696"/>
      <w:bookmarkStart w:id="1697" w:name="_Toc47451785"/>
      <w:bookmarkEnd w:id="1697"/>
      <w:bookmarkStart w:id="1698" w:name="_Toc47443148"/>
      <w:bookmarkEnd w:id="1698"/>
      <w:bookmarkStart w:id="1699" w:name="_Toc47451793"/>
      <w:bookmarkEnd w:id="1699"/>
      <w:bookmarkStart w:id="1700" w:name="_Toc47346982"/>
      <w:bookmarkEnd w:id="1700"/>
      <w:bookmarkStart w:id="1701" w:name="_Toc47443147"/>
      <w:bookmarkEnd w:id="1701"/>
      <w:bookmarkStart w:id="1702" w:name="_Toc47443162"/>
      <w:bookmarkEnd w:id="1702"/>
      <w:bookmarkStart w:id="1703" w:name="_Toc47451795"/>
      <w:bookmarkEnd w:id="1703"/>
      <w:bookmarkStart w:id="1704" w:name="_Toc47451509"/>
      <w:bookmarkEnd w:id="1704"/>
      <w:bookmarkStart w:id="1705" w:name="_Toc47372602"/>
      <w:bookmarkEnd w:id="1705"/>
      <w:bookmarkStart w:id="1706" w:name="_Toc47451778"/>
      <w:bookmarkEnd w:id="1706"/>
      <w:bookmarkStart w:id="1707" w:name="_Toc47452106"/>
      <w:bookmarkEnd w:id="1707"/>
      <w:bookmarkStart w:id="1708" w:name="_Toc47443170"/>
      <w:bookmarkEnd w:id="1708"/>
      <w:bookmarkStart w:id="1709" w:name="_Toc47366826"/>
      <w:bookmarkEnd w:id="1709"/>
      <w:bookmarkStart w:id="1710" w:name="_Toc47451435"/>
      <w:bookmarkEnd w:id="1710"/>
      <w:bookmarkStart w:id="1711" w:name="_Toc47346966"/>
      <w:bookmarkEnd w:id="1711"/>
      <w:bookmarkStart w:id="1712" w:name="_Toc47443016"/>
      <w:bookmarkEnd w:id="1712"/>
      <w:bookmarkStart w:id="1713" w:name="_Toc47457086"/>
      <w:bookmarkEnd w:id="1713"/>
      <w:bookmarkStart w:id="1714" w:name="_Toc47443156"/>
      <w:bookmarkEnd w:id="1714"/>
      <w:bookmarkStart w:id="1715" w:name="_Toc47451404"/>
      <w:bookmarkEnd w:id="1715"/>
      <w:bookmarkStart w:id="1716" w:name="_Toc47372588"/>
      <w:bookmarkEnd w:id="1716"/>
      <w:bookmarkStart w:id="1717" w:name="_Toc47366786"/>
      <w:bookmarkEnd w:id="1717"/>
      <w:bookmarkStart w:id="1718" w:name="_Toc47457062"/>
      <w:bookmarkEnd w:id="1718"/>
      <w:bookmarkStart w:id="1719" w:name="_Toc47366824"/>
      <w:bookmarkEnd w:id="1719"/>
      <w:bookmarkStart w:id="1720" w:name="_Toc47347801"/>
      <w:bookmarkEnd w:id="1720"/>
      <w:bookmarkStart w:id="1721" w:name="_Toc47366800"/>
      <w:bookmarkEnd w:id="1721"/>
      <w:bookmarkStart w:id="1722" w:name="_Toc47443046"/>
      <w:bookmarkEnd w:id="1722"/>
      <w:bookmarkStart w:id="1723" w:name="_Toc47457094"/>
      <w:bookmarkEnd w:id="1723"/>
      <w:bookmarkStart w:id="1724" w:name="_Toc47451781"/>
      <w:bookmarkEnd w:id="1724"/>
      <w:bookmarkStart w:id="1725" w:name="_Toc47457065"/>
      <w:bookmarkEnd w:id="1725"/>
      <w:bookmarkStart w:id="1726" w:name="_Toc47346958"/>
      <w:bookmarkEnd w:id="1726"/>
      <w:bookmarkStart w:id="1727" w:name="_Toc47443702"/>
      <w:bookmarkEnd w:id="1727"/>
      <w:bookmarkStart w:id="1728" w:name="_Toc47366798"/>
      <w:bookmarkEnd w:id="1728"/>
      <w:bookmarkStart w:id="1729" w:name="_Toc47443067"/>
      <w:bookmarkEnd w:id="1729"/>
      <w:bookmarkStart w:id="1730" w:name="_Toc47346938"/>
      <w:bookmarkEnd w:id="1730"/>
      <w:bookmarkStart w:id="1731" w:name="_Toc47452155"/>
      <w:bookmarkEnd w:id="1731"/>
      <w:bookmarkStart w:id="1732" w:name="_Toc47451809"/>
      <w:bookmarkEnd w:id="1732"/>
      <w:bookmarkStart w:id="1733" w:name="_Toc47451508"/>
      <w:bookmarkEnd w:id="1733"/>
      <w:bookmarkStart w:id="1734" w:name="_Toc47451437"/>
      <w:bookmarkEnd w:id="1734"/>
      <w:bookmarkStart w:id="1735" w:name="_Toc47455830"/>
      <w:bookmarkEnd w:id="1735"/>
      <w:bookmarkStart w:id="1736" w:name="_Toc47443060"/>
      <w:bookmarkEnd w:id="1736"/>
      <w:bookmarkStart w:id="1737" w:name="_Toc47443038"/>
      <w:bookmarkEnd w:id="1737"/>
      <w:bookmarkStart w:id="1738" w:name="_Toc47443058"/>
      <w:bookmarkEnd w:id="1738"/>
      <w:bookmarkStart w:id="1739" w:name="_Toc47451513"/>
      <w:bookmarkEnd w:id="1739"/>
      <w:bookmarkStart w:id="1740" w:name="_Toc47451801"/>
      <w:bookmarkEnd w:id="1740"/>
      <w:bookmarkStart w:id="1741" w:name="_Toc47346960"/>
      <w:bookmarkEnd w:id="1741"/>
      <w:bookmarkStart w:id="1742" w:name="_Toc47372608"/>
      <w:bookmarkEnd w:id="1742"/>
      <w:bookmarkStart w:id="1743" w:name="_Toc47451560"/>
      <w:bookmarkEnd w:id="1743"/>
      <w:bookmarkStart w:id="1744" w:name="_Toc47455804"/>
      <w:bookmarkEnd w:id="1744"/>
      <w:bookmarkStart w:id="1745" w:name="_Toc47451794"/>
      <w:bookmarkEnd w:id="1745"/>
      <w:bookmarkStart w:id="1746" w:name="_Toc47346978"/>
      <w:bookmarkEnd w:id="1746"/>
      <w:bookmarkStart w:id="1747" w:name="_Toc47452157"/>
      <w:bookmarkEnd w:id="1747"/>
      <w:bookmarkStart w:id="1748" w:name="_Toc47443141"/>
      <w:bookmarkEnd w:id="1748"/>
      <w:bookmarkStart w:id="1749" w:name="_Toc47452152"/>
      <w:bookmarkEnd w:id="1749"/>
      <w:bookmarkStart w:id="1750" w:name="_Toc47372585"/>
      <w:bookmarkEnd w:id="1750"/>
      <w:bookmarkStart w:id="1751" w:name="_Toc47451541"/>
      <w:bookmarkEnd w:id="1751"/>
      <w:bookmarkStart w:id="1752" w:name="_Toc47451543"/>
      <w:bookmarkEnd w:id="1752"/>
      <w:bookmarkStart w:id="1753" w:name="_Toc47452118"/>
      <w:bookmarkEnd w:id="1753"/>
      <w:bookmarkStart w:id="1754" w:name="_Toc47347784"/>
      <w:bookmarkEnd w:id="1754"/>
      <w:bookmarkStart w:id="1755" w:name="_Toc47457093"/>
      <w:bookmarkEnd w:id="1755"/>
      <w:bookmarkStart w:id="1756" w:name="_Toc47455848"/>
      <w:bookmarkEnd w:id="1756"/>
      <w:bookmarkStart w:id="1757" w:name="_Toc47372619"/>
      <w:bookmarkEnd w:id="1757"/>
      <w:bookmarkStart w:id="1758" w:name="_Toc47457088"/>
      <w:bookmarkEnd w:id="1758"/>
      <w:bookmarkStart w:id="1759" w:name="_Toc41580971"/>
      <w:bookmarkEnd w:id="1759"/>
      <w:bookmarkStart w:id="1760" w:name="_Toc47451782"/>
      <w:bookmarkEnd w:id="1760"/>
      <w:bookmarkStart w:id="1761" w:name="_Toc47451776"/>
      <w:bookmarkEnd w:id="1761"/>
      <w:bookmarkStart w:id="1762" w:name="_Toc47455805"/>
      <w:bookmarkEnd w:id="1762"/>
      <w:bookmarkStart w:id="1763" w:name="_Toc47455853"/>
      <w:bookmarkEnd w:id="1763"/>
      <w:bookmarkStart w:id="1764" w:name="_Toc47455817"/>
      <w:bookmarkEnd w:id="1764"/>
      <w:bookmarkStart w:id="1765" w:name="_Toc47443724"/>
      <w:bookmarkEnd w:id="1765"/>
      <w:bookmarkStart w:id="1766" w:name="_Toc47452138"/>
      <w:bookmarkEnd w:id="1766"/>
      <w:bookmarkStart w:id="1767" w:name="_Toc47372614"/>
      <w:bookmarkEnd w:id="1767"/>
      <w:bookmarkStart w:id="1768" w:name="_Toc47443149"/>
      <w:bookmarkEnd w:id="1768"/>
      <w:bookmarkStart w:id="1769" w:name="_Toc47366803"/>
      <w:bookmarkEnd w:id="1769"/>
      <w:bookmarkStart w:id="1770" w:name="_Toc47443139"/>
      <w:bookmarkEnd w:id="1770"/>
      <w:bookmarkStart w:id="1771" w:name="_Toc47451395"/>
      <w:bookmarkEnd w:id="1771"/>
      <w:bookmarkStart w:id="1772" w:name="_Toc47452161"/>
      <w:bookmarkEnd w:id="1772"/>
      <w:bookmarkStart w:id="1773" w:name="_Toc47347795"/>
      <w:bookmarkEnd w:id="1773"/>
      <w:bookmarkStart w:id="1774" w:name="_Toc47452121"/>
      <w:bookmarkEnd w:id="1774"/>
      <w:bookmarkStart w:id="1775" w:name="_Toc47451409"/>
      <w:bookmarkEnd w:id="1775"/>
      <w:bookmarkStart w:id="1776" w:name="_Toc47443726"/>
      <w:bookmarkEnd w:id="1776"/>
      <w:bookmarkStart w:id="1777" w:name="_Toc47451533"/>
      <w:bookmarkEnd w:id="1777"/>
      <w:bookmarkStart w:id="1778" w:name="_Toc47443742"/>
      <w:bookmarkEnd w:id="1778"/>
      <w:bookmarkStart w:id="1779" w:name="_Toc24459822"/>
      <w:bookmarkStart w:id="1780" w:name="_Toc46910501"/>
      <w:bookmarkStart w:id="1781" w:name="_Toc19541968"/>
      <w:bookmarkStart w:id="1782" w:name="_Toc48742271"/>
      <w:bookmarkStart w:id="1783" w:name="_Toc35006303"/>
      <w:bookmarkStart w:id="1784" w:name="_Toc16497686"/>
      <w:bookmarkStart w:id="1785" w:name="_Toc47455854"/>
      <w:bookmarkStart w:id="1786" w:name="_Toc47457111"/>
    </w:p>
    <w:p w14:paraId="70656FA7">
      <w:pPr>
        <w:pStyle w:val="92"/>
        <w:widowControl w:val="0"/>
        <w:spacing w:line="600" w:lineRule="exact"/>
        <w:ind w:left="0" w:firstLine="600" w:firstLineChars="200"/>
        <w:rPr>
          <w:rFonts w:ascii="仿宋_GB2312" w:hAnsi="微软雅黑" w:eastAsia="仿宋_GB2312"/>
          <w:sz w:val="30"/>
          <w:szCs w:val="30"/>
          <w:lang w:eastAsia="zh-CN"/>
        </w:rPr>
      </w:pPr>
      <w:r>
        <w:rPr>
          <w:rFonts w:hint="eastAsia" w:ascii="仿宋_GB2312" w:hAnsi="微软雅黑" w:eastAsia="仿宋_GB2312"/>
          <w:sz w:val="30"/>
          <w:szCs w:val="30"/>
          <w:lang w:eastAsia="zh-CN"/>
        </w:rPr>
        <w:t>3）自选做市品种</w:t>
      </w:r>
    </w:p>
    <w:p w14:paraId="27428FEB">
      <w:pPr>
        <w:spacing w:line="600" w:lineRule="exact"/>
        <w:ind w:firstLine="567" w:firstLineChars="189"/>
        <w:rPr>
          <w:rFonts w:ascii="仿宋_GB2312" w:hAnsi="微软雅黑" w:eastAsia="仿宋_GB2312"/>
          <w:sz w:val="30"/>
          <w:szCs w:val="30"/>
        </w:rPr>
      </w:pPr>
      <w:r>
        <w:rPr>
          <w:rFonts w:hint="eastAsia" w:ascii="仿宋_GB2312" w:hAnsi="微软雅黑" w:eastAsia="仿宋_GB2312"/>
          <w:sz w:val="30"/>
          <w:szCs w:val="30"/>
        </w:rPr>
        <w:t>本所在上证债券信息网展示满足要求的自选做市品种及为其开展做市业务的一般做市商清单，并及时进行更新。</w:t>
      </w:r>
    </w:p>
    <w:p w14:paraId="3D4CA3F8">
      <w:pPr>
        <w:spacing w:line="600" w:lineRule="exact"/>
        <w:ind w:firstLine="567" w:firstLineChars="189"/>
        <w:rPr>
          <w:rFonts w:ascii="仿宋_GB2312" w:hAnsi="微软雅黑" w:eastAsia="仿宋_GB2312"/>
          <w:sz w:val="30"/>
          <w:szCs w:val="30"/>
        </w:rPr>
      </w:pPr>
      <w:r>
        <w:rPr>
          <w:rFonts w:hint="eastAsia" w:ascii="仿宋_GB2312" w:hAnsi="微软雅黑" w:eastAsia="仿宋_GB2312"/>
          <w:sz w:val="30"/>
          <w:szCs w:val="30"/>
        </w:rPr>
        <w:t>做市商选择自选做市品种开展做市的，应满足自选做市相关要求。</w:t>
      </w:r>
    </w:p>
    <w:p w14:paraId="45FA49FB">
      <w:pPr>
        <w:numPr>
          <w:ilvl w:val="2"/>
          <w:numId w:val="4"/>
        </w:numPr>
        <w:spacing w:line="600" w:lineRule="exact"/>
        <w:ind w:left="0" w:firstLine="0"/>
        <w:outlineLvl w:val="2"/>
        <w:rPr>
          <w:rFonts w:ascii="仿宋_GB2312" w:eastAsia="仿宋_GB2312"/>
          <w:b/>
          <w:sz w:val="30"/>
          <w:szCs w:val="30"/>
        </w:rPr>
      </w:pPr>
      <w:bookmarkStart w:id="1787" w:name="_Toc55318674"/>
      <w:r>
        <w:rPr>
          <w:rFonts w:hint="eastAsia" w:ascii="仿宋_GB2312" w:eastAsia="仿宋_GB2312"/>
          <w:b/>
          <w:sz w:val="30"/>
          <w:szCs w:val="30"/>
        </w:rPr>
        <w:t>做市业务</w:t>
      </w:r>
      <w:bookmarkEnd w:id="1779"/>
      <w:bookmarkEnd w:id="1780"/>
      <w:bookmarkEnd w:id="1781"/>
      <w:bookmarkEnd w:id="1782"/>
      <w:bookmarkEnd w:id="1783"/>
      <w:bookmarkEnd w:id="1784"/>
      <w:bookmarkEnd w:id="1785"/>
      <w:bookmarkEnd w:id="1786"/>
      <w:bookmarkEnd w:id="1787"/>
    </w:p>
    <w:p w14:paraId="34192948">
      <w:pPr>
        <w:spacing w:line="600" w:lineRule="exact"/>
        <w:ind w:firstLine="567" w:firstLineChars="189"/>
        <w:rPr>
          <w:rFonts w:ascii="仿宋_GB2312" w:hAnsi="微软雅黑" w:eastAsia="仿宋_GB2312"/>
          <w:sz w:val="30"/>
          <w:szCs w:val="30"/>
        </w:rPr>
      </w:pPr>
      <w:r>
        <w:rPr>
          <w:rFonts w:hint="eastAsia" w:ascii="仿宋_GB2312" w:hAnsi="微软雅黑" w:eastAsia="仿宋_GB2312"/>
          <w:sz w:val="30"/>
          <w:szCs w:val="30"/>
        </w:rPr>
        <w:t>做市商通过业管系统平台交易参与人模块办理各项业务，系统访问地址: https://bmsp.uap.sse.com.cn。</w:t>
      </w:r>
    </w:p>
    <w:p w14:paraId="16F61DDC">
      <w:pPr>
        <w:spacing w:line="600" w:lineRule="exact"/>
        <w:ind w:left="567"/>
        <w:outlineLvl w:val="3"/>
        <w:rPr>
          <w:rFonts w:ascii="仿宋_GB2312" w:eastAsia="仿宋_GB2312"/>
          <w:b/>
          <w:sz w:val="30"/>
          <w:szCs w:val="30"/>
        </w:rPr>
      </w:pPr>
      <w:r>
        <w:rPr>
          <w:rFonts w:hint="eastAsia" w:ascii="仿宋_GB2312" w:eastAsia="仿宋_GB2312"/>
          <w:b/>
          <w:sz w:val="30"/>
          <w:szCs w:val="30"/>
        </w:rPr>
        <w:t>（1）确定做市账户</w:t>
      </w:r>
    </w:p>
    <w:p w14:paraId="044034B4">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做市商从事做市业务，应当指定一个或多个证券账户作为做市证券账户，并向本所报备。做市商需填写《债券做市账户登记表》</w:t>
      </w:r>
      <w:r>
        <w:rPr>
          <w:rFonts w:ascii="仿宋_GB2312" w:hAnsi="微软雅黑" w:eastAsia="仿宋_GB2312"/>
          <w:sz w:val="30"/>
          <w:szCs w:val="30"/>
        </w:rPr>
        <w:t>（附件1</w:t>
      </w:r>
      <w:r>
        <w:rPr>
          <w:rFonts w:hint="eastAsia" w:ascii="仿宋_GB2312" w:hAnsi="微软雅黑" w:eastAsia="仿宋_GB2312"/>
          <w:sz w:val="30"/>
          <w:szCs w:val="30"/>
        </w:rPr>
        <w:t>3</w:t>
      </w:r>
      <w:r>
        <w:rPr>
          <w:rFonts w:ascii="仿宋_GB2312" w:hAnsi="微软雅黑" w:eastAsia="仿宋_GB2312"/>
          <w:sz w:val="30"/>
          <w:szCs w:val="30"/>
        </w:rPr>
        <w:t>）</w:t>
      </w:r>
      <w:r>
        <w:rPr>
          <w:rFonts w:hint="eastAsia" w:ascii="仿宋_GB2312" w:hAnsi="微软雅黑" w:eastAsia="仿宋_GB2312"/>
          <w:sz w:val="30"/>
          <w:szCs w:val="30"/>
        </w:rPr>
        <w:t>并加盖公章，并将电子件及</w:t>
      </w:r>
      <w:r>
        <w:rPr>
          <w:rFonts w:ascii="仿宋_GB2312" w:hAnsi="微软雅黑" w:eastAsia="仿宋_GB2312"/>
          <w:sz w:val="30"/>
          <w:szCs w:val="30"/>
        </w:rPr>
        <w:t>PDF格式彩色扫描件</w:t>
      </w:r>
      <w:r>
        <w:rPr>
          <w:rFonts w:hint="eastAsia" w:ascii="仿宋_GB2312" w:hAnsi="微软雅黑" w:eastAsia="仿宋_GB2312"/>
          <w:sz w:val="30"/>
          <w:szCs w:val="30"/>
        </w:rPr>
        <w:t>上传至业管系统平台交易参与人模块完成报备。</w:t>
      </w:r>
    </w:p>
    <w:p w14:paraId="2650F197">
      <w:pPr>
        <w:spacing w:line="600" w:lineRule="exact"/>
        <w:ind w:left="567"/>
        <w:outlineLvl w:val="3"/>
        <w:rPr>
          <w:rFonts w:ascii="仿宋_GB2312" w:eastAsia="仿宋_GB2312"/>
          <w:b/>
          <w:sz w:val="30"/>
          <w:szCs w:val="30"/>
        </w:rPr>
      </w:pPr>
      <w:r>
        <w:rPr>
          <w:rFonts w:hint="eastAsia" w:ascii="仿宋_GB2312" w:eastAsia="仿宋_GB2312"/>
          <w:b/>
          <w:sz w:val="30"/>
          <w:szCs w:val="30"/>
        </w:rPr>
        <w:t>（2）做市账户变更</w:t>
      </w:r>
    </w:p>
    <w:p w14:paraId="6912691F">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做市商上传做市证券账户之后，每个季度内最多可变更一次。做市商变更做市证券账户需填写《债券做市账户变更表》（附件</w:t>
      </w:r>
      <w:r>
        <w:rPr>
          <w:rFonts w:ascii="仿宋_GB2312" w:hAnsi="微软雅黑" w:eastAsia="仿宋_GB2312"/>
          <w:sz w:val="30"/>
          <w:szCs w:val="30"/>
        </w:rPr>
        <w:t>1</w:t>
      </w:r>
      <w:r>
        <w:rPr>
          <w:rFonts w:hint="eastAsia" w:ascii="仿宋_GB2312" w:hAnsi="微软雅黑" w:eastAsia="仿宋_GB2312"/>
          <w:sz w:val="30"/>
          <w:szCs w:val="30"/>
        </w:rPr>
        <w:t>4）并加盖公章，并将电子件及</w:t>
      </w:r>
      <w:r>
        <w:rPr>
          <w:rFonts w:ascii="仿宋_GB2312" w:hAnsi="微软雅黑" w:eastAsia="仿宋_GB2312"/>
          <w:sz w:val="30"/>
          <w:szCs w:val="30"/>
        </w:rPr>
        <w:t>PDF格式彩色扫描件</w:t>
      </w:r>
      <w:r>
        <w:rPr>
          <w:rFonts w:hint="eastAsia" w:ascii="仿宋_GB2312" w:hAnsi="微软雅黑" w:eastAsia="仿宋_GB2312"/>
          <w:sz w:val="30"/>
          <w:szCs w:val="30"/>
        </w:rPr>
        <w:t>上传至业管系统平台交易参与人模块。本所收到《债券做市账户变更表》后</w:t>
      </w:r>
      <w:r>
        <w:rPr>
          <w:rFonts w:ascii="仿宋_GB2312" w:hAnsi="微软雅黑" w:eastAsia="仿宋_GB2312"/>
          <w:sz w:val="30"/>
          <w:szCs w:val="30"/>
        </w:rPr>
        <w:t>2</w:t>
      </w:r>
      <w:r>
        <w:rPr>
          <w:rFonts w:hint="eastAsia" w:ascii="仿宋_GB2312" w:hAnsi="微软雅黑" w:eastAsia="仿宋_GB2312"/>
          <w:sz w:val="30"/>
          <w:szCs w:val="30"/>
        </w:rPr>
        <w:t>个交易日内完成评估并回复变更结果及变更生效日期</w:t>
      </w:r>
      <w:r>
        <w:rPr>
          <w:rFonts w:ascii="仿宋_GB2312" w:hAnsi="微软雅黑" w:eastAsia="仿宋_GB2312"/>
          <w:sz w:val="30"/>
          <w:szCs w:val="30"/>
        </w:rPr>
        <w:t>。</w:t>
      </w:r>
    </w:p>
    <w:p w14:paraId="56283823">
      <w:pPr>
        <w:spacing w:line="600" w:lineRule="exact"/>
        <w:ind w:left="567"/>
        <w:outlineLvl w:val="3"/>
        <w:rPr>
          <w:rFonts w:ascii="仿宋_GB2312" w:eastAsia="仿宋_GB2312"/>
          <w:b/>
          <w:sz w:val="30"/>
          <w:szCs w:val="30"/>
        </w:rPr>
      </w:pPr>
      <w:r>
        <w:rPr>
          <w:rFonts w:hint="eastAsia" w:ascii="仿宋_GB2312" w:eastAsia="仿宋_GB2312"/>
          <w:b/>
          <w:sz w:val="30"/>
          <w:szCs w:val="30"/>
        </w:rPr>
        <w:t>（3）添加/取消债券做市标的</w:t>
      </w:r>
    </w:p>
    <w:p w14:paraId="77FF850A">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做市商添加/取消债券做市标的（包括前述基准做市品种的主动调整和被动调整 ，自选做市品种的调整），应向本所报备。做市商需填写《添加债券做市标的登记表》</w:t>
      </w:r>
      <w:r>
        <w:rPr>
          <w:rFonts w:ascii="仿宋_GB2312" w:hAnsi="微软雅黑" w:eastAsia="仿宋_GB2312"/>
          <w:sz w:val="30"/>
          <w:szCs w:val="30"/>
        </w:rPr>
        <w:t>（附件1</w:t>
      </w:r>
      <w:r>
        <w:rPr>
          <w:rFonts w:hint="eastAsia" w:ascii="仿宋_GB2312" w:hAnsi="微软雅黑" w:eastAsia="仿宋_GB2312"/>
          <w:sz w:val="30"/>
          <w:szCs w:val="30"/>
        </w:rPr>
        <w:t>5</w:t>
      </w:r>
      <w:r>
        <w:rPr>
          <w:rFonts w:ascii="仿宋_GB2312" w:hAnsi="微软雅黑" w:eastAsia="仿宋_GB2312"/>
          <w:sz w:val="30"/>
          <w:szCs w:val="30"/>
        </w:rPr>
        <w:t>）</w:t>
      </w:r>
      <w:r>
        <w:rPr>
          <w:rFonts w:hint="eastAsia" w:ascii="仿宋_GB2312" w:hAnsi="微软雅黑" w:eastAsia="仿宋_GB2312"/>
          <w:sz w:val="30"/>
          <w:szCs w:val="30"/>
        </w:rPr>
        <w:t>或《取消债券做市标的登记表》（附件16）并加盖部门公章，并将电子件及</w:t>
      </w:r>
      <w:r>
        <w:rPr>
          <w:rFonts w:ascii="仿宋_GB2312" w:hAnsi="微软雅黑" w:eastAsia="仿宋_GB2312"/>
          <w:sz w:val="30"/>
          <w:szCs w:val="30"/>
        </w:rPr>
        <w:t>PDF格式彩色扫描件</w:t>
      </w:r>
      <w:r>
        <w:rPr>
          <w:rFonts w:hint="eastAsia" w:ascii="仿宋_GB2312" w:hAnsi="微软雅黑" w:eastAsia="仿宋_GB2312"/>
          <w:sz w:val="30"/>
          <w:szCs w:val="30"/>
        </w:rPr>
        <w:t>上传至业管系统平台交易参与人模块完成报备。</w:t>
      </w:r>
    </w:p>
    <w:p w14:paraId="04FC55D0">
      <w:pPr>
        <w:spacing w:line="600" w:lineRule="exact"/>
        <w:ind w:left="567"/>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4</w:t>
      </w:r>
      <w:r>
        <w:rPr>
          <w:rFonts w:hint="eastAsia" w:ascii="仿宋_GB2312" w:eastAsia="仿宋_GB2312"/>
          <w:b/>
          <w:sz w:val="30"/>
          <w:szCs w:val="30"/>
        </w:rPr>
        <w:t>）做市方式</w:t>
      </w:r>
    </w:p>
    <w:p w14:paraId="0406E2F2">
      <w:pPr>
        <w:spacing w:line="600" w:lineRule="exact"/>
        <w:ind w:firstLine="600" w:firstLineChars="200"/>
        <w:rPr>
          <w:rFonts w:ascii="仿宋_GB2312" w:eastAsia="仿宋_GB2312"/>
          <w:sz w:val="30"/>
          <w:szCs w:val="30"/>
        </w:rPr>
      </w:pPr>
      <w:r>
        <w:rPr>
          <w:rFonts w:hint="eastAsia" w:ascii="仿宋_GB2312" w:eastAsia="仿宋_GB2312"/>
          <w:sz w:val="30"/>
          <w:szCs w:val="30"/>
        </w:rPr>
        <w:t>做市商可以采用匹配成交、点击成交方式，对做市品种进行双边买卖报价。</w:t>
      </w:r>
    </w:p>
    <w:p w14:paraId="6AE5351A">
      <w:pPr>
        <w:spacing w:line="600" w:lineRule="exact"/>
        <w:ind w:firstLine="600" w:firstLineChars="200"/>
        <w:rPr>
          <w:rFonts w:ascii="仿宋_GB2312" w:hAnsi="微软雅黑" w:eastAsia="仿宋_GB2312"/>
          <w:sz w:val="30"/>
          <w:szCs w:val="30"/>
        </w:rPr>
      </w:pPr>
      <w:r>
        <w:rPr>
          <w:rFonts w:hint="eastAsia" w:ascii="仿宋_GB2312" w:eastAsia="仿宋_GB2312"/>
          <w:sz w:val="30"/>
          <w:szCs w:val="30"/>
        </w:rPr>
        <w:t>对基准做市品种，主做市商可通过匹配成交、点击成交方式进行做市。本所鼓励主做市商采用匹配成交方式，对基准利率债做市品种面向全市场进行双边买卖报价；对自选做市品种，主做市商、一般做市商可通过点击成交方式进行做市。做市商对基准利率债做市品种以外的做市标的开展做市业务时，对债券投资者的询价请求应当予以回复。相关交易申报要素可参见本指南第</w:t>
      </w:r>
      <w:r>
        <w:rPr>
          <w:rFonts w:ascii="仿宋_GB2312" w:eastAsia="仿宋_GB2312"/>
          <w:sz w:val="30"/>
          <w:szCs w:val="30"/>
        </w:rPr>
        <w:t>5</w:t>
      </w:r>
      <w:r>
        <w:rPr>
          <w:rFonts w:hint="eastAsia" w:ascii="仿宋_GB2312" w:eastAsia="仿宋_GB2312"/>
          <w:sz w:val="30"/>
          <w:szCs w:val="30"/>
        </w:rPr>
        <w:t>章债券交易方式。</w:t>
      </w:r>
    </w:p>
    <w:p w14:paraId="130B0555">
      <w:pPr>
        <w:spacing w:line="600" w:lineRule="exact"/>
        <w:ind w:firstLine="600" w:firstLineChars="200"/>
        <w:rPr>
          <w:rFonts w:ascii="仿宋_GB2312" w:hAnsi="微软雅黑" w:eastAsia="仿宋_GB2312"/>
          <w:sz w:val="30"/>
          <w:szCs w:val="30"/>
        </w:rPr>
      </w:pPr>
      <w:r>
        <w:rPr>
          <w:rFonts w:ascii="仿宋_GB2312" w:hAnsi="微软雅黑" w:eastAsia="仿宋_GB2312"/>
          <w:sz w:val="30"/>
          <w:szCs w:val="30"/>
        </w:rPr>
        <w:t>1）匹配成交</w:t>
      </w:r>
    </w:p>
    <w:p w14:paraId="46DCF679">
      <w:pPr>
        <w:spacing w:line="600" w:lineRule="exact"/>
        <w:ind w:firstLine="600" w:firstLineChars="200"/>
        <w:rPr>
          <w:rFonts w:ascii="仿宋_GB2312" w:hAnsi="微软雅黑" w:eastAsia="仿宋_GB2312"/>
          <w:sz w:val="30"/>
          <w:szCs w:val="30"/>
        </w:rPr>
      </w:pPr>
      <w:r>
        <w:rPr>
          <w:rFonts w:hint="eastAsia" w:ascii="仿宋_GB2312" w:eastAsia="仿宋_GB2312"/>
          <w:sz w:val="30"/>
          <w:szCs w:val="30"/>
        </w:rPr>
        <w:t>本所鼓励主做市商采用匹配成交方式对基准利率债做市品种面向全市场进行双边买卖报价。</w:t>
      </w:r>
      <w:r>
        <w:rPr>
          <w:rFonts w:hint="eastAsia" w:ascii="仿宋_GB2312" w:hAnsi="微软雅黑" w:eastAsia="仿宋_GB2312"/>
          <w:sz w:val="30"/>
          <w:szCs w:val="30"/>
        </w:rPr>
        <w:t>匹配成交方式下，基准做市品种的申报数量应当</w:t>
      </w:r>
      <w:r>
        <w:rPr>
          <w:rFonts w:hint="eastAsia" w:ascii="仿宋_GB2312" w:eastAsia="仿宋_GB2312"/>
          <w:sz w:val="30"/>
          <w:szCs w:val="30"/>
        </w:rPr>
        <w:t>不低于100万元面额</w:t>
      </w:r>
      <w:r>
        <w:rPr>
          <w:rFonts w:hint="eastAsia" w:ascii="仿宋_GB2312" w:hAnsi="微软雅黑" w:eastAsia="仿宋_GB2312"/>
          <w:sz w:val="30"/>
          <w:szCs w:val="30"/>
        </w:rPr>
        <w:t>。</w:t>
      </w:r>
    </w:p>
    <w:p w14:paraId="2CC4F07A">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如果双边匹配成交申报其中一个方向的数量全部成交，做市商须再次进行匹配成交申报。做市的双边匹配成交申报可撤销，如果仅撤销单边，则该申报自单边撤销时起不计入做市。</w:t>
      </w:r>
    </w:p>
    <w:p w14:paraId="672BFAFC">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2）点击成交</w:t>
      </w:r>
    </w:p>
    <w:p w14:paraId="51DEF24B">
      <w:pPr>
        <w:spacing w:line="600" w:lineRule="exact"/>
        <w:ind w:firstLine="600" w:firstLineChars="200"/>
        <w:rPr>
          <w:rFonts w:ascii="仿宋_GB2312" w:eastAsia="仿宋_GB2312"/>
          <w:sz w:val="30"/>
          <w:szCs w:val="30"/>
        </w:rPr>
      </w:pPr>
      <w:r>
        <w:rPr>
          <w:rFonts w:hint="eastAsia" w:ascii="仿宋_GB2312" w:hAnsi="微软雅黑" w:eastAsia="仿宋_GB2312"/>
          <w:sz w:val="30"/>
          <w:szCs w:val="30"/>
        </w:rPr>
        <w:t>做市商可采用点击成交的方式面向全市场进行显名做市报价，做市商</w:t>
      </w:r>
      <w:r>
        <w:rPr>
          <w:rFonts w:hint="eastAsia" w:ascii="仿宋_GB2312" w:hAnsi="仿宋" w:eastAsia="仿宋_GB2312"/>
          <w:sz w:val="30"/>
          <w:szCs w:val="30"/>
        </w:rPr>
        <w:t>发出报价，相关报价经其他债券投资者点击后由</w:t>
      </w:r>
      <w:r>
        <w:rPr>
          <w:rFonts w:hint="eastAsia" w:ascii="仿宋_GB2312" w:hAnsi="仿宋" w:eastAsia="仿宋_GB2312"/>
          <w:sz w:val="30"/>
          <w:szCs w:val="30"/>
          <w:lang w:eastAsia="zh-CN"/>
        </w:rPr>
        <w:t>新固定收益系统</w:t>
      </w:r>
      <w:r>
        <w:rPr>
          <w:rFonts w:hint="eastAsia" w:ascii="仿宋_GB2312" w:hAnsi="仿宋" w:eastAsia="仿宋_GB2312"/>
          <w:sz w:val="30"/>
          <w:szCs w:val="30"/>
        </w:rPr>
        <w:t>确认成交</w:t>
      </w:r>
      <w:r>
        <w:rPr>
          <w:rFonts w:hint="eastAsia" w:ascii="仿宋_GB2312" w:hAnsi="微软雅黑" w:eastAsia="仿宋_GB2312"/>
          <w:sz w:val="30"/>
          <w:szCs w:val="30"/>
        </w:rPr>
        <w:t>。</w:t>
      </w:r>
      <w:r>
        <w:rPr>
          <w:rFonts w:hint="eastAsia" w:ascii="仿宋_GB2312" w:eastAsia="仿宋_GB2312"/>
          <w:sz w:val="30"/>
          <w:szCs w:val="30"/>
        </w:rPr>
        <w:t>做市商对做市品种双边买卖报价的单笔申报数量应当不低于100万元面额。</w:t>
      </w:r>
    </w:p>
    <w:p w14:paraId="2918201C">
      <w:pPr>
        <w:spacing w:line="600" w:lineRule="exact"/>
        <w:ind w:firstLine="600" w:firstLineChars="200"/>
        <w:rPr>
          <w:rFonts w:ascii="仿宋_GB2312" w:eastAsia="仿宋_GB2312"/>
          <w:sz w:val="30"/>
          <w:szCs w:val="30"/>
        </w:rPr>
      </w:pPr>
      <w:r>
        <w:rPr>
          <w:rFonts w:hint="eastAsia" w:ascii="仿宋_GB2312" w:hAnsi="微软雅黑" w:eastAsia="仿宋_GB2312"/>
          <w:sz w:val="30"/>
          <w:szCs w:val="30"/>
        </w:rPr>
        <w:t>此外，做市商可采用待定报价方式面向全市场进行显名做市报价。做市商</w:t>
      </w:r>
      <w:r>
        <w:rPr>
          <w:rFonts w:hint="eastAsia" w:ascii="仿宋_GB2312" w:hAnsi="仿宋" w:eastAsia="仿宋_GB2312"/>
          <w:sz w:val="30"/>
          <w:szCs w:val="30"/>
        </w:rPr>
        <w:t>发出</w:t>
      </w:r>
      <w:r>
        <w:rPr>
          <w:rFonts w:hint="eastAsia" w:ascii="仿宋_GB2312" w:hAnsi="微软雅黑" w:eastAsia="仿宋_GB2312"/>
          <w:sz w:val="30"/>
          <w:szCs w:val="30"/>
        </w:rPr>
        <w:t>待确认的</w:t>
      </w:r>
      <w:r>
        <w:rPr>
          <w:rFonts w:hint="eastAsia" w:ascii="仿宋_GB2312" w:hAnsi="仿宋" w:eastAsia="仿宋_GB2312"/>
          <w:sz w:val="30"/>
          <w:szCs w:val="30"/>
        </w:rPr>
        <w:t>报价</w:t>
      </w:r>
      <w:r>
        <w:rPr>
          <w:rFonts w:hint="eastAsia" w:ascii="仿宋_GB2312" w:hAnsi="微软雅黑" w:eastAsia="仿宋_GB2312"/>
          <w:sz w:val="30"/>
          <w:szCs w:val="30"/>
        </w:rPr>
        <w:t>，</w:t>
      </w:r>
      <w:r>
        <w:rPr>
          <w:rFonts w:hint="eastAsia" w:ascii="仿宋_GB2312" w:hAnsi="仿宋" w:eastAsia="仿宋_GB2312"/>
          <w:sz w:val="30"/>
          <w:szCs w:val="30"/>
        </w:rPr>
        <w:t>相关报价经其他债券投资者点击后返回至做市商</w:t>
      </w:r>
      <w:r>
        <w:rPr>
          <w:rFonts w:hint="eastAsia" w:ascii="仿宋_GB2312" w:hAnsi="微软雅黑" w:eastAsia="仿宋_GB2312"/>
          <w:sz w:val="30"/>
          <w:szCs w:val="30"/>
        </w:rPr>
        <w:t>，做市商于当日交易时间内再次进行确认后经</w:t>
      </w:r>
      <w:r>
        <w:rPr>
          <w:rFonts w:hint="eastAsia" w:ascii="仿宋_GB2312" w:hAnsi="仿宋" w:eastAsia="仿宋_GB2312"/>
          <w:sz w:val="30"/>
          <w:szCs w:val="30"/>
          <w:lang w:eastAsia="zh-CN"/>
        </w:rPr>
        <w:t>新固定收益系统</w:t>
      </w:r>
      <w:r>
        <w:rPr>
          <w:rFonts w:hint="eastAsia" w:ascii="仿宋_GB2312" w:hAnsi="微软雅黑" w:eastAsia="仿宋_GB2312"/>
          <w:sz w:val="30"/>
          <w:szCs w:val="30"/>
        </w:rPr>
        <w:t>确认成交。</w:t>
      </w:r>
      <w:r>
        <w:rPr>
          <w:rFonts w:hint="eastAsia" w:ascii="仿宋_GB2312" w:eastAsia="仿宋_GB2312"/>
          <w:sz w:val="30"/>
          <w:szCs w:val="30"/>
        </w:rPr>
        <w:t>做市商对做市品种双边买卖报价的单笔申报数量应当不低于100万元面额。</w:t>
      </w:r>
    </w:p>
    <w:p w14:paraId="236FA39F">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做市商进行双边点击成交申报，某一个方向的单边申报被全部点击成交后，做市商须再次进行点击成交申报。做市的双边点击成交申报可撤销，如果仅撤销单边，则该申报自单边撤销时起不计入做市。</w:t>
      </w:r>
    </w:p>
    <w:p w14:paraId="2FF08A12">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3）询价回复</w:t>
      </w:r>
    </w:p>
    <w:p w14:paraId="6D96F135">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其他债券交易参与人可以就做市券种向做市商进行询价，做市商应在当天交易时间内进行询价回复，询价回复当天有效。</w:t>
      </w:r>
    </w:p>
    <w:p w14:paraId="2C453773">
      <w:pPr>
        <w:spacing w:line="600" w:lineRule="exact"/>
        <w:ind w:left="567"/>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5</w:t>
      </w:r>
      <w:r>
        <w:rPr>
          <w:rFonts w:hint="eastAsia" w:ascii="仿宋_GB2312" w:eastAsia="仿宋_GB2312"/>
          <w:b/>
          <w:sz w:val="30"/>
          <w:szCs w:val="30"/>
        </w:rPr>
        <w:t>）做市业务暂停</w:t>
      </w:r>
    </w:p>
    <w:p w14:paraId="02EDCE17">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出现下列第（1）项或者第（2）项情形的，债券做市商可以暂停对相应债券品种的做市；出现下列第（3）项或者第（4）项情形的，做市商可以暂停开展做市业务：</w:t>
      </w:r>
    </w:p>
    <w:p w14:paraId="545940B1">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1）</w:t>
      </w:r>
      <w:r>
        <w:rPr>
          <w:rFonts w:ascii="仿宋_GB2312" w:hAnsi="微软雅黑" w:eastAsia="仿宋_GB2312"/>
          <w:sz w:val="30"/>
          <w:szCs w:val="30"/>
        </w:rPr>
        <w:t>做市品种被停牌的；</w:t>
      </w:r>
    </w:p>
    <w:p w14:paraId="6BBC3A41">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2）</w:t>
      </w:r>
      <w:r>
        <w:rPr>
          <w:rFonts w:ascii="仿宋_GB2312" w:hAnsi="微软雅黑" w:eastAsia="仿宋_GB2312"/>
          <w:sz w:val="30"/>
          <w:szCs w:val="30"/>
        </w:rPr>
        <w:t>做市品种的交易价格出现异常波动的；</w:t>
      </w:r>
    </w:p>
    <w:p w14:paraId="2AF9C736">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3）</w:t>
      </w:r>
      <w:r>
        <w:rPr>
          <w:rFonts w:ascii="仿宋_GB2312" w:hAnsi="微软雅黑" w:eastAsia="仿宋_GB2312"/>
          <w:sz w:val="30"/>
          <w:szCs w:val="30"/>
        </w:rPr>
        <w:t>因不可抗力或意外事件而无法正常开展做市业务的；</w:t>
      </w:r>
    </w:p>
    <w:p w14:paraId="4F97BE3A">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4）</w:t>
      </w:r>
      <w:r>
        <w:rPr>
          <w:rFonts w:ascii="仿宋_GB2312" w:hAnsi="微软雅黑" w:eastAsia="仿宋_GB2312"/>
          <w:sz w:val="30"/>
          <w:szCs w:val="30"/>
        </w:rPr>
        <w:t>本所认定的其他难以持续开展做市业务的情形。</w:t>
      </w:r>
    </w:p>
    <w:p w14:paraId="505A40BD">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上述情况消除后，做市商应当及时继续开展做市业务。</w:t>
      </w:r>
    </w:p>
    <w:p w14:paraId="6FDAE527">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除前述第1）项情形外，做市商应通过业管系统平台交易参与人模块向本所告知相关情况。</w:t>
      </w:r>
    </w:p>
    <w:p w14:paraId="731D19A9">
      <w:pPr>
        <w:spacing w:line="600" w:lineRule="exact"/>
        <w:ind w:firstLine="601" w:firstLineChars="200"/>
        <w:rPr>
          <w:rFonts w:ascii="仿宋_GB2312" w:hAnsi="微软雅黑" w:eastAsia="仿宋_GB2312"/>
          <w:b/>
          <w:bCs/>
          <w:sz w:val="30"/>
          <w:szCs w:val="30"/>
        </w:rPr>
      </w:pPr>
      <w:r>
        <w:rPr>
          <w:rFonts w:hint="eastAsia" w:ascii="仿宋_GB2312" w:hAnsi="微软雅黑" w:eastAsia="仿宋_GB2312"/>
          <w:b/>
          <w:bCs/>
          <w:sz w:val="30"/>
          <w:szCs w:val="30"/>
        </w:rPr>
        <w:t>（6）做市业务终止</w:t>
      </w:r>
    </w:p>
    <w:p w14:paraId="18AB6632">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做市商主动申请终止债券做市业务的，应当通过业管系统平台交易参与人模块提前</w:t>
      </w:r>
      <w:r>
        <w:rPr>
          <w:rFonts w:ascii="仿宋_GB2312" w:hAnsi="微软雅黑" w:eastAsia="仿宋_GB2312"/>
          <w:sz w:val="30"/>
          <w:szCs w:val="30"/>
        </w:rPr>
        <w:t>5个交易日向本所提交终止申请（模板见附件1</w:t>
      </w:r>
      <w:r>
        <w:rPr>
          <w:rFonts w:hint="eastAsia" w:ascii="仿宋_GB2312" w:hAnsi="微软雅黑" w:eastAsia="仿宋_GB2312"/>
          <w:sz w:val="30"/>
          <w:szCs w:val="30"/>
        </w:rPr>
        <w:t>7</w:t>
      </w:r>
      <w:r>
        <w:rPr>
          <w:rFonts w:ascii="仿宋_GB2312" w:hAnsi="微软雅黑" w:eastAsia="仿宋_GB2312"/>
          <w:sz w:val="30"/>
          <w:szCs w:val="30"/>
        </w:rPr>
        <w:t>）。材料中须注明拟终止的生效时间。经本所确认后，做市商方可终止做市业务。做市商主动申请终止做</w:t>
      </w:r>
      <w:r>
        <w:rPr>
          <w:rFonts w:hint="eastAsia" w:ascii="仿宋_GB2312" w:hAnsi="微软雅黑" w:eastAsia="仿宋_GB2312"/>
          <w:sz w:val="30"/>
          <w:szCs w:val="30"/>
        </w:rPr>
        <w:t>市业务的，</w:t>
      </w:r>
      <w:r>
        <w:rPr>
          <w:rFonts w:ascii="仿宋_GB2312" w:hAnsi="微软雅黑" w:eastAsia="仿宋_GB2312"/>
          <w:sz w:val="30"/>
          <w:szCs w:val="30"/>
        </w:rPr>
        <w:t>6个月内不得重新申请开展债券做市业务。</w:t>
      </w:r>
    </w:p>
    <w:p w14:paraId="1E6332C4">
      <w:pPr>
        <w:spacing w:line="600" w:lineRule="exact"/>
        <w:ind w:firstLine="601" w:firstLineChars="200"/>
        <w:rPr>
          <w:rFonts w:hint="eastAsia" w:ascii="仿宋_GB2312" w:hAnsi="微软雅黑" w:eastAsia="仿宋_GB2312"/>
          <w:b/>
          <w:bCs/>
          <w:sz w:val="30"/>
          <w:szCs w:val="30"/>
          <w:lang w:eastAsia="zh-CN"/>
        </w:rPr>
      </w:pPr>
      <w:r>
        <w:rPr>
          <w:rFonts w:hint="eastAsia" w:ascii="仿宋_GB2312" w:hAnsi="微软雅黑" w:eastAsia="仿宋_GB2312"/>
          <w:b/>
          <w:bCs/>
          <w:sz w:val="30"/>
          <w:szCs w:val="30"/>
        </w:rPr>
        <w:t>（</w:t>
      </w:r>
      <w:r>
        <w:rPr>
          <w:rFonts w:hint="eastAsia" w:ascii="仿宋_GB2312" w:hAnsi="微软雅黑" w:eastAsia="仿宋_GB2312"/>
          <w:b/>
          <w:bCs/>
          <w:sz w:val="30"/>
          <w:szCs w:val="30"/>
          <w:lang w:val="en-US" w:eastAsia="zh-CN"/>
        </w:rPr>
        <w:t>7</w:t>
      </w:r>
      <w:r>
        <w:rPr>
          <w:rFonts w:hint="eastAsia" w:ascii="仿宋_GB2312" w:hAnsi="微软雅黑" w:eastAsia="仿宋_GB2312"/>
          <w:b/>
          <w:bCs/>
          <w:sz w:val="30"/>
          <w:szCs w:val="30"/>
        </w:rPr>
        <w:t>）做市</w:t>
      </w:r>
      <w:r>
        <w:rPr>
          <w:rFonts w:hint="eastAsia" w:ascii="仿宋_GB2312" w:hAnsi="微软雅黑" w:eastAsia="仿宋_GB2312"/>
          <w:b/>
          <w:bCs/>
          <w:sz w:val="30"/>
          <w:szCs w:val="30"/>
          <w:lang w:eastAsia="zh-CN"/>
        </w:rPr>
        <w:t>债券划转服务</w:t>
      </w:r>
    </w:p>
    <w:p w14:paraId="513D2D2C">
      <w:pPr>
        <w:spacing w:line="600" w:lineRule="exact"/>
        <w:ind w:firstLine="600" w:firstLineChars="200"/>
        <w:rPr>
          <w:rFonts w:hint="eastAsia" w:ascii="Times New Roman" w:hAnsi="Times New Roman" w:eastAsia="仿宋_GB2312" w:cs="Times New Roman"/>
          <w:sz w:val="32"/>
          <w:szCs w:val="32"/>
          <w:highlight w:val="none"/>
          <w:lang w:val="en-US" w:eastAsia="zh-CN"/>
        </w:rPr>
      </w:pPr>
      <w:r>
        <w:rPr>
          <w:rFonts w:hint="eastAsia" w:ascii="仿宋_GB2312" w:hAnsi="微软雅黑" w:eastAsia="仿宋_GB2312"/>
          <w:sz w:val="30"/>
          <w:szCs w:val="30"/>
          <w:lang w:eastAsia="zh-CN"/>
        </w:rPr>
        <w:t>本所为</w:t>
      </w:r>
      <w:r>
        <w:rPr>
          <w:rFonts w:hint="eastAsia" w:ascii="仿宋_GB2312" w:hAnsi="微软雅黑" w:eastAsia="仿宋_GB2312"/>
          <w:sz w:val="30"/>
          <w:szCs w:val="30"/>
        </w:rPr>
        <w:t>做市商</w:t>
      </w:r>
      <w:r>
        <w:rPr>
          <w:rFonts w:hint="eastAsia" w:ascii="仿宋_GB2312" w:hAnsi="微软雅黑" w:eastAsia="仿宋_GB2312"/>
          <w:sz w:val="30"/>
          <w:szCs w:val="30"/>
          <w:lang w:eastAsia="zh-CN"/>
        </w:rPr>
        <w:t>提供做市债券在</w:t>
      </w:r>
      <w:r>
        <w:rPr>
          <w:rFonts w:hint="eastAsia" w:ascii="Times New Roman" w:hAnsi="Times New Roman" w:eastAsia="仿宋_GB2312" w:cs="Times New Roman"/>
          <w:sz w:val="32"/>
          <w:szCs w:val="32"/>
          <w:highlight w:val="none"/>
          <w:lang w:val="en-US" w:eastAsia="zh-CN"/>
        </w:rPr>
        <w:t>自营账户与债券做市专用证券账户间划转</w:t>
      </w:r>
      <w:r>
        <w:rPr>
          <w:rFonts w:hint="eastAsia" w:eastAsia="仿宋_GB2312" w:cs="Times New Roman"/>
          <w:sz w:val="32"/>
          <w:szCs w:val="32"/>
          <w:highlight w:val="none"/>
          <w:lang w:val="en-US" w:eastAsia="zh-CN"/>
        </w:rPr>
        <w:t>的服务</w:t>
      </w:r>
      <w:r>
        <w:rPr>
          <w:rFonts w:hint="eastAsia" w:ascii="Times New Roman" w:hAnsi="Times New Roman" w:eastAsia="仿宋_GB2312" w:cs="Times New Roman"/>
          <w:sz w:val="32"/>
          <w:szCs w:val="32"/>
          <w:highlight w:val="none"/>
          <w:lang w:val="en-US" w:eastAsia="zh-CN"/>
        </w:rPr>
        <w:t>。做市商</w:t>
      </w:r>
      <w:r>
        <w:rPr>
          <w:rFonts w:hint="eastAsia" w:eastAsia="仿宋_GB2312" w:cs="Times New Roman"/>
          <w:sz w:val="32"/>
          <w:szCs w:val="32"/>
          <w:highlight w:val="none"/>
          <w:lang w:val="en-US" w:eastAsia="zh-CN"/>
        </w:rPr>
        <w:t>通过</w:t>
      </w:r>
      <w:r>
        <w:rPr>
          <w:rFonts w:hint="eastAsia" w:ascii="Times New Roman" w:hAnsi="Times New Roman" w:eastAsia="仿宋_GB2312" w:cs="Times New Roman"/>
          <w:sz w:val="32"/>
          <w:szCs w:val="32"/>
          <w:highlight w:val="none"/>
          <w:lang w:val="en-US" w:eastAsia="zh-CN"/>
        </w:rPr>
        <w:t>向上交所指定邮箱（bondtrading@sse.com.cn）发送</w:t>
      </w:r>
      <w:r>
        <w:rPr>
          <w:rFonts w:hint="eastAsia" w:eastAsia="仿宋_GB2312" w:cs="Times New Roman"/>
          <w:sz w:val="32"/>
          <w:szCs w:val="32"/>
          <w:highlight w:val="none"/>
          <w:lang w:val="en-US" w:eastAsia="zh-CN"/>
        </w:rPr>
        <w:t>邮件报备</w:t>
      </w:r>
      <w:r>
        <w:rPr>
          <w:rFonts w:hint="eastAsia" w:ascii="Times New Roman" w:hAnsi="Times New Roman" w:eastAsia="仿宋_GB2312" w:cs="Times New Roman"/>
          <w:sz w:val="32"/>
          <w:szCs w:val="32"/>
          <w:highlight w:val="none"/>
          <w:lang w:val="en-US" w:eastAsia="zh-CN"/>
        </w:rPr>
        <w:t>做市</w:t>
      </w:r>
      <w:r>
        <w:rPr>
          <w:rFonts w:hint="eastAsia" w:eastAsia="仿宋_GB2312" w:cs="Times New Roman"/>
          <w:sz w:val="32"/>
          <w:szCs w:val="32"/>
          <w:highlight w:val="none"/>
          <w:lang w:val="en-US" w:eastAsia="zh-CN"/>
        </w:rPr>
        <w:t>债</w:t>
      </w:r>
      <w:r>
        <w:rPr>
          <w:rFonts w:hint="eastAsia" w:ascii="Times New Roman" w:hAnsi="Times New Roman" w:eastAsia="仿宋_GB2312" w:cs="Times New Roman"/>
          <w:sz w:val="32"/>
          <w:szCs w:val="32"/>
          <w:highlight w:val="none"/>
          <w:lang w:val="en-US" w:eastAsia="zh-CN"/>
        </w:rPr>
        <w:t>券划转</w:t>
      </w:r>
      <w:r>
        <w:rPr>
          <w:rFonts w:hint="eastAsia" w:eastAsia="仿宋_GB2312" w:cs="Times New Roman"/>
          <w:sz w:val="32"/>
          <w:szCs w:val="32"/>
          <w:highlight w:val="none"/>
          <w:lang w:val="en-US" w:eastAsia="zh-CN"/>
        </w:rPr>
        <w:t>需求</w:t>
      </w:r>
      <w:r>
        <w:rPr>
          <w:rFonts w:hint="eastAsia" w:ascii="Times New Roman" w:hAnsi="Times New Roman" w:eastAsia="仿宋_GB2312" w:cs="Times New Roman"/>
          <w:sz w:val="32"/>
          <w:szCs w:val="32"/>
          <w:highlight w:val="none"/>
          <w:lang w:val="en-US" w:eastAsia="zh-CN"/>
        </w:rPr>
        <w:t>，信息包含做市商名称、划转证券</w:t>
      </w:r>
      <w:r>
        <w:rPr>
          <w:rFonts w:hint="eastAsia" w:eastAsia="仿宋_GB2312" w:cs="Times New Roman"/>
          <w:sz w:val="32"/>
          <w:szCs w:val="32"/>
          <w:highlight w:val="none"/>
          <w:lang w:val="en-US" w:eastAsia="zh-CN"/>
        </w:rPr>
        <w:t>信息、</w:t>
      </w:r>
      <w:r>
        <w:rPr>
          <w:rFonts w:hint="eastAsia" w:ascii="Times New Roman" w:hAnsi="Times New Roman" w:eastAsia="仿宋_GB2312" w:cs="Times New Roman"/>
          <w:sz w:val="32"/>
          <w:szCs w:val="32"/>
          <w:highlight w:val="none"/>
          <w:lang w:val="en-US" w:eastAsia="zh-CN"/>
        </w:rPr>
        <w:t>转入和转出证券账户</w:t>
      </w:r>
      <w:r>
        <w:rPr>
          <w:rFonts w:hint="eastAsia" w:eastAsia="仿宋_GB2312" w:cs="Times New Roman"/>
          <w:sz w:val="32"/>
          <w:szCs w:val="32"/>
          <w:highlight w:val="none"/>
          <w:lang w:val="en-US" w:eastAsia="zh-CN"/>
        </w:rPr>
        <w:t>信息</w:t>
      </w:r>
      <w:r>
        <w:rPr>
          <w:rFonts w:hint="eastAsia" w:ascii="Times New Roman" w:hAnsi="Times New Roman" w:eastAsia="仿宋_GB2312" w:cs="Times New Roman"/>
          <w:sz w:val="32"/>
          <w:szCs w:val="32"/>
          <w:highlight w:val="none"/>
          <w:lang w:val="en-US" w:eastAsia="zh-CN"/>
        </w:rPr>
        <w:t>等，</w:t>
      </w:r>
      <w:r>
        <w:rPr>
          <w:rFonts w:hint="eastAsia" w:eastAsia="仿宋_GB2312" w:cs="Times New Roman"/>
          <w:sz w:val="32"/>
          <w:szCs w:val="32"/>
          <w:highlight w:val="none"/>
          <w:lang w:val="en-US" w:eastAsia="zh-CN"/>
        </w:rPr>
        <w:t>划转登记</w:t>
      </w:r>
      <w:r>
        <w:rPr>
          <w:rFonts w:hint="eastAsia" w:ascii="Times New Roman" w:hAnsi="Times New Roman" w:eastAsia="仿宋_GB2312" w:cs="Times New Roman"/>
          <w:sz w:val="32"/>
          <w:szCs w:val="32"/>
          <w:highlight w:val="none"/>
          <w:lang w:val="en-US" w:eastAsia="zh-CN"/>
        </w:rPr>
        <w:t>表模板</w:t>
      </w:r>
      <w:r>
        <w:rPr>
          <w:rFonts w:hint="eastAsia" w:eastAsia="仿宋_GB2312" w:cs="Times New Roman"/>
          <w:sz w:val="32"/>
          <w:szCs w:val="32"/>
          <w:highlight w:val="none"/>
          <w:lang w:val="en-US" w:eastAsia="zh-CN"/>
        </w:rPr>
        <w:t>及相关要求</w:t>
      </w:r>
      <w:r>
        <w:rPr>
          <w:rFonts w:hint="eastAsia" w:ascii="Times New Roman" w:hAnsi="Times New Roman" w:eastAsia="仿宋_GB2312" w:cs="Times New Roman"/>
          <w:sz w:val="32"/>
          <w:szCs w:val="32"/>
          <w:highlight w:val="none"/>
          <w:lang w:val="en-US" w:eastAsia="zh-CN"/>
        </w:rPr>
        <w:t>详见附件44。</w:t>
      </w:r>
    </w:p>
    <w:p w14:paraId="5E7A70C7">
      <w:pPr>
        <w:spacing w:line="600" w:lineRule="exact"/>
        <w:ind w:firstLine="640" w:firstLineChars="200"/>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对于T日截至10：00（含T-1日10：00后）收到的</w:t>
      </w:r>
      <w:r>
        <w:rPr>
          <w:rFonts w:hint="eastAsia" w:eastAsia="仿宋_GB2312" w:cs="Times New Roman"/>
          <w:sz w:val="32"/>
          <w:szCs w:val="32"/>
          <w:highlight w:val="none"/>
          <w:lang w:val="en-US" w:eastAsia="zh-CN"/>
        </w:rPr>
        <w:t>划转需求</w:t>
      </w:r>
      <w:r>
        <w:rPr>
          <w:rFonts w:hint="eastAsia" w:ascii="Times New Roman" w:hAnsi="Times New Roman" w:eastAsia="仿宋_GB2312" w:cs="Times New Roman"/>
          <w:sz w:val="32"/>
          <w:szCs w:val="32"/>
          <w:highlight w:val="none"/>
          <w:lang w:val="en-US" w:eastAsia="zh-CN"/>
        </w:rPr>
        <w:t>，核验通过的，上交所于当日转发中国结算办理划转，划转成功的次一交易日起可用。对于T日10：00后收到的</w:t>
      </w:r>
      <w:r>
        <w:rPr>
          <w:rFonts w:hint="eastAsia" w:eastAsia="仿宋_GB2312" w:cs="Times New Roman"/>
          <w:sz w:val="32"/>
          <w:szCs w:val="32"/>
          <w:highlight w:val="none"/>
          <w:lang w:val="en-US" w:eastAsia="zh-CN"/>
        </w:rPr>
        <w:t>划转需求</w:t>
      </w:r>
      <w:r>
        <w:rPr>
          <w:rFonts w:hint="eastAsia" w:ascii="Times New Roman" w:hAnsi="Times New Roman" w:eastAsia="仿宋_GB2312" w:cs="Times New Roman"/>
          <w:sz w:val="32"/>
          <w:szCs w:val="32"/>
          <w:highlight w:val="none"/>
          <w:lang w:val="en-US" w:eastAsia="zh-CN"/>
        </w:rPr>
        <w:t>，顺延至次一交易日办理。若划转数量小于或等于转出账户可划转数量，则全额划转；若划转数量大于转出账户可划转数量，则该笔划转失败，不支持部分划转。</w:t>
      </w:r>
    </w:p>
    <w:p w14:paraId="38999D9E">
      <w:pPr>
        <w:spacing w:line="600" w:lineRule="exact"/>
        <w:ind w:firstLine="640" w:firstLineChars="200"/>
        <w:rPr>
          <w:rFonts w:hint="default" w:ascii="仿宋_GB2312" w:hAnsi="微软雅黑" w:eastAsia="仿宋_GB2312"/>
          <w:sz w:val="30"/>
          <w:szCs w:val="30"/>
          <w:lang w:val="en-US"/>
        </w:rPr>
      </w:pPr>
      <w:r>
        <w:rPr>
          <w:rFonts w:hint="eastAsia" w:ascii="Times New Roman" w:hAnsi="Times New Roman" w:eastAsia="仿宋_GB2312" w:cs="Times New Roman"/>
          <w:sz w:val="32"/>
          <w:szCs w:val="32"/>
          <w:highlight w:val="none"/>
          <w:lang w:val="en-US" w:eastAsia="zh-CN"/>
        </w:rPr>
        <w:t>做市商应</w:t>
      </w:r>
      <w:r>
        <w:rPr>
          <w:rFonts w:hint="eastAsia" w:ascii="仿宋_GB2312" w:hAnsi="仿宋_GB2312" w:eastAsia="仿宋_GB2312" w:cs="仿宋_GB2312"/>
          <w:b w:val="0"/>
          <w:bCs w:val="0"/>
          <w:color w:val="000000"/>
          <w:kern w:val="0"/>
          <w:sz w:val="32"/>
          <w:szCs w:val="32"/>
          <w:highlight w:val="none"/>
          <w:lang w:val="en-US" w:eastAsia="zh-CN" w:bidi="ar"/>
        </w:rPr>
        <w:t>确保转入和转出证券账户一方为已完成报备的债券做市账户，另一方为做市商的自营账户，划转债券为做市商已完成报备的做市标的。并</w:t>
      </w:r>
      <w:r>
        <w:rPr>
          <w:rFonts w:hint="eastAsia" w:ascii="Times New Roman" w:hAnsi="Times New Roman" w:eastAsia="仿宋_GB2312" w:cs="Times New Roman"/>
          <w:sz w:val="32"/>
          <w:szCs w:val="32"/>
          <w:highlight w:val="none"/>
          <w:lang w:val="en-US" w:eastAsia="zh-CN"/>
        </w:rPr>
        <w:t>承诺</w:t>
      </w:r>
      <w:r>
        <w:rPr>
          <w:rFonts w:hint="eastAsia" w:ascii="仿宋_GB2312" w:hAnsi="仿宋_GB2312" w:eastAsia="仿宋_GB2312" w:cs="仿宋_GB2312"/>
          <w:b w:val="0"/>
          <w:bCs w:val="0"/>
          <w:color w:val="000000"/>
          <w:kern w:val="0"/>
          <w:sz w:val="32"/>
          <w:szCs w:val="32"/>
          <w:highlight w:val="none"/>
          <w:lang w:val="en-US" w:eastAsia="zh-CN" w:bidi="ar"/>
        </w:rPr>
        <w:t>做市债券划转的目的是为开展债券做市业务而进行做市债券管理，不涉及利益输送及任何违反法律法规的情形。</w:t>
      </w:r>
    </w:p>
    <w:p w14:paraId="3B47E010">
      <w:pPr>
        <w:spacing w:line="600" w:lineRule="exact"/>
        <w:ind w:firstLine="600" w:firstLineChars="200"/>
        <w:rPr>
          <w:rFonts w:ascii="仿宋_GB2312" w:hAnsi="微软雅黑" w:eastAsia="仿宋_GB2312"/>
          <w:sz w:val="30"/>
          <w:szCs w:val="30"/>
        </w:rPr>
      </w:pPr>
    </w:p>
    <w:p w14:paraId="0015FAC3">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做市商管理</w:t>
      </w:r>
    </w:p>
    <w:p w14:paraId="1764CCF2">
      <w:pPr>
        <w:spacing w:line="600" w:lineRule="exact"/>
        <w:ind w:left="567"/>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1</w:t>
      </w:r>
      <w:r>
        <w:rPr>
          <w:rFonts w:hint="eastAsia" w:ascii="仿宋_GB2312" w:eastAsia="仿宋_GB2312"/>
          <w:b/>
          <w:sz w:val="30"/>
          <w:szCs w:val="30"/>
        </w:rPr>
        <w:t>）做市业务支持</w:t>
      </w:r>
    </w:p>
    <w:p w14:paraId="752208A7">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做市商开展做市业务，可享有以下支持措施：</w:t>
      </w:r>
    </w:p>
    <w:p w14:paraId="04924081">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1）</w:t>
      </w:r>
      <w:r>
        <w:rPr>
          <w:rFonts w:hint="eastAsia" w:ascii="仿宋_GB2312" w:eastAsia="仿宋_GB2312"/>
          <w:sz w:val="30"/>
          <w:szCs w:val="30"/>
        </w:rPr>
        <w:t>获得债券借贷、债券回购等融资、融券便利</w:t>
      </w:r>
      <w:r>
        <w:rPr>
          <w:rFonts w:hint="eastAsia" w:ascii="仿宋_GB2312" w:hAnsi="微软雅黑" w:eastAsia="仿宋_GB2312"/>
          <w:sz w:val="30"/>
          <w:szCs w:val="30"/>
        </w:rPr>
        <w:t>；</w:t>
      </w:r>
    </w:p>
    <w:p w14:paraId="2EFD71F8">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2）</w:t>
      </w:r>
      <w:r>
        <w:rPr>
          <w:rFonts w:hint="eastAsia" w:ascii="仿宋_GB2312" w:eastAsia="仿宋_GB2312"/>
          <w:sz w:val="30"/>
          <w:szCs w:val="30"/>
        </w:rPr>
        <w:t>优先开展债券创新产品和业务</w:t>
      </w:r>
      <w:r>
        <w:rPr>
          <w:rFonts w:hint="eastAsia" w:ascii="仿宋_GB2312" w:hAnsi="微软雅黑" w:eastAsia="仿宋_GB2312"/>
          <w:sz w:val="30"/>
          <w:szCs w:val="30"/>
        </w:rPr>
        <w:t>；</w:t>
      </w:r>
    </w:p>
    <w:p w14:paraId="7E20F129">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3）</w:t>
      </w:r>
      <w:r>
        <w:rPr>
          <w:rFonts w:hint="eastAsia" w:ascii="仿宋_GB2312" w:eastAsia="仿宋_GB2312"/>
          <w:sz w:val="30"/>
          <w:szCs w:val="30"/>
        </w:rPr>
        <w:t>获得本所实时提供的债券报价数据、成交数据等</w:t>
      </w:r>
      <w:r>
        <w:rPr>
          <w:rFonts w:hint="eastAsia" w:ascii="仿宋_GB2312" w:hAnsi="微软雅黑" w:eastAsia="仿宋_GB2312"/>
          <w:sz w:val="30"/>
          <w:szCs w:val="30"/>
        </w:rPr>
        <w:t>；</w:t>
      </w:r>
    </w:p>
    <w:p w14:paraId="101CC119">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 xml:space="preserve">4） </w:t>
      </w:r>
      <w:r>
        <w:rPr>
          <w:rFonts w:hint="eastAsia" w:ascii="仿宋_GB2312" w:eastAsia="仿宋_GB2312"/>
          <w:sz w:val="30"/>
          <w:szCs w:val="30"/>
        </w:rPr>
        <w:t>减免做市业务达成的债券交易相关费用，并根据做市业务评价结果予以奖励</w:t>
      </w:r>
      <w:r>
        <w:rPr>
          <w:rFonts w:hint="eastAsia" w:ascii="仿宋_GB2312" w:hAnsi="微软雅黑" w:eastAsia="仿宋_GB2312"/>
          <w:sz w:val="30"/>
          <w:szCs w:val="30"/>
        </w:rPr>
        <w:t>；</w:t>
      </w:r>
    </w:p>
    <w:p w14:paraId="0D07512B">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 xml:space="preserve">5） </w:t>
      </w:r>
      <w:r>
        <w:rPr>
          <w:rFonts w:ascii="仿宋_GB2312" w:hAnsi="微软雅黑" w:eastAsia="仿宋_GB2312"/>
          <w:sz w:val="30"/>
          <w:szCs w:val="30"/>
        </w:rPr>
        <w:t>本所提供的其他支持。</w:t>
      </w:r>
    </w:p>
    <w:p w14:paraId="455C138C">
      <w:pPr>
        <w:spacing w:line="600" w:lineRule="exact"/>
        <w:ind w:left="567"/>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2</w:t>
      </w:r>
      <w:r>
        <w:rPr>
          <w:rFonts w:hint="eastAsia" w:ascii="仿宋_GB2312" w:eastAsia="仿宋_GB2312"/>
          <w:b/>
          <w:sz w:val="30"/>
          <w:szCs w:val="30"/>
        </w:rPr>
        <w:t>）监管豁免情形</w:t>
      </w:r>
    </w:p>
    <w:p w14:paraId="4E6C3334">
      <w:pPr>
        <w:spacing w:line="600" w:lineRule="exact"/>
        <w:ind w:firstLine="600"/>
        <w:rPr>
          <w:rFonts w:ascii="仿宋_GB2312" w:hAnsi="微软雅黑" w:eastAsia="仿宋_GB2312"/>
          <w:sz w:val="30"/>
          <w:szCs w:val="30"/>
        </w:rPr>
      </w:pPr>
      <w:r>
        <w:rPr>
          <w:rFonts w:hint="eastAsia" w:ascii="仿宋_GB2312" w:hAnsi="微软雅黑" w:eastAsia="仿宋_GB2312"/>
          <w:sz w:val="30"/>
          <w:szCs w:val="30"/>
        </w:rPr>
        <w:t>根据中国证监会《证券公司风险控制指标计算标准规定》相关条款，做市商在上交所开展做市业务，可豁免其所持单只债券的集中度要求。</w:t>
      </w:r>
    </w:p>
    <w:p w14:paraId="4945D25A">
      <w:pPr>
        <w:spacing w:line="600" w:lineRule="exact"/>
        <w:ind w:firstLine="600"/>
        <w:rPr>
          <w:rFonts w:ascii="仿宋_GB2312" w:hAnsi="微软雅黑" w:eastAsia="仿宋_GB2312"/>
          <w:sz w:val="30"/>
          <w:szCs w:val="30"/>
        </w:rPr>
      </w:pPr>
      <w:r>
        <w:rPr>
          <w:rFonts w:hint="eastAsia" w:ascii="仿宋_GB2312" w:hAnsi="微软雅黑" w:eastAsia="仿宋_GB2312"/>
          <w:sz w:val="30"/>
          <w:szCs w:val="30"/>
        </w:rPr>
        <w:t>做市商为开展做市业务进行的申报并撤销申报、做市证券账户与其他账户之间的交易等，不构成《债券交易规则》第一百二十五条第二项与第四项规定的以下异常交易行为：</w:t>
      </w:r>
    </w:p>
    <w:p w14:paraId="19216657">
      <w:pPr>
        <w:spacing w:line="600" w:lineRule="exact"/>
        <w:ind w:firstLine="600"/>
        <w:rPr>
          <w:rFonts w:ascii="仿宋_GB2312" w:hAnsi="微软雅黑" w:eastAsia="仿宋_GB2312"/>
          <w:sz w:val="30"/>
          <w:szCs w:val="30"/>
        </w:rPr>
      </w:pPr>
      <w:r>
        <w:rPr>
          <w:rFonts w:hint="eastAsia" w:ascii="仿宋_GB2312" w:hAnsi="微软雅黑" w:eastAsia="仿宋_GB2312"/>
          <w:sz w:val="30"/>
          <w:szCs w:val="30"/>
        </w:rPr>
        <w:t>1）拉抬打压，即大笔申报、连续申报、密集申报或者以明显偏离债券最新成交价的价格申报成交，导致债券交易价格明显上涨（下跌）；</w:t>
      </w:r>
    </w:p>
    <w:p w14:paraId="43D8457D">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2）自买自卖或者互为对手方交易，即在单个账户、自己实际控制的账户之间或者关联账户之间大量或者频繁进行债券交易，影响债券交易价格或者交易量。</w:t>
      </w:r>
    </w:p>
    <w:p w14:paraId="7A9827AB">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但明显偏离做市业务的合理范围，影响正常交易秩序的情形除外。</w:t>
      </w:r>
    </w:p>
    <w:p w14:paraId="58BDB982">
      <w:pPr>
        <w:spacing w:line="600" w:lineRule="exact"/>
        <w:ind w:left="567"/>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3</w:t>
      </w:r>
      <w:r>
        <w:rPr>
          <w:rFonts w:hint="eastAsia" w:ascii="仿宋_GB2312" w:eastAsia="仿宋_GB2312"/>
          <w:b/>
          <w:sz w:val="30"/>
          <w:szCs w:val="30"/>
        </w:rPr>
        <w:t>）做市商评价</w:t>
      </w:r>
    </w:p>
    <w:p w14:paraId="19A85E3F">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本所建立做市业务评价指标体系，对做市商的做市情况进行定期评价，公布考核结果并根据考核结果对优秀做市机构进行表彰，并根据做市考核情况对做市商进行动态管理。</w:t>
      </w:r>
    </w:p>
    <w:p w14:paraId="648C24F1">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做市业务评价指标体系包括做市债券数量、报价时间、报价量、成交量等指标，对做市业务综合予以评价。</w:t>
      </w:r>
    </w:p>
    <w:p w14:paraId="484E1BF8">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本所每季度对主做市商做市业务的情况进行评价</w:t>
      </w:r>
      <w:r>
        <w:rPr>
          <w:rFonts w:ascii="仿宋_GB2312" w:hAnsi="微软雅黑" w:eastAsia="仿宋_GB2312"/>
          <w:sz w:val="30"/>
          <w:szCs w:val="30"/>
        </w:rPr>
        <w:t xml:space="preserve">, </w:t>
      </w:r>
      <w:r>
        <w:rPr>
          <w:rFonts w:hint="eastAsia" w:ascii="仿宋_GB2312" w:hAnsi="微软雅黑" w:eastAsia="仿宋_GB2312"/>
          <w:sz w:val="30"/>
          <w:szCs w:val="30"/>
        </w:rPr>
        <w:t>并且每年</w:t>
      </w:r>
      <w:r>
        <w:rPr>
          <w:rFonts w:ascii="仿宋_GB2312" w:hAnsi="微软雅黑" w:eastAsia="仿宋_GB2312"/>
          <w:sz w:val="30"/>
          <w:szCs w:val="30"/>
        </w:rPr>
        <w:t>对</w:t>
      </w:r>
      <w:r>
        <w:rPr>
          <w:rFonts w:hint="eastAsia" w:ascii="仿宋_GB2312" w:hAnsi="微软雅黑" w:eastAsia="仿宋_GB2312"/>
          <w:sz w:val="30"/>
          <w:szCs w:val="30"/>
        </w:rPr>
        <w:t>主做市商在当年度</w:t>
      </w:r>
      <w:r>
        <w:rPr>
          <w:rFonts w:ascii="仿宋_GB2312" w:hAnsi="微软雅黑" w:eastAsia="仿宋_GB2312"/>
          <w:sz w:val="30"/>
          <w:szCs w:val="30"/>
        </w:rPr>
        <w:t>所有交易日的做市情况进行综合评价，季度和年度评价结果向市场公布。</w:t>
      </w:r>
    </w:p>
    <w:p w14:paraId="2C15343D">
      <w:pPr>
        <w:spacing w:line="600" w:lineRule="exact"/>
        <w:ind w:left="567"/>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4</w:t>
      </w:r>
      <w:r>
        <w:rPr>
          <w:rFonts w:hint="eastAsia" w:ascii="仿宋_GB2312" w:eastAsia="仿宋_GB2312"/>
          <w:b/>
          <w:sz w:val="30"/>
          <w:szCs w:val="30"/>
        </w:rPr>
        <w:t>）做市商监督管理</w:t>
      </w:r>
    </w:p>
    <w:p w14:paraId="28481047">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做市商及其相关人员从事做市业务应当遵守法律法规和本所业务规则，诚实守信、规范运作，接受本所的自律监管。</w:t>
      </w:r>
    </w:p>
    <w:p w14:paraId="1B9EF03A">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本所依据《债券交易规则》《上海证券交易所债券交易规则适用指引第3号——债券做市业务》以及本所其他业务规则对</w:t>
      </w:r>
      <w:r>
        <w:rPr>
          <w:rFonts w:hint="eastAsia" w:ascii="仿宋_GB2312" w:eastAsia="仿宋_GB2312"/>
          <w:sz w:val="30"/>
          <w:szCs w:val="30"/>
        </w:rPr>
        <w:t>做市商的</w:t>
      </w:r>
      <w:r>
        <w:rPr>
          <w:rFonts w:hint="eastAsia" w:ascii="仿宋_GB2312" w:hAnsi="微软雅黑" w:eastAsia="仿宋_GB2312"/>
          <w:sz w:val="30"/>
          <w:szCs w:val="30"/>
        </w:rPr>
        <w:t>债券做市相关业务活动进行自律监管。</w:t>
      </w:r>
    </w:p>
    <w:p w14:paraId="78FDA1B4">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做市商应当遵守法律法规以及本所有关规定，防范利益冲突，不得利用做市报价扰乱市场正常价格水平或者从事其他市场操纵行为。</w:t>
      </w:r>
    </w:p>
    <w:p w14:paraId="2D098F79">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本所可以根据做市商的做市表现和监管需要，对做市商做市业务不定期开展现场或非现场检查，做市商应当积极配合，如实提供相关材料和说明。</w:t>
      </w:r>
    </w:p>
    <w:p w14:paraId="30B83D55">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风控合规管理</w:t>
      </w:r>
    </w:p>
    <w:p w14:paraId="1220789F">
      <w:pPr>
        <w:numPr>
          <w:ilvl w:val="1"/>
          <w:numId w:val="10"/>
        </w:numPr>
        <w:spacing w:line="600" w:lineRule="exact"/>
        <w:ind w:left="567" w:firstLine="0"/>
        <w:outlineLvl w:val="3"/>
        <w:rPr>
          <w:rFonts w:ascii="仿宋_GB2312" w:hAnsi="Arial" w:eastAsia="仿宋_GB2312"/>
          <w:b/>
          <w:sz w:val="30"/>
          <w:szCs w:val="30"/>
        </w:rPr>
      </w:pPr>
      <w:r>
        <w:rPr>
          <w:rFonts w:hint="eastAsia" w:ascii="仿宋_GB2312" w:hAnsi="微软雅黑" w:eastAsia="仿宋_GB2312"/>
          <w:b/>
          <w:bCs/>
          <w:sz w:val="30"/>
          <w:szCs w:val="30"/>
        </w:rPr>
        <w:t>风险管理制度</w:t>
      </w:r>
    </w:p>
    <w:p w14:paraId="3CA1DB95">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做市商应当制定做市业务风险管理制度，加强对做市业务的风险管理，有效防范和化解业务风险，内容包括但不限于做市业务风险管理基本原则、风险指标设计、风险识别与评估、风险控制与处置、风险定期报告机制、压力测试的情景设置和分析等。</w:t>
      </w:r>
    </w:p>
    <w:p w14:paraId="2237EFAD">
      <w:pPr>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做市商通过自动化交易系统进行做市报价成交的，应注重系统的稳定性及报价策略的合理性。自动化交易系统应建立必要的风险防范措施和应急处置机制。</w:t>
      </w:r>
    </w:p>
    <w:p w14:paraId="50D27BDB">
      <w:pPr>
        <w:numPr>
          <w:ilvl w:val="1"/>
          <w:numId w:val="10"/>
        </w:numPr>
        <w:spacing w:line="600" w:lineRule="exact"/>
        <w:ind w:left="567" w:firstLine="0"/>
        <w:outlineLvl w:val="3"/>
        <w:rPr>
          <w:rFonts w:ascii="仿宋_GB2312" w:hAnsi="Arial" w:eastAsia="仿宋_GB2312"/>
          <w:b/>
          <w:sz w:val="30"/>
          <w:szCs w:val="30"/>
        </w:rPr>
      </w:pPr>
      <w:r>
        <w:rPr>
          <w:rFonts w:hint="eastAsia" w:ascii="仿宋_GB2312" w:hAnsi="Arial" w:eastAsia="仿宋_GB2312"/>
          <w:b/>
          <w:sz w:val="30"/>
          <w:szCs w:val="30"/>
        </w:rPr>
        <w:t>内部控制制度</w:t>
      </w:r>
    </w:p>
    <w:p w14:paraId="60010350">
      <w:pPr>
        <w:spacing w:line="600" w:lineRule="exact"/>
        <w:ind w:firstLine="600" w:firstLineChars="200"/>
        <w:rPr>
          <w:rFonts w:eastAsia="仿宋_GB2312"/>
          <w:sz w:val="30"/>
          <w:szCs w:val="30"/>
        </w:rPr>
      </w:pPr>
      <w:r>
        <w:rPr>
          <w:rFonts w:hint="eastAsia" w:eastAsia="仿宋_GB2312"/>
          <w:sz w:val="30"/>
          <w:szCs w:val="30"/>
        </w:rPr>
        <w:t>做市商应当建立严格的内部控制制度，对做市业务制定严格的权限管理制度和投资决策流程，建立有效的岗位分工和制衡机制，规范业务操作流程，确保研究分析、投资决策、交易执行等相关环节的独立运作。</w:t>
      </w:r>
    </w:p>
    <w:p w14:paraId="26F39827">
      <w:pPr>
        <w:numPr>
          <w:ilvl w:val="1"/>
          <w:numId w:val="10"/>
        </w:numPr>
        <w:spacing w:line="600" w:lineRule="exact"/>
        <w:ind w:left="567" w:firstLine="0"/>
        <w:outlineLvl w:val="3"/>
        <w:rPr>
          <w:rFonts w:ascii="仿宋_GB2312" w:eastAsia="仿宋_GB2312"/>
          <w:b/>
          <w:sz w:val="30"/>
          <w:szCs w:val="30"/>
        </w:rPr>
      </w:pPr>
      <w:r>
        <w:rPr>
          <w:rFonts w:hint="eastAsia" w:ascii="仿宋_GB2312" w:eastAsia="仿宋_GB2312"/>
          <w:b/>
          <w:sz w:val="30"/>
          <w:szCs w:val="30"/>
        </w:rPr>
        <w:t>岗位设置</w:t>
      </w:r>
      <w:r>
        <w:rPr>
          <w:rFonts w:ascii="仿宋_GB2312" w:eastAsia="仿宋_GB2312"/>
          <w:b/>
          <w:sz w:val="30"/>
          <w:szCs w:val="30"/>
        </w:rPr>
        <w:t>人员配备</w:t>
      </w:r>
    </w:p>
    <w:p w14:paraId="68691B8A">
      <w:pPr>
        <w:spacing w:line="600" w:lineRule="exact"/>
        <w:ind w:firstLine="600" w:firstLineChars="200"/>
        <w:rPr>
          <w:rFonts w:ascii="仿宋_GB2312" w:hAnsi="微软雅黑" w:eastAsia="仿宋_GB2312"/>
          <w:sz w:val="30"/>
          <w:szCs w:val="30"/>
        </w:rPr>
      </w:pPr>
      <w:r>
        <w:rPr>
          <w:rFonts w:hint="eastAsia" w:eastAsia="仿宋_GB2312"/>
          <w:sz w:val="30"/>
          <w:szCs w:val="30"/>
        </w:rPr>
        <w:t>债券做市业务涉及交易、风控、合规、</w:t>
      </w:r>
      <w:r>
        <w:rPr>
          <w:rFonts w:eastAsia="仿宋_GB2312"/>
          <w:sz w:val="30"/>
          <w:szCs w:val="30"/>
        </w:rPr>
        <w:t>技术等多个业务和功能支持</w:t>
      </w:r>
      <w:r>
        <w:rPr>
          <w:rFonts w:hint="eastAsia" w:eastAsia="仿宋_GB2312"/>
          <w:sz w:val="30"/>
          <w:szCs w:val="30"/>
        </w:rPr>
        <w:t>部门</w:t>
      </w:r>
      <w:r>
        <w:rPr>
          <w:rFonts w:eastAsia="仿宋_GB2312"/>
          <w:sz w:val="30"/>
          <w:szCs w:val="30"/>
        </w:rPr>
        <w:t>，</w:t>
      </w:r>
      <w:r>
        <w:rPr>
          <w:rFonts w:hint="eastAsia" w:eastAsia="仿宋_GB2312"/>
          <w:sz w:val="30"/>
          <w:szCs w:val="30"/>
        </w:rPr>
        <w:t>须设立专门的岗位并建立备岗机制，内容包括但不限于做市业务风险管理、内控与合规管理、清算、资金管理、技术支持等。做市业务应当与经纪、自营、资产管理等业务进行有效隔离，防止敏感信息的不当流动和使用。</w:t>
      </w:r>
    </w:p>
    <w:p w14:paraId="475B6383">
      <w:pPr>
        <w:numPr>
          <w:ilvl w:val="1"/>
          <w:numId w:val="4"/>
        </w:numPr>
        <w:spacing w:line="600" w:lineRule="exact"/>
        <w:ind w:left="0" w:firstLine="0"/>
        <w:outlineLvl w:val="1"/>
        <w:rPr>
          <w:rFonts w:ascii="仿宋_GB2312" w:eastAsia="仿宋_GB2312"/>
          <w:b/>
          <w:sz w:val="30"/>
          <w:szCs w:val="30"/>
        </w:rPr>
      </w:pPr>
      <w:bookmarkStart w:id="1788" w:name="_Toc48742272"/>
      <w:bookmarkStart w:id="1789" w:name="_Toc47457112"/>
      <w:bookmarkStart w:id="1790" w:name="_Toc1671754334"/>
      <w:bookmarkStart w:id="1791" w:name="_Toc1434163624"/>
      <w:bookmarkStart w:id="1792" w:name="_Toc47455855"/>
      <w:bookmarkStart w:id="1793" w:name="_Toc56166089"/>
      <w:bookmarkStart w:id="1794" w:name="_Toc1488737182"/>
      <w:bookmarkStart w:id="1795" w:name="_Toc910983738"/>
      <w:bookmarkStart w:id="1796" w:name="_Toc46910502"/>
      <w:bookmarkStart w:id="1797" w:name="_Toc151136910"/>
      <w:bookmarkStart w:id="1798" w:name="_Toc55318675"/>
      <w:bookmarkStart w:id="1799" w:name="_Toc56166278"/>
      <w:bookmarkStart w:id="1800" w:name="_Toc1727992406"/>
      <w:bookmarkStart w:id="1801" w:name="_Toc1265293516"/>
      <w:r>
        <w:rPr>
          <w:rFonts w:hint="eastAsia" w:ascii="仿宋_GB2312" w:eastAsia="仿宋_GB2312"/>
          <w:b/>
          <w:sz w:val="30"/>
          <w:szCs w:val="30"/>
        </w:rPr>
        <w:t>特定债券转让</w:t>
      </w:r>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p>
    <w:p w14:paraId="450EA56A">
      <w:pPr>
        <w:numPr>
          <w:ilvl w:val="2"/>
          <w:numId w:val="4"/>
        </w:numPr>
        <w:spacing w:line="600" w:lineRule="exact"/>
        <w:ind w:left="0" w:firstLine="0"/>
        <w:outlineLvl w:val="2"/>
        <w:rPr>
          <w:rFonts w:ascii="仿宋_GB2312" w:eastAsia="仿宋_GB2312"/>
          <w:b/>
          <w:sz w:val="30"/>
          <w:szCs w:val="30"/>
        </w:rPr>
      </w:pPr>
      <w:bookmarkStart w:id="1802" w:name="_Toc46910503"/>
      <w:bookmarkStart w:id="1803" w:name="_Toc48742273"/>
      <w:bookmarkStart w:id="1804" w:name="_Toc47457113"/>
      <w:bookmarkStart w:id="1805" w:name="_Toc47455856"/>
      <w:bookmarkStart w:id="1806" w:name="_Toc55318676"/>
      <w:r>
        <w:rPr>
          <w:rFonts w:hint="eastAsia" w:ascii="仿宋_GB2312" w:eastAsia="仿宋_GB2312"/>
          <w:b/>
          <w:sz w:val="30"/>
          <w:szCs w:val="30"/>
        </w:rPr>
        <w:t>交易品种</w:t>
      </w:r>
      <w:bookmarkEnd w:id="1802"/>
      <w:bookmarkEnd w:id="1803"/>
      <w:bookmarkEnd w:id="1804"/>
      <w:bookmarkEnd w:id="1805"/>
      <w:bookmarkEnd w:id="1806"/>
    </w:p>
    <w:p w14:paraId="4E1F4F78">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特定债券，是指在本所上市交易或者挂牌转让期间发生以下情形之一的公司债券：</w:t>
      </w:r>
    </w:p>
    <w:p w14:paraId="2564C52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（1）发行人未按约定履行还本付息义务（包括未按约定履行回售、分期偿还、加速清偿等义务，下同）；</w:t>
      </w:r>
    </w:p>
    <w:p w14:paraId="6413B7F6">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（2）发行人发行的其他债券或债务融资工具未按约定履行还本付息义务；</w:t>
      </w:r>
    </w:p>
    <w:p w14:paraId="3DA62E5D">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（3）本所为保护债券投资者合法权益认定的其他情形。</w:t>
      </w:r>
    </w:p>
    <w:p w14:paraId="5B1AF43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债券兑付存在重大不确定性，且发行人或受托管理人发布公告明确提示风险的，可参照适用。</w:t>
      </w:r>
    </w:p>
    <w:p w14:paraId="2113CBC4">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资产支持证券在本所挂牌转让期间出现未按约定分配收益情形的，可参照适用。</w:t>
      </w:r>
    </w:p>
    <w:p w14:paraId="44A5E7C5">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特定债券简称前冠以“H”字样。</w:t>
      </w:r>
    </w:p>
    <w:p w14:paraId="36C36C5B">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特定债券拟进行转让的，发行人或受托管理人将发布债券作为特定债券转让的公告。</w:t>
      </w:r>
    </w:p>
    <w:p w14:paraId="52F110CB">
      <w:pPr>
        <w:numPr>
          <w:ilvl w:val="2"/>
          <w:numId w:val="4"/>
        </w:numPr>
        <w:spacing w:line="600" w:lineRule="exact"/>
        <w:ind w:left="0" w:firstLine="0"/>
        <w:outlineLvl w:val="2"/>
        <w:rPr>
          <w:rFonts w:ascii="仿宋_GB2312" w:eastAsia="仿宋_GB2312"/>
          <w:b/>
          <w:sz w:val="30"/>
          <w:szCs w:val="30"/>
        </w:rPr>
      </w:pPr>
      <w:bookmarkStart w:id="1807" w:name="_Toc47457114"/>
      <w:bookmarkStart w:id="1808" w:name="_Toc47455857"/>
      <w:bookmarkStart w:id="1809" w:name="_Toc55318677"/>
      <w:bookmarkStart w:id="1810" w:name="_Toc48742274"/>
      <w:r>
        <w:rPr>
          <w:rFonts w:hint="eastAsia" w:ascii="仿宋_GB2312" w:eastAsia="仿宋_GB2312"/>
          <w:b/>
          <w:sz w:val="30"/>
          <w:szCs w:val="30"/>
        </w:rPr>
        <w:t>转让条件</w:t>
      </w:r>
      <w:bookmarkEnd w:id="1807"/>
      <w:bookmarkEnd w:id="1808"/>
      <w:bookmarkEnd w:id="1809"/>
      <w:bookmarkEnd w:id="1810"/>
    </w:p>
    <w:p w14:paraId="023C2C6B">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特定债券拟进行转让的，应当权属清晰，并具备一定的市场转让需求。存在以下情形之一的，不得在本所进行转让：</w:t>
      </w:r>
    </w:p>
    <w:p w14:paraId="32E0C220">
      <w:pPr>
        <w:spacing w:line="600" w:lineRule="exact"/>
        <w:ind w:firstLine="600"/>
        <w:rPr>
          <w:rFonts w:ascii="仿宋_GB2312" w:hAnsi="仿宋" w:eastAsia="仿宋_GB2312"/>
          <w:sz w:val="30"/>
          <w:szCs w:val="30"/>
        </w:rPr>
      </w:pPr>
      <w:r>
        <w:rPr>
          <w:rFonts w:hint="eastAsia" w:ascii="仿宋_GB2312" w:hAnsi="仿宋" w:eastAsia="仿宋_GB2312"/>
          <w:sz w:val="30"/>
          <w:szCs w:val="30"/>
        </w:rPr>
        <w:t>（1）特定债券发行人已进入破产程序且债权申报已结束，但破产管理人书面同意的除外；</w:t>
      </w:r>
    </w:p>
    <w:p w14:paraId="558DA1F1">
      <w:pPr>
        <w:spacing w:line="600" w:lineRule="exact"/>
        <w:ind w:firstLine="600"/>
        <w:rPr>
          <w:rFonts w:ascii="仿宋_GB2312" w:hAnsi="仿宋" w:eastAsia="仿宋_GB2312"/>
          <w:sz w:val="30"/>
          <w:szCs w:val="30"/>
        </w:rPr>
      </w:pPr>
      <w:r>
        <w:rPr>
          <w:rFonts w:hint="eastAsia" w:ascii="仿宋_GB2312" w:hAnsi="仿宋" w:eastAsia="仿宋_GB2312"/>
          <w:sz w:val="30"/>
          <w:szCs w:val="30"/>
        </w:rPr>
        <w:t>（2）特定债券因卖方与发行人已达成偿付协议等原因，与其他持有人所持债券不具备同等权利义务事项或风险特征；</w:t>
      </w:r>
    </w:p>
    <w:p w14:paraId="7BA8BECD">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（3）特定债券存在被司法冻结等权利瑕疵；</w:t>
      </w:r>
    </w:p>
    <w:p w14:paraId="4E206916">
      <w:pPr>
        <w:spacing w:line="600" w:lineRule="exact"/>
        <w:ind w:firstLine="600" w:firstLineChars="200"/>
        <w:rPr>
          <w:rFonts w:ascii="仿宋_GB2312" w:hAnsi="仿宋"/>
          <w:sz w:val="30"/>
          <w:szCs w:val="30"/>
        </w:rPr>
      </w:pPr>
      <w:r>
        <w:rPr>
          <w:rFonts w:hint="eastAsia" w:ascii="仿宋_GB2312" w:hAnsi="仿宋" w:eastAsia="仿宋_GB2312"/>
          <w:sz w:val="30"/>
          <w:szCs w:val="30"/>
        </w:rPr>
        <w:t>（</w:t>
      </w:r>
      <w:r>
        <w:rPr>
          <w:rFonts w:ascii="仿宋_GB2312" w:hAnsi="仿宋" w:eastAsia="仿宋_GB2312"/>
          <w:sz w:val="30"/>
          <w:szCs w:val="30"/>
        </w:rPr>
        <w:t>4）</w:t>
      </w:r>
      <w:r>
        <w:rPr>
          <w:rFonts w:hint="eastAsia" w:ascii="仿宋_GB2312" w:hAnsi="仿宋" w:eastAsia="仿宋_GB2312"/>
          <w:sz w:val="30"/>
          <w:szCs w:val="30"/>
        </w:rPr>
        <w:t>其他可能导致特定债券不适于转让的情形。</w:t>
      </w:r>
    </w:p>
    <w:p w14:paraId="45FB864C">
      <w:pPr>
        <w:numPr>
          <w:ilvl w:val="2"/>
          <w:numId w:val="4"/>
        </w:numPr>
        <w:spacing w:line="600" w:lineRule="exact"/>
        <w:ind w:left="0" w:firstLine="0"/>
        <w:outlineLvl w:val="2"/>
        <w:rPr>
          <w:rFonts w:ascii="仿宋_GB2312" w:eastAsia="仿宋_GB2312"/>
          <w:b/>
          <w:sz w:val="30"/>
          <w:szCs w:val="30"/>
        </w:rPr>
      </w:pPr>
      <w:bookmarkStart w:id="1811" w:name="_Toc55318678"/>
      <w:bookmarkStart w:id="1812" w:name="_Toc47455858"/>
      <w:bookmarkStart w:id="1813" w:name="_Toc48742275"/>
      <w:bookmarkStart w:id="1814" w:name="_Toc47457115"/>
      <w:r>
        <w:rPr>
          <w:rFonts w:hint="eastAsia" w:ascii="仿宋_GB2312" w:eastAsia="仿宋_GB2312"/>
          <w:b/>
          <w:sz w:val="30"/>
          <w:szCs w:val="30"/>
        </w:rPr>
        <w:t>投资者适当性管理</w:t>
      </w:r>
      <w:bookmarkEnd w:id="1811"/>
      <w:bookmarkEnd w:id="1812"/>
      <w:bookmarkEnd w:id="1813"/>
      <w:bookmarkEnd w:id="1814"/>
    </w:p>
    <w:p w14:paraId="79916AFA">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特定债券转让中的受让方，应当为专业投资者中的机构投资者。证券经营机构应当切实履行投资者适当性管理职责，采取有效措施，确保特定债券受让方符合本所投资者适当性管理规定，受让方应签署特定债券转让风险揭示书。</w:t>
      </w:r>
    </w:p>
    <w:p w14:paraId="3EE5E71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特定债券出让方应当将其知悉的关于拟出让特定债券相关权利义务事项及其他可能影响债券转让价格的重要事项如实告知受让方。受让方应当对影响特定债券权利义务的相关事项主动进行调查了解，充分评估并确保自身具备相应的风险识别和承受能力，能够自行承担所受让特定债券的投资风险及损失。</w:t>
      </w:r>
    </w:p>
    <w:p w14:paraId="0E0004F1">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参与特定债券转让的市场主体，应当遵守法律法规及本所、登记结算机构的相关规定，禁止从事内幕交易、操纵市场及利益输送等违法违规行为。</w:t>
      </w:r>
    </w:p>
    <w:p w14:paraId="2117200A">
      <w:pPr>
        <w:numPr>
          <w:ilvl w:val="2"/>
          <w:numId w:val="4"/>
        </w:numPr>
        <w:spacing w:line="600" w:lineRule="exact"/>
        <w:ind w:left="0" w:firstLine="0"/>
        <w:outlineLvl w:val="2"/>
        <w:rPr>
          <w:rFonts w:ascii="仿宋_GB2312" w:eastAsia="仿宋_GB2312"/>
          <w:b/>
          <w:sz w:val="30"/>
          <w:szCs w:val="30"/>
        </w:rPr>
      </w:pPr>
      <w:bookmarkStart w:id="1815" w:name="_Toc46910505"/>
      <w:bookmarkStart w:id="1816" w:name="_Toc55318679"/>
      <w:bookmarkStart w:id="1817" w:name="_Toc47455859"/>
      <w:bookmarkStart w:id="1818" w:name="_Toc48742276"/>
      <w:bookmarkStart w:id="1819" w:name="_Toc47457116"/>
      <w:r>
        <w:rPr>
          <w:rFonts w:hint="eastAsia" w:ascii="仿宋_GB2312" w:eastAsia="仿宋_GB2312"/>
          <w:b/>
          <w:sz w:val="30"/>
          <w:szCs w:val="30"/>
        </w:rPr>
        <w:t>交易方式</w:t>
      </w:r>
      <w:bookmarkEnd w:id="1815"/>
      <w:bookmarkEnd w:id="1816"/>
      <w:bookmarkEnd w:id="1817"/>
      <w:bookmarkEnd w:id="1818"/>
      <w:bookmarkEnd w:id="1819"/>
    </w:p>
    <w:p w14:paraId="69C6D3E0">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特定债券交易可以采用点击成交、询价成交、协商成交、竞买成交或上交所认可的其他交易方式，经</w:t>
      </w:r>
      <w:r>
        <w:rPr>
          <w:rFonts w:hint="eastAsia" w:ascii="仿宋_GB2312" w:hAnsi="仿宋" w:eastAsia="仿宋_GB2312"/>
          <w:sz w:val="30"/>
          <w:szCs w:val="30"/>
          <w:lang w:eastAsia="zh-CN"/>
        </w:rPr>
        <w:t>新固定收益系统</w:t>
      </w:r>
      <w:r>
        <w:rPr>
          <w:rFonts w:hint="eastAsia" w:ascii="仿宋_GB2312" w:hAnsi="仿宋" w:eastAsia="仿宋_GB2312"/>
          <w:sz w:val="30"/>
          <w:szCs w:val="30"/>
        </w:rPr>
        <w:t>确认后成交，结算方式为逐笔全额结算方式。债券持有数量少于本所规定的最低申报数量的，持有人可以一次性申报卖出。</w:t>
      </w:r>
    </w:p>
    <w:p w14:paraId="2B9898B2">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特定债券交易采用全价价格进行申报</w:t>
      </w:r>
      <w:r>
        <w:rPr>
          <w:rFonts w:hint="eastAsia" w:ascii="仿宋_GB2312" w:hAnsi="仿宋" w:eastAsia="仿宋_GB2312"/>
          <w:sz w:val="30"/>
          <w:szCs w:val="30"/>
          <w:lang w:eastAsia="zh-CN"/>
        </w:rPr>
        <w:t>，债券投资者可通过本所官网、上证债券信息网等本所信息披露平台查看公告中</w:t>
      </w:r>
      <w:r>
        <w:rPr>
          <w:rFonts w:hint="eastAsia" w:ascii="仿宋_GB2312" w:hAnsi="仿宋" w:eastAsia="仿宋_GB2312"/>
          <w:sz w:val="30"/>
          <w:szCs w:val="30"/>
          <w:lang w:val="en-US" w:eastAsia="zh-CN"/>
        </w:rPr>
        <w:t>面值和票面利率等信息</w:t>
      </w:r>
      <w:r>
        <w:rPr>
          <w:rFonts w:hint="eastAsia" w:ascii="仿宋_GB2312" w:hAnsi="仿宋" w:eastAsia="仿宋_GB2312"/>
          <w:sz w:val="30"/>
          <w:szCs w:val="30"/>
        </w:rPr>
        <w:t>。</w:t>
      </w:r>
    </w:p>
    <w:p w14:paraId="7185B00E">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除此之外，特定债券其他申报安排和要素可参照本指南第5章</w:t>
      </w:r>
      <w:r>
        <w:rPr>
          <w:rFonts w:ascii="仿宋_GB2312" w:hAnsi="仿宋" w:eastAsia="仿宋_GB2312"/>
          <w:sz w:val="30"/>
          <w:szCs w:val="30"/>
        </w:rPr>
        <w:t>。</w:t>
      </w:r>
    </w:p>
    <w:p w14:paraId="3C4873CD">
      <w:pPr>
        <w:numPr>
          <w:ilvl w:val="2"/>
          <w:numId w:val="4"/>
        </w:numPr>
        <w:spacing w:line="600" w:lineRule="exact"/>
        <w:ind w:left="0" w:firstLine="0"/>
        <w:outlineLvl w:val="2"/>
        <w:rPr>
          <w:rFonts w:ascii="仿宋_GB2312" w:eastAsia="仿宋_GB2312"/>
          <w:b/>
          <w:sz w:val="30"/>
          <w:szCs w:val="30"/>
        </w:rPr>
      </w:pPr>
      <w:bookmarkStart w:id="1820" w:name="_Toc47457117"/>
      <w:bookmarkEnd w:id="1820"/>
      <w:bookmarkStart w:id="1821" w:name="_Toc47455861"/>
      <w:bookmarkEnd w:id="1821"/>
      <w:bookmarkStart w:id="1822" w:name="_Toc47452169"/>
      <w:bookmarkEnd w:id="1822"/>
      <w:bookmarkStart w:id="1823" w:name="_Toc47451840"/>
      <w:bookmarkEnd w:id="1823"/>
      <w:bookmarkStart w:id="1824" w:name="_Toc47455860"/>
      <w:bookmarkEnd w:id="1824"/>
      <w:bookmarkStart w:id="1825" w:name="_Toc47451572"/>
      <w:bookmarkEnd w:id="1825"/>
      <w:bookmarkStart w:id="1826" w:name="_Toc47451454"/>
      <w:bookmarkEnd w:id="1826"/>
      <w:bookmarkStart w:id="1827" w:name="_Toc47451571"/>
      <w:bookmarkEnd w:id="1827"/>
      <w:bookmarkStart w:id="1828" w:name="_Toc47457118"/>
      <w:bookmarkEnd w:id="1828"/>
      <w:bookmarkStart w:id="1829" w:name="_Toc47451453"/>
      <w:bookmarkEnd w:id="1829"/>
      <w:bookmarkStart w:id="1830" w:name="_Toc47452168"/>
      <w:bookmarkEnd w:id="1830"/>
      <w:bookmarkStart w:id="1831" w:name="_Toc47451839"/>
      <w:bookmarkEnd w:id="1831"/>
      <w:bookmarkStart w:id="1832" w:name="_Toc47455862"/>
      <w:bookmarkStart w:id="1833" w:name="_Toc46910506"/>
      <w:bookmarkStart w:id="1834" w:name="_Toc55318680"/>
      <w:bookmarkStart w:id="1835" w:name="_Toc48742277"/>
      <w:bookmarkStart w:id="1836" w:name="_Toc47457119"/>
      <w:r>
        <w:rPr>
          <w:rFonts w:hint="eastAsia" w:ascii="仿宋_GB2312" w:eastAsia="仿宋_GB2312"/>
          <w:b/>
          <w:sz w:val="30"/>
          <w:szCs w:val="30"/>
        </w:rPr>
        <w:t>终止转让</w:t>
      </w:r>
      <w:bookmarkEnd w:id="1832"/>
      <w:bookmarkEnd w:id="1833"/>
      <w:bookmarkEnd w:id="1834"/>
      <w:bookmarkEnd w:id="1835"/>
      <w:bookmarkEnd w:id="1836"/>
    </w:p>
    <w:p w14:paraId="47BBB11D">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特定债券根据偿付方案偿付完毕、终止上市挂牌、存在不适宜转让情形或本所认定的其他情形的，本所可以终止该特定债券转让。</w:t>
      </w:r>
    </w:p>
    <w:p w14:paraId="3E34C5BF">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债券消除特定转让情形且债券仍存续的，本所可以终止该债券的特定转让，并安排其继续上市或挂牌交易，债券投资者可通过</w:t>
      </w:r>
      <w:r>
        <w:rPr>
          <w:rFonts w:hint="eastAsia" w:ascii="仿宋_GB2312" w:hAnsi="仿宋" w:eastAsia="仿宋_GB2312"/>
          <w:sz w:val="30"/>
          <w:szCs w:val="30"/>
          <w:lang w:eastAsia="zh-CN"/>
        </w:rPr>
        <w:t>上证</w:t>
      </w:r>
      <w:r>
        <w:rPr>
          <w:rFonts w:hint="eastAsia" w:ascii="仿宋_GB2312" w:hAnsi="仿宋" w:eastAsia="仿宋_GB2312"/>
          <w:sz w:val="30"/>
          <w:szCs w:val="30"/>
        </w:rPr>
        <w:t>债券信息网查阅发行人或受托管理人的相关公告。恢复正常交易后，其交易方式按照进特定转让板块前的交易方式处理</w:t>
      </w:r>
      <w:r>
        <w:rPr>
          <w:rFonts w:ascii="仿宋_GB2312" w:hAnsi="仿宋" w:eastAsia="仿宋_GB2312"/>
          <w:sz w:val="30"/>
          <w:szCs w:val="30"/>
        </w:rPr>
        <w:t>。</w:t>
      </w:r>
    </w:p>
    <w:p w14:paraId="1450AA3A">
      <w:pPr>
        <w:numPr>
          <w:ilvl w:val="1"/>
          <w:numId w:val="4"/>
        </w:numPr>
        <w:spacing w:line="600" w:lineRule="exact"/>
        <w:ind w:left="0" w:firstLine="0"/>
        <w:outlineLvl w:val="1"/>
        <w:rPr>
          <w:rFonts w:ascii="仿宋_GB2312" w:eastAsia="仿宋_GB2312"/>
          <w:b/>
          <w:sz w:val="30"/>
          <w:szCs w:val="30"/>
        </w:rPr>
      </w:pPr>
      <w:bookmarkStart w:id="1837" w:name="_Toc97819665"/>
      <w:bookmarkEnd w:id="1837"/>
      <w:bookmarkStart w:id="1838" w:name="_Toc687037317"/>
      <w:bookmarkStart w:id="1839" w:name="_Toc151136911"/>
      <w:bookmarkStart w:id="1840" w:name="_Toc573036818"/>
      <w:bookmarkStart w:id="1841" w:name="_Toc658249815"/>
      <w:bookmarkStart w:id="1842" w:name="_Toc445449101"/>
      <w:bookmarkStart w:id="1843" w:name="_Toc2130092417"/>
      <w:bookmarkStart w:id="1844" w:name="_Toc1113290602"/>
      <w:r>
        <w:rPr>
          <w:rFonts w:ascii="仿宋_GB2312" w:eastAsia="仿宋_GB2312"/>
          <w:b/>
          <w:sz w:val="30"/>
          <w:szCs w:val="30"/>
        </w:rPr>
        <w:t>盘中临时停牌</w:t>
      </w:r>
      <w:bookmarkEnd w:id="1838"/>
      <w:bookmarkEnd w:id="1839"/>
      <w:bookmarkEnd w:id="1840"/>
      <w:bookmarkEnd w:id="1841"/>
      <w:bookmarkEnd w:id="1842"/>
      <w:bookmarkEnd w:id="1843"/>
      <w:bookmarkEnd w:id="1844"/>
    </w:p>
    <w:p w14:paraId="2759391E">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债券</w:t>
      </w:r>
      <w:r>
        <w:rPr>
          <w:rFonts w:ascii="仿宋_GB2312" w:hAnsi="仿宋" w:eastAsia="仿宋_GB2312"/>
          <w:sz w:val="30"/>
          <w:szCs w:val="30"/>
        </w:rPr>
        <w:t>现券交易按照</w:t>
      </w:r>
      <w:r>
        <w:rPr>
          <w:rFonts w:hint="eastAsia" w:ascii="仿宋_GB2312" w:hAnsi="仿宋" w:eastAsia="仿宋_GB2312"/>
          <w:sz w:val="30"/>
          <w:szCs w:val="30"/>
        </w:rPr>
        <w:t>《关于债券</w:t>
      </w:r>
      <w:r>
        <w:rPr>
          <w:rFonts w:ascii="仿宋_GB2312" w:hAnsi="仿宋" w:eastAsia="仿宋_GB2312"/>
          <w:sz w:val="30"/>
          <w:szCs w:val="30"/>
        </w:rPr>
        <w:t>匹配成交</w:t>
      </w:r>
      <w:r>
        <w:rPr>
          <w:rFonts w:hint="eastAsia" w:ascii="仿宋_GB2312" w:hAnsi="仿宋" w:eastAsia="仿宋_GB2312"/>
          <w:sz w:val="30"/>
          <w:szCs w:val="30"/>
        </w:rPr>
        <w:t>盘中临时停牌及有关事项的</w:t>
      </w:r>
      <w:r>
        <w:rPr>
          <w:rFonts w:ascii="仿宋_GB2312" w:hAnsi="仿宋" w:eastAsia="仿宋_GB2312"/>
          <w:sz w:val="30"/>
          <w:szCs w:val="30"/>
        </w:rPr>
        <w:t>通知</w:t>
      </w:r>
      <w:r>
        <w:rPr>
          <w:rFonts w:hint="eastAsia" w:ascii="仿宋_GB2312" w:hAnsi="仿宋" w:eastAsia="仿宋_GB2312"/>
          <w:sz w:val="30"/>
          <w:szCs w:val="30"/>
        </w:rPr>
        <w:t>》的</w:t>
      </w:r>
      <w:r>
        <w:rPr>
          <w:rFonts w:ascii="仿宋_GB2312" w:hAnsi="仿宋" w:eastAsia="仿宋_GB2312"/>
          <w:sz w:val="30"/>
          <w:szCs w:val="30"/>
        </w:rPr>
        <w:t>相关规定，实施价格异常波动盘中临时停牌。</w:t>
      </w:r>
    </w:p>
    <w:p w14:paraId="665A4B56">
      <w:pPr>
        <w:numPr>
          <w:ilvl w:val="2"/>
          <w:numId w:val="4"/>
        </w:numPr>
        <w:spacing w:line="600" w:lineRule="exact"/>
        <w:outlineLvl w:val="2"/>
        <w:rPr>
          <w:rFonts w:ascii="仿宋_GB2312" w:eastAsia="仿宋_GB2312"/>
          <w:b/>
          <w:sz w:val="30"/>
          <w:szCs w:val="30"/>
        </w:rPr>
      </w:pPr>
      <w:r>
        <w:rPr>
          <w:rFonts w:hint="eastAsia" w:ascii="仿宋_GB2312" w:eastAsia="仿宋_GB2312"/>
          <w:b/>
          <w:sz w:val="30"/>
          <w:szCs w:val="30"/>
        </w:rPr>
        <w:t>适用情形</w:t>
      </w:r>
    </w:p>
    <w:p w14:paraId="04E69CC6">
      <w:pPr>
        <w:spacing w:line="600" w:lineRule="exact"/>
        <w:ind w:firstLine="602" w:firstLineChars="201"/>
        <w:rPr>
          <w:rFonts w:ascii="仿宋_GB2312" w:hAnsi="仿宋" w:eastAsia="仿宋_GB2312"/>
          <w:bCs/>
          <w:sz w:val="30"/>
          <w:szCs w:val="30"/>
        </w:rPr>
      </w:pPr>
      <w:r>
        <w:rPr>
          <w:rFonts w:hint="eastAsia" w:ascii="仿宋_GB2312" w:hAnsi="仿宋" w:eastAsia="仿宋_GB2312"/>
          <w:bCs/>
          <w:sz w:val="30"/>
          <w:szCs w:val="30"/>
        </w:rPr>
        <w:t>债券匹配</w:t>
      </w:r>
      <w:r>
        <w:rPr>
          <w:rFonts w:ascii="仿宋_GB2312" w:hAnsi="仿宋" w:eastAsia="仿宋_GB2312"/>
          <w:bCs/>
          <w:sz w:val="30"/>
          <w:szCs w:val="30"/>
        </w:rPr>
        <w:t>成交</w:t>
      </w:r>
      <w:r>
        <w:rPr>
          <w:rFonts w:hint="eastAsia" w:ascii="仿宋_GB2312" w:hAnsi="仿宋" w:eastAsia="仿宋_GB2312"/>
          <w:bCs/>
          <w:sz w:val="30"/>
          <w:szCs w:val="30"/>
        </w:rPr>
        <w:t>出现以下异常波动情形之一的，本所可以实施盘中临时停牌：</w:t>
      </w:r>
    </w:p>
    <w:p w14:paraId="5390B1C8">
      <w:pPr>
        <w:spacing w:line="600" w:lineRule="exact"/>
        <w:ind w:firstLine="602" w:firstLineChars="201"/>
        <w:rPr>
          <w:rFonts w:ascii="仿宋_GB2312" w:hAnsi="仿宋" w:eastAsia="仿宋_GB2312"/>
          <w:bCs/>
          <w:sz w:val="30"/>
          <w:szCs w:val="30"/>
        </w:rPr>
      </w:pPr>
      <w:r>
        <w:rPr>
          <w:rFonts w:hint="eastAsia" w:ascii="仿宋_GB2312" w:hAnsi="仿宋" w:eastAsia="仿宋_GB2312"/>
          <w:bCs/>
          <w:sz w:val="30"/>
          <w:szCs w:val="30"/>
        </w:rPr>
        <w:t>（1</w:t>
      </w:r>
      <w:r>
        <w:rPr>
          <w:rFonts w:ascii="仿宋_GB2312" w:hAnsi="仿宋" w:eastAsia="仿宋_GB2312"/>
          <w:bCs/>
          <w:sz w:val="30"/>
          <w:szCs w:val="30"/>
        </w:rPr>
        <w:t>）</w:t>
      </w:r>
      <w:r>
        <w:rPr>
          <w:rFonts w:hint="eastAsia" w:ascii="仿宋_GB2312" w:hAnsi="仿宋" w:eastAsia="仿宋_GB2312"/>
          <w:bCs/>
          <w:sz w:val="30"/>
          <w:szCs w:val="30"/>
        </w:rPr>
        <w:t>国债、地方政府债券、政策性金融债券和</w:t>
      </w:r>
      <w:r>
        <w:rPr>
          <w:rFonts w:ascii="仿宋_GB2312" w:hAnsi="仿宋" w:eastAsia="仿宋_GB2312"/>
          <w:bCs/>
          <w:sz w:val="30"/>
          <w:szCs w:val="30"/>
        </w:rPr>
        <w:t>政府支持债券</w:t>
      </w:r>
      <w:r>
        <w:rPr>
          <w:rFonts w:hint="eastAsia" w:ascii="仿宋_GB2312" w:hAnsi="仿宋" w:eastAsia="仿宋_GB2312"/>
          <w:bCs/>
          <w:sz w:val="30"/>
          <w:szCs w:val="30"/>
        </w:rPr>
        <w:t>盘中成交价格较前收盘价首次上涨或下跌达到或超过10%的，临时停牌持续时间为30分钟，临时停牌时间跨越</w:t>
      </w:r>
      <w:r>
        <w:rPr>
          <w:rFonts w:ascii="仿宋_GB2312" w:hAnsi="仿宋" w:eastAsia="仿宋_GB2312"/>
          <w:bCs/>
          <w:sz w:val="30"/>
          <w:szCs w:val="30"/>
        </w:rPr>
        <w:t>15</w:t>
      </w:r>
      <w:r>
        <w:rPr>
          <w:rFonts w:hint="eastAsia" w:ascii="仿宋_GB2312" w:hAnsi="仿宋" w:eastAsia="仿宋_GB2312"/>
          <w:bCs/>
          <w:sz w:val="30"/>
          <w:szCs w:val="30"/>
        </w:rPr>
        <w:t>:</w:t>
      </w:r>
      <w:r>
        <w:rPr>
          <w:rFonts w:ascii="仿宋_GB2312" w:hAnsi="仿宋" w:eastAsia="仿宋_GB2312"/>
          <w:bCs/>
          <w:sz w:val="30"/>
          <w:szCs w:val="30"/>
        </w:rPr>
        <w:t>27</w:t>
      </w:r>
      <w:r>
        <w:rPr>
          <w:rFonts w:hint="eastAsia" w:ascii="仿宋_GB2312" w:hAnsi="仿宋" w:eastAsia="仿宋_GB2312"/>
          <w:bCs/>
          <w:sz w:val="30"/>
          <w:szCs w:val="30"/>
        </w:rPr>
        <w:t>的，于当日</w:t>
      </w:r>
      <w:r>
        <w:rPr>
          <w:rFonts w:ascii="仿宋_GB2312" w:hAnsi="仿宋" w:eastAsia="仿宋_GB2312"/>
          <w:bCs/>
          <w:sz w:val="30"/>
          <w:szCs w:val="30"/>
        </w:rPr>
        <w:t>15</w:t>
      </w:r>
      <w:r>
        <w:rPr>
          <w:rFonts w:hint="eastAsia" w:ascii="仿宋_GB2312" w:hAnsi="仿宋" w:eastAsia="仿宋_GB2312"/>
          <w:bCs/>
          <w:sz w:val="30"/>
          <w:szCs w:val="30"/>
        </w:rPr>
        <w:t>:</w:t>
      </w:r>
      <w:r>
        <w:rPr>
          <w:rFonts w:ascii="仿宋_GB2312" w:hAnsi="仿宋" w:eastAsia="仿宋_GB2312"/>
          <w:bCs/>
          <w:sz w:val="30"/>
          <w:szCs w:val="30"/>
        </w:rPr>
        <w:t>27</w:t>
      </w:r>
      <w:r>
        <w:rPr>
          <w:rFonts w:hint="eastAsia" w:ascii="仿宋_GB2312" w:hAnsi="仿宋" w:eastAsia="仿宋_GB2312"/>
          <w:bCs/>
          <w:sz w:val="30"/>
          <w:szCs w:val="30"/>
        </w:rPr>
        <w:t>复牌；较前收盘价首次上涨或下跌达到或超过20%的，</w:t>
      </w:r>
      <w:r>
        <w:rPr>
          <w:rFonts w:ascii="仿宋_GB2312" w:hAnsi="仿宋" w:eastAsia="仿宋_GB2312"/>
          <w:bCs/>
          <w:sz w:val="30"/>
          <w:szCs w:val="30"/>
        </w:rPr>
        <w:t>临时停牌时间持续至当日15</w:t>
      </w:r>
      <w:r>
        <w:rPr>
          <w:rFonts w:hint="eastAsia" w:ascii="仿宋_GB2312" w:hAnsi="仿宋" w:eastAsia="仿宋_GB2312"/>
          <w:bCs/>
          <w:sz w:val="30"/>
          <w:szCs w:val="30"/>
        </w:rPr>
        <w:t>:</w:t>
      </w:r>
      <w:r>
        <w:rPr>
          <w:rFonts w:ascii="仿宋_GB2312" w:hAnsi="仿宋" w:eastAsia="仿宋_GB2312"/>
          <w:bCs/>
          <w:sz w:val="30"/>
          <w:szCs w:val="30"/>
        </w:rPr>
        <w:t>27</w:t>
      </w:r>
      <w:r>
        <w:rPr>
          <w:rFonts w:hint="eastAsia" w:ascii="仿宋_GB2312" w:hAnsi="仿宋" w:eastAsia="仿宋_GB2312"/>
          <w:bCs/>
          <w:sz w:val="30"/>
          <w:szCs w:val="30"/>
        </w:rPr>
        <w:t>。</w:t>
      </w:r>
    </w:p>
    <w:p w14:paraId="3CB66E52">
      <w:pPr>
        <w:spacing w:line="600" w:lineRule="exact"/>
        <w:ind w:firstLine="602" w:firstLineChars="201"/>
        <w:rPr>
          <w:rFonts w:ascii="仿宋_GB2312" w:hAnsi="仿宋" w:eastAsia="仿宋_GB2312"/>
          <w:bCs/>
          <w:sz w:val="30"/>
          <w:szCs w:val="30"/>
        </w:rPr>
      </w:pPr>
      <w:r>
        <w:rPr>
          <w:rFonts w:hint="eastAsia" w:ascii="仿宋_GB2312" w:hAnsi="仿宋" w:eastAsia="仿宋_GB2312"/>
          <w:bCs/>
          <w:sz w:val="30"/>
          <w:szCs w:val="30"/>
        </w:rPr>
        <w:t>（2</w:t>
      </w:r>
      <w:r>
        <w:rPr>
          <w:rFonts w:ascii="仿宋_GB2312" w:hAnsi="仿宋" w:eastAsia="仿宋_GB2312"/>
          <w:bCs/>
          <w:sz w:val="30"/>
          <w:szCs w:val="30"/>
        </w:rPr>
        <w:t>）</w:t>
      </w:r>
      <w:r>
        <w:rPr>
          <w:rFonts w:hint="eastAsia" w:ascii="仿宋_GB2312" w:hAnsi="仿宋" w:eastAsia="仿宋_GB2312"/>
          <w:bCs/>
          <w:sz w:val="30"/>
          <w:szCs w:val="30"/>
        </w:rPr>
        <w:t>其他债券（不含上市公司发行的可转换公司债券）盘中成交价格较前收盘价首次上涨或下跌达到或超过20%的，临时停牌持续时间为30分钟，临时停牌时间跨越15:27的，于当日15:27复牌；较前收盘价首次上涨或下跌达到或超过30%的，</w:t>
      </w:r>
      <w:r>
        <w:rPr>
          <w:rFonts w:ascii="仿宋_GB2312" w:hAnsi="仿宋" w:eastAsia="仿宋_GB2312"/>
          <w:bCs/>
          <w:sz w:val="30"/>
          <w:szCs w:val="30"/>
        </w:rPr>
        <w:t>临时停牌时间持续至当日15</w:t>
      </w:r>
      <w:r>
        <w:rPr>
          <w:rFonts w:hint="eastAsia" w:ascii="仿宋_GB2312" w:hAnsi="仿宋" w:eastAsia="仿宋_GB2312"/>
          <w:bCs/>
          <w:sz w:val="30"/>
          <w:szCs w:val="30"/>
        </w:rPr>
        <w:t>:</w:t>
      </w:r>
      <w:r>
        <w:rPr>
          <w:rFonts w:ascii="仿宋_GB2312" w:hAnsi="仿宋" w:eastAsia="仿宋_GB2312"/>
          <w:bCs/>
          <w:sz w:val="30"/>
          <w:szCs w:val="30"/>
        </w:rPr>
        <w:t>27</w:t>
      </w:r>
      <w:r>
        <w:rPr>
          <w:rFonts w:hint="eastAsia" w:ascii="仿宋_GB2312" w:hAnsi="仿宋" w:eastAsia="仿宋_GB2312"/>
          <w:bCs/>
          <w:sz w:val="30"/>
          <w:szCs w:val="30"/>
        </w:rPr>
        <w:t>。</w:t>
      </w:r>
    </w:p>
    <w:p w14:paraId="4A1875D9">
      <w:pPr>
        <w:spacing w:line="600" w:lineRule="exact"/>
        <w:ind w:firstLine="602" w:firstLineChars="201"/>
        <w:rPr>
          <w:rFonts w:ascii="仿宋_GB2312" w:hAnsi="仿宋" w:eastAsia="仿宋_GB2312"/>
          <w:bCs/>
          <w:sz w:val="30"/>
          <w:szCs w:val="30"/>
        </w:rPr>
      </w:pPr>
      <w:r>
        <w:rPr>
          <w:rFonts w:hint="eastAsia" w:ascii="仿宋_GB2312" w:hAnsi="仿宋" w:eastAsia="仿宋_GB2312"/>
          <w:bCs/>
          <w:sz w:val="30"/>
          <w:szCs w:val="30"/>
        </w:rPr>
        <w:t>（3</w:t>
      </w:r>
      <w:r>
        <w:rPr>
          <w:rFonts w:ascii="仿宋_GB2312" w:hAnsi="仿宋" w:eastAsia="仿宋_GB2312"/>
          <w:bCs/>
          <w:sz w:val="30"/>
          <w:szCs w:val="30"/>
        </w:rPr>
        <w:t>）</w:t>
      </w:r>
      <w:r>
        <w:rPr>
          <w:rFonts w:hint="eastAsia" w:ascii="仿宋_GB2312" w:hAnsi="仿宋" w:eastAsia="仿宋_GB2312"/>
          <w:bCs/>
          <w:sz w:val="30"/>
          <w:szCs w:val="30"/>
        </w:rPr>
        <w:t>本所认为可以实施盘中临时停牌的其他情形。</w:t>
      </w:r>
    </w:p>
    <w:p w14:paraId="21BE0A4F">
      <w:pPr>
        <w:spacing w:line="600" w:lineRule="exact"/>
        <w:ind w:firstLine="602" w:firstLineChars="201"/>
        <w:rPr>
          <w:rFonts w:ascii="仿宋_GB2312" w:hAnsi="仿宋" w:eastAsia="仿宋_GB2312"/>
          <w:bCs/>
          <w:sz w:val="30"/>
          <w:szCs w:val="30"/>
        </w:rPr>
      </w:pPr>
      <w:r>
        <w:rPr>
          <w:rFonts w:hint="eastAsia" w:ascii="仿宋_GB2312" w:eastAsia="仿宋_GB2312"/>
          <w:sz w:val="30"/>
          <w:szCs w:val="30"/>
        </w:rPr>
        <w:t>本所可以视债券交易情况调整相关指标阈值，或者采取进一步的盘中风险控制措施。</w:t>
      </w:r>
    </w:p>
    <w:p w14:paraId="2D10840F">
      <w:pPr>
        <w:numPr>
          <w:ilvl w:val="2"/>
          <w:numId w:val="4"/>
        </w:numPr>
        <w:spacing w:line="600" w:lineRule="exact"/>
        <w:outlineLvl w:val="2"/>
        <w:rPr>
          <w:rFonts w:ascii="仿宋_GB2312" w:eastAsia="仿宋_GB2312"/>
          <w:b/>
          <w:sz w:val="30"/>
          <w:szCs w:val="30"/>
        </w:rPr>
      </w:pPr>
      <w:r>
        <w:rPr>
          <w:rFonts w:hint="eastAsia" w:ascii="仿宋_GB2312" w:eastAsia="仿宋_GB2312"/>
          <w:b/>
          <w:sz w:val="30"/>
          <w:szCs w:val="30"/>
        </w:rPr>
        <w:t>临停公告</w:t>
      </w:r>
    </w:p>
    <w:p w14:paraId="52E64480">
      <w:pPr>
        <w:spacing w:line="6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实施盘中临时停牌后，本所将通过官方网站（www.sse.com.cn）和卫星传输系统对外发布公告。</w:t>
      </w:r>
    </w:p>
    <w:p w14:paraId="2D718970">
      <w:pPr>
        <w:spacing w:line="600" w:lineRule="exact"/>
        <w:ind w:firstLine="600" w:firstLineChars="200"/>
        <w:rPr>
          <w:rFonts w:ascii="仿宋_GB2312" w:hAnsi="仿宋" w:eastAsia="仿宋_GB2312"/>
          <w:bCs/>
          <w:sz w:val="30"/>
          <w:szCs w:val="30"/>
        </w:rPr>
      </w:pPr>
      <w:r>
        <w:rPr>
          <w:rFonts w:hint="eastAsia" w:ascii="仿宋_GB2312" w:hAnsi="仿宋" w:eastAsia="仿宋_GB2312"/>
          <w:bCs/>
          <w:sz w:val="30"/>
          <w:szCs w:val="30"/>
        </w:rPr>
        <w:t>具体停复牌时间，以本所公告为准。</w:t>
      </w:r>
    </w:p>
    <w:p w14:paraId="67163319">
      <w:pPr>
        <w:numPr>
          <w:ilvl w:val="2"/>
          <w:numId w:val="4"/>
        </w:numPr>
        <w:spacing w:line="600" w:lineRule="exact"/>
        <w:outlineLvl w:val="2"/>
        <w:rPr>
          <w:rFonts w:ascii="仿宋_GB2312" w:hAnsi="仿宋" w:eastAsia="仿宋_GB2312"/>
          <w:b/>
          <w:bCs/>
          <w:sz w:val="30"/>
          <w:szCs w:val="30"/>
        </w:rPr>
      </w:pPr>
      <w:r>
        <w:rPr>
          <w:rFonts w:hint="eastAsia" w:ascii="仿宋_GB2312" w:hAnsi="仿宋" w:eastAsia="仿宋_GB2312"/>
          <w:b/>
          <w:bCs/>
          <w:sz w:val="30"/>
          <w:szCs w:val="30"/>
        </w:rPr>
        <w:t>临停</w:t>
      </w:r>
      <w:r>
        <w:rPr>
          <w:rFonts w:ascii="仿宋_GB2312" w:hAnsi="仿宋" w:eastAsia="仿宋_GB2312"/>
          <w:b/>
          <w:bCs/>
          <w:sz w:val="30"/>
          <w:szCs w:val="30"/>
        </w:rPr>
        <w:t>期间申报撤销</w:t>
      </w:r>
    </w:p>
    <w:p w14:paraId="07A02727">
      <w:pPr>
        <w:spacing w:line="600" w:lineRule="exact"/>
        <w:ind w:firstLine="750" w:firstLineChars="250"/>
        <w:rPr>
          <w:rFonts w:ascii="仿宋_GB2312" w:hAnsi="仿宋" w:eastAsia="仿宋_GB2312"/>
          <w:bCs/>
          <w:sz w:val="30"/>
          <w:szCs w:val="30"/>
        </w:rPr>
      </w:pPr>
      <w:r>
        <w:rPr>
          <w:rFonts w:hint="eastAsia" w:ascii="仿宋_GB2312" w:hAnsi="仿宋" w:eastAsia="仿宋_GB2312"/>
          <w:bCs/>
          <w:sz w:val="30"/>
          <w:szCs w:val="30"/>
        </w:rPr>
        <w:t>投资者可以在盘中临时停牌期间撤销未成交的申报。</w:t>
      </w:r>
    </w:p>
    <w:p w14:paraId="5DF73CB1">
      <w:pPr>
        <w:numPr>
          <w:ilvl w:val="2"/>
          <w:numId w:val="4"/>
        </w:numPr>
        <w:spacing w:line="600" w:lineRule="exact"/>
        <w:outlineLvl w:val="2"/>
        <w:rPr>
          <w:rFonts w:ascii="仿宋_GB2312" w:hAnsi="仿宋" w:eastAsia="仿宋_GB2312"/>
          <w:b/>
          <w:bCs/>
          <w:sz w:val="30"/>
          <w:szCs w:val="30"/>
        </w:rPr>
      </w:pPr>
      <w:r>
        <w:rPr>
          <w:rFonts w:hint="eastAsia" w:ascii="仿宋_GB2312" w:hAnsi="仿宋" w:eastAsia="仿宋_GB2312"/>
          <w:b/>
          <w:bCs/>
          <w:sz w:val="30"/>
          <w:szCs w:val="30"/>
        </w:rPr>
        <w:t>可转债</w:t>
      </w:r>
      <w:r>
        <w:rPr>
          <w:rFonts w:ascii="仿宋_GB2312" w:hAnsi="仿宋" w:eastAsia="仿宋_GB2312"/>
          <w:b/>
          <w:bCs/>
          <w:sz w:val="30"/>
          <w:szCs w:val="30"/>
        </w:rPr>
        <w:t>盘中临时停牌</w:t>
      </w:r>
    </w:p>
    <w:p w14:paraId="33CB0ED7">
      <w:pPr>
        <w:spacing w:line="600" w:lineRule="exact"/>
        <w:ind w:firstLine="750" w:firstLineChars="250"/>
        <w:rPr>
          <w:rFonts w:ascii="仿宋_GB2312" w:hAnsi="仿宋" w:eastAsia="仿宋_GB2312"/>
          <w:bCs/>
          <w:sz w:val="30"/>
          <w:szCs w:val="30"/>
        </w:rPr>
      </w:pPr>
      <w:r>
        <w:rPr>
          <w:rFonts w:hint="eastAsia" w:ascii="仿宋_GB2312" w:hAnsi="微软雅黑" w:eastAsia="仿宋_GB2312"/>
          <w:sz w:val="30"/>
          <w:szCs w:val="30"/>
        </w:rPr>
        <w:t>上市公司发行的可转换公司债券（</w:t>
      </w:r>
      <w:r>
        <w:rPr>
          <w:rFonts w:ascii="仿宋_GB2312" w:hAnsi="微软雅黑" w:eastAsia="仿宋_GB2312"/>
          <w:sz w:val="30"/>
          <w:szCs w:val="30"/>
        </w:rPr>
        <w:t>以下简称</w:t>
      </w:r>
      <w:r>
        <w:rPr>
          <w:rFonts w:hint="eastAsia" w:ascii="仿宋_GB2312" w:hAnsi="微软雅黑" w:eastAsia="仿宋_GB2312"/>
          <w:sz w:val="30"/>
          <w:szCs w:val="30"/>
        </w:rPr>
        <w:t>可转债）盘中临时停牌仍继续适用</w:t>
      </w:r>
      <w:r>
        <w:rPr>
          <w:rFonts w:hint="eastAsia" w:ascii="仿宋_GB2312" w:hAnsi="微软雅黑" w:eastAsia="仿宋_GB2312" w:cs="宋体"/>
          <w:kern w:val="0"/>
          <w:sz w:val="30"/>
          <w:szCs w:val="30"/>
        </w:rPr>
        <w:t>《上海证券交易所证券异常交易实时监控细则》</w:t>
      </w:r>
      <w:r>
        <w:rPr>
          <w:rFonts w:ascii="仿宋_GB2312" w:hAnsi="微软雅黑" w:eastAsia="仿宋_GB2312"/>
          <w:sz w:val="30"/>
          <w:szCs w:val="30"/>
        </w:rPr>
        <w:t>相关规定</w:t>
      </w:r>
      <w:r>
        <w:rPr>
          <w:rFonts w:hint="eastAsia" w:ascii="仿宋_GB2312" w:hAnsi="微软雅黑" w:eastAsia="仿宋_GB2312"/>
          <w:sz w:val="30"/>
          <w:szCs w:val="30"/>
        </w:rPr>
        <w:t>，待本所发布实施可转债专门规定之后，可转债盘中临时停牌将适用专门规定，具体时间由本所另行通知。</w:t>
      </w:r>
    </w:p>
    <w:p w14:paraId="7DFE6EAE">
      <w:pPr>
        <w:spacing w:line="600" w:lineRule="exact"/>
        <w:ind w:firstLine="602" w:firstLineChars="201"/>
        <w:rPr>
          <w:rFonts w:ascii="仿宋_GB2312" w:hAnsi="仿宋" w:eastAsia="仿宋_GB2312"/>
          <w:bCs/>
          <w:sz w:val="30"/>
          <w:szCs w:val="30"/>
        </w:rPr>
      </w:pPr>
    </w:p>
    <w:p w14:paraId="68C03AD6">
      <w:pPr>
        <w:spacing w:line="600" w:lineRule="exact"/>
        <w:rPr>
          <w:rFonts w:ascii="仿宋_GB2312" w:eastAsia="仿宋_GB2312"/>
          <w:sz w:val="30"/>
          <w:szCs w:val="30"/>
        </w:rPr>
      </w:pPr>
    </w:p>
    <w:p w14:paraId="403FB803">
      <w:pPr>
        <w:numPr>
          <w:ilvl w:val="0"/>
          <w:numId w:val="4"/>
        </w:numPr>
        <w:spacing w:line="600" w:lineRule="exact"/>
        <w:outlineLvl w:val="0"/>
        <w:rPr>
          <w:rFonts w:ascii="仿宋_GB2312" w:hAnsi="仿宋" w:eastAsia="仿宋_GB2312"/>
          <w:szCs w:val="30"/>
        </w:rPr>
      </w:pPr>
      <w:bookmarkStart w:id="1845" w:name="_Toc59034579"/>
      <w:bookmarkEnd w:id="1845"/>
      <w:bookmarkStart w:id="1846" w:name="_Toc60327111"/>
      <w:bookmarkEnd w:id="1846"/>
      <w:bookmarkStart w:id="1847" w:name="_Toc47372642"/>
      <w:bookmarkEnd w:id="1847"/>
      <w:bookmarkStart w:id="1848" w:name="_Toc60331872"/>
      <w:bookmarkEnd w:id="1848"/>
      <w:bookmarkStart w:id="1849" w:name="_Toc59181093"/>
      <w:bookmarkEnd w:id="1849"/>
      <w:bookmarkStart w:id="1850" w:name="_Toc47443081"/>
      <w:bookmarkEnd w:id="1850"/>
      <w:bookmarkStart w:id="1851" w:name="_Toc47451574"/>
      <w:bookmarkEnd w:id="1851"/>
      <w:bookmarkStart w:id="1852" w:name="_Toc47451459"/>
      <w:bookmarkEnd w:id="1852"/>
      <w:bookmarkStart w:id="1853" w:name="_Toc59181202"/>
      <w:bookmarkEnd w:id="1853"/>
      <w:bookmarkStart w:id="1854" w:name="_Toc47455867"/>
      <w:bookmarkEnd w:id="1854"/>
      <w:bookmarkStart w:id="1855" w:name="_Toc47451848"/>
      <w:bookmarkEnd w:id="1855"/>
      <w:bookmarkStart w:id="1856" w:name="_Toc47455865"/>
      <w:bookmarkEnd w:id="1856"/>
      <w:bookmarkStart w:id="1857" w:name="_Toc47452175"/>
      <w:bookmarkEnd w:id="1857"/>
      <w:bookmarkStart w:id="1858" w:name="_Toc47451845"/>
      <w:bookmarkEnd w:id="1858"/>
      <w:bookmarkStart w:id="1859" w:name="_Toc60331866"/>
      <w:bookmarkEnd w:id="1859"/>
      <w:bookmarkStart w:id="1860" w:name="_Toc47451456"/>
      <w:bookmarkEnd w:id="1860"/>
      <w:bookmarkStart w:id="1861" w:name="_Toc47443084"/>
      <w:bookmarkEnd w:id="1861"/>
      <w:bookmarkStart w:id="1862" w:name="_Toc47452171"/>
      <w:bookmarkEnd w:id="1862"/>
      <w:bookmarkStart w:id="1863" w:name="_Toc60331873"/>
      <w:bookmarkEnd w:id="1863"/>
      <w:bookmarkStart w:id="1864" w:name="_Toc47452172"/>
      <w:bookmarkEnd w:id="1864"/>
      <w:bookmarkStart w:id="1865" w:name="_Toc47455863"/>
      <w:bookmarkEnd w:id="1865"/>
      <w:bookmarkStart w:id="1866" w:name="_Toc59034102"/>
      <w:bookmarkEnd w:id="1866"/>
      <w:bookmarkStart w:id="1867" w:name="_Toc59034107"/>
      <w:bookmarkEnd w:id="1867"/>
      <w:bookmarkStart w:id="1868" w:name="_Toc59181198"/>
      <w:bookmarkEnd w:id="1868"/>
      <w:bookmarkStart w:id="1869" w:name="_Toc59181205"/>
      <w:bookmarkEnd w:id="1869"/>
      <w:bookmarkStart w:id="1870" w:name="_Toc60327115"/>
      <w:bookmarkEnd w:id="1870"/>
      <w:bookmarkStart w:id="1871" w:name="_Toc60327112"/>
      <w:bookmarkEnd w:id="1871"/>
      <w:bookmarkStart w:id="1872" w:name="_Toc47372639"/>
      <w:bookmarkEnd w:id="1872"/>
      <w:bookmarkStart w:id="1873" w:name="_Toc47451578"/>
      <w:bookmarkEnd w:id="1873"/>
      <w:bookmarkStart w:id="1874" w:name="_Toc59034097"/>
      <w:bookmarkEnd w:id="1874"/>
      <w:bookmarkStart w:id="1875" w:name="_Toc47443764"/>
      <w:bookmarkEnd w:id="1875"/>
      <w:bookmarkStart w:id="1876" w:name="_Toc59181210"/>
      <w:bookmarkEnd w:id="1876"/>
      <w:bookmarkStart w:id="1877" w:name="_Toc59181082"/>
      <w:bookmarkEnd w:id="1877"/>
      <w:bookmarkStart w:id="1878" w:name="_Toc59181099"/>
      <w:bookmarkEnd w:id="1878"/>
      <w:bookmarkStart w:id="1879" w:name="_Toc59034108"/>
      <w:bookmarkEnd w:id="1879"/>
      <w:bookmarkStart w:id="1880" w:name="_Toc47455864"/>
      <w:bookmarkEnd w:id="1880"/>
      <w:bookmarkStart w:id="1881" w:name="_Toc47443195"/>
      <w:bookmarkEnd w:id="1881"/>
      <w:bookmarkStart w:id="1882" w:name="_Toc59181315"/>
      <w:bookmarkEnd w:id="1882"/>
      <w:bookmarkStart w:id="1883" w:name="_Toc59034098"/>
      <w:bookmarkEnd w:id="1883"/>
      <w:bookmarkStart w:id="1884" w:name="_Toc47451457"/>
      <w:bookmarkEnd w:id="1884"/>
      <w:bookmarkStart w:id="1885" w:name="_Toc59181208"/>
      <w:bookmarkEnd w:id="1885"/>
      <w:bookmarkStart w:id="1886" w:name="_Toc60327104"/>
      <w:bookmarkEnd w:id="1886"/>
      <w:bookmarkStart w:id="1887" w:name="_Toc47443766"/>
      <w:bookmarkEnd w:id="1887"/>
      <w:bookmarkStart w:id="1888" w:name="_Toc47372640"/>
      <w:bookmarkEnd w:id="1888"/>
      <w:bookmarkStart w:id="1889" w:name="_Toc47451458"/>
      <w:bookmarkEnd w:id="1889"/>
      <w:bookmarkStart w:id="1890" w:name="_Toc60331867"/>
      <w:bookmarkEnd w:id="1890"/>
      <w:bookmarkStart w:id="1891" w:name="_Toc47457124"/>
      <w:bookmarkEnd w:id="1891"/>
      <w:bookmarkStart w:id="1892" w:name="_Toc60327117"/>
      <w:bookmarkEnd w:id="1892"/>
      <w:bookmarkStart w:id="1893" w:name="_Toc59181313"/>
      <w:bookmarkEnd w:id="1893"/>
      <w:bookmarkStart w:id="1894" w:name="_Toc59181195"/>
      <w:bookmarkEnd w:id="1894"/>
      <w:bookmarkStart w:id="1895" w:name="_Toc59181307"/>
      <w:bookmarkEnd w:id="1895"/>
      <w:bookmarkStart w:id="1896" w:name="_Toc47366838"/>
      <w:bookmarkEnd w:id="1896"/>
      <w:bookmarkStart w:id="1897" w:name="_Toc59181094"/>
      <w:bookmarkEnd w:id="1897"/>
      <w:bookmarkStart w:id="1898" w:name="_Toc59034101"/>
      <w:bookmarkEnd w:id="1898"/>
      <w:bookmarkStart w:id="1899" w:name="_Toc60331862"/>
      <w:bookmarkEnd w:id="1899"/>
      <w:bookmarkStart w:id="1900" w:name="_Toc47451843"/>
      <w:bookmarkEnd w:id="1900"/>
      <w:bookmarkStart w:id="1901" w:name="_Toc47451842"/>
      <w:bookmarkEnd w:id="1901"/>
      <w:bookmarkStart w:id="1902" w:name="_Toc47443767"/>
      <w:bookmarkEnd w:id="1902"/>
      <w:bookmarkStart w:id="1903" w:name="_Toc59106983"/>
      <w:bookmarkEnd w:id="1903"/>
      <w:bookmarkStart w:id="1904" w:name="_Toc47451460"/>
      <w:bookmarkEnd w:id="1904"/>
      <w:bookmarkStart w:id="1905" w:name="_Toc47443191"/>
      <w:bookmarkEnd w:id="1905"/>
      <w:bookmarkStart w:id="1906" w:name="_Toc59034103"/>
      <w:bookmarkEnd w:id="1906"/>
      <w:bookmarkStart w:id="1907" w:name="_Toc59106987"/>
      <w:bookmarkEnd w:id="1907"/>
      <w:bookmarkStart w:id="1908" w:name="_Toc59034580"/>
      <w:bookmarkEnd w:id="1908"/>
      <w:bookmarkStart w:id="1909" w:name="_Toc59034586"/>
      <w:bookmarkEnd w:id="1909"/>
      <w:bookmarkStart w:id="1910" w:name="_Toc59034578"/>
      <w:bookmarkEnd w:id="1910"/>
      <w:bookmarkStart w:id="1911" w:name="_Toc47451846"/>
      <w:bookmarkEnd w:id="1911"/>
      <w:bookmarkStart w:id="1912" w:name="_Toc59181197"/>
      <w:bookmarkEnd w:id="1912"/>
      <w:bookmarkStart w:id="1913" w:name="_Toc47455868"/>
      <w:bookmarkEnd w:id="1913"/>
      <w:bookmarkStart w:id="1914" w:name="_Toc60327108"/>
      <w:bookmarkEnd w:id="1914"/>
      <w:bookmarkStart w:id="1915" w:name="_Toc59181206"/>
      <w:bookmarkEnd w:id="1915"/>
      <w:bookmarkStart w:id="1916" w:name="_Toc59181323"/>
      <w:bookmarkEnd w:id="1916"/>
      <w:bookmarkStart w:id="1917" w:name="_Toc59181196"/>
      <w:bookmarkEnd w:id="1917"/>
      <w:bookmarkStart w:id="1918" w:name="_Toc59181085"/>
      <w:bookmarkEnd w:id="1918"/>
      <w:bookmarkStart w:id="1919" w:name="_Toc59034105"/>
      <w:bookmarkEnd w:id="1919"/>
      <w:bookmarkStart w:id="1920" w:name="_Toc47443761"/>
      <w:bookmarkEnd w:id="1920"/>
      <w:bookmarkStart w:id="1921" w:name="_Toc59181314"/>
      <w:bookmarkEnd w:id="1921"/>
      <w:bookmarkStart w:id="1922" w:name="_Toc60327100"/>
      <w:bookmarkEnd w:id="1922"/>
      <w:bookmarkStart w:id="1923" w:name="_Toc47443080"/>
      <w:bookmarkEnd w:id="1923"/>
      <w:bookmarkStart w:id="1924" w:name="_Toc47366839"/>
      <w:bookmarkEnd w:id="1924"/>
      <w:bookmarkStart w:id="1925" w:name="_Toc59181096"/>
      <w:bookmarkEnd w:id="1925"/>
      <w:bookmarkStart w:id="1926" w:name="_Toc59181091"/>
      <w:bookmarkEnd w:id="1926"/>
      <w:bookmarkStart w:id="1927" w:name="_Toc59034581"/>
      <w:bookmarkEnd w:id="1927"/>
      <w:bookmarkStart w:id="1928" w:name="_Toc47455869"/>
      <w:bookmarkEnd w:id="1928"/>
      <w:bookmarkStart w:id="1929" w:name="_Toc59181199"/>
      <w:bookmarkEnd w:id="1929"/>
      <w:bookmarkStart w:id="1930" w:name="_Toc60331868"/>
      <w:bookmarkEnd w:id="1930"/>
      <w:bookmarkStart w:id="1931" w:name="_Toc59181090"/>
      <w:bookmarkEnd w:id="1931"/>
      <w:bookmarkStart w:id="1932" w:name="_Toc47443193"/>
      <w:bookmarkEnd w:id="1932"/>
      <w:bookmarkStart w:id="1933" w:name="_Toc47457121"/>
      <w:bookmarkEnd w:id="1933"/>
      <w:bookmarkStart w:id="1934" w:name="_Toc59181311"/>
      <w:bookmarkEnd w:id="1934"/>
      <w:bookmarkStart w:id="1935" w:name="_Toc60327103"/>
      <w:bookmarkEnd w:id="1935"/>
      <w:bookmarkStart w:id="1936" w:name="_Toc60331869"/>
      <w:bookmarkEnd w:id="1936"/>
      <w:bookmarkStart w:id="1937" w:name="_Toc60331871"/>
      <w:bookmarkEnd w:id="1937"/>
      <w:bookmarkStart w:id="1938" w:name="_Toc60327114"/>
      <w:bookmarkEnd w:id="1938"/>
      <w:bookmarkStart w:id="1939" w:name="_Toc59181309"/>
      <w:bookmarkEnd w:id="1939"/>
      <w:bookmarkStart w:id="1940" w:name="_Toc59034585"/>
      <w:bookmarkEnd w:id="1940"/>
      <w:bookmarkStart w:id="1941" w:name="_Toc59181322"/>
      <w:bookmarkEnd w:id="1941"/>
      <w:bookmarkStart w:id="1942" w:name="_Toc59181306"/>
      <w:bookmarkEnd w:id="1942"/>
      <w:bookmarkStart w:id="1943" w:name="_Toc59034109"/>
      <w:bookmarkEnd w:id="1943"/>
      <w:bookmarkStart w:id="1944" w:name="_Toc47451461"/>
      <w:bookmarkEnd w:id="1944"/>
      <w:bookmarkStart w:id="1945" w:name="_Toc59106986"/>
      <w:bookmarkEnd w:id="1945"/>
      <w:bookmarkStart w:id="1946" w:name="_Toc59034099"/>
      <w:bookmarkEnd w:id="1946"/>
      <w:bookmarkStart w:id="1947" w:name="_Toc47451462"/>
      <w:bookmarkEnd w:id="1947"/>
      <w:bookmarkStart w:id="1948" w:name="_Toc60327101"/>
      <w:bookmarkEnd w:id="1948"/>
      <w:bookmarkStart w:id="1949" w:name="_Toc59181087"/>
      <w:bookmarkEnd w:id="1949"/>
      <w:bookmarkStart w:id="1950" w:name="_Toc60331858"/>
      <w:bookmarkEnd w:id="1950"/>
      <w:bookmarkStart w:id="1951" w:name="_Toc59181204"/>
      <w:bookmarkEnd w:id="1951"/>
      <w:bookmarkStart w:id="1952" w:name="_Toc59181317"/>
      <w:bookmarkEnd w:id="1952"/>
      <w:bookmarkStart w:id="1953" w:name="_Toc47452177"/>
      <w:bookmarkEnd w:id="1953"/>
      <w:bookmarkStart w:id="1954" w:name="_Toc59106988"/>
      <w:bookmarkEnd w:id="1954"/>
      <w:bookmarkStart w:id="1955" w:name="_Toc47451580"/>
      <w:bookmarkEnd w:id="1955"/>
      <w:bookmarkStart w:id="1956" w:name="_Toc59181083"/>
      <w:bookmarkEnd w:id="1956"/>
      <w:bookmarkStart w:id="1957" w:name="_Toc59181209"/>
      <w:bookmarkEnd w:id="1957"/>
      <w:bookmarkStart w:id="1958" w:name="_Toc59034587"/>
      <w:bookmarkEnd w:id="1958"/>
      <w:bookmarkStart w:id="1959" w:name="_Toc59106989"/>
      <w:bookmarkEnd w:id="1959"/>
      <w:bookmarkStart w:id="1960" w:name="_Toc59181310"/>
      <w:bookmarkEnd w:id="1960"/>
      <w:bookmarkStart w:id="1961" w:name="_Toc59106991"/>
      <w:bookmarkEnd w:id="1961"/>
      <w:bookmarkStart w:id="1962" w:name="_Toc47443083"/>
      <w:bookmarkEnd w:id="1962"/>
      <w:bookmarkStart w:id="1963" w:name="_Toc47443190"/>
      <w:bookmarkEnd w:id="1963"/>
      <w:bookmarkStart w:id="1964" w:name="_Toc47457122"/>
      <w:bookmarkEnd w:id="1964"/>
      <w:bookmarkStart w:id="1965" w:name="_Toc47452174"/>
      <w:bookmarkEnd w:id="1965"/>
      <w:bookmarkStart w:id="1966" w:name="_Toc59181203"/>
      <w:bookmarkEnd w:id="1966"/>
      <w:bookmarkStart w:id="1967" w:name="_Toc59181084"/>
      <w:bookmarkEnd w:id="1967"/>
      <w:bookmarkStart w:id="1968" w:name="_Toc47443192"/>
      <w:bookmarkEnd w:id="1968"/>
      <w:bookmarkStart w:id="1969" w:name="_Toc59034584"/>
      <w:bookmarkEnd w:id="1969"/>
      <w:bookmarkStart w:id="1970" w:name="_Toc59181194"/>
      <w:bookmarkEnd w:id="1970"/>
      <w:bookmarkStart w:id="1971" w:name="_Toc60327107"/>
      <w:bookmarkEnd w:id="1971"/>
      <w:bookmarkStart w:id="1972" w:name="_Toc60331874"/>
      <w:bookmarkEnd w:id="1972"/>
      <w:bookmarkStart w:id="1973" w:name="_Toc59181098"/>
      <w:bookmarkEnd w:id="1973"/>
      <w:bookmarkStart w:id="1974" w:name="_Toc59181086"/>
      <w:bookmarkEnd w:id="1974"/>
      <w:bookmarkStart w:id="1975" w:name="_Toc59034106"/>
      <w:bookmarkEnd w:id="1975"/>
      <w:bookmarkStart w:id="1976" w:name="_Toc47372641"/>
      <w:bookmarkEnd w:id="1976"/>
      <w:bookmarkStart w:id="1977" w:name="_Toc59181089"/>
      <w:bookmarkEnd w:id="1977"/>
      <w:bookmarkStart w:id="1978" w:name="_Toc59181097"/>
      <w:bookmarkEnd w:id="1978"/>
      <w:bookmarkStart w:id="1979" w:name="_Toc59034582"/>
      <w:bookmarkEnd w:id="1979"/>
      <w:bookmarkStart w:id="1980" w:name="_Toc47452173"/>
      <w:bookmarkEnd w:id="1980"/>
      <w:bookmarkStart w:id="1981" w:name="_Toc60331861"/>
      <w:bookmarkEnd w:id="1981"/>
      <w:bookmarkStart w:id="1982" w:name="_Toc59181320"/>
      <w:bookmarkEnd w:id="1982"/>
      <w:bookmarkStart w:id="1983" w:name="_Toc59034576"/>
      <w:bookmarkEnd w:id="1983"/>
      <w:bookmarkStart w:id="1984" w:name="_Toc47443763"/>
      <w:bookmarkEnd w:id="1984"/>
      <w:bookmarkStart w:id="1985" w:name="_Toc59034588"/>
      <w:bookmarkEnd w:id="1985"/>
      <w:bookmarkStart w:id="1986" w:name="_Toc59106980"/>
      <w:bookmarkEnd w:id="1986"/>
      <w:bookmarkStart w:id="1987" w:name="_Toc47451579"/>
      <w:bookmarkEnd w:id="1987"/>
      <w:bookmarkStart w:id="1988" w:name="_Toc59106985"/>
      <w:bookmarkEnd w:id="1988"/>
      <w:bookmarkStart w:id="1989" w:name="_Toc47451844"/>
      <w:bookmarkEnd w:id="1989"/>
      <w:bookmarkStart w:id="1990" w:name="_Toc60331865"/>
      <w:bookmarkEnd w:id="1990"/>
      <w:bookmarkStart w:id="1991" w:name="_Toc60331863"/>
      <w:bookmarkEnd w:id="1991"/>
      <w:bookmarkStart w:id="1992" w:name="_Toc47451847"/>
      <w:bookmarkEnd w:id="1992"/>
      <w:bookmarkStart w:id="1993" w:name="_Toc59181321"/>
      <w:bookmarkEnd w:id="1993"/>
      <w:bookmarkStart w:id="1994" w:name="_Toc47443082"/>
      <w:bookmarkEnd w:id="1994"/>
      <w:bookmarkStart w:id="1995" w:name="_Toc47457123"/>
      <w:bookmarkEnd w:id="1995"/>
      <w:bookmarkStart w:id="1996" w:name="_Toc60331860"/>
      <w:bookmarkEnd w:id="1996"/>
      <w:bookmarkStart w:id="1997" w:name="_Toc59181201"/>
      <w:bookmarkEnd w:id="1997"/>
      <w:bookmarkStart w:id="1998" w:name="_Toc47452176"/>
      <w:bookmarkEnd w:id="1998"/>
      <w:bookmarkStart w:id="1999" w:name="_Toc59106990"/>
      <w:bookmarkEnd w:id="1999"/>
      <w:bookmarkStart w:id="2000" w:name="_Toc59034577"/>
      <w:bookmarkEnd w:id="2000"/>
      <w:bookmarkStart w:id="2001" w:name="_Toc47443194"/>
      <w:bookmarkEnd w:id="2001"/>
      <w:bookmarkStart w:id="2002" w:name="_Toc47443079"/>
      <w:bookmarkEnd w:id="2002"/>
      <w:bookmarkStart w:id="2003" w:name="_Toc59034104"/>
      <w:bookmarkEnd w:id="2003"/>
      <w:bookmarkStart w:id="2004" w:name="_Toc59106982"/>
      <w:bookmarkEnd w:id="2004"/>
      <w:bookmarkStart w:id="2005" w:name="_Toc59034583"/>
      <w:bookmarkEnd w:id="2005"/>
      <w:bookmarkStart w:id="2006" w:name="_Toc59181200"/>
      <w:bookmarkEnd w:id="2006"/>
      <w:bookmarkStart w:id="2007" w:name="_Toc47457126"/>
      <w:bookmarkEnd w:id="2007"/>
      <w:bookmarkStart w:id="2008" w:name="_Toc47443078"/>
      <w:bookmarkEnd w:id="2008"/>
      <w:bookmarkStart w:id="2009" w:name="_Toc47457125"/>
      <w:bookmarkEnd w:id="2009"/>
      <w:bookmarkStart w:id="2010" w:name="_Toc59181088"/>
      <w:bookmarkEnd w:id="2010"/>
      <w:bookmarkStart w:id="2011" w:name="_Toc60331859"/>
      <w:bookmarkEnd w:id="2011"/>
      <w:bookmarkStart w:id="2012" w:name="_Toc59181211"/>
      <w:bookmarkEnd w:id="2012"/>
      <w:bookmarkStart w:id="2013" w:name="_Toc47455866"/>
      <w:bookmarkEnd w:id="2013"/>
      <w:bookmarkStart w:id="2014" w:name="_Toc60327105"/>
      <w:bookmarkEnd w:id="2014"/>
      <w:bookmarkStart w:id="2015" w:name="_Toc59106984"/>
      <w:bookmarkEnd w:id="2015"/>
      <w:bookmarkStart w:id="2016" w:name="_Toc47457120"/>
      <w:bookmarkEnd w:id="2016"/>
      <w:bookmarkStart w:id="2017" w:name="_Toc60331864"/>
      <w:bookmarkEnd w:id="2017"/>
      <w:bookmarkStart w:id="2018" w:name="_Toc47451575"/>
      <w:bookmarkEnd w:id="2018"/>
      <w:bookmarkStart w:id="2019" w:name="_Toc60327109"/>
      <w:bookmarkEnd w:id="2019"/>
      <w:bookmarkStart w:id="2020" w:name="_Toc59034100"/>
      <w:bookmarkEnd w:id="2020"/>
      <w:bookmarkStart w:id="2021" w:name="_Toc60327106"/>
      <w:bookmarkEnd w:id="2021"/>
      <w:bookmarkStart w:id="2022" w:name="_Toc47451577"/>
      <w:bookmarkEnd w:id="2022"/>
      <w:bookmarkStart w:id="2023" w:name="_Toc59181092"/>
      <w:bookmarkEnd w:id="2023"/>
      <w:bookmarkStart w:id="2024" w:name="_Toc59181308"/>
      <w:bookmarkEnd w:id="2024"/>
      <w:bookmarkStart w:id="2025" w:name="_Toc47443189"/>
      <w:bookmarkEnd w:id="2025"/>
      <w:bookmarkStart w:id="2026" w:name="_Toc60331857"/>
      <w:bookmarkEnd w:id="2026"/>
      <w:bookmarkStart w:id="2027" w:name="_Toc47451576"/>
      <w:bookmarkEnd w:id="2027"/>
      <w:bookmarkStart w:id="2028" w:name="_Toc60327110"/>
      <w:bookmarkEnd w:id="2028"/>
      <w:bookmarkStart w:id="2029" w:name="_Toc59181312"/>
      <w:bookmarkEnd w:id="2029"/>
      <w:bookmarkStart w:id="2030" w:name="_Toc59106981"/>
      <w:bookmarkEnd w:id="2030"/>
      <w:bookmarkStart w:id="2031" w:name="_Toc60327102"/>
      <w:bookmarkEnd w:id="2031"/>
      <w:bookmarkStart w:id="2032" w:name="_Toc60327116"/>
      <w:bookmarkEnd w:id="2032"/>
      <w:bookmarkStart w:id="2033" w:name="_Toc59106992"/>
      <w:bookmarkEnd w:id="2033"/>
      <w:bookmarkStart w:id="2034" w:name="_Toc47443762"/>
      <w:bookmarkEnd w:id="2034"/>
      <w:bookmarkStart w:id="2035" w:name="_Toc59181316"/>
      <w:bookmarkEnd w:id="2035"/>
      <w:bookmarkStart w:id="2036" w:name="_Toc47443765"/>
      <w:bookmarkEnd w:id="2036"/>
      <w:bookmarkStart w:id="2037" w:name="_Toc59181318"/>
      <w:bookmarkEnd w:id="2037"/>
      <w:bookmarkStart w:id="2038" w:name="_Toc56166092"/>
      <w:bookmarkStart w:id="2039" w:name="_Toc56166281"/>
      <w:bookmarkStart w:id="2040" w:name="_Toc24460045"/>
      <w:bookmarkStart w:id="2041" w:name="_Toc35006352"/>
      <w:r>
        <w:rPr>
          <w:b/>
          <w:sz w:val="36"/>
        </w:rPr>
        <w:br w:type="page"/>
      </w:r>
      <w:bookmarkStart w:id="2042" w:name="_Toc151136912"/>
      <w:bookmarkStart w:id="2043" w:name="_Toc1324243350"/>
      <w:bookmarkStart w:id="2044" w:name="_Toc1682005460"/>
      <w:bookmarkStart w:id="2045" w:name="_Toc341804610"/>
      <w:bookmarkStart w:id="2046" w:name="_Toc986681052"/>
      <w:bookmarkStart w:id="2047" w:name="_Toc759849048"/>
      <w:bookmarkStart w:id="2048" w:name="_Toc1103448395"/>
      <w:r>
        <w:rPr>
          <w:rFonts w:hint="eastAsia" w:ascii="黑体" w:hAnsi="黑体" w:eastAsia="黑体" w:cs="黑体"/>
          <w:b/>
          <w:sz w:val="36"/>
        </w:rPr>
        <w:t>债券回购交易</w:t>
      </w:r>
      <w:bookmarkEnd w:id="2038"/>
      <w:bookmarkEnd w:id="2039"/>
      <w:bookmarkEnd w:id="2042"/>
      <w:bookmarkEnd w:id="2043"/>
      <w:bookmarkEnd w:id="2044"/>
      <w:bookmarkEnd w:id="2045"/>
      <w:bookmarkEnd w:id="2046"/>
      <w:bookmarkEnd w:id="2047"/>
      <w:bookmarkEnd w:id="2048"/>
    </w:p>
    <w:p w14:paraId="42A7BA0E">
      <w:pPr>
        <w:adjustRightInd w:val="0"/>
        <w:snapToGrid w:val="0"/>
        <w:spacing w:line="600" w:lineRule="exact"/>
        <w:ind w:firstLine="600"/>
        <w:rPr>
          <w:rFonts w:ascii="仿宋_GB2312" w:hAnsi="Calibri" w:eastAsia="仿宋_GB2312"/>
          <w:b/>
          <w:sz w:val="30"/>
          <w:szCs w:val="30"/>
        </w:rPr>
      </w:pPr>
      <w:r>
        <w:rPr>
          <w:rFonts w:hint="eastAsia" w:ascii="仿宋_GB2312" w:hAnsi="Calibri" w:eastAsia="仿宋_GB2312"/>
          <w:sz w:val="30"/>
          <w:szCs w:val="30"/>
        </w:rPr>
        <w:t>本指南所称债券回购交易是指资金融入方（正回购方）将债券出质以从资金融出方（逆</w:t>
      </w:r>
      <w:r>
        <w:rPr>
          <w:rFonts w:ascii="仿宋_GB2312" w:hAnsi="Calibri" w:eastAsia="仿宋_GB2312"/>
          <w:sz w:val="30"/>
          <w:szCs w:val="30"/>
        </w:rPr>
        <w:tab/>
      </w:r>
      <w:r>
        <w:rPr>
          <w:rFonts w:hint="eastAsia" w:ascii="仿宋_GB2312" w:hAnsi="Calibri" w:eastAsia="仿宋_GB2312"/>
          <w:sz w:val="30"/>
          <w:szCs w:val="30"/>
        </w:rPr>
        <w:t>回购方）融入资金，并约定到期解除质押返还资金的交易。</w:t>
      </w:r>
    </w:p>
    <w:p w14:paraId="624E2CB4">
      <w:pPr>
        <w:numPr>
          <w:ilvl w:val="1"/>
          <w:numId w:val="4"/>
        </w:numPr>
        <w:spacing w:line="600" w:lineRule="exact"/>
        <w:ind w:left="0" w:firstLine="0"/>
        <w:outlineLvl w:val="1"/>
        <w:rPr>
          <w:rFonts w:ascii="仿宋_GB2312" w:eastAsia="仿宋_GB2312"/>
          <w:b/>
          <w:sz w:val="30"/>
          <w:szCs w:val="30"/>
        </w:rPr>
      </w:pPr>
      <w:bookmarkStart w:id="2049" w:name="_Toc1792185519"/>
      <w:bookmarkStart w:id="2050" w:name="_Toc1006528953"/>
      <w:bookmarkStart w:id="2051" w:name="_Toc151136913"/>
      <w:bookmarkStart w:id="2052" w:name="_Toc2082624076"/>
      <w:bookmarkStart w:id="2053" w:name="_Toc1070812100"/>
      <w:bookmarkStart w:id="2054" w:name="_Toc1174804322"/>
      <w:bookmarkStart w:id="2055" w:name="_Toc285683298"/>
      <w:bookmarkStart w:id="2056" w:name="_Toc56166282"/>
      <w:bookmarkStart w:id="2057" w:name="_Toc56166093"/>
      <w:r>
        <w:rPr>
          <w:rFonts w:hint="eastAsia" w:ascii="仿宋_GB2312" w:eastAsia="仿宋_GB2312"/>
          <w:b/>
          <w:sz w:val="30"/>
          <w:szCs w:val="30"/>
        </w:rPr>
        <w:t>一般规定</w:t>
      </w:r>
      <w:bookmarkEnd w:id="2049"/>
      <w:bookmarkEnd w:id="2050"/>
      <w:bookmarkEnd w:id="2051"/>
      <w:bookmarkEnd w:id="2052"/>
      <w:bookmarkEnd w:id="2053"/>
      <w:bookmarkEnd w:id="2054"/>
      <w:bookmarkEnd w:id="2055"/>
    </w:p>
    <w:p w14:paraId="33CC1066">
      <w:pPr>
        <w:numPr>
          <w:ilvl w:val="2"/>
          <w:numId w:val="4"/>
        </w:numPr>
        <w:spacing w:line="600" w:lineRule="exact"/>
        <w:ind w:left="0" w:firstLine="0"/>
        <w:outlineLvl w:val="2"/>
        <w:rPr>
          <w:rFonts w:ascii="仿宋_GB2312" w:eastAsia="仿宋_GB2312"/>
          <w:b/>
          <w:sz w:val="30"/>
          <w:szCs w:val="30"/>
        </w:rPr>
      </w:pPr>
      <w:bookmarkStart w:id="2058" w:name="_Toc57908928"/>
      <w:r>
        <w:rPr>
          <w:rFonts w:hint="eastAsia" w:ascii="仿宋_GB2312" w:eastAsia="仿宋_GB2312"/>
          <w:b/>
          <w:sz w:val="30"/>
          <w:szCs w:val="30"/>
        </w:rPr>
        <w:t>回购类型</w:t>
      </w:r>
      <w:bookmarkEnd w:id="2056"/>
      <w:bookmarkEnd w:id="2057"/>
      <w:bookmarkEnd w:id="2058"/>
    </w:p>
    <w:p w14:paraId="1360705F">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本指南所称债券回购交易包括通用回购、协议回购与三方回购。</w:t>
      </w:r>
    </w:p>
    <w:p w14:paraId="6818EA72">
      <w:pPr>
        <w:adjustRightInd w:val="0"/>
        <w:snapToGrid w:val="0"/>
        <w:spacing w:line="600" w:lineRule="exact"/>
        <w:ind w:firstLine="600"/>
        <w:rPr>
          <w:rFonts w:ascii="仿宋_GB2312" w:hAnsi="Calibri" w:eastAsia="仿宋_GB2312"/>
          <w:color w:val="000000"/>
          <w:sz w:val="30"/>
          <w:szCs w:val="30"/>
        </w:rPr>
      </w:pPr>
      <w:r>
        <w:rPr>
          <w:rFonts w:hint="eastAsia" w:ascii="仿宋_GB2312" w:eastAsia="仿宋_GB2312"/>
          <w:color w:val="000000"/>
          <w:sz w:val="30"/>
          <w:szCs w:val="30"/>
        </w:rPr>
        <w:t>通用回购交易指资金融入方</w:t>
      </w:r>
      <w:r>
        <w:rPr>
          <w:rFonts w:hint="eastAsia" w:ascii="仿宋_GB2312" w:hAnsi="Calibri" w:eastAsia="仿宋_GB2312"/>
          <w:sz w:val="30"/>
          <w:szCs w:val="30"/>
        </w:rPr>
        <w:t>（正回购方）</w:t>
      </w:r>
      <w:r>
        <w:rPr>
          <w:rFonts w:hint="eastAsia" w:ascii="仿宋_GB2312" w:eastAsia="仿宋_GB2312"/>
          <w:color w:val="000000"/>
          <w:sz w:val="30"/>
          <w:szCs w:val="30"/>
        </w:rPr>
        <w:t>将符合要求的债券申报质押，以相应折算率计算出的质押券价值为融资额度进行质押融资，交易双方约定在回购期满后返还资金同时解除债券质押的交易。</w:t>
      </w:r>
    </w:p>
    <w:p w14:paraId="0B77283A">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协议回购是指回购双方自主协商约定，由资金融入方（正回购方）将债券出质给资金融出方（逆回购方）融入资金，并在未来返还资金和支付回购利息，同时解除债券质押登记的交易。</w:t>
      </w:r>
    </w:p>
    <w:p w14:paraId="6930F72C">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三方回购是指资金融入方（正回购方）将债券出质给资金融出方（逆回购方）以融入资金，约定在未来返还资金和支付回购利息，同时解除债券质押，并由本所、证券登记结算等提供相关的担保品管理服务的交易。在三方回购交易中，回购双方在交易环节主要协商回购交易的金额、期限、利率、质押券篮子等基本要素，双方可不指定具体质押券及折扣率，质押券由登记结算机构根据相关规则及约定事后选取并进行存续期管理。</w:t>
      </w:r>
    </w:p>
    <w:p w14:paraId="5C0193E3">
      <w:pPr>
        <w:numPr>
          <w:ilvl w:val="2"/>
          <w:numId w:val="4"/>
        </w:numPr>
        <w:spacing w:line="600" w:lineRule="exact"/>
        <w:ind w:left="0" w:firstLine="0"/>
        <w:outlineLvl w:val="2"/>
        <w:rPr>
          <w:rFonts w:ascii="仿宋_GB2312" w:eastAsia="仿宋_GB2312"/>
          <w:b/>
          <w:sz w:val="30"/>
          <w:szCs w:val="30"/>
        </w:rPr>
      </w:pPr>
      <w:bookmarkStart w:id="2059" w:name="_Toc56166283"/>
      <w:bookmarkStart w:id="2060" w:name="_Toc57908929"/>
      <w:bookmarkStart w:id="2061" w:name="_Toc56166094"/>
      <w:r>
        <w:rPr>
          <w:rFonts w:hint="eastAsia" w:ascii="仿宋_GB2312" w:eastAsia="仿宋_GB2312"/>
          <w:b/>
          <w:sz w:val="30"/>
          <w:szCs w:val="30"/>
        </w:rPr>
        <w:t>交易</w:t>
      </w:r>
      <w:bookmarkEnd w:id="2059"/>
      <w:bookmarkEnd w:id="2060"/>
      <w:bookmarkEnd w:id="2061"/>
    </w:p>
    <w:p w14:paraId="1E17D6E5">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通用回购交易暂仅采用匹配成交方式达成交易，协议回购交易及三方回购交易暂仅可发起意向申报并采用协商成交方式达成交易，其他交易方式实施时间由本所另行通知。</w:t>
      </w:r>
    </w:p>
    <w:p w14:paraId="30251EE4">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债券回购具体交易事宜，详见本章第7.2、7.3、7.4节。</w:t>
      </w:r>
    </w:p>
    <w:p w14:paraId="2B78D773">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回购数据报送</w:t>
      </w:r>
    </w:p>
    <w:p w14:paraId="1D172EBE">
      <w:pPr>
        <w:adjustRightInd w:val="0"/>
        <w:snapToGrid w:val="0"/>
        <w:spacing w:line="600" w:lineRule="exact"/>
        <w:ind w:firstLine="600" w:firstLineChars="200"/>
        <w:rPr>
          <w:rFonts w:ascii="仿宋_GB2312" w:hAnsi="微软雅黑" w:eastAsia="仿宋_GB2312"/>
          <w:sz w:val="30"/>
          <w:szCs w:val="30"/>
        </w:rPr>
      </w:pPr>
      <w:r>
        <w:rPr>
          <w:rFonts w:hint="eastAsia" w:ascii="仿宋_GB2312" w:hAnsi="微软雅黑" w:eastAsia="仿宋_GB2312"/>
          <w:sz w:val="30"/>
          <w:szCs w:val="30"/>
        </w:rPr>
        <w:t>本所及证券登记结算机构就债券回购建立回购融资主体的数据报送与监测机制。回购参与主体应当加强回购风险的监测与评估，定期向本所报送其主体信息及相关业务数据。</w:t>
      </w:r>
    </w:p>
    <w:p w14:paraId="52F2F494">
      <w:pPr>
        <w:adjustRightInd w:val="0"/>
        <w:snapToGrid w:val="0"/>
        <w:spacing w:line="600" w:lineRule="exact"/>
        <w:ind w:firstLine="600"/>
        <w:rPr>
          <w:rFonts w:ascii="仿宋_GB2312" w:hAnsi="微软雅黑" w:eastAsia="仿宋_GB2312"/>
          <w:sz w:val="30"/>
          <w:szCs w:val="30"/>
        </w:rPr>
      </w:pPr>
      <w:r>
        <w:rPr>
          <w:rFonts w:hint="eastAsia" w:ascii="仿宋_GB2312" w:hAnsi="微软雅黑" w:eastAsia="仿宋_GB2312"/>
          <w:sz w:val="30"/>
          <w:szCs w:val="30"/>
        </w:rPr>
        <w:t>回购数据的报送内容及报送方式由本所及证券登记结算机构另行规定。</w:t>
      </w:r>
    </w:p>
    <w:p w14:paraId="719D0AC3">
      <w:pPr>
        <w:numPr>
          <w:ilvl w:val="2"/>
          <w:numId w:val="4"/>
        </w:numPr>
        <w:spacing w:line="600" w:lineRule="exact"/>
        <w:ind w:left="0" w:firstLine="0"/>
        <w:outlineLvl w:val="2"/>
        <w:rPr>
          <w:rFonts w:ascii="仿宋_GB2312" w:hAnsi="黑体" w:eastAsia="仿宋_GB2312"/>
          <w:b/>
          <w:sz w:val="30"/>
          <w:szCs w:val="30"/>
        </w:rPr>
      </w:pPr>
      <w:r>
        <w:rPr>
          <w:rFonts w:hint="eastAsia" w:ascii="仿宋_GB2312" w:hAnsi="Calibri" w:eastAsia="仿宋_GB2312"/>
          <w:b/>
          <w:kern w:val="0"/>
          <w:sz w:val="30"/>
          <w:szCs w:val="30"/>
        </w:rPr>
        <w:t>担保品处置</w:t>
      </w:r>
    </w:p>
    <w:p w14:paraId="3EF8F6B7">
      <w:pPr>
        <w:adjustRightInd w:val="0"/>
        <w:snapToGrid w:val="0"/>
        <w:spacing w:line="600" w:lineRule="exact"/>
        <w:ind w:firstLine="600" w:firstLineChars="200"/>
        <w:rPr>
          <w:rFonts w:ascii="仿宋_GB2312" w:eastAsia="仿宋_GB2312"/>
          <w:sz w:val="30"/>
          <w:szCs w:val="30"/>
        </w:rPr>
      </w:pPr>
      <w:r>
        <w:rPr>
          <w:rFonts w:hint="eastAsia" w:ascii="仿宋_GB2312" w:hAnsi="Calibri" w:eastAsia="仿宋_GB2312"/>
          <w:sz w:val="30"/>
          <w:szCs w:val="30"/>
        </w:rPr>
        <w:t>债券回购业务</w:t>
      </w:r>
      <w:r>
        <w:rPr>
          <w:rFonts w:hint="eastAsia" w:ascii="仿宋_GB2312" w:eastAsia="仿宋_GB2312"/>
          <w:sz w:val="30"/>
          <w:szCs w:val="30"/>
        </w:rPr>
        <w:t>出现支付违约或其他双方约定情形后，质权人（以下简称处置方）可根据与出质人的约定，通过本所建立的债券担保品处置平台（以下简称处置平台）对债券担保品（以下简称担保品）进行处置。</w:t>
      </w:r>
    </w:p>
    <w:p w14:paraId="39721264">
      <w:pPr>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担保品处置平台的地址为https://bond.uap.sse.com.cn。</w:t>
      </w:r>
    </w:p>
    <w:p w14:paraId="25F5583E">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（1）处置标的</w:t>
      </w:r>
    </w:p>
    <w:p w14:paraId="3C2FCD6C">
      <w:pPr>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处置平台可以支持的处置品种包括在指定登记结算机构存管并按规定办理担保的各类担保品，包括但不限于国债、地方政府债券、金融债、公司债券、可转债、资产支持证券以及本所认可的其他债券。本所可以调整通过处置平台处置的担保品范围。</w:t>
      </w:r>
    </w:p>
    <w:p w14:paraId="38C73EE7">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eastAsia="仿宋_GB2312"/>
          <w:sz w:val="30"/>
          <w:szCs w:val="30"/>
        </w:rPr>
        <w:t>（2）参与主体</w:t>
      </w:r>
    </w:p>
    <w:p w14:paraId="5E7FF091">
      <w:pPr>
        <w:pStyle w:val="92"/>
        <w:widowControl w:val="0"/>
        <w:spacing w:line="540" w:lineRule="exact"/>
        <w:ind w:left="0" w:firstLine="600" w:firstLineChars="200"/>
        <w:jc w:val="both"/>
        <w:rPr>
          <w:rFonts w:ascii="仿宋_GB2312" w:eastAsia="仿宋_GB2312"/>
          <w:sz w:val="30"/>
          <w:szCs w:val="30"/>
          <w:lang w:eastAsia="zh-CN"/>
        </w:rPr>
      </w:pPr>
      <w:r>
        <w:rPr>
          <w:rFonts w:hint="eastAsia" w:ascii="仿宋_GB2312" w:eastAsia="仿宋_GB2312"/>
          <w:sz w:val="30"/>
          <w:szCs w:val="30"/>
          <w:lang w:eastAsia="zh-CN"/>
        </w:rPr>
        <w:t>证券登记结算机构、协议回购的逆回购方、三方回购的逆回购方以及本所认可的其他机构可以申请通过处置平台对债券担保品进行处置。参加担保品处置平台报价的主体应当为合格报价团成员，符合下列条件之一的机构可以向本所申请加入合格报价团：</w:t>
      </w:r>
    </w:p>
    <w:p w14:paraId="7F663487">
      <w:pPr>
        <w:spacing w:line="540" w:lineRule="exact"/>
        <w:ind w:firstLine="600" w:firstLineChars="200"/>
        <w:rPr>
          <w:rFonts w:ascii="仿宋_GB2312" w:eastAsia="仿宋_GB2312"/>
          <w:sz w:val="30"/>
          <w:szCs w:val="30"/>
        </w:rPr>
      </w:pPr>
      <w:r>
        <w:rPr>
          <w:rFonts w:hint="eastAsia" w:ascii="仿宋_GB2312" w:eastAsia="仿宋_GB2312"/>
          <w:sz w:val="30"/>
          <w:szCs w:val="30"/>
        </w:rPr>
        <w:t>1）商业银行；</w:t>
      </w:r>
    </w:p>
    <w:p w14:paraId="6ADD81E1">
      <w:pPr>
        <w:spacing w:line="540" w:lineRule="exact"/>
        <w:ind w:firstLine="600" w:firstLineChars="200"/>
        <w:rPr>
          <w:rFonts w:ascii="仿宋_GB2312" w:eastAsia="仿宋_GB2312"/>
          <w:sz w:val="30"/>
          <w:szCs w:val="30"/>
        </w:rPr>
      </w:pPr>
      <w:r>
        <w:rPr>
          <w:rFonts w:hint="eastAsia" w:ascii="仿宋_GB2312" w:eastAsia="仿宋_GB2312"/>
          <w:sz w:val="30"/>
          <w:szCs w:val="30"/>
        </w:rPr>
        <w:t>2）证券公司；</w:t>
      </w:r>
    </w:p>
    <w:p w14:paraId="6D45EF2A">
      <w:pPr>
        <w:spacing w:line="540" w:lineRule="exact"/>
        <w:ind w:firstLine="600" w:firstLineChars="200"/>
        <w:rPr>
          <w:rFonts w:ascii="仿宋_GB2312" w:eastAsia="仿宋_GB2312"/>
          <w:sz w:val="30"/>
          <w:szCs w:val="30"/>
        </w:rPr>
      </w:pPr>
      <w:r>
        <w:rPr>
          <w:rFonts w:hint="eastAsia" w:ascii="仿宋_GB2312" w:eastAsia="仿宋_GB2312"/>
          <w:sz w:val="30"/>
          <w:szCs w:val="30"/>
        </w:rPr>
        <w:t>3）保险公司；</w:t>
      </w:r>
    </w:p>
    <w:p w14:paraId="68EB6188">
      <w:pPr>
        <w:spacing w:line="540" w:lineRule="exact"/>
        <w:ind w:firstLine="600" w:firstLineChars="200"/>
        <w:rPr>
          <w:rFonts w:ascii="仿宋_GB2312" w:eastAsia="仿宋_GB2312"/>
          <w:sz w:val="30"/>
          <w:szCs w:val="30"/>
        </w:rPr>
      </w:pPr>
      <w:r>
        <w:rPr>
          <w:rFonts w:hint="eastAsia" w:ascii="仿宋_GB2312" w:eastAsia="仿宋_GB2312"/>
          <w:sz w:val="30"/>
          <w:szCs w:val="30"/>
        </w:rPr>
        <w:t>4）上年末资产管理规模超过1000亿元人民币的资产管理机构；</w:t>
      </w:r>
    </w:p>
    <w:p w14:paraId="23A3C20B">
      <w:pPr>
        <w:spacing w:line="540" w:lineRule="exact"/>
        <w:ind w:firstLine="600" w:firstLineChars="200"/>
        <w:rPr>
          <w:rFonts w:ascii="仿宋_GB2312" w:eastAsia="仿宋_GB2312"/>
          <w:sz w:val="30"/>
          <w:szCs w:val="30"/>
        </w:rPr>
      </w:pPr>
      <w:r>
        <w:rPr>
          <w:rFonts w:hint="eastAsia" w:ascii="仿宋_GB2312" w:eastAsia="仿宋_GB2312"/>
          <w:sz w:val="30"/>
          <w:szCs w:val="30"/>
        </w:rPr>
        <w:t>5）金融资产管理公司；</w:t>
      </w:r>
    </w:p>
    <w:p w14:paraId="347D8180">
      <w:pPr>
        <w:spacing w:line="540" w:lineRule="exact"/>
        <w:ind w:firstLine="600" w:firstLineChars="200"/>
        <w:rPr>
          <w:rFonts w:ascii="仿宋_GB2312" w:eastAsia="仿宋_GB2312"/>
          <w:sz w:val="30"/>
          <w:szCs w:val="30"/>
        </w:rPr>
      </w:pPr>
      <w:r>
        <w:rPr>
          <w:rFonts w:hint="eastAsia" w:ascii="仿宋_GB2312" w:eastAsia="仿宋_GB2312"/>
          <w:sz w:val="30"/>
          <w:szCs w:val="30"/>
        </w:rPr>
        <w:t>6）本所认可的其他机构。</w:t>
      </w:r>
    </w:p>
    <w:p w14:paraId="747C529A">
      <w:pPr>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合格报价团成员代其他债券投资者报价的，应确保其符合投资者适当性相关要求，并自行与其签订相关协议。</w:t>
      </w:r>
    </w:p>
    <w:p w14:paraId="0CE30943">
      <w:pPr>
        <w:pStyle w:val="92"/>
        <w:widowControl w:val="0"/>
        <w:spacing w:line="540" w:lineRule="exact"/>
        <w:ind w:left="0" w:firstLine="600" w:firstLineChars="200"/>
        <w:jc w:val="both"/>
        <w:rPr>
          <w:rFonts w:ascii="仿宋_GB2312" w:eastAsia="仿宋_GB2312"/>
          <w:sz w:val="30"/>
          <w:szCs w:val="30"/>
          <w:lang w:eastAsia="zh-CN"/>
        </w:rPr>
      </w:pPr>
      <w:r>
        <w:rPr>
          <w:rFonts w:hint="eastAsia" w:ascii="仿宋_GB2312" w:eastAsia="仿宋_GB2312"/>
          <w:sz w:val="30"/>
          <w:szCs w:val="30"/>
          <w:lang w:eastAsia="zh-CN"/>
        </w:rPr>
        <w:t>（3）处置流程</w:t>
      </w:r>
    </w:p>
    <w:p w14:paraId="70C4D123">
      <w:pPr>
        <w:pStyle w:val="92"/>
        <w:widowControl w:val="0"/>
        <w:spacing w:line="540" w:lineRule="exact"/>
        <w:ind w:left="0" w:firstLine="600" w:firstLineChars="200"/>
        <w:jc w:val="both"/>
        <w:rPr>
          <w:rFonts w:ascii="仿宋_GB2312" w:hAnsi="Calibri" w:eastAsia="仿宋_GB2312"/>
          <w:sz w:val="30"/>
          <w:szCs w:val="30"/>
          <w:lang w:eastAsia="zh-CN"/>
        </w:rPr>
      </w:pPr>
      <w:r>
        <w:rPr>
          <w:rFonts w:hint="eastAsia" w:ascii="仿宋_GB2312" w:eastAsia="仿宋_GB2312"/>
          <w:sz w:val="30"/>
          <w:szCs w:val="30"/>
          <w:lang w:eastAsia="zh-CN"/>
        </w:rPr>
        <w:t>协议回购、三方回购的逆回购方拟作为处置方通过处置平台进行担保品处置的，</w:t>
      </w:r>
      <w:r>
        <w:rPr>
          <w:rFonts w:hint="eastAsia" w:ascii="仿宋_GB2312" w:hAnsi="Calibri" w:eastAsia="仿宋_GB2312"/>
          <w:sz w:val="30"/>
          <w:szCs w:val="30"/>
          <w:lang w:eastAsia="zh-CN"/>
        </w:rPr>
        <w:t>按以下流程进行：</w:t>
      </w:r>
    </w:p>
    <w:p w14:paraId="6FF75B82">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1）逆回购方作为处置方向本所提交处置申请材料。</w:t>
      </w:r>
    </w:p>
    <w:p w14:paraId="2F41F9BD">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2）处置方收到本所启动处置流程的通知后，与本所签订《上海证券交易所债券担保品处置技术服务协议》。</w:t>
      </w:r>
    </w:p>
    <w:p w14:paraId="6CDB2ADE">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3）处置方通过处置平台向市场发布处置公告。处置公告中应明确处置债券清单、处置方式、处置时间、合格报价团范围、报价要求、中标原则、最低处置价格、缴款安排等内容。</w:t>
      </w:r>
    </w:p>
    <w:p w14:paraId="1F52B1EE">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4）处置日，合格报价团成员通过债券担保品处置平台进行报价，对处置平台根据处置模式、中标原则产生处置的结果，处置方现场负责人签字确认。</w:t>
      </w:r>
    </w:p>
    <w:p w14:paraId="7F89D5F5">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5）处置方通过处置平台向报价团成员发送处置结果，并通过处置平台向市场公告。</w:t>
      </w:r>
    </w:p>
    <w:p w14:paraId="39AEB6B1">
      <w:pPr>
        <w:adjustRightInd w:val="0"/>
        <w:snapToGrid w:val="0"/>
        <w:spacing w:line="600" w:lineRule="exact"/>
        <w:ind w:firstLine="600" w:firstLineChars="200"/>
        <w:rPr>
          <w:rFonts w:ascii="仿宋_GB2312" w:hAnsi="Calibri" w:eastAsia="仿宋_GB2312"/>
          <w:kern w:val="0"/>
          <w:sz w:val="30"/>
          <w:szCs w:val="30"/>
        </w:rPr>
      </w:pPr>
      <w:r>
        <w:rPr>
          <w:rFonts w:ascii="仿宋_GB2312" w:hAnsi="Calibri" w:eastAsia="仿宋_GB2312"/>
          <w:kern w:val="0"/>
          <w:sz w:val="30"/>
          <w:szCs w:val="30"/>
        </w:rPr>
        <w:t>6</w:t>
      </w:r>
      <w:r>
        <w:rPr>
          <w:rFonts w:hint="eastAsia" w:ascii="仿宋_GB2312" w:hAnsi="Calibri" w:eastAsia="仿宋_GB2312"/>
          <w:kern w:val="0"/>
          <w:sz w:val="30"/>
          <w:szCs w:val="30"/>
        </w:rPr>
        <w:t>）处置方和中标方根据缴款安排在线下完成缴款。</w:t>
      </w:r>
    </w:p>
    <w:p w14:paraId="3D82E823">
      <w:pPr>
        <w:adjustRightInd w:val="0"/>
        <w:snapToGrid w:val="0"/>
        <w:spacing w:line="600" w:lineRule="exact"/>
        <w:ind w:firstLine="600" w:firstLineChars="200"/>
        <w:rPr>
          <w:rFonts w:ascii="仿宋_GB2312" w:hAnsi="Calibri" w:eastAsia="仿宋_GB2312"/>
          <w:kern w:val="0"/>
          <w:sz w:val="30"/>
          <w:szCs w:val="30"/>
        </w:rPr>
      </w:pPr>
      <w:r>
        <w:rPr>
          <w:rFonts w:ascii="仿宋_GB2312" w:hAnsi="Calibri" w:eastAsia="仿宋_GB2312"/>
          <w:kern w:val="0"/>
          <w:sz w:val="30"/>
          <w:szCs w:val="30"/>
        </w:rPr>
        <w:t>7</w:t>
      </w:r>
      <w:r>
        <w:rPr>
          <w:rFonts w:hint="eastAsia" w:ascii="仿宋_GB2312" w:hAnsi="Calibri" w:eastAsia="仿宋_GB2312"/>
          <w:kern w:val="0"/>
          <w:sz w:val="30"/>
          <w:szCs w:val="30"/>
        </w:rPr>
        <w:t>）处置方向本所提交资金到账确认书，本所依据处置方提交的资金到账确认书向债券登记结算机构发送债券过户通知单，由证券登记结算机构按相关规则办理债券过户。</w:t>
      </w:r>
    </w:p>
    <w:p w14:paraId="693F009D">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具体要求及流程按照《上海证券交易所债券担保品处置平台服务指引》执行。</w:t>
      </w:r>
    </w:p>
    <w:p w14:paraId="00455154">
      <w:pPr>
        <w:numPr>
          <w:ilvl w:val="2"/>
          <w:numId w:val="4"/>
        </w:numPr>
        <w:spacing w:line="600" w:lineRule="exact"/>
        <w:ind w:left="0" w:firstLine="0"/>
        <w:outlineLvl w:val="2"/>
        <w:rPr>
          <w:rFonts w:ascii="仿宋_GB2312" w:eastAsia="仿宋_GB2312"/>
          <w:b/>
          <w:sz w:val="30"/>
          <w:szCs w:val="30"/>
        </w:rPr>
      </w:pPr>
      <w:bookmarkStart w:id="2062" w:name="_Toc57908930"/>
      <w:bookmarkStart w:id="2063" w:name="_Toc56166095"/>
      <w:bookmarkStart w:id="2064" w:name="_Toc56166284"/>
      <w:r>
        <w:rPr>
          <w:rFonts w:hint="eastAsia" w:ascii="仿宋_GB2312" w:eastAsia="仿宋_GB2312"/>
          <w:b/>
          <w:sz w:val="30"/>
          <w:szCs w:val="30"/>
        </w:rPr>
        <w:t>名词解释</w:t>
      </w:r>
      <w:bookmarkEnd w:id="2062"/>
      <w:bookmarkEnd w:id="2063"/>
      <w:bookmarkEnd w:id="2064"/>
    </w:p>
    <w:p w14:paraId="088C0FD3">
      <w:pPr>
        <w:widowControl/>
        <w:adjustRightInd w:val="0"/>
        <w:snapToGrid w:val="0"/>
        <w:spacing w:line="600" w:lineRule="exact"/>
        <w:ind w:left="602"/>
        <w:rPr>
          <w:rFonts w:ascii="仿宋_GB2312" w:hAnsi="Calibri" w:eastAsia="仿宋_GB2312"/>
          <w:sz w:val="30"/>
          <w:szCs w:val="30"/>
        </w:rPr>
      </w:pPr>
      <w:r>
        <w:rPr>
          <w:rFonts w:hint="eastAsia" w:ascii="仿宋_GB2312" w:hAnsi="Calibri" w:eastAsia="仿宋_GB2312"/>
          <w:sz w:val="30"/>
          <w:szCs w:val="30"/>
        </w:rPr>
        <w:t>（1）回购方向，即正回购或逆回购；</w:t>
      </w:r>
    </w:p>
    <w:p w14:paraId="28EE907A">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（2）回购利率，即正回购方支付给逆回购方在回购期间融入资金的利息与融入资金的比例，以年利率（%）表示，保留三位小数；</w:t>
      </w:r>
    </w:p>
    <w:p w14:paraId="3F1921F3">
      <w:pPr>
        <w:adjustRightInd w:val="0"/>
        <w:snapToGrid w:val="0"/>
        <w:spacing w:line="600" w:lineRule="exact"/>
        <w:ind w:firstLine="600" w:firstLineChars="200"/>
        <w:rPr>
          <w:rFonts w:hint="eastAsia" w:ascii="仿宋_GB2312" w:hAnsi="微软雅黑" w:eastAsia="仿宋_GB2312"/>
          <w:color w:val="000000"/>
          <w:sz w:val="30"/>
          <w:szCs w:val="30"/>
          <w:lang w:eastAsia="zh-CN"/>
        </w:rPr>
      </w:pPr>
      <w:r>
        <w:rPr>
          <w:rFonts w:hint="eastAsia" w:ascii="仿宋_GB2312" w:hAnsi="微软雅黑" w:eastAsia="仿宋_GB2312"/>
          <w:color w:val="000000"/>
          <w:sz w:val="30"/>
          <w:szCs w:val="30"/>
        </w:rPr>
        <w:t>（</w:t>
      </w:r>
      <w:r>
        <w:rPr>
          <w:rFonts w:ascii="仿宋_GB2312" w:hAnsi="微软雅黑" w:eastAsia="仿宋_GB2312"/>
          <w:color w:val="000000"/>
          <w:sz w:val="30"/>
          <w:szCs w:val="30"/>
        </w:rPr>
        <w:t>3）正回购方，即债券回购交易的资金融</w:t>
      </w:r>
      <w:r>
        <w:rPr>
          <w:rFonts w:hint="eastAsia" w:ascii="仿宋_GB2312" w:hAnsi="微软雅黑" w:eastAsia="仿宋_GB2312"/>
          <w:color w:val="000000"/>
          <w:sz w:val="30"/>
          <w:szCs w:val="30"/>
        </w:rPr>
        <w:t>入</w:t>
      </w:r>
      <w:r>
        <w:rPr>
          <w:rFonts w:ascii="仿宋_GB2312" w:hAnsi="微软雅黑" w:eastAsia="仿宋_GB2312"/>
          <w:color w:val="000000"/>
          <w:sz w:val="30"/>
          <w:szCs w:val="30"/>
        </w:rPr>
        <w:t>方</w:t>
      </w:r>
      <w:r>
        <w:rPr>
          <w:rFonts w:hint="eastAsia" w:ascii="仿宋_GB2312" w:hAnsi="微软雅黑" w:eastAsia="仿宋_GB2312"/>
          <w:color w:val="000000"/>
          <w:sz w:val="30"/>
          <w:szCs w:val="30"/>
          <w:lang w:eastAsia="zh-CN"/>
        </w:rPr>
        <w:t>；</w:t>
      </w:r>
    </w:p>
    <w:p w14:paraId="1BFEE211">
      <w:pPr>
        <w:adjustRightInd w:val="0"/>
        <w:snapToGrid w:val="0"/>
        <w:spacing w:line="600" w:lineRule="exact"/>
        <w:ind w:firstLine="600" w:firstLineChars="200"/>
        <w:rPr>
          <w:rFonts w:hint="eastAsia" w:ascii="仿宋_GB2312" w:hAnsi="微软雅黑" w:eastAsia="仿宋_GB2312"/>
          <w:color w:val="000000"/>
          <w:sz w:val="30"/>
          <w:szCs w:val="30"/>
          <w:lang w:eastAsia="zh-CN"/>
        </w:rPr>
      </w:pPr>
      <w:r>
        <w:rPr>
          <w:rFonts w:hint="eastAsia" w:ascii="仿宋_GB2312" w:hAnsi="微软雅黑" w:eastAsia="仿宋_GB2312"/>
          <w:color w:val="000000"/>
          <w:sz w:val="30"/>
          <w:szCs w:val="30"/>
        </w:rPr>
        <w:t>（</w:t>
      </w:r>
      <w:r>
        <w:rPr>
          <w:rFonts w:ascii="仿宋_GB2312" w:hAnsi="微软雅黑" w:eastAsia="仿宋_GB2312"/>
          <w:color w:val="000000"/>
          <w:sz w:val="30"/>
          <w:szCs w:val="30"/>
        </w:rPr>
        <w:t>4）逆回购方，即债券回购交易的资金融出方</w:t>
      </w:r>
      <w:r>
        <w:rPr>
          <w:rFonts w:hint="eastAsia" w:ascii="仿宋_GB2312" w:hAnsi="微软雅黑" w:eastAsia="仿宋_GB2312"/>
          <w:color w:val="000000"/>
          <w:sz w:val="30"/>
          <w:szCs w:val="30"/>
          <w:lang w:eastAsia="zh-CN"/>
        </w:rPr>
        <w:t>；</w:t>
      </w:r>
    </w:p>
    <w:p w14:paraId="0EDAA6E4">
      <w:pPr>
        <w:adjustRightInd w:val="0"/>
        <w:snapToGrid w:val="0"/>
        <w:spacing w:line="600" w:lineRule="exact"/>
        <w:ind w:firstLine="600" w:firstLineChars="200"/>
        <w:rPr>
          <w:rFonts w:hint="eastAsia" w:ascii="仿宋_GB2312" w:hAnsi="Calibri" w:eastAsia="仿宋_GB2312"/>
          <w:sz w:val="30"/>
          <w:szCs w:val="30"/>
          <w:lang w:eastAsia="zh-CN"/>
        </w:rPr>
      </w:pPr>
      <w:r>
        <w:rPr>
          <w:rFonts w:hint="eastAsia" w:ascii="仿宋_GB2312" w:hAnsi="Calibri" w:eastAsia="仿宋_GB2312"/>
          <w:sz w:val="30"/>
          <w:szCs w:val="30"/>
        </w:rPr>
        <w:t>（5）</w:t>
      </w:r>
      <w:r>
        <w:rPr>
          <w:rFonts w:hint="eastAsia" w:ascii="仿宋_GB2312" w:hAnsi="微软雅黑" w:eastAsia="仿宋_GB2312"/>
          <w:color w:val="000000"/>
          <w:sz w:val="30"/>
          <w:szCs w:val="30"/>
        </w:rPr>
        <w:t>质押券，即作为</w:t>
      </w:r>
      <w:r>
        <w:rPr>
          <w:rFonts w:hint="eastAsia" w:ascii="仿宋_GB2312" w:hAnsi="Calibri" w:eastAsia="仿宋_GB2312"/>
          <w:sz w:val="30"/>
          <w:szCs w:val="30"/>
        </w:rPr>
        <w:t>债券回购交易</w:t>
      </w:r>
      <w:r>
        <w:rPr>
          <w:rFonts w:hint="eastAsia" w:ascii="Calibri" w:hAnsi="Calibri" w:eastAsia="仿宋_GB2312"/>
          <w:color w:val="000000"/>
          <w:sz w:val="30"/>
          <w:szCs w:val="30"/>
        </w:rPr>
        <w:t>担保品</w:t>
      </w:r>
      <w:r>
        <w:rPr>
          <w:rFonts w:hint="eastAsia" w:ascii="仿宋_GB2312" w:hAnsi="微软雅黑" w:eastAsia="仿宋_GB2312"/>
          <w:color w:val="000000"/>
          <w:sz w:val="30"/>
          <w:szCs w:val="30"/>
        </w:rPr>
        <w:t>的债券</w:t>
      </w:r>
      <w:r>
        <w:rPr>
          <w:rFonts w:hint="eastAsia" w:ascii="仿宋_GB2312" w:hAnsi="微软雅黑" w:eastAsia="仿宋_GB2312"/>
          <w:color w:val="000000"/>
          <w:sz w:val="30"/>
          <w:szCs w:val="30"/>
          <w:lang w:eastAsia="zh-CN"/>
        </w:rPr>
        <w:t>；</w:t>
      </w:r>
    </w:p>
    <w:p w14:paraId="77BF1A49">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（6）质押券名称，即质押债券的债券简称；</w:t>
      </w:r>
    </w:p>
    <w:p w14:paraId="20FD9823">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（7）质押券代码，即质押债券的债券代码；</w:t>
      </w:r>
    </w:p>
    <w:p w14:paraId="5FED2EAA">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（8）质押券总面额，即用于回购交易的质押券的面额总和；</w:t>
      </w:r>
    </w:p>
    <w:p w14:paraId="63F397D9">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（9）质权人，即逆回购方。逆回购方为证券投资基金、银行理财等资产管理或理财产品的，质权人登记为管理人；</w:t>
      </w:r>
    </w:p>
    <w:p w14:paraId="0BC92F81">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（10）成交金额，即正回购方实际融入金额（不含其它费用），单位为元，保留两位小数；</w:t>
      </w:r>
    </w:p>
    <w:p w14:paraId="5A2788E4">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（11）质押券数量，即质押债券的数量，单位为千元面额</w:t>
      </w:r>
      <w:r>
        <w:rPr>
          <w:rFonts w:hint="eastAsia" w:ascii="仿宋_GB2312" w:hAnsi="Calibri" w:eastAsia="仿宋_GB2312"/>
          <w:sz w:val="30"/>
          <w:szCs w:val="30"/>
          <w:lang w:eastAsia="zh-CN"/>
        </w:rPr>
        <w:t>，质押券为基金的，单位为份</w:t>
      </w:r>
      <w:r>
        <w:rPr>
          <w:rFonts w:hint="eastAsia" w:ascii="仿宋_GB2312" w:hAnsi="Calibri" w:eastAsia="仿宋_GB2312"/>
          <w:sz w:val="30"/>
          <w:szCs w:val="30"/>
        </w:rPr>
        <w:t>；</w:t>
      </w:r>
    </w:p>
    <w:p w14:paraId="114F7A4A">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（12）折算比例，即成交金额占质押券总面额的百分比；</w:t>
      </w:r>
    </w:p>
    <w:p w14:paraId="61D4A7A5">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w:t>
      </w:r>
      <w:r>
        <w:rPr>
          <w:rFonts w:ascii="仿宋_GB2312" w:hAnsi="Calibri" w:eastAsia="仿宋_GB2312"/>
          <w:sz w:val="30"/>
          <w:szCs w:val="30"/>
        </w:rPr>
        <w:t>1</w:t>
      </w:r>
      <w:r>
        <w:rPr>
          <w:rFonts w:hint="eastAsia" w:ascii="仿宋_GB2312" w:hAnsi="Calibri" w:eastAsia="仿宋_GB2312"/>
          <w:sz w:val="30"/>
          <w:szCs w:val="30"/>
        </w:rPr>
        <w:t>3）首次结算日，即回购双方达成交易的日期；</w:t>
      </w:r>
    </w:p>
    <w:p w14:paraId="276A3A07">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w:t>
      </w:r>
      <w:r>
        <w:rPr>
          <w:rFonts w:ascii="仿宋_GB2312" w:hAnsi="Calibri" w:eastAsia="仿宋_GB2312"/>
          <w:sz w:val="30"/>
          <w:szCs w:val="30"/>
        </w:rPr>
        <w:t>1</w:t>
      </w:r>
      <w:r>
        <w:rPr>
          <w:rFonts w:hint="eastAsia" w:ascii="仿宋_GB2312" w:hAnsi="Calibri" w:eastAsia="仿宋_GB2312"/>
          <w:sz w:val="30"/>
          <w:szCs w:val="30"/>
        </w:rPr>
        <w:t>4）回购到期日，即回购双方约定回购到期的日期；</w:t>
      </w:r>
    </w:p>
    <w:p w14:paraId="7AC06AF8">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w:t>
      </w:r>
      <w:r>
        <w:rPr>
          <w:rFonts w:ascii="仿宋_GB2312" w:hAnsi="Calibri" w:eastAsia="仿宋_GB2312"/>
          <w:sz w:val="30"/>
          <w:szCs w:val="30"/>
        </w:rPr>
        <w:t>1</w:t>
      </w:r>
      <w:r>
        <w:rPr>
          <w:rFonts w:hint="eastAsia" w:ascii="仿宋_GB2312" w:hAnsi="Calibri" w:eastAsia="仿宋_GB2312"/>
          <w:sz w:val="30"/>
          <w:szCs w:val="30"/>
        </w:rPr>
        <w:t>5）回购期限，即成交日至回购到期日的实际天数。回购期限按自然日计算，以天为单位，含成交日，不含回购到期日；</w:t>
      </w:r>
    </w:p>
    <w:p w14:paraId="6D1363C2">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w:t>
      </w:r>
      <w:r>
        <w:rPr>
          <w:rFonts w:ascii="仿宋_GB2312" w:hAnsi="Calibri" w:eastAsia="仿宋_GB2312"/>
          <w:sz w:val="30"/>
          <w:szCs w:val="30"/>
        </w:rPr>
        <w:t>1</w:t>
      </w:r>
      <w:r>
        <w:rPr>
          <w:rFonts w:hint="eastAsia" w:ascii="仿宋_GB2312" w:hAnsi="Calibri" w:eastAsia="仿宋_GB2312"/>
          <w:sz w:val="30"/>
          <w:szCs w:val="30"/>
        </w:rPr>
        <w:t>6）到期结算日，即回购双方履行到期结算义务的日期。回购到期日为本所交易日的，到期结算日为回购到期日；回购到期日非本所交易日的，到期结算日顺延至回购到期日的下一交易日；</w:t>
      </w:r>
    </w:p>
    <w:p w14:paraId="38D65490">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w:t>
      </w:r>
      <w:r>
        <w:rPr>
          <w:rFonts w:ascii="仿宋_GB2312" w:hAnsi="Calibri" w:eastAsia="仿宋_GB2312"/>
          <w:sz w:val="30"/>
          <w:szCs w:val="30"/>
        </w:rPr>
        <w:t>1</w:t>
      </w:r>
      <w:r>
        <w:rPr>
          <w:rFonts w:hint="eastAsia" w:ascii="仿宋_GB2312" w:hAnsi="Calibri" w:eastAsia="仿宋_GB2312"/>
          <w:sz w:val="30"/>
          <w:szCs w:val="30"/>
        </w:rPr>
        <w:t>7）实际占款天数，即首次结算日至到期结算日的实际天数。实际占款天数按自然日计算，以天为单位，含首次结算日，不含到期结算日（算头不算尾）；</w:t>
      </w:r>
    </w:p>
    <w:p w14:paraId="7804DACB">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w:t>
      </w:r>
      <w:r>
        <w:rPr>
          <w:rFonts w:ascii="仿宋_GB2312" w:hAnsi="Calibri" w:eastAsia="仿宋_GB2312"/>
          <w:sz w:val="30"/>
          <w:szCs w:val="30"/>
        </w:rPr>
        <w:t>1</w:t>
      </w:r>
      <w:r>
        <w:rPr>
          <w:rFonts w:hint="eastAsia" w:ascii="仿宋_GB2312" w:hAnsi="Calibri" w:eastAsia="仿宋_GB2312"/>
          <w:sz w:val="30"/>
          <w:szCs w:val="30"/>
        </w:rPr>
        <w:t>8）回购利息，即正回购方在到期结算日应当支付的利息。回购利息＝成交金额*回购利率*实际占款天数/365，单位为元，保留两位小数；</w:t>
      </w:r>
    </w:p>
    <w:p w14:paraId="3C35285F">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w:t>
      </w:r>
      <w:r>
        <w:rPr>
          <w:rFonts w:ascii="仿宋_GB2312" w:hAnsi="Calibri" w:eastAsia="仿宋_GB2312"/>
          <w:sz w:val="30"/>
          <w:szCs w:val="30"/>
        </w:rPr>
        <w:t>1</w:t>
      </w:r>
      <w:r>
        <w:rPr>
          <w:rFonts w:hint="eastAsia" w:ascii="仿宋_GB2312" w:hAnsi="Calibri" w:eastAsia="仿宋_GB2312"/>
          <w:sz w:val="30"/>
          <w:szCs w:val="30"/>
        </w:rPr>
        <w:t>9）到期结算金额，即到期结算日正回购方应当支付的金额，等于成交金额与回购利息之和，单位为元，保留两位小数。</w:t>
      </w:r>
    </w:p>
    <w:p w14:paraId="6D83517B">
      <w:pPr>
        <w:numPr>
          <w:ilvl w:val="1"/>
          <w:numId w:val="4"/>
        </w:numPr>
        <w:spacing w:line="600" w:lineRule="exact"/>
        <w:ind w:left="0" w:firstLine="0"/>
        <w:outlineLvl w:val="1"/>
        <w:rPr>
          <w:rFonts w:ascii="仿宋_GB2312" w:eastAsia="仿宋_GB2312"/>
          <w:b/>
          <w:sz w:val="30"/>
          <w:szCs w:val="30"/>
        </w:rPr>
      </w:pPr>
      <w:bookmarkStart w:id="2065" w:name="_Toc60331881"/>
      <w:bookmarkEnd w:id="2065"/>
      <w:bookmarkStart w:id="2066" w:name="_Toc60331887"/>
      <w:bookmarkEnd w:id="2066"/>
      <w:bookmarkStart w:id="2067" w:name="_Toc59181326"/>
      <w:bookmarkEnd w:id="2067"/>
      <w:bookmarkStart w:id="2068" w:name="_Toc60327127"/>
      <w:bookmarkEnd w:id="2068"/>
      <w:bookmarkStart w:id="2069" w:name="_Toc60331883"/>
      <w:bookmarkEnd w:id="2069"/>
      <w:bookmarkStart w:id="2070" w:name="_Toc60327125"/>
      <w:bookmarkEnd w:id="2070"/>
      <w:bookmarkStart w:id="2071" w:name="_Toc59034113"/>
      <w:bookmarkEnd w:id="2071"/>
      <w:bookmarkStart w:id="2072" w:name="_Toc60331882"/>
      <w:bookmarkEnd w:id="2072"/>
      <w:bookmarkStart w:id="2073" w:name="_Toc60327130"/>
      <w:bookmarkEnd w:id="2073"/>
      <w:bookmarkStart w:id="2074" w:name="_Toc60331880"/>
      <w:bookmarkEnd w:id="2074"/>
      <w:bookmarkStart w:id="2075" w:name="_Toc60331884"/>
      <w:bookmarkEnd w:id="2075"/>
      <w:bookmarkStart w:id="2076" w:name="_Toc60331885"/>
      <w:bookmarkEnd w:id="2076"/>
      <w:bookmarkStart w:id="2077" w:name="_Toc59106996"/>
      <w:bookmarkEnd w:id="2077"/>
      <w:bookmarkStart w:id="2078" w:name="_Toc60331878"/>
      <w:bookmarkEnd w:id="2078"/>
      <w:bookmarkStart w:id="2079" w:name="_Toc60327120"/>
      <w:bookmarkEnd w:id="2079"/>
      <w:bookmarkStart w:id="2080" w:name="_Toc59181214"/>
      <w:bookmarkEnd w:id="2080"/>
      <w:bookmarkStart w:id="2081" w:name="_Toc60331886"/>
      <w:bookmarkEnd w:id="2081"/>
      <w:bookmarkStart w:id="2082" w:name="_Toc60331877"/>
      <w:bookmarkEnd w:id="2082"/>
      <w:bookmarkStart w:id="2083" w:name="_Toc60327122"/>
      <w:bookmarkEnd w:id="2083"/>
      <w:bookmarkStart w:id="2084" w:name="_Toc59181102"/>
      <w:bookmarkEnd w:id="2084"/>
      <w:bookmarkStart w:id="2085" w:name="_Toc60327129"/>
      <w:bookmarkEnd w:id="2085"/>
      <w:bookmarkStart w:id="2086" w:name="_Toc60327123"/>
      <w:bookmarkEnd w:id="2086"/>
      <w:bookmarkStart w:id="2087" w:name="_Toc60327124"/>
      <w:bookmarkEnd w:id="2087"/>
      <w:bookmarkStart w:id="2088" w:name="_Toc59034592"/>
      <w:bookmarkEnd w:id="2088"/>
      <w:bookmarkStart w:id="2089" w:name="_Toc60327128"/>
      <w:bookmarkEnd w:id="2089"/>
      <w:bookmarkStart w:id="2090" w:name="_Toc60331879"/>
      <w:bookmarkEnd w:id="2090"/>
      <w:bookmarkStart w:id="2091" w:name="_Toc60327121"/>
      <w:bookmarkEnd w:id="2091"/>
      <w:bookmarkStart w:id="2092" w:name="_Toc60327126"/>
      <w:bookmarkEnd w:id="2092"/>
      <w:bookmarkStart w:id="2093" w:name="_Toc151136914"/>
      <w:bookmarkStart w:id="2094" w:name="_Toc1062335605"/>
      <w:bookmarkStart w:id="2095" w:name="_Toc56166285"/>
      <w:bookmarkStart w:id="2096" w:name="_Toc56166096"/>
      <w:bookmarkStart w:id="2097" w:name="_Toc55056581"/>
      <w:bookmarkStart w:id="2098" w:name="_Toc662006551"/>
      <w:bookmarkStart w:id="2099" w:name="_Toc1356347253"/>
      <w:bookmarkStart w:id="2100" w:name="_Toc1795766920"/>
      <w:bookmarkStart w:id="2101" w:name="_Toc535489795"/>
      <w:r>
        <w:rPr>
          <w:rFonts w:hint="eastAsia" w:ascii="仿宋_GB2312" w:eastAsia="仿宋_GB2312"/>
          <w:b/>
          <w:sz w:val="30"/>
          <w:szCs w:val="30"/>
        </w:rPr>
        <w:t>债券通用质押式回购</w:t>
      </w:r>
      <w:bookmarkEnd w:id="2093"/>
      <w:bookmarkEnd w:id="2094"/>
      <w:bookmarkEnd w:id="2095"/>
      <w:bookmarkEnd w:id="2096"/>
      <w:bookmarkEnd w:id="2097"/>
      <w:bookmarkEnd w:id="2098"/>
      <w:bookmarkEnd w:id="2099"/>
      <w:bookmarkEnd w:id="2100"/>
      <w:bookmarkEnd w:id="2101"/>
    </w:p>
    <w:p w14:paraId="1C9E4B9D">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概述</w:t>
      </w:r>
    </w:p>
    <w:p w14:paraId="56DA5001">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通用回购交易是指资金融入方将符合要求的债券申报质押，以相应折算率计算出的质押券价值为融资额度进行质押融资，交易双方约定在回购期满后返还资金同时解除债券质押的交易。</w:t>
      </w:r>
    </w:p>
    <w:p w14:paraId="04F814FE">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相关规则</w:t>
      </w:r>
    </w:p>
    <w:p w14:paraId="027A47CA">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1.《上海证券交易所债券交易规则适用指引第2号——债券通用质押式回购交易》</w:t>
      </w:r>
    </w:p>
    <w:p w14:paraId="03FD6F23">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2.《中国证券登记结算有限责任公司 上海证券交易所 深圳证券交易所债券质押式回购交易结算风险控制指引》</w:t>
      </w:r>
    </w:p>
    <w:p w14:paraId="5F9E9516">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3.中国证券登记结算有限责任公司《关于发布&lt;中国证券登记结算有限责任公司债券通用质押式回购担保品资格及折算率管理业务指引&gt;有关事项的通知》</w:t>
      </w:r>
    </w:p>
    <w:p w14:paraId="766BA8CE">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4.中国证券登记结算有限责任公司《关于信用债券交易型开放式指数基金产品试点开展通用质押式回购业务有关事项的通知》</w:t>
      </w:r>
    </w:p>
    <w:p w14:paraId="27088CEF">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5.中国证券登记结算有限责任公司《关于政府支持债券开展质押式回购有关事项的通知》</w:t>
      </w:r>
    </w:p>
    <w:p w14:paraId="005196B7">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6.中国证券登记结算有限责任公司《关于政府债券基金产品开展质押式回购有关事项的通知》</w:t>
      </w:r>
    </w:p>
    <w:p w14:paraId="02980C04">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7</w:t>
      </w:r>
      <w:r>
        <w:rPr>
          <w:rFonts w:ascii="仿宋_GB2312" w:hAnsi="微软雅黑" w:eastAsia="仿宋_GB2312"/>
          <w:color w:val="000000"/>
          <w:sz w:val="30"/>
          <w:szCs w:val="30"/>
        </w:rPr>
        <w:t>.</w:t>
      </w:r>
      <w:r>
        <w:rPr>
          <w:rFonts w:hint="eastAsia" w:ascii="仿宋_GB2312" w:hAnsi="微软雅黑" w:eastAsia="仿宋_GB2312"/>
          <w:color w:val="000000"/>
          <w:sz w:val="30"/>
          <w:szCs w:val="30"/>
        </w:rPr>
        <w:t>中国证券登记结算有限责任公司《中国证券登记结算有限责任公司受信用保护债券质押式回购管理暂行办法》</w:t>
      </w:r>
    </w:p>
    <w:p w14:paraId="6ADB3452">
      <w:pPr>
        <w:adjustRightInd w:val="0"/>
        <w:snapToGrid w:val="0"/>
        <w:spacing w:line="600" w:lineRule="exact"/>
        <w:ind w:firstLine="600"/>
        <w:rPr>
          <w:rFonts w:ascii="仿宋_GB2312" w:hAnsi="微软雅黑" w:eastAsia="仿宋_GB2312"/>
          <w:color w:val="000000"/>
          <w:sz w:val="30"/>
          <w:szCs w:val="30"/>
        </w:rPr>
      </w:pPr>
      <w:r>
        <w:rPr>
          <w:rFonts w:ascii="仿宋_GB2312" w:hAnsi="微软雅黑" w:eastAsia="仿宋_GB2312"/>
          <w:color w:val="000000"/>
          <w:sz w:val="30"/>
          <w:szCs w:val="30"/>
        </w:rPr>
        <w:t>8</w:t>
      </w:r>
      <w:r>
        <w:rPr>
          <w:rFonts w:hint="eastAsia" w:ascii="仿宋_GB2312" w:hAnsi="微软雅黑" w:eastAsia="仿宋_GB2312"/>
          <w:color w:val="000000"/>
          <w:sz w:val="30"/>
          <w:szCs w:val="30"/>
          <w:lang w:val="en-US" w:eastAsia="zh-CN"/>
        </w:rPr>
        <w:t>.</w:t>
      </w:r>
      <w:r>
        <w:rPr>
          <w:rFonts w:ascii="仿宋_GB2312" w:hAnsi="微软雅黑" w:eastAsia="仿宋_GB2312"/>
          <w:color w:val="000000"/>
          <w:sz w:val="30"/>
          <w:szCs w:val="30"/>
        </w:rPr>
        <w:t>《中国证券登记结算有限责任公司、上海证券交易所、深圳证券交易所债券质押式回购融资主体数据报送指引》</w:t>
      </w:r>
    </w:p>
    <w:p w14:paraId="4A90C1CB">
      <w:pPr>
        <w:adjustRightInd w:val="0"/>
        <w:snapToGrid w:val="0"/>
        <w:spacing w:line="600" w:lineRule="exact"/>
        <w:ind w:firstLine="600"/>
        <w:rPr>
          <w:rFonts w:hint="eastAsia" w:ascii="仿宋_GB2312" w:hAnsi="微软雅黑" w:eastAsia="仿宋_GB2312"/>
          <w:color w:val="000000"/>
          <w:sz w:val="30"/>
          <w:szCs w:val="30"/>
        </w:rPr>
      </w:pPr>
      <w:r>
        <w:rPr>
          <w:rFonts w:ascii="仿宋_GB2312" w:hAnsi="微软雅黑" w:eastAsia="仿宋_GB2312"/>
          <w:color w:val="000000"/>
          <w:sz w:val="30"/>
          <w:szCs w:val="30"/>
        </w:rPr>
        <w:t>9</w:t>
      </w:r>
      <w:r>
        <w:rPr>
          <w:rFonts w:hint="eastAsia" w:ascii="仿宋_GB2312" w:hAnsi="微软雅黑" w:eastAsia="仿宋_GB2312"/>
          <w:color w:val="000000"/>
          <w:sz w:val="30"/>
          <w:szCs w:val="30"/>
        </w:rPr>
        <w:t>.中国证券登记结算有限责任公司</w:t>
      </w:r>
      <w:r>
        <w:rPr>
          <w:rFonts w:ascii="仿宋_GB2312" w:hAnsi="微软雅黑" w:eastAsia="仿宋_GB2312"/>
          <w:color w:val="000000"/>
          <w:sz w:val="30"/>
          <w:szCs w:val="30"/>
        </w:rPr>
        <w:t>《</w:t>
      </w:r>
      <w:r>
        <w:rPr>
          <w:rFonts w:hint="eastAsia" w:ascii="仿宋_GB2312" w:hAnsi="微软雅黑" w:eastAsia="仿宋_GB2312"/>
          <w:color w:val="000000"/>
          <w:sz w:val="30"/>
          <w:szCs w:val="30"/>
        </w:rPr>
        <w:t>关于加强企业债券回购风险管理相关措施的通知</w:t>
      </w:r>
      <w:r>
        <w:rPr>
          <w:rFonts w:ascii="仿宋_GB2312" w:hAnsi="微软雅黑" w:eastAsia="仿宋_GB2312"/>
          <w:color w:val="000000"/>
          <w:sz w:val="30"/>
          <w:szCs w:val="30"/>
        </w:rPr>
        <w:t>》</w:t>
      </w:r>
    </w:p>
    <w:p w14:paraId="4F44E8D9">
      <w:pPr>
        <w:adjustRightInd w:val="0"/>
        <w:snapToGrid w:val="0"/>
        <w:spacing w:line="600" w:lineRule="exact"/>
        <w:ind w:firstLine="600"/>
        <w:rPr>
          <w:rFonts w:hint="eastAsia" w:ascii="仿宋_GB2312" w:hAnsi="微软雅黑" w:eastAsia="仿宋_GB2312"/>
          <w:color w:val="000000"/>
          <w:sz w:val="30"/>
          <w:szCs w:val="30"/>
        </w:rPr>
      </w:pPr>
      <w:r>
        <w:rPr>
          <w:rFonts w:hint="eastAsia" w:ascii="仿宋_GB2312" w:hAnsi="微软雅黑" w:eastAsia="仿宋_GB2312"/>
          <w:color w:val="000000"/>
          <w:sz w:val="30"/>
          <w:szCs w:val="30"/>
          <w:lang w:val="en-US" w:eastAsia="zh-CN"/>
        </w:rPr>
        <w:t>10.</w:t>
      </w:r>
      <w:r>
        <w:rPr>
          <w:rFonts w:hint="eastAsia" w:ascii="仿宋_GB2312" w:hAnsi="微软雅黑" w:eastAsia="仿宋_GB2312"/>
          <w:color w:val="000000"/>
          <w:sz w:val="30"/>
          <w:szCs w:val="30"/>
        </w:rPr>
        <w:t>中国证券登记结算有限责任公司</w:t>
      </w:r>
      <w:r>
        <w:rPr>
          <w:rFonts w:hint="eastAsia" w:ascii="仿宋_GB2312" w:hAnsi="微软雅黑" w:eastAsia="仿宋_GB2312"/>
          <w:color w:val="000000"/>
          <w:sz w:val="30"/>
          <w:szCs w:val="30"/>
          <w:lang w:val="en-US" w:eastAsia="zh-CN"/>
        </w:rPr>
        <w:t>关于发布《债券通用质押式回购交易结算委托协议必备条款（试行）》和《债券通用质押式回购交易结算风险揭示书必备条款（试行）》的通知</w:t>
      </w:r>
    </w:p>
    <w:p w14:paraId="38D6CC75">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开展前准备</w:t>
      </w:r>
      <w:r>
        <w:rPr>
          <w:rFonts w:ascii="仿宋_GB2312" w:eastAsia="仿宋_GB2312"/>
          <w:b/>
          <w:sz w:val="30"/>
          <w:szCs w:val="30"/>
        </w:rPr>
        <w:tab/>
      </w:r>
    </w:p>
    <w:p w14:paraId="5021933D">
      <w:pPr>
        <w:spacing w:line="600" w:lineRule="exact"/>
        <w:ind w:left="567"/>
        <w:outlineLvl w:val="3"/>
        <w:rPr>
          <w:rFonts w:ascii="仿宋_GB2312" w:eastAsia="仿宋_GB2312"/>
          <w:b/>
          <w:sz w:val="30"/>
          <w:szCs w:val="30"/>
        </w:rPr>
      </w:pPr>
      <w:r>
        <w:rPr>
          <w:rFonts w:hint="eastAsia" w:ascii="仿宋_GB2312" w:eastAsia="仿宋_GB2312"/>
          <w:b/>
          <w:sz w:val="30"/>
          <w:szCs w:val="30"/>
        </w:rPr>
        <w:t>（1）签署协议</w:t>
      </w:r>
    </w:p>
    <w:p w14:paraId="159274E9">
      <w:pPr>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债券</w:t>
      </w:r>
      <w:r>
        <w:rPr>
          <w:rFonts w:ascii="仿宋_GB2312" w:hAnsi="宋体" w:eastAsia="仿宋_GB2312" w:cs="宋体"/>
          <w:color w:val="000000"/>
          <w:kern w:val="0"/>
          <w:sz w:val="30"/>
          <w:szCs w:val="30"/>
        </w:rPr>
        <w:t>交易参与人</w:t>
      </w:r>
      <w:r>
        <w:rPr>
          <w:rFonts w:hint="eastAsia" w:ascii="仿宋_GB2312" w:hAnsi="宋体" w:eastAsia="仿宋_GB2312" w:cs="宋体"/>
          <w:color w:val="000000"/>
          <w:kern w:val="0"/>
          <w:sz w:val="30"/>
          <w:szCs w:val="30"/>
        </w:rPr>
        <w:t>参与通用回购交易并自行办理结算，或委托经证券登记结算机构认可的结算参与人办理结算，同时签署相关结算协议。</w:t>
      </w:r>
    </w:p>
    <w:p w14:paraId="25E03290">
      <w:pPr>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kern w:val="0"/>
          <w:sz w:val="30"/>
          <w:szCs w:val="30"/>
        </w:rPr>
        <w:t>通过经纪业务模式</w:t>
      </w:r>
      <w:r>
        <w:rPr>
          <w:rFonts w:hint="eastAsia" w:ascii="仿宋_GB2312" w:hAnsi="宋体" w:eastAsia="仿宋_GB2312" w:cs="宋体"/>
          <w:color w:val="000000"/>
          <w:kern w:val="0"/>
          <w:sz w:val="30"/>
          <w:szCs w:val="30"/>
        </w:rPr>
        <w:t>参与通用回购交易</w:t>
      </w:r>
      <w:r>
        <w:rPr>
          <w:rFonts w:hint="eastAsia" w:ascii="仿宋_GB2312" w:hAnsi="宋体" w:eastAsia="仿宋_GB2312" w:cs="宋体"/>
          <w:kern w:val="0"/>
          <w:sz w:val="30"/>
          <w:szCs w:val="30"/>
        </w:rPr>
        <w:t>的经纪客户</w:t>
      </w:r>
      <w:r>
        <w:rPr>
          <w:rFonts w:hint="eastAsia" w:ascii="仿宋_GB2312" w:hAnsi="宋体" w:eastAsia="仿宋_GB2312" w:cs="宋体"/>
          <w:color w:val="000000"/>
          <w:kern w:val="0"/>
          <w:sz w:val="30"/>
          <w:szCs w:val="30"/>
        </w:rPr>
        <w:t>，应当与其指定交易的会员签署通用回购委托协议。回购委托协议应当约定会员与其经纪客户之间的权利义务、交易结算流程、违约情形认定以及违约处置方案等内容，并符合相关</w:t>
      </w:r>
      <w:r>
        <w:rPr>
          <w:rFonts w:hint="eastAsia" w:ascii="仿宋_GB2312" w:hAnsi="宋体" w:eastAsia="仿宋_GB2312" w:cs="宋体"/>
          <w:color w:val="000000"/>
          <w:kern w:val="0"/>
          <w:sz w:val="30"/>
          <w:szCs w:val="30"/>
          <w:lang w:eastAsia="zh-CN"/>
        </w:rPr>
        <w:t>登记结算机构、</w:t>
      </w:r>
      <w:r>
        <w:rPr>
          <w:rFonts w:hint="eastAsia" w:ascii="仿宋_GB2312" w:hAnsi="宋体" w:eastAsia="仿宋_GB2312" w:cs="宋体"/>
          <w:color w:val="000000"/>
          <w:kern w:val="0"/>
          <w:sz w:val="30"/>
          <w:szCs w:val="30"/>
        </w:rPr>
        <w:t>市场自律组织</w:t>
      </w:r>
      <w:r>
        <w:rPr>
          <w:rFonts w:hint="eastAsia" w:ascii="仿宋_GB2312" w:hAnsi="宋体" w:eastAsia="仿宋_GB2312" w:cs="宋体"/>
          <w:color w:val="000000"/>
          <w:kern w:val="0"/>
          <w:sz w:val="30"/>
          <w:szCs w:val="30"/>
          <w:lang w:eastAsia="zh-CN"/>
        </w:rPr>
        <w:t>等</w:t>
      </w:r>
      <w:r>
        <w:rPr>
          <w:rFonts w:hint="eastAsia" w:ascii="仿宋_GB2312" w:hAnsi="宋体" w:eastAsia="仿宋_GB2312" w:cs="宋体"/>
          <w:color w:val="000000"/>
          <w:kern w:val="0"/>
          <w:sz w:val="30"/>
          <w:szCs w:val="30"/>
        </w:rPr>
        <w:t>的规定。</w:t>
      </w:r>
    </w:p>
    <w:p w14:paraId="22FBBF0F">
      <w:pPr>
        <w:spacing w:line="600" w:lineRule="exact"/>
        <w:ind w:left="567"/>
        <w:outlineLvl w:val="3"/>
        <w:rPr>
          <w:rFonts w:ascii="仿宋_GB2312" w:eastAsia="仿宋_GB2312"/>
          <w:b/>
          <w:sz w:val="30"/>
          <w:szCs w:val="30"/>
        </w:rPr>
      </w:pPr>
      <w:r>
        <w:rPr>
          <w:rFonts w:hint="eastAsia" w:ascii="仿宋_GB2312" w:eastAsia="仿宋_GB2312"/>
          <w:b/>
          <w:sz w:val="30"/>
          <w:szCs w:val="30"/>
        </w:rPr>
        <w:t>（2）</w:t>
      </w:r>
      <w:r>
        <w:rPr>
          <w:rFonts w:ascii="仿宋_GB2312" w:eastAsia="仿宋_GB2312"/>
          <w:b/>
          <w:sz w:val="30"/>
          <w:szCs w:val="30"/>
        </w:rPr>
        <w:t>投资者适当性管理</w:t>
      </w:r>
    </w:p>
    <w:p w14:paraId="3D479D99">
      <w:pPr>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通用回购交易正回购方按照《中国证券登记结算有限责任公司、上海证券交易所、深圳证券交易所债券质押式回购交易结算风险控制指引》</w:t>
      </w:r>
      <w:r>
        <w:rPr>
          <w:rFonts w:hint="eastAsia" w:ascii="仿宋_GB2312" w:hAnsi="宋体" w:eastAsia="仿宋_GB2312" w:cs="宋体"/>
          <w:kern w:val="0"/>
          <w:sz w:val="30"/>
          <w:szCs w:val="30"/>
        </w:rPr>
        <w:t>（以下简称《风控指引》）</w:t>
      </w:r>
      <w:r>
        <w:rPr>
          <w:rFonts w:hint="eastAsia" w:ascii="仿宋_GB2312" w:hAnsi="宋体" w:eastAsia="仿宋_GB2312" w:cs="宋体"/>
          <w:color w:val="000000"/>
          <w:kern w:val="0"/>
          <w:sz w:val="30"/>
          <w:szCs w:val="30"/>
        </w:rPr>
        <w:t>和《上海证券交易所债券市场投资者适当性管理办法》等</w:t>
      </w:r>
      <w:r>
        <w:rPr>
          <w:rFonts w:hint="eastAsia" w:ascii="仿宋_GB2312" w:hAnsi="宋体" w:eastAsia="仿宋_GB2312" w:cs="宋体"/>
          <w:kern w:val="0"/>
          <w:sz w:val="30"/>
          <w:szCs w:val="30"/>
        </w:rPr>
        <w:t>相关</w:t>
      </w:r>
      <w:r>
        <w:rPr>
          <w:rFonts w:hint="eastAsia" w:ascii="仿宋_GB2312" w:hAnsi="宋体" w:eastAsia="仿宋_GB2312" w:cs="宋体"/>
          <w:color w:val="000000"/>
          <w:kern w:val="0"/>
          <w:sz w:val="30"/>
          <w:szCs w:val="30"/>
        </w:rPr>
        <w:t>规定，实行投资者适当性管理。</w:t>
      </w:r>
    </w:p>
    <w:p w14:paraId="5620174F">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符合以下要求的专业投资者可以作为正回购方参与融资回购交易：</w:t>
      </w:r>
      <w:r>
        <w:rPr>
          <w:rFonts w:ascii="仿宋_GB2312" w:hAnsi="Calibri" w:eastAsia="仿宋_GB2312"/>
          <w:sz w:val="30"/>
          <w:szCs w:val="30"/>
        </w:rPr>
        <w:br w:type="textWrapping"/>
      </w:r>
      <w:r>
        <w:rPr>
          <w:rFonts w:hint="eastAsia" w:ascii="仿宋_GB2312" w:hAnsi="Calibri" w:eastAsia="仿宋_GB2312"/>
          <w:sz w:val="30"/>
          <w:szCs w:val="30"/>
        </w:rPr>
        <w:t>　　1）经有关金融监管部门批准设立的金融机构，包括证券公司、基金管理公司及其子公司、期货公司、商业银行、保险公司、信托公司、财务公司等；经行业协会备案或者登记的证券公司子公司、期货公司子公司、私募基金管理人。</w:t>
      </w:r>
    </w:p>
    <w:p w14:paraId="1B112A5B">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上述金融机构面向投资者发行的理财产品，包括但不限于证券公司资产管理产品、基金管理公司及其子公司产品、期货公司资产管理产品、银行理财产品、保险产品、保险资产管理产品、信托产品、经行业协会备案的私募基金；</w:t>
      </w:r>
    </w:p>
    <w:p w14:paraId="711DE753">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3）全国社会保障基金、基本养老保险基金、年金基金等养老基金，慈善基金等社会公益基金；</w:t>
      </w:r>
    </w:p>
    <w:p w14:paraId="0C13FAC7">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4）同时符合下列条件的法人或其他组织：</w:t>
      </w:r>
    </w:p>
    <w:p w14:paraId="1567C04C">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1.最近1年末净资产不低于2000万元；2.最近1年末金融资产不低于1000万元；3.具有2年以上证券、基金、期货、黄金、外汇等投资经历；</w:t>
      </w:r>
    </w:p>
    <w:p w14:paraId="358E1A2E">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前款所称金融资产，是指银行存款、股票、债券、基金份额、资产管理计划、银行理财产品、信托计划、保险产品、期货及其他衍生品等。</w:t>
      </w:r>
    </w:p>
    <w:p w14:paraId="4D90F656">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5）证券交易所和登记结算机构认可的其他专业投资者。</w:t>
      </w:r>
    </w:p>
    <w:p w14:paraId="6E71B4C6">
      <w:pPr>
        <w:adjustRightInd w:val="0"/>
        <w:snapToGrid w:val="0"/>
        <w:spacing w:line="600" w:lineRule="exact"/>
        <w:ind w:firstLine="600"/>
        <w:rPr>
          <w:rFonts w:ascii="仿宋_GB2312" w:hAnsi="Calibri" w:eastAsia="仿宋_GB2312" w:cs="宋体"/>
          <w:kern w:val="0"/>
          <w:sz w:val="30"/>
          <w:szCs w:val="30"/>
        </w:rPr>
      </w:pPr>
      <w:r>
        <w:rPr>
          <w:rFonts w:ascii="仿宋_GB2312" w:hAnsi="Calibri" w:eastAsia="仿宋_GB2312" w:cs="宋体"/>
          <w:kern w:val="0"/>
          <w:sz w:val="30"/>
          <w:szCs w:val="30"/>
        </w:rPr>
        <w:t>符合</w:t>
      </w:r>
      <w:r>
        <w:rPr>
          <w:rFonts w:hint="eastAsia" w:ascii="仿宋_GB2312" w:hAnsi="Calibri" w:eastAsia="仿宋_GB2312" w:cs="宋体"/>
          <w:kern w:val="0"/>
          <w:sz w:val="30"/>
          <w:szCs w:val="30"/>
        </w:rPr>
        <w:t>第四项规定的法人或其他组织仅可以参与利率类债券融资回购交易。</w:t>
      </w:r>
    </w:p>
    <w:p w14:paraId="55631A95">
      <w:pPr>
        <w:adjustRightInd w:val="0"/>
        <w:snapToGrid w:val="0"/>
        <w:spacing w:line="600" w:lineRule="exact"/>
        <w:ind w:firstLine="600"/>
        <w:rPr>
          <w:rFonts w:ascii="仿宋_GB2312" w:hAnsi="宋体" w:eastAsia="仿宋_GB2312" w:cs="宋体"/>
          <w:color w:val="000000"/>
          <w:kern w:val="0"/>
          <w:sz w:val="30"/>
          <w:szCs w:val="30"/>
        </w:rPr>
      </w:pPr>
      <w:r>
        <w:rPr>
          <w:rFonts w:hint="eastAsia" w:ascii="仿宋_GB2312" w:hAnsi="Calibri" w:eastAsia="仿宋_GB2312" w:cs="宋体"/>
          <w:kern w:val="0"/>
          <w:sz w:val="30"/>
          <w:szCs w:val="30"/>
        </w:rPr>
        <w:t>专业投资者及普通投资者均可以作为逆回购方参与通用回购交易。</w:t>
      </w:r>
    </w:p>
    <w:p w14:paraId="412810F0">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质押券管理</w:t>
      </w:r>
      <w:r>
        <w:rPr>
          <w:rFonts w:ascii="仿宋_GB2312" w:eastAsia="仿宋_GB2312"/>
          <w:b/>
          <w:sz w:val="30"/>
          <w:szCs w:val="30"/>
        </w:rPr>
        <w:tab/>
      </w:r>
      <w:bookmarkStart w:id="2102" w:name="_Toc35006237"/>
    </w:p>
    <w:bookmarkEnd w:id="2102"/>
    <w:p w14:paraId="1CCC3D3E">
      <w:pPr>
        <w:spacing w:line="600" w:lineRule="exact"/>
        <w:ind w:left="567"/>
        <w:outlineLvl w:val="3"/>
        <w:rPr>
          <w:rFonts w:ascii="仿宋_GB2312" w:eastAsia="仿宋_GB2312"/>
          <w:b/>
          <w:sz w:val="30"/>
          <w:szCs w:val="30"/>
        </w:rPr>
      </w:pPr>
      <w:r>
        <w:rPr>
          <w:rFonts w:hint="eastAsia" w:ascii="仿宋_GB2312" w:eastAsia="仿宋_GB2312"/>
          <w:b/>
          <w:sz w:val="30"/>
          <w:szCs w:val="30"/>
        </w:rPr>
        <w:t>（1）质押券准入标准</w:t>
      </w:r>
    </w:p>
    <w:p w14:paraId="65EFB79F">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在本所开展的债券质押式通用回购交易中，回购质押券需符合登记结算机构的标准。相关标准可参见《中国证券登记结算有限责任公司债券通用质押式回购担保品资格及折算率管理业务指引》。</w:t>
      </w:r>
    </w:p>
    <w:p w14:paraId="25803EC9">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在上述规则的基础上，根据《中国证券登记结算有限责任公司受信用保护债券质押式回购管理暂行办法》，符合条件的受信用保护债券纳入质押券范围。根据《关于政府支持债券开展质押式回购有关事项的通知》《关于政府债券基金产品开展质押式回购有关事项的通知》《关于信用债券交易型开放式指数基金产品试点开展通用质押式回购业务有关事项的通知》，政府支持债券、符合条件的债券基金产品纳入质押券范围。</w:t>
      </w:r>
    </w:p>
    <w:p w14:paraId="3EF66B90">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具体质押券范围及变动情况参照中国证券登记结算有限责任公司公布的最新回购准入标准执行。</w:t>
      </w:r>
      <w:bookmarkStart w:id="2103" w:name="_Toc35006238"/>
    </w:p>
    <w:p w14:paraId="22F0AD3D">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中国证券登记结算有限责任公司及本所在网站及时公布通用回购质押券清单及对应的折算率。</w:t>
      </w:r>
    </w:p>
    <w:p w14:paraId="51A812FC">
      <w:pPr>
        <w:adjustRightInd w:val="0"/>
        <w:snapToGrid w:val="0"/>
        <w:spacing w:line="600" w:lineRule="exact"/>
        <w:ind w:firstLine="600"/>
        <w:rPr>
          <w:rFonts w:ascii="仿宋_GB2312" w:hAnsi="微软雅黑" w:eastAsia="仿宋_GB2312"/>
          <w:color w:val="000000"/>
          <w:sz w:val="30"/>
          <w:szCs w:val="30"/>
        </w:rPr>
      </w:pPr>
      <w:r>
        <w:rPr>
          <w:rStyle w:val="51"/>
          <w:rFonts w:hint="eastAsia" w:ascii="仿宋_GB2312" w:hAnsi="微软雅黑" w:eastAsia="仿宋_GB2312"/>
          <w:color w:val="000000"/>
          <w:sz w:val="30"/>
          <w:szCs w:val="30"/>
        </w:rPr>
        <w:t>http://www.chinaclear.cn/zdjs/zshanhai/center_scsj_list.shtml</w:t>
      </w:r>
    </w:p>
    <w:p w14:paraId="208BF048">
      <w:pPr>
        <w:adjustRightInd w:val="0"/>
        <w:snapToGrid w:val="0"/>
        <w:spacing w:line="600" w:lineRule="exact"/>
        <w:ind w:firstLine="600"/>
        <w:rPr>
          <w:rFonts w:ascii="仿宋_GB2312" w:hAnsi="微软雅黑" w:eastAsia="仿宋_GB2312"/>
          <w:color w:val="000000"/>
          <w:sz w:val="30"/>
          <w:szCs w:val="30"/>
        </w:rPr>
      </w:pPr>
      <w:r>
        <w:fldChar w:fldCharType="begin"/>
      </w:r>
      <w:r>
        <w:instrText xml:space="preserve"> HYPERLINK "http://www.sse.com.cn/disclosure/bond/repurchase/" </w:instrText>
      </w:r>
      <w:r>
        <w:fldChar w:fldCharType="separate"/>
      </w:r>
      <w:r>
        <w:rPr>
          <w:rStyle w:val="49"/>
          <w:rFonts w:hint="eastAsia" w:ascii="仿宋_GB2312" w:hAnsi="微软雅黑" w:eastAsia="仿宋_GB2312"/>
          <w:color w:val="000000"/>
          <w:sz w:val="30"/>
          <w:szCs w:val="30"/>
        </w:rPr>
        <w:t>http://www.sse.com.cn/disclosure/bond/repurchase/</w:t>
      </w:r>
      <w:r>
        <w:rPr>
          <w:rStyle w:val="51"/>
          <w:rFonts w:hint="eastAsia" w:ascii="仿宋_GB2312" w:hAnsi="微软雅黑" w:eastAsia="仿宋_GB2312"/>
          <w:color w:val="000000"/>
          <w:sz w:val="30"/>
          <w:szCs w:val="30"/>
        </w:rPr>
        <w:fldChar w:fldCharType="end"/>
      </w:r>
    </w:p>
    <w:bookmarkEnd w:id="2103"/>
    <w:p w14:paraId="1757D020">
      <w:pPr>
        <w:numPr>
          <w:ilvl w:val="2"/>
          <w:numId w:val="13"/>
        </w:numPr>
        <w:spacing w:line="600" w:lineRule="exact"/>
        <w:ind w:left="0" w:firstLine="567"/>
        <w:outlineLvl w:val="3"/>
        <w:rPr>
          <w:rFonts w:ascii="仿宋_GB2312" w:eastAsia="仿宋_GB2312"/>
          <w:b/>
          <w:sz w:val="30"/>
          <w:szCs w:val="30"/>
        </w:rPr>
      </w:pPr>
      <w:r>
        <w:rPr>
          <w:rFonts w:hint="eastAsia" w:ascii="仿宋_GB2312" w:eastAsia="仿宋_GB2312"/>
          <w:b/>
          <w:sz w:val="30"/>
          <w:szCs w:val="30"/>
        </w:rPr>
        <w:t>质押券出入库</w:t>
      </w:r>
    </w:p>
    <w:p w14:paraId="2E82409F">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质押券</w:t>
      </w:r>
      <w:r>
        <w:rPr>
          <w:rFonts w:ascii="仿宋_GB2312" w:hAnsi="微软雅黑" w:eastAsia="仿宋_GB2312"/>
          <w:color w:val="000000"/>
          <w:sz w:val="30"/>
          <w:szCs w:val="30"/>
        </w:rPr>
        <w:t>出入库的</w:t>
      </w:r>
      <w:r>
        <w:rPr>
          <w:rFonts w:hint="eastAsia" w:ascii="仿宋_GB2312" w:hAnsi="微软雅黑" w:eastAsia="仿宋_GB2312"/>
          <w:color w:val="000000"/>
          <w:sz w:val="30"/>
          <w:szCs w:val="30"/>
        </w:rPr>
        <w:t>申报方式采用“现券代码+业务类型”方式进行。</w:t>
      </w:r>
      <w:r>
        <w:rPr>
          <w:rFonts w:hint="eastAsia" w:ascii="仿宋_GB2312" w:hAnsi="Calibri" w:eastAsia="仿宋_GB2312"/>
          <w:color w:val="000000"/>
          <w:sz w:val="30"/>
          <w:szCs w:val="30"/>
        </w:rPr>
        <w:t>申报要素包括证券代码、业务</w:t>
      </w:r>
      <w:r>
        <w:rPr>
          <w:rFonts w:ascii="仿宋_GB2312" w:hAnsi="Calibri" w:eastAsia="仿宋_GB2312"/>
          <w:color w:val="000000"/>
          <w:sz w:val="30"/>
          <w:szCs w:val="30"/>
        </w:rPr>
        <w:t>类型、</w:t>
      </w:r>
      <w:r>
        <w:rPr>
          <w:rFonts w:hint="eastAsia" w:ascii="仿宋_GB2312" w:hAnsi="Calibri" w:eastAsia="仿宋_GB2312"/>
          <w:color w:val="000000"/>
          <w:sz w:val="30"/>
          <w:szCs w:val="30"/>
        </w:rPr>
        <w:t>数量、证券账户号码等内容。</w:t>
      </w:r>
    </w:p>
    <w:p w14:paraId="3E0F5118">
      <w:pPr>
        <w:adjustRightInd w:val="0"/>
        <w:snapToGrid w:val="0"/>
        <w:spacing w:line="600" w:lineRule="exact"/>
        <w:ind w:left="600"/>
        <w:jc w:val="left"/>
        <w:rPr>
          <w:rFonts w:ascii="仿宋_GB2312" w:hAnsi="Calibri" w:eastAsia="仿宋_GB2312"/>
          <w:color w:val="000000"/>
          <w:sz w:val="30"/>
          <w:szCs w:val="30"/>
        </w:rPr>
      </w:pPr>
      <w:r>
        <w:rPr>
          <w:rFonts w:hint="eastAsia" w:ascii="仿宋_GB2312" w:hAnsi="Calibri" w:eastAsia="仿宋_GB2312"/>
          <w:color w:val="000000"/>
          <w:sz w:val="30"/>
          <w:szCs w:val="30"/>
        </w:rPr>
        <w:t>1）入库申报</w:t>
      </w:r>
    </w:p>
    <w:p w14:paraId="3961167C">
      <w:pPr>
        <w:adjustRightInd w:val="0"/>
        <w:snapToGrid w:val="0"/>
        <w:spacing w:line="600" w:lineRule="exact"/>
        <w:ind w:firstLine="600" w:firstLineChars="200"/>
        <w:rPr>
          <w:rFonts w:ascii="仿宋_GB2312" w:hAnsi="Calibri" w:eastAsia="仿宋_GB2312"/>
          <w:color w:val="000000"/>
          <w:sz w:val="30"/>
          <w:szCs w:val="30"/>
        </w:rPr>
      </w:pPr>
      <w:r>
        <w:rPr>
          <w:rFonts w:hint="eastAsia" w:ascii="仿宋_GB2312" w:hAnsi="Calibri" w:eastAsia="仿宋_GB2312"/>
          <w:color w:val="000000"/>
          <w:sz w:val="30"/>
          <w:szCs w:val="30"/>
        </w:rPr>
        <w:t>质押券的质押申报通过本所综合业务</w:t>
      </w:r>
      <w:r>
        <w:rPr>
          <w:rFonts w:ascii="仿宋_GB2312" w:hAnsi="Calibri" w:eastAsia="仿宋_GB2312"/>
          <w:color w:val="000000"/>
          <w:sz w:val="30"/>
          <w:szCs w:val="30"/>
        </w:rPr>
        <w:t>平台</w:t>
      </w:r>
      <w:r>
        <w:rPr>
          <w:rFonts w:hint="eastAsia" w:ascii="仿宋_GB2312" w:hAnsi="Calibri" w:eastAsia="仿宋_GB2312"/>
          <w:color w:val="000000"/>
          <w:sz w:val="30"/>
          <w:szCs w:val="30"/>
        </w:rPr>
        <w:t>提交。经纪业务模式下，会员应当在符合前述规定的前提下，根据其经纪客户的信用状况与风险承受能力，明确经纪客户适用的质押券准入标准，并对其证券账户内可用于通用回购交易的融资额度进行检查。</w:t>
      </w:r>
    </w:p>
    <w:p w14:paraId="20A465AB">
      <w:pPr>
        <w:adjustRightInd w:val="0"/>
        <w:snapToGrid w:val="0"/>
        <w:spacing w:line="600" w:lineRule="exact"/>
        <w:ind w:firstLine="600" w:firstLineChars="200"/>
        <w:rPr>
          <w:rFonts w:ascii="仿宋_GB2312" w:hAnsi="Calibri" w:eastAsia="仿宋_GB2312"/>
          <w:sz w:val="30"/>
          <w:szCs w:val="22"/>
        </w:rPr>
      </w:pPr>
      <w:r>
        <w:rPr>
          <w:rFonts w:hint="eastAsia" w:ascii="仿宋_GB2312" w:hAnsi="Calibri" w:eastAsia="仿宋_GB2312"/>
          <w:color w:val="000000"/>
          <w:sz w:val="30"/>
          <w:szCs w:val="30"/>
        </w:rPr>
        <w:t>入库申报的交易类型为</w:t>
      </w:r>
      <w:r>
        <w:rPr>
          <w:rFonts w:hint="eastAsia" w:ascii="仿宋_GB2312" w:hAnsi="Calibri" w:eastAsia="仿宋_GB2312"/>
          <w:color w:val="000000"/>
          <w:sz w:val="30"/>
          <w:szCs w:val="22"/>
        </w:rPr>
        <w:t>“BPD”，申报单位为“千元面额”（1,000元面额），</w:t>
      </w:r>
      <w:r>
        <w:rPr>
          <w:rFonts w:hint="eastAsia" w:ascii="仿宋_GB2312" w:hAnsi="Calibri" w:eastAsia="仿宋_GB2312"/>
          <w:color w:val="000000"/>
          <w:sz w:val="30"/>
          <w:szCs w:val="30"/>
        </w:rPr>
        <w:t>入库申报数量不得大于债券投资者证券账户现券可用余额。经纪业务模式下，经纪客户需委托证券公司提交</w:t>
      </w:r>
      <w:r>
        <w:rPr>
          <w:rFonts w:hint="eastAsia" w:ascii="仿宋_GB2312" w:hAnsi="Calibri" w:eastAsia="仿宋_GB2312"/>
          <w:sz w:val="30"/>
          <w:szCs w:val="30"/>
        </w:rPr>
        <w:t>质押申报。</w:t>
      </w:r>
    </w:p>
    <w:p w14:paraId="27BDF0E3">
      <w:pPr>
        <w:adjustRightInd w:val="0"/>
        <w:snapToGrid w:val="0"/>
        <w:spacing w:line="600" w:lineRule="exact"/>
        <w:ind w:firstLine="600" w:firstLineChars="200"/>
        <w:rPr>
          <w:rFonts w:ascii="仿宋_GB2312" w:hAnsi="Calibri" w:eastAsia="仿宋_GB2312"/>
          <w:color w:val="000000"/>
          <w:sz w:val="30"/>
          <w:szCs w:val="30"/>
        </w:rPr>
      </w:pPr>
      <w:r>
        <w:rPr>
          <w:rFonts w:hint="eastAsia" w:ascii="仿宋_GB2312" w:hAnsi="Calibri" w:eastAsia="仿宋_GB2312"/>
          <w:color w:val="000000"/>
          <w:sz w:val="30"/>
          <w:szCs w:val="30"/>
        </w:rPr>
        <w:t>申报完成后，质押券应当依据登记结算机构的相关规定，转移至质押品保管库（以下简称质押库）。质押券转移至质押库后，正回购方的可用融资额度相应增加，增加额度为入库债券按照相应质押券折算率计算出的质押券价值，现券可用余额中根据申报数量实时扣减。</w:t>
      </w:r>
    </w:p>
    <w:p w14:paraId="27CA3564">
      <w:pPr>
        <w:adjustRightInd w:val="0"/>
        <w:snapToGrid w:val="0"/>
        <w:spacing w:line="600" w:lineRule="exact"/>
        <w:ind w:firstLine="600" w:firstLineChars="200"/>
        <w:rPr>
          <w:rFonts w:ascii="仿宋_GB2312" w:hAnsi="Calibri" w:eastAsia="仿宋_GB2312"/>
          <w:color w:val="000000"/>
          <w:sz w:val="30"/>
          <w:szCs w:val="22"/>
        </w:rPr>
      </w:pPr>
      <w:r>
        <w:rPr>
          <w:rFonts w:hint="eastAsia" w:ascii="仿宋_GB2312" w:hAnsi="Calibri" w:eastAsia="仿宋_GB2312"/>
          <w:color w:val="000000"/>
          <w:sz w:val="30"/>
          <w:szCs w:val="22"/>
        </w:rPr>
        <w:t>现券可用余额</w:t>
      </w:r>
      <w:r>
        <w:rPr>
          <w:rFonts w:ascii="仿宋_GB2312" w:hAnsi="Calibri" w:eastAsia="仿宋_GB2312"/>
          <w:color w:val="000000"/>
          <w:sz w:val="30"/>
          <w:szCs w:val="22"/>
        </w:rPr>
        <w:t xml:space="preserve"> = </w:t>
      </w:r>
      <w:r>
        <w:rPr>
          <w:rFonts w:hint="eastAsia" w:ascii="仿宋_GB2312" w:hAnsi="Calibri" w:eastAsia="仿宋_GB2312"/>
          <w:color w:val="000000"/>
          <w:sz w:val="30"/>
          <w:szCs w:val="22"/>
        </w:rPr>
        <w:t>前一日现券可用余额</w:t>
      </w:r>
      <w:r>
        <w:rPr>
          <w:rFonts w:ascii="仿宋_GB2312" w:hAnsi="Calibri" w:eastAsia="仿宋_GB2312"/>
          <w:color w:val="000000"/>
          <w:sz w:val="30"/>
          <w:szCs w:val="22"/>
        </w:rPr>
        <w:t xml:space="preserve"> + </w:t>
      </w:r>
      <w:r>
        <w:rPr>
          <w:rFonts w:hint="eastAsia" w:ascii="仿宋_GB2312" w:hAnsi="Calibri" w:eastAsia="仿宋_GB2312"/>
          <w:color w:val="000000"/>
          <w:sz w:val="30"/>
          <w:szCs w:val="22"/>
        </w:rPr>
        <w:t>（当日买入</w:t>
      </w:r>
      <w:r>
        <w:rPr>
          <w:rFonts w:ascii="仿宋_GB2312" w:hAnsi="Calibri" w:eastAsia="仿宋_GB2312"/>
          <w:color w:val="000000"/>
          <w:sz w:val="30"/>
          <w:szCs w:val="22"/>
        </w:rPr>
        <w:t xml:space="preserve"> - </w:t>
      </w:r>
      <w:r>
        <w:rPr>
          <w:rFonts w:hint="eastAsia" w:ascii="仿宋_GB2312" w:hAnsi="Calibri" w:eastAsia="仿宋_GB2312"/>
          <w:color w:val="000000"/>
          <w:sz w:val="30"/>
          <w:szCs w:val="22"/>
        </w:rPr>
        <w:t>当日卖出）</w:t>
      </w:r>
      <w:r>
        <w:rPr>
          <w:rFonts w:ascii="仿宋_GB2312" w:hAnsi="Calibri" w:eastAsia="仿宋_GB2312"/>
          <w:color w:val="000000"/>
          <w:sz w:val="30"/>
          <w:szCs w:val="22"/>
        </w:rPr>
        <w:t xml:space="preserve"> + </w:t>
      </w:r>
      <w:r>
        <w:rPr>
          <w:rFonts w:hint="eastAsia" w:ascii="仿宋_GB2312" w:hAnsi="Calibri" w:eastAsia="仿宋_GB2312"/>
          <w:color w:val="000000"/>
          <w:sz w:val="30"/>
          <w:szCs w:val="22"/>
        </w:rPr>
        <w:t>（当日转回质押券</w:t>
      </w:r>
      <w:r>
        <w:rPr>
          <w:rFonts w:ascii="仿宋_GB2312" w:hAnsi="Calibri" w:eastAsia="仿宋_GB2312"/>
          <w:color w:val="000000"/>
          <w:sz w:val="30"/>
          <w:szCs w:val="22"/>
        </w:rPr>
        <w:t xml:space="preserve"> - </w:t>
      </w:r>
      <w:r>
        <w:rPr>
          <w:rFonts w:hint="eastAsia" w:ascii="仿宋_GB2312" w:hAnsi="Calibri" w:eastAsia="仿宋_GB2312"/>
          <w:color w:val="000000"/>
          <w:sz w:val="30"/>
          <w:szCs w:val="22"/>
        </w:rPr>
        <w:t>当日提交质押券）</w:t>
      </w:r>
    </w:p>
    <w:p w14:paraId="4F6291B6">
      <w:pPr>
        <w:adjustRightInd w:val="0"/>
        <w:snapToGrid w:val="0"/>
        <w:spacing w:line="600" w:lineRule="exact"/>
        <w:ind w:firstLine="600" w:firstLineChars="200"/>
        <w:rPr>
          <w:rFonts w:ascii="仿宋_GB2312" w:hAnsi="Calibri" w:eastAsia="仿宋_GB2312"/>
          <w:color w:val="000000"/>
          <w:sz w:val="30"/>
          <w:szCs w:val="22"/>
        </w:rPr>
      </w:pPr>
      <w:r>
        <w:rPr>
          <w:rFonts w:hint="eastAsia" w:ascii="仿宋_GB2312" w:hAnsi="Calibri" w:eastAsia="仿宋_GB2312"/>
          <w:color w:val="000000"/>
          <w:sz w:val="30"/>
          <w:szCs w:val="22"/>
        </w:rPr>
        <w:t>注：上述公式中的买入量仅计算净额结算方式下的买入量。</w:t>
      </w:r>
    </w:p>
    <w:p w14:paraId="62129AD9">
      <w:pPr>
        <w:spacing w:line="600" w:lineRule="exact"/>
        <w:ind w:firstLine="600" w:firstLineChars="200"/>
        <w:rPr>
          <w:rFonts w:ascii="仿宋_GB2312" w:hAnsi="Calibri" w:eastAsia="仿宋_GB2312"/>
          <w:color w:val="000000"/>
          <w:sz w:val="30"/>
          <w:szCs w:val="30"/>
        </w:rPr>
      </w:pPr>
      <w:r>
        <w:rPr>
          <w:rFonts w:ascii="仿宋_GB2312" w:hAnsi="Calibri" w:eastAsia="仿宋_GB2312"/>
          <w:color w:val="000000"/>
          <w:sz w:val="30"/>
          <w:szCs w:val="30"/>
        </w:rPr>
        <w:t>2</w:t>
      </w:r>
      <w:r>
        <w:rPr>
          <w:rFonts w:hint="eastAsia" w:ascii="仿宋_GB2312" w:hAnsi="Calibri" w:eastAsia="仿宋_GB2312"/>
          <w:color w:val="000000"/>
          <w:sz w:val="30"/>
          <w:szCs w:val="30"/>
        </w:rPr>
        <w:t>）质押券出库</w:t>
      </w:r>
    </w:p>
    <w:p w14:paraId="21957137">
      <w:pPr>
        <w:adjustRightInd w:val="0"/>
        <w:snapToGrid w:val="0"/>
        <w:spacing w:line="600" w:lineRule="exact"/>
        <w:ind w:firstLine="600" w:firstLineChars="200"/>
        <w:rPr>
          <w:rFonts w:ascii="仿宋_GB2312" w:hAnsi="Calibri" w:eastAsia="仿宋_GB2312"/>
          <w:color w:val="000000"/>
          <w:sz w:val="30"/>
          <w:szCs w:val="30"/>
        </w:rPr>
      </w:pPr>
      <w:r>
        <w:rPr>
          <w:rFonts w:hint="eastAsia" w:ascii="仿宋_GB2312" w:hAnsi="Calibri" w:eastAsia="仿宋_GB2312"/>
          <w:color w:val="000000"/>
          <w:sz w:val="30"/>
          <w:szCs w:val="30"/>
        </w:rPr>
        <w:t>质押券对应的融资额度有剩余的，正回购方可以通过综合业务</w:t>
      </w:r>
      <w:r>
        <w:rPr>
          <w:rFonts w:ascii="仿宋_GB2312" w:hAnsi="Calibri" w:eastAsia="仿宋_GB2312"/>
          <w:color w:val="000000"/>
          <w:sz w:val="30"/>
          <w:szCs w:val="30"/>
        </w:rPr>
        <w:t>平台</w:t>
      </w:r>
      <w:r>
        <w:rPr>
          <w:rFonts w:hint="eastAsia" w:ascii="仿宋_GB2312" w:hAnsi="Calibri" w:eastAsia="仿宋_GB2312"/>
          <w:color w:val="000000"/>
          <w:sz w:val="30"/>
          <w:szCs w:val="30"/>
        </w:rPr>
        <w:t>申报解除相应质押券的质押，</w:t>
      </w:r>
      <w:r>
        <w:rPr>
          <w:rFonts w:hint="eastAsia" w:ascii="仿宋_GB2312" w:hAnsi="Calibri" w:eastAsia="仿宋_GB2312"/>
          <w:sz w:val="30"/>
          <w:szCs w:val="22"/>
        </w:rPr>
        <w:t>质押券依据相关规定</w:t>
      </w:r>
      <w:r>
        <w:rPr>
          <w:rFonts w:hint="eastAsia" w:ascii="仿宋_GB2312" w:hAnsi="Calibri" w:eastAsia="仿宋_GB2312"/>
          <w:color w:val="000000"/>
          <w:sz w:val="30"/>
          <w:szCs w:val="30"/>
        </w:rPr>
        <w:t>转回原证券账户</w:t>
      </w:r>
      <w:r>
        <w:rPr>
          <w:rFonts w:hint="eastAsia" w:ascii="仿宋_GB2312" w:hAnsi="Calibri" w:eastAsia="仿宋_GB2312"/>
          <w:sz w:val="30"/>
          <w:szCs w:val="22"/>
        </w:rPr>
        <w:t>（</w:t>
      </w:r>
      <w:r>
        <w:rPr>
          <w:rFonts w:hint="eastAsia" w:ascii="仿宋_GB2312" w:hAnsi="Calibri" w:eastAsia="仿宋_GB2312"/>
          <w:sz w:val="30"/>
          <w:szCs w:val="30"/>
        </w:rPr>
        <w:t>以下简称出库申报）</w:t>
      </w:r>
      <w:r>
        <w:rPr>
          <w:rFonts w:hint="eastAsia" w:ascii="仿宋_GB2312" w:hAnsi="Calibri" w:eastAsia="仿宋_GB2312"/>
          <w:color w:val="000000"/>
          <w:sz w:val="30"/>
          <w:szCs w:val="30"/>
        </w:rPr>
        <w:t>。出库申报的交易类型为“BPW”，申报单位为“千元面额”（1,000元面额）。经纪业务模式下，经纪客户需委托证券公司提交出库</w:t>
      </w:r>
      <w:r>
        <w:rPr>
          <w:rFonts w:hint="eastAsia" w:ascii="仿宋_GB2312" w:hAnsi="Calibri" w:eastAsia="仿宋_GB2312"/>
          <w:sz w:val="30"/>
          <w:szCs w:val="30"/>
        </w:rPr>
        <w:t>申报。</w:t>
      </w:r>
    </w:p>
    <w:p w14:paraId="3E21092D">
      <w:pPr>
        <w:adjustRightInd w:val="0"/>
        <w:snapToGrid w:val="0"/>
        <w:spacing w:line="600" w:lineRule="exact"/>
        <w:ind w:firstLine="600" w:firstLineChars="200"/>
        <w:rPr>
          <w:rFonts w:ascii="仿宋_GB2312" w:hAnsi="Calibri" w:eastAsia="仿宋_GB2312"/>
          <w:color w:val="000000"/>
          <w:sz w:val="30"/>
          <w:szCs w:val="30"/>
        </w:rPr>
      </w:pPr>
      <w:r>
        <w:rPr>
          <w:rFonts w:hint="eastAsia" w:ascii="仿宋_GB2312" w:hAnsi="Calibri" w:eastAsia="仿宋_GB2312"/>
          <w:color w:val="000000"/>
          <w:sz w:val="30"/>
          <w:szCs w:val="30"/>
        </w:rPr>
        <w:t>申报转回数量不得大于该证券账户同品种可转出数量。可转出数量</w:t>
      </w:r>
      <w:r>
        <w:rPr>
          <w:rFonts w:ascii="仿宋_GB2312" w:hAnsi="Calibri" w:eastAsia="仿宋_GB2312"/>
          <w:color w:val="000000"/>
          <w:sz w:val="30"/>
          <w:szCs w:val="30"/>
        </w:rPr>
        <w:t xml:space="preserve"> = </w:t>
      </w:r>
      <w:r>
        <w:rPr>
          <w:rFonts w:hint="eastAsia" w:ascii="仿宋_GB2312" w:hAnsi="Calibri" w:eastAsia="仿宋_GB2312"/>
          <w:color w:val="000000"/>
          <w:sz w:val="30"/>
          <w:szCs w:val="30"/>
        </w:rPr>
        <w:t>质押库内该账户的同品种余额</w:t>
      </w:r>
      <w:r>
        <w:rPr>
          <w:rFonts w:ascii="仿宋_GB2312" w:hAnsi="Calibri" w:eastAsia="仿宋_GB2312"/>
          <w:color w:val="000000"/>
          <w:sz w:val="30"/>
          <w:szCs w:val="30"/>
        </w:rPr>
        <w:t xml:space="preserve"> + </w:t>
      </w:r>
      <w:r>
        <w:rPr>
          <w:rFonts w:hint="eastAsia" w:ascii="仿宋_GB2312" w:hAnsi="Calibri" w:eastAsia="仿宋_GB2312"/>
          <w:color w:val="000000"/>
          <w:sz w:val="30"/>
          <w:szCs w:val="30"/>
        </w:rPr>
        <w:t>当日该账户净转入的同品种数量。质押券转回数量折算的融资额度不得大于其当时可融资额度。</w:t>
      </w:r>
    </w:p>
    <w:p w14:paraId="193F4EBA">
      <w:pPr>
        <w:adjustRightInd w:val="0"/>
        <w:snapToGrid w:val="0"/>
        <w:spacing w:line="600" w:lineRule="exact"/>
        <w:ind w:firstLine="600" w:firstLineChars="200"/>
        <w:rPr>
          <w:rFonts w:ascii="仿宋_GB2312" w:hAnsi="Calibri" w:eastAsia="仿宋_GB2312"/>
          <w:color w:val="000000"/>
          <w:sz w:val="30"/>
          <w:szCs w:val="22"/>
        </w:rPr>
      </w:pPr>
      <w:r>
        <w:rPr>
          <w:rFonts w:hint="eastAsia" w:ascii="仿宋_GB2312" w:hAnsi="Calibri" w:eastAsia="仿宋_GB2312"/>
          <w:color w:val="000000"/>
          <w:sz w:val="30"/>
          <w:szCs w:val="30"/>
        </w:rPr>
        <w:t>申报完成后，质押券依据相关规定转回原证券账户。质押券出库后，正回购方的可用融资额度相应扣减，扣减额度为转回债券依据质押券折算率计算出的质押券价值</w:t>
      </w:r>
      <w:r>
        <w:rPr>
          <w:rFonts w:hint="eastAsia" w:ascii="仿宋_GB2312" w:hAnsi="Calibri" w:eastAsia="仿宋_GB2312"/>
          <w:color w:val="000000"/>
          <w:sz w:val="30"/>
          <w:szCs w:val="22"/>
        </w:rPr>
        <w:t>，并实时增加现券的可用余额。</w:t>
      </w:r>
    </w:p>
    <w:p w14:paraId="793F7F50">
      <w:pPr>
        <w:spacing w:line="600" w:lineRule="exact"/>
        <w:ind w:firstLine="600" w:firstLineChars="200"/>
        <w:rPr>
          <w:rFonts w:ascii="仿宋_GB2312" w:hAnsi="Calibri" w:eastAsia="仿宋_GB2312"/>
          <w:color w:val="000000"/>
          <w:sz w:val="30"/>
          <w:szCs w:val="30"/>
        </w:rPr>
      </w:pPr>
      <w:r>
        <w:rPr>
          <w:rFonts w:ascii="仿宋_GB2312" w:hAnsi="Calibri" w:eastAsia="仿宋_GB2312"/>
          <w:color w:val="000000"/>
          <w:sz w:val="30"/>
          <w:szCs w:val="30"/>
        </w:rPr>
        <w:t>3</w:t>
      </w:r>
      <w:r>
        <w:rPr>
          <w:rFonts w:hint="eastAsia" w:ascii="仿宋_GB2312" w:hAnsi="Calibri" w:eastAsia="仿宋_GB2312"/>
          <w:color w:val="000000"/>
          <w:sz w:val="30"/>
          <w:szCs w:val="30"/>
        </w:rPr>
        <w:t>）出入库申报要素</w:t>
      </w:r>
    </w:p>
    <w:p w14:paraId="4CB5B769">
      <w:pPr>
        <w:adjustRightInd w:val="0"/>
        <w:snapToGrid w:val="0"/>
        <w:spacing w:line="600" w:lineRule="exact"/>
        <w:ind w:firstLine="600" w:firstLineChars="200"/>
        <w:rPr>
          <w:rFonts w:ascii="仿宋_GB2312" w:hAnsi="Calibri" w:eastAsia="仿宋_GB2312"/>
          <w:color w:val="000000"/>
          <w:sz w:val="30"/>
          <w:szCs w:val="30"/>
        </w:rPr>
      </w:pPr>
      <w:r>
        <w:rPr>
          <w:rFonts w:hint="eastAsia" w:ascii="仿宋_GB2312" w:hAnsi="Calibri" w:eastAsia="仿宋_GB2312"/>
          <w:color w:val="000000"/>
          <w:sz w:val="30"/>
          <w:szCs w:val="30"/>
        </w:rPr>
        <w:t>质押券出入库申报时间为</w:t>
      </w:r>
      <w:r>
        <w:rPr>
          <w:rFonts w:hint="eastAsia" w:ascii="仿宋_GB2312" w:hAnsi="Calibri" w:eastAsia="仿宋_GB2312"/>
          <w:sz w:val="30"/>
          <w:szCs w:val="30"/>
        </w:rPr>
        <w:t>每个交易日的9：30至11：30，13：00至15：</w:t>
      </w:r>
      <w:r>
        <w:rPr>
          <w:rFonts w:ascii="仿宋_GB2312" w:hAnsi="Calibri" w:eastAsia="仿宋_GB2312"/>
          <w:sz w:val="30"/>
          <w:szCs w:val="30"/>
        </w:rPr>
        <w:t>3</w:t>
      </w:r>
      <w:r>
        <w:rPr>
          <w:rFonts w:hint="eastAsia" w:ascii="仿宋_GB2312" w:hAnsi="Calibri" w:eastAsia="仿宋_GB2312"/>
          <w:sz w:val="30"/>
          <w:szCs w:val="30"/>
        </w:rPr>
        <w:t>0。</w:t>
      </w:r>
    </w:p>
    <w:p w14:paraId="7B726C2E">
      <w:pPr>
        <w:adjustRightInd w:val="0"/>
        <w:snapToGrid w:val="0"/>
        <w:spacing w:line="600" w:lineRule="exact"/>
        <w:ind w:firstLine="600"/>
        <w:rPr>
          <w:rFonts w:ascii="仿宋_GB2312" w:hAnsi="Calibri" w:eastAsia="仿宋_GB2312"/>
          <w:color w:val="000000"/>
          <w:sz w:val="30"/>
          <w:szCs w:val="30"/>
        </w:rPr>
      </w:pPr>
      <w:r>
        <w:rPr>
          <w:rFonts w:hint="eastAsia" w:ascii="仿宋_GB2312" w:hAnsi="Calibri" w:eastAsia="仿宋_GB2312"/>
          <w:color w:val="000000"/>
          <w:sz w:val="30"/>
          <w:szCs w:val="30"/>
        </w:rPr>
        <w:t>质押券出入库申报要素包括证券代码</w:t>
      </w:r>
      <w:r>
        <w:rPr>
          <w:rFonts w:ascii="仿宋_GB2312" w:hAnsi="Calibri" w:eastAsia="仿宋_GB2312"/>
          <w:color w:val="000000"/>
          <w:sz w:val="30"/>
          <w:szCs w:val="30"/>
        </w:rPr>
        <w:t>、业务类型、</w:t>
      </w:r>
      <w:r>
        <w:rPr>
          <w:rFonts w:hint="eastAsia" w:ascii="仿宋_GB2312" w:hAnsi="Calibri" w:eastAsia="仿宋_GB2312"/>
          <w:color w:val="000000"/>
          <w:sz w:val="30"/>
          <w:szCs w:val="30"/>
        </w:rPr>
        <w:t>数量、证券账号等内容。</w:t>
      </w:r>
      <w:r>
        <w:rPr>
          <w:rFonts w:hint="eastAsia" w:ascii="仿宋_GB2312" w:hAnsi="Calibri" w:eastAsia="仿宋_GB2312"/>
          <w:sz w:val="30"/>
          <w:szCs w:val="30"/>
        </w:rPr>
        <w:t>质押券出入库申报实时生效，不可撤销。</w:t>
      </w:r>
    </w:p>
    <w:p w14:paraId="6076C534">
      <w:pPr>
        <w:adjustRightInd w:val="0"/>
        <w:snapToGrid w:val="0"/>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质押券出入库的申报要素具体如下：</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0"/>
        <w:gridCol w:w="6492"/>
      </w:tblGrid>
      <w:tr w14:paraId="63377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pct"/>
          </w:tcPr>
          <w:p w14:paraId="1B88000B">
            <w:pPr>
              <w:adjustRightInd w:val="0"/>
              <w:snapToGrid w:val="0"/>
              <w:rPr>
                <w:rFonts w:ascii="仿宋_GB2312" w:eastAsia="仿宋_GB2312"/>
                <w:b/>
                <w:kern w:val="0"/>
                <w:sz w:val="24"/>
                <w:szCs w:val="24"/>
              </w:rPr>
            </w:pPr>
            <w:r>
              <w:rPr>
                <w:rFonts w:hint="eastAsia" w:ascii="仿宋_GB2312" w:eastAsia="仿宋_GB2312"/>
                <w:b/>
                <w:kern w:val="0"/>
                <w:sz w:val="24"/>
                <w:szCs w:val="24"/>
              </w:rPr>
              <w:t>申报类型</w:t>
            </w:r>
          </w:p>
        </w:tc>
        <w:tc>
          <w:tcPr>
            <w:tcW w:w="3808" w:type="pct"/>
          </w:tcPr>
          <w:p w14:paraId="63CDDA16">
            <w:pPr>
              <w:adjustRightInd w:val="0"/>
              <w:snapToGrid w:val="0"/>
              <w:rPr>
                <w:rFonts w:ascii="仿宋_GB2312" w:eastAsia="仿宋_GB2312"/>
                <w:b/>
                <w:kern w:val="0"/>
                <w:sz w:val="24"/>
                <w:szCs w:val="24"/>
              </w:rPr>
            </w:pPr>
            <w:r>
              <w:rPr>
                <w:rFonts w:hint="eastAsia" w:ascii="仿宋_GB2312" w:eastAsia="仿宋_GB2312"/>
                <w:b/>
                <w:kern w:val="0"/>
                <w:sz w:val="24"/>
                <w:szCs w:val="24"/>
              </w:rPr>
              <w:t>质押券出库申报/入库申报</w:t>
            </w:r>
          </w:p>
        </w:tc>
      </w:tr>
      <w:tr w14:paraId="2FDC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pct"/>
          </w:tcPr>
          <w:p w14:paraId="349E6B88">
            <w:pPr>
              <w:adjustRightInd w:val="0"/>
              <w:snapToGrid w:val="0"/>
              <w:rPr>
                <w:rFonts w:ascii="仿宋_GB2312" w:eastAsia="仿宋_GB2312"/>
                <w:b/>
                <w:kern w:val="0"/>
                <w:sz w:val="24"/>
                <w:szCs w:val="24"/>
              </w:rPr>
            </w:pPr>
            <w:r>
              <w:rPr>
                <w:rFonts w:hint="eastAsia" w:ascii="仿宋_GB2312" w:eastAsia="仿宋_GB2312"/>
                <w:b/>
                <w:kern w:val="0"/>
                <w:sz w:val="24"/>
                <w:szCs w:val="24"/>
              </w:rPr>
              <w:t>证券代码</w:t>
            </w:r>
          </w:p>
        </w:tc>
        <w:tc>
          <w:tcPr>
            <w:tcW w:w="3808" w:type="pct"/>
          </w:tcPr>
          <w:p w14:paraId="014AEA48">
            <w:pPr>
              <w:adjustRightInd w:val="0"/>
              <w:snapToGrid w:val="0"/>
              <w:rPr>
                <w:rFonts w:ascii="仿宋_GB2312" w:hAnsi="宋体" w:eastAsia="仿宋_GB2312"/>
                <w:kern w:val="0"/>
                <w:sz w:val="24"/>
                <w:szCs w:val="24"/>
              </w:rPr>
            </w:pPr>
            <w:r>
              <w:rPr>
                <w:rFonts w:hint="eastAsia" w:ascii="仿宋_GB2312" w:hAnsi="宋体" w:eastAsia="仿宋_GB2312"/>
                <w:kern w:val="0"/>
                <w:sz w:val="24"/>
                <w:szCs w:val="24"/>
              </w:rPr>
              <w:t>拟质押债券的证券代码</w:t>
            </w:r>
          </w:p>
        </w:tc>
      </w:tr>
      <w:tr w14:paraId="1F71A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pct"/>
          </w:tcPr>
          <w:p w14:paraId="3C83F982">
            <w:pPr>
              <w:adjustRightInd w:val="0"/>
              <w:snapToGrid w:val="0"/>
              <w:rPr>
                <w:rFonts w:ascii="仿宋_GB2312" w:eastAsia="仿宋_GB2312"/>
                <w:b/>
                <w:kern w:val="0"/>
                <w:sz w:val="24"/>
                <w:szCs w:val="24"/>
              </w:rPr>
            </w:pPr>
            <w:r>
              <w:rPr>
                <w:rFonts w:hint="eastAsia" w:ascii="仿宋_GB2312" w:eastAsia="仿宋_GB2312"/>
                <w:b/>
                <w:kern w:val="0"/>
                <w:sz w:val="24"/>
                <w:szCs w:val="24"/>
              </w:rPr>
              <w:t>出入库类型</w:t>
            </w:r>
          </w:p>
        </w:tc>
        <w:tc>
          <w:tcPr>
            <w:tcW w:w="3808" w:type="pct"/>
          </w:tcPr>
          <w:p w14:paraId="267776BA">
            <w:pPr>
              <w:adjustRightInd w:val="0"/>
              <w:snapToGrid w:val="0"/>
              <w:rPr>
                <w:rFonts w:ascii="仿宋_GB2312" w:hAnsi="宋体" w:eastAsia="仿宋_GB2312"/>
                <w:kern w:val="0"/>
                <w:sz w:val="24"/>
                <w:szCs w:val="24"/>
              </w:rPr>
            </w:pPr>
            <w:r>
              <w:rPr>
                <w:rFonts w:hint="eastAsia" w:ascii="仿宋_GB2312" w:hAnsi="宋体" w:eastAsia="仿宋_GB2312"/>
                <w:kern w:val="0"/>
                <w:sz w:val="24"/>
                <w:szCs w:val="24"/>
              </w:rPr>
              <w:t>入库为“BPD”，出库为“BPW”</w:t>
            </w:r>
          </w:p>
        </w:tc>
      </w:tr>
      <w:tr w14:paraId="5022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91" w:type="pct"/>
          </w:tcPr>
          <w:p w14:paraId="2558D438">
            <w:pPr>
              <w:adjustRightInd w:val="0"/>
              <w:snapToGrid w:val="0"/>
              <w:rPr>
                <w:rFonts w:ascii="仿宋_GB2312" w:eastAsia="仿宋_GB2312"/>
                <w:b/>
                <w:kern w:val="0"/>
                <w:sz w:val="24"/>
                <w:szCs w:val="24"/>
              </w:rPr>
            </w:pPr>
            <w:r>
              <w:rPr>
                <w:rFonts w:hint="eastAsia" w:ascii="仿宋_GB2312" w:eastAsia="仿宋_GB2312"/>
                <w:b/>
                <w:kern w:val="0"/>
                <w:sz w:val="24"/>
                <w:szCs w:val="24"/>
              </w:rPr>
              <w:t>申报数量</w:t>
            </w:r>
          </w:p>
        </w:tc>
        <w:tc>
          <w:tcPr>
            <w:tcW w:w="3808" w:type="pct"/>
          </w:tcPr>
          <w:p w14:paraId="58747E34">
            <w:pPr>
              <w:adjustRightInd w:val="0"/>
              <w:snapToGrid w:val="0"/>
              <w:rPr>
                <w:rFonts w:ascii="仿宋_GB2312" w:hAnsi="宋体" w:eastAsia="仿宋_GB2312"/>
                <w:kern w:val="0"/>
                <w:sz w:val="24"/>
                <w:szCs w:val="24"/>
              </w:rPr>
            </w:pPr>
            <w:r>
              <w:rPr>
                <w:rFonts w:hint="eastAsia" w:ascii="仿宋_GB2312" w:hAnsi="宋体" w:eastAsia="仿宋_GB2312"/>
                <w:kern w:val="0"/>
                <w:sz w:val="24"/>
                <w:szCs w:val="24"/>
              </w:rPr>
              <w:t>质押债券的数量，单位：千元面额</w:t>
            </w:r>
          </w:p>
        </w:tc>
      </w:tr>
      <w:tr w14:paraId="0D25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pct"/>
          </w:tcPr>
          <w:p w14:paraId="66349C66">
            <w:pPr>
              <w:adjustRightInd w:val="0"/>
              <w:snapToGrid w:val="0"/>
              <w:rPr>
                <w:rFonts w:ascii="仿宋_GB2312" w:eastAsia="仿宋_GB2312"/>
                <w:b/>
                <w:kern w:val="0"/>
                <w:sz w:val="24"/>
                <w:szCs w:val="24"/>
              </w:rPr>
            </w:pPr>
            <w:r>
              <w:rPr>
                <w:rFonts w:hint="eastAsia" w:ascii="仿宋_GB2312" w:eastAsia="仿宋_GB2312"/>
                <w:b/>
                <w:kern w:val="0"/>
                <w:sz w:val="24"/>
                <w:szCs w:val="24"/>
              </w:rPr>
              <w:t>证券账户</w:t>
            </w:r>
          </w:p>
        </w:tc>
        <w:tc>
          <w:tcPr>
            <w:tcW w:w="3808" w:type="pct"/>
          </w:tcPr>
          <w:p w14:paraId="142006ED">
            <w:pPr>
              <w:adjustRightInd w:val="0"/>
              <w:snapToGrid w:val="0"/>
              <w:rPr>
                <w:rFonts w:ascii="仿宋_GB2312" w:hAnsi="宋体" w:eastAsia="仿宋_GB2312"/>
                <w:kern w:val="0"/>
                <w:sz w:val="24"/>
                <w:szCs w:val="24"/>
              </w:rPr>
            </w:pPr>
            <w:r>
              <w:rPr>
                <w:rFonts w:hint="eastAsia" w:ascii="仿宋_GB2312" w:hAnsi="宋体" w:eastAsia="仿宋_GB2312"/>
                <w:kern w:val="0"/>
                <w:sz w:val="24"/>
                <w:szCs w:val="24"/>
              </w:rPr>
              <w:t>证券账号</w:t>
            </w:r>
          </w:p>
        </w:tc>
      </w:tr>
      <w:tr w14:paraId="42556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pct"/>
          </w:tcPr>
          <w:p w14:paraId="75E2C1CA">
            <w:pPr>
              <w:adjustRightInd w:val="0"/>
              <w:snapToGrid w:val="0"/>
              <w:rPr>
                <w:rFonts w:ascii="仿宋_GB2312" w:eastAsia="仿宋_GB2312"/>
                <w:b/>
                <w:kern w:val="0"/>
                <w:sz w:val="24"/>
                <w:szCs w:val="24"/>
              </w:rPr>
            </w:pPr>
            <w:r>
              <w:rPr>
                <w:rFonts w:hint="eastAsia" w:ascii="仿宋_GB2312" w:eastAsia="仿宋_GB2312"/>
                <w:b/>
                <w:kern w:val="0"/>
                <w:sz w:val="24"/>
                <w:szCs w:val="24"/>
              </w:rPr>
              <w:t>交易单元</w:t>
            </w:r>
          </w:p>
        </w:tc>
        <w:tc>
          <w:tcPr>
            <w:tcW w:w="3808" w:type="pct"/>
          </w:tcPr>
          <w:p w14:paraId="540551FC">
            <w:pPr>
              <w:adjustRightInd w:val="0"/>
              <w:snapToGrid w:val="0"/>
              <w:rPr>
                <w:rFonts w:ascii="仿宋_GB2312" w:hAnsi="宋体" w:eastAsia="仿宋_GB2312"/>
                <w:kern w:val="0"/>
                <w:sz w:val="24"/>
                <w:szCs w:val="24"/>
              </w:rPr>
            </w:pPr>
            <w:r>
              <w:rPr>
                <w:rFonts w:hint="eastAsia" w:ascii="仿宋_GB2312" w:hAnsi="宋体" w:eastAsia="仿宋_GB2312"/>
                <w:kern w:val="0"/>
                <w:sz w:val="24"/>
                <w:szCs w:val="24"/>
              </w:rPr>
              <w:t>交易单元号码</w:t>
            </w:r>
          </w:p>
        </w:tc>
      </w:tr>
      <w:tr w14:paraId="11E57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1" w:type="pct"/>
          </w:tcPr>
          <w:p w14:paraId="5BA156CF">
            <w:pPr>
              <w:adjustRightInd w:val="0"/>
              <w:snapToGrid w:val="0"/>
              <w:rPr>
                <w:rFonts w:ascii="仿宋_GB2312" w:eastAsia="仿宋_GB2312"/>
                <w:b/>
                <w:kern w:val="0"/>
                <w:sz w:val="24"/>
                <w:szCs w:val="24"/>
              </w:rPr>
            </w:pPr>
            <w:r>
              <w:rPr>
                <w:rFonts w:hint="eastAsia" w:ascii="仿宋_GB2312" w:eastAsia="仿宋_GB2312"/>
                <w:b/>
                <w:kern w:val="0"/>
                <w:sz w:val="24"/>
                <w:szCs w:val="24"/>
              </w:rPr>
              <w:t>申报日期时间</w:t>
            </w:r>
          </w:p>
        </w:tc>
        <w:tc>
          <w:tcPr>
            <w:tcW w:w="3808" w:type="pct"/>
          </w:tcPr>
          <w:p w14:paraId="4E577D88">
            <w:pPr>
              <w:adjustRightInd w:val="0"/>
              <w:snapToGrid w:val="0"/>
              <w:rPr>
                <w:rFonts w:ascii="仿宋_GB2312" w:hAnsi="宋体" w:eastAsia="仿宋_GB2312"/>
                <w:kern w:val="0"/>
                <w:sz w:val="24"/>
                <w:szCs w:val="24"/>
              </w:rPr>
            </w:pPr>
            <w:r>
              <w:rPr>
                <w:rFonts w:hint="eastAsia" w:ascii="仿宋_GB2312" w:hAnsi="宋体" w:eastAsia="仿宋_GB2312"/>
                <w:kern w:val="0"/>
                <w:sz w:val="24"/>
                <w:szCs w:val="24"/>
              </w:rPr>
              <w:t>交易申报日期（年月日）及时间（时分秒），自动显示</w:t>
            </w:r>
          </w:p>
        </w:tc>
      </w:tr>
    </w:tbl>
    <w:p w14:paraId="5637FFC1">
      <w:pPr>
        <w:spacing w:line="600" w:lineRule="exact"/>
        <w:ind w:firstLine="600" w:firstLineChars="200"/>
        <w:rPr>
          <w:rFonts w:ascii="仿宋_GB2312" w:hAnsi="黑体" w:eastAsia="仿宋_GB2312"/>
          <w:sz w:val="30"/>
          <w:szCs w:val="30"/>
        </w:rPr>
      </w:pPr>
      <w:r>
        <w:rPr>
          <w:rFonts w:ascii="仿宋_GB2312" w:hAnsi="Calibri" w:eastAsia="仿宋_GB2312"/>
          <w:color w:val="000000"/>
          <w:sz w:val="30"/>
          <w:szCs w:val="30"/>
        </w:rPr>
        <w:t>4</w:t>
      </w:r>
      <w:r>
        <w:rPr>
          <w:rFonts w:hint="eastAsia" w:ascii="仿宋_GB2312" w:hAnsi="Calibri" w:eastAsia="仿宋_GB2312"/>
          <w:color w:val="000000"/>
          <w:sz w:val="30"/>
          <w:szCs w:val="30"/>
        </w:rPr>
        <w:t>）</w:t>
      </w:r>
      <w:r>
        <w:rPr>
          <w:rFonts w:hint="eastAsia" w:ascii="仿宋_GB2312" w:hAnsi="Calibri" w:eastAsia="仿宋_GB2312"/>
          <w:sz w:val="30"/>
          <w:szCs w:val="30"/>
        </w:rPr>
        <w:t>出入库前提与质权设立</w:t>
      </w:r>
    </w:p>
    <w:p w14:paraId="78C5B929">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正回购方在提交质押申报时，应当确保其证券账户中有足额的质押券，且前述质押券上未设定任何形式的担保或其他第三方权利，不存在任何权属争议或权利瑕疵。</w:t>
      </w:r>
    </w:p>
    <w:p w14:paraId="75454ADE">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质权自登记结算机构将质押券转入质押库并进行出质登记时设立。质权担保范围包括质权人享有的债权、利息、违约金以及处置质押券所产生的全部税费等。</w:t>
      </w:r>
    </w:p>
    <w:p w14:paraId="4B4FB412">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综合业务</w:t>
      </w:r>
      <w:r>
        <w:rPr>
          <w:rFonts w:ascii="仿宋_GB2312" w:hAnsi="Calibri" w:eastAsia="仿宋_GB2312"/>
          <w:sz w:val="30"/>
          <w:szCs w:val="30"/>
        </w:rPr>
        <w:t>平台</w:t>
      </w:r>
      <w:r>
        <w:rPr>
          <w:rFonts w:hint="eastAsia" w:ascii="仿宋_GB2312" w:hAnsi="Calibri" w:eastAsia="仿宋_GB2312"/>
          <w:sz w:val="30"/>
          <w:szCs w:val="30"/>
        </w:rPr>
        <w:t>对质押券出入库申报进行前端控制，不可卖空。入库申报的证券数量若超过当前证券账户的可用持仓，则该笔入库申报失败。出库申报的证券数量若超过剩余融资额度对应的证券数量，则该笔出库申报失败。</w:t>
      </w:r>
    </w:p>
    <w:p w14:paraId="02070D8E">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当证券停牌时，该证券的通用回购出入库申报不受影响，正常进行。</w:t>
      </w:r>
    </w:p>
    <w:p w14:paraId="6AF35DEE">
      <w:pPr>
        <w:adjustRightInd w:val="0"/>
        <w:snapToGrid w:val="0"/>
        <w:spacing w:line="600" w:lineRule="exact"/>
        <w:ind w:firstLine="600" w:firstLineChars="200"/>
        <w:rPr>
          <w:rFonts w:ascii="仿宋_GB2312" w:hAnsi="Calibri" w:eastAsia="仿宋_GB2312"/>
          <w:color w:val="000000"/>
          <w:sz w:val="30"/>
          <w:szCs w:val="30"/>
        </w:rPr>
      </w:pPr>
      <w:r>
        <w:rPr>
          <w:rFonts w:hint="eastAsia" w:ascii="仿宋_GB2312" w:hAnsi="Calibri" w:eastAsia="仿宋_GB2312"/>
          <w:color w:val="000000"/>
          <w:sz w:val="30"/>
          <w:szCs w:val="30"/>
        </w:rPr>
        <w:t>5）日间出入库</w:t>
      </w:r>
    </w:p>
    <w:p w14:paraId="25F639D0">
      <w:pPr>
        <w:adjustRightInd w:val="0"/>
        <w:snapToGrid w:val="0"/>
        <w:spacing w:line="600" w:lineRule="exact"/>
        <w:ind w:firstLine="600" w:firstLineChars="200"/>
        <w:rPr>
          <w:rFonts w:ascii="仿宋_GB2312" w:hAnsi="Calibri" w:eastAsia="仿宋_GB2312"/>
          <w:color w:val="000000"/>
          <w:sz w:val="30"/>
          <w:szCs w:val="30"/>
        </w:rPr>
      </w:pPr>
      <w:r>
        <w:rPr>
          <w:rFonts w:hint="eastAsia" w:ascii="仿宋_GB2312" w:hAnsi="Calibri" w:eastAsia="仿宋_GB2312"/>
          <w:color w:val="000000"/>
          <w:sz w:val="30"/>
          <w:szCs w:val="30"/>
        </w:rPr>
        <w:t>当日采用多边净额结算方式买入的债券，当日可以提交质押申报并转入质押库，且当日即可用于回购融资交易。当日申报解除质押并转回成功的债券，当日可以卖出或者再次申报入库，</w:t>
      </w:r>
      <w:r>
        <w:rPr>
          <w:rFonts w:ascii="仿宋_GB2312" w:hAnsi="Calibri" w:eastAsia="仿宋_GB2312"/>
          <w:color w:val="000000"/>
          <w:sz w:val="30"/>
          <w:szCs w:val="30"/>
        </w:rPr>
        <w:t>亦</w:t>
      </w:r>
      <w:r>
        <w:rPr>
          <w:rFonts w:hint="eastAsia" w:ascii="仿宋_GB2312" w:hAnsi="Calibri" w:eastAsia="仿宋_GB2312"/>
          <w:color w:val="000000"/>
          <w:sz w:val="30"/>
          <w:szCs w:val="30"/>
        </w:rPr>
        <w:t>可以申报回售、转股。出入库结果以登记结算机构日终处理结果为准。</w:t>
      </w:r>
    </w:p>
    <w:p w14:paraId="24B908C7">
      <w:pPr>
        <w:tabs>
          <w:tab w:val="left" w:pos="3675"/>
        </w:tabs>
        <w:spacing w:line="600" w:lineRule="exact"/>
        <w:ind w:left="567"/>
        <w:outlineLvl w:val="3"/>
        <w:rPr>
          <w:rFonts w:ascii="仿宋_GB2312" w:eastAsia="仿宋_GB2312"/>
          <w:b/>
          <w:sz w:val="30"/>
          <w:szCs w:val="30"/>
        </w:rPr>
      </w:pPr>
      <w:bookmarkStart w:id="2104" w:name="_Toc35006240"/>
      <w:r>
        <w:rPr>
          <w:rFonts w:hint="eastAsia" w:ascii="仿宋_GB2312" w:eastAsia="仿宋_GB2312"/>
          <w:b/>
          <w:sz w:val="30"/>
          <w:szCs w:val="30"/>
        </w:rPr>
        <w:t>（3）融资额度管理</w:t>
      </w:r>
      <w:r>
        <w:rPr>
          <w:rFonts w:ascii="仿宋_GB2312" w:eastAsia="仿宋_GB2312"/>
          <w:b/>
          <w:sz w:val="30"/>
          <w:szCs w:val="30"/>
        </w:rPr>
        <w:tab/>
      </w:r>
    </w:p>
    <w:bookmarkEnd w:id="2104"/>
    <w:p w14:paraId="552C6E8E">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债券</w:t>
      </w:r>
      <w:r>
        <w:rPr>
          <w:rFonts w:ascii="仿宋_GB2312" w:hAnsi="微软雅黑" w:eastAsia="仿宋_GB2312"/>
          <w:color w:val="000000"/>
          <w:sz w:val="30"/>
          <w:szCs w:val="30"/>
        </w:rPr>
        <w:t>/</w:t>
      </w:r>
      <w:r>
        <w:rPr>
          <w:rFonts w:hint="eastAsia" w:ascii="仿宋_GB2312" w:hAnsi="微软雅黑" w:eastAsia="仿宋_GB2312"/>
          <w:color w:val="000000"/>
          <w:sz w:val="30"/>
          <w:szCs w:val="30"/>
        </w:rPr>
        <w:t>债券</w:t>
      </w:r>
      <w:r>
        <w:rPr>
          <w:rFonts w:ascii="仿宋_GB2312" w:hAnsi="微软雅黑" w:eastAsia="仿宋_GB2312"/>
          <w:color w:val="000000"/>
          <w:sz w:val="30"/>
          <w:szCs w:val="30"/>
        </w:rPr>
        <w:t>ETF申报为质押券后，其用于回购融资业务的质押价值将统一使用根据折算率（值）折合的融资额度数量表示。</w:t>
      </w:r>
      <w:r>
        <w:rPr>
          <w:rFonts w:hint="eastAsia" w:ascii="仿宋_GB2312" w:hAnsi="微软雅黑" w:eastAsia="仿宋_GB2312"/>
          <w:color w:val="000000"/>
          <w:sz w:val="30"/>
          <w:szCs w:val="30"/>
        </w:rPr>
        <w:t>计算公式为：</w:t>
      </w:r>
    </w:p>
    <w:p w14:paraId="6940FF9F">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单位债券</w:t>
      </w:r>
      <w:r>
        <w:rPr>
          <w:rFonts w:ascii="仿宋_GB2312" w:hAnsi="微软雅黑" w:eastAsia="仿宋_GB2312"/>
          <w:color w:val="000000"/>
          <w:sz w:val="30"/>
          <w:szCs w:val="30"/>
        </w:rPr>
        <w:t>/</w:t>
      </w:r>
      <w:r>
        <w:rPr>
          <w:rFonts w:hint="eastAsia" w:ascii="仿宋_GB2312" w:hAnsi="微软雅黑" w:eastAsia="仿宋_GB2312"/>
          <w:color w:val="000000"/>
          <w:sz w:val="30"/>
          <w:szCs w:val="30"/>
        </w:rPr>
        <w:t>债券</w:t>
      </w:r>
      <w:r>
        <w:rPr>
          <w:rFonts w:ascii="仿宋_GB2312" w:hAnsi="微软雅黑" w:eastAsia="仿宋_GB2312"/>
          <w:color w:val="000000"/>
          <w:sz w:val="30"/>
          <w:szCs w:val="30"/>
        </w:rPr>
        <w:t>ETF折合融资额度=单位债券</w:t>
      </w:r>
      <w:r>
        <w:rPr>
          <w:rFonts w:hint="eastAsia" w:ascii="仿宋_GB2312" w:hAnsi="微软雅黑" w:eastAsia="仿宋_GB2312"/>
          <w:color w:val="000000"/>
          <w:sz w:val="30"/>
          <w:szCs w:val="30"/>
        </w:rPr>
        <w:t>面额（</w:t>
      </w:r>
      <w:r>
        <w:rPr>
          <w:rFonts w:ascii="仿宋_GB2312" w:hAnsi="微软雅黑" w:eastAsia="仿宋_GB2312"/>
          <w:color w:val="000000"/>
          <w:sz w:val="30"/>
          <w:szCs w:val="30"/>
        </w:rPr>
        <w:t>份额</w:t>
      </w:r>
      <w:r>
        <w:rPr>
          <w:rFonts w:hint="eastAsia" w:ascii="仿宋_GB2312" w:hAnsi="微软雅黑" w:eastAsia="仿宋_GB2312"/>
          <w:color w:val="000000"/>
          <w:sz w:val="30"/>
          <w:szCs w:val="30"/>
        </w:rPr>
        <w:t>）</w:t>
      </w:r>
      <w:r>
        <w:rPr>
          <w:rFonts w:ascii="仿宋_GB2312" w:hAnsi="微软雅黑" w:eastAsia="仿宋_GB2312"/>
          <w:color w:val="000000"/>
          <w:sz w:val="30"/>
          <w:szCs w:val="30"/>
        </w:rPr>
        <w:t>×</w:t>
      </w:r>
      <w:r>
        <w:rPr>
          <w:rFonts w:hint="eastAsia" w:ascii="仿宋_GB2312" w:hAnsi="微软雅黑" w:eastAsia="仿宋_GB2312"/>
          <w:color w:val="000000"/>
          <w:sz w:val="30"/>
          <w:szCs w:val="30"/>
        </w:rPr>
        <w:t>质押</w:t>
      </w:r>
      <w:r>
        <w:rPr>
          <w:rFonts w:ascii="仿宋_GB2312" w:hAnsi="微软雅黑" w:eastAsia="仿宋_GB2312"/>
          <w:color w:val="000000"/>
          <w:sz w:val="30"/>
          <w:szCs w:val="30"/>
        </w:rPr>
        <w:t>券折算率（值）</w:t>
      </w:r>
    </w:p>
    <w:p w14:paraId="514C7743">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质押券的折算率可在中国证券登记结算有限责任公司的官方网站上查询，地址为：</w:t>
      </w:r>
    </w:p>
    <w:p w14:paraId="61FFC223">
      <w:pPr>
        <w:adjustRightInd w:val="0"/>
        <w:snapToGrid w:val="0"/>
        <w:spacing w:line="600" w:lineRule="exact"/>
        <w:ind w:firstLine="600"/>
        <w:rPr>
          <w:rFonts w:ascii="仿宋_GB2312" w:hAnsi="微软雅黑" w:eastAsia="仿宋_GB2312"/>
          <w:color w:val="000000"/>
          <w:sz w:val="30"/>
          <w:szCs w:val="30"/>
        </w:rPr>
      </w:pPr>
      <w:r>
        <w:rPr>
          <w:rStyle w:val="51"/>
          <w:rFonts w:hint="eastAsia" w:ascii="仿宋_GB2312" w:hAnsi="微软雅黑" w:eastAsia="仿宋_GB2312"/>
          <w:color w:val="000000"/>
          <w:sz w:val="30"/>
          <w:szCs w:val="30"/>
        </w:rPr>
        <w:t>http://www.chinaclear.cn/zdjs/zshanhai/center_scsj_list.shtml</w:t>
      </w:r>
      <w:r>
        <w:rPr>
          <w:rFonts w:hint="eastAsia" w:ascii="仿宋_GB2312" w:hAnsi="微软雅黑" w:eastAsia="仿宋_GB2312"/>
          <w:color w:val="000000"/>
          <w:sz w:val="30"/>
          <w:szCs w:val="30"/>
        </w:rPr>
        <w:t>。</w:t>
      </w:r>
    </w:p>
    <w:p w14:paraId="11415990">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质押券入库后，正回购方的可用融资额度相应增加，增加额度为入库债券按照相应质押券折算率计算出的质押券价值；质押券出库后，正回购方的可用融资额度相应扣减，扣减额度为转回债券依据质押券折算率计算出的质押券价值。</w:t>
      </w:r>
    </w:p>
    <w:p w14:paraId="3B1D477D">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本所以债券投资者为对象、以证券账户为明细核算单位进行回购融资的核算。某一账户提交的在库各品种质押券折合融资额度之和即为其可融资额度，但在库质押券与每笔未了结融资回购交易不存在一一对应关系。</w:t>
      </w:r>
    </w:p>
    <w:p w14:paraId="3EC7A3EE">
      <w:pPr>
        <w:tabs>
          <w:tab w:val="left" w:pos="3675"/>
        </w:tabs>
        <w:spacing w:line="600" w:lineRule="exact"/>
        <w:ind w:left="567"/>
        <w:outlineLvl w:val="3"/>
        <w:rPr>
          <w:rFonts w:ascii="仿宋_GB2312" w:eastAsia="仿宋_GB2312"/>
          <w:b/>
          <w:sz w:val="30"/>
          <w:szCs w:val="30"/>
        </w:rPr>
      </w:pPr>
      <w:r>
        <w:rPr>
          <w:rFonts w:hint="eastAsia" w:ascii="仿宋_GB2312" w:eastAsia="仿宋_GB2312"/>
          <w:b/>
          <w:sz w:val="30"/>
          <w:szCs w:val="30"/>
        </w:rPr>
        <w:t>（4）受信用保护债券质押式回购业务</w:t>
      </w:r>
    </w:p>
    <w:p w14:paraId="3B6A85DA">
      <w:pPr>
        <w:spacing w:line="600" w:lineRule="exact"/>
        <w:ind w:firstLine="600" w:firstLineChars="200"/>
        <w:rPr>
          <w:rFonts w:ascii="仿宋_GB2312" w:hAnsi="微软雅黑" w:eastAsia="仿宋_GB2312"/>
          <w:color w:val="000000"/>
          <w:sz w:val="30"/>
          <w:szCs w:val="30"/>
        </w:rPr>
      </w:pPr>
      <w:r>
        <w:rPr>
          <w:rFonts w:hint="eastAsia" w:ascii="仿宋_GB2312" w:hAnsi="微软雅黑" w:eastAsia="仿宋_GB2312"/>
          <w:color w:val="000000"/>
          <w:sz w:val="30"/>
          <w:szCs w:val="30"/>
        </w:rPr>
        <w:t>对于经审核符合《中国证券登记结算有限责任公司受信用保护债券质押式回购管理暂行办法》相关规定的合格受信用保护债券，债券投资者可以将该债券及对应的合格信用保护凭证一并提交转入质押库开展融资回购交易。</w:t>
      </w:r>
    </w:p>
    <w:p w14:paraId="1F8EE9E1">
      <w:pPr>
        <w:spacing w:line="600" w:lineRule="exact"/>
        <w:ind w:firstLine="600" w:firstLineChars="200"/>
        <w:rPr>
          <w:rFonts w:ascii="仿宋_GB2312" w:hAnsi="微软雅黑" w:eastAsia="仿宋_GB2312"/>
          <w:color w:val="000000"/>
          <w:sz w:val="30"/>
          <w:szCs w:val="30"/>
        </w:rPr>
      </w:pPr>
      <w:r>
        <w:rPr>
          <w:rFonts w:hint="eastAsia" w:ascii="仿宋_GB2312" w:hAnsi="微软雅黑" w:eastAsia="仿宋_GB2312"/>
          <w:color w:val="000000"/>
          <w:sz w:val="30"/>
          <w:szCs w:val="30"/>
        </w:rPr>
        <w:t>具体事项按照</w:t>
      </w:r>
      <w:r>
        <w:rPr>
          <w:rFonts w:ascii="仿宋_GB2312" w:hAnsi="微软雅黑" w:eastAsia="仿宋_GB2312"/>
          <w:color w:val="000000"/>
          <w:sz w:val="30"/>
          <w:szCs w:val="30"/>
        </w:rPr>
        <w:t>《</w:t>
      </w:r>
      <w:r>
        <w:rPr>
          <w:rFonts w:hint="eastAsia" w:ascii="仿宋_GB2312" w:hAnsi="微软雅黑" w:eastAsia="仿宋_GB2312"/>
          <w:color w:val="000000"/>
          <w:sz w:val="30"/>
          <w:szCs w:val="30"/>
        </w:rPr>
        <w:t>中国证券登记结算有限责任公司上海分公司结算账户管理及资金结算业务指南</w:t>
      </w:r>
      <w:r>
        <w:rPr>
          <w:rFonts w:ascii="仿宋_GB2312" w:hAnsi="微软雅黑" w:eastAsia="仿宋_GB2312"/>
          <w:color w:val="000000"/>
          <w:sz w:val="30"/>
          <w:szCs w:val="30"/>
        </w:rPr>
        <w:t>》</w:t>
      </w:r>
      <w:r>
        <w:rPr>
          <w:rFonts w:hint="eastAsia" w:ascii="仿宋_GB2312" w:hAnsi="微软雅黑" w:eastAsia="仿宋_GB2312"/>
          <w:color w:val="000000"/>
          <w:sz w:val="30"/>
          <w:szCs w:val="30"/>
          <w:lang w:eastAsia="zh-CN"/>
        </w:rPr>
        <w:t>相关章节</w:t>
      </w:r>
      <w:r>
        <w:rPr>
          <w:rFonts w:hint="eastAsia" w:ascii="仿宋_GB2312" w:hAnsi="微软雅黑" w:eastAsia="仿宋_GB2312"/>
          <w:color w:val="000000"/>
          <w:sz w:val="30"/>
          <w:szCs w:val="30"/>
        </w:rPr>
        <w:t>实施</w:t>
      </w:r>
      <w:r>
        <w:rPr>
          <w:rFonts w:ascii="仿宋_GB2312" w:hAnsi="微软雅黑" w:eastAsia="仿宋_GB2312"/>
          <w:color w:val="000000"/>
          <w:sz w:val="30"/>
          <w:szCs w:val="30"/>
        </w:rPr>
        <w:t>。</w:t>
      </w:r>
    </w:p>
    <w:p w14:paraId="17ED2C9F">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通用回购匹配成交交易</w:t>
      </w:r>
    </w:p>
    <w:p w14:paraId="33FEF678">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根据</w:t>
      </w:r>
      <w:r>
        <w:rPr>
          <w:rFonts w:ascii="仿宋_GB2312" w:hAnsi="微软雅黑" w:eastAsia="仿宋_GB2312"/>
          <w:color w:val="000000"/>
          <w:sz w:val="30"/>
          <w:szCs w:val="30"/>
        </w:rPr>
        <w:t>《</w:t>
      </w:r>
      <w:r>
        <w:rPr>
          <w:rFonts w:hint="eastAsia" w:ascii="仿宋_GB2312" w:hAnsi="微软雅黑" w:eastAsia="仿宋_GB2312"/>
          <w:color w:val="000000"/>
          <w:sz w:val="30"/>
          <w:szCs w:val="30"/>
        </w:rPr>
        <w:t>上海证券交易所债券交易规则适用指引第2号——债券通用质押式回购交易</w:t>
      </w:r>
      <w:r>
        <w:rPr>
          <w:rFonts w:ascii="仿宋_GB2312" w:hAnsi="微软雅黑" w:eastAsia="仿宋_GB2312"/>
          <w:color w:val="000000"/>
          <w:sz w:val="30"/>
          <w:szCs w:val="30"/>
        </w:rPr>
        <w:t>》</w:t>
      </w:r>
      <w:r>
        <w:rPr>
          <w:rFonts w:hint="eastAsia" w:ascii="仿宋_GB2312" w:hAnsi="微软雅黑" w:eastAsia="仿宋_GB2312"/>
          <w:color w:val="000000"/>
          <w:sz w:val="30"/>
          <w:szCs w:val="30"/>
        </w:rPr>
        <w:t>，通用回购交易可以采用匹配成交、点击成交、询价成交、竞买成交、协商成交以及本所认可的其他交易方式达成，其中初期仅采用匹配成交交易方式，</w:t>
      </w:r>
      <w:r>
        <w:rPr>
          <w:rFonts w:ascii="仿宋_GB2312" w:hAnsi="微软雅黑" w:eastAsia="仿宋_GB2312"/>
          <w:color w:val="000000"/>
          <w:sz w:val="30"/>
          <w:szCs w:val="30"/>
        </w:rPr>
        <w:t>匹配成交</w:t>
      </w:r>
      <w:r>
        <w:rPr>
          <w:rFonts w:hint="eastAsia" w:ascii="仿宋_GB2312" w:hAnsi="微软雅黑" w:eastAsia="仿宋_GB2312"/>
          <w:color w:val="000000"/>
          <w:sz w:val="30"/>
          <w:szCs w:val="30"/>
        </w:rPr>
        <w:t>以外的</w:t>
      </w:r>
      <w:r>
        <w:rPr>
          <w:rFonts w:ascii="仿宋_GB2312" w:hAnsi="微软雅黑" w:eastAsia="仿宋_GB2312"/>
          <w:color w:val="000000"/>
          <w:sz w:val="30"/>
          <w:szCs w:val="30"/>
        </w:rPr>
        <w:t>交易方式</w:t>
      </w:r>
      <w:r>
        <w:rPr>
          <w:rFonts w:hint="eastAsia" w:ascii="仿宋_GB2312" w:hAnsi="微软雅黑" w:eastAsia="仿宋_GB2312"/>
          <w:color w:val="000000"/>
          <w:sz w:val="30"/>
          <w:szCs w:val="30"/>
        </w:rPr>
        <w:t>暂缓实施。</w:t>
      </w:r>
    </w:p>
    <w:p w14:paraId="020E0628">
      <w:pPr>
        <w:spacing w:line="600" w:lineRule="exact"/>
        <w:ind w:left="567"/>
        <w:outlineLvl w:val="3"/>
        <w:rPr>
          <w:rFonts w:ascii="仿宋_GB2312" w:eastAsia="仿宋_GB2312"/>
          <w:b/>
          <w:sz w:val="30"/>
          <w:szCs w:val="30"/>
        </w:rPr>
      </w:pPr>
      <w:r>
        <w:rPr>
          <w:rFonts w:hint="eastAsia" w:ascii="仿宋_GB2312" w:eastAsia="仿宋_GB2312"/>
          <w:b/>
          <w:sz w:val="30"/>
          <w:szCs w:val="30"/>
        </w:rPr>
        <w:t>（1）交易方向</w:t>
      </w:r>
    </w:p>
    <w:p w14:paraId="6087E66A">
      <w:pPr>
        <w:adjustRightInd w:val="0"/>
        <w:snapToGrid w:val="0"/>
        <w:spacing w:line="600" w:lineRule="exact"/>
        <w:ind w:firstLine="600"/>
        <w:rPr>
          <w:rFonts w:ascii="仿宋_GB2312" w:hAnsi="宋体" w:eastAsia="仿宋_GB2312"/>
          <w:sz w:val="30"/>
          <w:szCs w:val="30"/>
        </w:rPr>
      </w:pPr>
      <w:r>
        <w:rPr>
          <w:rFonts w:ascii="仿宋_GB2312" w:hAnsi="宋体" w:eastAsia="仿宋_GB2312"/>
          <w:sz w:val="30"/>
          <w:szCs w:val="30"/>
        </w:rPr>
        <w:t>回购交易申报中，正回购方按“买入”方向予以申报，逆回购方按“卖出”方向予以申报。</w:t>
      </w:r>
    </w:p>
    <w:p w14:paraId="6F0D1D77">
      <w:pPr>
        <w:spacing w:line="600" w:lineRule="exact"/>
        <w:ind w:left="567"/>
        <w:outlineLvl w:val="3"/>
        <w:rPr>
          <w:rFonts w:ascii="仿宋_GB2312" w:eastAsia="仿宋_GB2312"/>
          <w:b/>
          <w:sz w:val="30"/>
          <w:szCs w:val="30"/>
        </w:rPr>
      </w:pPr>
      <w:r>
        <w:rPr>
          <w:rFonts w:hint="eastAsia" w:ascii="仿宋_GB2312" w:eastAsia="仿宋_GB2312"/>
          <w:b/>
          <w:sz w:val="30"/>
          <w:szCs w:val="30"/>
        </w:rPr>
        <w:t>（2）交易</w:t>
      </w:r>
      <w:r>
        <w:rPr>
          <w:rFonts w:hint="eastAsia" w:ascii="仿宋_GB2312" w:hAnsi="黑体" w:eastAsia="仿宋_GB2312"/>
          <w:b/>
          <w:sz w:val="30"/>
          <w:szCs w:val="30"/>
        </w:rPr>
        <w:t>申报</w:t>
      </w:r>
    </w:p>
    <w:p w14:paraId="6EEF9411">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本所接受通用回购交易申报的时间为每个交易日的9:15至9:25，</w:t>
      </w:r>
      <w:r>
        <w:rPr>
          <w:rFonts w:ascii="仿宋_GB2312" w:hAnsi="宋体" w:eastAsia="仿宋_GB2312"/>
          <w:sz w:val="30"/>
          <w:szCs w:val="30"/>
        </w:rPr>
        <w:t>9：30至11：30，13：00至15：30。本所可以根据市场需要调整通用回购的申报时间。</w:t>
      </w:r>
    </w:p>
    <w:p w14:paraId="04AD9576">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申报价格与申报数量详见本指南第4</w:t>
      </w:r>
      <w:r>
        <w:rPr>
          <w:rFonts w:ascii="仿宋_GB2312" w:hAnsi="宋体" w:eastAsia="仿宋_GB2312"/>
          <w:sz w:val="30"/>
          <w:szCs w:val="30"/>
        </w:rPr>
        <w:t>章</w:t>
      </w:r>
      <w:r>
        <w:rPr>
          <w:rFonts w:hint="eastAsia" w:ascii="仿宋_GB2312" w:hAnsi="宋体" w:eastAsia="仿宋_GB2312"/>
          <w:sz w:val="30"/>
          <w:szCs w:val="30"/>
        </w:rPr>
        <w:t>“债券交易一般要求”。</w:t>
      </w:r>
      <w:r>
        <w:rPr>
          <w:rFonts w:hint="eastAsia" w:ascii="仿宋_GB2312" w:hAnsi="仿宋" w:eastAsia="仿宋_GB2312"/>
          <w:sz w:val="30"/>
          <w:szCs w:val="30"/>
        </w:rPr>
        <w:t>申报要素应当包括证券代码、交易方向、价格、数量、证券账号等内容。具体如下：</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6429"/>
      </w:tblGrid>
      <w:tr w14:paraId="76690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3B21022C">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6429" w:type="dxa"/>
          </w:tcPr>
          <w:p w14:paraId="58302468">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302CF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698BE607">
            <w:pPr>
              <w:adjustRightInd w:val="0"/>
              <w:snapToGrid w:val="0"/>
              <w:rPr>
                <w:rFonts w:ascii="仿宋_GB2312" w:eastAsia="仿宋_GB2312"/>
                <w:b/>
                <w:kern w:val="0"/>
                <w:sz w:val="24"/>
                <w:szCs w:val="24"/>
              </w:rPr>
            </w:pPr>
            <w:r>
              <w:rPr>
                <w:rFonts w:hint="eastAsia" w:ascii="仿宋_GB2312" w:eastAsia="仿宋_GB2312"/>
                <w:b/>
                <w:kern w:val="0"/>
                <w:sz w:val="24"/>
                <w:szCs w:val="24"/>
              </w:rPr>
              <w:t>证券代码</w:t>
            </w:r>
          </w:p>
        </w:tc>
        <w:tc>
          <w:tcPr>
            <w:tcW w:w="6429" w:type="dxa"/>
          </w:tcPr>
          <w:p w14:paraId="27455EEF">
            <w:pPr>
              <w:adjustRightInd w:val="0"/>
              <w:snapToGrid w:val="0"/>
              <w:rPr>
                <w:rFonts w:ascii="仿宋_GB2312" w:eastAsia="仿宋_GB2312"/>
                <w:kern w:val="0"/>
                <w:sz w:val="24"/>
                <w:szCs w:val="24"/>
              </w:rPr>
            </w:pPr>
            <w:r>
              <w:rPr>
                <w:rFonts w:hint="eastAsia" w:ascii="仿宋_GB2312" w:eastAsia="仿宋_GB2312"/>
                <w:kern w:val="0"/>
                <w:sz w:val="24"/>
                <w:szCs w:val="24"/>
              </w:rPr>
              <w:t>通用回购的证券代码</w:t>
            </w:r>
          </w:p>
        </w:tc>
      </w:tr>
      <w:tr w14:paraId="2E360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1920006F">
            <w:pPr>
              <w:adjustRightInd w:val="0"/>
              <w:snapToGrid w:val="0"/>
              <w:rPr>
                <w:rFonts w:ascii="仿宋_GB2312" w:eastAsia="仿宋_GB2312"/>
                <w:b/>
                <w:kern w:val="0"/>
                <w:sz w:val="24"/>
                <w:szCs w:val="24"/>
              </w:rPr>
            </w:pPr>
            <w:r>
              <w:rPr>
                <w:rFonts w:hint="eastAsia" w:ascii="仿宋_GB2312" w:eastAsia="仿宋_GB2312"/>
                <w:b/>
                <w:kern w:val="0"/>
                <w:sz w:val="24"/>
                <w:szCs w:val="24"/>
              </w:rPr>
              <w:t>交易方向</w:t>
            </w:r>
          </w:p>
        </w:tc>
        <w:tc>
          <w:tcPr>
            <w:tcW w:w="6429" w:type="dxa"/>
          </w:tcPr>
          <w:p w14:paraId="02F912C9">
            <w:pPr>
              <w:adjustRightInd w:val="0"/>
              <w:snapToGrid w:val="0"/>
              <w:rPr>
                <w:rFonts w:ascii="仿宋_GB2312" w:eastAsia="仿宋_GB2312"/>
                <w:kern w:val="0"/>
                <w:sz w:val="24"/>
                <w:szCs w:val="24"/>
              </w:rPr>
            </w:pPr>
            <w:r>
              <w:rPr>
                <w:rFonts w:hint="eastAsia" w:ascii="仿宋_GB2312" w:eastAsia="仿宋_GB2312"/>
                <w:kern w:val="0"/>
                <w:sz w:val="24"/>
                <w:szCs w:val="24"/>
              </w:rPr>
              <w:t>交易的买卖方向，即买入/卖出</w:t>
            </w:r>
            <w:r>
              <w:rPr>
                <w:rFonts w:ascii="仿宋_GB2312" w:eastAsia="仿宋_GB2312"/>
                <w:kern w:val="0"/>
                <w:sz w:val="24"/>
                <w:szCs w:val="24"/>
              </w:rPr>
              <w:t>.</w:t>
            </w:r>
            <w:r>
              <w:rPr>
                <w:rFonts w:hint="eastAsia" w:ascii="仿宋_GB2312" w:eastAsia="仿宋_GB2312"/>
                <w:kern w:val="0"/>
                <w:sz w:val="24"/>
                <w:szCs w:val="24"/>
              </w:rPr>
              <w:t xml:space="preserve"> 正回购方按</w:t>
            </w:r>
            <w:r>
              <w:rPr>
                <w:rFonts w:ascii="仿宋_GB2312" w:eastAsia="仿宋_GB2312"/>
                <w:kern w:val="0"/>
                <w:sz w:val="24"/>
                <w:szCs w:val="24"/>
              </w:rPr>
              <w:t>“</w:t>
            </w:r>
            <w:r>
              <w:rPr>
                <w:rFonts w:hint="eastAsia" w:ascii="仿宋_GB2312" w:eastAsia="仿宋_GB2312"/>
                <w:kern w:val="0"/>
                <w:sz w:val="24"/>
                <w:szCs w:val="24"/>
              </w:rPr>
              <w:t>买入</w:t>
            </w:r>
            <w:r>
              <w:rPr>
                <w:rFonts w:ascii="仿宋_GB2312" w:eastAsia="仿宋_GB2312"/>
                <w:kern w:val="0"/>
                <w:sz w:val="24"/>
                <w:szCs w:val="24"/>
              </w:rPr>
              <w:t>”</w:t>
            </w:r>
            <w:r>
              <w:rPr>
                <w:rFonts w:hint="eastAsia" w:ascii="仿宋_GB2312" w:eastAsia="仿宋_GB2312"/>
                <w:kern w:val="0"/>
                <w:sz w:val="24"/>
                <w:szCs w:val="24"/>
              </w:rPr>
              <w:t>方向予以申报，逆回购方按</w:t>
            </w:r>
            <w:r>
              <w:rPr>
                <w:rFonts w:ascii="仿宋_GB2312" w:eastAsia="仿宋_GB2312"/>
                <w:kern w:val="0"/>
                <w:sz w:val="24"/>
                <w:szCs w:val="24"/>
              </w:rPr>
              <w:t>“</w:t>
            </w:r>
            <w:r>
              <w:rPr>
                <w:rFonts w:hint="eastAsia" w:ascii="仿宋_GB2312" w:eastAsia="仿宋_GB2312"/>
                <w:kern w:val="0"/>
                <w:sz w:val="24"/>
                <w:szCs w:val="24"/>
              </w:rPr>
              <w:t>卖出</w:t>
            </w:r>
            <w:r>
              <w:rPr>
                <w:rFonts w:ascii="仿宋_GB2312" w:eastAsia="仿宋_GB2312"/>
                <w:kern w:val="0"/>
                <w:sz w:val="24"/>
                <w:szCs w:val="24"/>
              </w:rPr>
              <w:t>”</w:t>
            </w:r>
            <w:r>
              <w:rPr>
                <w:rFonts w:hint="eastAsia" w:ascii="仿宋_GB2312" w:eastAsia="仿宋_GB2312"/>
                <w:kern w:val="0"/>
                <w:sz w:val="24"/>
                <w:szCs w:val="24"/>
              </w:rPr>
              <w:t>方向予以申报。</w:t>
            </w:r>
          </w:p>
        </w:tc>
      </w:tr>
      <w:tr w14:paraId="4DD31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93" w:type="dxa"/>
          </w:tcPr>
          <w:p w14:paraId="5EA00BC0">
            <w:pPr>
              <w:adjustRightInd w:val="0"/>
              <w:snapToGrid w:val="0"/>
              <w:rPr>
                <w:rFonts w:ascii="仿宋_GB2312" w:eastAsia="仿宋_GB2312"/>
                <w:b/>
                <w:kern w:val="0"/>
                <w:sz w:val="24"/>
                <w:szCs w:val="24"/>
              </w:rPr>
            </w:pPr>
            <w:r>
              <w:rPr>
                <w:rFonts w:hint="eastAsia" w:ascii="仿宋_GB2312" w:eastAsia="仿宋_GB2312"/>
                <w:b/>
                <w:kern w:val="0"/>
                <w:sz w:val="24"/>
                <w:szCs w:val="24"/>
              </w:rPr>
              <w:t>申报价格</w:t>
            </w:r>
          </w:p>
        </w:tc>
        <w:tc>
          <w:tcPr>
            <w:tcW w:w="6429" w:type="dxa"/>
          </w:tcPr>
          <w:p w14:paraId="19A68CD5">
            <w:pPr>
              <w:adjustRightInd w:val="0"/>
              <w:snapToGrid w:val="0"/>
              <w:rPr>
                <w:rFonts w:ascii="仿宋_GB2312" w:eastAsia="仿宋_GB2312"/>
                <w:kern w:val="0"/>
                <w:sz w:val="24"/>
                <w:szCs w:val="24"/>
              </w:rPr>
            </w:pPr>
            <w:r>
              <w:rPr>
                <w:rFonts w:hint="eastAsia" w:ascii="仿宋_GB2312" w:eastAsia="仿宋_GB2312"/>
                <w:kern w:val="0"/>
                <w:sz w:val="24"/>
                <w:szCs w:val="24"/>
              </w:rPr>
              <w:t>交易的价格，“每百元资金到期年收益”，金额单位：元。</w:t>
            </w:r>
          </w:p>
        </w:tc>
      </w:tr>
      <w:tr w14:paraId="19F34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155E44D7">
            <w:pPr>
              <w:adjustRightInd w:val="0"/>
              <w:snapToGrid w:val="0"/>
              <w:rPr>
                <w:rFonts w:ascii="仿宋_GB2312" w:eastAsia="仿宋_GB2312"/>
                <w:b/>
                <w:kern w:val="0"/>
                <w:sz w:val="24"/>
                <w:szCs w:val="24"/>
              </w:rPr>
            </w:pPr>
            <w:r>
              <w:rPr>
                <w:rFonts w:hint="eastAsia" w:ascii="仿宋_GB2312" w:eastAsia="仿宋_GB2312"/>
                <w:b/>
                <w:kern w:val="0"/>
                <w:sz w:val="24"/>
                <w:szCs w:val="24"/>
              </w:rPr>
              <w:t>申报数量</w:t>
            </w:r>
          </w:p>
        </w:tc>
        <w:tc>
          <w:tcPr>
            <w:tcW w:w="6429" w:type="dxa"/>
          </w:tcPr>
          <w:p w14:paraId="6EBCFE77">
            <w:pPr>
              <w:adjustRightInd w:val="0"/>
              <w:snapToGrid w:val="0"/>
              <w:rPr>
                <w:rFonts w:ascii="仿宋_GB2312" w:eastAsia="仿宋_GB2312"/>
                <w:kern w:val="0"/>
                <w:sz w:val="24"/>
                <w:szCs w:val="24"/>
              </w:rPr>
            </w:pPr>
            <w:r>
              <w:rPr>
                <w:rFonts w:hint="eastAsia" w:ascii="仿宋_GB2312" w:eastAsia="仿宋_GB2312"/>
                <w:kern w:val="0"/>
                <w:sz w:val="24"/>
                <w:szCs w:val="24"/>
              </w:rPr>
              <w:t>交易的数量，单位：千元面额。</w:t>
            </w:r>
          </w:p>
        </w:tc>
      </w:tr>
      <w:tr w14:paraId="69ED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278E5711">
            <w:pPr>
              <w:adjustRightInd w:val="0"/>
              <w:snapToGrid w:val="0"/>
              <w:rPr>
                <w:rFonts w:ascii="仿宋_GB2312" w:eastAsia="仿宋_GB2312"/>
                <w:b/>
                <w:kern w:val="0"/>
                <w:sz w:val="24"/>
                <w:szCs w:val="24"/>
              </w:rPr>
            </w:pPr>
            <w:r>
              <w:rPr>
                <w:rFonts w:hint="eastAsia" w:ascii="仿宋_GB2312" w:eastAsia="仿宋_GB2312"/>
                <w:b/>
                <w:kern w:val="0"/>
                <w:sz w:val="24"/>
                <w:szCs w:val="24"/>
              </w:rPr>
              <w:t>申报账号</w:t>
            </w:r>
          </w:p>
        </w:tc>
        <w:tc>
          <w:tcPr>
            <w:tcW w:w="6429" w:type="dxa"/>
          </w:tcPr>
          <w:p w14:paraId="5906CEDE">
            <w:pPr>
              <w:adjustRightInd w:val="0"/>
              <w:snapToGrid w:val="0"/>
              <w:rPr>
                <w:rFonts w:ascii="仿宋_GB2312" w:eastAsia="仿宋_GB2312"/>
                <w:kern w:val="0"/>
                <w:sz w:val="24"/>
                <w:szCs w:val="24"/>
              </w:rPr>
            </w:pPr>
            <w:r>
              <w:rPr>
                <w:rFonts w:hint="eastAsia" w:ascii="仿宋_GB2312" w:eastAsia="仿宋_GB2312"/>
                <w:kern w:val="0"/>
                <w:sz w:val="24"/>
                <w:szCs w:val="24"/>
              </w:rPr>
              <w:t>交易的证券账户号码</w:t>
            </w:r>
          </w:p>
        </w:tc>
      </w:tr>
      <w:tr w14:paraId="2D070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26E52545">
            <w:pPr>
              <w:adjustRightInd w:val="0"/>
              <w:snapToGrid w:val="0"/>
              <w:rPr>
                <w:rFonts w:ascii="仿宋_GB2312" w:eastAsia="仿宋_GB2312"/>
                <w:b/>
                <w:kern w:val="0"/>
                <w:sz w:val="24"/>
                <w:szCs w:val="24"/>
              </w:rPr>
            </w:pPr>
            <w:r>
              <w:rPr>
                <w:rFonts w:hint="eastAsia" w:ascii="仿宋_GB2312" w:eastAsia="仿宋_GB2312"/>
                <w:b/>
                <w:kern w:val="0"/>
                <w:sz w:val="24"/>
                <w:szCs w:val="24"/>
              </w:rPr>
              <w:t>申报日期时间</w:t>
            </w:r>
          </w:p>
        </w:tc>
        <w:tc>
          <w:tcPr>
            <w:tcW w:w="6429" w:type="dxa"/>
          </w:tcPr>
          <w:p w14:paraId="7965F28B">
            <w:pPr>
              <w:adjustRightInd w:val="0"/>
              <w:snapToGrid w:val="0"/>
              <w:rPr>
                <w:rFonts w:ascii="仿宋_GB2312" w:eastAsia="仿宋_GB2312"/>
                <w:kern w:val="0"/>
                <w:sz w:val="24"/>
                <w:szCs w:val="24"/>
              </w:rPr>
            </w:pPr>
            <w:r>
              <w:rPr>
                <w:rFonts w:hint="eastAsia" w:ascii="仿宋_GB2312" w:eastAsia="仿宋_GB2312"/>
                <w:kern w:val="0"/>
                <w:sz w:val="24"/>
                <w:szCs w:val="24"/>
              </w:rPr>
              <w:t>交易申报日期（年月日）及时间（时分秒），自动显示</w:t>
            </w:r>
          </w:p>
        </w:tc>
      </w:tr>
      <w:tr w14:paraId="1C14E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93" w:type="dxa"/>
          </w:tcPr>
          <w:p w14:paraId="64CCAF6E">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rPr>
              <w:t>申报</w:t>
            </w:r>
            <w:r>
              <w:rPr>
                <w:rFonts w:hint="eastAsia" w:ascii="仿宋_GB2312" w:eastAsia="仿宋_GB2312"/>
                <w:b/>
                <w:kern w:val="0"/>
                <w:sz w:val="24"/>
                <w:szCs w:val="24"/>
                <w:lang w:eastAsia="zh-CN"/>
              </w:rPr>
              <w:t>交易单元</w:t>
            </w:r>
          </w:p>
        </w:tc>
        <w:tc>
          <w:tcPr>
            <w:tcW w:w="6429" w:type="dxa"/>
          </w:tcPr>
          <w:p w14:paraId="32BFABFC">
            <w:pPr>
              <w:adjustRightInd w:val="0"/>
              <w:snapToGrid w:val="0"/>
              <w:rPr>
                <w:rFonts w:ascii="仿宋_GB2312" w:eastAsia="仿宋_GB2312"/>
                <w:kern w:val="0"/>
                <w:sz w:val="24"/>
                <w:szCs w:val="24"/>
              </w:rPr>
            </w:pPr>
            <w:r>
              <w:rPr>
                <w:rFonts w:hint="eastAsia" w:ascii="仿宋_GB2312" w:eastAsia="仿宋_GB2312"/>
                <w:kern w:val="0"/>
                <w:sz w:val="24"/>
                <w:szCs w:val="24"/>
              </w:rPr>
              <w:t>债券交易参与人的交易单元号码，自动显示</w:t>
            </w:r>
          </w:p>
        </w:tc>
      </w:tr>
      <w:tr w14:paraId="00F9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377A046E">
            <w:pPr>
              <w:adjustRightInd w:val="0"/>
              <w:snapToGrid w:val="0"/>
              <w:rPr>
                <w:rFonts w:ascii="仿宋_GB2312" w:eastAsia="仿宋_GB2312"/>
                <w:b/>
                <w:kern w:val="0"/>
                <w:sz w:val="24"/>
                <w:szCs w:val="24"/>
              </w:rPr>
            </w:pPr>
            <w:r>
              <w:rPr>
                <w:rFonts w:hint="eastAsia" w:ascii="仿宋_GB2312" w:eastAsia="仿宋_GB2312"/>
                <w:b/>
                <w:kern w:val="0"/>
                <w:sz w:val="24"/>
                <w:szCs w:val="24"/>
              </w:rPr>
              <w:t>申报编号</w:t>
            </w:r>
          </w:p>
        </w:tc>
        <w:tc>
          <w:tcPr>
            <w:tcW w:w="6429" w:type="dxa"/>
          </w:tcPr>
          <w:p w14:paraId="0FC5C21F">
            <w:pPr>
              <w:adjustRightInd w:val="0"/>
              <w:snapToGrid w:val="0"/>
              <w:rPr>
                <w:rFonts w:ascii="仿宋_GB2312" w:eastAsia="仿宋_GB2312"/>
                <w:kern w:val="0"/>
                <w:sz w:val="24"/>
                <w:szCs w:val="24"/>
              </w:rPr>
            </w:pPr>
            <w:r>
              <w:rPr>
                <w:rFonts w:hint="eastAsia" w:ascii="仿宋_GB2312" w:eastAsia="仿宋_GB2312"/>
                <w:kern w:val="0"/>
                <w:sz w:val="24"/>
                <w:szCs w:val="24"/>
              </w:rPr>
              <w:t>债券交易参与人为申报订单编制的序号，自动显示</w:t>
            </w:r>
          </w:p>
        </w:tc>
      </w:tr>
    </w:tbl>
    <w:p w14:paraId="302C6887">
      <w:pPr>
        <w:adjustRightInd w:val="0"/>
        <w:snapToGrid w:val="0"/>
        <w:spacing w:line="600" w:lineRule="exact"/>
        <w:ind w:firstLine="600" w:firstLineChars="200"/>
        <w:rPr>
          <w:rFonts w:ascii="仿宋_GB2312" w:hAnsi="宋体" w:eastAsia="仿宋_GB2312"/>
          <w:sz w:val="30"/>
          <w:szCs w:val="30"/>
        </w:rPr>
      </w:pPr>
      <w:r>
        <w:rPr>
          <w:rFonts w:ascii="仿宋_GB2312" w:hAnsi="宋体" w:eastAsia="仿宋_GB2312"/>
          <w:sz w:val="30"/>
          <w:szCs w:val="30"/>
        </w:rPr>
        <w:t>T日提交回购申报指令时，</w:t>
      </w:r>
      <w:r>
        <w:rPr>
          <w:rFonts w:hint="eastAsia" w:ascii="仿宋_GB2312" w:hAnsi="宋体" w:eastAsia="仿宋_GB2312"/>
          <w:sz w:val="30"/>
          <w:szCs w:val="30"/>
        </w:rPr>
        <w:t>新债券交易系统将</w:t>
      </w:r>
      <w:r>
        <w:rPr>
          <w:rFonts w:ascii="仿宋_GB2312" w:hAnsi="宋体" w:eastAsia="仿宋_GB2312"/>
          <w:sz w:val="30"/>
          <w:szCs w:val="30"/>
        </w:rPr>
        <w:t>对回购申报账户合法性（指定交易）进行检查。</w:t>
      </w:r>
      <w:r>
        <w:rPr>
          <w:rFonts w:hint="eastAsia" w:ascii="仿宋_GB2312" w:hAnsi="宋体" w:eastAsia="仿宋_GB2312"/>
          <w:sz w:val="30"/>
          <w:szCs w:val="30"/>
        </w:rPr>
        <w:t>正回购方可以在其质押券对应的融资额度内进行融资回购交易申报，系统将对</w:t>
      </w:r>
      <w:r>
        <w:rPr>
          <w:rFonts w:ascii="仿宋_GB2312" w:hAnsi="宋体" w:eastAsia="仿宋_GB2312"/>
          <w:sz w:val="30"/>
          <w:szCs w:val="30"/>
        </w:rPr>
        <w:t>正回购交易申报中的融资金额和该证券账户的实时可融资额度进行比较，如果申报的</w:t>
      </w:r>
      <w:r>
        <w:rPr>
          <w:rFonts w:hint="eastAsia" w:ascii="仿宋_GB2312" w:hAnsi="Calibri" w:eastAsia="仿宋_GB2312"/>
          <w:sz w:val="30"/>
          <w:szCs w:val="30"/>
        </w:rPr>
        <w:t>融资金额</w:t>
      </w:r>
      <w:r>
        <w:rPr>
          <w:rFonts w:hint="eastAsia" w:ascii="仿宋_GB2312" w:hAnsi="宋体" w:eastAsia="仿宋_GB2312"/>
          <w:sz w:val="30"/>
          <w:szCs w:val="30"/>
        </w:rPr>
        <w:t>超过该证券账户实时可融资额度则属于无效申报。</w:t>
      </w:r>
    </w:p>
    <w:p w14:paraId="672CA53E">
      <w:pPr>
        <w:spacing w:line="600" w:lineRule="exact"/>
        <w:ind w:left="567" w:firstLine="150" w:firstLineChars="50"/>
        <w:outlineLvl w:val="3"/>
        <w:rPr>
          <w:rFonts w:ascii="仿宋_GB2312" w:eastAsia="仿宋_GB2312"/>
          <w:b/>
          <w:sz w:val="30"/>
          <w:szCs w:val="30"/>
        </w:rPr>
      </w:pPr>
      <w:r>
        <w:rPr>
          <w:rFonts w:hint="eastAsia" w:ascii="仿宋_GB2312" w:eastAsia="仿宋_GB2312"/>
          <w:b/>
          <w:sz w:val="30"/>
          <w:szCs w:val="30"/>
        </w:rPr>
        <w:t>（3）成交</w:t>
      </w:r>
    </w:p>
    <w:p w14:paraId="75A2A30D">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新债券交易系统将有效的正回购交易申报和逆回购交易申报撮合配对，回购交易达成，新债券交易系统根据相应成交金额实时扣减正回购方相应证券账户的可融资额度。</w:t>
      </w:r>
    </w:p>
    <w:p w14:paraId="7CFCC823">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新债券交易系统将回购交易成交数据发送给交易对应的买卖双方。成交要素包括成交编号、价格、数量等信息，具体如下：</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6429"/>
      </w:tblGrid>
      <w:tr w14:paraId="3CE0C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46BB68CF">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6429" w:type="dxa"/>
          </w:tcPr>
          <w:p w14:paraId="180B8BED">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77415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781EB68C">
            <w:pPr>
              <w:adjustRightInd w:val="0"/>
              <w:snapToGrid w:val="0"/>
              <w:rPr>
                <w:rFonts w:ascii="仿宋_GB2312" w:eastAsia="仿宋_GB2312"/>
                <w:b/>
                <w:kern w:val="0"/>
                <w:sz w:val="24"/>
                <w:szCs w:val="24"/>
              </w:rPr>
            </w:pPr>
            <w:r>
              <w:rPr>
                <w:rFonts w:hint="eastAsia" w:ascii="仿宋_GB2312" w:eastAsia="仿宋_GB2312"/>
                <w:b/>
                <w:kern w:val="0"/>
                <w:sz w:val="24"/>
                <w:szCs w:val="24"/>
              </w:rPr>
              <w:t>成交编号</w:t>
            </w:r>
          </w:p>
        </w:tc>
        <w:tc>
          <w:tcPr>
            <w:tcW w:w="6429" w:type="dxa"/>
          </w:tcPr>
          <w:p w14:paraId="15F2C92F">
            <w:pPr>
              <w:adjustRightInd w:val="0"/>
              <w:snapToGrid w:val="0"/>
              <w:rPr>
                <w:rFonts w:ascii="仿宋_GB2312" w:eastAsia="仿宋_GB2312"/>
                <w:kern w:val="0"/>
                <w:sz w:val="24"/>
                <w:szCs w:val="24"/>
              </w:rPr>
            </w:pPr>
            <w:r>
              <w:rPr>
                <w:rFonts w:hint="eastAsia" w:ascii="仿宋_GB2312" w:eastAsia="仿宋_GB2312"/>
                <w:kern w:val="0"/>
                <w:sz w:val="24"/>
                <w:szCs w:val="24"/>
              </w:rPr>
              <w:t>系统给成交单分配的唯一标识</w:t>
            </w:r>
          </w:p>
        </w:tc>
      </w:tr>
      <w:tr w14:paraId="506A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6B2D00AB">
            <w:pPr>
              <w:adjustRightInd w:val="0"/>
              <w:snapToGrid w:val="0"/>
              <w:rPr>
                <w:rFonts w:ascii="仿宋_GB2312" w:eastAsia="仿宋_GB2312"/>
                <w:b/>
                <w:kern w:val="0"/>
                <w:sz w:val="24"/>
                <w:szCs w:val="24"/>
              </w:rPr>
            </w:pPr>
            <w:r>
              <w:rPr>
                <w:rFonts w:hint="eastAsia" w:ascii="仿宋_GB2312" w:eastAsia="仿宋_GB2312"/>
                <w:b/>
                <w:kern w:val="0"/>
                <w:sz w:val="24"/>
                <w:szCs w:val="24"/>
              </w:rPr>
              <w:t>证券代码</w:t>
            </w:r>
          </w:p>
        </w:tc>
        <w:tc>
          <w:tcPr>
            <w:tcW w:w="6429" w:type="dxa"/>
          </w:tcPr>
          <w:p w14:paraId="3758C13E">
            <w:pPr>
              <w:adjustRightInd w:val="0"/>
              <w:snapToGrid w:val="0"/>
              <w:rPr>
                <w:rFonts w:ascii="仿宋_GB2312" w:eastAsia="仿宋_GB2312"/>
                <w:kern w:val="0"/>
                <w:sz w:val="24"/>
                <w:szCs w:val="24"/>
              </w:rPr>
            </w:pPr>
            <w:r>
              <w:rPr>
                <w:rFonts w:hint="eastAsia" w:ascii="仿宋_GB2312" w:eastAsia="仿宋_GB2312"/>
                <w:kern w:val="0"/>
                <w:sz w:val="24"/>
                <w:szCs w:val="24"/>
              </w:rPr>
              <w:t>交易品种的证券代码，同申报订单</w:t>
            </w:r>
          </w:p>
        </w:tc>
      </w:tr>
      <w:tr w14:paraId="38A33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93" w:type="dxa"/>
          </w:tcPr>
          <w:p w14:paraId="164FD67D">
            <w:pPr>
              <w:adjustRightInd w:val="0"/>
              <w:snapToGrid w:val="0"/>
              <w:rPr>
                <w:rFonts w:ascii="仿宋_GB2312" w:eastAsia="仿宋_GB2312"/>
                <w:b/>
                <w:kern w:val="0"/>
                <w:sz w:val="24"/>
                <w:szCs w:val="24"/>
              </w:rPr>
            </w:pPr>
            <w:r>
              <w:rPr>
                <w:rFonts w:hint="eastAsia" w:ascii="仿宋_GB2312" w:eastAsia="仿宋_GB2312"/>
                <w:b/>
                <w:kern w:val="0"/>
                <w:sz w:val="24"/>
                <w:szCs w:val="24"/>
              </w:rPr>
              <w:t>成交日期时间</w:t>
            </w:r>
          </w:p>
        </w:tc>
        <w:tc>
          <w:tcPr>
            <w:tcW w:w="6429" w:type="dxa"/>
          </w:tcPr>
          <w:p w14:paraId="3BD59216">
            <w:pPr>
              <w:adjustRightInd w:val="0"/>
              <w:snapToGrid w:val="0"/>
              <w:rPr>
                <w:rFonts w:ascii="仿宋_GB2312" w:eastAsia="仿宋_GB2312"/>
                <w:kern w:val="0"/>
                <w:sz w:val="24"/>
                <w:szCs w:val="24"/>
              </w:rPr>
            </w:pPr>
            <w:r>
              <w:rPr>
                <w:rFonts w:hint="eastAsia" w:ascii="仿宋_GB2312" w:eastAsia="仿宋_GB2312"/>
                <w:kern w:val="0"/>
                <w:sz w:val="24"/>
                <w:szCs w:val="24"/>
              </w:rPr>
              <w:t>交易成交的日期（年月日）及时间（时分秒）</w:t>
            </w:r>
          </w:p>
        </w:tc>
      </w:tr>
      <w:tr w14:paraId="0F93D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4725436E">
            <w:pPr>
              <w:adjustRightInd w:val="0"/>
              <w:snapToGrid w:val="0"/>
              <w:rPr>
                <w:rFonts w:ascii="仿宋_GB2312" w:eastAsia="仿宋_GB2312"/>
                <w:b/>
                <w:kern w:val="0"/>
                <w:sz w:val="24"/>
                <w:szCs w:val="24"/>
              </w:rPr>
            </w:pPr>
            <w:r>
              <w:rPr>
                <w:rFonts w:hint="eastAsia" w:ascii="仿宋_GB2312" w:eastAsia="仿宋_GB2312"/>
                <w:b/>
                <w:kern w:val="0"/>
                <w:sz w:val="24"/>
                <w:szCs w:val="24"/>
              </w:rPr>
              <w:t>交易方向</w:t>
            </w:r>
          </w:p>
        </w:tc>
        <w:tc>
          <w:tcPr>
            <w:tcW w:w="6429" w:type="dxa"/>
          </w:tcPr>
          <w:p w14:paraId="56CB2422">
            <w:pPr>
              <w:adjustRightInd w:val="0"/>
              <w:snapToGrid w:val="0"/>
              <w:rPr>
                <w:rFonts w:ascii="仿宋_GB2312" w:eastAsia="仿宋_GB2312"/>
                <w:kern w:val="0"/>
                <w:sz w:val="24"/>
                <w:szCs w:val="24"/>
              </w:rPr>
            </w:pPr>
            <w:r>
              <w:rPr>
                <w:rFonts w:hint="eastAsia" w:ascii="仿宋_GB2312" w:eastAsia="仿宋_GB2312"/>
                <w:kern w:val="0"/>
                <w:sz w:val="24"/>
                <w:szCs w:val="24"/>
              </w:rPr>
              <w:t>交易的买卖方向，同申报订单</w:t>
            </w:r>
          </w:p>
        </w:tc>
      </w:tr>
      <w:tr w14:paraId="46B60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23588471">
            <w:pPr>
              <w:adjustRightInd w:val="0"/>
              <w:snapToGrid w:val="0"/>
              <w:rPr>
                <w:rFonts w:ascii="仿宋_GB2312" w:eastAsia="仿宋_GB2312"/>
                <w:b/>
                <w:kern w:val="0"/>
                <w:sz w:val="24"/>
                <w:szCs w:val="24"/>
              </w:rPr>
            </w:pPr>
            <w:r>
              <w:rPr>
                <w:rFonts w:hint="eastAsia" w:ascii="仿宋_GB2312" w:eastAsia="仿宋_GB2312"/>
                <w:b/>
                <w:kern w:val="0"/>
                <w:sz w:val="24"/>
                <w:szCs w:val="24"/>
              </w:rPr>
              <w:t>成交价格</w:t>
            </w:r>
          </w:p>
        </w:tc>
        <w:tc>
          <w:tcPr>
            <w:tcW w:w="6429" w:type="dxa"/>
          </w:tcPr>
          <w:p w14:paraId="0FCF0BF7">
            <w:pPr>
              <w:adjustRightInd w:val="0"/>
              <w:snapToGrid w:val="0"/>
              <w:rPr>
                <w:rFonts w:ascii="仿宋_GB2312" w:eastAsia="仿宋_GB2312"/>
                <w:kern w:val="0"/>
                <w:sz w:val="24"/>
                <w:szCs w:val="24"/>
              </w:rPr>
            </w:pPr>
            <w:r>
              <w:rPr>
                <w:rFonts w:hint="eastAsia" w:ascii="仿宋_GB2312" w:eastAsia="仿宋_GB2312"/>
                <w:kern w:val="0"/>
                <w:sz w:val="24"/>
                <w:szCs w:val="24"/>
              </w:rPr>
              <w:t>成交的价格，每百元资金到期年收益（元）</w:t>
            </w:r>
          </w:p>
        </w:tc>
      </w:tr>
      <w:tr w14:paraId="16902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119E3162">
            <w:pPr>
              <w:adjustRightInd w:val="0"/>
              <w:snapToGrid w:val="0"/>
              <w:rPr>
                <w:rFonts w:ascii="仿宋_GB2312" w:eastAsia="仿宋_GB2312"/>
                <w:b/>
                <w:kern w:val="0"/>
                <w:sz w:val="24"/>
                <w:szCs w:val="24"/>
              </w:rPr>
            </w:pPr>
            <w:r>
              <w:rPr>
                <w:rFonts w:hint="eastAsia" w:ascii="仿宋_GB2312" w:eastAsia="仿宋_GB2312"/>
                <w:b/>
                <w:kern w:val="0"/>
                <w:sz w:val="24"/>
                <w:szCs w:val="24"/>
              </w:rPr>
              <w:t>成交数量</w:t>
            </w:r>
          </w:p>
        </w:tc>
        <w:tc>
          <w:tcPr>
            <w:tcW w:w="6429" w:type="dxa"/>
          </w:tcPr>
          <w:p w14:paraId="47D3759A">
            <w:pPr>
              <w:adjustRightInd w:val="0"/>
              <w:snapToGrid w:val="0"/>
              <w:rPr>
                <w:rFonts w:ascii="仿宋_GB2312" w:eastAsia="仿宋_GB2312"/>
                <w:kern w:val="0"/>
                <w:sz w:val="24"/>
                <w:szCs w:val="24"/>
              </w:rPr>
            </w:pPr>
            <w:r>
              <w:rPr>
                <w:rFonts w:hint="eastAsia" w:ascii="仿宋_GB2312" w:eastAsia="仿宋_GB2312"/>
                <w:kern w:val="0"/>
                <w:sz w:val="24"/>
                <w:szCs w:val="24"/>
              </w:rPr>
              <w:t>成交的数量，单位：千元面额。</w:t>
            </w:r>
          </w:p>
        </w:tc>
      </w:tr>
      <w:tr w14:paraId="720DE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93" w:type="dxa"/>
          </w:tcPr>
          <w:p w14:paraId="0DCB9C69">
            <w:pPr>
              <w:adjustRightInd w:val="0"/>
              <w:snapToGrid w:val="0"/>
              <w:rPr>
                <w:rFonts w:ascii="仿宋_GB2312" w:eastAsia="仿宋_GB2312"/>
                <w:b/>
                <w:kern w:val="0"/>
                <w:sz w:val="24"/>
                <w:szCs w:val="24"/>
              </w:rPr>
            </w:pPr>
            <w:r>
              <w:rPr>
                <w:rFonts w:hint="eastAsia" w:ascii="仿宋_GB2312" w:eastAsia="仿宋_GB2312"/>
                <w:b/>
                <w:kern w:val="0"/>
                <w:sz w:val="24"/>
                <w:szCs w:val="24"/>
              </w:rPr>
              <w:t>成交金额</w:t>
            </w:r>
          </w:p>
        </w:tc>
        <w:tc>
          <w:tcPr>
            <w:tcW w:w="6429" w:type="dxa"/>
          </w:tcPr>
          <w:p w14:paraId="6A956F4F">
            <w:pPr>
              <w:adjustRightInd w:val="0"/>
              <w:snapToGrid w:val="0"/>
              <w:rPr>
                <w:rFonts w:ascii="仿宋_GB2312" w:eastAsia="仿宋_GB2312"/>
                <w:kern w:val="0"/>
                <w:sz w:val="24"/>
                <w:szCs w:val="24"/>
              </w:rPr>
            </w:pPr>
            <w:r>
              <w:rPr>
                <w:rFonts w:hint="eastAsia" w:ascii="仿宋_GB2312" w:eastAsia="仿宋_GB2312"/>
                <w:kern w:val="0"/>
                <w:sz w:val="24"/>
                <w:szCs w:val="24"/>
              </w:rPr>
              <w:t>即回购总额</w:t>
            </w:r>
          </w:p>
        </w:tc>
      </w:tr>
      <w:tr w14:paraId="01B1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5CB4A216">
            <w:pPr>
              <w:adjustRightInd w:val="0"/>
              <w:snapToGrid w:val="0"/>
              <w:rPr>
                <w:rFonts w:ascii="仿宋_GB2312" w:eastAsia="仿宋_GB2312"/>
                <w:b/>
                <w:kern w:val="0"/>
                <w:sz w:val="24"/>
                <w:szCs w:val="24"/>
              </w:rPr>
            </w:pPr>
            <w:r>
              <w:rPr>
                <w:rFonts w:hint="eastAsia" w:ascii="仿宋_GB2312" w:eastAsia="仿宋_GB2312"/>
                <w:b/>
                <w:kern w:val="0"/>
                <w:sz w:val="24"/>
                <w:szCs w:val="24"/>
              </w:rPr>
              <w:t>交易账号</w:t>
            </w:r>
          </w:p>
        </w:tc>
        <w:tc>
          <w:tcPr>
            <w:tcW w:w="6429" w:type="dxa"/>
          </w:tcPr>
          <w:p w14:paraId="2470B4E8">
            <w:pPr>
              <w:adjustRightInd w:val="0"/>
              <w:snapToGrid w:val="0"/>
              <w:rPr>
                <w:rFonts w:ascii="仿宋_GB2312" w:eastAsia="仿宋_GB2312"/>
                <w:kern w:val="0"/>
                <w:sz w:val="24"/>
                <w:szCs w:val="24"/>
              </w:rPr>
            </w:pPr>
            <w:r>
              <w:rPr>
                <w:rFonts w:hint="eastAsia" w:ascii="仿宋_GB2312" w:eastAsia="仿宋_GB2312"/>
                <w:kern w:val="0"/>
                <w:sz w:val="24"/>
                <w:szCs w:val="24"/>
              </w:rPr>
              <w:t>交易的证券账户号码，同申报订单</w:t>
            </w:r>
          </w:p>
        </w:tc>
      </w:tr>
      <w:tr w14:paraId="1AD0D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3C2F735B">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交易单元</w:t>
            </w:r>
          </w:p>
        </w:tc>
        <w:tc>
          <w:tcPr>
            <w:tcW w:w="6429" w:type="dxa"/>
          </w:tcPr>
          <w:p w14:paraId="521C0334">
            <w:pPr>
              <w:adjustRightInd w:val="0"/>
              <w:snapToGrid w:val="0"/>
              <w:rPr>
                <w:rFonts w:ascii="仿宋_GB2312" w:eastAsia="仿宋_GB2312"/>
                <w:kern w:val="0"/>
                <w:sz w:val="24"/>
                <w:szCs w:val="24"/>
              </w:rPr>
            </w:pPr>
            <w:r>
              <w:rPr>
                <w:rFonts w:hint="eastAsia" w:ascii="仿宋_GB2312" w:eastAsia="仿宋_GB2312"/>
                <w:kern w:val="0"/>
                <w:sz w:val="24"/>
                <w:szCs w:val="24"/>
              </w:rPr>
              <w:t>债券交易参与人的交易单元号码，同申报订单</w:t>
            </w:r>
          </w:p>
        </w:tc>
      </w:tr>
      <w:tr w14:paraId="08B35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3" w:type="dxa"/>
          </w:tcPr>
          <w:p w14:paraId="79AC8BFA">
            <w:pPr>
              <w:adjustRightInd w:val="0"/>
              <w:snapToGrid w:val="0"/>
              <w:rPr>
                <w:rFonts w:ascii="仿宋_GB2312" w:eastAsia="仿宋_GB2312"/>
                <w:b/>
                <w:kern w:val="0"/>
                <w:sz w:val="24"/>
                <w:szCs w:val="24"/>
              </w:rPr>
            </w:pPr>
            <w:r>
              <w:rPr>
                <w:rFonts w:hint="eastAsia" w:ascii="仿宋_GB2312" w:eastAsia="仿宋_GB2312"/>
                <w:b/>
                <w:kern w:val="0"/>
                <w:sz w:val="24"/>
                <w:szCs w:val="24"/>
              </w:rPr>
              <w:t>申报编号</w:t>
            </w:r>
          </w:p>
        </w:tc>
        <w:tc>
          <w:tcPr>
            <w:tcW w:w="6429" w:type="dxa"/>
          </w:tcPr>
          <w:p w14:paraId="23432A5E">
            <w:pPr>
              <w:adjustRightInd w:val="0"/>
              <w:snapToGrid w:val="0"/>
              <w:rPr>
                <w:rFonts w:ascii="仿宋_GB2312" w:eastAsia="仿宋_GB2312"/>
                <w:kern w:val="0"/>
                <w:sz w:val="24"/>
                <w:szCs w:val="24"/>
              </w:rPr>
            </w:pPr>
            <w:r>
              <w:rPr>
                <w:rFonts w:hint="eastAsia" w:ascii="仿宋_GB2312" w:eastAsia="仿宋_GB2312"/>
                <w:kern w:val="0"/>
                <w:sz w:val="24"/>
                <w:szCs w:val="24"/>
              </w:rPr>
              <w:t>债券交易参与人内部为申报订单编制的序号，同申报订单</w:t>
            </w:r>
          </w:p>
        </w:tc>
      </w:tr>
      <w:tr w14:paraId="1EDD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93" w:type="dxa"/>
          </w:tcPr>
          <w:p w14:paraId="68BD8724">
            <w:pPr>
              <w:adjustRightInd w:val="0"/>
              <w:snapToGrid w:val="0"/>
              <w:rPr>
                <w:rFonts w:ascii="仿宋_GB2312" w:eastAsia="仿宋_GB2312"/>
                <w:b/>
                <w:kern w:val="0"/>
                <w:sz w:val="24"/>
                <w:szCs w:val="24"/>
              </w:rPr>
            </w:pPr>
            <w:r>
              <w:rPr>
                <w:rFonts w:hint="eastAsia" w:ascii="仿宋_GB2312" w:eastAsia="仿宋_GB2312"/>
                <w:b/>
                <w:kern w:val="0"/>
                <w:sz w:val="24"/>
                <w:szCs w:val="24"/>
              </w:rPr>
              <w:t>成交状态</w:t>
            </w:r>
          </w:p>
        </w:tc>
        <w:tc>
          <w:tcPr>
            <w:tcW w:w="6429" w:type="dxa"/>
          </w:tcPr>
          <w:p w14:paraId="4FC5FED3">
            <w:pPr>
              <w:adjustRightInd w:val="0"/>
              <w:snapToGrid w:val="0"/>
              <w:rPr>
                <w:rFonts w:ascii="仿宋_GB2312" w:eastAsia="仿宋_GB2312"/>
                <w:kern w:val="0"/>
                <w:sz w:val="24"/>
                <w:szCs w:val="24"/>
              </w:rPr>
            </w:pPr>
            <w:r>
              <w:rPr>
                <w:rFonts w:hint="eastAsia" w:ascii="仿宋_GB2312" w:eastAsia="仿宋_GB2312"/>
                <w:kern w:val="0"/>
                <w:sz w:val="24"/>
                <w:szCs w:val="24"/>
              </w:rPr>
              <w:t>全部成交、部分成交</w:t>
            </w:r>
          </w:p>
        </w:tc>
      </w:tr>
    </w:tbl>
    <w:p w14:paraId="6341FD28">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存续期管理</w:t>
      </w:r>
      <w:r>
        <w:rPr>
          <w:rFonts w:ascii="仿宋_GB2312" w:eastAsia="仿宋_GB2312"/>
          <w:b/>
          <w:sz w:val="30"/>
          <w:szCs w:val="30"/>
        </w:rPr>
        <w:tab/>
      </w:r>
    </w:p>
    <w:p w14:paraId="3AA19F73">
      <w:pPr>
        <w:adjustRightInd w:val="0"/>
        <w:snapToGrid w:val="0"/>
        <w:spacing w:line="600" w:lineRule="exact"/>
        <w:ind w:firstLine="601" w:firstLineChars="200"/>
        <w:rPr>
          <w:rFonts w:ascii="仿宋_GB2312" w:hAnsi="宋体" w:eastAsia="仿宋_GB2312" w:cs="宋体"/>
          <w:b/>
          <w:color w:val="000000"/>
          <w:kern w:val="0"/>
          <w:sz w:val="30"/>
          <w:szCs w:val="30"/>
        </w:rPr>
      </w:pPr>
      <w:r>
        <w:rPr>
          <w:rFonts w:hint="eastAsia" w:ascii="仿宋_GB2312" w:hAnsi="宋体" w:eastAsia="仿宋_GB2312" w:cs="宋体"/>
          <w:b/>
          <w:kern w:val="0"/>
          <w:sz w:val="30"/>
          <w:szCs w:val="30"/>
        </w:rPr>
        <w:t>（</w:t>
      </w:r>
      <w:r>
        <w:rPr>
          <w:rFonts w:ascii="仿宋_GB2312" w:hAnsi="宋体" w:eastAsia="仿宋_GB2312" w:cs="宋体"/>
          <w:b/>
          <w:kern w:val="0"/>
          <w:sz w:val="30"/>
          <w:szCs w:val="30"/>
        </w:rPr>
        <w:t>1）质押券价值</w:t>
      </w:r>
      <w:r>
        <w:rPr>
          <w:rFonts w:hint="eastAsia" w:ascii="仿宋_GB2312" w:hAnsi="宋体" w:eastAsia="仿宋_GB2312" w:cs="宋体"/>
          <w:b/>
          <w:color w:val="000000"/>
          <w:kern w:val="0"/>
          <w:sz w:val="30"/>
          <w:szCs w:val="30"/>
        </w:rPr>
        <w:t>足额要求</w:t>
      </w:r>
    </w:p>
    <w:p w14:paraId="631C8F78">
      <w:pPr>
        <w:adjustRightInd w:val="0"/>
        <w:snapToGrid w:val="0"/>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通用回购交易存续期内，正回购方应当保证质押券价值足额。因质押券准入标准调整、折算率调整等原因导致质押券价值不足时，正回购方应当按照登记结算机构的有关规定及时予以补足。</w:t>
      </w:r>
    </w:p>
    <w:p w14:paraId="0A0B7925">
      <w:pPr>
        <w:adjustRightInd w:val="0"/>
        <w:snapToGrid w:val="0"/>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正回购</w:t>
      </w:r>
      <w:r>
        <w:rPr>
          <w:rFonts w:ascii="仿宋_GB2312" w:hAnsi="宋体" w:eastAsia="仿宋_GB2312" w:cs="宋体"/>
          <w:color w:val="000000"/>
          <w:kern w:val="0"/>
          <w:sz w:val="30"/>
          <w:szCs w:val="30"/>
        </w:rPr>
        <w:t>方亦可通过其</w:t>
      </w:r>
      <w:r>
        <w:rPr>
          <w:rFonts w:hint="eastAsia" w:ascii="仿宋_GB2312" w:hAnsi="宋体" w:eastAsia="仿宋_GB2312" w:cs="宋体"/>
          <w:color w:val="000000"/>
          <w:kern w:val="0"/>
          <w:sz w:val="30"/>
          <w:szCs w:val="30"/>
        </w:rPr>
        <w:t>结算参与人</w:t>
      </w:r>
      <w:r>
        <w:rPr>
          <w:rFonts w:ascii="仿宋_GB2312" w:hAnsi="宋体" w:eastAsia="仿宋_GB2312" w:cs="宋体"/>
          <w:color w:val="000000"/>
          <w:kern w:val="0"/>
          <w:sz w:val="30"/>
          <w:szCs w:val="30"/>
        </w:rPr>
        <w:t>向登记结算机构</w:t>
      </w:r>
      <w:r>
        <w:rPr>
          <w:rFonts w:hint="eastAsia" w:ascii="仿宋_GB2312" w:hAnsi="宋体" w:eastAsia="仿宋_GB2312" w:cs="宋体"/>
          <w:color w:val="000000"/>
          <w:kern w:val="0"/>
          <w:sz w:val="30"/>
          <w:szCs w:val="30"/>
        </w:rPr>
        <w:t>提交现金担保品作为债券融资回购业务应付款项的担保金，但现金担保品不增加</w:t>
      </w:r>
      <w:r>
        <w:rPr>
          <w:rFonts w:ascii="仿宋_GB2312" w:hAnsi="宋体" w:eastAsia="仿宋_GB2312" w:cs="宋体"/>
          <w:color w:val="000000"/>
          <w:kern w:val="0"/>
          <w:sz w:val="30"/>
          <w:szCs w:val="30"/>
        </w:rPr>
        <w:t>该</w:t>
      </w:r>
      <w:r>
        <w:rPr>
          <w:rFonts w:hint="eastAsia" w:ascii="仿宋_GB2312" w:hAnsi="宋体" w:eastAsia="仿宋_GB2312" w:cs="宋体"/>
          <w:color w:val="000000"/>
          <w:kern w:val="0"/>
          <w:sz w:val="30"/>
          <w:szCs w:val="30"/>
        </w:rPr>
        <w:t>证券账户的可融资额度。</w:t>
      </w:r>
    </w:p>
    <w:p w14:paraId="19113D4B">
      <w:pPr>
        <w:adjustRightInd w:val="0"/>
        <w:snapToGrid w:val="0"/>
        <w:spacing w:line="600" w:lineRule="exact"/>
        <w:ind w:firstLine="600" w:firstLineChars="200"/>
        <w:rPr>
          <w:rFonts w:ascii="仿宋_GB2312" w:hAnsi="宋体" w:eastAsia="仿宋_GB2312" w:cs="宋体"/>
          <w:color w:val="000000"/>
          <w:kern w:val="0"/>
          <w:sz w:val="30"/>
          <w:szCs w:val="30"/>
        </w:rPr>
      </w:pPr>
      <w:r>
        <w:rPr>
          <w:rFonts w:ascii="仿宋_GB2312" w:hAnsi="宋体" w:eastAsia="仿宋_GB2312" w:cs="宋体"/>
          <w:color w:val="000000"/>
          <w:kern w:val="0"/>
          <w:sz w:val="30"/>
          <w:szCs w:val="30"/>
        </w:rPr>
        <w:t>现金担保品业务</w:t>
      </w:r>
      <w:r>
        <w:rPr>
          <w:rFonts w:hint="eastAsia" w:ascii="仿宋_GB2312" w:hAnsi="宋体" w:eastAsia="仿宋_GB2312" w:cs="宋体"/>
          <w:color w:val="000000"/>
          <w:kern w:val="0"/>
          <w:sz w:val="30"/>
          <w:szCs w:val="30"/>
        </w:rPr>
        <w:t>具体事项按照中国证券登记结算有限责任公司</w:t>
      </w:r>
      <w:r>
        <w:rPr>
          <w:rFonts w:ascii="仿宋_GB2312" w:hAnsi="宋体" w:eastAsia="仿宋_GB2312" w:cs="宋体"/>
          <w:color w:val="000000"/>
          <w:kern w:val="0"/>
          <w:sz w:val="30"/>
          <w:szCs w:val="30"/>
        </w:rPr>
        <w:t>《</w:t>
      </w:r>
      <w:r>
        <w:rPr>
          <w:rFonts w:hint="eastAsia" w:ascii="仿宋_GB2312" w:hAnsi="微软雅黑" w:eastAsia="仿宋_GB2312"/>
          <w:color w:val="000000"/>
          <w:sz w:val="30"/>
          <w:szCs w:val="30"/>
        </w:rPr>
        <w:t>关于质押式回购现金担保品有关事项的通知</w:t>
      </w:r>
      <w:r>
        <w:rPr>
          <w:rFonts w:ascii="仿宋_GB2312" w:hAnsi="微软雅黑" w:eastAsia="仿宋_GB2312"/>
          <w:color w:val="000000"/>
          <w:sz w:val="30"/>
          <w:szCs w:val="30"/>
        </w:rPr>
        <w:t>》</w:t>
      </w:r>
      <w:r>
        <w:rPr>
          <w:rFonts w:hint="eastAsia" w:ascii="仿宋_GB2312" w:hAnsi="微软雅黑" w:eastAsia="仿宋_GB2312"/>
          <w:color w:val="000000"/>
          <w:sz w:val="30"/>
          <w:szCs w:val="30"/>
        </w:rPr>
        <w:t>实施</w:t>
      </w:r>
      <w:r>
        <w:rPr>
          <w:rFonts w:ascii="仿宋_GB2312" w:hAnsi="微软雅黑" w:eastAsia="仿宋_GB2312"/>
          <w:color w:val="000000"/>
          <w:sz w:val="30"/>
          <w:szCs w:val="30"/>
        </w:rPr>
        <w:t>。</w:t>
      </w:r>
    </w:p>
    <w:p w14:paraId="67E6C9E0">
      <w:pPr>
        <w:adjustRightInd w:val="0"/>
        <w:snapToGrid w:val="0"/>
        <w:spacing w:line="600" w:lineRule="exact"/>
        <w:ind w:firstLine="602" w:firstLineChars="200"/>
        <w:rPr>
          <w:rFonts w:ascii="仿宋_GB2312" w:hAnsi="宋体" w:eastAsia="仿宋_GB2312" w:cs="宋体"/>
          <w:b/>
          <w:color w:val="000000"/>
          <w:kern w:val="0"/>
          <w:sz w:val="30"/>
          <w:szCs w:val="30"/>
        </w:rPr>
      </w:pPr>
      <w:r>
        <w:rPr>
          <w:rFonts w:hint="eastAsia" w:ascii="仿宋_GB2312" w:hAnsi="仿宋" w:cs="宋体"/>
          <w:b/>
          <w:color w:val="000000"/>
          <w:kern w:val="0"/>
          <w:sz w:val="30"/>
          <w:szCs w:val="30"/>
        </w:rPr>
        <w:t>（</w:t>
      </w:r>
      <w:r>
        <w:rPr>
          <w:rFonts w:ascii="仿宋_GB2312" w:hAnsi="仿宋" w:cs="宋体"/>
          <w:b/>
          <w:color w:val="000000"/>
          <w:kern w:val="0"/>
          <w:sz w:val="30"/>
          <w:szCs w:val="30"/>
        </w:rPr>
        <w:t>2</w:t>
      </w:r>
      <w:r>
        <w:rPr>
          <w:rFonts w:hint="eastAsia" w:ascii="仿宋_GB2312" w:hAnsi="仿宋" w:cs="宋体"/>
          <w:b/>
          <w:color w:val="000000"/>
          <w:kern w:val="0"/>
          <w:sz w:val="30"/>
          <w:szCs w:val="30"/>
        </w:rPr>
        <w:t>）</w:t>
      </w:r>
      <w:r>
        <w:rPr>
          <w:rFonts w:hint="eastAsia" w:ascii="仿宋_GB2312" w:hAnsi="宋体" w:eastAsia="仿宋_GB2312" w:cs="宋体"/>
          <w:b/>
          <w:color w:val="000000"/>
          <w:kern w:val="0"/>
          <w:sz w:val="30"/>
          <w:szCs w:val="30"/>
        </w:rPr>
        <w:t>权益处理</w:t>
      </w:r>
    </w:p>
    <w:p w14:paraId="03EE896C">
      <w:pPr>
        <w:adjustRightInd w:val="0"/>
        <w:snapToGrid w:val="0"/>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质押库内的质押券在质押期限内正回购方不得卖出、转股、换股和回售。质押期</w:t>
      </w:r>
      <w:r>
        <w:rPr>
          <w:rFonts w:hint="eastAsia" w:ascii="仿宋_GB2312" w:hAnsi="宋体" w:eastAsia="仿宋_GB2312" w:cs="宋体"/>
          <w:kern w:val="0"/>
          <w:sz w:val="30"/>
          <w:szCs w:val="30"/>
        </w:rPr>
        <w:t>限内</w:t>
      </w:r>
      <w:r>
        <w:rPr>
          <w:rFonts w:hint="eastAsia" w:ascii="仿宋_GB2312" w:hAnsi="宋体" w:eastAsia="仿宋_GB2312" w:cs="宋体"/>
          <w:color w:val="000000"/>
          <w:kern w:val="0"/>
          <w:sz w:val="30"/>
          <w:szCs w:val="30"/>
        </w:rPr>
        <w:t>，质押券发生派息、兑付等情形的，按照登记结算机构相关规则处理。</w:t>
      </w:r>
    </w:p>
    <w:p w14:paraId="04A262A5">
      <w:pPr>
        <w:adjustRightInd w:val="0"/>
        <w:snapToGrid w:val="0"/>
        <w:spacing w:line="600" w:lineRule="exact"/>
        <w:ind w:firstLine="601" w:firstLineChars="200"/>
        <w:rPr>
          <w:rFonts w:ascii="仿宋_GB2312" w:hAnsi="Calibri" w:eastAsia="仿宋_GB2312"/>
          <w:b/>
          <w:color w:val="000000"/>
          <w:sz w:val="30"/>
          <w:szCs w:val="30"/>
        </w:rPr>
      </w:pPr>
      <w:r>
        <w:rPr>
          <w:rFonts w:hint="eastAsia" w:ascii="仿宋_GB2312" w:hAnsi="Calibri" w:eastAsia="仿宋_GB2312"/>
          <w:b/>
          <w:color w:val="000000"/>
          <w:sz w:val="30"/>
          <w:szCs w:val="30"/>
        </w:rPr>
        <w:t>（3）换券</w:t>
      </w:r>
    </w:p>
    <w:p w14:paraId="3F2A3BFD">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color w:val="000000"/>
          <w:sz w:val="30"/>
          <w:szCs w:val="30"/>
        </w:rPr>
        <w:t>通用回购可利用T+0日间出入库申报，实现日内换券。</w:t>
      </w:r>
      <w:r>
        <w:rPr>
          <w:rFonts w:hint="eastAsia" w:ascii="仿宋_GB2312" w:hAnsi="Calibri" w:eastAsia="仿宋_GB2312"/>
          <w:sz w:val="30"/>
          <w:szCs w:val="30"/>
        </w:rPr>
        <w:t>正回购方</w:t>
      </w:r>
      <w:r>
        <w:rPr>
          <w:rFonts w:hint="eastAsia" w:ascii="仿宋_GB2312" w:hAnsi="Calibri" w:eastAsia="仿宋_GB2312"/>
          <w:color w:val="000000"/>
          <w:sz w:val="30"/>
          <w:szCs w:val="30"/>
        </w:rPr>
        <w:t>在质押券可转出数量足额时提交出库申报，出库成功后即可卖出，与此同时将购入的新券或其余存量持仓债券提交入库申报，入库成功后即实现了日内换券。</w:t>
      </w:r>
    </w:p>
    <w:p w14:paraId="4521D302">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通用回购期限</w:t>
      </w:r>
    </w:p>
    <w:p w14:paraId="26A2F41F">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通用回购按照期限分为</w:t>
      </w:r>
      <w:r>
        <w:rPr>
          <w:rFonts w:ascii="仿宋_GB2312" w:hAnsi="微软雅黑" w:eastAsia="仿宋_GB2312"/>
          <w:color w:val="000000"/>
          <w:sz w:val="30"/>
          <w:szCs w:val="30"/>
        </w:rPr>
        <w:t>1天、2天、3天、4天、7天、14天、28天、91天和182天等。</w:t>
      </w:r>
      <w:r>
        <w:rPr>
          <w:rFonts w:hint="eastAsia" w:ascii="仿宋_GB2312" w:hAnsi="Calibri" w:eastAsia="仿宋_GB2312"/>
          <w:sz w:val="30"/>
          <w:szCs w:val="30"/>
        </w:rPr>
        <w:t>本所可以根据市场情况调整通用回购的期限。</w:t>
      </w:r>
      <w:r>
        <w:rPr>
          <w:rFonts w:hint="eastAsia" w:ascii="仿宋_GB2312" w:hAnsi="Calibri" w:eastAsia="仿宋_GB2312"/>
          <w:color w:val="000000"/>
          <w:sz w:val="30"/>
          <w:szCs w:val="30"/>
        </w:rPr>
        <w:t>通用回购的证券代码为</w:t>
      </w:r>
      <w:r>
        <w:rPr>
          <w:rFonts w:ascii="仿宋_GB2312" w:hAnsi="Calibri" w:eastAsia="仿宋_GB2312"/>
          <w:color w:val="000000"/>
          <w:sz w:val="30"/>
          <w:szCs w:val="30"/>
        </w:rPr>
        <w:t xml:space="preserve"> </w:t>
      </w:r>
      <w:r>
        <w:rPr>
          <w:rFonts w:hint="eastAsia" w:ascii="仿宋_GB2312" w:hAnsi="Calibri" w:eastAsia="仿宋_GB2312"/>
          <w:color w:val="000000"/>
          <w:sz w:val="30"/>
          <w:szCs w:val="30"/>
        </w:rPr>
        <w:t>“204***”，简称为“GC***”，其中后三位是以天数表示的通用回购期限。</w:t>
      </w:r>
    </w:p>
    <w:p w14:paraId="76295DEA">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通用回购交易的期限按日历时间（自然日）计算，如到期日为非交易日，顺延至下一个交易日结算。</w:t>
      </w:r>
    </w:p>
    <w:p w14:paraId="1DA15F45">
      <w:pPr>
        <w:adjustRightInd w:val="0"/>
        <w:snapToGrid w:val="0"/>
        <w:spacing w:line="600" w:lineRule="exact"/>
        <w:ind w:firstLine="600"/>
        <w:rPr>
          <w:rFonts w:ascii="仿宋_GB2312" w:hAnsi="微软雅黑" w:eastAsia="仿宋_GB2312"/>
          <w:color w:val="000000"/>
          <w:sz w:val="30"/>
          <w:szCs w:val="30"/>
        </w:rPr>
      </w:pPr>
      <w:r>
        <w:rPr>
          <w:rFonts w:hint="eastAsia" w:ascii="仿宋_GB2312" w:hAnsi="微软雅黑" w:eastAsia="仿宋_GB2312"/>
          <w:color w:val="000000"/>
          <w:sz w:val="30"/>
          <w:szCs w:val="30"/>
        </w:rPr>
        <w:t>各回购品种的申报代码分别如下：</w:t>
      </w:r>
    </w:p>
    <w:tbl>
      <w:tblPr>
        <w:tblStyle w:val="43"/>
        <w:tblW w:w="4999"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2662"/>
        <w:gridCol w:w="2449"/>
        <w:gridCol w:w="3409"/>
      </w:tblGrid>
      <w:tr w14:paraId="4F2C168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1562" w:type="pct"/>
            <w:vAlign w:val="center"/>
          </w:tcPr>
          <w:p w14:paraId="43CA5749">
            <w:pPr>
              <w:tabs>
                <w:tab w:val="left" w:pos="0"/>
              </w:tabs>
              <w:adjustRightInd w:val="0"/>
              <w:snapToGrid w:val="0"/>
              <w:jc w:val="center"/>
              <w:rPr>
                <w:rFonts w:ascii="仿宋_GB2312" w:eastAsia="仿宋_GB2312"/>
                <w:b/>
                <w:bCs/>
                <w:sz w:val="24"/>
                <w:szCs w:val="24"/>
              </w:rPr>
            </w:pPr>
            <w:r>
              <w:rPr>
                <w:rFonts w:hint="eastAsia" w:ascii="仿宋_GB2312" w:eastAsia="仿宋_GB2312"/>
                <w:b/>
                <w:bCs/>
                <w:sz w:val="24"/>
                <w:szCs w:val="24"/>
              </w:rPr>
              <w:t>代码</w:t>
            </w:r>
          </w:p>
        </w:tc>
        <w:tc>
          <w:tcPr>
            <w:tcW w:w="1437" w:type="pct"/>
            <w:vAlign w:val="center"/>
          </w:tcPr>
          <w:p w14:paraId="63E8D7A6">
            <w:pPr>
              <w:tabs>
                <w:tab w:val="left" w:pos="0"/>
              </w:tabs>
              <w:adjustRightInd w:val="0"/>
              <w:snapToGrid w:val="0"/>
              <w:ind w:firstLine="841" w:firstLineChars="350"/>
              <w:rPr>
                <w:rFonts w:ascii="仿宋_GB2312" w:eastAsia="仿宋_GB2312"/>
                <w:b/>
                <w:bCs/>
                <w:sz w:val="24"/>
                <w:szCs w:val="24"/>
              </w:rPr>
            </w:pPr>
            <w:r>
              <w:rPr>
                <w:rFonts w:hint="eastAsia" w:ascii="仿宋_GB2312" w:eastAsia="仿宋_GB2312"/>
                <w:b/>
                <w:bCs/>
                <w:sz w:val="24"/>
                <w:szCs w:val="24"/>
              </w:rPr>
              <w:t>简称</w:t>
            </w:r>
          </w:p>
        </w:tc>
        <w:tc>
          <w:tcPr>
            <w:tcW w:w="2000" w:type="pct"/>
            <w:vAlign w:val="center"/>
          </w:tcPr>
          <w:p w14:paraId="75B14331">
            <w:pPr>
              <w:tabs>
                <w:tab w:val="left" w:pos="0"/>
              </w:tabs>
              <w:adjustRightInd w:val="0"/>
              <w:snapToGrid w:val="0"/>
              <w:ind w:firstLine="1201" w:firstLineChars="500"/>
              <w:rPr>
                <w:rFonts w:ascii="仿宋_GB2312" w:eastAsia="仿宋_GB2312"/>
                <w:b/>
                <w:bCs/>
                <w:sz w:val="24"/>
                <w:szCs w:val="24"/>
              </w:rPr>
            </w:pPr>
            <w:r>
              <w:rPr>
                <w:rFonts w:hint="eastAsia" w:ascii="仿宋_GB2312" w:eastAsia="仿宋_GB2312"/>
                <w:b/>
                <w:bCs/>
                <w:sz w:val="24"/>
                <w:szCs w:val="24"/>
              </w:rPr>
              <w:t>品种</w:t>
            </w:r>
          </w:p>
        </w:tc>
      </w:tr>
      <w:tr w14:paraId="12762AA9">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1562" w:type="pct"/>
            <w:vAlign w:val="center"/>
          </w:tcPr>
          <w:p w14:paraId="28A61A35">
            <w:pPr>
              <w:tabs>
                <w:tab w:val="left" w:pos="0"/>
              </w:tabs>
              <w:adjustRightInd w:val="0"/>
              <w:snapToGrid w:val="0"/>
              <w:jc w:val="center"/>
              <w:rPr>
                <w:rFonts w:ascii="仿宋_GB2312" w:eastAsia="仿宋_GB2312"/>
                <w:b/>
                <w:bCs/>
                <w:sz w:val="24"/>
                <w:szCs w:val="24"/>
              </w:rPr>
            </w:pPr>
            <w:r>
              <w:rPr>
                <w:rFonts w:ascii="仿宋_GB2312" w:eastAsia="仿宋_GB2312"/>
                <w:b/>
                <w:bCs/>
                <w:sz w:val="24"/>
                <w:szCs w:val="24"/>
              </w:rPr>
              <w:t>204001</w:t>
            </w:r>
          </w:p>
        </w:tc>
        <w:tc>
          <w:tcPr>
            <w:tcW w:w="1437" w:type="pct"/>
            <w:vAlign w:val="center"/>
          </w:tcPr>
          <w:p w14:paraId="7D719362">
            <w:pPr>
              <w:tabs>
                <w:tab w:val="left" w:pos="0"/>
              </w:tabs>
              <w:adjustRightInd w:val="0"/>
              <w:snapToGrid w:val="0"/>
              <w:jc w:val="center"/>
              <w:rPr>
                <w:rFonts w:ascii="仿宋_GB2312" w:eastAsia="仿宋_GB2312"/>
                <w:bCs/>
                <w:sz w:val="24"/>
                <w:szCs w:val="24"/>
              </w:rPr>
            </w:pPr>
            <w:r>
              <w:rPr>
                <w:rFonts w:ascii="仿宋_GB2312" w:eastAsia="仿宋_GB2312"/>
                <w:bCs/>
                <w:sz w:val="24"/>
                <w:szCs w:val="24"/>
              </w:rPr>
              <w:t>GC001</w:t>
            </w:r>
          </w:p>
        </w:tc>
        <w:tc>
          <w:tcPr>
            <w:tcW w:w="2000" w:type="pct"/>
            <w:vAlign w:val="center"/>
          </w:tcPr>
          <w:p w14:paraId="1F6CAD83">
            <w:pPr>
              <w:tabs>
                <w:tab w:val="left" w:pos="0"/>
              </w:tabs>
              <w:adjustRightInd w:val="0"/>
              <w:snapToGrid w:val="0"/>
              <w:jc w:val="center"/>
              <w:rPr>
                <w:rFonts w:ascii="仿宋_GB2312" w:eastAsia="仿宋_GB2312"/>
                <w:bCs/>
                <w:sz w:val="24"/>
                <w:szCs w:val="24"/>
              </w:rPr>
            </w:pPr>
            <w:r>
              <w:rPr>
                <w:rFonts w:hint="eastAsia" w:ascii="仿宋_GB2312" w:eastAsia="仿宋_GB2312"/>
                <w:bCs/>
                <w:sz w:val="24"/>
                <w:szCs w:val="24"/>
              </w:rPr>
              <w:t>1天回购</w:t>
            </w:r>
          </w:p>
        </w:tc>
      </w:tr>
      <w:tr w14:paraId="7BB273AB">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1562" w:type="pct"/>
            <w:vAlign w:val="center"/>
          </w:tcPr>
          <w:p w14:paraId="4EC834D0">
            <w:pPr>
              <w:tabs>
                <w:tab w:val="left" w:pos="0"/>
              </w:tabs>
              <w:adjustRightInd w:val="0"/>
              <w:snapToGrid w:val="0"/>
              <w:jc w:val="center"/>
              <w:rPr>
                <w:rFonts w:ascii="仿宋_GB2312" w:eastAsia="仿宋_GB2312"/>
                <w:b/>
                <w:bCs/>
                <w:sz w:val="24"/>
                <w:szCs w:val="24"/>
              </w:rPr>
            </w:pPr>
            <w:r>
              <w:rPr>
                <w:rFonts w:ascii="仿宋_GB2312" w:eastAsia="仿宋_GB2312"/>
                <w:b/>
                <w:bCs/>
                <w:sz w:val="24"/>
                <w:szCs w:val="24"/>
              </w:rPr>
              <w:t>204002</w:t>
            </w:r>
          </w:p>
        </w:tc>
        <w:tc>
          <w:tcPr>
            <w:tcW w:w="1437" w:type="pct"/>
            <w:vAlign w:val="center"/>
          </w:tcPr>
          <w:p w14:paraId="2378B5D1">
            <w:pPr>
              <w:tabs>
                <w:tab w:val="left" w:pos="0"/>
              </w:tabs>
              <w:adjustRightInd w:val="0"/>
              <w:snapToGrid w:val="0"/>
              <w:jc w:val="center"/>
              <w:rPr>
                <w:rFonts w:ascii="仿宋_GB2312" w:eastAsia="仿宋_GB2312"/>
                <w:bCs/>
                <w:sz w:val="24"/>
                <w:szCs w:val="24"/>
              </w:rPr>
            </w:pPr>
            <w:r>
              <w:rPr>
                <w:rFonts w:ascii="仿宋_GB2312" w:eastAsia="仿宋_GB2312"/>
                <w:bCs/>
                <w:sz w:val="24"/>
                <w:szCs w:val="24"/>
              </w:rPr>
              <w:t>GC002</w:t>
            </w:r>
          </w:p>
        </w:tc>
        <w:tc>
          <w:tcPr>
            <w:tcW w:w="2000" w:type="pct"/>
            <w:vAlign w:val="center"/>
          </w:tcPr>
          <w:p w14:paraId="3183714F">
            <w:pPr>
              <w:tabs>
                <w:tab w:val="left" w:pos="0"/>
              </w:tabs>
              <w:adjustRightInd w:val="0"/>
              <w:snapToGrid w:val="0"/>
              <w:jc w:val="center"/>
              <w:rPr>
                <w:rFonts w:ascii="仿宋_GB2312" w:eastAsia="仿宋_GB2312"/>
                <w:bCs/>
                <w:sz w:val="24"/>
                <w:szCs w:val="24"/>
              </w:rPr>
            </w:pPr>
            <w:r>
              <w:rPr>
                <w:rFonts w:hint="eastAsia" w:ascii="仿宋_GB2312" w:eastAsia="仿宋_GB2312"/>
                <w:bCs/>
                <w:sz w:val="24"/>
                <w:szCs w:val="24"/>
              </w:rPr>
              <w:t>2天回购</w:t>
            </w:r>
          </w:p>
        </w:tc>
      </w:tr>
      <w:tr w14:paraId="1736312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PrEx>
        <w:trPr>
          <w:jc w:val="center"/>
        </w:trPr>
        <w:tc>
          <w:tcPr>
            <w:tcW w:w="1562" w:type="pct"/>
            <w:vAlign w:val="center"/>
          </w:tcPr>
          <w:p w14:paraId="3C46215F">
            <w:pPr>
              <w:tabs>
                <w:tab w:val="left" w:pos="0"/>
              </w:tabs>
              <w:adjustRightInd w:val="0"/>
              <w:snapToGrid w:val="0"/>
              <w:jc w:val="center"/>
              <w:rPr>
                <w:rFonts w:ascii="仿宋_GB2312" w:eastAsia="仿宋_GB2312"/>
                <w:b/>
                <w:bCs/>
                <w:sz w:val="24"/>
                <w:szCs w:val="24"/>
              </w:rPr>
            </w:pPr>
            <w:r>
              <w:rPr>
                <w:rFonts w:ascii="仿宋_GB2312" w:eastAsia="仿宋_GB2312"/>
                <w:b/>
                <w:bCs/>
                <w:sz w:val="24"/>
                <w:szCs w:val="24"/>
              </w:rPr>
              <w:t>204003</w:t>
            </w:r>
          </w:p>
        </w:tc>
        <w:tc>
          <w:tcPr>
            <w:tcW w:w="1437" w:type="pct"/>
            <w:vAlign w:val="center"/>
          </w:tcPr>
          <w:p w14:paraId="4364FFA2">
            <w:pPr>
              <w:tabs>
                <w:tab w:val="left" w:pos="0"/>
              </w:tabs>
              <w:adjustRightInd w:val="0"/>
              <w:snapToGrid w:val="0"/>
              <w:jc w:val="center"/>
              <w:rPr>
                <w:rFonts w:ascii="仿宋_GB2312" w:eastAsia="仿宋_GB2312"/>
                <w:bCs/>
                <w:sz w:val="24"/>
                <w:szCs w:val="24"/>
              </w:rPr>
            </w:pPr>
            <w:r>
              <w:rPr>
                <w:rFonts w:ascii="仿宋_GB2312" w:eastAsia="仿宋_GB2312"/>
                <w:bCs/>
                <w:sz w:val="24"/>
                <w:szCs w:val="24"/>
              </w:rPr>
              <w:t>GC003</w:t>
            </w:r>
          </w:p>
        </w:tc>
        <w:tc>
          <w:tcPr>
            <w:tcW w:w="2000" w:type="pct"/>
            <w:vAlign w:val="center"/>
          </w:tcPr>
          <w:p w14:paraId="19D32B16">
            <w:pPr>
              <w:tabs>
                <w:tab w:val="left" w:pos="0"/>
              </w:tabs>
              <w:adjustRightInd w:val="0"/>
              <w:snapToGrid w:val="0"/>
              <w:jc w:val="center"/>
              <w:rPr>
                <w:rFonts w:ascii="仿宋_GB2312" w:eastAsia="仿宋_GB2312"/>
                <w:bCs/>
                <w:sz w:val="24"/>
                <w:szCs w:val="24"/>
              </w:rPr>
            </w:pPr>
            <w:r>
              <w:rPr>
                <w:rFonts w:hint="eastAsia" w:ascii="仿宋_GB2312" w:eastAsia="仿宋_GB2312"/>
                <w:bCs/>
                <w:sz w:val="24"/>
                <w:szCs w:val="24"/>
              </w:rPr>
              <w:t>3天回购</w:t>
            </w:r>
          </w:p>
        </w:tc>
      </w:tr>
      <w:tr w14:paraId="404C318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1562" w:type="pct"/>
            <w:vAlign w:val="center"/>
          </w:tcPr>
          <w:p w14:paraId="56F00DD1">
            <w:pPr>
              <w:tabs>
                <w:tab w:val="left" w:pos="0"/>
              </w:tabs>
              <w:adjustRightInd w:val="0"/>
              <w:snapToGrid w:val="0"/>
              <w:jc w:val="center"/>
              <w:rPr>
                <w:rFonts w:ascii="仿宋_GB2312" w:eastAsia="仿宋_GB2312"/>
                <w:b/>
                <w:bCs/>
                <w:sz w:val="24"/>
                <w:szCs w:val="24"/>
              </w:rPr>
            </w:pPr>
            <w:r>
              <w:rPr>
                <w:rFonts w:ascii="仿宋_GB2312" w:eastAsia="仿宋_GB2312"/>
                <w:b/>
                <w:bCs/>
                <w:sz w:val="24"/>
                <w:szCs w:val="24"/>
              </w:rPr>
              <w:t>204004</w:t>
            </w:r>
          </w:p>
        </w:tc>
        <w:tc>
          <w:tcPr>
            <w:tcW w:w="1437" w:type="pct"/>
            <w:vAlign w:val="center"/>
          </w:tcPr>
          <w:p w14:paraId="02885D1D">
            <w:pPr>
              <w:tabs>
                <w:tab w:val="left" w:pos="0"/>
              </w:tabs>
              <w:adjustRightInd w:val="0"/>
              <w:snapToGrid w:val="0"/>
              <w:jc w:val="center"/>
              <w:rPr>
                <w:rFonts w:ascii="仿宋_GB2312" w:eastAsia="仿宋_GB2312"/>
                <w:bCs/>
                <w:sz w:val="24"/>
                <w:szCs w:val="24"/>
              </w:rPr>
            </w:pPr>
            <w:r>
              <w:rPr>
                <w:rFonts w:ascii="仿宋_GB2312" w:eastAsia="仿宋_GB2312"/>
                <w:bCs/>
                <w:sz w:val="24"/>
                <w:szCs w:val="24"/>
              </w:rPr>
              <w:t>GC004</w:t>
            </w:r>
          </w:p>
        </w:tc>
        <w:tc>
          <w:tcPr>
            <w:tcW w:w="2000" w:type="pct"/>
            <w:vAlign w:val="center"/>
          </w:tcPr>
          <w:p w14:paraId="4C029CF5">
            <w:pPr>
              <w:tabs>
                <w:tab w:val="left" w:pos="0"/>
              </w:tabs>
              <w:adjustRightInd w:val="0"/>
              <w:snapToGrid w:val="0"/>
              <w:jc w:val="center"/>
              <w:rPr>
                <w:rFonts w:ascii="仿宋_GB2312" w:eastAsia="仿宋_GB2312"/>
                <w:bCs/>
                <w:sz w:val="24"/>
                <w:szCs w:val="24"/>
              </w:rPr>
            </w:pPr>
            <w:r>
              <w:rPr>
                <w:rFonts w:hint="eastAsia" w:ascii="仿宋_GB2312" w:eastAsia="仿宋_GB2312"/>
                <w:bCs/>
                <w:sz w:val="24"/>
                <w:szCs w:val="24"/>
              </w:rPr>
              <w:t>4天回购</w:t>
            </w:r>
          </w:p>
        </w:tc>
      </w:tr>
      <w:tr w14:paraId="3906546E">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1562" w:type="pct"/>
            <w:vAlign w:val="center"/>
          </w:tcPr>
          <w:p w14:paraId="34C9F3CF">
            <w:pPr>
              <w:tabs>
                <w:tab w:val="left" w:pos="0"/>
              </w:tabs>
              <w:adjustRightInd w:val="0"/>
              <w:snapToGrid w:val="0"/>
              <w:jc w:val="center"/>
              <w:rPr>
                <w:rFonts w:ascii="仿宋_GB2312" w:eastAsia="仿宋_GB2312"/>
                <w:b/>
                <w:bCs/>
                <w:sz w:val="24"/>
                <w:szCs w:val="24"/>
              </w:rPr>
            </w:pPr>
            <w:r>
              <w:rPr>
                <w:rFonts w:ascii="仿宋_GB2312" w:eastAsia="仿宋_GB2312"/>
                <w:b/>
                <w:bCs/>
                <w:sz w:val="24"/>
                <w:szCs w:val="24"/>
              </w:rPr>
              <w:t>204007</w:t>
            </w:r>
          </w:p>
        </w:tc>
        <w:tc>
          <w:tcPr>
            <w:tcW w:w="1437" w:type="pct"/>
            <w:vAlign w:val="center"/>
          </w:tcPr>
          <w:p w14:paraId="32852C06">
            <w:pPr>
              <w:tabs>
                <w:tab w:val="left" w:pos="0"/>
              </w:tabs>
              <w:adjustRightInd w:val="0"/>
              <w:snapToGrid w:val="0"/>
              <w:jc w:val="center"/>
              <w:rPr>
                <w:rFonts w:ascii="仿宋_GB2312" w:eastAsia="仿宋_GB2312"/>
                <w:bCs/>
                <w:sz w:val="24"/>
                <w:szCs w:val="24"/>
              </w:rPr>
            </w:pPr>
            <w:r>
              <w:rPr>
                <w:rFonts w:ascii="仿宋_GB2312" w:eastAsia="仿宋_GB2312"/>
                <w:bCs/>
                <w:sz w:val="24"/>
                <w:szCs w:val="24"/>
              </w:rPr>
              <w:t>GC007</w:t>
            </w:r>
          </w:p>
        </w:tc>
        <w:tc>
          <w:tcPr>
            <w:tcW w:w="2000" w:type="pct"/>
            <w:vAlign w:val="center"/>
          </w:tcPr>
          <w:p w14:paraId="455D140A">
            <w:pPr>
              <w:tabs>
                <w:tab w:val="left" w:pos="0"/>
              </w:tabs>
              <w:adjustRightInd w:val="0"/>
              <w:snapToGrid w:val="0"/>
              <w:jc w:val="center"/>
              <w:rPr>
                <w:rFonts w:ascii="仿宋_GB2312" w:eastAsia="仿宋_GB2312"/>
                <w:bCs/>
                <w:sz w:val="24"/>
                <w:szCs w:val="24"/>
              </w:rPr>
            </w:pPr>
            <w:r>
              <w:rPr>
                <w:rFonts w:hint="eastAsia" w:ascii="仿宋_GB2312" w:eastAsia="仿宋_GB2312"/>
                <w:bCs/>
                <w:sz w:val="24"/>
                <w:szCs w:val="24"/>
              </w:rPr>
              <w:t>7天回购</w:t>
            </w:r>
          </w:p>
        </w:tc>
      </w:tr>
      <w:tr w14:paraId="2C80167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1562" w:type="pct"/>
            <w:vAlign w:val="center"/>
          </w:tcPr>
          <w:p w14:paraId="1A57B1F0">
            <w:pPr>
              <w:tabs>
                <w:tab w:val="left" w:pos="0"/>
              </w:tabs>
              <w:adjustRightInd w:val="0"/>
              <w:snapToGrid w:val="0"/>
              <w:jc w:val="center"/>
              <w:rPr>
                <w:rFonts w:ascii="仿宋_GB2312" w:eastAsia="仿宋_GB2312"/>
                <w:b/>
                <w:bCs/>
                <w:sz w:val="24"/>
                <w:szCs w:val="24"/>
              </w:rPr>
            </w:pPr>
            <w:r>
              <w:rPr>
                <w:rFonts w:ascii="仿宋_GB2312" w:eastAsia="仿宋_GB2312"/>
                <w:b/>
                <w:bCs/>
                <w:sz w:val="24"/>
                <w:szCs w:val="24"/>
              </w:rPr>
              <w:t>204014</w:t>
            </w:r>
          </w:p>
        </w:tc>
        <w:tc>
          <w:tcPr>
            <w:tcW w:w="1437" w:type="pct"/>
            <w:vAlign w:val="center"/>
          </w:tcPr>
          <w:p w14:paraId="55B27991">
            <w:pPr>
              <w:tabs>
                <w:tab w:val="left" w:pos="0"/>
              </w:tabs>
              <w:adjustRightInd w:val="0"/>
              <w:snapToGrid w:val="0"/>
              <w:jc w:val="center"/>
              <w:rPr>
                <w:rFonts w:ascii="仿宋_GB2312" w:eastAsia="仿宋_GB2312"/>
                <w:bCs/>
                <w:sz w:val="24"/>
                <w:szCs w:val="24"/>
              </w:rPr>
            </w:pPr>
            <w:r>
              <w:rPr>
                <w:rFonts w:ascii="仿宋_GB2312" w:eastAsia="仿宋_GB2312"/>
                <w:bCs/>
                <w:sz w:val="24"/>
                <w:szCs w:val="24"/>
              </w:rPr>
              <w:t>GC014</w:t>
            </w:r>
          </w:p>
        </w:tc>
        <w:tc>
          <w:tcPr>
            <w:tcW w:w="2000" w:type="pct"/>
            <w:vAlign w:val="center"/>
          </w:tcPr>
          <w:p w14:paraId="6CE46CD9">
            <w:pPr>
              <w:tabs>
                <w:tab w:val="left" w:pos="0"/>
              </w:tabs>
              <w:adjustRightInd w:val="0"/>
              <w:snapToGrid w:val="0"/>
              <w:jc w:val="center"/>
              <w:rPr>
                <w:rFonts w:ascii="仿宋_GB2312" w:eastAsia="仿宋_GB2312"/>
                <w:bCs/>
                <w:sz w:val="24"/>
                <w:szCs w:val="24"/>
              </w:rPr>
            </w:pPr>
            <w:r>
              <w:rPr>
                <w:rFonts w:hint="eastAsia" w:ascii="仿宋_GB2312" w:eastAsia="仿宋_GB2312"/>
                <w:bCs/>
                <w:sz w:val="24"/>
                <w:szCs w:val="24"/>
              </w:rPr>
              <w:t>14天回购</w:t>
            </w:r>
          </w:p>
        </w:tc>
      </w:tr>
      <w:tr w14:paraId="6D3FD69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PrEx>
        <w:trPr>
          <w:jc w:val="center"/>
        </w:trPr>
        <w:tc>
          <w:tcPr>
            <w:tcW w:w="1562" w:type="pct"/>
            <w:vAlign w:val="center"/>
          </w:tcPr>
          <w:p w14:paraId="2CEB93C4">
            <w:pPr>
              <w:tabs>
                <w:tab w:val="left" w:pos="0"/>
              </w:tabs>
              <w:adjustRightInd w:val="0"/>
              <w:snapToGrid w:val="0"/>
              <w:jc w:val="center"/>
              <w:rPr>
                <w:rFonts w:ascii="仿宋_GB2312" w:eastAsia="仿宋_GB2312"/>
                <w:b/>
                <w:bCs/>
                <w:sz w:val="24"/>
                <w:szCs w:val="24"/>
              </w:rPr>
            </w:pPr>
            <w:r>
              <w:rPr>
                <w:rFonts w:ascii="仿宋_GB2312" w:eastAsia="仿宋_GB2312"/>
                <w:b/>
                <w:bCs/>
                <w:sz w:val="24"/>
                <w:szCs w:val="24"/>
              </w:rPr>
              <w:t>204028</w:t>
            </w:r>
          </w:p>
        </w:tc>
        <w:tc>
          <w:tcPr>
            <w:tcW w:w="1437" w:type="pct"/>
            <w:vAlign w:val="center"/>
          </w:tcPr>
          <w:p w14:paraId="4A3590D2">
            <w:pPr>
              <w:tabs>
                <w:tab w:val="left" w:pos="0"/>
              </w:tabs>
              <w:adjustRightInd w:val="0"/>
              <w:snapToGrid w:val="0"/>
              <w:jc w:val="center"/>
              <w:rPr>
                <w:rFonts w:ascii="仿宋_GB2312" w:eastAsia="仿宋_GB2312"/>
                <w:bCs/>
                <w:sz w:val="24"/>
                <w:szCs w:val="24"/>
              </w:rPr>
            </w:pPr>
            <w:r>
              <w:rPr>
                <w:rFonts w:ascii="仿宋_GB2312" w:eastAsia="仿宋_GB2312"/>
                <w:bCs/>
                <w:sz w:val="24"/>
                <w:szCs w:val="24"/>
              </w:rPr>
              <w:t>GC028</w:t>
            </w:r>
          </w:p>
        </w:tc>
        <w:tc>
          <w:tcPr>
            <w:tcW w:w="2000" w:type="pct"/>
            <w:vAlign w:val="center"/>
          </w:tcPr>
          <w:p w14:paraId="64341FEC">
            <w:pPr>
              <w:tabs>
                <w:tab w:val="left" w:pos="0"/>
              </w:tabs>
              <w:adjustRightInd w:val="0"/>
              <w:snapToGrid w:val="0"/>
              <w:jc w:val="center"/>
              <w:rPr>
                <w:rFonts w:ascii="仿宋_GB2312" w:eastAsia="仿宋_GB2312"/>
                <w:bCs/>
                <w:sz w:val="24"/>
                <w:szCs w:val="24"/>
              </w:rPr>
            </w:pPr>
            <w:r>
              <w:rPr>
                <w:rFonts w:hint="eastAsia" w:ascii="仿宋_GB2312" w:eastAsia="仿宋_GB2312"/>
                <w:bCs/>
                <w:sz w:val="24"/>
                <w:szCs w:val="24"/>
              </w:rPr>
              <w:t>28天回购</w:t>
            </w:r>
          </w:p>
        </w:tc>
      </w:tr>
      <w:tr w14:paraId="4D3CA8AF">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1562" w:type="pct"/>
            <w:vAlign w:val="center"/>
          </w:tcPr>
          <w:p w14:paraId="3BEFA369">
            <w:pPr>
              <w:tabs>
                <w:tab w:val="left" w:pos="0"/>
              </w:tabs>
              <w:adjustRightInd w:val="0"/>
              <w:snapToGrid w:val="0"/>
              <w:jc w:val="center"/>
              <w:rPr>
                <w:rFonts w:ascii="仿宋_GB2312" w:eastAsia="仿宋_GB2312"/>
                <w:b/>
                <w:bCs/>
                <w:sz w:val="24"/>
                <w:szCs w:val="24"/>
              </w:rPr>
            </w:pPr>
            <w:r>
              <w:rPr>
                <w:rFonts w:ascii="仿宋_GB2312" w:eastAsia="仿宋_GB2312"/>
                <w:b/>
                <w:bCs/>
                <w:sz w:val="24"/>
                <w:szCs w:val="24"/>
              </w:rPr>
              <w:t>204091</w:t>
            </w:r>
          </w:p>
        </w:tc>
        <w:tc>
          <w:tcPr>
            <w:tcW w:w="1437" w:type="pct"/>
            <w:vAlign w:val="center"/>
          </w:tcPr>
          <w:p w14:paraId="2C93503E">
            <w:pPr>
              <w:tabs>
                <w:tab w:val="left" w:pos="0"/>
              </w:tabs>
              <w:adjustRightInd w:val="0"/>
              <w:snapToGrid w:val="0"/>
              <w:jc w:val="center"/>
              <w:rPr>
                <w:rFonts w:ascii="仿宋_GB2312" w:eastAsia="仿宋_GB2312"/>
                <w:bCs/>
                <w:sz w:val="24"/>
                <w:szCs w:val="24"/>
              </w:rPr>
            </w:pPr>
            <w:r>
              <w:rPr>
                <w:rFonts w:ascii="仿宋_GB2312" w:eastAsia="仿宋_GB2312"/>
                <w:bCs/>
                <w:sz w:val="24"/>
                <w:szCs w:val="24"/>
              </w:rPr>
              <w:t>GC091</w:t>
            </w:r>
          </w:p>
        </w:tc>
        <w:tc>
          <w:tcPr>
            <w:tcW w:w="2000" w:type="pct"/>
            <w:vAlign w:val="center"/>
          </w:tcPr>
          <w:p w14:paraId="2BD040F3">
            <w:pPr>
              <w:tabs>
                <w:tab w:val="left" w:pos="0"/>
              </w:tabs>
              <w:adjustRightInd w:val="0"/>
              <w:snapToGrid w:val="0"/>
              <w:jc w:val="center"/>
              <w:rPr>
                <w:rFonts w:ascii="仿宋_GB2312" w:eastAsia="仿宋_GB2312"/>
                <w:bCs/>
                <w:sz w:val="24"/>
                <w:szCs w:val="24"/>
              </w:rPr>
            </w:pPr>
            <w:r>
              <w:rPr>
                <w:rFonts w:hint="eastAsia" w:ascii="仿宋_GB2312" w:eastAsia="仿宋_GB2312"/>
                <w:bCs/>
                <w:sz w:val="24"/>
                <w:szCs w:val="24"/>
              </w:rPr>
              <w:t>91天回购</w:t>
            </w:r>
          </w:p>
        </w:tc>
      </w:tr>
      <w:tr w14:paraId="43E32B23">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jc w:val="center"/>
        </w:trPr>
        <w:tc>
          <w:tcPr>
            <w:tcW w:w="1562" w:type="pct"/>
            <w:vAlign w:val="center"/>
          </w:tcPr>
          <w:p w14:paraId="7FDF671B">
            <w:pPr>
              <w:tabs>
                <w:tab w:val="left" w:pos="0"/>
              </w:tabs>
              <w:adjustRightInd w:val="0"/>
              <w:snapToGrid w:val="0"/>
              <w:jc w:val="center"/>
              <w:rPr>
                <w:rFonts w:ascii="仿宋_GB2312" w:eastAsia="仿宋_GB2312"/>
                <w:b/>
                <w:bCs/>
                <w:sz w:val="24"/>
                <w:szCs w:val="24"/>
              </w:rPr>
            </w:pPr>
            <w:r>
              <w:rPr>
                <w:rFonts w:ascii="仿宋_GB2312" w:eastAsia="仿宋_GB2312"/>
                <w:b/>
                <w:bCs/>
                <w:sz w:val="24"/>
                <w:szCs w:val="24"/>
              </w:rPr>
              <w:t>204182</w:t>
            </w:r>
          </w:p>
        </w:tc>
        <w:tc>
          <w:tcPr>
            <w:tcW w:w="1437" w:type="pct"/>
            <w:vAlign w:val="center"/>
          </w:tcPr>
          <w:p w14:paraId="03E8E406">
            <w:pPr>
              <w:tabs>
                <w:tab w:val="left" w:pos="0"/>
              </w:tabs>
              <w:adjustRightInd w:val="0"/>
              <w:snapToGrid w:val="0"/>
              <w:jc w:val="center"/>
              <w:rPr>
                <w:rFonts w:ascii="仿宋_GB2312" w:eastAsia="仿宋_GB2312"/>
                <w:bCs/>
                <w:sz w:val="24"/>
                <w:szCs w:val="24"/>
              </w:rPr>
            </w:pPr>
            <w:r>
              <w:rPr>
                <w:rFonts w:ascii="仿宋_GB2312" w:eastAsia="仿宋_GB2312"/>
                <w:bCs/>
                <w:sz w:val="24"/>
                <w:szCs w:val="24"/>
              </w:rPr>
              <w:t>GC182</w:t>
            </w:r>
          </w:p>
        </w:tc>
        <w:tc>
          <w:tcPr>
            <w:tcW w:w="2000" w:type="pct"/>
            <w:vAlign w:val="center"/>
          </w:tcPr>
          <w:p w14:paraId="48F142FD">
            <w:pPr>
              <w:tabs>
                <w:tab w:val="left" w:pos="0"/>
              </w:tabs>
              <w:adjustRightInd w:val="0"/>
              <w:snapToGrid w:val="0"/>
              <w:jc w:val="center"/>
              <w:rPr>
                <w:rFonts w:ascii="仿宋_GB2312" w:eastAsia="仿宋_GB2312"/>
                <w:bCs/>
                <w:sz w:val="24"/>
                <w:szCs w:val="24"/>
              </w:rPr>
            </w:pPr>
            <w:r>
              <w:rPr>
                <w:rFonts w:hint="eastAsia" w:ascii="仿宋_GB2312" w:eastAsia="仿宋_GB2312"/>
                <w:bCs/>
                <w:sz w:val="24"/>
                <w:szCs w:val="24"/>
              </w:rPr>
              <w:t>182天回购</w:t>
            </w:r>
          </w:p>
        </w:tc>
      </w:tr>
    </w:tbl>
    <w:p w14:paraId="12F7F4B0">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回购到期的处理</w:t>
      </w:r>
    </w:p>
    <w:p w14:paraId="1BE3D6E5">
      <w:pPr>
        <w:adjustRightInd w:val="0"/>
        <w:snapToGrid w:val="0"/>
        <w:spacing w:line="600" w:lineRule="exact"/>
        <w:ind w:firstLine="600" w:firstLineChars="200"/>
        <w:rPr>
          <w:rFonts w:ascii="仿宋_GB2312" w:hAnsi="Calibri" w:eastAsia="仿宋_GB2312"/>
          <w:sz w:val="30"/>
          <w:szCs w:val="30"/>
        </w:rPr>
      </w:pPr>
      <w:r>
        <w:rPr>
          <w:rFonts w:hint="eastAsia" w:ascii="仿宋_GB2312" w:hAnsi="宋体" w:eastAsia="仿宋_GB2312"/>
          <w:sz w:val="30"/>
          <w:szCs w:val="30"/>
        </w:rPr>
        <w:t>回购到期日，新债券交易系统根据登记结算机构提供的当日回购到期的数据，为相关账户增加相应可融资额度。正回购方可实现到期滚动续做，</w:t>
      </w:r>
      <w:r>
        <w:rPr>
          <w:rFonts w:hint="eastAsia" w:ascii="仿宋_GB2312" w:hAnsi="Calibri" w:eastAsia="仿宋_GB2312"/>
          <w:sz w:val="30"/>
          <w:szCs w:val="30"/>
        </w:rPr>
        <w:t>在可融资额度内进行新的融资回购，从而实现滚动融资；</w:t>
      </w:r>
      <w:r>
        <w:rPr>
          <w:rFonts w:hint="eastAsia" w:ascii="仿宋_GB2312" w:hAnsi="宋体" w:eastAsia="仿宋_GB2312"/>
          <w:sz w:val="30"/>
          <w:szCs w:val="30"/>
        </w:rPr>
        <w:t>或者</w:t>
      </w:r>
      <w:r>
        <w:rPr>
          <w:rFonts w:hint="eastAsia" w:ascii="仿宋_GB2312" w:hAnsi="Calibri" w:eastAsia="仿宋_GB2312"/>
          <w:sz w:val="30"/>
          <w:szCs w:val="30"/>
        </w:rPr>
        <w:t>申报将相关质押券转回原证券账户，并可在当日卖出，卖出的资金可用于</w:t>
      </w:r>
      <w:r>
        <w:rPr>
          <w:rFonts w:hint="eastAsia" w:ascii="仿宋_GB2312" w:hAnsi="宋体" w:eastAsia="仿宋_GB2312"/>
          <w:sz w:val="30"/>
          <w:szCs w:val="30"/>
        </w:rPr>
        <w:t>偿还到期购回款。</w:t>
      </w:r>
    </w:p>
    <w:p w14:paraId="3BFD7E61">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结算安排</w:t>
      </w:r>
    </w:p>
    <w:p w14:paraId="44CD4904">
      <w:pPr>
        <w:adjustRightInd w:val="0"/>
        <w:snapToGrid w:val="0"/>
        <w:spacing w:line="600" w:lineRule="exact"/>
        <w:ind w:firstLine="600" w:firstLineChars="200"/>
        <w:outlineLvl w:val="3"/>
        <w:rPr>
          <w:rFonts w:ascii="仿宋_GB2312" w:hAnsi="宋体" w:eastAsia="仿宋_GB2312"/>
          <w:sz w:val="30"/>
          <w:szCs w:val="30"/>
        </w:rPr>
      </w:pPr>
      <w:r>
        <w:rPr>
          <w:rFonts w:hint="eastAsia" w:ascii="仿宋_GB2312" w:hAnsi="宋体" w:eastAsia="仿宋_GB2312"/>
          <w:sz w:val="30"/>
          <w:szCs w:val="30"/>
        </w:rPr>
        <w:t>（</w:t>
      </w:r>
      <w:r>
        <w:rPr>
          <w:rFonts w:ascii="仿宋_GB2312" w:hAnsi="宋体" w:eastAsia="仿宋_GB2312"/>
          <w:sz w:val="30"/>
          <w:szCs w:val="30"/>
        </w:rPr>
        <w:t>1）结算安排</w:t>
      </w:r>
    </w:p>
    <w:p w14:paraId="0D222E5A">
      <w:pPr>
        <w:adjustRightInd w:val="0"/>
        <w:snapToGrid w:val="0"/>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证券登记结算机构每日日终以证券账户为单位进行融资额度核算，如果某证券账户提交质押券折算成的融资额度与提交的现金担保品之和小于融资未到期余额，则为“欠库”，证券登记结算机构对相应参与人进行欠库扣款。</w:t>
      </w:r>
    </w:p>
    <w:p w14:paraId="7B4D43F6">
      <w:pPr>
        <w:adjustRightInd w:val="0"/>
        <w:snapToGrid w:val="0"/>
        <w:spacing w:line="600" w:lineRule="exact"/>
        <w:ind w:firstLine="600" w:firstLineChars="200"/>
        <w:rPr>
          <w:rFonts w:ascii="仿宋_GB2312" w:hAnsi="宋体" w:eastAsia="仿宋_GB2312"/>
          <w:sz w:val="30"/>
          <w:szCs w:val="30"/>
        </w:rPr>
      </w:pPr>
      <w:r>
        <w:rPr>
          <w:rFonts w:hint="eastAsia" w:ascii="仿宋_GB2312" w:hAnsi="Calibri" w:eastAsia="仿宋_GB2312"/>
          <w:sz w:val="30"/>
          <w:szCs w:val="30"/>
        </w:rPr>
        <w:t>通用</w:t>
      </w:r>
      <w:r>
        <w:rPr>
          <w:rFonts w:hint="eastAsia" w:ascii="仿宋_GB2312" w:hAnsi="Calibri" w:eastAsia="仿宋_GB2312"/>
          <w:color w:val="000000"/>
          <w:sz w:val="30"/>
          <w:szCs w:val="30"/>
        </w:rPr>
        <w:t>回购实行“一次成交、两次结算”，由登记结算机构作为中央对手方采取多边净额结算方式进行结算。</w:t>
      </w:r>
      <w:r>
        <w:rPr>
          <w:rFonts w:hint="eastAsia" w:ascii="仿宋_GB2312" w:hAnsi="宋体" w:eastAsia="仿宋_GB2312"/>
          <w:sz w:val="30"/>
          <w:szCs w:val="30"/>
        </w:rPr>
        <w:t>登记结算机构以结算备付金账户为单位，将回购成交应付资金数据</w:t>
      </w:r>
      <w:r>
        <w:rPr>
          <w:rFonts w:ascii="仿宋_GB2312" w:hAnsi="宋体" w:eastAsia="仿宋_GB2312"/>
          <w:sz w:val="30"/>
          <w:szCs w:val="30"/>
        </w:rPr>
        <w:t xml:space="preserve">, </w:t>
      </w:r>
      <w:r>
        <w:rPr>
          <w:rFonts w:hint="eastAsia" w:ascii="仿宋_GB2312" w:hAnsi="宋体" w:eastAsia="仿宋_GB2312"/>
          <w:sz w:val="30"/>
          <w:szCs w:val="30"/>
        </w:rPr>
        <w:t>与当日其它证券交易数据合并清算，轧差计算出结算备付金账户净应收或净应付资金余额，并在</w:t>
      </w:r>
      <w:r>
        <w:rPr>
          <w:rFonts w:ascii="仿宋_GB2312" w:hAnsi="宋体" w:eastAsia="仿宋_GB2312"/>
          <w:sz w:val="30"/>
          <w:szCs w:val="30"/>
        </w:rPr>
        <w:t>T+1日办理资金交收（具体</w:t>
      </w:r>
      <w:r>
        <w:rPr>
          <w:rFonts w:hint="eastAsia" w:ascii="仿宋_GB2312" w:hAnsi="宋体" w:eastAsia="仿宋_GB2312"/>
          <w:sz w:val="30"/>
          <w:szCs w:val="30"/>
        </w:rPr>
        <w:t>以</w:t>
      </w:r>
      <w:r>
        <w:rPr>
          <w:rFonts w:ascii="仿宋_GB2312" w:hAnsi="宋体" w:eastAsia="仿宋_GB2312"/>
          <w:sz w:val="30"/>
          <w:szCs w:val="30"/>
        </w:rPr>
        <w:t>登记结算机构相关业务规则</w:t>
      </w:r>
      <w:r>
        <w:rPr>
          <w:rFonts w:hint="eastAsia" w:ascii="仿宋_GB2312" w:hAnsi="宋体" w:eastAsia="仿宋_GB2312"/>
          <w:sz w:val="30"/>
          <w:szCs w:val="30"/>
        </w:rPr>
        <w:t>为准</w:t>
      </w:r>
      <w:r>
        <w:rPr>
          <w:rFonts w:ascii="仿宋_GB2312" w:hAnsi="宋体" w:eastAsia="仿宋_GB2312"/>
          <w:sz w:val="30"/>
          <w:szCs w:val="30"/>
        </w:rPr>
        <w:t>）。</w:t>
      </w:r>
    </w:p>
    <w:p w14:paraId="2BC385E7">
      <w:pPr>
        <w:adjustRightInd w:val="0"/>
        <w:snapToGrid w:val="0"/>
        <w:spacing w:line="600" w:lineRule="exact"/>
        <w:ind w:firstLine="600" w:firstLineChars="200"/>
        <w:outlineLvl w:val="3"/>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w:t>
      </w:r>
      <w:r>
        <w:rPr>
          <w:rFonts w:ascii="仿宋_GB2312" w:hAnsi="宋体" w:eastAsia="仿宋_GB2312" w:cs="宋体"/>
          <w:color w:val="000000"/>
          <w:kern w:val="0"/>
          <w:sz w:val="30"/>
          <w:szCs w:val="30"/>
        </w:rPr>
        <w:t>2）</w:t>
      </w:r>
      <w:r>
        <w:rPr>
          <w:rFonts w:ascii="仿宋_GB2312" w:hAnsi="宋体" w:eastAsia="仿宋_GB2312"/>
          <w:sz w:val="30"/>
          <w:szCs w:val="30"/>
        </w:rPr>
        <w:t>结算价格</w:t>
      </w:r>
    </w:p>
    <w:p w14:paraId="5EC4E60B">
      <w:pPr>
        <w:widowControl/>
        <w:adjustRightInd w:val="0"/>
        <w:snapToGrid w:val="0"/>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通用回购初次结算的结算价格为</w:t>
      </w:r>
      <w:r>
        <w:rPr>
          <w:rFonts w:ascii="仿宋_GB2312" w:hAnsi="宋体" w:eastAsia="仿宋_GB2312" w:cs="宋体"/>
          <w:color w:val="000000"/>
          <w:kern w:val="0"/>
          <w:sz w:val="30"/>
          <w:szCs w:val="30"/>
        </w:rPr>
        <w:t>100元，到期结算的结算价格为购回价。购回价等于每百元资金的本金和利息之和，其计算公式为：</w:t>
      </w:r>
    </w:p>
    <w:p w14:paraId="2A6C76BA">
      <w:pPr>
        <w:widowControl/>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购回价=100元＋每百元资金到期年收益×实际占款天数/365。</w:t>
      </w:r>
    </w:p>
    <w:p w14:paraId="28B44287">
      <w:pPr>
        <w:widowControl/>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实际占款天数是指当次</w:t>
      </w:r>
      <w:r>
        <w:rPr>
          <w:rFonts w:hint="eastAsia" w:ascii="仿宋_GB2312" w:hAnsi="仿宋" w:eastAsia="仿宋_GB2312"/>
          <w:color w:val="000000"/>
          <w:sz w:val="30"/>
          <w:szCs w:val="30"/>
        </w:rPr>
        <w:t>通用</w:t>
      </w:r>
      <w:r>
        <w:rPr>
          <w:rFonts w:hint="eastAsia" w:ascii="仿宋_GB2312" w:eastAsia="仿宋_GB2312"/>
          <w:sz w:val="30"/>
          <w:szCs w:val="30"/>
        </w:rPr>
        <w:t>回购交易的首次交收日（含）至到期交收日（不含）的实际日历天数，按自然日计算。</w:t>
      </w:r>
    </w:p>
    <w:p w14:paraId="44BB5149">
      <w:pPr>
        <w:widowControl/>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实际占款天数计算示例见下表：</w:t>
      </w:r>
    </w:p>
    <w:tbl>
      <w:tblPr>
        <w:tblStyle w:val="43"/>
        <w:tblW w:w="88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8"/>
        <w:gridCol w:w="1028"/>
        <w:gridCol w:w="1523"/>
        <w:gridCol w:w="1037"/>
        <w:gridCol w:w="1529"/>
        <w:gridCol w:w="1657"/>
        <w:gridCol w:w="1541"/>
      </w:tblGrid>
      <w:tr w14:paraId="631AB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Align w:val="center"/>
          </w:tcPr>
          <w:p w14:paraId="4AEECFB4">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品种</w:t>
            </w:r>
          </w:p>
        </w:tc>
        <w:tc>
          <w:tcPr>
            <w:tcW w:w="1028" w:type="dxa"/>
            <w:vAlign w:val="center"/>
          </w:tcPr>
          <w:p w14:paraId="719AF888">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成交日</w:t>
            </w:r>
          </w:p>
        </w:tc>
        <w:tc>
          <w:tcPr>
            <w:tcW w:w="1523" w:type="dxa"/>
            <w:vAlign w:val="center"/>
          </w:tcPr>
          <w:p w14:paraId="716DC9A3">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首次交收日</w:t>
            </w:r>
          </w:p>
        </w:tc>
        <w:tc>
          <w:tcPr>
            <w:tcW w:w="1037" w:type="dxa"/>
            <w:vAlign w:val="center"/>
          </w:tcPr>
          <w:p w14:paraId="6B39ECCC">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到期日</w:t>
            </w:r>
          </w:p>
        </w:tc>
        <w:tc>
          <w:tcPr>
            <w:tcW w:w="1529" w:type="dxa"/>
            <w:vAlign w:val="center"/>
          </w:tcPr>
          <w:p w14:paraId="6DB6A368">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到期清算日</w:t>
            </w:r>
          </w:p>
        </w:tc>
        <w:tc>
          <w:tcPr>
            <w:tcW w:w="1657" w:type="dxa"/>
            <w:vAlign w:val="center"/>
          </w:tcPr>
          <w:p w14:paraId="4F839497">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到期交收日</w:t>
            </w:r>
          </w:p>
        </w:tc>
        <w:tc>
          <w:tcPr>
            <w:tcW w:w="1541" w:type="dxa"/>
            <w:vAlign w:val="center"/>
          </w:tcPr>
          <w:p w14:paraId="233613EE">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资金实际占款天数（天）</w:t>
            </w:r>
          </w:p>
        </w:tc>
      </w:tr>
      <w:tr w14:paraId="75C62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restart"/>
            <w:vAlign w:val="center"/>
          </w:tcPr>
          <w:p w14:paraId="0452C7D1">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1天回购</w:t>
            </w:r>
          </w:p>
        </w:tc>
        <w:tc>
          <w:tcPr>
            <w:tcW w:w="1028" w:type="dxa"/>
            <w:vAlign w:val="center"/>
          </w:tcPr>
          <w:p w14:paraId="47ADFD88">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周一</w:t>
            </w:r>
          </w:p>
        </w:tc>
        <w:tc>
          <w:tcPr>
            <w:tcW w:w="1523" w:type="dxa"/>
            <w:vAlign w:val="center"/>
          </w:tcPr>
          <w:p w14:paraId="72D25E17">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周二</w:t>
            </w:r>
          </w:p>
        </w:tc>
        <w:tc>
          <w:tcPr>
            <w:tcW w:w="1037" w:type="dxa"/>
            <w:vAlign w:val="center"/>
          </w:tcPr>
          <w:p w14:paraId="1936D4CB">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周二</w:t>
            </w:r>
          </w:p>
        </w:tc>
        <w:tc>
          <w:tcPr>
            <w:tcW w:w="1529" w:type="dxa"/>
            <w:vAlign w:val="center"/>
          </w:tcPr>
          <w:p w14:paraId="35DDDDA5">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周二</w:t>
            </w:r>
          </w:p>
        </w:tc>
        <w:tc>
          <w:tcPr>
            <w:tcW w:w="1657" w:type="dxa"/>
            <w:vAlign w:val="center"/>
          </w:tcPr>
          <w:p w14:paraId="71B239D2">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541" w:type="dxa"/>
            <w:vAlign w:val="center"/>
          </w:tcPr>
          <w:p w14:paraId="3FC06BC5">
            <w:pPr>
              <w:widowControl/>
              <w:adjustRightInd w:val="0"/>
              <w:snapToGrid w:val="0"/>
              <w:rPr>
                <w:rFonts w:ascii="仿宋_GB2312" w:eastAsia="仿宋_GB2312"/>
                <w:bCs/>
                <w:kern w:val="0"/>
                <w:sz w:val="24"/>
                <w:szCs w:val="24"/>
              </w:rPr>
            </w:pPr>
            <w:r>
              <w:rPr>
                <w:rFonts w:ascii="仿宋_GB2312" w:eastAsia="仿宋_GB2312"/>
                <w:bCs/>
                <w:kern w:val="0"/>
                <w:sz w:val="24"/>
                <w:szCs w:val="24"/>
              </w:rPr>
              <w:t>1</w:t>
            </w:r>
          </w:p>
        </w:tc>
      </w:tr>
      <w:tr w14:paraId="77A9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375FF32D">
            <w:pPr>
              <w:widowControl/>
              <w:adjustRightInd w:val="0"/>
              <w:snapToGrid w:val="0"/>
              <w:rPr>
                <w:rFonts w:ascii="仿宋_GB2312" w:eastAsia="仿宋_GB2312"/>
                <w:b/>
                <w:bCs/>
                <w:kern w:val="0"/>
                <w:sz w:val="24"/>
                <w:szCs w:val="24"/>
              </w:rPr>
            </w:pPr>
          </w:p>
        </w:tc>
        <w:tc>
          <w:tcPr>
            <w:tcW w:w="1028" w:type="dxa"/>
            <w:vAlign w:val="center"/>
          </w:tcPr>
          <w:p w14:paraId="08D9D99E">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周二</w:t>
            </w:r>
          </w:p>
        </w:tc>
        <w:tc>
          <w:tcPr>
            <w:tcW w:w="1523" w:type="dxa"/>
            <w:vAlign w:val="center"/>
          </w:tcPr>
          <w:p w14:paraId="4710EC77">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037" w:type="dxa"/>
            <w:vAlign w:val="center"/>
          </w:tcPr>
          <w:p w14:paraId="5F75CE50">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529" w:type="dxa"/>
            <w:vAlign w:val="center"/>
          </w:tcPr>
          <w:p w14:paraId="417FEB3D">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657" w:type="dxa"/>
            <w:vAlign w:val="center"/>
          </w:tcPr>
          <w:p w14:paraId="7ADE292A">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541" w:type="dxa"/>
            <w:vAlign w:val="center"/>
          </w:tcPr>
          <w:p w14:paraId="6B62C290">
            <w:pPr>
              <w:widowControl/>
              <w:adjustRightInd w:val="0"/>
              <w:snapToGrid w:val="0"/>
              <w:rPr>
                <w:rFonts w:ascii="仿宋_GB2312" w:eastAsia="仿宋_GB2312"/>
                <w:bCs/>
                <w:kern w:val="0"/>
                <w:sz w:val="24"/>
                <w:szCs w:val="24"/>
              </w:rPr>
            </w:pPr>
            <w:r>
              <w:rPr>
                <w:rFonts w:ascii="仿宋_GB2312" w:eastAsia="仿宋_GB2312"/>
                <w:bCs/>
                <w:kern w:val="0"/>
                <w:sz w:val="24"/>
                <w:szCs w:val="24"/>
              </w:rPr>
              <w:t>1</w:t>
            </w:r>
          </w:p>
        </w:tc>
      </w:tr>
      <w:tr w14:paraId="71E3F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78" w:type="dxa"/>
            <w:vMerge w:val="continue"/>
            <w:vAlign w:val="center"/>
          </w:tcPr>
          <w:p w14:paraId="2D55CEDD">
            <w:pPr>
              <w:widowControl/>
              <w:adjustRightInd w:val="0"/>
              <w:snapToGrid w:val="0"/>
              <w:rPr>
                <w:rFonts w:ascii="仿宋_GB2312" w:eastAsia="仿宋_GB2312"/>
                <w:b/>
                <w:bCs/>
                <w:kern w:val="0"/>
                <w:sz w:val="24"/>
                <w:szCs w:val="24"/>
              </w:rPr>
            </w:pPr>
          </w:p>
        </w:tc>
        <w:tc>
          <w:tcPr>
            <w:tcW w:w="1028" w:type="dxa"/>
            <w:vAlign w:val="center"/>
          </w:tcPr>
          <w:p w14:paraId="03946601">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523" w:type="dxa"/>
            <w:vAlign w:val="center"/>
          </w:tcPr>
          <w:p w14:paraId="6FC04EDE">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037" w:type="dxa"/>
            <w:vAlign w:val="center"/>
          </w:tcPr>
          <w:p w14:paraId="20BEBF0B">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529" w:type="dxa"/>
            <w:vAlign w:val="center"/>
          </w:tcPr>
          <w:p w14:paraId="2E9F859E">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657" w:type="dxa"/>
            <w:vAlign w:val="center"/>
          </w:tcPr>
          <w:p w14:paraId="4B14E837">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541" w:type="dxa"/>
            <w:vAlign w:val="center"/>
          </w:tcPr>
          <w:p w14:paraId="1F3677A8">
            <w:pPr>
              <w:widowControl/>
              <w:adjustRightInd w:val="0"/>
              <w:snapToGrid w:val="0"/>
              <w:rPr>
                <w:rFonts w:ascii="仿宋_GB2312" w:eastAsia="仿宋_GB2312"/>
                <w:bCs/>
                <w:kern w:val="0"/>
                <w:sz w:val="24"/>
                <w:szCs w:val="24"/>
              </w:rPr>
            </w:pPr>
            <w:r>
              <w:rPr>
                <w:rFonts w:ascii="仿宋_GB2312" w:eastAsia="仿宋_GB2312"/>
                <w:bCs/>
                <w:kern w:val="0"/>
                <w:sz w:val="24"/>
                <w:szCs w:val="24"/>
              </w:rPr>
              <w:t>1</w:t>
            </w:r>
          </w:p>
        </w:tc>
      </w:tr>
      <w:tr w14:paraId="15390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17CE4D83">
            <w:pPr>
              <w:widowControl/>
              <w:adjustRightInd w:val="0"/>
              <w:snapToGrid w:val="0"/>
              <w:rPr>
                <w:rFonts w:ascii="仿宋_GB2312" w:eastAsia="仿宋_GB2312"/>
                <w:b/>
                <w:bCs/>
                <w:kern w:val="0"/>
                <w:sz w:val="24"/>
                <w:szCs w:val="24"/>
              </w:rPr>
            </w:pPr>
          </w:p>
        </w:tc>
        <w:tc>
          <w:tcPr>
            <w:tcW w:w="1028" w:type="dxa"/>
            <w:vAlign w:val="center"/>
          </w:tcPr>
          <w:p w14:paraId="26A1EB40">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523" w:type="dxa"/>
            <w:vAlign w:val="center"/>
          </w:tcPr>
          <w:p w14:paraId="20926DF7">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037" w:type="dxa"/>
            <w:vAlign w:val="center"/>
          </w:tcPr>
          <w:p w14:paraId="2EDB0885">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529" w:type="dxa"/>
            <w:vAlign w:val="center"/>
          </w:tcPr>
          <w:p w14:paraId="010BD599">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657" w:type="dxa"/>
            <w:vAlign w:val="center"/>
          </w:tcPr>
          <w:p w14:paraId="4553AD0A">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541" w:type="dxa"/>
            <w:vAlign w:val="center"/>
          </w:tcPr>
          <w:p w14:paraId="26661E21">
            <w:pPr>
              <w:widowControl/>
              <w:adjustRightInd w:val="0"/>
              <w:snapToGrid w:val="0"/>
              <w:rPr>
                <w:rFonts w:ascii="仿宋_GB2312" w:eastAsia="仿宋_GB2312"/>
                <w:bCs/>
                <w:kern w:val="0"/>
                <w:sz w:val="24"/>
                <w:szCs w:val="24"/>
              </w:rPr>
            </w:pPr>
            <w:r>
              <w:rPr>
                <w:rFonts w:ascii="仿宋_GB2312" w:eastAsia="仿宋_GB2312"/>
                <w:bCs/>
                <w:kern w:val="0"/>
                <w:sz w:val="24"/>
                <w:szCs w:val="24"/>
              </w:rPr>
              <w:t>3</w:t>
            </w:r>
          </w:p>
        </w:tc>
      </w:tr>
      <w:tr w14:paraId="31271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50E17D37">
            <w:pPr>
              <w:widowControl/>
              <w:adjustRightInd w:val="0"/>
              <w:snapToGrid w:val="0"/>
              <w:rPr>
                <w:rFonts w:ascii="仿宋_GB2312" w:eastAsia="仿宋_GB2312"/>
                <w:b/>
                <w:bCs/>
                <w:kern w:val="0"/>
                <w:sz w:val="24"/>
                <w:szCs w:val="24"/>
              </w:rPr>
            </w:pPr>
          </w:p>
        </w:tc>
        <w:tc>
          <w:tcPr>
            <w:tcW w:w="1028" w:type="dxa"/>
            <w:vAlign w:val="center"/>
          </w:tcPr>
          <w:p w14:paraId="73AF538C">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523" w:type="dxa"/>
            <w:vAlign w:val="center"/>
          </w:tcPr>
          <w:p w14:paraId="375AA454">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037" w:type="dxa"/>
            <w:vAlign w:val="center"/>
          </w:tcPr>
          <w:p w14:paraId="1E55EFCC">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周六</w:t>
            </w:r>
          </w:p>
        </w:tc>
        <w:tc>
          <w:tcPr>
            <w:tcW w:w="1529" w:type="dxa"/>
            <w:vAlign w:val="center"/>
          </w:tcPr>
          <w:p w14:paraId="16DDB34C">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657" w:type="dxa"/>
            <w:vAlign w:val="center"/>
          </w:tcPr>
          <w:p w14:paraId="0A9E7159">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541" w:type="dxa"/>
            <w:vAlign w:val="center"/>
          </w:tcPr>
          <w:p w14:paraId="744E75D5">
            <w:pPr>
              <w:widowControl/>
              <w:adjustRightInd w:val="0"/>
              <w:snapToGrid w:val="0"/>
              <w:rPr>
                <w:rFonts w:ascii="仿宋_GB2312" w:eastAsia="仿宋_GB2312"/>
                <w:bCs/>
                <w:kern w:val="0"/>
                <w:sz w:val="24"/>
                <w:szCs w:val="24"/>
              </w:rPr>
            </w:pPr>
            <w:r>
              <w:rPr>
                <w:rFonts w:ascii="仿宋_GB2312" w:eastAsia="仿宋_GB2312"/>
                <w:bCs/>
                <w:kern w:val="0"/>
                <w:sz w:val="24"/>
                <w:szCs w:val="24"/>
              </w:rPr>
              <w:t>1</w:t>
            </w:r>
          </w:p>
        </w:tc>
      </w:tr>
      <w:tr w14:paraId="22E7E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restart"/>
            <w:vAlign w:val="center"/>
          </w:tcPr>
          <w:p w14:paraId="7091F5F7">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2天回购</w:t>
            </w:r>
          </w:p>
        </w:tc>
        <w:tc>
          <w:tcPr>
            <w:tcW w:w="1028" w:type="dxa"/>
            <w:vAlign w:val="center"/>
          </w:tcPr>
          <w:p w14:paraId="00AD0D99">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成交日</w:t>
            </w:r>
          </w:p>
        </w:tc>
        <w:tc>
          <w:tcPr>
            <w:tcW w:w="1523" w:type="dxa"/>
            <w:vAlign w:val="center"/>
          </w:tcPr>
          <w:p w14:paraId="0DAEC3B1">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首次交收日</w:t>
            </w:r>
          </w:p>
        </w:tc>
        <w:tc>
          <w:tcPr>
            <w:tcW w:w="1037" w:type="dxa"/>
            <w:vAlign w:val="center"/>
          </w:tcPr>
          <w:p w14:paraId="06D65DCE">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到期日</w:t>
            </w:r>
          </w:p>
        </w:tc>
        <w:tc>
          <w:tcPr>
            <w:tcW w:w="1529" w:type="dxa"/>
            <w:vAlign w:val="center"/>
          </w:tcPr>
          <w:p w14:paraId="6632A114">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到期清算日</w:t>
            </w:r>
          </w:p>
        </w:tc>
        <w:tc>
          <w:tcPr>
            <w:tcW w:w="1657" w:type="dxa"/>
            <w:vAlign w:val="center"/>
          </w:tcPr>
          <w:p w14:paraId="21674EC4">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到期交收日</w:t>
            </w:r>
          </w:p>
        </w:tc>
        <w:tc>
          <w:tcPr>
            <w:tcW w:w="1541" w:type="dxa"/>
            <w:vAlign w:val="center"/>
          </w:tcPr>
          <w:p w14:paraId="735B512D">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资金实际占款天数（天）</w:t>
            </w:r>
          </w:p>
        </w:tc>
      </w:tr>
      <w:tr w14:paraId="441F1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78" w:type="dxa"/>
            <w:vMerge w:val="continue"/>
            <w:vAlign w:val="center"/>
          </w:tcPr>
          <w:p w14:paraId="1EB8A47B">
            <w:pPr>
              <w:widowControl/>
              <w:adjustRightInd w:val="0"/>
              <w:snapToGrid w:val="0"/>
              <w:rPr>
                <w:rFonts w:ascii="仿宋_GB2312" w:eastAsia="仿宋_GB2312"/>
                <w:b/>
                <w:bCs/>
                <w:kern w:val="0"/>
                <w:sz w:val="24"/>
                <w:szCs w:val="24"/>
              </w:rPr>
            </w:pPr>
          </w:p>
        </w:tc>
        <w:tc>
          <w:tcPr>
            <w:tcW w:w="1028" w:type="dxa"/>
            <w:vAlign w:val="center"/>
          </w:tcPr>
          <w:p w14:paraId="7269B058">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周一</w:t>
            </w:r>
          </w:p>
        </w:tc>
        <w:tc>
          <w:tcPr>
            <w:tcW w:w="1523" w:type="dxa"/>
            <w:vAlign w:val="center"/>
          </w:tcPr>
          <w:p w14:paraId="653F6665">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周二</w:t>
            </w:r>
          </w:p>
        </w:tc>
        <w:tc>
          <w:tcPr>
            <w:tcW w:w="1037" w:type="dxa"/>
            <w:vAlign w:val="center"/>
          </w:tcPr>
          <w:p w14:paraId="30A9283D">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529" w:type="dxa"/>
            <w:vAlign w:val="center"/>
          </w:tcPr>
          <w:p w14:paraId="189C7C23">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657" w:type="dxa"/>
            <w:vAlign w:val="center"/>
          </w:tcPr>
          <w:p w14:paraId="515B7F00">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541" w:type="dxa"/>
            <w:vAlign w:val="center"/>
          </w:tcPr>
          <w:p w14:paraId="01B661F1">
            <w:pPr>
              <w:widowControl/>
              <w:adjustRightInd w:val="0"/>
              <w:snapToGrid w:val="0"/>
              <w:rPr>
                <w:rFonts w:ascii="仿宋_GB2312" w:eastAsia="仿宋_GB2312"/>
                <w:bCs/>
                <w:kern w:val="0"/>
                <w:sz w:val="24"/>
                <w:szCs w:val="24"/>
              </w:rPr>
            </w:pPr>
            <w:r>
              <w:rPr>
                <w:rFonts w:ascii="仿宋_GB2312" w:eastAsia="仿宋_GB2312"/>
                <w:bCs/>
                <w:kern w:val="0"/>
                <w:sz w:val="24"/>
                <w:szCs w:val="24"/>
              </w:rPr>
              <w:t>2</w:t>
            </w:r>
          </w:p>
        </w:tc>
      </w:tr>
      <w:tr w14:paraId="6298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35624B90">
            <w:pPr>
              <w:widowControl/>
              <w:adjustRightInd w:val="0"/>
              <w:snapToGrid w:val="0"/>
              <w:rPr>
                <w:rFonts w:ascii="仿宋_GB2312" w:eastAsia="仿宋_GB2312"/>
                <w:b/>
                <w:bCs/>
                <w:kern w:val="0"/>
                <w:sz w:val="24"/>
                <w:szCs w:val="24"/>
              </w:rPr>
            </w:pPr>
          </w:p>
        </w:tc>
        <w:tc>
          <w:tcPr>
            <w:tcW w:w="1028" w:type="dxa"/>
            <w:vAlign w:val="center"/>
          </w:tcPr>
          <w:p w14:paraId="70CD67B5">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周二</w:t>
            </w:r>
          </w:p>
        </w:tc>
        <w:tc>
          <w:tcPr>
            <w:tcW w:w="1523" w:type="dxa"/>
            <w:vAlign w:val="center"/>
          </w:tcPr>
          <w:p w14:paraId="7371C0A1">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037" w:type="dxa"/>
            <w:vAlign w:val="center"/>
          </w:tcPr>
          <w:p w14:paraId="323BA3A5">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529" w:type="dxa"/>
            <w:vAlign w:val="center"/>
          </w:tcPr>
          <w:p w14:paraId="0B8A5624">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657" w:type="dxa"/>
            <w:vAlign w:val="center"/>
          </w:tcPr>
          <w:p w14:paraId="4CBF9216">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541" w:type="dxa"/>
            <w:vAlign w:val="center"/>
          </w:tcPr>
          <w:p w14:paraId="5B832399">
            <w:pPr>
              <w:widowControl/>
              <w:adjustRightInd w:val="0"/>
              <w:snapToGrid w:val="0"/>
              <w:rPr>
                <w:rFonts w:ascii="仿宋_GB2312" w:eastAsia="仿宋_GB2312"/>
                <w:bCs/>
                <w:kern w:val="0"/>
                <w:sz w:val="24"/>
                <w:szCs w:val="24"/>
              </w:rPr>
            </w:pPr>
            <w:r>
              <w:rPr>
                <w:rFonts w:ascii="仿宋_GB2312" w:eastAsia="仿宋_GB2312"/>
                <w:bCs/>
                <w:kern w:val="0"/>
                <w:sz w:val="24"/>
                <w:szCs w:val="24"/>
              </w:rPr>
              <w:t>2</w:t>
            </w:r>
          </w:p>
        </w:tc>
      </w:tr>
      <w:tr w14:paraId="257E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30FDC82B">
            <w:pPr>
              <w:widowControl/>
              <w:adjustRightInd w:val="0"/>
              <w:snapToGrid w:val="0"/>
              <w:rPr>
                <w:rFonts w:ascii="仿宋_GB2312" w:eastAsia="仿宋_GB2312"/>
                <w:b/>
                <w:bCs/>
                <w:kern w:val="0"/>
                <w:sz w:val="24"/>
                <w:szCs w:val="24"/>
              </w:rPr>
            </w:pPr>
          </w:p>
        </w:tc>
        <w:tc>
          <w:tcPr>
            <w:tcW w:w="1028" w:type="dxa"/>
            <w:vAlign w:val="center"/>
          </w:tcPr>
          <w:p w14:paraId="5BD2D51B">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523" w:type="dxa"/>
            <w:vAlign w:val="center"/>
          </w:tcPr>
          <w:p w14:paraId="10A1687D">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037" w:type="dxa"/>
            <w:vAlign w:val="center"/>
          </w:tcPr>
          <w:p w14:paraId="20307841">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529" w:type="dxa"/>
            <w:vAlign w:val="center"/>
          </w:tcPr>
          <w:p w14:paraId="326A42F5">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657" w:type="dxa"/>
            <w:vAlign w:val="center"/>
          </w:tcPr>
          <w:p w14:paraId="14850C10">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541" w:type="dxa"/>
            <w:vAlign w:val="center"/>
          </w:tcPr>
          <w:p w14:paraId="5407DC3F">
            <w:pPr>
              <w:widowControl/>
              <w:adjustRightInd w:val="0"/>
              <w:snapToGrid w:val="0"/>
              <w:rPr>
                <w:rFonts w:ascii="仿宋_GB2312" w:eastAsia="仿宋_GB2312"/>
                <w:bCs/>
                <w:kern w:val="0"/>
                <w:sz w:val="24"/>
                <w:szCs w:val="24"/>
              </w:rPr>
            </w:pPr>
            <w:r>
              <w:rPr>
                <w:rFonts w:ascii="仿宋_GB2312" w:eastAsia="仿宋_GB2312"/>
                <w:bCs/>
                <w:kern w:val="0"/>
                <w:sz w:val="24"/>
                <w:szCs w:val="24"/>
              </w:rPr>
              <w:t>4</w:t>
            </w:r>
          </w:p>
        </w:tc>
      </w:tr>
      <w:tr w14:paraId="12C16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3BA914E6">
            <w:pPr>
              <w:widowControl/>
              <w:adjustRightInd w:val="0"/>
              <w:snapToGrid w:val="0"/>
              <w:rPr>
                <w:rFonts w:ascii="仿宋_GB2312" w:eastAsia="仿宋_GB2312"/>
                <w:b/>
                <w:bCs/>
                <w:kern w:val="0"/>
                <w:sz w:val="24"/>
                <w:szCs w:val="24"/>
              </w:rPr>
            </w:pPr>
          </w:p>
        </w:tc>
        <w:tc>
          <w:tcPr>
            <w:tcW w:w="1028" w:type="dxa"/>
            <w:vAlign w:val="center"/>
          </w:tcPr>
          <w:p w14:paraId="3EB2C427">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523" w:type="dxa"/>
            <w:vAlign w:val="center"/>
          </w:tcPr>
          <w:p w14:paraId="0FE140F4">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037" w:type="dxa"/>
            <w:vAlign w:val="center"/>
          </w:tcPr>
          <w:p w14:paraId="266ED223">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周六</w:t>
            </w:r>
          </w:p>
        </w:tc>
        <w:tc>
          <w:tcPr>
            <w:tcW w:w="1529" w:type="dxa"/>
            <w:vAlign w:val="center"/>
          </w:tcPr>
          <w:p w14:paraId="7C103B86">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657" w:type="dxa"/>
            <w:vAlign w:val="center"/>
          </w:tcPr>
          <w:p w14:paraId="06151819">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541" w:type="dxa"/>
            <w:vAlign w:val="center"/>
          </w:tcPr>
          <w:p w14:paraId="582A0670">
            <w:pPr>
              <w:widowControl/>
              <w:adjustRightInd w:val="0"/>
              <w:snapToGrid w:val="0"/>
              <w:rPr>
                <w:rFonts w:ascii="仿宋_GB2312" w:eastAsia="仿宋_GB2312"/>
                <w:bCs/>
                <w:kern w:val="0"/>
                <w:sz w:val="24"/>
                <w:szCs w:val="24"/>
              </w:rPr>
            </w:pPr>
            <w:r>
              <w:rPr>
                <w:rFonts w:ascii="仿宋_GB2312" w:eastAsia="仿宋_GB2312"/>
                <w:bCs/>
                <w:kern w:val="0"/>
                <w:sz w:val="24"/>
                <w:szCs w:val="24"/>
              </w:rPr>
              <w:t>4</w:t>
            </w:r>
          </w:p>
        </w:tc>
      </w:tr>
      <w:tr w14:paraId="5CE7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78" w:type="dxa"/>
            <w:vMerge w:val="continue"/>
            <w:vAlign w:val="center"/>
          </w:tcPr>
          <w:p w14:paraId="5FFB0125">
            <w:pPr>
              <w:widowControl/>
              <w:adjustRightInd w:val="0"/>
              <w:snapToGrid w:val="0"/>
              <w:rPr>
                <w:rFonts w:ascii="仿宋_GB2312" w:eastAsia="仿宋_GB2312"/>
                <w:b/>
                <w:bCs/>
                <w:kern w:val="0"/>
                <w:sz w:val="24"/>
                <w:szCs w:val="24"/>
              </w:rPr>
            </w:pPr>
          </w:p>
        </w:tc>
        <w:tc>
          <w:tcPr>
            <w:tcW w:w="1028" w:type="dxa"/>
            <w:vAlign w:val="center"/>
          </w:tcPr>
          <w:p w14:paraId="3B38FB4B">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523" w:type="dxa"/>
            <w:vAlign w:val="center"/>
          </w:tcPr>
          <w:p w14:paraId="3E084E6A">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037" w:type="dxa"/>
            <w:vAlign w:val="center"/>
          </w:tcPr>
          <w:p w14:paraId="38C7E9C5">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周日</w:t>
            </w:r>
          </w:p>
        </w:tc>
        <w:tc>
          <w:tcPr>
            <w:tcW w:w="1529" w:type="dxa"/>
            <w:vAlign w:val="center"/>
          </w:tcPr>
          <w:p w14:paraId="1FD4DC86">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657" w:type="dxa"/>
            <w:vAlign w:val="center"/>
          </w:tcPr>
          <w:p w14:paraId="3F9DAAED">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541" w:type="dxa"/>
            <w:vAlign w:val="center"/>
          </w:tcPr>
          <w:p w14:paraId="7C3744E5">
            <w:pPr>
              <w:widowControl/>
              <w:adjustRightInd w:val="0"/>
              <w:snapToGrid w:val="0"/>
              <w:rPr>
                <w:rFonts w:ascii="仿宋_GB2312" w:eastAsia="仿宋_GB2312"/>
                <w:bCs/>
                <w:kern w:val="0"/>
                <w:sz w:val="24"/>
                <w:szCs w:val="24"/>
              </w:rPr>
            </w:pPr>
            <w:r>
              <w:rPr>
                <w:rFonts w:ascii="仿宋_GB2312" w:eastAsia="仿宋_GB2312"/>
                <w:bCs/>
                <w:kern w:val="0"/>
                <w:sz w:val="24"/>
                <w:szCs w:val="24"/>
              </w:rPr>
              <w:t>1</w:t>
            </w:r>
          </w:p>
        </w:tc>
      </w:tr>
      <w:tr w14:paraId="57822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restart"/>
            <w:vAlign w:val="center"/>
          </w:tcPr>
          <w:p w14:paraId="30F77A7B">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3天回购</w:t>
            </w:r>
          </w:p>
        </w:tc>
        <w:tc>
          <w:tcPr>
            <w:tcW w:w="1028" w:type="dxa"/>
            <w:vAlign w:val="center"/>
          </w:tcPr>
          <w:p w14:paraId="55F096D0">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成交日</w:t>
            </w:r>
          </w:p>
        </w:tc>
        <w:tc>
          <w:tcPr>
            <w:tcW w:w="1523" w:type="dxa"/>
            <w:vAlign w:val="center"/>
          </w:tcPr>
          <w:p w14:paraId="160CF232">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首次交收日</w:t>
            </w:r>
          </w:p>
        </w:tc>
        <w:tc>
          <w:tcPr>
            <w:tcW w:w="1037" w:type="dxa"/>
            <w:vAlign w:val="center"/>
          </w:tcPr>
          <w:p w14:paraId="666998B3">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到期日</w:t>
            </w:r>
          </w:p>
        </w:tc>
        <w:tc>
          <w:tcPr>
            <w:tcW w:w="1529" w:type="dxa"/>
            <w:vAlign w:val="center"/>
          </w:tcPr>
          <w:p w14:paraId="597FF141">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到期清算日</w:t>
            </w:r>
          </w:p>
        </w:tc>
        <w:tc>
          <w:tcPr>
            <w:tcW w:w="1657" w:type="dxa"/>
            <w:vAlign w:val="center"/>
          </w:tcPr>
          <w:p w14:paraId="15FCD884">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到期交收日</w:t>
            </w:r>
          </w:p>
        </w:tc>
        <w:tc>
          <w:tcPr>
            <w:tcW w:w="1541" w:type="dxa"/>
            <w:vAlign w:val="center"/>
          </w:tcPr>
          <w:p w14:paraId="21F56977">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资金实际占款天数（天）</w:t>
            </w:r>
          </w:p>
        </w:tc>
      </w:tr>
      <w:tr w14:paraId="65717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11B88283">
            <w:pPr>
              <w:widowControl/>
              <w:adjustRightInd w:val="0"/>
              <w:snapToGrid w:val="0"/>
              <w:rPr>
                <w:rFonts w:ascii="仿宋_GB2312" w:eastAsia="仿宋_GB2312"/>
                <w:b/>
                <w:bCs/>
                <w:kern w:val="0"/>
                <w:sz w:val="24"/>
                <w:szCs w:val="24"/>
              </w:rPr>
            </w:pPr>
          </w:p>
        </w:tc>
        <w:tc>
          <w:tcPr>
            <w:tcW w:w="1028" w:type="dxa"/>
            <w:vAlign w:val="center"/>
          </w:tcPr>
          <w:p w14:paraId="6E77E94E">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周一</w:t>
            </w:r>
          </w:p>
        </w:tc>
        <w:tc>
          <w:tcPr>
            <w:tcW w:w="1523" w:type="dxa"/>
            <w:vAlign w:val="center"/>
          </w:tcPr>
          <w:p w14:paraId="36737AE6">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周二</w:t>
            </w:r>
          </w:p>
        </w:tc>
        <w:tc>
          <w:tcPr>
            <w:tcW w:w="1037" w:type="dxa"/>
            <w:vAlign w:val="center"/>
          </w:tcPr>
          <w:p w14:paraId="46CBD3AA">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529" w:type="dxa"/>
            <w:vAlign w:val="center"/>
          </w:tcPr>
          <w:p w14:paraId="6599601C">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657" w:type="dxa"/>
            <w:vAlign w:val="center"/>
          </w:tcPr>
          <w:p w14:paraId="1009914C">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541" w:type="dxa"/>
            <w:vAlign w:val="center"/>
          </w:tcPr>
          <w:p w14:paraId="736DAC9A">
            <w:pPr>
              <w:widowControl/>
              <w:adjustRightInd w:val="0"/>
              <w:snapToGrid w:val="0"/>
              <w:rPr>
                <w:rFonts w:ascii="仿宋_GB2312" w:eastAsia="仿宋_GB2312"/>
                <w:bCs/>
                <w:kern w:val="0"/>
                <w:sz w:val="24"/>
                <w:szCs w:val="24"/>
              </w:rPr>
            </w:pPr>
            <w:r>
              <w:rPr>
                <w:rFonts w:ascii="仿宋_GB2312" w:eastAsia="仿宋_GB2312"/>
                <w:bCs/>
                <w:kern w:val="0"/>
                <w:sz w:val="24"/>
                <w:szCs w:val="24"/>
              </w:rPr>
              <w:t>3</w:t>
            </w:r>
          </w:p>
        </w:tc>
      </w:tr>
      <w:tr w14:paraId="35DD7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130AFC3A">
            <w:pPr>
              <w:widowControl/>
              <w:adjustRightInd w:val="0"/>
              <w:snapToGrid w:val="0"/>
              <w:rPr>
                <w:rFonts w:ascii="仿宋_GB2312" w:eastAsia="仿宋_GB2312"/>
                <w:b/>
                <w:bCs/>
                <w:kern w:val="0"/>
                <w:sz w:val="24"/>
                <w:szCs w:val="24"/>
              </w:rPr>
            </w:pPr>
          </w:p>
        </w:tc>
        <w:tc>
          <w:tcPr>
            <w:tcW w:w="1028" w:type="dxa"/>
            <w:vAlign w:val="center"/>
          </w:tcPr>
          <w:p w14:paraId="620067AB">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周二</w:t>
            </w:r>
          </w:p>
        </w:tc>
        <w:tc>
          <w:tcPr>
            <w:tcW w:w="1523" w:type="dxa"/>
            <w:vAlign w:val="center"/>
          </w:tcPr>
          <w:p w14:paraId="0A58DFAA">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037" w:type="dxa"/>
            <w:vAlign w:val="center"/>
          </w:tcPr>
          <w:p w14:paraId="31BD683C">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529" w:type="dxa"/>
            <w:vAlign w:val="center"/>
          </w:tcPr>
          <w:p w14:paraId="5634A74E">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657" w:type="dxa"/>
            <w:vAlign w:val="center"/>
          </w:tcPr>
          <w:p w14:paraId="660395A4">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541" w:type="dxa"/>
            <w:vAlign w:val="center"/>
          </w:tcPr>
          <w:p w14:paraId="615708C5">
            <w:pPr>
              <w:widowControl/>
              <w:adjustRightInd w:val="0"/>
              <w:snapToGrid w:val="0"/>
              <w:rPr>
                <w:rFonts w:ascii="仿宋_GB2312" w:eastAsia="仿宋_GB2312"/>
                <w:bCs/>
                <w:kern w:val="0"/>
                <w:sz w:val="24"/>
                <w:szCs w:val="24"/>
              </w:rPr>
            </w:pPr>
            <w:r>
              <w:rPr>
                <w:rFonts w:ascii="仿宋_GB2312" w:eastAsia="仿宋_GB2312"/>
                <w:bCs/>
                <w:kern w:val="0"/>
                <w:sz w:val="24"/>
                <w:szCs w:val="24"/>
              </w:rPr>
              <w:t>5</w:t>
            </w:r>
          </w:p>
        </w:tc>
      </w:tr>
      <w:tr w14:paraId="4361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78" w:type="dxa"/>
            <w:vMerge w:val="continue"/>
            <w:vAlign w:val="center"/>
          </w:tcPr>
          <w:p w14:paraId="024B02F1">
            <w:pPr>
              <w:widowControl/>
              <w:adjustRightInd w:val="0"/>
              <w:snapToGrid w:val="0"/>
              <w:rPr>
                <w:rFonts w:ascii="仿宋_GB2312" w:eastAsia="仿宋_GB2312"/>
                <w:b/>
                <w:bCs/>
                <w:kern w:val="0"/>
                <w:sz w:val="24"/>
                <w:szCs w:val="24"/>
              </w:rPr>
            </w:pPr>
          </w:p>
        </w:tc>
        <w:tc>
          <w:tcPr>
            <w:tcW w:w="1028" w:type="dxa"/>
            <w:vAlign w:val="center"/>
          </w:tcPr>
          <w:p w14:paraId="0AF82799">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523" w:type="dxa"/>
            <w:vAlign w:val="center"/>
          </w:tcPr>
          <w:p w14:paraId="68011987">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037" w:type="dxa"/>
            <w:vAlign w:val="center"/>
          </w:tcPr>
          <w:p w14:paraId="5516B570">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周六</w:t>
            </w:r>
          </w:p>
        </w:tc>
        <w:tc>
          <w:tcPr>
            <w:tcW w:w="1529" w:type="dxa"/>
            <w:vAlign w:val="center"/>
          </w:tcPr>
          <w:p w14:paraId="4140DD5C">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657" w:type="dxa"/>
            <w:vAlign w:val="center"/>
          </w:tcPr>
          <w:p w14:paraId="1F815E04">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541" w:type="dxa"/>
            <w:vAlign w:val="center"/>
          </w:tcPr>
          <w:p w14:paraId="3F9EAC59">
            <w:pPr>
              <w:widowControl/>
              <w:adjustRightInd w:val="0"/>
              <w:snapToGrid w:val="0"/>
              <w:rPr>
                <w:rFonts w:ascii="仿宋_GB2312" w:eastAsia="仿宋_GB2312"/>
                <w:bCs/>
                <w:kern w:val="0"/>
                <w:sz w:val="24"/>
                <w:szCs w:val="24"/>
              </w:rPr>
            </w:pPr>
            <w:r>
              <w:rPr>
                <w:rFonts w:ascii="仿宋_GB2312" w:eastAsia="仿宋_GB2312"/>
                <w:bCs/>
                <w:kern w:val="0"/>
                <w:sz w:val="24"/>
                <w:szCs w:val="24"/>
              </w:rPr>
              <w:t>5</w:t>
            </w:r>
          </w:p>
        </w:tc>
      </w:tr>
      <w:tr w14:paraId="7A840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7640C498">
            <w:pPr>
              <w:widowControl/>
              <w:adjustRightInd w:val="0"/>
              <w:snapToGrid w:val="0"/>
              <w:rPr>
                <w:rFonts w:ascii="仿宋_GB2312" w:eastAsia="仿宋_GB2312"/>
                <w:b/>
                <w:bCs/>
                <w:kern w:val="0"/>
                <w:sz w:val="24"/>
                <w:szCs w:val="24"/>
              </w:rPr>
            </w:pPr>
          </w:p>
        </w:tc>
        <w:tc>
          <w:tcPr>
            <w:tcW w:w="1028" w:type="dxa"/>
            <w:vAlign w:val="center"/>
          </w:tcPr>
          <w:p w14:paraId="2652F11E">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523" w:type="dxa"/>
            <w:vAlign w:val="center"/>
          </w:tcPr>
          <w:p w14:paraId="2C989BDE">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037" w:type="dxa"/>
            <w:vAlign w:val="center"/>
          </w:tcPr>
          <w:p w14:paraId="298129FA">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周日</w:t>
            </w:r>
          </w:p>
        </w:tc>
        <w:tc>
          <w:tcPr>
            <w:tcW w:w="1529" w:type="dxa"/>
            <w:vAlign w:val="center"/>
          </w:tcPr>
          <w:p w14:paraId="6983B352">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657" w:type="dxa"/>
            <w:vAlign w:val="center"/>
          </w:tcPr>
          <w:p w14:paraId="234A5334">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541" w:type="dxa"/>
            <w:vAlign w:val="center"/>
          </w:tcPr>
          <w:p w14:paraId="4E3B72C5">
            <w:pPr>
              <w:widowControl/>
              <w:adjustRightInd w:val="0"/>
              <w:snapToGrid w:val="0"/>
              <w:rPr>
                <w:rFonts w:ascii="仿宋_GB2312" w:eastAsia="仿宋_GB2312"/>
                <w:bCs/>
                <w:kern w:val="0"/>
                <w:sz w:val="24"/>
                <w:szCs w:val="24"/>
              </w:rPr>
            </w:pPr>
            <w:r>
              <w:rPr>
                <w:rFonts w:ascii="仿宋_GB2312" w:eastAsia="仿宋_GB2312"/>
                <w:bCs/>
                <w:kern w:val="0"/>
                <w:sz w:val="24"/>
                <w:szCs w:val="24"/>
              </w:rPr>
              <w:t>4</w:t>
            </w:r>
          </w:p>
        </w:tc>
      </w:tr>
      <w:tr w14:paraId="4FA5E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7133DB93">
            <w:pPr>
              <w:widowControl/>
              <w:adjustRightInd w:val="0"/>
              <w:snapToGrid w:val="0"/>
              <w:rPr>
                <w:rFonts w:ascii="仿宋_GB2312" w:eastAsia="仿宋_GB2312"/>
                <w:b/>
                <w:bCs/>
                <w:kern w:val="0"/>
                <w:sz w:val="24"/>
                <w:szCs w:val="24"/>
              </w:rPr>
            </w:pPr>
          </w:p>
        </w:tc>
        <w:tc>
          <w:tcPr>
            <w:tcW w:w="1028" w:type="dxa"/>
            <w:vAlign w:val="center"/>
          </w:tcPr>
          <w:p w14:paraId="5DBB1D1E">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523" w:type="dxa"/>
            <w:vAlign w:val="center"/>
          </w:tcPr>
          <w:p w14:paraId="4A7E5937">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037" w:type="dxa"/>
            <w:vAlign w:val="center"/>
          </w:tcPr>
          <w:p w14:paraId="407F7B08">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529" w:type="dxa"/>
            <w:vAlign w:val="center"/>
          </w:tcPr>
          <w:p w14:paraId="16449249">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657" w:type="dxa"/>
            <w:vAlign w:val="center"/>
          </w:tcPr>
          <w:p w14:paraId="5DA9902E">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541" w:type="dxa"/>
            <w:vAlign w:val="center"/>
          </w:tcPr>
          <w:p w14:paraId="772D5DBB">
            <w:pPr>
              <w:widowControl/>
              <w:adjustRightInd w:val="0"/>
              <w:snapToGrid w:val="0"/>
              <w:rPr>
                <w:rFonts w:ascii="仿宋_GB2312" w:eastAsia="仿宋_GB2312"/>
                <w:bCs/>
                <w:kern w:val="0"/>
                <w:sz w:val="24"/>
                <w:szCs w:val="24"/>
              </w:rPr>
            </w:pPr>
            <w:r>
              <w:rPr>
                <w:rFonts w:ascii="仿宋_GB2312" w:eastAsia="仿宋_GB2312"/>
                <w:bCs/>
                <w:kern w:val="0"/>
                <w:sz w:val="24"/>
                <w:szCs w:val="24"/>
              </w:rPr>
              <w:t>1</w:t>
            </w:r>
          </w:p>
        </w:tc>
      </w:tr>
      <w:tr w14:paraId="6291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restart"/>
            <w:vAlign w:val="center"/>
          </w:tcPr>
          <w:p w14:paraId="72E0974E">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4天回购</w:t>
            </w:r>
          </w:p>
        </w:tc>
        <w:tc>
          <w:tcPr>
            <w:tcW w:w="1028" w:type="dxa"/>
            <w:vAlign w:val="center"/>
          </w:tcPr>
          <w:p w14:paraId="02262F35">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成交日</w:t>
            </w:r>
          </w:p>
        </w:tc>
        <w:tc>
          <w:tcPr>
            <w:tcW w:w="1523" w:type="dxa"/>
            <w:vAlign w:val="center"/>
          </w:tcPr>
          <w:p w14:paraId="772B56C0">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首次交收日</w:t>
            </w:r>
          </w:p>
        </w:tc>
        <w:tc>
          <w:tcPr>
            <w:tcW w:w="1037" w:type="dxa"/>
            <w:vAlign w:val="center"/>
          </w:tcPr>
          <w:p w14:paraId="59A72057">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到期日</w:t>
            </w:r>
          </w:p>
        </w:tc>
        <w:tc>
          <w:tcPr>
            <w:tcW w:w="1529" w:type="dxa"/>
            <w:vAlign w:val="center"/>
          </w:tcPr>
          <w:p w14:paraId="4AC12CE4">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到期清算日</w:t>
            </w:r>
          </w:p>
        </w:tc>
        <w:tc>
          <w:tcPr>
            <w:tcW w:w="1657" w:type="dxa"/>
            <w:vAlign w:val="center"/>
          </w:tcPr>
          <w:p w14:paraId="62D8BC90">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到期交收日</w:t>
            </w:r>
          </w:p>
        </w:tc>
        <w:tc>
          <w:tcPr>
            <w:tcW w:w="1541" w:type="dxa"/>
            <w:vAlign w:val="center"/>
          </w:tcPr>
          <w:p w14:paraId="7DB1D931">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资金实际占款天数（天）</w:t>
            </w:r>
          </w:p>
        </w:tc>
      </w:tr>
      <w:tr w14:paraId="66429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8" w:type="dxa"/>
            <w:vMerge w:val="continue"/>
            <w:vAlign w:val="center"/>
          </w:tcPr>
          <w:p w14:paraId="1F4A6F5C">
            <w:pPr>
              <w:widowControl/>
              <w:adjustRightInd w:val="0"/>
              <w:snapToGrid w:val="0"/>
              <w:rPr>
                <w:rFonts w:ascii="仿宋_GB2312" w:eastAsia="仿宋_GB2312"/>
                <w:b/>
                <w:bCs/>
                <w:kern w:val="0"/>
                <w:sz w:val="24"/>
                <w:szCs w:val="24"/>
              </w:rPr>
            </w:pPr>
          </w:p>
        </w:tc>
        <w:tc>
          <w:tcPr>
            <w:tcW w:w="1028" w:type="dxa"/>
            <w:vAlign w:val="center"/>
          </w:tcPr>
          <w:p w14:paraId="43572F64">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周一</w:t>
            </w:r>
          </w:p>
        </w:tc>
        <w:tc>
          <w:tcPr>
            <w:tcW w:w="1523" w:type="dxa"/>
            <w:vAlign w:val="center"/>
          </w:tcPr>
          <w:p w14:paraId="4C6DA5C5">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周二</w:t>
            </w:r>
          </w:p>
        </w:tc>
        <w:tc>
          <w:tcPr>
            <w:tcW w:w="1037" w:type="dxa"/>
            <w:vAlign w:val="center"/>
          </w:tcPr>
          <w:p w14:paraId="4D5D66F1">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529" w:type="dxa"/>
            <w:vAlign w:val="center"/>
          </w:tcPr>
          <w:p w14:paraId="433B889A">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657" w:type="dxa"/>
            <w:vAlign w:val="center"/>
          </w:tcPr>
          <w:p w14:paraId="146C43CC">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541" w:type="dxa"/>
            <w:vAlign w:val="center"/>
          </w:tcPr>
          <w:p w14:paraId="1C3B61E3">
            <w:pPr>
              <w:widowControl/>
              <w:adjustRightInd w:val="0"/>
              <w:snapToGrid w:val="0"/>
              <w:rPr>
                <w:rFonts w:ascii="仿宋_GB2312" w:eastAsia="仿宋_GB2312"/>
                <w:bCs/>
                <w:kern w:val="0"/>
                <w:sz w:val="24"/>
                <w:szCs w:val="24"/>
              </w:rPr>
            </w:pPr>
            <w:r>
              <w:rPr>
                <w:rFonts w:ascii="仿宋_GB2312" w:eastAsia="仿宋_GB2312"/>
                <w:bCs/>
                <w:kern w:val="0"/>
                <w:sz w:val="24"/>
                <w:szCs w:val="24"/>
              </w:rPr>
              <w:t>6</w:t>
            </w:r>
          </w:p>
        </w:tc>
      </w:tr>
      <w:tr w14:paraId="2E4EF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39238910">
            <w:pPr>
              <w:widowControl/>
              <w:adjustRightInd w:val="0"/>
              <w:snapToGrid w:val="0"/>
              <w:rPr>
                <w:rFonts w:ascii="仿宋_GB2312" w:eastAsia="仿宋_GB2312"/>
                <w:b/>
                <w:bCs/>
                <w:kern w:val="0"/>
                <w:sz w:val="24"/>
                <w:szCs w:val="24"/>
              </w:rPr>
            </w:pPr>
          </w:p>
        </w:tc>
        <w:tc>
          <w:tcPr>
            <w:tcW w:w="1028" w:type="dxa"/>
            <w:vAlign w:val="center"/>
          </w:tcPr>
          <w:p w14:paraId="3DF45D88">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周二</w:t>
            </w:r>
          </w:p>
        </w:tc>
        <w:tc>
          <w:tcPr>
            <w:tcW w:w="1523" w:type="dxa"/>
            <w:vAlign w:val="center"/>
          </w:tcPr>
          <w:p w14:paraId="1806A9C1">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037" w:type="dxa"/>
            <w:vAlign w:val="center"/>
          </w:tcPr>
          <w:p w14:paraId="42B4CE78">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周六</w:t>
            </w:r>
          </w:p>
        </w:tc>
        <w:tc>
          <w:tcPr>
            <w:tcW w:w="1529" w:type="dxa"/>
            <w:vAlign w:val="center"/>
          </w:tcPr>
          <w:p w14:paraId="0F861587">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657" w:type="dxa"/>
            <w:vAlign w:val="center"/>
          </w:tcPr>
          <w:p w14:paraId="2FDEC8DB">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541" w:type="dxa"/>
            <w:vAlign w:val="center"/>
          </w:tcPr>
          <w:p w14:paraId="7D07B598">
            <w:pPr>
              <w:widowControl/>
              <w:adjustRightInd w:val="0"/>
              <w:snapToGrid w:val="0"/>
              <w:rPr>
                <w:rFonts w:ascii="仿宋_GB2312" w:eastAsia="仿宋_GB2312"/>
                <w:bCs/>
                <w:kern w:val="0"/>
                <w:sz w:val="24"/>
                <w:szCs w:val="24"/>
              </w:rPr>
            </w:pPr>
            <w:r>
              <w:rPr>
                <w:rFonts w:ascii="仿宋_GB2312" w:eastAsia="仿宋_GB2312"/>
                <w:bCs/>
                <w:kern w:val="0"/>
                <w:sz w:val="24"/>
                <w:szCs w:val="24"/>
              </w:rPr>
              <w:t>6</w:t>
            </w:r>
          </w:p>
        </w:tc>
      </w:tr>
      <w:tr w14:paraId="42D38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6CC3C522">
            <w:pPr>
              <w:widowControl/>
              <w:adjustRightInd w:val="0"/>
              <w:snapToGrid w:val="0"/>
              <w:rPr>
                <w:rFonts w:ascii="仿宋_GB2312" w:eastAsia="仿宋_GB2312"/>
                <w:b/>
                <w:bCs/>
                <w:kern w:val="0"/>
                <w:sz w:val="24"/>
                <w:szCs w:val="24"/>
              </w:rPr>
            </w:pPr>
          </w:p>
        </w:tc>
        <w:tc>
          <w:tcPr>
            <w:tcW w:w="1028" w:type="dxa"/>
            <w:vAlign w:val="center"/>
          </w:tcPr>
          <w:p w14:paraId="20BD5B31">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523" w:type="dxa"/>
            <w:vAlign w:val="center"/>
          </w:tcPr>
          <w:p w14:paraId="4AE6EC52">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037" w:type="dxa"/>
            <w:vAlign w:val="center"/>
          </w:tcPr>
          <w:p w14:paraId="566BE7BB">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周日</w:t>
            </w:r>
          </w:p>
        </w:tc>
        <w:tc>
          <w:tcPr>
            <w:tcW w:w="1529" w:type="dxa"/>
            <w:vAlign w:val="center"/>
          </w:tcPr>
          <w:p w14:paraId="47BA2D6C">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657" w:type="dxa"/>
            <w:vAlign w:val="center"/>
          </w:tcPr>
          <w:p w14:paraId="6B9B8DD7">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541" w:type="dxa"/>
            <w:vAlign w:val="center"/>
          </w:tcPr>
          <w:p w14:paraId="1761A2CF">
            <w:pPr>
              <w:widowControl/>
              <w:adjustRightInd w:val="0"/>
              <w:snapToGrid w:val="0"/>
              <w:rPr>
                <w:rFonts w:ascii="仿宋_GB2312" w:eastAsia="仿宋_GB2312"/>
                <w:bCs/>
                <w:kern w:val="0"/>
                <w:sz w:val="24"/>
                <w:szCs w:val="24"/>
              </w:rPr>
            </w:pPr>
            <w:r>
              <w:rPr>
                <w:rFonts w:ascii="仿宋_GB2312" w:eastAsia="仿宋_GB2312"/>
                <w:bCs/>
                <w:kern w:val="0"/>
                <w:sz w:val="24"/>
                <w:szCs w:val="24"/>
              </w:rPr>
              <w:t>5</w:t>
            </w:r>
          </w:p>
        </w:tc>
      </w:tr>
      <w:tr w14:paraId="01BE5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7B977304">
            <w:pPr>
              <w:widowControl/>
              <w:adjustRightInd w:val="0"/>
              <w:snapToGrid w:val="0"/>
              <w:rPr>
                <w:rFonts w:ascii="仿宋_GB2312" w:eastAsia="仿宋_GB2312"/>
                <w:b/>
                <w:bCs/>
                <w:kern w:val="0"/>
                <w:sz w:val="24"/>
                <w:szCs w:val="24"/>
              </w:rPr>
            </w:pPr>
          </w:p>
        </w:tc>
        <w:tc>
          <w:tcPr>
            <w:tcW w:w="1028" w:type="dxa"/>
            <w:vAlign w:val="center"/>
          </w:tcPr>
          <w:p w14:paraId="7FBC54CF">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523" w:type="dxa"/>
            <w:vAlign w:val="center"/>
          </w:tcPr>
          <w:p w14:paraId="13E7F0B3">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037" w:type="dxa"/>
            <w:vAlign w:val="center"/>
          </w:tcPr>
          <w:p w14:paraId="1EB0354A">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529" w:type="dxa"/>
            <w:vAlign w:val="center"/>
          </w:tcPr>
          <w:p w14:paraId="3091196F">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657" w:type="dxa"/>
            <w:vAlign w:val="center"/>
          </w:tcPr>
          <w:p w14:paraId="75AACBD7">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541" w:type="dxa"/>
            <w:vAlign w:val="center"/>
          </w:tcPr>
          <w:p w14:paraId="0D4BA55F">
            <w:pPr>
              <w:widowControl/>
              <w:adjustRightInd w:val="0"/>
              <w:snapToGrid w:val="0"/>
              <w:rPr>
                <w:rFonts w:ascii="仿宋_GB2312" w:eastAsia="仿宋_GB2312"/>
                <w:bCs/>
                <w:kern w:val="0"/>
                <w:sz w:val="24"/>
                <w:szCs w:val="24"/>
              </w:rPr>
            </w:pPr>
            <w:r>
              <w:rPr>
                <w:rFonts w:ascii="仿宋_GB2312" w:eastAsia="仿宋_GB2312"/>
                <w:bCs/>
                <w:kern w:val="0"/>
                <w:sz w:val="24"/>
                <w:szCs w:val="24"/>
              </w:rPr>
              <w:t>4</w:t>
            </w:r>
          </w:p>
        </w:tc>
      </w:tr>
      <w:tr w14:paraId="0B9EC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44CCC766">
            <w:pPr>
              <w:widowControl/>
              <w:adjustRightInd w:val="0"/>
              <w:snapToGrid w:val="0"/>
              <w:rPr>
                <w:rFonts w:ascii="仿宋_GB2312" w:eastAsia="仿宋_GB2312"/>
                <w:b/>
                <w:bCs/>
                <w:kern w:val="0"/>
                <w:sz w:val="24"/>
                <w:szCs w:val="24"/>
              </w:rPr>
            </w:pPr>
          </w:p>
        </w:tc>
        <w:tc>
          <w:tcPr>
            <w:tcW w:w="1028" w:type="dxa"/>
            <w:vAlign w:val="center"/>
          </w:tcPr>
          <w:p w14:paraId="07DAC462">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523" w:type="dxa"/>
            <w:vAlign w:val="center"/>
          </w:tcPr>
          <w:p w14:paraId="549C1BC9">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037" w:type="dxa"/>
            <w:vAlign w:val="center"/>
          </w:tcPr>
          <w:p w14:paraId="67BAF15A">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529" w:type="dxa"/>
            <w:vAlign w:val="center"/>
          </w:tcPr>
          <w:p w14:paraId="78DA76CC">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657" w:type="dxa"/>
            <w:vAlign w:val="center"/>
          </w:tcPr>
          <w:p w14:paraId="16CADF22">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下周三</w:t>
            </w:r>
          </w:p>
        </w:tc>
        <w:tc>
          <w:tcPr>
            <w:tcW w:w="1541" w:type="dxa"/>
            <w:vAlign w:val="center"/>
          </w:tcPr>
          <w:p w14:paraId="4E6E3345">
            <w:pPr>
              <w:widowControl/>
              <w:adjustRightInd w:val="0"/>
              <w:snapToGrid w:val="0"/>
              <w:rPr>
                <w:rFonts w:ascii="仿宋_GB2312" w:eastAsia="仿宋_GB2312"/>
                <w:bCs/>
                <w:kern w:val="0"/>
                <w:sz w:val="24"/>
                <w:szCs w:val="24"/>
              </w:rPr>
            </w:pPr>
            <w:r>
              <w:rPr>
                <w:rFonts w:ascii="仿宋_GB2312" w:eastAsia="仿宋_GB2312"/>
                <w:bCs/>
                <w:kern w:val="0"/>
                <w:sz w:val="24"/>
                <w:szCs w:val="24"/>
              </w:rPr>
              <w:t>2</w:t>
            </w:r>
          </w:p>
        </w:tc>
      </w:tr>
      <w:tr w14:paraId="180D3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restart"/>
            <w:vAlign w:val="center"/>
          </w:tcPr>
          <w:p w14:paraId="38959221">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7天回购</w:t>
            </w:r>
          </w:p>
        </w:tc>
        <w:tc>
          <w:tcPr>
            <w:tcW w:w="1028" w:type="dxa"/>
            <w:vAlign w:val="center"/>
          </w:tcPr>
          <w:p w14:paraId="55FBA6EB">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成交日</w:t>
            </w:r>
          </w:p>
        </w:tc>
        <w:tc>
          <w:tcPr>
            <w:tcW w:w="1523" w:type="dxa"/>
            <w:vAlign w:val="center"/>
          </w:tcPr>
          <w:p w14:paraId="1506A92C">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首次交收日</w:t>
            </w:r>
          </w:p>
        </w:tc>
        <w:tc>
          <w:tcPr>
            <w:tcW w:w="1037" w:type="dxa"/>
            <w:vAlign w:val="center"/>
          </w:tcPr>
          <w:p w14:paraId="3DC2780E">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到期日</w:t>
            </w:r>
          </w:p>
        </w:tc>
        <w:tc>
          <w:tcPr>
            <w:tcW w:w="1529" w:type="dxa"/>
            <w:vAlign w:val="center"/>
          </w:tcPr>
          <w:p w14:paraId="5D6A4C59">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到期清算日</w:t>
            </w:r>
          </w:p>
        </w:tc>
        <w:tc>
          <w:tcPr>
            <w:tcW w:w="1657" w:type="dxa"/>
            <w:vAlign w:val="center"/>
          </w:tcPr>
          <w:p w14:paraId="2BFF2E81">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到期交收日</w:t>
            </w:r>
          </w:p>
        </w:tc>
        <w:tc>
          <w:tcPr>
            <w:tcW w:w="1541" w:type="dxa"/>
            <w:vAlign w:val="center"/>
          </w:tcPr>
          <w:p w14:paraId="08BDC858">
            <w:pPr>
              <w:widowControl/>
              <w:adjustRightInd w:val="0"/>
              <w:snapToGrid w:val="0"/>
              <w:rPr>
                <w:rFonts w:ascii="仿宋_GB2312" w:eastAsia="仿宋_GB2312"/>
                <w:b/>
                <w:bCs/>
                <w:kern w:val="0"/>
                <w:sz w:val="24"/>
                <w:szCs w:val="24"/>
              </w:rPr>
            </w:pPr>
            <w:r>
              <w:rPr>
                <w:rFonts w:hint="eastAsia" w:ascii="仿宋_GB2312" w:eastAsia="仿宋_GB2312"/>
                <w:b/>
                <w:bCs/>
                <w:kern w:val="0"/>
                <w:sz w:val="24"/>
                <w:szCs w:val="24"/>
              </w:rPr>
              <w:t>资金实际占款天数（天）</w:t>
            </w:r>
          </w:p>
        </w:tc>
      </w:tr>
      <w:tr w14:paraId="5ED37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56009300">
            <w:pPr>
              <w:widowControl/>
              <w:adjustRightInd w:val="0"/>
              <w:snapToGrid w:val="0"/>
              <w:ind w:firstLine="400"/>
              <w:jc w:val="center"/>
              <w:rPr>
                <w:rFonts w:ascii="仿宋_GB2312" w:eastAsia="仿宋_GB2312"/>
                <w:kern w:val="0"/>
                <w:sz w:val="24"/>
                <w:szCs w:val="24"/>
              </w:rPr>
            </w:pPr>
          </w:p>
        </w:tc>
        <w:tc>
          <w:tcPr>
            <w:tcW w:w="1028" w:type="dxa"/>
            <w:vAlign w:val="center"/>
          </w:tcPr>
          <w:p w14:paraId="5BC4EAD2">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周一</w:t>
            </w:r>
          </w:p>
        </w:tc>
        <w:tc>
          <w:tcPr>
            <w:tcW w:w="1523" w:type="dxa"/>
            <w:vAlign w:val="center"/>
          </w:tcPr>
          <w:p w14:paraId="21AC5F9F">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周二</w:t>
            </w:r>
          </w:p>
        </w:tc>
        <w:tc>
          <w:tcPr>
            <w:tcW w:w="1037" w:type="dxa"/>
            <w:vAlign w:val="center"/>
          </w:tcPr>
          <w:p w14:paraId="7DD9A0C6">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529" w:type="dxa"/>
            <w:vAlign w:val="center"/>
          </w:tcPr>
          <w:p w14:paraId="4B78C037">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657" w:type="dxa"/>
            <w:vAlign w:val="center"/>
          </w:tcPr>
          <w:p w14:paraId="702FE0D3">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541" w:type="dxa"/>
            <w:vAlign w:val="center"/>
          </w:tcPr>
          <w:p w14:paraId="133BC1CE">
            <w:pPr>
              <w:widowControl/>
              <w:adjustRightInd w:val="0"/>
              <w:snapToGrid w:val="0"/>
              <w:rPr>
                <w:rFonts w:ascii="仿宋_GB2312" w:eastAsia="仿宋_GB2312"/>
                <w:bCs/>
                <w:kern w:val="0"/>
                <w:sz w:val="24"/>
                <w:szCs w:val="24"/>
              </w:rPr>
            </w:pPr>
            <w:r>
              <w:rPr>
                <w:rFonts w:ascii="仿宋_GB2312" w:eastAsia="仿宋_GB2312"/>
                <w:bCs/>
                <w:kern w:val="0"/>
                <w:sz w:val="24"/>
                <w:szCs w:val="24"/>
              </w:rPr>
              <w:t>7</w:t>
            </w:r>
          </w:p>
        </w:tc>
      </w:tr>
      <w:tr w14:paraId="4149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2959C0C0">
            <w:pPr>
              <w:widowControl/>
              <w:adjustRightInd w:val="0"/>
              <w:snapToGrid w:val="0"/>
              <w:ind w:firstLine="400"/>
              <w:jc w:val="center"/>
              <w:rPr>
                <w:rFonts w:ascii="仿宋_GB2312" w:eastAsia="仿宋_GB2312"/>
                <w:kern w:val="0"/>
                <w:sz w:val="24"/>
                <w:szCs w:val="24"/>
              </w:rPr>
            </w:pPr>
          </w:p>
        </w:tc>
        <w:tc>
          <w:tcPr>
            <w:tcW w:w="1028" w:type="dxa"/>
            <w:vAlign w:val="center"/>
          </w:tcPr>
          <w:p w14:paraId="36665B6E">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周二</w:t>
            </w:r>
          </w:p>
        </w:tc>
        <w:tc>
          <w:tcPr>
            <w:tcW w:w="1523" w:type="dxa"/>
            <w:vAlign w:val="center"/>
          </w:tcPr>
          <w:p w14:paraId="7160968A">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037" w:type="dxa"/>
            <w:vAlign w:val="center"/>
          </w:tcPr>
          <w:p w14:paraId="1D11A90B">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529" w:type="dxa"/>
            <w:vAlign w:val="center"/>
          </w:tcPr>
          <w:p w14:paraId="212441B9">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下周二</w:t>
            </w:r>
          </w:p>
        </w:tc>
        <w:tc>
          <w:tcPr>
            <w:tcW w:w="1657" w:type="dxa"/>
            <w:vAlign w:val="center"/>
          </w:tcPr>
          <w:p w14:paraId="2F79AB1D">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下周三</w:t>
            </w:r>
          </w:p>
        </w:tc>
        <w:tc>
          <w:tcPr>
            <w:tcW w:w="1541" w:type="dxa"/>
            <w:vAlign w:val="center"/>
          </w:tcPr>
          <w:p w14:paraId="12614CC3">
            <w:pPr>
              <w:widowControl/>
              <w:adjustRightInd w:val="0"/>
              <w:snapToGrid w:val="0"/>
              <w:rPr>
                <w:rFonts w:ascii="仿宋_GB2312" w:eastAsia="仿宋_GB2312"/>
                <w:bCs/>
                <w:kern w:val="0"/>
                <w:sz w:val="24"/>
                <w:szCs w:val="24"/>
              </w:rPr>
            </w:pPr>
            <w:r>
              <w:rPr>
                <w:rFonts w:ascii="仿宋_GB2312" w:eastAsia="仿宋_GB2312"/>
                <w:bCs/>
                <w:kern w:val="0"/>
                <w:sz w:val="24"/>
                <w:szCs w:val="24"/>
              </w:rPr>
              <w:t>7</w:t>
            </w:r>
          </w:p>
        </w:tc>
      </w:tr>
      <w:tr w14:paraId="27B1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5FF44117">
            <w:pPr>
              <w:widowControl/>
              <w:adjustRightInd w:val="0"/>
              <w:snapToGrid w:val="0"/>
              <w:ind w:firstLine="400"/>
              <w:jc w:val="center"/>
              <w:rPr>
                <w:rFonts w:ascii="仿宋_GB2312" w:eastAsia="仿宋_GB2312"/>
                <w:kern w:val="0"/>
                <w:sz w:val="24"/>
                <w:szCs w:val="24"/>
              </w:rPr>
            </w:pPr>
          </w:p>
        </w:tc>
        <w:tc>
          <w:tcPr>
            <w:tcW w:w="1028" w:type="dxa"/>
            <w:vAlign w:val="center"/>
          </w:tcPr>
          <w:p w14:paraId="5D9AB563">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周三</w:t>
            </w:r>
          </w:p>
        </w:tc>
        <w:tc>
          <w:tcPr>
            <w:tcW w:w="1523" w:type="dxa"/>
            <w:vAlign w:val="center"/>
          </w:tcPr>
          <w:p w14:paraId="2D9384DC">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037" w:type="dxa"/>
            <w:vAlign w:val="center"/>
          </w:tcPr>
          <w:p w14:paraId="0AADF48D">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下周三</w:t>
            </w:r>
          </w:p>
        </w:tc>
        <w:tc>
          <w:tcPr>
            <w:tcW w:w="1529" w:type="dxa"/>
            <w:vAlign w:val="center"/>
          </w:tcPr>
          <w:p w14:paraId="5E2329BA">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下周三</w:t>
            </w:r>
          </w:p>
        </w:tc>
        <w:tc>
          <w:tcPr>
            <w:tcW w:w="1657" w:type="dxa"/>
            <w:vAlign w:val="center"/>
          </w:tcPr>
          <w:p w14:paraId="4B5DD579">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下周四</w:t>
            </w:r>
          </w:p>
        </w:tc>
        <w:tc>
          <w:tcPr>
            <w:tcW w:w="1541" w:type="dxa"/>
            <w:vAlign w:val="center"/>
          </w:tcPr>
          <w:p w14:paraId="22E8BC21">
            <w:pPr>
              <w:widowControl/>
              <w:adjustRightInd w:val="0"/>
              <w:snapToGrid w:val="0"/>
              <w:rPr>
                <w:rFonts w:ascii="仿宋_GB2312" w:eastAsia="仿宋_GB2312"/>
                <w:bCs/>
                <w:kern w:val="0"/>
                <w:sz w:val="24"/>
                <w:szCs w:val="24"/>
              </w:rPr>
            </w:pPr>
            <w:r>
              <w:rPr>
                <w:rFonts w:ascii="仿宋_GB2312" w:eastAsia="仿宋_GB2312"/>
                <w:bCs/>
                <w:kern w:val="0"/>
                <w:sz w:val="24"/>
                <w:szCs w:val="24"/>
              </w:rPr>
              <w:t>7</w:t>
            </w:r>
          </w:p>
        </w:tc>
      </w:tr>
      <w:tr w14:paraId="22A3F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78" w:type="dxa"/>
            <w:vMerge w:val="continue"/>
            <w:vAlign w:val="center"/>
          </w:tcPr>
          <w:p w14:paraId="2A4CEC6A">
            <w:pPr>
              <w:widowControl/>
              <w:adjustRightInd w:val="0"/>
              <w:snapToGrid w:val="0"/>
              <w:ind w:firstLine="400"/>
              <w:jc w:val="center"/>
              <w:rPr>
                <w:rFonts w:ascii="仿宋_GB2312" w:eastAsia="仿宋_GB2312"/>
                <w:kern w:val="0"/>
                <w:sz w:val="24"/>
                <w:szCs w:val="24"/>
              </w:rPr>
            </w:pPr>
          </w:p>
        </w:tc>
        <w:tc>
          <w:tcPr>
            <w:tcW w:w="1028" w:type="dxa"/>
            <w:vAlign w:val="center"/>
          </w:tcPr>
          <w:p w14:paraId="1CDDB979">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周四</w:t>
            </w:r>
          </w:p>
        </w:tc>
        <w:tc>
          <w:tcPr>
            <w:tcW w:w="1523" w:type="dxa"/>
            <w:vAlign w:val="center"/>
          </w:tcPr>
          <w:p w14:paraId="6F5D1730">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037" w:type="dxa"/>
            <w:vAlign w:val="center"/>
          </w:tcPr>
          <w:p w14:paraId="43E41E34">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下周四</w:t>
            </w:r>
          </w:p>
        </w:tc>
        <w:tc>
          <w:tcPr>
            <w:tcW w:w="1529" w:type="dxa"/>
            <w:vAlign w:val="center"/>
          </w:tcPr>
          <w:p w14:paraId="05E959CC">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下周四</w:t>
            </w:r>
          </w:p>
        </w:tc>
        <w:tc>
          <w:tcPr>
            <w:tcW w:w="1657" w:type="dxa"/>
            <w:vAlign w:val="center"/>
          </w:tcPr>
          <w:p w14:paraId="2779274B">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下周五</w:t>
            </w:r>
          </w:p>
        </w:tc>
        <w:tc>
          <w:tcPr>
            <w:tcW w:w="1541" w:type="dxa"/>
            <w:vAlign w:val="center"/>
          </w:tcPr>
          <w:p w14:paraId="1C08778C">
            <w:pPr>
              <w:widowControl/>
              <w:adjustRightInd w:val="0"/>
              <w:snapToGrid w:val="0"/>
              <w:rPr>
                <w:rFonts w:ascii="仿宋_GB2312" w:eastAsia="仿宋_GB2312"/>
                <w:bCs/>
                <w:kern w:val="0"/>
                <w:sz w:val="24"/>
                <w:szCs w:val="24"/>
              </w:rPr>
            </w:pPr>
            <w:r>
              <w:rPr>
                <w:rFonts w:ascii="仿宋_GB2312" w:eastAsia="仿宋_GB2312"/>
                <w:bCs/>
                <w:kern w:val="0"/>
                <w:sz w:val="24"/>
                <w:szCs w:val="24"/>
              </w:rPr>
              <w:t>7</w:t>
            </w:r>
          </w:p>
        </w:tc>
      </w:tr>
      <w:tr w14:paraId="093FE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8" w:type="dxa"/>
            <w:vMerge w:val="continue"/>
            <w:vAlign w:val="center"/>
          </w:tcPr>
          <w:p w14:paraId="6BE782E9">
            <w:pPr>
              <w:widowControl/>
              <w:adjustRightInd w:val="0"/>
              <w:snapToGrid w:val="0"/>
              <w:ind w:firstLine="400"/>
              <w:jc w:val="center"/>
              <w:rPr>
                <w:rFonts w:ascii="仿宋_GB2312" w:eastAsia="仿宋_GB2312"/>
                <w:kern w:val="0"/>
                <w:sz w:val="24"/>
                <w:szCs w:val="24"/>
              </w:rPr>
            </w:pPr>
          </w:p>
        </w:tc>
        <w:tc>
          <w:tcPr>
            <w:tcW w:w="1028" w:type="dxa"/>
            <w:vAlign w:val="center"/>
          </w:tcPr>
          <w:p w14:paraId="394B9411">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周五</w:t>
            </w:r>
          </w:p>
        </w:tc>
        <w:tc>
          <w:tcPr>
            <w:tcW w:w="1523" w:type="dxa"/>
            <w:vAlign w:val="center"/>
          </w:tcPr>
          <w:p w14:paraId="38D6230E">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下周一</w:t>
            </w:r>
          </w:p>
        </w:tc>
        <w:tc>
          <w:tcPr>
            <w:tcW w:w="1037" w:type="dxa"/>
            <w:vAlign w:val="center"/>
          </w:tcPr>
          <w:p w14:paraId="055F811E">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下周五</w:t>
            </w:r>
          </w:p>
        </w:tc>
        <w:tc>
          <w:tcPr>
            <w:tcW w:w="1529" w:type="dxa"/>
            <w:vAlign w:val="center"/>
          </w:tcPr>
          <w:p w14:paraId="1FAF896D">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下周五</w:t>
            </w:r>
          </w:p>
        </w:tc>
        <w:tc>
          <w:tcPr>
            <w:tcW w:w="1657" w:type="dxa"/>
            <w:vAlign w:val="center"/>
          </w:tcPr>
          <w:p w14:paraId="296C31FC">
            <w:pPr>
              <w:widowControl/>
              <w:adjustRightInd w:val="0"/>
              <w:snapToGrid w:val="0"/>
              <w:rPr>
                <w:rFonts w:ascii="仿宋_GB2312" w:eastAsia="仿宋_GB2312"/>
                <w:bCs/>
                <w:kern w:val="0"/>
                <w:sz w:val="24"/>
                <w:szCs w:val="24"/>
              </w:rPr>
            </w:pPr>
            <w:r>
              <w:rPr>
                <w:rFonts w:hint="eastAsia" w:ascii="仿宋_GB2312" w:eastAsia="仿宋_GB2312"/>
                <w:bCs/>
                <w:kern w:val="0"/>
                <w:sz w:val="24"/>
                <w:szCs w:val="24"/>
              </w:rPr>
              <w:t>再下周一</w:t>
            </w:r>
          </w:p>
        </w:tc>
        <w:tc>
          <w:tcPr>
            <w:tcW w:w="1541" w:type="dxa"/>
            <w:vAlign w:val="center"/>
          </w:tcPr>
          <w:p w14:paraId="67F19234">
            <w:pPr>
              <w:widowControl/>
              <w:adjustRightInd w:val="0"/>
              <w:snapToGrid w:val="0"/>
              <w:rPr>
                <w:rFonts w:ascii="仿宋_GB2312" w:eastAsia="仿宋_GB2312"/>
                <w:bCs/>
                <w:kern w:val="0"/>
                <w:sz w:val="24"/>
                <w:szCs w:val="24"/>
              </w:rPr>
            </w:pPr>
            <w:r>
              <w:rPr>
                <w:rFonts w:ascii="仿宋_GB2312" w:eastAsia="仿宋_GB2312"/>
                <w:bCs/>
                <w:kern w:val="0"/>
                <w:sz w:val="24"/>
                <w:szCs w:val="24"/>
              </w:rPr>
              <w:t>7</w:t>
            </w:r>
          </w:p>
        </w:tc>
      </w:tr>
    </w:tbl>
    <w:p w14:paraId="1DF04A4F">
      <w:pPr>
        <w:spacing w:line="600" w:lineRule="exact"/>
        <w:ind w:firstLine="600" w:firstLineChars="200"/>
        <w:rPr>
          <w:rFonts w:ascii="仿宋_GB2312" w:eastAsia="仿宋_GB2312"/>
          <w:sz w:val="30"/>
          <w:szCs w:val="30"/>
        </w:rPr>
      </w:pPr>
      <w:r>
        <w:rPr>
          <w:rFonts w:hint="eastAsia" w:ascii="仿宋_GB2312" w:eastAsia="仿宋_GB2312"/>
          <w:sz w:val="30"/>
          <w:szCs w:val="30"/>
        </w:rPr>
        <w:t>前述占款天数计算仅适用于正常工作日（双休）情况，如遇其他法定节假日，实际占款天数需按休假天数相应顺延计算。</w:t>
      </w:r>
    </w:p>
    <w:p w14:paraId="712ECD0F">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定盘利率</w:t>
      </w:r>
    </w:p>
    <w:p w14:paraId="0F0AF0C7">
      <w:pPr>
        <w:spacing w:line="600" w:lineRule="exact"/>
        <w:ind w:firstLine="600" w:firstLineChars="200"/>
        <w:rPr>
          <w:rFonts w:ascii="仿宋_GB2312" w:hAnsi="Calibri" w:eastAsia="仿宋_GB2312"/>
          <w:b/>
          <w:sz w:val="30"/>
          <w:szCs w:val="30"/>
        </w:rPr>
      </w:pPr>
      <w:r>
        <w:rPr>
          <w:rFonts w:hint="eastAsia" w:ascii="仿宋_GB2312" w:hAnsi="宋体" w:eastAsia="仿宋_GB2312" w:cs="宋体"/>
          <w:color w:val="000000"/>
          <w:kern w:val="0"/>
          <w:sz w:val="30"/>
          <w:szCs w:val="30"/>
        </w:rPr>
        <w:t>本所逐日发布相关通用回购品种的定盘利率，具体网址为（</w:t>
      </w:r>
      <w:r>
        <w:fldChar w:fldCharType="begin"/>
      </w:r>
      <w:r>
        <w:instrText xml:space="preserve"> HYPERLINK "http://www.sse.com.cn/disclosure/bond/ratios/" </w:instrText>
      </w:r>
      <w:r>
        <w:fldChar w:fldCharType="separate"/>
      </w:r>
      <w:r>
        <w:rPr>
          <w:rStyle w:val="49"/>
          <w:rFonts w:ascii="仿宋_GB2312" w:hAnsi="宋体" w:eastAsia="仿宋_GB2312" w:cs="宋体"/>
          <w:color w:val="000000"/>
          <w:kern w:val="0"/>
          <w:sz w:val="30"/>
          <w:szCs w:val="30"/>
        </w:rPr>
        <w:t>http://www.sse.com.cn/disclosure/bond/ratios/</w:t>
      </w:r>
      <w:r>
        <w:rPr>
          <w:rStyle w:val="51"/>
          <w:rFonts w:ascii="仿宋_GB2312" w:hAnsi="宋体" w:eastAsia="仿宋_GB2312" w:cs="宋体"/>
          <w:color w:val="000000"/>
          <w:kern w:val="0"/>
          <w:sz w:val="30"/>
          <w:szCs w:val="30"/>
        </w:rPr>
        <w:fldChar w:fldCharType="end"/>
      </w:r>
      <w:r>
        <w:rPr>
          <w:rFonts w:hint="eastAsia" w:ascii="仿宋_GB2312" w:hAnsi="宋体" w:eastAsia="仿宋_GB2312" w:cs="宋体"/>
          <w:color w:val="000000"/>
          <w:kern w:val="0"/>
          <w:sz w:val="30"/>
          <w:szCs w:val="30"/>
        </w:rPr>
        <w:t>）</w:t>
      </w:r>
    </w:p>
    <w:p w14:paraId="2B882F33">
      <w:pPr>
        <w:widowControl/>
        <w:adjustRightInd w:val="0"/>
        <w:snapToGrid w:val="0"/>
        <w:spacing w:line="600" w:lineRule="exact"/>
        <w:ind w:firstLine="600"/>
        <w:rPr>
          <w:rFonts w:ascii="仿宋_GB2312" w:eastAsia="仿宋_GB2312"/>
          <w:sz w:val="30"/>
          <w:szCs w:val="30"/>
        </w:rPr>
      </w:pPr>
      <w:r>
        <w:rPr>
          <w:rFonts w:hint="eastAsia" w:ascii="仿宋_GB2312" w:hAnsi="宋体" w:eastAsia="仿宋_GB2312"/>
          <w:sz w:val="30"/>
          <w:szCs w:val="30"/>
        </w:rPr>
        <w:t>通用回购定盘利率</w:t>
      </w:r>
      <w:r>
        <w:rPr>
          <w:rFonts w:ascii="仿宋_GB2312" w:hAnsi="宋体" w:eastAsia="仿宋_GB2312"/>
          <w:sz w:val="30"/>
          <w:szCs w:val="30"/>
        </w:rPr>
        <w:t>=∑</w:t>
      </w:r>
      <w:r>
        <w:rPr>
          <w:rFonts w:hint="eastAsia" w:ascii="仿宋_GB2312" w:hAnsi="宋体" w:eastAsia="仿宋_GB2312"/>
          <w:sz w:val="30"/>
          <w:szCs w:val="30"/>
        </w:rPr>
        <w:t>（</w:t>
      </w:r>
      <w:r>
        <w:rPr>
          <w:rFonts w:ascii="仿宋_GB2312" w:hAnsi="宋体" w:eastAsia="仿宋_GB2312"/>
          <w:sz w:val="30"/>
          <w:szCs w:val="30"/>
        </w:rPr>
        <w:t>当日逐笔成交价×当日逐笔成交量</w:t>
      </w:r>
      <w:r>
        <w:rPr>
          <w:rFonts w:hint="eastAsia" w:ascii="仿宋_GB2312" w:hAnsi="宋体" w:eastAsia="仿宋_GB2312"/>
          <w:sz w:val="30"/>
          <w:szCs w:val="30"/>
        </w:rPr>
        <w:t>）</w:t>
      </w:r>
      <w:r>
        <w:rPr>
          <w:rFonts w:ascii="仿宋_GB2312" w:hAnsi="宋体" w:eastAsia="仿宋_GB2312"/>
          <w:sz w:val="30"/>
          <w:szCs w:val="30"/>
        </w:rPr>
        <w:t>/当日总成交量</w:t>
      </w:r>
      <w:r>
        <w:rPr>
          <w:rFonts w:hint="eastAsia" w:ascii="仿宋_GB2312" w:eastAsia="仿宋_GB2312"/>
          <w:sz w:val="30"/>
          <w:szCs w:val="30"/>
        </w:rPr>
        <w:t>。</w:t>
      </w:r>
    </w:p>
    <w:p w14:paraId="779B80AF">
      <w:pPr>
        <w:spacing w:line="600" w:lineRule="exact"/>
        <w:ind w:firstLine="600" w:firstLineChars="200"/>
        <w:rPr>
          <w:rFonts w:ascii="仿宋_GB2312" w:hAnsi="宋体" w:eastAsia="仿宋_GB2312" w:cs="宋体"/>
          <w:kern w:val="0"/>
          <w:sz w:val="30"/>
          <w:szCs w:val="30"/>
        </w:rPr>
      </w:pPr>
      <w:r>
        <w:rPr>
          <w:rFonts w:hint="eastAsia" w:ascii="仿宋_GB2312" w:hAnsi="宋体" w:eastAsia="仿宋_GB2312" w:cs="宋体"/>
          <w:color w:val="000000"/>
          <w:kern w:val="0"/>
          <w:sz w:val="30"/>
          <w:szCs w:val="30"/>
        </w:rPr>
        <w:t>若该通用回购品种当日无交易，则定盘利率取上一交易日的定盘利率。</w:t>
      </w:r>
    </w:p>
    <w:p w14:paraId="4317141E">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风险管理</w:t>
      </w:r>
      <w:r>
        <w:rPr>
          <w:rFonts w:ascii="仿宋_GB2312" w:eastAsia="仿宋_GB2312"/>
          <w:b/>
          <w:sz w:val="30"/>
          <w:szCs w:val="30"/>
        </w:rPr>
        <w:tab/>
      </w:r>
    </w:p>
    <w:p w14:paraId="7223A64E">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参与机构应当在符合《中国证券登记结算有限责任公司 上海证券交易所 深圳证券交易所债券质押式回购交易结算风险控制指引》一般风控指标规定的前提下，结合市场情况、自身风险承受能力以及回购融资主体的信用及风险承受能力，综合考虑回购规模、回购融资负债率、</w:t>
      </w:r>
      <w:r>
        <w:rPr>
          <w:rFonts w:hint="eastAsia" w:ascii="仿宋_GB2312" w:hAnsi="Calibri" w:eastAsia="仿宋_GB2312"/>
          <w:sz w:val="30"/>
          <w:szCs w:val="30"/>
          <w:lang w:eastAsia="zh-CN"/>
        </w:rPr>
        <w:t>融资额度</w:t>
      </w:r>
      <w:r>
        <w:rPr>
          <w:rFonts w:hint="eastAsia" w:ascii="仿宋_GB2312" w:hAnsi="Calibri" w:eastAsia="仿宋_GB2312"/>
          <w:sz w:val="30"/>
          <w:szCs w:val="30"/>
        </w:rPr>
        <w:t>使用率、信用类债券入库集中度、单一发行人信用类债券入库担保集中度、流动性情况等因素，对回购融资主体进行较一般风控指标更为严格的差异化风险管理。</w:t>
      </w:r>
      <w:r>
        <w:rPr>
          <w:rFonts w:ascii="仿宋_GB2312" w:hAnsi="Calibri" w:eastAsia="仿宋_GB2312"/>
          <w:sz w:val="30"/>
          <w:szCs w:val="30"/>
        </w:rPr>
        <w:br w:type="textWrapping"/>
      </w:r>
      <w:r>
        <w:rPr>
          <w:rFonts w:hint="eastAsia" w:ascii="仿宋_GB2312" w:hAnsi="Calibri" w:eastAsia="仿宋_GB2312"/>
          <w:sz w:val="30"/>
          <w:szCs w:val="30"/>
        </w:rPr>
        <w:t>　　参与机构应当建立回购融资主体风险监测机制，对于出现融资回购规模较大，融资回购规模增长较快，回购融资负债率较高，低信用等级质押券入库占比过高，单一发行人质押券入库集中度过高，经多次催告仍未补足欠库等情形之一或参与机构认定的其他高风险情形的，参与机构应当对其进行重点关注和管理。</w:t>
      </w:r>
    </w:p>
    <w:p w14:paraId="2F137D97">
      <w:pPr>
        <w:numPr>
          <w:ilvl w:val="2"/>
          <w:numId w:val="4"/>
        </w:numPr>
        <w:spacing w:line="600" w:lineRule="exact"/>
        <w:ind w:left="0" w:firstLine="0"/>
        <w:outlineLvl w:val="2"/>
        <w:rPr>
          <w:rFonts w:ascii="仿宋_GB2312" w:hAnsi="Calibri" w:eastAsia="仿宋_GB2312"/>
          <w:b/>
          <w:sz w:val="30"/>
          <w:szCs w:val="30"/>
        </w:rPr>
      </w:pPr>
      <w:r>
        <w:rPr>
          <w:rFonts w:hint="eastAsia" w:ascii="仿宋_GB2312" w:hAnsi="Calibri" w:eastAsia="仿宋_GB2312"/>
          <w:b/>
          <w:sz w:val="30"/>
          <w:szCs w:val="30"/>
        </w:rPr>
        <w:t>数据</w:t>
      </w:r>
      <w:r>
        <w:rPr>
          <w:rFonts w:ascii="仿宋_GB2312" w:hAnsi="Calibri" w:eastAsia="仿宋_GB2312"/>
          <w:b/>
          <w:sz w:val="30"/>
          <w:szCs w:val="30"/>
        </w:rPr>
        <w:t>报送</w:t>
      </w:r>
    </w:p>
    <w:p w14:paraId="47C3F264">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回购融资主体及其结算参与人，产品类回购融资主体的托管人和管理人按照规定开展融资回购交易及结算相关业务的</w:t>
      </w:r>
      <w:bookmarkStart w:id="2105" w:name="OLE_LINK23"/>
      <w:bookmarkStart w:id="2106" w:name="OLE_LINK24"/>
      <w:r>
        <w:rPr>
          <w:rFonts w:hint="eastAsia" w:ascii="仿宋_GB2312" w:hAnsi="Calibri" w:eastAsia="仿宋_GB2312"/>
          <w:sz w:val="30"/>
          <w:szCs w:val="30"/>
        </w:rPr>
        <w:t>，</w:t>
      </w:r>
      <w:bookmarkEnd w:id="2105"/>
      <w:bookmarkEnd w:id="2106"/>
      <w:r>
        <w:rPr>
          <w:rFonts w:hint="eastAsia" w:ascii="仿宋_GB2312" w:hAnsi="Calibri" w:eastAsia="仿宋_GB2312"/>
          <w:sz w:val="30"/>
          <w:szCs w:val="30"/>
        </w:rPr>
        <w:t>其数据报送适用《中国证券登记结算有限责任公司、上海证券交易所、深圳证券交易所债券质押式回购融资主体数据报送指引》的</w:t>
      </w:r>
      <w:r>
        <w:rPr>
          <w:rFonts w:ascii="仿宋_GB2312" w:hAnsi="Calibri" w:eastAsia="仿宋_GB2312"/>
          <w:sz w:val="30"/>
          <w:szCs w:val="30"/>
        </w:rPr>
        <w:t>相关规定</w:t>
      </w:r>
      <w:r>
        <w:rPr>
          <w:rFonts w:hint="eastAsia" w:ascii="仿宋_GB2312" w:hAnsi="Calibri" w:eastAsia="仿宋_GB2312"/>
          <w:sz w:val="30"/>
          <w:szCs w:val="30"/>
        </w:rPr>
        <w:t>。</w:t>
      </w:r>
    </w:p>
    <w:p w14:paraId="0F137CBC">
      <w:pPr>
        <w:numPr>
          <w:ilvl w:val="1"/>
          <w:numId w:val="4"/>
        </w:numPr>
        <w:spacing w:line="600" w:lineRule="exact"/>
        <w:ind w:left="0" w:firstLine="0"/>
        <w:outlineLvl w:val="1"/>
        <w:rPr>
          <w:rFonts w:ascii="仿宋_GB2312" w:eastAsia="仿宋_GB2312"/>
          <w:b/>
          <w:sz w:val="30"/>
          <w:szCs w:val="30"/>
        </w:rPr>
      </w:pPr>
      <w:bookmarkStart w:id="2107" w:name="_Toc1950030764"/>
      <w:bookmarkStart w:id="2108" w:name="_Toc1284714646"/>
      <w:bookmarkStart w:id="2109" w:name="_Toc412529568"/>
      <w:bookmarkStart w:id="2110" w:name="_Toc1883801628"/>
      <w:bookmarkStart w:id="2111" w:name="_Toc1110227043"/>
      <w:bookmarkStart w:id="2112" w:name="_Toc1707467279"/>
      <w:bookmarkStart w:id="2113" w:name="_Toc1409176197"/>
      <w:bookmarkStart w:id="2114" w:name="_Toc56166286"/>
      <w:bookmarkStart w:id="2115" w:name="_Toc56166097"/>
      <w:bookmarkStart w:id="2116" w:name="_Toc151136915"/>
      <w:bookmarkStart w:id="2117" w:name="_Toc2131724158"/>
      <w:r>
        <w:rPr>
          <w:rFonts w:hint="eastAsia" w:ascii="仿宋_GB2312" w:eastAsia="仿宋_GB2312"/>
          <w:b/>
          <w:sz w:val="30"/>
          <w:szCs w:val="30"/>
        </w:rPr>
        <w:t>债券质押式协议回购</w:t>
      </w:r>
      <w:bookmarkEnd w:id="2107"/>
      <w:bookmarkEnd w:id="2108"/>
      <w:bookmarkEnd w:id="2109"/>
      <w:bookmarkEnd w:id="2110"/>
      <w:bookmarkEnd w:id="2111"/>
      <w:bookmarkEnd w:id="2112"/>
      <w:bookmarkEnd w:id="2113"/>
    </w:p>
    <w:p w14:paraId="65D83078">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概述</w:t>
      </w:r>
    </w:p>
    <w:p w14:paraId="63EC8D5B">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质押式协议回购交易（以下简称协议回购）是指回购双方自主协商约定，由资金融入方（正回购方）将债券出质给资金融出方（逆回购方）融入资金，并在未来返还资金和支付回购利息，同时解除债券质押登记的交易。</w:t>
      </w:r>
    </w:p>
    <w:p w14:paraId="7BB3E4A5">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相关规则</w:t>
      </w:r>
    </w:p>
    <w:p w14:paraId="2DB2B915">
      <w:pPr>
        <w:numPr>
          <w:ilvl w:val="0"/>
          <w:numId w:val="17"/>
        </w:num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《上海证券交易所债券质押式协议回购交易暂行办法》</w:t>
      </w:r>
    </w:p>
    <w:p w14:paraId="0232BADE">
      <w:pPr>
        <w:numPr>
          <w:ilvl w:val="0"/>
          <w:numId w:val="17"/>
        </w:num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《上海证券交易所债券质押式协议回购交易业务指引》</w:t>
      </w:r>
    </w:p>
    <w:p w14:paraId="2FCDA8D8">
      <w:pPr>
        <w:numPr>
          <w:ilvl w:val="0"/>
          <w:numId w:val="17"/>
        </w:num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《上海证券交易所债券交易规则适用指引第4号——债券质押式协议回购风险管理》</w:t>
      </w:r>
    </w:p>
    <w:p w14:paraId="1AB10FD1">
      <w:pPr>
        <w:numPr>
          <w:ilvl w:val="0"/>
          <w:numId w:val="17"/>
        </w:num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《中国证券登记结算有限责任公司债券质押式协议回购登记结算业务实施细则》</w:t>
      </w:r>
    </w:p>
    <w:p w14:paraId="0AAA7A84">
      <w:pPr>
        <w:numPr>
          <w:ilvl w:val="0"/>
          <w:numId w:val="17"/>
        </w:num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《中国证券登记结算有限责任公司上海分公司债券质押式协议回购登记结算业务指南》</w:t>
      </w:r>
    </w:p>
    <w:p w14:paraId="4E511C5F">
      <w:pPr>
        <w:numPr>
          <w:ilvl w:val="0"/>
          <w:numId w:val="17"/>
        </w:num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lang w:eastAsia="zh-CN"/>
        </w:rPr>
        <w:t>《</w:t>
      </w:r>
      <w:r>
        <w:rPr>
          <w:rFonts w:hint="eastAsia" w:ascii="仿宋_GB2312" w:hAnsi="Calibri" w:eastAsia="仿宋_GB2312"/>
          <w:sz w:val="30"/>
          <w:szCs w:val="30"/>
        </w:rPr>
        <w:t>关于债券质押式协议回购业务开展有关事项的通知</w:t>
      </w:r>
      <w:r>
        <w:rPr>
          <w:rFonts w:hint="eastAsia" w:ascii="仿宋_GB2312" w:hAnsi="Calibri" w:eastAsia="仿宋_GB2312"/>
          <w:sz w:val="30"/>
          <w:szCs w:val="30"/>
          <w:lang w:eastAsia="zh-CN"/>
        </w:rPr>
        <w:t>》</w:t>
      </w:r>
    </w:p>
    <w:p w14:paraId="06C30D55">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签署协议</w:t>
      </w:r>
    </w:p>
    <w:p w14:paraId="5956DA1C">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投资者参与协议回购前，应当签署《上海证券交易所债券质押式协议回购交易主协议》（以下简称主协议）并报送本所备案。签署方为证券公司经纪客户的，由所在证券公司留存备查。回购双方可以就协议回购相关事宜签订补充协议。补充协议不得违反法律、行政法规、部门规章、其他规范性文件以及本所、登记结算机构的相关规定，并且不得与主协议和回购双方申报的交易要素相冲突。补充协议的内容由回购双方自行遵照执行。</w:t>
      </w:r>
      <w:r>
        <w:rPr>
          <w:rFonts w:ascii="仿宋_GB2312" w:hAnsi="Calibri" w:eastAsia="仿宋_GB2312"/>
          <w:sz w:val="30"/>
          <w:szCs w:val="30"/>
        </w:rPr>
        <w:br w:type="textWrapping"/>
      </w:r>
      <w:r>
        <w:rPr>
          <w:rFonts w:hint="eastAsia" w:ascii="仿宋_GB2312" w:hAnsi="Calibri" w:eastAsia="仿宋_GB2312"/>
          <w:sz w:val="30"/>
          <w:szCs w:val="30"/>
        </w:rPr>
        <w:t>　　会员接受债券投资者委托进行协议回购申报，应当确认债券投资者已经签署主协议、风险揭示书等必要文件，并根据债券投资者的真实委托提交申报。证券公司未经委托虚假申报，或者存在伪造、篡改委托内容等未按客户指令进行申报和结算等情形的，应当承担全部法律责任，并赔偿由此造成的损失。</w:t>
      </w:r>
    </w:p>
    <w:p w14:paraId="0F1CD472">
      <w:pPr>
        <w:numPr>
          <w:ilvl w:val="2"/>
          <w:numId w:val="4"/>
        </w:numPr>
        <w:spacing w:line="600" w:lineRule="exact"/>
        <w:ind w:left="0" w:firstLine="0"/>
        <w:outlineLvl w:val="2"/>
        <w:rPr>
          <w:rFonts w:ascii="仿宋_GB2312" w:hAnsi="Calibri" w:eastAsia="仿宋_GB2312"/>
          <w:b/>
          <w:sz w:val="30"/>
          <w:szCs w:val="30"/>
        </w:rPr>
      </w:pPr>
      <w:r>
        <w:rPr>
          <w:rFonts w:hint="eastAsia" w:ascii="仿宋_GB2312" w:eastAsia="仿宋_GB2312"/>
          <w:b/>
          <w:sz w:val="30"/>
          <w:szCs w:val="30"/>
        </w:rPr>
        <w:t>投资者适当性管理</w:t>
      </w:r>
    </w:p>
    <w:p w14:paraId="25934484">
      <w:pPr>
        <w:spacing w:line="600" w:lineRule="exact"/>
        <w:ind w:firstLine="450" w:firstLineChars="150"/>
        <w:outlineLvl w:val="3"/>
        <w:rPr>
          <w:rFonts w:ascii="仿宋_GB2312" w:hAnsi="黑体" w:eastAsia="仿宋_GB2312"/>
          <w:b/>
          <w:sz w:val="30"/>
          <w:szCs w:val="30"/>
        </w:rPr>
      </w:pPr>
      <w:r>
        <w:rPr>
          <w:rFonts w:hint="eastAsia" w:ascii="仿宋_GB2312" w:hAnsi="黑体" w:eastAsia="仿宋_GB2312"/>
          <w:b/>
          <w:sz w:val="30"/>
          <w:szCs w:val="30"/>
        </w:rPr>
        <w:t>（1）一般规定</w:t>
      </w:r>
    </w:p>
    <w:p w14:paraId="60054BB3">
      <w:pPr>
        <w:adjustRightInd w:val="0"/>
        <w:snapToGrid w:val="0"/>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协议回购交易按照《上海证券交易所债券质押式协议回购交易暂行办法》《上海证券交易所债券市场投资者适当性管理办法》《上海证券交易所债券交易规则适用指引第4号——债券质押式协议回购风险管理》等</w:t>
      </w:r>
      <w:r>
        <w:rPr>
          <w:rFonts w:hint="eastAsia" w:ascii="仿宋_GB2312" w:hAnsi="宋体" w:eastAsia="仿宋_GB2312" w:cs="宋体"/>
          <w:kern w:val="0"/>
          <w:sz w:val="30"/>
          <w:szCs w:val="30"/>
        </w:rPr>
        <w:t>相关</w:t>
      </w:r>
      <w:r>
        <w:rPr>
          <w:rFonts w:hint="eastAsia" w:ascii="仿宋_GB2312" w:hAnsi="宋体" w:eastAsia="仿宋_GB2312" w:cs="宋体"/>
          <w:color w:val="000000"/>
          <w:kern w:val="0"/>
          <w:sz w:val="30"/>
          <w:szCs w:val="30"/>
        </w:rPr>
        <w:t>规定，实行投资者适当性管理。</w:t>
      </w:r>
    </w:p>
    <w:p w14:paraId="6B96DE36">
      <w:pPr>
        <w:spacing w:line="600" w:lineRule="exact"/>
        <w:ind w:firstLine="450" w:firstLineChars="150"/>
        <w:outlineLvl w:val="3"/>
        <w:rPr>
          <w:rFonts w:ascii="仿宋_GB2312" w:hAnsi="黑体" w:eastAsia="仿宋_GB2312"/>
          <w:b/>
          <w:sz w:val="30"/>
          <w:szCs w:val="30"/>
        </w:rPr>
      </w:pPr>
      <w:r>
        <w:rPr>
          <w:rFonts w:hint="eastAsia" w:ascii="仿宋_GB2312" w:hAnsi="黑体" w:eastAsia="仿宋_GB2312"/>
          <w:b/>
          <w:sz w:val="30"/>
          <w:szCs w:val="30"/>
        </w:rPr>
        <w:t>（2）参与要求</w:t>
      </w:r>
    </w:p>
    <w:p w14:paraId="77A71E7C">
      <w:pPr>
        <w:adjustRightInd w:val="0"/>
        <w:snapToGrid w:val="0"/>
        <w:spacing w:line="600" w:lineRule="exact"/>
        <w:ind w:firstLine="600" w:firstLineChars="200"/>
        <w:rPr>
          <w:rFonts w:ascii="仿宋_GB2312" w:hAnsi="Calibri" w:eastAsia="仿宋_GB2312"/>
          <w:sz w:val="30"/>
          <w:szCs w:val="22"/>
        </w:rPr>
      </w:pPr>
      <w:r>
        <w:rPr>
          <w:rFonts w:hint="eastAsia" w:ascii="仿宋_GB2312" w:eastAsia="仿宋_GB2312"/>
          <w:sz w:val="30"/>
          <w:szCs w:val="30"/>
        </w:rPr>
        <w:t>协议回购实行投资者适当性管理制度，专业投资者中的机构投资者可以参与协议回购的融资和融券交易。</w:t>
      </w:r>
    </w:p>
    <w:p w14:paraId="3889B112">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质押券管理</w:t>
      </w:r>
    </w:p>
    <w:p w14:paraId="798C7E93">
      <w:pPr>
        <w:adjustRightInd w:val="0"/>
        <w:snapToGrid w:val="0"/>
        <w:spacing w:line="600" w:lineRule="exact"/>
        <w:ind w:firstLine="600" w:firstLineChars="200"/>
        <w:rPr>
          <w:rFonts w:hint="eastAsia" w:ascii="仿宋_GB2312" w:hAnsi="Calibri" w:eastAsia="仿宋_GB2312"/>
          <w:sz w:val="30"/>
          <w:szCs w:val="30"/>
        </w:rPr>
      </w:pPr>
      <w:r>
        <w:rPr>
          <w:rFonts w:hint="eastAsia" w:ascii="仿宋_GB2312" w:hAnsi="Calibri" w:eastAsia="仿宋_GB2312"/>
          <w:sz w:val="30"/>
          <w:szCs w:val="30"/>
        </w:rPr>
        <w:t>协议回购的质押券包括在本所交易或转让的各类债券、资产支持证券以及本所认可的其它产品；本所可以根据市场情况调整用于协议回购的质押券品种。质押券现货交易停牌的，不影响其用于协议回购交易，但本所另有规定的除外。</w:t>
      </w:r>
    </w:p>
    <w:p w14:paraId="3F6E2BA7">
      <w:pPr>
        <w:adjustRightInd w:val="0"/>
        <w:snapToGrid w:val="0"/>
        <w:spacing w:line="600" w:lineRule="exact"/>
        <w:ind w:firstLine="600" w:firstLineChars="200"/>
        <w:rPr>
          <w:rFonts w:ascii="仿宋_GB2312" w:hAnsi="Calibri" w:eastAsia="仿宋_GB2312"/>
          <w:b/>
          <w:sz w:val="30"/>
          <w:szCs w:val="30"/>
        </w:rPr>
      </w:pPr>
      <w:r>
        <w:rPr>
          <w:rFonts w:hint="eastAsia" w:ascii="仿宋_GB2312" w:hAnsi="Calibri" w:eastAsia="仿宋_GB2312"/>
          <w:sz w:val="30"/>
          <w:szCs w:val="30"/>
        </w:rPr>
        <w:t>已经发生违约或经披露其还本付息存在重大风险的债券和资产支持证券不得用于协商成交申报、质押券换券（换入）申报。回购交易存续期内，质押券发生前述情形的，交易双方应当采取有效措施降低业务风险。</w:t>
      </w:r>
      <w:r>
        <w:rPr>
          <w:rFonts w:ascii="仿宋_GB2312" w:hAnsi="Calibri" w:eastAsia="仿宋_GB2312"/>
          <w:sz w:val="30"/>
          <w:szCs w:val="30"/>
        </w:rPr>
        <w:br w:type="textWrapping"/>
      </w:r>
      <w:r>
        <w:rPr>
          <w:rFonts w:hint="eastAsia" w:ascii="仿宋_GB2312" w:hAnsi="Calibri" w:eastAsia="仿宋_GB2312"/>
          <w:sz w:val="30"/>
          <w:szCs w:val="30"/>
        </w:rPr>
        <w:t>　　质押券在质押期间发生付息、分期偿还、分期摊还、提前赎回、兑付、回售、转股、换股和违约等情形的处理，由主协议进行约定。</w:t>
      </w:r>
    </w:p>
    <w:p w14:paraId="25AFAAA5">
      <w:pPr>
        <w:adjustRightInd w:val="0"/>
        <w:snapToGrid w:val="0"/>
        <w:spacing w:line="600" w:lineRule="exact"/>
        <w:ind w:firstLine="600" w:firstLineChars="200"/>
        <w:rPr>
          <w:rFonts w:hint="eastAsia" w:ascii="仿宋_GB2312" w:hAnsi="Calibri" w:eastAsia="仿宋_GB2312"/>
          <w:sz w:val="30"/>
          <w:szCs w:val="30"/>
        </w:rPr>
      </w:pPr>
      <w:r>
        <w:rPr>
          <w:rFonts w:hint="eastAsia" w:ascii="仿宋_GB2312" w:hAnsi="Calibri" w:eastAsia="仿宋_GB2312"/>
          <w:sz w:val="30"/>
          <w:szCs w:val="30"/>
        </w:rPr>
        <w:t>质押券在质押期间发生分期偿还、分期摊还等情形，回购双方应当充分评估质押券面额或数量减少对协议回购可能产生的影响，并可以在补充协议中约定变更质押券等处理方式。</w:t>
      </w:r>
    </w:p>
    <w:p w14:paraId="12F11608">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交易流程</w:t>
      </w:r>
      <w:r>
        <w:rPr>
          <w:rFonts w:ascii="仿宋_GB2312" w:eastAsia="仿宋_GB2312"/>
          <w:b/>
          <w:sz w:val="30"/>
          <w:szCs w:val="30"/>
        </w:rPr>
        <w:tab/>
      </w:r>
    </w:p>
    <w:p w14:paraId="6BFE7F74">
      <w:pPr>
        <w:spacing w:line="600" w:lineRule="exact"/>
        <w:ind w:left="567"/>
        <w:outlineLvl w:val="3"/>
        <w:rPr>
          <w:rFonts w:ascii="仿宋_GB2312" w:eastAsia="仿宋_GB2312"/>
          <w:b/>
          <w:sz w:val="30"/>
          <w:szCs w:val="30"/>
        </w:rPr>
      </w:pPr>
      <w:r>
        <w:rPr>
          <w:rFonts w:hint="eastAsia" w:ascii="仿宋_GB2312" w:eastAsia="仿宋_GB2312"/>
          <w:b/>
          <w:sz w:val="30"/>
          <w:szCs w:val="30"/>
        </w:rPr>
        <w:t>（1）交易要素</w:t>
      </w:r>
    </w:p>
    <w:p w14:paraId="6993C9DB">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协议回购的交易要素包括但不限于回购方向、回购利率、质押券名称、质押券代码、质押券数量、质押券总面额、成交金额、折算比例、首次结算日、回购到期日、回购期限、到期结算日、实际占款天数、到期结算金额等。</w:t>
      </w:r>
    </w:p>
    <w:p w14:paraId="3861DD88">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协议回购的质押券、折算比例、回购利率、回购期限、成交金额等由回购双方自主协商确定。债券投资者应当依据法律、行政法规、部门规章、其他规范性文件以及本所、登记结算机构业务规则的规定，合理商定协议回购交易要素的具体内容，不得存在误导、欺诈、市场操纵或利益输送行为。</w:t>
      </w:r>
    </w:p>
    <w:p w14:paraId="72269911">
      <w:pPr>
        <w:spacing w:line="600" w:lineRule="exact"/>
        <w:ind w:left="567"/>
        <w:outlineLvl w:val="3"/>
        <w:rPr>
          <w:rFonts w:ascii="仿宋_GB2312" w:eastAsia="仿宋_GB2312"/>
          <w:b/>
          <w:sz w:val="30"/>
          <w:szCs w:val="30"/>
        </w:rPr>
      </w:pPr>
      <w:r>
        <w:rPr>
          <w:rFonts w:hint="eastAsia" w:ascii="仿宋_GB2312" w:eastAsia="仿宋_GB2312"/>
          <w:b/>
          <w:sz w:val="30"/>
          <w:szCs w:val="30"/>
        </w:rPr>
        <w:t>（2）协议回购交易申报</w:t>
      </w:r>
    </w:p>
    <w:p w14:paraId="38CEC67D">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本所接受协议回购申报的时间为每个交易日的9：00至11：30，13：00至</w:t>
      </w:r>
      <w:r>
        <w:rPr>
          <w:rFonts w:ascii="仿宋_GB2312" w:hAnsi="Calibri" w:eastAsia="仿宋_GB2312"/>
          <w:sz w:val="30"/>
          <w:szCs w:val="30"/>
        </w:rPr>
        <w:t>15</w:t>
      </w:r>
      <w:r>
        <w:rPr>
          <w:rFonts w:hint="eastAsia" w:ascii="仿宋_GB2312" w:hAnsi="Calibri" w:eastAsia="仿宋_GB2312"/>
          <w:sz w:val="30"/>
          <w:szCs w:val="30"/>
        </w:rPr>
        <w:t>：3</w:t>
      </w:r>
      <w:r>
        <w:rPr>
          <w:rFonts w:ascii="仿宋_GB2312" w:hAnsi="Calibri" w:eastAsia="仿宋_GB2312"/>
          <w:sz w:val="30"/>
          <w:szCs w:val="30"/>
        </w:rPr>
        <w:t>0</w:t>
      </w:r>
      <w:r>
        <w:rPr>
          <w:rFonts w:hint="eastAsia" w:ascii="仿宋_GB2312" w:hAnsi="Calibri" w:eastAsia="仿宋_GB2312"/>
          <w:sz w:val="30"/>
          <w:szCs w:val="30"/>
        </w:rPr>
        <w:t>。本所可以根据市场需要调整协议回购的申报时间。</w:t>
      </w:r>
    </w:p>
    <w:p w14:paraId="0D2E50F3">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协议回购的期限不得超过365天，且不得超过质押券的存续期间。协议回购的利率和折算比例不得超过100%。</w:t>
      </w:r>
    </w:p>
    <w:p w14:paraId="775AFDB7">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1）意向申报</w:t>
      </w:r>
    </w:p>
    <w:p w14:paraId="30FFF60E">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债券投资者可以通过</w:t>
      </w:r>
      <w:r>
        <w:rPr>
          <w:rFonts w:hint="eastAsia" w:ascii="仿宋_GB2312" w:hAnsi="Calibri" w:eastAsia="仿宋_GB2312"/>
          <w:sz w:val="30"/>
          <w:szCs w:val="30"/>
          <w:lang w:eastAsia="zh-CN"/>
        </w:rPr>
        <w:t>新固定收益系统</w:t>
      </w:r>
      <w:r>
        <w:rPr>
          <w:rFonts w:hint="eastAsia" w:ascii="仿宋_GB2312" w:hAnsi="Calibri" w:eastAsia="仿宋_GB2312"/>
          <w:sz w:val="30"/>
          <w:szCs w:val="30"/>
        </w:rPr>
        <w:t>进行意向申报。意向申报是指债券投资者为寻找交易对手方发送的，表明协议回购意向的申报。意向申报应当至少包含回购方向等交易要素信息。意向申报不能直接成交。</w:t>
      </w:r>
    </w:p>
    <w:p w14:paraId="42ACA7F6">
      <w:pPr>
        <w:adjustRightInd w:val="0"/>
        <w:snapToGrid w:val="0"/>
        <w:spacing w:line="600" w:lineRule="exact"/>
        <w:ind w:firstLine="600" w:firstLineChars="200"/>
        <w:rPr>
          <w:rFonts w:ascii="仿宋_GB2312" w:hAnsi="宋体" w:eastAsia="仿宋_GB2312"/>
          <w:sz w:val="30"/>
          <w:szCs w:val="30"/>
        </w:rPr>
      </w:pPr>
      <w:r>
        <w:rPr>
          <w:rFonts w:hint="eastAsia" w:ascii="仿宋_GB2312" w:hAnsi="Calibri" w:eastAsia="仿宋_GB2312"/>
          <w:sz w:val="30"/>
          <w:szCs w:val="30"/>
        </w:rPr>
        <w:t>意向申报</w:t>
      </w:r>
      <w:r>
        <w:rPr>
          <w:rFonts w:hint="eastAsia" w:ascii="仿宋_GB2312" w:hAnsi="宋体" w:eastAsia="仿宋_GB2312"/>
          <w:sz w:val="30"/>
          <w:szCs w:val="30"/>
        </w:rPr>
        <w:t>具体要素及要素说明如下：</w:t>
      </w:r>
    </w:p>
    <w:tbl>
      <w:tblPr>
        <w:tblStyle w:val="4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3"/>
        <w:gridCol w:w="6289"/>
      </w:tblGrid>
      <w:tr w14:paraId="7A1B2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pct"/>
          </w:tcPr>
          <w:p w14:paraId="725844EA">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3689" w:type="pct"/>
          </w:tcPr>
          <w:p w14:paraId="75A57451">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4F51F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pct"/>
          </w:tcPr>
          <w:p w14:paraId="509C7C68">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本方</w:t>
            </w:r>
            <w:r>
              <w:rPr>
                <w:rFonts w:hint="eastAsia" w:ascii="仿宋_GB2312" w:eastAsia="仿宋_GB2312"/>
                <w:b/>
                <w:kern w:val="0"/>
                <w:sz w:val="24"/>
                <w:szCs w:val="24"/>
              </w:rPr>
              <w:t>方向</w:t>
            </w:r>
          </w:p>
        </w:tc>
        <w:tc>
          <w:tcPr>
            <w:tcW w:w="3689" w:type="pct"/>
          </w:tcPr>
          <w:p w14:paraId="04A56006">
            <w:pPr>
              <w:adjustRightInd w:val="0"/>
              <w:snapToGrid w:val="0"/>
              <w:rPr>
                <w:rFonts w:ascii="仿宋_GB2312" w:eastAsia="仿宋_GB2312"/>
                <w:kern w:val="0"/>
                <w:sz w:val="24"/>
                <w:szCs w:val="24"/>
              </w:rPr>
            </w:pPr>
            <w:r>
              <w:rPr>
                <w:rFonts w:hint="eastAsia" w:ascii="仿宋_GB2312" w:eastAsia="仿宋_GB2312"/>
                <w:kern w:val="0"/>
                <w:sz w:val="24"/>
                <w:szCs w:val="24"/>
              </w:rPr>
              <w:t>正回购或逆回购</w:t>
            </w:r>
          </w:p>
        </w:tc>
      </w:tr>
      <w:tr w14:paraId="52B03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pct"/>
          </w:tcPr>
          <w:p w14:paraId="01CF8652">
            <w:pPr>
              <w:adjustRightInd w:val="0"/>
              <w:snapToGrid w:val="0"/>
              <w:rPr>
                <w:rFonts w:ascii="仿宋_GB2312" w:eastAsia="仿宋_GB2312"/>
                <w:b/>
                <w:kern w:val="0"/>
                <w:sz w:val="24"/>
                <w:szCs w:val="24"/>
              </w:rPr>
            </w:pPr>
            <w:r>
              <w:rPr>
                <w:rFonts w:hint="eastAsia" w:ascii="仿宋_GB2312" w:eastAsia="仿宋_GB2312"/>
                <w:b/>
                <w:kern w:val="0"/>
                <w:sz w:val="24"/>
                <w:szCs w:val="24"/>
              </w:rPr>
              <w:t>回购期限</w:t>
            </w:r>
          </w:p>
        </w:tc>
        <w:tc>
          <w:tcPr>
            <w:tcW w:w="3689" w:type="pct"/>
          </w:tcPr>
          <w:p w14:paraId="5BB1D0B3">
            <w:pPr>
              <w:adjustRightInd w:val="0"/>
              <w:snapToGrid w:val="0"/>
              <w:rPr>
                <w:rFonts w:ascii="仿宋_GB2312" w:eastAsia="仿宋_GB2312"/>
                <w:kern w:val="0"/>
                <w:sz w:val="24"/>
                <w:szCs w:val="24"/>
              </w:rPr>
            </w:pPr>
            <w:r>
              <w:rPr>
                <w:rFonts w:hint="eastAsia" w:ascii="仿宋_GB2312" w:eastAsia="仿宋_GB2312"/>
                <w:kern w:val="0"/>
                <w:sz w:val="24"/>
                <w:szCs w:val="24"/>
              </w:rPr>
              <w:t>回购到期日-成交日期</w:t>
            </w:r>
          </w:p>
        </w:tc>
      </w:tr>
      <w:tr w14:paraId="792E0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10" w:type="pct"/>
          </w:tcPr>
          <w:p w14:paraId="277B24B9">
            <w:pPr>
              <w:adjustRightInd w:val="0"/>
              <w:snapToGrid w:val="0"/>
              <w:rPr>
                <w:rFonts w:ascii="仿宋_GB2312" w:eastAsia="仿宋_GB2312"/>
                <w:b/>
                <w:kern w:val="0"/>
                <w:sz w:val="24"/>
                <w:szCs w:val="24"/>
              </w:rPr>
            </w:pPr>
            <w:r>
              <w:rPr>
                <w:rFonts w:hint="eastAsia" w:ascii="仿宋_GB2312" w:eastAsia="仿宋_GB2312"/>
                <w:b/>
                <w:kern w:val="0"/>
                <w:sz w:val="24"/>
                <w:szCs w:val="24"/>
              </w:rPr>
              <w:t>质押券代码</w:t>
            </w:r>
          </w:p>
        </w:tc>
        <w:tc>
          <w:tcPr>
            <w:tcW w:w="3689" w:type="pct"/>
          </w:tcPr>
          <w:p w14:paraId="701CEEA6">
            <w:pPr>
              <w:adjustRightInd w:val="0"/>
              <w:snapToGrid w:val="0"/>
              <w:rPr>
                <w:rFonts w:ascii="仿宋_GB2312" w:eastAsia="仿宋_GB2312"/>
                <w:kern w:val="0"/>
                <w:sz w:val="24"/>
                <w:szCs w:val="24"/>
              </w:rPr>
            </w:pPr>
            <w:r>
              <w:rPr>
                <w:rFonts w:hint="eastAsia" w:ascii="仿宋_GB2312" w:eastAsia="仿宋_GB2312"/>
                <w:kern w:val="0"/>
                <w:sz w:val="24"/>
                <w:szCs w:val="24"/>
              </w:rPr>
              <w:t>质押债券的代码</w:t>
            </w:r>
          </w:p>
        </w:tc>
      </w:tr>
      <w:tr w14:paraId="0450F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pct"/>
          </w:tcPr>
          <w:p w14:paraId="5CAFCDEC">
            <w:pPr>
              <w:adjustRightInd w:val="0"/>
              <w:snapToGrid w:val="0"/>
              <w:rPr>
                <w:rFonts w:ascii="仿宋_GB2312" w:eastAsia="仿宋_GB2312"/>
                <w:b/>
                <w:kern w:val="0"/>
                <w:sz w:val="24"/>
                <w:szCs w:val="24"/>
              </w:rPr>
            </w:pPr>
            <w:r>
              <w:rPr>
                <w:rFonts w:hint="eastAsia" w:ascii="仿宋_GB2312" w:eastAsia="仿宋_GB2312"/>
                <w:b/>
                <w:kern w:val="0"/>
                <w:sz w:val="24"/>
                <w:szCs w:val="24"/>
              </w:rPr>
              <w:t>质押券简称</w:t>
            </w:r>
          </w:p>
        </w:tc>
        <w:tc>
          <w:tcPr>
            <w:tcW w:w="3689" w:type="pct"/>
          </w:tcPr>
          <w:p w14:paraId="0A233298">
            <w:pPr>
              <w:adjustRightInd w:val="0"/>
              <w:snapToGrid w:val="0"/>
              <w:rPr>
                <w:rFonts w:ascii="仿宋_GB2312" w:eastAsia="仿宋_GB2312"/>
                <w:kern w:val="0"/>
                <w:sz w:val="24"/>
                <w:szCs w:val="24"/>
              </w:rPr>
            </w:pPr>
            <w:r>
              <w:rPr>
                <w:rFonts w:hint="eastAsia" w:ascii="仿宋_GB2312" w:eastAsia="仿宋_GB2312"/>
                <w:kern w:val="0"/>
                <w:sz w:val="24"/>
                <w:szCs w:val="24"/>
              </w:rPr>
              <w:t>质押债券的简称</w:t>
            </w:r>
          </w:p>
        </w:tc>
      </w:tr>
      <w:tr w14:paraId="6152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pct"/>
          </w:tcPr>
          <w:p w14:paraId="5ACBFFE9">
            <w:pPr>
              <w:adjustRightInd w:val="0"/>
              <w:snapToGrid w:val="0"/>
              <w:rPr>
                <w:rFonts w:ascii="仿宋_GB2312" w:eastAsia="仿宋_GB2312"/>
                <w:b/>
                <w:kern w:val="0"/>
                <w:sz w:val="24"/>
                <w:szCs w:val="24"/>
              </w:rPr>
            </w:pPr>
            <w:r>
              <w:rPr>
                <w:rFonts w:hint="eastAsia" w:ascii="仿宋_GB2312" w:eastAsia="仿宋_GB2312"/>
                <w:b/>
                <w:kern w:val="0"/>
                <w:sz w:val="24"/>
                <w:szCs w:val="24"/>
              </w:rPr>
              <w:t>回购利率</w:t>
            </w:r>
          </w:p>
        </w:tc>
        <w:tc>
          <w:tcPr>
            <w:tcW w:w="3689" w:type="pct"/>
          </w:tcPr>
          <w:p w14:paraId="097A9937">
            <w:pPr>
              <w:adjustRightInd w:val="0"/>
              <w:snapToGrid w:val="0"/>
              <w:rPr>
                <w:rFonts w:ascii="仿宋_GB2312" w:eastAsia="仿宋_GB2312"/>
                <w:kern w:val="0"/>
                <w:sz w:val="24"/>
                <w:szCs w:val="24"/>
              </w:rPr>
            </w:pPr>
            <w:r>
              <w:rPr>
                <w:rFonts w:hint="eastAsia" w:ascii="仿宋_GB2312" w:eastAsia="仿宋_GB2312"/>
                <w:kern w:val="0"/>
                <w:sz w:val="24"/>
                <w:szCs w:val="24"/>
              </w:rPr>
              <w:t>正回购方付给逆回购方的资金价格</w:t>
            </w:r>
          </w:p>
        </w:tc>
      </w:tr>
      <w:tr w14:paraId="6C5EE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pct"/>
          </w:tcPr>
          <w:p w14:paraId="39CFA299">
            <w:pPr>
              <w:adjustRightInd w:val="0"/>
              <w:snapToGrid w:val="0"/>
              <w:rPr>
                <w:rFonts w:ascii="仿宋_GB2312" w:eastAsia="仿宋_GB2312"/>
                <w:b/>
                <w:kern w:val="0"/>
                <w:sz w:val="24"/>
                <w:szCs w:val="24"/>
              </w:rPr>
            </w:pPr>
            <w:r>
              <w:rPr>
                <w:rFonts w:hint="eastAsia" w:ascii="仿宋_GB2312" w:eastAsia="仿宋_GB2312"/>
                <w:b/>
                <w:kern w:val="0"/>
                <w:sz w:val="24"/>
                <w:szCs w:val="24"/>
              </w:rPr>
              <w:t>折算比例</w:t>
            </w:r>
          </w:p>
        </w:tc>
        <w:tc>
          <w:tcPr>
            <w:tcW w:w="3689" w:type="pct"/>
          </w:tcPr>
          <w:p w14:paraId="1580533C">
            <w:pPr>
              <w:adjustRightInd w:val="0"/>
              <w:snapToGrid w:val="0"/>
              <w:rPr>
                <w:rFonts w:ascii="仿宋_GB2312" w:eastAsia="仿宋_GB2312"/>
                <w:kern w:val="0"/>
                <w:sz w:val="24"/>
                <w:szCs w:val="24"/>
              </w:rPr>
            </w:pPr>
            <w:r>
              <w:rPr>
                <w:rFonts w:hint="eastAsia" w:ascii="仿宋_GB2312" w:eastAsia="仿宋_GB2312"/>
                <w:kern w:val="0"/>
                <w:sz w:val="24"/>
                <w:szCs w:val="24"/>
              </w:rPr>
              <w:t>成交金额/质押券总面额</w:t>
            </w:r>
            <w:r>
              <w:rPr>
                <w:rFonts w:ascii="仿宋_GB2312" w:eastAsia="仿宋_GB2312"/>
                <w:kern w:val="0"/>
                <w:sz w:val="24"/>
                <w:szCs w:val="24"/>
              </w:rPr>
              <w:t>*100%</w:t>
            </w:r>
          </w:p>
        </w:tc>
      </w:tr>
      <w:tr w14:paraId="69DF4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10" w:type="pct"/>
          </w:tcPr>
          <w:p w14:paraId="4CAA5832">
            <w:pPr>
              <w:adjustRightInd w:val="0"/>
              <w:snapToGrid w:val="0"/>
              <w:rPr>
                <w:rFonts w:ascii="仿宋_GB2312" w:eastAsia="仿宋_GB2312"/>
                <w:b/>
                <w:kern w:val="0"/>
                <w:sz w:val="24"/>
                <w:szCs w:val="24"/>
              </w:rPr>
            </w:pPr>
            <w:r>
              <w:rPr>
                <w:rFonts w:hint="eastAsia" w:ascii="仿宋_GB2312" w:eastAsia="仿宋_GB2312"/>
                <w:b/>
                <w:kern w:val="0"/>
                <w:sz w:val="24"/>
                <w:szCs w:val="24"/>
              </w:rPr>
              <w:t>质押数量</w:t>
            </w:r>
          </w:p>
        </w:tc>
        <w:tc>
          <w:tcPr>
            <w:tcW w:w="3689" w:type="pct"/>
          </w:tcPr>
          <w:p w14:paraId="14996B90">
            <w:pPr>
              <w:adjustRightInd w:val="0"/>
              <w:snapToGrid w:val="0"/>
              <w:rPr>
                <w:rFonts w:ascii="仿宋_GB2312" w:eastAsia="仿宋_GB2312"/>
                <w:kern w:val="0"/>
                <w:sz w:val="24"/>
                <w:szCs w:val="24"/>
              </w:rPr>
            </w:pPr>
            <w:r>
              <w:rPr>
                <w:rFonts w:hint="eastAsia" w:ascii="仿宋_GB2312" w:eastAsia="仿宋_GB2312"/>
                <w:kern w:val="0"/>
                <w:sz w:val="24"/>
                <w:szCs w:val="24"/>
              </w:rPr>
              <w:t>质押券数量，以千元面额为单位</w:t>
            </w:r>
            <w:r>
              <w:rPr>
                <w:rFonts w:hint="eastAsia" w:ascii="仿宋_GB2312" w:eastAsia="仿宋_GB2312"/>
                <w:kern w:val="0"/>
                <w:sz w:val="24"/>
                <w:szCs w:val="24"/>
                <w:lang w:eastAsia="zh-CN"/>
              </w:rPr>
              <w:t>；</w:t>
            </w:r>
            <w:r>
              <w:rPr>
                <w:rFonts w:hint="eastAsia" w:ascii="仿宋_GB2312" w:eastAsia="仿宋_GB2312"/>
                <w:kern w:val="0"/>
                <w:sz w:val="24"/>
                <w:szCs w:val="24"/>
              </w:rPr>
              <w:t>质押券为基金的，单位为份</w:t>
            </w:r>
          </w:p>
        </w:tc>
      </w:tr>
      <w:tr w14:paraId="4F26D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pct"/>
          </w:tcPr>
          <w:p w14:paraId="3E4FEC94">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面值总额</w:t>
            </w:r>
          </w:p>
        </w:tc>
        <w:tc>
          <w:tcPr>
            <w:tcW w:w="3689" w:type="pct"/>
          </w:tcPr>
          <w:p w14:paraId="53E99509">
            <w:pPr>
              <w:adjustRightInd w:val="0"/>
              <w:snapToGrid w:val="0"/>
              <w:rPr>
                <w:rFonts w:ascii="仿宋_GB2312" w:eastAsia="仿宋_GB2312"/>
                <w:kern w:val="0"/>
                <w:sz w:val="24"/>
                <w:szCs w:val="24"/>
              </w:rPr>
            </w:pPr>
            <w:r>
              <w:rPr>
                <w:rFonts w:hint="eastAsia" w:ascii="仿宋_GB2312" w:eastAsia="仿宋_GB2312"/>
                <w:kern w:val="0"/>
                <w:sz w:val="24"/>
                <w:szCs w:val="24"/>
              </w:rPr>
              <w:t>质押数量*</w:t>
            </w:r>
            <w:r>
              <w:rPr>
                <w:rFonts w:hint="eastAsia" w:ascii="仿宋_GB2312" w:eastAsia="仿宋_GB2312"/>
                <w:kern w:val="0"/>
                <w:sz w:val="24"/>
                <w:szCs w:val="24"/>
                <w:lang w:val="en-US" w:eastAsia="zh-CN"/>
              </w:rPr>
              <w:t>10*</w:t>
            </w:r>
            <w:r>
              <w:rPr>
                <w:rFonts w:hint="eastAsia" w:ascii="仿宋_GB2312" w:eastAsia="仿宋_GB2312"/>
                <w:kern w:val="0"/>
                <w:sz w:val="24"/>
                <w:szCs w:val="24"/>
              </w:rPr>
              <w:t>质押券面额</w:t>
            </w:r>
            <w:r>
              <w:rPr>
                <w:rFonts w:hint="eastAsia" w:ascii="仿宋_GB2312" w:eastAsia="仿宋_GB2312"/>
                <w:kern w:val="0"/>
                <w:sz w:val="24"/>
                <w:szCs w:val="24"/>
                <w:lang w:eastAsia="zh-CN"/>
              </w:rPr>
              <w:t>；</w:t>
            </w:r>
            <w:r>
              <w:rPr>
                <w:rFonts w:hint="eastAsia" w:ascii="仿宋_GB2312" w:eastAsia="仿宋_GB2312"/>
                <w:kern w:val="0"/>
                <w:sz w:val="24"/>
                <w:szCs w:val="24"/>
              </w:rPr>
              <w:t>对于基金（含公募REITs和债券ETF）</w:t>
            </w:r>
            <w:r>
              <w:rPr>
                <w:rFonts w:hint="eastAsia" w:ascii="仿宋_GB2312" w:eastAsia="仿宋_GB2312"/>
                <w:kern w:val="0"/>
                <w:sz w:val="24"/>
                <w:szCs w:val="24"/>
                <w:lang w:eastAsia="zh-CN"/>
              </w:rPr>
              <w:t>，为</w:t>
            </w:r>
            <w:r>
              <w:rPr>
                <w:rFonts w:hint="eastAsia" w:ascii="仿宋_GB2312" w:eastAsia="仿宋_GB2312"/>
                <w:kern w:val="0"/>
                <w:sz w:val="24"/>
                <w:szCs w:val="24"/>
              </w:rPr>
              <w:t>质押数量（份）×竞价前收盘价</w:t>
            </w:r>
          </w:p>
        </w:tc>
      </w:tr>
      <w:tr w14:paraId="01E75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pct"/>
          </w:tcPr>
          <w:p w14:paraId="4FB4FF5A">
            <w:pPr>
              <w:adjustRightInd w:val="0"/>
              <w:snapToGrid w:val="0"/>
              <w:rPr>
                <w:rFonts w:ascii="仿宋_GB2312" w:eastAsia="仿宋_GB2312"/>
                <w:b/>
                <w:kern w:val="0"/>
                <w:sz w:val="24"/>
                <w:szCs w:val="24"/>
              </w:rPr>
            </w:pPr>
            <w:r>
              <w:rPr>
                <w:rFonts w:hint="eastAsia" w:ascii="仿宋_GB2312" w:eastAsia="仿宋_GB2312"/>
                <w:b/>
                <w:kern w:val="0"/>
                <w:sz w:val="24"/>
                <w:szCs w:val="24"/>
              </w:rPr>
              <w:t>成交金额</w:t>
            </w:r>
          </w:p>
        </w:tc>
        <w:tc>
          <w:tcPr>
            <w:tcW w:w="3689" w:type="pct"/>
          </w:tcPr>
          <w:p w14:paraId="7CC4827C">
            <w:pPr>
              <w:adjustRightInd w:val="0"/>
              <w:snapToGrid w:val="0"/>
              <w:rPr>
                <w:rFonts w:ascii="仿宋_GB2312" w:eastAsia="仿宋_GB2312"/>
                <w:kern w:val="0"/>
                <w:sz w:val="24"/>
                <w:szCs w:val="24"/>
              </w:rPr>
            </w:pPr>
            <w:r>
              <w:rPr>
                <w:rFonts w:hint="eastAsia" w:ascii="仿宋_GB2312" w:eastAsia="仿宋_GB2312"/>
                <w:kern w:val="0"/>
                <w:sz w:val="24"/>
                <w:szCs w:val="24"/>
              </w:rPr>
              <w:t>正回购方融入的资金额度</w:t>
            </w:r>
          </w:p>
        </w:tc>
      </w:tr>
      <w:tr w14:paraId="11D03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pct"/>
          </w:tcPr>
          <w:p w14:paraId="1D4C1CAE">
            <w:pPr>
              <w:adjustRightInd w:val="0"/>
              <w:snapToGrid w:val="0"/>
              <w:rPr>
                <w:rFonts w:ascii="仿宋_GB2312" w:eastAsia="仿宋_GB2312"/>
                <w:b/>
                <w:kern w:val="0"/>
                <w:sz w:val="24"/>
                <w:szCs w:val="24"/>
              </w:rPr>
            </w:pPr>
            <w:r>
              <w:rPr>
                <w:rFonts w:hint="eastAsia" w:ascii="仿宋_GB2312" w:eastAsia="仿宋_GB2312"/>
                <w:b/>
                <w:kern w:val="0"/>
                <w:sz w:val="24"/>
                <w:szCs w:val="24"/>
              </w:rPr>
              <w:t>回购到期日</w:t>
            </w:r>
          </w:p>
        </w:tc>
        <w:tc>
          <w:tcPr>
            <w:tcW w:w="3689" w:type="pct"/>
          </w:tcPr>
          <w:p w14:paraId="2CD7CB97">
            <w:pPr>
              <w:adjustRightInd w:val="0"/>
              <w:snapToGrid w:val="0"/>
              <w:rPr>
                <w:rFonts w:ascii="仿宋_GB2312" w:eastAsia="仿宋_GB2312"/>
                <w:kern w:val="0"/>
                <w:sz w:val="24"/>
                <w:szCs w:val="24"/>
              </w:rPr>
            </w:pPr>
            <w:r>
              <w:rPr>
                <w:rFonts w:hint="eastAsia" w:ascii="仿宋_GB2312" w:eastAsia="仿宋_GB2312"/>
                <w:kern w:val="0"/>
                <w:sz w:val="24"/>
                <w:szCs w:val="24"/>
              </w:rPr>
              <w:t>债券交易参与人确定的回购到期日期</w:t>
            </w:r>
          </w:p>
        </w:tc>
      </w:tr>
      <w:tr w14:paraId="760E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10" w:type="pct"/>
          </w:tcPr>
          <w:p w14:paraId="7960462D">
            <w:pPr>
              <w:adjustRightInd w:val="0"/>
              <w:snapToGrid w:val="0"/>
              <w:rPr>
                <w:rFonts w:ascii="仿宋_GB2312" w:eastAsia="仿宋_GB2312"/>
                <w:b/>
                <w:kern w:val="0"/>
                <w:sz w:val="24"/>
                <w:szCs w:val="24"/>
              </w:rPr>
            </w:pPr>
            <w:r>
              <w:rPr>
                <w:rFonts w:hint="eastAsia" w:ascii="仿宋_GB2312" w:eastAsia="仿宋_GB2312"/>
                <w:b/>
                <w:kern w:val="0"/>
                <w:sz w:val="24"/>
                <w:szCs w:val="24"/>
              </w:rPr>
              <w:t>首次结算日</w:t>
            </w:r>
          </w:p>
        </w:tc>
        <w:tc>
          <w:tcPr>
            <w:tcW w:w="3689" w:type="pct"/>
          </w:tcPr>
          <w:p w14:paraId="1EE36587">
            <w:pPr>
              <w:adjustRightInd w:val="0"/>
              <w:snapToGrid w:val="0"/>
              <w:rPr>
                <w:rFonts w:ascii="仿宋_GB2312" w:eastAsia="仿宋_GB2312"/>
                <w:kern w:val="0"/>
                <w:sz w:val="24"/>
                <w:szCs w:val="24"/>
              </w:rPr>
            </w:pPr>
            <w:r>
              <w:rPr>
                <w:rFonts w:hint="eastAsia" w:ascii="仿宋_GB2312" w:eastAsia="仿宋_GB2312"/>
                <w:kern w:val="0"/>
                <w:sz w:val="24"/>
                <w:szCs w:val="24"/>
              </w:rPr>
              <w:t>T+0</w:t>
            </w:r>
          </w:p>
        </w:tc>
      </w:tr>
      <w:tr w14:paraId="66AF2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310" w:type="pct"/>
          </w:tcPr>
          <w:p w14:paraId="5E83BF15">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一债通账户</w:t>
            </w:r>
          </w:p>
        </w:tc>
        <w:tc>
          <w:tcPr>
            <w:tcW w:w="3689" w:type="pct"/>
          </w:tcPr>
          <w:p w14:paraId="40D23FF9">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意向申报方</w:t>
            </w:r>
            <w:r>
              <w:rPr>
                <w:rFonts w:hint="eastAsia" w:ascii="仿宋_GB2312" w:eastAsia="仿宋_GB2312"/>
                <w:kern w:val="0"/>
                <w:sz w:val="24"/>
                <w:szCs w:val="24"/>
                <w:lang w:eastAsia="zh-CN"/>
              </w:rPr>
              <w:t>一债通账户</w:t>
            </w:r>
          </w:p>
        </w:tc>
      </w:tr>
      <w:tr w14:paraId="68983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pct"/>
          </w:tcPr>
          <w:p w14:paraId="1A475422">
            <w:pPr>
              <w:adjustRightInd w:val="0"/>
              <w:snapToGrid w:val="0"/>
              <w:rPr>
                <w:rFonts w:ascii="仿宋_GB2312" w:eastAsia="仿宋_GB2312"/>
                <w:b/>
                <w:kern w:val="0"/>
                <w:sz w:val="24"/>
                <w:szCs w:val="24"/>
              </w:rPr>
            </w:pPr>
            <w:r>
              <w:rPr>
                <w:rFonts w:hint="eastAsia" w:ascii="仿宋_GB2312" w:eastAsia="仿宋_GB2312"/>
                <w:b/>
                <w:kern w:val="0"/>
                <w:sz w:val="24"/>
                <w:szCs w:val="24"/>
              </w:rPr>
              <w:t>交易员</w:t>
            </w:r>
          </w:p>
        </w:tc>
        <w:tc>
          <w:tcPr>
            <w:tcW w:w="3689" w:type="pct"/>
          </w:tcPr>
          <w:p w14:paraId="0CCFDE92">
            <w:pPr>
              <w:adjustRightInd w:val="0"/>
              <w:snapToGrid w:val="0"/>
              <w:rPr>
                <w:rFonts w:ascii="仿宋_GB2312" w:eastAsia="仿宋_GB2312"/>
                <w:kern w:val="0"/>
                <w:sz w:val="24"/>
                <w:szCs w:val="24"/>
              </w:rPr>
            </w:pPr>
            <w:r>
              <w:rPr>
                <w:rFonts w:hint="eastAsia" w:ascii="仿宋_GB2312" w:eastAsia="仿宋_GB2312"/>
                <w:kern w:val="0"/>
                <w:sz w:val="24"/>
                <w:szCs w:val="24"/>
              </w:rPr>
              <w:t>意向申报方交易员名称</w:t>
            </w:r>
          </w:p>
        </w:tc>
      </w:tr>
      <w:tr w14:paraId="1CCA6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pct"/>
          </w:tcPr>
          <w:p w14:paraId="6423A853">
            <w:pPr>
              <w:adjustRightInd w:val="0"/>
              <w:snapToGrid w:val="0"/>
              <w:rPr>
                <w:rFonts w:ascii="仿宋_GB2312" w:eastAsia="仿宋_GB2312"/>
                <w:b/>
                <w:kern w:val="0"/>
                <w:sz w:val="24"/>
                <w:szCs w:val="24"/>
              </w:rPr>
            </w:pPr>
            <w:r>
              <w:rPr>
                <w:rFonts w:hint="eastAsia" w:ascii="仿宋_GB2312" w:eastAsia="仿宋_GB2312"/>
                <w:b/>
                <w:kern w:val="0"/>
                <w:sz w:val="24"/>
                <w:szCs w:val="24"/>
              </w:rPr>
              <w:t>交易参与人</w:t>
            </w:r>
          </w:p>
        </w:tc>
        <w:tc>
          <w:tcPr>
            <w:tcW w:w="3689" w:type="pct"/>
          </w:tcPr>
          <w:p w14:paraId="6578AB22">
            <w:pPr>
              <w:adjustRightInd w:val="0"/>
              <w:snapToGrid w:val="0"/>
              <w:rPr>
                <w:rFonts w:ascii="仿宋_GB2312" w:eastAsia="仿宋_GB2312"/>
                <w:kern w:val="0"/>
                <w:sz w:val="24"/>
                <w:szCs w:val="24"/>
              </w:rPr>
            </w:pPr>
            <w:r>
              <w:rPr>
                <w:rFonts w:hint="eastAsia" w:ascii="仿宋_GB2312" w:eastAsia="仿宋_GB2312"/>
                <w:kern w:val="0"/>
                <w:sz w:val="24"/>
                <w:szCs w:val="24"/>
              </w:rPr>
              <w:t>意向申报方债券交易参与人</w:t>
            </w:r>
            <w:r>
              <w:rPr>
                <w:rFonts w:hint="eastAsia" w:ascii="仿宋_GB2312" w:eastAsia="仿宋_GB2312"/>
                <w:kern w:val="0"/>
                <w:sz w:val="24"/>
                <w:szCs w:val="24"/>
                <w:lang w:eastAsia="zh-CN"/>
              </w:rPr>
              <w:t>简</w:t>
            </w:r>
            <w:r>
              <w:rPr>
                <w:rFonts w:hint="eastAsia" w:ascii="仿宋_GB2312" w:eastAsia="仿宋_GB2312"/>
                <w:kern w:val="0"/>
                <w:sz w:val="24"/>
                <w:szCs w:val="24"/>
              </w:rPr>
              <w:t>称</w:t>
            </w:r>
          </w:p>
        </w:tc>
      </w:tr>
      <w:tr w14:paraId="75E0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10" w:type="pct"/>
          </w:tcPr>
          <w:p w14:paraId="123189C7">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交易单元</w:t>
            </w:r>
          </w:p>
        </w:tc>
        <w:tc>
          <w:tcPr>
            <w:tcW w:w="3689" w:type="pct"/>
          </w:tcPr>
          <w:p w14:paraId="4EC84D66">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意向申报方的</w:t>
            </w:r>
            <w:r>
              <w:rPr>
                <w:rFonts w:hint="eastAsia" w:ascii="仿宋_GB2312" w:eastAsia="仿宋_GB2312"/>
                <w:kern w:val="0"/>
                <w:sz w:val="24"/>
                <w:szCs w:val="24"/>
                <w:lang w:val="en-US" w:eastAsia="zh-CN"/>
              </w:rPr>
              <w:t>交易单元</w:t>
            </w:r>
            <w:r>
              <w:rPr>
                <w:rFonts w:hint="eastAsia" w:ascii="仿宋_GB2312" w:eastAsia="仿宋_GB2312"/>
                <w:kern w:val="0"/>
                <w:sz w:val="24"/>
                <w:szCs w:val="24"/>
                <w:lang w:eastAsia="zh-CN"/>
              </w:rPr>
              <w:t>号码</w:t>
            </w:r>
          </w:p>
        </w:tc>
      </w:tr>
    </w:tbl>
    <w:p w14:paraId="374959F8">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2）协商成交申报</w:t>
      </w:r>
    </w:p>
    <w:p w14:paraId="3551EE48">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协议回购经双方协商一致后，由正回购方通过</w:t>
      </w:r>
      <w:r>
        <w:rPr>
          <w:rFonts w:hint="eastAsia" w:ascii="仿宋_GB2312" w:hAnsi="Calibri" w:eastAsia="仿宋_GB2312"/>
          <w:sz w:val="30"/>
          <w:szCs w:val="30"/>
          <w:lang w:eastAsia="zh-CN"/>
        </w:rPr>
        <w:t>新固定收益系统</w:t>
      </w:r>
      <w:r>
        <w:rPr>
          <w:rFonts w:hint="eastAsia" w:ascii="仿宋_GB2312" w:hAnsi="Calibri" w:eastAsia="仿宋_GB2312"/>
          <w:sz w:val="30"/>
          <w:szCs w:val="30"/>
        </w:rPr>
        <w:t>进行协商成交申报。协商成交申报由正回购方填妥交易要素后发送到逆回购方，经逆回购方进行确认后，由</w:t>
      </w:r>
      <w:r>
        <w:rPr>
          <w:rFonts w:hint="eastAsia" w:ascii="仿宋_GB2312" w:hAnsi="Calibri" w:eastAsia="仿宋_GB2312"/>
          <w:sz w:val="30"/>
          <w:szCs w:val="30"/>
          <w:lang w:eastAsia="zh-CN"/>
        </w:rPr>
        <w:t>新固定收益系统</w:t>
      </w:r>
      <w:r>
        <w:rPr>
          <w:rFonts w:hint="eastAsia" w:ascii="仿宋_GB2312" w:hAnsi="Calibri" w:eastAsia="仿宋_GB2312"/>
          <w:sz w:val="30"/>
          <w:szCs w:val="30"/>
        </w:rPr>
        <w:t>确认成交。双方应当承认成交结果，并按约定履行义务。</w:t>
      </w:r>
    </w:p>
    <w:p w14:paraId="6EED1C6B">
      <w:pPr>
        <w:adjustRightInd w:val="0"/>
        <w:snapToGrid w:val="0"/>
        <w:spacing w:line="600" w:lineRule="exact"/>
        <w:ind w:firstLine="600" w:firstLineChars="200"/>
        <w:rPr>
          <w:rFonts w:hint="eastAsia" w:ascii="仿宋_GB2312" w:hAnsi="宋体" w:eastAsia="仿宋_GB2312"/>
          <w:sz w:val="30"/>
          <w:szCs w:val="30"/>
        </w:rPr>
      </w:pPr>
      <w:r>
        <w:rPr>
          <w:rFonts w:hint="eastAsia" w:ascii="仿宋_GB2312" w:hAnsi="Calibri" w:eastAsia="仿宋_GB2312"/>
          <w:sz w:val="30"/>
          <w:szCs w:val="30"/>
        </w:rPr>
        <w:t>协商成交申报的</w:t>
      </w:r>
      <w:r>
        <w:rPr>
          <w:rFonts w:hint="eastAsia" w:ascii="仿宋_GB2312" w:hAnsi="宋体" w:eastAsia="仿宋_GB2312"/>
          <w:sz w:val="30"/>
          <w:szCs w:val="30"/>
        </w:rPr>
        <w:t>具体要素及要素说明如下：</w:t>
      </w:r>
    </w:p>
    <w:tbl>
      <w:tblPr>
        <w:tblStyle w:val="43"/>
        <w:tblW w:w="8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79"/>
        <w:gridCol w:w="4406"/>
      </w:tblGrid>
      <w:tr w14:paraId="5F78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9" w:type="dxa"/>
          </w:tcPr>
          <w:p w14:paraId="7A1E8214">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4406" w:type="dxa"/>
          </w:tcPr>
          <w:p w14:paraId="1BFCB683">
            <w:pPr>
              <w:adjustRightInd w:val="0"/>
              <w:snapToGrid w:val="0"/>
              <w:ind w:firstLine="482"/>
              <w:rPr>
                <w:rFonts w:ascii="仿宋_GB2312" w:eastAsia="仿宋_GB2312"/>
                <w:b/>
                <w:kern w:val="0"/>
                <w:sz w:val="24"/>
                <w:szCs w:val="24"/>
              </w:rPr>
            </w:pPr>
            <w:r>
              <w:rPr>
                <w:rFonts w:hint="eastAsia" w:ascii="仿宋_GB2312" w:eastAsia="仿宋_GB2312"/>
                <w:b/>
                <w:kern w:val="0"/>
                <w:sz w:val="24"/>
                <w:szCs w:val="24"/>
              </w:rPr>
              <w:t>要素说明</w:t>
            </w:r>
          </w:p>
        </w:tc>
      </w:tr>
      <w:tr w14:paraId="0D9A5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9" w:type="dxa"/>
          </w:tcPr>
          <w:p w14:paraId="5FC0D6A0">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本方</w:t>
            </w:r>
            <w:r>
              <w:rPr>
                <w:rFonts w:hint="eastAsia" w:ascii="仿宋_GB2312" w:eastAsia="仿宋_GB2312"/>
                <w:b/>
                <w:kern w:val="0"/>
                <w:sz w:val="24"/>
                <w:szCs w:val="24"/>
              </w:rPr>
              <w:t>方向</w:t>
            </w:r>
          </w:p>
        </w:tc>
        <w:tc>
          <w:tcPr>
            <w:tcW w:w="4406" w:type="dxa"/>
          </w:tcPr>
          <w:p w14:paraId="2E715872">
            <w:pPr>
              <w:adjustRightInd w:val="0"/>
              <w:snapToGrid w:val="0"/>
              <w:rPr>
                <w:rFonts w:ascii="仿宋_GB2312" w:eastAsia="仿宋_GB2312"/>
                <w:kern w:val="0"/>
                <w:sz w:val="24"/>
                <w:szCs w:val="24"/>
              </w:rPr>
            </w:pPr>
            <w:r>
              <w:rPr>
                <w:rFonts w:hint="eastAsia" w:ascii="仿宋_GB2312" w:eastAsia="仿宋_GB2312"/>
                <w:kern w:val="0"/>
                <w:sz w:val="24"/>
                <w:szCs w:val="24"/>
              </w:rPr>
              <w:t>正回购，</w:t>
            </w:r>
            <w:r>
              <w:rPr>
                <w:rFonts w:hint="eastAsia" w:ascii="仿宋_GB2312" w:eastAsia="仿宋_GB2312"/>
                <w:kern w:val="0"/>
                <w:sz w:val="24"/>
                <w:szCs w:val="24"/>
                <w:lang w:eastAsia="zh-CN"/>
              </w:rPr>
              <w:t>自动带出，</w:t>
            </w:r>
            <w:r>
              <w:rPr>
                <w:rFonts w:hint="eastAsia" w:ascii="仿宋_GB2312" w:eastAsia="仿宋_GB2312"/>
                <w:kern w:val="0"/>
                <w:sz w:val="24"/>
                <w:szCs w:val="24"/>
              </w:rPr>
              <w:t>协商成交申报只能正回购方发起</w:t>
            </w:r>
          </w:p>
        </w:tc>
      </w:tr>
      <w:tr w14:paraId="074A0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9" w:type="dxa"/>
          </w:tcPr>
          <w:p w14:paraId="249648F6">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正回购方</w:t>
            </w:r>
          </w:p>
        </w:tc>
        <w:tc>
          <w:tcPr>
            <w:tcW w:w="4406" w:type="dxa"/>
          </w:tcPr>
          <w:p w14:paraId="20B81FE1">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本方债券交易参与人简称，自动带出</w:t>
            </w:r>
          </w:p>
        </w:tc>
      </w:tr>
      <w:tr w14:paraId="1DECD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979" w:type="dxa"/>
          </w:tcPr>
          <w:p w14:paraId="55EB32E3">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正回购方一债通账户</w:t>
            </w:r>
          </w:p>
        </w:tc>
        <w:tc>
          <w:tcPr>
            <w:tcW w:w="4406" w:type="dxa"/>
          </w:tcPr>
          <w:p w14:paraId="19A25FA3">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本方交易员一债通账户号码，自动带出</w:t>
            </w:r>
          </w:p>
        </w:tc>
      </w:tr>
      <w:tr w14:paraId="7BE2B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9" w:type="dxa"/>
          </w:tcPr>
          <w:p w14:paraId="05C65BAE">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正回购方交易员</w:t>
            </w:r>
          </w:p>
        </w:tc>
        <w:tc>
          <w:tcPr>
            <w:tcW w:w="4406" w:type="dxa"/>
          </w:tcPr>
          <w:p w14:paraId="139724B8">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本方交易员名称，自动带出</w:t>
            </w:r>
          </w:p>
        </w:tc>
      </w:tr>
      <w:tr w14:paraId="4373E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9" w:type="dxa"/>
          </w:tcPr>
          <w:p w14:paraId="09FF2823">
            <w:pPr>
              <w:adjustRightInd w:val="0"/>
              <w:snapToGrid w:val="0"/>
              <w:rPr>
                <w:rFonts w:ascii="仿宋_GB2312" w:eastAsia="仿宋_GB2312"/>
                <w:b/>
                <w:kern w:val="0"/>
                <w:sz w:val="24"/>
                <w:szCs w:val="24"/>
              </w:rPr>
            </w:pPr>
            <w:r>
              <w:rPr>
                <w:rFonts w:hint="eastAsia" w:ascii="仿宋_GB2312" w:eastAsia="仿宋_GB2312"/>
                <w:b/>
                <w:kern w:val="0"/>
                <w:sz w:val="24"/>
                <w:szCs w:val="24"/>
              </w:rPr>
              <w:t>证券账户</w:t>
            </w:r>
          </w:p>
        </w:tc>
        <w:tc>
          <w:tcPr>
            <w:tcW w:w="4406" w:type="dxa"/>
          </w:tcPr>
          <w:p w14:paraId="52435507">
            <w:pPr>
              <w:adjustRightInd w:val="0"/>
              <w:snapToGrid w:val="0"/>
              <w:rPr>
                <w:rFonts w:ascii="仿宋_GB2312" w:eastAsia="仿宋_GB2312"/>
                <w:kern w:val="0"/>
                <w:sz w:val="24"/>
                <w:szCs w:val="24"/>
              </w:rPr>
            </w:pPr>
            <w:r>
              <w:rPr>
                <w:rFonts w:hint="eastAsia" w:ascii="仿宋_GB2312" w:eastAsia="仿宋_GB2312"/>
                <w:kern w:val="0"/>
                <w:sz w:val="24"/>
                <w:szCs w:val="24"/>
              </w:rPr>
              <w:t>正回购方的证券账户</w:t>
            </w:r>
          </w:p>
        </w:tc>
      </w:tr>
      <w:tr w14:paraId="1456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9" w:type="dxa"/>
          </w:tcPr>
          <w:p w14:paraId="3E1CE62E">
            <w:pPr>
              <w:adjustRightInd w:val="0"/>
              <w:snapToGrid w:val="0"/>
              <w:rPr>
                <w:rFonts w:ascii="仿宋_GB2312" w:eastAsia="仿宋_GB2312"/>
                <w:b/>
                <w:kern w:val="0"/>
                <w:sz w:val="24"/>
                <w:szCs w:val="24"/>
              </w:rPr>
            </w:pPr>
            <w:r>
              <w:rPr>
                <w:rFonts w:hint="eastAsia" w:ascii="仿宋_GB2312" w:eastAsia="仿宋_GB2312"/>
                <w:b/>
                <w:kern w:val="0"/>
                <w:sz w:val="24"/>
                <w:szCs w:val="24"/>
              </w:rPr>
              <w:t>交易单元</w:t>
            </w:r>
          </w:p>
        </w:tc>
        <w:tc>
          <w:tcPr>
            <w:tcW w:w="4406" w:type="dxa"/>
          </w:tcPr>
          <w:p w14:paraId="7A066332">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正回购方证券账号指定交易单元号</w:t>
            </w:r>
            <w:r>
              <w:rPr>
                <w:rFonts w:hint="eastAsia" w:ascii="仿宋_GB2312" w:eastAsia="仿宋_GB2312"/>
                <w:kern w:val="0"/>
                <w:sz w:val="24"/>
                <w:szCs w:val="24"/>
                <w:lang w:eastAsia="zh-CN"/>
              </w:rPr>
              <w:t>，自动带出</w:t>
            </w:r>
          </w:p>
        </w:tc>
      </w:tr>
      <w:tr w14:paraId="757AF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979" w:type="dxa"/>
          </w:tcPr>
          <w:p w14:paraId="6CF2C4BB">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账户名称</w:t>
            </w:r>
          </w:p>
        </w:tc>
        <w:tc>
          <w:tcPr>
            <w:tcW w:w="4406" w:type="dxa"/>
          </w:tcPr>
          <w:p w14:paraId="3386D8E5">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根据正回购方账户自动带出</w:t>
            </w:r>
          </w:p>
        </w:tc>
      </w:tr>
      <w:tr w14:paraId="6E2D6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9" w:type="dxa"/>
            <w:shd w:val="clear" w:color="auto" w:fill="auto"/>
            <w:vAlign w:val="top"/>
          </w:tcPr>
          <w:p w14:paraId="7F39520B">
            <w:pPr>
              <w:adjustRightInd w:val="0"/>
              <w:snapToGrid w:val="0"/>
              <w:rPr>
                <w:rFonts w:hint="eastAsia" w:ascii="仿宋_GB2312" w:hAnsi="Times New Roman" w:eastAsia="仿宋_GB2312" w:cs="Times New Roman"/>
                <w:b/>
                <w:kern w:val="0"/>
                <w:sz w:val="24"/>
                <w:szCs w:val="24"/>
                <w:lang w:val="en-US" w:eastAsia="zh-CN" w:bidi="ar-SA"/>
              </w:rPr>
            </w:pPr>
            <w:r>
              <w:rPr>
                <w:rFonts w:hint="eastAsia" w:ascii="仿宋_GB2312" w:eastAsia="仿宋_GB2312"/>
                <w:b/>
                <w:kern w:val="0"/>
                <w:sz w:val="24"/>
                <w:szCs w:val="24"/>
                <w:lang w:eastAsia="zh-CN"/>
              </w:rPr>
              <w:t>逆回购方</w:t>
            </w:r>
          </w:p>
        </w:tc>
        <w:tc>
          <w:tcPr>
            <w:tcW w:w="4406" w:type="dxa"/>
            <w:shd w:val="clear" w:color="auto" w:fill="auto"/>
            <w:vAlign w:val="top"/>
          </w:tcPr>
          <w:p w14:paraId="5AC1B6C4">
            <w:pPr>
              <w:adjustRightInd w:val="0"/>
              <w:snapToGrid w:val="0"/>
              <w:rPr>
                <w:rFonts w:hint="eastAsia" w:ascii="仿宋_GB2312" w:hAnsi="Times New Roman" w:eastAsia="仿宋_GB2312" w:cs="Times New Roman"/>
                <w:kern w:val="0"/>
                <w:sz w:val="24"/>
                <w:szCs w:val="24"/>
                <w:lang w:val="en-US" w:eastAsia="zh-CN" w:bidi="ar-SA"/>
              </w:rPr>
            </w:pPr>
            <w:r>
              <w:rPr>
                <w:rFonts w:hint="eastAsia" w:ascii="仿宋_GB2312" w:eastAsia="仿宋_GB2312"/>
                <w:kern w:val="0"/>
                <w:sz w:val="24"/>
                <w:szCs w:val="24"/>
              </w:rPr>
              <w:t>对手方债券交易参与人</w:t>
            </w:r>
            <w:r>
              <w:rPr>
                <w:rFonts w:hint="eastAsia" w:ascii="仿宋_GB2312" w:eastAsia="仿宋_GB2312"/>
                <w:kern w:val="0"/>
                <w:sz w:val="24"/>
                <w:szCs w:val="24"/>
                <w:lang w:eastAsia="zh-CN"/>
              </w:rPr>
              <w:t>简</w:t>
            </w:r>
            <w:r>
              <w:rPr>
                <w:rFonts w:hint="eastAsia" w:ascii="仿宋_GB2312" w:eastAsia="仿宋_GB2312"/>
                <w:kern w:val="0"/>
                <w:sz w:val="24"/>
                <w:szCs w:val="24"/>
              </w:rPr>
              <w:t>称，自动显示</w:t>
            </w:r>
          </w:p>
        </w:tc>
      </w:tr>
      <w:tr w14:paraId="329B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9" w:type="dxa"/>
            <w:shd w:val="clear" w:color="auto" w:fill="auto"/>
            <w:vAlign w:val="top"/>
          </w:tcPr>
          <w:p w14:paraId="14D8F375">
            <w:pPr>
              <w:adjustRightInd w:val="0"/>
              <w:snapToGrid w:val="0"/>
              <w:rPr>
                <w:rFonts w:hint="eastAsia" w:ascii="仿宋_GB2312" w:hAnsi="Times New Roman" w:eastAsia="仿宋_GB2312" w:cs="Times New Roman"/>
                <w:b/>
                <w:kern w:val="0"/>
                <w:sz w:val="24"/>
                <w:szCs w:val="24"/>
                <w:lang w:val="en-US" w:eastAsia="zh-CN" w:bidi="ar-SA"/>
              </w:rPr>
            </w:pPr>
            <w:r>
              <w:rPr>
                <w:rFonts w:hint="eastAsia" w:ascii="仿宋_GB2312" w:eastAsia="仿宋_GB2312"/>
                <w:b/>
                <w:kern w:val="0"/>
                <w:sz w:val="24"/>
                <w:szCs w:val="24"/>
                <w:lang w:eastAsia="zh-CN"/>
              </w:rPr>
              <w:t>逆回购方</w:t>
            </w:r>
            <w:r>
              <w:rPr>
                <w:rFonts w:hint="eastAsia" w:ascii="仿宋_GB2312" w:eastAsia="仿宋_GB2312"/>
                <w:b/>
                <w:kern w:val="0"/>
                <w:sz w:val="24"/>
                <w:szCs w:val="24"/>
              </w:rPr>
              <w:t>交易员</w:t>
            </w:r>
          </w:p>
        </w:tc>
        <w:tc>
          <w:tcPr>
            <w:tcW w:w="4406" w:type="dxa"/>
            <w:shd w:val="clear" w:color="auto" w:fill="auto"/>
            <w:vAlign w:val="top"/>
          </w:tcPr>
          <w:p w14:paraId="42DB5DAA">
            <w:pPr>
              <w:adjustRightInd w:val="0"/>
              <w:snapToGrid w:val="0"/>
              <w:rPr>
                <w:rFonts w:hint="eastAsia" w:ascii="仿宋_GB2312" w:hAnsi="Times New Roman" w:eastAsia="仿宋_GB2312" w:cs="Times New Roman"/>
                <w:kern w:val="0"/>
                <w:sz w:val="24"/>
                <w:szCs w:val="24"/>
                <w:lang w:val="en-US" w:eastAsia="zh-CN" w:bidi="ar-SA"/>
              </w:rPr>
            </w:pPr>
            <w:r>
              <w:rPr>
                <w:rFonts w:hint="eastAsia" w:ascii="仿宋_GB2312" w:eastAsia="仿宋_GB2312"/>
                <w:kern w:val="0"/>
                <w:sz w:val="24"/>
                <w:szCs w:val="24"/>
              </w:rPr>
              <w:t>对手方交易员名称，</w:t>
            </w:r>
            <w:r>
              <w:rPr>
                <w:rFonts w:hint="eastAsia" w:ascii="仿宋_GB2312" w:eastAsia="仿宋_GB2312"/>
                <w:kern w:val="0"/>
                <w:sz w:val="24"/>
                <w:szCs w:val="24"/>
                <w:lang w:eastAsia="zh-CN"/>
              </w:rPr>
              <w:t>根据一债通账户</w:t>
            </w:r>
            <w:r>
              <w:rPr>
                <w:rFonts w:hint="eastAsia" w:ascii="仿宋_GB2312" w:eastAsia="仿宋_GB2312"/>
                <w:kern w:val="0"/>
                <w:sz w:val="24"/>
                <w:szCs w:val="24"/>
              </w:rPr>
              <w:t>自动显示</w:t>
            </w:r>
          </w:p>
        </w:tc>
      </w:tr>
      <w:tr w14:paraId="3B269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9" w:type="dxa"/>
          </w:tcPr>
          <w:p w14:paraId="7589F7C4">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逆回购</w:t>
            </w:r>
            <w:r>
              <w:rPr>
                <w:rFonts w:hint="eastAsia" w:ascii="仿宋_GB2312" w:eastAsia="仿宋_GB2312"/>
                <w:b/>
                <w:kern w:val="0"/>
                <w:sz w:val="24"/>
                <w:szCs w:val="24"/>
              </w:rPr>
              <w:t>方</w:t>
            </w:r>
            <w:r>
              <w:rPr>
                <w:rFonts w:hint="eastAsia" w:ascii="仿宋_GB2312" w:eastAsia="仿宋_GB2312"/>
                <w:b/>
                <w:kern w:val="0"/>
                <w:sz w:val="24"/>
                <w:szCs w:val="24"/>
                <w:lang w:eastAsia="zh-CN"/>
              </w:rPr>
              <w:t>一债通账户</w:t>
            </w:r>
          </w:p>
        </w:tc>
        <w:tc>
          <w:tcPr>
            <w:tcW w:w="4406" w:type="dxa"/>
          </w:tcPr>
          <w:p w14:paraId="21595644">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对手方交易员</w:t>
            </w:r>
            <w:r>
              <w:rPr>
                <w:rFonts w:hint="eastAsia" w:ascii="仿宋_GB2312" w:eastAsia="仿宋_GB2312"/>
                <w:kern w:val="0"/>
                <w:sz w:val="24"/>
                <w:szCs w:val="24"/>
                <w:lang w:eastAsia="zh-CN"/>
              </w:rPr>
              <w:t>一债通账户号码</w:t>
            </w:r>
          </w:p>
        </w:tc>
      </w:tr>
      <w:tr w14:paraId="3A76E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979" w:type="dxa"/>
            <w:shd w:val="clear" w:color="auto" w:fill="auto"/>
            <w:vAlign w:val="top"/>
          </w:tcPr>
          <w:p w14:paraId="5B725CC0">
            <w:pPr>
              <w:adjustRightInd w:val="0"/>
              <w:snapToGrid w:val="0"/>
              <w:rPr>
                <w:rFonts w:hint="eastAsia" w:ascii="仿宋_GB2312" w:hAnsi="Times New Roman" w:eastAsia="仿宋_GB2312" w:cs="Times New Roman"/>
                <w:b/>
                <w:kern w:val="0"/>
                <w:sz w:val="24"/>
                <w:szCs w:val="24"/>
                <w:lang w:val="en-US" w:eastAsia="zh-CN" w:bidi="ar-SA"/>
              </w:rPr>
            </w:pPr>
            <w:r>
              <w:rPr>
                <w:rFonts w:hint="eastAsia" w:ascii="仿宋_GB2312" w:eastAsia="仿宋_GB2312"/>
                <w:b/>
                <w:kern w:val="0"/>
                <w:sz w:val="24"/>
                <w:szCs w:val="24"/>
              </w:rPr>
              <w:t>成交日</w:t>
            </w:r>
          </w:p>
        </w:tc>
        <w:tc>
          <w:tcPr>
            <w:tcW w:w="4406" w:type="dxa"/>
            <w:shd w:val="clear" w:color="auto" w:fill="auto"/>
            <w:vAlign w:val="top"/>
          </w:tcPr>
          <w:p w14:paraId="76DBC403">
            <w:pPr>
              <w:adjustRightInd w:val="0"/>
              <w:snapToGrid w:val="0"/>
              <w:rPr>
                <w:rFonts w:hint="eastAsia" w:ascii="仿宋_GB2312" w:hAnsi="Times New Roman" w:eastAsia="仿宋_GB2312" w:cs="Times New Roman"/>
                <w:kern w:val="0"/>
                <w:sz w:val="24"/>
                <w:szCs w:val="24"/>
                <w:lang w:val="en-US" w:eastAsia="zh-CN" w:bidi="ar-SA"/>
              </w:rPr>
            </w:pPr>
            <w:r>
              <w:rPr>
                <w:rFonts w:hint="eastAsia" w:ascii="仿宋_GB2312" w:eastAsia="仿宋_GB2312"/>
                <w:kern w:val="0"/>
                <w:sz w:val="24"/>
                <w:szCs w:val="24"/>
              </w:rPr>
              <w:t>当前交易日，自动显示</w:t>
            </w:r>
          </w:p>
        </w:tc>
      </w:tr>
      <w:tr w14:paraId="77C56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9" w:type="dxa"/>
            <w:shd w:val="clear" w:color="auto" w:fill="auto"/>
            <w:vAlign w:val="top"/>
          </w:tcPr>
          <w:p w14:paraId="2A32E568">
            <w:pPr>
              <w:adjustRightInd w:val="0"/>
              <w:snapToGrid w:val="0"/>
              <w:rPr>
                <w:rFonts w:hint="eastAsia" w:ascii="仿宋_GB2312" w:hAnsi="Times New Roman" w:eastAsia="仿宋_GB2312" w:cs="Times New Roman"/>
                <w:b/>
                <w:kern w:val="0"/>
                <w:sz w:val="24"/>
                <w:szCs w:val="24"/>
                <w:lang w:val="en-US" w:eastAsia="zh-CN" w:bidi="ar-SA"/>
              </w:rPr>
            </w:pPr>
            <w:r>
              <w:rPr>
                <w:rFonts w:hint="eastAsia" w:ascii="仿宋_GB2312" w:eastAsia="仿宋_GB2312"/>
                <w:b/>
                <w:kern w:val="0"/>
                <w:sz w:val="24"/>
                <w:szCs w:val="24"/>
              </w:rPr>
              <w:t>首次结算日</w:t>
            </w:r>
          </w:p>
        </w:tc>
        <w:tc>
          <w:tcPr>
            <w:tcW w:w="4406" w:type="dxa"/>
            <w:shd w:val="clear" w:color="auto" w:fill="auto"/>
            <w:vAlign w:val="top"/>
          </w:tcPr>
          <w:p w14:paraId="0C297AD8">
            <w:pPr>
              <w:adjustRightInd w:val="0"/>
              <w:snapToGrid w:val="0"/>
              <w:rPr>
                <w:rFonts w:hint="eastAsia" w:ascii="仿宋_GB2312" w:hAnsi="Times New Roman" w:eastAsia="仿宋_GB2312" w:cs="Times New Roman"/>
                <w:kern w:val="0"/>
                <w:sz w:val="24"/>
                <w:szCs w:val="24"/>
                <w:lang w:val="en-US" w:eastAsia="zh-CN" w:bidi="ar-SA"/>
              </w:rPr>
            </w:pPr>
            <w:r>
              <w:rPr>
                <w:rFonts w:hint="eastAsia" w:ascii="仿宋_GB2312" w:eastAsia="仿宋_GB2312"/>
                <w:kern w:val="0"/>
                <w:sz w:val="24"/>
                <w:szCs w:val="24"/>
              </w:rPr>
              <w:t>当前交易日</w:t>
            </w:r>
            <w:r>
              <w:rPr>
                <w:rFonts w:hint="eastAsia" w:ascii="仿宋_GB2312" w:eastAsia="仿宋_GB2312"/>
                <w:kern w:val="0"/>
                <w:sz w:val="24"/>
                <w:szCs w:val="24"/>
                <w:lang w:eastAsia="zh-CN"/>
              </w:rPr>
              <w:t>，自动带出</w:t>
            </w:r>
          </w:p>
        </w:tc>
      </w:tr>
      <w:tr w14:paraId="082FA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79" w:type="dxa"/>
          </w:tcPr>
          <w:p w14:paraId="1B341F0F">
            <w:pPr>
              <w:adjustRightInd w:val="0"/>
              <w:snapToGrid w:val="0"/>
              <w:rPr>
                <w:rFonts w:ascii="仿宋_GB2312" w:eastAsia="仿宋_GB2312"/>
                <w:b/>
                <w:kern w:val="0"/>
                <w:sz w:val="24"/>
                <w:szCs w:val="24"/>
              </w:rPr>
            </w:pPr>
            <w:r>
              <w:rPr>
                <w:rFonts w:hint="eastAsia" w:ascii="仿宋_GB2312" w:eastAsia="仿宋_GB2312"/>
                <w:b/>
                <w:kern w:val="0"/>
                <w:sz w:val="24"/>
                <w:szCs w:val="24"/>
              </w:rPr>
              <w:t>回购期限</w:t>
            </w:r>
          </w:p>
        </w:tc>
        <w:tc>
          <w:tcPr>
            <w:tcW w:w="4406" w:type="dxa"/>
          </w:tcPr>
          <w:p w14:paraId="0DDC93D5">
            <w:pPr>
              <w:adjustRightInd w:val="0"/>
              <w:snapToGrid w:val="0"/>
              <w:rPr>
                <w:rFonts w:ascii="仿宋_GB2312" w:eastAsia="仿宋_GB2312"/>
                <w:kern w:val="0"/>
                <w:sz w:val="24"/>
                <w:szCs w:val="24"/>
              </w:rPr>
            </w:pPr>
            <w:r>
              <w:rPr>
                <w:rFonts w:hint="eastAsia" w:ascii="仿宋_GB2312" w:eastAsia="仿宋_GB2312"/>
                <w:kern w:val="0"/>
                <w:sz w:val="24"/>
                <w:szCs w:val="24"/>
              </w:rPr>
              <w:t>即成交日至回购到期日的实际天数</w:t>
            </w:r>
            <w:r>
              <w:rPr>
                <w:rFonts w:hint="eastAsia" w:ascii="仿宋_GB2312" w:eastAsia="仿宋_GB2312"/>
                <w:kern w:val="0"/>
                <w:sz w:val="24"/>
                <w:szCs w:val="24"/>
                <w:lang w:eastAsia="zh-CN"/>
              </w:rPr>
              <w:t>，</w:t>
            </w:r>
            <w:r>
              <w:rPr>
                <w:rFonts w:hint="eastAsia" w:ascii="仿宋_GB2312" w:eastAsia="仿宋_GB2312"/>
                <w:kern w:val="0"/>
                <w:sz w:val="24"/>
                <w:szCs w:val="24"/>
              </w:rPr>
              <w:t>回购期限按自然日计算，以天为单位，含成交日，不含回购到期日；与回购到期日联动计算</w:t>
            </w:r>
          </w:p>
        </w:tc>
      </w:tr>
      <w:tr w14:paraId="18CA7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9" w:type="dxa"/>
          </w:tcPr>
          <w:p w14:paraId="707687A2">
            <w:pPr>
              <w:adjustRightInd w:val="0"/>
              <w:snapToGrid w:val="0"/>
              <w:rPr>
                <w:rFonts w:ascii="仿宋_GB2312" w:eastAsia="仿宋_GB2312"/>
                <w:b/>
                <w:kern w:val="0"/>
                <w:sz w:val="24"/>
                <w:szCs w:val="24"/>
              </w:rPr>
            </w:pPr>
            <w:r>
              <w:rPr>
                <w:rFonts w:hint="eastAsia" w:ascii="仿宋_GB2312" w:eastAsia="仿宋_GB2312"/>
                <w:b/>
                <w:kern w:val="0"/>
                <w:sz w:val="24"/>
                <w:szCs w:val="24"/>
              </w:rPr>
              <w:t>回购到期日</w:t>
            </w:r>
          </w:p>
        </w:tc>
        <w:tc>
          <w:tcPr>
            <w:tcW w:w="4406" w:type="dxa"/>
          </w:tcPr>
          <w:p w14:paraId="38A1E6A5">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回购双方确定的回购到期日期</w:t>
            </w:r>
          </w:p>
        </w:tc>
      </w:tr>
      <w:tr w14:paraId="1B86F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3979" w:type="dxa"/>
          </w:tcPr>
          <w:p w14:paraId="62265183">
            <w:pPr>
              <w:adjustRightInd w:val="0"/>
              <w:snapToGrid w:val="0"/>
              <w:rPr>
                <w:rFonts w:ascii="仿宋_GB2312" w:eastAsia="仿宋_GB2312"/>
                <w:b/>
                <w:kern w:val="0"/>
                <w:sz w:val="24"/>
                <w:szCs w:val="24"/>
              </w:rPr>
            </w:pPr>
            <w:r>
              <w:rPr>
                <w:rFonts w:hint="eastAsia" w:ascii="仿宋_GB2312" w:eastAsia="仿宋_GB2312"/>
                <w:b/>
                <w:kern w:val="0"/>
                <w:sz w:val="24"/>
                <w:szCs w:val="24"/>
              </w:rPr>
              <w:t>到期结算日</w:t>
            </w:r>
          </w:p>
        </w:tc>
        <w:tc>
          <w:tcPr>
            <w:tcW w:w="4406" w:type="dxa"/>
          </w:tcPr>
          <w:p w14:paraId="44A41C8B">
            <w:pPr>
              <w:adjustRightInd w:val="0"/>
              <w:snapToGrid w:val="0"/>
              <w:rPr>
                <w:rFonts w:ascii="仿宋_GB2312" w:eastAsia="仿宋_GB2312"/>
                <w:kern w:val="0"/>
                <w:sz w:val="24"/>
                <w:szCs w:val="24"/>
              </w:rPr>
            </w:pPr>
            <w:r>
              <w:rPr>
                <w:rFonts w:hint="eastAsia" w:ascii="仿宋_GB2312" w:eastAsia="仿宋_GB2312"/>
                <w:kern w:val="0"/>
                <w:sz w:val="24"/>
                <w:szCs w:val="24"/>
              </w:rPr>
              <w:t>到期结算日，自动显示</w:t>
            </w:r>
          </w:p>
        </w:tc>
      </w:tr>
      <w:tr w14:paraId="27051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9" w:type="dxa"/>
          </w:tcPr>
          <w:p w14:paraId="149DCC62">
            <w:pPr>
              <w:adjustRightInd w:val="0"/>
              <w:snapToGrid w:val="0"/>
              <w:rPr>
                <w:rFonts w:ascii="仿宋_GB2312" w:eastAsia="仿宋_GB2312"/>
                <w:b/>
                <w:kern w:val="0"/>
                <w:sz w:val="24"/>
                <w:szCs w:val="24"/>
              </w:rPr>
            </w:pPr>
            <w:r>
              <w:rPr>
                <w:rFonts w:hint="eastAsia" w:ascii="仿宋_GB2312" w:eastAsia="仿宋_GB2312"/>
                <w:b/>
                <w:kern w:val="0"/>
                <w:sz w:val="24"/>
                <w:szCs w:val="24"/>
              </w:rPr>
              <w:t>实际占款天数</w:t>
            </w:r>
          </w:p>
        </w:tc>
        <w:tc>
          <w:tcPr>
            <w:tcW w:w="4406" w:type="dxa"/>
          </w:tcPr>
          <w:p w14:paraId="41598C74">
            <w:pPr>
              <w:adjustRightInd w:val="0"/>
              <w:snapToGrid w:val="0"/>
              <w:rPr>
                <w:rFonts w:ascii="仿宋_GB2312" w:eastAsia="仿宋_GB2312"/>
                <w:kern w:val="0"/>
                <w:sz w:val="24"/>
                <w:szCs w:val="24"/>
              </w:rPr>
            </w:pPr>
            <w:r>
              <w:rPr>
                <w:rFonts w:hint="eastAsia" w:ascii="仿宋_GB2312" w:eastAsia="仿宋_GB2312"/>
                <w:kern w:val="0"/>
                <w:sz w:val="24"/>
                <w:szCs w:val="24"/>
              </w:rPr>
              <w:t>到期结算日-首期结算日，自动显示</w:t>
            </w:r>
          </w:p>
        </w:tc>
      </w:tr>
      <w:tr w14:paraId="7954E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3979" w:type="dxa"/>
          </w:tcPr>
          <w:p w14:paraId="53A7563E">
            <w:pPr>
              <w:adjustRightInd w:val="0"/>
              <w:snapToGrid w:val="0"/>
              <w:rPr>
                <w:rFonts w:ascii="仿宋_GB2312" w:eastAsia="仿宋_GB2312"/>
                <w:b/>
                <w:kern w:val="0"/>
                <w:sz w:val="24"/>
                <w:szCs w:val="24"/>
              </w:rPr>
            </w:pPr>
            <w:r>
              <w:rPr>
                <w:rFonts w:hint="eastAsia" w:ascii="仿宋_GB2312" w:eastAsia="仿宋_GB2312"/>
                <w:b/>
                <w:kern w:val="0"/>
                <w:sz w:val="24"/>
                <w:szCs w:val="24"/>
              </w:rPr>
              <w:t>回购利率</w:t>
            </w:r>
          </w:p>
        </w:tc>
        <w:tc>
          <w:tcPr>
            <w:tcW w:w="4406" w:type="dxa"/>
          </w:tcPr>
          <w:p w14:paraId="4DE2345C">
            <w:pPr>
              <w:adjustRightInd w:val="0"/>
              <w:snapToGrid w:val="0"/>
              <w:rPr>
                <w:rFonts w:ascii="仿宋_GB2312" w:eastAsia="仿宋_GB2312"/>
                <w:kern w:val="0"/>
                <w:sz w:val="24"/>
                <w:szCs w:val="24"/>
              </w:rPr>
            </w:pPr>
            <w:r>
              <w:rPr>
                <w:rFonts w:hint="eastAsia" w:ascii="仿宋_GB2312" w:eastAsia="仿宋_GB2312"/>
                <w:kern w:val="0"/>
                <w:sz w:val="24"/>
                <w:szCs w:val="24"/>
              </w:rPr>
              <w:t>即正回购方支付给逆回购方在回购期间融入资金的利息与融入资金的比例，以年利率（%）表示，保留三位小数</w:t>
            </w:r>
          </w:p>
        </w:tc>
      </w:tr>
      <w:tr w14:paraId="7F52D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9" w:type="dxa"/>
          </w:tcPr>
          <w:p w14:paraId="191D3BF6">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约定号</w:t>
            </w:r>
          </w:p>
        </w:tc>
        <w:tc>
          <w:tcPr>
            <w:tcW w:w="4406" w:type="dxa"/>
          </w:tcPr>
          <w:p w14:paraId="2BF55C25">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选填</w:t>
            </w:r>
          </w:p>
        </w:tc>
      </w:tr>
      <w:tr w14:paraId="0DEA7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3979" w:type="dxa"/>
          </w:tcPr>
          <w:p w14:paraId="205A946F">
            <w:pPr>
              <w:adjustRightInd w:val="0"/>
              <w:snapToGrid w:val="0"/>
              <w:rPr>
                <w:rFonts w:ascii="仿宋_GB2312" w:eastAsia="仿宋_GB2312"/>
                <w:b/>
                <w:kern w:val="0"/>
                <w:sz w:val="24"/>
                <w:szCs w:val="24"/>
              </w:rPr>
            </w:pPr>
            <w:r>
              <w:rPr>
                <w:rFonts w:hint="eastAsia" w:ascii="仿宋_GB2312" w:eastAsia="仿宋_GB2312"/>
                <w:b/>
                <w:kern w:val="0"/>
                <w:sz w:val="24"/>
                <w:szCs w:val="24"/>
              </w:rPr>
              <w:t>补充</w:t>
            </w:r>
            <w:r>
              <w:rPr>
                <w:rFonts w:hint="eastAsia" w:ascii="仿宋_GB2312" w:eastAsia="仿宋_GB2312"/>
                <w:b/>
                <w:kern w:val="0"/>
                <w:sz w:val="24"/>
                <w:szCs w:val="24"/>
                <w:lang w:eastAsia="zh-CN"/>
              </w:rPr>
              <w:t>约定或备注</w:t>
            </w:r>
          </w:p>
        </w:tc>
        <w:tc>
          <w:tcPr>
            <w:tcW w:w="4406" w:type="dxa"/>
          </w:tcPr>
          <w:p w14:paraId="3B270CBB">
            <w:pPr>
              <w:adjustRightInd w:val="0"/>
              <w:snapToGrid w:val="0"/>
              <w:rPr>
                <w:rFonts w:hint="default" w:ascii="仿宋_GB2312" w:eastAsia="仿宋_GB2312"/>
                <w:kern w:val="0"/>
                <w:sz w:val="24"/>
                <w:szCs w:val="24"/>
                <w:lang w:val="en-US" w:eastAsia="zh-CN"/>
              </w:rPr>
            </w:pPr>
            <w:r>
              <w:rPr>
                <w:rFonts w:hint="eastAsia" w:ascii="仿宋_GB2312" w:eastAsia="仿宋_GB2312"/>
                <w:kern w:val="0"/>
                <w:sz w:val="24"/>
                <w:szCs w:val="24"/>
              </w:rPr>
              <w:t>交易双方的补充约定条款</w:t>
            </w:r>
            <w:r>
              <w:rPr>
                <w:rFonts w:hint="eastAsia" w:ascii="仿宋_GB2312" w:eastAsia="仿宋_GB2312"/>
                <w:kern w:val="0"/>
                <w:sz w:val="24"/>
                <w:szCs w:val="24"/>
                <w:lang w:eastAsia="zh-CN"/>
              </w:rPr>
              <w:t>，当回购利率高于</w:t>
            </w:r>
            <w:r>
              <w:rPr>
                <w:rFonts w:hint="eastAsia" w:ascii="仿宋_GB2312" w:eastAsia="仿宋_GB2312"/>
                <w:kern w:val="0"/>
                <w:sz w:val="24"/>
                <w:szCs w:val="24"/>
                <w:lang w:val="en-US" w:eastAsia="zh-CN"/>
              </w:rPr>
              <w:t>5%时必填</w:t>
            </w:r>
          </w:p>
        </w:tc>
      </w:tr>
      <w:tr w14:paraId="35EF1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9" w:type="dxa"/>
          </w:tcPr>
          <w:p w14:paraId="07FCF3E9">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违约宽限期</w:t>
            </w:r>
          </w:p>
        </w:tc>
        <w:tc>
          <w:tcPr>
            <w:tcW w:w="4406" w:type="dxa"/>
          </w:tcPr>
          <w:p w14:paraId="729365DA">
            <w:pPr>
              <w:adjustRightInd w:val="0"/>
              <w:snapToGrid w:val="0"/>
              <w:rPr>
                <w:rFonts w:hint="default" w:ascii="仿宋_GB2312" w:eastAsia="仿宋_GB2312"/>
                <w:kern w:val="0"/>
                <w:sz w:val="24"/>
                <w:szCs w:val="24"/>
                <w:lang w:val="en-US" w:eastAsia="zh-CN"/>
              </w:rPr>
            </w:pPr>
            <w:r>
              <w:rPr>
                <w:rFonts w:hint="eastAsia" w:ascii="仿宋_GB2312" w:eastAsia="仿宋_GB2312"/>
                <w:kern w:val="0"/>
                <w:sz w:val="24"/>
                <w:szCs w:val="24"/>
                <w:lang w:eastAsia="zh-CN"/>
              </w:rPr>
              <w:t>天，交易双方约定的违约宽限期</w:t>
            </w:r>
          </w:p>
        </w:tc>
      </w:tr>
      <w:tr w14:paraId="361A0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9" w:type="dxa"/>
          </w:tcPr>
          <w:p w14:paraId="4A9AE9F3">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rPr>
              <w:t>是否同意在违约情形下由质权方对该违约交易项下的质押券直接以拍卖、变卖等方式进行处置</w:t>
            </w:r>
          </w:p>
        </w:tc>
        <w:tc>
          <w:tcPr>
            <w:tcW w:w="4406" w:type="dxa"/>
          </w:tcPr>
          <w:p w14:paraId="288EED3D">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单选，是</w:t>
            </w:r>
            <w:r>
              <w:rPr>
                <w:rFonts w:hint="eastAsia" w:ascii="仿宋_GB2312" w:eastAsia="仿宋_GB2312"/>
                <w:kern w:val="0"/>
                <w:sz w:val="24"/>
                <w:szCs w:val="24"/>
                <w:lang w:val="en-US" w:eastAsia="zh-CN"/>
              </w:rPr>
              <w:t>/</w:t>
            </w:r>
            <w:r>
              <w:rPr>
                <w:rFonts w:hint="eastAsia" w:ascii="仿宋_GB2312" w:eastAsia="仿宋_GB2312"/>
                <w:kern w:val="0"/>
                <w:sz w:val="24"/>
                <w:szCs w:val="24"/>
                <w:lang w:eastAsia="zh-CN"/>
              </w:rPr>
              <w:t>否</w:t>
            </w:r>
          </w:p>
        </w:tc>
      </w:tr>
      <w:tr w14:paraId="6E41C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9" w:type="dxa"/>
          </w:tcPr>
          <w:p w14:paraId="5DB388EC">
            <w:pPr>
              <w:adjustRightInd w:val="0"/>
              <w:snapToGrid w:val="0"/>
              <w:rPr>
                <w:rFonts w:ascii="仿宋_GB2312" w:eastAsia="仿宋_GB2312"/>
                <w:b/>
                <w:kern w:val="0"/>
                <w:sz w:val="24"/>
                <w:szCs w:val="24"/>
              </w:rPr>
            </w:pPr>
            <w:r>
              <w:rPr>
                <w:rFonts w:hint="eastAsia" w:ascii="仿宋_GB2312" w:eastAsia="仿宋_GB2312"/>
                <w:b/>
                <w:kern w:val="0"/>
                <w:sz w:val="24"/>
                <w:szCs w:val="24"/>
              </w:rPr>
              <w:t>质押券代码</w:t>
            </w:r>
          </w:p>
        </w:tc>
        <w:tc>
          <w:tcPr>
            <w:tcW w:w="4406" w:type="dxa"/>
          </w:tcPr>
          <w:p w14:paraId="5AF4A1CC">
            <w:pPr>
              <w:adjustRightInd w:val="0"/>
              <w:snapToGrid w:val="0"/>
              <w:rPr>
                <w:rFonts w:ascii="仿宋_GB2312" w:eastAsia="仿宋_GB2312"/>
                <w:kern w:val="0"/>
                <w:sz w:val="24"/>
                <w:szCs w:val="24"/>
              </w:rPr>
            </w:pPr>
            <w:r>
              <w:rPr>
                <w:rFonts w:hint="eastAsia" w:ascii="仿宋_GB2312" w:eastAsia="仿宋_GB2312"/>
                <w:kern w:val="0"/>
                <w:sz w:val="24"/>
                <w:szCs w:val="24"/>
              </w:rPr>
              <w:t>质押债券</w:t>
            </w:r>
            <w:r>
              <w:rPr>
                <w:rFonts w:hint="eastAsia" w:ascii="仿宋_GB2312" w:eastAsia="仿宋_GB2312"/>
                <w:kern w:val="0"/>
                <w:sz w:val="24"/>
                <w:szCs w:val="24"/>
                <w:lang w:val="en-US" w:eastAsia="zh-CN"/>
              </w:rPr>
              <w:t>/基金</w:t>
            </w:r>
            <w:r>
              <w:rPr>
                <w:rFonts w:hint="eastAsia" w:ascii="仿宋_GB2312" w:eastAsia="仿宋_GB2312"/>
                <w:kern w:val="0"/>
                <w:sz w:val="24"/>
                <w:szCs w:val="24"/>
              </w:rPr>
              <w:t>的代码</w:t>
            </w:r>
          </w:p>
        </w:tc>
      </w:tr>
      <w:tr w14:paraId="7DF4B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979" w:type="dxa"/>
          </w:tcPr>
          <w:p w14:paraId="12BFD322">
            <w:pPr>
              <w:adjustRightInd w:val="0"/>
              <w:snapToGrid w:val="0"/>
              <w:rPr>
                <w:rFonts w:ascii="仿宋_GB2312" w:eastAsia="仿宋_GB2312"/>
                <w:b/>
                <w:kern w:val="0"/>
                <w:sz w:val="24"/>
                <w:szCs w:val="24"/>
              </w:rPr>
            </w:pPr>
            <w:r>
              <w:rPr>
                <w:rFonts w:hint="eastAsia" w:ascii="仿宋_GB2312" w:eastAsia="仿宋_GB2312"/>
                <w:b/>
                <w:kern w:val="0"/>
                <w:sz w:val="24"/>
                <w:szCs w:val="24"/>
              </w:rPr>
              <w:t>质押券简称</w:t>
            </w:r>
          </w:p>
        </w:tc>
        <w:tc>
          <w:tcPr>
            <w:tcW w:w="4406" w:type="dxa"/>
          </w:tcPr>
          <w:p w14:paraId="1A0067BE">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根据质押券代码</w:t>
            </w:r>
            <w:r>
              <w:rPr>
                <w:rFonts w:hint="eastAsia" w:ascii="仿宋_GB2312" w:eastAsia="仿宋_GB2312"/>
                <w:kern w:val="0"/>
                <w:sz w:val="24"/>
                <w:szCs w:val="24"/>
              </w:rPr>
              <w:t>自动显示</w:t>
            </w:r>
          </w:p>
        </w:tc>
      </w:tr>
      <w:tr w14:paraId="25314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9" w:type="dxa"/>
          </w:tcPr>
          <w:p w14:paraId="682A96B9">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份额类型</w:t>
            </w:r>
          </w:p>
        </w:tc>
        <w:tc>
          <w:tcPr>
            <w:tcW w:w="4406" w:type="dxa"/>
          </w:tcPr>
          <w:p w14:paraId="7706F0CC">
            <w:pPr>
              <w:adjustRightInd w:val="0"/>
              <w:snapToGrid w:val="0"/>
              <w:rPr>
                <w:rFonts w:hint="eastAsia" w:ascii="仿宋_GB2312" w:eastAsia="仿宋_GB2312"/>
                <w:kern w:val="0"/>
                <w:sz w:val="24"/>
                <w:szCs w:val="24"/>
              </w:rPr>
            </w:pPr>
            <w:r>
              <w:rPr>
                <w:rFonts w:hint="eastAsia" w:ascii="仿宋_GB2312" w:eastAsia="仿宋_GB2312"/>
                <w:kern w:val="0"/>
                <w:sz w:val="24"/>
                <w:szCs w:val="24"/>
              </w:rPr>
              <w:t>可选“限售”或“非限售”，仅对公募REITs有效</w:t>
            </w:r>
            <w:r>
              <w:rPr>
                <w:rFonts w:hint="eastAsia" w:ascii="仿宋_GB2312" w:eastAsia="仿宋_GB2312"/>
                <w:kern w:val="0"/>
                <w:sz w:val="24"/>
                <w:szCs w:val="24"/>
                <w:lang w:eastAsia="zh-CN"/>
              </w:rPr>
              <w:t>，</w:t>
            </w:r>
            <w:r>
              <w:rPr>
                <w:rFonts w:hint="eastAsia" w:ascii="仿宋_GB2312" w:eastAsia="仿宋_GB2312"/>
                <w:kern w:val="0"/>
                <w:sz w:val="24"/>
                <w:szCs w:val="24"/>
              </w:rPr>
              <w:t>否则隐藏</w:t>
            </w:r>
          </w:p>
        </w:tc>
      </w:tr>
      <w:tr w14:paraId="56EC8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9" w:type="dxa"/>
          </w:tcPr>
          <w:p w14:paraId="00A4BE7D">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限售期</w:t>
            </w:r>
          </w:p>
        </w:tc>
        <w:tc>
          <w:tcPr>
            <w:tcW w:w="4406" w:type="dxa"/>
          </w:tcPr>
          <w:p w14:paraId="6AE97348">
            <w:pPr>
              <w:adjustRightInd w:val="0"/>
              <w:snapToGrid w:val="0"/>
              <w:rPr>
                <w:rFonts w:hint="eastAsia" w:ascii="仿宋_GB2312" w:eastAsia="仿宋_GB2312"/>
                <w:kern w:val="0"/>
                <w:sz w:val="24"/>
                <w:szCs w:val="24"/>
              </w:rPr>
            </w:pPr>
            <w:r>
              <w:rPr>
                <w:rFonts w:hint="eastAsia" w:ascii="仿宋_GB2312" w:eastAsia="仿宋_GB2312"/>
                <w:color w:val="auto"/>
                <w:kern w:val="0"/>
                <w:sz w:val="24"/>
                <w:szCs w:val="24"/>
                <w:lang w:eastAsia="zh-CN"/>
              </w:rPr>
              <w:t>单位：月，</w:t>
            </w:r>
            <w:r>
              <w:rPr>
                <w:rFonts w:hint="eastAsia" w:ascii="仿宋_GB2312" w:eastAsia="仿宋_GB2312"/>
                <w:kern w:val="0"/>
                <w:sz w:val="24"/>
                <w:szCs w:val="24"/>
              </w:rPr>
              <w:t>如质押券选择REITs且为限售份额时必填，否则隐藏</w:t>
            </w:r>
            <w:r>
              <w:rPr>
                <w:rFonts w:hint="eastAsia" w:ascii="仿宋_GB2312" w:eastAsia="仿宋_GB2312"/>
                <w:kern w:val="0"/>
                <w:sz w:val="24"/>
                <w:szCs w:val="24"/>
                <w:lang w:eastAsia="zh-CN"/>
              </w:rPr>
              <w:t>，</w:t>
            </w:r>
            <w:r>
              <w:rPr>
                <w:rFonts w:hint="eastAsia" w:ascii="仿宋_GB2312" w:eastAsia="仿宋_GB2312"/>
                <w:kern w:val="0"/>
                <w:sz w:val="24"/>
                <w:szCs w:val="24"/>
              </w:rPr>
              <w:t>填写初始登记或扩募登记时中国结算提供的“挂牌年份”信息</w:t>
            </w:r>
          </w:p>
        </w:tc>
      </w:tr>
      <w:tr w14:paraId="0D471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9" w:type="dxa"/>
          </w:tcPr>
          <w:p w14:paraId="501C572D">
            <w:pPr>
              <w:adjustRightInd w:val="0"/>
              <w:snapToGrid w:val="0"/>
              <w:rPr>
                <w:rFonts w:ascii="仿宋_GB2312" w:eastAsia="仿宋_GB2312"/>
                <w:b/>
                <w:kern w:val="0"/>
                <w:sz w:val="24"/>
                <w:szCs w:val="24"/>
              </w:rPr>
            </w:pPr>
            <w:r>
              <w:rPr>
                <w:rFonts w:hint="eastAsia" w:ascii="仿宋_GB2312" w:eastAsia="仿宋_GB2312"/>
                <w:b/>
                <w:kern w:val="0"/>
                <w:sz w:val="24"/>
                <w:szCs w:val="24"/>
              </w:rPr>
              <w:t>数量</w:t>
            </w:r>
          </w:p>
        </w:tc>
        <w:tc>
          <w:tcPr>
            <w:tcW w:w="4406" w:type="dxa"/>
          </w:tcPr>
          <w:p w14:paraId="4C7945B3">
            <w:pPr>
              <w:adjustRightInd w:val="0"/>
              <w:snapToGrid w:val="0"/>
              <w:rPr>
                <w:rFonts w:ascii="仿宋_GB2312" w:eastAsia="仿宋_GB2312"/>
                <w:kern w:val="0"/>
                <w:sz w:val="24"/>
                <w:szCs w:val="24"/>
              </w:rPr>
            </w:pPr>
            <w:r>
              <w:rPr>
                <w:rFonts w:hint="eastAsia" w:ascii="仿宋_GB2312" w:eastAsia="仿宋_GB2312"/>
                <w:kern w:val="0"/>
                <w:sz w:val="24"/>
                <w:szCs w:val="24"/>
              </w:rPr>
              <w:t>质押券数量，以千元面额</w:t>
            </w:r>
            <w:r>
              <w:rPr>
                <w:rFonts w:hint="eastAsia" w:ascii="仿宋_GB2312" w:eastAsia="仿宋_GB2312"/>
                <w:kern w:val="0"/>
                <w:sz w:val="24"/>
                <w:szCs w:val="24"/>
                <w:lang w:val="en-US" w:eastAsia="zh-CN"/>
              </w:rPr>
              <w:t>/份</w:t>
            </w:r>
            <w:r>
              <w:rPr>
                <w:rFonts w:hint="eastAsia" w:ascii="仿宋_GB2312" w:eastAsia="仿宋_GB2312"/>
                <w:kern w:val="0"/>
                <w:sz w:val="24"/>
                <w:szCs w:val="24"/>
              </w:rPr>
              <w:t>为单位</w:t>
            </w:r>
          </w:p>
        </w:tc>
      </w:tr>
      <w:tr w14:paraId="3ECF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979" w:type="dxa"/>
          </w:tcPr>
          <w:p w14:paraId="182187A8">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面值总额</w:t>
            </w:r>
          </w:p>
        </w:tc>
        <w:tc>
          <w:tcPr>
            <w:tcW w:w="4406" w:type="dxa"/>
          </w:tcPr>
          <w:p w14:paraId="071124AE">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单位：元，自动计算带出，基金：质押券数量*竞价前收盘价，现券：质押券数量*10*单张质押券面值</w:t>
            </w:r>
          </w:p>
        </w:tc>
      </w:tr>
      <w:tr w14:paraId="79255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9" w:type="dxa"/>
          </w:tcPr>
          <w:p w14:paraId="5F4F117C">
            <w:pPr>
              <w:adjustRightInd w:val="0"/>
              <w:snapToGrid w:val="0"/>
              <w:rPr>
                <w:rFonts w:ascii="仿宋_GB2312" w:eastAsia="仿宋_GB2312"/>
                <w:b/>
                <w:kern w:val="0"/>
                <w:sz w:val="24"/>
                <w:szCs w:val="24"/>
              </w:rPr>
            </w:pPr>
            <w:r>
              <w:rPr>
                <w:rFonts w:hint="eastAsia" w:ascii="仿宋_GB2312" w:eastAsia="仿宋_GB2312"/>
                <w:b/>
                <w:kern w:val="0"/>
                <w:sz w:val="24"/>
                <w:szCs w:val="24"/>
              </w:rPr>
              <w:t>折算比例</w:t>
            </w:r>
          </w:p>
        </w:tc>
        <w:tc>
          <w:tcPr>
            <w:tcW w:w="4406" w:type="dxa"/>
          </w:tcPr>
          <w:p w14:paraId="4028075A">
            <w:pPr>
              <w:adjustRightInd w:val="0"/>
              <w:snapToGrid w:val="0"/>
              <w:rPr>
                <w:rFonts w:ascii="仿宋_GB2312" w:eastAsia="仿宋_GB2312"/>
                <w:kern w:val="0"/>
                <w:sz w:val="24"/>
                <w:szCs w:val="24"/>
              </w:rPr>
            </w:pPr>
            <w:r>
              <w:rPr>
                <w:rFonts w:hint="eastAsia" w:ascii="仿宋_GB2312" w:eastAsia="仿宋_GB2312"/>
                <w:kern w:val="0"/>
                <w:sz w:val="24"/>
                <w:szCs w:val="24"/>
              </w:rPr>
              <w:t>成交金额/</w:t>
            </w:r>
            <w:r>
              <w:rPr>
                <w:rFonts w:hint="eastAsia" w:ascii="仿宋_GB2312" w:eastAsia="仿宋_GB2312"/>
                <w:kern w:val="0"/>
                <w:sz w:val="24"/>
                <w:szCs w:val="24"/>
                <w:lang w:eastAsia="zh-CN"/>
              </w:rPr>
              <w:t>面值总</w:t>
            </w:r>
            <w:r>
              <w:rPr>
                <w:rFonts w:hint="eastAsia" w:ascii="仿宋_GB2312" w:eastAsia="仿宋_GB2312"/>
                <w:kern w:val="0"/>
                <w:sz w:val="24"/>
                <w:szCs w:val="24"/>
              </w:rPr>
              <w:t>额</w:t>
            </w:r>
            <w:r>
              <w:rPr>
                <w:rFonts w:ascii="仿宋_GB2312" w:eastAsia="仿宋_GB2312"/>
                <w:kern w:val="0"/>
                <w:sz w:val="24"/>
                <w:szCs w:val="24"/>
              </w:rPr>
              <w:t>*100%</w:t>
            </w:r>
          </w:p>
        </w:tc>
      </w:tr>
      <w:tr w14:paraId="1C6E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3979" w:type="dxa"/>
          </w:tcPr>
          <w:p w14:paraId="38B861EE">
            <w:pPr>
              <w:adjustRightInd w:val="0"/>
              <w:snapToGrid w:val="0"/>
              <w:rPr>
                <w:rFonts w:ascii="仿宋_GB2312" w:eastAsia="仿宋_GB2312"/>
                <w:b/>
                <w:kern w:val="0"/>
                <w:sz w:val="24"/>
                <w:szCs w:val="24"/>
              </w:rPr>
            </w:pPr>
            <w:r>
              <w:rPr>
                <w:rFonts w:hint="eastAsia" w:ascii="仿宋_GB2312" w:eastAsia="仿宋_GB2312"/>
                <w:b/>
                <w:kern w:val="0"/>
                <w:sz w:val="24"/>
                <w:szCs w:val="24"/>
              </w:rPr>
              <w:t>成交金额</w:t>
            </w:r>
          </w:p>
        </w:tc>
        <w:tc>
          <w:tcPr>
            <w:tcW w:w="4406" w:type="dxa"/>
          </w:tcPr>
          <w:p w14:paraId="46CE2FC2">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单位：元，</w:t>
            </w:r>
            <w:r>
              <w:rPr>
                <w:rFonts w:hint="eastAsia" w:ascii="仿宋_GB2312" w:eastAsia="仿宋_GB2312"/>
                <w:kern w:val="0"/>
                <w:sz w:val="24"/>
                <w:szCs w:val="24"/>
              </w:rPr>
              <w:t>正回购方融入的资金额度</w:t>
            </w:r>
            <w:r>
              <w:rPr>
                <w:rFonts w:hint="eastAsia" w:ascii="仿宋_GB2312" w:eastAsia="仿宋_GB2312"/>
                <w:kern w:val="0"/>
                <w:sz w:val="24"/>
                <w:szCs w:val="24"/>
                <w:lang w:eastAsia="zh-CN"/>
              </w:rPr>
              <w:t>，成交金额与折算比例自动互算，成交金额</w:t>
            </w:r>
            <w:r>
              <w:rPr>
                <w:rFonts w:hint="eastAsia" w:ascii="仿宋_GB2312" w:eastAsia="仿宋_GB2312"/>
                <w:kern w:val="0"/>
                <w:sz w:val="24"/>
                <w:szCs w:val="24"/>
                <w:lang w:val="en-US" w:eastAsia="zh-CN"/>
              </w:rPr>
              <w:t>=</w:t>
            </w:r>
            <w:r>
              <w:rPr>
                <w:rFonts w:hint="eastAsia" w:ascii="仿宋_GB2312" w:eastAsia="仿宋_GB2312"/>
                <w:kern w:val="0"/>
                <w:sz w:val="24"/>
                <w:szCs w:val="24"/>
                <w:lang w:eastAsia="zh-CN"/>
              </w:rPr>
              <w:t>面值总额*折算比例/100</w:t>
            </w:r>
          </w:p>
        </w:tc>
      </w:tr>
      <w:tr w14:paraId="2B64D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3979" w:type="dxa"/>
          </w:tcPr>
          <w:p w14:paraId="6A171D7D">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预估回购利息</w:t>
            </w:r>
          </w:p>
        </w:tc>
        <w:tc>
          <w:tcPr>
            <w:tcW w:w="4406" w:type="dxa"/>
          </w:tcPr>
          <w:p w14:paraId="682F1384">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单位：元，回购利息=成交金额×回购利率×实际占款天数/365，自动计算带出</w:t>
            </w:r>
          </w:p>
        </w:tc>
      </w:tr>
      <w:tr w14:paraId="0530D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9" w:type="dxa"/>
          </w:tcPr>
          <w:p w14:paraId="23B48E80">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预估到期结算金额</w:t>
            </w:r>
          </w:p>
        </w:tc>
        <w:tc>
          <w:tcPr>
            <w:tcW w:w="4406" w:type="dxa"/>
          </w:tcPr>
          <w:p w14:paraId="0D63DA3F">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单位：元，到期结算金额=成交金额+回购利息，自动计算带出</w:t>
            </w:r>
          </w:p>
        </w:tc>
      </w:tr>
      <w:tr w14:paraId="7F95B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9" w:type="dxa"/>
          </w:tcPr>
          <w:p w14:paraId="701A790F">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面值总额</w:t>
            </w:r>
            <w:r>
              <w:rPr>
                <w:rFonts w:hint="eastAsia" w:ascii="仿宋_GB2312" w:eastAsia="仿宋_GB2312"/>
                <w:b/>
                <w:kern w:val="0"/>
                <w:sz w:val="24"/>
                <w:szCs w:val="24"/>
              </w:rPr>
              <w:t>合计</w:t>
            </w:r>
          </w:p>
        </w:tc>
        <w:tc>
          <w:tcPr>
            <w:tcW w:w="4406" w:type="dxa"/>
          </w:tcPr>
          <w:p w14:paraId="594FAA95">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单位：元，</w:t>
            </w:r>
            <w:r>
              <w:rPr>
                <w:rFonts w:hint="eastAsia" w:ascii="仿宋_GB2312" w:eastAsia="仿宋_GB2312"/>
                <w:kern w:val="0"/>
                <w:sz w:val="24"/>
                <w:szCs w:val="24"/>
              </w:rPr>
              <w:t>多券申报</w:t>
            </w:r>
            <w:r>
              <w:rPr>
                <w:rFonts w:hint="eastAsia" w:ascii="仿宋_GB2312" w:eastAsia="仿宋_GB2312"/>
                <w:kern w:val="0"/>
                <w:sz w:val="24"/>
                <w:szCs w:val="24"/>
                <w:lang w:eastAsia="zh-CN"/>
              </w:rPr>
              <w:t>面值总额之和</w:t>
            </w:r>
            <w:r>
              <w:rPr>
                <w:rFonts w:hint="eastAsia" w:ascii="仿宋_GB2312" w:eastAsia="仿宋_GB2312"/>
                <w:kern w:val="0"/>
                <w:sz w:val="24"/>
                <w:szCs w:val="24"/>
              </w:rPr>
              <w:t>，自动显示</w:t>
            </w:r>
          </w:p>
        </w:tc>
      </w:tr>
      <w:tr w14:paraId="370F0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9" w:type="dxa"/>
          </w:tcPr>
          <w:p w14:paraId="0FBBED3F">
            <w:pPr>
              <w:adjustRightInd w:val="0"/>
              <w:snapToGrid w:val="0"/>
              <w:rPr>
                <w:rFonts w:ascii="仿宋_GB2312" w:eastAsia="仿宋_GB2312"/>
                <w:b/>
                <w:kern w:val="0"/>
                <w:sz w:val="24"/>
                <w:szCs w:val="24"/>
              </w:rPr>
            </w:pPr>
            <w:r>
              <w:rPr>
                <w:rFonts w:hint="eastAsia" w:ascii="仿宋_GB2312" w:eastAsia="仿宋_GB2312"/>
                <w:b/>
                <w:kern w:val="0"/>
                <w:sz w:val="24"/>
                <w:szCs w:val="24"/>
              </w:rPr>
              <w:t>成交金额合计</w:t>
            </w:r>
          </w:p>
        </w:tc>
        <w:tc>
          <w:tcPr>
            <w:tcW w:w="4406" w:type="dxa"/>
          </w:tcPr>
          <w:p w14:paraId="7807F8F7">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单位：元，</w:t>
            </w:r>
            <w:r>
              <w:rPr>
                <w:rFonts w:hint="eastAsia" w:ascii="仿宋_GB2312" w:eastAsia="仿宋_GB2312"/>
                <w:kern w:val="0"/>
                <w:sz w:val="24"/>
                <w:szCs w:val="24"/>
              </w:rPr>
              <w:t>多券申报</w:t>
            </w:r>
            <w:r>
              <w:rPr>
                <w:rFonts w:hint="eastAsia" w:ascii="仿宋_GB2312" w:eastAsia="仿宋_GB2312"/>
                <w:kern w:val="0"/>
                <w:sz w:val="24"/>
                <w:szCs w:val="24"/>
                <w:lang w:eastAsia="zh-CN"/>
              </w:rPr>
              <w:t>成交金额之和</w:t>
            </w:r>
            <w:r>
              <w:rPr>
                <w:rFonts w:hint="eastAsia" w:ascii="仿宋_GB2312" w:eastAsia="仿宋_GB2312"/>
                <w:kern w:val="0"/>
                <w:sz w:val="24"/>
                <w:szCs w:val="24"/>
              </w:rPr>
              <w:t>，自动显示</w:t>
            </w:r>
          </w:p>
        </w:tc>
      </w:tr>
      <w:tr w14:paraId="429BC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9" w:type="dxa"/>
          </w:tcPr>
          <w:p w14:paraId="0529E58E">
            <w:pPr>
              <w:adjustRightInd w:val="0"/>
              <w:snapToGrid w:val="0"/>
              <w:rPr>
                <w:rFonts w:ascii="仿宋_GB2312" w:eastAsia="仿宋_GB2312"/>
                <w:b/>
                <w:kern w:val="0"/>
                <w:sz w:val="24"/>
                <w:szCs w:val="24"/>
              </w:rPr>
            </w:pPr>
            <w:r>
              <w:rPr>
                <w:rFonts w:hint="eastAsia" w:ascii="仿宋_GB2312" w:eastAsia="仿宋_GB2312"/>
                <w:b/>
                <w:kern w:val="0"/>
                <w:sz w:val="24"/>
                <w:szCs w:val="24"/>
              </w:rPr>
              <w:t>回购利息合计</w:t>
            </w:r>
          </w:p>
        </w:tc>
        <w:tc>
          <w:tcPr>
            <w:tcW w:w="4406" w:type="dxa"/>
          </w:tcPr>
          <w:p w14:paraId="4627307C">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单位：元，</w:t>
            </w:r>
            <w:r>
              <w:rPr>
                <w:rFonts w:hint="eastAsia" w:ascii="仿宋_GB2312" w:eastAsia="仿宋_GB2312"/>
                <w:kern w:val="0"/>
                <w:sz w:val="24"/>
                <w:szCs w:val="24"/>
              </w:rPr>
              <w:t>多券申报</w:t>
            </w:r>
            <w:r>
              <w:rPr>
                <w:rFonts w:hint="eastAsia" w:ascii="仿宋_GB2312" w:eastAsia="仿宋_GB2312"/>
                <w:kern w:val="0"/>
                <w:sz w:val="24"/>
                <w:szCs w:val="24"/>
                <w:lang w:eastAsia="zh-CN"/>
              </w:rPr>
              <w:t>回购利息之和</w:t>
            </w:r>
            <w:r>
              <w:rPr>
                <w:rFonts w:hint="eastAsia" w:ascii="仿宋_GB2312" w:eastAsia="仿宋_GB2312"/>
                <w:kern w:val="0"/>
                <w:sz w:val="24"/>
                <w:szCs w:val="24"/>
              </w:rPr>
              <w:t>，自动显示</w:t>
            </w:r>
          </w:p>
        </w:tc>
      </w:tr>
      <w:tr w14:paraId="6FF60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9" w:type="dxa"/>
          </w:tcPr>
          <w:p w14:paraId="36E03FDF">
            <w:pPr>
              <w:adjustRightInd w:val="0"/>
              <w:snapToGrid w:val="0"/>
              <w:rPr>
                <w:rFonts w:ascii="仿宋_GB2312" w:eastAsia="仿宋_GB2312"/>
                <w:b/>
                <w:kern w:val="0"/>
                <w:sz w:val="24"/>
                <w:szCs w:val="24"/>
              </w:rPr>
            </w:pPr>
            <w:r>
              <w:rPr>
                <w:rFonts w:hint="eastAsia" w:ascii="仿宋_GB2312" w:eastAsia="仿宋_GB2312"/>
                <w:b/>
                <w:kern w:val="0"/>
                <w:sz w:val="24"/>
                <w:szCs w:val="24"/>
              </w:rPr>
              <w:t>到期结算金额合计</w:t>
            </w:r>
          </w:p>
        </w:tc>
        <w:tc>
          <w:tcPr>
            <w:tcW w:w="4406" w:type="dxa"/>
          </w:tcPr>
          <w:p w14:paraId="37F41206">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单位：元，</w:t>
            </w:r>
            <w:r>
              <w:rPr>
                <w:rFonts w:hint="eastAsia" w:ascii="仿宋_GB2312" w:eastAsia="仿宋_GB2312"/>
                <w:kern w:val="0"/>
                <w:sz w:val="24"/>
                <w:szCs w:val="24"/>
              </w:rPr>
              <w:t>多券申报</w:t>
            </w:r>
            <w:r>
              <w:rPr>
                <w:rFonts w:hint="eastAsia" w:ascii="仿宋_GB2312" w:eastAsia="仿宋_GB2312"/>
                <w:kern w:val="0"/>
                <w:sz w:val="24"/>
                <w:szCs w:val="24"/>
                <w:lang w:eastAsia="zh-CN"/>
              </w:rPr>
              <w:t>到期结算金额之和</w:t>
            </w:r>
            <w:r>
              <w:rPr>
                <w:rFonts w:hint="eastAsia" w:ascii="仿宋_GB2312" w:eastAsia="仿宋_GB2312"/>
                <w:kern w:val="0"/>
                <w:sz w:val="24"/>
                <w:szCs w:val="24"/>
              </w:rPr>
              <w:t>，自动显示</w:t>
            </w:r>
          </w:p>
        </w:tc>
      </w:tr>
    </w:tbl>
    <w:p w14:paraId="6BCF1809">
      <w:pPr>
        <w:spacing w:line="600" w:lineRule="exact"/>
        <w:ind w:left="567"/>
        <w:outlineLvl w:val="3"/>
        <w:rPr>
          <w:rFonts w:ascii="仿宋_GB2312" w:eastAsia="仿宋_GB2312"/>
          <w:b/>
          <w:sz w:val="30"/>
          <w:szCs w:val="30"/>
        </w:rPr>
      </w:pPr>
      <w:r>
        <w:rPr>
          <w:rFonts w:hint="eastAsia" w:ascii="仿宋_GB2312" w:eastAsia="仿宋_GB2312"/>
          <w:b/>
          <w:sz w:val="30"/>
          <w:szCs w:val="30"/>
        </w:rPr>
        <w:t>（3）出入库效率</w:t>
      </w:r>
    </w:p>
    <w:p w14:paraId="2EE976DF">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正回购方当日买入的债券，属于非净额结算券种的，当日可以作为协议回购的质押券；属于净额结算券种的，当日不得作为协议回购的质押券。正回购方已经申报用于协议回购的质押券，属于净额结算券种的，当日不得申报卖出。</w:t>
      </w:r>
    </w:p>
    <w:p w14:paraId="6C5BEB92">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正回购方可以通过成交申报批量提交多个质押券，经逆回购方确认申报后，</w:t>
      </w:r>
      <w:r>
        <w:rPr>
          <w:rFonts w:hint="eastAsia" w:ascii="仿宋_GB2312" w:hAnsi="Calibri" w:eastAsia="仿宋_GB2312"/>
          <w:sz w:val="30"/>
          <w:szCs w:val="30"/>
          <w:lang w:eastAsia="zh-CN"/>
        </w:rPr>
        <w:t>新固定收益系统</w:t>
      </w:r>
      <w:r>
        <w:rPr>
          <w:rFonts w:hint="eastAsia" w:ascii="仿宋_GB2312" w:hAnsi="Calibri" w:eastAsia="仿宋_GB2312"/>
          <w:sz w:val="30"/>
          <w:szCs w:val="30"/>
        </w:rPr>
        <w:t>按质押券分拆逐笔成交。</w:t>
      </w:r>
    </w:p>
    <w:p w14:paraId="1A4F5FFD">
      <w:pPr>
        <w:spacing w:line="600" w:lineRule="exact"/>
        <w:ind w:left="567"/>
        <w:outlineLvl w:val="3"/>
        <w:rPr>
          <w:rFonts w:ascii="仿宋_GB2312" w:eastAsia="仿宋_GB2312"/>
          <w:b/>
          <w:sz w:val="30"/>
          <w:szCs w:val="30"/>
        </w:rPr>
      </w:pPr>
      <w:r>
        <w:rPr>
          <w:rFonts w:hint="eastAsia" w:ascii="仿宋_GB2312" w:eastAsia="仿宋_GB2312"/>
          <w:b/>
          <w:sz w:val="30"/>
          <w:szCs w:val="30"/>
        </w:rPr>
        <w:t>（4）到期处理</w:t>
      </w:r>
    </w:p>
    <w:p w14:paraId="4C607E50">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协议回购到期结算日，正回购方应当通过</w:t>
      </w:r>
      <w:r>
        <w:rPr>
          <w:rFonts w:hint="eastAsia" w:ascii="仿宋_GB2312" w:hAnsi="Calibri" w:eastAsia="仿宋_GB2312"/>
          <w:sz w:val="30"/>
          <w:szCs w:val="30"/>
          <w:lang w:eastAsia="zh-CN"/>
        </w:rPr>
        <w:t>新固定收益系统</w:t>
      </w:r>
      <w:r>
        <w:rPr>
          <w:rFonts w:hint="eastAsia" w:ascii="仿宋_GB2312" w:hAnsi="Calibri" w:eastAsia="仿宋_GB2312"/>
          <w:sz w:val="30"/>
          <w:szCs w:val="30"/>
        </w:rPr>
        <w:t>进行到期确认申报或者到期续做申报。</w:t>
      </w:r>
    </w:p>
    <w:p w14:paraId="613B4B4D">
      <w:pPr>
        <w:spacing w:line="600" w:lineRule="exact"/>
        <w:ind w:left="567"/>
        <w:outlineLvl w:val="9"/>
        <w:rPr>
          <w:rFonts w:ascii="仿宋_GB2312" w:hAnsi="黑体" w:eastAsia="仿宋_GB2312"/>
          <w:b/>
          <w:sz w:val="30"/>
          <w:szCs w:val="30"/>
        </w:rPr>
      </w:pPr>
      <w:r>
        <w:rPr>
          <w:rFonts w:hint="eastAsia" w:ascii="仿宋_GB2312" w:hAnsi="黑体" w:eastAsia="仿宋_GB2312"/>
          <w:b/>
          <w:sz w:val="30"/>
          <w:szCs w:val="30"/>
        </w:rPr>
        <w:t>1）</w:t>
      </w:r>
      <w:r>
        <w:rPr>
          <w:rFonts w:hint="eastAsia" w:ascii="仿宋_GB2312" w:eastAsia="仿宋_GB2312"/>
          <w:b/>
          <w:sz w:val="30"/>
          <w:szCs w:val="30"/>
        </w:rPr>
        <w:t>到期确认申报</w:t>
      </w:r>
    </w:p>
    <w:p w14:paraId="47187D63">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到期确认申报是指正回购方确认履行到期回购义务的申报。到期确认申报由正回购方发起，</w:t>
      </w:r>
      <w:r>
        <w:rPr>
          <w:rFonts w:hint="eastAsia" w:ascii="仿宋_GB2312" w:hAnsi="Calibri" w:eastAsia="仿宋_GB2312"/>
          <w:sz w:val="30"/>
          <w:szCs w:val="30"/>
          <w:lang w:eastAsia="zh-CN"/>
        </w:rPr>
        <w:t>新固定收益系统</w:t>
      </w:r>
      <w:r>
        <w:rPr>
          <w:rFonts w:hint="eastAsia" w:ascii="仿宋_GB2312" w:hAnsi="Calibri" w:eastAsia="仿宋_GB2312"/>
          <w:sz w:val="30"/>
          <w:szCs w:val="30"/>
        </w:rPr>
        <w:t>予以确认，逆回购方无需进行确认申报。</w:t>
      </w:r>
    </w:p>
    <w:p w14:paraId="2146FBFA">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到期确认申报</w:t>
      </w:r>
      <w:r>
        <w:rPr>
          <w:rFonts w:hint="eastAsia" w:ascii="仿宋_GB2312" w:hAnsi="Calibri" w:eastAsia="仿宋_GB2312"/>
          <w:sz w:val="30"/>
          <w:szCs w:val="30"/>
          <w:lang w:eastAsia="zh-CN"/>
        </w:rPr>
        <w:t>自动带出原合约申报信息，以及正回购方交易单元、逆回购方一债通账户、逆回购方交易员、到期结算日、实际占款天数、回购利息、到期结算金额要素，由</w:t>
      </w:r>
      <w:r>
        <w:rPr>
          <w:rFonts w:hint="eastAsia" w:ascii="仿宋_GB2312" w:hAnsi="Calibri" w:eastAsia="仿宋_GB2312"/>
          <w:sz w:val="30"/>
          <w:szCs w:val="30"/>
        </w:rPr>
        <w:t>正回购方</w:t>
      </w:r>
      <w:r>
        <w:rPr>
          <w:rFonts w:hint="eastAsia" w:ascii="仿宋_GB2312" w:hAnsi="Calibri" w:eastAsia="仿宋_GB2312"/>
          <w:sz w:val="30"/>
          <w:szCs w:val="30"/>
          <w:lang w:eastAsia="zh-CN"/>
        </w:rPr>
        <w:t>确认后提交。</w:t>
      </w:r>
    </w:p>
    <w:p w14:paraId="780F265B">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到期回购的质押券解除质押登记后，属于净额结算券种的，当日不可通过净额结算以及RTGS结算方式卖出；不属于净额结算券种的，当日可卖出。</w:t>
      </w:r>
    </w:p>
    <w:p w14:paraId="17F44583">
      <w:pPr>
        <w:spacing w:line="600" w:lineRule="exact"/>
        <w:ind w:left="567"/>
        <w:outlineLvl w:val="9"/>
        <w:rPr>
          <w:rFonts w:ascii="仿宋_GB2312" w:hAnsi="黑体" w:eastAsia="仿宋_GB2312"/>
          <w:b/>
          <w:sz w:val="30"/>
          <w:szCs w:val="30"/>
        </w:rPr>
      </w:pPr>
      <w:r>
        <w:rPr>
          <w:rFonts w:hint="eastAsia" w:ascii="仿宋_GB2312" w:hAnsi="黑体" w:eastAsia="仿宋_GB2312"/>
          <w:b/>
          <w:sz w:val="30"/>
          <w:szCs w:val="30"/>
        </w:rPr>
        <w:t>2）</w:t>
      </w:r>
      <w:r>
        <w:rPr>
          <w:rFonts w:hint="eastAsia" w:ascii="仿宋_GB2312" w:eastAsia="仿宋_GB2312"/>
          <w:b/>
          <w:sz w:val="30"/>
          <w:szCs w:val="30"/>
        </w:rPr>
        <w:t>到期续做申报</w:t>
      </w:r>
    </w:p>
    <w:p w14:paraId="17FFFE31">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到期续做申报是指正回购方确认履行到期回购义务，同时使用到期回购的全部质押券进行一笔新的协议回购，并约定在到期回购的质押券解除质押登记后用于新的协议回购。到期续做申报由正回购方发起，经续做逆回购方进行确认申报后，由</w:t>
      </w:r>
      <w:r>
        <w:rPr>
          <w:rFonts w:hint="eastAsia" w:ascii="仿宋_GB2312" w:hAnsi="Calibri" w:eastAsia="仿宋_GB2312"/>
          <w:sz w:val="30"/>
          <w:szCs w:val="30"/>
          <w:lang w:eastAsia="zh-CN"/>
        </w:rPr>
        <w:t>新固定收益系统</w:t>
      </w:r>
      <w:r>
        <w:rPr>
          <w:rFonts w:hint="eastAsia" w:ascii="仿宋_GB2312" w:hAnsi="Calibri" w:eastAsia="仿宋_GB2312"/>
          <w:sz w:val="30"/>
          <w:szCs w:val="30"/>
        </w:rPr>
        <w:t>确认成交。</w:t>
      </w:r>
    </w:p>
    <w:p w14:paraId="62C72591">
      <w:pPr>
        <w:adjustRightInd w:val="0"/>
        <w:snapToGrid w:val="0"/>
        <w:spacing w:line="600" w:lineRule="exact"/>
        <w:ind w:firstLine="600" w:firstLineChars="200"/>
        <w:rPr>
          <w:rFonts w:ascii="仿宋_GB2312" w:hAnsi="宋体" w:eastAsia="仿宋_GB2312"/>
          <w:sz w:val="30"/>
          <w:szCs w:val="30"/>
        </w:rPr>
      </w:pPr>
      <w:r>
        <w:rPr>
          <w:rFonts w:hint="eastAsia" w:ascii="仿宋_GB2312" w:hAnsi="Calibri" w:eastAsia="仿宋_GB2312"/>
          <w:sz w:val="30"/>
          <w:szCs w:val="30"/>
        </w:rPr>
        <w:t>到期续做申报的</w:t>
      </w:r>
      <w:r>
        <w:rPr>
          <w:rFonts w:hint="eastAsia" w:ascii="仿宋_GB2312" w:hAnsi="宋体" w:eastAsia="仿宋_GB2312"/>
          <w:sz w:val="30"/>
          <w:szCs w:val="30"/>
        </w:rPr>
        <w:t>具体要素及要素说明如下：</w:t>
      </w:r>
    </w:p>
    <w:tbl>
      <w:tblPr>
        <w:tblStyle w:val="43"/>
        <w:tblW w:w="84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6"/>
        <w:gridCol w:w="5732"/>
      </w:tblGrid>
      <w:tr w14:paraId="6951E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39D4CC91">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5732" w:type="dxa"/>
          </w:tcPr>
          <w:p w14:paraId="264EC26B">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2C5D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7BC7B7B2">
            <w:pPr>
              <w:adjustRightInd w:val="0"/>
              <w:snapToGrid w:val="0"/>
              <w:rPr>
                <w:rFonts w:ascii="仿宋_GB2312" w:eastAsia="仿宋_GB2312"/>
                <w:b/>
                <w:kern w:val="0"/>
                <w:sz w:val="24"/>
                <w:szCs w:val="24"/>
              </w:rPr>
            </w:pPr>
            <w:r>
              <w:rPr>
                <w:rFonts w:hint="eastAsia" w:ascii="仿宋_GB2312" w:eastAsia="仿宋_GB2312"/>
                <w:b/>
                <w:kern w:val="0"/>
                <w:sz w:val="24"/>
                <w:szCs w:val="24"/>
              </w:rPr>
              <w:t>原成交编号</w:t>
            </w:r>
          </w:p>
        </w:tc>
        <w:tc>
          <w:tcPr>
            <w:tcW w:w="5732" w:type="dxa"/>
          </w:tcPr>
          <w:p w14:paraId="287BB718">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自动带出</w:t>
            </w:r>
          </w:p>
        </w:tc>
      </w:tr>
      <w:tr w14:paraId="377AD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2965A424">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原回购到期日</w:t>
            </w:r>
          </w:p>
        </w:tc>
        <w:tc>
          <w:tcPr>
            <w:tcW w:w="5732" w:type="dxa"/>
          </w:tcPr>
          <w:p w14:paraId="10F98388">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自动带出</w:t>
            </w:r>
          </w:p>
        </w:tc>
      </w:tr>
      <w:tr w14:paraId="067E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76" w:type="dxa"/>
          </w:tcPr>
          <w:p w14:paraId="78AA00A6">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原到期结算日</w:t>
            </w:r>
          </w:p>
        </w:tc>
        <w:tc>
          <w:tcPr>
            <w:tcW w:w="5732" w:type="dxa"/>
          </w:tcPr>
          <w:p w14:paraId="7EA8C12E">
            <w:pPr>
              <w:adjustRightInd w:val="0"/>
              <w:snapToGrid w:val="0"/>
              <w:rPr>
                <w:rFonts w:hint="eastAsia" w:ascii="仿宋_GB2312" w:eastAsia="仿宋_GB2312"/>
                <w:kern w:val="0"/>
                <w:sz w:val="24"/>
                <w:szCs w:val="24"/>
              </w:rPr>
            </w:pPr>
            <w:r>
              <w:rPr>
                <w:rFonts w:hint="eastAsia" w:ascii="仿宋_GB2312" w:eastAsia="仿宋_GB2312"/>
                <w:kern w:val="0"/>
                <w:sz w:val="24"/>
                <w:szCs w:val="24"/>
                <w:lang w:eastAsia="zh-CN"/>
              </w:rPr>
              <w:t>自动带出</w:t>
            </w:r>
          </w:p>
        </w:tc>
      </w:tr>
      <w:tr w14:paraId="3B2F9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0C02549F">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原回购利息</w:t>
            </w:r>
          </w:p>
        </w:tc>
        <w:tc>
          <w:tcPr>
            <w:tcW w:w="5732" w:type="dxa"/>
          </w:tcPr>
          <w:p w14:paraId="1DD847E4">
            <w:pPr>
              <w:adjustRightInd w:val="0"/>
              <w:snapToGrid w:val="0"/>
              <w:rPr>
                <w:rFonts w:hint="eastAsia" w:ascii="仿宋_GB2312" w:eastAsia="仿宋_GB2312"/>
                <w:kern w:val="0"/>
                <w:sz w:val="24"/>
                <w:szCs w:val="24"/>
              </w:rPr>
            </w:pPr>
            <w:r>
              <w:rPr>
                <w:rFonts w:hint="eastAsia" w:ascii="仿宋_GB2312" w:eastAsia="仿宋_GB2312"/>
                <w:kern w:val="0"/>
                <w:sz w:val="24"/>
                <w:szCs w:val="24"/>
                <w:lang w:eastAsia="zh-CN"/>
              </w:rPr>
              <w:t>自动带出</w:t>
            </w:r>
          </w:p>
        </w:tc>
      </w:tr>
      <w:tr w14:paraId="2CD49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487D9C04">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原回购到期结算金额</w:t>
            </w:r>
          </w:p>
        </w:tc>
        <w:tc>
          <w:tcPr>
            <w:tcW w:w="5732" w:type="dxa"/>
          </w:tcPr>
          <w:p w14:paraId="189B1745">
            <w:pPr>
              <w:adjustRightInd w:val="0"/>
              <w:snapToGrid w:val="0"/>
              <w:rPr>
                <w:rFonts w:hint="eastAsia" w:ascii="仿宋_GB2312" w:eastAsia="仿宋_GB2312"/>
                <w:kern w:val="0"/>
                <w:sz w:val="24"/>
                <w:szCs w:val="24"/>
              </w:rPr>
            </w:pPr>
            <w:r>
              <w:rPr>
                <w:rFonts w:hint="eastAsia" w:ascii="仿宋_GB2312" w:eastAsia="仿宋_GB2312"/>
                <w:kern w:val="0"/>
                <w:sz w:val="24"/>
                <w:szCs w:val="24"/>
                <w:lang w:eastAsia="zh-CN"/>
              </w:rPr>
              <w:t>自动带出</w:t>
            </w:r>
          </w:p>
        </w:tc>
      </w:tr>
      <w:tr w14:paraId="00E02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4EA788DA">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本方</w:t>
            </w:r>
            <w:r>
              <w:rPr>
                <w:rFonts w:hint="eastAsia" w:ascii="仿宋_GB2312" w:eastAsia="仿宋_GB2312"/>
                <w:b/>
                <w:kern w:val="0"/>
                <w:sz w:val="24"/>
                <w:szCs w:val="24"/>
              </w:rPr>
              <w:t>方向</w:t>
            </w:r>
          </w:p>
        </w:tc>
        <w:tc>
          <w:tcPr>
            <w:tcW w:w="5732" w:type="dxa"/>
          </w:tcPr>
          <w:p w14:paraId="7113105F">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自动带出，</w:t>
            </w:r>
            <w:r>
              <w:rPr>
                <w:rFonts w:hint="eastAsia" w:ascii="仿宋_GB2312" w:eastAsia="仿宋_GB2312"/>
                <w:kern w:val="0"/>
                <w:sz w:val="24"/>
                <w:szCs w:val="24"/>
              </w:rPr>
              <w:t>正回购，到期</w:t>
            </w:r>
            <w:r>
              <w:rPr>
                <w:rFonts w:hint="eastAsia" w:ascii="仿宋_GB2312" w:eastAsia="仿宋_GB2312"/>
                <w:kern w:val="0"/>
                <w:sz w:val="24"/>
                <w:szCs w:val="24"/>
                <w:lang w:eastAsia="zh-CN"/>
              </w:rPr>
              <w:t>续做</w:t>
            </w:r>
            <w:r>
              <w:rPr>
                <w:rFonts w:hint="eastAsia" w:ascii="仿宋_GB2312" w:eastAsia="仿宋_GB2312"/>
                <w:kern w:val="0"/>
                <w:sz w:val="24"/>
                <w:szCs w:val="24"/>
              </w:rPr>
              <w:t>申报只能正回购方发起</w:t>
            </w:r>
          </w:p>
        </w:tc>
      </w:tr>
      <w:tr w14:paraId="7C427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76" w:type="dxa"/>
          </w:tcPr>
          <w:p w14:paraId="7D2E94B8">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正回购方</w:t>
            </w:r>
          </w:p>
        </w:tc>
        <w:tc>
          <w:tcPr>
            <w:tcW w:w="5732" w:type="dxa"/>
          </w:tcPr>
          <w:p w14:paraId="5CBED23F">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自动</w:t>
            </w:r>
            <w:r>
              <w:rPr>
                <w:rFonts w:hint="eastAsia" w:ascii="仿宋_GB2312" w:eastAsia="仿宋_GB2312"/>
                <w:kern w:val="0"/>
                <w:sz w:val="24"/>
                <w:szCs w:val="24"/>
                <w:lang w:eastAsia="zh-CN"/>
              </w:rPr>
              <w:t>带出，</w:t>
            </w:r>
            <w:r>
              <w:rPr>
                <w:rFonts w:hint="eastAsia" w:ascii="仿宋_GB2312" w:eastAsia="仿宋_GB2312"/>
                <w:kern w:val="0"/>
                <w:sz w:val="24"/>
                <w:szCs w:val="24"/>
              </w:rPr>
              <w:t>本方债券交易参与人</w:t>
            </w:r>
            <w:r>
              <w:rPr>
                <w:rFonts w:hint="eastAsia" w:ascii="仿宋_GB2312" w:eastAsia="仿宋_GB2312"/>
                <w:kern w:val="0"/>
                <w:sz w:val="24"/>
                <w:szCs w:val="24"/>
                <w:lang w:eastAsia="zh-CN"/>
              </w:rPr>
              <w:t>简</w:t>
            </w:r>
            <w:r>
              <w:rPr>
                <w:rFonts w:hint="eastAsia" w:ascii="仿宋_GB2312" w:eastAsia="仿宋_GB2312"/>
                <w:kern w:val="0"/>
                <w:sz w:val="24"/>
                <w:szCs w:val="24"/>
              </w:rPr>
              <w:t>称</w:t>
            </w:r>
          </w:p>
        </w:tc>
      </w:tr>
      <w:tr w14:paraId="41978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63584B38">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正回购方一债通账户</w:t>
            </w:r>
          </w:p>
        </w:tc>
        <w:tc>
          <w:tcPr>
            <w:tcW w:w="5732" w:type="dxa"/>
          </w:tcPr>
          <w:p w14:paraId="5527BFA2">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自动带出，</w:t>
            </w:r>
            <w:r>
              <w:rPr>
                <w:rFonts w:hint="eastAsia" w:ascii="仿宋_GB2312" w:eastAsia="仿宋_GB2312"/>
                <w:kern w:val="0"/>
                <w:sz w:val="24"/>
                <w:szCs w:val="24"/>
              </w:rPr>
              <w:t>本方交易员</w:t>
            </w:r>
            <w:r>
              <w:rPr>
                <w:rFonts w:hint="eastAsia" w:ascii="仿宋_GB2312" w:eastAsia="仿宋_GB2312"/>
                <w:kern w:val="0"/>
                <w:sz w:val="24"/>
                <w:szCs w:val="24"/>
                <w:lang w:eastAsia="zh-CN"/>
              </w:rPr>
              <w:t>一债通账号</w:t>
            </w:r>
          </w:p>
        </w:tc>
      </w:tr>
      <w:tr w14:paraId="50C19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04F05F32">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正回购方</w:t>
            </w:r>
            <w:r>
              <w:rPr>
                <w:rFonts w:hint="eastAsia" w:ascii="仿宋_GB2312" w:eastAsia="仿宋_GB2312"/>
                <w:b/>
                <w:kern w:val="0"/>
                <w:sz w:val="24"/>
                <w:szCs w:val="24"/>
              </w:rPr>
              <w:t>交易员</w:t>
            </w:r>
          </w:p>
        </w:tc>
        <w:tc>
          <w:tcPr>
            <w:tcW w:w="5732" w:type="dxa"/>
          </w:tcPr>
          <w:p w14:paraId="7C6F8C77">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自动带出，</w:t>
            </w:r>
            <w:r>
              <w:rPr>
                <w:rFonts w:hint="eastAsia" w:ascii="仿宋_GB2312" w:eastAsia="仿宋_GB2312"/>
                <w:kern w:val="0"/>
                <w:sz w:val="24"/>
                <w:szCs w:val="24"/>
              </w:rPr>
              <w:t>本方交易员名称</w:t>
            </w:r>
          </w:p>
        </w:tc>
      </w:tr>
      <w:tr w14:paraId="27AE6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645F514E">
            <w:pPr>
              <w:adjustRightInd w:val="0"/>
              <w:snapToGrid w:val="0"/>
              <w:rPr>
                <w:rFonts w:ascii="仿宋_GB2312" w:eastAsia="仿宋_GB2312"/>
                <w:b/>
                <w:kern w:val="0"/>
                <w:sz w:val="24"/>
                <w:szCs w:val="24"/>
              </w:rPr>
            </w:pPr>
            <w:r>
              <w:rPr>
                <w:rFonts w:hint="eastAsia" w:ascii="仿宋_GB2312" w:eastAsia="仿宋_GB2312"/>
                <w:b/>
                <w:kern w:val="0"/>
                <w:sz w:val="24"/>
                <w:szCs w:val="24"/>
              </w:rPr>
              <w:t>证券账户</w:t>
            </w:r>
          </w:p>
        </w:tc>
        <w:tc>
          <w:tcPr>
            <w:tcW w:w="5732" w:type="dxa"/>
          </w:tcPr>
          <w:p w14:paraId="5C2C386B">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自动带出，</w:t>
            </w:r>
            <w:r>
              <w:rPr>
                <w:rFonts w:hint="eastAsia" w:ascii="仿宋_GB2312" w:eastAsia="仿宋_GB2312"/>
                <w:kern w:val="0"/>
                <w:sz w:val="24"/>
                <w:szCs w:val="24"/>
              </w:rPr>
              <w:t>本方证券账户号码</w:t>
            </w:r>
          </w:p>
        </w:tc>
      </w:tr>
      <w:tr w14:paraId="2B6A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6" w:type="dxa"/>
          </w:tcPr>
          <w:p w14:paraId="7BA8076A">
            <w:pPr>
              <w:adjustRightInd w:val="0"/>
              <w:snapToGrid w:val="0"/>
              <w:rPr>
                <w:rFonts w:ascii="仿宋_GB2312" w:eastAsia="仿宋_GB2312"/>
                <w:b/>
                <w:kern w:val="0"/>
                <w:sz w:val="24"/>
                <w:szCs w:val="24"/>
              </w:rPr>
            </w:pPr>
            <w:r>
              <w:rPr>
                <w:rFonts w:hint="eastAsia" w:ascii="仿宋_GB2312" w:eastAsia="仿宋_GB2312"/>
                <w:b/>
                <w:kern w:val="0"/>
                <w:sz w:val="24"/>
                <w:szCs w:val="24"/>
              </w:rPr>
              <w:t>账户名称</w:t>
            </w:r>
          </w:p>
        </w:tc>
        <w:tc>
          <w:tcPr>
            <w:tcW w:w="5732" w:type="dxa"/>
          </w:tcPr>
          <w:p w14:paraId="1AE50818">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自动带出，</w:t>
            </w:r>
            <w:r>
              <w:rPr>
                <w:rFonts w:hint="eastAsia" w:ascii="仿宋_GB2312" w:eastAsia="仿宋_GB2312"/>
                <w:kern w:val="0"/>
                <w:sz w:val="24"/>
                <w:szCs w:val="24"/>
              </w:rPr>
              <w:t>本方账户名称</w:t>
            </w:r>
          </w:p>
        </w:tc>
      </w:tr>
      <w:tr w14:paraId="7D2B3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29D514F6">
            <w:pPr>
              <w:adjustRightInd w:val="0"/>
              <w:snapToGrid w:val="0"/>
              <w:rPr>
                <w:rFonts w:ascii="仿宋_GB2312" w:eastAsia="仿宋_GB2312"/>
                <w:b/>
                <w:kern w:val="0"/>
                <w:sz w:val="24"/>
                <w:szCs w:val="24"/>
              </w:rPr>
            </w:pPr>
            <w:r>
              <w:rPr>
                <w:rFonts w:hint="eastAsia" w:ascii="仿宋_GB2312" w:eastAsia="仿宋_GB2312"/>
                <w:b/>
                <w:kern w:val="0"/>
                <w:sz w:val="24"/>
                <w:szCs w:val="24"/>
              </w:rPr>
              <w:t>交易单元</w:t>
            </w:r>
          </w:p>
        </w:tc>
        <w:tc>
          <w:tcPr>
            <w:tcW w:w="5732" w:type="dxa"/>
          </w:tcPr>
          <w:p w14:paraId="787FCBA3">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自动带出，本方</w:t>
            </w:r>
            <w:r>
              <w:rPr>
                <w:rFonts w:hint="eastAsia" w:ascii="仿宋_GB2312" w:eastAsia="仿宋_GB2312"/>
                <w:kern w:val="0"/>
                <w:sz w:val="24"/>
                <w:szCs w:val="24"/>
              </w:rPr>
              <w:t>证券账号指定交易单元号</w:t>
            </w:r>
          </w:p>
        </w:tc>
      </w:tr>
      <w:tr w14:paraId="6DBF4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3BA53F9E">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到期续做类型</w:t>
            </w:r>
          </w:p>
        </w:tc>
        <w:tc>
          <w:tcPr>
            <w:tcW w:w="5732" w:type="dxa"/>
          </w:tcPr>
          <w:p w14:paraId="2B0F3D2C">
            <w:pPr>
              <w:adjustRightInd w:val="0"/>
              <w:snapToGrid w:val="0"/>
              <w:rPr>
                <w:rFonts w:hint="default" w:ascii="仿宋_GB2312" w:eastAsia="仿宋_GB2312"/>
                <w:kern w:val="0"/>
                <w:sz w:val="24"/>
                <w:szCs w:val="24"/>
                <w:lang w:val="en-US" w:eastAsia="zh-CN"/>
              </w:rPr>
            </w:pPr>
            <w:r>
              <w:rPr>
                <w:rFonts w:hint="eastAsia" w:ascii="仿宋_GB2312" w:eastAsia="仿宋_GB2312"/>
                <w:kern w:val="0"/>
                <w:sz w:val="24"/>
                <w:szCs w:val="24"/>
                <w:lang w:eastAsia="zh-CN"/>
              </w:rPr>
              <w:t>可选原对手方</w:t>
            </w:r>
            <w:r>
              <w:rPr>
                <w:rFonts w:hint="eastAsia" w:ascii="仿宋_GB2312" w:eastAsia="仿宋_GB2312"/>
                <w:kern w:val="0"/>
                <w:sz w:val="24"/>
                <w:szCs w:val="24"/>
                <w:lang w:val="en-US" w:eastAsia="zh-CN"/>
              </w:rPr>
              <w:t>/新对手方</w:t>
            </w:r>
          </w:p>
        </w:tc>
      </w:tr>
      <w:tr w14:paraId="40C9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730979F8">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逆回购方</w:t>
            </w:r>
          </w:p>
        </w:tc>
        <w:tc>
          <w:tcPr>
            <w:tcW w:w="5732" w:type="dxa"/>
          </w:tcPr>
          <w:p w14:paraId="2D891E2E">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自动带出，</w:t>
            </w:r>
            <w:r>
              <w:rPr>
                <w:rFonts w:hint="eastAsia" w:ascii="仿宋_GB2312" w:eastAsia="仿宋_GB2312"/>
                <w:kern w:val="0"/>
                <w:sz w:val="24"/>
                <w:szCs w:val="24"/>
              </w:rPr>
              <w:t>对手方债券交易参与人</w:t>
            </w:r>
            <w:r>
              <w:rPr>
                <w:rFonts w:hint="eastAsia" w:ascii="仿宋_GB2312" w:eastAsia="仿宋_GB2312"/>
                <w:kern w:val="0"/>
                <w:sz w:val="24"/>
                <w:szCs w:val="24"/>
                <w:lang w:eastAsia="zh-CN"/>
              </w:rPr>
              <w:t>简</w:t>
            </w:r>
            <w:r>
              <w:rPr>
                <w:rFonts w:hint="eastAsia" w:ascii="仿宋_GB2312" w:eastAsia="仿宋_GB2312"/>
                <w:kern w:val="0"/>
                <w:sz w:val="24"/>
                <w:szCs w:val="24"/>
              </w:rPr>
              <w:t>称</w:t>
            </w:r>
          </w:p>
        </w:tc>
      </w:tr>
      <w:tr w14:paraId="0AC71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08D9E89C">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逆回购方一债通账户</w:t>
            </w:r>
          </w:p>
        </w:tc>
        <w:tc>
          <w:tcPr>
            <w:tcW w:w="5732" w:type="dxa"/>
          </w:tcPr>
          <w:p w14:paraId="1B33B899">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对手方交易员</w:t>
            </w:r>
            <w:r>
              <w:rPr>
                <w:rFonts w:hint="eastAsia" w:ascii="仿宋_GB2312" w:eastAsia="仿宋_GB2312"/>
                <w:kern w:val="0"/>
                <w:sz w:val="24"/>
                <w:szCs w:val="24"/>
                <w:lang w:eastAsia="zh-CN"/>
              </w:rPr>
              <w:t>一债通账号，默认带入原合约信息，可修改</w:t>
            </w:r>
          </w:p>
        </w:tc>
      </w:tr>
      <w:tr w14:paraId="3A0F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730A7A5C">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逆回购方</w:t>
            </w:r>
            <w:r>
              <w:rPr>
                <w:rFonts w:hint="eastAsia" w:ascii="仿宋_GB2312" w:eastAsia="仿宋_GB2312"/>
                <w:b/>
                <w:kern w:val="0"/>
                <w:sz w:val="24"/>
                <w:szCs w:val="24"/>
              </w:rPr>
              <w:t>交易员</w:t>
            </w:r>
          </w:p>
        </w:tc>
        <w:tc>
          <w:tcPr>
            <w:tcW w:w="5732" w:type="dxa"/>
          </w:tcPr>
          <w:p w14:paraId="46048AEA">
            <w:pPr>
              <w:adjustRightInd w:val="0"/>
              <w:snapToGrid w:val="0"/>
              <w:rPr>
                <w:rFonts w:ascii="仿宋_GB2312" w:eastAsia="仿宋_GB2312"/>
                <w:kern w:val="0"/>
                <w:sz w:val="24"/>
                <w:szCs w:val="24"/>
              </w:rPr>
            </w:pPr>
            <w:r>
              <w:rPr>
                <w:rFonts w:hint="eastAsia" w:ascii="仿宋_GB2312" w:eastAsia="仿宋_GB2312"/>
                <w:kern w:val="0"/>
                <w:sz w:val="24"/>
                <w:szCs w:val="24"/>
              </w:rPr>
              <w:t>对手方交易员名称，</w:t>
            </w:r>
            <w:r>
              <w:rPr>
                <w:rFonts w:hint="eastAsia" w:ascii="仿宋_GB2312" w:eastAsia="仿宋_GB2312"/>
                <w:kern w:val="0"/>
                <w:sz w:val="24"/>
                <w:szCs w:val="24"/>
                <w:lang w:eastAsia="zh-CN"/>
              </w:rPr>
              <w:t>默认带入原合约信息，可修改</w:t>
            </w:r>
          </w:p>
        </w:tc>
      </w:tr>
      <w:tr w14:paraId="24704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729225F2">
            <w:pPr>
              <w:adjustRightInd w:val="0"/>
              <w:snapToGrid w:val="0"/>
              <w:rPr>
                <w:rFonts w:ascii="仿宋_GB2312" w:eastAsia="仿宋_GB2312"/>
                <w:b/>
                <w:kern w:val="0"/>
                <w:sz w:val="24"/>
                <w:szCs w:val="24"/>
              </w:rPr>
            </w:pPr>
            <w:r>
              <w:rPr>
                <w:rFonts w:hint="eastAsia" w:ascii="仿宋_GB2312" w:eastAsia="仿宋_GB2312"/>
                <w:b/>
                <w:kern w:val="0"/>
                <w:sz w:val="24"/>
                <w:szCs w:val="24"/>
              </w:rPr>
              <w:t>成交日</w:t>
            </w:r>
          </w:p>
        </w:tc>
        <w:tc>
          <w:tcPr>
            <w:tcW w:w="5732" w:type="dxa"/>
          </w:tcPr>
          <w:p w14:paraId="17C53070">
            <w:pPr>
              <w:adjustRightInd w:val="0"/>
              <w:snapToGrid w:val="0"/>
              <w:rPr>
                <w:rFonts w:ascii="仿宋_GB2312" w:eastAsia="仿宋_GB2312"/>
                <w:kern w:val="0"/>
                <w:sz w:val="24"/>
                <w:szCs w:val="24"/>
              </w:rPr>
            </w:pPr>
            <w:r>
              <w:rPr>
                <w:rFonts w:hint="eastAsia" w:ascii="仿宋_GB2312" w:eastAsia="仿宋_GB2312"/>
                <w:kern w:val="0"/>
                <w:sz w:val="24"/>
                <w:szCs w:val="24"/>
              </w:rPr>
              <w:t>当前交易日，自动显示</w:t>
            </w:r>
          </w:p>
        </w:tc>
      </w:tr>
      <w:tr w14:paraId="355DD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5D0C5BA3">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首次结算日</w:t>
            </w:r>
          </w:p>
        </w:tc>
        <w:tc>
          <w:tcPr>
            <w:tcW w:w="5732" w:type="dxa"/>
          </w:tcPr>
          <w:p w14:paraId="23DCCBC3">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当前交易日</w:t>
            </w:r>
            <w:r>
              <w:rPr>
                <w:rFonts w:hint="eastAsia" w:ascii="仿宋_GB2312" w:eastAsia="仿宋_GB2312"/>
                <w:kern w:val="0"/>
                <w:sz w:val="24"/>
                <w:szCs w:val="24"/>
                <w:lang w:eastAsia="zh-CN"/>
              </w:rPr>
              <w:t>，自动显示</w:t>
            </w:r>
          </w:p>
        </w:tc>
      </w:tr>
      <w:tr w14:paraId="02A33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4AC3E33B">
            <w:pPr>
              <w:adjustRightInd w:val="0"/>
              <w:snapToGrid w:val="0"/>
              <w:rPr>
                <w:rFonts w:ascii="仿宋_GB2312" w:eastAsia="仿宋_GB2312"/>
                <w:b/>
                <w:kern w:val="0"/>
                <w:sz w:val="24"/>
                <w:szCs w:val="24"/>
              </w:rPr>
            </w:pPr>
            <w:r>
              <w:rPr>
                <w:rFonts w:hint="eastAsia" w:ascii="仿宋_GB2312" w:eastAsia="仿宋_GB2312"/>
                <w:b/>
                <w:kern w:val="0"/>
                <w:sz w:val="24"/>
                <w:szCs w:val="24"/>
              </w:rPr>
              <w:t>回购期限</w:t>
            </w:r>
          </w:p>
        </w:tc>
        <w:tc>
          <w:tcPr>
            <w:tcW w:w="5732" w:type="dxa"/>
          </w:tcPr>
          <w:p w14:paraId="01992A09">
            <w:pPr>
              <w:adjustRightInd w:val="0"/>
              <w:snapToGrid w:val="0"/>
              <w:rPr>
                <w:rFonts w:ascii="仿宋_GB2312" w:eastAsia="仿宋_GB2312"/>
                <w:kern w:val="0"/>
                <w:sz w:val="24"/>
                <w:szCs w:val="24"/>
              </w:rPr>
            </w:pPr>
            <w:r>
              <w:rPr>
                <w:rFonts w:hint="eastAsia" w:ascii="仿宋_GB2312" w:eastAsia="仿宋_GB2312"/>
                <w:kern w:val="0"/>
                <w:sz w:val="24"/>
                <w:szCs w:val="24"/>
              </w:rPr>
              <w:t>即成交日至回购</w:t>
            </w:r>
            <w:r>
              <w:rPr>
                <w:rFonts w:hint="eastAsia" w:ascii="仿宋_GB2312" w:eastAsia="仿宋_GB2312"/>
                <w:kern w:val="0"/>
                <w:sz w:val="24"/>
                <w:szCs w:val="24"/>
                <w:lang w:eastAsia="zh-CN"/>
              </w:rPr>
              <w:t>续做</w:t>
            </w:r>
            <w:r>
              <w:rPr>
                <w:rFonts w:hint="eastAsia" w:ascii="仿宋_GB2312" w:eastAsia="仿宋_GB2312"/>
                <w:kern w:val="0"/>
                <w:sz w:val="24"/>
                <w:szCs w:val="24"/>
              </w:rPr>
              <w:t>到期日的实际天数</w:t>
            </w:r>
            <w:r>
              <w:rPr>
                <w:rFonts w:hint="eastAsia" w:ascii="仿宋_GB2312" w:eastAsia="仿宋_GB2312"/>
                <w:kern w:val="0"/>
                <w:sz w:val="24"/>
                <w:szCs w:val="24"/>
                <w:lang w:eastAsia="zh-CN"/>
              </w:rPr>
              <w:t>，</w:t>
            </w:r>
            <w:r>
              <w:rPr>
                <w:rFonts w:hint="eastAsia" w:ascii="仿宋_GB2312" w:eastAsia="仿宋_GB2312"/>
                <w:kern w:val="0"/>
                <w:sz w:val="24"/>
                <w:szCs w:val="24"/>
              </w:rPr>
              <w:t>回购期限按自然日计算，以天为单位，含成交日，不含回购到期日</w:t>
            </w:r>
            <w:r>
              <w:rPr>
                <w:rFonts w:hint="eastAsia" w:ascii="仿宋_GB2312" w:eastAsia="仿宋_GB2312"/>
                <w:kern w:val="0"/>
                <w:sz w:val="24"/>
                <w:szCs w:val="24"/>
                <w:lang w:eastAsia="zh-CN"/>
              </w:rPr>
              <w:t>；可修改</w:t>
            </w:r>
          </w:p>
        </w:tc>
      </w:tr>
      <w:tr w14:paraId="6852D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4DA1E4B8">
            <w:pPr>
              <w:adjustRightInd w:val="0"/>
              <w:snapToGrid w:val="0"/>
              <w:rPr>
                <w:rFonts w:ascii="仿宋_GB2312" w:eastAsia="仿宋_GB2312"/>
                <w:b/>
                <w:kern w:val="0"/>
                <w:sz w:val="24"/>
                <w:szCs w:val="24"/>
              </w:rPr>
            </w:pPr>
            <w:r>
              <w:rPr>
                <w:rFonts w:hint="eastAsia" w:ascii="仿宋_GB2312" w:eastAsia="仿宋_GB2312"/>
                <w:b/>
                <w:kern w:val="0"/>
                <w:sz w:val="24"/>
                <w:szCs w:val="24"/>
              </w:rPr>
              <w:t>回购到期日</w:t>
            </w:r>
          </w:p>
        </w:tc>
        <w:tc>
          <w:tcPr>
            <w:tcW w:w="5732" w:type="dxa"/>
          </w:tcPr>
          <w:p w14:paraId="6DA2AF71">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回购双方协商确定的回购到期日期</w:t>
            </w:r>
            <w:r>
              <w:rPr>
                <w:rFonts w:hint="eastAsia" w:ascii="仿宋_GB2312" w:eastAsia="仿宋_GB2312"/>
                <w:kern w:val="0"/>
                <w:sz w:val="24"/>
                <w:szCs w:val="24"/>
                <w:lang w:eastAsia="zh-CN"/>
              </w:rPr>
              <w:t>，与回购期限关联计算</w:t>
            </w:r>
          </w:p>
        </w:tc>
      </w:tr>
      <w:tr w14:paraId="422A0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23D2FDE6">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新回购到期结算日</w:t>
            </w:r>
          </w:p>
        </w:tc>
        <w:tc>
          <w:tcPr>
            <w:tcW w:w="5732" w:type="dxa"/>
          </w:tcPr>
          <w:p w14:paraId="090CB4FD">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到期结算日</w:t>
            </w:r>
            <w:r>
              <w:rPr>
                <w:rFonts w:hint="eastAsia" w:ascii="仿宋_GB2312" w:eastAsia="仿宋_GB2312"/>
                <w:kern w:val="0"/>
                <w:sz w:val="24"/>
                <w:szCs w:val="24"/>
                <w:lang w:eastAsia="zh-CN"/>
              </w:rPr>
              <w:t>，自动带出</w:t>
            </w:r>
          </w:p>
        </w:tc>
      </w:tr>
      <w:tr w14:paraId="0BF86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468437E7">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新</w:t>
            </w:r>
            <w:r>
              <w:rPr>
                <w:rFonts w:hint="eastAsia" w:ascii="仿宋_GB2312" w:eastAsia="仿宋_GB2312"/>
                <w:b/>
                <w:kern w:val="0"/>
                <w:sz w:val="24"/>
                <w:szCs w:val="24"/>
              </w:rPr>
              <w:t>实际占款天数</w:t>
            </w:r>
          </w:p>
        </w:tc>
        <w:tc>
          <w:tcPr>
            <w:tcW w:w="5732" w:type="dxa"/>
          </w:tcPr>
          <w:p w14:paraId="08AA1DCE">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到期结算日-首期结算日，</w:t>
            </w:r>
            <w:r>
              <w:rPr>
                <w:rFonts w:hint="eastAsia" w:ascii="仿宋_GB2312" w:eastAsia="仿宋_GB2312"/>
                <w:kern w:val="0"/>
                <w:sz w:val="24"/>
                <w:szCs w:val="24"/>
                <w:lang w:eastAsia="zh-CN"/>
              </w:rPr>
              <w:t>自动带出</w:t>
            </w:r>
          </w:p>
        </w:tc>
      </w:tr>
      <w:tr w14:paraId="36930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7AC3E6ED">
            <w:pPr>
              <w:adjustRightInd w:val="0"/>
              <w:snapToGrid w:val="0"/>
              <w:rPr>
                <w:rFonts w:ascii="仿宋_GB2312" w:eastAsia="仿宋_GB2312"/>
                <w:b/>
                <w:kern w:val="0"/>
                <w:sz w:val="24"/>
                <w:szCs w:val="24"/>
              </w:rPr>
            </w:pPr>
            <w:r>
              <w:rPr>
                <w:rFonts w:hint="eastAsia" w:ascii="仿宋_GB2312" w:eastAsia="仿宋_GB2312"/>
                <w:b/>
                <w:kern w:val="0"/>
                <w:sz w:val="24"/>
                <w:szCs w:val="24"/>
              </w:rPr>
              <w:t>回购利率</w:t>
            </w:r>
          </w:p>
        </w:tc>
        <w:tc>
          <w:tcPr>
            <w:tcW w:w="5732" w:type="dxa"/>
          </w:tcPr>
          <w:p w14:paraId="42CE3786">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单位：</w:t>
            </w:r>
            <w:r>
              <w:rPr>
                <w:rFonts w:hint="eastAsia" w:ascii="仿宋_GB2312" w:eastAsia="仿宋_GB2312"/>
                <w:kern w:val="0"/>
                <w:sz w:val="24"/>
                <w:szCs w:val="24"/>
                <w:lang w:val="en-US" w:eastAsia="zh-CN"/>
              </w:rPr>
              <w:t>%，</w:t>
            </w:r>
            <w:r>
              <w:rPr>
                <w:rFonts w:hint="eastAsia" w:ascii="仿宋_GB2312" w:eastAsia="仿宋_GB2312"/>
                <w:kern w:val="0"/>
                <w:sz w:val="24"/>
                <w:szCs w:val="24"/>
                <w:lang w:eastAsia="zh-CN"/>
              </w:rPr>
              <w:t>默认带入原合约数据，可修改</w:t>
            </w:r>
          </w:p>
        </w:tc>
      </w:tr>
      <w:tr w14:paraId="7322D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4678BD8B">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约定号</w:t>
            </w:r>
          </w:p>
        </w:tc>
        <w:tc>
          <w:tcPr>
            <w:tcW w:w="5732" w:type="dxa"/>
          </w:tcPr>
          <w:p w14:paraId="07B59E16">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选填</w:t>
            </w:r>
          </w:p>
        </w:tc>
      </w:tr>
      <w:tr w14:paraId="0B52B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05812230">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rPr>
              <w:t>补充约定</w:t>
            </w:r>
            <w:r>
              <w:rPr>
                <w:rFonts w:hint="eastAsia" w:ascii="仿宋_GB2312" w:eastAsia="仿宋_GB2312"/>
                <w:b/>
                <w:kern w:val="0"/>
                <w:sz w:val="24"/>
                <w:szCs w:val="24"/>
                <w:lang w:eastAsia="zh-CN"/>
              </w:rPr>
              <w:t>或备注</w:t>
            </w:r>
          </w:p>
        </w:tc>
        <w:tc>
          <w:tcPr>
            <w:tcW w:w="5732" w:type="dxa"/>
          </w:tcPr>
          <w:p w14:paraId="36C747AC">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交易双方的补充约定条款</w:t>
            </w:r>
            <w:r>
              <w:rPr>
                <w:rFonts w:hint="eastAsia" w:ascii="仿宋_GB2312" w:eastAsia="仿宋_GB2312"/>
                <w:kern w:val="0"/>
                <w:sz w:val="24"/>
                <w:szCs w:val="24"/>
                <w:lang w:eastAsia="zh-CN"/>
              </w:rPr>
              <w:t>，当回购利率高于</w:t>
            </w:r>
            <w:r>
              <w:rPr>
                <w:rFonts w:hint="eastAsia" w:ascii="仿宋_GB2312" w:eastAsia="仿宋_GB2312"/>
                <w:kern w:val="0"/>
                <w:sz w:val="24"/>
                <w:szCs w:val="24"/>
                <w:lang w:val="en-US" w:eastAsia="zh-CN"/>
              </w:rPr>
              <w:t>5%时必填</w:t>
            </w:r>
          </w:p>
        </w:tc>
      </w:tr>
      <w:tr w14:paraId="041B8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676" w:type="dxa"/>
          </w:tcPr>
          <w:p w14:paraId="455F8B25">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份额类型</w:t>
            </w:r>
          </w:p>
        </w:tc>
        <w:tc>
          <w:tcPr>
            <w:tcW w:w="5732" w:type="dxa"/>
          </w:tcPr>
          <w:p w14:paraId="3728420B">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如有自动带出</w:t>
            </w:r>
          </w:p>
        </w:tc>
      </w:tr>
      <w:tr w14:paraId="1F2FF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02DAE576">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限售期</w:t>
            </w:r>
          </w:p>
        </w:tc>
        <w:tc>
          <w:tcPr>
            <w:tcW w:w="5732" w:type="dxa"/>
          </w:tcPr>
          <w:p w14:paraId="64C80D85">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如有自动带出</w:t>
            </w:r>
          </w:p>
        </w:tc>
      </w:tr>
      <w:tr w14:paraId="728B0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46714D28">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违约宽限期</w:t>
            </w:r>
          </w:p>
        </w:tc>
        <w:tc>
          <w:tcPr>
            <w:tcW w:w="5732" w:type="dxa"/>
          </w:tcPr>
          <w:p w14:paraId="648C1FC0">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天，交易双方约定的违约宽限期</w:t>
            </w:r>
          </w:p>
        </w:tc>
      </w:tr>
      <w:tr w14:paraId="46AB5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401D7012">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rPr>
              <w:t>是否同意在违约情形下由质权方对该违约交易项下的质押券直接以拍卖、变卖等方式进行处置</w:t>
            </w:r>
          </w:p>
        </w:tc>
        <w:tc>
          <w:tcPr>
            <w:tcW w:w="5732" w:type="dxa"/>
          </w:tcPr>
          <w:p w14:paraId="5E3FD2C7">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单选“是</w:t>
            </w:r>
            <w:r>
              <w:rPr>
                <w:rFonts w:hint="eastAsia" w:ascii="仿宋_GB2312" w:eastAsia="仿宋_GB2312"/>
                <w:kern w:val="0"/>
                <w:sz w:val="24"/>
                <w:szCs w:val="24"/>
                <w:lang w:val="en-US" w:eastAsia="zh-CN"/>
              </w:rPr>
              <w:t>/否</w:t>
            </w:r>
            <w:r>
              <w:rPr>
                <w:rFonts w:hint="eastAsia" w:ascii="仿宋_GB2312" w:eastAsia="仿宋_GB2312"/>
                <w:kern w:val="0"/>
                <w:sz w:val="24"/>
                <w:szCs w:val="24"/>
                <w:lang w:eastAsia="zh-CN"/>
              </w:rPr>
              <w:t>”</w:t>
            </w:r>
          </w:p>
        </w:tc>
      </w:tr>
      <w:tr w14:paraId="3570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6" w:type="dxa"/>
          </w:tcPr>
          <w:p w14:paraId="2FB3A557">
            <w:pPr>
              <w:adjustRightInd w:val="0"/>
              <w:snapToGrid w:val="0"/>
              <w:rPr>
                <w:rFonts w:ascii="仿宋_GB2312" w:eastAsia="仿宋_GB2312"/>
                <w:b/>
                <w:kern w:val="0"/>
                <w:sz w:val="24"/>
                <w:szCs w:val="24"/>
              </w:rPr>
            </w:pPr>
            <w:r>
              <w:rPr>
                <w:rFonts w:hint="eastAsia" w:ascii="仿宋_GB2312" w:eastAsia="仿宋_GB2312"/>
                <w:b/>
                <w:kern w:val="0"/>
                <w:sz w:val="24"/>
                <w:szCs w:val="24"/>
              </w:rPr>
              <w:t>质押券代码</w:t>
            </w:r>
          </w:p>
        </w:tc>
        <w:tc>
          <w:tcPr>
            <w:tcW w:w="5732" w:type="dxa"/>
          </w:tcPr>
          <w:p w14:paraId="0AA4EAA9">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自动带出</w:t>
            </w:r>
          </w:p>
        </w:tc>
      </w:tr>
      <w:tr w14:paraId="72047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3EA98EE9">
            <w:pPr>
              <w:adjustRightInd w:val="0"/>
              <w:snapToGrid w:val="0"/>
              <w:rPr>
                <w:rFonts w:ascii="仿宋_GB2312" w:eastAsia="仿宋_GB2312"/>
                <w:b/>
                <w:kern w:val="0"/>
                <w:sz w:val="24"/>
                <w:szCs w:val="24"/>
              </w:rPr>
            </w:pPr>
            <w:r>
              <w:rPr>
                <w:rFonts w:hint="eastAsia" w:ascii="仿宋_GB2312" w:eastAsia="仿宋_GB2312"/>
                <w:b/>
                <w:kern w:val="0"/>
                <w:sz w:val="24"/>
                <w:szCs w:val="24"/>
              </w:rPr>
              <w:t>质押券简称</w:t>
            </w:r>
          </w:p>
        </w:tc>
        <w:tc>
          <w:tcPr>
            <w:tcW w:w="5732" w:type="dxa"/>
          </w:tcPr>
          <w:p w14:paraId="3A476642">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自动带出</w:t>
            </w:r>
          </w:p>
        </w:tc>
      </w:tr>
      <w:tr w14:paraId="47DE8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2EE33C6E">
            <w:pPr>
              <w:adjustRightInd w:val="0"/>
              <w:snapToGrid w:val="0"/>
              <w:rPr>
                <w:rFonts w:ascii="仿宋_GB2312" w:eastAsia="仿宋_GB2312"/>
                <w:b/>
                <w:kern w:val="0"/>
                <w:sz w:val="24"/>
                <w:szCs w:val="24"/>
              </w:rPr>
            </w:pPr>
            <w:r>
              <w:rPr>
                <w:rFonts w:hint="eastAsia" w:ascii="仿宋_GB2312" w:eastAsia="仿宋_GB2312"/>
                <w:b/>
                <w:kern w:val="0"/>
                <w:sz w:val="24"/>
                <w:szCs w:val="24"/>
              </w:rPr>
              <w:t>质押券数量</w:t>
            </w:r>
          </w:p>
        </w:tc>
        <w:tc>
          <w:tcPr>
            <w:tcW w:w="5732" w:type="dxa"/>
          </w:tcPr>
          <w:p w14:paraId="473D653C">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自动带出</w:t>
            </w:r>
          </w:p>
        </w:tc>
      </w:tr>
      <w:tr w14:paraId="10F80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751714C4">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面值总额</w:t>
            </w:r>
          </w:p>
        </w:tc>
        <w:tc>
          <w:tcPr>
            <w:tcW w:w="5732" w:type="dxa"/>
          </w:tcPr>
          <w:p w14:paraId="21B8566F">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单位：元，</w:t>
            </w:r>
            <w:r>
              <w:rPr>
                <w:rFonts w:hint="eastAsia" w:ascii="仿宋_GB2312" w:eastAsia="仿宋_GB2312"/>
                <w:kern w:val="0"/>
                <w:sz w:val="24"/>
                <w:szCs w:val="24"/>
              </w:rPr>
              <w:t>自动</w:t>
            </w:r>
            <w:r>
              <w:rPr>
                <w:rFonts w:hint="eastAsia" w:ascii="仿宋_GB2312" w:eastAsia="仿宋_GB2312"/>
                <w:kern w:val="0"/>
                <w:sz w:val="24"/>
                <w:szCs w:val="24"/>
                <w:lang w:eastAsia="zh-CN"/>
              </w:rPr>
              <w:t>计算带出，基金：质押券数量*竞价前收盘价，现券：质押券数量*10*单张质押券面值</w:t>
            </w:r>
          </w:p>
        </w:tc>
      </w:tr>
      <w:tr w14:paraId="6B5BB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7969E8BE">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新折算比例</w:t>
            </w:r>
          </w:p>
        </w:tc>
        <w:tc>
          <w:tcPr>
            <w:tcW w:w="5732" w:type="dxa"/>
          </w:tcPr>
          <w:p w14:paraId="1BA70246">
            <w:pPr>
              <w:adjustRightInd w:val="0"/>
              <w:snapToGrid w:val="0"/>
              <w:rPr>
                <w:rFonts w:hint="default" w:ascii="仿宋_GB2312" w:eastAsia="仿宋_GB2312"/>
                <w:kern w:val="0"/>
                <w:sz w:val="24"/>
                <w:szCs w:val="24"/>
                <w:lang w:val="en-US" w:eastAsia="zh-CN"/>
              </w:rPr>
            </w:pPr>
            <w:r>
              <w:rPr>
                <w:rFonts w:hint="eastAsia" w:ascii="仿宋_GB2312" w:eastAsia="仿宋_GB2312"/>
                <w:kern w:val="0"/>
                <w:sz w:val="24"/>
                <w:szCs w:val="24"/>
              </w:rPr>
              <w:t>成交金额/质押券</w:t>
            </w:r>
            <w:r>
              <w:rPr>
                <w:rFonts w:hint="eastAsia" w:ascii="仿宋_GB2312" w:eastAsia="仿宋_GB2312"/>
                <w:kern w:val="0"/>
                <w:sz w:val="24"/>
                <w:szCs w:val="24"/>
                <w:lang w:eastAsia="zh-CN"/>
              </w:rPr>
              <w:t>面值总额</w:t>
            </w:r>
            <w:r>
              <w:rPr>
                <w:rFonts w:ascii="仿宋_GB2312" w:eastAsia="仿宋_GB2312"/>
                <w:kern w:val="0"/>
                <w:sz w:val="24"/>
                <w:szCs w:val="24"/>
              </w:rPr>
              <w:t>*100%</w:t>
            </w:r>
          </w:p>
        </w:tc>
      </w:tr>
      <w:tr w14:paraId="57F64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63939305">
            <w:pPr>
              <w:adjustRightInd w:val="0"/>
              <w:snapToGrid w:val="0"/>
              <w:rPr>
                <w:rFonts w:ascii="仿宋_GB2312" w:eastAsia="仿宋_GB2312"/>
                <w:b/>
                <w:kern w:val="0"/>
                <w:sz w:val="24"/>
                <w:szCs w:val="24"/>
              </w:rPr>
            </w:pPr>
            <w:r>
              <w:rPr>
                <w:rFonts w:hint="eastAsia" w:ascii="仿宋_GB2312" w:eastAsia="仿宋_GB2312"/>
                <w:b/>
                <w:kern w:val="0"/>
                <w:sz w:val="24"/>
                <w:szCs w:val="24"/>
              </w:rPr>
              <w:t>成交金额</w:t>
            </w:r>
          </w:p>
        </w:tc>
        <w:tc>
          <w:tcPr>
            <w:tcW w:w="5732" w:type="dxa"/>
          </w:tcPr>
          <w:p w14:paraId="0179A900">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单位：元，默认带入原成交金额，可修改，成交金额与折算比例自动互算，成交金额</w:t>
            </w:r>
            <w:r>
              <w:rPr>
                <w:rFonts w:hint="eastAsia" w:ascii="仿宋_GB2312" w:eastAsia="仿宋_GB2312"/>
                <w:kern w:val="0"/>
                <w:sz w:val="24"/>
                <w:szCs w:val="24"/>
                <w:lang w:val="en-US" w:eastAsia="zh-CN"/>
              </w:rPr>
              <w:t>=</w:t>
            </w:r>
            <w:r>
              <w:rPr>
                <w:rFonts w:hint="eastAsia" w:ascii="仿宋_GB2312" w:eastAsia="仿宋_GB2312"/>
                <w:kern w:val="0"/>
                <w:sz w:val="24"/>
                <w:szCs w:val="24"/>
                <w:lang w:eastAsia="zh-CN"/>
              </w:rPr>
              <w:t>面值总额*折算比例/100</w:t>
            </w:r>
          </w:p>
        </w:tc>
      </w:tr>
      <w:tr w14:paraId="5F064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78CD8A20">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新预估</w:t>
            </w:r>
            <w:r>
              <w:rPr>
                <w:rFonts w:hint="eastAsia" w:ascii="仿宋_GB2312" w:eastAsia="仿宋_GB2312"/>
                <w:b/>
                <w:kern w:val="0"/>
                <w:sz w:val="24"/>
                <w:szCs w:val="24"/>
              </w:rPr>
              <w:t>回购利息</w:t>
            </w:r>
          </w:p>
        </w:tc>
        <w:tc>
          <w:tcPr>
            <w:tcW w:w="5732" w:type="dxa"/>
          </w:tcPr>
          <w:p w14:paraId="74C620EF">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单位：元，新回购成交金额*新回购利率*新回购实际占款天数/365，自动计算带出</w:t>
            </w:r>
          </w:p>
        </w:tc>
      </w:tr>
      <w:tr w14:paraId="182B1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76" w:type="dxa"/>
          </w:tcPr>
          <w:p w14:paraId="2927A4E8">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新预估</w:t>
            </w:r>
            <w:r>
              <w:rPr>
                <w:rFonts w:hint="eastAsia" w:ascii="仿宋_GB2312" w:eastAsia="仿宋_GB2312"/>
                <w:b/>
                <w:kern w:val="0"/>
                <w:sz w:val="24"/>
                <w:szCs w:val="24"/>
              </w:rPr>
              <w:t>到期结算金额</w:t>
            </w:r>
          </w:p>
        </w:tc>
        <w:tc>
          <w:tcPr>
            <w:tcW w:w="5732" w:type="dxa"/>
          </w:tcPr>
          <w:p w14:paraId="765A4BF2">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单位：元，新成交金额+新回购利息，自动计算带出</w:t>
            </w:r>
          </w:p>
        </w:tc>
      </w:tr>
    </w:tbl>
    <w:p w14:paraId="14289AFE">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到期续做的逆回购方可以为到期回购的逆回购方，也可以为其他第三方。到期续做申报的成交金额、回购利率、回购期限等交易要素由双方自行协商确定。</w:t>
      </w:r>
    </w:p>
    <w:p w14:paraId="5A77F7E0">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到期续做达成的新的协议回购独立于到期回购，协议回购各方分别就相应的回购享有权利并履行义务。</w:t>
      </w:r>
    </w:p>
    <w:p w14:paraId="3E974D0C">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存续期管理</w:t>
      </w:r>
      <w:r>
        <w:rPr>
          <w:rFonts w:ascii="仿宋_GB2312" w:eastAsia="仿宋_GB2312"/>
          <w:b/>
          <w:sz w:val="30"/>
          <w:szCs w:val="30"/>
        </w:rPr>
        <w:tab/>
      </w:r>
    </w:p>
    <w:p w14:paraId="2EAB98BA">
      <w:pPr>
        <w:spacing w:line="600" w:lineRule="exact"/>
        <w:ind w:left="567"/>
        <w:outlineLvl w:val="3"/>
        <w:rPr>
          <w:rFonts w:ascii="仿宋_GB2312" w:eastAsia="仿宋_GB2312"/>
          <w:b/>
          <w:sz w:val="30"/>
          <w:szCs w:val="30"/>
        </w:rPr>
      </w:pPr>
      <w:r>
        <w:rPr>
          <w:rFonts w:hint="eastAsia" w:ascii="仿宋_GB2312" w:eastAsia="仿宋_GB2312"/>
          <w:b/>
          <w:sz w:val="30"/>
          <w:szCs w:val="30"/>
        </w:rPr>
        <w:t>（1）换券申报</w:t>
      </w:r>
    </w:p>
    <w:p w14:paraId="208FF927">
      <w:pPr>
        <w:adjustRightInd w:val="0"/>
        <w:snapToGrid w:val="0"/>
        <w:spacing w:line="600" w:lineRule="exact"/>
        <w:ind w:firstLine="600"/>
        <w:rPr>
          <w:rFonts w:hint="default" w:ascii="仿宋_GB2312" w:hAnsi="Calibri" w:eastAsia="仿宋_GB2312"/>
          <w:sz w:val="30"/>
          <w:szCs w:val="30"/>
          <w:lang w:val="en-US" w:eastAsia="zh-CN"/>
        </w:rPr>
      </w:pPr>
      <w:r>
        <w:rPr>
          <w:rFonts w:hint="eastAsia" w:ascii="仿宋_GB2312" w:hAnsi="Calibri" w:eastAsia="仿宋_GB2312"/>
          <w:sz w:val="30"/>
          <w:szCs w:val="30"/>
        </w:rPr>
        <w:t>协议回购确认成交后，在协议回购存续期间（不含首次结算日和到期结算日），经双方协商一致，可以对质押券进行变更。</w:t>
      </w:r>
      <w:r>
        <w:rPr>
          <w:rFonts w:hint="eastAsia" w:ascii="仿宋_GB2312" w:hAnsi="Calibri" w:eastAsia="仿宋_GB2312"/>
          <w:sz w:val="30"/>
          <w:szCs w:val="30"/>
          <w:lang w:eastAsia="zh-CN"/>
        </w:rPr>
        <w:t>其中，不可跨类型换券。原质押券为债券的，仅可在债券范围内变更；原质押券为债券</w:t>
      </w:r>
      <w:r>
        <w:rPr>
          <w:rFonts w:hint="eastAsia" w:ascii="仿宋_GB2312" w:hAnsi="Calibri" w:eastAsia="仿宋_GB2312"/>
          <w:sz w:val="30"/>
          <w:szCs w:val="30"/>
          <w:lang w:val="en-US" w:eastAsia="zh-CN"/>
        </w:rPr>
        <w:t>ETF的，仅可在债券ETF</w:t>
      </w:r>
      <w:r>
        <w:rPr>
          <w:rFonts w:hint="eastAsia" w:ascii="仿宋_GB2312" w:hAnsi="Calibri" w:eastAsia="仿宋_GB2312"/>
          <w:sz w:val="30"/>
          <w:szCs w:val="30"/>
          <w:lang w:eastAsia="zh-CN"/>
        </w:rPr>
        <w:t>范围内变更</w:t>
      </w:r>
      <w:r>
        <w:rPr>
          <w:rFonts w:hint="eastAsia" w:ascii="仿宋_GB2312" w:hAnsi="Calibri" w:eastAsia="仿宋_GB2312"/>
          <w:sz w:val="30"/>
          <w:szCs w:val="30"/>
          <w:lang w:val="en-US" w:eastAsia="zh-CN"/>
        </w:rPr>
        <w:t>；原质押券为公募REITs的，仅可在公募REITs</w:t>
      </w:r>
      <w:r>
        <w:rPr>
          <w:rFonts w:hint="eastAsia" w:ascii="仿宋_GB2312" w:hAnsi="Calibri" w:eastAsia="仿宋_GB2312"/>
          <w:sz w:val="30"/>
          <w:szCs w:val="30"/>
          <w:lang w:eastAsia="zh-CN"/>
        </w:rPr>
        <w:t>范围内变更</w:t>
      </w:r>
      <w:r>
        <w:rPr>
          <w:rFonts w:hint="eastAsia" w:ascii="仿宋_GB2312" w:hAnsi="Calibri" w:eastAsia="仿宋_GB2312"/>
          <w:sz w:val="30"/>
          <w:szCs w:val="30"/>
          <w:lang w:val="en-US" w:eastAsia="zh-CN"/>
        </w:rPr>
        <w:t>。</w:t>
      </w:r>
    </w:p>
    <w:p w14:paraId="044EF81A">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质押券变更申报由正回购方发起，经逆回购方进行确认申报后，由</w:t>
      </w:r>
      <w:r>
        <w:rPr>
          <w:rFonts w:hint="eastAsia" w:ascii="仿宋_GB2312" w:hAnsi="Calibri" w:eastAsia="仿宋_GB2312"/>
          <w:sz w:val="30"/>
          <w:szCs w:val="30"/>
          <w:lang w:eastAsia="zh-CN"/>
        </w:rPr>
        <w:t>新固定收益系统</w:t>
      </w:r>
      <w:r>
        <w:rPr>
          <w:rFonts w:hint="eastAsia" w:ascii="仿宋_GB2312" w:hAnsi="Calibri" w:eastAsia="仿宋_GB2312"/>
          <w:sz w:val="30"/>
          <w:szCs w:val="30"/>
        </w:rPr>
        <w:t>予以确认。</w:t>
      </w:r>
    </w:p>
    <w:p w14:paraId="5FDEBE60">
      <w:pPr>
        <w:adjustRightInd w:val="0"/>
        <w:snapToGrid w:val="0"/>
        <w:spacing w:line="600" w:lineRule="exact"/>
        <w:ind w:firstLine="600" w:firstLineChars="200"/>
        <w:rPr>
          <w:rFonts w:hint="eastAsia" w:ascii="仿宋_GB2312" w:hAnsi="宋体" w:eastAsia="仿宋_GB2312"/>
          <w:sz w:val="30"/>
          <w:szCs w:val="30"/>
        </w:rPr>
      </w:pPr>
      <w:r>
        <w:rPr>
          <w:rFonts w:hint="eastAsia" w:ascii="仿宋_GB2312" w:hAnsi="Calibri" w:eastAsia="仿宋_GB2312"/>
          <w:sz w:val="30"/>
          <w:szCs w:val="30"/>
        </w:rPr>
        <w:t>质押券变更申报</w:t>
      </w:r>
      <w:r>
        <w:rPr>
          <w:rFonts w:hint="eastAsia" w:ascii="仿宋_GB2312" w:hAnsi="Calibri" w:eastAsia="仿宋_GB2312"/>
          <w:sz w:val="30"/>
          <w:szCs w:val="30"/>
          <w:lang w:eastAsia="zh-CN"/>
        </w:rPr>
        <w:t>时自动带出原合约申报信息，原信息可查看、不可修改，对于新券申报</w:t>
      </w:r>
      <w:r>
        <w:rPr>
          <w:rFonts w:hint="eastAsia" w:ascii="仿宋_GB2312" w:hAnsi="Calibri" w:eastAsia="仿宋_GB2312"/>
          <w:sz w:val="30"/>
          <w:szCs w:val="30"/>
        </w:rPr>
        <w:t>的</w:t>
      </w:r>
      <w:r>
        <w:rPr>
          <w:rFonts w:hint="eastAsia" w:ascii="仿宋_GB2312" w:hAnsi="宋体" w:eastAsia="仿宋_GB2312"/>
          <w:sz w:val="30"/>
          <w:szCs w:val="30"/>
        </w:rPr>
        <w:t>具体要素及要素说明如下：</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5"/>
        <w:gridCol w:w="5437"/>
      </w:tblGrid>
      <w:tr w14:paraId="01FF0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661FA3C5">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5437" w:type="dxa"/>
          </w:tcPr>
          <w:p w14:paraId="2C86EFE0">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55F3B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66AECAAB">
            <w:pPr>
              <w:adjustRightInd w:val="0"/>
              <w:snapToGrid w:val="0"/>
              <w:jc w:val="left"/>
              <w:rPr>
                <w:rFonts w:ascii="仿宋_GB2312" w:eastAsia="仿宋_GB2312"/>
                <w:b/>
                <w:kern w:val="0"/>
                <w:sz w:val="24"/>
                <w:szCs w:val="24"/>
              </w:rPr>
            </w:pPr>
            <w:r>
              <w:rPr>
                <w:rFonts w:hint="eastAsia" w:ascii="仿宋_GB2312" w:eastAsia="仿宋_GB2312"/>
                <w:b/>
                <w:kern w:val="0"/>
                <w:sz w:val="24"/>
                <w:szCs w:val="24"/>
                <w:lang w:eastAsia="zh-CN"/>
              </w:rPr>
              <w:t>正回购方</w:t>
            </w:r>
            <w:r>
              <w:rPr>
                <w:rFonts w:hint="eastAsia" w:ascii="仿宋_GB2312" w:eastAsia="仿宋_GB2312"/>
                <w:b/>
                <w:kern w:val="0"/>
                <w:sz w:val="24"/>
                <w:szCs w:val="24"/>
              </w:rPr>
              <w:t>交易单元</w:t>
            </w:r>
          </w:p>
        </w:tc>
        <w:tc>
          <w:tcPr>
            <w:tcW w:w="5437" w:type="dxa"/>
          </w:tcPr>
          <w:p w14:paraId="7CB6DFB3">
            <w:pPr>
              <w:adjustRightInd w:val="0"/>
              <w:snapToGrid w:val="0"/>
              <w:jc w:val="left"/>
              <w:rPr>
                <w:rFonts w:ascii="仿宋_GB2312" w:eastAsia="仿宋_GB2312"/>
                <w:kern w:val="0"/>
                <w:sz w:val="24"/>
                <w:szCs w:val="24"/>
              </w:rPr>
            </w:pPr>
            <w:r>
              <w:rPr>
                <w:rFonts w:hint="eastAsia" w:ascii="仿宋_GB2312" w:eastAsia="仿宋_GB2312"/>
                <w:kern w:val="0"/>
                <w:sz w:val="24"/>
                <w:szCs w:val="24"/>
                <w:lang w:eastAsia="zh-CN"/>
              </w:rPr>
              <w:t>自动带出，</w:t>
            </w:r>
            <w:r>
              <w:rPr>
                <w:rFonts w:hint="eastAsia" w:ascii="仿宋_GB2312" w:eastAsia="仿宋_GB2312"/>
                <w:kern w:val="0"/>
                <w:sz w:val="24"/>
                <w:szCs w:val="24"/>
              </w:rPr>
              <w:t>正回购方证券账号指定交易单元号</w:t>
            </w:r>
          </w:p>
        </w:tc>
      </w:tr>
      <w:tr w14:paraId="5920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0C71BF1C">
            <w:pPr>
              <w:adjustRightInd w:val="0"/>
              <w:snapToGrid w:val="0"/>
              <w:jc w:val="left"/>
              <w:rPr>
                <w:rFonts w:hint="eastAsia" w:ascii="仿宋_GB2312" w:eastAsia="仿宋_GB2312"/>
                <w:b/>
                <w:kern w:val="0"/>
                <w:sz w:val="24"/>
                <w:szCs w:val="24"/>
                <w:lang w:eastAsia="zh-CN"/>
              </w:rPr>
            </w:pPr>
            <w:r>
              <w:rPr>
                <w:rFonts w:hint="eastAsia" w:ascii="仿宋_GB2312" w:eastAsia="仿宋_GB2312"/>
                <w:b/>
                <w:kern w:val="0"/>
                <w:sz w:val="24"/>
                <w:szCs w:val="24"/>
                <w:lang w:eastAsia="zh-CN"/>
              </w:rPr>
              <w:t>逆回购</w:t>
            </w:r>
            <w:r>
              <w:rPr>
                <w:rFonts w:hint="eastAsia" w:ascii="仿宋_GB2312" w:eastAsia="仿宋_GB2312"/>
                <w:b/>
                <w:kern w:val="0"/>
                <w:sz w:val="24"/>
                <w:szCs w:val="24"/>
              </w:rPr>
              <w:t>方</w:t>
            </w:r>
            <w:r>
              <w:rPr>
                <w:rFonts w:hint="eastAsia" w:ascii="仿宋_GB2312" w:eastAsia="仿宋_GB2312"/>
                <w:b/>
                <w:kern w:val="0"/>
                <w:sz w:val="24"/>
                <w:szCs w:val="24"/>
                <w:lang w:eastAsia="zh-CN"/>
              </w:rPr>
              <w:t>一债通账户</w:t>
            </w:r>
          </w:p>
        </w:tc>
        <w:tc>
          <w:tcPr>
            <w:tcW w:w="5437" w:type="dxa"/>
          </w:tcPr>
          <w:p w14:paraId="4C840B4B">
            <w:pPr>
              <w:adjustRightInd w:val="0"/>
              <w:snapToGrid w:val="0"/>
              <w:jc w:val="left"/>
              <w:rPr>
                <w:rFonts w:hint="eastAsia" w:ascii="仿宋_GB2312" w:eastAsia="仿宋_GB2312"/>
                <w:kern w:val="0"/>
                <w:sz w:val="24"/>
                <w:szCs w:val="24"/>
                <w:lang w:eastAsia="zh-CN"/>
              </w:rPr>
            </w:pPr>
            <w:r>
              <w:rPr>
                <w:rFonts w:hint="eastAsia" w:ascii="仿宋_GB2312" w:eastAsia="仿宋_GB2312"/>
                <w:kern w:val="0"/>
                <w:sz w:val="24"/>
                <w:szCs w:val="24"/>
                <w:lang w:eastAsia="zh-CN"/>
              </w:rPr>
              <w:t>自动带出，</w:t>
            </w:r>
            <w:r>
              <w:rPr>
                <w:rFonts w:hint="eastAsia" w:ascii="仿宋_GB2312" w:eastAsia="仿宋_GB2312"/>
                <w:kern w:val="0"/>
                <w:sz w:val="24"/>
                <w:szCs w:val="24"/>
              </w:rPr>
              <w:t>原始申报的对手方交易员</w:t>
            </w:r>
            <w:r>
              <w:rPr>
                <w:rFonts w:hint="eastAsia" w:ascii="仿宋_GB2312" w:eastAsia="仿宋_GB2312"/>
                <w:kern w:val="0"/>
                <w:sz w:val="24"/>
                <w:szCs w:val="24"/>
                <w:lang w:eastAsia="zh-CN"/>
              </w:rPr>
              <w:t>一债通账户号</w:t>
            </w:r>
          </w:p>
        </w:tc>
      </w:tr>
      <w:tr w14:paraId="4F48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85" w:type="dxa"/>
          </w:tcPr>
          <w:p w14:paraId="4A8D71C6">
            <w:pPr>
              <w:adjustRightInd w:val="0"/>
              <w:snapToGrid w:val="0"/>
              <w:jc w:val="left"/>
              <w:rPr>
                <w:rFonts w:ascii="仿宋_GB2312" w:eastAsia="仿宋_GB2312"/>
                <w:b/>
                <w:kern w:val="0"/>
                <w:sz w:val="24"/>
                <w:szCs w:val="24"/>
              </w:rPr>
            </w:pPr>
            <w:r>
              <w:rPr>
                <w:rFonts w:hint="eastAsia" w:ascii="仿宋_GB2312" w:eastAsia="仿宋_GB2312"/>
                <w:b/>
                <w:kern w:val="0"/>
                <w:sz w:val="24"/>
                <w:szCs w:val="24"/>
                <w:lang w:eastAsia="zh-CN"/>
              </w:rPr>
              <w:t>逆回购</w:t>
            </w:r>
            <w:r>
              <w:rPr>
                <w:rFonts w:hint="eastAsia" w:ascii="仿宋_GB2312" w:eastAsia="仿宋_GB2312"/>
                <w:b/>
                <w:kern w:val="0"/>
                <w:sz w:val="24"/>
                <w:szCs w:val="24"/>
              </w:rPr>
              <w:t>方交易员</w:t>
            </w:r>
          </w:p>
        </w:tc>
        <w:tc>
          <w:tcPr>
            <w:tcW w:w="5437" w:type="dxa"/>
          </w:tcPr>
          <w:p w14:paraId="15AB9C9C">
            <w:pPr>
              <w:adjustRightInd w:val="0"/>
              <w:snapToGrid w:val="0"/>
              <w:jc w:val="left"/>
              <w:rPr>
                <w:rFonts w:ascii="仿宋_GB2312" w:eastAsia="仿宋_GB2312"/>
                <w:kern w:val="0"/>
                <w:sz w:val="24"/>
                <w:szCs w:val="24"/>
              </w:rPr>
            </w:pPr>
            <w:r>
              <w:rPr>
                <w:rFonts w:hint="eastAsia" w:ascii="仿宋_GB2312" w:eastAsia="仿宋_GB2312"/>
                <w:kern w:val="0"/>
                <w:sz w:val="24"/>
                <w:szCs w:val="24"/>
                <w:lang w:eastAsia="zh-CN"/>
              </w:rPr>
              <w:t>自动带出，</w:t>
            </w:r>
            <w:r>
              <w:rPr>
                <w:rFonts w:hint="eastAsia" w:ascii="仿宋_GB2312" w:eastAsia="仿宋_GB2312"/>
                <w:kern w:val="0"/>
                <w:sz w:val="24"/>
                <w:szCs w:val="24"/>
              </w:rPr>
              <w:t>对手方交易员名称</w:t>
            </w:r>
          </w:p>
        </w:tc>
      </w:tr>
      <w:tr w14:paraId="6EDF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07CE6EAE">
            <w:pPr>
              <w:adjustRightInd w:val="0"/>
              <w:snapToGrid w:val="0"/>
              <w:jc w:val="left"/>
              <w:rPr>
                <w:rFonts w:ascii="仿宋_GB2312" w:eastAsia="仿宋_GB2312"/>
                <w:b/>
                <w:kern w:val="0"/>
                <w:sz w:val="24"/>
                <w:szCs w:val="24"/>
              </w:rPr>
            </w:pPr>
            <w:r>
              <w:rPr>
                <w:rFonts w:hint="eastAsia" w:ascii="仿宋_GB2312" w:eastAsia="仿宋_GB2312"/>
                <w:b/>
                <w:kern w:val="0"/>
                <w:sz w:val="24"/>
                <w:szCs w:val="24"/>
              </w:rPr>
              <w:t>质押券代码</w:t>
            </w:r>
          </w:p>
        </w:tc>
        <w:tc>
          <w:tcPr>
            <w:tcW w:w="5437" w:type="dxa"/>
          </w:tcPr>
          <w:p w14:paraId="2BFCBE31">
            <w:pPr>
              <w:adjustRightInd w:val="0"/>
              <w:snapToGrid w:val="0"/>
              <w:jc w:val="left"/>
              <w:rPr>
                <w:rFonts w:ascii="仿宋_GB2312" w:eastAsia="仿宋_GB2312"/>
                <w:kern w:val="0"/>
                <w:sz w:val="24"/>
                <w:szCs w:val="24"/>
              </w:rPr>
            </w:pPr>
            <w:r>
              <w:rPr>
                <w:rFonts w:hint="eastAsia" w:ascii="仿宋_GB2312" w:eastAsia="仿宋_GB2312"/>
                <w:kern w:val="0"/>
                <w:sz w:val="24"/>
                <w:szCs w:val="24"/>
              </w:rPr>
              <w:t>新质押券的代码</w:t>
            </w:r>
          </w:p>
        </w:tc>
      </w:tr>
      <w:tr w14:paraId="41F5F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114C014E">
            <w:pPr>
              <w:adjustRightInd w:val="0"/>
              <w:snapToGrid w:val="0"/>
              <w:jc w:val="left"/>
              <w:rPr>
                <w:rFonts w:ascii="仿宋_GB2312" w:eastAsia="仿宋_GB2312"/>
                <w:b/>
                <w:kern w:val="0"/>
                <w:sz w:val="24"/>
                <w:szCs w:val="24"/>
              </w:rPr>
            </w:pPr>
            <w:r>
              <w:rPr>
                <w:rFonts w:hint="eastAsia" w:ascii="仿宋_GB2312" w:eastAsia="仿宋_GB2312"/>
                <w:b/>
                <w:kern w:val="0"/>
                <w:sz w:val="24"/>
                <w:szCs w:val="24"/>
              </w:rPr>
              <w:t>质押券简称</w:t>
            </w:r>
          </w:p>
        </w:tc>
        <w:tc>
          <w:tcPr>
            <w:tcW w:w="5437" w:type="dxa"/>
          </w:tcPr>
          <w:p w14:paraId="5A49EE2A">
            <w:pPr>
              <w:adjustRightInd w:val="0"/>
              <w:snapToGrid w:val="0"/>
              <w:jc w:val="left"/>
              <w:rPr>
                <w:rFonts w:ascii="仿宋_GB2312" w:eastAsia="仿宋_GB2312"/>
                <w:kern w:val="0"/>
                <w:sz w:val="24"/>
                <w:szCs w:val="24"/>
              </w:rPr>
            </w:pPr>
            <w:r>
              <w:rPr>
                <w:rFonts w:hint="eastAsia" w:ascii="仿宋_GB2312" w:eastAsia="仿宋_GB2312"/>
                <w:kern w:val="0"/>
                <w:sz w:val="24"/>
                <w:szCs w:val="24"/>
              </w:rPr>
              <w:t>新质押券的简称，</w:t>
            </w:r>
            <w:r>
              <w:rPr>
                <w:rFonts w:hint="eastAsia" w:ascii="仿宋_GB2312" w:eastAsia="仿宋_GB2312"/>
                <w:kern w:val="0"/>
                <w:sz w:val="24"/>
                <w:szCs w:val="24"/>
                <w:lang w:eastAsia="zh-CN"/>
              </w:rPr>
              <w:t>根据代码</w:t>
            </w:r>
            <w:r>
              <w:rPr>
                <w:rFonts w:hint="eastAsia" w:ascii="仿宋_GB2312" w:eastAsia="仿宋_GB2312"/>
                <w:kern w:val="0"/>
                <w:sz w:val="24"/>
                <w:szCs w:val="24"/>
              </w:rPr>
              <w:t>自动显示</w:t>
            </w:r>
          </w:p>
        </w:tc>
      </w:tr>
      <w:tr w14:paraId="12EBA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3DC1985E">
            <w:pPr>
              <w:adjustRightInd w:val="0"/>
              <w:snapToGrid w:val="0"/>
              <w:jc w:val="left"/>
              <w:rPr>
                <w:rFonts w:ascii="仿宋_GB2312" w:eastAsia="仿宋_GB2312"/>
                <w:b/>
                <w:kern w:val="0"/>
                <w:sz w:val="24"/>
                <w:szCs w:val="24"/>
              </w:rPr>
            </w:pPr>
            <w:r>
              <w:rPr>
                <w:rFonts w:hint="eastAsia" w:ascii="仿宋_GB2312" w:eastAsia="仿宋_GB2312"/>
                <w:b/>
                <w:kern w:val="0"/>
                <w:sz w:val="24"/>
                <w:szCs w:val="24"/>
              </w:rPr>
              <w:t>质押数量</w:t>
            </w:r>
            <w:r>
              <w:rPr>
                <w:rFonts w:ascii="仿宋_GB2312" w:eastAsia="仿宋_GB2312"/>
                <w:b/>
                <w:kern w:val="0"/>
                <w:sz w:val="24"/>
                <w:szCs w:val="24"/>
              </w:rPr>
              <w:tab/>
            </w:r>
          </w:p>
        </w:tc>
        <w:tc>
          <w:tcPr>
            <w:tcW w:w="5437" w:type="dxa"/>
          </w:tcPr>
          <w:p w14:paraId="078D2751">
            <w:pPr>
              <w:adjustRightInd w:val="0"/>
              <w:snapToGrid w:val="0"/>
              <w:jc w:val="left"/>
              <w:rPr>
                <w:rFonts w:ascii="仿宋_GB2312" w:eastAsia="仿宋_GB2312"/>
                <w:kern w:val="0"/>
                <w:sz w:val="24"/>
                <w:szCs w:val="24"/>
              </w:rPr>
            </w:pPr>
            <w:r>
              <w:rPr>
                <w:rFonts w:hint="eastAsia" w:ascii="仿宋_GB2312" w:eastAsia="仿宋_GB2312"/>
                <w:kern w:val="0"/>
                <w:sz w:val="24"/>
                <w:szCs w:val="24"/>
                <w:lang w:eastAsia="zh-CN"/>
              </w:rPr>
              <w:t>单位：</w:t>
            </w:r>
            <w:r>
              <w:rPr>
                <w:rFonts w:hint="eastAsia" w:ascii="仿宋_GB2312" w:eastAsia="仿宋_GB2312"/>
                <w:kern w:val="0"/>
                <w:sz w:val="24"/>
                <w:szCs w:val="24"/>
              </w:rPr>
              <w:t>千元面额</w:t>
            </w:r>
            <w:r>
              <w:rPr>
                <w:rFonts w:hint="eastAsia" w:ascii="仿宋_GB2312" w:eastAsia="仿宋_GB2312"/>
                <w:kern w:val="0"/>
                <w:sz w:val="24"/>
                <w:szCs w:val="24"/>
                <w:lang w:val="en-US" w:eastAsia="zh-CN"/>
              </w:rPr>
              <w:t>/份，新</w:t>
            </w:r>
            <w:r>
              <w:rPr>
                <w:rFonts w:hint="eastAsia" w:ascii="仿宋_GB2312" w:eastAsia="仿宋_GB2312"/>
                <w:kern w:val="0"/>
                <w:sz w:val="24"/>
                <w:szCs w:val="24"/>
              </w:rPr>
              <w:t>质押券</w:t>
            </w:r>
            <w:r>
              <w:rPr>
                <w:rFonts w:hint="eastAsia" w:ascii="仿宋_GB2312" w:eastAsia="仿宋_GB2312"/>
                <w:kern w:val="0"/>
                <w:sz w:val="24"/>
                <w:szCs w:val="24"/>
                <w:lang w:eastAsia="zh-CN"/>
              </w:rPr>
              <w:t>的</w:t>
            </w:r>
            <w:r>
              <w:rPr>
                <w:rFonts w:hint="eastAsia" w:ascii="仿宋_GB2312" w:eastAsia="仿宋_GB2312"/>
                <w:kern w:val="0"/>
                <w:sz w:val="24"/>
                <w:szCs w:val="24"/>
              </w:rPr>
              <w:t>数量</w:t>
            </w:r>
          </w:p>
        </w:tc>
      </w:tr>
      <w:tr w14:paraId="47E90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85" w:type="dxa"/>
          </w:tcPr>
          <w:p w14:paraId="3020DC00">
            <w:pPr>
              <w:adjustRightInd w:val="0"/>
              <w:snapToGrid w:val="0"/>
              <w:jc w:val="left"/>
              <w:rPr>
                <w:rFonts w:hint="eastAsia" w:ascii="仿宋_GB2312" w:eastAsia="仿宋_GB2312"/>
                <w:b/>
                <w:kern w:val="0"/>
                <w:sz w:val="24"/>
                <w:szCs w:val="24"/>
                <w:lang w:eastAsia="zh-CN"/>
              </w:rPr>
            </w:pPr>
            <w:r>
              <w:rPr>
                <w:rFonts w:hint="eastAsia" w:ascii="仿宋_GB2312" w:eastAsia="仿宋_GB2312"/>
                <w:b/>
                <w:kern w:val="0"/>
                <w:sz w:val="24"/>
                <w:szCs w:val="24"/>
                <w:lang w:eastAsia="zh-CN"/>
              </w:rPr>
              <w:t>面值总额</w:t>
            </w:r>
          </w:p>
        </w:tc>
        <w:tc>
          <w:tcPr>
            <w:tcW w:w="5437" w:type="dxa"/>
          </w:tcPr>
          <w:p w14:paraId="417A098E">
            <w:pPr>
              <w:adjustRightInd w:val="0"/>
              <w:snapToGrid w:val="0"/>
              <w:jc w:val="left"/>
              <w:rPr>
                <w:rFonts w:ascii="仿宋_GB2312" w:eastAsia="仿宋_GB2312"/>
                <w:kern w:val="0"/>
                <w:sz w:val="24"/>
                <w:szCs w:val="24"/>
              </w:rPr>
            </w:pPr>
            <w:r>
              <w:rPr>
                <w:rFonts w:hint="eastAsia" w:ascii="仿宋_GB2312" w:eastAsia="仿宋_GB2312"/>
                <w:kern w:val="0"/>
                <w:sz w:val="24"/>
                <w:szCs w:val="24"/>
                <w:lang w:eastAsia="zh-CN"/>
              </w:rPr>
              <w:t>单位：元，自动计算带出，基金：质押券数量*竞价前收盘价，现券：质押券数量*10*单张质押券面值</w:t>
            </w:r>
          </w:p>
        </w:tc>
      </w:tr>
      <w:tr w14:paraId="74038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01085203">
            <w:pPr>
              <w:adjustRightInd w:val="0"/>
              <w:snapToGrid w:val="0"/>
              <w:jc w:val="left"/>
              <w:rPr>
                <w:rFonts w:ascii="仿宋_GB2312" w:eastAsia="仿宋_GB2312"/>
                <w:b/>
                <w:kern w:val="0"/>
                <w:sz w:val="24"/>
                <w:szCs w:val="24"/>
              </w:rPr>
            </w:pPr>
            <w:r>
              <w:rPr>
                <w:rFonts w:hint="eastAsia" w:ascii="仿宋_GB2312" w:eastAsia="仿宋_GB2312"/>
                <w:b/>
                <w:kern w:val="0"/>
                <w:sz w:val="24"/>
                <w:szCs w:val="24"/>
              </w:rPr>
              <w:t>折算比例</w:t>
            </w:r>
          </w:p>
        </w:tc>
        <w:tc>
          <w:tcPr>
            <w:tcW w:w="5437" w:type="dxa"/>
          </w:tcPr>
          <w:p w14:paraId="41F3E574">
            <w:pPr>
              <w:adjustRightInd w:val="0"/>
              <w:snapToGrid w:val="0"/>
              <w:jc w:val="left"/>
              <w:rPr>
                <w:rFonts w:hint="eastAsia" w:ascii="仿宋_GB2312" w:eastAsia="仿宋_GB2312"/>
                <w:kern w:val="0"/>
                <w:sz w:val="24"/>
                <w:szCs w:val="24"/>
                <w:lang w:eastAsia="zh-CN"/>
              </w:rPr>
            </w:pPr>
            <w:r>
              <w:rPr>
                <w:rFonts w:hint="eastAsia" w:ascii="仿宋_GB2312" w:eastAsia="仿宋_GB2312"/>
                <w:kern w:val="0"/>
                <w:sz w:val="24"/>
                <w:szCs w:val="24"/>
                <w:lang w:eastAsia="zh-CN"/>
              </w:rPr>
              <w:t>单位：</w:t>
            </w:r>
            <w:r>
              <w:rPr>
                <w:rFonts w:hint="eastAsia" w:ascii="仿宋_GB2312" w:eastAsia="仿宋_GB2312"/>
                <w:kern w:val="0"/>
                <w:sz w:val="24"/>
                <w:szCs w:val="24"/>
                <w:lang w:val="en-US" w:eastAsia="zh-CN"/>
              </w:rPr>
              <w:t>%，</w:t>
            </w:r>
            <w:r>
              <w:rPr>
                <w:rFonts w:hint="eastAsia" w:ascii="仿宋_GB2312" w:eastAsia="仿宋_GB2312"/>
                <w:kern w:val="0"/>
                <w:sz w:val="24"/>
                <w:szCs w:val="24"/>
              </w:rPr>
              <w:t>自动</w:t>
            </w:r>
            <w:r>
              <w:rPr>
                <w:rFonts w:hint="eastAsia" w:ascii="仿宋_GB2312" w:eastAsia="仿宋_GB2312"/>
                <w:kern w:val="0"/>
                <w:sz w:val="24"/>
                <w:szCs w:val="24"/>
                <w:lang w:eastAsia="zh-CN"/>
              </w:rPr>
              <w:t>计算带出，</w:t>
            </w:r>
            <w:r>
              <w:rPr>
                <w:rFonts w:hint="eastAsia" w:ascii="仿宋_GB2312" w:eastAsia="仿宋_GB2312"/>
                <w:kern w:val="0"/>
                <w:sz w:val="24"/>
                <w:szCs w:val="24"/>
                <w:lang w:val="en-US" w:eastAsia="zh-CN"/>
              </w:rPr>
              <w:t>折算比例=成交金额/新面值总额*100%</w:t>
            </w:r>
          </w:p>
        </w:tc>
      </w:tr>
      <w:tr w14:paraId="2F2D9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7C863FA6">
            <w:pPr>
              <w:adjustRightInd w:val="0"/>
              <w:snapToGrid w:val="0"/>
              <w:jc w:val="left"/>
              <w:rPr>
                <w:rFonts w:hint="eastAsia" w:ascii="仿宋_GB2312" w:eastAsia="仿宋_GB2312"/>
                <w:b/>
                <w:kern w:val="0"/>
                <w:sz w:val="24"/>
                <w:szCs w:val="24"/>
                <w:lang w:eastAsia="zh-CN"/>
              </w:rPr>
            </w:pPr>
            <w:r>
              <w:rPr>
                <w:rFonts w:hint="eastAsia" w:ascii="仿宋_GB2312" w:eastAsia="仿宋_GB2312"/>
                <w:b/>
                <w:kern w:val="0"/>
                <w:sz w:val="24"/>
                <w:szCs w:val="24"/>
                <w:lang w:eastAsia="zh-CN"/>
              </w:rPr>
              <w:t>成交金额</w:t>
            </w:r>
          </w:p>
        </w:tc>
        <w:tc>
          <w:tcPr>
            <w:tcW w:w="5437" w:type="dxa"/>
          </w:tcPr>
          <w:p w14:paraId="45484A0C">
            <w:pPr>
              <w:adjustRightInd w:val="0"/>
              <w:snapToGrid w:val="0"/>
              <w:jc w:val="left"/>
              <w:rPr>
                <w:rFonts w:hint="eastAsia" w:ascii="仿宋_GB2312" w:eastAsia="仿宋_GB2312"/>
                <w:kern w:val="0"/>
                <w:sz w:val="24"/>
                <w:szCs w:val="24"/>
                <w:lang w:eastAsia="zh-CN"/>
              </w:rPr>
            </w:pPr>
            <w:r>
              <w:rPr>
                <w:rFonts w:hint="eastAsia" w:ascii="仿宋_GB2312" w:eastAsia="仿宋_GB2312"/>
                <w:kern w:val="0"/>
                <w:sz w:val="24"/>
                <w:szCs w:val="24"/>
                <w:lang w:eastAsia="zh-CN"/>
              </w:rPr>
              <w:t>单位：元，自动带出，换入券和换出券成交金额相同</w:t>
            </w:r>
          </w:p>
        </w:tc>
      </w:tr>
      <w:tr w14:paraId="07EC7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tcPr>
          <w:p w14:paraId="56424FE4">
            <w:pPr>
              <w:adjustRightInd w:val="0"/>
              <w:snapToGrid w:val="0"/>
              <w:jc w:val="left"/>
              <w:rPr>
                <w:rFonts w:hint="eastAsia" w:ascii="仿宋_GB2312" w:eastAsia="仿宋_GB2312"/>
                <w:b/>
                <w:kern w:val="0"/>
                <w:sz w:val="24"/>
                <w:szCs w:val="24"/>
                <w:lang w:eastAsia="zh-CN"/>
              </w:rPr>
            </w:pPr>
            <w:r>
              <w:rPr>
                <w:rFonts w:hint="eastAsia" w:ascii="仿宋_GB2312" w:eastAsia="仿宋_GB2312"/>
                <w:b/>
                <w:kern w:val="0"/>
                <w:sz w:val="24"/>
                <w:szCs w:val="24"/>
                <w:lang w:eastAsia="zh-CN"/>
              </w:rPr>
              <w:t>约定号</w:t>
            </w:r>
          </w:p>
        </w:tc>
        <w:tc>
          <w:tcPr>
            <w:tcW w:w="5437" w:type="dxa"/>
          </w:tcPr>
          <w:p w14:paraId="6B10FCF9">
            <w:pPr>
              <w:adjustRightInd w:val="0"/>
              <w:snapToGrid w:val="0"/>
              <w:jc w:val="left"/>
              <w:rPr>
                <w:rFonts w:hint="eastAsia" w:ascii="仿宋_GB2312" w:eastAsia="仿宋_GB2312"/>
                <w:kern w:val="0"/>
                <w:sz w:val="24"/>
                <w:szCs w:val="24"/>
                <w:lang w:eastAsia="zh-CN"/>
              </w:rPr>
            </w:pPr>
            <w:r>
              <w:rPr>
                <w:rFonts w:hint="eastAsia" w:ascii="仿宋_GB2312" w:eastAsia="仿宋_GB2312"/>
                <w:kern w:val="0"/>
                <w:sz w:val="24"/>
                <w:szCs w:val="24"/>
                <w:lang w:eastAsia="zh-CN"/>
              </w:rPr>
              <w:t>选填</w:t>
            </w:r>
          </w:p>
        </w:tc>
      </w:tr>
      <w:tr w14:paraId="5541F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85" w:type="dxa"/>
          </w:tcPr>
          <w:p w14:paraId="7AC39E00">
            <w:pPr>
              <w:adjustRightInd w:val="0"/>
              <w:snapToGrid w:val="0"/>
              <w:jc w:val="left"/>
              <w:rPr>
                <w:rFonts w:hint="eastAsia" w:ascii="仿宋_GB2312" w:eastAsia="仿宋_GB2312"/>
                <w:b/>
                <w:kern w:val="0"/>
                <w:sz w:val="24"/>
                <w:szCs w:val="24"/>
                <w:lang w:eastAsia="zh-CN"/>
              </w:rPr>
            </w:pPr>
            <w:r>
              <w:rPr>
                <w:rFonts w:hint="eastAsia" w:ascii="仿宋_GB2312" w:eastAsia="仿宋_GB2312"/>
                <w:b/>
                <w:kern w:val="0"/>
                <w:sz w:val="24"/>
                <w:szCs w:val="24"/>
              </w:rPr>
              <w:t>补充</w:t>
            </w:r>
            <w:r>
              <w:rPr>
                <w:rFonts w:hint="eastAsia" w:ascii="仿宋_GB2312" w:eastAsia="仿宋_GB2312"/>
                <w:b/>
                <w:kern w:val="0"/>
                <w:sz w:val="24"/>
                <w:szCs w:val="24"/>
                <w:lang w:eastAsia="zh-CN"/>
              </w:rPr>
              <w:t>约定或备注</w:t>
            </w:r>
          </w:p>
        </w:tc>
        <w:tc>
          <w:tcPr>
            <w:tcW w:w="5437" w:type="dxa"/>
          </w:tcPr>
          <w:p w14:paraId="03F75DC8">
            <w:pPr>
              <w:adjustRightInd w:val="0"/>
              <w:snapToGrid w:val="0"/>
              <w:jc w:val="left"/>
              <w:rPr>
                <w:rFonts w:ascii="仿宋_GB2312" w:eastAsia="仿宋_GB2312"/>
                <w:kern w:val="0"/>
                <w:sz w:val="24"/>
                <w:szCs w:val="24"/>
              </w:rPr>
            </w:pPr>
            <w:r>
              <w:rPr>
                <w:rFonts w:hint="eastAsia" w:ascii="仿宋_GB2312" w:eastAsia="仿宋_GB2312"/>
                <w:kern w:val="0"/>
                <w:sz w:val="24"/>
                <w:szCs w:val="24"/>
              </w:rPr>
              <w:t>交易双方的补充约定条款</w:t>
            </w:r>
          </w:p>
        </w:tc>
      </w:tr>
    </w:tbl>
    <w:p w14:paraId="6AB06682">
      <w:pPr>
        <w:spacing w:line="600" w:lineRule="exact"/>
        <w:ind w:left="567"/>
        <w:outlineLvl w:val="3"/>
        <w:rPr>
          <w:rFonts w:ascii="仿宋_GB2312" w:eastAsia="仿宋_GB2312"/>
          <w:b/>
          <w:sz w:val="30"/>
          <w:szCs w:val="30"/>
        </w:rPr>
      </w:pPr>
      <w:r>
        <w:rPr>
          <w:rFonts w:hint="eastAsia" w:ascii="仿宋_GB2312" w:eastAsia="仿宋_GB2312"/>
          <w:b/>
          <w:sz w:val="30"/>
          <w:szCs w:val="30"/>
        </w:rPr>
        <w:t>（2）提前终止申报</w:t>
      </w:r>
    </w:p>
    <w:p w14:paraId="3E671D7B">
      <w:pPr>
        <w:adjustRightInd w:val="0"/>
        <w:snapToGrid w:val="0"/>
        <w:spacing w:line="600" w:lineRule="exact"/>
        <w:ind w:firstLine="600" w:firstLineChars="200"/>
        <w:rPr>
          <w:rFonts w:ascii="仿宋_GB2312" w:hAnsi="Calibri" w:eastAsia="仿宋_GB2312"/>
          <w:sz w:val="30"/>
          <w:szCs w:val="30"/>
        </w:rPr>
      </w:pPr>
      <w:r>
        <w:rPr>
          <w:rFonts w:hint="eastAsia" w:ascii="仿宋_GB2312" w:eastAsia="仿宋_GB2312"/>
          <w:sz w:val="30"/>
          <w:szCs w:val="30"/>
        </w:rPr>
        <w:t>协议</w:t>
      </w:r>
      <w:r>
        <w:rPr>
          <w:rFonts w:hint="eastAsia" w:ascii="仿宋_GB2312" w:hAnsi="Calibri" w:eastAsia="仿宋_GB2312"/>
          <w:sz w:val="30"/>
          <w:szCs w:val="30"/>
        </w:rPr>
        <w:t>回购达成后，在协议回购存续期间（不含首次结算日和到期结算日），经双方协商一致，协议回购可以提前终止，并按照双方重新商定的回购利率进行结算。</w:t>
      </w:r>
    </w:p>
    <w:p w14:paraId="7BF13ACB">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提前终止申报由正回购方或者逆回购方发起，经对手方进行确认申报后，由</w:t>
      </w:r>
      <w:r>
        <w:rPr>
          <w:rFonts w:hint="eastAsia" w:ascii="仿宋_GB2312" w:hAnsi="Calibri" w:eastAsia="仿宋_GB2312"/>
          <w:sz w:val="30"/>
          <w:szCs w:val="30"/>
          <w:lang w:eastAsia="zh-CN"/>
        </w:rPr>
        <w:t>新固定收益系统</w:t>
      </w:r>
      <w:r>
        <w:rPr>
          <w:rFonts w:hint="eastAsia" w:ascii="仿宋_GB2312" w:hAnsi="Calibri" w:eastAsia="仿宋_GB2312"/>
          <w:sz w:val="30"/>
          <w:szCs w:val="30"/>
        </w:rPr>
        <w:t>予以确认。</w:t>
      </w:r>
    </w:p>
    <w:p w14:paraId="6E6B4075">
      <w:pPr>
        <w:adjustRightInd w:val="0"/>
        <w:snapToGrid w:val="0"/>
        <w:spacing w:line="600" w:lineRule="exact"/>
        <w:ind w:firstLine="600" w:firstLineChars="200"/>
        <w:rPr>
          <w:rFonts w:hint="eastAsia" w:ascii="仿宋_GB2312" w:hAnsi="宋体" w:eastAsia="仿宋_GB2312"/>
          <w:sz w:val="30"/>
          <w:szCs w:val="30"/>
        </w:rPr>
      </w:pPr>
      <w:r>
        <w:rPr>
          <w:rFonts w:hint="eastAsia" w:ascii="仿宋_GB2312" w:hAnsi="Calibri" w:eastAsia="仿宋_GB2312"/>
          <w:sz w:val="30"/>
          <w:szCs w:val="30"/>
        </w:rPr>
        <w:t>提前终止申报</w:t>
      </w:r>
      <w:r>
        <w:rPr>
          <w:rFonts w:hint="eastAsia" w:ascii="仿宋_GB2312" w:hAnsi="Calibri" w:eastAsia="仿宋_GB2312"/>
          <w:sz w:val="30"/>
          <w:szCs w:val="30"/>
          <w:lang w:eastAsia="zh-CN"/>
        </w:rPr>
        <w:t>时自动带出原合约申报信息，可查看、不可修改，其他</w:t>
      </w:r>
      <w:r>
        <w:rPr>
          <w:rFonts w:hint="eastAsia" w:ascii="仿宋_GB2312" w:hAnsi="宋体" w:eastAsia="仿宋_GB2312"/>
          <w:sz w:val="30"/>
          <w:szCs w:val="30"/>
        </w:rPr>
        <w:t>要素及要素说明如下：</w:t>
      </w:r>
    </w:p>
    <w:tbl>
      <w:tblPr>
        <w:tblStyle w:val="43"/>
        <w:tblW w:w="0" w:type="auto"/>
        <w:tblInd w:w="-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4"/>
        <w:gridCol w:w="5720"/>
      </w:tblGrid>
      <w:tr w14:paraId="00EEB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4" w:type="dxa"/>
          </w:tcPr>
          <w:p w14:paraId="6B2E348F">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5720" w:type="dxa"/>
          </w:tcPr>
          <w:p w14:paraId="279DF87F">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6DA53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4" w:type="dxa"/>
          </w:tcPr>
          <w:p w14:paraId="5509976F">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本方</w:t>
            </w:r>
            <w:r>
              <w:rPr>
                <w:rFonts w:hint="eastAsia" w:ascii="仿宋_GB2312" w:eastAsia="仿宋_GB2312"/>
                <w:b/>
                <w:kern w:val="0"/>
                <w:sz w:val="24"/>
                <w:szCs w:val="24"/>
              </w:rPr>
              <w:t>交易单元</w:t>
            </w:r>
          </w:p>
        </w:tc>
        <w:tc>
          <w:tcPr>
            <w:tcW w:w="5720" w:type="dxa"/>
          </w:tcPr>
          <w:p w14:paraId="62278824">
            <w:pPr>
              <w:adjustRightInd w:val="0"/>
              <w:snapToGrid w:val="0"/>
              <w:rPr>
                <w:rFonts w:hint="default" w:ascii="仿宋_GB2312" w:eastAsia="仿宋_GB2312"/>
                <w:kern w:val="0"/>
                <w:sz w:val="24"/>
                <w:szCs w:val="24"/>
                <w:lang w:val="en-US" w:eastAsia="zh-CN"/>
              </w:rPr>
            </w:pPr>
            <w:r>
              <w:rPr>
                <w:rFonts w:hint="eastAsia" w:ascii="仿宋_GB2312" w:eastAsia="仿宋_GB2312"/>
                <w:kern w:val="0"/>
                <w:sz w:val="24"/>
                <w:szCs w:val="24"/>
                <w:lang w:eastAsia="zh-CN"/>
              </w:rPr>
              <w:t>自动带出申报方（正回购方</w:t>
            </w:r>
            <w:r>
              <w:rPr>
                <w:rFonts w:hint="eastAsia" w:ascii="仿宋_GB2312" w:eastAsia="仿宋_GB2312"/>
                <w:kern w:val="0"/>
                <w:sz w:val="24"/>
                <w:szCs w:val="24"/>
                <w:lang w:val="en-US" w:eastAsia="zh-CN"/>
              </w:rPr>
              <w:t>/逆回购方</w:t>
            </w:r>
            <w:r>
              <w:rPr>
                <w:rFonts w:hint="eastAsia" w:ascii="仿宋_GB2312" w:eastAsia="仿宋_GB2312"/>
                <w:kern w:val="0"/>
                <w:sz w:val="24"/>
                <w:szCs w:val="24"/>
                <w:lang w:eastAsia="zh-CN"/>
              </w:rPr>
              <w:t>）证券账户号指定的</w:t>
            </w:r>
            <w:r>
              <w:rPr>
                <w:rFonts w:hint="eastAsia" w:ascii="仿宋_GB2312" w:eastAsia="仿宋_GB2312"/>
                <w:kern w:val="0"/>
                <w:sz w:val="24"/>
                <w:szCs w:val="24"/>
                <w:lang w:val="en-US" w:eastAsia="zh-CN"/>
              </w:rPr>
              <w:t>交易单元</w:t>
            </w:r>
          </w:p>
        </w:tc>
      </w:tr>
      <w:tr w14:paraId="1BEEF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4" w:type="dxa"/>
          </w:tcPr>
          <w:p w14:paraId="5E05D9ED">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rPr>
              <w:t>对手方</w:t>
            </w:r>
            <w:r>
              <w:rPr>
                <w:rFonts w:hint="eastAsia" w:ascii="仿宋_GB2312" w:eastAsia="仿宋_GB2312"/>
                <w:b/>
                <w:kern w:val="0"/>
                <w:sz w:val="24"/>
                <w:szCs w:val="24"/>
                <w:lang w:eastAsia="zh-CN"/>
              </w:rPr>
              <w:t>一债通账户</w:t>
            </w:r>
          </w:p>
        </w:tc>
        <w:tc>
          <w:tcPr>
            <w:tcW w:w="5720" w:type="dxa"/>
          </w:tcPr>
          <w:p w14:paraId="6D9CFF69">
            <w:pPr>
              <w:adjustRightInd w:val="0"/>
              <w:snapToGrid w:val="0"/>
              <w:rPr>
                <w:rFonts w:ascii="仿宋_GB2312" w:eastAsia="仿宋_GB2312"/>
                <w:kern w:val="0"/>
                <w:sz w:val="24"/>
                <w:szCs w:val="24"/>
              </w:rPr>
            </w:pPr>
            <w:r>
              <w:rPr>
                <w:rFonts w:hint="eastAsia" w:ascii="仿宋_GB2312" w:eastAsia="仿宋_GB2312"/>
                <w:kern w:val="0"/>
                <w:sz w:val="24"/>
                <w:szCs w:val="24"/>
              </w:rPr>
              <w:t>默认显示原</w:t>
            </w:r>
            <w:r>
              <w:rPr>
                <w:rFonts w:hint="eastAsia" w:ascii="仿宋_GB2312" w:eastAsia="仿宋_GB2312"/>
                <w:kern w:val="0"/>
                <w:sz w:val="24"/>
                <w:szCs w:val="24"/>
                <w:lang w:eastAsia="zh-CN"/>
              </w:rPr>
              <w:t>合约</w:t>
            </w:r>
            <w:r>
              <w:rPr>
                <w:rFonts w:hint="eastAsia" w:ascii="仿宋_GB2312" w:eastAsia="仿宋_GB2312"/>
                <w:kern w:val="0"/>
                <w:sz w:val="24"/>
                <w:szCs w:val="24"/>
              </w:rPr>
              <w:t>对手方交易员</w:t>
            </w:r>
            <w:r>
              <w:rPr>
                <w:rFonts w:hint="eastAsia" w:ascii="仿宋_GB2312" w:eastAsia="仿宋_GB2312"/>
                <w:kern w:val="0"/>
                <w:sz w:val="24"/>
                <w:szCs w:val="24"/>
                <w:lang w:eastAsia="zh-CN"/>
              </w:rPr>
              <w:t>的</w:t>
            </w:r>
            <w:r>
              <w:rPr>
                <w:rFonts w:hint="eastAsia" w:ascii="仿宋_GB2312" w:eastAsia="仿宋_GB2312"/>
                <w:b w:val="0"/>
                <w:bCs/>
                <w:kern w:val="0"/>
                <w:sz w:val="24"/>
                <w:szCs w:val="24"/>
                <w:lang w:eastAsia="zh-CN"/>
              </w:rPr>
              <w:t>一债通账号</w:t>
            </w:r>
          </w:p>
        </w:tc>
      </w:tr>
      <w:tr w14:paraId="7DC40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4" w:type="dxa"/>
          </w:tcPr>
          <w:p w14:paraId="08550C6F">
            <w:pPr>
              <w:adjustRightInd w:val="0"/>
              <w:snapToGrid w:val="0"/>
              <w:rPr>
                <w:rFonts w:ascii="仿宋_GB2312" w:eastAsia="仿宋_GB2312"/>
                <w:b/>
                <w:kern w:val="0"/>
                <w:sz w:val="24"/>
                <w:szCs w:val="24"/>
              </w:rPr>
            </w:pPr>
            <w:r>
              <w:rPr>
                <w:rFonts w:hint="eastAsia" w:ascii="仿宋_GB2312" w:eastAsia="仿宋_GB2312"/>
                <w:b/>
                <w:kern w:val="0"/>
                <w:sz w:val="24"/>
                <w:szCs w:val="24"/>
              </w:rPr>
              <w:t>对手方交易员</w:t>
            </w:r>
          </w:p>
        </w:tc>
        <w:tc>
          <w:tcPr>
            <w:tcW w:w="5720" w:type="dxa"/>
          </w:tcPr>
          <w:p w14:paraId="130213D9">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默认显示原合约</w:t>
            </w:r>
            <w:r>
              <w:rPr>
                <w:rFonts w:hint="eastAsia" w:ascii="仿宋_GB2312" w:eastAsia="仿宋_GB2312"/>
                <w:kern w:val="0"/>
                <w:sz w:val="24"/>
                <w:szCs w:val="24"/>
              </w:rPr>
              <w:t>对手方交易员名称</w:t>
            </w:r>
          </w:p>
        </w:tc>
      </w:tr>
      <w:tr w14:paraId="4C788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4" w:type="dxa"/>
          </w:tcPr>
          <w:p w14:paraId="2D7A8D13">
            <w:pPr>
              <w:adjustRightInd w:val="0"/>
              <w:snapToGrid w:val="0"/>
              <w:rPr>
                <w:rFonts w:ascii="仿宋_GB2312" w:eastAsia="仿宋_GB2312"/>
                <w:b/>
                <w:kern w:val="0"/>
                <w:sz w:val="24"/>
                <w:szCs w:val="24"/>
              </w:rPr>
            </w:pPr>
            <w:r>
              <w:rPr>
                <w:rFonts w:hint="eastAsia" w:ascii="仿宋_GB2312" w:eastAsia="仿宋_GB2312"/>
                <w:b/>
                <w:kern w:val="0"/>
                <w:sz w:val="24"/>
                <w:szCs w:val="24"/>
              </w:rPr>
              <w:t>实际回购利率</w:t>
            </w:r>
          </w:p>
        </w:tc>
        <w:tc>
          <w:tcPr>
            <w:tcW w:w="5720" w:type="dxa"/>
          </w:tcPr>
          <w:p w14:paraId="0D0215A6">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单位：</w:t>
            </w:r>
            <w:r>
              <w:rPr>
                <w:rFonts w:hint="eastAsia" w:ascii="仿宋_GB2312" w:eastAsia="仿宋_GB2312"/>
                <w:kern w:val="0"/>
                <w:sz w:val="24"/>
                <w:szCs w:val="24"/>
                <w:lang w:val="en-US" w:eastAsia="zh-CN"/>
              </w:rPr>
              <w:t>%，</w:t>
            </w:r>
            <w:r>
              <w:rPr>
                <w:rFonts w:hint="eastAsia" w:ascii="仿宋_GB2312" w:eastAsia="仿宋_GB2312"/>
                <w:kern w:val="0"/>
                <w:sz w:val="24"/>
                <w:szCs w:val="24"/>
              </w:rPr>
              <w:t>正回购方实际付给逆回购方的资金价格</w:t>
            </w:r>
          </w:p>
        </w:tc>
      </w:tr>
      <w:tr w14:paraId="2A322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4" w:type="dxa"/>
          </w:tcPr>
          <w:p w14:paraId="1E5E0041">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预估</w:t>
            </w:r>
            <w:r>
              <w:rPr>
                <w:rFonts w:hint="eastAsia" w:ascii="仿宋_GB2312" w:eastAsia="仿宋_GB2312"/>
                <w:b/>
                <w:kern w:val="0"/>
                <w:sz w:val="24"/>
                <w:szCs w:val="24"/>
              </w:rPr>
              <w:t>实际回购利息</w:t>
            </w:r>
          </w:p>
        </w:tc>
        <w:tc>
          <w:tcPr>
            <w:tcW w:w="5720" w:type="dxa"/>
          </w:tcPr>
          <w:p w14:paraId="34D4AFE5">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单位：元，根据成交金额、更新后的回购利率和回购期限自动计算带出</w:t>
            </w:r>
          </w:p>
        </w:tc>
      </w:tr>
      <w:tr w14:paraId="5D5EB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4" w:type="dxa"/>
          </w:tcPr>
          <w:p w14:paraId="55CC69E7">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预估</w:t>
            </w:r>
            <w:r>
              <w:rPr>
                <w:rFonts w:hint="eastAsia" w:ascii="仿宋_GB2312" w:eastAsia="仿宋_GB2312"/>
                <w:b/>
                <w:kern w:val="0"/>
                <w:sz w:val="24"/>
                <w:szCs w:val="24"/>
              </w:rPr>
              <w:t>实际结算金额</w:t>
            </w:r>
          </w:p>
        </w:tc>
        <w:tc>
          <w:tcPr>
            <w:tcW w:w="5720" w:type="dxa"/>
          </w:tcPr>
          <w:p w14:paraId="76DA0040">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单位：元，根据成交金额、更新后的回购利率和回购期限自动计算带出</w:t>
            </w:r>
          </w:p>
        </w:tc>
      </w:tr>
      <w:tr w14:paraId="5F914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4" w:type="dxa"/>
          </w:tcPr>
          <w:p w14:paraId="04DE31E5">
            <w:pPr>
              <w:adjustRightInd w:val="0"/>
              <w:snapToGrid w:val="0"/>
              <w:rPr>
                <w:rFonts w:ascii="仿宋_GB2312" w:eastAsia="仿宋_GB2312"/>
                <w:b/>
                <w:kern w:val="0"/>
                <w:sz w:val="24"/>
                <w:szCs w:val="24"/>
              </w:rPr>
            </w:pPr>
            <w:r>
              <w:rPr>
                <w:rFonts w:hint="eastAsia" w:ascii="仿宋_GB2312" w:eastAsia="仿宋_GB2312"/>
                <w:b/>
                <w:kern w:val="0"/>
                <w:sz w:val="24"/>
                <w:szCs w:val="24"/>
              </w:rPr>
              <w:t>提前终止日期</w:t>
            </w:r>
          </w:p>
        </w:tc>
        <w:tc>
          <w:tcPr>
            <w:tcW w:w="5720" w:type="dxa"/>
          </w:tcPr>
          <w:p w14:paraId="47AE447D">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双方达成提前终止交易的当前交易日，自动</w:t>
            </w:r>
            <w:r>
              <w:rPr>
                <w:rFonts w:hint="eastAsia" w:ascii="仿宋_GB2312" w:eastAsia="仿宋_GB2312"/>
                <w:kern w:val="0"/>
                <w:sz w:val="24"/>
                <w:szCs w:val="24"/>
                <w:lang w:eastAsia="zh-CN"/>
              </w:rPr>
              <w:t>带出</w:t>
            </w:r>
          </w:p>
        </w:tc>
      </w:tr>
      <w:tr w14:paraId="3F23E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4" w:type="dxa"/>
          </w:tcPr>
          <w:p w14:paraId="1D4C4C3C">
            <w:pPr>
              <w:adjustRightInd w:val="0"/>
              <w:snapToGrid w:val="0"/>
              <w:rPr>
                <w:rFonts w:ascii="仿宋_GB2312" w:eastAsia="仿宋_GB2312"/>
                <w:b/>
                <w:kern w:val="0"/>
                <w:sz w:val="24"/>
                <w:szCs w:val="24"/>
              </w:rPr>
            </w:pPr>
            <w:r>
              <w:rPr>
                <w:rFonts w:hint="eastAsia" w:ascii="仿宋_GB2312" w:eastAsia="仿宋_GB2312"/>
                <w:b/>
                <w:kern w:val="0"/>
                <w:sz w:val="24"/>
                <w:szCs w:val="24"/>
              </w:rPr>
              <w:t>提前终止后</w:t>
            </w:r>
            <w:r>
              <w:rPr>
                <w:rFonts w:hint="eastAsia" w:ascii="仿宋_GB2312" w:eastAsia="仿宋_GB2312"/>
                <w:b/>
                <w:kern w:val="0"/>
                <w:sz w:val="24"/>
                <w:szCs w:val="24"/>
                <w:lang w:eastAsia="zh-CN"/>
              </w:rPr>
              <w:t>的</w:t>
            </w:r>
            <w:r>
              <w:rPr>
                <w:rFonts w:hint="eastAsia" w:ascii="仿宋_GB2312" w:eastAsia="仿宋_GB2312"/>
                <w:b/>
                <w:kern w:val="0"/>
                <w:sz w:val="24"/>
                <w:szCs w:val="24"/>
              </w:rPr>
              <w:t>回购期限</w:t>
            </w:r>
          </w:p>
        </w:tc>
        <w:tc>
          <w:tcPr>
            <w:tcW w:w="5720" w:type="dxa"/>
          </w:tcPr>
          <w:p w14:paraId="511A6306">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即成交日至提前终止日的实际天数</w:t>
            </w:r>
            <w:r>
              <w:rPr>
                <w:rFonts w:hint="eastAsia" w:ascii="仿宋_GB2312" w:eastAsia="仿宋_GB2312"/>
                <w:kern w:val="0"/>
                <w:sz w:val="24"/>
                <w:szCs w:val="24"/>
                <w:lang w:eastAsia="zh-CN"/>
              </w:rPr>
              <w:t>，</w:t>
            </w:r>
            <w:r>
              <w:rPr>
                <w:rFonts w:hint="eastAsia" w:ascii="仿宋_GB2312" w:eastAsia="仿宋_GB2312"/>
                <w:kern w:val="0"/>
                <w:sz w:val="24"/>
                <w:szCs w:val="24"/>
              </w:rPr>
              <w:t>回购期限按自然日计算，以天为单位，含成交日，不含提前终止日</w:t>
            </w:r>
            <w:r>
              <w:rPr>
                <w:rFonts w:hint="eastAsia" w:ascii="仿宋_GB2312" w:eastAsia="仿宋_GB2312"/>
                <w:kern w:val="0"/>
                <w:sz w:val="24"/>
                <w:szCs w:val="24"/>
                <w:lang w:eastAsia="zh-CN"/>
              </w:rPr>
              <w:t>；</w:t>
            </w:r>
            <w:r>
              <w:rPr>
                <w:rFonts w:hint="eastAsia" w:ascii="仿宋_GB2312" w:eastAsia="仿宋_GB2312"/>
                <w:kern w:val="0"/>
                <w:sz w:val="24"/>
                <w:szCs w:val="24"/>
              </w:rPr>
              <w:t>自动</w:t>
            </w:r>
            <w:r>
              <w:rPr>
                <w:rFonts w:hint="eastAsia" w:ascii="仿宋_GB2312" w:eastAsia="仿宋_GB2312"/>
                <w:kern w:val="0"/>
                <w:sz w:val="24"/>
                <w:szCs w:val="24"/>
                <w:lang w:eastAsia="zh-CN"/>
              </w:rPr>
              <w:t>带出</w:t>
            </w:r>
          </w:p>
        </w:tc>
      </w:tr>
      <w:tr w14:paraId="73EFA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4" w:type="dxa"/>
          </w:tcPr>
          <w:p w14:paraId="48473A5A">
            <w:pPr>
              <w:adjustRightInd w:val="0"/>
              <w:snapToGrid w:val="0"/>
              <w:rPr>
                <w:rFonts w:ascii="仿宋_GB2312" w:eastAsia="仿宋_GB2312"/>
                <w:b/>
                <w:kern w:val="0"/>
                <w:sz w:val="24"/>
                <w:szCs w:val="24"/>
              </w:rPr>
            </w:pPr>
            <w:r>
              <w:rPr>
                <w:rFonts w:hint="eastAsia" w:ascii="仿宋_GB2312" w:eastAsia="仿宋_GB2312"/>
                <w:b/>
                <w:kern w:val="0"/>
                <w:sz w:val="24"/>
                <w:szCs w:val="24"/>
              </w:rPr>
              <w:t>提前终止后</w:t>
            </w:r>
            <w:r>
              <w:rPr>
                <w:rFonts w:hint="eastAsia" w:ascii="仿宋_GB2312" w:eastAsia="仿宋_GB2312"/>
                <w:b/>
                <w:kern w:val="0"/>
                <w:sz w:val="24"/>
                <w:szCs w:val="24"/>
                <w:lang w:eastAsia="zh-CN"/>
              </w:rPr>
              <w:t>的</w:t>
            </w:r>
            <w:r>
              <w:rPr>
                <w:rFonts w:hint="eastAsia" w:ascii="仿宋_GB2312" w:eastAsia="仿宋_GB2312"/>
                <w:b/>
                <w:kern w:val="0"/>
                <w:sz w:val="24"/>
                <w:szCs w:val="24"/>
              </w:rPr>
              <w:t>实际占款期限</w:t>
            </w:r>
          </w:p>
        </w:tc>
        <w:tc>
          <w:tcPr>
            <w:tcW w:w="5720" w:type="dxa"/>
          </w:tcPr>
          <w:p w14:paraId="114F7966">
            <w:pPr>
              <w:adjustRightInd w:val="0"/>
              <w:snapToGrid w:val="0"/>
              <w:rPr>
                <w:rFonts w:ascii="仿宋_GB2312" w:eastAsia="仿宋_GB2312"/>
                <w:kern w:val="0"/>
                <w:sz w:val="24"/>
                <w:szCs w:val="24"/>
              </w:rPr>
            </w:pPr>
            <w:r>
              <w:rPr>
                <w:rFonts w:hint="eastAsia" w:ascii="仿宋_GB2312" w:eastAsia="仿宋_GB2312"/>
                <w:kern w:val="0"/>
                <w:sz w:val="24"/>
                <w:szCs w:val="24"/>
              </w:rPr>
              <w:t>提前终止日-首期结算日，自动</w:t>
            </w:r>
            <w:r>
              <w:rPr>
                <w:rFonts w:hint="eastAsia" w:ascii="仿宋_GB2312" w:eastAsia="仿宋_GB2312"/>
                <w:kern w:val="0"/>
                <w:sz w:val="24"/>
                <w:szCs w:val="24"/>
                <w:lang w:eastAsia="zh-CN"/>
              </w:rPr>
              <w:t>带出</w:t>
            </w:r>
          </w:p>
        </w:tc>
      </w:tr>
      <w:tr w14:paraId="061F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4" w:type="dxa"/>
          </w:tcPr>
          <w:p w14:paraId="425A9805">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约定号</w:t>
            </w:r>
          </w:p>
        </w:tc>
        <w:tc>
          <w:tcPr>
            <w:tcW w:w="5720" w:type="dxa"/>
          </w:tcPr>
          <w:p w14:paraId="49B250CD">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选填</w:t>
            </w:r>
          </w:p>
        </w:tc>
      </w:tr>
      <w:tr w14:paraId="22C2D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4" w:type="dxa"/>
          </w:tcPr>
          <w:p w14:paraId="67BC5F62">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rPr>
              <w:t>补充</w:t>
            </w:r>
            <w:r>
              <w:rPr>
                <w:rFonts w:hint="eastAsia" w:ascii="仿宋_GB2312" w:eastAsia="仿宋_GB2312"/>
                <w:b/>
                <w:kern w:val="0"/>
                <w:sz w:val="24"/>
                <w:szCs w:val="24"/>
                <w:lang w:eastAsia="zh-CN"/>
              </w:rPr>
              <w:t>约定或备注</w:t>
            </w:r>
          </w:p>
        </w:tc>
        <w:tc>
          <w:tcPr>
            <w:tcW w:w="5720" w:type="dxa"/>
          </w:tcPr>
          <w:p w14:paraId="6EAD9328">
            <w:pPr>
              <w:adjustRightInd w:val="0"/>
              <w:snapToGrid w:val="0"/>
              <w:rPr>
                <w:rFonts w:ascii="仿宋_GB2312" w:eastAsia="仿宋_GB2312"/>
                <w:kern w:val="0"/>
                <w:sz w:val="24"/>
                <w:szCs w:val="24"/>
              </w:rPr>
            </w:pPr>
            <w:r>
              <w:rPr>
                <w:rFonts w:hint="eastAsia" w:ascii="仿宋_GB2312" w:eastAsia="仿宋_GB2312"/>
                <w:kern w:val="0"/>
                <w:sz w:val="24"/>
                <w:szCs w:val="24"/>
              </w:rPr>
              <w:t>交易双方的补充约定条款</w:t>
            </w:r>
          </w:p>
        </w:tc>
      </w:tr>
    </w:tbl>
    <w:p w14:paraId="3A1B9E25">
      <w:pPr>
        <w:spacing w:line="600" w:lineRule="exact"/>
        <w:ind w:left="567"/>
        <w:outlineLvl w:val="3"/>
        <w:rPr>
          <w:rFonts w:ascii="仿宋_GB2312" w:eastAsia="仿宋_GB2312"/>
          <w:b/>
          <w:sz w:val="30"/>
          <w:szCs w:val="30"/>
        </w:rPr>
      </w:pPr>
      <w:r>
        <w:rPr>
          <w:rFonts w:hint="eastAsia" w:ascii="仿宋_GB2312" w:eastAsia="仿宋_GB2312"/>
          <w:b/>
          <w:sz w:val="30"/>
          <w:szCs w:val="30"/>
        </w:rPr>
        <w:t>（3）异常情况处理</w:t>
      </w:r>
    </w:p>
    <w:p w14:paraId="42BB18AD">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协议回购存续期间发生以下情形的，列为异常情况：</w:t>
      </w:r>
    </w:p>
    <w:p w14:paraId="0EF531D0">
      <w:pPr>
        <w:adjustRightInd w:val="0"/>
        <w:snapToGrid w:val="0"/>
        <w:spacing w:line="600" w:lineRule="exact"/>
        <w:ind w:firstLine="600" w:firstLineChars="200"/>
        <w:rPr>
          <w:rFonts w:ascii="仿宋_GB2312" w:hAnsi="Calibri" w:eastAsia="仿宋_GB2312"/>
          <w:sz w:val="30"/>
          <w:szCs w:val="30"/>
        </w:rPr>
      </w:pPr>
      <w:r>
        <w:rPr>
          <w:rFonts w:ascii="仿宋_GB2312" w:hAnsi="Calibri" w:eastAsia="仿宋_GB2312"/>
          <w:sz w:val="30"/>
          <w:szCs w:val="30"/>
        </w:rPr>
        <w:t>1</w:t>
      </w:r>
      <w:r>
        <w:rPr>
          <w:rFonts w:hint="eastAsia" w:ascii="仿宋_GB2312" w:hAnsi="Calibri" w:eastAsia="仿宋_GB2312"/>
          <w:sz w:val="30"/>
          <w:szCs w:val="30"/>
        </w:rPr>
        <w:t>）质押券、证券账户或资金账户被司法等机关冻结或强制执行；</w:t>
      </w:r>
    </w:p>
    <w:p w14:paraId="49D249BF">
      <w:pPr>
        <w:adjustRightInd w:val="0"/>
        <w:snapToGrid w:val="0"/>
        <w:spacing w:line="600" w:lineRule="exact"/>
        <w:ind w:firstLine="600" w:firstLineChars="200"/>
        <w:rPr>
          <w:rFonts w:ascii="仿宋_GB2312" w:hAnsi="Calibri" w:eastAsia="仿宋_GB2312"/>
          <w:sz w:val="30"/>
          <w:szCs w:val="30"/>
        </w:rPr>
      </w:pPr>
      <w:r>
        <w:rPr>
          <w:rFonts w:ascii="仿宋_GB2312" w:hAnsi="Calibri" w:eastAsia="仿宋_GB2312"/>
          <w:sz w:val="30"/>
          <w:szCs w:val="30"/>
        </w:rPr>
        <w:t>2</w:t>
      </w:r>
      <w:r>
        <w:rPr>
          <w:rFonts w:hint="eastAsia" w:ascii="仿宋_GB2312" w:hAnsi="Calibri" w:eastAsia="仿宋_GB2312"/>
          <w:sz w:val="30"/>
          <w:szCs w:val="30"/>
        </w:rPr>
        <w:t>）回购任何一方被暂停或终止协议回购交易权限；</w:t>
      </w:r>
    </w:p>
    <w:p w14:paraId="3999FB5A">
      <w:pPr>
        <w:adjustRightInd w:val="0"/>
        <w:snapToGrid w:val="0"/>
        <w:spacing w:line="600" w:lineRule="exact"/>
        <w:ind w:firstLine="600" w:firstLineChars="200"/>
        <w:rPr>
          <w:rFonts w:ascii="仿宋_GB2312" w:hAnsi="Calibri" w:eastAsia="仿宋_GB2312"/>
          <w:sz w:val="30"/>
          <w:szCs w:val="30"/>
        </w:rPr>
      </w:pPr>
      <w:r>
        <w:rPr>
          <w:rFonts w:ascii="仿宋_GB2312" w:hAnsi="Calibri" w:eastAsia="仿宋_GB2312"/>
          <w:sz w:val="30"/>
          <w:szCs w:val="30"/>
        </w:rPr>
        <w:t>3</w:t>
      </w:r>
      <w:r>
        <w:rPr>
          <w:rFonts w:hint="eastAsia" w:ascii="仿宋_GB2312" w:hAnsi="Calibri" w:eastAsia="仿宋_GB2312"/>
          <w:sz w:val="30"/>
          <w:szCs w:val="30"/>
        </w:rPr>
        <w:t>）回购任何一方或代理证券公司进入风险处置、终止清算、破产程序或者理财产品提前终止；</w:t>
      </w:r>
    </w:p>
    <w:p w14:paraId="0B52E3F9">
      <w:pPr>
        <w:adjustRightInd w:val="0"/>
        <w:snapToGrid w:val="0"/>
        <w:spacing w:line="600" w:lineRule="exact"/>
        <w:ind w:firstLine="600" w:firstLineChars="200"/>
        <w:rPr>
          <w:rFonts w:ascii="仿宋_GB2312" w:hAnsi="Calibri" w:eastAsia="仿宋_GB2312"/>
          <w:sz w:val="30"/>
          <w:szCs w:val="30"/>
        </w:rPr>
      </w:pPr>
      <w:r>
        <w:rPr>
          <w:rFonts w:ascii="仿宋_GB2312" w:hAnsi="Calibri" w:eastAsia="仿宋_GB2312"/>
          <w:sz w:val="30"/>
          <w:szCs w:val="30"/>
        </w:rPr>
        <w:t>4</w:t>
      </w:r>
      <w:r>
        <w:rPr>
          <w:rFonts w:hint="eastAsia" w:ascii="仿宋_GB2312" w:hAnsi="Calibri" w:eastAsia="仿宋_GB2312"/>
          <w:sz w:val="30"/>
          <w:szCs w:val="30"/>
        </w:rPr>
        <w:t>）质押券被暂停、终止上市或者转让；</w:t>
      </w:r>
    </w:p>
    <w:p w14:paraId="276F60C2">
      <w:pPr>
        <w:adjustRightInd w:val="0"/>
        <w:snapToGrid w:val="0"/>
        <w:spacing w:line="600" w:lineRule="exact"/>
        <w:ind w:firstLine="600" w:firstLineChars="200"/>
        <w:rPr>
          <w:rFonts w:ascii="仿宋_GB2312" w:hAnsi="Calibri" w:eastAsia="仿宋_GB2312"/>
          <w:sz w:val="30"/>
          <w:szCs w:val="30"/>
        </w:rPr>
      </w:pPr>
      <w:r>
        <w:rPr>
          <w:rFonts w:ascii="仿宋_GB2312" w:hAnsi="Calibri" w:eastAsia="仿宋_GB2312"/>
          <w:sz w:val="30"/>
          <w:szCs w:val="30"/>
        </w:rPr>
        <w:t>5</w:t>
      </w:r>
      <w:r>
        <w:rPr>
          <w:rFonts w:hint="eastAsia" w:ascii="仿宋_GB2312" w:hAnsi="Calibri" w:eastAsia="仿宋_GB2312"/>
          <w:sz w:val="30"/>
          <w:szCs w:val="30"/>
        </w:rPr>
        <w:t>）本所认定的其他异常情况。</w:t>
      </w:r>
    </w:p>
    <w:p w14:paraId="1E68C7DA">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发生异常情况的，一方应当在异常情况发生时及时通知对手方，并及时协商解决。回购双方可以采取以下方式进行处理：</w:t>
      </w:r>
    </w:p>
    <w:p w14:paraId="2AC28EFE">
      <w:pPr>
        <w:adjustRightInd w:val="0"/>
        <w:snapToGrid w:val="0"/>
        <w:spacing w:line="600" w:lineRule="exact"/>
        <w:ind w:firstLine="600" w:firstLineChars="200"/>
        <w:rPr>
          <w:rFonts w:ascii="仿宋_GB2312" w:hAnsi="Calibri" w:eastAsia="仿宋_GB2312"/>
          <w:sz w:val="30"/>
          <w:szCs w:val="30"/>
        </w:rPr>
      </w:pPr>
      <w:r>
        <w:rPr>
          <w:rFonts w:ascii="仿宋_GB2312" w:hAnsi="Calibri" w:eastAsia="仿宋_GB2312"/>
          <w:sz w:val="30"/>
          <w:szCs w:val="30"/>
        </w:rPr>
        <w:t>1</w:t>
      </w:r>
      <w:r>
        <w:rPr>
          <w:rFonts w:hint="eastAsia" w:ascii="仿宋_GB2312" w:hAnsi="Calibri" w:eastAsia="仿宋_GB2312"/>
          <w:sz w:val="30"/>
          <w:szCs w:val="30"/>
        </w:rPr>
        <w:t>）提前终止；</w:t>
      </w:r>
    </w:p>
    <w:p w14:paraId="0DD4A8C5">
      <w:pPr>
        <w:adjustRightInd w:val="0"/>
        <w:snapToGrid w:val="0"/>
        <w:spacing w:line="600" w:lineRule="exact"/>
        <w:ind w:firstLine="600" w:firstLineChars="200"/>
        <w:rPr>
          <w:rFonts w:ascii="仿宋_GB2312" w:hAnsi="Calibri" w:eastAsia="仿宋_GB2312"/>
          <w:sz w:val="30"/>
          <w:szCs w:val="30"/>
        </w:rPr>
      </w:pPr>
      <w:r>
        <w:rPr>
          <w:rFonts w:ascii="仿宋_GB2312" w:hAnsi="Calibri" w:eastAsia="仿宋_GB2312"/>
          <w:sz w:val="30"/>
          <w:szCs w:val="30"/>
        </w:rPr>
        <w:t>2</w:t>
      </w:r>
      <w:r>
        <w:rPr>
          <w:rFonts w:hint="eastAsia" w:ascii="仿宋_GB2312" w:hAnsi="Calibri" w:eastAsia="仿宋_GB2312"/>
          <w:sz w:val="30"/>
          <w:szCs w:val="30"/>
        </w:rPr>
        <w:t>）变更质押券；</w:t>
      </w:r>
    </w:p>
    <w:p w14:paraId="6931A178">
      <w:pPr>
        <w:adjustRightInd w:val="0"/>
        <w:snapToGrid w:val="0"/>
        <w:spacing w:line="600" w:lineRule="exact"/>
        <w:ind w:firstLine="600" w:firstLineChars="200"/>
        <w:rPr>
          <w:rFonts w:ascii="仿宋_GB2312" w:hAnsi="Calibri" w:eastAsia="仿宋_GB2312"/>
          <w:sz w:val="30"/>
          <w:szCs w:val="30"/>
        </w:rPr>
      </w:pPr>
      <w:r>
        <w:rPr>
          <w:rFonts w:ascii="仿宋_GB2312" w:hAnsi="Calibri" w:eastAsia="仿宋_GB2312"/>
          <w:sz w:val="30"/>
          <w:szCs w:val="30"/>
        </w:rPr>
        <w:t>3</w:t>
      </w:r>
      <w:r>
        <w:rPr>
          <w:rFonts w:hint="eastAsia" w:ascii="仿宋_GB2312" w:hAnsi="Calibri" w:eastAsia="仿宋_GB2312"/>
          <w:sz w:val="30"/>
          <w:szCs w:val="30"/>
        </w:rPr>
        <w:t>）继续履行；</w:t>
      </w:r>
    </w:p>
    <w:p w14:paraId="00923868">
      <w:pPr>
        <w:adjustRightInd w:val="0"/>
        <w:snapToGrid w:val="0"/>
        <w:spacing w:line="600" w:lineRule="exact"/>
        <w:ind w:firstLine="600" w:firstLineChars="200"/>
        <w:rPr>
          <w:rFonts w:ascii="仿宋_GB2312" w:hAnsi="Calibri" w:eastAsia="仿宋_GB2312"/>
          <w:sz w:val="30"/>
          <w:szCs w:val="30"/>
        </w:rPr>
      </w:pPr>
      <w:r>
        <w:rPr>
          <w:rFonts w:ascii="仿宋_GB2312" w:hAnsi="Calibri" w:eastAsia="仿宋_GB2312"/>
          <w:sz w:val="30"/>
          <w:szCs w:val="30"/>
        </w:rPr>
        <w:t>4</w:t>
      </w:r>
      <w:r>
        <w:rPr>
          <w:rFonts w:hint="eastAsia" w:ascii="仿宋_GB2312" w:hAnsi="Calibri" w:eastAsia="仿宋_GB2312"/>
          <w:sz w:val="30"/>
          <w:szCs w:val="30"/>
        </w:rPr>
        <w:t>）本</w:t>
      </w:r>
      <w:r>
        <w:rPr>
          <w:rFonts w:hint="eastAsia" w:ascii="仿宋_GB2312" w:hAnsi="Calibri" w:eastAsia="仿宋_GB2312"/>
          <w:sz w:val="30"/>
          <w:szCs w:val="30"/>
          <w:lang w:eastAsia="zh-CN"/>
        </w:rPr>
        <w:t>所</w:t>
      </w:r>
      <w:r>
        <w:rPr>
          <w:rFonts w:hint="eastAsia" w:ascii="仿宋_GB2312" w:hAnsi="Calibri" w:eastAsia="仿宋_GB2312"/>
          <w:sz w:val="30"/>
          <w:szCs w:val="30"/>
        </w:rPr>
        <w:t>认可的其他方式。</w:t>
      </w:r>
    </w:p>
    <w:p w14:paraId="0E1D92C8">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违约处置</w:t>
      </w:r>
    </w:p>
    <w:p w14:paraId="68C0D1EF">
      <w:pPr>
        <w:spacing w:line="600" w:lineRule="exact"/>
        <w:ind w:left="567"/>
        <w:outlineLvl w:val="3"/>
        <w:rPr>
          <w:rFonts w:ascii="仿宋_GB2312" w:eastAsia="仿宋_GB2312"/>
          <w:b/>
          <w:sz w:val="30"/>
          <w:szCs w:val="30"/>
        </w:rPr>
      </w:pPr>
      <w:r>
        <w:rPr>
          <w:rFonts w:hint="eastAsia" w:ascii="仿宋_GB2312" w:eastAsia="仿宋_GB2312"/>
          <w:b/>
          <w:sz w:val="30"/>
          <w:szCs w:val="30"/>
        </w:rPr>
        <w:t>（1）一般规定</w:t>
      </w:r>
    </w:p>
    <w:p w14:paraId="3577DAC3">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协议回购发生违约，回购双方应当首先协商解决，守约方有权要求违约方继续履行回购协议，也有权终止回购协议，并可要求违约方根据《上海证券交易所债券质押式协议回购交易暂行办法》《上海证券交易所债券质押式协议回购交易业务指引》</w:t>
      </w:r>
      <w:r>
        <w:rPr>
          <w:rFonts w:hint="eastAsia" w:ascii="仿宋_GB2312" w:hAnsi="宋体" w:eastAsia="仿宋_GB2312" w:cs="宋体"/>
          <w:color w:val="000000"/>
          <w:kern w:val="0"/>
          <w:sz w:val="30"/>
          <w:szCs w:val="30"/>
        </w:rPr>
        <w:t>《上海证券交易所债券交易规则适用指引第4号——债券质押式协议回购风险管理》</w:t>
      </w:r>
      <w:r>
        <w:rPr>
          <w:rFonts w:hint="eastAsia" w:ascii="仿宋_GB2312" w:hAnsi="Calibri" w:eastAsia="仿宋_GB2312"/>
          <w:sz w:val="30"/>
          <w:szCs w:val="30"/>
        </w:rPr>
        <w:t>以及主协议和补充协议等，采取收取补息、罚息等方式进行赔偿。回购双方经协商无法达成一致的，可以采取仲裁、诉讼等违约救济方式。</w:t>
      </w:r>
    </w:p>
    <w:p w14:paraId="29895DD6">
      <w:pPr>
        <w:spacing w:line="600" w:lineRule="exact"/>
        <w:ind w:left="567"/>
        <w:outlineLvl w:val="3"/>
        <w:rPr>
          <w:rFonts w:ascii="仿宋_GB2312" w:eastAsia="仿宋_GB2312"/>
          <w:b/>
          <w:sz w:val="30"/>
          <w:szCs w:val="30"/>
        </w:rPr>
      </w:pPr>
      <w:r>
        <w:rPr>
          <w:rFonts w:hint="eastAsia" w:ascii="仿宋_GB2312" w:eastAsia="仿宋_GB2312"/>
          <w:b/>
          <w:sz w:val="30"/>
          <w:szCs w:val="30"/>
        </w:rPr>
        <w:t>（2）违约处置</w:t>
      </w:r>
    </w:p>
    <w:p w14:paraId="7EB15E57">
      <w:pPr>
        <w:adjustRightInd w:val="0"/>
        <w:snapToGrid w:val="0"/>
        <w:spacing w:line="600" w:lineRule="exact"/>
        <w:ind w:firstLine="600" w:firstLineChars="200"/>
        <w:rPr>
          <w:rFonts w:ascii="仿宋_GB2312" w:hAnsi="Calibri" w:eastAsia="仿宋_GB2312"/>
          <w:sz w:val="30"/>
          <w:szCs w:val="30"/>
          <w:highlight w:val="yellow"/>
        </w:rPr>
      </w:pPr>
      <w:r>
        <w:rPr>
          <w:rFonts w:hint="eastAsia" w:ascii="仿宋_GB2312" w:hAnsi="Calibri" w:eastAsia="仿宋_GB2312"/>
          <w:sz w:val="30"/>
          <w:szCs w:val="30"/>
        </w:rPr>
        <w:t>协议回购发生违约，回购双方对质押券处置达成一致的，可通过</w:t>
      </w:r>
      <w:r>
        <w:rPr>
          <w:rFonts w:hint="eastAsia" w:ascii="仿宋_GB2312" w:hAnsi="Calibri" w:eastAsia="仿宋_GB2312"/>
          <w:sz w:val="30"/>
          <w:szCs w:val="30"/>
          <w:lang w:eastAsia="zh-CN"/>
        </w:rPr>
        <w:t>新固收</w:t>
      </w:r>
      <w:r>
        <w:rPr>
          <w:rFonts w:hint="eastAsia" w:ascii="仿宋_GB2312" w:hAnsi="Calibri" w:eastAsia="仿宋_GB2312"/>
          <w:sz w:val="30"/>
          <w:szCs w:val="30"/>
        </w:rPr>
        <w:t>进行申报、对质押券解除质押登记</w:t>
      </w:r>
      <w:r>
        <w:rPr>
          <w:rFonts w:ascii="仿宋_GB2312" w:hAnsi="Calibri" w:eastAsia="仿宋_GB2312"/>
          <w:sz w:val="30"/>
          <w:szCs w:val="30"/>
        </w:rPr>
        <w:t>，</w:t>
      </w:r>
      <w:r>
        <w:rPr>
          <w:rFonts w:hint="eastAsia" w:ascii="仿宋_GB2312" w:hAnsi="Calibri" w:eastAsia="仿宋_GB2312"/>
          <w:sz w:val="30"/>
          <w:szCs w:val="30"/>
        </w:rPr>
        <w:t>或申请质押证券处置过户至质权人</w:t>
      </w:r>
      <w:r>
        <w:rPr>
          <w:rFonts w:hint="eastAsia" w:ascii="仿宋_GB2312" w:hAnsi="Calibri" w:eastAsia="仿宋_GB2312"/>
          <w:sz w:val="30"/>
          <w:szCs w:val="30"/>
          <w:lang w:eastAsia="zh-CN"/>
        </w:rPr>
        <w:t>（附件</w:t>
      </w:r>
      <w:r>
        <w:rPr>
          <w:rFonts w:hint="eastAsia" w:ascii="仿宋_GB2312" w:hAnsi="Calibri" w:eastAsia="仿宋_GB2312"/>
          <w:sz w:val="30"/>
          <w:szCs w:val="30"/>
          <w:lang w:val="en-US" w:eastAsia="zh-CN"/>
        </w:rPr>
        <w:t>45</w:t>
      </w:r>
      <w:r>
        <w:rPr>
          <w:rFonts w:hint="eastAsia" w:ascii="仿宋_GB2312" w:hAnsi="Calibri" w:eastAsia="仿宋_GB2312"/>
          <w:sz w:val="30"/>
          <w:szCs w:val="30"/>
          <w:lang w:eastAsia="zh-CN"/>
        </w:rPr>
        <w:t>）</w:t>
      </w:r>
      <w:r>
        <w:rPr>
          <w:rFonts w:hint="eastAsia" w:ascii="仿宋_GB2312" w:hAnsi="Calibri" w:eastAsia="仿宋_GB2312"/>
          <w:sz w:val="30"/>
          <w:szCs w:val="30"/>
        </w:rPr>
        <w:t>或拍卖变卖的受让人。</w:t>
      </w:r>
      <w:r>
        <w:rPr>
          <w:rFonts w:ascii="仿宋_GB2312" w:hAnsi="Calibri" w:eastAsia="仿宋_GB2312"/>
          <w:sz w:val="30"/>
          <w:szCs w:val="30"/>
        </w:rPr>
        <w:t>申报解除质押登记的，</w:t>
      </w:r>
      <w:r>
        <w:rPr>
          <w:rFonts w:hint="eastAsia" w:ascii="仿宋_GB2312" w:hAnsi="Calibri" w:eastAsia="仿宋_GB2312"/>
          <w:sz w:val="30"/>
          <w:szCs w:val="30"/>
        </w:rPr>
        <w:t>解除质押申报由正回购方或者逆回购方发起，经对手方进行确认申报后，由</w:t>
      </w:r>
      <w:r>
        <w:rPr>
          <w:rFonts w:hint="eastAsia" w:ascii="仿宋_GB2312" w:hAnsi="Calibri" w:eastAsia="仿宋_GB2312"/>
          <w:sz w:val="30"/>
          <w:szCs w:val="30"/>
          <w:lang w:eastAsia="zh-CN"/>
        </w:rPr>
        <w:t>新固收</w:t>
      </w:r>
      <w:r>
        <w:rPr>
          <w:rFonts w:hint="eastAsia" w:ascii="仿宋_GB2312" w:hAnsi="Calibri" w:eastAsia="仿宋_GB2312"/>
          <w:sz w:val="30"/>
          <w:szCs w:val="30"/>
        </w:rPr>
        <w:t>予以确认。解除质押申报的交易要素应当包括质押券代码、解除质押登记的数量、解除质押日等内容。</w:t>
      </w:r>
      <w:r>
        <w:rPr>
          <w:rFonts w:hint="eastAsia" w:ascii="仿宋_GB2312" w:hAnsi="Calibri" w:eastAsia="仿宋_GB2312"/>
          <w:sz w:val="30"/>
          <w:szCs w:val="30"/>
          <w:highlight w:val="none"/>
        </w:rPr>
        <w:t>交易双方</w:t>
      </w:r>
      <w:r>
        <w:rPr>
          <w:rFonts w:hint="eastAsia" w:ascii="仿宋_GB2312" w:hAnsi="Calibri" w:eastAsia="仿宋_GB2312"/>
          <w:sz w:val="30"/>
          <w:szCs w:val="30"/>
          <w:highlight w:val="none"/>
          <w:lang w:eastAsia="zh-CN"/>
        </w:rPr>
        <w:t>在申报解除质押登记时</w:t>
      </w:r>
      <w:r>
        <w:rPr>
          <w:rFonts w:hint="eastAsia" w:ascii="仿宋_GB2312" w:hAnsi="Calibri" w:eastAsia="仿宋_GB2312"/>
          <w:sz w:val="30"/>
          <w:szCs w:val="30"/>
          <w:highlight w:val="none"/>
        </w:rPr>
        <w:t>应当承诺</w:t>
      </w:r>
      <w:r>
        <w:rPr>
          <w:rFonts w:hint="eastAsia" w:ascii="仿宋_GB2312" w:hAnsi="Calibri" w:eastAsia="仿宋_GB2312"/>
          <w:sz w:val="30"/>
          <w:szCs w:val="30"/>
          <w:highlight w:val="none"/>
          <w:lang w:eastAsia="zh-CN"/>
        </w:rPr>
        <w:t>，如相关交易</w:t>
      </w:r>
      <w:r>
        <w:rPr>
          <w:rFonts w:hint="eastAsia" w:ascii="仿宋_GB2312" w:hAnsi="Calibri" w:eastAsia="仿宋_GB2312"/>
          <w:sz w:val="30"/>
          <w:szCs w:val="30"/>
          <w:highlight w:val="none"/>
        </w:rPr>
        <w:t>涉及场外资金结算，</w:t>
      </w:r>
      <w:r>
        <w:rPr>
          <w:rFonts w:hint="eastAsia" w:ascii="仿宋_GB2312" w:hAnsi="Calibri" w:eastAsia="仿宋_GB2312"/>
          <w:sz w:val="30"/>
          <w:szCs w:val="30"/>
          <w:highlight w:val="none"/>
          <w:lang w:eastAsia="zh-CN"/>
        </w:rPr>
        <w:t>将依法合规开展场外资金划转，</w:t>
      </w:r>
      <w:r>
        <w:rPr>
          <w:rFonts w:hint="eastAsia" w:ascii="仿宋_GB2312" w:hAnsi="Calibri" w:eastAsia="仿宋_GB2312"/>
          <w:sz w:val="30"/>
          <w:szCs w:val="30"/>
          <w:highlight w:val="none"/>
        </w:rPr>
        <w:t>不从事欺诈、内幕交易、市场操纵、利益输送，以及直接或间接损害其他投资者合法权益</w:t>
      </w:r>
      <w:r>
        <w:rPr>
          <w:rFonts w:hint="eastAsia" w:ascii="仿宋_GB2312" w:hAnsi="Calibri" w:eastAsia="仿宋_GB2312"/>
          <w:sz w:val="30"/>
          <w:szCs w:val="30"/>
          <w:highlight w:val="none"/>
          <w:lang w:eastAsia="zh-CN"/>
        </w:rPr>
        <w:t>等</w:t>
      </w:r>
      <w:r>
        <w:rPr>
          <w:rFonts w:hint="eastAsia" w:ascii="仿宋_GB2312" w:hAnsi="Calibri" w:eastAsia="仿宋_GB2312"/>
          <w:sz w:val="30"/>
          <w:szCs w:val="30"/>
          <w:highlight w:val="none"/>
        </w:rPr>
        <w:t>行为</w:t>
      </w:r>
      <w:r>
        <w:rPr>
          <w:rFonts w:hint="eastAsia" w:ascii="仿宋_GB2312" w:hAnsi="Calibri" w:eastAsia="仿宋_GB2312"/>
          <w:sz w:val="30"/>
          <w:szCs w:val="30"/>
          <w:highlight w:val="none"/>
          <w:lang w:eastAsia="zh-CN"/>
        </w:rPr>
        <w:t>。</w:t>
      </w:r>
    </w:p>
    <w:p w14:paraId="6BB86AAE">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申请质押证券处置过户至质权人或拍卖变卖的受让人的，登记结算机构根据证券过户指令，于日终逐笔办理质押证券的处置过户</w:t>
      </w:r>
      <w:r>
        <w:rPr>
          <w:rFonts w:ascii="仿宋_GB2312" w:hAnsi="Calibri" w:eastAsia="仿宋_GB2312"/>
          <w:sz w:val="30"/>
          <w:szCs w:val="30"/>
        </w:rPr>
        <w:t>。</w:t>
      </w:r>
    </w:p>
    <w:bookmarkEnd w:id="2114"/>
    <w:bookmarkEnd w:id="2115"/>
    <w:bookmarkEnd w:id="2116"/>
    <w:bookmarkEnd w:id="2117"/>
    <w:p w14:paraId="77088B21">
      <w:pPr>
        <w:numPr>
          <w:ilvl w:val="1"/>
          <w:numId w:val="4"/>
        </w:numPr>
        <w:spacing w:line="600" w:lineRule="exact"/>
        <w:ind w:left="0" w:firstLine="0"/>
        <w:outlineLvl w:val="1"/>
        <w:rPr>
          <w:rFonts w:ascii="仿宋_GB2312" w:eastAsia="仿宋_GB2312"/>
          <w:b/>
          <w:sz w:val="30"/>
          <w:szCs w:val="30"/>
        </w:rPr>
      </w:pPr>
      <w:bookmarkStart w:id="2118" w:name="_Toc1549670345"/>
      <w:bookmarkStart w:id="2119" w:name="_Toc151136916"/>
      <w:bookmarkStart w:id="2120" w:name="_Toc1716681376"/>
      <w:bookmarkStart w:id="2121" w:name="_Toc1668740844"/>
      <w:bookmarkStart w:id="2122" w:name="_Toc934574800"/>
      <w:bookmarkStart w:id="2123" w:name="_Toc1429580324"/>
      <w:bookmarkStart w:id="2124" w:name="_Toc144278935"/>
      <w:bookmarkStart w:id="2125" w:name="_Toc56166287"/>
      <w:bookmarkStart w:id="2126" w:name="_Toc56166098"/>
      <w:r>
        <w:rPr>
          <w:rFonts w:hint="eastAsia" w:ascii="仿宋_GB2312" w:eastAsia="仿宋_GB2312"/>
          <w:b/>
          <w:sz w:val="30"/>
          <w:szCs w:val="30"/>
        </w:rPr>
        <w:t>债券质押式三方回购</w:t>
      </w:r>
      <w:bookmarkEnd w:id="2118"/>
      <w:bookmarkEnd w:id="2119"/>
      <w:bookmarkEnd w:id="2120"/>
      <w:bookmarkEnd w:id="2121"/>
      <w:bookmarkEnd w:id="2122"/>
      <w:bookmarkEnd w:id="2123"/>
      <w:bookmarkEnd w:id="2124"/>
      <w:bookmarkEnd w:id="2125"/>
      <w:bookmarkEnd w:id="2126"/>
      <w:r>
        <w:rPr>
          <w:rFonts w:ascii="仿宋_GB2312" w:eastAsia="仿宋_GB2312"/>
          <w:b/>
          <w:sz w:val="30"/>
          <w:szCs w:val="30"/>
        </w:rPr>
        <w:tab/>
      </w:r>
      <w:bookmarkStart w:id="2127" w:name="_Toc501552788"/>
      <w:bookmarkStart w:id="2128" w:name="_Toc500840217"/>
    </w:p>
    <w:p w14:paraId="6FA65A61">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业务概述</w:t>
      </w:r>
      <w:bookmarkEnd w:id="2127"/>
      <w:bookmarkEnd w:id="2128"/>
    </w:p>
    <w:p w14:paraId="69278B82">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质押式三方回购（以下简称三方回购）是指资金融入方（以下简称正回购方）将债券出质给资金融出方（以下简称逆回购方）以融入资金，约定在未来返还资金和支付回购利息，同时解除债券质押，并由第三方机构提供相关的担保品管理服务的交易。</w:t>
      </w:r>
    </w:p>
    <w:p w14:paraId="6B4C9C6D">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本所组织开展三方回购，提供交易申报及成交确认平台，并制定担保品管理的相关标准，开展对三方回购参与者和质押券篮子的管理。</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对三方回购进行集中登记、存管、结算，并根据相关业务规则规定提供担保品的选取分配、质押登记等服务。</w:t>
      </w:r>
    </w:p>
    <w:p w14:paraId="6E1BDD70">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在三方回购交易中，回购双方在交易环节主要协商回购交易的金额、回购期限、回购利率、质押券篮子等基本要素，双方可不指定具体质押券及折扣率，质押券由登记结算机构根据相关规则及约定事后选取并进行存续期管理。</w:t>
      </w:r>
    </w:p>
    <w:p w14:paraId="6A4807BA">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相关规则</w:t>
      </w:r>
    </w:p>
    <w:p w14:paraId="584E35AC">
      <w:pPr>
        <w:widowControl/>
        <w:numPr>
          <w:ilvl w:val="0"/>
          <w:numId w:val="18"/>
        </w:num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《上海证券交易所 中国证券登记结算有限责任公司债券质押式三方回购交易及结算暂行办法》</w:t>
      </w:r>
    </w:p>
    <w:p w14:paraId="2752F9D2">
      <w:pPr>
        <w:widowControl/>
        <w:numPr>
          <w:ilvl w:val="0"/>
          <w:numId w:val="18"/>
        </w:num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w:t>
      </w:r>
      <w:r>
        <w:rPr>
          <w:rFonts w:ascii="仿宋_GB2312" w:hAnsi="Calibri" w:eastAsia="仿宋_GB2312"/>
          <w:sz w:val="30"/>
          <w:szCs w:val="30"/>
        </w:rPr>
        <w:t>中国证券登记结算有限责任公司上海分公司债券质押式三方回购登记结算业务指南</w:t>
      </w:r>
      <w:r>
        <w:rPr>
          <w:rFonts w:hint="eastAsia" w:ascii="仿宋_GB2312" w:hAnsi="Calibri" w:eastAsia="仿宋_GB2312"/>
          <w:sz w:val="30"/>
          <w:szCs w:val="30"/>
        </w:rPr>
        <w:t>》</w:t>
      </w:r>
    </w:p>
    <w:p w14:paraId="5F765DBA">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开展前准备</w:t>
      </w:r>
      <w:bookmarkStart w:id="2129" w:name="_Toc499850129"/>
      <w:bookmarkEnd w:id="2129"/>
      <w:bookmarkStart w:id="2130" w:name="_Toc499849932"/>
      <w:bookmarkEnd w:id="2130"/>
    </w:p>
    <w:p w14:paraId="28D9DF50">
      <w:pPr>
        <w:spacing w:line="600" w:lineRule="exact"/>
        <w:ind w:left="567"/>
        <w:outlineLvl w:val="3"/>
        <w:rPr>
          <w:rFonts w:ascii="仿宋_GB2312" w:eastAsia="仿宋_GB2312"/>
          <w:b/>
          <w:sz w:val="30"/>
          <w:szCs w:val="30"/>
        </w:rPr>
      </w:pPr>
      <w:r>
        <w:rPr>
          <w:rFonts w:hint="eastAsia" w:ascii="仿宋_GB2312" w:eastAsia="仿宋_GB2312"/>
          <w:b/>
          <w:sz w:val="30"/>
          <w:szCs w:val="30"/>
        </w:rPr>
        <w:t>（1）签署主协议</w:t>
      </w:r>
    </w:p>
    <w:p w14:paraId="38F30A59">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市场参与者在参与三方回购之前，应签署《上海证券交易所债券质押式三方回购主协议》（以下简称主协议）。主协议为开放式协议，签署后在各签署人之间生效。</w:t>
      </w:r>
    </w:p>
    <w:p w14:paraId="67940A3D">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市场参与者为法人机构的，主协议由法定代表人或授权代理人进行签署；市场参与者为证券投资基金、银行理财等理财产品的，由管理人的法定代表人或授权代理人代为签署。同一个管理人管理的理财产品，应分别签署主协议。</w:t>
      </w:r>
    </w:p>
    <w:p w14:paraId="426B50C0">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三方回购主协议签署后电子扫描件应当提交本所备案,具体备案方式见投资者适当性备案相关介绍。证券公司经纪客户以书面方式签署的，应当一式两份，一份由签署人留存，一份由所在证券公司留存备查。</w:t>
      </w:r>
    </w:p>
    <w:p w14:paraId="4B744125">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业务初期，三方回购主协议以书面方式签署，开通电子方式签署的具体时间由本所另行通知。</w:t>
      </w:r>
    </w:p>
    <w:p w14:paraId="0DD588FD">
      <w:pPr>
        <w:numPr>
          <w:ilvl w:val="0"/>
          <w:numId w:val="19"/>
        </w:numPr>
        <w:spacing w:line="600" w:lineRule="exact"/>
        <w:ind w:left="0" w:firstLine="567"/>
        <w:outlineLvl w:val="3"/>
        <w:rPr>
          <w:rFonts w:ascii="仿宋_GB2312" w:eastAsia="仿宋_GB2312"/>
          <w:b/>
          <w:sz w:val="30"/>
          <w:szCs w:val="30"/>
        </w:rPr>
      </w:pPr>
      <w:r>
        <w:rPr>
          <w:rFonts w:hint="eastAsia" w:ascii="仿宋_GB2312" w:eastAsia="仿宋_GB2312"/>
          <w:b/>
          <w:sz w:val="30"/>
          <w:szCs w:val="30"/>
        </w:rPr>
        <w:t>证券账户</w:t>
      </w:r>
    </w:p>
    <w:p w14:paraId="67919CBB">
      <w:pPr>
        <w:spacing w:line="600" w:lineRule="exact"/>
        <w:ind w:firstLine="750" w:firstLineChars="250"/>
        <w:rPr>
          <w:rFonts w:ascii="仿宋_GB2312" w:hAnsi="黑体" w:eastAsia="仿宋_GB2312"/>
          <w:sz w:val="30"/>
          <w:szCs w:val="30"/>
        </w:rPr>
      </w:pPr>
      <w:r>
        <w:rPr>
          <w:rFonts w:hint="eastAsia" w:ascii="仿宋_GB2312" w:hAnsi="黑体" w:eastAsia="仿宋_GB2312"/>
          <w:sz w:val="30"/>
          <w:szCs w:val="30"/>
        </w:rPr>
        <w:t>1）三方回购专用证券账户</w:t>
      </w:r>
    </w:p>
    <w:p w14:paraId="027DB81F">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正回购方进行三方回购业务需要向证券登记结算机构申请开通三方回购专用证券账户或将持有的证券账户指定为三方回购专用证券账户。无持有的证券账户是指没有任何证券持仓且没有在途交易或结算业务的证券账户。具体按《中国证券登记结算有限责任公司特殊机构及产品证券账户业务指南》及《登记结算业务指南》规定流程办理。</w:t>
      </w:r>
    </w:p>
    <w:p w14:paraId="56BA17E4">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初期，每个市场参与者只能开立一个三方回购专用证券账户。正回购方不得将三方回购专用证券账户用于三方回购以外的证券交易或其他用途。</w:t>
      </w:r>
    </w:p>
    <w:p w14:paraId="2C59648F">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三方回购专用证券账户开立后未在6个月内完成投资者适当性备案或被本所取消三方回购投资者适当性备案的，正回购方应当在15个工作日内按照登记结算机构的相关规定注销专用账户。未按要求注销的，登记结算机构有权注销或限制该账户的使用。</w:t>
      </w:r>
    </w:p>
    <w:p w14:paraId="09FAB5F8">
      <w:pPr>
        <w:spacing w:line="600" w:lineRule="exact"/>
        <w:ind w:firstLine="600" w:firstLineChars="200"/>
        <w:rPr>
          <w:rFonts w:ascii="仿宋_GB2312" w:hAnsi="黑体" w:eastAsia="仿宋_GB2312"/>
          <w:sz w:val="30"/>
          <w:szCs w:val="30"/>
        </w:rPr>
      </w:pPr>
      <w:r>
        <w:rPr>
          <w:rFonts w:hint="eastAsia" w:ascii="仿宋_GB2312" w:hAnsi="黑体" w:eastAsia="仿宋_GB2312"/>
          <w:sz w:val="30"/>
          <w:szCs w:val="30"/>
        </w:rPr>
        <w:t>2）指定普通证券账户</w:t>
      </w:r>
    </w:p>
    <w:p w14:paraId="5A237326">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正回购方同时还需指定且仅能指定一个普通证券账户用于开展三方回购交易，普通证券账户和三方回购专用证券账户一一对应，从而进行担保品在普通证券账户和三方回购专用证券账户的双向划拨。拟用作担保品的债券只能从该普通证券账户中转入对应的三方回购专用证券账户，三方回购专用证券账户中未被质押的债券只能转出至该普通证券账户。三方回购专用证券账户开通后，市场参与者完成该账户的指定交易，须和用于三方回购的普通证券账户指定在相同的交易单元上。</w:t>
      </w:r>
    </w:p>
    <w:p w14:paraId="2A1508F9">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投资者适当性备案完成后，市场参与者原则上不可进行普通证券账户的变更。确需变更的，需向本所提交书面申请。</w:t>
      </w:r>
    </w:p>
    <w:p w14:paraId="1AD95F2B">
      <w:pPr>
        <w:spacing w:line="600" w:lineRule="exact"/>
        <w:ind w:left="567"/>
        <w:outlineLvl w:val="3"/>
        <w:rPr>
          <w:rFonts w:ascii="仿宋_GB2312" w:eastAsia="仿宋_GB2312"/>
          <w:b/>
          <w:sz w:val="30"/>
          <w:szCs w:val="30"/>
        </w:rPr>
      </w:pPr>
      <w:r>
        <w:rPr>
          <w:rFonts w:hint="eastAsia" w:ascii="仿宋_GB2312" w:eastAsia="仿宋_GB2312"/>
          <w:b/>
          <w:sz w:val="30"/>
          <w:szCs w:val="30"/>
        </w:rPr>
        <w:t>（3）投资者适当性管理</w:t>
      </w:r>
    </w:p>
    <w:p w14:paraId="22233F15">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三方回购交易按照《上海证券交易所</w:t>
      </w:r>
      <w:r>
        <w:rPr>
          <w:rFonts w:ascii="仿宋_GB2312" w:hAnsi="Calibri" w:eastAsia="仿宋_GB2312"/>
          <w:sz w:val="30"/>
          <w:szCs w:val="30"/>
        </w:rPr>
        <w:t xml:space="preserve"> </w:t>
      </w:r>
      <w:r>
        <w:rPr>
          <w:rFonts w:hint="eastAsia" w:ascii="仿宋_GB2312" w:hAnsi="Calibri" w:eastAsia="仿宋_GB2312"/>
          <w:sz w:val="30"/>
          <w:szCs w:val="30"/>
        </w:rPr>
        <w:t>中国证券登记结算有限责任公司债券质押式三方回购交易及结算暂行办法》（以下简称《暂行办法》）《上海证券交易所债券市场投资者适当性管理办法》等相关规定，实行投资者适当性管理。</w:t>
      </w:r>
    </w:p>
    <w:p w14:paraId="36D7FD7D">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参与三方回购的债券投资者应当符合下列条件：</w:t>
      </w:r>
    </w:p>
    <w:p w14:paraId="26D733E7">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经有关金融监管部门批准设立的金融机构，包括证券公司、期货公司、基金管理公司及其子公司、商业银行、保险公司、信托公司、财务公司等；经行业协会备案或者登记的证券公司子公司、期货公司子公司、私募基金管理人。</w:t>
      </w:r>
    </w:p>
    <w:p w14:paraId="61FC5F4B">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2）上述机构面向投资者发行的理财产品，包括但不限于证券公司资产管理产品、基金管理公司及其子公司产品、期货公司资产管理产品、银行理财产品、保险产品、信托产品、经行业协会备案的私募基金。</w:t>
      </w:r>
    </w:p>
    <w:p w14:paraId="2B516272">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3）社会保障基金、企业年金等养老基金，慈善基金等社会公益基金，合格境外机构投资者（QFII）、人民币合格境外机构投资者（RQFII）。</w:t>
      </w:r>
    </w:p>
    <w:p w14:paraId="62FE2CD3">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4）同时符合下列条件的法人或者其他组织：</w:t>
      </w:r>
    </w:p>
    <w:p w14:paraId="31DDDBC6">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最近1年末净资产不低于2000万元；最近1年末金融资产不低于1000万元；具有2年以上证券、基金、期货、黄金、外汇等投资经历。</w:t>
      </w:r>
    </w:p>
    <w:p w14:paraId="5E9B2E42">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5）中国证监会和本所认可的其他投资者。</w:t>
      </w:r>
    </w:p>
    <w:p w14:paraId="1EEB94D2">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前款所称金融资产，是指银行存款、股票、债券、基金份额、资产管理计划、银行理财产品、信托计划、保险产品、期货及其他衍生产品等。</w:t>
      </w:r>
    </w:p>
    <w:p w14:paraId="44F6D151">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作为正回购方的债券投资者还应当符合下列条件：</w:t>
      </w:r>
    </w:p>
    <w:p w14:paraId="0BDACB0B">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1）具有较强风险管理及承担能力的金融机构或其理财产品或本所认可的其他机构投资者；</w:t>
      </w:r>
    </w:p>
    <w:p w14:paraId="20E914D3">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2）已建立完善健全的内部业务管理流程和风险管理制度；</w:t>
      </w:r>
    </w:p>
    <w:p w14:paraId="3B29D9D1">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3）具备支持三方回购业务开展的相关技术系统；</w:t>
      </w:r>
    </w:p>
    <w:p w14:paraId="2716CA0D">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4）近两年内未发生过重大回购违约</w:t>
      </w:r>
      <w:r>
        <w:rPr>
          <w:rFonts w:hint="eastAsia" w:eastAsia="仿宋_GB2312"/>
          <w:sz w:val="28"/>
          <w:szCs w:val="28"/>
        </w:rPr>
        <w:t>（成立不足两年的，从成立之日起计算）</w:t>
      </w:r>
      <w:r>
        <w:rPr>
          <w:rFonts w:hint="eastAsia" w:ascii="仿宋_GB2312" w:hAnsi="Calibri" w:eastAsia="仿宋_GB2312"/>
          <w:sz w:val="30"/>
          <w:szCs w:val="30"/>
        </w:rPr>
        <w:t>；</w:t>
      </w:r>
    </w:p>
    <w:p w14:paraId="08689E64">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5）本所要求的其他条件。</w:t>
      </w:r>
    </w:p>
    <w:p w14:paraId="11324767">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业务开展初期，三方回购的正回购方限于以下机构或产品：经有关金融监管部门批准设立的金融机构；公募证券投资基金；商业银行的理财产品（含大型国有商业银行和全国股份制商业银行作为委托人的资产管理产品）。</w:t>
      </w:r>
    </w:p>
    <w:p w14:paraId="5D98384A">
      <w:pPr>
        <w:spacing w:line="600" w:lineRule="exact"/>
        <w:ind w:firstLine="601" w:firstLineChars="200"/>
        <w:outlineLvl w:val="3"/>
        <w:rPr>
          <w:rFonts w:ascii="仿宋_GB2312" w:hAnsi="黑体" w:eastAsia="仿宋_GB2312"/>
          <w:b/>
          <w:sz w:val="30"/>
          <w:szCs w:val="30"/>
        </w:rPr>
      </w:pPr>
      <w:r>
        <w:rPr>
          <w:rFonts w:hint="eastAsia" w:ascii="仿宋_GB2312" w:hAnsi="黑体" w:eastAsia="仿宋_GB2312"/>
          <w:b/>
          <w:sz w:val="30"/>
          <w:szCs w:val="30"/>
        </w:rPr>
        <w:t>（4）经纪客户</w:t>
      </w:r>
    </w:p>
    <w:p w14:paraId="0981593E">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证券公司应当按照《上海证券交易所债券市场投资者适当性管理办法》的规定对经纪客户进行管理。证券公司应当建立健全经纪客户参与三方回购相关的业务流程和风险控制制度。</w:t>
      </w:r>
    </w:p>
    <w:p w14:paraId="01D6B475">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证券公司应当对经纪客户资质进行审查，确保参与三方回购的经纪客户符合投资者适当性管理要求，在经纪客户参与三方回购前，向其全面介绍三方回购的相关业务规则及协议，充分揭示可能产生的风险，并要求其签署风险揭示书。风险揭示书应当包含本所确定的风险揭示书必备条款。</w:t>
      </w:r>
    </w:p>
    <w:p w14:paraId="6D158723">
      <w:pPr>
        <w:spacing w:line="600" w:lineRule="exact"/>
        <w:ind w:left="567"/>
        <w:outlineLvl w:val="3"/>
        <w:rPr>
          <w:rFonts w:ascii="仿宋_GB2312" w:eastAsia="仿宋_GB2312"/>
          <w:b/>
          <w:sz w:val="30"/>
          <w:szCs w:val="30"/>
        </w:rPr>
      </w:pPr>
      <w:r>
        <w:rPr>
          <w:rFonts w:hint="eastAsia" w:ascii="仿宋_GB2312" w:eastAsia="仿宋_GB2312"/>
          <w:b/>
          <w:sz w:val="30"/>
          <w:szCs w:val="30"/>
        </w:rPr>
        <w:t>（5）投资者适当性备案</w:t>
      </w:r>
    </w:p>
    <w:p w14:paraId="17CD6AF5">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市场参与者参与三方回购业务需提前向本所进行投资者适当性备案，备案通过的方可参与三方回购。</w:t>
      </w:r>
      <w:bookmarkStart w:id="2131" w:name="_Toc492555861"/>
      <w:bookmarkEnd w:id="2131"/>
      <w:bookmarkStart w:id="2132" w:name="_Toc492555469"/>
      <w:bookmarkEnd w:id="2132"/>
      <w:bookmarkStart w:id="2133" w:name="_Toc492555468"/>
      <w:bookmarkEnd w:id="2133"/>
      <w:bookmarkStart w:id="2134" w:name="_Toc492555862"/>
      <w:bookmarkEnd w:id="2134"/>
      <w:r>
        <w:rPr>
          <w:rFonts w:hint="eastAsia" w:ascii="仿宋_GB2312" w:hAnsi="Calibri" w:eastAsia="仿宋_GB2312"/>
          <w:sz w:val="30"/>
          <w:szCs w:val="30"/>
        </w:rPr>
        <w:t>市场参与者参与三方回购业务前，应当向本所提交以下投资者适当性备案文件，备案材料均应加盖机构（或管理人）公章：</w:t>
      </w:r>
    </w:p>
    <w:p w14:paraId="0AFE15B1">
      <w:pPr>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1）三方回购投资者适当性备案表（附件18）；</w:t>
      </w:r>
    </w:p>
    <w:p w14:paraId="48AC820B">
      <w:pPr>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2）三方回购主协议；</w:t>
      </w:r>
    </w:p>
    <w:p w14:paraId="407CCED8">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正回购方还需要向本所提交以下投资者适当性备案文件：</w:t>
      </w:r>
    </w:p>
    <w:p w14:paraId="259C5457">
      <w:pPr>
        <w:widowControl/>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1）最近一个会计年度的总资产、净资产或资产管理规模的说明及相关证明文件；</w:t>
      </w:r>
    </w:p>
    <w:p w14:paraId="3D1A79C8">
      <w:pPr>
        <w:widowControl/>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2）公司内部三方回购相关的业务管理制度、风险管理制度文件；</w:t>
      </w:r>
    </w:p>
    <w:p w14:paraId="08389D27">
      <w:pPr>
        <w:widowControl/>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3）关于技术系统准备情况的说明；</w:t>
      </w:r>
    </w:p>
    <w:p w14:paraId="0B0F284B">
      <w:pPr>
        <w:widowControl/>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4）本所要求的其他材料。</w:t>
      </w:r>
    </w:p>
    <w:p w14:paraId="0F1156C4">
      <w:pPr>
        <w:widowControl/>
        <w:adjustRightInd w:val="0"/>
        <w:snapToGrid w:val="0"/>
        <w:spacing w:line="600" w:lineRule="exact"/>
        <w:ind w:firstLine="600" w:firstLineChars="200"/>
        <w:rPr>
          <w:rFonts w:ascii="仿宋_GB2312" w:eastAsia="仿宋_GB2312"/>
          <w:sz w:val="30"/>
          <w:szCs w:val="30"/>
        </w:rPr>
      </w:pPr>
      <w:r>
        <w:rPr>
          <w:rFonts w:hint="eastAsia" w:ascii="仿宋_GB2312" w:hAnsi="Calibri" w:eastAsia="仿宋_GB2312"/>
          <w:sz w:val="30"/>
          <w:szCs w:val="30"/>
        </w:rPr>
        <w:t>投资者适当性备案材料可通过债券业务管理系统或电子邮件两种方式提交本所。其中，债券业务管理系统为主要的备案渠道，初期未接入债券业务管理系统的市场参与者可通过电子邮件（</w:t>
      </w:r>
      <w:r>
        <w:rPr>
          <w:rFonts w:ascii="仿宋_GB2312" w:hAnsi="Calibri" w:eastAsia="仿宋_GB2312"/>
          <w:sz w:val="30"/>
          <w:szCs w:val="30"/>
        </w:rPr>
        <w:t>ssebond@sse.com.cn</w:t>
      </w:r>
      <w:r>
        <w:rPr>
          <w:rFonts w:hint="eastAsia" w:ascii="仿宋_GB2312" w:hAnsi="Calibri" w:eastAsia="仿宋_GB2312"/>
          <w:sz w:val="30"/>
          <w:szCs w:val="30"/>
        </w:rPr>
        <w:t>）方式进行备案。（详见附件19的第二部分）</w:t>
      </w:r>
    </w:p>
    <w:p w14:paraId="3BE4D58E">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直接通过</w:t>
      </w:r>
      <w:r>
        <w:rPr>
          <w:rFonts w:hint="eastAsia" w:ascii="仿宋_GB2312" w:hAnsi="Calibri" w:eastAsia="仿宋_GB2312"/>
          <w:sz w:val="30"/>
          <w:szCs w:val="30"/>
          <w:lang w:eastAsia="zh-CN"/>
        </w:rPr>
        <w:t>新固定收益系统</w:t>
      </w:r>
      <w:r>
        <w:rPr>
          <w:rFonts w:hint="eastAsia" w:ascii="仿宋_GB2312" w:hAnsi="Calibri" w:eastAsia="仿宋_GB2312"/>
          <w:sz w:val="30"/>
          <w:szCs w:val="30"/>
        </w:rPr>
        <w:t>进行交易的回购双方直接向本所备案。理财产品由管理人提交投资者适当性备案文件，同一个管理人管理的多个理财产品视为不同主体，应当分别提交投资者适当性备案文件。</w:t>
      </w:r>
      <w:r>
        <w:rPr>
          <w:rFonts w:hint="eastAsia" w:ascii="仿宋_GB2312" w:hAnsi="Calibri" w:eastAsia="仿宋_GB2312"/>
          <w:kern w:val="0"/>
          <w:sz w:val="30"/>
          <w:szCs w:val="30"/>
          <w:lang w:bidi="en-US"/>
        </w:rPr>
        <w:t>商业银行作为委托人的资产管理产品，参与三方回购正回购业务，应由作为委托人的商业银行相关部门出具书面证明。</w:t>
      </w:r>
      <w:r>
        <w:rPr>
          <w:rFonts w:hint="eastAsia" w:ascii="仿宋_GB2312" w:hAnsi="Calibri" w:eastAsia="仿宋_GB2312"/>
          <w:sz w:val="30"/>
          <w:szCs w:val="30"/>
        </w:rPr>
        <w:t>证券公司经纪客户由证券公司确认其符合投资者适当性管理要求，并向本所提交规定的备案文件。</w:t>
      </w:r>
    </w:p>
    <w:p w14:paraId="32BFFA9F">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市场参与者可以对逆回购权限、正回购权限分别进行投资者适当性备案。已经进行逆回购方（正回购方）投资者适当性备案的，再次提交正回购方（逆回购方）投资者适当性备案材料时应确保前后信息的一致性。</w:t>
      </w:r>
    </w:p>
    <w:p w14:paraId="5FEA94CB">
      <w:pPr>
        <w:spacing w:line="600" w:lineRule="exact"/>
        <w:ind w:firstLine="450" w:firstLineChars="150"/>
        <w:outlineLvl w:val="3"/>
        <w:rPr>
          <w:rFonts w:ascii="仿宋_GB2312" w:eastAsia="仿宋_GB2312"/>
          <w:b/>
          <w:sz w:val="30"/>
          <w:szCs w:val="30"/>
        </w:rPr>
      </w:pPr>
      <w:r>
        <w:rPr>
          <w:rFonts w:hint="eastAsia" w:ascii="仿宋_GB2312" w:eastAsia="仿宋_GB2312"/>
          <w:b/>
          <w:sz w:val="30"/>
          <w:szCs w:val="30"/>
        </w:rPr>
        <w:t>（6）签署补充协议</w:t>
      </w:r>
    </w:p>
    <w:p w14:paraId="4D767DD8">
      <w:pPr>
        <w:widowControl/>
        <w:adjustRightInd w:val="0"/>
        <w:snapToGrid w:val="0"/>
        <w:spacing w:line="600" w:lineRule="exact"/>
        <w:ind w:firstLine="600" w:firstLineChars="200"/>
        <w:rPr>
          <w:rFonts w:ascii="仿宋_GB2312" w:hAnsi="Calibri" w:eastAsia="仿宋_GB2312"/>
          <w:kern w:val="0"/>
          <w:sz w:val="30"/>
          <w:szCs w:val="30"/>
        </w:rPr>
      </w:pPr>
      <w:bookmarkStart w:id="2135" w:name="_Toc499850023"/>
      <w:bookmarkEnd w:id="2135"/>
      <w:bookmarkStart w:id="2136" w:name="_Toc499849945"/>
      <w:bookmarkEnd w:id="2136"/>
      <w:bookmarkStart w:id="2137" w:name="_Toc499850134"/>
      <w:bookmarkEnd w:id="2137"/>
      <w:bookmarkStart w:id="2138" w:name="_Toc499849951"/>
      <w:bookmarkEnd w:id="2138"/>
      <w:bookmarkStart w:id="2139" w:name="_Toc499850029"/>
      <w:bookmarkEnd w:id="2139"/>
      <w:bookmarkStart w:id="2140" w:name="_Toc499850143"/>
      <w:bookmarkEnd w:id="2140"/>
      <w:bookmarkStart w:id="2141" w:name="_Toc499849943"/>
      <w:bookmarkEnd w:id="2141"/>
      <w:bookmarkStart w:id="2142" w:name="_Toc499850025"/>
      <w:bookmarkEnd w:id="2142"/>
      <w:bookmarkStart w:id="2143" w:name="_Toc499849948"/>
      <w:bookmarkEnd w:id="2143"/>
      <w:bookmarkStart w:id="2144" w:name="_Toc499850214"/>
      <w:bookmarkEnd w:id="2144"/>
      <w:bookmarkStart w:id="2145" w:name="_Toc499850137"/>
      <w:bookmarkEnd w:id="2145"/>
      <w:bookmarkStart w:id="2146" w:name="_Toc499850142"/>
      <w:bookmarkEnd w:id="2146"/>
      <w:bookmarkStart w:id="2147" w:name="_Toc499850138"/>
      <w:bookmarkEnd w:id="2147"/>
      <w:bookmarkStart w:id="2148" w:name="_Toc499850219"/>
      <w:bookmarkEnd w:id="2148"/>
      <w:bookmarkStart w:id="2149" w:name="_Toc499850026"/>
      <w:bookmarkEnd w:id="2149"/>
      <w:bookmarkStart w:id="2150" w:name="_Toc499850144"/>
      <w:bookmarkEnd w:id="2150"/>
      <w:bookmarkStart w:id="2151" w:name="_Toc499849947"/>
      <w:bookmarkEnd w:id="2151"/>
      <w:bookmarkStart w:id="2152" w:name="_Toc499850221"/>
      <w:bookmarkEnd w:id="2152"/>
      <w:bookmarkStart w:id="2153" w:name="_Toc499850136"/>
      <w:bookmarkEnd w:id="2153"/>
      <w:bookmarkStart w:id="2154" w:name="_Toc499850215"/>
      <w:bookmarkEnd w:id="2154"/>
      <w:bookmarkStart w:id="2155" w:name="_Toc499850135"/>
      <w:bookmarkEnd w:id="2155"/>
      <w:bookmarkStart w:id="2156" w:name="_Toc499850217"/>
      <w:bookmarkEnd w:id="2156"/>
      <w:bookmarkStart w:id="2157" w:name="_Toc499849946"/>
      <w:bookmarkEnd w:id="2157"/>
      <w:bookmarkStart w:id="2158" w:name="_Toc499849953"/>
      <w:bookmarkEnd w:id="2158"/>
      <w:bookmarkStart w:id="2159" w:name="_Toc499849942"/>
      <w:bookmarkEnd w:id="2159"/>
      <w:bookmarkStart w:id="2160" w:name="_Toc499850218"/>
      <w:bookmarkEnd w:id="2160"/>
      <w:bookmarkStart w:id="2161" w:name="_Toc499849950"/>
      <w:bookmarkEnd w:id="2161"/>
      <w:bookmarkStart w:id="2162" w:name="_Toc499850145"/>
      <w:bookmarkEnd w:id="2162"/>
      <w:bookmarkStart w:id="2163" w:name="_Toc499850133"/>
      <w:bookmarkEnd w:id="2163"/>
      <w:bookmarkStart w:id="2164" w:name="_Toc499850028"/>
      <w:bookmarkEnd w:id="2164"/>
      <w:bookmarkStart w:id="2165" w:name="_Toc499849949"/>
      <w:bookmarkEnd w:id="2165"/>
      <w:bookmarkStart w:id="2166" w:name="_Toc499850216"/>
      <w:bookmarkEnd w:id="2166"/>
      <w:bookmarkStart w:id="2167" w:name="_Toc499850027"/>
      <w:bookmarkEnd w:id="2167"/>
      <w:bookmarkStart w:id="2168" w:name="_Toc499850022"/>
      <w:bookmarkEnd w:id="2168"/>
      <w:bookmarkStart w:id="2169" w:name="_Toc499850140"/>
      <w:bookmarkEnd w:id="2169"/>
      <w:bookmarkStart w:id="2170" w:name="_Toc499850139"/>
      <w:bookmarkEnd w:id="2170"/>
      <w:bookmarkStart w:id="2171" w:name="_Toc499850024"/>
      <w:bookmarkEnd w:id="2171"/>
      <w:bookmarkStart w:id="2172" w:name="_Toc499850141"/>
      <w:bookmarkEnd w:id="2172"/>
      <w:bookmarkStart w:id="2173" w:name="_Toc499849944"/>
      <w:bookmarkEnd w:id="2173"/>
      <w:bookmarkStart w:id="2174" w:name="_Toc499850220"/>
      <w:bookmarkEnd w:id="2174"/>
      <w:bookmarkStart w:id="2175" w:name="_Toc499849941"/>
      <w:bookmarkEnd w:id="2175"/>
      <w:bookmarkStart w:id="2176" w:name="_Toc499849952"/>
      <w:bookmarkEnd w:id="2176"/>
      <w:r>
        <w:rPr>
          <w:rFonts w:hint="eastAsia" w:ascii="仿宋_GB2312" w:hAnsi="Calibri" w:eastAsia="仿宋_GB2312"/>
          <w:kern w:val="0"/>
          <w:sz w:val="30"/>
          <w:szCs w:val="30"/>
        </w:rPr>
        <w:t>回购双方可以就三方回购相关事宜签订补充协议，约定质押券篮子标准、授信、违约处置等内容，但不得违反法律、行政法规、部门规章、其他规范性文件、《暂行办法》以及本所、登记结算机构的其他相关规定，且不得与主协议以及成交记录相冲突。补充协议的格式由回购双方自行协商，补充协议的内容由回购双方自行履行。补充协议由双方自行留存，无需向本所备案。</w:t>
      </w:r>
    </w:p>
    <w:p w14:paraId="7D410F08">
      <w:pPr>
        <w:spacing w:line="600" w:lineRule="exact"/>
        <w:ind w:left="567"/>
        <w:outlineLvl w:val="3"/>
        <w:rPr>
          <w:rFonts w:ascii="仿宋_GB2312" w:eastAsia="仿宋_GB2312"/>
          <w:b/>
          <w:sz w:val="30"/>
          <w:szCs w:val="30"/>
        </w:rPr>
      </w:pPr>
      <w:r>
        <w:rPr>
          <w:rFonts w:hint="eastAsia" w:ascii="仿宋_GB2312" w:eastAsia="仿宋_GB2312"/>
          <w:b/>
          <w:sz w:val="30"/>
          <w:szCs w:val="30"/>
        </w:rPr>
        <w:t>（7）授信白名单</w:t>
      </w:r>
    </w:p>
    <w:p w14:paraId="60376A72">
      <w:pPr>
        <w:widowControl/>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sz w:val="30"/>
          <w:szCs w:val="30"/>
        </w:rPr>
        <w:t>三方回购支持设置授信白名单。市场参与者可在</w:t>
      </w:r>
      <w:r>
        <w:rPr>
          <w:rFonts w:hint="eastAsia" w:ascii="仿宋_GB2312" w:hAnsi="Calibri" w:eastAsia="仿宋_GB2312"/>
          <w:sz w:val="30"/>
          <w:szCs w:val="30"/>
          <w:lang w:eastAsia="zh-CN"/>
        </w:rPr>
        <w:t>一债通</w:t>
      </w:r>
      <w:r>
        <w:rPr>
          <w:rFonts w:hint="eastAsia" w:ascii="仿宋_GB2312" w:hAnsi="Calibri" w:eastAsia="仿宋_GB2312"/>
          <w:sz w:val="30"/>
          <w:szCs w:val="30"/>
        </w:rPr>
        <w:t>中设置授信白名单。正回购方在逆回购方的授信白名单内的情况下，双方才能达成回购交易，</w:t>
      </w:r>
      <w:r>
        <w:rPr>
          <w:rFonts w:hint="eastAsia" w:ascii="仿宋_GB2312" w:hAnsi="Calibri" w:eastAsia="仿宋_GB2312"/>
          <w:sz w:val="30"/>
          <w:szCs w:val="30"/>
          <w:lang w:eastAsia="zh-CN"/>
        </w:rPr>
        <w:t>新固定收益系统</w:t>
      </w:r>
      <w:r>
        <w:rPr>
          <w:rFonts w:hint="eastAsia" w:ascii="仿宋_GB2312" w:hAnsi="Calibri" w:eastAsia="仿宋_GB2312"/>
          <w:sz w:val="30"/>
          <w:szCs w:val="30"/>
        </w:rPr>
        <w:t>仅对符合授信白名单要求的交易予以确认。对法人类参与主体，按主体进行授信；对非法人类产品，按管理人进行授信。对经纪客户，按所在证券公司进行授信。</w:t>
      </w:r>
    </w:p>
    <w:p w14:paraId="6D336C0C">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授信可以由正回购方或逆回购方发起。正回购方通过</w:t>
      </w:r>
      <w:r>
        <w:rPr>
          <w:rFonts w:hint="eastAsia" w:ascii="仿宋_GB2312" w:hAnsi="Calibri" w:eastAsia="仿宋_GB2312"/>
          <w:sz w:val="30"/>
          <w:szCs w:val="30"/>
          <w:lang w:eastAsia="zh-CN"/>
        </w:rPr>
        <w:t>一债通</w:t>
      </w:r>
      <w:r>
        <w:rPr>
          <w:rFonts w:hint="eastAsia" w:ascii="仿宋_GB2312" w:hAnsi="Calibri" w:eastAsia="仿宋_GB2312"/>
          <w:sz w:val="30"/>
          <w:szCs w:val="30"/>
        </w:rPr>
        <w:t>向逆回购方发起授信请求，经逆回购方确认，加入到逆回购方的授信白名单。逆回购方也可以自行发起授信请求，无需正回购方确认。授信确认后实时生效。</w:t>
      </w:r>
    </w:p>
    <w:p w14:paraId="4E19771F">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逆回购方可以通过</w:t>
      </w:r>
      <w:r>
        <w:rPr>
          <w:rFonts w:hint="eastAsia" w:ascii="仿宋_GB2312" w:hAnsi="Calibri" w:eastAsia="仿宋_GB2312"/>
          <w:sz w:val="30"/>
          <w:szCs w:val="30"/>
          <w:lang w:eastAsia="zh-CN"/>
        </w:rPr>
        <w:t>一债通</w:t>
      </w:r>
      <w:r>
        <w:rPr>
          <w:rFonts w:hint="eastAsia" w:ascii="仿宋_GB2312" w:hAnsi="Calibri" w:eastAsia="仿宋_GB2312"/>
          <w:sz w:val="30"/>
          <w:szCs w:val="30"/>
        </w:rPr>
        <w:t>取消授信关系，无需正回购方确认。逆回购方调整授信名单的，后续回购交易均需在逆回购方新的授信白名单内达成，已经达成的交易不受新的授信白名单约束。</w:t>
      </w:r>
    </w:p>
    <w:p w14:paraId="787A3294">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担保品管理</w:t>
      </w:r>
      <w:r>
        <w:rPr>
          <w:rFonts w:ascii="仿宋_GB2312" w:eastAsia="仿宋_GB2312"/>
          <w:b/>
          <w:sz w:val="30"/>
          <w:szCs w:val="30"/>
        </w:rPr>
        <w:tab/>
      </w:r>
    </w:p>
    <w:p w14:paraId="72514F94">
      <w:pPr>
        <w:spacing w:line="600" w:lineRule="exact"/>
        <w:ind w:left="567"/>
        <w:outlineLvl w:val="3"/>
        <w:rPr>
          <w:rFonts w:ascii="仿宋_GB2312" w:eastAsia="仿宋_GB2312"/>
          <w:b/>
          <w:sz w:val="30"/>
          <w:szCs w:val="30"/>
        </w:rPr>
      </w:pPr>
      <w:r>
        <w:rPr>
          <w:rFonts w:hint="eastAsia" w:ascii="仿宋_GB2312" w:eastAsia="仿宋_GB2312"/>
          <w:b/>
          <w:sz w:val="30"/>
          <w:szCs w:val="30"/>
        </w:rPr>
        <w:t>（1）担保品范围</w:t>
      </w:r>
    </w:p>
    <w:p w14:paraId="29B3E92E">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三方回购的担保品范围为本所上市交易或者挂牌转让的债券（以下简称挂牌债券），包括公开发行债券、非公开发行债券和资产支持证券。本所可以根据市场情况调整用于三方回购的担保品品种。</w:t>
      </w:r>
    </w:p>
    <w:p w14:paraId="7B0E4B1F">
      <w:pPr>
        <w:adjustRightInd w:val="0"/>
        <w:snapToGrid w:val="0"/>
        <w:spacing w:line="600" w:lineRule="exact"/>
        <w:ind w:firstLine="600" w:firstLineChars="200"/>
        <w:rPr>
          <w:rFonts w:ascii="仿宋_GB2312" w:eastAsia="仿宋_GB2312"/>
          <w:b/>
          <w:sz w:val="30"/>
          <w:szCs w:val="30"/>
        </w:rPr>
      </w:pPr>
      <w:r>
        <w:rPr>
          <w:rFonts w:hint="eastAsia" w:ascii="仿宋_GB2312" w:hAnsi="Calibri" w:eastAsia="仿宋_GB2312"/>
          <w:sz w:val="30"/>
          <w:szCs w:val="30"/>
        </w:rPr>
        <w:t>资产支持证券次级档、已经发生违约或经披露其还本付息存在重大风险的债券和资产支持证券或本所认为不适合充当回购担保品的其他债券不得作为三方回购担保品。</w:t>
      </w:r>
    </w:p>
    <w:p w14:paraId="749801E9">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（2）质押券转入转出</w:t>
      </w:r>
    </w:p>
    <w:p w14:paraId="2F9363B3">
      <w:pPr>
        <w:tabs>
          <w:tab w:val="left" w:pos="0"/>
        </w:tabs>
        <w:adjustRightInd w:val="0"/>
        <w:snapToGrid w:val="0"/>
        <w:spacing w:line="600" w:lineRule="exact"/>
        <w:ind w:firstLine="600" w:firstLineChars="200"/>
        <w:jc w:val="left"/>
        <w:rPr>
          <w:rFonts w:ascii="仿宋_GB2312" w:hAnsi="Calibri" w:eastAsia="仿宋_GB2312"/>
          <w:sz w:val="30"/>
          <w:szCs w:val="30"/>
        </w:rPr>
      </w:pPr>
      <w:r>
        <w:rPr>
          <w:rFonts w:hint="eastAsia" w:ascii="仿宋_GB2312" w:hAnsi="Calibri" w:eastAsia="仿宋_GB2312"/>
          <w:kern w:val="0"/>
          <w:sz w:val="30"/>
          <w:szCs w:val="30"/>
        </w:rPr>
        <w:t>正回购方可以将拟用于三方回购的担保品从普通证券账户</w:t>
      </w:r>
      <w:r>
        <w:rPr>
          <w:rFonts w:hint="eastAsia" w:ascii="仿宋_GB2312" w:hAnsi="Calibri" w:eastAsia="仿宋_GB2312"/>
          <w:sz w:val="30"/>
          <w:szCs w:val="30"/>
        </w:rPr>
        <w:t>转入三方回购专用证券账户，或将未处于质押状态的担保品从三方回购专用证券账户转出至普通证券账户。</w:t>
      </w:r>
    </w:p>
    <w:p w14:paraId="16FBE2B5">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转入成功的债券将从普通证券账户过户至三方回购专用证券账户，不能卖出，也不能充当三方回购以外业务的担保品。转入成功后，下一个交易日起可用于三方回购交易。不在质押券篮子内的债券不能从普通证券账户转入三方回购专用证券账户。</w:t>
      </w:r>
    </w:p>
    <w:p w14:paraId="63BAA0C8">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kern w:val="0"/>
          <w:sz w:val="30"/>
          <w:szCs w:val="30"/>
        </w:rPr>
        <w:t>转出时，</w:t>
      </w:r>
      <w:r>
        <w:rPr>
          <w:rFonts w:hint="eastAsia" w:ascii="仿宋_GB2312" w:hAnsi="Calibri" w:eastAsia="仿宋_GB2312"/>
          <w:sz w:val="30"/>
          <w:szCs w:val="30"/>
        </w:rPr>
        <w:t>三方回购专用证券账户内的债券仅可转出至原转入证券账户。转出成功的，下一个交易日方可卖出或用于其他类型的交易。</w:t>
      </w:r>
    </w:p>
    <w:p w14:paraId="2A2BE477">
      <w:pPr>
        <w:spacing w:line="600" w:lineRule="exact"/>
        <w:ind w:left="567"/>
        <w:outlineLvl w:val="3"/>
        <w:rPr>
          <w:rFonts w:ascii="仿宋_GB2312" w:eastAsia="仿宋_GB2312"/>
          <w:b/>
          <w:sz w:val="30"/>
          <w:szCs w:val="30"/>
        </w:rPr>
      </w:pPr>
      <w:r>
        <w:rPr>
          <w:rFonts w:hint="eastAsia" w:ascii="仿宋_GB2312" w:eastAsia="仿宋_GB2312"/>
          <w:b/>
          <w:sz w:val="30"/>
          <w:szCs w:val="30"/>
        </w:rPr>
        <w:t>（3）质押券篮子</w:t>
      </w:r>
    </w:p>
    <w:p w14:paraId="64D6E9F7">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为区分信用资质，根据债券类型、债券评级和发行方式，将债券按资质从高到低将本所挂牌债券分为八个“质押券篮子”。</w:t>
      </w:r>
    </w:p>
    <w:p w14:paraId="0346BD46">
      <w:pPr>
        <w:adjustRightInd w:val="0"/>
        <w:snapToGrid w:val="0"/>
        <w:spacing w:line="600" w:lineRule="exact"/>
        <w:ind w:firstLine="600"/>
        <w:rPr>
          <w:rFonts w:ascii="仿宋_GB2312" w:hAnsi="Calibri" w:eastAsia="仿宋_GB2312"/>
          <w:b/>
          <w:sz w:val="30"/>
          <w:szCs w:val="30"/>
        </w:rPr>
      </w:pPr>
      <w:r>
        <w:rPr>
          <w:rFonts w:hint="eastAsia" w:ascii="仿宋_GB2312" w:hAnsi="Calibri" w:eastAsia="仿宋_GB2312"/>
          <w:sz w:val="30"/>
          <w:szCs w:val="30"/>
        </w:rPr>
        <w:t>具体“质押券篮子”信息如下：</w:t>
      </w:r>
    </w:p>
    <w:tbl>
      <w:tblPr>
        <w:tblStyle w:val="43"/>
        <w:tblW w:w="5074"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1131"/>
        <w:gridCol w:w="4950"/>
        <w:gridCol w:w="1007"/>
      </w:tblGrid>
      <w:tr w14:paraId="4932D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pct"/>
          </w:tcPr>
          <w:p w14:paraId="3E1EFF1B">
            <w:pPr>
              <w:adjustRightInd w:val="0"/>
              <w:snapToGrid w:val="0"/>
              <w:rPr>
                <w:rFonts w:ascii="仿宋_GB2312" w:eastAsia="仿宋_GB2312"/>
                <w:b/>
                <w:sz w:val="24"/>
                <w:szCs w:val="24"/>
              </w:rPr>
            </w:pPr>
            <w:r>
              <w:rPr>
                <w:rFonts w:hint="eastAsia" w:ascii="仿宋_GB2312" w:eastAsia="仿宋_GB2312"/>
                <w:b/>
                <w:sz w:val="24"/>
                <w:szCs w:val="24"/>
              </w:rPr>
              <w:t>质押券篮子</w:t>
            </w:r>
          </w:p>
        </w:tc>
        <w:tc>
          <w:tcPr>
            <w:tcW w:w="654" w:type="pct"/>
          </w:tcPr>
          <w:p w14:paraId="54E943DD">
            <w:pPr>
              <w:adjustRightInd w:val="0"/>
              <w:snapToGrid w:val="0"/>
              <w:rPr>
                <w:rFonts w:ascii="仿宋_GB2312" w:eastAsia="仿宋_GB2312"/>
                <w:b/>
                <w:sz w:val="24"/>
                <w:szCs w:val="24"/>
              </w:rPr>
            </w:pPr>
            <w:r>
              <w:rPr>
                <w:rFonts w:hint="eastAsia" w:ascii="仿宋_GB2312" w:eastAsia="仿宋_GB2312"/>
                <w:b/>
                <w:sz w:val="24"/>
                <w:szCs w:val="24"/>
              </w:rPr>
              <w:t>简称</w:t>
            </w:r>
          </w:p>
        </w:tc>
        <w:tc>
          <w:tcPr>
            <w:tcW w:w="2862" w:type="pct"/>
          </w:tcPr>
          <w:p w14:paraId="6E0898BF">
            <w:pPr>
              <w:adjustRightInd w:val="0"/>
              <w:snapToGrid w:val="0"/>
              <w:rPr>
                <w:rFonts w:ascii="仿宋_GB2312" w:eastAsia="仿宋_GB2312"/>
                <w:b/>
                <w:sz w:val="24"/>
                <w:szCs w:val="24"/>
              </w:rPr>
            </w:pPr>
            <w:r>
              <w:rPr>
                <w:rFonts w:hint="eastAsia" w:ascii="仿宋_GB2312" w:eastAsia="仿宋_GB2312"/>
                <w:b/>
                <w:sz w:val="24"/>
                <w:szCs w:val="24"/>
              </w:rPr>
              <w:t>篮子标准</w:t>
            </w:r>
          </w:p>
        </w:tc>
        <w:tc>
          <w:tcPr>
            <w:tcW w:w="582" w:type="pct"/>
          </w:tcPr>
          <w:p w14:paraId="495F9859">
            <w:pPr>
              <w:adjustRightInd w:val="0"/>
              <w:snapToGrid w:val="0"/>
              <w:rPr>
                <w:rFonts w:ascii="仿宋_GB2312" w:eastAsia="仿宋_GB2312"/>
                <w:b/>
                <w:sz w:val="24"/>
                <w:szCs w:val="24"/>
              </w:rPr>
            </w:pPr>
            <w:r>
              <w:rPr>
                <w:rFonts w:hint="eastAsia" w:ascii="仿宋_GB2312" w:eastAsia="仿宋_GB2312"/>
                <w:b/>
                <w:sz w:val="24"/>
                <w:szCs w:val="24"/>
              </w:rPr>
              <w:t>折扣率</w:t>
            </w:r>
          </w:p>
        </w:tc>
      </w:tr>
      <w:tr w14:paraId="1623F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pct"/>
          </w:tcPr>
          <w:p w14:paraId="5ADE6718">
            <w:pPr>
              <w:adjustRightInd w:val="0"/>
              <w:snapToGrid w:val="0"/>
              <w:rPr>
                <w:rFonts w:ascii="仿宋_GB2312" w:eastAsia="仿宋_GB2312"/>
                <w:b/>
                <w:sz w:val="24"/>
                <w:szCs w:val="24"/>
              </w:rPr>
            </w:pPr>
            <w:r>
              <w:rPr>
                <w:rFonts w:hint="eastAsia" w:ascii="仿宋_GB2312" w:eastAsia="仿宋_GB2312"/>
                <w:b/>
                <w:sz w:val="24"/>
                <w:szCs w:val="24"/>
              </w:rPr>
              <w:t>篮子1</w:t>
            </w:r>
          </w:p>
        </w:tc>
        <w:tc>
          <w:tcPr>
            <w:tcW w:w="654" w:type="pct"/>
          </w:tcPr>
          <w:p w14:paraId="34E1F385">
            <w:pPr>
              <w:adjustRightInd w:val="0"/>
              <w:snapToGrid w:val="0"/>
              <w:rPr>
                <w:rFonts w:ascii="仿宋_GB2312" w:eastAsia="仿宋_GB2312"/>
                <w:sz w:val="24"/>
                <w:szCs w:val="24"/>
              </w:rPr>
            </w:pPr>
            <w:r>
              <w:rPr>
                <w:rFonts w:hint="eastAsia" w:ascii="仿宋_GB2312" w:eastAsia="仿宋_GB2312"/>
                <w:sz w:val="24"/>
                <w:szCs w:val="24"/>
              </w:rPr>
              <w:t>利率债</w:t>
            </w:r>
          </w:p>
        </w:tc>
        <w:tc>
          <w:tcPr>
            <w:tcW w:w="2862" w:type="pct"/>
          </w:tcPr>
          <w:p w14:paraId="471ED1D6">
            <w:pPr>
              <w:adjustRightInd w:val="0"/>
              <w:snapToGrid w:val="0"/>
              <w:rPr>
                <w:rFonts w:ascii="仿宋_GB2312" w:eastAsia="仿宋_GB2312"/>
                <w:sz w:val="24"/>
                <w:szCs w:val="24"/>
              </w:rPr>
            </w:pPr>
            <w:r>
              <w:rPr>
                <w:rFonts w:hint="eastAsia" w:ascii="仿宋_GB2312" w:eastAsia="仿宋_GB2312"/>
                <w:sz w:val="24"/>
                <w:szCs w:val="24"/>
              </w:rPr>
              <w:t>政府债券（含国债、地方政府债券）、政策性金融机构债券、政府支持机构债券</w:t>
            </w:r>
          </w:p>
        </w:tc>
        <w:tc>
          <w:tcPr>
            <w:tcW w:w="582" w:type="pct"/>
          </w:tcPr>
          <w:p w14:paraId="4A91DBA9">
            <w:pPr>
              <w:adjustRightInd w:val="0"/>
              <w:snapToGrid w:val="0"/>
              <w:rPr>
                <w:rFonts w:ascii="仿宋_GB2312" w:eastAsia="仿宋_GB2312"/>
                <w:sz w:val="24"/>
                <w:szCs w:val="24"/>
              </w:rPr>
            </w:pPr>
            <w:r>
              <w:rPr>
                <w:rFonts w:ascii="仿宋_GB2312" w:eastAsia="仿宋_GB2312"/>
                <w:sz w:val="24"/>
                <w:szCs w:val="24"/>
              </w:rPr>
              <w:t>0%</w:t>
            </w:r>
          </w:p>
        </w:tc>
      </w:tr>
      <w:tr w14:paraId="75D2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pct"/>
          </w:tcPr>
          <w:p w14:paraId="00801215">
            <w:pPr>
              <w:adjustRightInd w:val="0"/>
              <w:snapToGrid w:val="0"/>
              <w:rPr>
                <w:rFonts w:ascii="仿宋_GB2312" w:eastAsia="仿宋_GB2312"/>
                <w:b/>
                <w:sz w:val="24"/>
                <w:szCs w:val="24"/>
              </w:rPr>
            </w:pPr>
            <w:r>
              <w:rPr>
                <w:rFonts w:hint="eastAsia" w:ascii="仿宋_GB2312" w:eastAsia="仿宋_GB2312"/>
                <w:b/>
                <w:sz w:val="24"/>
                <w:szCs w:val="24"/>
              </w:rPr>
              <w:t>篮子2</w:t>
            </w:r>
          </w:p>
        </w:tc>
        <w:tc>
          <w:tcPr>
            <w:tcW w:w="654" w:type="pct"/>
          </w:tcPr>
          <w:p w14:paraId="2A800217">
            <w:pPr>
              <w:adjustRightInd w:val="0"/>
              <w:snapToGrid w:val="0"/>
              <w:rPr>
                <w:rFonts w:ascii="仿宋_GB2312" w:eastAsia="仿宋_GB2312"/>
                <w:sz w:val="24"/>
                <w:szCs w:val="24"/>
              </w:rPr>
            </w:pPr>
            <w:r>
              <w:rPr>
                <w:rFonts w:hint="eastAsia" w:ascii="仿宋_GB2312" w:eastAsia="仿宋_GB2312"/>
                <w:sz w:val="24"/>
                <w:szCs w:val="24"/>
              </w:rPr>
              <w:t>AAA（公）</w:t>
            </w:r>
          </w:p>
        </w:tc>
        <w:tc>
          <w:tcPr>
            <w:tcW w:w="2862" w:type="pct"/>
          </w:tcPr>
          <w:p w14:paraId="080395E7">
            <w:pPr>
              <w:adjustRightInd w:val="0"/>
              <w:snapToGrid w:val="0"/>
              <w:rPr>
                <w:rFonts w:ascii="仿宋_GB2312" w:eastAsia="仿宋_GB2312"/>
                <w:sz w:val="24"/>
                <w:szCs w:val="24"/>
              </w:rPr>
            </w:pPr>
            <w:r>
              <w:rPr>
                <w:rFonts w:hint="eastAsia" w:ascii="仿宋_GB2312" w:eastAsia="仿宋_GB2312"/>
                <w:sz w:val="24"/>
                <w:szCs w:val="24"/>
              </w:rPr>
              <w:t>公开发行的、评级AAA信用债</w:t>
            </w:r>
          </w:p>
        </w:tc>
        <w:tc>
          <w:tcPr>
            <w:tcW w:w="582" w:type="pct"/>
          </w:tcPr>
          <w:p w14:paraId="3C132ECF">
            <w:pPr>
              <w:adjustRightInd w:val="0"/>
              <w:snapToGrid w:val="0"/>
              <w:rPr>
                <w:rFonts w:ascii="仿宋_GB2312" w:eastAsia="仿宋_GB2312"/>
                <w:sz w:val="24"/>
                <w:szCs w:val="24"/>
              </w:rPr>
            </w:pPr>
            <w:r>
              <w:rPr>
                <w:rFonts w:ascii="仿宋_GB2312" w:eastAsia="仿宋_GB2312"/>
                <w:sz w:val="24"/>
                <w:szCs w:val="24"/>
              </w:rPr>
              <w:t>3%</w:t>
            </w:r>
          </w:p>
        </w:tc>
      </w:tr>
      <w:tr w14:paraId="23F28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2" w:type="pct"/>
          </w:tcPr>
          <w:p w14:paraId="7A2A215C">
            <w:pPr>
              <w:adjustRightInd w:val="0"/>
              <w:snapToGrid w:val="0"/>
              <w:rPr>
                <w:rFonts w:ascii="仿宋_GB2312" w:eastAsia="仿宋_GB2312"/>
                <w:b/>
                <w:sz w:val="24"/>
                <w:szCs w:val="24"/>
              </w:rPr>
            </w:pPr>
            <w:r>
              <w:rPr>
                <w:rFonts w:hint="eastAsia" w:ascii="仿宋_GB2312" w:eastAsia="仿宋_GB2312"/>
                <w:b/>
                <w:sz w:val="24"/>
                <w:szCs w:val="24"/>
              </w:rPr>
              <w:t>篮子3</w:t>
            </w:r>
          </w:p>
        </w:tc>
        <w:tc>
          <w:tcPr>
            <w:tcW w:w="654" w:type="pct"/>
          </w:tcPr>
          <w:p w14:paraId="2EAE3E8F">
            <w:pPr>
              <w:adjustRightInd w:val="0"/>
              <w:snapToGrid w:val="0"/>
              <w:rPr>
                <w:rFonts w:ascii="仿宋_GB2312" w:eastAsia="仿宋_GB2312"/>
                <w:sz w:val="24"/>
                <w:szCs w:val="24"/>
              </w:rPr>
            </w:pPr>
            <w:r>
              <w:rPr>
                <w:rFonts w:hint="eastAsia" w:ascii="仿宋_GB2312" w:eastAsia="仿宋_GB2312"/>
                <w:sz w:val="24"/>
                <w:szCs w:val="24"/>
              </w:rPr>
              <w:t>AA+（公）</w:t>
            </w:r>
          </w:p>
        </w:tc>
        <w:tc>
          <w:tcPr>
            <w:tcW w:w="2862" w:type="pct"/>
          </w:tcPr>
          <w:p w14:paraId="5AD7C251">
            <w:pPr>
              <w:adjustRightInd w:val="0"/>
              <w:snapToGrid w:val="0"/>
              <w:rPr>
                <w:rFonts w:ascii="仿宋_GB2312" w:eastAsia="仿宋_GB2312"/>
                <w:sz w:val="24"/>
                <w:szCs w:val="24"/>
              </w:rPr>
            </w:pPr>
            <w:r>
              <w:rPr>
                <w:rFonts w:hint="eastAsia" w:ascii="仿宋_GB2312" w:eastAsia="仿宋_GB2312"/>
                <w:sz w:val="24"/>
                <w:szCs w:val="24"/>
              </w:rPr>
              <w:t>公开发行的、评级AA+信用债</w:t>
            </w:r>
          </w:p>
        </w:tc>
        <w:tc>
          <w:tcPr>
            <w:tcW w:w="582" w:type="pct"/>
          </w:tcPr>
          <w:p w14:paraId="3C65657E">
            <w:pPr>
              <w:adjustRightInd w:val="0"/>
              <w:snapToGrid w:val="0"/>
              <w:rPr>
                <w:rFonts w:ascii="仿宋_GB2312" w:eastAsia="仿宋_GB2312"/>
                <w:sz w:val="24"/>
                <w:szCs w:val="24"/>
              </w:rPr>
            </w:pPr>
            <w:r>
              <w:rPr>
                <w:rFonts w:ascii="仿宋_GB2312" w:eastAsia="仿宋_GB2312"/>
                <w:sz w:val="24"/>
                <w:szCs w:val="24"/>
              </w:rPr>
              <w:t>8%</w:t>
            </w:r>
          </w:p>
        </w:tc>
      </w:tr>
      <w:tr w14:paraId="08AF6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pct"/>
          </w:tcPr>
          <w:p w14:paraId="7F2E34D0">
            <w:pPr>
              <w:adjustRightInd w:val="0"/>
              <w:snapToGrid w:val="0"/>
              <w:rPr>
                <w:rFonts w:ascii="仿宋_GB2312" w:eastAsia="仿宋_GB2312"/>
                <w:b/>
                <w:sz w:val="24"/>
                <w:szCs w:val="24"/>
              </w:rPr>
            </w:pPr>
            <w:r>
              <w:rPr>
                <w:rFonts w:hint="eastAsia" w:ascii="仿宋_GB2312" w:eastAsia="仿宋_GB2312"/>
                <w:b/>
                <w:sz w:val="24"/>
                <w:szCs w:val="24"/>
              </w:rPr>
              <w:t>篮子4</w:t>
            </w:r>
          </w:p>
        </w:tc>
        <w:tc>
          <w:tcPr>
            <w:tcW w:w="654" w:type="pct"/>
          </w:tcPr>
          <w:p w14:paraId="12865C2A">
            <w:pPr>
              <w:adjustRightInd w:val="0"/>
              <w:snapToGrid w:val="0"/>
              <w:rPr>
                <w:rFonts w:ascii="仿宋_GB2312" w:eastAsia="仿宋_GB2312"/>
                <w:sz w:val="24"/>
                <w:szCs w:val="24"/>
              </w:rPr>
            </w:pPr>
            <w:r>
              <w:rPr>
                <w:rFonts w:hint="eastAsia" w:ascii="仿宋_GB2312" w:eastAsia="仿宋_GB2312"/>
                <w:sz w:val="24"/>
                <w:szCs w:val="24"/>
              </w:rPr>
              <w:t>AA（公）</w:t>
            </w:r>
          </w:p>
        </w:tc>
        <w:tc>
          <w:tcPr>
            <w:tcW w:w="2862" w:type="pct"/>
          </w:tcPr>
          <w:p w14:paraId="7D1BE6B1">
            <w:pPr>
              <w:adjustRightInd w:val="0"/>
              <w:snapToGrid w:val="0"/>
              <w:rPr>
                <w:rFonts w:ascii="仿宋_GB2312" w:eastAsia="仿宋_GB2312"/>
                <w:sz w:val="24"/>
                <w:szCs w:val="24"/>
              </w:rPr>
            </w:pPr>
            <w:r>
              <w:rPr>
                <w:rFonts w:hint="eastAsia" w:ascii="仿宋_GB2312" w:eastAsia="仿宋_GB2312"/>
                <w:sz w:val="24"/>
                <w:szCs w:val="24"/>
              </w:rPr>
              <w:t>公开发行的、评级AA信用债</w:t>
            </w:r>
          </w:p>
        </w:tc>
        <w:tc>
          <w:tcPr>
            <w:tcW w:w="582" w:type="pct"/>
          </w:tcPr>
          <w:p w14:paraId="0AFA9A94">
            <w:pPr>
              <w:adjustRightInd w:val="0"/>
              <w:snapToGrid w:val="0"/>
              <w:rPr>
                <w:rFonts w:ascii="仿宋_GB2312" w:eastAsia="仿宋_GB2312"/>
                <w:sz w:val="24"/>
                <w:szCs w:val="24"/>
              </w:rPr>
            </w:pPr>
            <w:r>
              <w:rPr>
                <w:rFonts w:ascii="仿宋_GB2312" w:eastAsia="仿宋_GB2312"/>
                <w:sz w:val="24"/>
                <w:szCs w:val="24"/>
              </w:rPr>
              <w:t>15%</w:t>
            </w:r>
          </w:p>
        </w:tc>
      </w:tr>
      <w:tr w14:paraId="5398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pct"/>
          </w:tcPr>
          <w:p w14:paraId="4694AAE6">
            <w:pPr>
              <w:adjustRightInd w:val="0"/>
              <w:snapToGrid w:val="0"/>
              <w:rPr>
                <w:rFonts w:ascii="仿宋_GB2312" w:eastAsia="仿宋_GB2312"/>
                <w:b/>
                <w:sz w:val="24"/>
                <w:szCs w:val="24"/>
              </w:rPr>
            </w:pPr>
            <w:r>
              <w:rPr>
                <w:rFonts w:hint="eastAsia" w:ascii="仿宋_GB2312" w:eastAsia="仿宋_GB2312"/>
                <w:b/>
                <w:sz w:val="24"/>
                <w:szCs w:val="24"/>
              </w:rPr>
              <w:t>篮子5</w:t>
            </w:r>
          </w:p>
        </w:tc>
        <w:tc>
          <w:tcPr>
            <w:tcW w:w="654" w:type="pct"/>
          </w:tcPr>
          <w:p w14:paraId="63BA6894">
            <w:pPr>
              <w:adjustRightInd w:val="0"/>
              <w:snapToGrid w:val="0"/>
              <w:rPr>
                <w:rFonts w:ascii="仿宋_GB2312" w:eastAsia="仿宋_GB2312"/>
                <w:sz w:val="24"/>
                <w:szCs w:val="24"/>
              </w:rPr>
            </w:pPr>
            <w:r>
              <w:rPr>
                <w:rFonts w:hint="eastAsia" w:ascii="仿宋_GB2312" w:eastAsia="仿宋_GB2312"/>
                <w:sz w:val="24"/>
                <w:szCs w:val="24"/>
              </w:rPr>
              <w:t>AAA（私）</w:t>
            </w:r>
          </w:p>
        </w:tc>
        <w:tc>
          <w:tcPr>
            <w:tcW w:w="2862" w:type="pct"/>
          </w:tcPr>
          <w:p w14:paraId="39BA1267">
            <w:pPr>
              <w:adjustRightInd w:val="0"/>
              <w:snapToGrid w:val="0"/>
              <w:rPr>
                <w:rFonts w:ascii="仿宋_GB2312" w:eastAsia="仿宋_GB2312"/>
                <w:sz w:val="24"/>
                <w:szCs w:val="24"/>
              </w:rPr>
            </w:pPr>
            <w:r>
              <w:rPr>
                <w:rFonts w:hint="eastAsia" w:ascii="仿宋_GB2312" w:eastAsia="仿宋_GB2312"/>
                <w:sz w:val="24"/>
                <w:szCs w:val="24"/>
              </w:rPr>
              <w:t>非公开发行的、评级AAA的信用债</w:t>
            </w:r>
          </w:p>
        </w:tc>
        <w:tc>
          <w:tcPr>
            <w:tcW w:w="582" w:type="pct"/>
          </w:tcPr>
          <w:p w14:paraId="0D39043B">
            <w:pPr>
              <w:adjustRightInd w:val="0"/>
              <w:snapToGrid w:val="0"/>
              <w:rPr>
                <w:rFonts w:ascii="仿宋_GB2312" w:eastAsia="仿宋_GB2312"/>
                <w:sz w:val="24"/>
                <w:szCs w:val="24"/>
              </w:rPr>
            </w:pPr>
            <w:r>
              <w:rPr>
                <w:rFonts w:ascii="仿宋_GB2312" w:eastAsia="仿宋_GB2312"/>
                <w:sz w:val="24"/>
                <w:szCs w:val="24"/>
              </w:rPr>
              <w:t>8%</w:t>
            </w:r>
          </w:p>
        </w:tc>
      </w:tr>
      <w:tr w14:paraId="55704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pct"/>
          </w:tcPr>
          <w:p w14:paraId="5637E709">
            <w:pPr>
              <w:adjustRightInd w:val="0"/>
              <w:snapToGrid w:val="0"/>
              <w:rPr>
                <w:rFonts w:ascii="仿宋_GB2312" w:eastAsia="仿宋_GB2312"/>
                <w:b/>
                <w:sz w:val="24"/>
                <w:szCs w:val="24"/>
              </w:rPr>
            </w:pPr>
            <w:r>
              <w:rPr>
                <w:rFonts w:hint="eastAsia" w:ascii="仿宋_GB2312" w:eastAsia="仿宋_GB2312"/>
                <w:b/>
                <w:sz w:val="24"/>
                <w:szCs w:val="24"/>
              </w:rPr>
              <w:t>篮子6</w:t>
            </w:r>
          </w:p>
        </w:tc>
        <w:tc>
          <w:tcPr>
            <w:tcW w:w="654" w:type="pct"/>
          </w:tcPr>
          <w:p w14:paraId="7966A700">
            <w:pPr>
              <w:adjustRightInd w:val="0"/>
              <w:snapToGrid w:val="0"/>
              <w:rPr>
                <w:rFonts w:ascii="仿宋_GB2312" w:eastAsia="仿宋_GB2312"/>
                <w:sz w:val="24"/>
                <w:szCs w:val="24"/>
              </w:rPr>
            </w:pPr>
            <w:r>
              <w:rPr>
                <w:rFonts w:hint="eastAsia" w:ascii="仿宋_GB2312" w:eastAsia="仿宋_GB2312"/>
                <w:sz w:val="24"/>
                <w:szCs w:val="24"/>
              </w:rPr>
              <w:t>AA+（私）</w:t>
            </w:r>
          </w:p>
        </w:tc>
        <w:tc>
          <w:tcPr>
            <w:tcW w:w="2862" w:type="pct"/>
          </w:tcPr>
          <w:p w14:paraId="15FAFCC4">
            <w:pPr>
              <w:adjustRightInd w:val="0"/>
              <w:snapToGrid w:val="0"/>
              <w:rPr>
                <w:rFonts w:ascii="仿宋_GB2312" w:eastAsia="仿宋_GB2312"/>
                <w:sz w:val="24"/>
                <w:szCs w:val="24"/>
              </w:rPr>
            </w:pPr>
            <w:r>
              <w:rPr>
                <w:rFonts w:hint="eastAsia" w:ascii="仿宋_GB2312" w:eastAsia="仿宋_GB2312"/>
                <w:sz w:val="24"/>
                <w:szCs w:val="24"/>
              </w:rPr>
              <w:t>非公开发行的、评级AA+的信用债</w:t>
            </w:r>
          </w:p>
        </w:tc>
        <w:tc>
          <w:tcPr>
            <w:tcW w:w="582" w:type="pct"/>
          </w:tcPr>
          <w:p w14:paraId="72C08131">
            <w:pPr>
              <w:adjustRightInd w:val="0"/>
              <w:snapToGrid w:val="0"/>
              <w:rPr>
                <w:rFonts w:ascii="仿宋_GB2312" w:eastAsia="仿宋_GB2312"/>
                <w:sz w:val="24"/>
                <w:szCs w:val="24"/>
              </w:rPr>
            </w:pPr>
            <w:r>
              <w:rPr>
                <w:rFonts w:ascii="仿宋_GB2312" w:eastAsia="仿宋_GB2312"/>
                <w:sz w:val="24"/>
                <w:szCs w:val="24"/>
              </w:rPr>
              <w:t>15%</w:t>
            </w:r>
          </w:p>
        </w:tc>
      </w:tr>
      <w:tr w14:paraId="3C80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2" w:type="pct"/>
          </w:tcPr>
          <w:p w14:paraId="2B5857DB">
            <w:pPr>
              <w:adjustRightInd w:val="0"/>
              <w:snapToGrid w:val="0"/>
              <w:rPr>
                <w:rFonts w:ascii="仿宋_GB2312" w:eastAsia="仿宋_GB2312"/>
                <w:b/>
                <w:sz w:val="24"/>
                <w:szCs w:val="24"/>
              </w:rPr>
            </w:pPr>
            <w:r>
              <w:rPr>
                <w:rFonts w:hint="eastAsia" w:ascii="仿宋_GB2312" w:eastAsia="仿宋_GB2312"/>
                <w:b/>
                <w:sz w:val="24"/>
                <w:szCs w:val="24"/>
              </w:rPr>
              <w:t>篮子7</w:t>
            </w:r>
          </w:p>
        </w:tc>
        <w:tc>
          <w:tcPr>
            <w:tcW w:w="654" w:type="pct"/>
          </w:tcPr>
          <w:p w14:paraId="70A9C719">
            <w:pPr>
              <w:adjustRightInd w:val="0"/>
              <w:snapToGrid w:val="0"/>
              <w:rPr>
                <w:rFonts w:ascii="仿宋_GB2312" w:eastAsia="仿宋_GB2312"/>
                <w:sz w:val="24"/>
                <w:szCs w:val="24"/>
              </w:rPr>
            </w:pPr>
            <w:r>
              <w:rPr>
                <w:rFonts w:hint="eastAsia" w:ascii="仿宋_GB2312" w:eastAsia="仿宋_GB2312"/>
                <w:sz w:val="24"/>
                <w:szCs w:val="24"/>
              </w:rPr>
              <w:t>AA（私）</w:t>
            </w:r>
          </w:p>
        </w:tc>
        <w:tc>
          <w:tcPr>
            <w:tcW w:w="2862" w:type="pct"/>
          </w:tcPr>
          <w:p w14:paraId="6C1BA148">
            <w:pPr>
              <w:adjustRightInd w:val="0"/>
              <w:snapToGrid w:val="0"/>
              <w:rPr>
                <w:rFonts w:ascii="仿宋_GB2312" w:eastAsia="仿宋_GB2312"/>
                <w:sz w:val="24"/>
                <w:szCs w:val="24"/>
              </w:rPr>
            </w:pPr>
            <w:r>
              <w:rPr>
                <w:rFonts w:hint="eastAsia" w:ascii="仿宋_GB2312" w:eastAsia="仿宋_GB2312"/>
                <w:sz w:val="24"/>
                <w:szCs w:val="24"/>
              </w:rPr>
              <w:t>非公开发行的、评级AA的信用债</w:t>
            </w:r>
          </w:p>
        </w:tc>
        <w:tc>
          <w:tcPr>
            <w:tcW w:w="582" w:type="pct"/>
          </w:tcPr>
          <w:p w14:paraId="4B7DBD78">
            <w:pPr>
              <w:adjustRightInd w:val="0"/>
              <w:snapToGrid w:val="0"/>
              <w:rPr>
                <w:rFonts w:ascii="仿宋_GB2312" w:eastAsia="仿宋_GB2312"/>
                <w:sz w:val="24"/>
                <w:szCs w:val="24"/>
              </w:rPr>
            </w:pPr>
            <w:r>
              <w:rPr>
                <w:rFonts w:ascii="仿宋_GB2312" w:eastAsia="仿宋_GB2312"/>
                <w:sz w:val="24"/>
                <w:szCs w:val="24"/>
              </w:rPr>
              <w:t>25%</w:t>
            </w:r>
          </w:p>
        </w:tc>
      </w:tr>
      <w:tr w14:paraId="04E6D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2" w:type="pct"/>
          </w:tcPr>
          <w:p w14:paraId="505E5FAE">
            <w:pPr>
              <w:adjustRightInd w:val="0"/>
              <w:snapToGrid w:val="0"/>
              <w:rPr>
                <w:rFonts w:ascii="仿宋_GB2312" w:eastAsia="仿宋_GB2312"/>
                <w:b/>
                <w:sz w:val="24"/>
                <w:szCs w:val="24"/>
              </w:rPr>
            </w:pPr>
            <w:r>
              <w:rPr>
                <w:rFonts w:hint="eastAsia" w:ascii="仿宋_GB2312" w:eastAsia="仿宋_GB2312"/>
                <w:b/>
                <w:sz w:val="24"/>
                <w:szCs w:val="24"/>
              </w:rPr>
              <w:t>篮子8</w:t>
            </w:r>
          </w:p>
        </w:tc>
        <w:tc>
          <w:tcPr>
            <w:tcW w:w="654" w:type="pct"/>
          </w:tcPr>
          <w:p w14:paraId="7FD4314A">
            <w:pPr>
              <w:adjustRightInd w:val="0"/>
              <w:snapToGrid w:val="0"/>
              <w:rPr>
                <w:rFonts w:ascii="仿宋_GB2312" w:eastAsia="仿宋_GB2312"/>
                <w:sz w:val="24"/>
                <w:szCs w:val="24"/>
              </w:rPr>
            </w:pPr>
            <w:r>
              <w:rPr>
                <w:rFonts w:hint="eastAsia" w:ascii="仿宋_GB2312" w:eastAsia="仿宋_GB2312"/>
                <w:sz w:val="24"/>
                <w:szCs w:val="24"/>
              </w:rPr>
              <w:t>其他</w:t>
            </w:r>
          </w:p>
        </w:tc>
        <w:tc>
          <w:tcPr>
            <w:tcW w:w="2862" w:type="pct"/>
          </w:tcPr>
          <w:p w14:paraId="130C0B5B">
            <w:pPr>
              <w:adjustRightInd w:val="0"/>
              <w:snapToGrid w:val="0"/>
              <w:rPr>
                <w:rFonts w:ascii="仿宋_GB2312" w:eastAsia="仿宋_GB2312"/>
                <w:sz w:val="24"/>
                <w:szCs w:val="24"/>
              </w:rPr>
            </w:pPr>
            <w:r>
              <w:rPr>
                <w:rFonts w:hint="eastAsia" w:ascii="仿宋_GB2312" w:eastAsia="仿宋_GB2312"/>
                <w:sz w:val="24"/>
                <w:szCs w:val="24"/>
              </w:rPr>
              <w:t>篮子1-7以外的本所挂牌交易或转让信用债</w:t>
            </w:r>
          </w:p>
        </w:tc>
        <w:tc>
          <w:tcPr>
            <w:tcW w:w="582" w:type="pct"/>
          </w:tcPr>
          <w:p w14:paraId="7523072B">
            <w:pPr>
              <w:adjustRightInd w:val="0"/>
              <w:snapToGrid w:val="0"/>
              <w:rPr>
                <w:rFonts w:ascii="仿宋_GB2312" w:eastAsia="仿宋_GB2312"/>
                <w:sz w:val="24"/>
                <w:szCs w:val="24"/>
              </w:rPr>
            </w:pPr>
            <w:r>
              <w:rPr>
                <w:rFonts w:ascii="仿宋_GB2312" w:eastAsia="仿宋_GB2312"/>
                <w:sz w:val="24"/>
                <w:szCs w:val="24"/>
              </w:rPr>
              <w:t>40%</w:t>
            </w:r>
          </w:p>
        </w:tc>
      </w:tr>
    </w:tbl>
    <w:p w14:paraId="082F3DBC">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表格中的信用债含资产支持证券（次级档例外）。</w:t>
      </w:r>
    </w:p>
    <w:p w14:paraId="5E33B279">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评级信息在主体评级（若有）和债项评级（若有）中取孰高者。债券存在双评级的，按孰低原则办理。</w:t>
      </w:r>
    </w:p>
    <w:p w14:paraId="7E637916">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相同的质押券篮子内的所有债券实行相同的折扣率。本所可以根据市场情况对质押券篮子的内容及折扣率进行调整,有权将违约或存在信用风险事件的债券调出质押品范围。</w:t>
      </w:r>
    </w:p>
    <w:p w14:paraId="5E8B02E4">
      <w:pPr>
        <w:adjustRightInd w:val="0"/>
        <w:snapToGrid w:val="0"/>
        <w:spacing w:line="600" w:lineRule="exact"/>
        <w:ind w:firstLine="600"/>
        <w:rPr>
          <w:rFonts w:ascii="仿宋_GB2312" w:hAnsi="Calibri" w:eastAsia="仿宋_GB2312"/>
          <w:b/>
          <w:sz w:val="30"/>
          <w:szCs w:val="30"/>
        </w:rPr>
      </w:pPr>
      <w:r>
        <w:rPr>
          <w:rFonts w:hint="eastAsia" w:ascii="仿宋_GB2312" w:hAnsi="Calibri" w:eastAsia="仿宋_GB2312"/>
          <w:sz w:val="30"/>
          <w:szCs w:val="30"/>
        </w:rPr>
        <w:t>三方回购交易</w:t>
      </w:r>
      <w:r>
        <w:rPr>
          <w:rFonts w:hint="eastAsia" w:ascii="仿宋_GB2312" w:hAnsi="Calibri" w:eastAsia="仿宋_GB2312"/>
          <w:sz w:val="30"/>
          <w:szCs w:val="30"/>
          <w:lang w:eastAsia="zh-CN"/>
        </w:rPr>
        <w:t>应当至少指定一个质押券篮子，也</w:t>
      </w:r>
      <w:r>
        <w:rPr>
          <w:rFonts w:hint="eastAsia" w:ascii="仿宋_GB2312" w:hAnsi="Calibri" w:eastAsia="仿宋_GB2312"/>
          <w:sz w:val="30"/>
          <w:szCs w:val="30"/>
        </w:rPr>
        <w:t xml:space="preserve">可指定多个质押券篮子。篮子选择可以是连续（如选择篮子1、2、3、4、5），也可以是非连续（如选择篮子1、2、5）。      </w:t>
      </w:r>
    </w:p>
    <w:p w14:paraId="14EEB7C6">
      <w:pPr>
        <w:spacing w:line="600" w:lineRule="exact"/>
        <w:ind w:left="567"/>
        <w:outlineLvl w:val="3"/>
        <w:rPr>
          <w:rFonts w:ascii="仿宋_GB2312" w:eastAsia="仿宋_GB2312"/>
          <w:b/>
          <w:sz w:val="30"/>
          <w:szCs w:val="30"/>
        </w:rPr>
      </w:pPr>
      <w:r>
        <w:rPr>
          <w:rFonts w:hint="eastAsia" w:ascii="仿宋_GB2312" w:eastAsia="仿宋_GB2312"/>
          <w:b/>
          <w:sz w:val="30"/>
          <w:szCs w:val="30"/>
        </w:rPr>
        <w:t>（4）自行指定质押券</w:t>
      </w:r>
    </w:p>
    <w:p w14:paraId="553DD8D7">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sz w:val="30"/>
          <w:szCs w:val="30"/>
        </w:rPr>
        <w:t>回购交易双方可以自行指定具体质押券，指定的质押券应在交易申报确定的质押券篮子范围内，且指定质押券到期</w:t>
      </w:r>
      <w:r>
        <w:rPr>
          <w:rFonts w:hint="eastAsia" w:ascii="仿宋_GB2312" w:hAnsi="Calibri" w:eastAsia="仿宋_GB2312"/>
          <w:sz w:val="30"/>
          <w:szCs w:val="30"/>
          <w:lang w:eastAsia="zh-CN"/>
        </w:rPr>
        <w:t>登记</w:t>
      </w:r>
      <w:r>
        <w:rPr>
          <w:rFonts w:hint="eastAsia" w:ascii="仿宋_GB2312" w:hAnsi="Calibri" w:eastAsia="仿宋_GB2312"/>
          <w:sz w:val="30"/>
          <w:szCs w:val="30"/>
        </w:rPr>
        <w:t>日应晚于回购到期日。初期，</w:t>
      </w:r>
      <w:r>
        <w:rPr>
          <w:rFonts w:hint="eastAsia" w:ascii="仿宋_GB2312" w:hAnsi="Calibri" w:eastAsia="仿宋_GB2312"/>
          <w:kern w:val="0"/>
          <w:sz w:val="30"/>
          <w:szCs w:val="30"/>
        </w:rPr>
        <w:t>自行指定的质押券不能超过3只。</w:t>
      </w:r>
    </w:p>
    <w:p w14:paraId="529EA883">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（5）质押券选取</w:t>
      </w:r>
    </w:p>
    <w:p w14:paraId="42C15A16">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证券登记结算机构将依据回购双方的交易申报数据进行实时逐笔结算并进行质押券选取。首次结算，登记结算机构从正回购方三方回购专用账户内按以下原则选取质押债券：</w:t>
      </w:r>
    </w:p>
    <w:p w14:paraId="11A3DE8E">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1）如回购双方自行指定质押债券品种和对应数量，登记结算机构将优先选取双方指定的质押券品种。指定的任意一只质押券数量不足,交收失败。</w:t>
      </w:r>
    </w:p>
    <w:p w14:paraId="00EB18A8">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2）若双方未指定具体质押券品种或者已经指定的具体质押券品种担保品价值低于回购金额，对差额部分则按指定质押券篮子编号从大到小的顺序依次选取。编号大的篮子全部选取完依旧担保品不足额的，则到下一个质押券篮子中去选取，以此类推，直至足额为止。</w:t>
      </w:r>
    </w:p>
    <w:p w14:paraId="3B69CF5A">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3）</w:t>
      </w:r>
      <w:r>
        <w:rPr>
          <w:rFonts w:ascii="仿宋_GB2312" w:hAnsi="Calibri" w:eastAsia="仿宋_GB2312"/>
          <w:sz w:val="30"/>
          <w:szCs w:val="30"/>
        </w:rPr>
        <w:tab/>
      </w:r>
      <w:r>
        <w:rPr>
          <w:rFonts w:hint="eastAsia" w:ascii="仿宋_GB2312" w:hAnsi="Calibri" w:eastAsia="仿宋_GB2312"/>
          <w:sz w:val="30"/>
          <w:szCs w:val="30"/>
        </w:rPr>
        <w:t>同一质押券篮子中按可用数量由多到少的原则选取质押券，数量相同时按照代码由小到大原则选取，第一个选中的债券托管数量若足额则选取过程结束，否则继续按数量由多到少的原则选取下一个债券，直至足额为止。选取的质押券的到期日不得早于回购到期日。</w:t>
      </w:r>
    </w:p>
    <w:p w14:paraId="3E377737">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4）若最终指定的所有质押券篮子中可供选择的债券仍不足额，则结算失败。</w:t>
      </w:r>
    </w:p>
    <w:p w14:paraId="5334C4AB">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交易流程</w:t>
      </w:r>
      <w:r>
        <w:rPr>
          <w:rFonts w:ascii="仿宋_GB2312" w:eastAsia="仿宋_GB2312"/>
          <w:b/>
          <w:sz w:val="30"/>
          <w:szCs w:val="30"/>
        </w:rPr>
        <w:tab/>
      </w:r>
      <w:bookmarkStart w:id="2177" w:name="_Toc499850227"/>
      <w:bookmarkEnd w:id="2177"/>
      <w:bookmarkStart w:id="2178" w:name="_Toc499850039"/>
      <w:bookmarkEnd w:id="2178"/>
      <w:bookmarkStart w:id="2179" w:name="_Toc482797673"/>
      <w:bookmarkStart w:id="2180" w:name="_Toc480271907"/>
      <w:bookmarkStart w:id="2181" w:name="_Toc480273855"/>
      <w:bookmarkStart w:id="2182" w:name="_Toc480273651"/>
    </w:p>
    <w:p w14:paraId="0C660267">
      <w:pPr>
        <w:spacing w:line="600" w:lineRule="exact"/>
        <w:ind w:left="567"/>
        <w:outlineLvl w:val="3"/>
        <w:rPr>
          <w:rFonts w:ascii="仿宋_GB2312" w:eastAsia="仿宋_GB2312"/>
          <w:b/>
          <w:sz w:val="30"/>
          <w:szCs w:val="30"/>
        </w:rPr>
      </w:pPr>
      <w:r>
        <w:rPr>
          <w:rFonts w:hint="eastAsia" w:ascii="仿宋_GB2312" w:eastAsia="仿宋_GB2312"/>
          <w:b/>
          <w:sz w:val="30"/>
          <w:szCs w:val="30"/>
        </w:rPr>
        <w:t>（1）交易平台</w:t>
      </w:r>
    </w:p>
    <w:p w14:paraId="3CEDA3EB">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三方回购的交易申报在</w:t>
      </w:r>
      <w:r>
        <w:rPr>
          <w:rFonts w:hint="eastAsia" w:ascii="仿宋_GB2312" w:hAnsi="Calibri" w:eastAsia="仿宋_GB2312"/>
          <w:kern w:val="0"/>
          <w:sz w:val="30"/>
          <w:szCs w:val="30"/>
          <w:lang w:eastAsia="zh-CN"/>
        </w:rPr>
        <w:t>新固定收益系统</w:t>
      </w:r>
      <w:r>
        <w:rPr>
          <w:rFonts w:hint="eastAsia" w:ascii="仿宋_GB2312" w:hAnsi="Calibri" w:eastAsia="仿宋_GB2312"/>
          <w:kern w:val="0"/>
          <w:sz w:val="30"/>
          <w:szCs w:val="30"/>
        </w:rPr>
        <w:t>进行。市场参与者为本所债券交易参与人的，可直接通过</w:t>
      </w:r>
      <w:r>
        <w:rPr>
          <w:rFonts w:hint="eastAsia" w:ascii="仿宋_GB2312" w:hAnsi="Calibri" w:eastAsia="仿宋_GB2312"/>
          <w:kern w:val="0"/>
          <w:sz w:val="30"/>
          <w:szCs w:val="30"/>
          <w:lang w:eastAsia="zh-CN"/>
        </w:rPr>
        <w:t>新固定收益系统</w:t>
      </w:r>
      <w:r>
        <w:rPr>
          <w:rFonts w:hint="eastAsia" w:ascii="仿宋_GB2312" w:hAnsi="Calibri" w:eastAsia="仿宋_GB2312"/>
          <w:kern w:val="0"/>
          <w:sz w:val="30"/>
          <w:szCs w:val="30"/>
        </w:rPr>
        <w:t>进行三方回购交易申报；市场参与者为经纪客户的，由证券公司根据客户的委托和真实意思表示在</w:t>
      </w:r>
      <w:r>
        <w:rPr>
          <w:rFonts w:hint="eastAsia" w:ascii="仿宋_GB2312" w:hAnsi="Calibri" w:eastAsia="仿宋_GB2312"/>
          <w:kern w:val="0"/>
          <w:sz w:val="30"/>
          <w:szCs w:val="30"/>
          <w:lang w:eastAsia="zh-CN"/>
        </w:rPr>
        <w:t>新固定收益系统</w:t>
      </w:r>
      <w:r>
        <w:rPr>
          <w:rFonts w:hint="eastAsia" w:ascii="仿宋_GB2312" w:hAnsi="Calibri" w:eastAsia="仿宋_GB2312"/>
          <w:kern w:val="0"/>
          <w:sz w:val="30"/>
          <w:szCs w:val="30"/>
        </w:rPr>
        <w:t>上代为申报。</w:t>
      </w:r>
    </w:p>
    <w:p w14:paraId="3F4B6515">
      <w:pPr>
        <w:spacing w:line="600" w:lineRule="exact"/>
        <w:ind w:left="567"/>
        <w:outlineLvl w:val="3"/>
        <w:rPr>
          <w:rFonts w:ascii="仿宋_GB2312" w:eastAsia="仿宋_GB2312"/>
          <w:b/>
          <w:sz w:val="30"/>
          <w:szCs w:val="30"/>
        </w:rPr>
      </w:pPr>
      <w:r>
        <w:rPr>
          <w:rFonts w:hint="eastAsia" w:ascii="仿宋_GB2312" w:eastAsia="仿宋_GB2312"/>
          <w:b/>
          <w:sz w:val="30"/>
          <w:szCs w:val="30"/>
        </w:rPr>
        <w:t>（2）申报要素</w:t>
      </w:r>
      <w:bookmarkEnd w:id="2179"/>
      <w:bookmarkEnd w:id="2180"/>
      <w:bookmarkEnd w:id="2181"/>
      <w:bookmarkEnd w:id="2182"/>
    </w:p>
    <w:p w14:paraId="4B584527">
      <w:pPr>
        <w:adjustRightInd w:val="0"/>
        <w:snapToGrid w:val="0"/>
        <w:spacing w:line="600" w:lineRule="exact"/>
        <w:ind w:firstLine="600"/>
        <w:rPr>
          <w:rFonts w:ascii="仿宋_GB2312" w:hAnsi="Calibri" w:eastAsia="仿宋_GB2312"/>
          <w:sz w:val="30"/>
          <w:szCs w:val="30"/>
        </w:rPr>
      </w:pPr>
      <w:r>
        <w:rPr>
          <w:rFonts w:hint="eastAsia" w:ascii="仿宋_GB2312" w:hAnsi="Calibri" w:eastAsia="仿宋_GB2312"/>
          <w:sz w:val="30"/>
          <w:szCs w:val="30"/>
        </w:rPr>
        <w:t>三方回购的交易要素包括但不限于交易方向、回购利率、质押券篮子、质押券</w:t>
      </w:r>
      <w:r>
        <w:rPr>
          <w:rFonts w:hint="eastAsia" w:ascii="仿宋_GB2312" w:hAnsi="Calibri" w:eastAsia="仿宋_GB2312"/>
          <w:sz w:val="30"/>
          <w:szCs w:val="30"/>
          <w:lang w:eastAsia="zh-CN"/>
        </w:rPr>
        <w:t>代码简称和</w:t>
      </w:r>
      <w:r>
        <w:rPr>
          <w:rFonts w:hint="eastAsia" w:ascii="仿宋_GB2312" w:hAnsi="Calibri" w:eastAsia="仿宋_GB2312"/>
          <w:sz w:val="30"/>
          <w:szCs w:val="30"/>
        </w:rPr>
        <w:t>数量、成交金额、折</w:t>
      </w:r>
      <w:r>
        <w:rPr>
          <w:rFonts w:hint="eastAsia" w:ascii="仿宋_GB2312" w:hAnsi="Calibri" w:eastAsia="仿宋_GB2312"/>
          <w:sz w:val="30"/>
          <w:szCs w:val="30"/>
          <w:lang w:eastAsia="zh-CN"/>
        </w:rPr>
        <w:t>扣率</w:t>
      </w:r>
      <w:r>
        <w:rPr>
          <w:rFonts w:hint="eastAsia" w:ascii="仿宋_GB2312" w:hAnsi="Calibri" w:eastAsia="仿宋_GB2312"/>
          <w:sz w:val="30"/>
          <w:szCs w:val="30"/>
        </w:rPr>
        <w:t>、首次结算日、回购到期日、回购期限、到期结算日、实际占款天数、到期结算金额等。</w:t>
      </w:r>
    </w:p>
    <w:p w14:paraId="59BF1E05">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正回购方申报的账户为三方回购专用证券账户，逆回购方为普通证券账户。</w:t>
      </w:r>
    </w:p>
    <w:p w14:paraId="50C4D3F8">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sz w:val="30"/>
          <w:szCs w:val="30"/>
        </w:rPr>
        <w:t>三方回购品种期限可以由</w:t>
      </w:r>
      <w:r>
        <w:rPr>
          <w:rFonts w:hint="eastAsia" w:ascii="仿宋_GB2312" w:hAnsi="Calibri" w:eastAsia="仿宋_GB2312"/>
          <w:kern w:val="0"/>
          <w:sz w:val="30"/>
          <w:szCs w:val="30"/>
        </w:rPr>
        <w:t>回购</w:t>
      </w:r>
      <w:r>
        <w:rPr>
          <w:rFonts w:hint="eastAsia" w:ascii="仿宋_GB2312" w:hAnsi="Calibri" w:eastAsia="仿宋_GB2312"/>
          <w:sz w:val="30"/>
          <w:szCs w:val="30"/>
        </w:rPr>
        <w:t>双方在1-365天的范围内自行商定；回购</w:t>
      </w:r>
      <w:r>
        <w:rPr>
          <w:rFonts w:hint="eastAsia" w:ascii="仿宋_GB2312" w:hAnsi="Calibri" w:eastAsia="仿宋_GB2312"/>
          <w:kern w:val="0"/>
          <w:sz w:val="30"/>
          <w:szCs w:val="30"/>
        </w:rPr>
        <w:t>金额为100万元及其整数倍；回购利率不能超过24%，超过10%的交易提醒回购双方二次确认。</w:t>
      </w:r>
    </w:p>
    <w:p w14:paraId="215E32EE">
      <w:pPr>
        <w:spacing w:line="600" w:lineRule="exact"/>
        <w:ind w:left="567"/>
        <w:outlineLvl w:val="3"/>
        <w:rPr>
          <w:rFonts w:ascii="仿宋_GB2312" w:eastAsia="仿宋_GB2312"/>
          <w:b/>
          <w:sz w:val="30"/>
          <w:szCs w:val="30"/>
        </w:rPr>
      </w:pPr>
      <w:r>
        <w:rPr>
          <w:rFonts w:hint="eastAsia" w:ascii="仿宋_GB2312" w:eastAsia="仿宋_GB2312"/>
          <w:b/>
          <w:sz w:val="30"/>
          <w:szCs w:val="30"/>
        </w:rPr>
        <w:t>（3）回购交易申报</w:t>
      </w:r>
    </w:p>
    <w:p w14:paraId="3851017A">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本所接受三方回购申报的时间为每个交易日的9：00至11：30，13：00至</w:t>
      </w:r>
      <w:r>
        <w:rPr>
          <w:rFonts w:ascii="仿宋_GB2312" w:hAnsi="Calibri" w:eastAsia="仿宋_GB2312"/>
          <w:kern w:val="0"/>
          <w:sz w:val="30"/>
          <w:szCs w:val="30"/>
        </w:rPr>
        <w:t>15</w:t>
      </w:r>
      <w:r>
        <w:rPr>
          <w:rFonts w:hint="eastAsia" w:ascii="仿宋_GB2312" w:hAnsi="Calibri" w:eastAsia="仿宋_GB2312"/>
          <w:kern w:val="0"/>
          <w:sz w:val="30"/>
          <w:szCs w:val="30"/>
        </w:rPr>
        <w:t>：</w:t>
      </w:r>
      <w:r>
        <w:rPr>
          <w:rFonts w:ascii="仿宋_GB2312" w:hAnsi="Calibri" w:eastAsia="仿宋_GB2312"/>
          <w:kern w:val="0"/>
          <w:sz w:val="30"/>
          <w:szCs w:val="30"/>
        </w:rPr>
        <w:t>30</w:t>
      </w:r>
      <w:r>
        <w:rPr>
          <w:rFonts w:hint="eastAsia" w:ascii="仿宋_GB2312" w:hAnsi="Calibri" w:eastAsia="仿宋_GB2312"/>
          <w:kern w:val="0"/>
          <w:sz w:val="30"/>
          <w:szCs w:val="30"/>
        </w:rPr>
        <w:t>。本所可以根据市场需要调整三方回购的申报时间。</w:t>
      </w:r>
    </w:p>
    <w:p w14:paraId="60DE09E8">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首次回购交易可以采用点击成交、询价成交及协商成交等方式达成交易。三方回购参与方可通过提交意向申报等方式自行寻找对手方或通过货币经纪公司寻找对手方。</w:t>
      </w:r>
      <w:r>
        <w:rPr>
          <w:rFonts w:hint="eastAsia" w:ascii="仿宋_GB2312" w:hAnsi="Calibri" w:eastAsia="仿宋_GB2312"/>
          <w:kern w:val="0"/>
          <w:sz w:val="30"/>
          <w:szCs w:val="30"/>
          <w:lang w:eastAsia="zh-CN"/>
        </w:rPr>
        <w:t>目前</w:t>
      </w:r>
      <w:r>
        <w:rPr>
          <w:rFonts w:hint="eastAsia" w:ascii="仿宋_GB2312" w:hAnsi="Calibri" w:eastAsia="仿宋_GB2312"/>
          <w:kern w:val="0"/>
          <w:sz w:val="30"/>
          <w:szCs w:val="30"/>
        </w:rPr>
        <w:t>，</w:t>
      </w:r>
      <w:r>
        <w:rPr>
          <w:rFonts w:hint="eastAsia" w:ascii="仿宋_GB2312" w:hAnsi="Calibri" w:eastAsia="仿宋_GB2312"/>
          <w:kern w:val="0"/>
          <w:sz w:val="30"/>
          <w:szCs w:val="30"/>
          <w:lang w:eastAsia="zh-CN"/>
        </w:rPr>
        <w:t>新固定收益系统</w:t>
      </w:r>
      <w:r>
        <w:rPr>
          <w:rFonts w:hint="eastAsia" w:ascii="仿宋_GB2312" w:hAnsi="Calibri" w:eastAsia="仿宋_GB2312"/>
          <w:kern w:val="0"/>
          <w:sz w:val="30"/>
          <w:szCs w:val="30"/>
        </w:rPr>
        <w:t>仅支持协商成交方式达成交易。</w:t>
      </w:r>
    </w:p>
    <w:p w14:paraId="1795279E">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首次交易申报双方需指定质押券篮子，同时双方在质押券篮子的基础上可以自行指定质押券，且指定质押券的到期</w:t>
      </w:r>
      <w:r>
        <w:rPr>
          <w:rFonts w:hint="eastAsia" w:ascii="仿宋_GB2312" w:hAnsi="Calibri" w:eastAsia="仿宋_GB2312"/>
          <w:kern w:val="0"/>
          <w:sz w:val="30"/>
          <w:szCs w:val="30"/>
          <w:lang w:eastAsia="zh-CN"/>
        </w:rPr>
        <w:t>登记</w:t>
      </w:r>
      <w:r>
        <w:rPr>
          <w:rFonts w:hint="eastAsia" w:ascii="仿宋_GB2312" w:hAnsi="Calibri" w:eastAsia="仿宋_GB2312"/>
          <w:kern w:val="0"/>
          <w:sz w:val="30"/>
          <w:szCs w:val="30"/>
        </w:rPr>
        <w:t>日不得早于回购到期日。</w:t>
      </w:r>
    </w:p>
    <w:p w14:paraId="2803D03E">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回购双方可以在进行回购交易申报时填写交易补充约定，约定质押价值变动、违约处置等内容，但不得违反法律、行政法规、部门规章、其他规范性文件、《暂行办法》以及本所、证券登记结算机构的其他相关规定，且不得与主协议以及成交记录相冲突。交易补充约定的内容由回购双方自行履行。</w:t>
      </w:r>
    </w:p>
    <w:p w14:paraId="19C94096">
      <w:pPr>
        <w:spacing w:line="600" w:lineRule="exact"/>
        <w:ind w:firstLine="601" w:firstLineChars="200"/>
        <w:outlineLvl w:val="3"/>
        <w:rPr>
          <w:rFonts w:ascii="仿宋_GB2312" w:hAnsi="黑体" w:eastAsia="仿宋_GB2312"/>
          <w:b/>
          <w:sz w:val="30"/>
          <w:szCs w:val="30"/>
        </w:rPr>
      </w:pPr>
      <w:r>
        <w:rPr>
          <w:rFonts w:hint="eastAsia" w:ascii="仿宋_GB2312" w:eastAsia="仿宋_GB2312"/>
          <w:b/>
          <w:sz w:val="30"/>
          <w:szCs w:val="30"/>
        </w:rPr>
        <w:t>（4）</w:t>
      </w:r>
      <w:r>
        <w:rPr>
          <w:rFonts w:hint="eastAsia" w:ascii="仿宋_GB2312" w:hAnsi="黑体" w:eastAsia="仿宋_GB2312"/>
          <w:b/>
          <w:sz w:val="30"/>
          <w:szCs w:val="30"/>
        </w:rPr>
        <w:t>意向申报</w:t>
      </w:r>
    </w:p>
    <w:p w14:paraId="3244DC89">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三方回购市场参与者可面向全市场提交意向申报。</w:t>
      </w:r>
    </w:p>
    <w:p w14:paraId="3CEDC5FD">
      <w:pPr>
        <w:adjustRightInd w:val="0"/>
        <w:snapToGrid w:val="0"/>
        <w:spacing w:line="600" w:lineRule="exact"/>
        <w:ind w:firstLine="600" w:firstLineChars="200"/>
        <w:rPr>
          <w:rFonts w:hint="eastAsia" w:ascii="仿宋_GB2312" w:hAnsi="宋体" w:eastAsia="仿宋_GB2312"/>
          <w:sz w:val="30"/>
          <w:szCs w:val="30"/>
        </w:rPr>
      </w:pPr>
      <w:r>
        <w:rPr>
          <w:rFonts w:hint="eastAsia" w:ascii="仿宋_GB2312" w:hAnsi="Calibri" w:eastAsia="仿宋_GB2312"/>
          <w:kern w:val="0"/>
          <w:sz w:val="30"/>
          <w:szCs w:val="30"/>
        </w:rPr>
        <w:t>意向申报的</w:t>
      </w:r>
      <w:r>
        <w:rPr>
          <w:rFonts w:hint="eastAsia" w:ascii="仿宋_GB2312" w:hAnsi="宋体" w:eastAsia="仿宋_GB2312"/>
          <w:sz w:val="30"/>
          <w:szCs w:val="30"/>
        </w:rPr>
        <w:t>具体要素及要素说明如下：</w:t>
      </w:r>
    </w:p>
    <w:tbl>
      <w:tblPr>
        <w:tblStyle w:val="4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3"/>
        <w:gridCol w:w="5506"/>
      </w:tblGrid>
      <w:tr w14:paraId="345A4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8" w:type="pct"/>
          </w:tcPr>
          <w:p w14:paraId="4F534385">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3231" w:type="pct"/>
          </w:tcPr>
          <w:p w14:paraId="4D069F55">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0BD65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8" w:type="pct"/>
          </w:tcPr>
          <w:p w14:paraId="1218EAE8">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本方</w:t>
            </w:r>
            <w:r>
              <w:rPr>
                <w:rFonts w:hint="eastAsia" w:ascii="仿宋_GB2312" w:eastAsia="仿宋_GB2312"/>
                <w:b/>
                <w:kern w:val="0"/>
                <w:sz w:val="24"/>
                <w:szCs w:val="24"/>
              </w:rPr>
              <w:t>方向</w:t>
            </w:r>
          </w:p>
        </w:tc>
        <w:tc>
          <w:tcPr>
            <w:tcW w:w="3231" w:type="pct"/>
          </w:tcPr>
          <w:p w14:paraId="38769020">
            <w:pPr>
              <w:adjustRightInd w:val="0"/>
              <w:snapToGrid w:val="0"/>
              <w:rPr>
                <w:rFonts w:ascii="仿宋_GB2312" w:eastAsia="仿宋_GB2312"/>
                <w:kern w:val="0"/>
                <w:sz w:val="24"/>
                <w:szCs w:val="24"/>
              </w:rPr>
            </w:pPr>
            <w:r>
              <w:rPr>
                <w:rFonts w:hint="eastAsia" w:ascii="仿宋_GB2312" w:eastAsia="仿宋_GB2312"/>
                <w:kern w:val="0"/>
                <w:sz w:val="24"/>
                <w:szCs w:val="24"/>
              </w:rPr>
              <w:t>正回购或逆回购</w:t>
            </w:r>
          </w:p>
        </w:tc>
      </w:tr>
      <w:tr w14:paraId="2F31C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8" w:type="pct"/>
          </w:tcPr>
          <w:p w14:paraId="59D9E5A6">
            <w:pPr>
              <w:adjustRightInd w:val="0"/>
              <w:snapToGrid w:val="0"/>
              <w:rPr>
                <w:rFonts w:hint="eastAsia" w:ascii="仿宋_GB2312" w:eastAsia="仿宋_GB2312"/>
                <w:b/>
                <w:kern w:val="0"/>
                <w:sz w:val="24"/>
                <w:szCs w:val="24"/>
                <w:lang w:val="en-US" w:eastAsia="zh-CN"/>
              </w:rPr>
            </w:pPr>
            <w:r>
              <w:rPr>
                <w:rFonts w:hint="eastAsia" w:ascii="仿宋_GB2312" w:eastAsia="仿宋_GB2312"/>
                <w:b/>
                <w:kern w:val="0"/>
                <w:sz w:val="24"/>
                <w:szCs w:val="24"/>
              </w:rPr>
              <w:t>专用账户</w:t>
            </w:r>
            <w:r>
              <w:rPr>
                <w:rFonts w:hint="eastAsia" w:ascii="仿宋_GB2312" w:eastAsia="仿宋_GB2312"/>
                <w:b/>
                <w:kern w:val="0"/>
                <w:sz w:val="24"/>
                <w:szCs w:val="24"/>
                <w:lang w:val="en-US" w:eastAsia="zh-CN"/>
              </w:rPr>
              <w:t>/普通账户</w:t>
            </w:r>
          </w:p>
        </w:tc>
        <w:tc>
          <w:tcPr>
            <w:tcW w:w="3231" w:type="pct"/>
          </w:tcPr>
          <w:p w14:paraId="6101C531">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正回购</w:t>
            </w:r>
            <w:r>
              <w:rPr>
                <w:rFonts w:hint="eastAsia" w:ascii="仿宋_GB2312" w:eastAsia="仿宋_GB2312"/>
                <w:kern w:val="0"/>
                <w:sz w:val="24"/>
                <w:szCs w:val="24"/>
                <w:lang w:eastAsia="zh-CN"/>
              </w:rPr>
              <w:t>方专用账户</w:t>
            </w:r>
            <w:r>
              <w:rPr>
                <w:rFonts w:hint="eastAsia" w:ascii="仿宋_GB2312" w:eastAsia="仿宋_GB2312"/>
                <w:kern w:val="0"/>
                <w:sz w:val="24"/>
                <w:szCs w:val="24"/>
                <w:lang w:val="en-US" w:eastAsia="zh-CN"/>
              </w:rPr>
              <w:t>/</w:t>
            </w:r>
            <w:r>
              <w:rPr>
                <w:rFonts w:hint="eastAsia" w:ascii="仿宋_GB2312" w:eastAsia="仿宋_GB2312"/>
                <w:kern w:val="0"/>
                <w:sz w:val="24"/>
                <w:szCs w:val="24"/>
                <w:lang w:eastAsia="zh-CN"/>
              </w:rPr>
              <w:t>逆回购方普通</w:t>
            </w:r>
            <w:r>
              <w:rPr>
                <w:rFonts w:hint="eastAsia" w:ascii="仿宋_GB2312" w:eastAsia="仿宋_GB2312"/>
                <w:kern w:val="0"/>
                <w:sz w:val="24"/>
                <w:szCs w:val="24"/>
              </w:rPr>
              <w:t>账户</w:t>
            </w:r>
            <w:r>
              <w:rPr>
                <w:rFonts w:hint="eastAsia" w:ascii="仿宋_GB2312" w:eastAsia="仿宋_GB2312"/>
                <w:kern w:val="0"/>
                <w:sz w:val="24"/>
                <w:szCs w:val="24"/>
                <w:lang w:eastAsia="zh-CN"/>
              </w:rPr>
              <w:t>号码</w:t>
            </w:r>
          </w:p>
        </w:tc>
      </w:tr>
      <w:tr w14:paraId="257FB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68" w:type="pct"/>
          </w:tcPr>
          <w:p w14:paraId="5B95594B">
            <w:pPr>
              <w:adjustRightInd w:val="0"/>
              <w:snapToGrid w:val="0"/>
              <w:rPr>
                <w:rFonts w:ascii="仿宋_GB2312" w:eastAsia="仿宋_GB2312"/>
                <w:b/>
                <w:kern w:val="0"/>
                <w:sz w:val="24"/>
                <w:szCs w:val="24"/>
              </w:rPr>
            </w:pPr>
            <w:r>
              <w:rPr>
                <w:rFonts w:hint="eastAsia" w:ascii="仿宋_GB2312" w:eastAsia="仿宋_GB2312"/>
                <w:b/>
                <w:kern w:val="0"/>
                <w:sz w:val="24"/>
                <w:szCs w:val="24"/>
              </w:rPr>
              <w:t>回购期限</w:t>
            </w:r>
          </w:p>
        </w:tc>
        <w:tc>
          <w:tcPr>
            <w:tcW w:w="3231" w:type="pct"/>
          </w:tcPr>
          <w:p w14:paraId="0F749707">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单位：天</w:t>
            </w:r>
          </w:p>
        </w:tc>
      </w:tr>
      <w:tr w14:paraId="0F03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8" w:type="pct"/>
          </w:tcPr>
          <w:p w14:paraId="5218FC16">
            <w:pPr>
              <w:adjustRightInd w:val="0"/>
              <w:snapToGrid w:val="0"/>
              <w:rPr>
                <w:rFonts w:ascii="仿宋_GB2312" w:eastAsia="仿宋_GB2312"/>
                <w:b/>
                <w:kern w:val="0"/>
                <w:sz w:val="24"/>
                <w:szCs w:val="24"/>
              </w:rPr>
            </w:pPr>
            <w:r>
              <w:rPr>
                <w:rFonts w:hint="eastAsia" w:ascii="仿宋_GB2312" w:eastAsia="仿宋_GB2312"/>
                <w:b/>
                <w:kern w:val="0"/>
                <w:sz w:val="24"/>
                <w:szCs w:val="24"/>
              </w:rPr>
              <w:t>回购利率</w:t>
            </w:r>
          </w:p>
        </w:tc>
        <w:tc>
          <w:tcPr>
            <w:tcW w:w="3231" w:type="pct"/>
          </w:tcPr>
          <w:p w14:paraId="51828EB5">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单位：</w:t>
            </w:r>
            <w:r>
              <w:rPr>
                <w:rFonts w:hint="eastAsia" w:ascii="仿宋_GB2312" w:eastAsia="仿宋_GB2312"/>
                <w:kern w:val="0"/>
                <w:sz w:val="24"/>
                <w:szCs w:val="24"/>
                <w:lang w:val="en-US" w:eastAsia="zh-CN"/>
              </w:rPr>
              <w:t>%，</w:t>
            </w:r>
            <w:r>
              <w:rPr>
                <w:rFonts w:hint="eastAsia" w:ascii="仿宋_GB2312" w:eastAsia="仿宋_GB2312"/>
                <w:kern w:val="0"/>
                <w:sz w:val="24"/>
                <w:szCs w:val="24"/>
              </w:rPr>
              <w:t>正回购方付给逆回购方的资金价格</w:t>
            </w:r>
          </w:p>
        </w:tc>
      </w:tr>
      <w:tr w14:paraId="70BB1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8" w:type="pct"/>
          </w:tcPr>
          <w:p w14:paraId="2416E262">
            <w:pPr>
              <w:adjustRightInd w:val="0"/>
              <w:snapToGrid w:val="0"/>
              <w:rPr>
                <w:rFonts w:ascii="仿宋_GB2312" w:eastAsia="仿宋_GB2312"/>
                <w:b/>
                <w:kern w:val="0"/>
                <w:sz w:val="24"/>
                <w:szCs w:val="24"/>
              </w:rPr>
            </w:pPr>
            <w:r>
              <w:rPr>
                <w:rFonts w:hint="eastAsia" w:ascii="仿宋_GB2312" w:eastAsia="仿宋_GB2312"/>
                <w:b/>
                <w:kern w:val="0"/>
                <w:sz w:val="24"/>
                <w:szCs w:val="24"/>
              </w:rPr>
              <w:t>质押券篮子</w:t>
            </w:r>
          </w:p>
        </w:tc>
        <w:tc>
          <w:tcPr>
            <w:tcW w:w="3231" w:type="pct"/>
          </w:tcPr>
          <w:p w14:paraId="60621C59">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勾选质押券篮子编码</w:t>
            </w:r>
            <w:r>
              <w:rPr>
                <w:rFonts w:hint="eastAsia" w:ascii="仿宋_GB2312" w:eastAsia="仿宋_GB2312"/>
                <w:kern w:val="0"/>
                <w:sz w:val="24"/>
                <w:szCs w:val="24"/>
                <w:lang w:eastAsia="zh-CN"/>
              </w:rPr>
              <w:t>，可多选</w:t>
            </w:r>
          </w:p>
        </w:tc>
      </w:tr>
      <w:tr w14:paraId="66CF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8" w:type="pct"/>
          </w:tcPr>
          <w:p w14:paraId="251B3799">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成交</w:t>
            </w:r>
            <w:r>
              <w:rPr>
                <w:rFonts w:hint="eastAsia" w:ascii="仿宋_GB2312" w:eastAsia="仿宋_GB2312"/>
                <w:b/>
                <w:kern w:val="0"/>
                <w:sz w:val="24"/>
                <w:szCs w:val="24"/>
              </w:rPr>
              <w:t>金额</w:t>
            </w:r>
          </w:p>
        </w:tc>
        <w:tc>
          <w:tcPr>
            <w:tcW w:w="3231" w:type="pct"/>
          </w:tcPr>
          <w:p w14:paraId="71172AA6">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单位：元，</w:t>
            </w:r>
            <w:r>
              <w:rPr>
                <w:rFonts w:hint="eastAsia" w:ascii="仿宋_GB2312" w:eastAsia="仿宋_GB2312"/>
                <w:kern w:val="0"/>
                <w:sz w:val="24"/>
                <w:szCs w:val="24"/>
              </w:rPr>
              <w:t>正回购方融入的资金额度</w:t>
            </w:r>
          </w:p>
        </w:tc>
      </w:tr>
      <w:tr w14:paraId="2431B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68" w:type="pct"/>
          </w:tcPr>
          <w:p w14:paraId="517A74D6">
            <w:pPr>
              <w:adjustRightInd w:val="0"/>
              <w:snapToGrid w:val="0"/>
              <w:rPr>
                <w:rFonts w:ascii="仿宋_GB2312" w:eastAsia="仿宋_GB2312"/>
                <w:b/>
                <w:kern w:val="0"/>
                <w:sz w:val="24"/>
                <w:szCs w:val="24"/>
              </w:rPr>
            </w:pPr>
            <w:r>
              <w:rPr>
                <w:rFonts w:hint="eastAsia" w:ascii="仿宋_GB2312" w:eastAsia="仿宋_GB2312"/>
                <w:b/>
                <w:kern w:val="0"/>
                <w:sz w:val="24"/>
                <w:szCs w:val="24"/>
              </w:rPr>
              <w:t>账户名称</w:t>
            </w:r>
          </w:p>
        </w:tc>
        <w:tc>
          <w:tcPr>
            <w:tcW w:w="3231" w:type="pct"/>
          </w:tcPr>
          <w:p w14:paraId="01309939">
            <w:pPr>
              <w:adjustRightInd w:val="0"/>
              <w:snapToGrid w:val="0"/>
              <w:rPr>
                <w:rFonts w:ascii="仿宋_GB2312" w:eastAsia="仿宋_GB2312"/>
                <w:kern w:val="0"/>
                <w:sz w:val="24"/>
                <w:szCs w:val="24"/>
              </w:rPr>
            </w:pPr>
            <w:r>
              <w:rPr>
                <w:rFonts w:hint="eastAsia" w:ascii="仿宋_GB2312" w:eastAsia="仿宋_GB2312"/>
                <w:kern w:val="0"/>
                <w:sz w:val="24"/>
                <w:szCs w:val="24"/>
              </w:rPr>
              <w:t>正回购方</w:t>
            </w:r>
            <w:r>
              <w:rPr>
                <w:rFonts w:hint="eastAsia" w:ascii="仿宋_GB2312" w:eastAsia="仿宋_GB2312"/>
                <w:kern w:val="0"/>
                <w:sz w:val="24"/>
                <w:szCs w:val="24"/>
                <w:lang w:eastAsia="zh-CN"/>
              </w:rPr>
              <w:t>专用</w:t>
            </w:r>
            <w:r>
              <w:rPr>
                <w:rFonts w:hint="eastAsia" w:ascii="仿宋_GB2312" w:eastAsia="仿宋_GB2312"/>
                <w:kern w:val="0"/>
                <w:sz w:val="24"/>
                <w:szCs w:val="24"/>
              </w:rPr>
              <w:t>账户</w:t>
            </w:r>
            <w:r>
              <w:rPr>
                <w:rFonts w:hint="eastAsia" w:ascii="仿宋_GB2312" w:eastAsia="仿宋_GB2312"/>
                <w:kern w:val="0"/>
                <w:sz w:val="24"/>
                <w:szCs w:val="24"/>
                <w:lang w:val="en-US" w:eastAsia="zh-CN"/>
              </w:rPr>
              <w:t>/逆回购方普通账户</w:t>
            </w:r>
            <w:r>
              <w:rPr>
                <w:rFonts w:hint="eastAsia" w:ascii="仿宋_GB2312" w:eastAsia="仿宋_GB2312"/>
                <w:kern w:val="0"/>
                <w:sz w:val="24"/>
                <w:szCs w:val="24"/>
              </w:rPr>
              <w:t>名称，自动显示，无需输入</w:t>
            </w:r>
          </w:p>
        </w:tc>
      </w:tr>
      <w:tr w14:paraId="56E6A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8" w:type="pct"/>
          </w:tcPr>
          <w:p w14:paraId="1B031650">
            <w:pPr>
              <w:adjustRightInd w:val="0"/>
              <w:snapToGrid w:val="0"/>
              <w:rPr>
                <w:rFonts w:ascii="仿宋_GB2312" w:eastAsia="仿宋_GB2312"/>
                <w:b/>
                <w:kern w:val="0"/>
                <w:sz w:val="24"/>
                <w:szCs w:val="24"/>
              </w:rPr>
            </w:pPr>
            <w:r>
              <w:rPr>
                <w:rFonts w:hint="eastAsia" w:ascii="仿宋_GB2312" w:eastAsia="仿宋_GB2312"/>
                <w:b/>
                <w:kern w:val="0"/>
                <w:sz w:val="24"/>
                <w:szCs w:val="24"/>
              </w:rPr>
              <w:t>交易单元</w:t>
            </w:r>
          </w:p>
        </w:tc>
        <w:tc>
          <w:tcPr>
            <w:tcW w:w="3231" w:type="pct"/>
          </w:tcPr>
          <w:p w14:paraId="314AA5C2">
            <w:pPr>
              <w:adjustRightInd w:val="0"/>
              <w:snapToGrid w:val="0"/>
              <w:rPr>
                <w:rFonts w:ascii="仿宋_GB2312" w:eastAsia="仿宋_GB2312"/>
                <w:kern w:val="0"/>
                <w:sz w:val="24"/>
                <w:szCs w:val="24"/>
              </w:rPr>
            </w:pPr>
            <w:r>
              <w:rPr>
                <w:rFonts w:hint="eastAsia" w:ascii="仿宋_GB2312" w:eastAsia="仿宋_GB2312"/>
                <w:b w:val="0"/>
                <w:bCs/>
                <w:kern w:val="0"/>
                <w:sz w:val="24"/>
                <w:szCs w:val="24"/>
                <w:lang w:eastAsia="zh-CN"/>
              </w:rPr>
              <w:t>正回购方专用账户</w:t>
            </w:r>
            <w:r>
              <w:rPr>
                <w:rFonts w:hint="eastAsia" w:ascii="仿宋_GB2312" w:eastAsia="仿宋_GB2312"/>
                <w:b w:val="0"/>
                <w:bCs/>
                <w:kern w:val="0"/>
                <w:sz w:val="24"/>
                <w:szCs w:val="24"/>
                <w:lang w:val="en-US" w:eastAsia="zh-CN"/>
              </w:rPr>
              <w:t>/逆回购方普通账户</w:t>
            </w:r>
            <w:r>
              <w:rPr>
                <w:rFonts w:hint="eastAsia" w:ascii="仿宋_GB2312" w:eastAsia="仿宋_GB2312"/>
                <w:kern w:val="0"/>
                <w:sz w:val="24"/>
                <w:szCs w:val="24"/>
                <w:lang w:eastAsia="zh-CN"/>
              </w:rPr>
              <w:t>的</w:t>
            </w:r>
            <w:r>
              <w:rPr>
                <w:rFonts w:hint="eastAsia" w:ascii="仿宋_GB2312" w:eastAsia="仿宋_GB2312"/>
                <w:kern w:val="0"/>
                <w:sz w:val="24"/>
                <w:szCs w:val="24"/>
              </w:rPr>
              <w:t>账号指定交易单元号，自动显示，无需输入</w:t>
            </w:r>
          </w:p>
        </w:tc>
      </w:tr>
      <w:tr w14:paraId="3DE3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8" w:type="pct"/>
          </w:tcPr>
          <w:p w14:paraId="594367EB">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一债通账户</w:t>
            </w:r>
          </w:p>
        </w:tc>
        <w:tc>
          <w:tcPr>
            <w:tcW w:w="3231" w:type="pct"/>
          </w:tcPr>
          <w:p w14:paraId="70AB0DB0">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本方</w:t>
            </w:r>
            <w:r>
              <w:rPr>
                <w:rFonts w:hint="eastAsia" w:ascii="仿宋_GB2312" w:eastAsia="仿宋_GB2312"/>
                <w:kern w:val="0"/>
                <w:sz w:val="24"/>
                <w:szCs w:val="24"/>
              </w:rPr>
              <w:t>交易员</w:t>
            </w:r>
            <w:r>
              <w:rPr>
                <w:rFonts w:hint="eastAsia" w:ascii="仿宋_GB2312" w:eastAsia="仿宋_GB2312"/>
                <w:kern w:val="0"/>
                <w:sz w:val="24"/>
                <w:szCs w:val="24"/>
                <w:lang w:eastAsia="zh-CN"/>
              </w:rPr>
              <w:t>一债通账户号</w:t>
            </w:r>
            <w:r>
              <w:rPr>
                <w:rFonts w:hint="eastAsia" w:ascii="仿宋_GB2312" w:eastAsia="仿宋_GB2312"/>
                <w:kern w:val="0"/>
                <w:sz w:val="24"/>
                <w:szCs w:val="24"/>
              </w:rPr>
              <w:t>，自动显示，无需输入</w:t>
            </w:r>
          </w:p>
        </w:tc>
      </w:tr>
      <w:tr w14:paraId="2B94C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8" w:type="pct"/>
          </w:tcPr>
          <w:p w14:paraId="66012DBF">
            <w:pPr>
              <w:adjustRightInd w:val="0"/>
              <w:snapToGrid w:val="0"/>
              <w:rPr>
                <w:rFonts w:ascii="仿宋_GB2312" w:eastAsia="仿宋_GB2312"/>
                <w:b/>
                <w:kern w:val="0"/>
                <w:sz w:val="24"/>
                <w:szCs w:val="24"/>
              </w:rPr>
            </w:pPr>
            <w:r>
              <w:rPr>
                <w:rFonts w:hint="eastAsia" w:ascii="仿宋_GB2312" w:eastAsia="仿宋_GB2312"/>
                <w:b/>
                <w:kern w:val="0"/>
                <w:sz w:val="24"/>
                <w:szCs w:val="24"/>
              </w:rPr>
              <w:t>交易员</w:t>
            </w:r>
          </w:p>
        </w:tc>
        <w:tc>
          <w:tcPr>
            <w:tcW w:w="3231" w:type="pct"/>
          </w:tcPr>
          <w:p w14:paraId="18B43B07">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本方</w:t>
            </w:r>
            <w:r>
              <w:rPr>
                <w:rFonts w:hint="eastAsia" w:ascii="仿宋_GB2312" w:eastAsia="仿宋_GB2312"/>
                <w:kern w:val="0"/>
                <w:sz w:val="24"/>
                <w:szCs w:val="24"/>
              </w:rPr>
              <w:t>交易员名称，自动显示，无需输入</w:t>
            </w:r>
          </w:p>
        </w:tc>
      </w:tr>
      <w:tr w14:paraId="5FD8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768" w:type="pct"/>
          </w:tcPr>
          <w:p w14:paraId="076B2E38">
            <w:pPr>
              <w:adjustRightInd w:val="0"/>
              <w:snapToGrid w:val="0"/>
              <w:rPr>
                <w:rFonts w:ascii="仿宋_GB2312" w:eastAsia="仿宋_GB2312"/>
                <w:b/>
                <w:kern w:val="0"/>
                <w:sz w:val="24"/>
                <w:szCs w:val="24"/>
              </w:rPr>
            </w:pPr>
            <w:r>
              <w:rPr>
                <w:rFonts w:hint="eastAsia" w:ascii="仿宋_GB2312" w:eastAsia="仿宋_GB2312"/>
                <w:b/>
                <w:kern w:val="0"/>
                <w:sz w:val="24"/>
                <w:szCs w:val="24"/>
              </w:rPr>
              <w:t>交易参与人</w:t>
            </w:r>
          </w:p>
        </w:tc>
        <w:tc>
          <w:tcPr>
            <w:tcW w:w="3231" w:type="pct"/>
          </w:tcPr>
          <w:p w14:paraId="646FCAF7">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本方</w:t>
            </w:r>
            <w:r>
              <w:rPr>
                <w:rFonts w:hint="eastAsia" w:ascii="仿宋_GB2312" w:eastAsia="仿宋_GB2312"/>
                <w:kern w:val="0"/>
                <w:sz w:val="24"/>
                <w:szCs w:val="24"/>
              </w:rPr>
              <w:t>债券交易参与人简称，自动显示，无需输入</w:t>
            </w:r>
          </w:p>
        </w:tc>
      </w:tr>
      <w:tr w14:paraId="3599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8" w:type="pct"/>
          </w:tcPr>
          <w:p w14:paraId="21E4988B">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rPr>
              <w:t>投资者名称</w:t>
            </w:r>
          </w:p>
        </w:tc>
        <w:tc>
          <w:tcPr>
            <w:tcW w:w="3231" w:type="pct"/>
          </w:tcPr>
          <w:p w14:paraId="563C828B">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本方</w:t>
            </w:r>
            <w:r>
              <w:rPr>
                <w:rFonts w:hint="eastAsia" w:ascii="仿宋_GB2312" w:eastAsia="仿宋_GB2312"/>
                <w:kern w:val="0"/>
                <w:sz w:val="24"/>
                <w:szCs w:val="24"/>
              </w:rPr>
              <w:t>债券投资者名称，自动显示，无需输入</w:t>
            </w:r>
          </w:p>
        </w:tc>
      </w:tr>
    </w:tbl>
    <w:p w14:paraId="387C1E8E">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意向申报可不指定回购利率，但应当至少包含回购方向、质押券篮子等交易要素信息。意向申报不能直接成交。意向申报可以由回购双方任一交易员发起，意向申报的撤销只能由该笔申报的发起交易员进行。</w:t>
      </w:r>
    </w:p>
    <w:p w14:paraId="6842560C">
      <w:pPr>
        <w:spacing w:line="600" w:lineRule="exact"/>
        <w:ind w:firstLine="601" w:firstLineChars="200"/>
        <w:outlineLvl w:val="3"/>
        <w:rPr>
          <w:rFonts w:ascii="仿宋_GB2312" w:hAnsi="黑体" w:eastAsia="仿宋_GB2312"/>
          <w:b/>
          <w:sz w:val="30"/>
          <w:szCs w:val="30"/>
        </w:rPr>
      </w:pPr>
      <w:r>
        <w:rPr>
          <w:rFonts w:hint="eastAsia" w:ascii="仿宋_GB2312" w:eastAsia="仿宋_GB2312"/>
          <w:b/>
          <w:sz w:val="30"/>
          <w:szCs w:val="30"/>
        </w:rPr>
        <w:t>（5）协商成交申报</w:t>
      </w:r>
    </w:p>
    <w:p w14:paraId="48E7D151">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协商成交申报是向特定的交易对手方发起一对一的申报。三方回购交易经双方协商一致后，由正回购方发起定向的协商成交申报，填妥交易要素后发送到逆回购方，逆回购方确认后成交。协商成交申报的撤销和确认/拒绝只能由该笔申报的发起交易员进行。协商成交申报时，正回购方必须在逆回购方的授信白名单内。</w:t>
      </w:r>
    </w:p>
    <w:p w14:paraId="66164874">
      <w:pPr>
        <w:spacing w:line="60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协商成交申报的具体要素及要素说明如下：</w:t>
      </w:r>
    </w:p>
    <w:tbl>
      <w:tblPr>
        <w:tblStyle w:val="43"/>
        <w:tblW w:w="86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9"/>
        <w:gridCol w:w="6012"/>
      </w:tblGrid>
      <w:tr w14:paraId="76F35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Pr>
          <w:p w14:paraId="3E3AF772">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6012" w:type="dxa"/>
          </w:tcPr>
          <w:p w14:paraId="5308B796">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49A30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Pr>
          <w:p w14:paraId="31215849">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本方</w:t>
            </w:r>
            <w:r>
              <w:rPr>
                <w:rFonts w:hint="eastAsia" w:ascii="仿宋_GB2312" w:eastAsia="仿宋_GB2312"/>
                <w:b/>
                <w:kern w:val="0"/>
                <w:sz w:val="24"/>
                <w:szCs w:val="24"/>
              </w:rPr>
              <w:t>方向</w:t>
            </w:r>
          </w:p>
        </w:tc>
        <w:tc>
          <w:tcPr>
            <w:tcW w:w="6012" w:type="dxa"/>
          </w:tcPr>
          <w:p w14:paraId="41254EE3">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正回购</w:t>
            </w:r>
            <w:r>
              <w:rPr>
                <w:rFonts w:hint="eastAsia" w:ascii="仿宋_GB2312" w:eastAsia="仿宋_GB2312"/>
                <w:kern w:val="0"/>
                <w:sz w:val="24"/>
                <w:szCs w:val="24"/>
                <w:lang w:eastAsia="zh-CN"/>
              </w:rPr>
              <w:t>方，自动带出，只能由正回购方发起</w:t>
            </w:r>
          </w:p>
        </w:tc>
      </w:tr>
      <w:tr w14:paraId="3E98A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Pr>
          <w:p w14:paraId="538DF24D">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正回购方</w:t>
            </w:r>
          </w:p>
        </w:tc>
        <w:tc>
          <w:tcPr>
            <w:tcW w:w="6012" w:type="dxa"/>
          </w:tcPr>
          <w:p w14:paraId="6B48A1C4">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本方</w:t>
            </w:r>
            <w:r>
              <w:rPr>
                <w:rFonts w:hint="eastAsia" w:ascii="仿宋_GB2312" w:eastAsia="仿宋_GB2312"/>
                <w:kern w:val="0"/>
                <w:sz w:val="24"/>
                <w:szCs w:val="24"/>
              </w:rPr>
              <w:t>债券交易参与人</w:t>
            </w:r>
            <w:r>
              <w:rPr>
                <w:rFonts w:hint="eastAsia" w:ascii="仿宋_GB2312" w:eastAsia="仿宋_GB2312"/>
                <w:kern w:val="0"/>
                <w:sz w:val="24"/>
                <w:szCs w:val="24"/>
                <w:lang w:eastAsia="zh-CN"/>
              </w:rPr>
              <w:t>简</w:t>
            </w:r>
            <w:r>
              <w:rPr>
                <w:rFonts w:hint="eastAsia" w:ascii="仿宋_GB2312" w:eastAsia="仿宋_GB2312"/>
                <w:kern w:val="0"/>
                <w:sz w:val="24"/>
                <w:szCs w:val="24"/>
              </w:rPr>
              <w:t>称，自动</w:t>
            </w:r>
            <w:r>
              <w:rPr>
                <w:rFonts w:hint="eastAsia" w:ascii="仿宋_GB2312" w:eastAsia="仿宋_GB2312"/>
                <w:kern w:val="0"/>
                <w:sz w:val="24"/>
                <w:szCs w:val="24"/>
                <w:lang w:eastAsia="zh-CN"/>
              </w:rPr>
              <w:t>带出</w:t>
            </w:r>
          </w:p>
        </w:tc>
      </w:tr>
      <w:tr w14:paraId="469C5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49" w:type="dxa"/>
          </w:tcPr>
          <w:p w14:paraId="201F2488">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正回购方一债通账户</w:t>
            </w:r>
          </w:p>
        </w:tc>
        <w:tc>
          <w:tcPr>
            <w:tcW w:w="6012" w:type="dxa"/>
          </w:tcPr>
          <w:p w14:paraId="4767B72D">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本方</w:t>
            </w:r>
            <w:r>
              <w:rPr>
                <w:rFonts w:hint="eastAsia" w:ascii="仿宋_GB2312" w:eastAsia="仿宋_GB2312"/>
                <w:kern w:val="0"/>
                <w:sz w:val="24"/>
                <w:szCs w:val="24"/>
              </w:rPr>
              <w:t>交易员</w:t>
            </w:r>
            <w:r>
              <w:rPr>
                <w:rFonts w:hint="eastAsia" w:ascii="仿宋_GB2312" w:eastAsia="仿宋_GB2312"/>
                <w:b w:val="0"/>
                <w:bCs/>
                <w:kern w:val="0"/>
                <w:sz w:val="24"/>
                <w:szCs w:val="24"/>
                <w:lang w:eastAsia="zh-CN"/>
              </w:rPr>
              <w:t>一债通账户</w:t>
            </w:r>
            <w:r>
              <w:rPr>
                <w:rFonts w:hint="eastAsia" w:ascii="仿宋_GB2312" w:eastAsia="仿宋_GB2312"/>
                <w:kern w:val="0"/>
                <w:sz w:val="24"/>
                <w:szCs w:val="24"/>
                <w:lang w:eastAsia="zh-CN"/>
              </w:rPr>
              <w:t>号</w:t>
            </w:r>
            <w:r>
              <w:rPr>
                <w:rFonts w:hint="eastAsia" w:ascii="仿宋_GB2312" w:eastAsia="仿宋_GB2312"/>
                <w:kern w:val="0"/>
                <w:sz w:val="24"/>
                <w:szCs w:val="24"/>
              </w:rPr>
              <w:t>，自动</w:t>
            </w:r>
            <w:r>
              <w:rPr>
                <w:rFonts w:hint="eastAsia" w:ascii="仿宋_GB2312" w:eastAsia="仿宋_GB2312"/>
                <w:kern w:val="0"/>
                <w:sz w:val="24"/>
                <w:szCs w:val="24"/>
                <w:lang w:eastAsia="zh-CN"/>
              </w:rPr>
              <w:t>带出</w:t>
            </w:r>
          </w:p>
        </w:tc>
      </w:tr>
      <w:tr w14:paraId="3B217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Pr>
          <w:p w14:paraId="0AF2B387">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正回购方</w:t>
            </w:r>
            <w:r>
              <w:rPr>
                <w:rFonts w:hint="eastAsia" w:ascii="仿宋_GB2312" w:eastAsia="仿宋_GB2312"/>
                <w:b/>
                <w:kern w:val="0"/>
                <w:sz w:val="24"/>
                <w:szCs w:val="24"/>
              </w:rPr>
              <w:t>交易员</w:t>
            </w:r>
          </w:p>
        </w:tc>
        <w:tc>
          <w:tcPr>
            <w:tcW w:w="6012" w:type="dxa"/>
          </w:tcPr>
          <w:p w14:paraId="3BF24B74">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本方</w:t>
            </w:r>
            <w:r>
              <w:rPr>
                <w:rFonts w:hint="eastAsia" w:ascii="仿宋_GB2312" w:eastAsia="仿宋_GB2312"/>
                <w:kern w:val="0"/>
                <w:sz w:val="24"/>
                <w:szCs w:val="24"/>
              </w:rPr>
              <w:t>交易员名称，自动</w:t>
            </w:r>
            <w:r>
              <w:rPr>
                <w:rFonts w:hint="eastAsia" w:ascii="仿宋_GB2312" w:eastAsia="仿宋_GB2312"/>
                <w:kern w:val="0"/>
                <w:sz w:val="24"/>
                <w:szCs w:val="24"/>
                <w:lang w:eastAsia="zh-CN"/>
              </w:rPr>
              <w:t>带出</w:t>
            </w:r>
          </w:p>
        </w:tc>
      </w:tr>
      <w:tr w14:paraId="4CB52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Pr>
          <w:p w14:paraId="2570C3B2">
            <w:pPr>
              <w:adjustRightInd w:val="0"/>
              <w:snapToGrid w:val="0"/>
              <w:rPr>
                <w:rFonts w:ascii="仿宋_GB2312" w:eastAsia="仿宋_GB2312"/>
                <w:b/>
                <w:kern w:val="0"/>
                <w:sz w:val="24"/>
                <w:szCs w:val="24"/>
              </w:rPr>
            </w:pPr>
            <w:r>
              <w:rPr>
                <w:rFonts w:hint="eastAsia" w:ascii="仿宋_GB2312" w:eastAsia="仿宋_GB2312"/>
                <w:b/>
                <w:kern w:val="0"/>
                <w:sz w:val="24"/>
                <w:szCs w:val="24"/>
              </w:rPr>
              <w:t>专用账户</w:t>
            </w:r>
          </w:p>
        </w:tc>
        <w:tc>
          <w:tcPr>
            <w:tcW w:w="6012" w:type="dxa"/>
          </w:tcPr>
          <w:p w14:paraId="519CC23B">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正回购方的</w:t>
            </w:r>
            <w:r>
              <w:rPr>
                <w:rFonts w:hint="eastAsia" w:ascii="仿宋_GB2312" w:eastAsia="仿宋_GB2312"/>
                <w:kern w:val="0"/>
                <w:sz w:val="24"/>
                <w:szCs w:val="24"/>
                <w:lang w:eastAsia="zh-CN"/>
              </w:rPr>
              <w:t>专用</w:t>
            </w:r>
            <w:r>
              <w:rPr>
                <w:rFonts w:hint="eastAsia" w:ascii="仿宋_GB2312" w:eastAsia="仿宋_GB2312"/>
                <w:kern w:val="0"/>
                <w:sz w:val="24"/>
                <w:szCs w:val="24"/>
              </w:rPr>
              <w:t>证券账户号</w:t>
            </w:r>
            <w:r>
              <w:rPr>
                <w:rFonts w:hint="eastAsia" w:ascii="仿宋_GB2312" w:eastAsia="仿宋_GB2312"/>
                <w:kern w:val="0"/>
                <w:sz w:val="24"/>
                <w:szCs w:val="24"/>
                <w:lang w:eastAsia="zh-CN"/>
              </w:rPr>
              <w:t>，下拉选项</w:t>
            </w:r>
          </w:p>
        </w:tc>
      </w:tr>
      <w:tr w14:paraId="757F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Pr>
          <w:p w14:paraId="358DCDDB">
            <w:pPr>
              <w:adjustRightInd w:val="0"/>
              <w:snapToGrid w:val="0"/>
              <w:rPr>
                <w:rFonts w:ascii="仿宋_GB2312" w:eastAsia="仿宋_GB2312"/>
                <w:b/>
                <w:kern w:val="0"/>
                <w:sz w:val="24"/>
                <w:szCs w:val="24"/>
              </w:rPr>
            </w:pPr>
            <w:r>
              <w:rPr>
                <w:rFonts w:hint="eastAsia" w:ascii="仿宋_GB2312" w:eastAsia="仿宋_GB2312"/>
                <w:b/>
                <w:kern w:val="0"/>
                <w:sz w:val="24"/>
                <w:szCs w:val="24"/>
              </w:rPr>
              <w:t>专用账户名称</w:t>
            </w:r>
          </w:p>
        </w:tc>
        <w:tc>
          <w:tcPr>
            <w:tcW w:w="6012" w:type="dxa"/>
          </w:tcPr>
          <w:p w14:paraId="4608EF8F">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正回购方的证券账户名称，自动</w:t>
            </w:r>
            <w:r>
              <w:rPr>
                <w:rFonts w:hint="eastAsia" w:ascii="仿宋_GB2312" w:eastAsia="仿宋_GB2312"/>
                <w:kern w:val="0"/>
                <w:sz w:val="24"/>
                <w:szCs w:val="24"/>
                <w:lang w:eastAsia="zh-CN"/>
              </w:rPr>
              <w:t>带出</w:t>
            </w:r>
          </w:p>
        </w:tc>
      </w:tr>
      <w:tr w14:paraId="3BC83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49" w:type="dxa"/>
          </w:tcPr>
          <w:p w14:paraId="4930369F">
            <w:pPr>
              <w:adjustRightInd w:val="0"/>
              <w:snapToGrid w:val="0"/>
              <w:rPr>
                <w:rFonts w:ascii="仿宋_GB2312" w:eastAsia="仿宋_GB2312"/>
                <w:b/>
                <w:kern w:val="0"/>
                <w:sz w:val="24"/>
                <w:szCs w:val="24"/>
              </w:rPr>
            </w:pPr>
            <w:r>
              <w:rPr>
                <w:rFonts w:hint="eastAsia" w:ascii="仿宋_GB2312" w:eastAsia="仿宋_GB2312"/>
                <w:b/>
                <w:kern w:val="0"/>
                <w:sz w:val="24"/>
                <w:szCs w:val="24"/>
              </w:rPr>
              <w:t>专用账户交易单元</w:t>
            </w:r>
          </w:p>
        </w:tc>
        <w:tc>
          <w:tcPr>
            <w:tcW w:w="6012" w:type="dxa"/>
          </w:tcPr>
          <w:p w14:paraId="76C06827">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专用证券账号的指定交易单元号，自动</w:t>
            </w:r>
            <w:r>
              <w:rPr>
                <w:rFonts w:hint="eastAsia" w:ascii="仿宋_GB2312" w:eastAsia="仿宋_GB2312"/>
                <w:kern w:val="0"/>
                <w:sz w:val="24"/>
                <w:szCs w:val="24"/>
                <w:lang w:eastAsia="zh-CN"/>
              </w:rPr>
              <w:t>带出</w:t>
            </w:r>
          </w:p>
        </w:tc>
      </w:tr>
      <w:tr w14:paraId="646BE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Pr>
          <w:p w14:paraId="6C2B49C4">
            <w:pPr>
              <w:adjustRightInd w:val="0"/>
              <w:snapToGrid w:val="0"/>
              <w:rPr>
                <w:rFonts w:ascii="仿宋_GB2312" w:eastAsia="仿宋_GB2312"/>
                <w:b/>
                <w:kern w:val="0"/>
                <w:sz w:val="24"/>
                <w:szCs w:val="24"/>
              </w:rPr>
            </w:pPr>
            <w:r>
              <w:rPr>
                <w:rFonts w:hint="eastAsia" w:ascii="仿宋_GB2312" w:eastAsia="仿宋_GB2312"/>
                <w:b/>
                <w:kern w:val="0"/>
                <w:sz w:val="24"/>
                <w:szCs w:val="24"/>
              </w:rPr>
              <w:t>投资者名称</w:t>
            </w:r>
          </w:p>
        </w:tc>
        <w:tc>
          <w:tcPr>
            <w:tcW w:w="6012" w:type="dxa"/>
          </w:tcPr>
          <w:p w14:paraId="0483637E">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本方</w:t>
            </w:r>
            <w:r>
              <w:rPr>
                <w:rFonts w:hint="eastAsia" w:ascii="仿宋_GB2312" w:eastAsia="仿宋_GB2312"/>
                <w:kern w:val="0"/>
                <w:sz w:val="24"/>
                <w:szCs w:val="24"/>
              </w:rPr>
              <w:t>投资者名称，自动</w:t>
            </w:r>
            <w:r>
              <w:rPr>
                <w:rFonts w:hint="eastAsia" w:ascii="仿宋_GB2312" w:eastAsia="仿宋_GB2312"/>
                <w:kern w:val="0"/>
                <w:sz w:val="24"/>
                <w:szCs w:val="24"/>
                <w:lang w:eastAsia="zh-CN"/>
              </w:rPr>
              <w:t>带出</w:t>
            </w:r>
          </w:p>
        </w:tc>
      </w:tr>
      <w:tr w14:paraId="1CA3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Pr>
          <w:p w14:paraId="14C5C292">
            <w:pPr>
              <w:adjustRightInd w:val="0"/>
              <w:snapToGrid w:val="0"/>
              <w:rPr>
                <w:rFonts w:ascii="仿宋_GB2312" w:eastAsia="仿宋_GB2312"/>
                <w:b/>
                <w:kern w:val="0"/>
                <w:sz w:val="24"/>
                <w:szCs w:val="24"/>
              </w:rPr>
            </w:pPr>
            <w:r>
              <w:rPr>
                <w:rFonts w:hint="eastAsia" w:ascii="仿宋_GB2312" w:eastAsia="仿宋_GB2312"/>
                <w:b/>
                <w:kern w:val="0"/>
                <w:sz w:val="24"/>
                <w:szCs w:val="24"/>
              </w:rPr>
              <w:t>产品委托人</w:t>
            </w:r>
          </w:p>
        </w:tc>
        <w:tc>
          <w:tcPr>
            <w:tcW w:w="6012" w:type="dxa"/>
          </w:tcPr>
          <w:p w14:paraId="56E0081C">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本方</w:t>
            </w:r>
            <w:r>
              <w:rPr>
                <w:rFonts w:hint="eastAsia" w:ascii="仿宋_GB2312" w:eastAsia="仿宋_GB2312"/>
                <w:kern w:val="0"/>
                <w:sz w:val="24"/>
                <w:szCs w:val="24"/>
              </w:rPr>
              <w:t>产品委托人名称，自动</w:t>
            </w:r>
            <w:r>
              <w:rPr>
                <w:rFonts w:hint="eastAsia" w:ascii="仿宋_GB2312" w:eastAsia="仿宋_GB2312"/>
                <w:kern w:val="0"/>
                <w:sz w:val="24"/>
                <w:szCs w:val="24"/>
                <w:lang w:eastAsia="zh-CN"/>
              </w:rPr>
              <w:t>带出</w:t>
            </w:r>
          </w:p>
        </w:tc>
      </w:tr>
      <w:tr w14:paraId="1C3BD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Pr>
          <w:p w14:paraId="5DCB5B73">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逆回购方</w:t>
            </w:r>
          </w:p>
        </w:tc>
        <w:tc>
          <w:tcPr>
            <w:tcW w:w="6012" w:type="dxa"/>
          </w:tcPr>
          <w:p w14:paraId="2B1A8F1E">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对手方债券交易参与人</w:t>
            </w:r>
            <w:r>
              <w:rPr>
                <w:rFonts w:hint="eastAsia" w:ascii="仿宋_GB2312" w:eastAsia="仿宋_GB2312"/>
                <w:kern w:val="0"/>
                <w:sz w:val="24"/>
                <w:szCs w:val="24"/>
                <w:lang w:eastAsia="zh-CN"/>
              </w:rPr>
              <w:t>简</w:t>
            </w:r>
            <w:r>
              <w:rPr>
                <w:rFonts w:hint="eastAsia" w:ascii="仿宋_GB2312" w:eastAsia="仿宋_GB2312"/>
                <w:kern w:val="0"/>
                <w:sz w:val="24"/>
                <w:szCs w:val="24"/>
              </w:rPr>
              <w:t>称，自动</w:t>
            </w:r>
            <w:r>
              <w:rPr>
                <w:rFonts w:hint="eastAsia" w:ascii="仿宋_GB2312" w:eastAsia="仿宋_GB2312"/>
                <w:kern w:val="0"/>
                <w:sz w:val="24"/>
                <w:szCs w:val="24"/>
                <w:lang w:eastAsia="zh-CN"/>
              </w:rPr>
              <w:t>带出</w:t>
            </w:r>
          </w:p>
        </w:tc>
      </w:tr>
      <w:tr w14:paraId="5F65F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49" w:type="dxa"/>
          </w:tcPr>
          <w:p w14:paraId="17158251">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逆回购方一债通账户</w:t>
            </w:r>
          </w:p>
        </w:tc>
        <w:tc>
          <w:tcPr>
            <w:tcW w:w="6012" w:type="dxa"/>
          </w:tcPr>
          <w:p w14:paraId="2007DB45">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对手方交易员</w:t>
            </w:r>
            <w:r>
              <w:rPr>
                <w:rFonts w:hint="eastAsia" w:ascii="仿宋_GB2312" w:eastAsia="仿宋_GB2312"/>
                <w:b w:val="0"/>
                <w:bCs/>
                <w:kern w:val="0"/>
                <w:sz w:val="24"/>
                <w:szCs w:val="24"/>
                <w:lang w:eastAsia="zh-CN"/>
              </w:rPr>
              <w:t>一债通账户</w:t>
            </w:r>
            <w:r>
              <w:rPr>
                <w:rFonts w:hint="eastAsia" w:ascii="仿宋_GB2312" w:eastAsia="仿宋_GB2312"/>
                <w:kern w:val="0"/>
                <w:sz w:val="24"/>
                <w:szCs w:val="24"/>
                <w:lang w:eastAsia="zh-CN"/>
              </w:rPr>
              <w:t>号</w:t>
            </w:r>
          </w:p>
        </w:tc>
      </w:tr>
      <w:tr w14:paraId="4EE6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Pr>
          <w:p w14:paraId="596EE931">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逆回购</w:t>
            </w:r>
            <w:r>
              <w:rPr>
                <w:rFonts w:hint="eastAsia" w:ascii="仿宋_GB2312" w:eastAsia="仿宋_GB2312"/>
                <w:b/>
                <w:kern w:val="0"/>
                <w:sz w:val="24"/>
                <w:szCs w:val="24"/>
              </w:rPr>
              <w:t>方交易员</w:t>
            </w:r>
          </w:p>
        </w:tc>
        <w:tc>
          <w:tcPr>
            <w:tcW w:w="6012" w:type="dxa"/>
          </w:tcPr>
          <w:p w14:paraId="2D85C0E3">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对手方交易员名称，</w:t>
            </w:r>
            <w:r>
              <w:rPr>
                <w:rFonts w:hint="eastAsia" w:ascii="仿宋_GB2312" w:eastAsia="仿宋_GB2312"/>
                <w:kern w:val="0"/>
                <w:sz w:val="24"/>
                <w:szCs w:val="24"/>
                <w:lang w:eastAsia="zh-CN"/>
              </w:rPr>
              <w:t>根据一债通账户号</w:t>
            </w:r>
            <w:r>
              <w:rPr>
                <w:rFonts w:hint="eastAsia" w:ascii="仿宋_GB2312" w:eastAsia="仿宋_GB2312"/>
                <w:kern w:val="0"/>
                <w:sz w:val="24"/>
                <w:szCs w:val="24"/>
              </w:rPr>
              <w:t>自动</w:t>
            </w:r>
            <w:r>
              <w:rPr>
                <w:rFonts w:hint="eastAsia" w:ascii="仿宋_GB2312" w:eastAsia="仿宋_GB2312"/>
                <w:kern w:val="0"/>
                <w:sz w:val="24"/>
                <w:szCs w:val="24"/>
                <w:lang w:eastAsia="zh-CN"/>
              </w:rPr>
              <w:t>带出</w:t>
            </w:r>
          </w:p>
        </w:tc>
      </w:tr>
      <w:tr w14:paraId="5C71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Pr>
          <w:p w14:paraId="5F4C1B14">
            <w:pPr>
              <w:adjustRightInd w:val="0"/>
              <w:snapToGrid w:val="0"/>
              <w:rPr>
                <w:rFonts w:ascii="仿宋_GB2312" w:eastAsia="仿宋_GB2312"/>
                <w:b/>
                <w:kern w:val="0"/>
                <w:sz w:val="24"/>
                <w:szCs w:val="24"/>
              </w:rPr>
            </w:pPr>
            <w:r>
              <w:rPr>
                <w:rFonts w:hint="eastAsia" w:ascii="仿宋_GB2312" w:eastAsia="仿宋_GB2312"/>
                <w:b/>
                <w:kern w:val="0"/>
                <w:sz w:val="24"/>
                <w:szCs w:val="24"/>
              </w:rPr>
              <w:t>成交日</w:t>
            </w:r>
          </w:p>
        </w:tc>
        <w:tc>
          <w:tcPr>
            <w:tcW w:w="6012" w:type="dxa"/>
          </w:tcPr>
          <w:p w14:paraId="36262993">
            <w:pPr>
              <w:adjustRightInd w:val="0"/>
              <w:snapToGrid w:val="0"/>
              <w:rPr>
                <w:rFonts w:ascii="仿宋_GB2312" w:eastAsia="仿宋_GB2312"/>
                <w:kern w:val="0"/>
                <w:sz w:val="24"/>
                <w:szCs w:val="24"/>
              </w:rPr>
            </w:pPr>
            <w:r>
              <w:rPr>
                <w:rFonts w:hint="eastAsia" w:ascii="仿宋_GB2312" w:eastAsia="仿宋_GB2312"/>
                <w:kern w:val="0"/>
                <w:sz w:val="24"/>
                <w:szCs w:val="24"/>
              </w:rPr>
              <w:t>当前交易日期，自动</w:t>
            </w:r>
            <w:r>
              <w:rPr>
                <w:rFonts w:hint="eastAsia" w:ascii="仿宋_GB2312" w:eastAsia="仿宋_GB2312"/>
                <w:kern w:val="0"/>
                <w:sz w:val="24"/>
                <w:szCs w:val="24"/>
                <w:lang w:eastAsia="zh-CN"/>
              </w:rPr>
              <w:t>带出</w:t>
            </w:r>
          </w:p>
        </w:tc>
      </w:tr>
      <w:tr w14:paraId="74370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Pr>
          <w:p w14:paraId="77280C62">
            <w:pPr>
              <w:adjustRightInd w:val="0"/>
              <w:snapToGrid w:val="0"/>
              <w:rPr>
                <w:rFonts w:ascii="仿宋_GB2312" w:eastAsia="仿宋_GB2312"/>
                <w:b/>
                <w:kern w:val="0"/>
                <w:sz w:val="24"/>
                <w:szCs w:val="24"/>
              </w:rPr>
            </w:pPr>
            <w:r>
              <w:rPr>
                <w:rFonts w:hint="eastAsia" w:ascii="仿宋_GB2312" w:eastAsia="仿宋_GB2312"/>
                <w:b/>
                <w:kern w:val="0"/>
                <w:sz w:val="24"/>
                <w:szCs w:val="24"/>
              </w:rPr>
              <w:t>首次结算日</w:t>
            </w:r>
          </w:p>
        </w:tc>
        <w:tc>
          <w:tcPr>
            <w:tcW w:w="6012" w:type="dxa"/>
          </w:tcPr>
          <w:p w14:paraId="3197E1BA">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当前交易日期，自动</w:t>
            </w:r>
            <w:r>
              <w:rPr>
                <w:rFonts w:hint="eastAsia" w:ascii="仿宋_GB2312" w:eastAsia="仿宋_GB2312"/>
                <w:kern w:val="0"/>
                <w:sz w:val="24"/>
                <w:szCs w:val="24"/>
                <w:lang w:eastAsia="zh-CN"/>
              </w:rPr>
              <w:t>带出</w:t>
            </w:r>
          </w:p>
        </w:tc>
      </w:tr>
      <w:tr w14:paraId="6D22C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49" w:type="dxa"/>
          </w:tcPr>
          <w:p w14:paraId="7E0CFAAE">
            <w:pPr>
              <w:adjustRightInd w:val="0"/>
              <w:snapToGrid w:val="0"/>
              <w:rPr>
                <w:rFonts w:ascii="仿宋_GB2312" w:eastAsia="仿宋_GB2312"/>
                <w:b/>
                <w:kern w:val="0"/>
                <w:sz w:val="24"/>
                <w:szCs w:val="24"/>
              </w:rPr>
            </w:pPr>
            <w:r>
              <w:rPr>
                <w:rFonts w:hint="eastAsia" w:ascii="仿宋_GB2312" w:eastAsia="仿宋_GB2312"/>
                <w:b/>
                <w:kern w:val="0"/>
                <w:sz w:val="24"/>
                <w:szCs w:val="24"/>
              </w:rPr>
              <w:t>回购期限</w:t>
            </w:r>
          </w:p>
        </w:tc>
        <w:tc>
          <w:tcPr>
            <w:tcW w:w="6012" w:type="dxa"/>
          </w:tcPr>
          <w:p w14:paraId="72EE8C2F">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单位：天，期限与到期日互算，回购期限</w:t>
            </w:r>
            <w:r>
              <w:rPr>
                <w:rFonts w:hint="eastAsia" w:ascii="仿宋_GB2312" w:eastAsia="仿宋_GB2312"/>
                <w:kern w:val="0"/>
                <w:sz w:val="24"/>
                <w:szCs w:val="24"/>
                <w:lang w:val="en-US" w:eastAsia="zh-CN"/>
              </w:rPr>
              <w:t>=</w:t>
            </w:r>
            <w:r>
              <w:rPr>
                <w:rFonts w:hint="eastAsia" w:ascii="仿宋_GB2312" w:eastAsia="仿宋_GB2312"/>
                <w:kern w:val="0"/>
                <w:sz w:val="24"/>
                <w:szCs w:val="24"/>
              </w:rPr>
              <w:t>回购到期日-成交日期</w:t>
            </w:r>
          </w:p>
        </w:tc>
      </w:tr>
      <w:tr w14:paraId="1AF5B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Pr>
          <w:p w14:paraId="0AE916CF">
            <w:pPr>
              <w:adjustRightInd w:val="0"/>
              <w:snapToGrid w:val="0"/>
              <w:rPr>
                <w:rFonts w:ascii="仿宋_GB2312" w:eastAsia="仿宋_GB2312"/>
                <w:b/>
                <w:kern w:val="0"/>
                <w:sz w:val="24"/>
                <w:szCs w:val="24"/>
              </w:rPr>
            </w:pPr>
            <w:r>
              <w:rPr>
                <w:rFonts w:hint="eastAsia" w:ascii="仿宋_GB2312" w:eastAsia="仿宋_GB2312"/>
                <w:b/>
                <w:kern w:val="0"/>
                <w:sz w:val="24"/>
                <w:szCs w:val="24"/>
              </w:rPr>
              <w:t>回购到期日</w:t>
            </w:r>
          </w:p>
        </w:tc>
        <w:tc>
          <w:tcPr>
            <w:tcW w:w="6012" w:type="dxa"/>
          </w:tcPr>
          <w:p w14:paraId="3BA1AA39">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期限与到期日互算，回购期限</w:t>
            </w:r>
            <w:r>
              <w:rPr>
                <w:rFonts w:hint="eastAsia" w:ascii="仿宋_GB2312" w:eastAsia="仿宋_GB2312"/>
                <w:kern w:val="0"/>
                <w:sz w:val="24"/>
                <w:szCs w:val="24"/>
                <w:lang w:val="en-US" w:eastAsia="zh-CN"/>
              </w:rPr>
              <w:t>=</w:t>
            </w:r>
            <w:r>
              <w:rPr>
                <w:rFonts w:hint="eastAsia" w:ascii="仿宋_GB2312" w:eastAsia="仿宋_GB2312"/>
                <w:kern w:val="0"/>
                <w:sz w:val="24"/>
                <w:szCs w:val="24"/>
              </w:rPr>
              <w:t>回购到期日-成交日期</w:t>
            </w:r>
          </w:p>
        </w:tc>
      </w:tr>
      <w:tr w14:paraId="18BF8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Pr>
          <w:p w14:paraId="0942EAED">
            <w:pPr>
              <w:adjustRightInd w:val="0"/>
              <w:snapToGrid w:val="0"/>
              <w:rPr>
                <w:rFonts w:ascii="仿宋_GB2312" w:eastAsia="仿宋_GB2312"/>
                <w:b/>
                <w:kern w:val="0"/>
                <w:sz w:val="24"/>
                <w:szCs w:val="24"/>
              </w:rPr>
            </w:pPr>
            <w:r>
              <w:rPr>
                <w:rFonts w:hint="eastAsia" w:ascii="仿宋_GB2312" w:eastAsia="仿宋_GB2312"/>
                <w:b/>
                <w:kern w:val="0"/>
                <w:sz w:val="24"/>
                <w:szCs w:val="24"/>
              </w:rPr>
              <w:t>到期结算日</w:t>
            </w:r>
          </w:p>
        </w:tc>
        <w:tc>
          <w:tcPr>
            <w:tcW w:w="6012" w:type="dxa"/>
          </w:tcPr>
          <w:p w14:paraId="21E3A294">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到期结算日，自动带出</w:t>
            </w:r>
          </w:p>
        </w:tc>
      </w:tr>
      <w:tr w14:paraId="17FC4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Pr>
          <w:p w14:paraId="3D2A7C1E">
            <w:pPr>
              <w:adjustRightInd w:val="0"/>
              <w:snapToGrid w:val="0"/>
              <w:rPr>
                <w:rFonts w:ascii="仿宋_GB2312" w:eastAsia="仿宋_GB2312"/>
                <w:b/>
                <w:kern w:val="0"/>
                <w:sz w:val="24"/>
                <w:szCs w:val="24"/>
              </w:rPr>
            </w:pPr>
            <w:r>
              <w:rPr>
                <w:rFonts w:hint="eastAsia" w:ascii="仿宋_GB2312" w:eastAsia="仿宋_GB2312"/>
                <w:b/>
                <w:kern w:val="0"/>
                <w:sz w:val="24"/>
                <w:szCs w:val="24"/>
              </w:rPr>
              <w:t>实际占款天数</w:t>
            </w:r>
          </w:p>
        </w:tc>
        <w:tc>
          <w:tcPr>
            <w:tcW w:w="6012" w:type="dxa"/>
          </w:tcPr>
          <w:p w14:paraId="654D60C0">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实际占款天数=到期结算日</w:t>
            </w:r>
            <w:r>
              <w:rPr>
                <w:rFonts w:hint="eastAsia" w:ascii="仿宋_GB2312" w:eastAsia="仿宋_GB2312"/>
                <w:kern w:val="0"/>
                <w:sz w:val="24"/>
                <w:szCs w:val="24"/>
                <w:lang w:val="en-US" w:eastAsia="zh-CN"/>
              </w:rPr>
              <w:t>-</w:t>
            </w:r>
            <w:r>
              <w:rPr>
                <w:rFonts w:hint="eastAsia" w:ascii="仿宋_GB2312" w:eastAsia="仿宋_GB2312"/>
                <w:kern w:val="0"/>
                <w:sz w:val="24"/>
                <w:szCs w:val="24"/>
              </w:rPr>
              <w:t>首次结算日，自动</w:t>
            </w:r>
            <w:r>
              <w:rPr>
                <w:rFonts w:hint="eastAsia" w:ascii="仿宋_GB2312" w:eastAsia="仿宋_GB2312"/>
                <w:kern w:val="0"/>
                <w:sz w:val="24"/>
                <w:szCs w:val="24"/>
                <w:lang w:eastAsia="zh-CN"/>
              </w:rPr>
              <w:t>计算带出</w:t>
            </w:r>
          </w:p>
        </w:tc>
      </w:tr>
      <w:tr w14:paraId="442E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49" w:type="dxa"/>
          </w:tcPr>
          <w:p w14:paraId="231730D1">
            <w:pPr>
              <w:adjustRightInd w:val="0"/>
              <w:snapToGrid w:val="0"/>
              <w:rPr>
                <w:rFonts w:ascii="仿宋_GB2312" w:eastAsia="仿宋_GB2312"/>
                <w:b/>
                <w:kern w:val="0"/>
                <w:sz w:val="24"/>
                <w:szCs w:val="24"/>
              </w:rPr>
            </w:pPr>
            <w:r>
              <w:rPr>
                <w:rFonts w:hint="eastAsia" w:ascii="仿宋_GB2312" w:eastAsia="仿宋_GB2312"/>
                <w:b/>
                <w:kern w:val="0"/>
                <w:sz w:val="24"/>
                <w:szCs w:val="24"/>
              </w:rPr>
              <w:t>回购利率</w:t>
            </w:r>
          </w:p>
        </w:tc>
        <w:tc>
          <w:tcPr>
            <w:tcW w:w="6012" w:type="dxa"/>
          </w:tcPr>
          <w:p w14:paraId="218DFC5C">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单位：</w:t>
            </w:r>
            <w:r>
              <w:rPr>
                <w:rFonts w:hint="eastAsia" w:ascii="仿宋_GB2312" w:eastAsia="仿宋_GB2312"/>
                <w:kern w:val="0"/>
                <w:sz w:val="24"/>
                <w:szCs w:val="24"/>
                <w:lang w:val="en-US" w:eastAsia="zh-CN"/>
              </w:rPr>
              <w:t>%，</w:t>
            </w:r>
            <w:r>
              <w:rPr>
                <w:rFonts w:hint="eastAsia" w:ascii="仿宋_GB2312" w:eastAsia="仿宋_GB2312"/>
                <w:kern w:val="0"/>
                <w:sz w:val="24"/>
                <w:szCs w:val="24"/>
              </w:rPr>
              <w:t>正回购方付给逆回购方的资金价格</w:t>
            </w:r>
          </w:p>
        </w:tc>
      </w:tr>
      <w:tr w14:paraId="0F5E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Pr>
          <w:p w14:paraId="614A9956">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成交</w:t>
            </w:r>
            <w:r>
              <w:rPr>
                <w:rFonts w:hint="eastAsia" w:ascii="仿宋_GB2312" w:eastAsia="仿宋_GB2312"/>
                <w:b/>
                <w:kern w:val="0"/>
                <w:sz w:val="24"/>
                <w:szCs w:val="24"/>
              </w:rPr>
              <w:t>金额</w:t>
            </w:r>
          </w:p>
        </w:tc>
        <w:tc>
          <w:tcPr>
            <w:tcW w:w="6012" w:type="dxa"/>
          </w:tcPr>
          <w:p w14:paraId="69701625">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单位：元，</w:t>
            </w:r>
            <w:r>
              <w:rPr>
                <w:rFonts w:hint="eastAsia" w:ascii="仿宋_GB2312" w:eastAsia="仿宋_GB2312"/>
                <w:kern w:val="0"/>
                <w:sz w:val="24"/>
                <w:szCs w:val="24"/>
              </w:rPr>
              <w:t>正回购方融入的资金额度</w:t>
            </w:r>
          </w:p>
        </w:tc>
      </w:tr>
      <w:tr w14:paraId="7518D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Pr>
          <w:p w14:paraId="70984289">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预估</w:t>
            </w:r>
            <w:r>
              <w:rPr>
                <w:rFonts w:hint="eastAsia" w:ascii="仿宋_GB2312" w:eastAsia="仿宋_GB2312"/>
                <w:b/>
                <w:kern w:val="0"/>
                <w:sz w:val="24"/>
                <w:szCs w:val="24"/>
              </w:rPr>
              <w:t>回购利息</w:t>
            </w:r>
          </w:p>
        </w:tc>
        <w:tc>
          <w:tcPr>
            <w:tcW w:w="6012" w:type="dxa"/>
          </w:tcPr>
          <w:p w14:paraId="458C4B48">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单位：元，回购利息=成交金额×回购利率×实际占款天数/365</w:t>
            </w:r>
            <w:r>
              <w:rPr>
                <w:rFonts w:hint="eastAsia" w:ascii="仿宋_GB2312" w:eastAsia="仿宋_GB2312"/>
                <w:kern w:val="0"/>
                <w:sz w:val="24"/>
                <w:szCs w:val="24"/>
              </w:rPr>
              <w:t>，自动</w:t>
            </w:r>
            <w:r>
              <w:rPr>
                <w:rFonts w:hint="eastAsia" w:ascii="仿宋_GB2312" w:eastAsia="仿宋_GB2312"/>
                <w:kern w:val="0"/>
                <w:sz w:val="24"/>
                <w:szCs w:val="24"/>
                <w:lang w:eastAsia="zh-CN"/>
              </w:rPr>
              <w:t>计算带出</w:t>
            </w:r>
          </w:p>
        </w:tc>
      </w:tr>
      <w:tr w14:paraId="60F0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Pr>
          <w:p w14:paraId="3ECFEE2D">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预估</w:t>
            </w:r>
            <w:r>
              <w:rPr>
                <w:rFonts w:hint="eastAsia" w:ascii="仿宋_GB2312" w:eastAsia="仿宋_GB2312"/>
                <w:b/>
                <w:kern w:val="0"/>
                <w:sz w:val="24"/>
                <w:szCs w:val="24"/>
              </w:rPr>
              <w:t>到期结算金额</w:t>
            </w:r>
          </w:p>
        </w:tc>
        <w:tc>
          <w:tcPr>
            <w:tcW w:w="6012" w:type="dxa"/>
          </w:tcPr>
          <w:p w14:paraId="7D849511">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单位：元，到期结算金额=成交金额+回购利息，</w:t>
            </w:r>
            <w:r>
              <w:rPr>
                <w:rFonts w:hint="eastAsia" w:ascii="仿宋_GB2312" w:eastAsia="仿宋_GB2312"/>
                <w:kern w:val="0"/>
                <w:sz w:val="24"/>
                <w:szCs w:val="24"/>
              </w:rPr>
              <w:t>自动</w:t>
            </w:r>
            <w:r>
              <w:rPr>
                <w:rFonts w:hint="eastAsia" w:ascii="仿宋_GB2312" w:eastAsia="仿宋_GB2312"/>
                <w:kern w:val="0"/>
                <w:sz w:val="24"/>
                <w:szCs w:val="24"/>
                <w:lang w:eastAsia="zh-CN"/>
              </w:rPr>
              <w:t>计算带出</w:t>
            </w:r>
          </w:p>
        </w:tc>
      </w:tr>
      <w:tr w14:paraId="23B2F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49" w:type="dxa"/>
          </w:tcPr>
          <w:p w14:paraId="25086B35">
            <w:pPr>
              <w:adjustRightInd w:val="0"/>
              <w:snapToGrid w:val="0"/>
              <w:rPr>
                <w:rFonts w:ascii="仿宋_GB2312" w:eastAsia="仿宋_GB2312"/>
                <w:b/>
                <w:kern w:val="0"/>
                <w:sz w:val="24"/>
                <w:szCs w:val="24"/>
              </w:rPr>
            </w:pPr>
            <w:r>
              <w:rPr>
                <w:rFonts w:hint="eastAsia" w:ascii="仿宋_GB2312" w:eastAsia="仿宋_GB2312"/>
                <w:b/>
                <w:kern w:val="0"/>
                <w:sz w:val="24"/>
                <w:szCs w:val="24"/>
                <w:highlight w:val="none"/>
              </w:rPr>
              <w:t>是否同意在违约情形下由质权方对该违约交易项下的质押券直接以拍卖、变卖等方式进行处置</w:t>
            </w:r>
          </w:p>
        </w:tc>
        <w:tc>
          <w:tcPr>
            <w:tcW w:w="6012" w:type="dxa"/>
          </w:tcPr>
          <w:p w14:paraId="60ACF70A">
            <w:pPr>
              <w:adjustRightInd w:val="0"/>
              <w:snapToGrid w:val="0"/>
              <w:rPr>
                <w:rFonts w:hint="default" w:ascii="仿宋_GB2312" w:eastAsia="仿宋_GB2312"/>
                <w:kern w:val="0"/>
                <w:sz w:val="24"/>
                <w:szCs w:val="24"/>
                <w:lang w:val="en-US" w:eastAsia="zh-CN"/>
              </w:rPr>
            </w:pPr>
            <w:r>
              <w:rPr>
                <w:rFonts w:hint="eastAsia" w:ascii="仿宋_GB2312" w:eastAsia="仿宋_GB2312"/>
                <w:kern w:val="0"/>
                <w:sz w:val="24"/>
                <w:szCs w:val="24"/>
                <w:lang w:eastAsia="zh-CN"/>
              </w:rPr>
              <w:t>单选，是</w:t>
            </w:r>
            <w:r>
              <w:rPr>
                <w:rFonts w:hint="eastAsia" w:ascii="仿宋_GB2312" w:eastAsia="仿宋_GB2312"/>
                <w:kern w:val="0"/>
                <w:sz w:val="24"/>
                <w:szCs w:val="24"/>
                <w:lang w:val="en-US" w:eastAsia="zh-CN"/>
              </w:rPr>
              <w:t>/否</w:t>
            </w:r>
          </w:p>
        </w:tc>
      </w:tr>
      <w:tr w14:paraId="3B52D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Pr>
          <w:p w14:paraId="2400F080">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约定号</w:t>
            </w:r>
          </w:p>
        </w:tc>
        <w:tc>
          <w:tcPr>
            <w:tcW w:w="6012" w:type="dxa"/>
          </w:tcPr>
          <w:p w14:paraId="5BC5BD70">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选填</w:t>
            </w:r>
          </w:p>
        </w:tc>
      </w:tr>
      <w:tr w14:paraId="5791C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Pr>
          <w:p w14:paraId="019FC7F2">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rPr>
              <w:t>补充约定</w:t>
            </w:r>
            <w:r>
              <w:rPr>
                <w:rFonts w:hint="eastAsia" w:ascii="仿宋_GB2312" w:eastAsia="仿宋_GB2312"/>
                <w:b/>
                <w:kern w:val="0"/>
                <w:sz w:val="24"/>
                <w:szCs w:val="24"/>
                <w:lang w:eastAsia="zh-CN"/>
              </w:rPr>
              <w:t>或备注</w:t>
            </w:r>
          </w:p>
        </w:tc>
        <w:tc>
          <w:tcPr>
            <w:tcW w:w="6012" w:type="dxa"/>
          </w:tcPr>
          <w:p w14:paraId="1CFAEA38">
            <w:pPr>
              <w:adjustRightInd w:val="0"/>
              <w:snapToGrid w:val="0"/>
              <w:rPr>
                <w:rFonts w:ascii="仿宋_GB2312" w:eastAsia="仿宋_GB2312"/>
                <w:kern w:val="0"/>
                <w:sz w:val="24"/>
                <w:szCs w:val="24"/>
              </w:rPr>
            </w:pPr>
            <w:r>
              <w:rPr>
                <w:rFonts w:hint="eastAsia" w:ascii="仿宋_GB2312" w:eastAsia="仿宋_GB2312"/>
                <w:kern w:val="0"/>
                <w:sz w:val="24"/>
                <w:szCs w:val="24"/>
              </w:rPr>
              <w:t>交易双方的补充约定</w:t>
            </w:r>
          </w:p>
        </w:tc>
      </w:tr>
      <w:tr w14:paraId="37247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Pr>
          <w:p w14:paraId="62476F19">
            <w:pPr>
              <w:adjustRightInd w:val="0"/>
              <w:snapToGrid w:val="0"/>
              <w:rPr>
                <w:rFonts w:ascii="仿宋_GB2312" w:eastAsia="仿宋_GB2312"/>
                <w:b/>
                <w:kern w:val="0"/>
                <w:sz w:val="24"/>
                <w:szCs w:val="24"/>
              </w:rPr>
            </w:pPr>
            <w:r>
              <w:rPr>
                <w:rFonts w:hint="eastAsia" w:ascii="仿宋_GB2312" w:eastAsia="仿宋_GB2312"/>
                <w:b/>
                <w:kern w:val="0"/>
                <w:sz w:val="24"/>
                <w:szCs w:val="24"/>
              </w:rPr>
              <w:t>质押券篮子</w:t>
            </w:r>
          </w:p>
        </w:tc>
        <w:tc>
          <w:tcPr>
            <w:tcW w:w="6012" w:type="dxa"/>
          </w:tcPr>
          <w:p w14:paraId="3FCC82FA">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篮子</w:t>
            </w:r>
            <w:r>
              <w:rPr>
                <w:rFonts w:hint="eastAsia" w:ascii="仿宋_GB2312" w:eastAsia="仿宋_GB2312"/>
                <w:kern w:val="0"/>
                <w:sz w:val="24"/>
                <w:szCs w:val="24"/>
              </w:rPr>
              <w:t>B001-B008</w:t>
            </w:r>
            <w:r>
              <w:rPr>
                <w:rFonts w:hint="eastAsia" w:ascii="仿宋_GB2312" w:eastAsia="仿宋_GB2312"/>
                <w:kern w:val="0"/>
                <w:sz w:val="24"/>
                <w:szCs w:val="24"/>
                <w:lang w:eastAsia="zh-CN"/>
              </w:rPr>
              <w:t>，可多选</w:t>
            </w:r>
          </w:p>
        </w:tc>
      </w:tr>
      <w:tr w14:paraId="3513F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49" w:type="dxa"/>
          </w:tcPr>
          <w:p w14:paraId="2F36B476">
            <w:pPr>
              <w:adjustRightInd w:val="0"/>
              <w:snapToGrid w:val="0"/>
              <w:rPr>
                <w:rFonts w:ascii="仿宋_GB2312" w:eastAsia="仿宋_GB2312"/>
                <w:b/>
                <w:kern w:val="0"/>
                <w:sz w:val="24"/>
                <w:szCs w:val="24"/>
              </w:rPr>
            </w:pPr>
            <w:r>
              <w:rPr>
                <w:rFonts w:hint="eastAsia" w:ascii="仿宋_GB2312" w:eastAsia="仿宋_GB2312"/>
                <w:b/>
                <w:kern w:val="0"/>
                <w:sz w:val="24"/>
                <w:szCs w:val="24"/>
              </w:rPr>
              <w:t>质押券代码</w:t>
            </w:r>
          </w:p>
        </w:tc>
        <w:tc>
          <w:tcPr>
            <w:tcW w:w="6012" w:type="dxa"/>
          </w:tcPr>
          <w:p w14:paraId="21A81813">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如需指定质押券</w:t>
            </w:r>
          </w:p>
        </w:tc>
      </w:tr>
      <w:tr w14:paraId="4C704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Pr>
          <w:p w14:paraId="23A262EE">
            <w:pPr>
              <w:adjustRightInd w:val="0"/>
              <w:snapToGrid w:val="0"/>
              <w:rPr>
                <w:rFonts w:ascii="仿宋_GB2312" w:eastAsia="仿宋_GB2312"/>
                <w:b/>
                <w:kern w:val="0"/>
                <w:sz w:val="24"/>
                <w:szCs w:val="24"/>
              </w:rPr>
            </w:pPr>
            <w:r>
              <w:rPr>
                <w:rFonts w:hint="eastAsia" w:ascii="仿宋_GB2312" w:eastAsia="仿宋_GB2312"/>
                <w:b/>
                <w:kern w:val="0"/>
                <w:sz w:val="24"/>
                <w:szCs w:val="24"/>
              </w:rPr>
              <w:t>质押券简称</w:t>
            </w:r>
          </w:p>
        </w:tc>
        <w:tc>
          <w:tcPr>
            <w:tcW w:w="6012" w:type="dxa"/>
          </w:tcPr>
          <w:p w14:paraId="4A1DEB04">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根据质押券代码</w:t>
            </w:r>
            <w:r>
              <w:rPr>
                <w:rFonts w:hint="eastAsia" w:ascii="仿宋_GB2312" w:eastAsia="仿宋_GB2312"/>
                <w:kern w:val="0"/>
                <w:sz w:val="24"/>
                <w:szCs w:val="24"/>
              </w:rPr>
              <w:t>自动</w:t>
            </w:r>
            <w:r>
              <w:rPr>
                <w:rFonts w:hint="eastAsia" w:ascii="仿宋_GB2312" w:eastAsia="仿宋_GB2312"/>
                <w:kern w:val="0"/>
                <w:sz w:val="24"/>
                <w:szCs w:val="24"/>
                <w:lang w:eastAsia="zh-CN"/>
              </w:rPr>
              <w:t>带出</w:t>
            </w:r>
          </w:p>
        </w:tc>
      </w:tr>
      <w:tr w14:paraId="26FD8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Pr>
          <w:p w14:paraId="63D3FE20">
            <w:pPr>
              <w:adjustRightInd w:val="0"/>
              <w:snapToGrid w:val="0"/>
              <w:rPr>
                <w:rFonts w:ascii="仿宋_GB2312" w:eastAsia="仿宋_GB2312"/>
                <w:b/>
                <w:kern w:val="0"/>
                <w:sz w:val="24"/>
                <w:szCs w:val="24"/>
              </w:rPr>
            </w:pPr>
            <w:r>
              <w:rPr>
                <w:rFonts w:hint="eastAsia" w:ascii="仿宋_GB2312" w:eastAsia="仿宋_GB2312"/>
                <w:b/>
                <w:kern w:val="0"/>
                <w:sz w:val="24"/>
                <w:szCs w:val="24"/>
              </w:rPr>
              <w:t>所属篮子</w:t>
            </w:r>
          </w:p>
        </w:tc>
        <w:tc>
          <w:tcPr>
            <w:tcW w:w="6012" w:type="dxa"/>
          </w:tcPr>
          <w:p w14:paraId="16CCD8FC">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质押券所属篮子</w:t>
            </w:r>
            <w:r>
              <w:rPr>
                <w:rFonts w:hint="eastAsia" w:ascii="仿宋_GB2312" w:eastAsia="仿宋_GB2312"/>
                <w:kern w:val="0"/>
                <w:sz w:val="24"/>
                <w:szCs w:val="24"/>
                <w:lang w:eastAsia="zh-CN"/>
              </w:rPr>
              <w:t>，根据质押券代码</w:t>
            </w:r>
            <w:r>
              <w:rPr>
                <w:rFonts w:hint="eastAsia" w:ascii="仿宋_GB2312" w:eastAsia="仿宋_GB2312"/>
                <w:kern w:val="0"/>
                <w:sz w:val="24"/>
                <w:szCs w:val="24"/>
              </w:rPr>
              <w:t>自动</w:t>
            </w:r>
            <w:r>
              <w:rPr>
                <w:rFonts w:hint="eastAsia" w:ascii="仿宋_GB2312" w:eastAsia="仿宋_GB2312"/>
                <w:kern w:val="0"/>
                <w:sz w:val="24"/>
                <w:szCs w:val="24"/>
                <w:lang w:eastAsia="zh-CN"/>
              </w:rPr>
              <w:t>带出</w:t>
            </w:r>
          </w:p>
        </w:tc>
      </w:tr>
      <w:tr w14:paraId="5C5B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Pr>
          <w:p w14:paraId="57428B8D">
            <w:pPr>
              <w:adjustRightInd w:val="0"/>
              <w:snapToGrid w:val="0"/>
              <w:rPr>
                <w:rFonts w:ascii="仿宋_GB2312" w:eastAsia="仿宋_GB2312"/>
                <w:b/>
                <w:kern w:val="0"/>
                <w:sz w:val="24"/>
                <w:szCs w:val="24"/>
              </w:rPr>
            </w:pPr>
            <w:r>
              <w:rPr>
                <w:rFonts w:hint="eastAsia" w:ascii="仿宋_GB2312" w:eastAsia="仿宋_GB2312"/>
                <w:b/>
                <w:kern w:val="0"/>
                <w:sz w:val="24"/>
                <w:szCs w:val="24"/>
              </w:rPr>
              <w:t>质押券数量</w:t>
            </w:r>
          </w:p>
        </w:tc>
        <w:tc>
          <w:tcPr>
            <w:tcW w:w="6012" w:type="dxa"/>
          </w:tcPr>
          <w:p w14:paraId="33130D53">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单位：</w:t>
            </w:r>
            <w:r>
              <w:rPr>
                <w:rFonts w:hint="eastAsia" w:ascii="仿宋_GB2312" w:eastAsia="仿宋_GB2312"/>
                <w:kern w:val="0"/>
                <w:sz w:val="24"/>
                <w:szCs w:val="24"/>
              </w:rPr>
              <w:t>千元面额</w:t>
            </w:r>
          </w:p>
        </w:tc>
      </w:tr>
      <w:tr w14:paraId="4038A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49" w:type="dxa"/>
          </w:tcPr>
          <w:p w14:paraId="5B8E45DB">
            <w:pPr>
              <w:adjustRightInd w:val="0"/>
              <w:snapToGrid w:val="0"/>
              <w:rPr>
                <w:rFonts w:ascii="仿宋_GB2312" w:eastAsia="仿宋_GB2312"/>
                <w:b/>
                <w:kern w:val="0"/>
                <w:sz w:val="24"/>
                <w:szCs w:val="24"/>
              </w:rPr>
            </w:pPr>
            <w:r>
              <w:rPr>
                <w:rFonts w:hint="eastAsia" w:ascii="仿宋_GB2312" w:eastAsia="仿宋_GB2312"/>
                <w:b/>
                <w:kern w:val="0"/>
                <w:sz w:val="24"/>
                <w:szCs w:val="24"/>
              </w:rPr>
              <w:t>全价估值</w:t>
            </w:r>
          </w:p>
        </w:tc>
        <w:tc>
          <w:tcPr>
            <w:tcW w:w="6012" w:type="dxa"/>
          </w:tcPr>
          <w:p w14:paraId="6E761BDA">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单位：元，</w:t>
            </w:r>
            <w:r>
              <w:rPr>
                <w:rFonts w:hint="eastAsia" w:ascii="仿宋_GB2312" w:eastAsia="仿宋_GB2312"/>
                <w:kern w:val="0"/>
                <w:sz w:val="24"/>
                <w:szCs w:val="24"/>
              </w:rPr>
              <w:t>质押券当前的全价估值，自动</w:t>
            </w:r>
            <w:r>
              <w:rPr>
                <w:rFonts w:hint="eastAsia" w:ascii="仿宋_GB2312" w:eastAsia="仿宋_GB2312"/>
                <w:kern w:val="0"/>
                <w:sz w:val="24"/>
                <w:szCs w:val="24"/>
                <w:lang w:eastAsia="zh-CN"/>
              </w:rPr>
              <w:t>带出</w:t>
            </w:r>
          </w:p>
        </w:tc>
      </w:tr>
      <w:tr w14:paraId="6E629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Pr>
          <w:p w14:paraId="20B056A7">
            <w:pPr>
              <w:adjustRightInd w:val="0"/>
              <w:snapToGrid w:val="0"/>
              <w:rPr>
                <w:rFonts w:ascii="仿宋_GB2312" w:eastAsia="仿宋_GB2312"/>
                <w:b/>
                <w:kern w:val="0"/>
                <w:sz w:val="24"/>
                <w:szCs w:val="24"/>
              </w:rPr>
            </w:pPr>
            <w:r>
              <w:rPr>
                <w:rFonts w:hint="eastAsia" w:ascii="仿宋_GB2312" w:eastAsia="仿宋_GB2312"/>
                <w:b/>
                <w:kern w:val="0"/>
                <w:sz w:val="24"/>
                <w:szCs w:val="24"/>
              </w:rPr>
              <w:t>折扣率</w:t>
            </w:r>
          </w:p>
        </w:tc>
        <w:tc>
          <w:tcPr>
            <w:tcW w:w="6012" w:type="dxa"/>
          </w:tcPr>
          <w:p w14:paraId="6CC45B4C">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单位：</w:t>
            </w:r>
            <w:r>
              <w:rPr>
                <w:rFonts w:hint="eastAsia" w:ascii="仿宋_GB2312" w:eastAsia="仿宋_GB2312"/>
                <w:kern w:val="0"/>
                <w:sz w:val="24"/>
                <w:szCs w:val="24"/>
                <w:lang w:val="en-US" w:eastAsia="zh-CN"/>
              </w:rPr>
              <w:t>%，</w:t>
            </w:r>
            <w:r>
              <w:rPr>
                <w:rFonts w:hint="eastAsia" w:ascii="仿宋_GB2312" w:eastAsia="仿宋_GB2312"/>
                <w:kern w:val="0"/>
                <w:sz w:val="24"/>
                <w:szCs w:val="24"/>
              </w:rPr>
              <w:t>所属质押券篮子的折扣率，自动</w:t>
            </w:r>
            <w:r>
              <w:rPr>
                <w:rFonts w:hint="eastAsia" w:ascii="仿宋_GB2312" w:eastAsia="仿宋_GB2312"/>
                <w:kern w:val="0"/>
                <w:sz w:val="24"/>
                <w:szCs w:val="24"/>
                <w:lang w:eastAsia="zh-CN"/>
              </w:rPr>
              <w:t>带出</w:t>
            </w:r>
          </w:p>
        </w:tc>
      </w:tr>
      <w:tr w14:paraId="0353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Pr>
          <w:p w14:paraId="0D69F06F">
            <w:pPr>
              <w:adjustRightInd w:val="0"/>
              <w:snapToGrid w:val="0"/>
              <w:rPr>
                <w:rFonts w:ascii="仿宋_GB2312" w:eastAsia="仿宋_GB2312"/>
                <w:b/>
                <w:kern w:val="0"/>
                <w:sz w:val="24"/>
                <w:szCs w:val="24"/>
              </w:rPr>
            </w:pPr>
            <w:r>
              <w:rPr>
                <w:rFonts w:hint="eastAsia" w:ascii="仿宋_GB2312" w:eastAsia="仿宋_GB2312"/>
                <w:b/>
                <w:kern w:val="0"/>
                <w:sz w:val="24"/>
                <w:szCs w:val="24"/>
              </w:rPr>
              <w:t>担保价值</w:t>
            </w:r>
          </w:p>
        </w:tc>
        <w:tc>
          <w:tcPr>
            <w:tcW w:w="6012" w:type="dxa"/>
          </w:tcPr>
          <w:p w14:paraId="07126329">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单位：元，担保价值</w:t>
            </w:r>
            <w:r>
              <w:rPr>
                <w:rFonts w:hint="eastAsia" w:ascii="仿宋_GB2312" w:eastAsia="仿宋_GB2312"/>
                <w:kern w:val="0"/>
                <w:sz w:val="24"/>
                <w:szCs w:val="24"/>
                <w:lang w:val="en-US" w:eastAsia="zh-CN"/>
              </w:rPr>
              <w:t>=全价估值*(1-折扣率%)*数量*1000/100</w:t>
            </w:r>
            <w:r>
              <w:rPr>
                <w:rFonts w:hint="eastAsia" w:ascii="仿宋_GB2312" w:eastAsia="仿宋_GB2312"/>
                <w:kern w:val="0"/>
                <w:sz w:val="24"/>
                <w:szCs w:val="24"/>
              </w:rPr>
              <w:t>，自</w:t>
            </w:r>
            <w:r>
              <w:rPr>
                <w:rFonts w:hint="eastAsia" w:ascii="仿宋_GB2312" w:eastAsia="仿宋_GB2312"/>
                <w:kern w:val="0"/>
                <w:sz w:val="24"/>
                <w:szCs w:val="24"/>
                <w:lang w:eastAsia="zh-CN"/>
              </w:rPr>
              <w:t>动计算带出</w:t>
            </w:r>
          </w:p>
        </w:tc>
      </w:tr>
      <w:tr w14:paraId="7C156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Pr>
          <w:p w14:paraId="40DEF90E">
            <w:pPr>
              <w:adjustRightInd w:val="0"/>
              <w:snapToGrid w:val="0"/>
              <w:rPr>
                <w:rFonts w:ascii="仿宋_GB2312" w:eastAsia="仿宋_GB2312"/>
                <w:b/>
                <w:kern w:val="0"/>
                <w:sz w:val="24"/>
                <w:szCs w:val="24"/>
              </w:rPr>
            </w:pPr>
            <w:r>
              <w:rPr>
                <w:rFonts w:hint="eastAsia" w:ascii="仿宋_GB2312" w:eastAsia="仿宋_GB2312"/>
                <w:b/>
                <w:kern w:val="0"/>
                <w:sz w:val="24"/>
                <w:szCs w:val="24"/>
              </w:rPr>
              <w:t>担保价值合计</w:t>
            </w:r>
          </w:p>
        </w:tc>
        <w:tc>
          <w:tcPr>
            <w:tcW w:w="6012" w:type="dxa"/>
          </w:tcPr>
          <w:p w14:paraId="16BDB96C">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单位：元，质押券</w:t>
            </w:r>
            <w:r>
              <w:rPr>
                <w:rFonts w:hint="eastAsia" w:ascii="仿宋_GB2312" w:eastAsia="仿宋_GB2312"/>
                <w:kern w:val="0"/>
                <w:sz w:val="24"/>
                <w:szCs w:val="24"/>
              </w:rPr>
              <w:t>担保价值</w:t>
            </w:r>
            <w:r>
              <w:rPr>
                <w:rFonts w:hint="eastAsia" w:ascii="仿宋_GB2312" w:eastAsia="仿宋_GB2312"/>
                <w:kern w:val="0"/>
                <w:sz w:val="24"/>
                <w:szCs w:val="24"/>
                <w:lang w:eastAsia="zh-CN"/>
              </w:rPr>
              <w:t>之和</w:t>
            </w:r>
            <w:r>
              <w:rPr>
                <w:rFonts w:hint="eastAsia" w:ascii="仿宋_GB2312" w:eastAsia="仿宋_GB2312"/>
                <w:kern w:val="0"/>
                <w:sz w:val="24"/>
                <w:szCs w:val="24"/>
              </w:rPr>
              <w:t>，自动</w:t>
            </w:r>
            <w:r>
              <w:rPr>
                <w:rFonts w:hint="eastAsia" w:ascii="仿宋_GB2312" w:eastAsia="仿宋_GB2312"/>
                <w:kern w:val="0"/>
                <w:sz w:val="24"/>
                <w:szCs w:val="24"/>
                <w:lang w:eastAsia="zh-CN"/>
              </w:rPr>
              <w:t>计算带出，如未指定质押券则不显示</w:t>
            </w:r>
          </w:p>
        </w:tc>
      </w:tr>
    </w:tbl>
    <w:p w14:paraId="09DAB89F">
      <w:pPr>
        <w:spacing w:line="600" w:lineRule="exact"/>
        <w:ind w:firstLine="601" w:firstLineChars="200"/>
        <w:outlineLvl w:val="3"/>
        <w:rPr>
          <w:rFonts w:ascii="仿宋_GB2312" w:eastAsia="仿宋_GB2312"/>
          <w:b/>
          <w:sz w:val="30"/>
          <w:szCs w:val="30"/>
        </w:rPr>
      </w:pPr>
      <w:bookmarkStart w:id="2183" w:name="_Toc499850051"/>
      <w:bookmarkEnd w:id="2183"/>
      <w:r>
        <w:rPr>
          <w:rFonts w:hint="eastAsia" w:ascii="仿宋_GB2312" w:eastAsia="仿宋_GB2312"/>
          <w:b/>
          <w:sz w:val="30"/>
          <w:szCs w:val="30"/>
        </w:rPr>
        <w:t>（6）到期购回交易申报</w:t>
      </w:r>
    </w:p>
    <w:p w14:paraId="6DC11442">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三方回购到期日，正回购方可进行到期购回。到期购回申报指回购双方在回购到期日针对到期回购按照约定返还资金、解除质押券及相应孳息质押登记的申报。到期购回申报由正回购方发起，无需逆回购方确认。到期购回申报一经提交，不可撤销。</w:t>
      </w:r>
      <w:bookmarkStart w:id="2184" w:name="_Toc499850053"/>
      <w:bookmarkEnd w:id="2184"/>
    </w:p>
    <w:p w14:paraId="58C2BB40">
      <w:pPr>
        <w:adjustRightInd w:val="0"/>
        <w:snapToGrid w:val="0"/>
        <w:spacing w:line="600" w:lineRule="exact"/>
        <w:ind w:firstLine="600" w:firstLineChars="200"/>
        <w:rPr>
          <w:rFonts w:ascii="仿宋_GB2312" w:hAnsi="宋体" w:eastAsia="仿宋_GB2312"/>
          <w:sz w:val="30"/>
          <w:szCs w:val="30"/>
        </w:rPr>
      </w:pPr>
      <w:r>
        <w:rPr>
          <w:rFonts w:hint="eastAsia" w:ascii="仿宋_GB2312" w:hAnsi="Calibri" w:eastAsia="仿宋_GB2312"/>
          <w:kern w:val="0"/>
          <w:sz w:val="30"/>
          <w:szCs w:val="30"/>
        </w:rPr>
        <w:t>到期购回申报</w:t>
      </w:r>
      <w:r>
        <w:rPr>
          <w:rFonts w:hint="eastAsia" w:ascii="仿宋_GB2312" w:hAnsi="Calibri" w:eastAsia="仿宋_GB2312"/>
          <w:sz w:val="30"/>
          <w:szCs w:val="30"/>
          <w:lang w:eastAsia="zh-CN"/>
        </w:rPr>
        <w:t>自动带出原合约申报信息，以及逆回购方一债通账户、逆回购方交易员、到期结算日、实际占款天数、回购利息、到期结算金额要素，由</w:t>
      </w:r>
      <w:r>
        <w:rPr>
          <w:rFonts w:hint="eastAsia" w:ascii="仿宋_GB2312" w:hAnsi="Calibri" w:eastAsia="仿宋_GB2312"/>
          <w:sz w:val="30"/>
          <w:szCs w:val="30"/>
        </w:rPr>
        <w:t>正回购方</w:t>
      </w:r>
      <w:r>
        <w:rPr>
          <w:rFonts w:hint="eastAsia" w:ascii="仿宋_GB2312" w:hAnsi="Calibri" w:eastAsia="仿宋_GB2312"/>
          <w:sz w:val="30"/>
          <w:szCs w:val="30"/>
          <w:lang w:eastAsia="zh-CN"/>
        </w:rPr>
        <w:t>确认后提交。</w:t>
      </w:r>
    </w:p>
    <w:p w14:paraId="68201AD0">
      <w:pPr>
        <w:spacing w:line="600" w:lineRule="exact"/>
        <w:ind w:firstLine="601" w:firstLineChars="200"/>
        <w:outlineLvl w:val="3"/>
        <w:rPr>
          <w:rFonts w:ascii="仿宋_GB2312" w:hAnsi="黑体" w:eastAsia="仿宋_GB2312"/>
          <w:b/>
          <w:sz w:val="30"/>
          <w:szCs w:val="30"/>
        </w:rPr>
      </w:pPr>
      <w:r>
        <w:rPr>
          <w:rFonts w:hint="eastAsia" w:ascii="仿宋_GB2312" w:eastAsia="仿宋_GB2312"/>
          <w:b/>
          <w:sz w:val="30"/>
          <w:szCs w:val="30"/>
        </w:rPr>
        <w:t>（7）</w:t>
      </w:r>
      <w:r>
        <w:rPr>
          <w:rFonts w:hint="eastAsia" w:ascii="仿宋_GB2312" w:hAnsi="黑体" w:eastAsia="仿宋_GB2312"/>
          <w:b/>
          <w:sz w:val="30"/>
          <w:szCs w:val="30"/>
        </w:rPr>
        <w:t>到期续做交易申报</w:t>
      </w:r>
    </w:p>
    <w:p w14:paraId="22A172C2">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三方回购到期日，正回购方可进行到期续做。到期续做申报是指回购到期日，双方可基于原质押券申报回购续做，通过缔结新的回购合约来了结到期合约。正回购方的到期续做申报经续做逆回购方确认后生成新的回购合约，原到期回购合约终结。续做逆回购方必须是原回购逆回购方，续做的金额、期限、利率等要素和原回购可以不同。初期，续做的金额不能超过原回购金额。到期续做申报由</w:t>
      </w:r>
      <w:r>
        <w:rPr>
          <w:rFonts w:hint="eastAsia" w:ascii="仿宋_GB2312" w:hAnsi="Calibri" w:eastAsia="仿宋_GB2312"/>
          <w:kern w:val="0"/>
          <w:sz w:val="30"/>
          <w:szCs w:val="30"/>
          <w:lang w:eastAsia="zh-CN"/>
        </w:rPr>
        <w:t>正回购方</w:t>
      </w:r>
      <w:r>
        <w:rPr>
          <w:rFonts w:hint="eastAsia" w:ascii="仿宋_GB2312" w:hAnsi="Calibri" w:eastAsia="仿宋_GB2312"/>
          <w:kern w:val="0"/>
          <w:sz w:val="30"/>
          <w:szCs w:val="30"/>
        </w:rPr>
        <w:t>发起，</w:t>
      </w:r>
      <w:r>
        <w:rPr>
          <w:rFonts w:hint="eastAsia" w:ascii="仿宋_GB2312" w:hAnsi="Calibri" w:eastAsia="仿宋_GB2312"/>
          <w:kern w:val="0"/>
          <w:sz w:val="30"/>
          <w:szCs w:val="30"/>
          <w:lang w:eastAsia="zh-CN"/>
        </w:rPr>
        <w:t>可选择发送对手方原交易员或其首席交易员，由其确认或拒绝</w:t>
      </w:r>
      <w:r>
        <w:rPr>
          <w:rFonts w:hint="eastAsia" w:ascii="仿宋_GB2312" w:hAnsi="Calibri" w:eastAsia="仿宋_GB2312"/>
          <w:kern w:val="0"/>
          <w:sz w:val="30"/>
          <w:szCs w:val="30"/>
        </w:rPr>
        <w:t>。到期续做申报的撤销只能由发起的交易员进行。</w:t>
      </w:r>
    </w:p>
    <w:p w14:paraId="14EE61C3">
      <w:pPr>
        <w:adjustRightInd w:val="0"/>
        <w:snapToGrid w:val="0"/>
        <w:spacing w:line="600" w:lineRule="exact"/>
        <w:ind w:firstLine="600" w:firstLineChars="200"/>
        <w:rPr>
          <w:rFonts w:hint="eastAsia" w:ascii="仿宋_GB2312" w:hAnsi="宋体" w:eastAsia="仿宋_GB2312"/>
          <w:sz w:val="30"/>
          <w:szCs w:val="30"/>
        </w:rPr>
      </w:pPr>
      <w:r>
        <w:rPr>
          <w:rFonts w:hint="eastAsia" w:ascii="仿宋_GB2312" w:hAnsi="Calibri" w:eastAsia="仿宋_GB2312"/>
          <w:kern w:val="0"/>
          <w:sz w:val="30"/>
          <w:szCs w:val="30"/>
        </w:rPr>
        <w:t>到期续</w:t>
      </w:r>
      <w:r>
        <w:rPr>
          <w:rFonts w:hint="eastAsia" w:ascii="仿宋_GB2312" w:hAnsi="Calibri" w:eastAsia="仿宋_GB2312"/>
          <w:kern w:val="0"/>
          <w:sz w:val="30"/>
          <w:szCs w:val="30"/>
          <w:lang w:eastAsia="zh-CN"/>
        </w:rPr>
        <w:t>做</w:t>
      </w:r>
      <w:r>
        <w:rPr>
          <w:rFonts w:hint="eastAsia" w:ascii="仿宋_GB2312" w:hAnsi="Calibri" w:eastAsia="仿宋_GB2312"/>
          <w:kern w:val="0"/>
          <w:sz w:val="30"/>
          <w:szCs w:val="30"/>
        </w:rPr>
        <w:t>申报的</w:t>
      </w:r>
      <w:r>
        <w:rPr>
          <w:rFonts w:hint="eastAsia" w:ascii="仿宋_GB2312" w:hAnsi="宋体" w:eastAsia="仿宋_GB2312"/>
          <w:sz w:val="30"/>
          <w:szCs w:val="30"/>
        </w:rPr>
        <w:t>具体要素及要素说明如下：</w:t>
      </w:r>
    </w:p>
    <w:tbl>
      <w:tblPr>
        <w:tblStyle w:val="43"/>
        <w:tblW w:w="49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8"/>
        <w:gridCol w:w="5887"/>
      </w:tblGrid>
      <w:tr w14:paraId="5DD80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tcPr>
          <w:p w14:paraId="13B9BAB7">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3493" w:type="pct"/>
          </w:tcPr>
          <w:p w14:paraId="04DAF02B">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7E4BE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2"/>
          </w:tcPr>
          <w:p w14:paraId="55597354">
            <w:pPr>
              <w:adjustRightInd w:val="0"/>
              <w:snapToGrid w:val="0"/>
              <w:jc w:val="center"/>
              <w:rPr>
                <w:rFonts w:ascii="仿宋_GB2312" w:eastAsia="仿宋_GB2312"/>
                <w:kern w:val="0"/>
                <w:sz w:val="24"/>
                <w:szCs w:val="24"/>
              </w:rPr>
            </w:pPr>
            <w:r>
              <w:rPr>
                <w:rFonts w:hint="eastAsia" w:ascii="仿宋_GB2312" w:eastAsia="仿宋_GB2312"/>
                <w:b/>
                <w:bCs/>
                <w:kern w:val="0"/>
                <w:sz w:val="24"/>
                <w:szCs w:val="24"/>
              </w:rPr>
              <w:t>新</w:t>
            </w:r>
            <w:r>
              <w:rPr>
                <w:rFonts w:hint="eastAsia" w:ascii="仿宋_GB2312" w:eastAsia="仿宋_GB2312"/>
                <w:b/>
                <w:bCs/>
                <w:kern w:val="0"/>
                <w:sz w:val="24"/>
                <w:szCs w:val="24"/>
                <w:lang w:eastAsia="zh-CN"/>
              </w:rPr>
              <w:t>合约</w:t>
            </w:r>
            <w:r>
              <w:rPr>
                <w:rFonts w:hint="eastAsia" w:ascii="仿宋_GB2312" w:eastAsia="仿宋_GB2312"/>
                <w:b/>
                <w:bCs/>
                <w:kern w:val="0"/>
                <w:sz w:val="24"/>
                <w:szCs w:val="24"/>
              </w:rPr>
              <w:t>信息</w:t>
            </w:r>
          </w:p>
        </w:tc>
      </w:tr>
      <w:tr w14:paraId="5FC77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tcPr>
          <w:p w14:paraId="363AE4E5">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成交日</w:t>
            </w:r>
          </w:p>
        </w:tc>
        <w:tc>
          <w:tcPr>
            <w:tcW w:w="3493" w:type="pct"/>
          </w:tcPr>
          <w:p w14:paraId="64285DEC">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当前交易日，自动带出</w:t>
            </w:r>
          </w:p>
        </w:tc>
      </w:tr>
      <w:tr w14:paraId="37D2D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6" w:type="pct"/>
            <w:shd w:val="clear" w:color="auto" w:fill="auto"/>
            <w:vAlign w:val="top"/>
          </w:tcPr>
          <w:p w14:paraId="6B944A23">
            <w:pPr>
              <w:adjustRightInd w:val="0"/>
              <w:snapToGrid w:val="0"/>
              <w:rPr>
                <w:rFonts w:hint="eastAsia" w:ascii="仿宋_GB2312" w:hAnsi="Times New Roman" w:eastAsia="仿宋_GB2312" w:cs="Times New Roman"/>
                <w:b/>
                <w:kern w:val="0"/>
                <w:sz w:val="24"/>
                <w:szCs w:val="24"/>
                <w:lang w:val="en-US" w:eastAsia="zh-CN" w:bidi="ar-SA"/>
              </w:rPr>
            </w:pPr>
            <w:r>
              <w:rPr>
                <w:rFonts w:hint="eastAsia" w:ascii="仿宋_GB2312" w:eastAsia="仿宋_GB2312"/>
                <w:b/>
                <w:kern w:val="0"/>
                <w:sz w:val="24"/>
                <w:szCs w:val="24"/>
                <w:lang w:eastAsia="zh-CN"/>
              </w:rPr>
              <w:t>回购</w:t>
            </w:r>
            <w:r>
              <w:rPr>
                <w:rFonts w:hint="eastAsia" w:ascii="仿宋_GB2312" w:eastAsia="仿宋_GB2312"/>
                <w:b/>
                <w:kern w:val="0"/>
                <w:sz w:val="24"/>
                <w:szCs w:val="24"/>
              </w:rPr>
              <w:t>期限</w:t>
            </w:r>
          </w:p>
        </w:tc>
        <w:tc>
          <w:tcPr>
            <w:tcW w:w="3493" w:type="pct"/>
            <w:shd w:val="clear" w:color="auto" w:fill="auto"/>
            <w:vAlign w:val="top"/>
          </w:tcPr>
          <w:p w14:paraId="2D2881AE">
            <w:pPr>
              <w:adjustRightInd w:val="0"/>
              <w:snapToGrid w:val="0"/>
              <w:rPr>
                <w:rFonts w:hint="default" w:ascii="仿宋_GB2312" w:hAnsi="Times New Roman" w:eastAsia="仿宋_GB2312" w:cs="Times New Roman"/>
                <w:kern w:val="0"/>
                <w:sz w:val="24"/>
                <w:szCs w:val="24"/>
                <w:lang w:val="en-US" w:eastAsia="zh-CN" w:bidi="ar-SA"/>
              </w:rPr>
            </w:pPr>
            <w:r>
              <w:rPr>
                <w:rFonts w:hint="eastAsia" w:ascii="仿宋_GB2312" w:eastAsia="仿宋_GB2312"/>
                <w:kern w:val="0"/>
                <w:sz w:val="24"/>
                <w:szCs w:val="24"/>
                <w:lang w:eastAsia="zh-CN"/>
              </w:rPr>
              <w:t>单位：天，回购续做的期限，和回购到期日关联计算，期限</w:t>
            </w:r>
            <w:r>
              <w:rPr>
                <w:rFonts w:hint="eastAsia" w:ascii="仿宋_GB2312" w:eastAsia="仿宋_GB2312"/>
                <w:kern w:val="0"/>
                <w:sz w:val="24"/>
                <w:szCs w:val="24"/>
                <w:lang w:val="en-US" w:eastAsia="zh-CN"/>
              </w:rPr>
              <w:t>=回购到期日-成交日</w:t>
            </w:r>
          </w:p>
        </w:tc>
      </w:tr>
      <w:tr w14:paraId="22408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tcPr>
          <w:p w14:paraId="76D81EAE">
            <w:pPr>
              <w:adjustRightInd w:val="0"/>
              <w:snapToGrid w:val="0"/>
              <w:rPr>
                <w:rFonts w:ascii="仿宋_GB2312" w:eastAsia="仿宋_GB2312"/>
                <w:b/>
                <w:kern w:val="0"/>
                <w:sz w:val="24"/>
                <w:szCs w:val="24"/>
              </w:rPr>
            </w:pPr>
            <w:r>
              <w:rPr>
                <w:rFonts w:hint="eastAsia" w:ascii="仿宋_GB2312" w:eastAsia="仿宋_GB2312"/>
                <w:b/>
                <w:kern w:val="0"/>
                <w:sz w:val="24"/>
                <w:szCs w:val="24"/>
              </w:rPr>
              <w:t>回购到期日</w:t>
            </w:r>
          </w:p>
        </w:tc>
        <w:tc>
          <w:tcPr>
            <w:tcW w:w="3493" w:type="pct"/>
          </w:tcPr>
          <w:p w14:paraId="177A84BE">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回购续做的到期日，和回购期限关联计算，到期日</w:t>
            </w:r>
            <w:r>
              <w:rPr>
                <w:rFonts w:hint="eastAsia" w:ascii="仿宋_GB2312" w:eastAsia="仿宋_GB2312"/>
                <w:kern w:val="0"/>
                <w:sz w:val="24"/>
                <w:szCs w:val="24"/>
                <w:lang w:val="en-US" w:eastAsia="zh-CN"/>
              </w:rPr>
              <w:t>=回购期限+成交日</w:t>
            </w:r>
          </w:p>
        </w:tc>
      </w:tr>
      <w:tr w14:paraId="174C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tcPr>
          <w:p w14:paraId="4F3A78A7">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新回购</w:t>
            </w:r>
            <w:r>
              <w:rPr>
                <w:rFonts w:hint="eastAsia" w:ascii="仿宋_GB2312" w:eastAsia="仿宋_GB2312"/>
                <w:b/>
                <w:kern w:val="0"/>
                <w:sz w:val="24"/>
                <w:szCs w:val="24"/>
              </w:rPr>
              <w:t>到期结算日</w:t>
            </w:r>
          </w:p>
        </w:tc>
        <w:tc>
          <w:tcPr>
            <w:tcW w:w="3493" w:type="pct"/>
          </w:tcPr>
          <w:p w14:paraId="60C9EF7D">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val="en-US" w:eastAsia="zh-CN"/>
              </w:rPr>
              <w:t>续做的到期结算日</w:t>
            </w:r>
            <w:r>
              <w:rPr>
                <w:rFonts w:hint="eastAsia" w:ascii="仿宋_GB2312" w:eastAsia="仿宋_GB2312"/>
                <w:kern w:val="0"/>
                <w:sz w:val="24"/>
                <w:szCs w:val="24"/>
              </w:rPr>
              <w:t>，自动</w:t>
            </w:r>
            <w:r>
              <w:rPr>
                <w:rFonts w:hint="eastAsia" w:ascii="仿宋_GB2312" w:eastAsia="仿宋_GB2312"/>
                <w:kern w:val="0"/>
                <w:sz w:val="24"/>
                <w:szCs w:val="24"/>
                <w:lang w:eastAsia="zh-CN"/>
              </w:rPr>
              <w:t>带出</w:t>
            </w:r>
          </w:p>
        </w:tc>
      </w:tr>
      <w:tr w14:paraId="4ABF9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tcPr>
          <w:p w14:paraId="7BEC45F4">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新</w:t>
            </w:r>
            <w:r>
              <w:rPr>
                <w:rFonts w:hint="eastAsia" w:ascii="仿宋_GB2312" w:eastAsia="仿宋_GB2312"/>
                <w:b/>
                <w:kern w:val="0"/>
                <w:sz w:val="24"/>
                <w:szCs w:val="24"/>
              </w:rPr>
              <w:t>实际占款天数</w:t>
            </w:r>
          </w:p>
        </w:tc>
        <w:tc>
          <w:tcPr>
            <w:tcW w:w="3493" w:type="pct"/>
          </w:tcPr>
          <w:p w14:paraId="064D4520">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续做的实际占款天数</w:t>
            </w:r>
            <w:r>
              <w:rPr>
                <w:rFonts w:hint="eastAsia" w:ascii="仿宋_GB2312" w:eastAsia="仿宋_GB2312"/>
                <w:kern w:val="0"/>
                <w:sz w:val="24"/>
                <w:szCs w:val="24"/>
              </w:rPr>
              <w:t>，自动</w:t>
            </w:r>
            <w:r>
              <w:rPr>
                <w:rFonts w:hint="eastAsia" w:ascii="仿宋_GB2312" w:eastAsia="仿宋_GB2312"/>
                <w:kern w:val="0"/>
                <w:sz w:val="24"/>
                <w:szCs w:val="24"/>
                <w:lang w:eastAsia="zh-CN"/>
              </w:rPr>
              <w:t>带出</w:t>
            </w:r>
          </w:p>
        </w:tc>
      </w:tr>
      <w:tr w14:paraId="12FCE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6" w:type="pct"/>
          </w:tcPr>
          <w:p w14:paraId="43941F28">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新回购</w:t>
            </w:r>
            <w:r>
              <w:rPr>
                <w:rFonts w:hint="eastAsia" w:ascii="仿宋_GB2312" w:eastAsia="仿宋_GB2312"/>
                <w:b/>
                <w:kern w:val="0"/>
                <w:sz w:val="24"/>
                <w:szCs w:val="24"/>
              </w:rPr>
              <w:t>利率</w:t>
            </w:r>
          </w:p>
        </w:tc>
        <w:tc>
          <w:tcPr>
            <w:tcW w:w="3493" w:type="pct"/>
          </w:tcPr>
          <w:p w14:paraId="2158DFF4">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单位：</w:t>
            </w:r>
            <w:r>
              <w:rPr>
                <w:rFonts w:hint="eastAsia" w:ascii="仿宋_GB2312" w:eastAsia="仿宋_GB2312"/>
                <w:kern w:val="0"/>
                <w:sz w:val="24"/>
                <w:szCs w:val="24"/>
                <w:lang w:val="en-US" w:eastAsia="zh-CN"/>
              </w:rPr>
              <w:t>%，</w:t>
            </w:r>
            <w:r>
              <w:rPr>
                <w:rFonts w:hint="eastAsia" w:ascii="仿宋_GB2312" w:eastAsia="仿宋_GB2312"/>
                <w:kern w:val="0"/>
                <w:sz w:val="24"/>
                <w:szCs w:val="24"/>
                <w:lang w:eastAsia="zh-CN"/>
              </w:rPr>
              <w:t>默认带出原合约利率，可修改</w:t>
            </w:r>
          </w:p>
        </w:tc>
      </w:tr>
      <w:tr w14:paraId="3FCFC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tcPr>
          <w:p w14:paraId="7316D155">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成交</w:t>
            </w:r>
            <w:r>
              <w:rPr>
                <w:rFonts w:hint="eastAsia" w:ascii="仿宋_GB2312" w:eastAsia="仿宋_GB2312"/>
                <w:b/>
                <w:kern w:val="0"/>
                <w:sz w:val="24"/>
                <w:szCs w:val="24"/>
              </w:rPr>
              <w:t>金额</w:t>
            </w:r>
          </w:p>
        </w:tc>
        <w:tc>
          <w:tcPr>
            <w:tcW w:w="3493" w:type="pct"/>
          </w:tcPr>
          <w:p w14:paraId="4001E963">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val="en-US" w:eastAsia="zh-CN"/>
              </w:rPr>
              <w:t>单位：元，默认带出原合约成交金额，可修改</w:t>
            </w:r>
          </w:p>
        </w:tc>
      </w:tr>
      <w:tr w14:paraId="1022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tcPr>
          <w:p w14:paraId="297A26E4">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新预估回购</w:t>
            </w:r>
            <w:r>
              <w:rPr>
                <w:rFonts w:hint="eastAsia" w:ascii="仿宋_GB2312" w:eastAsia="仿宋_GB2312"/>
                <w:b/>
                <w:kern w:val="0"/>
                <w:sz w:val="24"/>
                <w:szCs w:val="24"/>
              </w:rPr>
              <w:t>利息</w:t>
            </w:r>
          </w:p>
        </w:tc>
        <w:tc>
          <w:tcPr>
            <w:tcW w:w="3493" w:type="pct"/>
          </w:tcPr>
          <w:p w14:paraId="706E64E8">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单位：元，回购利息=成交金额×回购利率×实际占款天数/365</w:t>
            </w:r>
            <w:r>
              <w:rPr>
                <w:rFonts w:hint="eastAsia" w:ascii="仿宋_GB2312" w:eastAsia="仿宋_GB2312"/>
                <w:kern w:val="0"/>
                <w:sz w:val="24"/>
                <w:szCs w:val="24"/>
              </w:rPr>
              <w:t>，自动</w:t>
            </w:r>
            <w:r>
              <w:rPr>
                <w:rFonts w:hint="eastAsia" w:ascii="仿宋_GB2312" w:eastAsia="仿宋_GB2312"/>
                <w:kern w:val="0"/>
                <w:sz w:val="24"/>
                <w:szCs w:val="24"/>
                <w:lang w:eastAsia="zh-CN"/>
              </w:rPr>
              <w:t>计算带出</w:t>
            </w:r>
          </w:p>
        </w:tc>
      </w:tr>
      <w:tr w14:paraId="2EF00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tcPr>
          <w:p w14:paraId="5B1C309D">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新预估</w:t>
            </w:r>
            <w:r>
              <w:rPr>
                <w:rFonts w:hint="eastAsia" w:ascii="仿宋_GB2312" w:eastAsia="仿宋_GB2312"/>
                <w:b/>
                <w:kern w:val="0"/>
                <w:sz w:val="24"/>
                <w:szCs w:val="24"/>
              </w:rPr>
              <w:t>到期结算金额</w:t>
            </w:r>
          </w:p>
        </w:tc>
        <w:tc>
          <w:tcPr>
            <w:tcW w:w="3493" w:type="pct"/>
          </w:tcPr>
          <w:p w14:paraId="17C195BA">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单位：元，到期结算金额=成交金额+回购利息，</w:t>
            </w:r>
            <w:r>
              <w:rPr>
                <w:rFonts w:hint="eastAsia" w:ascii="仿宋_GB2312" w:eastAsia="仿宋_GB2312"/>
                <w:kern w:val="0"/>
                <w:sz w:val="24"/>
                <w:szCs w:val="24"/>
              </w:rPr>
              <w:t>自动</w:t>
            </w:r>
            <w:r>
              <w:rPr>
                <w:rFonts w:hint="eastAsia" w:ascii="仿宋_GB2312" w:eastAsia="仿宋_GB2312"/>
                <w:kern w:val="0"/>
                <w:sz w:val="24"/>
                <w:szCs w:val="24"/>
                <w:lang w:eastAsia="zh-CN"/>
              </w:rPr>
              <w:t>计算带出</w:t>
            </w:r>
          </w:p>
        </w:tc>
      </w:tr>
      <w:tr w14:paraId="5092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6" w:type="pct"/>
          </w:tcPr>
          <w:p w14:paraId="74F1DB41">
            <w:pPr>
              <w:adjustRightInd w:val="0"/>
              <w:snapToGrid w:val="0"/>
              <w:rPr>
                <w:rFonts w:ascii="仿宋_GB2312" w:eastAsia="仿宋_GB2312"/>
                <w:b/>
                <w:kern w:val="0"/>
                <w:sz w:val="24"/>
                <w:szCs w:val="24"/>
              </w:rPr>
            </w:pPr>
            <w:r>
              <w:rPr>
                <w:rFonts w:hint="eastAsia" w:ascii="仿宋_GB2312" w:eastAsia="仿宋_GB2312"/>
                <w:b/>
                <w:kern w:val="0"/>
                <w:sz w:val="24"/>
                <w:szCs w:val="24"/>
              </w:rPr>
              <w:t>质押券篮子</w:t>
            </w:r>
          </w:p>
        </w:tc>
        <w:tc>
          <w:tcPr>
            <w:tcW w:w="3493" w:type="pct"/>
          </w:tcPr>
          <w:p w14:paraId="62DC8DED">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自动带出原合约信息</w:t>
            </w:r>
          </w:p>
        </w:tc>
      </w:tr>
      <w:tr w14:paraId="3573D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tcPr>
          <w:p w14:paraId="31318BBB">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highlight w:val="none"/>
              </w:rPr>
              <w:t>是否同意在违约情形下由质权方对该违约交易项下的质押券直接以拍卖、变卖等方式进行处置</w:t>
            </w:r>
          </w:p>
        </w:tc>
        <w:tc>
          <w:tcPr>
            <w:tcW w:w="3493" w:type="pct"/>
          </w:tcPr>
          <w:p w14:paraId="6D6C350C">
            <w:pPr>
              <w:adjustRightInd w:val="0"/>
              <w:snapToGrid w:val="0"/>
              <w:rPr>
                <w:rFonts w:hint="eastAsia" w:ascii="仿宋_GB2312" w:eastAsia="仿宋_GB2312"/>
                <w:kern w:val="0"/>
                <w:sz w:val="24"/>
                <w:szCs w:val="24"/>
              </w:rPr>
            </w:pPr>
            <w:r>
              <w:rPr>
                <w:rFonts w:hint="eastAsia" w:ascii="仿宋_GB2312" w:eastAsia="仿宋_GB2312"/>
                <w:kern w:val="0"/>
                <w:sz w:val="24"/>
                <w:szCs w:val="24"/>
                <w:lang w:eastAsia="zh-CN"/>
              </w:rPr>
              <w:t>自动带出原合约信息</w:t>
            </w:r>
          </w:p>
        </w:tc>
      </w:tr>
      <w:tr w14:paraId="1BA97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tcPr>
          <w:p w14:paraId="1F560674">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约定号</w:t>
            </w:r>
          </w:p>
        </w:tc>
        <w:tc>
          <w:tcPr>
            <w:tcW w:w="3493" w:type="pct"/>
          </w:tcPr>
          <w:p w14:paraId="23354050">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选填</w:t>
            </w:r>
          </w:p>
        </w:tc>
      </w:tr>
      <w:tr w14:paraId="3B0EF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tcPr>
          <w:p w14:paraId="277ACA41">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rPr>
              <w:t>补充约定</w:t>
            </w:r>
            <w:r>
              <w:rPr>
                <w:rFonts w:hint="eastAsia" w:ascii="仿宋_GB2312" w:eastAsia="仿宋_GB2312"/>
                <w:b/>
                <w:kern w:val="0"/>
                <w:sz w:val="24"/>
                <w:szCs w:val="24"/>
                <w:lang w:eastAsia="zh-CN"/>
              </w:rPr>
              <w:t>或备注</w:t>
            </w:r>
          </w:p>
        </w:tc>
        <w:tc>
          <w:tcPr>
            <w:tcW w:w="3493" w:type="pct"/>
          </w:tcPr>
          <w:p w14:paraId="0034D6ED">
            <w:pPr>
              <w:adjustRightInd w:val="0"/>
              <w:snapToGrid w:val="0"/>
              <w:rPr>
                <w:rFonts w:ascii="仿宋_GB2312" w:eastAsia="仿宋_GB2312"/>
                <w:kern w:val="0"/>
                <w:sz w:val="24"/>
                <w:szCs w:val="24"/>
              </w:rPr>
            </w:pPr>
            <w:r>
              <w:rPr>
                <w:rFonts w:hint="eastAsia" w:ascii="仿宋_GB2312" w:eastAsia="仿宋_GB2312"/>
                <w:kern w:val="0"/>
                <w:sz w:val="24"/>
                <w:szCs w:val="24"/>
              </w:rPr>
              <w:t>交易双方的补充约定</w:t>
            </w:r>
          </w:p>
        </w:tc>
      </w:tr>
      <w:tr w14:paraId="28995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2"/>
          </w:tcPr>
          <w:p w14:paraId="57CCFB1F">
            <w:pPr>
              <w:adjustRightInd w:val="0"/>
              <w:snapToGrid w:val="0"/>
              <w:jc w:val="center"/>
              <w:rPr>
                <w:rFonts w:ascii="仿宋_GB2312" w:eastAsia="仿宋_GB2312"/>
                <w:b/>
                <w:bCs/>
                <w:kern w:val="0"/>
                <w:sz w:val="24"/>
                <w:szCs w:val="24"/>
              </w:rPr>
            </w:pPr>
            <w:r>
              <w:rPr>
                <w:rFonts w:hint="eastAsia" w:ascii="仿宋_GB2312" w:eastAsia="仿宋_GB2312"/>
                <w:b/>
                <w:bCs/>
                <w:kern w:val="0"/>
                <w:sz w:val="24"/>
                <w:szCs w:val="24"/>
              </w:rPr>
              <w:t>原</w:t>
            </w:r>
            <w:r>
              <w:rPr>
                <w:rFonts w:hint="eastAsia" w:ascii="仿宋_GB2312" w:eastAsia="仿宋_GB2312"/>
                <w:b/>
                <w:bCs/>
                <w:kern w:val="0"/>
                <w:sz w:val="24"/>
                <w:szCs w:val="24"/>
                <w:lang w:eastAsia="zh-CN"/>
              </w:rPr>
              <w:t>合约</w:t>
            </w:r>
            <w:r>
              <w:rPr>
                <w:rFonts w:hint="eastAsia" w:ascii="仿宋_GB2312" w:eastAsia="仿宋_GB2312"/>
                <w:b/>
                <w:bCs/>
                <w:kern w:val="0"/>
                <w:sz w:val="24"/>
                <w:szCs w:val="24"/>
              </w:rPr>
              <w:t>信息</w:t>
            </w:r>
          </w:p>
        </w:tc>
      </w:tr>
      <w:tr w14:paraId="38509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tcPr>
          <w:p w14:paraId="5FCED72A">
            <w:pPr>
              <w:adjustRightInd w:val="0"/>
              <w:snapToGrid w:val="0"/>
              <w:rPr>
                <w:rFonts w:ascii="仿宋_GB2312" w:eastAsia="仿宋_GB2312"/>
                <w:b/>
                <w:kern w:val="0"/>
                <w:sz w:val="24"/>
                <w:szCs w:val="24"/>
              </w:rPr>
            </w:pPr>
            <w:r>
              <w:rPr>
                <w:rFonts w:hint="eastAsia" w:ascii="仿宋_GB2312" w:eastAsia="仿宋_GB2312"/>
                <w:b/>
                <w:kern w:val="0"/>
                <w:sz w:val="24"/>
                <w:szCs w:val="24"/>
              </w:rPr>
              <w:t>原成交编号</w:t>
            </w:r>
          </w:p>
        </w:tc>
        <w:tc>
          <w:tcPr>
            <w:tcW w:w="3493" w:type="pct"/>
          </w:tcPr>
          <w:p w14:paraId="28BFC1D8">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自动带出</w:t>
            </w:r>
          </w:p>
        </w:tc>
      </w:tr>
      <w:tr w14:paraId="5FB97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tcPr>
          <w:p w14:paraId="214C10FE">
            <w:pPr>
              <w:adjustRightInd w:val="0"/>
              <w:snapToGrid w:val="0"/>
              <w:rPr>
                <w:rFonts w:ascii="仿宋_GB2312" w:eastAsia="仿宋_GB2312"/>
                <w:b/>
                <w:kern w:val="0"/>
                <w:sz w:val="24"/>
                <w:szCs w:val="24"/>
              </w:rPr>
            </w:pPr>
            <w:r>
              <w:rPr>
                <w:rFonts w:hint="eastAsia" w:ascii="仿宋_GB2312" w:eastAsia="仿宋_GB2312"/>
                <w:b/>
                <w:kern w:val="0"/>
                <w:sz w:val="24"/>
                <w:szCs w:val="24"/>
              </w:rPr>
              <w:t>原回购到期日</w:t>
            </w:r>
          </w:p>
        </w:tc>
        <w:tc>
          <w:tcPr>
            <w:tcW w:w="3493" w:type="pct"/>
          </w:tcPr>
          <w:p w14:paraId="393159E0">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自动带出</w:t>
            </w:r>
          </w:p>
        </w:tc>
      </w:tr>
      <w:tr w14:paraId="31D85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tcPr>
          <w:p w14:paraId="3987272B">
            <w:pPr>
              <w:adjustRightInd w:val="0"/>
              <w:snapToGrid w:val="0"/>
              <w:rPr>
                <w:rFonts w:ascii="仿宋_GB2312" w:eastAsia="仿宋_GB2312"/>
                <w:b/>
                <w:kern w:val="0"/>
                <w:sz w:val="24"/>
                <w:szCs w:val="24"/>
              </w:rPr>
            </w:pPr>
            <w:r>
              <w:rPr>
                <w:rFonts w:hint="eastAsia" w:ascii="仿宋_GB2312" w:eastAsia="仿宋_GB2312"/>
                <w:b/>
                <w:kern w:val="0"/>
                <w:sz w:val="24"/>
                <w:szCs w:val="24"/>
              </w:rPr>
              <w:t>原到期结算日</w:t>
            </w:r>
          </w:p>
        </w:tc>
        <w:tc>
          <w:tcPr>
            <w:tcW w:w="3493" w:type="pct"/>
          </w:tcPr>
          <w:p w14:paraId="190DA04B">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自动带出</w:t>
            </w:r>
          </w:p>
        </w:tc>
      </w:tr>
      <w:tr w14:paraId="5690C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6" w:type="pct"/>
          </w:tcPr>
          <w:p w14:paraId="111575BD">
            <w:pPr>
              <w:adjustRightInd w:val="0"/>
              <w:snapToGrid w:val="0"/>
              <w:rPr>
                <w:rFonts w:ascii="仿宋_GB2312" w:eastAsia="仿宋_GB2312"/>
                <w:b/>
                <w:kern w:val="0"/>
                <w:sz w:val="24"/>
                <w:szCs w:val="24"/>
              </w:rPr>
            </w:pPr>
            <w:r>
              <w:rPr>
                <w:rFonts w:hint="eastAsia" w:ascii="仿宋_GB2312" w:eastAsia="仿宋_GB2312"/>
                <w:b/>
                <w:kern w:val="0"/>
                <w:sz w:val="24"/>
                <w:szCs w:val="24"/>
              </w:rPr>
              <w:t>原回购利息</w:t>
            </w:r>
          </w:p>
        </w:tc>
        <w:tc>
          <w:tcPr>
            <w:tcW w:w="3493" w:type="pct"/>
          </w:tcPr>
          <w:p w14:paraId="665B2F98">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自动带出</w:t>
            </w:r>
          </w:p>
        </w:tc>
      </w:tr>
      <w:tr w14:paraId="3B93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tcPr>
          <w:p w14:paraId="52D86391">
            <w:pPr>
              <w:adjustRightInd w:val="0"/>
              <w:snapToGrid w:val="0"/>
              <w:rPr>
                <w:rFonts w:ascii="仿宋_GB2312" w:eastAsia="仿宋_GB2312"/>
                <w:b/>
                <w:kern w:val="0"/>
                <w:sz w:val="24"/>
                <w:szCs w:val="24"/>
              </w:rPr>
            </w:pPr>
            <w:r>
              <w:rPr>
                <w:rFonts w:hint="eastAsia" w:ascii="仿宋_GB2312" w:eastAsia="仿宋_GB2312"/>
                <w:b/>
                <w:kern w:val="0"/>
                <w:sz w:val="24"/>
                <w:szCs w:val="24"/>
              </w:rPr>
              <w:t>原</w:t>
            </w:r>
            <w:r>
              <w:rPr>
                <w:rFonts w:hint="eastAsia" w:ascii="仿宋_GB2312" w:eastAsia="仿宋_GB2312"/>
                <w:b/>
                <w:kern w:val="0"/>
                <w:sz w:val="24"/>
                <w:szCs w:val="24"/>
                <w:lang w:eastAsia="zh-CN"/>
              </w:rPr>
              <w:t>回购</w:t>
            </w:r>
            <w:r>
              <w:rPr>
                <w:rFonts w:hint="eastAsia" w:ascii="仿宋_GB2312" w:eastAsia="仿宋_GB2312"/>
                <w:b/>
                <w:kern w:val="0"/>
                <w:sz w:val="24"/>
                <w:szCs w:val="24"/>
              </w:rPr>
              <w:t>到期结算金额</w:t>
            </w:r>
          </w:p>
        </w:tc>
        <w:tc>
          <w:tcPr>
            <w:tcW w:w="3493" w:type="pct"/>
          </w:tcPr>
          <w:p w14:paraId="43EB93BA">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自动带出</w:t>
            </w:r>
          </w:p>
        </w:tc>
      </w:tr>
      <w:tr w14:paraId="4559D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2"/>
            <w:vAlign w:val="center"/>
          </w:tcPr>
          <w:p w14:paraId="1EC0D717">
            <w:pPr>
              <w:adjustRightInd/>
              <w:snapToGrid/>
              <w:jc w:val="center"/>
              <w:rPr>
                <w:rFonts w:ascii="仿宋_GB2312" w:eastAsia="仿宋_GB2312"/>
                <w:kern w:val="0"/>
                <w:sz w:val="24"/>
                <w:szCs w:val="24"/>
              </w:rPr>
            </w:pPr>
            <w:r>
              <w:rPr>
                <w:rFonts w:hint="eastAsia" w:ascii="仿宋_GB2312" w:eastAsia="仿宋_GB2312"/>
                <w:b/>
                <w:kern w:val="0"/>
                <w:sz w:val="24"/>
                <w:szCs w:val="24"/>
                <w:lang w:eastAsia="zh-CN"/>
              </w:rPr>
              <w:t>交易方基本信息</w:t>
            </w:r>
          </w:p>
        </w:tc>
      </w:tr>
      <w:tr w14:paraId="2B826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tcPr>
          <w:p w14:paraId="78872273">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本方</w:t>
            </w:r>
            <w:r>
              <w:rPr>
                <w:rFonts w:hint="eastAsia" w:ascii="仿宋_GB2312" w:eastAsia="仿宋_GB2312"/>
                <w:b/>
                <w:kern w:val="0"/>
                <w:sz w:val="24"/>
                <w:szCs w:val="24"/>
              </w:rPr>
              <w:t>方向</w:t>
            </w:r>
          </w:p>
        </w:tc>
        <w:tc>
          <w:tcPr>
            <w:tcW w:w="3493" w:type="pct"/>
          </w:tcPr>
          <w:p w14:paraId="45C72E90">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正回购</w:t>
            </w:r>
            <w:r>
              <w:rPr>
                <w:rFonts w:hint="eastAsia" w:ascii="仿宋_GB2312" w:eastAsia="仿宋_GB2312"/>
                <w:kern w:val="0"/>
                <w:sz w:val="24"/>
                <w:szCs w:val="24"/>
                <w:lang w:eastAsia="zh-CN"/>
              </w:rPr>
              <w:t>，自动带出，只能由正回购方发起</w:t>
            </w:r>
          </w:p>
        </w:tc>
      </w:tr>
      <w:tr w14:paraId="57951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6" w:type="pct"/>
          </w:tcPr>
          <w:p w14:paraId="0F3BE24C">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正回购方</w:t>
            </w:r>
          </w:p>
        </w:tc>
        <w:tc>
          <w:tcPr>
            <w:tcW w:w="3493" w:type="pct"/>
          </w:tcPr>
          <w:p w14:paraId="11ECB953">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本方</w:t>
            </w:r>
            <w:r>
              <w:rPr>
                <w:rFonts w:hint="eastAsia" w:ascii="仿宋_GB2312" w:eastAsia="仿宋_GB2312"/>
                <w:kern w:val="0"/>
                <w:sz w:val="24"/>
                <w:szCs w:val="24"/>
              </w:rPr>
              <w:t>债券交易参与人</w:t>
            </w:r>
            <w:r>
              <w:rPr>
                <w:rFonts w:hint="eastAsia" w:ascii="仿宋_GB2312" w:eastAsia="仿宋_GB2312"/>
                <w:kern w:val="0"/>
                <w:sz w:val="24"/>
                <w:szCs w:val="24"/>
                <w:lang w:eastAsia="zh-CN"/>
              </w:rPr>
              <w:t>简称</w:t>
            </w:r>
            <w:r>
              <w:rPr>
                <w:rFonts w:hint="eastAsia" w:ascii="仿宋_GB2312" w:eastAsia="仿宋_GB2312"/>
                <w:kern w:val="0"/>
                <w:sz w:val="24"/>
                <w:szCs w:val="24"/>
              </w:rPr>
              <w:t>，自动</w:t>
            </w:r>
            <w:r>
              <w:rPr>
                <w:rFonts w:hint="eastAsia" w:ascii="仿宋_GB2312" w:eastAsia="仿宋_GB2312"/>
                <w:kern w:val="0"/>
                <w:sz w:val="24"/>
                <w:szCs w:val="24"/>
                <w:lang w:eastAsia="zh-CN"/>
              </w:rPr>
              <w:t>带出</w:t>
            </w:r>
          </w:p>
        </w:tc>
      </w:tr>
      <w:tr w14:paraId="7D87D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tcPr>
          <w:p w14:paraId="5D4F979C">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正回购方一债通账户</w:t>
            </w:r>
          </w:p>
        </w:tc>
        <w:tc>
          <w:tcPr>
            <w:tcW w:w="3493" w:type="pct"/>
          </w:tcPr>
          <w:p w14:paraId="64711428">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本方</w:t>
            </w:r>
            <w:r>
              <w:rPr>
                <w:rFonts w:hint="eastAsia" w:ascii="仿宋_GB2312" w:eastAsia="仿宋_GB2312"/>
                <w:kern w:val="0"/>
                <w:sz w:val="24"/>
                <w:szCs w:val="24"/>
              </w:rPr>
              <w:t>交易员</w:t>
            </w:r>
            <w:r>
              <w:rPr>
                <w:rFonts w:hint="eastAsia" w:ascii="仿宋_GB2312" w:eastAsia="仿宋_GB2312"/>
                <w:b w:val="0"/>
                <w:bCs/>
                <w:kern w:val="0"/>
                <w:sz w:val="24"/>
                <w:szCs w:val="24"/>
                <w:lang w:eastAsia="zh-CN"/>
              </w:rPr>
              <w:t>一债通账户</w:t>
            </w:r>
            <w:r>
              <w:rPr>
                <w:rFonts w:hint="eastAsia" w:ascii="仿宋_GB2312" w:eastAsia="仿宋_GB2312"/>
                <w:kern w:val="0"/>
                <w:sz w:val="24"/>
                <w:szCs w:val="24"/>
                <w:lang w:eastAsia="zh-CN"/>
              </w:rPr>
              <w:t>号</w:t>
            </w:r>
            <w:r>
              <w:rPr>
                <w:rFonts w:hint="eastAsia" w:ascii="仿宋_GB2312" w:eastAsia="仿宋_GB2312"/>
                <w:kern w:val="0"/>
                <w:sz w:val="24"/>
                <w:szCs w:val="24"/>
              </w:rPr>
              <w:t>，自动</w:t>
            </w:r>
            <w:r>
              <w:rPr>
                <w:rFonts w:hint="eastAsia" w:ascii="仿宋_GB2312" w:eastAsia="仿宋_GB2312"/>
                <w:kern w:val="0"/>
                <w:sz w:val="24"/>
                <w:szCs w:val="24"/>
                <w:lang w:eastAsia="zh-CN"/>
              </w:rPr>
              <w:t>带出</w:t>
            </w:r>
          </w:p>
        </w:tc>
      </w:tr>
      <w:tr w14:paraId="6175C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tcPr>
          <w:p w14:paraId="65CD6B86">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正回购方</w:t>
            </w:r>
            <w:r>
              <w:rPr>
                <w:rFonts w:hint="eastAsia" w:ascii="仿宋_GB2312" w:eastAsia="仿宋_GB2312"/>
                <w:b/>
                <w:kern w:val="0"/>
                <w:sz w:val="24"/>
                <w:szCs w:val="24"/>
              </w:rPr>
              <w:t>交易员</w:t>
            </w:r>
          </w:p>
        </w:tc>
        <w:tc>
          <w:tcPr>
            <w:tcW w:w="3493" w:type="pct"/>
          </w:tcPr>
          <w:p w14:paraId="5FD78749">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本方</w:t>
            </w:r>
            <w:r>
              <w:rPr>
                <w:rFonts w:hint="eastAsia" w:ascii="仿宋_GB2312" w:eastAsia="仿宋_GB2312"/>
                <w:kern w:val="0"/>
                <w:sz w:val="24"/>
                <w:szCs w:val="24"/>
              </w:rPr>
              <w:t>交易员名称，自动</w:t>
            </w:r>
            <w:r>
              <w:rPr>
                <w:rFonts w:hint="eastAsia" w:ascii="仿宋_GB2312" w:eastAsia="仿宋_GB2312"/>
                <w:kern w:val="0"/>
                <w:sz w:val="24"/>
                <w:szCs w:val="24"/>
                <w:lang w:eastAsia="zh-CN"/>
              </w:rPr>
              <w:t>带出</w:t>
            </w:r>
          </w:p>
        </w:tc>
      </w:tr>
      <w:tr w14:paraId="0E0CC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tcPr>
          <w:p w14:paraId="0BDBB91A">
            <w:pPr>
              <w:adjustRightInd w:val="0"/>
              <w:snapToGrid w:val="0"/>
              <w:rPr>
                <w:rFonts w:ascii="仿宋_GB2312" w:eastAsia="仿宋_GB2312"/>
                <w:b/>
                <w:kern w:val="0"/>
                <w:sz w:val="24"/>
                <w:szCs w:val="24"/>
              </w:rPr>
            </w:pPr>
            <w:r>
              <w:rPr>
                <w:rFonts w:hint="eastAsia" w:ascii="仿宋_GB2312" w:eastAsia="仿宋_GB2312"/>
                <w:b/>
                <w:kern w:val="0"/>
                <w:sz w:val="24"/>
                <w:szCs w:val="24"/>
              </w:rPr>
              <w:t>专用账户</w:t>
            </w:r>
          </w:p>
        </w:tc>
        <w:tc>
          <w:tcPr>
            <w:tcW w:w="3493" w:type="pct"/>
          </w:tcPr>
          <w:p w14:paraId="11AD4B08">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正回购方</w:t>
            </w:r>
            <w:r>
              <w:rPr>
                <w:rFonts w:hint="eastAsia" w:ascii="仿宋_GB2312" w:eastAsia="仿宋_GB2312"/>
                <w:kern w:val="0"/>
                <w:sz w:val="24"/>
                <w:szCs w:val="24"/>
                <w:lang w:eastAsia="zh-CN"/>
              </w:rPr>
              <w:t>三方回购专户号码</w:t>
            </w:r>
            <w:r>
              <w:rPr>
                <w:rFonts w:hint="eastAsia" w:ascii="仿宋_GB2312" w:eastAsia="仿宋_GB2312"/>
                <w:kern w:val="0"/>
                <w:sz w:val="24"/>
                <w:szCs w:val="24"/>
              </w:rPr>
              <w:t>，自动</w:t>
            </w:r>
            <w:r>
              <w:rPr>
                <w:rFonts w:hint="eastAsia" w:ascii="仿宋_GB2312" w:eastAsia="仿宋_GB2312"/>
                <w:kern w:val="0"/>
                <w:sz w:val="24"/>
                <w:szCs w:val="24"/>
                <w:lang w:eastAsia="zh-CN"/>
              </w:rPr>
              <w:t>带出</w:t>
            </w:r>
          </w:p>
        </w:tc>
      </w:tr>
      <w:tr w14:paraId="5527B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6" w:type="pct"/>
          </w:tcPr>
          <w:p w14:paraId="771DF84E">
            <w:pPr>
              <w:adjustRightInd w:val="0"/>
              <w:snapToGrid w:val="0"/>
              <w:rPr>
                <w:rFonts w:ascii="仿宋_GB2312" w:eastAsia="仿宋_GB2312"/>
                <w:b/>
                <w:kern w:val="0"/>
                <w:sz w:val="24"/>
                <w:szCs w:val="24"/>
              </w:rPr>
            </w:pPr>
            <w:r>
              <w:rPr>
                <w:rFonts w:hint="eastAsia" w:ascii="仿宋_GB2312" w:eastAsia="仿宋_GB2312"/>
                <w:b/>
                <w:kern w:val="0"/>
                <w:sz w:val="24"/>
                <w:szCs w:val="24"/>
              </w:rPr>
              <w:t>专用账户名称</w:t>
            </w:r>
          </w:p>
        </w:tc>
        <w:tc>
          <w:tcPr>
            <w:tcW w:w="3493" w:type="pct"/>
          </w:tcPr>
          <w:p w14:paraId="22D4B0F5">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正回购方</w:t>
            </w:r>
            <w:r>
              <w:rPr>
                <w:rFonts w:hint="eastAsia" w:ascii="仿宋_GB2312" w:eastAsia="仿宋_GB2312"/>
                <w:kern w:val="0"/>
                <w:sz w:val="24"/>
                <w:szCs w:val="24"/>
                <w:lang w:eastAsia="zh-CN"/>
              </w:rPr>
              <w:t>三方回购专户的</w:t>
            </w:r>
            <w:r>
              <w:rPr>
                <w:rFonts w:hint="eastAsia" w:ascii="仿宋_GB2312" w:eastAsia="仿宋_GB2312"/>
                <w:kern w:val="0"/>
                <w:sz w:val="24"/>
                <w:szCs w:val="24"/>
              </w:rPr>
              <w:t>名称，自动</w:t>
            </w:r>
            <w:r>
              <w:rPr>
                <w:rFonts w:hint="eastAsia" w:ascii="仿宋_GB2312" w:eastAsia="仿宋_GB2312"/>
                <w:kern w:val="0"/>
                <w:sz w:val="24"/>
                <w:szCs w:val="24"/>
                <w:lang w:eastAsia="zh-CN"/>
              </w:rPr>
              <w:t>带出</w:t>
            </w:r>
          </w:p>
        </w:tc>
      </w:tr>
      <w:tr w14:paraId="16D5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tcPr>
          <w:p w14:paraId="25862594">
            <w:pPr>
              <w:adjustRightInd w:val="0"/>
              <w:snapToGrid w:val="0"/>
              <w:rPr>
                <w:rFonts w:ascii="仿宋_GB2312" w:eastAsia="仿宋_GB2312"/>
                <w:b/>
                <w:kern w:val="0"/>
                <w:sz w:val="24"/>
                <w:szCs w:val="24"/>
              </w:rPr>
            </w:pPr>
            <w:r>
              <w:rPr>
                <w:rFonts w:hint="eastAsia" w:ascii="仿宋_GB2312" w:eastAsia="仿宋_GB2312"/>
                <w:b/>
                <w:kern w:val="0"/>
                <w:sz w:val="24"/>
                <w:szCs w:val="24"/>
              </w:rPr>
              <w:t>专用账户交易单元</w:t>
            </w:r>
          </w:p>
        </w:tc>
        <w:tc>
          <w:tcPr>
            <w:tcW w:w="3493" w:type="pct"/>
          </w:tcPr>
          <w:p w14:paraId="00592029">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正回购方</w:t>
            </w:r>
            <w:r>
              <w:rPr>
                <w:rFonts w:hint="eastAsia" w:ascii="仿宋_GB2312" w:eastAsia="仿宋_GB2312"/>
                <w:kern w:val="0"/>
                <w:sz w:val="24"/>
                <w:szCs w:val="24"/>
                <w:lang w:eastAsia="zh-CN"/>
              </w:rPr>
              <w:t>三方回购专户</w:t>
            </w:r>
            <w:r>
              <w:rPr>
                <w:rFonts w:hint="eastAsia" w:ascii="仿宋_GB2312" w:eastAsia="仿宋_GB2312"/>
                <w:kern w:val="0"/>
                <w:sz w:val="24"/>
                <w:szCs w:val="24"/>
              </w:rPr>
              <w:t>的指定交易单元号，自动</w:t>
            </w:r>
            <w:r>
              <w:rPr>
                <w:rFonts w:hint="eastAsia" w:ascii="仿宋_GB2312" w:eastAsia="仿宋_GB2312"/>
                <w:kern w:val="0"/>
                <w:sz w:val="24"/>
                <w:szCs w:val="24"/>
                <w:lang w:eastAsia="zh-CN"/>
              </w:rPr>
              <w:t>带出</w:t>
            </w:r>
          </w:p>
        </w:tc>
      </w:tr>
      <w:tr w14:paraId="31AD3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tcPr>
          <w:p w14:paraId="00DE3699">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正回购方</w:t>
            </w:r>
            <w:r>
              <w:rPr>
                <w:rFonts w:hint="eastAsia" w:ascii="仿宋_GB2312" w:eastAsia="仿宋_GB2312"/>
                <w:b/>
                <w:kern w:val="0"/>
                <w:sz w:val="24"/>
                <w:szCs w:val="24"/>
              </w:rPr>
              <w:t>投资者名称</w:t>
            </w:r>
          </w:p>
        </w:tc>
        <w:tc>
          <w:tcPr>
            <w:tcW w:w="3493" w:type="pct"/>
          </w:tcPr>
          <w:p w14:paraId="75DF1746">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本方</w:t>
            </w:r>
            <w:r>
              <w:rPr>
                <w:rFonts w:hint="eastAsia" w:ascii="仿宋_GB2312" w:eastAsia="仿宋_GB2312"/>
                <w:kern w:val="0"/>
                <w:sz w:val="24"/>
                <w:szCs w:val="24"/>
              </w:rPr>
              <w:t>投资者名称，自动</w:t>
            </w:r>
            <w:r>
              <w:rPr>
                <w:rFonts w:hint="eastAsia" w:ascii="仿宋_GB2312" w:eastAsia="仿宋_GB2312"/>
                <w:kern w:val="0"/>
                <w:sz w:val="24"/>
                <w:szCs w:val="24"/>
                <w:lang w:eastAsia="zh-CN"/>
              </w:rPr>
              <w:t>带出</w:t>
            </w:r>
          </w:p>
        </w:tc>
      </w:tr>
      <w:tr w14:paraId="36340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tcPr>
          <w:p w14:paraId="6430A7CB">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正回购方</w:t>
            </w:r>
            <w:r>
              <w:rPr>
                <w:rFonts w:hint="eastAsia" w:ascii="仿宋_GB2312" w:eastAsia="仿宋_GB2312"/>
                <w:b/>
                <w:kern w:val="0"/>
                <w:sz w:val="24"/>
                <w:szCs w:val="24"/>
              </w:rPr>
              <w:t>产品委托人</w:t>
            </w:r>
          </w:p>
        </w:tc>
        <w:tc>
          <w:tcPr>
            <w:tcW w:w="3493" w:type="pct"/>
          </w:tcPr>
          <w:p w14:paraId="13B51604">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本方</w:t>
            </w:r>
            <w:r>
              <w:rPr>
                <w:rFonts w:hint="eastAsia" w:ascii="仿宋_GB2312" w:eastAsia="仿宋_GB2312"/>
                <w:kern w:val="0"/>
                <w:sz w:val="24"/>
                <w:szCs w:val="24"/>
              </w:rPr>
              <w:t>产品委托人名称，自动</w:t>
            </w:r>
            <w:r>
              <w:rPr>
                <w:rFonts w:hint="eastAsia" w:ascii="仿宋_GB2312" w:eastAsia="仿宋_GB2312"/>
                <w:kern w:val="0"/>
                <w:sz w:val="24"/>
                <w:szCs w:val="24"/>
                <w:lang w:eastAsia="zh-CN"/>
              </w:rPr>
              <w:t>带出</w:t>
            </w:r>
          </w:p>
        </w:tc>
      </w:tr>
      <w:tr w14:paraId="12931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6" w:type="pct"/>
          </w:tcPr>
          <w:p w14:paraId="02BC144F">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逆回购方</w:t>
            </w:r>
          </w:p>
        </w:tc>
        <w:tc>
          <w:tcPr>
            <w:tcW w:w="3493" w:type="pct"/>
          </w:tcPr>
          <w:p w14:paraId="58EA4E48">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对手方债券交易参与人</w:t>
            </w:r>
            <w:r>
              <w:rPr>
                <w:rFonts w:hint="eastAsia" w:ascii="仿宋_GB2312" w:eastAsia="仿宋_GB2312"/>
                <w:kern w:val="0"/>
                <w:sz w:val="24"/>
                <w:szCs w:val="24"/>
                <w:lang w:eastAsia="zh-CN"/>
              </w:rPr>
              <w:t>简</w:t>
            </w:r>
            <w:r>
              <w:rPr>
                <w:rFonts w:hint="eastAsia" w:ascii="仿宋_GB2312" w:eastAsia="仿宋_GB2312"/>
                <w:kern w:val="0"/>
                <w:sz w:val="24"/>
                <w:szCs w:val="24"/>
              </w:rPr>
              <w:t>称，自动</w:t>
            </w:r>
            <w:r>
              <w:rPr>
                <w:rFonts w:hint="eastAsia" w:ascii="仿宋_GB2312" w:eastAsia="仿宋_GB2312"/>
                <w:kern w:val="0"/>
                <w:sz w:val="24"/>
                <w:szCs w:val="24"/>
                <w:lang w:eastAsia="zh-CN"/>
              </w:rPr>
              <w:t>带出</w:t>
            </w:r>
          </w:p>
        </w:tc>
      </w:tr>
      <w:tr w14:paraId="0BFA6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tcPr>
          <w:p w14:paraId="53E2C2A6">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逆回购方一债通账户</w:t>
            </w:r>
          </w:p>
        </w:tc>
        <w:tc>
          <w:tcPr>
            <w:tcW w:w="3493" w:type="pct"/>
          </w:tcPr>
          <w:p w14:paraId="40DAB482">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自动带出</w:t>
            </w:r>
            <w:r>
              <w:rPr>
                <w:rFonts w:hint="eastAsia" w:ascii="仿宋_GB2312" w:eastAsia="仿宋_GB2312"/>
                <w:kern w:val="0"/>
                <w:sz w:val="24"/>
                <w:szCs w:val="24"/>
              </w:rPr>
              <w:t>原</w:t>
            </w:r>
            <w:r>
              <w:rPr>
                <w:rFonts w:hint="eastAsia" w:ascii="仿宋_GB2312" w:eastAsia="仿宋_GB2312"/>
                <w:kern w:val="0"/>
                <w:sz w:val="24"/>
                <w:szCs w:val="24"/>
                <w:lang w:eastAsia="zh-CN"/>
              </w:rPr>
              <w:t>合约</w:t>
            </w:r>
            <w:r>
              <w:rPr>
                <w:rFonts w:hint="eastAsia" w:ascii="仿宋_GB2312" w:eastAsia="仿宋_GB2312"/>
                <w:kern w:val="0"/>
                <w:sz w:val="24"/>
                <w:szCs w:val="24"/>
              </w:rPr>
              <w:t>对手方交易员</w:t>
            </w:r>
            <w:r>
              <w:rPr>
                <w:rFonts w:hint="eastAsia" w:ascii="仿宋_GB2312" w:eastAsia="仿宋_GB2312"/>
                <w:b w:val="0"/>
                <w:bCs/>
                <w:kern w:val="0"/>
                <w:sz w:val="24"/>
                <w:szCs w:val="24"/>
                <w:lang w:eastAsia="zh-CN"/>
              </w:rPr>
              <w:t>一债通账户</w:t>
            </w:r>
            <w:r>
              <w:rPr>
                <w:rFonts w:hint="eastAsia" w:ascii="仿宋_GB2312" w:eastAsia="仿宋_GB2312"/>
                <w:kern w:val="0"/>
                <w:sz w:val="24"/>
                <w:szCs w:val="24"/>
                <w:lang w:eastAsia="zh-CN"/>
              </w:rPr>
              <w:t>号，可</w:t>
            </w:r>
            <w:r>
              <w:rPr>
                <w:rFonts w:hint="eastAsia" w:ascii="仿宋_GB2312" w:eastAsia="仿宋_GB2312"/>
                <w:kern w:val="0"/>
                <w:sz w:val="24"/>
                <w:szCs w:val="24"/>
              </w:rPr>
              <w:t>修改为同一债券交易参与人下的其他首席交易员</w:t>
            </w:r>
            <w:r>
              <w:rPr>
                <w:rFonts w:hint="eastAsia" w:ascii="仿宋_GB2312" w:eastAsia="仿宋_GB2312"/>
                <w:kern w:val="0"/>
                <w:sz w:val="24"/>
                <w:szCs w:val="24"/>
                <w:lang w:eastAsia="zh-CN"/>
              </w:rPr>
              <w:t>一债通账户</w:t>
            </w:r>
          </w:p>
        </w:tc>
      </w:tr>
      <w:tr w14:paraId="3A158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tcPr>
          <w:p w14:paraId="0C580CCA">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逆回购</w:t>
            </w:r>
            <w:r>
              <w:rPr>
                <w:rFonts w:hint="eastAsia" w:ascii="仿宋_GB2312" w:eastAsia="仿宋_GB2312"/>
                <w:b/>
                <w:kern w:val="0"/>
                <w:sz w:val="24"/>
                <w:szCs w:val="24"/>
              </w:rPr>
              <w:t>方交易员</w:t>
            </w:r>
          </w:p>
        </w:tc>
        <w:tc>
          <w:tcPr>
            <w:tcW w:w="3493" w:type="pct"/>
          </w:tcPr>
          <w:p w14:paraId="0174A544">
            <w:pPr>
              <w:adjustRightInd w:val="0"/>
              <w:snapToGrid w:val="0"/>
              <w:rPr>
                <w:rFonts w:ascii="仿宋_GB2312" w:eastAsia="仿宋_GB2312"/>
                <w:kern w:val="0"/>
                <w:sz w:val="24"/>
                <w:szCs w:val="24"/>
              </w:rPr>
            </w:pPr>
            <w:r>
              <w:rPr>
                <w:rFonts w:hint="eastAsia" w:ascii="仿宋_GB2312" w:eastAsia="仿宋_GB2312"/>
                <w:kern w:val="0"/>
                <w:sz w:val="24"/>
                <w:szCs w:val="24"/>
              </w:rPr>
              <w:t>默认</w:t>
            </w:r>
            <w:r>
              <w:rPr>
                <w:rFonts w:hint="eastAsia" w:ascii="仿宋_GB2312" w:eastAsia="仿宋_GB2312"/>
                <w:kern w:val="0"/>
                <w:sz w:val="24"/>
                <w:szCs w:val="24"/>
                <w:lang w:eastAsia="zh-CN"/>
              </w:rPr>
              <w:t>带出原合约</w:t>
            </w:r>
            <w:r>
              <w:rPr>
                <w:rFonts w:hint="eastAsia" w:ascii="仿宋_GB2312" w:eastAsia="仿宋_GB2312"/>
                <w:kern w:val="0"/>
                <w:sz w:val="24"/>
                <w:szCs w:val="24"/>
              </w:rPr>
              <w:t>对手方交易员名称</w:t>
            </w:r>
            <w:r>
              <w:rPr>
                <w:rFonts w:hint="eastAsia" w:ascii="仿宋_GB2312" w:eastAsia="仿宋_GB2312"/>
                <w:kern w:val="0"/>
                <w:sz w:val="24"/>
                <w:szCs w:val="24"/>
                <w:lang w:eastAsia="zh-CN"/>
              </w:rPr>
              <w:t>，可</w:t>
            </w:r>
            <w:r>
              <w:rPr>
                <w:rFonts w:hint="eastAsia" w:ascii="仿宋_GB2312" w:eastAsia="仿宋_GB2312"/>
                <w:kern w:val="0"/>
                <w:sz w:val="24"/>
                <w:szCs w:val="24"/>
              </w:rPr>
              <w:t>修改为同一债券交易参与人下的其他首席交易员</w:t>
            </w:r>
          </w:p>
        </w:tc>
      </w:tr>
      <w:tr w14:paraId="36426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tcPr>
          <w:p w14:paraId="40DE2845">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普通账户</w:t>
            </w:r>
          </w:p>
        </w:tc>
        <w:tc>
          <w:tcPr>
            <w:tcW w:w="3493" w:type="pct"/>
          </w:tcPr>
          <w:p w14:paraId="0A2C8B17">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逆回购方普通证券账户号码，自动带出</w:t>
            </w:r>
          </w:p>
        </w:tc>
      </w:tr>
      <w:tr w14:paraId="79F9B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06" w:type="pct"/>
          </w:tcPr>
          <w:p w14:paraId="3E958C4C">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普通账户交易单元</w:t>
            </w:r>
          </w:p>
        </w:tc>
        <w:tc>
          <w:tcPr>
            <w:tcW w:w="3493" w:type="pct"/>
          </w:tcPr>
          <w:p w14:paraId="622A9A14">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逆回购方普通证券账户</w:t>
            </w:r>
            <w:r>
              <w:rPr>
                <w:rFonts w:hint="eastAsia" w:ascii="仿宋_GB2312" w:eastAsia="仿宋_GB2312"/>
                <w:kern w:val="0"/>
                <w:sz w:val="24"/>
                <w:szCs w:val="24"/>
              </w:rPr>
              <w:t>的指定交易单元号，自动</w:t>
            </w:r>
            <w:r>
              <w:rPr>
                <w:rFonts w:hint="eastAsia" w:ascii="仿宋_GB2312" w:eastAsia="仿宋_GB2312"/>
                <w:kern w:val="0"/>
                <w:sz w:val="24"/>
                <w:szCs w:val="24"/>
                <w:lang w:eastAsia="zh-CN"/>
              </w:rPr>
              <w:t>带出</w:t>
            </w:r>
          </w:p>
        </w:tc>
      </w:tr>
      <w:tr w14:paraId="5C934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tcPr>
          <w:p w14:paraId="398ACFC6">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普通</w:t>
            </w:r>
            <w:r>
              <w:rPr>
                <w:rFonts w:hint="eastAsia" w:ascii="仿宋_GB2312" w:eastAsia="仿宋_GB2312"/>
                <w:b/>
                <w:kern w:val="0"/>
                <w:sz w:val="24"/>
                <w:szCs w:val="24"/>
              </w:rPr>
              <w:t>账户名称</w:t>
            </w:r>
          </w:p>
        </w:tc>
        <w:tc>
          <w:tcPr>
            <w:tcW w:w="3493" w:type="pct"/>
          </w:tcPr>
          <w:p w14:paraId="26D84FA0">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逆回购方普通</w:t>
            </w:r>
            <w:r>
              <w:rPr>
                <w:rFonts w:hint="eastAsia" w:ascii="仿宋_GB2312" w:eastAsia="仿宋_GB2312"/>
                <w:kern w:val="0"/>
                <w:sz w:val="24"/>
                <w:szCs w:val="24"/>
              </w:rPr>
              <w:t>证券账户</w:t>
            </w:r>
            <w:r>
              <w:rPr>
                <w:rFonts w:hint="eastAsia" w:ascii="仿宋_GB2312" w:eastAsia="仿宋_GB2312"/>
                <w:kern w:val="0"/>
                <w:sz w:val="24"/>
                <w:szCs w:val="24"/>
                <w:lang w:eastAsia="zh-CN"/>
              </w:rPr>
              <w:t>的</w:t>
            </w:r>
            <w:r>
              <w:rPr>
                <w:rFonts w:hint="eastAsia" w:ascii="仿宋_GB2312" w:eastAsia="仿宋_GB2312"/>
                <w:kern w:val="0"/>
                <w:sz w:val="24"/>
                <w:szCs w:val="24"/>
              </w:rPr>
              <w:t>名称，自动</w:t>
            </w:r>
            <w:r>
              <w:rPr>
                <w:rFonts w:hint="eastAsia" w:ascii="仿宋_GB2312" w:eastAsia="仿宋_GB2312"/>
                <w:kern w:val="0"/>
                <w:sz w:val="24"/>
                <w:szCs w:val="24"/>
                <w:lang w:eastAsia="zh-CN"/>
              </w:rPr>
              <w:t>带出</w:t>
            </w:r>
          </w:p>
        </w:tc>
      </w:tr>
      <w:tr w14:paraId="33AF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6" w:type="pct"/>
          </w:tcPr>
          <w:p w14:paraId="2E297C8D">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逆回购方投资者名称</w:t>
            </w:r>
          </w:p>
        </w:tc>
        <w:tc>
          <w:tcPr>
            <w:tcW w:w="3493" w:type="pct"/>
          </w:tcPr>
          <w:p w14:paraId="14E46E6C">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对手方</w:t>
            </w:r>
            <w:r>
              <w:rPr>
                <w:rFonts w:hint="eastAsia" w:ascii="仿宋_GB2312" w:eastAsia="仿宋_GB2312"/>
                <w:kern w:val="0"/>
                <w:sz w:val="24"/>
                <w:szCs w:val="24"/>
              </w:rPr>
              <w:t>投资者名称，自动</w:t>
            </w:r>
            <w:r>
              <w:rPr>
                <w:rFonts w:hint="eastAsia" w:ascii="仿宋_GB2312" w:eastAsia="仿宋_GB2312"/>
                <w:kern w:val="0"/>
                <w:sz w:val="24"/>
                <w:szCs w:val="24"/>
                <w:lang w:eastAsia="zh-CN"/>
              </w:rPr>
              <w:t>带出</w:t>
            </w:r>
          </w:p>
        </w:tc>
      </w:tr>
    </w:tbl>
    <w:p w14:paraId="5155C728">
      <w:pPr>
        <w:spacing w:line="600" w:lineRule="exact"/>
        <w:ind w:left="567"/>
        <w:outlineLvl w:val="3"/>
        <w:rPr>
          <w:rFonts w:ascii="仿宋_GB2312" w:eastAsia="仿宋_GB2312"/>
          <w:b/>
          <w:sz w:val="30"/>
          <w:szCs w:val="30"/>
        </w:rPr>
      </w:pPr>
      <w:r>
        <w:rPr>
          <w:rFonts w:hint="eastAsia" w:ascii="仿宋_GB2312" w:eastAsia="仿宋_GB2312"/>
          <w:b/>
          <w:sz w:val="30"/>
          <w:szCs w:val="30"/>
        </w:rPr>
        <w:t>（8）提前终止</w:t>
      </w:r>
    </w:p>
    <w:p w14:paraId="719EA71B">
      <w:pPr>
        <w:adjustRightInd w:val="0"/>
        <w:snapToGrid w:val="0"/>
        <w:spacing w:line="600" w:lineRule="exact"/>
        <w:ind w:firstLine="600"/>
        <w:rPr>
          <w:rFonts w:ascii="仿宋_GB2312" w:hAnsi="Calibri" w:eastAsia="仿宋_GB2312"/>
          <w:kern w:val="0"/>
          <w:sz w:val="30"/>
          <w:szCs w:val="30"/>
        </w:rPr>
      </w:pPr>
      <w:r>
        <w:rPr>
          <w:rFonts w:hint="eastAsia" w:ascii="仿宋_GB2312" w:hAnsi="Calibri" w:eastAsia="仿宋_GB2312"/>
          <w:kern w:val="0"/>
          <w:sz w:val="30"/>
          <w:szCs w:val="30"/>
        </w:rPr>
        <w:t>三方回购存续期间，经回购双方协商一致可以提前终止，交易</w:t>
      </w:r>
      <w:r>
        <w:rPr>
          <w:rFonts w:hint="eastAsia" w:ascii="仿宋_GB2312" w:hAnsi="Calibri" w:eastAsia="仿宋_GB2312"/>
          <w:kern w:val="0"/>
          <w:sz w:val="30"/>
          <w:szCs w:val="30"/>
          <w:lang w:eastAsia="zh-CN"/>
        </w:rPr>
        <w:t>任</w:t>
      </w:r>
      <w:r>
        <w:rPr>
          <w:rFonts w:hint="eastAsia" w:ascii="仿宋_GB2312" w:hAnsi="Calibri" w:eastAsia="仿宋_GB2312"/>
          <w:kern w:val="0"/>
          <w:sz w:val="30"/>
          <w:szCs w:val="30"/>
        </w:rPr>
        <w:t>一方可以发起提前终止申报，并由对手方确认。提前终止申报须填写提前终止的</w:t>
      </w:r>
      <w:r>
        <w:rPr>
          <w:rFonts w:hint="eastAsia" w:ascii="仿宋_GB2312" w:hAnsi="Calibri" w:eastAsia="仿宋_GB2312"/>
          <w:kern w:val="0"/>
          <w:sz w:val="30"/>
          <w:szCs w:val="30"/>
          <w:lang w:eastAsia="zh-CN"/>
        </w:rPr>
        <w:t>实际回购</w:t>
      </w:r>
      <w:r>
        <w:rPr>
          <w:rFonts w:hint="eastAsia" w:ascii="仿宋_GB2312" w:hAnsi="Calibri" w:eastAsia="仿宋_GB2312"/>
          <w:kern w:val="0"/>
          <w:sz w:val="30"/>
          <w:szCs w:val="30"/>
        </w:rPr>
        <w:t>利率。初期，提前终止结算金额不得低于回购的成交金额，暂不支持部分提前终止。</w:t>
      </w:r>
    </w:p>
    <w:p w14:paraId="27C00BDE">
      <w:pPr>
        <w:spacing w:line="60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提</w:t>
      </w:r>
      <w:r>
        <w:rPr>
          <w:rFonts w:hint="eastAsia" w:ascii="仿宋_GB2312" w:hAnsi="宋体" w:eastAsia="仿宋_GB2312"/>
          <w:sz w:val="30"/>
          <w:szCs w:val="30"/>
          <w:lang w:eastAsia="zh-CN"/>
        </w:rPr>
        <w:t>前</w:t>
      </w:r>
      <w:r>
        <w:rPr>
          <w:rFonts w:hint="eastAsia" w:ascii="仿宋_GB2312" w:hAnsi="宋体" w:eastAsia="仿宋_GB2312"/>
          <w:sz w:val="30"/>
          <w:szCs w:val="30"/>
        </w:rPr>
        <w:t>终止申报</w:t>
      </w:r>
      <w:r>
        <w:rPr>
          <w:rFonts w:hint="eastAsia" w:ascii="仿宋_GB2312" w:hAnsi="Calibri" w:eastAsia="仿宋_GB2312"/>
          <w:sz w:val="30"/>
          <w:szCs w:val="30"/>
          <w:lang w:eastAsia="zh-CN"/>
        </w:rPr>
        <w:t>时自动带出原合约申报信息，可查看、不可修改，其他</w:t>
      </w:r>
      <w:r>
        <w:rPr>
          <w:rFonts w:hint="eastAsia" w:ascii="仿宋_GB2312" w:hAnsi="宋体" w:eastAsia="仿宋_GB2312"/>
          <w:sz w:val="30"/>
          <w:szCs w:val="30"/>
        </w:rPr>
        <w:t>要素及要素说明如下：</w:t>
      </w:r>
    </w:p>
    <w:tbl>
      <w:tblPr>
        <w:tblStyle w:val="43"/>
        <w:tblW w:w="48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74"/>
        <w:gridCol w:w="4537"/>
      </w:tblGrid>
      <w:tr w14:paraId="3B07D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0" w:type="pct"/>
          </w:tcPr>
          <w:p w14:paraId="04F03749">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2729" w:type="pct"/>
          </w:tcPr>
          <w:p w14:paraId="27B81D49">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739CB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0" w:type="pct"/>
          </w:tcPr>
          <w:p w14:paraId="4DFE9D0D">
            <w:pPr>
              <w:adjustRightInd w:val="0"/>
              <w:snapToGrid w:val="0"/>
              <w:rPr>
                <w:rFonts w:ascii="仿宋_GB2312" w:eastAsia="仿宋_GB2312"/>
                <w:b/>
                <w:kern w:val="0"/>
                <w:sz w:val="24"/>
                <w:szCs w:val="24"/>
              </w:rPr>
            </w:pPr>
            <w:r>
              <w:rPr>
                <w:rFonts w:hint="eastAsia" w:ascii="仿宋_GB2312" w:eastAsia="仿宋_GB2312"/>
                <w:b/>
                <w:kern w:val="0"/>
                <w:sz w:val="24"/>
                <w:szCs w:val="24"/>
              </w:rPr>
              <w:t>对手方</w:t>
            </w:r>
            <w:r>
              <w:rPr>
                <w:rFonts w:hint="eastAsia" w:ascii="仿宋_GB2312" w:eastAsia="仿宋_GB2312"/>
                <w:b/>
                <w:kern w:val="0"/>
                <w:sz w:val="24"/>
                <w:szCs w:val="24"/>
                <w:lang w:eastAsia="zh-CN"/>
              </w:rPr>
              <w:t>一债通账户</w:t>
            </w:r>
          </w:p>
        </w:tc>
        <w:tc>
          <w:tcPr>
            <w:tcW w:w="2729" w:type="pct"/>
          </w:tcPr>
          <w:p w14:paraId="1041DFD9">
            <w:pPr>
              <w:adjustRightInd w:val="0"/>
              <w:snapToGrid w:val="0"/>
              <w:rPr>
                <w:rFonts w:ascii="仿宋_GB2312" w:eastAsia="仿宋_GB2312"/>
                <w:kern w:val="0"/>
                <w:sz w:val="24"/>
                <w:szCs w:val="24"/>
              </w:rPr>
            </w:pPr>
            <w:r>
              <w:rPr>
                <w:rFonts w:hint="eastAsia" w:ascii="仿宋_GB2312" w:eastAsia="仿宋_GB2312"/>
                <w:kern w:val="0"/>
                <w:sz w:val="24"/>
                <w:szCs w:val="24"/>
              </w:rPr>
              <w:t>默认显示原</w:t>
            </w:r>
            <w:r>
              <w:rPr>
                <w:rFonts w:hint="eastAsia" w:ascii="仿宋_GB2312" w:eastAsia="仿宋_GB2312"/>
                <w:kern w:val="0"/>
                <w:sz w:val="24"/>
                <w:szCs w:val="24"/>
                <w:lang w:eastAsia="zh-CN"/>
              </w:rPr>
              <w:t>合约</w:t>
            </w:r>
            <w:r>
              <w:rPr>
                <w:rFonts w:hint="eastAsia" w:ascii="仿宋_GB2312" w:eastAsia="仿宋_GB2312"/>
                <w:kern w:val="0"/>
                <w:sz w:val="24"/>
                <w:szCs w:val="24"/>
              </w:rPr>
              <w:t>对手方交易员</w:t>
            </w:r>
            <w:r>
              <w:rPr>
                <w:rFonts w:hint="eastAsia" w:ascii="仿宋_GB2312" w:eastAsia="仿宋_GB2312"/>
                <w:b w:val="0"/>
                <w:bCs/>
                <w:kern w:val="0"/>
                <w:sz w:val="24"/>
                <w:szCs w:val="24"/>
                <w:lang w:eastAsia="zh-CN"/>
              </w:rPr>
              <w:t>一债通账户</w:t>
            </w:r>
          </w:p>
        </w:tc>
      </w:tr>
      <w:tr w14:paraId="65F0C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0" w:type="pct"/>
          </w:tcPr>
          <w:p w14:paraId="22BB7BEF">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对手方</w:t>
            </w:r>
            <w:r>
              <w:rPr>
                <w:rFonts w:hint="eastAsia" w:ascii="仿宋_GB2312" w:eastAsia="仿宋_GB2312"/>
                <w:b/>
                <w:kern w:val="0"/>
                <w:sz w:val="24"/>
                <w:szCs w:val="24"/>
              </w:rPr>
              <w:t>交易员</w:t>
            </w:r>
          </w:p>
        </w:tc>
        <w:tc>
          <w:tcPr>
            <w:tcW w:w="2729" w:type="pct"/>
          </w:tcPr>
          <w:p w14:paraId="2293B28C">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默认显示原合约对手方</w:t>
            </w:r>
            <w:r>
              <w:rPr>
                <w:rFonts w:hint="eastAsia" w:ascii="仿宋_GB2312" w:eastAsia="仿宋_GB2312"/>
                <w:kern w:val="0"/>
                <w:sz w:val="24"/>
                <w:szCs w:val="24"/>
              </w:rPr>
              <w:t>交易员名称</w:t>
            </w:r>
          </w:p>
        </w:tc>
      </w:tr>
      <w:tr w14:paraId="5A6CE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70" w:type="pct"/>
          </w:tcPr>
          <w:p w14:paraId="3F3008B7">
            <w:pPr>
              <w:adjustRightInd w:val="0"/>
              <w:snapToGrid w:val="0"/>
              <w:rPr>
                <w:rFonts w:ascii="仿宋_GB2312" w:eastAsia="仿宋_GB2312"/>
                <w:b/>
                <w:kern w:val="0"/>
                <w:sz w:val="24"/>
                <w:szCs w:val="24"/>
              </w:rPr>
            </w:pPr>
            <w:r>
              <w:rPr>
                <w:rFonts w:hint="eastAsia" w:ascii="仿宋_GB2312" w:eastAsia="仿宋_GB2312"/>
                <w:b/>
                <w:kern w:val="0"/>
                <w:sz w:val="24"/>
                <w:szCs w:val="24"/>
              </w:rPr>
              <w:t>提前终止日期</w:t>
            </w:r>
          </w:p>
        </w:tc>
        <w:tc>
          <w:tcPr>
            <w:tcW w:w="2729" w:type="pct"/>
          </w:tcPr>
          <w:p w14:paraId="784B5F6D">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当前交易</w:t>
            </w:r>
            <w:r>
              <w:rPr>
                <w:rFonts w:hint="eastAsia" w:ascii="仿宋_GB2312" w:eastAsia="仿宋_GB2312"/>
                <w:kern w:val="0"/>
                <w:sz w:val="24"/>
                <w:szCs w:val="24"/>
              </w:rPr>
              <w:t>日期，自动</w:t>
            </w:r>
            <w:r>
              <w:rPr>
                <w:rFonts w:hint="eastAsia" w:ascii="仿宋_GB2312" w:eastAsia="仿宋_GB2312"/>
                <w:kern w:val="0"/>
                <w:sz w:val="24"/>
                <w:szCs w:val="24"/>
                <w:lang w:eastAsia="zh-CN"/>
              </w:rPr>
              <w:t>带出</w:t>
            </w:r>
          </w:p>
        </w:tc>
      </w:tr>
      <w:tr w14:paraId="03E74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0" w:type="pct"/>
          </w:tcPr>
          <w:p w14:paraId="5308AAB5">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实际</w:t>
            </w:r>
            <w:r>
              <w:rPr>
                <w:rFonts w:hint="eastAsia" w:ascii="仿宋_GB2312" w:eastAsia="仿宋_GB2312"/>
                <w:b/>
                <w:kern w:val="0"/>
                <w:sz w:val="24"/>
                <w:szCs w:val="24"/>
              </w:rPr>
              <w:t>回购利率</w:t>
            </w:r>
          </w:p>
        </w:tc>
        <w:tc>
          <w:tcPr>
            <w:tcW w:w="2729" w:type="pct"/>
          </w:tcPr>
          <w:p w14:paraId="0C83B870">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单位：</w:t>
            </w:r>
            <w:r>
              <w:rPr>
                <w:rFonts w:hint="eastAsia" w:ascii="仿宋_GB2312" w:eastAsia="仿宋_GB2312"/>
                <w:kern w:val="0"/>
                <w:sz w:val="24"/>
                <w:szCs w:val="24"/>
                <w:lang w:val="en-US" w:eastAsia="zh-CN"/>
              </w:rPr>
              <w:t>%，</w:t>
            </w:r>
            <w:r>
              <w:rPr>
                <w:rFonts w:hint="eastAsia" w:ascii="仿宋_GB2312" w:eastAsia="仿宋_GB2312"/>
                <w:kern w:val="0"/>
                <w:sz w:val="24"/>
                <w:szCs w:val="24"/>
              </w:rPr>
              <w:t>正回购方实际付给逆回购方的资金价格</w:t>
            </w:r>
          </w:p>
        </w:tc>
      </w:tr>
      <w:tr w14:paraId="2E1D3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0" w:type="pct"/>
          </w:tcPr>
          <w:p w14:paraId="3A8E5B40">
            <w:pPr>
              <w:adjustRightInd w:val="0"/>
              <w:snapToGrid w:val="0"/>
              <w:rPr>
                <w:rFonts w:ascii="仿宋_GB2312" w:eastAsia="仿宋_GB2312"/>
                <w:b/>
                <w:kern w:val="0"/>
                <w:sz w:val="24"/>
                <w:szCs w:val="24"/>
              </w:rPr>
            </w:pPr>
            <w:r>
              <w:rPr>
                <w:rFonts w:hint="eastAsia" w:ascii="仿宋_GB2312" w:eastAsia="仿宋_GB2312"/>
                <w:b/>
                <w:kern w:val="0"/>
                <w:sz w:val="24"/>
                <w:szCs w:val="24"/>
              </w:rPr>
              <w:t>提前终止后</w:t>
            </w:r>
            <w:r>
              <w:rPr>
                <w:rFonts w:hint="eastAsia" w:ascii="仿宋_GB2312" w:eastAsia="仿宋_GB2312"/>
                <w:b/>
                <w:kern w:val="0"/>
                <w:sz w:val="24"/>
                <w:szCs w:val="24"/>
                <w:lang w:eastAsia="zh-CN"/>
              </w:rPr>
              <w:t>的</w:t>
            </w:r>
            <w:r>
              <w:rPr>
                <w:rFonts w:hint="eastAsia" w:ascii="仿宋_GB2312" w:eastAsia="仿宋_GB2312"/>
                <w:b/>
                <w:kern w:val="0"/>
                <w:sz w:val="24"/>
                <w:szCs w:val="24"/>
              </w:rPr>
              <w:t>回购期限</w:t>
            </w:r>
          </w:p>
        </w:tc>
        <w:tc>
          <w:tcPr>
            <w:tcW w:w="2729" w:type="pct"/>
          </w:tcPr>
          <w:p w14:paraId="3E976063">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rPr>
              <w:t>期限=提前终止日期</w:t>
            </w:r>
            <w:r>
              <w:rPr>
                <w:rFonts w:hint="eastAsia" w:ascii="仿宋_GB2312" w:eastAsia="仿宋_GB2312"/>
                <w:kern w:val="0"/>
                <w:sz w:val="24"/>
                <w:szCs w:val="24"/>
                <w:lang w:val="en-US" w:eastAsia="zh-CN"/>
              </w:rPr>
              <w:t>-</w:t>
            </w:r>
            <w:r>
              <w:rPr>
                <w:rFonts w:hint="eastAsia" w:ascii="仿宋_GB2312" w:eastAsia="仿宋_GB2312"/>
                <w:kern w:val="0"/>
                <w:sz w:val="24"/>
                <w:szCs w:val="24"/>
              </w:rPr>
              <w:t>成交日，自动</w:t>
            </w:r>
            <w:r>
              <w:rPr>
                <w:rFonts w:hint="eastAsia" w:ascii="仿宋_GB2312" w:eastAsia="仿宋_GB2312"/>
                <w:kern w:val="0"/>
                <w:sz w:val="24"/>
                <w:szCs w:val="24"/>
                <w:lang w:eastAsia="zh-CN"/>
              </w:rPr>
              <w:t>带出</w:t>
            </w:r>
          </w:p>
        </w:tc>
      </w:tr>
      <w:tr w14:paraId="5919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0" w:type="pct"/>
          </w:tcPr>
          <w:p w14:paraId="4F9802E0">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预估实际</w:t>
            </w:r>
            <w:r>
              <w:rPr>
                <w:rFonts w:hint="eastAsia" w:ascii="仿宋_GB2312" w:eastAsia="仿宋_GB2312"/>
                <w:b/>
                <w:kern w:val="0"/>
                <w:sz w:val="24"/>
                <w:szCs w:val="24"/>
              </w:rPr>
              <w:t>回购利息</w:t>
            </w:r>
          </w:p>
        </w:tc>
        <w:tc>
          <w:tcPr>
            <w:tcW w:w="2729" w:type="pct"/>
          </w:tcPr>
          <w:p w14:paraId="0BE6AE49">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单位：元，利息=实际回购利率×成交金额×提前终止后的实际占款天数/365，自动计算带出</w:t>
            </w:r>
          </w:p>
        </w:tc>
      </w:tr>
      <w:tr w14:paraId="70B96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70" w:type="pct"/>
          </w:tcPr>
          <w:p w14:paraId="572C6394">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提前</w:t>
            </w:r>
            <w:r>
              <w:rPr>
                <w:rFonts w:hint="eastAsia" w:ascii="仿宋_GB2312" w:eastAsia="仿宋_GB2312"/>
                <w:b/>
                <w:kern w:val="0"/>
                <w:sz w:val="24"/>
                <w:szCs w:val="24"/>
              </w:rPr>
              <w:t>终止后</w:t>
            </w:r>
            <w:r>
              <w:rPr>
                <w:rFonts w:hint="eastAsia" w:ascii="仿宋_GB2312" w:eastAsia="仿宋_GB2312"/>
                <w:b/>
                <w:kern w:val="0"/>
                <w:sz w:val="24"/>
                <w:szCs w:val="24"/>
                <w:lang w:eastAsia="zh-CN"/>
              </w:rPr>
              <w:t>的</w:t>
            </w:r>
            <w:r>
              <w:rPr>
                <w:rFonts w:hint="eastAsia" w:ascii="仿宋_GB2312" w:eastAsia="仿宋_GB2312"/>
                <w:b/>
                <w:kern w:val="0"/>
                <w:sz w:val="24"/>
                <w:szCs w:val="24"/>
              </w:rPr>
              <w:t>实际占款天数</w:t>
            </w:r>
          </w:p>
        </w:tc>
        <w:tc>
          <w:tcPr>
            <w:tcW w:w="2729" w:type="pct"/>
          </w:tcPr>
          <w:p w14:paraId="4467FE8C">
            <w:pPr>
              <w:adjustRightInd w:val="0"/>
              <w:snapToGrid w:val="0"/>
              <w:rPr>
                <w:rFonts w:ascii="仿宋_GB2312" w:eastAsia="仿宋_GB2312"/>
                <w:kern w:val="0"/>
                <w:sz w:val="24"/>
                <w:szCs w:val="24"/>
              </w:rPr>
            </w:pPr>
            <w:r>
              <w:rPr>
                <w:rFonts w:hint="eastAsia" w:ascii="仿宋_GB2312" w:eastAsia="仿宋_GB2312"/>
                <w:kern w:val="0"/>
                <w:sz w:val="24"/>
                <w:szCs w:val="24"/>
              </w:rPr>
              <w:t>提前终止日-首次结算日，自动显示，无需输入</w:t>
            </w:r>
          </w:p>
        </w:tc>
      </w:tr>
      <w:tr w14:paraId="675DA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0" w:type="pct"/>
          </w:tcPr>
          <w:p w14:paraId="34CF7A9D">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预估实际</w:t>
            </w:r>
            <w:r>
              <w:rPr>
                <w:rFonts w:hint="eastAsia" w:ascii="仿宋_GB2312" w:eastAsia="仿宋_GB2312"/>
                <w:b/>
                <w:kern w:val="0"/>
                <w:sz w:val="24"/>
                <w:szCs w:val="24"/>
              </w:rPr>
              <w:t>结算金额</w:t>
            </w:r>
          </w:p>
        </w:tc>
        <w:tc>
          <w:tcPr>
            <w:tcW w:w="2729" w:type="pct"/>
          </w:tcPr>
          <w:p w14:paraId="5BD0AA5A">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单位：元，实际结算金额=成交金额</w:t>
            </w:r>
            <w:r>
              <w:rPr>
                <w:rFonts w:hint="eastAsia" w:ascii="仿宋_GB2312" w:eastAsia="仿宋_GB2312"/>
                <w:kern w:val="0"/>
                <w:sz w:val="24"/>
                <w:szCs w:val="24"/>
                <w:lang w:val="en-US" w:eastAsia="zh-CN"/>
              </w:rPr>
              <w:t>+实际回购利息</w:t>
            </w:r>
            <w:r>
              <w:rPr>
                <w:rFonts w:hint="eastAsia" w:ascii="仿宋_GB2312" w:eastAsia="仿宋_GB2312"/>
                <w:kern w:val="0"/>
                <w:sz w:val="24"/>
                <w:szCs w:val="24"/>
                <w:lang w:eastAsia="zh-CN"/>
              </w:rPr>
              <w:t>，自动计算带出</w:t>
            </w:r>
          </w:p>
        </w:tc>
      </w:tr>
      <w:tr w14:paraId="5D1F3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0" w:type="pct"/>
          </w:tcPr>
          <w:p w14:paraId="42D4F7D9">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约定号</w:t>
            </w:r>
          </w:p>
        </w:tc>
        <w:tc>
          <w:tcPr>
            <w:tcW w:w="2729" w:type="pct"/>
          </w:tcPr>
          <w:p w14:paraId="2D7E5DD7">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选填</w:t>
            </w:r>
          </w:p>
        </w:tc>
      </w:tr>
      <w:tr w14:paraId="3CC6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70" w:type="pct"/>
          </w:tcPr>
          <w:p w14:paraId="34481DBA">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补充约定或备注</w:t>
            </w:r>
          </w:p>
        </w:tc>
        <w:tc>
          <w:tcPr>
            <w:tcW w:w="2729" w:type="pct"/>
          </w:tcPr>
          <w:p w14:paraId="306A89C0">
            <w:pPr>
              <w:adjustRightInd w:val="0"/>
              <w:snapToGrid w:val="0"/>
              <w:rPr>
                <w:rFonts w:ascii="仿宋_GB2312" w:eastAsia="仿宋_GB2312"/>
                <w:kern w:val="0"/>
                <w:sz w:val="24"/>
                <w:szCs w:val="24"/>
              </w:rPr>
            </w:pPr>
            <w:r>
              <w:rPr>
                <w:rFonts w:hint="eastAsia" w:ascii="仿宋_GB2312" w:eastAsia="仿宋_GB2312"/>
                <w:kern w:val="0"/>
                <w:sz w:val="24"/>
                <w:szCs w:val="24"/>
              </w:rPr>
              <w:t>交易双方的补充约定</w:t>
            </w:r>
          </w:p>
        </w:tc>
      </w:tr>
    </w:tbl>
    <w:p w14:paraId="7EBC81E7">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存续期管理</w:t>
      </w:r>
      <w:bookmarkStart w:id="2185" w:name="_Toc499850238"/>
      <w:bookmarkEnd w:id="2185"/>
      <w:bookmarkStart w:id="2186" w:name="_Toc501542018"/>
      <w:bookmarkEnd w:id="2186"/>
      <w:bookmarkStart w:id="2187" w:name="_Toc499850062"/>
      <w:bookmarkEnd w:id="2187"/>
      <w:bookmarkStart w:id="2188" w:name="_Toc501552796"/>
      <w:bookmarkEnd w:id="2188"/>
      <w:bookmarkStart w:id="2189" w:name="_Toc499850066"/>
      <w:bookmarkEnd w:id="2189"/>
      <w:bookmarkStart w:id="2190" w:name="_Toc501552792"/>
      <w:bookmarkEnd w:id="2190"/>
      <w:bookmarkStart w:id="2191" w:name="_Toc499850246"/>
      <w:bookmarkEnd w:id="2191"/>
      <w:bookmarkStart w:id="2192" w:name="_Toc499850057"/>
      <w:bookmarkEnd w:id="2192"/>
      <w:bookmarkStart w:id="2193" w:name="_Toc499850247"/>
      <w:bookmarkEnd w:id="2193"/>
      <w:bookmarkStart w:id="2194" w:name="_Toc499850237"/>
      <w:bookmarkEnd w:id="2194"/>
      <w:bookmarkStart w:id="2195" w:name="_Toc499850058"/>
      <w:bookmarkEnd w:id="2195"/>
      <w:bookmarkStart w:id="2196" w:name="_Toc501552793"/>
      <w:bookmarkEnd w:id="2196"/>
      <w:bookmarkStart w:id="2197" w:name="_Toc499850239"/>
      <w:bookmarkEnd w:id="2197"/>
      <w:bookmarkStart w:id="2198" w:name="_Toc501552794"/>
      <w:bookmarkEnd w:id="2198"/>
      <w:bookmarkStart w:id="2199" w:name="_Toc499850242"/>
      <w:bookmarkEnd w:id="2199"/>
      <w:bookmarkStart w:id="2200" w:name="_Toc499850065"/>
      <w:bookmarkEnd w:id="2200"/>
      <w:bookmarkStart w:id="2201" w:name="_Toc499850243"/>
      <w:bookmarkEnd w:id="2201"/>
      <w:bookmarkStart w:id="2202" w:name="_Toc499850061"/>
      <w:bookmarkEnd w:id="2202"/>
      <w:bookmarkStart w:id="2203" w:name="_Toc501542017"/>
      <w:bookmarkEnd w:id="2203"/>
      <w:bookmarkStart w:id="2204" w:name="_Toc501542016"/>
      <w:bookmarkEnd w:id="2204"/>
      <w:bookmarkStart w:id="2205" w:name="_Toc499850063"/>
      <w:bookmarkEnd w:id="2205"/>
      <w:bookmarkStart w:id="2206" w:name="_Toc499850240"/>
      <w:bookmarkEnd w:id="2206"/>
      <w:bookmarkStart w:id="2207" w:name="_Toc501542019"/>
      <w:bookmarkEnd w:id="2207"/>
      <w:bookmarkStart w:id="2208" w:name="_Toc499850241"/>
      <w:bookmarkEnd w:id="2208"/>
      <w:bookmarkStart w:id="2209" w:name="_Toc499850060"/>
      <w:bookmarkEnd w:id="2209"/>
      <w:bookmarkStart w:id="2210" w:name="_Toc499850245"/>
      <w:bookmarkEnd w:id="2210"/>
      <w:bookmarkStart w:id="2211" w:name="_Toc499850059"/>
      <w:bookmarkEnd w:id="2211"/>
      <w:bookmarkStart w:id="2212" w:name="_Toc501552795"/>
      <w:bookmarkEnd w:id="2212"/>
      <w:bookmarkStart w:id="2213" w:name="_Toc499850067"/>
      <w:bookmarkEnd w:id="2213"/>
      <w:bookmarkStart w:id="2214" w:name="_Toc501542020"/>
      <w:bookmarkEnd w:id="2214"/>
    </w:p>
    <w:p w14:paraId="5AAAEE8F">
      <w:pPr>
        <w:spacing w:line="600" w:lineRule="exact"/>
        <w:ind w:left="567"/>
        <w:outlineLvl w:val="3"/>
        <w:rPr>
          <w:rFonts w:ascii="仿宋_GB2312" w:eastAsia="仿宋_GB2312"/>
          <w:b/>
          <w:sz w:val="30"/>
          <w:szCs w:val="30"/>
        </w:rPr>
      </w:pPr>
      <w:r>
        <w:rPr>
          <w:rFonts w:hint="eastAsia" w:ascii="仿宋_GB2312" w:eastAsia="仿宋_GB2312"/>
          <w:b/>
          <w:sz w:val="30"/>
          <w:szCs w:val="30"/>
        </w:rPr>
        <w:t>（1）担保品价值计算</w:t>
      </w:r>
    </w:p>
    <w:p w14:paraId="0CDB15B1">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本所、证券登记结算机构逐日计算每笔三方回购交易担保品的担保价值，并通过</w:t>
      </w:r>
      <w:r>
        <w:rPr>
          <w:rFonts w:hint="eastAsia" w:ascii="仿宋_GB2312" w:hAnsi="Calibri" w:eastAsia="仿宋_GB2312"/>
          <w:kern w:val="0"/>
          <w:sz w:val="30"/>
          <w:szCs w:val="30"/>
          <w:lang w:eastAsia="zh-CN"/>
        </w:rPr>
        <w:t>新固定收益系统</w:t>
      </w:r>
      <w:r>
        <w:rPr>
          <w:rFonts w:hint="eastAsia" w:ascii="仿宋_GB2312" w:hAnsi="Calibri" w:eastAsia="仿宋_GB2312"/>
          <w:kern w:val="0"/>
          <w:sz w:val="30"/>
          <w:szCs w:val="30"/>
        </w:rPr>
        <w:t>向交易双方展示，便于回购双方进行逐日盯市。</w:t>
      </w:r>
    </w:p>
    <w:p w14:paraId="0BD5B131">
      <w:pPr>
        <w:adjustRightInd w:val="0"/>
        <w:snapToGrid w:val="0"/>
        <w:spacing w:line="600" w:lineRule="exact"/>
        <w:ind w:firstLine="600" w:firstLineChars="200"/>
        <w:rPr>
          <w:rFonts w:ascii="仿宋_GB2312" w:hAnsi="Calibri" w:eastAsia="仿宋_GB2312"/>
          <w:color w:val="000000"/>
          <w:sz w:val="30"/>
          <w:szCs w:val="30"/>
        </w:rPr>
      </w:pPr>
      <w:r>
        <w:rPr>
          <w:rFonts w:hint="eastAsia" w:ascii="仿宋_GB2312" w:hAnsi="Calibri" w:eastAsia="仿宋_GB2312"/>
          <w:kern w:val="0"/>
          <w:sz w:val="30"/>
          <w:szCs w:val="30"/>
        </w:rPr>
        <w:t>本所根据评级公司提交的债券评级信息每日更新各质押券篮子的债券清单。证券登记结算机构根据本所提供的各篮子债券清单、折扣率以及中证债券估值于每日闭市后核算每笔未到期及已到期未了结三方回购各只质押券的担保价值，并于日终发送至本所。</w:t>
      </w:r>
      <w:r>
        <w:rPr>
          <w:rFonts w:hint="eastAsia" w:ascii="仿宋_GB2312" w:hAnsi="Calibri" w:eastAsia="仿宋_GB2312"/>
          <w:kern w:val="0"/>
          <w:sz w:val="30"/>
          <w:szCs w:val="30"/>
          <w:lang w:eastAsia="zh-CN"/>
        </w:rPr>
        <w:t>新固定收益系统</w:t>
      </w:r>
      <w:r>
        <w:rPr>
          <w:rFonts w:hint="eastAsia" w:ascii="仿宋_GB2312" w:hAnsi="Calibri" w:eastAsia="仿宋_GB2312"/>
          <w:kern w:val="0"/>
          <w:sz w:val="30"/>
          <w:szCs w:val="30"/>
        </w:rPr>
        <w:t>向回购双方展示每笔回购的质押券担保价值。</w:t>
      </w:r>
    </w:p>
    <w:p w14:paraId="664D7178">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担保价值=∑</w:t>
      </w:r>
      <w:r>
        <w:rPr>
          <w:rFonts w:ascii="仿宋_GB2312" w:hAnsi="Calibri" w:eastAsia="仿宋_GB2312"/>
          <w:kern w:val="0"/>
          <w:sz w:val="30"/>
          <w:szCs w:val="30"/>
        </w:rPr>
        <w:t xml:space="preserve"> </w:t>
      </w:r>
      <w:r>
        <w:rPr>
          <w:rFonts w:hint="eastAsia" w:ascii="仿宋_GB2312" w:hAnsi="Calibri" w:eastAsia="仿宋_GB2312"/>
          <w:kern w:val="0"/>
          <w:sz w:val="30"/>
          <w:szCs w:val="30"/>
        </w:rPr>
        <w:t>质押券</w:t>
      </w:r>
      <w:r>
        <w:rPr>
          <w:rFonts w:ascii="仿宋_GB2312" w:hAnsi="Calibri" w:eastAsia="仿宋_GB2312"/>
          <w:kern w:val="0"/>
          <w:sz w:val="30"/>
          <w:szCs w:val="30"/>
        </w:rPr>
        <w:t>i</w:t>
      </w:r>
      <w:r>
        <w:rPr>
          <w:rFonts w:hint="eastAsia" w:ascii="仿宋_GB2312" w:hAnsi="Calibri" w:eastAsia="仿宋_GB2312"/>
          <w:kern w:val="0"/>
          <w:sz w:val="30"/>
          <w:szCs w:val="30"/>
        </w:rPr>
        <w:t>的全价估值×质押</w:t>
      </w:r>
      <w:r>
        <w:rPr>
          <w:rFonts w:ascii="仿宋_GB2312" w:hAnsi="Calibri" w:eastAsia="仿宋_GB2312"/>
          <w:kern w:val="0"/>
          <w:sz w:val="30"/>
          <w:szCs w:val="30"/>
        </w:rPr>
        <w:t>i</w:t>
      </w:r>
      <w:r>
        <w:rPr>
          <w:rFonts w:hint="eastAsia" w:ascii="仿宋_GB2312" w:hAnsi="Calibri" w:eastAsia="仿宋_GB2312"/>
          <w:kern w:val="0"/>
          <w:sz w:val="30"/>
          <w:szCs w:val="30"/>
        </w:rPr>
        <w:t>数量×（1－质押券</w:t>
      </w:r>
      <w:r>
        <w:rPr>
          <w:rFonts w:ascii="仿宋_GB2312" w:hAnsi="Calibri" w:eastAsia="仿宋_GB2312"/>
          <w:kern w:val="0"/>
          <w:sz w:val="30"/>
          <w:szCs w:val="30"/>
        </w:rPr>
        <w:t>i</w:t>
      </w:r>
      <w:r>
        <w:rPr>
          <w:rFonts w:hint="eastAsia" w:ascii="仿宋_GB2312" w:hAnsi="Calibri" w:eastAsia="仿宋_GB2312"/>
          <w:kern w:val="0"/>
          <w:sz w:val="30"/>
          <w:szCs w:val="30"/>
        </w:rPr>
        <w:t>的折扣率%）×10。</w:t>
      </w:r>
    </w:p>
    <w:p w14:paraId="2F0D4FA9">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担保价值计算时，需注意以下事项：</w:t>
      </w:r>
    </w:p>
    <w:p w14:paraId="50C81AC0">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1）数量单位为千元面额,估值采用的是T-2日收盘后中证指数有限公司发布的中证估值（全价估值），并根据质押券T-1日的债券评级确定其所属的质押券篮子，从而确定其适用的折扣率。</w:t>
      </w:r>
    </w:p>
    <w:p w14:paraId="51681D23">
      <w:pPr>
        <w:adjustRightInd w:val="0"/>
        <w:snapToGrid w:val="0"/>
        <w:spacing w:line="600" w:lineRule="exact"/>
        <w:ind w:firstLine="600" w:firstLineChars="200"/>
        <w:rPr>
          <w:rFonts w:ascii="仿宋_GB2312" w:hAnsi="Calibri" w:eastAsia="仿宋_GB2312"/>
          <w:color w:val="000000"/>
          <w:sz w:val="30"/>
          <w:szCs w:val="30"/>
        </w:rPr>
      </w:pPr>
      <w:r>
        <w:rPr>
          <w:rFonts w:hint="eastAsia" w:ascii="仿宋_GB2312" w:hAnsi="Calibri" w:eastAsia="仿宋_GB2312"/>
          <w:kern w:val="0"/>
          <w:sz w:val="30"/>
          <w:szCs w:val="30"/>
        </w:rPr>
        <w:t>2）</w:t>
      </w:r>
      <w:r>
        <w:rPr>
          <w:rFonts w:ascii="仿宋_GB2312" w:hAnsi="Calibri" w:eastAsia="仿宋_GB2312"/>
          <w:kern w:val="0"/>
          <w:sz w:val="30"/>
          <w:szCs w:val="30"/>
        </w:rPr>
        <w:t xml:space="preserve"> </w:t>
      </w:r>
      <w:r>
        <w:rPr>
          <w:rFonts w:hint="eastAsia" w:ascii="仿宋_GB2312" w:hAnsi="Calibri" w:eastAsia="仿宋_GB2312"/>
          <w:kern w:val="0"/>
          <w:sz w:val="30"/>
          <w:szCs w:val="30"/>
        </w:rPr>
        <w:t>发生</w:t>
      </w:r>
      <w:r>
        <w:rPr>
          <w:rFonts w:hint="eastAsia" w:ascii="仿宋_GB2312" w:hAnsi="Calibri" w:eastAsia="仿宋_GB2312"/>
          <w:color w:val="000000"/>
          <w:sz w:val="30"/>
          <w:szCs w:val="30"/>
        </w:rPr>
        <w:t>提前赎回或到期兑付的，质押券的赎回款或兑付资金，其担保价值</w:t>
      </w:r>
      <w:r>
        <w:rPr>
          <w:rFonts w:hint="eastAsia" w:ascii="仿宋_GB2312" w:hAnsi="Calibri" w:eastAsia="仿宋_GB2312"/>
          <w:kern w:val="0"/>
          <w:sz w:val="30"/>
          <w:szCs w:val="30"/>
          <w:lang w:eastAsia="zh-CN"/>
        </w:rPr>
        <w:t>新固定收益系统</w:t>
      </w:r>
      <w:r>
        <w:rPr>
          <w:rFonts w:hint="eastAsia" w:ascii="仿宋_GB2312" w:hAnsi="Calibri" w:eastAsia="仿宋_GB2312"/>
          <w:kern w:val="0"/>
          <w:sz w:val="30"/>
          <w:szCs w:val="30"/>
        </w:rPr>
        <w:t>不再计算，</w:t>
      </w:r>
      <w:r>
        <w:rPr>
          <w:rFonts w:hint="eastAsia" w:ascii="仿宋_GB2312" w:hAnsi="Calibri" w:eastAsia="仿宋_GB2312"/>
          <w:color w:val="000000"/>
          <w:sz w:val="30"/>
          <w:szCs w:val="30"/>
        </w:rPr>
        <w:t>由回购双方自行跟踪。</w:t>
      </w:r>
    </w:p>
    <w:p w14:paraId="573A3EA0">
      <w:pPr>
        <w:adjustRightInd w:val="0"/>
        <w:snapToGrid w:val="0"/>
        <w:spacing w:line="600" w:lineRule="exact"/>
        <w:ind w:firstLine="600" w:firstLineChars="200"/>
        <w:rPr>
          <w:rFonts w:ascii="仿宋_GB2312" w:hAnsi="Calibri" w:eastAsia="仿宋_GB2312"/>
          <w:color w:val="000000"/>
          <w:sz w:val="30"/>
          <w:szCs w:val="30"/>
        </w:rPr>
      </w:pPr>
      <w:r>
        <w:rPr>
          <w:rFonts w:hint="eastAsia" w:ascii="仿宋_GB2312" w:hAnsi="Calibri" w:eastAsia="仿宋_GB2312"/>
          <w:kern w:val="0"/>
          <w:sz w:val="30"/>
          <w:szCs w:val="30"/>
        </w:rPr>
        <w:t>3）担保品债券评级或资质发生变化，导致其被剔出篮子或不再符合质押券篮子要求的，</w:t>
      </w:r>
      <w:r>
        <w:rPr>
          <w:rFonts w:hint="eastAsia" w:ascii="仿宋_GB2312" w:hAnsi="Calibri" w:eastAsia="仿宋_GB2312"/>
          <w:color w:val="000000"/>
          <w:sz w:val="30"/>
          <w:szCs w:val="30"/>
        </w:rPr>
        <w:t>本所</w:t>
      </w:r>
      <w:r>
        <w:rPr>
          <w:rFonts w:hint="eastAsia" w:ascii="仿宋_GB2312" w:hAnsi="Calibri" w:eastAsia="仿宋_GB2312"/>
          <w:kern w:val="0"/>
          <w:sz w:val="30"/>
          <w:szCs w:val="30"/>
          <w:lang w:eastAsia="zh-CN"/>
        </w:rPr>
        <w:t>新固定收益系统</w:t>
      </w:r>
      <w:r>
        <w:rPr>
          <w:rFonts w:hint="eastAsia" w:ascii="仿宋_GB2312" w:hAnsi="Calibri" w:eastAsia="仿宋_GB2312"/>
          <w:kern w:val="0"/>
          <w:sz w:val="30"/>
          <w:szCs w:val="30"/>
        </w:rPr>
        <w:t>不再将其计入</w:t>
      </w:r>
      <w:r>
        <w:rPr>
          <w:rFonts w:hint="eastAsia" w:ascii="仿宋_GB2312" w:hAnsi="Calibri" w:eastAsia="仿宋_GB2312"/>
          <w:color w:val="000000"/>
          <w:sz w:val="30"/>
          <w:szCs w:val="30"/>
        </w:rPr>
        <w:t xml:space="preserve">担保价值。    </w:t>
      </w:r>
    </w:p>
    <w:p w14:paraId="5A531909">
      <w:pPr>
        <w:spacing w:line="600" w:lineRule="exact"/>
        <w:ind w:left="567"/>
        <w:outlineLvl w:val="3"/>
        <w:rPr>
          <w:rFonts w:ascii="仿宋_GB2312" w:eastAsia="仿宋_GB2312"/>
          <w:b/>
          <w:sz w:val="30"/>
          <w:szCs w:val="30"/>
        </w:rPr>
      </w:pPr>
      <w:r>
        <w:rPr>
          <w:rFonts w:hint="eastAsia" w:ascii="仿宋_GB2312" w:eastAsia="仿宋_GB2312"/>
          <w:b/>
          <w:sz w:val="30"/>
          <w:szCs w:val="30"/>
        </w:rPr>
        <w:t>（2）换券</w:t>
      </w:r>
    </w:p>
    <w:p w14:paraId="2B59347A">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color w:val="000000"/>
          <w:sz w:val="30"/>
          <w:szCs w:val="30"/>
        </w:rPr>
        <w:t>三方回购存续期间</w:t>
      </w:r>
      <w:r>
        <w:rPr>
          <w:rFonts w:hint="eastAsia" w:ascii="仿宋_GB2312" w:hAnsi="Calibri" w:eastAsia="仿宋_GB2312"/>
          <w:sz w:val="30"/>
          <w:szCs w:val="30"/>
        </w:rPr>
        <w:t>（不含首次交易日和回购到期日）</w:t>
      </w:r>
      <w:r>
        <w:rPr>
          <w:rFonts w:hint="eastAsia" w:ascii="仿宋_GB2312" w:hAnsi="Calibri" w:eastAsia="仿宋_GB2312"/>
          <w:color w:val="000000"/>
          <w:sz w:val="30"/>
          <w:szCs w:val="30"/>
        </w:rPr>
        <w:t>，回购双方协商一致后可以通过</w:t>
      </w:r>
      <w:r>
        <w:rPr>
          <w:rFonts w:hint="eastAsia" w:ascii="仿宋_GB2312" w:hAnsi="Calibri" w:eastAsia="仿宋_GB2312"/>
          <w:kern w:val="0"/>
          <w:sz w:val="30"/>
          <w:szCs w:val="30"/>
          <w:lang w:eastAsia="zh-CN"/>
        </w:rPr>
        <w:t>新固定收益系统</w:t>
      </w:r>
      <w:r>
        <w:rPr>
          <w:rFonts w:hint="eastAsia" w:ascii="仿宋_GB2312" w:hAnsi="Calibri" w:eastAsia="仿宋_GB2312"/>
          <w:color w:val="000000"/>
          <w:sz w:val="30"/>
          <w:szCs w:val="30"/>
        </w:rPr>
        <w:t>申报质押券变更。</w:t>
      </w:r>
      <w:r>
        <w:rPr>
          <w:rFonts w:hint="eastAsia" w:ascii="仿宋_GB2312" w:hAnsi="Calibri" w:eastAsia="仿宋_GB2312"/>
          <w:sz w:val="30"/>
          <w:szCs w:val="30"/>
        </w:rPr>
        <w:t>正回购方发起换券申报，经对手方确认后，可实现质押券替换。</w:t>
      </w:r>
    </w:p>
    <w:p w14:paraId="1B896C45">
      <w:pPr>
        <w:spacing w:line="60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换券申报</w:t>
      </w:r>
      <w:r>
        <w:rPr>
          <w:rFonts w:hint="eastAsia" w:ascii="仿宋_GB2312" w:hAnsi="Calibri" w:eastAsia="仿宋_GB2312"/>
          <w:sz w:val="30"/>
          <w:szCs w:val="30"/>
          <w:lang w:eastAsia="zh-CN"/>
        </w:rPr>
        <w:t>时自动带出原合约申报信息，可查看、不可修改，</w:t>
      </w:r>
      <w:r>
        <w:rPr>
          <w:rFonts w:hint="eastAsia" w:ascii="仿宋_GB2312" w:hAnsi="宋体" w:eastAsia="仿宋_GB2312"/>
          <w:sz w:val="30"/>
          <w:szCs w:val="30"/>
          <w:lang w:val="en-US" w:eastAsia="zh-CN"/>
        </w:rPr>
        <w:t>其他</w:t>
      </w:r>
      <w:r>
        <w:rPr>
          <w:rFonts w:hint="eastAsia" w:ascii="仿宋_GB2312" w:hAnsi="宋体" w:eastAsia="仿宋_GB2312"/>
          <w:sz w:val="30"/>
          <w:szCs w:val="30"/>
        </w:rPr>
        <w:t>要素及要素说明如下：</w:t>
      </w:r>
    </w:p>
    <w:tbl>
      <w:tblPr>
        <w:tblStyle w:val="43"/>
        <w:tblW w:w="485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5"/>
        <w:gridCol w:w="5640"/>
      </w:tblGrid>
      <w:tr w14:paraId="15460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2" w:type="pct"/>
          </w:tcPr>
          <w:p w14:paraId="79C9F53C">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3407" w:type="pct"/>
          </w:tcPr>
          <w:p w14:paraId="2933794D">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0B257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tcPr>
          <w:p w14:paraId="36C44010">
            <w:pPr>
              <w:adjustRightInd w:val="0"/>
              <w:snapToGrid w:val="0"/>
              <w:jc w:val="center"/>
              <w:rPr>
                <w:rFonts w:ascii="仿宋_GB2312" w:eastAsia="仿宋_GB2312"/>
                <w:b/>
                <w:kern w:val="0"/>
                <w:sz w:val="24"/>
                <w:szCs w:val="24"/>
              </w:rPr>
            </w:pPr>
            <w:r>
              <w:rPr>
                <w:rFonts w:hint="eastAsia" w:ascii="仿宋_GB2312" w:eastAsia="仿宋_GB2312"/>
                <w:b/>
                <w:kern w:val="0"/>
                <w:sz w:val="24"/>
                <w:szCs w:val="24"/>
                <w:lang w:eastAsia="zh-CN"/>
              </w:rPr>
              <w:t>本次</w:t>
            </w:r>
            <w:r>
              <w:rPr>
                <w:rFonts w:hint="eastAsia" w:ascii="仿宋_GB2312" w:eastAsia="仿宋_GB2312"/>
                <w:b/>
                <w:kern w:val="0"/>
                <w:sz w:val="24"/>
                <w:szCs w:val="24"/>
              </w:rPr>
              <w:t>申报信息</w:t>
            </w:r>
          </w:p>
        </w:tc>
      </w:tr>
      <w:tr w14:paraId="11F4D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2" w:type="pct"/>
          </w:tcPr>
          <w:p w14:paraId="02DBF7B5">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逆回购方一债通账户</w:t>
            </w:r>
          </w:p>
        </w:tc>
        <w:tc>
          <w:tcPr>
            <w:tcW w:w="3407" w:type="pct"/>
          </w:tcPr>
          <w:p w14:paraId="07676E7C">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默认带出原合约对手方</w:t>
            </w:r>
            <w:r>
              <w:rPr>
                <w:rFonts w:hint="eastAsia" w:ascii="仿宋_GB2312" w:eastAsia="仿宋_GB2312"/>
                <w:kern w:val="0"/>
                <w:sz w:val="24"/>
                <w:szCs w:val="24"/>
              </w:rPr>
              <w:t>交易员</w:t>
            </w:r>
            <w:r>
              <w:rPr>
                <w:rFonts w:hint="eastAsia" w:ascii="仿宋_GB2312" w:eastAsia="仿宋_GB2312"/>
                <w:b w:val="0"/>
                <w:bCs/>
                <w:kern w:val="0"/>
                <w:sz w:val="24"/>
                <w:szCs w:val="24"/>
                <w:lang w:eastAsia="zh-CN"/>
              </w:rPr>
              <w:t>一债通账户号码</w:t>
            </w:r>
          </w:p>
        </w:tc>
      </w:tr>
      <w:tr w14:paraId="518F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92" w:type="pct"/>
          </w:tcPr>
          <w:p w14:paraId="433B2236">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逆回购方</w:t>
            </w:r>
            <w:r>
              <w:rPr>
                <w:rFonts w:hint="eastAsia" w:ascii="仿宋_GB2312" w:eastAsia="仿宋_GB2312"/>
                <w:b/>
                <w:kern w:val="0"/>
                <w:sz w:val="24"/>
                <w:szCs w:val="24"/>
              </w:rPr>
              <w:t>交易员</w:t>
            </w:r>
          </w:p>
        </w:tc>
        <w:tc>
          <w:tcPr>
            <w:tcW w:w="3407" w:type="pct"/>
          </w:tcPr>
          <w:p w14:paraId="18646E6C">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默认带出原合约对手</w:t>
            </w:r>
            <w:r>
              <w:rPr>
                <w:rFonts w:hint="eastAsia" w:ascii="仿宋_GB2312" w:eastAsia="仿宋_GB2312"/>
                <w:kern w:val="0"/>
                <w:sz w:val="24"/>
                <w:szCs w:val="24"/>
              </w:rPr>
              <w:t>方交易员名称</w:t>
            </w:r>
          </w:p>
        </w:tc>
      </w:tr>
      <w:tr w14:paraId="157D0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tcPr>
          <w:p w14:paraId="4B94A68A">
            <w:pPr>
              <w:adjustRightInd w:val="0"/>
              <w:snapToGrid w:val="0"/>
              <w:jc w:val="center"/>
              <w:rPr>
                <w:rFonts w:hint="eastAsia" w:ascii="仿宋_GB2312" w:eastAsia="仿宋_GB2312"/>
                <w:b/>
                <w:kern w:val="0"/>
                <w:sz w:val="24"/>
                <w:szCs w:val="24"/>
                <w:lang w:eastAsia="zh-CN"/>
              </w:rPr>
            </w:pPr>
            <w:r>
              <w:rPr>
                <w:rFonts w:hint="eastAsia" w:ascii="仿宋_GB2312" w:eastAsia="仿宋_GB2312"/>
                <w:b/>
                <w:kern w:val="0"/>
                <w:sz w:val="24"/>
                <w:szCs w:val="24"/>
                <w:lang w:eastAsia="zh-CN"/>
              </w:rPr>
              <w:t>换入券信息</w:t>
            </w:r>
          </w:p>
        </w:tc>
      </w:tr>
      <w:tr w14:paraId="5147B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2" w:type="pct"/>
          </w:tcPr>
          <w:p w14:paraId="226172C5">
            <w:pPr>
              <w:adjustRightInd w:val="0"/>
              <w:snapToGrid w:val="0"/>
              <w:rPr>
                <w:rFonts w:ascii="仿宋_GB2312" w:eastAsia="仿宋_GB2312"/>
                <w:b/>
                <w:kern w:val="0"/>
                <w:sz w:val="24"/>
                <w:szCs w:val="24"/>
              </w:rPr>
            </w:pPr>
            <w:r>
              <w:rPr>
                <w:rFonts w:hint="eastAsia" w:ascii="仿宋_GB2312" w:eastAsia="仿宋_GB2312"/>
                <w:b/>
                <w:kern w:val="0"/>
                <w:sz w:val="24"/>
                <w:szCs w:val="24"/>
              </w:rPr>
              <w:t>质押券代码</w:t>
            </w:r>
          </w:p>
        </w:tc>
        <w:tc>
          <w:tcPr>
            <w:tcW w:w="3407" w:type="pct"/>
          </w:tcPr>
          <w:p w14:paraId="629DA35A">
            <w:pPr>
              <w:adjustRightInd w:val="0"/>
              <w:snapToGrid w:val="0"/>
              <w:rPr>
                <w:rFonts w:ascii="仿宋_GB2312" w:eastAsia="仿宋_GB2312"/>
                <w:kern w:val="0"/>
                <w:sz w:val="24"/>
                <w:szCs w:val="24"/>
              </w:rPr>
            </w:pPr>
            <w:r>
              <w:rPr>
                <w:rFonts w:hint="eastAsia" w:ascii="仿宋_GB2312" w:eastAsia="仿宋_GB2312"/>
                <w:kern w:val="0"/>
                <w:sz w:val="24"/>
                <w:szCs w:val="24"/>
              </w:rPr>
              <w:t>换入质押券代码</w:t>
            </w:r>
          </w:p>
        </w:tc>
      </w:tr>
      <w:tr w14:paraId="029CB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2" w:type="pct"/>
          </w:tcPr>
          <w:p w14:paraId="5C212497">
            <w:pPr>
              <w:adjustRightInd w:val="0"/>
              <w:snapToGrid w:val="0"/>
              <w:rPr>
                <w:rFonts w:ascii="仿宋_GB2312" w:eastAsia="仿宋_GB2312"/>
                <w:b/>
                <w:kern w:val="0"/>
                <w:sz w:val="24"/>
                <w:szCs w:val="24"/>
              </w:rPr>
            </w:pPr>
            <w:r>
              <w:rPr>
                <w:rFonts w:hint="eastAsia" w:ascii="仿宋_GB2312" w:eastAsia="仿宋_GB2312"/>
                <w:b/>
                <w:kern w:val="0"/>
                <w:sz w:val="24"/>
                <w:szCs w:val="24"/>
              </w:rPr>
              <w:t>数量</w:t>
            </w:r>
          </w:p>
        </w:tc>
        <w:tc>
          <w:tcPr>
            <w:tcW w:w="3407" w:type="pct"/>
          </w:tcPr>
          <w:p w14:paraId="1C7F7732">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换入</w:t>
            </w:r>
            <w:r>
              <w:rPr>
                <w:rFonts w:hint="eastAsia" w:ascii="仿宋_GB2312" w:eastAsia="仿宋_GB2312"/>
                <w:kern w:val="0"/>
                <w:sz w:val="24"/>
                <w:szCs w:val="24"/>
              </w:rPr>
              <w:t>质押券数量，以千元面额为单位</w:t>
            </w:r>
          </w:p>
        </w:tc>
      </w:tr>
      <w:tr w14:paraId="45706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92" w:type="pct"/>
          </w:tcPr>
          <w:p w14:paraId="1E88FB84">
            <w:pPr>
              <w:adjustRightInd w:val="0"/>
              <w:snapToGrid w:val="0"/>
              <w:rPr>
                <w:rFonts w:ascii="仿宋_GB2312" w:eastAsia="仿宋_GB2312"/>
                <w:b/>
                <w:kern w:val="0"/>
                <w:sz w:val="24"/>
                <w:szCs w:val="24"/>
              </w:rPr>
            </w:pPr>
            <w:r>
              <w:rPr>
                <w:rFonts w:hint="eastAsia" w:ascii="仿宋_GB2312" w:eastAsia="仿宋_GB2312"/>
                <w:b/>
                <w:kern w:val="0"/>
                <w:sz w:val="24"/>
                <w:szCs w:val="24"/>
              </w:rPr>
              <w:t>质押券简称</w:t>
            </w:r>
          </w:p>
        </w:tc>
        <w:tc>
          <w:tcPr>
            <w:tcW w:w="3407" w:type="pct"/>
          </w:tcPr>
          <w:p w14:paraId="24D66A63">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根据代码自动带出</w:t>
            </w:r>
            <w:r>
              <w:rPr>
                <w:rFonts w:hint="eastAsia" w:ascii="仿宋_GB2312" w:eastAsia="仿宋_GB2312"/>
                <w:kern w:val="0"/>
                <w:sz w:val="24"/>
                <w:szCs w:val="24"/>
              </w:rPr>
              <w:t>质押券简称</w:t>
            </w:r>
          </w:p>
        </w:tc>
      </w:tr>
      <w:tr w14:paraId="4F139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2" w:type="pct"/>
          </w:tcPr>
          <w:p w14:paraId="4840CCA3">
            <w:pPr>
              <w:adjustRightInd w:val="0"/>
              <w:snapToGrid w:val="0"/>
              <w:rPr>
                <w:rFonts w:ascii="仿宋_GB2312" w:eastAsia="仿宋_GB2312"/>
                <w:b/>
                <w:kern w:val="0"/>
                <w:sz w:val="24"/>
                <w:szCs w:val="24"/>
              </w:rPr>
            </w:pPr>
            <w:r>
              <w:rPr>
                <w:rFonts w:hint="eastAsia" w:ascii="仿宋_GB2312" w:eastAsia="仿宋_GB2312"/>
                <w:b/>
                <w:kern w:val="0"/>
                <w:sz w:val="24"/>
                <w:szCs w:val="24"/>
              </w:rPr>
              <w:t>所属篮子</w:t>
            </w:r>
          </w:p>
        </w:tc>
        <w:tc>
          <w:tcPr>
            <w:tcW w:w="3407" w:type="pct"/>
          </w:tcPr>
          <w:p w14:paraId="7694D647">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根据质押券代码自动带出篮子编号</w:t>
            </w:r>
          </w:p>
        </w:tc>
      </w:tr>
      <w:tr w14:paraId="58CC0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2" w:type="pct"/>
          </w:tcPr>
          <w:p w14:paraId="0231BC64">
            <w:pPr>
              <w:adjustRightInd w:val="0"/>
              <w:snapToGrid w:val="0"/>
              <w:rPr>
                <w:rFonts w:ascii="仿宋_GB2312" w:eastAsia="仿宋_GB2312"/>
                <w:b/>
                <w:kern w:val="0"/>
                <w:sz w:val="24"/>
                <w:szCs w:val="24"/>
              </w:rPr>
            </w:pPr>
            <w:r>
              <w:rPr>
                <w:rFonts w:hint="eastAsia" w:ascii="仿宋_GB2312" w:eastAsia="仿宋_GB2312"/>
                <w:b/>
                <w:kern w:val="0"/>
                <w:sz w:val="24"/>
                <w:szCs w:val="24"/>
              </w:rPr>
              <w:t>折扣率</w:t>
            </w:r>
          </w:p>
        </w:tc>
        <w:tc>
          <w:tcPr>
            <w:tcW w:w="3407" w:type="pct"/>
          </w:tcPr>
          <w:p w14:paraId="037057AF">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单位：</w:t>
            </w:r>
            <w:r>
              <w:rPr>
                <w:rFonts w:hint="eastAsia" w:ascii="仿宋_GB2312" w:eastAsia="仿宋_GB2312"/>
                <w:kern w:val="0"/>
                <w:sz w:val="24"/>
                <w:szCs w:val="24"/>
                <w:lang w:val="en-US" w:eastAsia="zh-CN"/>
              </w:rPr>
              <w:t>%，</w:t>
            </w:r>
            <w:r>
              <w:rPr>
                <w:rFonts w:hint="eastAsia" w:ascii="仿宋_GB2312" w:eastAsia="仿宋_GB2312"/>
                <w:kern w:val="0"/>
                <w:sz w:val="24"/>
                <w:szCs w:val="24"/>
              </w:rPr>
              <w:t>换入质押券原有回购折扣率，</w:t>
            </w:r>
            <w:r>
              <w:rPr>
                <w:rFonts w:hint="eastAsia" w:ascii="仿宋_GB2312" w:eastAsia="仿宋_GB2312"/>
                <w:kern w:val="0"/>
                <w:sz w:val="24"/>
                <w:szCs w:val="24"/>
                <w:lang w:eastAsia="zh-CN"/>
              </w:rPr>
              <w:t>自动带出</w:t>
            </w:r>
          </w:p>
        </w:tc>
      </w:tr>
      <w:tr w14:paraId="058B8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2" w:type="pct"/>
          </w:tcPr>
          <w:p w14:paraId="11E16443">
            <w:pPr>
              <w:adjustRightInd w:val="0"/>
              <w:snapToGrid w:val="0"/>
              <w:rPr>
                <w:rFonts w:ascii="仿宋_GB2312" w:eastAsia="仿宋_GB2312"/>
                <w:b/>
                <w:kern w:val="0"/>
                <w:sz w:val="24"/>
                <w:szCs w:val="24"/>
              </w:rPr>
            </w:pPr>
            <w:r>
              <w:rPr>
                <w:rFonts w:hint="eastAsia" w:ascii="仿宋_GB2312" w:eastAsia="仿宋_GB2312"/>
                <w:b/>
                <w:kern w:val="0"/>
                <w:sz w:val="24"/>
                <w:szCs w:val="24"/>
              </w:rPr>
              <w:t>全价估值</w:t>
            </w:r>
          </w:p>
        </w:tc>
        <w:tc>
          <w:tcPr>
            <w:tcW w:w="3407" w:type="pct"/>
          </w:tcPr>
          <w:p w14:paraId="7A1868BD">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单位：元，</w:t>
            </w:r>
            <w:r>
              <w:rPr>
                <w:rFonts w:hint="eastAsia" w:ascii="仿宋_GB2312" w:eastAsia="仿宋_GB2312"/>
                <w:kern w:val="0"/>
                <w:sz w:val="24"/>
                <w:szCs w:val="24"/>
              </w:rPr>
              <w:t>换入质押券当前的全价估值，</w:t>
            </w:r>
            <w:r>
              <w:rPr>
                <w:rFonts w:hint="eastAsia" w:ascii="仿宋_GB2312" w:eastAsia="仿宋_GB2312"/>
                <w:kern w:val="0"/>
                <w:sz w:val="24"/>
                <w:szCs w:val="24"/>
                <w:lang w:eastAsia="zh-CN"/>
              </w:rPr>
              <w:t>自动带出</w:t>
            </w:r>
          </w:p>
        </w:tc>
      </w:tr>
      <w:tr w14:paraId="4B4E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92" w:type="pct"/>
          </w:tcPr>
          <w:p w14:paraId="4300BF48">
            <w:pPr>
              <w:adjustRightInd w:val="0"/>
              <w:snapToGrid w:val="0"/>
              <w:rPr>
                <w:rFonts w:ascii="仿宋_GB2312" w:eastAsia="仿宋_GB2312"/>
                <w:b/>
                <w:kern w:val="0"/>
                <w:sz w:val="24"/>
                <w:szCs w:val="24"/>
              </w:rPr>
            </w:pPr>
            <w:r>
              <w:rPr>
                <w:rFonts w:hint="eastAsia" w:ascii="仿宋_GB2312" w:eastAsia="仿宋_GB2312"/>
                <w:b/>
                <w:kern w:val="0"/>
                <w:sz w:val="24"/>
                <w:szCs w:val="24"/>
              </w:rPr>
              <w:t>担保价值</w:t>
            </w:r>
          </w:p>
        </w:tc>
        <w:tc>
          <w:tcPr>
            <w:tcW w:w="3407" w:type="pct"/>
          </w:tcPr>
          <w:p w14:paraId="177BFCAF">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单位：元，</w:t>
            </w:r>
            <w:r>
              <w:rPr>
                <w:rFonts w:hint="eastAsia" w:ascii="仿宋_GB2312" w:eastAsia="仿宋_GB2312"/>
                <w:kern w:val="0"/>
                <w:sz w:val="24"/>
                <w:szCs w:val="24"/>
              </w:rPr>
              <w:t>换入质押债券的担保价值，自动</w:t>
            </w:r>
            <w:r>
              <w:rPr>
                <w:rFonts w:hint="eastAsia" w:ascii="仿宋_GB2312" w:eastAsia="仿宋_GB2312"/>
                <w:kern w:val="0"/>
                <w:sz w:val="24"/>
                <w:szCs w:val="24"/>
                <w:lang w:eastAsia="zh-CN"/>
              </w:rPr>
              <w:t>计算带出</w:t>
            </w:r>
          </w:p>
        </w:tc>
      </w:tr>
      <w:tr w14:paraId="6522F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2" w:type="pct"/>
          </w:tcPr>
          <w:p w14:paraId="6D3B5377">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合计</w:t>
            </w:r>
            <w:r>
              <w:rPr>
                <w:rFonts w:hint="eastAsia" w:ascii="仿宋_GB2312" w:eastAsia="仿宋_GB2312"/>
                <w:b/>
                <w:kern w:val="0"/>
                <w:sz w:val="24"/>
                <w:szCs w:val="24"/>
              </w:rPr>
              <w:t>担保价值</w:t>
            </w:r>
          </w:p>
        </w:tc>
        <w:tc>
          <w:tcPr>
            <w:tcW w:w="3407" w:type="pct"/>
          </w:tcPr>
          <w:p w14:paraId="0BC27BA5">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单位：元，新合计担保价值</w:t>
            </w:r>
            <w:r>
              <w:rPr>
                <w:rFonts w:hint="eastAsia" w:ascii="仿宋_GB2312" w:eastAsia="仿宋_GB2312"/>
                <w:kern w:val="0"/>
                <w:sz w:val="24"/>
                <w:szCs w:val="24"/>
                <w:lang w:val="en-US" w:eastAsia="zh-CN"/>
              </w:rPr>
              <w:t>=</w:t>
            </w:r>
            <w:r>
              <w:rPr>
                <w:rFonts w:hint="eastAsia" w:ascii="仿宋_GB2312" w:eastAsia="仿宋_GB2312"/>
                <w:kern w:val="0"/>
                <w:sz w:val="24"/>
                <w:szCs w:val="24"/>
                <w:lang w:eastAsia="zh-CN"/>
              </w:rPr>
              <w:t>原合计担保价值+换入券价值-换出券价值，自动计算带出</w:t>
            </w:r>
          </w:p>
        </w:tc>
      </w:tr>
      <w:tr w14:paraId="1BC4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2" w:type="pct"/>
          </w:tcPr>
          <w:p w14:paraId="302B6568">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约定号</w:t>
            </w:r>
          </w:p>
        </w:tc>
        <w:tc>
          <w:tcPr>
            <w:tcW w:w="3407" w:type="pct"/>
          </w:tcPr>
          <w:p w14:paraId="365D68FC">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选填</w:t>
            </w:r>
          </w:p>
        </w:tc>
      </w:tr>
      <w:tr w14:paraId="4FF49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tcPr>
          <w:p w14:paraId="170A5866">
            <w:pPr>
              <w:adjustRightInd w:val="0"/>
              <w:snapToGrid w:val="0"/>
              <w:jc w:val="center"/>
              <w:rPr>
                <w:rFonts w:ascii="仿宋_GB2312" w:eastAsia="仿宋_GB2312"/>
                <w:kern w:val="0"/>
                <w:sz w:val="24"/>
                <w:szCs w:val="24"/>
              </w:rPr>
            </w:pPr>
            <w:r>
              <w:rPr>
                <w:rFonts w:hint="eastAsia" w:ascii="仿宋_GB2312" w:eastAsia="仿宋_GB2312"/>
                <w:b/>
                <w:bCs/>
                <w:kern w:val="0"/>
                <w:sz w:val="24"/>
                <w:szCs w:val="24"/>
                <w:lang w:eastAsia="zh-CN"/>
              </w:rPr>
              <w:t>换出券</w:t>
            </w:r>
            <w:r>
              <w:rPr>
                <w:rFonts w:hint="eastAsia" w:ascii="仿宋_GB2312" w:eastAsia="仿宋_GB2312"/>
                <w:b/>
                <w:bCs/>
                <w:kern w:val="0"/>
                <w:sz w:val="24"/>
                <w:szCs w:val="24"/>
              </w:rPr>
              <w:t>信息</w:t>
            </w:r>
          </w:p>
        </w:tc>
      </w:tr>
      <w:tr w14:paraId="3CAB6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92" w:type="pct"/>
          </w:tcPr>
          <w:p w14:paraId="5A795B57">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质押券代码</w:t>
            </w:r>
          </w:p>
        </w:tc>
        <w:tc>
          <w:tcPr>
            <w:tcW w:w="3407" w:type="pct"/>
          </w:tcPr>
          <w:p w14:paraId="6ABE8CD9">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可换出的质押券代码，下拉选项</w:t>
            </w:r>
          </w:p>
        </w:tc>
      </w:tr>
      <w:tr w14:paraId="6EED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2" w:type="pct"/>
          </w:tcPr>
          <w:p w14:paraId="6C65CFEB">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质押券简称</w:t>
            </w:r>
          </w:p>
        </w:tc>
        <w:tc>
          <w:tcPr>
            <w:tcW w:w="3407" w:type="pct"/>
          </w:tcPr>
          <w:p w14:paraId="6FB14126">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根据代码自动带出简称</w:t>
            </w:r>
          </w:p>
        </w:tc>
      </w:tr>
      <w:tr w14:paraId="513F2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2" w:type="pct"/>
          </w:tcPr>
          <w:p w14:paraId="3FFF926B">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数量</w:t>
            </w:r>
          </w:p>
        </w:tc>
        <w:tc>
          <w:tcPr>
            <w:tcW w:w="3407" w:type="pct"/>
          </w:tcPr>
          <w:p w14:paraId="0EF854DB">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单位：千元面额，小于等于其质押数量</w:t>
            </w:r>
          </w:p>
        </w:tc>
      </w:tr>
      <w:tr w14:paraId="1CBEB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2" w:type="pct"/>
          </w:tcPr>
          <w:p w14:paraId="27B3AB31">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所属篮子</w:t>
            </w:r>
          </w:p>
        </w:tc>
        <w:tc>
          <w:tcPr>
            <w:tcW w:w="3407" w:type="pct"/>
          </w:tcPr>
          <w:p w14:paraId="08E2ADBD">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根据质押券代码自动带出篮子编号</w:t>
            </w:r>
          </w:p>
        </w:tc>
      </w:tr>
      <w:tr w14:paraId="15FF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92" w:type="pct"/>
          </w:tcPr>
          <w:p w14:paraId="6F69A082">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全价估值</w:t>
            </w:r>
          </w:p>
        </w:tc>
        <w:tc>
          <w:tcPr>
            <w:tcW w:w="3407" w:type="pct"/>
          </w:tcPr>
          <w:p w14:paraId="26A33691">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单位：元，</w:t>
            </w:r>
            <w:r>
              <w:rPr>
                <w:rFonts w:hint="eastAsia" w:ascii="仿宋_GB2312" w:eastAsia="仿宋_GB2312"/>
                <w:kern w:val="0"/>
                <w:sz w:val="24"/>
                <w:szCs w:val="24"/>
              </w:rPr>
              <w:t>质押券当前的全价估值，自动</w:t>
            </w:r>
            <w:r>
              <w:rPr>
                <w:rFonts w:hint="eastAsia" w:ascii="仿宋_GB2312" w:eastAsia="仿宋_GB2312"/>
                <w:kern w:val="0"/>
                <w:sz w:val="24"/>
                <w:szCs w:val="24"/>
                <w:lang w:eastAsia="zh-CN"/>
              </w:rPr>
              <w:t>带出</w:t>
            </w:r>
          </w:p>
        </w:tc>
      </w:tr>
      <w:tr w14:paraId="34D3B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2" w:type="pct"/>
          </w:tcPr>
          <w:p w14:paraId="7A19A4ED">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折扣率</w:t>
            </w:r>
          </w:p>
        </w:tc>
        <w:tc>
          <w:tcPr>
            <w:tcW w:w="3407" w:type="pct"/>
          </w:tcPr>
          <w:p w14:paraId="50322FC1">
            <w:pPr>
              <w:adjustRightInd w:val="0"/>
              <w:snapToGrid w:val="0"/>
              <w:rPr>
                <w:rFonts w:hint="default" w:ascii="仿宋_GB2312" w:eastAsia="仿宋_GB2312"/>
                <w:kern w:val="0"/>
                <w:sz w:val="24"/>
                <w:szCs w:val="24"/>
                <w:lang w:val="en-US" w:eastAsia="zh-CN"/>
              </w:rPr>
            </w:pPr>
            <w:r>
              <w:rPr>
                <w:rFonts w:hint="eastAsia" w:ascii="仿宋_GB2312" w:eastAsia="仿宋_GB2312"/>
                <w:kern w:val="0"/>
                <w:sz w:val="24"/>
                <w:szCs w:val="24"/>
                <w:lang w:eastAsia="zh-CN"/>
              </w:rPr>
              <w:t>单位：</w:t>
            </w:r>
            <w:r>
              <w:rPr>
                <w:rFonts w:hint="eastAsia" w:ascii="仿宋_GB2312" w:eastAsia="仿宋_GB2312"/>
                <w:kern w:val="0"/>
                <w:sz w:val="24"/>
                <w:szCs w:val="24"/>
                <w:lang w:val="en-US" w:eastAsia="zh-CN"/>
              </w:rPr>
              <w:t>%，自动带出</w:t>
            </w:r>
          </w:p>
        </w:tc>
      </w:tr>
      <w:tr w14:paraId="2884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2" w:type="pct"/>
          </w:tcPr>
          <w:p w14:paraId="75687E39">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担保价值</w:t>
            </w:r>
          </w:p>
        </w:tc>
        <w:tc>
          <w:tcPr>
            <w:tcW w:w="3407" w:type="pct"/>
          </w:tcPr>
          <w:p w14:paraId="6C0D0E52">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单位：元，自动计算带出</w:t>
            </w:r>
          </w:p>
        </w:tc>
      </w:tr>
      <w:tr w14:paraId="4FBFC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2" w:type="pct"/>
          </w:tcPr>
          <w:p w14:paraId="197E1EE3">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冻结申请书号</w:t>
            </w:r>
          </w:p>
        </w:tc>
        <w:tc>
          <w:tcPr>
            <w:tcW w:w="3407" w:type="pct"/>
          </w:tcPr>
          <w:p w14:paraId="0DA60050">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自动带出或下拉选项</w:t>
            </w:r>
          </w:p>
        </w:tc>
      </w:tr>
    </w:tbl>
    <w:p w14:paraId="1580B406">
      <w:pPr>
        <w:adjustRightInd w:val="0"/>
        <w:snapToGrid w:val="0"/>
        <w:spacing w:line="600" w:lineRule="exact"/>
        <w:ind w:firstLine="600" w:firstLineChars="200"/>
        <w:rPr>
          <w:rFonts w:ascii="仿宋_GB2312" w:hAnsi="Calibri" w:eastAsia="仿宋_GB2312"/>
          <w:color w:val="000000"/>
          <w:sz w:val="30"/>
          <w:szCs w:val="30"/>
        </w:rPr>
      </w:pPr>
      <w:r>
        <w:rPr>
          <w:rFonts w:hint="eastAsia" w:ascii="仿宋_GB2312" w:hAnsi="Calibri" w:eastAsia="仿宋_GB2312"/>
          <w:sz w:val="30"/>
          <w:szCs w:val="30"/>
        </w:rPr>
        <w:t>每次换券只能替换一只债券，换入的债券和换出的债券需要指定具体数量，换入的债券需要满足回购合约的质押券篮子要求，</w:t>
      </w:r>
      <w:r>
        <w:rPr>
          <w:rFonts w:hint="eastAsia" w:ascii="仿宋_GB2312" w:hAnsi="Calibri" w:eastAsia="仿宋_GB2312"/>
          <w:sz w:val="30"/>
          <w:szCs w:val="30"/>
          <w:lang w:eastAsia="zh-CN"/>
        </w:rPr>
        <w:t>换入与换出的质押券需属于同一篮子，</w:t>
      </w:r>
      <w:r>
        <w:rPr>
          <w:rFonts w:hint="eastAsia" w:ascii="仿宋_GB2312" w:hAnsi="Calibri" w:eastAsia="仿宋_GB2312"/>
          <w:sz w:val="30"/>
          <w:szCs w:val="30"/>
        </w:rPr>
        <w:t>且换入的质押券的到期</w:t>
      </w:r>
      <w:r>
        <w:rPr>
          <w:rFonts w:hint="eastAsia" w:ascii="仿宋_GB2312" w:hAnsi="Calibri" w:eastAsia="仿宋_GB2312"/>
          <w:sz w:val="30"/>
          <w:szCs w:val="30"/>
          <w:lang w:eastAsia="zh-CN"/>
        </w:rPr>
        <w:t>登记</w:t>
      </w:r>
      <w:r>
        <w:rPr>
          <w:rFonts w:hint="eastAsia" w:ascii="仿宋_GB2312" w:hAnsi="Calibri" w:eastAsia="仿宋_GB2312"/>
          <w:sz w:val="30"/>
          <w:szCs w:val="30"/>
        </w:rPr>
        <w:t>日不得早于回购到期日，否则换券申报失败。若换入债券的数量为0，则表示仅进行债券的换出，不进行换入，</w:t>
      </w:r>
      <w:r>
        <w:rPr>
          <w:rFonts w:hint="eastAsia" w:ascii="仿宋_GB2312" w:hAnsi="Calibri" w:eastAsia="仿宋_GB2312"/>
          <w:color w:val="000000"/>
          <w:sz w:val="30"/>
          <w:szCs w:val="30"/>
        </w:rPr>
        <w:t>登记结算机构只对换出的质押券解除质押登记。因换入债券数量不足等原因导致变更质押登记失败的，原质押券的质押状态不变。</w:t>
      </w:r>
      <w:bookmarkStart w:id="2215" w:name="_Toc489369913"/>
      <w:bookmarkEnd w:id="2215"/>
      <w:bookmarkStart w:id="2216" w:name="_Toc489369916"/>
      <w:bookmarkEnd w:id="2216"/>
      <w:bookmarkStart w:id="2217" w:name="_Toc489369979"/>
      <w:bookmarkEnd w:id="2217"/>
      <w:bookmarkStart w:id="2218" w:name="_Toc489369982"/>
      <w:bookmarkEnd w:id="2218"/>
      <w:bookmarkStart w:id="2219" w:name="_Toc489369981"/>
      <w:bookmarkEnd w:id="2219"/>
      <w:bookmarkStart w:id="2220" w:name="_Toc489369980"/>
      <w:bookmarkEnd w:id="2220"/>
      <w:bookmarkStart w:id="2221" w:name="_Toc489369914"/>
      <w:bookmarkEnd w:id="2221"/>
      <w:bookmarkStart w:id="2222" w:name="_Toc489369978"/>
      <w:bookmarkEnd w:id="2222"/>
      <w:bookmarkStart w:id="2223" w:name="_Toc489369977"/>
      <w:bookmarkEnd w:id="2223"/>
      <w:bookmarkStart w:id="2224" w:name="_Toc489369915"/>
      <w:bookmarkEnd w:id="2224"/>
      <w:bookmarkStart w:id="2225" w:name="_Toc489369912"/>
      <w:bookmarkEnd w:id="2225"/>
      <w:bookmarkStart w:id="2226" w:name="_Toc489369911"/>
      <w:bookmarkEnd w:id="2226"/>
    </w:p>
    <w:p w14:paraId="2D296196">
      <w:pPr>
        <w:spacing w:line="600" w:lineRule="exact"/>
        <w:ind w:left="567"/>
        <w:outlineLvl w:val="3"/>
        <w:rPr>
          <w:rFonts w:ascii="仿宋_GB2312" w:eastAsia="仿宋_GB2312"/>
          <w:b/>
          <w:sz w:val="30"/>
          <w:szCs w:val="30"/>
        </w:rPr>
      </w:pPr>
      <w:r>
        <w:rPr>
          <w:rFonts w:hint="eastAsia" w:ascii="仿宋_GB2312" w:eastAsia="仿宋_GB2312"/>
          <w:b/>
          <w:sz w:val="30"/>
          <w:szCs w:val="30"/>
        </w:rPr>
        <w:t>（3）补券</w:t>
      </w:r>
    </w:p>
    <w:p w14:paraId="481D23A3">
      <w:pPr>
        <w:adjustRightInd w:val="0"/>
        <w:snapToGrid w:val="0"/>
        <w:spacing w:line="600" w:lineRule="exact"/>
        <w:ind w:firstLine="600" w:firstLineChars="200"/>
        <w:rPr>
          <w:rFonts w:hint="eastAsia" w:ascii="仿宋_GB2312" w:hAnsi="Calibri" w:eastAsia="仿宋_GB2312"/>
          <w:kern w:val="0"/>
          <w:sz w:val="30"/>
          <w:szCs w:val="30"/>
          <w:lang w:eastAsia="zh-CN"/>
        </w:rPr>
      </w:pPr>
      <w:r>
        <w:rPr>
          <w:rFonts w:hint="eastAsia" w:ascii="仿宋_GB2312" w:hAnsi="Calibri" w:eastAsia="仿宋_GB2312"/>
          <w:kern w:val="0"/>
          <w:sz w:val="30"/>
          <w:szCs w:val="30"/>
        </w:rPr>
        <w:t>在质押券担保价值与回购金额相比出现不足且达到一定比例（暂定为5%）时，逆回购方有权根据主协议、补充协议及交易补充约定要求正回购方补充、变更相应的质押券或提供其他相应担保，正回购方可通过</w:t>
      </w:r>
      <w:r>
        <w:rPr>
          <w:rFonts w:hint="eastAsia" w:ascii="仿宋_GB2312" w:hAnsi="Calibri" w:eastAsia="仿宋_GB2312"/>
          <w:kern w:val="0"/>
          <w:sz w:val="30"/>
          <w:szCs w:val="30"/>
          <w:lang w:eastAsia="zh-CN"/>
        </w:rPr>
        <w:t>新固定收益系统</w:t>
      </w:r>
      <w:r>
        <w:rPr>
          <w:rFonts w:hint="eastAsia" w:ascii="仿宋_GB2312" w:hAnsi="Calibri" w:eastAsia="仿宋_GB2312"/>
          <w:kern w:val="0"/>
          <w:sz w:val="30"/>
          <w:szCs w:val="30"/>
        </w:rPr>
        <w:t>申报补充质押券</w:t>
      </w:r>
      <w:r>
        <w:rPr>
          <w:rFonts w:hint="eastAsia" w:ascii="仿宋_GB2312" w:hAnsi="Calibri" w:eastAsia="仿宋_GB2312"/>
          <w:kern w:val="0"/>
          <w:sz w:val="30"/>
          <w:szCs w:val="30"/>
          <w:lang w:eastAsia="zh-CN"/>
        </w:rPr>
        <w:t>，补券申报</w:t>
      </w:r>
      <w:r>
        <w:rPr>
          <w:rFonts w:hint="eastAsia" w:ascii="仿宋_GB2312" w:hAnsi="Calibri" w:eastAsia="仿宋_GB2312"/>
          <w:kern w:val="0"/>
          <w:sz w:val="30"/>
          <w:szCs w:val="30"/>
        </w:rPr>
        <w:t>无需逆回购方确认。</w:t>
      </w:r>
    </w:p>
    <w:p w14:paraId="55AB0C22">
      <w:pPr>
        <w:spacing w:line="600" w:lineRule="exact"/>
        <w:ind w:firstLine="600" w:firstLineChars="200"/>
        <w:rPr>
          <w:rFonts w:hint="eastAsia" w:ascii="仿宋_GB2312" w:hAnsi="宋体" w:eastAsia="仿宋_GB2312"/>
          <w:sz w:val="30"/>
          <w:szCs w:val="30"/>
        </w:rPr>
      </w:pPr>
      <w:r>
        <w:rPr>
          <w:rFonts w:hint="eastAsia" w:ascii="仿宋_GB2312" w:hAnsi="宋体" w:eastAsia="仿宋_GB2312"/>
          <w:sz w:val="30"/>
          <w:szCs w:val="30"/>
        </w:rPr>
        <w:t>补券申报</w:t>
      </w:r>
      <w:r>
        <w:rPr>
          <w:rFonts w:hint="eastAsia" w:ascii="仿宋_GB2312" w:hAnsi="Calibri" w:eastAsia="仿宋_GB2312"/>
          <w:sz w:val="30"/>
          <w:szCs w:val="30"/>
          <w:lang w:eastAsia="zh-CN"/>
        </w:rPr>
        <w:t>时自动带出原合约申报信息，可查看、不可修改，</w:t>
      </w:r>
      <w:r>
        <w:rPr>
          <w:rFonts w:hint="eastAsia" w:ascii="仿宋_GB2312" w:hAnsi="宋体" w:eastAsia="仿宋_GB2312"/>
          <w:sz w:val="30"/>
          <w:szCs w:val="30"/>
          <w:lang w:val="en-US" w:eastAsia="zh-CN"/>
        </w:rPr>
        <w:t>其他</w:t>
      </w:r>
      <w:r>
        <w:rPr>
          <w:rFonts w:hint="eastAsia" w:ascii="仿宋_GB2312" w:hAnsi="宋体" w:eastAsia="仿宋_GB2312"/>
          <w:sz w:val="30"/>
          <w:szCs w:val="30"/>
        </w:rPr>
        <w:t>要素及要素说明如下：</w:t>
      </w:r>
    </w:p>
    <w:tbl>
      <w:tblPr>
        <w:tblStyle w:val="43"/>
        <w:tblW w:w="484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4"/>
        <w:gridCol w:w="5735"/>
      </w:tblGrid>
      <w:tr w14:paraId="15423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pct"/>
          </w:tcPr>
          <w:p w14:paraId="08964544">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3475" w:type="pct"/>
          </w:tcPr>
          <w:p w14:paraId="357256ED">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6FC45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tcPr>
          <w:p w14:paraId="112E59E3">
            <w:pPr>
              <w:adjustRightInd w:val="0"/>
              <w:snapToGrid w:val="0"/>
              <w:jc w:val="center"/>
              <w:rPr>
                <w:rFonts w:ascii="仿宋_GB2312" w:eastAsia="仿宋_GB2312"/>
                <w:b/>
                <w:kern w:val="0"/>
                <w:sz w:val="24"/>
                <w:szCs w:val="24"/>
              </w:rPr>
            </w:pPr>
            <w:r>
              <w:rPr>
                <w:rFonts w:hint="eastAsia" w:ascii="仿宋_GB2312" w:eastAsia="仿宋_GB2312"/>
                <w:b/>
                <w:kern w:val="0"/>
                <w:sz w:val="24"/>
                <w:szCs w:val="24"/>
                <w:lang w:eastAsia="zh-CN"/>
              </w:rPr>
              <w:t>本次</w:t>
            </w:r>
            <w:r>
              <w:rPr>
                <w:rFonts w:hint="eastAsia" w:ascii="仿宋_GB2312" w:eastAsia="仿宋_GB2312"/>
                <w:b/>
                <w:kern w:val="0"/>
                <w:sz w:val="24"/>
                <w:szCs w:val="24"/>
              </w:rPr>
              <w:t>申报信息</w:t>
            </w:r>
          </w:p>
        </w:tc>
      </w:tr>
      <w:tr w14:paraId="07732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pct"/>
          </w:tcPr>
          <w:p w14:paraId="76A8DC4D">
            <w:pPr>
              <w:adjustRightInd w:val="0"/>
              <w:snapToGrid w:val="0"/>
              <w:rPr>
                <w:rFonts w:hint="eastAsia" w:ascii="仿宋_GB2312" w:eastAsia="仿宋_GB2312"/>
                <w:b/>
                <w:kern w:val="0"/>
                <w:sz w:val="24"/>
                <w:szCs w:val="24"/>
                <w:lang w:eastAsia="zh-CN"/>
              </w:rPr>
            </w:pPr>
            <w:r>
              <w:rPr>
                <w:rFonts w:hint="eastAsia" w:ascii="仿宋_GB2312" w:eastAsia="仿宋_GB2312"/>
                <w:b/>
                <w:kern w:val="0"/>
                <w:sz w:val="24"/>
                <w:szCs w:val="24"/>
                <w:lang w:eastAsia="zh-CN"/>
              </w:rPr>
              <w:t>逆回购方一债通账户</w:t>
            </w:r>
          </w:p>
        </w:tc>
        <w:tc>
          <w:tcPr>
            <w:tcW w:w="3475" w:type="pct"/>
          </w:tcPr>
          <w:p w14:paraId="494D080D">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默认带出原合约</w:t>
            </w:r>
            <w:r>
              <w:rPr>
                <w:rFonts w:hint="eastAsia" w:ascii="仿宋_GB2312" w:eastAsia="仿宋_GB2312"/>
                <w:kern w:val="0"/>
                <w:sz w:val="24"/>
                <w:szCs w:val="24"/>
              </w:rPr>
              <w:t>对手方交易员</w:t>
            </w:r>
            <w:r>
              <w:rPr>
                <w:rFonts w:hint="eastAsia" w:ascii="仿宋_GB2312" w:eastAsia="仿宋_GB2312"/>
                <w:kern w:val="0"/>
                <w:sz w:val="24"/>
                <w:szCs w:val="24"/>
                <w:lang w:eastAsia="zh-CN"/>
              </w:rPr>
              <w:t>一债通账户号码</w:t>
            </w:r>
          </w:p>
        </w:tc>
      </w:tr>
      <w:tr w14:paraId="36A96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24" w:type="pct"/>
          </w:tcPr>
          <w:p w14:paraId="37242871">
            <w:pPr>
              <w:adjustRightInd w:val="0"/>
              <w:snapToGrid w:val="0"/>
              <w:rPr>
                <w:rFonts w:ascii="仿宋_GB2312" w:eastAsia="仿宋_GB2312"/>
                <w:b/>
                <w:kern w:val="0"/>
                <w:sz w:val="24"/>
                <w:szCs w:val="24"/>
              </w:rPr>
            </w:pPr>
            <w:r>
              <w:rPr>
                <w:rFonts w:hint="eastAsia" w:ascii="仿宋_GB2312" w:eastAsia="仿宋_GB2312"/>
                <w:b/>
                <w:kern w:val="0"/>
                <w:sz w:val="24"/>
                <w:szCs w:val="24"/>
                <w:lang w:eastAsia="zh-CN"/>
              </w:rPr>
              <w:t>逆回购方</w:t>
            </w:r>
            <w:r>
              <w:rPr>
                <w:rFonts w:hint="eastAsia" w:ascii="仿宋_GB2312" w:eastAsia="仿宋_GB2312"/>
                <w:b/>
                <w:kern w:val="0"/>
                <w:sz w:val="24"/>
                <w:szCs w:val="24"/>
              </w:rPr>
              <w:t>交易员</w:t>
            </w:r>
          </w:p>
        </w:tc>
        <w:tc>
          <w:tcPr>
            <w:tcW w:w="3475" w:type="pct"/>
          </w:tcPr>
          <w:p w14:paraId="263B694A">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默认带出原合约</w:t>
            </w:r>
            <w:r>
              <w:rPr>
                <w:rFonts w:hint="eastAsia" w:ascii="仿宋_GB2312" w:eastAsia="仿宋_GB2312"/>
                <w:kern w:val="0"/>
                <w:sz w:val="24"/>
                <w:szCs w:val="24"/>
              </w:rPr>
              <w:t>对手方交易员名称</w:t>
            </w:r>
          </w:p>
        </w:tc>
      </w:tr>
      <w:tr w14:paraId="113AB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tcPr>
          <w:p w14:paraId="38156B07">
            <w:pPr>
              <w:adjustRightInd w:val="0"/>
              <w:snapToGrid w:val="0"/>
              <w:jc w:val="center"/>
              <w:rPr>
                <w:rFonts w:hint="eastAsia" w:ascii="仿宋_GB2312" w:eastAsia="仿宋_GB2312"/>
                <w:b/>
                <w:kern w:val="0"/>
                <w:sz w:val="24"/>
                <w:szCs w:val="24"/>
                <w:lang w:eastAsia="zh-CN"/>
              </w:rPr>
            </w:pPr>
            <w:r>
              <w:rPr>
                <w:rFonts w:hint="eastAsia" w:ascii="仿宋_GB2312" w:eastAsia="仿宋_GB2312"/>
                <w:b/>
                <w:kern w:val="0"/>
                <w:sz w:val="24"/>
                <w:szCs w:val="24"/>
                <w:lang w:eastAsia="zh-CN"/>
              </w:rPr>
              <w:t>补券信息</w:t>
            </w:r>
          </w:p>
        </w:tc>
      </w:tr>
      <w:tr w14:paraId="172E9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pct"/>
          </w:tcPr>
          <w:p w14:paraId="71D488F8">
            <w:pPr>
              <w:adjustRightInd w:val="0"/>
              <w:snapToGrid w:val="0"/>
              <w:rPr>
                <w:rFonts w:ascii="仿宋_GB2312" w:eastAsia="仿宋_GB2312"/>
                <w:b/>
                <w:kern w:val="0"/>
                <w:sz w:val="24"/>
                <w:szCs w:val="24"/>
              </w:rPr>
            </w:pPr>
            <w:r>
              <w:rPr>
                <w:rFonts w:hint="eastAsia" w:ascii="仿宋_GB2312" w:eastAsia="仿宋_GB2312"/>
                <w:b/>
                <w:kern w:val="0"/>
                <w:sz w:val="24"/>
                <w:szCs w:val="24"/>
              </w:rPr>
              <w:t>质押券代码</w:t>
            </w:r>
          </w:p>
        </w:tc>
        <w:tc>
          <w:tcPr>
            <w:tcW w:w="3475" w:type="pct"/>
          </w:tcPr>
          <w:p w14:paraId="1DB15B3C">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补充</w:t>
            </w:r>
            <w:r>
              <w:rPr>
                <w:rFonts w:hint="eastAsia" w:ascii="仿宋_GB2312" w:eastAsia="仿宋_GB2312"/>
                <w:kern w:val="0"/>
                <w:sz w:val="24"/>
                <w:szCs w:val="24"/>
              </w:rPr>
              <w:t>质押券代码</w:t>
            </w:r>
          </w:p>
        </w:tc>
      </w:tr>
      <w:tr w14:paraId="4D0D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pct"/>
          </w:tcPr>
          <w:p w14:paraId="3BBD9754">
            <w:pPr>
              <w:adjustRightInd w:val="0"/>
              <w:snapToGrid w:val="0"/>
              <w:rPr>
                <w:rFonts w:ascii="仿宋_GB2312" w:eastAsia="仿宋_GB2312"/>
                <w:b/>
                <w:kern w:val="0"/>
                <w:sz w:val="24"/>
                <w:szCs w:val="24"/>
              </w:rPr>
            </w:pPr>
            <w:r>
              <w:rPr>
                <w:rFonts w:hint="eastAsia" w:ascii="仿宋_GB2312" w:eastAsia="仿宋_GB2312"/>
                <w:b/>
                <w:kern w:val="0"/>
                <w:sz w:val="24"/>
                <w:szCs w:val="24"/>
              </w:rPr>
              <w:t>数量</w:t>
            </w:r>
          </w:p>
        </w:tc>
        <w:tc>
          <w:tcPr>
            <w:tcW w:w="3475" w:type="pct"/>
          </w:tcPr>
          <w:p w14:paraId="30386839">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补充</w:t>
            </w:r>
            <w:r>
              <w:rPr>
                <w:rFonts w:hint="eastAsia" w:ascii="仿宋_GB2312" w:eastAsia="仿宋_GB2312"/>
                <w:kern w:val="0"/>
                <w:sz w:val="24"/>
                <w:szCs w:val="24"/>
              </w:rPr>
              <w:t>质押券数量，以千元面额为单位</w:t>
            </w:r>
          </w:p>
        </w:tc>
      </w:tr>
      <w:tr w14:paraId="47C9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24" w:type="pct"/>
          </w:tcPr>
          <w:p w14:paraId="359C39A0">
            <w:pPr>
              <w:adjustRightInd w:val="0"/>
              <w:snapToGrid w:val="0"/>
              <w:rPr>
                <w:rFonts w:ascii="仿宋_GB2312" w:eastAsia="仿宋_GB2312"/>
                <w:b/>
                <w:kern w:val="0"/>
                <w:sz w:val="24"/>
                <w:szCs w:val="24"/>
              </w:rPr>
            </w:pPr>
            <w:r>
              <w:rPr>
                <w:rFonts w:hint="eastAsia" w:ascii="仿宋_GB2312" w:eastAsia="仿宋_GB2312"/>
                <w:b/>
                <w:kern w:val="0"/>
                <w:sz w:val="24"/>
                <w:szCs w:val="24"/>
              </w:rPr>
              <w:t>质押券简称</w:t>
            </w:r>
          </w:p>
        </w:tc>
        <w:tc>
          <w:tcPr>
            <w:tcW w:w="3475" w:type="pct"/>
          </w:tcPr>
          <w:p w14:paraId="7AAA764E">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根据代码自动带出</w:t>
            </w:r>
            <w:r>
              <w:rPr>
                <w:rFonts w:hint="eastAsia" w:ascii="仿宋_GB2312" w:eastAsia="仿宋_GB2312"/>
                <w:kern w:val="0"/>
                <w:sz w:val="24"/>
                <w:szCs w:val="24"/>
              </w:rPr>
              <w:t>质押券简称</w:t>
            </w:r>
          </w:p>
        </w:tc>
      </w:tr>
      <w:tr w14:paraId="2AAFB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pct"/>
          </w:tcPr>
          <w:p w14:paraId="195F3D1C">
            <w:pPr>
              <w:adjustRightInd w:val="0"/>
              <w:snapToGrid w:val="0"/>
              <w:rPr>
                <w:rFonts w:ascii="仿宋_GB2312" w:eastAsia="仿宋_GB2312"/>
                <w:b/>
                <w:kern w:val="0"/>
                <w:sz w:val="24"/>
                <w:szCs w:val="24"/>
              </w:rPr>
            </w:pPr>
            <w:r>
              <w:rPr>
                <w:rFonts w:hint="eastAsia" w:ascii="仿宋_GB2312" w:eastAsia="仿宋_GB2312"/>
                <w:b/>
                <w:kern w:val="0"/>
                <w:sz w:val="24"/>
                <w:szCs w:val="24"/>
              </w:rPr>
              <w:t>所属篮子</w:t>
            </w:r>
          </w:p>
        </w:tc>
        <w:tc>
          <w:tcPr>
            <w:tcW w:w="3475" w:type="pct"/>
          </w:tcPr>
          <w:p w14:paraId="24DBA790">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根据质押券代码自动带出篮子编号</w:t>
            </w:r>
          </w:p>
        </w:tc>
      </w:tr>
      <w:tr w14:paraId="6CA4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pct"/>
          </w:tcPr>
          <w:p w14:paraId="3B660E76">
            <w:pPr>
              <w:adjustRightInd w:val="0"/>
              <w:snapToGrid w:val="0"/>
              <w:rPr>
                <w:rFonts w:ascii="仿宋_GB2312" w:eastAsia="仿宋_GB2312"/>
                <w:b/>
                <w:kern w:val="0"/>
                <w:sz w:val="24"/>
                <w:szCs w:val="24"/>
              </w:rPr>
            </w:pPr>
            <w:r>
              <w:rPr>
                <w:rFonts w:hint="eastAsia" w:ascii="仿宋_GB2312" w:eastAsia="仿宋_GB2312"/>
                <w:b/>
                <w:kern w:val="0"/>
                <w:sz w:val="24"/>
                <w:szCs w:val="24"/>
              </w:rPr>
              <w:t>折扣率</w:t>
            </w:r>
          </w:p>
        </w:tc>
        <w:tc>
          <w:tcPr>
            <w:tcW w:w="3475" w:type="pct"/>
          </w:tcPr>
          <w:p w14:paraId="2DD95F14">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单位：</w:t>
            </w:r>
            <w:r>
              <w:rPr>
                <w:rFonts w:hint="eastAsia" w:ascii="仿宋_GB2312" w:eastAsia="仿宋_GB2312"/>
                <w:kern w:val="0"/>
                <w:sz w:val="24"/>
                <w:szCs w:val="24"/>
                <w:lang w:val="en-US" w:eastAsia="zh-CN"/>
              </w:rPr>
              <w:t>%，</w:t>
            </w:r>
            <w:r>
              <w:rPr>
                <w:rFonts w:hint="eastAsia" w:ascii="仿宋_GB2312" w:eastAsia="仿宋_GB2312"/>
                <w:kern w:val="0"/>
                <w:sz w:val="24"/>
                <w:szCs w:val="24"/>
              </w:rPr>
              <w:t>补充质押券折扣率，自动</w:t>
            </w:r>
            <w:r>
              <w:rPr>
                <w:rFonts w:hint="eastAsia" w:ascii="仿宋_GB2312" w:eastAsia="仿宋_GB2312"/>
                <w:kern w:val="0"/>
                <w:sz w:val="24"/>
                <w:szCs w:val="24"/>
                <w:lang w:eastAsia="zh-CN"/>
              </w:rPr>
              <w:t>带出</w:t>
            </w:r>
          </w:p>
        </w:tc>
      </w:tr>
      <w:tr w14:paraId="65B71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pct"/>
          </w:tcPr>
          <w:p w14:paraId="46A754A8">
            <w:pPr>
              <w:adjustRightInd w:val="0"/>
              <w:snapToGrid w:val="0"/>
              <w:rPr>
                <w:rFonts w:ascii="仿宋_GB2312" w:eastAsia="仿宋_GB2312"/>
                <w:b/>
                <w:kern w:val="0"/>
                <w:sz w:val="24"/>
                <w:szCs w:val="24"/>
              </w:rPr>
            </w:pPr>
            <w:r>
              <w:rPr>
                <w:rFonts w:hint="eastAsia" w:ascii="仿宋_GB2312" w:eastAsia="仿宋_GB2312"/>
                <w:b/>
                <w:kern w:val="0"/>
                <w:sz w:val="24"/>
                <w:szCs w:val="24"/>
              </w:rPr>
              <w:t>全价估值</w:t>
            </w:r>
          </w:p>
        </w:tc>
        <w:tc>
          <w:tcPr>
            <w:tcW w:w="3475" w:type="pct"/>
          </w:tcPr>
          <w:p w14:paraId="1AD0B72C">
            <w:pPr>
              <w:adjustRightInd w:val="0"/>
              <w:snapToGrid w:val="0"/>
              <w:rPr>
                <w:rFonts w:ascii="仿宋_GB2312" w:eastAsia="仿宋_GB2312"/>
                <w:kern w:val="0"/>
                <w:sz w:val="24"/>
                <w:szCs w:val="24"/>
              </w:rPr>
            </w:pPr>
            <w:r>
              <w:rPr>
                <w:rFonts w:hint="eastAsia" w:ascii="仿宋_GB2312" w:eastAsia="仿宋_GB2312"/>
                <w:kern w:val="0"/>
                <w:sz w:val="24"/>
                <w:szCs w:val="24"/>
                <w:lang w:eastAsia="zh-CN"/>
              </w:rPr>
              <w:t>单位：元，</w:t>
            </w:r>
            <w:r>
              <w:rPr>
                <w:rFonts w:hint="eastAsia" w:ascii="仿宋_GB2312" w:eastAsia="仿宋_GB2312"/>
                <w:kern w:val="0"/>
                <w:sz w:val="24"/>
                <w:szCs w:val="24"/>
              </w:rPr>
              <w:t>补充质押券</w:t>
            </w:r>
            <w:r>
              <w:rPr>
                <w:rFonts w:hint="eastAsia" w:ascii="仿宋_GB2312" w:eastAsia="仿宋_GB2312"/>
                <w:kern w:val="0"/>
                <w:sz w:val="24"/>
                <w:szCs w:val="24"/>
                <w:lang w:eastAsia="zh-CN"/>
              </w:rPr>
              <w:t>当前</w:t>
            </w:r>
            <w:r>
              <w:rPr>
                <w:rFonts w:hint="eastAsia" w:ascii="仿宋_GB2312" w:eastAsia="仿宋_GB2312"/>
                <w:kern w:val="0"/>
                <w:sz w:val="24"/>
                <w:szCs w:val="24"/>
              </w:rPr>
              <w:t>的全价估值，自动</w:t>
            </w:r>
            <w:r>
              <w:rPr>
                <w:rFonts w:hint="eastAsia" w:ascii="仿宋_GB2312" w:eastAsia="仿宋_GB2312"/>
                <w:kern w:val="0"/>
                <w:sz w:val="24"/>
                <w:szCs w:val="24"/>
                <w:lang w:eastAsia="zh-CN"/>
              </w:rPr>
              <w:t>带出</w:t>
            </w:r>
          </w:p>
        </w:tc>
      </w:tr>
      <w:tr w14:paraId="19A8F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24" w:type="pct"/>
          </w:tcPr>
          <w:p w14:paraId="63A103A7">
            <w:pPr>
              <w:adjustRightInd w:val="0"/>
              <w:snapToGrid w:val="0"/>
              <w:rPr>
                <w:rFonts w:ascii="仿宋_GB2312" w:eastAsia="仿宋_GB2312"/>
                <w:b/>
                <w:kern w:val="0"/>
                <w:sz w:val="24"/>
                <w:szCs w:val="24"/>
              </w:rPr>
            </w:pPr>
            <w:r>
              <w:rPr>
                <w:rFonts w:hint="eastAsia" w:ascii="仿宋_GB2312" w:eastAsia="仿宋_GB2312"/>
                <w:b/>
                <w:kern w:val="0"/>
                <w:sz w:val="24"/>
                <w:szCs w:val="24"/>
              </w:rPr>
              <w:t>担保价值</w:t>
            </w:r>
          </w:p>
        </w:tc>
        <w:tc>
          <w:tcPr>
            <w:tcW w:w="3475" w:type="pct"/>
          </w:tcPr>
          <w:p w14:paraId="40FB7128">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单位：元，</w:t>
            </w:r>
            <w:r>
              <w:rPr>
                <w:rFonts w:hint="eastAsia" w:ascii="仿宋_GB2312" w:eastAsia="仿宋_GB2312"/>
                <w:kern w:val="0"/>
                <w:sz w:val="24"/>
                <w:szCs w:val="24"/>
              </w:rPr>
              <w:t>补充质押券的担保价值，自动</w:t>
            </w:r>
            <w:r>
              <w:rPr>
                <w:rFonts w:hint="eastAsia" w:ascii="仿宋_GB2312" w:eastAsia="仿宋_GB2312"/>
                <w:kern w:val="0"/>
                <w:sz w:val="24"/>
                <w:szCs w:val="24"/>
                <w:lang w:eastAsia="zh-CN"/>
              </w:rPr>
              <w:t>计算带出</w:t>
            </w:r>
          </w:p>
        </w:tc>
      </w:tr>
      <w:tr w14:paraId="6C675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pct"/>
          </w:tcPr>
          <w:p w14:paraId="26A7F1D3">
            <w:pPr>
              <w:adjustRightInd w:val="0"/>
              <w:snapToGrid w:val="0"/>
              <w:rPr>
                <w:rFonts w:ascii="仿宋_GB2312" w:eastAsia="仿宋_GB2312"/>
                <w:b/>
                <w:kern w:val="0"/>
                <w:sz w:val="24"/>
                <w:szCs w:val="24"/>
              </w:rPr>
            </w:pPr>
            <w:r>
              <w:rPr>
                <w:rFonts w:hint="eastAsia" w:ascii="仿宋_GB2312" w:eastAsia="仿宋_GB2312"/>
                <w:b/>
                <w:kern w:val="0"/>
                <w:sz w:val="24"/>
                <w:szCs w:val="24"/>
              </w:rPr>
              <w:t>新合计担保值</w:t>
            </w:r>
          </w:p>
        </w:tc>
        <w:tc>
          <w:tcPr>
            <w:tcW w:w="3475" w:type="pct"/>
          </w:tcPr>
          <w:p w14:paraId="4E90B26A">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单位：元，新合计担保价值</w:t>
            </w:r>
            <w:r>
              <w:rPr>
                <w:rFonts w:hint="eastAsia" w:ascii="仿宋_GB2312" w:eastAsia="仿宋_GB2312"/>
                <w:kern w:val="0"/>
                <w:sz w:val="24"/>
                <w:szCs w:val="24"/>
                <w:lang w:val="en-US" w:eastAsia="zh-CN"/>
              </w:rPr>
              <w:t>=</w:t>
            </w:r>
            <w:r>
              <w:rPr>
                <w:rFonts w:hint="eastAsia" w:ascii="仿宋_GB2312" w:eastAsia="仿宋_GB2312"/>
                <w:kern w:val="0"/>
                <w:sz w:val="24"/>
                <w:szCs w:val="24"/>
                <w:lang w:eastAsia="zh-CN"/>
              </w:rPr>
              <w:t>原合计担保价值+补券担保价值</w:t>
            </w:r>
            <w:r>
              <w:rPr>
                <w:rFonts w:hint="eastAsia" w:ascii="仿宋_GB2312" w:eastAsia="仿宋_GB2312"/>
                <w:kern w:val="0"/>
                <w:sz w:val="24"/>
                <w:szCs w:val="24"/>
              </w:rPr>
              <w:t>，自动</w:t>
            </w:r>
            <w:r>
              <w:rPr>
                <w:rFonts w:hint="eastAsia" w:ascii="仿宋_GB2312" w:eastAsia="仿宋_GB2312"/>
                <w:kern w:val="0"/>
                <w:sz w:val="24"/>
                <w:szCs w:val="24"/>
                <w:lang w:eastAsia="zh-CN"/>
              </w:rPr>
              <w:t>计算带出</w:t>
            </w:r>
          </w:p>
        </w:tc>
      </w:tr>
      <w:tr w14:paraId="30FD5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pct"/>
          </w:tcPr>
          <w:p w14:paraId="71B426A0">
            <w:pPr>
              <w:adjustRightInd w:val="0"/>
              <w:snapToGrid w:val="0"/>
              <w:rPr>
                <w:rFonts w:ascii="仿宋_GB2312" w:eastAsia="仿宋_GB2312"/>
                <w:b/>
                <w:kern w:val="0"/>
                <w:sz w:val="24"/>
                <w:szCs w:val="24"/>
              </w:rPr>
            </w:pPr>
            <w:r>
              <w:rPr>
                <w:rFonts w:hint="eastAsia" w:ascii="仿宋_GB2312" w:eastAsia="仿宋_GB2312"/>
                <w:b/>
                <w:kern w:val="0"/>
                <w:sz w:val="24"/>
                <w:szCs w:val="24"/>
              </w:rPr>
              <w:t>补券申报日期</w:t>
            </w:r>
          </w:p>
        </w:tc>
        <w:tc>
          <w:tcPr>
            <w:tcW w:w="3475" w:type="pct"/>
          </w:tcPr>
          <w:p w14:paraId="35B8B768">
            <w:pPr>
              <w:adjustRightInd w:val="0"/>
              <w:snapToGrid w:val="0"/>
              <w:rPr>
                <w:rFonts w:hint="eastAsia" w:ascii="仿宋_GB2312" w:eastAsia="仿宋_GB2312"/>
                <w:kern w:val="0"/>
                <w:sz w:val="24"/>
                <w:szCs w:val="24"/>
                <w:lang w:eastAsia="zh-CN"/>
              </w:rPr>
            </w:pPr>
            <w:r>
              <w:rPr>
                <w:rFonts w:hint="eastAsia" w:ascii="仿宋_GB2312" w:eastAsia="仿宋_GB2312"/>
                <w:kern w:val="0"/>
                <w:sz w:val="24"/>
                <w:szCs w:val="24"/>
                <w:lang w:eastAsia="zh-CN"/>
              </w:rPr>
              <w:t>当前交易</w:t>
            </w:r>
            <w:r>
              <w:rPr>
                <w:rFonts w:hint="eastAsia" w:ascii="仿宋_GB2312" w:eastAsia="仿宋_GB2312"/>
                <w:kern w:val="0"/>
                <w:sz w:val="24"/>
                <w:szCs w:val="24"/>
              </w:rPr>
              <w:t>日期，自动</w:t>
            </w:r>
            <w:r>
              <w:rPr>
                <w:rFonts w:hint="eastAsia" w:ascii="仿宋_GB2312" w:eastAsia="仿宋_GB2312"/>
                <w:kern w:val="0"/>
                <w:sz w:val="24"/>
                <w:szCs w:val="24"/>
                <w:lang w:eastAsia="zh-CN"/>
              </w:rPr>
              <w:t>带出</w:t>
            </w:r>
          </w:p>
        </w:tc>
      </w:tr>
    </w:tbl>
    <w:p w14:paraId="2D708A87">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回购双方可以在补充协议或交易补充约定中约定补券的触发情形及时限要求。补券提交的质押券的到期</w:t>
      </w:r>
      <w:r>
        <w:rPr>
          <w:rFonts w:hint="eastAsia" w:ascii="仿宋_GB2312" w:hAnsi="Calibri" w:eastAsia="仿宋_GB2312"/>
          <w:kern w:val="0"/>
          <w:sz w:val="30"/>
          <w:szCs w:val="30"/>
          <w:lang w:eastAsia="zh-CN"/>
        </w:rPr>
        <w:t>登记</w:t>
      </w:r>
      <w:r>
        <w:rPr>
          <w:rFonts w:hint="eastAsia" w:ascii="仿宋_GB2312" w:hAnsi="Calibri" w:eastAsia="仿宋_GB2312"/>
          <w:kern w:val="0"/>
          <w:sz w:val="30"/>
          <w:szCs w:val="30"/>
        </w:rPr>
        <w:t>日不得早于回购到期日。补入的质押券必须符合质押券篮子的要求。</w:t>
      </w:r>
      <w:bookmarkStart w:id="2227" w:name="_Toc489369923"/>
      <w:bookmarkEnd w:id="2227"/>
      <w:bookmarkStart w:id="2228" w:name="_Toc489369988"/>
      <w:bookmarkEnd w:id="2228"/>
      <w:bookmarkStart w:id="2229" w:name="_Toc489369985"/>
      <w:bookmarkEnd w:id="2229"/>
      <w:bookmarkStart w:id="2230" w:name="_Toc492555890"/>
      <w:bookmarkEnd w:id="2230"/>
      <w:bookmarkStart w:id="2231" w:name="_Toc492555497"/>
      <w:bookmarkEnd w:id="2231"/>
      <w:bookmarkStart w:id="2232" w:name="_Toc489369984"/>
      <w:bookmarkEnd w:id="2232"/>
      <w:bookmarkStart w:id="2233" w:name="_Toc489369918"/>
      <w:bookmarkEnd w:id="2233"/>
      <w:bookmarkStart w:id="2234" w:name="_Toc489369987"/>
      <w:bookmarkEnd w:id="2234"/>
      <w:bookmarkStart w:id="2235" w:name="_Toc489369921"/>
      <w:bookmarkEnd w:id="2235"/>
      <w:bookmarkStart w:id="2236" w:name="_Toc489369986"/>
      <w:bookmarkEnd w:id="2236"/>
      <w:bookmarkStart w:id="2237" w:name="_Toc489369920"/>
      <w:bookmarkEnd w:id="2237"/>
      <w:bookmarkStart w:id="2238" w:name="_Toc489369922"/>
      <w:bookmarkEnd w:id="2238"/>
      <w:bookmarkStart w:id="2239" w:name="_Toc489369919"/>
      <w:bookmarkEnd w:id="2239"/>
      <w:bookmarkStart w:id="2240" w:name="_Toc489369989"/>
      <w:bookmarkEnd w:id="2240"/>
    </w:p>
    <w:p w14:paraId="272B9243">
      <w:pPr>
        <w:spacing w:line="600" w:lineRule="exact"/>
        <w:ind w:left="567"/>
        <w:outlineLvl w:val="3"/>
        <w:rPr>
          <w:rFonts w:ascii="仿宋_GB2312" w:eastAsia="仿宋_GB2312"/>
          <w:b/>
          <w:sz w:val="30"/>
          <w:szCs w:val="30"/>
        </w:rPr>
      </w:pPr>
      <w:r>
        <w:rPr>
          <w:rFonts w:hint="eastAsia" w:ascii="仿宋_GB2312" w:eastAsia="仿宋_GB2312"/>
          <w:b/>
          <w:sz w:val="30"/>
          <w:szCs w:val="30"/>
        </w:rPr>
        <w:t>（4）担保品孳息及附属权利的归属</w:t>
      </w:r>
    </w:p>
    <w:p w14:paraId="143CA2DC">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质押期间，质权不及于质押券付息、分期偿还或分期摊还的本金和利息（最后一期除外）。若对于到期购回交易，正回购方未提交到期购回申报、正回购方结算参与人未提交结算指令或资金不足的；或对于到期续做交易，正回购方结算参与人未提交结算指令、三方回购专用证券账户中符合条件的质押券不足或资金不足的，正回购方违约；或对于提前终止交易，正回购方结算参与人未提交结算指令或资金不足的，正回购方违约，逆回购方可单方面申请将正回购方尚未收取的上述资金一并质押（质押券已被司法冻结的除外）。债券质押期间，质押券提前赎回或到期兑付的，质押券的赎回款或兑付资金（含最后一期利息）一并质押，其担保价值由回购双方自行计算。</w:t>
      </w:r>
    </w:p>
    <w:p w14:paraId="34C688DC">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质押券含回售、转股、换股条款的，并且正回购方需要行使回售、转股、换股权利的，正回购方须与逆回购方协商一致，将质押券解除质押并转出至普通证券账户再行使回售、转股、换股权利。正回购方可作为债券持有人享有出席债券持有人大会、提案、表决、追索等权利。</w:t>
      </w:r>
      <w:bookmarkStart w:id="2241" w:name="_Toc499850307"/>
    </w:p>
    <w:p w14:paraId="6B5A3D53">
      <w:pPr>
        <w:spacing w:line="600" w:lineRule="exact"/>
        <w:ind w:left="567"/>
        <w:outlineLvl w:val="3"/>
        <w:rPr>
          <w:rFonts w:ascii="仿宋_GB2312" w:eastAsia="仿宋_GB2312"/>
          <w:b/>
          <w:sz w:val="30"/>
          <w:szCs w:val="30"/>
        </w:rPr>
      </w:pPr>
      <w:r>
        <w:rPr>
          <w:rFonts w:hint="eastAsia" w:ascii="仿宋_GB2312" w:eastAsia="仿宋_GB2312"/>
          <w:b/>
          <w:sz w:val="30"/>
          <w:szCs w:val="30"/>
        </w:rPr>
        <w:t>（5）投资者适当性持续管理</w:t>
      </w:r>
    </w:p>
    <w:p w14:paraId="3D624E28">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回购双方完成投资者适当性备案后</w:t>
      </w:r>
      <w:r>
        <w:rPr>
          <w:rFonts w:hint="eastAsia" w:ascii="仿宋_GB2312" w:hAnsi="Calibri" w:eastAsia="仿宋_GB2312"/>
          <w:sz w:val="30"/>
          <w:szCs w:val="30"/>
          <w:lang w:eastAsia="zh-CN"/>
        </w:rPr>
        <w:t>，</w:t>
      </w:r>
      <w:r>
        <w:rPr>
          <w:rFonts w:hint="eastAsia" w:ascii="仿宋_GB2312" w:hAnsi="Calibri" w:eastAsia="仿宋_GB2312"/>
          <w:sz w:val="30"/>
          <w:szCs w:val="30"/>
        </w:rPr>
        <w:t>应当每两年进行一次投资者适当性自我评估，经纪客户由代理备案的证券公司进行投资者适当性评估，回购双方、代理备案的证券公司须将评估结果向本所报告。报告内容包括：</w:t>
      </w:r>
    </w:p>
    <w:p w14:paraId="3EC92BBB">
      <w:pPr>
        <w:widowControl/>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1）最近一个会计年度的总资产、净资产或资产管理规模的说明及相关证明文件；</w:t>
      </w:r>
    </w:p>
    <w:p w14:paraId="1BAFFF88">
      <w:pPr>
        <w:widowControl/>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2）公司内部三方回购相关的业务管理制度、风险管理制度文件；</w:t>
      </w:r>
    </w:p>
    <w:p w14:paraId="1CADFCE8">
      <w:pPr>
        <w:widowControl/>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3）技术系统能够支持三方回购业务的开展的说明；</w:t>
      </w:r>
    </w:p>
    <w:p w14:paraId="076898E4">
      <w:pPr>
        <w:widowControl/>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4）上一年度内参与回购业务交收失败、违约情况等事项的说明；</w:t>
      </w:r>
    </w:p>
    <w:p w14:paraId="73950410">
      <w:pPr>
        <w:widowControl/>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5）其他需要说明的事项。</w:t>
      </w:r>
    </w:p>
    <w:p w14:paraId="6A351E94">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评估报告以电子邮件方式发送至本所债券业务</w:t>
      </w:r>
      <w:r>
        <w:rPr>
          <w:rFonts w:hint="eastAsia" w:ascii="仿宋_GB2312" w:hAnsi="Calibri" w:eastAsia="仿宋_GB2312"/>
          <w:sz w:val="30"/>
          <w:szCs w:val="30"/>
          <w:lang w:eastAsia="zh-CN"/>
        </w:rPr>
        <w:t>中心</w:t>
      </w:r>
      <w:r>
        <w:rPr>
          <w:rFonts w:hint="eastAsia" w:ascii="仿宋_GB2312" w:hAnsi="Calibri" w:eastAsia="仿宋_GB2312"/>
          <w:sz w:val="30"/>
          <w:szCs w:val="30"/>
        </w:rPr>
        <w:t>，邮箱ssebond@sse.com.cn，邮件主题统一格式为“XXX公司-三方回购投资者适当性持续管理”。</w:t>
      </w:r>
    </w:p>
    <w:p w14:paraId="0850F852">
      <w:pPr>
        <w:widowControl/>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根据投资者适当性评估报告，本所对不符合投资者适当性要求的可视情况取消其备案，终止三方回购业务资格。三方回购参与者被取消投资者适当性备案的，应继续履行未到期三方回购合约的相关义务。</w:t>
      </w:r>
      <w:bookmarkStart w:id="2242" w:name="_Toc501552798"/>
      <w:bookmarkStart w:id="2243" w:name="_Toc500840222"/>
    </w:p>
    <w:p w14:paraId="2651DC18">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异常情况及违约处置</w:t>
      </w:r>
      <w:bookmarkEnd w:id="2241"/>
      <w:bookmarkEnd w:id="2242"/>
      <w:bookmarkEnd w:id="2243"/>
    </w:p>
    <w:p w14:paraId="797378DE">
      <w:pPr>
        <w:spacing w:line="600" w:lineRule="exact"/>
        <w:ind w:left="567"/>
        <w:outlineLvl w:val="3"/>
        <w:rPr>
          <w:rFonts w:ascii="仿宋_GB2312" w:eastAsia="仿宋_GB2312"/>
          <w:b/>
          <w:sz w:val="30"/>
          <w:szCs w:val="30"/>
        </w:rPr>
      </w:pPr>
      <w:r>
        <w:rPr>
          <w:rFonts w:hint="eastAsia" w:ascii="仿宋_GB2312" w:eastAsia="仿宋_GB2312"/>
          <w:b/>
          <w:sz w:val="30"/>
          <w:szCs w:val="30"/>
        </w:rPr>
        <w:t>（1）异常情况</w:t>
      </w:r>
    </w:p>
    <w:p w14:paraId="6E37DCCD">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三方回购存续期间发生以下情形的，视为异常情况：</w:t>
      </w:r>
    </w:p>
    <w:p w14:paraId="38AE5D5B">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1）质押券、三方回购专用证券账户、回购双方证券账户或资金账户被有权机关冻结或强制执行；</w:t>
      </w:r>
    </w:p>
    <w:p w14:paraId="52EE150D">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2）回购任何一方被本所取消三方回购投资者适当性备案；</w:t>
      </w:r>
    </w:p>
    <w:p w14:paraId="669DEE59">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3）质押券被本所终止上市或者终止转让；</w:t>
      </w:r>
    </w:p>
    <w:p w14:paraId="41621821">
      <w:pPr>
        <w:adjustRightInd w:val="0"/>
        <w:snapToGrid w:val="0"/>
        <w:spacing w:line="600" w:lineRule="exact"/>
        <w:ind w:firstLine="600" w:firstLineChars="200"/>
        <w:rPr>
          <w:rFonts w:ascii="仿宋_GB2312" w:eastAsia="仿宋_GB2312"/>
          <w:sz w:val="30"/>
          <w:szCs w:val="30"/>
        </w:rPr>
      </w:pPr>
      <w:r>
        <w:rPr>
          <w:rFonts w:hint="eastAsia" w:ascii="仿宋_GB2312" w:eastAsia="仿宋_GB2312"/>
          <w:sz w:val="30"/>
          <w:szCs w:val="30"/>
        </w:rPr>
        <w:t>4）经纪客户所在的证券公司进入风险处置、终止清算、破产程序；</w:t>
      </w:r>
    </w:p>
    <w:p w14:paraId="3C0E7DE3">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5）回购存续期内，履行本主协议义务的回购任何一方发生虽不导致违约但可能影响其主体资格实质变化的事件或主体资格已经实质变化，或将本主协议下的义务拟转由他方履行等；</w:t>
      </w:r>
    </w:p>
    <w:p w14:paraId="7374BF9C">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6）回购双方认定的其他异常情况。</w:t>
      </w:r>
    </w:p>
    <w:p w14:paraId="7454E3AD">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发生异常情况的，回购一方应当在异常情况可能发生、已经发生或获知异常情况可能发生、已经发生后及时通知对方，并及时协商解决。回购双方可以在协商一致后，采取继续履约、提前终止、变更质押券或双方协商的其他方式进行处理。回购双方对异常情况处理另有约定的，从其约定。</w:t>
      </w:r>
    </w:p>
    <w:p w14:paraId="1E721467">
      <w:pPr>
        <w:spacing w:line="600" w:lineRule="exact"/>
        <w:ind w:left="567"/>
        <w:outlineLvl w:val="3"/>
        <w:rPr>
          <w:rFonts w:ascii="仿宋_GB2312" w:eastAsia="仿宋_GB2312"/>
          <w:b/>
          <w:sz w:val="30"/>
          <w:szCs w:val="30"/>
        </w:rPr>
      </w:pPr>
      <w:r>
        <w:rPr>
          <w:rFonts w:hint="eastAsia" w:ascii="仿宋_GB2312" w:eastAsia="仿宋_GB2312"/>
          <w:b/>
          <w:sz w:val="30"/>
          <w:szCs w:val="30"/>
        </w:rPr>
        <w:t>（2）违约处置</w:t>
      </w:r>
    </w:p>
    <w:p w14:paraId="1FD45381">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回购双方中任何一方发生违约事件，应当及时通知对方，并可以采取下列方式处理：</w:t>
      </w:r>
    </w:p>
    <w:p w14:paraId="3A3D9C64">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1）守约方可以要求违约方继续履行三方回购协议、单方面终止三方回购协议、按照三方回购协议约定向违约方收取违约金；</w:t>
      </w:r>
    </w:p>
    <w:p w14:paraId="66853A78">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2）正回购方违约的，逆回购方可以按照三方回购协议的约定处置质押券；</w:t>
      </w:r>
    </w:p>
    <w:p w14:paraId="627CBD63">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3）可以按照相关法律法规等规定提交上海国际经济贸易仲裁委员会仲裁或向人民法院提起诉讼。</w:t>
      </w:r>
    </w:p>
    <w:p w14:paraId="44A07CED">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回购双方对违约处置方式等协商一致并另有约定的，从其约定。</w:t>
      </w:r>
    </w:p>
    <w:p w14:paraId="075B5948">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回购双方针对违约处置达成一致的，违约方通过场外向守约方支付本金、利息、违约金，当双方违约处置交付完成后，再到场内申请解除质押券质押。违约金数额的确定按照补充协议或主协议的约定办理。</w:t>
      </w:r>
    </w:p>
    <w:p w14:paraId="1A5F70D3">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回购双方、经纪客户所在的证券公司、结算参与人及相关人员违反《暂行办法》及本所、证券登记结算机构其他相关规定的，本所、证券登记结算机构可以视情况实施口头警示、书面警示、监管谈话、限制投资者证券账户交易、通报批评、公开谴责等监管措施或者纪律处分，并依照相关规定记入诚信档案。</w:t>
      </w:r>
    </w:p>
    <w:p w14:paraId="306BB718">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三方回购发生违约情形，回购双方应当在违约事件发生3个交易日内向本所、证券登记结算机构书面报送违约原因以及双方协商的处理结果。违约处置报备相关材料可电子邮件方式发送至本所债券业务</w:t>
      </w:r>
      <w:r>
        <w:rPr>
          <w:rFonts w:hint="eastAsia" w:ascii="仿宋_GB2312" w:hAnsi="Calibri" w:eastAsia="仿宋_GB2312"/>
          <w:kern w:val="0"/>
          <w:sz w:val="30"/>
          <w:szCs w:val="30"/>
          <w:lang w:eastAsia="zh-CN"/>
        </w:rPr>
        <w:t>中心</w:t>
      </w:r>
      <w:r>
        <w:rPr>
          <w:rFonts w:hint="eastAsia" w:ascii="仿宋_GB2312" w:hAnsi="Calibri" w:eastAsia="仿宋_GB2312"/>
          <w:kern w:val="0"/>
          <w:sz w:val="30"/>
          <w:szCs w:val="30"/>
        </w:rPr>
        <w:t>，邮箱</w:t>
      </w:r>
      <w:r>
        <w:rPr>
          <w:rFonts w:hint="eastAsia" w:ascii="仿宋_GB2312" w:hAnsi="Calibri" w:eastAsia="仿宋_GB2312"/>
          <w:kern w:val="0"/>
          <w:sz w:val="30"/>
          <w:szCs w:val="30"/>
          <w:lang w:val="en-US" w:eastAsia="zh-CN"/>
        </w:rPr>
        <w:t>bondtrading</w:t>
      </w:r>
      <w:r>
        <w:rPr>
          <w:rFonts w:hint="eastAsia" w:ascii="仿宋_GB2312" w:hAnsi="Calibri" w:eastAsia="仿宋_GB2312"/>
          <w:kern w:val="0"/>
          <w:sz w:val="30"/>
          <w:szCs w:val="30"/>
        </w:rPr>
        <w:t>@sse.com.cn，邮件主题统一格式为“XXX公司-三方回购违约处置报备”。</w:t>
      </w:r>
    </w:p>
    <w:p w14:paraId="56407453">
      <w:pPr>
        <w:spacing w:line="600" w:lineRule="exact"/>
        <w:ind w:left="567"/>
        <w:outlineLvl w:val="3"/>
        <w:rPr>
          <w:rFonts w:ascii="仿宋_GB2312" w:eastAsia="仿宋_GB2312"/>
          <w:b/>
          <w:sz w:val="30"/>
          <w:szCs w:val="30"/>
        </w:rPr>
      </w:pPr>
      <w:r>
        <w:rPr>
          <w:rFonts w:hint="eastAsia" w:ascii="仿宋_GB2312" w:eastAsia="仿宋_GB2312"/>
          <w:b/>
          <w:sz w:val="30"/>
          <w:szCs w:val="30"/>
        </w:rPr>
        <w:t>（3）质押券处置</w:t>
      </w:r>
    </w:p>
    <w:p w14:paraId="1396AC09">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回购双方须在交易申报中约定出现下列情形时，是否由逆回购方直接对该回购项下的质押券进行处置：</w:t>
      </w:r>
    </w:p>
    <w:p w14:paraId="3183A773">
      <w:pPr>
        <w:adjustRightInd w:val="0"/>
        <w:snapToGrid w:val="0"/>
        <w:spacing w:line="600" w:lineRule="exact"/>
        <w:ind w:firstLine="600" w:firstLineChars="200"/>
        <w:rPr>
          <w:rFonts w:ascii="仿宋_GB2312" w:hAnsi="Calibri" w:eastAsia="仿宋_GB2312"/>
          <w:sz w:val="30"/>
          <w:szCs w:val="30"/>
        </w:rPr>
      </w:pPr>
      <w:r>
        <w:rPr>
          <w:rFonts w:ascii="仿宋_GB2312" w:hAnsi="Calibri" w:eastAsia="仿宋_GB2312"/>
          <w:sz w:val="30"/>
          <w:szCs w:val="30"/>
        </w:rPr>
        <w:t>1</w:t>
      </w:r>
      <w:r>
        <w:rPr>
          <w:rFonts w:hint="eastAsia" w:ascii="仿宋_GB2312" w:hAnsi="Calibri" w:eastAsia="仿宋_GB2312"/>
          <w:sz w:val="30"/>
          <w:szCs w:val="30"/>
        </w:rPr>
        <w:t>）出质债券在质权存续期间，发生违约、债券本息兑付面临重要风险或其他事件致使质押券价值明显减少，足以危害逆回购方权利的；</w:t>
      </w:r>
    </w:p>
    <w:p w14:paraId="5DC71AE6">
      <w:pPr>
        <w:adjustRightInd w:val="0"/>
        <w:snapToGrid w:val="0"/>
        <w:spacing w:line="600" w:lineRule="exact"/>
        <w:ind w:firstLine="600" w:firstLineChars="200"/>
        <w:rPr>
          <w:rFonts w:ascii="仿宋_GB2312" w:hAnsi="Calibri" w:eastAsia="仿宋_GB2312"/>
          <w:sz w:val="30"/>
          <w:szCs w:val="30"/>
        </w:rPr>
      </w:pPr>
      <w:r>
        <w:rPr>
          <w:rFonts w:ascii="仿宋_GB2312" w:hAnsi="Calibri" w:eastAsia="仿宋_GB2312"/>
          <w:sz w:val="30"/>
          <w:szCs w:val="30"/>
        </w:rPr>
        <w:t>2</w:t>
      </w:r>
      <w:r>
        <w:rPr>
          <w:rFonts w:hint="eastAsia" w:ascii="仿宋_GB2312" w:hAnsi="Calibri" w:eastAsia="仿宋_GB2312"/>
          <w:sz w:val="30"/>
          <w:szCs w:val="30"/>
        </w:rPr>
        <w:t>）对于到期购回交易，正回购方未提交到期购回申报、正回购方结算参与人未提交结算指令或资金不足的；</w:t>
      </w:r>
    </w:p>
    <w:p w14:paraId="1ADE18E9">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3）对于到期续做交易，正回购方结算参与人未提交结算指令、三方回购专用证券账户中符合条件的质押券不足或资金不足的；</w:t>
      </w:r>
    </w:p>
    <w:p w14:paraId="449BC90B">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4）对于提前终止交易，正回购方结算参与人未提交结算指令或资金不足的。</w:t>
      </w:r>
    </w:p>
    <w:p w14:paraId="27CD79D7">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回购双方在交易申报中约定对质押券直接进行处置的，逆回购方在发生上述情形时起一个月后，可直接以拍卖、变卖质押券所得的价款清偿债务。质押券处置产生的任何法律后果及责任，由回购双方自行承担。回购双方在发生上述情形时起一个月内协商一致并另行约定的，从其约定。回购双方在交易申报中未约定发生上述情形时由逆回购方直接处置质押券的，可以另行约定其他处置方式。</w:t>
      </w:r>
    </w:p>
    <w:p w14:paraId="6AA45E27">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逆回购方拍卖、变卖质押券的，参照质押券在银行间债券市场交易价格、交易所债券市场交易收盘价、中证指数公司的估值价格和市场需求，确定拍卖底价和变卖价格,通过上海证券交易所债券担保品处置平台或其他方式拍卖、变卖。处置所得价款以拍卖、变卖的成交金额为准。</w:t>
      </w:r>
    </w:p>
    <w:p w14:paraId="0C5BFF81">
      <w:pPr>
        <w:spacing w:line="600" w:lineRule="exact"/>
        <w:ind w:firstLine="601" w:firstLineChars="200"/>
        <w:outlineLvl w:val="3"/>
        <w:rPr>
          <w:rFonts w:ascii="仿宋_GB2312" w:hAnsi="黑体" w:eastAsia="仿宋_GB2312"/>
          <w:b/>
          <w:sz w:val="30"/>
          <w:szCs w:val="30"/>
        </w:rPr>
      </w:pPr>
      <w:r>
        <w:rPr>
          <w:rFonts w:hint="eastAsia" w:ascii="仿宋_GB2312" w:hAnsi="黑体" w:eastAsia="仿宋_GB2312"/>
          <w:b/>
          <w:sz w:val="30"/>
          <w:szCs w:val="30"/>
        </w:rPr>
        <w:t>（4）质押券处置后安排</w:t>
      </w:r>
    </w:p>
    <w:p w14:paraId="57EF1FBB">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质押券处置所得，逆回购方拍卖、变卖质押券后，被拍卖、变卖的质押券解除质押登记并办理过户，所有权转移至拍卖、变卖的受让人；多余的未被拍卖、变卖的质押券解除质押登记。拍卖、变卖质押券所得价款扣除拍卖、变卖费用后，用于清偿逆回购方应收取的融出资金违约金、利息、本金，清偿之后如有价款余额应退还正回购方。拍卖、变卖质押券所得价款扣除拍卖、变卖费用后不足以清偿债务的，不足部分逆回购方继续向正回购方进行追索。</w:t>
      </w:r>
    </w:p>
    <w:p w14:paraId="4565D6F3">
      <w:pPr>
        <w:spacing w:line="600" w:lineRule="exact"/>
        <w:ind w:left="567"/>
        <w:outlineLvl w:val="3"/>
        <w:rPr>
          <w:rFonts w:ascii="仿宋_GB2312" w:eastAsia="仿宋_GB2312"/>
          <w:b/>
          <w:sz w:val="30"/>
          <w:szCs w:val="30"/>
        </w:rPr>
      </w:pPr>
      <w:r>
        <w:rPr>
          <w:rFonts w:hint="eastAsia" w:ascii="仿宋_GB2312" w:hAnsi="黑体" w:eastAsia="仿宋_GB2312"/>
          <w:b/>
          <w:sz w:val="30"/>
          <w:szCs w:val="30"/>
        </w:rPr>
        <w:t>（5）</w:t>
      </w:r>
      <w:r>
        <w:rPr>
          <w:rFonts w:hint="eastAsia" w:ascii="仿宋_GB2312" w:eastAsia="仿宋_GB2312"/>
          <w:b/>
          <w:sz w:val="30"/>
          <w:szCs w:val="30"/>
        </w:rPr>
        <w:t>解除质押券质押</w:t>
      </w:r>
    </w:p>
    <w:p w14:paraId="216073C2">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经回购双方协商一致，由正回购方交易员在</w:t>
      </w:r>
      <w:r>
        <w:rPr>
          <w:rFonts w:hint="eastAsia" w:ascii="仿宋_GB2312" w:hAnsi="Calibri" w:eastAsia="仿宋_GB2312"/>
          <w:kern w:val="0"/>
          <w:sz w:val="30"/>
          <w:szCs w:val="30"/>
          <w:lang w:eastAsia="zh-CN"/>
        </w:rPr>
        <w:t>新固定收益系统</w:t>
      </w:r>
      <w:r>
        <w:rPr>
          <w:rFonts w:hint="eastAsia" w:ascii="仿宋_GB2312" w:hAnsi="Calibri" w:eastAsia="仿宋_GB2312"/>
          <w:kern w:val="0"/>
          <w:sz w:val="30"/>
          <w:szCs w:val="30"/>
        </w:rPr>
        <w:t>针对某一笔违约的回购合约发起解除质押申报，对手方进行确认或拒绝。双方确认达成一致后，正回购方在该笔回购交易项下质押登记的债券解除质押。证券登记结算机构将依据本所发送的数据通过日</w:t>
      </w:r>
      <w:r>
        <w:rPr>
          <w:rFonts w:hint="eastAsia" w:ascii="仿宋_GB2312" w:hAnsi="Calibri" w:eastAsia="仿宋_GB2312"/>
          <w:kern w:val="0"/>
          <w:sz w:val="30"/>
          <w:szCs w:val="30"/>
          <w:lang w:eastAsia="zh-CN"/>
        </w:rPr>
        <w:t>终</w:t>
      </w:r>
      <w:r>
        <w:rPr>
          <w:rFonts w:hint="eastAsia" w:ascii="仿宋_GB2312" w:hAnsi="Calibri" w:eastAsia="仿宋_GB2312"/>
          <w:kern w:val="0"/>
          <w:sz w:val="30"/>
          <w:szCs w:val="30"/>
        </w:rPr>
        <w:t>逐笔全额结算方式办理解除质押登记。</w:t>
      </w:r>
    </w:p>
    <w:p w14:paraId="68033ED4">
      <w:pPr>
        <w:spacing w:line="600" w:lineRule="exact"/>
        <w:ind w:left="567"/>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6</w:t>
      </w:r>
      <w:r>
        <w:rPr>
          <w:rFonts w:hint="eastAsia" w:ascii="仿宋_GB2312" w:eastAsia="仿宋_GB2312"/>
          <w:b/>
          <w:sz w:val="30"/>
          <w:szCs w:val="30"/>
        </w:rPr>
        <w:t>）质押券处置过户</w:t>
      </w:r>
    </w:p>
    <w:p w14:paraId="7F3274F1">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经回购双方协商一致，可向本所申请质押证券处置过户至质权人或拍卖变卖的受让人。证券登记结算机构将根据证券过户指令，于日终逐笔办理质押证券的处置过户。</w:t>
      </w:r>
    </w:p>
    <w:p w14:paraId="07A49D7E">
      <w:pPr>
        <w:numPr>
          <w:ilvl w:val="2"/>
          <w:numId w:val="4"/>
        </w:numPr>
        <w:spacing w:line="600" w:lineRule="exact"/>
        <w:ind w:left="0" w:firstLine="0"/>
        <w:outlineLvl w:val="2"/>
        <w:rPr>
          <w:rFonts w:ascii="仿宋_GB2312" w:eastAsia="仿宋_GB2312"/>
          <w:b/>
          <w:sz w:val="30"/>
          <w:szCs w:val="30"/>
        </w:rPr>
      </w:pPr>
      <w:bookmarkStart w:id="2244" w:name="_Toc60331892"/>
      <w:bookmarkEnd w:id="2244"/>
      <w:bookmarkStart w:id="2245" w:name="_Toc60327135"/>
      <w:bookmarkEnd w:id="2245"/>
      <w:bookmarkStart w:id="2246" w:name="_Toc59181108"/>
      <w:bookmarkEnd w:id="2246"/>
      <w:bookmarkStart w:id="2247" w:name="_Toc60331893"/>
      <w:bookmarkEnd w:id="2247"/>
      <w:bookmarkStart w:id="2248" w:name="_Toc59181219"/>
      <w:bookmarkEnd w:id="2248"/>
      <w:bookmarkStart w:id="2249" w:name="_Toc59034598"/>
      <w:bookmarkEnd w:id="2249"/>
      <w:bookmarkStart w:id="2250" w:name="_Toc59107001"/>
      <w:bookmarkEnd w:id="2250"/>
      <w:bookmarkStart w:id="2251" w:name="_Toc59181220"/>
      <w:bookmarkEnd w:id="2251"/>
      <w:bookmarkStart w:id="2252" w:name="_Toc59034119"/>
      <w:bookmarkEnd w:id="2252"/>
      <w:bookmarkStart w:id="2253" w:name="_Toc59107002"/>
      <w:bookmarkEnd w:id="2253"/>
      <w:bookmarkStart w:id="2254" w:name="_Toc59034117"/>
      <w:bookmarkEnd w:id="2254"/>
      <w:bookmarkStart w:id="2255" w:name="_Toc59034597"/>
      <w:bookmarkEnd w:id="2255"/>
      <w:bookmarkStart w:id="2256" w:name="_Toc59107000"/>
      <w:bookmarkEnd w:id="2256"/>
      <w:bookmarkStart w:id="2257" w:name="_Toc59181106"/>
      <w:bookmarkEnd w:id="2257"/>
      <w:bookmarkStart w:id="2258" w:name="_Toc59181331"/>
      <w:bookmarkEnd w:id="2258"/>
      <w:bookmarkStart w:id="2259" w:name="_Toc59181332"/>
      <w:bookmarkEnd w:id="2259"/>
      <w:bookmarkStart w:id="2260" w:name="_Toc59181330"/>
      <w:bookmarkEnd w:id="2260"/>
      <w:bookmarkStart w:id="2261" w:name="_Toc60327134"/>
      <w:bookmarkEnd w:id="2261"/>
      <w:bookmarkStart w:id="2262" w:name="_Toc59181218"/>
      <w:bookmarkEnd w:id="2262"/>
      <w:bookmarkStart w:id="2263" w:name="_Toc60331891"/>
      <w:bookmarkEnd w:id="2263"/>
      <w:bookmarkStart w:id="2264" w:name="_Toc59181107"/>
      <w:bookmarkEnd w:id="2264"/>
      <w:bookmarkStart w:id="2265" w:name="_Toc60327136"/>
      <w:bookmarkEnd w:id="2265"/>
      <w:bookmarkStart w:id="2266" w:name="_Toc59034118"/>
      <w:bookmarkEnd w:id="2266"/>
      <w:bookmarkStart w:id="2267" w:name="_Toc59034596"/>
      <w:bookmarkEnd w:id="2267"/>
      <w:bookmarkStart w:id="2268" w:name="_Toc56166100"/>
      <w:bookmarkStart w:id="2269" w:name="_Toc56166289"/>
      <w:r>
        <w:rPr>
          <w:rFonts w:hint="eastAsia" w:ascii="仿宋_GB2312" w:eastAsia="仿宋_GB2312"/>
          <w:b/>
          <w:sz w:val="30"/>
          <w:szCs w:val="30"/>
        </w:rPr>
        <w:t>其他事项</w:t>
      </w:r>
    </w:p>
    <w:p w14:paraId="21C04562">
      <w:pPr>
        <w:numPr>
          <w:ilvl w:val="0"/>
          <w:numId w:val="20"/>
        </w:numPr>
        <w:spacing w:line="600" w:lineRule="exact"/>
        <w:ind w:left="567"/>
        <w:outlineLvl w:val="3"/>
        <w:rPr>
          <w:rFonts w:ascii="仿宋_GB2312" w:eastAsia="仿宋_GB2312"/>
          <w:b/>
          <w:sz w:val="30"/>
          <w:szCs w:val="30"/>
        </w:rPr>
      </w:pPr>
      <w:r>
        <w:rPr>
          <w:rFonts w:hint="eastAsia" w:ascii="仿宋_GB2312" w:eastAsia="仿宋_GB2312"/>
          <w:b/>
          <w:sz w:val="30"/>
          <w:szCs w:val="30"/>
        </w:rPr>
        <w:t>交收结果</w:t>
      </w:r>
    </w:p>
    <w:p w14:paraId="7F2DA634">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市场参与者可以在</w:t>
      </w:r>
      <w:r>
        <w:rPr>
          <w:rFonts w:hint="eastAsia" w:ascii="仿宋_GB2312" w:hAnsi="Calibri" w:eastAsia="仿宋_GB2312"/>
          <w:kern w:val="0"/>
          <w:sz w:val="30"/>
          <w:szCs w:val="30"/>
          <w:lang w:eastAsia="zh-CN"/>
        </w:rPr>
        <w:t>交收完成后，</w:t>
      </w:r>
      <w:r>
        <w:rPr>
          <w:rFonts w:hint="eastAsia" w:ascii="仿宋_GB2312" w:hAnsi="Calibri" w:eastAsia="仿宋_GB2312"/>
          <w:kern w:val="0"/>
          <w:sz w:val="30"/>
          <w:szCs w:val="30"/>
        </w:rPr>
        <w:t>通过</w:t>
      </w:r>
      <w:r>
        <w:rPr>
          <w:rFonts w:hint="eastAsia" w:ascii="仿宋_GB2312" w:hAnsi="Calibri" w:eastAsia="仿宋_GB2312"/>
          <w:kern w:val="0"/>
          <w:sz w:val="30"/>
          <w:szCs w:val="30"/>
          <w:lang w:eastAsia="zh-CN"/>
        </w:rPr>
        <w:t>新固定收益系统</w:t>
      </w:r>
      <w:r>
        <w:rPr>
          <w:rFonts w:hint="eastAsia" w:ascii="仿宋_GB2312" w:hAnsi="Calibri" w:eastAsia="仿宋_GB2312"/>
          <w:kern w:val="0"/>
          <w:sz w:val="30"/>
          <w:szCs w:val="30"/>
        </w:rPr>
        <w:t>查看本交易商三方回购的结算结果信息。</w:t>
      </w:r>
    </w:p>
    <w:p w14:paraId="2659ADF4">
      <w:pPr>
        <w:adjustRightInd w:val="0"/>
        <w:snapToGrid w:val="0"/>
        <w:spacing w:line="600" w:lineRule="exact"/>
        <w:ind w:firstLine="600" w:firstLineChars="200"/>
        <w:rPr>
          <w:rFonts w:ascii="仿宋_GB2312" w:eastAsia="仿宋_GB2312"/>
          <w:b/>
          <w:sz w:val="30"/>
          <w:szCs w:val="30"/>
        </w:rPr>
      </w:pPr>
      <w:r>
        <w:rPr>
          <w:rFonts w:hint="eastAsia" w:ascii="仿宋_GB2312" w:hAnsi="Calibri" w:eastAsia="仿宋_GB2312"/>
          <w:kern w:val="0"/>
          <w:sz w:val="30"/>
          <w:szCs w:val="30"/>
        </w:rPr>
        <w:t>结算参与人可于</w:t>
      </w:r>
      <w:r>
        <w:rPr>
          <w:rFonts w:ascii="仿宋_GB2312" w:hAnsi="Calibri" w:eastAsia="仿宋_GB2312"/>
          <w:kern w:val="0"/>
          <w:sz w:val="30"/>
          <w:szCs w:val="30"/>
        </w:rPr>
        <w:t>T</w:t>
      </w:r>
      <w:r>
        <w:rPr>
          <w:rFonts w:hint="eastAsia" w:ascii="仿宋_GB2312" w:hAnsi="Calibri" w:eastAsia="仿宋_GB2312"/>
          <w:kern w:val="0"/>
          <w:sz w:val="30"/>
          <w:szCs w:val="30"/>
        </w:rPr>
        <w:t>日通过中国</w:t>
      </w:r>
      <w:r>
        <w:rPr>
          <w:rFonts w:ascii="仿宋_GB2312" w:hAnsi="Calibri" w:eastAsia="仿宋_GB2312"/>
          <w:kern w:val="0"/>
          <w:sz w:val="30"/>
          <w:szCs w:val="30"/>
        </w:rPr>
        <w:t>结算PROP</w:t>
      </w:r>
      <w:r>
        <w:rPr>
          <w:rFonts w:hint="eastAsia" w:ascii="仿宋_GB2312" w:hAnsi="Calibri" w:eastAsia="仿宋_GB2312"/>
          <w:kern w:val="0"/>
          <w:sz w:val="30"/>
          <w:szCs w:val="30"/>
        </w:rPr>
        <w:t>综合业务终端查询本结算参与人三方回购的回购交易、回购到期、提前终止、回购续做、质押券变更和解除质押登记的清算交收情况。</w:t>
      </w:r>
    </w:p>
    <w:p w14:paraId="649AD8FC">
      <w:pPr>
        <w:numPr>
          <w:ilvl w:val="0"/>
          <w:numId w:val="20"/>
        </w:numPr>
        <w:spacing w:line="600" w:lineRule="exact"/>
        <w:ind w:left="567"/>
        <w:outlineLvl w:val="3"/>
        <w:rPr>
          <w:rFonts w:ascii="仿宋_GB2312" w:eastAsia="仿宋_GB2312"/>
          <w:b/>
          <w:sz w:val="30"/>
          <w:szCs w:val="30"/>
        </w:rPr>
      </w:pPr>
      <w:r>
        <w:rPr>
          <w:rFonts w:hint="eastAsia" w:ascii="仿宋_GB2312" w:eastAsia="仿宋_GB2312"/>
          <w:b/>
          <w:sz w:val="30"/>
          <w:szCs w:val="30"/>
        </w:rPr>
        <w:t>统计数据</w:t>
      </w:r>
    </w:p>
    <w:p w14:paraId="06788920">
      <w:pPr>
        <w:adjustRightInd w:val="0"/>
        <w:snapToGri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本所将定期发布三方回购交易统计数据，统计数据要素包括三方回购交易量、利率分布、质押券折扣率等信息。</w:t>
      </w:r>
    </w:p>
    <w:p w14:paraId="495EFAE8">
      <w:pPr>
        <w:numPr>
          <w:ilvl w:val="0"/>
          <w:numId w:val="4"/>
        </w:numPr>
        <w:spacing w:line="600" w:lineRule="exact"/>
        <w:outlineLvl w:val="0"/>
        <w:rPr>
          <w:b/>
          <w:sz w:val="36"/>
        </w:rPr>
      </w:pPr>
      <w:r>
        <w:rPr>
          <w:b/>
          <w:sz w:val="36"/>
        </w:rPr>
        <w:br w:type="page"/>
      </w:r>
      <w:bookmarkStart w:id="2270" w:name="_Toc151136917"/>
      <w:bookmarkStart w:id="2271" w:name="_Toc4758237"/>
      <w:bookmarkStart w:id="2272" w:name="_Toc238088287"/>
      <w:bookmarkStart w:id="2273" w:name="_Toc219569438"/>
      <w:bookmarkStart w:id="2274" w:name="_Toc2117549152"/>
      <w:bookmarkStart w:id="2275" w:name="_Toc752261538"/>
      <w:bookmarkStart w:id="2276" w:name="_Toc1048290051"/>
      <w:r>
        <w:rPr>
          <w:rFonts w:hint="eastAsia" w:ascii="黑体" w:hAnsi="黑体" w:eastAsia="黑体" w:cs="黑体"/>
          <w:b/>
          <w:sz w:val="36"/>
        </w:rPr>
        <w:t>其他交易类型</w:t>
      </w:r>
      <w:bookmarkEnd w:id="2268"/>
      <w:bookmarkEnd w:id="2269"/>
      <w:bookmarkEnd w:id="2270"/>
      <w:bookmarkEnd w:id="2271"/>
      <w:bookmarkEnd w:id="2272"/>
      <w:bookmarkEnd w:id="2273"/>
      <w:bookmarkEnd w:id="2274"/>
      <w:bookmarkEnd w:id="2275"/>
      <w:bookmarkEnd w:id="2276"/>
    </w:p>
    <w:p w14:paraId="226F9ABF">
      <w:pPr>
        <w:spacing w:line="600" w:lineRule="exact"/>
        <w:ind w:firstLine="600" w:firstLineChars="200"/>
        <w:rPr>
          <w:rFonts w:ascii="Calibri" w:hAnsi="Calibri"/>
          <w:b/>
          <w:szCs w:val="22"/>
        </w:rPr>
      </w:pPr>
      <w:r>
        <w:rPr>
          <w:rFonts w:hint="eastAsia" w:ascii="仿宋_GB2312" w:hAnsi="Calibri" w:eastAsia="仿宋_GB2312"/>
          <w:sz w:val="30"/>
          <w:szCs w:val="30"/>
        </w:rPr>
        <w:t>本章主要明确国债预发行、债券借贷、信用保护工具等业务品种的交易或者转让事项，</w:t>
      </w:r>
      <w:r>
        <w:rPr>
          <w:rFonts w:ascii="仿宋_GB2312" w:hAnsi="Calibri" w:eastAsia="仿宋_GB2312"/>
          <w:sz w:val="30"/>
          <w:szCs w:val="30"/>
        </w:rPr>
        <w:t>以及担保品处置相关事宜</w:t>
      </w:r>
      <w:r>
        <w:rPr>
          <w:rFonts w:hint="eastAsia" w:ascii="仿宋_GB2312" w:hAnsi="Calibri" w:eastAsia="仿宋_GB2312"/>
          <w:sz w:val="30"/>
          <w:szCs w:val="30"/>
        </w:rPr>
        <w:t>。</w:t>
      </w:r>
    </w:p>
    <w:p w14:paraId="3D25D4DA">
      <w:pPr>
        <w:numPr>
          <w:ilvl w:val="1"/>
          <w:numId w:val="4"/>
        </w:numPr>
        <w:spacing w:line="600" w:lineRule="exact"/>
        <w:ind w:left="0" w:firstLine="0"/>
        <w:outlineLvl w:val="1"/>
        <w:rPr>
          <w:rFonts w:ascii="仿宋_GB2312" w:eastAsia="仿宋_GB2312"/>
          <w:b/>
          <w:sz w:val="30"/>
          <w:szCs w:val="30"/>
        </w:rPr>
      </w:pPr>
      <w:bookmarkStart w:id="2277" w:name="_Toc1812501148"/>
      <w:bookmarkStart w:id="2278" w:name="_Toc56166290"/>
      <w:bookmarkStart w:id="2279" w:name="_Toc1210465012"/>
      <w:bookmarkStart w:id="2280" w:name="_Toc56166101"/>
      <w:bookmarkStart w:id="2281" w:name="_Toc73885291"/>
      <w:bookmarkStart w:id="2282" w:name="_Toc308096652"/>
      <w:bookmarkStart w:id="2283" w:name="_Toc41660647"/>
      <w:bookmarkStart w:id="2284" w:name="_Toc1601066630"/>
      <w:bookmarkStart w:id="2285" w:name="_Toc151136918"/>
      <w:bookmarkStart w:id="2286" w:name="_Toc532656527"/>
      <w:r>
        <w:rPr>
          <w:rFonts w:hint="eastAsia" w:ascii="仿宋_GB2312" w:eastAsia="仿宋_GB2312"/>
          <w:b/>
          <w:sz w:val="30"/>
          <w:szCs w:val="30"/>
        </w:rPr>
        <w:t>国债预发行</w:t>
      </w:r>
      <w:bookmarkEnd w:id="2277"/>
      <w:bookmarkEnd w:id="2278"/>
      <w:bookmarkEnd w:id="2279"/>
      <w:bookmarkEnd w:id="2280"/>
      <w:bookmarkEnd w:id="2281"/>
      <w:bookmarkEnd w:id="2282"/>
      <w:bookmarkEnd w:id="2283"/>
      <w:bookmarkEnd w:id="2284"/>
      <w:bookmarkEnd w:id="2285"/>
      <w:bookmarkEnd w:id="2286"/>
    </w:p>
    <w:p w14:paraId="5451CAA2">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国债预发行交易，是指在关键期限（1、3、5、7、10年期）的记账式国债招标日前特定期间进行交易，并在国债招标完成后进行交收的债券买卖行为。</w:t>
      </w:r>
    </w:p>
    <w:p w14:paraId="6CFFADA0">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国债招标日前四个法定工作日至招标日前一个法定工作日期间的本所交易日，可以进行国债预发行交易。</w:t>
      </w:r>
    </w:p>
    <w:p w14:paraId="5D324A56">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国债预发行交易的具体券种由本所根据财政部、中国人民银行、中国证券监督管理委员会有关通知确定，并向市场公布。</w:t>
      </w:r>
    </w:p>
    <w:p w14:paraId="1E911565">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相关规则</w:t>
      </w:r>
    </w:p>
    <w:p w14:paraId="5B3E51A7">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国债预发行相关规则如下：</w:t>
      </w:r>
    </w:p>
    <w:p w14:paraId="3AEB219E">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1.《财政部 中国人民银行 中国证券监督管理委员会关于开展国债预发行试点的通知》（财库［2013］28号）</w:t>
      </w:r>
    </w:p>
    <w:p w14:paraId="31833E19">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2.《财政部、中国人民银行、中国证券监督管理委员会关于7年期国债开展预发行试点的通知》（财库[2013]82号）</w:t>
      </w:r>
    </w:p>
    <w:p w14:paraId="4419C75C">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3.《财政部、中国人民银行和中国证券监督管理委员会关于关键期限国债开展预发行试点的通知》（财库〔2014〕72号）</w:t>
      </w:r>
    </w:p>
    <w:p w14:paraId="3F1A6118">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4.《关于发布&lt;上海证券交易所、中国证券登记结算有限责任公司国债预发行（试点）交易及登记结算业务办法&gt;及有关事项的通知》（上证发〔2013〕4号）</w:t>
      </w:r>
    </w:p>
    <w:p w14:paraId="557160D1">
      <w:pPr>
        <w:numPr>
          <w:ilvl w:val="2"/>
          <w:numId w:val="4"/>
        </w:numPr>
        <w:spacing w:line="600" w:lineRule="exact"/>
        <w:ind w:left="0" w:firstLine="0"/>
        <w:outlineLvl w:val="2"/>
        <w:rPr>
          <w:rFonts w:ascii="仿宋_GB2312" w:eastAsia="仿宋_GB2312"/>
          <w:b/>
          <w:sz w:val="30"/>
          <w:szCs w:val="30"/>
        </w:rPr>
      </w:pPr>
      <w:bookmarkStart w:id="2287" w:name="_Toc41660648"/>
      <w:r>
        <w:rPr>
          <w:rFonts w:hint="eastAsia" w:ascii="仿宋_GB2312" w:eastAsia="仿宋_GB2312"/>
          <w:b/>
          <w:sz w:val="30"/>
          <w:szCs w:val="30"/>
        </w:rPr>
        <w:t>参与者要求</w:t>
      </w:r>
      <w:bookmarkEnd w:id="2287"/>
    </w:p>
    <w:p w14:paraId="603D1655">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下列专业投资者可以参与国债预发行交易：</w:t>
      </w:r>
    </w:p>
    <w:p w14:paraId="67063FD3">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（1）可参与本所债券交易的证券公司、银行、基金管理公司、保险公司等金融机构；</w:t>
      </w:r>
    </w:p>
    <w:p w14:paraId="0EE4D92B">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（2）符合本所债券市场投资者适当性管理相关规定的其他专业投资者。</w:t>
      </w:r>
    </w:p>
    <w:p w14:paraId="7E7B9CE0">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上述投资者参与国债预发行交易比照国债现券交易进行管理。</w:t>
      </w:r>
    </w:p>
    <w:p w14:paraId="6659EE3D">
      <w:pPr>
        <w:numPr>
          <w:ilvl w:val="2"/>
          <w:numId w:val="4"/>
        </w:numPr>
        <w:spacing w:line="600" w:lineRule="exact"/>
        <w:ind w:left="0" w:firstLine="0"/>
        <w:outlineLvl w:val="2"/>
        <w:rPr>
          <w:rFonts w:ascii="仿宋_GB2312" w:eastAsia="仿宋_GB2312"/>
          <w:b/>
          <w:sz w:val="30"/>
          <w:szCs w:val="30"/>
        </w:rPr>
      </w:pPr>
      <w:bookmarkStart w:id="2288" w:name="_Toc41660649"/>
      <w:r>
        <w:rPr>
          <w:rFonts w:hint="eastAsia" w:ascii="仿宋_GB2312" w:eastAsia="仿宋_GB2312"/>
          <w:b/>
          <w:sz w:val="30"/>
          <w:szCs w:val="30"/>
        </w:rPr>
        <w:t>交易流程</w:t>
      </w:r>
      <w:bookmarkEnd w:id="2288"/>
    </w:p>
    <w:p w14:paraId="3D8117D5">
      <w:pPr>
        <w:spacing w:line="600" w:lineRule="exact"/>
        <w:ind w:left="567"/>
        <w:outlineLvl w:val="3"/>
        <w:rPr>
          <w:rFonts w:ascii="仿宋_GB2312" w:eastAsia="仿宋_GB2312"/>
          <w:b/>
          <w:sz w:val="30"/>
          <w:szCs w:val="30"/>
        </w:rPr>
      </w:pPr>
      <w:bookmarkStart w:id="2289" w:name="_Toc41660650"/>
      <w:r>
        <w:rPr>
          <w:rFonts w:hint="eastAsia" w:ascii="仿宋_GB2312" w:eastAsia="仿宋_GB2312"/>
          <w:b/>
          <w:sz w:val="30"/>
          <w:szCs w:val="30"/>
        </w:rPr>
        <w:t>（1）净卖出</w:t>
      </w:r>
      <w:bookmarkEnd w:id="2289"/>
    </w:p>
    <w:p w14:paraId="2E90C1E3">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国债预发行交易中，国债承销团成员可以在规定额度内申报净卖出，其他投资者不得净卖出。</w:t>
      </w:r>
    </w:p>
    <w:p w14:paraId="4BE94335">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国债预发行交易起始日前一交易日，</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根据本所提供的数据在国债承销团成员证券账户内记增预发行国债净卖出额度，并于日终将相关数据发送相关结算参与人。</w:t>
      </w:r>
    </w:p>
    <w:p w14:paraId="5A848F35">
      <w:pPr>
        <w:spacing w:line="600" w:lineRule="exact"/>
        <w:ind w:left="567"/>
        <w:outlineLvl w:val="3"/>
        <w:rPr>
          <w:rFonts w:ascii="仿宋_GB2312" w:eastAsia="仿宋_GB2312"/>
          <w:b/>
          <w:sz w:val="30"/>
          <w:szCs w:val="30"/>
        </w:rPr>
      </w:pPr>
      <w:bookmarkStart w:id="2290" w:name="_Toc41660651"/>
      <w:r>
        <w:rPr>
          <w:rFonts w:hint="eastAsia" w:ascii="仿宋_GB2312" w:eastAsia="仿宋_GB2312"/>
          <w:b/>
          <w:sz w:val="30"/>
          <w:szCs w:val="30"/>
        </w:rPr>
        <w:t>（2）交易方式</w:t>
      </w:r>
      <w:bookmarkEnd w:id="2290"/>
    </w:p>
    <w:p w14:paraId="33CA60BE">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国债预发行交易采用匹配成交方式。</w:t>
      </w:r>
    </w:p>
    <w:p w14:paraId="61A5964E">
      <w:pPr>
        <w:spacing w:line="600" w:lineRule="exact"/>
        <w:ind w:firstLine="601" w:firstLineChars="200"/>
        <w:outlineLvl w:val="3"/>
        <w:rPr>
          <w:rFonts w:ascii="仿宋_GB2312" w:eastAsia="仿宋_GB2312"/>
          <w:b/>
          <w:sz w:val="30"/>
          <w:szCs w:val="30"/>
        </w:rPr>
      </w:pPr>
      <w:bookmarkStart w:id="2291" w:name="_Toc41660652"/>
      <w:r>
        <w:rPr>
          <w:rFonts w:hint="eastAsia" w:ascii="仿宋_GB2312" w:eastAsia="仿宋_GB2312"/>
          <w:b/>
          <w:sz w:val="30"/>
          <w:szCs w:val="30"/>
        </w:rPr>
        <w:t>（3）交易申报</w:t>
      </w:r>
      <w:bookmarkEnd w:id="2291"/>
    </w:p>
    <w:p w14:paraId="773904B3">
      <w:pPr>
        <w:spacing w:line="600" w:lineRule="exact"/>
        <w:ind w:firstLine="600" w:firstLineChars="200"/>
        <w:rPr>
          <w:rFonts w:ascii="仿宋_GB2312" w:hAnsi="Calibri" w:eastAsia="仿宋_GB2312"/>
          <w:b/>
          <w:sz w:val="30"/>
          <w:szCs w:val="30"/>
        </w:rPr>
      </w:pPr>
      <w:r>
        <w:rPr>
          <w:rFonts w:hint="eastAsia" w:ascii="仿宋_GB2312" w:hAnsi="Calibri" w:eastAsia="仿宋_GB2312"/>
          <w:sz w:val="30"/>
          <w:szCs w:val="30"/>
        </w:rPr>
        <w:t>国债通过价格招标发行的，国债预发行交易采用价格申报。卖出限价申报为按限定或高于限定的价格卖出标的国债；买入限价申报为按限定或低于限定的价格买入标的国债。计价单位为“每百元面额国债的价格”</w:t>
      </w:r>
      <w:r>
        <w:rPr>
          <w:rFonts w:hint="eastAsia" w:ascii="仿宋_GB2312" w:hAnsi="Calibri" w:eastAsia="仿宋_GB2312"/>
          <w:b/>
          <w:sz w:val="30"/>
          <w:szCs w:val="30"/>
        </w:rPr>
        <w:t>。</w:t>
      </w:r>
    </w:p>
    <w:p w14:paraId="0CD05683">
      <w:pPr>
        <w:spacing w:line="600" w:lineRule="exact"/>
        <w:ind w:firstLine="600" w:firstLineChars="200"/>
        <w:rPr>
          <w:rFonts w:ascii="仿宋_GB2312" w:hAnsi="Calibri" w:eastAsia="仿宋_GB2312"/>
          <w:b/>
          <w:sz w:val="30"/>
          <w:szCs w:val="30"/>
        </w:rPr>
      </w:pPr>
      <w:r>
        <w:rPr>
          <w:rFonts w:hint="eastAsia" w:ascii="仿宋_GB2312" w:hAnsi="Calibri" w:eastAsia="仿宋_GB2312"/>
          <w:sz w:val="30"/>
          <w:szCs w:val="30"/>
        </w:rPr>
        <w:t>国债通过利率招标发行的，国债预发行交易采用收益率申报。卖出限价申报为按限定或低于限定的收益率卖出标的国债；买入限价申报为按限定或高于限定的收益率买入标的国债。计价单位为“百分点”</w:t>
      </w:r>
      <w:r>
        <w:rPr>
          <w:rFonts w:hint="eastAsia" w:ascii="仿宋_GB2312" w:hAnsi="Calibri" w:eastAsia="仿宋_GB2312"/>
          <w:b/>
          <w:sz w:val="30"/>
          <w:szCs w:val="30"/>
        </w:rPr>
        <w:t>。</w:t>
      </w:r>
    </w:p>
    <w:p w14:paraId="48331E96">
      <w:pPr>
        <w:autoSpaceDE w:val="0"/>
        <w:autoSpaceDN w:val="0"/>
        <w:adjustRightInd w:val="0"/>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本所接受国债预发行交易申报的时间为每个交易日的9：1</w:t>
      </w:r>
      <w:r>
        <w:rPr>
          <w:rFonts w:ascii="仿宋_GB2312" w:hAnsi="Calibri" w:eastAsia="仿宋_GB2312"/>
          <w:sz w:val="30"/>
          <w:szCs w:val="30"/>
        </w:rPr>
        <w:t>5</w:t>
      </w:r>
      <w:r>
        <w:rPr>
          <w:rFonts w:hint="eastAsia" w:ascii="仿宋_GB2312" w:hAnsi="Calibri" w:eastAsia="仿宋_GB2312"/>
          <w:sz w:val="30"/>
          <w:szCs w:val="30"/>
        </w:rPr>
        <w:t>至</w:t>
      </w:r>
      <w:r>
        <w:rPr>
          <w:rFonts w:ascii="仿宋_GB2312" w:hAnsi="Calibri" w:eastAsia="仿宋_GB2312"/>
          <w:sz w:val="30"/>
          <w:szCs w:val="30"/>
        </w:rPr>
        <w:t>9</w:t>
      </w:r>
      <w:r>
        <w:rPr>
          <w:rFonts w:hint="eastAsia" w:ascii="仿宋_GB2312" w:hAnsi="Calibri" w:eastAsia="仿宋_GB2312"/>
          <w:sz w:val="30"/>
          <w:szCs w:val="30"/>
        </w:rPr>
        <w:t>:2</w:t>
      </w:r>
      <w:r>
        <w:rPr>
          <w:rFonts w:ascii="仿宋_GB2312" w:hAnsi="Calibri" w:eastAsia="仿宋_GB2312"/>
          <w:sz w:val="30"/>
          <w:szCs w:val="30"/>
        </w:rPr>
        <w:t>5</w:t>
      </w:r>
      <w:r>
        <w:rPr>
          <w:rFonts w:hint="eastAsia" w:ascii="仿宋_GB2312" w:hAnsi="Calibri" w:eastAsia="仿宋_GB2312"/>
          <w:sz w:val="30"/>
          <w:szCs w:val="30"/>
        </w:rPr>
        <w:t>、9：30至11：30、13：00至15：00。</w:t>
      </w:r>
    </w:p>
    <w:p w14:paraId="09CFEE10">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国债预发行交易申报要素包括：证券代码、买卖方向、申报类型、价格、订单数量、交易业务单元、债券投资者账户、营业部代码等。</w:t>
      </w:r>
    </w:p>
    <w:p w14:paraId="623418F8">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各关键期限国债预发行交易的证券代码如下：采用利率招标的，1、3、5、7、10年期关键期限国债预发行交易的证券代码分别为751801、751803、751805、751807和751800；采用价格招标的，1、3、5、7、10年期关键期限国债预发行交易的证券代码分别为751811、751813、751815、751817和751810。</w:t>
      </w:r>
    </w:p>
    <w:p w14:paraId="5D92F44A">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国债预发行交易申报应当符合以下要求：</w:t>
      </w:r>
    </w:p>
    <w:p w14:paraId="03F130DA">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1）价格申报的最小变动单位为0.001元，收益率申报的最小变动单位为0.001个百分点；</w:t>
      </w:r>
    </w:p>
    <w:p w14:paraId="3BBC2FD9">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2）申报数量为100万元面额或其整数倍；</w:t>
      </w:r>
    </w:p>
    <w:p w14:paraId="7350E928">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3）单笔匹配成交申报最大数量为10亿元面额；</w:t>
      </w:r>
    </w:p>
    <w:p w14:paraId="2B7E3144">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4）本所规定的其他要求。</w:t>
      </w:r>
    </w:p>
    <w:p w14:paraId="135C1B38">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国债预发行交易实行价格（收益率）申报区间控制，具体要求为：</w:t>
      </w:r>
    </w:p>
    <w:p w14:paraId="6F13931B">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1）采用价格申报的，国债预发行交易的价格申报区间为该期国债招标日前第六个法定工作日理论估值价格加减3元。理论估值价格由本所公布。</w:t>
      </w:r>
    </w:p>
    <w:p w14:paraId="49C20F6A">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2）采用收益率申报的，国债预发行的收益率申报区间为该期国债招标日前第六个法定工作日该期限国债到期收益率加减0.75个百分点。该期限国债到期收益率由本所公布。</w:t>
      </w:r>
    </w:p>
    <w:p w14:paraId="1B7E6879">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本所可根据市场情况调整价格（收益率）申报区间，并于调整次日将调整情况报财政部、中国证券监督管理委员会备案。</w:t>
      </w:r>
    </w:p>
    <w:p w14:paraId="434A80BE">
      <w:pPr>
        <w:spacing w:line="600" w:lineRule="exact"/>
        <w:ind w:firstLine="601" w:firstLineChars="200"/>
        <w:outlineLvl w:val="3"/>
        <w:rPr>
          <w:rFonts w:ascii="仿宋_GB2312" w:eastAsia="仿宋_GB2312"/>
          <w:b/>
          <w:sz w:val="30"/>
          <w:szCs w:val="30"/>
        </w:rPr>
      </w:pPr>
      <w:bookmarkStart w:id="2292" w:name="_Toc41660653"/>
      <w:r>
        <w:rPr>
          <w:rFonts w:hint="eastAsia" w:ascii="仿宋_GB2312" w:eastAsia="仿宋_GB2312"/>
          <w:b/>
          <w:sz w:val="30"/>
          <w:szCs w:val="30"/>
        </w:rPr>
        <w:t>（4）交易达成</w:t>
      </w:r>
      <w:bookmarkEnd w:id="2292"/>
    </w:p>
    <w:p w14:paraId="2390A868">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国债预发行交易通过匹配成交方式达成交易的，按“价格（收益率）优先、时间优先”的原则撮合成交。</w:t>
      </w:r>
    </w:p>
    <w:p w14:paraId="066808C6">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价格优先，是指较高价格买入申报优先于较低价格买入申报，较低价格卖出申报优先于较高价格卖出申报。</w:t>
      </w:r>
    </w:p>
    <w:p w14:paraId="7F9E62E3">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收益率优先，是指较低收益率买入申报优先于较高收益率买入申报，较高收益率卖出申报优先于较低收益率卖出申报。</w:t>
      </w:r>
    </w:p>
    <w:p w14:paraId="2CF32E26">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时间优先，是指买卖方向、价格（收益率）相同的，先申报者优先于后申报者。先后顺序按本所综合业务平台接受申报的时间确定。</w:t>
      </w:r>
    </w:p>
    <w:p w14:paraId="1F3DB9AA">
      <w:pPr>
        <w:spacing w:line="600" w:lineRule="exact"/>
        <w:ind w:firstLine="601" w:firstLineChars="200"/>
        <w:outlineLvl w:val="3"/>
        <w:rPr>
          <w:rFonts w:ascii="仿宋_GB2312" w:eastAsia="仿宋_GB2312"/>
          <w:b/>
          <w:sz w:val="30"/>
          <w:szCs w:val="30"/>
        </w:rPr>
      </w:pPr>
      <w:bookmarkStart w:id="2293" w:name="_Toc41660655"/>
      <w:r>
        <w:rPr>
          <w:rFonts w:hint="eastAsia" w:ascii="仿宋_GB2312" w:eastAsia="仿宋_GB2312"/>
          <w:b/>
          <w:sz w:val="30"/>
          <w:szCs w:val="30"/>
        </w:rPr>
        <w:t>（5）持仓限额控制</w:t>
      </w:r>
      <w:bookmarkEnd w:id="2293"/>
    </w:p>
    <w:p w14:paraId="110C2529">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国债预发行交易实行持仓限额控制，具体要求为：</w:t>
      </w:r>
    </w:p>
    <w:p w14:paraId="0E0011E6">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1）国债承销团甲类成员净卖出余额不得超过当期国债当次计划发行量的6%，乙类成员净卖出余额不得超过当期国债当次计划发行量的1.5%；</w:t>
      </w:r>
    </w:p>
    <w:p w14:paraId="06F46606">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2）单个参与者净买入余额不得超过当期国债当次计划发行量的6%。</w:t>
      </w:r>
    </w:p>
    <w:p w14:paraId="51503202">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国债承销团甲类成员、乙类成员范围根据财政部相关规则确定。</w:t>
      </w:r>
    </w:p>
    <w:p w14:paraId="7F7D2F15">
      <w:pPr>
        <w:spacing w:line="600" w:lineRule="exact"/>
        <w:ind w:firstLine="601" w:firstLineChars="200"/>
        <w:outlineLvl w:val="3"/>
        <w:rPr>
          <w:rFonts w:ascii="仿宋_GB2312" w:eastAsia="仿宋_GB2312"/>
          <w:b/>
          <w:sz w:val="30"/>
          <w:szCs w:val="30"/>
        </w:rPr>
      </w:pPr>
      <w:bookmarkStart w:id="2294" w:name="_Toc41660656"/>
      <w:r>
        <w:rPr>
          <w:rFonts w:hint="eastAsia" w:ascii="仿宋_GB2312" w:eastAsia="仿宋_GB2312"/>
          <w:b/>
          <w:sz w:val="30"/>
          <w:szCs w:val="30"/>
        </w:rPr>
        <w:t>（6）暂停接受净卖出申报</w:t>
      </w:r>
      <w:bookmarkEnd w:id="2294"/>
    </w:p>
    <w:p w14:paraId="09B526D3">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出现下列情形的，本所可以暂停接受国债预发行交易中的净卖出申报：</w:t>
      </w:r>
    </w:p>
    <w:p w14:paraId="3C1C02E5">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1）首次发行国债在本所债券市场净卖出合计余额达到当期国债当次计划发行量的60%；</w:t>
      </w:r>
    </w:p>
    <w:p w14:paraId="66ECFD16">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2）续发行国债在本所债券市场净卖出合计余额达到当期国债当次计划发行量的100%。</w:t>
      </w:r>
    </w:p>
    <w:p w14:paraId="0105CA63">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本所根据前款规定暂停接受净卖出申报的，如前款规定情形消失，本所可以自下一交易日起恢复接受净卖出申报。</w:t>
      </w:r>
    </w:p>
    <w:p w14:paraId="29E5C82D">
      <w:pPr>
        <w:spacing w:line="600" w:lineRule="exact"/>
        <w:ind w:firstLine="601" w:firstLineChars="200"/>
        <w:outlineLvl w:val="3"/>
        <w:rPr>
          <w:rFonts w:ascii="仿宋_GB2312" w:eastAsia="仿宋_GB2312"/>
          <w:b/>
          <w:sz w:val="30"/>
          <w:szCs w:val="30"/>
        </w:rPr>
      </w:pPr>
      <w:bookmarkStart w:id="2295" w:name="_Toc41660657"/>
      <w:r>
        <w:rPr>
          <w:rFonts w:hint="eastAsia" w:ascii="仿宋_GB2312" w:eastAsia="仿宋_GB2312"/>
          <w:b/>
          <w:sz w:val="30"/>
          <w:szCs w:val="30"/>
        </w:rPr>
        <w:t>（7）信息披露</w:t>
      </w:r>
      <w:bookmarkEnd w:id="2295"/>
    </w:p>
    <w:p w14:paraId="627A1C39">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国债预发行交易起始日前，本所在本所官网发布关于国债预发行交易的通知。</w:t>
      </w:r>
    </w:p>
    <w:p w14:paraId="43A8124C">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国债预发行交易期间，本所在每个交易日闭市后，在本所官网披露相应券种在本所债券市场的净卖出合计余额。</w:t>
      </w:r>
    </w:p>
    <w:p w14:paraId="717086C9">
      <w:pPr>
        <w:spacing w:line="600" w:lineRule="exact"/>
        <w:ind w:firstLine="601" w:firstLineChars="200"/>
        <w:outlineLvl w:val="3"/>
        <w:rPr>
          <w:rFonts w:ascii="仿宋_GB2312" w:eastAsia="仿宋_GB2312"/>
          <w:b/>
          <w:sz w:val="30"/>
          <w:szCs w:val="30"/>
        </w:rPr>
      </w:pPr>
      <w:bookmarkStart w:id="2296" w:name="_Toc41660658"/>
      <w:r>
        <w:rPr>
          <w:rFonts w:hint="eastAsia" w:ascii="仿宋_GB2312" w:eastAsia="仿宋_GB2312"/>
          <w:b/>
          <w:sz w:val="30"/>
          <w:szCs w:val="30"/>
        </w:rPr>
        <w:t>（8）指定交易撤销</w:t>
      </w:r>
      <w:bookmarkEnd w:id="2296"/>
    </w:p>
    <w:p w14:paraId="4D8D89B0">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债券投资者在国债预发行交易完成清算交收后，方可撤销其指定交易。</w:t>
      </w:r>
    </w:p>
    <w:p w14:paraId="6B4981A1">
      <w:pPr>
        <w:numPr>
          <w:ilvl w:val="2"/>
          <w:numId w:val="4"/>
        </w:numPr>
        <w:spacing w:line="600" w:lineRule="exact"/>
        <w:ind w:left="0" w:firstLine="0"/>
        <w:outlineLvl w:val="2"/>
        <w:rPr>
          <w:rFonts w:ascii="仿宋_GB2312" w:eastAsia="仿宋_GB2312"/>
          <w:b/>
          <w:sz w:val="30"/>
          <w:szCs w:val="30"/>
        </w:rPr>
      </w:pPr>
      <w:bookmarkStart w:id="2297" w:name="_Toc41660659"/>
      <w:r>
        <w:rPr>
          <w:rFonts w:hint="eastAsia" w:ascii="仿宋_GB2312" w:eastAsia="仿宋_GB2312"/>
          <w:b/>
          <w:sz w:val="30"/>
          <w:szCs w:val="30"/>
        </w:rPr>
        <w:t>保证金管理</w:t>
      </w:r>
      <w:bookmarkEnd w:id="2297"/>
    </w:p>
    <w:p w14:paraId="41E0894B">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国债预发行交易实行履约担保制度。</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以证券账户为基础核算单位计算下列保证金应收金额，并按结算参与人为单位向结算参与人收取：</w:t>
      </w:r>
    </w:p>
    <w:p w14:paraId="686411F4">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履约保证金，即为保证结算参与人对国债预发行单边头寸履行交割义务而收取的保证金。履约保证金比例由本所和</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确定并向市场公布。</w:t>
      </w:r>
    </w:p>
    <w:p w14:paraId="64EF21FB">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价差保证金，即为保证结算参与人对国债预发行平仓头寸履行结算义务而收取的保证金。</w:t>
      </w:r>
    </w:p>
    <w:p w14:paraId="78A6A9ED">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其中单边头寸是指单向净买入或净卖出的头寸，平仓头寸是指先买入后又卖出或者先卖出后又买入的头寸。平仓头寸按成交时间由先到后的顺序予以确定。</w:t>
      </w:r>
    </w:p>
    <w:p w14:paraId="16F68198">
      <w:pPr>
        <w:spacing w:line="600" w:lineRule="exact"/>
        <w:ind w:firstLine="601" w:firstLineChars="200"/>
        <w:outlineLvl w:val="3"/>
        <w:rPr>
          <w:rFonts w:ascii="仿宋_GB2312" w:eastAsia="仿宋_GB2312"/>
          <w:b/>
          <w:sz w:val="30"/>
          <w:szCs w:val="30"/>
        </w:rPr>
      </w:pPr>
      <w:bookmarkStart w:id="2298" w:name="_Toc41660660"/>
      <w:r>
        <w:rPr>
          <w:rFonts w:hint="eastAsia" w:ascii="仿宋_GB2312" w:eastAsia="仿宋_GB2312"/>
          <w:b/>
          <w:sz w:val="30"/>
          <w:szCs w:val="30"/>
        </w:rPr>
        <w:t>（1）价格招标预发行交易保证金</w:t>
      </w:r>
      <w:bookmarkEnd w:id="2298"/>
    </w:p>
    <w:p w14:paraId="338DF882">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国债通过价格招标发行的，其预发行交易保证金按照以下标准收取：</w:t>
      </w:r>
    </w:p>
    <w:p w14:paraId="6250BFC6">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履约保证金的计算公式为：履约保证金＝∑每个证券账户单边头寸成交金额×履约保证金比例；</w:t>
      </w:r>
    </w:p>
    <w:p w14:paraId="31F8C2DE">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价差保证金按买卖价差核算，并对亏损部分收取，计算公式为：价差保证金＝max[0，∑（平仓头寸面额×买入成交价格/100）-∑（平仓头寸面额×卖出成交价格/100）]。</w:t>
      </w:r>
    </w:p>
    <w:p w14:paraId="63F2EAB5">
      <w:pPr>
        <w:spacing w:line="600" w:lineRule="exact"/>
        <w:ind w:firstLine="601" w:firstLineChars="200"/>
        <w:outlineLvl w:val="3"/>
        <w:rPr>
          <w:rFonts w:ascii="仿宋_GB2312" w:eastAsia="仿宋_GB2312"/>
          <w:b/>
          <w:sz w:val="30"/>
          <w:szCs w:val="30"/>
        </w:rPr>
      </w:pPr>
      <w:bookmarkStart w:id="2299" w:name="_Toc41660661"/>
      <w:r>
        <w:rPr>
          <w:rFonts w:hint="eastAsia" w:ascii="仿宋_GB2312" w:eastAsia="仿宋_GB2312"/>
          <w:b/>
          <w:sz w:val="30"/>
          <w:szCs w:val="30"/>
        </w:rPr>
        <w:t>（2）利率招标预发行交易保证金</w:t>
      </w:r>
      <w:bookmarkEnd w:id="2299"/>
    </w:p>
    <w:p w14:paraId="7CDD577F">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国债通过利率招标发行的，其预发行交易保证金按照以下标准收取：</w:t>
      </w:r>
    </w:p>
    <w:p w14:paraId="1F3F2C07">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履约保证金的计算公式为：履约保证金＝∑每个证券账户单边头寸成交面额×履约保证金比例</w:t>
      </w:r>
    </w:p>
    <w:p w14:paraId="7DFA395E">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价差保证金按预期亏损额的120%收取。计算公式为：价差保证金＝max（0，预期亏损额）×120%。</w:t>
      </w:r>
    </w:p>
    <w:p w14:paraId="17EEF597">
      <w:pPr>
        <w:autoSpaceDE w:val="0"/>
        <w:autoSpaceDN w:val="0"/>
        <w:adjustRightIn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其中，预期亏损额=</w:t>
      </w:r>
      <w:r>
        <w:rPr>
          <w:rFonts w:ascii="仿宋_GB2312" w:hAnsi="Calibri" w:eastAsia="仿宋_GB2312"/>
          <w:sz w:val="30"/>
          <w:szCs w:val="30"/>
        </w:rPr>
        <w:drawing>
          <wp:inline distT="0" distB="0" distL="114300" distR="114300">
            <wp:extent cx="238125" cy="209550"/>
            <wp:effectExtent l="0" t="0" r="0" b="317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12" cstate="print"/>
                    <a:stretch>
                      <a:fillRect/>
                    </a:stretch>
                  </pic:blipFill>
                  <pic:spPr>
                    <a:xfrm>
                      <a:off x="0" y="0"/>
                      <a:ext cx="238125" cy="209550"/>
                    </a:xfrm>
                    <a:prstGeom prst="rect">
                      <a:avLst/>
                    </a:prstGeom>
                    <a:noFill/>
                    <a:ln>
                      <a:noFill/>
                    </a:ln>
                  </pic:spPr>
                </pic:pic>
              </a:graphicData>
            </a:graphic>
          </wp:inline>
        </w:drawing>
      </w:r>
      <w:r>
        <w:rPr>
          <w:rFonts w:hint="eastAsia" w:ascii="仿宋_GB2312" w:hAnsi="Calibri" w:eastAsia="仿宋_GB2312"/>
          <w:sz w:val="30"/>
          <w:szCs w:val="30"/>
        </w:rPr>
        <w:t>（平仓头寸面额×卖出收益率×参考久期）-</w:t>
      </w:r>
      <w:r>
        <w:rPr>
          <w:rFonts w:ascii="仿宋_GB2312" w:hAnsi="Calibri" w:eastAsia="仿宋_GB2312"/>
          <w:sz w:val="30"/>
          <w:szCs w:val="30"/>
        </w:rPr>
        <w:drawing>
          <wp:inline distT="0" distB="0" distL="114300" distR="114300">
            <wp:extent cx="238125" cy="209550"/>
            <wp:effectExtent l="0" t="0" r="0" b="3175"/>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12" cstate="print"/>
                    <a:stretch>
                      <a:fillRect/>
                    </a:stretch>
                  </pic:blipFill>
                  <pic:spPr>
                    <a:xfrm>
                      <a:off x="0" y="0"/>
                      <a:ext cx="238125" cy="209550"/>
                    </a:xfrm>
                    <a:prstGeom prst="rect">
                      <a:avLst/>
                    </a:prstGeom>
                    <a:noFill/>
                    <a:ln>
                      <a:noFill/>
                    </a:ln>
                  </pic:spPr>
                </pic:pic>
              </a:graphicData>
            </a:graphic>
          </wp:inline>
        </w:drawing>
      </w:r>
      <w:r>
        <w:rPr>
          <w:rFonts w:hint="eastAsia" w:ascii="仿宋_GB2312" w:hAnsi="Calibri" w:eastAsia="仿宋_GB2312"/>
          <w:sz w:val="30"/>
          <w:szCs w:val="30"/>
        </w:rPr>
        <w:t>（平仓头寸面额×买入收益率×参考久期）。参考久期由本所在该国债预发行交易品种上市时公布，其计算公式如下：</w:t>
      </w:r>
    </w:p>
    <w:p w14:paraId="5064A72D">
      <w:pPr>
        <w:autoSpaceDE w:val="0"/>
        <w:autoSpaceDN w:val="0"/>
        <w:adjustRightInd w:val="0"/>
        <w:ind w:firstLine="600" w:firstLineChars="200"/>
        <w:rPr>
          <w:rFonts w:ascii="仿宋_GB2312" w:hAnsi="Calibri" w:eastAsia="仿宋_GB2312"/>
          <w:sz w:val="30"/>
          <w:szCs w:val="30"/>
        </w:rPr>
      </w:pPr>
      <m:oMathPara>
        <m:oMath>
          <m:r>
            <m:rPr>
              <m:sty m:val="p"/>
            </m:rPr>
            <w:rPr>
              <w:rFonts w:hint="eastAsia" w:ascii="Cambria Math" w:hAnsi="Cambria Math" w:eastAsia="仿宋_GB2312"/>
              <w:sz w:val="30"/>
              <w:szCs w:val="30"/>
            </w:rPr>
            <m:t>参考久期=</m:t>
          </m:r>
          <m:f>
            <m:fPr>
              <m:ctrlPr>
                <w:rPr>
                  <w:rFonts w:ascii="Cambria Math" w:hAnsi="Cambria Math" w:eastAsia="仿宋_GB2312"/>
                  <w:sz w:val="30"/>
                  <w:szCs w:val="30"/>
                </w:rPr>
              </m:ctrlPr>
            </m:fPr>
            <m:num>
              <m:r>
                <m:rPr>
                  <m:sty m:val="p"/>
                </m:rPr>
                <w:rPr>
                  <w:rFonts w:hint="eastAsia" w:ascii="Cambria Math" w:hAnsi="Cambria Math" w:eastAsia="仿宋_GB2312"/>
                  <w:sz w:val="30"/>
                  <w:szCs w:val="30"/>
                </w:rPr>
                <m:t>1</m:t>
              </m:r>
              <m:ctrlPr>
                <w:rPr>
                  <w:rFonts w:ascii="Cambria Math" w:hAnsi="Cambria Math" w:eastAsia="仿宋_GB2312"/>
                  <w:sz w:val="30"/>
                  <w:szCs w:val="30"/>
                </w:rPr>
              </m:ctrlPr>
            </m:num>
            <m:den>
              <m:r>
                <m:rPr>
                  <m:sty m:val="p"/>
                </m:rPr>
                <w:rPr>
                  <w:rFonts w:hint="eastAsia" w:ascii="Cambria Math" w:hAnsi="Cambria Math" w:eastAsia="仿宋_GB2312"/>
                  <w:sz w:val="30"/>
                  <w:szCs w:val="30"/>
                </w:rPr>
                <m:t>y</m:t>
              </m:r>
              <m:ctrlPr>
                <w:rPr>
                  <w:rFonts w:ascii="Cambria Math" w:hAnsi="Cambria Math" w:eastAsia="仿宋_GB2312"/>
                  <w:sz w:val="30"/>
                  <w:szCs w:val="30"/>
                </w:rPr>
              </m:ctrlPr>
            </m:den>
          </m:f>
          <m:r>
            <m:rPr>
              <m:sty m:val="p"/>
            </m:rPr>
            <w:rPr>
              <w:rFonts w:hint="eastAsia" w:ascii="Cambria Math" w:hAnsi="Cambria Math" w:eastAsia="仿宋_GB2312"/>
              <w:sz w:val="30"/>
              <w:szCs w:val="30"/>
            </w:rPr>
            <m:t>×</m:t>
          </m:r>
          <m:d>
            <m:dPr>
              <m:ctrlPr>
                <w:rPr>
                  <w:rFonts w:ascii="Cambria Math" w:hAnsi="Cambria Math" w:eastAsia="仿宋_GB2312"/>
                  <w:sz w:val="30"/>
                  <w:szCs w:val="30"/>
                </w:rPr>
              </m:ctrlPr>
            </m:dPr>
            <m:e>
              <m:r>
                <m:rPr>
                  <m:sty m:val="p"/>
                </m:rPr>
                <w:rPr>
                  <w:rFonts w:hint="eastAsia" w:ascii="Cambria Math" w:hAnsi="Cambria Math" w:eastAsia="仿宋_GB2312"/>
                  <w:sz w:val="30"/>
                  <w:szCs w:val="30"/>
                </w:rPr>
                <m:t>1</m:t>
              </m:r>
              <m:r>
                <m:rPr>
                  <m:sty m:val="p"/>
                </m:rPr>
                <w:rPr>
                  <w:rFonts w:ascii="Cambria Math" w:hAnsi="Cambria Math" w:eastAsia="仿宋_GB2312"/>
                  <w:sz w:val="30"/>
                  <w:szCs w:val="30"/>
                </w:rPr>
                <m:t>−</m:t>
              </m:r>
              <m:f>
                <m:fPr>
                  <m:ctrlPr>
                    <w:rPr>
                      <w:rFonts w:ascii="Cambria Math" w:hAnsi="Cambria Math" w:eastAsia="仿宋_GB2312"/>
                      <w:sz w:val="30"/>
                      <w:szCs w:val="30"/>
                    </w:rPr>
                  </m:ctrlPr>
                </m:fPr>
                <m:num>
                  <m:r>
                    <m:rPr>
                      <m:sty m:val="p"/>
                    </m:rPr>
                    <w:rPr>
                      <w:rFonts w:hint="eastAsia" w:ascii="Cambria Math" w:hAnsi="Cambria Math" w:eastAsia="仿宋_GB2312"/>
                      <w:sz w:val="30"/>
                      <w:szCs w:val="30"/>
                    </w:rPr>
                    <m:t>1</m:t>
                  </m:r>
                  <m:ctrlPr>
                    <w:rPr>
                      <w:rFonts w:ascii="Cambria Math" w:hAnsi="Cambria Math" w:eastAsia="仿宋_GB2312"/>
                      <w:sz w:val="30"/>
                      <w:szCs w:val="30"/>
                    </w:rPr>
                  </m:ctrlPr>
                </m:num>
                <m:den>
                  <m:sSup>
                    <m:sSupPr>
                      <m:ctrlPr>
                        <w:rPr>
                          <w:rFonts w:ascii="Cambria Math" w:hAnsi="Cambria Math" w:eastAsia="仿宋_GB2312"/>
                          <w:sz w:val="30"/>
                          <w:szCs w:val="30"/>
                        </w:rPr>
                      </m:ctrlPr>
                    </m:sSupPr>
                    <m:e>
                      <m:d>
                        <m:dPr>
                          <m:ctrlPr>
                            <w:rPr>
                              <w:rFonts w:ascii="Cambria Math" w:hAnsi="Cambria Math" w:eastAsia="仿宋_GB2312"/>
                              <w:sz w:val="30"/>
                              <w:szCs w:val="30"/>
                            </w:rPr>
                          </m:ctrlPr>
                        </m:dPr>
                        <m:e>
                          <m:r>
                            <m:rPr>
                              <m:sty m:val="p"/>
                            </m:rPr>
                            <w:rPr>
                              <w:rFonts w:hint="eastAsia" w:ascii="Cambria Math" w:hAnsi="Cambria Math" w:eastAsia="仿宋_GB2312"/>
                              <w:sz w:val="30"/>
                              <w:szCs w:val="30"/>
                            </w:rPr>
                            <m:t>1+y/f</m:t>
                          </m:r>
                          <m:ctrlPr>
                            <w:rPr>
                              <w:rFonts w:ascii="Cambria Math" w:hAnsi="Cambria Math" w:eastAsia="仿宋_GB2312"/>
                              <w:sz w:val="30"/>
                              <w:szCs w:val="30"/>
                            </w:rPr>
                          </m:ctrlPr>
                        </m:e>
                      </m:d>
                      <m:ctrlPr>
                        <w:rPr>
                          <w:rFonts w:ascii="Cambria Math" w:hAnsi="Cambria Math" w:eastAsia="仿宋_GB2312"/>
                          <w:sz w:val="30"/>
                          <w:szCs w:val="30"/>
                        </w:rPr>
                      </m:ctrlPr>
                    </m:e>
                    <m:sup>
                      <m:r>
                        <m:rPr>
                          <m:sty m:val="p"/>
                        </m:rPr>
                        <w:rPr>
                          <w:rFonts w:hint="eastAsia" w:ascii="Cambria Math" w:hAnsi="Cambria Math" w:eastAsia="仿宋_GB2312"/>
                          <w:sz w:val="30"/>
                          <w:szCs w:val="30"/>
                        </w:rPr>
                        <m:t>f×n</m:t>
                      </m:r>
                      <m:ctrlPr>
                        <w:rPr>
                          <w:rFonts w:ascii="Cambria Math" w:hAnsi="Cambria Math" w:eastAsia="仿宋_GB2312"/>
                          <w:sz w:val="30"/>
                          <w:szCs w:val="30"/>
                        </w:rPr>
                      </m:ctrlPr>
                    </m:sup>
                  </m:sSup>
                  <m:ctrlPr>
                    <w:rPr>
                      <w:rFonts w:ascii="Cambria Math" w:hAnsi="Cambria Math" w:eastAsia="仿宋_GB2312"/>
                      <w:sz w:val="30"/>
                      <w:szCs w:val="30"/>
                    </w:rPr>
                  </m:ctrlPr>
                </m:den>
              </m:f>
              <m:ctrlPr>
                <w:rPr>
                  <w:rFonts w:ascii="Cambria Math" w:hAnsi="Cambria Math" w:eastAsia="仿宋_GB2312"/>
                  <w:sz w:val="30"/>
                  <w:szCs w:val="30"/>
                </w:rPr>
              </m:ctrlPr>
            </m:e>
          </m:d>
        </m:oMath>
      </m:oMathPara>
    </w:p>
    <w:p w14:paraId="2AD425F8">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其中，y为本所公布的该期限国债到期收益率，f为年付息频率，n为标的国债发行期限。</w:t>
      </w:r>
    </w:p>
    <w:p w14:paraId="43413130">
      <w:pPr>
        <w:spacing w:line="600" w:lineRule="exact"/>
        <w:ind w:firstLine="601" w:firstLineChars="200"/>
        <w:outlineLvl w:val="3"/>
        <w:rPr>
          <w:rFonts w:ascii="仿宋_GB2312" w:eastAsia="仿宋_GB2312"/>
          <w:b/>
          <w:sz w:val="30"/>
          <w:szCs w:val="30"/>
        </w:rPr>
      </w:pPr>
      <w:bookmarkStart w:id="2300" w:name="_Toc41660662"/>
      <w:r>
        <w:rPr>
          <w:rFonts w:hint="eastAsia" w:ascii="仿宋_GB2312" w:eastAsia="仿宋_GB2312"/>
          <w:b/>
          <w:sz w:val="30"/>
          <w:szCs w:val="30"/>
        </w:rPr>
        <w:t>（3）保证金账户</w:t>
      </w:r>
      <w:bookmarkEnd w:id="2300"/>
    </w:p>
    <w:p w14:paraId="253704B5">
      <w:pPr>
        <w:spacing w:line="600" w:lineRule="exact"/>
        <w:ind w:firstLine="600" w:firstLineChars="200"/>
        <w:rPr>
          <w:rFonts w:ascii="仿宋_GB2312" w:hAnsi="Calibri" w:eastAsia="仿宋_GB2312"/>
          <w:sz w:val="30"/>
          <w:szCs w:val="30"/>
        </w:rPr>
      </w:pP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通过结算参与人结算备付金账户收取和返还保证金，收取和返还数据通过结算明细文件发送结算参与人。</w:t>
      </w:r>
    </w:p>
    <w:p w14:paraId="55702E69">
      <w:pPr>
        <w:spacing w:line="600" w:lineRule="exact"/>
        <w:ind w:firstLine="600" w:firstLineChars="200"/>
        <w:rPr>
          <w:rFonts w:ascii="仿宋_GB2312" w:hAnsi="Calibri" w:eastAsia="仿宋_GB2312"/>
          <w:sz w:val="30"/>
          <w:szCs w:val="30"/>
        </w:rPr>
      </w:pP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将保证金存放于结算参与人价差保证金账户，与该账户内其它保证金分别核算。</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按照与结算银行商定的利率对价差保证金账户计付利息。结息日为每季度末月的20日，应计利息于结息日的次日记入价差保证金账户。</w:t>
      </w:r>
    </w:p>
    <w:p w14:paraId="253B626A">
      <w:pPr>
        <w:spacing w:line="600" w:lineRule="exact"/>
        <w:ind w:firstLine="601" w:firstLineChars="200"/>
        <w:outlineLvl w:val="3"/>
        <w:rPr>
          <w:rFonts w:ascii="仿宋_GB2312" w:eastAsia="仿宋_GB2312"/>
          <w:b/>
          <w:sz w:val="30"/>
          <w:szCs w:val="30"/>
        </w:rPr>
      </w:pPr>
      <w:bookmarkStart w:id="2301" w:name="_Toc41660663"/>
      <w:r>
        <w:rPr>
          <w:rFonts w:hint="eastAsia" w:ascii="仿宋_GB2312" w:eastAsia="仿宋_GB2312"/>
          <w:b/>
          <w:sz w:val="30"/>
          <w:szCs w:val="30"/>
        </w:rPr>
        <w:t>（4）保证金收取</w:t>
      </w:r>
      <w:bookmarkEnd w:id="2301"/>
    </w:p>
    <w:p w14:paraId="2F1A4B03">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国债预发行交易期间，</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于每个交易日日终核算应收保证金金额并于次日向结算参与人收取保证金。</w:t>
      </w:r>
    </w:p>
    <w:p w14:paraId="08B26A8E">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向结算参与人收取的保证金于国债预发行交易交收日交收完成后返还。如果结算参与人发生资金交收违约且证券处置所得不足以弥补违约金额，</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将动用违约结算参与人缴纳的保证金以弥补不足部分。</w:t>
      </w:r>
    </w:p>
    <w:p w14:paraId="12ACA64A">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证券公司向债券投资者收取保证金，不得低于</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向结算参与人收取的标准。对于</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收取的保证金部分，证券公司按照第8.1.4条第（3）款的规定收取。对于额外收取的保证金部分，证券公司可与债券投资者约定通过在其资金账户中冻结资金等方式收取。</w:t>
      </w:r>
    </w:p>
    <w:p w14:paraId="6CB44CAB">
      <w:pPr>
        <w:spacing w:line="600" w:lineRule="exact"/>
        <w:ind w:firstLine="601" w:firstLineChars="200"/>
        <w:rPr>
          <w:rFonts w:ascii="仿宋_GB2312" w:hAnsi="Calibri" w:eastAsia="仿宋_GB2312"/>
          <w:b/>
          <w:sz w:val="30"/>
          <w:szCs w:val="30"/>
        </w:rPr>
      </w:pPr>
      <w:r>
        <w:rPr>
          <w:rFonts w:hint="eastAsia" w:ascii="仿宋_GB2312" w:hAnsi="Calibri" w:eastAsia="仿宋_GB2312"/>
          <w:b/>
          <w:sz w:val="30"/>
          <w:szCs w:val="30"/>
        </w:rPr>
        <w:t>（5）各关键期限国债预发行交易的履约保证金比例</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5D765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4462F477">
            <w:pPr>
              <w:ind w:firstLine="357"/>
              <w:jc w:val="center"/>
              <w:rPr>
                <w:rFonts w:ascii="仿宋_GB2312" w:hAnsi="Calibri" w:eastAsia="仿宋_GB2312"/>
                <w:b/>
                <w:lang w:eastAsia="en-US" w:bidi="en-US"/>
              </w:rPr>
            </w:pPr>
            <w:r>
              <w:rPr>
                <w:rFonts w:hint="eastAsia" w:ascii="仿宋_GB2312" w:hAnsi="Calibri" w:eastAsia="仿宋_GB2312"/>
                <w:b/>
                <w:lang w:eastAsia="en-US" w:bidi="en-US"/>
              </w:rPr>
              <w:t>期限</w:t>
            </w:r>
          </w:p>
        </w:tc>
        <w:tc>
          <w:tcPr>
            <w:tcW w:w="4148" w:type="dxa"/>
          </w:tcPr>
          <w:p w14:paraId="1163657B">
            <w:pPr>
              <w:ind w:firstLine="357"/>
              <w:jc w:val="center"/>
              <w:rPr>
                <w:rFonts w:ascii="仿宋_GB2312" w:hAnsi="Calibri" w:eastAsia="仿宋_GB2312"/>
                <w:b/>
                <w:lang w:eastAsia="en-US" w:bidi="en-US"/>
              </w:rPr>
            </w:pPr>
            <w:r>
              <w:rPr>
                <w:rFonts w:hint="eastAsia" w:ascii="仿宋_GB2312" w:hAnsi="Calibri" w:eastAsia="仿宋_GB2312"/>
                <w:b/>
                <w:lang w:eastAsia="en-US" w:bidi="en-US"/>
              </w:rPr>
              <w:t>履约保证金比例</w:t>
            </w:r>
          </w:p>
        </w:tc>
      </w:tr>
      <w:tr w14:paraId="74B65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2D85E704">
            <w:pPr>
              <w:ind w:firstLine="357"/>
              <w:jc w:val="center"/>
              <w:rPr>
                <w:rFonts w:ascii="仿宋_GB2312" w:hAnsi="Calibri" w:eastAsia="仿宋_GB2312"/>
                <w:lang w:eastAsia="en-US" w:bidi="en-US"/>
              </w:rPr>
            </w:pPr>
            <w:r>
              <w:rPr>
                <w:rFonts w:hint="eastAsia" w:ascii="仿宋_GB2312" w:eastAsia="仿宋_GB2312"/>
                <w:color w:val="4D4D4D"/>
                <w:lang w:eastAsia="en-US" w:bidi="en-US"/>
              </w:rPr>
              <w:t>1年期</w:t>
            </w:r>
          </w:p>
        </w:tc>
        <w:tc>
          <w:tcPr>
            <w:tcW w:w="4148" w:type="dxa"/>
          </w:tcPr>
          <w:p w14:paraId="2BB65E46">
            <w:pPr>
              <w:ind w:firstLine="357"/>
              <w:jc w:val="center"/>
              <w:rPr>
                <w:rFonts w:ascii="仿宋_GB2312" w:hAnsi="Calibri" w:eastAsia="仿宋_GB2312"/>
                <w:lang w:eastAsia="en-US" w:bidi="en-US"/>
              </w:rPr>
            </w:pPr>
            <w:r>
              <w:rPr>
                <w:rFonts w:hint="eastAsia" w:ascii="仿宋_GB2312" w:eastAsia="仿宋_GB2312"/>
                <w:color w:val="4D4D4D"/>
                <w:lang w:eastAsia="en-US" w:bidi="en-US"/>
              </w:rPr>
              <w:t>1%</w:t>
            </w:r>
          </w:p>
        </w:tc>
      </w:tr>
      <w:tr w14:paraId="2BACE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781F7A3E">
            <w:pPr>
              <w:ind w:firstLine="357"/>
              <w:jc w:val="center"/>
              <w:rPr>
                <w:rFonts w:ascii="仿宋_GB2312" w:hAnsi="Calibri" w:eastAsia="仿宋_GB2312"/>
                <w:lang w:eastAsia="en-US" w:bidi="en-US"/>
              </w:rPr>
            </w:pPr>
            <w:r>
              <w:rPr>
                <w:rFonts w:hint="eastAsia" w:ascii="仿宋_GB2312" w:eastAsia="仿宋_GB2312"/>
                <w:color w:val="4D4D4D"/>
                <w:lang w:eastAsia="en-US" w:bidi="en-US"/>
              </w:rPr>
              <w:t>3年期</w:t>
            </w:r>
          </w:p>
        </w:tc>
        <w:tc>
          <w:tcPr>
            <w:tcW w:w="4148" w:type="dxa"/>
          </w:tcPr>
          <w:p w14:paraId="294DD18A">
            <w:pPr>
              <w:ind w:firstLine="357"/>
              <w:jc w:val="center"/>
              <w:rPr>
                <w:rFonts w:ascii="仿宋_GB2312" w:hAnsi="Calibri" w:eastAsia="仿宋_GB2312"/>
                <w:lang w:eastAsia="en-US" w:bidi="en-US"/>
              </w:rPr>
            </w:pPr>
            <w:r>
              <w:rPr>
                <w:rFonts w:hint="eastAsia" w:ascii="仿宋_GB2312" w:eastAsia="仿宋_GB2312"/>
                <w:color w:val="4D4D4D"/>
                <w:lang w:eastAsia="en-US" w:bidi="en-US"/>
              </w:rPr>
              <w:t>2%</w:t>
            </w:r>
          </w:p>
        </w:tc>
      </w:tr>
      <w:tr w14:paraId="33A99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148" w:type="dxa"/>
          </w:tcPr>
          <w:p w14:paraId="54F90482">
            <w:pPr>
              <w:ind w:firstLine="357"/>
              <w:jc w:val="center"/>
              <w:rPr>
                <w:rFonts w:ascii="仿宋_GB2312" w:hAnsi="Calibri" w:eastAsia="仿宋_GB2312"/>
                <w:lang w:eastAsia="en-US" w:bidi="en-US"/>
              </w:rPr>
            </w:pPr>
            <w:r>
              <w:rPr>
                <w:rFonts w:hint="eastAsia" w:ascii="仿宋_GB2312" w:eastAsia="仿宋_GB2312"/>
                <w:color w:val="4D4D4D"/>
                <w:lang w:eastAsia="en-US" w:bidi="en-US"/>
              </w:rPr>
              <w:t>5年期</w:t>
            </w:r>
          </w:p>
        </w:tc>
        <w:tc>
          <w:tcPr>
            <w:tcW w:w="4148" w:type="dxa"/>
          </w:tcPr>
          <w:p w14:paraId="1CD7179B">
            <w:pPr>
              <w:ind w:firstLine="357"/>
              <w:jc w:val="center"/>
              <w:rPr>
                <w:rFonts w:ascii="仿宋_GB2312" w:hAnsi="Calibri" w:eastAsia="仿宋_GB2312"/>
                <w:lang w:eastAsia="en-US" w:bidi="en-US"/>
              </w:rPr>
            </w:pPr>
            <w:r>
              <w:rPr>
                <w:rFonts w:hint="eastAsia" w:ascii="仿宋_GB2312" w:eastAsia="仿宋_GB2312"/>
                <w:color w:val="4D4D4D"/>
                <w:lang w:eastAsia="en-US" w:bidi="en-US"/>
              </w:rPr>
              <w:t>3%</w:t>
            </w:r>
          </w:p>
        </w:tc>
      </w:tr>
      <w:tr w14:paraId="2D965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363C3E4D">
            <w:pPr>
              <w:ind w:firstLine="357"/>
              <w:jc w:val="center"/>
              <w:rPr>
                <w:rFonts w:ascii="仿宋_GB2312" w:hAnsi="Calibri" w:eastAsia="仿宋_GB2312"/>
                <w:lang w:eastAsia="en-US" w:bidi="en-US"/>
              </w:rPr>
            </w:pPr>
            <w:r>
              <w:rPr>
                <w:rFonts w:hint="eastAsia" w:ascii="仿宋_GB2312" w:eastAsia="仿宋_GB2312"/>
                <w:color w:val="4D4D4D"/>
                <w:lang w:eastAsia="en-US" w:bidi="en-US"/>
              </w:rPr>
              <w:t>7年期</w:t>
            </w:r>
          </w:p>
        </w:tc>
        <w:tc>
          <w:tcPr>
            <w:tcW w:w="4148" w:type="dxa"/>
          </w:tcPr>
          <w:p w14:paraId="08DCADF7">
            <w:pPr>
              <w:ind w:firstLine="357"/>
              <w:jc w:val="center"/>
              <w:rPr>
                <w:rFonts w:ascii="仿宋_GB2312" w:hAnsi="Calibri" w:eastAsia="仿宋_GB2312"/>
                <w:lang w:eastAsia="en-US" w:bidi="en-US"/>
              </w:rPr>
            </w:pPr>
            <w:r>
              <w:rPr>
                <w:rFonts w:hint="eastAsia" w:ascii="仿宋_GB2312" w:eastAsia="仿宋_GB2312"/>
                <w:color w:val="4D4D4D"/>
                <w:lang w:eastAsia="en-US" w:bidi="en-US"/>
              </w:rPr>
              <w:t>4%</w:t>
            </w:r>
          </w:p>
        </w:tc>
      </w:tr>
      <w:tr w14:paraId="675D8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14:paraId="33ADC9D0">
            <w:pPr>
              <w:ind w:firstLine="357"/>
              <w:jc w:val="center"/>
              <w:rPr>
                <w:rFonts w:ascii="仿宋_GB2312" w:hAnsi="Calibri" w:eastAsia="仿宋_GB2312"/>
                <w:lang w:eastAsia="en-US" w:bidi="en-US"/>
              </w:rPr>
            </w:pPr>
            <w:r>
              <w:rPr>
                <w:rFonts w:hint="eastAsia" w:ascii="仿宋_GB2312" w:eastAsia="仿宋_GB2312"/>
                <w:color w:val="4D4D4D"/>
                <w:lang w:eastAsia="en-US" w:bidi="en-US"/>
              </w:rPr>
              <w:t>10年期</w:t>
            </w:r>
          </w:p>
        </w:tc>
        <w:tc>
          <w:tcPr>
            <w:tcW w:w="4148" w:type="dxa"/>
          </w:tcPr>
          <w:p w14:paraId="55FFBA65">
            <w:pPr>
              <w:ind w:firstLine="357"/>
              <w:jc w:val="center"/>
              <w:rPr>
                <w:rFonts w:ascii="仿宋_GB2312" w:hAnsi="Calibri" w:eastAsia="仿宋_GB2312"/>
                <w:lang w:eastAsia="en-US" w:bidi="en-US"/>
              </w:rPr>
            </w:pPr>
            <w:r>
              <w:rPr>
                <w:rFonts w:hint="eastAsia" w:ascii="仿宋_GB2312" w:eastAsia="仿宋_GB2312"/>
                <w:color w:val="4D4D4D"/>
                <w:lang w:eastAsia="en-US" w:bidi="en-US"/>
              </w:rPr>
              <w:t>5%</w:t>
            </w:r>
          </w:p>
        </w:tc>
      </w:tr>
    </w:tbl>
    <w:p w14:paraId="2D365968">
      <w:pPr>
        <w:spacing w:line="600" w:lineRule="exact"/>
        <w:ind w:firstLine="600" w:firstLineChars="200"/>
        <w:rPr>
          <w:rFonts w:ascii="仿宋_GB2312" w:hAnsi="宋体" w:eastAsia="仿宋_GB2312" w:cs="宋体"/>
          <w:color w:val="000000"/>
          <w:kern w:val="0"/>
          <w:sz w:val="30"/>
          <w:szCs w:val="30"/>
        </w:rPr>
      </w:pPr>
      <w:r>
        <w:rPr>
          <w:rFonts w:hint="eastAsia" w:ascii="仿宋_GB2312" w:hAnsi="宋体" w:eastAsia="仿宋_GB2312" w:cs="宋体"/>
          <w:color w:val="000000"/>
          <w:kern w:val="0"/>
          <w:sz w:val="30"/>
          <w:szCs w:val="30"/>
        </w:rPr>
        <w:t>上述各关键期限国债预发行交易的履约保证金比例于2014年7月18日起实施，《关于发布&lt;上海证券交易所、中国证券登记结算有限责任公司国债预发行（试点）交易及登记结算业务办法&gt;及有关事项的通知》（上证发〔2013〕4号）第二条“《办法》第二十条规定的国债预发行交易履约保证金比例暂定为10%”不再适用。</w:t>
      </w:r>
    </w:p>
    <w:p w14:paraId="45AB54F5">
      <w:pPr>
        <w:numPr>
          <w:ilvl w:val="2"/>
          <w:numId w:val="4"/>
        </w:numPr>
        <w:spacing w:line="600" w:lineRule="exact"/>
        <w:ind w:left="0" w:firstLine="0"/>
        <w:outlineLvl w:val="2"/>
        <w:rPr>
          <w:rFonts w:ascii="仿宋_GB2312" w:eastAsia="仿宋_GB2312"/>
          <w:b/>
          <w:sz w:val="30"/>
          <w:szCs w:val="30"/>
        </w:rPr>
      </w:pPr>
      <w:bookmarkStart w:id="2302" w:name="_Toc41660665"/>
      <w:r>
        <w:rPr>
          <w:rFonts w:hint="eastAsia" w:ascii="仿宋_GB2312" w:eastAsia="仿宋_GB2312"/>
          <w:b/>
          <w:sz w:val="30"/>
          <w:szCs w:val="30"/>
        </w:rPr>
        <w:t>清算与交收</w:t>
      </w:r>
      <w:bookmarkEnd w:id="2302"/>
    </w:p>
    <w:p w14:paraId="26CD4A21">
      <w:pPr>
        <w:spacing w:line="600" w:lineRule="exact"/>
        <w:ind w:firstLine="601" w:firstLineChars="200"/>
        <w:outlineLvl w:val="3"/>
        <w:rPr>
          <w:rFonts w:ascii="仿宋_GB2312" w:eastAsia="仿宋_GB2312"/>
          <w:b/>
          <w:sz w:val="30"/>
          <w:szCs w:val="30"/>
        </w:rPr>
      </w:pPr>
      <w:bookmarkStart w:id="2303" w:name="_Toc41660666"/>
      <w:r>
        <w:rPr>
          <w:rFonts w:hint="eastAsia" w:ascii="仿宋_GB2312" w:eastAsia="仿宋_GB2312"/>
          <w:b/>
          <w:sz w:val="30"/>
          <w:szCs w:val="30"/>
        </w:rPr>
        <w:t>（1）净额结算</w:t>
      </w:r>
      <w:bookmarkEnd w:id="2303"/>
    </w:p>
    <w:p w14:paraId="0FEDF6A4">
      <w:pPr>
        <w:spacing w:line="600" w:lineRule="exact"/>
        <w:ind w:firstLine="600" w:firstLineChars="200"/>
        <w:rPr>
          <w:rFonts w:ascii="仿宋_GB2312" w:hAnsi="Calibri" w:eastAsia="仿宋_GB2312"/>
          <w:sz w:val="30"/>
          <w:szCs w:val="30"/>
        </w:rPr>
      </w:pP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作为共同对手方，为国债预发行交易提供多边净额结算服务。</w:t>
      </w:r>
    </w:p>
    <w:p w14:paraId="462D612A">
      <w:pPr>
        <w:spacing w:line="600" w:lineRule="exact"/>
        <w:ind w:firstLine="601" w:firstLineChars="200"/>
        <w:outlineLvl w:val="3"/>
        <w:rPr>
          <w:rFonts w:ascii="仿宋_GB2312" w:eastAsia="仿宋_GB2312"/>
          <w:b/>
          <w:sz w:val="30"/>
          <w:szCs w:val="30"/>
        </w:rPr>
      </w:pPr>
      <w:bookmarkStart w:id="2304" w:name="_Toc41660667"/>
      <w:r>
        <w:rPr>
          <w:rFonts w:hint="eastAsia" w:ascii="仿宋_GB2312" w:eastAsia="仿宋_GB2312"/>
          <w:b/>
          <w:sz w:val="30"/>
          <w:szCs w:val="30"/>
        </w:rPr>
        <w:t>（2）国债清算</w:t>
      </w:r>
      <w:bookmarkEnd w:id="2304"/>
    </w:p>
    <w:p w14:paraId="42225F10">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国债预发行交易期间，</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于每一交易日闭市后对预发行交易的应收付国债进行清算，相关清算明细每日发送结算参与人。</w:t>
      </w:r>
    </w:p>
    <w:p w14:paraId="5BAB1248">
      <w:pPr>
        <w:spacing w:line="600" w:lineRule="exact"/>
        <w:ind w:firstLine="601" w:firstLineChars="200"/>
        <w:outlineLvl w:val="3"/>
        <w:rPr>
          <w:rFonts w:ascii="仿宋_GB2312" w:eastAsia="仿宋_GB2312"/>
          <w:b/>
          <w:sz w:val="30"/>
          <w:szCs w:val="30"/>
        </w:rPr>
      </w:pPr>
      <w:bookmarkStart w:id="2305" w:name="_Toc41660668"/>
      <w:r>
        <w:rPr>
          <w:rFonts w:hint="eastAsia" w:ascii="仿宋_GB2312" w:eastAsia="仿宋_GB2312"/>
          <w:b/>
          <w:sz w:val="30"/>
          <w:szCs w:val="30"/>
        </w:rPr>
        <w:t>（3）资金清算</w:t>
      </w:r>
      <w:bookmarkEnd w:id="2305"/>
    </w:p>
    <w:p w14:paraId="401B9CC7">
      <w:pPr>
        <w:autoSpaceDE w:val="0"/>
        <w:autoSpaceDN w:val="0"/>
        <w:adjustRightIn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国债招标日闭市后，</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按照下列公式对相应券种的国债预发行交易进行资金清算，清算净额并入结算参与人当日首次清算净额并于次一交易日交收。</w:t>
      </w:r>
    </w:p>
    <w:p w14:paraId="391720A9">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结算参与人资金清算金额=∑（买入成交面额×结算价格/100）-∑（卖出成交面额×结算价格/100）</w:t>
      </w:r>
    </w:p>
    <w:p w14:paraId="6C88CBE9">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国债通过价格招标发行的，其结算价格为实际成交价格；国债通过利率招标发行的，其结算价格为按照以下公式计算的理论结算价格：</w:t>
      </w:r>
    </w:p>
    <w:p w14:paraId="5122E8AE">
      <w:pPr>
        <w:ind w:firstLine="600" w:firstLineChars="200"/>
        <w:rPr>
          <w:rFonts w:ascii="仿宋_GB2312" w:hAnsi="Calibri" w:eastAsia="仿宋_GB2312"/>
          <w:sz w:val="30"/>
          <w:szCs w:val="30"/>
        </w:rPr>
      </w:pPr>
      <m:oMathPara>
        <m:oMath>
          <m:r>
            <m:rPr>
              <m:sty m:val="p"/>
            </m:rPr>
            <w:rPr>
              <w:rFonts w:hint="eastAsia" w:ascii="Cambria Math" w:hAnsi="Cambria Math" w:eastAsia="仿宋_GB2312"/>
              <w:sz w:val="30"/>
              <w:szCs w:val="30"/>
            </w:rPr>
            <m:t>理论结算价格P=</m:t>
          </m:r>
          <m:nary>
            <m:naryPr>
              <m:chr m:val="∑"/>
              <m:limLoc m:val="undOvr"/>
              <m:ctrlPr>
                <w:rPr>
                  <w:rFonts w:ascii="Cambria Math" w:hAnsi="Cambria Math" w:eastAsia="仿宋_GB2312"/>
                  <w:sz w:val="30"/>
                  <w:szCs w:val="30"/>
                </w:rPr>
              </m:ctrlPr>
            </m:naryPr>
            <m:sub>
              <m:r>
                <m:rPr>
                  <m:sty m:val="p"/>
                </m:rPr>
                <w:rPr>
                  <w:rFonts w:ascii="Cambria Math" w:hAnsi="Cambria Math" w:eastAsia="仿宋_GB2312"/>
                  <w:sz w:val="30"/>
                  <w:szCs w:val="30"/>
                </w:rPr>
                <m:t>i=1</m:t>
              </m:r>
              <m:ctrlPr>
                <w:rPr>
                  <w:rFonts w:ascii="Cambria Math" w:hAnsi="Cambria Math" w:eastAsia="仿宋_GB2312"/>
                  <w:sz w:val="30"/>
                  <w:szCs w:val="30"/>
                </w:rPr>
              </m:ctrlPr>
            </m:sub>
            <m:sup>
              <m:r>
                <m:rPr>
                  <m:sty m:val="p"/>
                </m:rPr>
                <w:rPr>
                  <w:rFonts w:ascii="Cambria Math" w:hAnsi="Cambria Math" w:eastAsia="仿宋_GB2312"/>
                  <w:sz w:val="30"/>
                  <w:szCs w:val="30"/>
                </w:rPr>
                <m:t>f×n</m:t>
              </m:r>
              <m:ctrlPr>
                <w:rPr>
                  <w:rFonts w:ascii="Cambria Math" w:hAnsi="Cambria Math" w:eastAsia="仿宋_GB2312"/>
                  <w:sz w:val="30"/>
                  <w:szCs w:val="30"/>
                </w:rPr>
              </m:ctrlPr>
            </m:sup>
            <m:e>
              <m:f>
                <m:fPr>
                  <m:ctrlPr>
                    <w:rPr>
                      <w:rFonts w:ascii="Cambria Math" w:hAnsi="Cambria Math" w:eastAsia="仿宋_GB2312"/>
                      <w:sz w:val="30"/>
                      <w:szCs w:val="30"/>
                    </w:rPr>
                  </m:ctrlPr>
                </m:fPr>
                <m:num>
                  <m:r>
                    <m:rPr>
                      <m:sty m:val="p"/>
                    </m:rPr>
                    <w:rPr>
                      <w:rFonts w:ascii="Cambria Math" w:hAnsi="Cambria Math" w:eastAsia="仿宋_GB2312"/>
                      <w:sz w:val="30"/>
                      <w:szCs w:val="30"/>
                    </w:rPr>
                    <m:t>100×C/f</m:t>
                  </m:r>
                  <m:ctrlPr>
                    <w:rPr>
                      <w:rFonts w:ascii="Cambria Math" w:hAnsi="Cambria Math" w:eastAsia="仿宋_GB2312"/>
                      <w:sz w:val="30"/>
                      <w:szCs w:val="30"/>
                    </w:rPr>
                  </m:ctrlPr>
                </m:num>
                <m:den>
                  <m:sSup>
                    <m:sSupPr>
                      <m:ctrlPr>
                        <w:rPr>
                          <w:rFonts w:ascii="Cambria Math" w:hAnsi="Cambria Math" w:eastAsia="仿宋_GB2312"/>
                          <w:sz w:val="30"/>
                          <w:szCs w:val="30"/>
                        </w:rPr>
                      </m:ctrlPr>
                    </m:sSupPr>
                    <m:e>
                      <m:d>
                        <m:dPr>
                          <m:ctrlPr>
                            <w:rPr>
                              <w:rFonts w:ascii="Cambria Math" w:hAnsi="Cambria Math" w:eastAsia="仿宋_GB2312"/>
                              <w:sz w:val="30"/>
                              <w:szCs w:val="30"/>
                            </w:rPr>
                          </m:ctrlPr>
                        </m:dPr>
                        <m:e>
                          <m:r>
                            <m:rPr>
                              <m:sty m:val="p"/>
                            </m:rPr>
                            <w:rPr>
                              <w:rFonts w:ascii="Cambria Math" w:hAnsi="Cambria Math" w:eastAsia="仿宋_GB2312"/>
                              <w:sz w:val="30"/>
                              <w:szCs w:val="30"/>
                            </w:rPr>
                            <m:t>1+R/f</m:t>
                          </m:r>
                          <m:ctrlPr>
                            <w:rPr>
                              <w:rFonts w:ascii="Cambria Math" w:hAnsi="Cambria Math" w:eastAsia="仿宋_GB2312"/>
                              <w:sz w:val="30"/>
                              <w:szCs w:val="30"/>
                            </w:rPr>
                          </m:ctrlPr>
                        </m:e>
                      </m:d>
                      <m:ctrlPr>
                        <w:rPr>
                          <w:rFonts w:ascii="Cambria Math" w:hAnsi="Cambria Math" w:eastAsia="仿宋_GB2312"/>
                          <w:sz w:val="30"/>
                          <w:szCs w:val="30"/>
                        </w:rPr>
                      </m:ctrlPr>
                    </m:e>
                    <m:sup>
                      <m:r>
                        <m:rPr>
                          <m:sty m:val="p"/>
                        </m:rPr>
                        <w:rPr>
                          <w:rFonts w:ascii="Cambria Math" w:hAnsi="Cambria Math" w:eastAsia="仿宋_GB2312"/>
                          <w:sz w:val="30"/>
                          <w:szCs w:val="30"/>
                        </w:rPr>
                        <m:t>i</m:t>
                      </m:r>
                      <m:ctrlPr>
                        <w:rPr>
                          <w:rFonts w:ascii="Cambria Math" w:hAnsi="Cambria Math" w:eastAsia="仿宋_GB2312"/>
                          <w:sz w:val="30"/>
                          <w:szCs w:val="30"/>
                        </w:rPr>
                      </m:ctrlPr>
                    </m:sup>
                  </m:sSup>
                  <m:ctrlPr>
                    <w:rPr>
                      <w:rFonts w:ascii="Cambria Math" w:hAnsi="Cambria Math" w:eastAsia="仿宋_GB2312"/>
                      <w:sz w:val="30"/>
                      <w:szCs w:val="30"/>
                    </w:rPr>
                  </m:ctrlPr>
                </m:den>
              </m:f>
              <m:ctrlPr>
                <w:rPr>
                  <w:rFonts w:ascii="Cambria Math" w:hAnsi="Cambria Math" w:eastAsia="仿宋_GB2312"/>
                  <w:sz w:val="30"/>
                  <w:szCs w:val="30"/>
                </w:rPr>
              </m:ctrlPr>
            </m:e>
          </m:nary>
          <m:r>
            <m:rPr>
              <m:sty m:val="p"/>
            </m:rPr>
            <w:rPr>
              <w:rFonts w:ascii="Cambria Math" w:hAnsi="Cambria Math" w:eastAsia="仿宋_GB2312"/>
              <w:sz w:val="30"/>
              <w:szCs w:val="30"/>
            </w:rPr>
            <m:t>+</m:t>
          </m:r>
          <m:f>
            <m:fPr>
              <m:ctrlPr>
                <w:rPr>
                  <w:rFonts w:ascii="Cambria Math" w:hAnsi="Cambria Math" w:eastAsia="仿宋_GB2312"/>
                  <w:sz w:val="30"/>
                  <w:szCs w:val="30"/>
                </w:rPr>
              </m:ctrlPr>
            </m:fPr>
            <m:num>
              <m:r>
                <m:rPr>
                  <m:sty m:val="p"/>
                </m:rPr>
                <w:rPr>
                  <w:rFonts w:ascii="Cambria Math" w:hAnsi="Cambria Math" w:eastAsia="仿宋_GB2312"/>
                  <w:sz w:val="30"/>
                  <w:szCs w:val="30"/>
                </w:rPr>
                <m:t>100</m:t>
              </m:r>
              <m:ctrlPr>
                <w:rPr>
                  <w:rFonts w:ascii="Cambria Math" w:hAnsi="Cambria Math" w:eastAsia="仿宋_GB2312"/>
                  <w:sz w:val="30"/>
                  <w:szCs w:val="30"/>
                </w:rPr>
              </m:ctrlPr>
            </m:num>
            <m:den>
              <m:sSup>
                <m:sSupPr>
                  <m:ctrlPr>
                    <w:rPr>
                      <w:rFonts w:ascii="Cambria Math" w:hAnsi="Cambria Math" w:eastAsia="仿宋_GB2312"/>
                      <w:sz w:val="30"/>
                      <w:szCs w:val="30"/>
                    </w:rPr>
                  </m:ctrlPr>
                </m:sSupPr>
                <m:e>
                  <m:d>
                    <m:dPr>
                      <m:ctrlPr>
                        <w:rPr>
                          <w:rFonts w:ascii="Cambria Math" w:hAnsi="Cambria Math" w:eastAsia="仿宋_GB2312"/>
                          <w:sz w:val="30"/>
                          <w:szCs w:val="30"/>
                        </w:rPr>
                      </m:ctrlPr>
                    </m:dPr>
                    <m:e>
                      <m:r>
                        <m:rPr>
                          <m:sty m:val="p"/>
                        </m:rPr>
                        <w:rPr>
                          <w:rFonts w:ascii="Cambria Math" w:hAnsi="Cambria Math" w:eastAsia="仿宋_GB2312"/>
                          <w:sz w:val="30"/>
                          <w:szCs w:val="30"/>
                        </w:rPr>
                        <m:t>1+R/f</m:t>
                      </m:r>
                      <m:ctrlPr>
                        <w:rPr>
                          <w:rFonts w:ascii="Cambria Math" w:hAnsi="Cambria Math" w:eastAsia="仿宋_GB2312"/>
                          <w:sz w:val="30"/>
                          <w:szCs w:val="30"/>
                        </w:rPr>
                      </m:ctrlPr>
                    </m:e>
                  </m:d>
                  <m:ctrlPr>
                    <w:rPr>
                      <w:rFonts w:ascii="Cambria Math" w:hAnsi="Cambria Math" w:eastAsia="仿宋_GB2312"/>
                      <w:sz w:val="30"/>
                      <w:szCs w:val="30"/>
                    </w:rPr>
                  </m:ctrlPr>
                </m:e>
                <m:sup>
                  <m:r>
                    <m:rPr>
                      <m:sty m:val="p"/>
                    </m:rPr>
                    <w:rPr>
                      <w:rFonts w:ascii="Cambria Math" w:hAnsi="Cambria Math" w:eastAsia="仿宋_GB2312"/>
                      <w:sz w:val="30"/>
                      <w:szCs w:val="30"/>
                    </w:rPr>
                    <m:t>f×n</m:t>
                  </m:r>
                  <m:ctrlPr>
                    <w:rPr>
                      <w:rFonts w:ascii="Cambria Math" w:hAnsi="Cambria Math" w:eastAsia="仿宋_GB2312"/>
                      <w:sz w:val="30"/>
                      <w:szCs w:val="30"/>
                    </w:rPr>
                  </m:ctrlPr>
                </m:sup>
              </m:sSup>
              <m:ctrlPr>
                <w:rPr>
                  <w:rFonts w:ascii="Cambria Math" w:hAnsi="Cambria Math" w:eastAsia="仿宋_GB2312"/>
                  <w:sz w:val="30"/>
                  <w:szCs w:val="30"/>
                </w:rPr>
              </m:ctrlPr>
            </m:den>
          </m:f>
        </m:oMath>
      </m:oMathPara>
    </w:p>
    <w:p w14:paraId="44B324A4">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其中C为预发行国债发行票面利率，R为预发行交易成交收益率，f为年付息频率，n为预发行国债的期限。</w:t>
      </w:r>
    </w:p>
    <w:p w14:paraId="68A132FF">
      <w:pPr>
        <w:spacing w:line="600" w:lineRule="exact"/>
        <w:ind w:firstLine="601" w:firstLineChars="200"/>
        <w:outlineLvl w:val="3"/>
        <w:rPr>
          <w:rFonts w:ascii="仿宋_GB2312" w:eastAsia="仿宋_GB2312"/>
          <w:b/>
          <w:sz w:val="30"/>
          <w:szCs w:val="30"/>
        </w:rPr>
      </w:pPr>
      <w:bookmarkStart w:id="2306" w:name="_Toc41660669"/>
      <w:r>
        <w:rPr>
          <w:rFonts w:hint="eastAsia" w:ascii="仿宋_GB2312" w:eastAsia="仿宋_GB2312"/>
          <w:b/>
          <w:sz w:val="30"/>
          <w:szCs w:val="30"/>
        </w:rPr>
        <w:t>（4）国债交收</w:t>
      </w:r>
      <w:bookmarkEnd w:id="2306"/>
    </w:p>
    <w:p w14:paraId="7396F07B">
      <w:pPr>
        <w:autoSpaceDE w:val="0"/>
        <w:autoSpaceDN w:val="0"/>
        <w:adjustRightIn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国债招标日，国债承销团成员应当在国债招标完成后及时向本所提交该期国债在</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的托管量和场外分销计划量。</w:t>
      </w:r>
    </w:p>
    <w:p w14:paraId="37204E50">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国债招标日闭市后，</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对国债预发行交易进行证券交收。</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将国债承销团成员在</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的托管数量扣减其场外分销计划数量后，用于预发行交易国债的交收。对于续发国债的预发行交易，同期存量国债可用于其交收。</w:t>
      </w:r>
    </w:p>
    <w:p w14:paraId="29B7AC10">
      <w:pPr>
        <w:spacing w:line="600" w:lineRule="exact"/>
        <w:ind w:firstLine="600" w:firstLineChars="200"/>
        <w:rPr>
          <w:rFonts w:ascii="仿宋_GB2312" w:hAnsi="黑体" w:eastAsia="仿宋_GB2312"/>
          <w:bCs/>
          <w:sz w:val="30"/>
          <w:szCs w:val="30"/>
        </w:rPr>
      </w:pPr>
      <w:bookmarkStart w:id="2307" w:name="_Toc41660670"/>
      <w:r>
        <w:rPr>
          <w:rFonts w:hint="eastAsia" w:ascii="仿宋_GB2312" w:hAnsi="黑体" w:eastAsia="仿宋_GB2312"/>
          <w:bCs/>
          <w:sz w:val="30"/>
          <w:szCs w:val="30"/>
        </w:rPr>
        <w:t>1）国债交收不足</w:t>
      </w:r>
      <w:bookmarkEnd w:id="2307"/>
    </w:p>
    <w:p w14:paraId="1FD9F631">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若国债承销团成员在</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的国债托管数量扣减其场外分销计划数量后，小于其预发行交易期间的净卖出数量，则视为其国债预发行交易证券交收不足。</w:t>
      </w:r>
    </w:p>
    <w:p w14:paraId="130952D2">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国债预发行交易出现证券交收不足的，</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于国债招标日按照单个账户净买入数量由小到大的顺序完成国债交收，并对国债预发行交易证券交收不足部分进行现金结算。</w:t>
      </w:r>
    </w:p>
    <w:p w14:paraId="33586A9E">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现金结算金额的计算公式为：现金结算金额=证券交收不足面额×现金结算价格/100。</w:t>
      </w:r>
    </w:p>
    <w:p w14:paraId="694D9683">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国债通过价格招标发行的，其现金结算价格为该券种当次发行价格；国债通过利率招标发行的，其现金结算价格为该券种发行面额。</w:t>
      </w:r>
    </w:p>
    <w:p w14:paraId="5B003786">
      <w:pPr>
        <w:autoSpaceDE w:val="0"/>
        <w:autoSpaceDN w:val="0"/>
        <w:adjustRightInd w:val="0"/>
        <w:spacing w:line="600" w:lineRule="exact"/>
        <w:ind w:firstLine="600" w:firstLineChars="200"/>
        <w:rPr>
          <w:rFonts w:ascii="仿宋_GB2312" w:hAnsi="Calibri" w:eastAsia="仿宋_GB2312"/>
          <w:sz w:val="30"/>
          <w:szCs w:val="30"/>
        </w:rPr>
      </w:pP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对国债预发行交易证券交收不足部分向未能足额交付应付证券结算参与人收取补偿金并支付给未能足额收到应收证券的结算参与人，再由后者支付给其名下未能足额收到应收证券的债券投资者。上述补偿金标准由本所和</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根据国债期限和市场情况确定并向市场公布。</w:t>
      </w:r>
    </w:p>
    <w:p w14:paraId="13060C63">
      <w:pPr>
        <w:spacing w:line="600" w:lineRule="exact"/>
        <w:ind w:firstLine="600" w:firstLineChars="200"/>
        <w:rPr>
          <w:rFonts w:ascii="仿宋_GB2312" w:hAnsi="Calibri" w:eastAsia="仿宋_GB2312"/>
          <w:sz w:val="30"/>
          <w:szCs w:val="30"/>
        </w:rPr>
      </w:pP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将现金结算金额与补偿金于国债招标日并入当日首次清算净额并于次一交易日交收。</w:t>
      </w:r>
    </w:p>
    <w:p w14:paraId="40C495FB">
      <w:pPr>
        <w:spacing w:line="600" w:lineRule="exact"/>
        <w:ind w:firstLine="600" w:firstLineChars="200"/>
        <w:rPr>
          <w:rFonts w:ascii="仿宋_GB2312" w:hAnsi="黑体" w:eastAsia="仿宋_GB2312"/>
          <w:bCs/>
          <w:sz w:val="30"/>
          <w:szCs w:val="30"/>
        </w:rPr>
      </w:pPr>
      <w:bookmarkStart w:id="2308" w:name="_Toc41660671"/>
      <w:r>
        <w:rPr>
          <w:rFonts w:hint="eastAsia" w:ascii="仿宋_GB2312" w:hAnsi="黑体" w:eastAsia="仿宋_GB2312"/>
          <w:bCs/>
          <w:sz w:val="30"/>
          <w:szCs w:val="30"/>
        </w:rPr>
        <w:t>2）资金交收违约</w:t>
      </w:r>
      <w:bookmarkEnd w:id="2308"/>
    </w:p>
    <w:p w14:paraId="241454C4">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结算参与人发生资金交收违约的，</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有权按相关证券法规和业务规则采取扣收结算参与人自营证券、暂不交付相关国债并处置、提请本所暂停交易等风险控制措施。</w:t>
      </w:r>
    </w:p>
    <w:p w14:paraId="1B4A4DC3">
      <w:pPr>
        <w:numPr>
          <w:ilvl w:val="1"/>
          <w:numId w:val="4"/>
        </w:numPr>
        <w:spacing w:line="600" w:lineRule="exact"/>
        <w:outlineLvl w:val="1"/>
        <w:rPr>
          <w:rFonts w:ascii="仿宋_GB2312" w:eastAsia="仿宋_GB2312"/>
          <w:b/>
          <w:sz w:val="30"/>
          <w:szCs w:val="30"/>
        </w:rPr>
      </w:pPr>
      <w:bookmarkStart w:id="2309" w:name="_Toc1798876420"/>
      <w:bookmarkStart w:id="2310" w:name="_Toc935532919"/>
      <w:bookmarkStart w:id="2311" w:name="_Toc35116092"/>
      <w:bookmarkStart w:id="2312" w:name="_Toc151136919"/>
      <w:bookmarkStart w:id="2313" w:name="_Toc962771938"/>
      <w:bookmarkStart w:id="2314" w:name="_Toc1604295482"/>
      <w:bookmarkStart w:id="2315" w:name="_Toc1116873289"/>
      <w:r>
        <w:rPr>
          <w:rFonts w:hint="eastAsia" w:ascii="仿宋_GB2312" w:eastAsia="仿宋_GB2312"/>
          <w:b/>
          <w:sz w:val="30"/>
          <w:szCs w:val="30"/>
        </w:rPr>
        <w:t>债券借贷</w:t>
      </w:r>
      <w:bookmarkEnd w:id="2309"/>
      <w:bookmarkEnd w:id="2310"/>
      <w:bookmarkEnd w:id="2311"/>
      <w:bookmarkEnd w:id="2312"/>
      <w:bookmarkEnd w:id="2313"/>
      <w:bookmarkEnd w:id="2314"/>
      <w:bookmarkEnd w:id="2315"/>
    </w:p>
    <w:p w14:paraId="4B3B925D">
      <w:pPr>
        <w:spacing w:line="600" w:lineRule="exact"/>
        <w:ind w:firstLine="600" w:firstLineChars="200"/>
        <w:rPr>
          <w:rFonts w:ascii="仿宋_GB2312" w:hAnsi="Calibri" w:eastAsia="仿宋_GB2312"/>
          <w:sz w:val="30"/>
          <w:szCs w:val="30"/>
        </w:rPr>
      </w:pPr>
      <w:r>
        <w:rPr>
          <w:rFonts w:hint="eastAsia" w:ascii="仿宋_GB2312" w:eastAsia="仿宋_GB2312"/>
          <w:sz w:val="30"/>
          <w:szCs w:val="30"/>
        </w:rPr>
        <w:t>债券借贷是指债券借贷双方自主协商约定，由债券借入方以一定数量的债券设定质押，从债券借出方借入标的债券，同时约定在未来特定日期归还标的债券和支付债券借贷费用，并解除出质债券质押登记的行为。</w:t>
      </w:r>
    </w:p>
    <w:p w14:paraId="38F292C3">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相关规则</w:t>
      </w:r>
    </w:p>
    <w:p w14:paraId="368AFA02">
      <w:pPr>
        <w:widowControl/>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债券借贷相关规则如下：</w:t>
      </w:r>
    </w:p>
    <w:p w14:paraId="5D9E6CBB">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《上海证券交易所 中国证券登记结算有限责任公司债券借贷业务办法》（以下</w:t>
      </w:r>
      <w:r>
        <w:rPr>
          <w:rFonts w:ascii="仿宋_GB2312" w:hAnsi="Calibri" w:eastAsia="仿宋_GB2312"/>
          <w:sz w:val="30"/>
          <w:szCs w:val="30"/>
        </w:rPr>
        <w:t>简称《</w:t>
      </w:r>
      <w:r>
        <w:rPr>
          <w:rFonts w:hint="eastAsia" w:ascii="仿宋_GB2312" w:hAnsi="Calibri" w:eastAsia="仿宋_GB2312"/>
          <w:sz w:val="30"/>
          <w:szCs w:val="30"/>
        </w:rPr>
        <w:t>办法</w:t>
      </w:r>
      <w:r>
        <w:rPr>
          <w:rFonts w:ascii="仿宋_GB2312" w:hAnsi="Calibri" w:eastAsia="仿宋_GB2312"/>
          <w:sz w:val="30"/>
          <w:szCs w:val="30"/>
        </w:rPr>
        <w:t>》</w:t>
      </w:r>
      <w:r>
        <w:rPr>
          <w:rFonts w:hint="eastAsia" w:ascii="仿宋_GB2312" w:hAnsi="Calibri" w:eastAsia="仿宋_GB2312"/>
          <w:sz w:val="30"/>
          <w:szCs w:val="30"/>
        </w:rPr>
        <w:t>）</w:t>
      </w:r>
    </w:p>
    <w:p w14:paraId="721D2786">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开展前准备</w:t>
      </w:r>
    </w:p>
    <w:p w14:paraId="035689AB">
      <w:pPr>
        <w:spacing w:line="600" w:lineRule="exact"/>
        <w:ind w:firstLine="601" w:firstLineChars="200"/>
        <w:outlineLvl w:val="3"/>
        <w:rPr>
          <w:rFonts w:ascii="仿宋_GB2312"/>
          <w:b/>
          <w:sz w:val="30"/>
        </w:rPr>
      </w:pPr>
      <w:r>
        <w:rPr>
          <w:rFonts w:hint="eastAsia" w:ascii="仿宋_GB2312" w:hAnsi="Calibri" w:eastAsia="仿宋_GB2312"/>
          <w:b/>
          <w:sz w:val="30"/>
          <w:szCs w:val="30"/>
        </w:rPr>
        <w:t>（</w:t>
      </w:r>
      <w:r>
        <w:rPr>
          <w:rFonts w:ascii="仿宋_GB2312" w:hAnsi="Calibri" w:eastAsia="仿宋_GB2312"/>
          <w:b/>
          <w:sz w:val="30"/>
          <w:szCs w:val="30"/>
        </w:rPr>
        <w:t>1</w:t>
      </w:r>
      <w:r>
        <w:rPr>
          <w:rFonts w:hint="eastAsia" w:ascii="仿宋_GB2312" w:hAnsi="Calibri" w:eastAsia="仿宋_GB2312"/>
          <w:b/>
          <w:sz w:val="30"/>
          <w:szCs w:val="30"/>
        </w:rPr>
        <w:t>）投资者适当性要求</w:t>
      </w:r>
    </w:p>
    <w:p w14:paraId="142375DC">
      <w:pPr>
        <w:spacing w:line="600" w:lineRule="exact"/>
        <w:ind w:firstLine="600" w:firstLineChars="200"/>
        <w:outlineLvl w:val="9"/>
        <w:rPr>
          <w:rFonts w:ascii="仿宋_GB2312" w:eastAsia="仿宋_GB2312"/>
          <w:sz w:val="30"/>
          <w:szCs w:val="30"/>
        </w:rPr>
      </w:pPr>
      <w:r>
        <w:rPr>
          <w:rFonts w:hint="eastAsia" w:ascii="仿宋_GB2312" w:eastAsia="仿宋_GB2312"/>
          <w:sz w:val="30"/>
          <w:szCs w:val="30"/>
        </w:rPr>
        <w:t>债券借贷实行投资者适当性管理制度，符合《上海证券交易所债券市场投资者适当性管理办法》规定的专业投资者中的机构投资者可以参与债券借贷。投资者应当根据本所的规定及自身的风险承受能力审慎评估是否参与债券借贷，并自行承担风险。</w:t>
      </w:r>
    </w:p>
    <w:p w14:paraId="400033C2">
      <w:pPr>
        <w:spacing w:line="600" w:lineRule="exact"/>
        <w:ind w:firstLine="600" w:firstLineChars="200"/>
        <w:outlineLvl w:val="9"/>
        <w:rPr>
          <w:rFonts w:ascii="仿宋_GB2312" w:hAnsi="宋体" w:eastAsia="仿宋_GB2312" w:cs="宋体"/>
          <w:sz w:val="30"/>
          <w:szCs w:val="30"/>
        </w:rPr>
      </w:pPr>
      <w:r>
        <w:rPr>
          <w:rFonts w:hint="eastAsia" w:ascii="仿宋_GB2312" w:eastAsia="仿宋_GB2312"/>
          <w:sz w:val="30"/>
          <w:szCs w:val="30"/>
        </w:rPr>
        <w:t>债券借贷双方作为证券公司经纪客户参与债券借贷业务，证</w:t>
      </w:r>
      <w:r>
        <w:rPr>
          <w:rFonts w:hint="eastAsia" w:ascii="仿宋_GB2312" w:hAnsi="宋体" w:eastAsia="仿宋_GB2312" w:cs="宋体"/>
          <w:sz w:val="30"/>
          <w:szCs w:val="30"/>
        </w:rPr>
        <w:t>券公司应当按照《上海证券交易所债券市场投资者适当性管理办法》的规定对经纪客户进行管理，建立健全经纪客户参与债券借贷相关的业务流程和风险管理制度。</w:t>
      </w:r>
      <w:r>
        <w:rPr>
          <w:rFonts w:hint="eastAsia" w:ascii="仿宋_GB2312" w:eastAsia="仿宋_GB2312"/>
          <w:sz w:val="30"/>
          <w:szCs w:val="30"/>
        </w:rPr>
        <w:t>证券公司应当对经纪客户资质进行审查，确保参与</w:t>
      </w:r>
      <w:r>
        <w:rPr>
          <w:rFonts w:hint="eastAsia" w:ascii="仿宋_GB2312" w:eastAsia="仿宋_GB2312"/>
          <w:color w:val="000000"/>
          <w:sz w:val="30"/>
          <w:szCs w:val="30"/>
        </w:rPr>
        <w:t>债券借贷的经纪客户</w:t>
      </w:r>
      <w:r>
        <w:rPr>
          <w:rFonts w:hint="eastAsia" w:ascii="仿宋_GB2312" w:hAnsi="宋体" w:eastAsia="仿宋_GB2312" w:cs="宋体"/>
          <w:sz w:val="30"/>
          <w:szCs w:val="30"/>
        </w:rPr>
        <w:t>符合投资者适当性管理要求，在经纪客户参与债券借贷前，</w:t>
      </w:r>
      <w:r>
        <w:rPr>
          <w:rFonts w:hint="eastAsia" w:ascii="仿宋_GB2312" w:eastAsia="仿宋_GB2312"/>
          <w:sz w:val="30"/>
          <w:szCs w:val="30"/>
        </w:rPr>
        <w:t>向其全面介绍相关业务规则及协议，充分揭示可能产生的风险，</w:t>
      </w:r>
      <w:r>
        <w:rPr>
          <w:rFonts w:hint="eastAsia" w:ascii="仿宋_GB2312" w:hAnsi="宋体" w:eastAsia="仿宋_GB2312" w:cs="宋体"/>
          <w:sz w:val="30"/>
          <w:szCs w:val="30"/>
        </w:rPr>
        <w:t>并要求其签署风险揭示书。风险揭示书应当包含本所确定的风险揭示书必备条款。</w:t>
      </w:r>
    </w:p>
    <w:p w14:paraId="19929E34">
      <w:pPr>
        <w:spacing w:line="600" w:lineRule="exact"/>
        <w:ind w:firstLine="600" w:firstLineChars="200"/>
        <w:outlineLvl w:val="9"/>
        <w:rPr>
          <w:rFonts w:ascii="仿宋_GB2312" w:hAnsi="宋体" w:eastAsia="仿宋_GB2312" w:cs="宋体"/>
          <w:sz w:val="30"/>
          <w:szCs w:val="30"/>
        </w:rPr>
      </w:pPr>
      <w:r>
        <w:rPr>
          <w:rFonts w:hint="eastAsia" w:ascii="仿宋_GB2312" w:hAnsi="宋体" w:eastAsia="仿宋_GB2312" w:cs="宋体"/>
          <w:sz w:val="30"/>
          <w:szCs w:val="30"/>
        </w:rPr>
        <w:t>风险</w:t>
      </w:r>
      <w:r>
        <w:rPr>
          <w:rFonts w:ascii="仿宋_GB2312" w:hAnsi="宋体" w:eastAsia="仿宋_GB2312" w:cs="宋体"/>
          <w:sz w:val="30"/>
          <w:szCs w:val="30"/>
        </w:rPr>
        <w:t>揭示书</w:t>
      </w:r>
      <w:r>
        <w:rPr>
          <w:rFonts w:hint="eastAsia" w:ascii="仿宋_GB2312" w:hAnsi="宋体" w:eastAsia="仿宋_GB2312" w:cs="宋体"/>
          <w:sz w:val="30"/>
          <w:szCs w:val="30"/>
        </w:rPr>
        <w:t>必备条款</w:t>
      </w:r>
      <w:r>
        <w:rPr>
          <w:rFonts w:ascii="仿宋_GB2312" w:hAnsi="宋体" w:eastAsia="仿宋_GB2312" w:cs="宋体"/>
          <w:sz w:val="30"/>
          <w:szCs w:val="30"/>
        </w:rPr>
        <w:t>文本请见</w:t>
      </w:r>
      <w:r>
        <w:rPr>
          <w:rFonts w:hint="eastAsia" w:ascii="仿宋_GB2312" w:hAnsi="宋体" w:eastAsia="仿宋_GB2312" w:cs="宋体"/>
          <w:sz w:val="30"/>
          <w:szCs w:val="30"/>
        </w:rPr>
        <w:t>《上海证券交易所会员管理业务指南第2号——风险揭示书必备条款》附件2.7。</w:t>
      </w:r>
    </w:p>
    <w:p w14:paraId="2A7EC70B">
      <w:pPr>
        <w:spacing w:line="600" w:lineRule="exact"/>
        <w:ind w:firstLine="601" w:firstLineChars="200"/>
        <w:outlineLvl w:val="3"/>
        <w:rPr>
          <w:rFonts w:ascii="仿宋_GB2312" w:hAnsi="Calibri" w:eastAsia="仿宋_GB2312"/>
          <w:b/>
          <w:sz w:val="30"/>
          <w:szCs w:val="30"/>
        </w:rPr>
      </w:pPr>
      <w:r>
        <w:rPr>
          <w:rFonts w:hint="eastAsia" w:ascii="仿宋_GB2312" w:hAnsi="Calibri" w:eastAsia="仿宋_GB2312"/>
          <w:b/>
          <w:sz w:val="30"/>
          <w:szCs w:val="30"/>
        </w:rPr>
        <w:t>（2）相关协议签署</w:t>
      </w:r>
    </w:p>
    <w:p w14:paraId="2D13B117">
      <w:pPr>
        <w:spacing w:line="600" w:lineRule="exact"/>
        <w:ind w:firstLine="600" w:firstLineChars="200"/>
        <w:outlineLvl w:val="9"/>
        <w:rPr>
          <w:rFonts w:ascii="仿宋_GB2312" w:eastAsia="仿宋_GB2312"/>
          <w:sz w:val="30"/>
          <w:szCs w:val="30"/>
        </w:rPr>
      </w:pPr>
      <w:r>
        <w:rPr>
          <w:rFonts w:hint="eastAsia" w:ascii="仿宋_GB2312" w:eastAsia="仿宋_GB2312"/>
          <w:sz w:val="30"/>
          <w:szCs w:val="30"/>
        </w:rPr>
        <w:t>借贷双方参与债券借贷应当签署《上海证券交易所债券借贷业务主协议》（以下简称《主协议》）。《主协议》</w:t>
      </w:r>
      <w:r>
        <w:rPr>
          <w:rFonts w:hint="eastAsia" w:ascii="仿宋_GB2312" w:hAnsi="宋体" w:eastAsia="仿宋_GB2312" w:cs="宋体"/>
          <w:sz w:val="30"/>
          <w:szCs w:val="30"/>
        </w:rPr>
        <w:t>内容包括但不限于各方权利义务、标的债券及质押债券风险处置及借贷违约责任的相关条款等。</w:t>
      </w:r>
      <w:r>
        <w:rPr>
          <w:rFonts w:hint="eastAsia" w:ascii="仿宋_GB2312" w:eastAsia="仿宋_GB2312"/>
          <w:sz w:val="30"/>
          <w:szCs w:val="30"/>
        </w:rPr>
        <w:t>《主协议》</w:t>
      </w:r>
      <w:r>
        <w:rPr>
          <w:rFonts w:hint="eastAsia" w:ascii="仿宋_GB2312" w:hAnsi="宋体" w:eastAsia="仿宋_GB2312" w:cs="宋体"/>
          <w:sz w:val="30"/>
          <w:szCs w:val="30"/>
        </w:rPr>
        <w:t>通过书面方式或电子方式签署。</w:t>
      </w:r>
      <w:r>
        <w:rPr>
          <w:rFonts w:hint="eastAsia" w:ascii="仿宋_GB2312" w:eastAsia="仿宋_GB2312"/>
          <w:sz w:val="30"/>
          <w:szCs w:val="30"/>
        </w:rPr>
        <w:t>主协议为开放式协议，由市场参与人签署后在各签署人之间生效。</w:t>
      </w:r>
    </w:p>
    <w:p w14:paraId="064097AF">
      <w:pPr>
        <w:spacing w:line="600" w:lineRule="exact"/>
        <w:ind w:firstLine="600" w:firstLineChars="200"/>
        <w:outlineLvl w:val="9"/>
        <w:rPr>
          <w:rFonts w:ascii="仿宋_GB2312" w:hAnsi="宋体" w:eastAsia="仿宋_GB2312" w:cs="宋体"/>
          <w:sz w:val="30"/>
          <w:szCs w:val="30"/>
        </w:rPr>
      </w:pPr>
      <w:r>
        <w:rPr>
          <w:rFonts w:hint="eastAsia" w:ascii="仿宋_GB2312" w:hAnsi="宋体" w:eastAsia="仿宋_GB2312" w:cs="宋体"/>
          <w:sz w:val="30"/>
          <w:szCs w:val="30"/>
        </w:rPr>
        <w:t>借贷双方可以就相关事宜签订补充协议，也可以在借贷申报时填写申报补充约定。补充协议、申报补充约定可以约定质押债券及标的债券的折算标准、费用、风险处置以及借贷违约处置等内容，但不得违反法律法规、</w:t>
      </w:r>
      <w:r>
        <w:rPr>
          <w:rFonts w:ascii="仿宋_GB2312" w:hAnsi="宋体" w:eastAsia="仿宋_GB2312" w:cs="宋体"/>
          <w:sz w:val="30"/>
          <w:szCs w:val="30"/>
        </w:rPr>
        <w:t>《办法》</w:t>
      </w:r>
      <w:r>
        <w:rPr>
          <w:rFonts w:hint="eastAsia" w:ascii="仿宋_GB2312" w:hAnsi="宋体" w:eastAsia="仿宋_GB2312" w:cs="宋体"/>
          <w:sz w:val="30"/>
          <w:szCs w:val="30"/>
        </w:rPr>
        <w:t>、</w:t>
      </w:r>
      <w:r>
        <w:rPr>
          <w:rFonts w:ascii="仿宋_GB2312" w:hAnsi="宋体" w:eastAsia="仿宋_GB2312" w:cs="宋体"/>
          <w:sz w:val="30"/>
          <w:szCs w:val="30"/>
        </w:rPr>
        <w:t>本指南</w:t>
      </w:r>
      <w:r>
        <w:rPr>
          <w:rFonts w:hint="eastAsia" w:ascii="仿宋_GB2312" w:hAnsi="宋体" w:eastAsia="仿宋_GB2312" w:cs="宋体"/>
          <w:sz w:val="30"/>
          <w:szCs w:val="30"/>
        </w:rPr>
        <w:t>以及本所和登记结算</w:t>
      </w:r>
      <w:r>
        <w:rPr>
          <w:rFonts w:ascii="仿宋_GB2312" w:hAnsi="宋体" w:eastAsia="仿宋_GB2312" w:cs="宋体"/>
          <w:sz w:val="30"/>
          <w:szCs w:val="30"/>
        </w:rPr>
        <w:t>机构</w:t>
      </w:r>
      <w:r>
        <w:rPr>
          <w:rFonts w:hint="eastAsia" w:ascii="仿宋_GB2312" w:hAnsi="宋体" w:eastAsia="仿宋_GB2312" w:cs="宋体"/>
          <w:sz w:val="30"/>
          <w:szCs w:val="30"/>
        </w:rPr>
        <w:t>的其他相关规定，且不得与主协议以及成交记录相冲突。补充协议、申报补充约定的内容由借贷双方自行履行。</w:t>
      </w:r>
      <w:r>
        <w:rPr>
          <w:rFonts w:hint="eastAsia" w:ascii="仿宋_GB2312" w:hAnsi="仿宋" w:eastAsia="仿宋_GB2312" w:cs="仿宋"/>
          <w:sz w:val="30"/>
          <w:szCs w:val="30"/>
        </w:rPr>
        <w:t>试点期间已签署的债券借贷双边协议可作为补充协议。</w:t>
      </w:r>
    </w:p>
    <w:p w14:paraId="00D36895">
      <w:pPr>
        <w:spacing w:line="600" w:lineRule="exact"/>
        <w:ind w:firstLine="600" w:firstLineChars="200"/>
        <w:outlineLvl w:val="9"/>
        <w:rPr>
          <w:rFonts w:ascii="仿宋_GB2312" w:eastAsia="仿宋_GB2312"/>
          <w:sz w:val="30"/>
          <w:szCs w:val="30"/>
        </w:rPr>
      </w:pPr>
      <w:r>
        <w:rPr>
          <w:rFonts w:hint="eastAsia" w:ascii="仿宋_GB2312" w:hAnsi="宋体" w:eastAsia="仿宋_GB2312" w:cs="宋体"/>
          <w:sz w:val="30"/>
          <w:szCs w:val="30"/>
        </w:rPr>
        <w:t>借贷双方应当在主协议、补充协议或申报补充约定中约定标的债券和质押债券发生违约、披露重大违约风险、停牌、摘牌等情形的处置方式，明确债券到期或者未到期以现金归还的换算标准，以及补充、变更质押债券的触发情形及时限等。</w:t>
      </w:r>
    </w:p>
    <w:p w14:paraId="796B6E98">
      <w:pPr>
        <w:spacing w:line="600" w:lineRule="exact"/>
        <w:ind w:firstLine="601" w:firstLineChars="200"/>
        <w:outlineLvl w:val="3"/>
        <w:rPr>
          <w:rFonts w:ascii="仿宋_GB2312" w:hAnsi="Calibri" w:eastAsia="仿宋_GB2312"/>
          <w:b/>
          <w:sz w:val="30"/>
          <w:szCs w:val="30"/>
        </w:rPr>
      </w:pPr>
      <w:r>
        <w:rPr>
          <w:rFonts w:hint="eastAsia" w:ascii="仿宋_GB2312" w:hAnsi="Calibri" w:eastAsia="仿宋_GB2312"/>
          <w:b/>
          <w:sz w:val="30"/>
          <w:szCs w:val="30"/>
        </w:rPr>
        <w:t>（3）业务开通</w:t>
      </w:r>
    </w:p>
    <w:p w14:paraId="51FA7224">
      <w:pPr>
        <w:spacing w:line="600" w:lineRule="exact"/>
        <w:ind w:firstLine="600" w:firstLineChars="200"/>
        <w:outlineLvl w:val="9"/>
        <w:rPr>
          <w:rFonts w:ascii="仿宋_GB2312" w:eastAsia="仿宋_GB2312"/>
          <w:sz w:val="30"/>
          <w:szCs w:val="30"/>
        </w:rPr>
      </w:pPr>
      <w:r>
        <w:rPr>
          <w:rFonts w:hint="eastAsia" w:ascii="仿宋_GB2312" w:eastAsia="仿宋_GB2312"/>
          <w:sz w:val="30"/>
          <w:szCs w:val="30"/>
        </w:rPr>
        <w:t>本所债券交易参与人及其面向投资者发行的产品，向本所提供债券借贷用户登记表并签署债券借贷《主协议》后，可以直接参与债券借贷。证券公司经纪客户，由证券公司确认其符合投资者适当性管理要求并留存经纪客户签署的《主协议》后，可以通过证券公司参与债券借贷。</w:t>
      </w:r>
    </w:p>
    <w:p w14:paraId="7868073C">
      <w:pPr>
        <w:spacing w:line="600" w:lineRule="exact"/>
        <w:ind w:firstLine="600" w:firstLineChars="200"/>
        <w:outlineLvl w:val="9"/>
        <w:rPr>
          <w:rFonts w:ascii="仿宋_GB2312" w:eastAsia="仿宋_GB2312"/>
          <w:sz w:val="30"/>
          <w:szCs w:val="30"/>
        </w:rPr>
      </w:pPr>
      <w:r>
        <w:rPr>
          <w:rFonts w:hint="eastAsia" w:ascii="仿宋_GB2312" w:eastAsia="仿宋_GB2312"/>
          <w:sz w:val="30"/>
          <w:szCs w:val="30"/>
        </w:rPr>
        <w:t>同一个管理人管理的多只非法人产品，仅需由管理人统一向本所提供债券借贷用户登记表，并签署一份《主协议》，无需分别签署主协议。</w:t>
      </w:r>
    </w:p>
    <w:p w14:paraId="0DF0141F">
      <w:pPr>
        <w:spacing w:line="600" w:lineRule="exact"/>
        <w:ind w:firstLine="600" w:firstLineChars="200"/>
        <w:outlineLvl w:val="9"/>
        <w:rPr>
          <w:rFonts w:ascii="仿宋_GB2312" w:eastAsia="仿宋_GB2312"/>
          <w:sz w:val="30"/>
          <w:szCs w:val="30"/>
        </w:rPr>
      </w:pPr>
      <w:r>
        <w:rPr>
          <w:rFonts w:hint="eastAsia" w:ascii="仿宋_GB2312" w:eastAsia="仿宋_GB2312"/>
          <w:sz w:val="30"/>
          <w:szCs w:val="30"/>
        </w:rPr>
        <w:t>本所债券交易参与人及其面向投资者发行的产品参与债券借贷业务，需向本所提交以下材料：</w:t>
      </w:r>
      <w:r>
        <w:rPr>
          <w:rFonts w:ascii="仿宋_GB2312" w:eastAsia="仿宋_GB2312"/>
          <w:sz w:val="30"/>
          <w:szCs w:val="30"/>
        </w:rPr>
        <w:t xml:space="preserve"> </w:t>
      </w:r>
    </w:p>
    <w:p w14:paraId="7D1D3E7B">
      <w:pPr>
        <w:spacing w:line="600" w:lineRule="exact"/>
        <w:ind w:firstLine="600" w:firstLineChars="200"/>
        <w:outlineLvl w:val="9"/>
        <w:rPr>
          <w:rFonts w:ascii="仿宋_GB2312" w:hAnsi="Calibri" w:eastAsia="仿宋_GB2312"/>
          <w:sz w:val="30"/>
          <w:szCs w:val="30"/>
        </w:rPr>
      </w:pPr>
      <w:r>
        <w:rPr>
          <w:rFonts w:ascii="仿宋_GB2312" w:hAnsi="Calibri" w:eastAsia="仿宋_GB2312"/>
          <w:sz w:val="30"/>
          <w:szCs w:val="30"/>
        </w:rPr>
        <w:t>1</w:t>
      </w:r>
      <w:r>
        <w:rPr>
          <w:rFonts w:hint="eastAsia" w:ascii="仿宋_GB2312" w:hAnsi="Calibri" w:eastAsia="仿宋_GB2312"/>
          <w:sz w:val="30"/>
          <w:szCs w:val="30"/>
        </w:rPr>
        <w:t>）债券借贷用户登记表（附件</w:t>
      </w:r>
      <w:r>
        <w:rPr>
          <w:rFonts w:ascii="仿宋_GB2312" w:hAnsi="Calibri" w:eastAsia="仿宋_GB2312"/>
          <w:sz w:val="30"/>
          <w:szCs w:val="30"/>
        </w:rPr>
        <w:t>20</w:t>
      </w:r>
      <w:r>
        <w:rPr>
          <w:rFonts w:hint="eastAsia" w:ascii="仿宋_GB2312" w:hAnsi="Calibri" w:eastAsia="仿宋_GB2312"/>
          <w:sz w:val="30"/>
          <w:szCs w:val="30"/>
        </w:rPr>
        <w:t>）；</w:t>
      </w:r>
      <w:r>
        <w:rPr>
          <w:rFonts w:ascii="仿宋_GB2312" w:hAnsi="Calibri" w:eastAsia="仿宋_GB2312"/>
          <w:sz w:val="30"/>
          <w:szCs w:val="30"/>
        </w:rPr>
        <w:t xml:space="preserve"> </w:t>
      </w:r>
    </w:p>
    <w:p w14:paraId="0C8D0F12">
      <w:pPr>
        <w:spacing w:line="600" w:lineRule="exact"/>
        <w:ind w:firstLine="600" w:firstLineChars="200"/>
        <w:outlineLvl w:val="9"/>
        <w:rPr>
          <w:rFonts w:ascii="仿宋_GB2312"/>
          <w:sz w:val="30"/>
        </w:rPr>
      </w:pPr>
      <w:r>
        <w:rPr>
          <w:rFonts w:ascii="仿宋_GB2312" w:hAnsi="Calibri" w:eastAsia="仿宋_GB2312"/>
          <w:sz w:val="30"/>
          <w:szCs w:val="30"/>
        </w:rPr>
        <w:t>2</w:t>
      </w:r>
      <w:r>
        <w:rPr>
          <w:rFonts w:hint="eastAsia" w:ascii="仿宋_GB2312" w:hAnsi="Calibri" w:eastAsia="仿宋_GB2312"/>
          <w:sz w:val="30"/>
          <w:szCs w:val="30"/>
        </w:rPr>
        <w:t>）《</w:t>
      </w:r>
      <w:r>
        <w:rPr>
          <w:rFonts w:hint="eastAsia" w:ascii="仿宋_GB2312" w:eastAsia="仿宋_GB2312"/>
          <w:sz w:val="30"/>
          <w:szCs w:val="30"/>
        </w:rPr>
        <w:t>主协议》（附件2</w:t>
      </w:r>
      <w:r>
        <w:rPr>
          <w:rFonts w:ascii="仿宋_GB2312" w:eastAsia="仿宋_GB2312"/>
          <w:sz w:val="30"/>
          <w:szCs w:val="30"/>
        </w:rPr>
        <w:t>1</w:t>
      </w:r>
      <w:r>
        <w:rPr>
          <w:rFonts w:hint="eastAsia" w:ascii="仿宋_GB2312" w:eastAsia="仿宋_GB2312"/>
          <w:sz w:val="30"/>
          <w:szCs w:val="30"/>
        </w:rPr>
        <w:t>）</w:t>
      </w:r>
      <w:r>
        <w:rPr>
          <w:rFonts w:hint="eastAsia" w:ascii="仿宋_GB2312"/>
          <w:sz w:val="30"/>
        </w:rPr>
        <w:t>；</w:t>
      </w:r>
      <w:r>
        <w:rPr>
          <w:rFonts w:ascii="仿宋_GB2312"/>
          <w:sz w:val="30"/>
        </w:rPr>
        <w:t xml:space="preserve"> </w:t>
      </w:r>
    </w:p>
    <w:p w14:paraId="1294C42C">
      <w:pPr>
        <w:spacing w:line="600" w:lineRule="exact"/>
        <w:ind w:firstLine="600" w:firstLineChars="200"/>
        <w:outlineLvl w:val="9"/>
        <w:rPr>
          <w:rFonts w:ascii="仿宋_GB2312"/>
          <w:sz w:val="30"/>
        </w:rPr>
      </w:pPr>
      <w:r>
        <w:rPr>
          <w:rFonts w:ascii="仿宋_GB2312"/>
          <w:sz w:val="30"/>
        </w:rPr>
        <w:t>3</w:t>
      </w:r>
      <w:r>
        <w:rPr>
          <w:rFonts w:hint="eastAsia" w:ascii="仿宋_GB2312" w:hAnsi="Calibri" w:eastAsia="仿宋_GB2312"/>
          <w:sz w:val="30"/>
          <w:szCs w:val="30"/>
        </w:rPr>
        <w:t>）本所要求的其他材料</w:t>
      </w:r>
      <w:r>
        <w:rPr>
          <w:rFonts w:hint="eastAsia" w:ascii="仿宋_GB2312"/>
          <w:sz w:val="30"/>
        </w:rPr>
        <w:t>。</w:t>
      </w:r>
      <w:r>
        <w:rPr>
          <w:rFonts w:ascii="仿宋_GB2312"/>
          <w:sz w:val="30"/>
        </w:rPr>
        <w:t xml:space="preserve"> </w:t>
      </w:r>
    </w:p>
    <w:p w14:paraId="7A72AEEA">
      <w:pPr>
        <w:spacing w:line="600" w:lineRule="exact"/>
        <w:ind w:firstLine="600" w:firstLineChars="200"/>
        <w:outlineLvl w:val="9"/>
        <w:rPr>
          <w:rFonts w:hint="eastAsia" w:ascii="仿宋_GB2312" w:eastAsia="仿宋_GB2312"/>
          <w:sz w:val="30"/>
          <w:szCs w:val="30"/>
        </w:rPr>
      </w:pPr>
      <w:r>
        <w:rPr>
          <w:rFonts w:hint="eastAsia" w:ascii="仿宋_GB2312" w:eastAsia="仿宋_GB2312"/>
          <w:sz w:val="30"/>
          <w:szCs w:val="30"/>
        </w:rPr>
        <w:t>债券借贷用户登记表及《主协议》应加盖申请机构公章，并将电子扫描版通过电子邮件方式报送本所，</w:t>
      </w:r>
      <w:r>
        <w:rPr>
          <w:rFonts w:hint="eastAsia" w:ascii="仿宋_GB2312" w:eastAsia="仿宋_GB2312"/>
          <w:sz w:val="30"/>
          <w:szCs w:val="30"/>
        </w:rPr>
        <w:fldChar w:fldCharType="begin"/>
      </w:r>
      <w:r>
        <w:rPr>
          <w:rFonts w:hint="eastAsia" w:ascii="仿宋_GB2312" w:eastAsia="仿宋_GB2312"/>
          <w:sz w:val="30"/>
          <w:szCs w:val="30"/>
        </w:rPr>
        <w:instrText xml:space="preserve"> HYPERLINK "mailto:电子邮件地址bondtrading@sse.com.cn" </w:instrText>
      </w:r>
      <w:r>
        <w:rPr>
          <w:rFonts w:hint="eastAsia" w:ascii="仿宋_GB2312" w:eastAsia="仿宋_GB2312"/>
          <w:sz w:val="30"/>
          <w:szCs w:val="30"/>
        </w:rPr>
        <w:fldChar w:fldCharType="separate"/>
      </w:r>
      <w:r>
        <w:rPr>
          <w:rFonts w:hint="eastAsia" w:ascii="仿宋_GB2312" w:eastAsia="仿宋_GB2312"/>
          <w:sz w:val="30"/>
          <w:szCs w:val="30"/>
        </w:rPr>
        <w:t>电子邮件地址bondtrading@sse.com.cn</w:t>
      </w:r>
      <w:r>
        <w:rPr>
          <w:rFonts w:hint="eastAsia" w:ascii="仿宋_GB2312" w:eastAsia="仿宋_GB2312"/>
          <w:sz w:val="30"/>
          <w:szCs w:val="30"/>
        </w:rPr>
        <w:fldChar w:fldCharType="end"/>
      </w:r>
      <w:r>
        <w:rPr>
          <w:rFonts w:hint="eastAsia" w:ascii="仿宋_GB2312" w:eastAsia="仿宋_GB2312"/>
          <w:sz w:val="30"/>
          <w:szCs w:val="30"/>
        </w:rPr>
        <w:t>，其他电子报送方式本所后续另行通知。用印纸质版材料应寄送至本所，寄送地址：上海市浦东新区杨高南路388号16楼债券业务</w:t>
      </w:r>
      <w:r>
        <w:rPr>
          <w:rFonts w:hint="eastAsia" w:ascii="仿宋_GB2312" w:eastAsia="仿宋_GB2312"/>
          <w:sz w:val="30"/>
          <w:szCs w:val="30"/>
          <w:lang w:eastAsia="zh-CN"/>
        </w:rPr>
        <w:t>中心</w:t>
      </w:r>
      <w:r>
        <w:rPr>
          <w:rFonts w:hint="eastAsia" w:ascii="仿宋_GB2312" w:eastAsia="仿宋_GB2312"/>
          <w:sz w:val="30"/>
          <w:szCs w:val="30"/>
        </w:rPr>
        <w:t>，联系电话：021-6860</w:t>
      </w:r>
      <w:r>
        <w:rPr>
          <w:rFonts w:hint="eastAsia" w:ascii="仿宋_GB2312" w:eastAsia="仿宋_GB2312"/>
          <w:sz w:val="30"/>
          <w:szCs w:val="30"/>
          <w:lang w:val="en-US" w:eastAsia="zh-CN"/>
        </w:rPr>
        <w:t>1952</w:t>
      </w:r>
      <w:r>
        <w:rPr>
          <w:rFonts w:hint="eastAsia" w:ascii="仿宋_GB2312" w:eastAsia="仿宋_GB2312"/>
          <w:sz w:val="30"/>
          <w:szCs w:val="30"/>
        </w:rPr>
        <w:t>。试点期间已参与债券借贷业务的债券交易参与人，无需另行提交债券借贷用户登记表。</w:t>
      </w:r>
    </w:p>
    <w:p w14:paraId="7D4E9139">
      <w:pPr>
        <w:spacing w:line="600" w:lineRule="exact"/>
        <w:ind w:firstLine="601" w:firstLineChars="200"/>
        <w:outlineLvl w:val="3"/>
        <w:rPr>
          <w:rFonts w:ascii="仿宋_GB2312" w:hAnsi="Calibri" w:eastAsia="仿宋_GB2312"/>
          <w:b/>
          <w:sz w:val="30"/>
          <w:szCs w:val="30"/>
        </w:rPr>
      </w:pPr>
      <w:r>
        <w:rPr>
          <w:rFonts w:hint="eastAsia" w:ascii="仿宋_GB2312" w:hAnsi="Calibri" w:eastAsia="仿宋_GB2312"/>
          <w:b/>
          <w:sz w:val="30"/>
          <w:szCs w:val="30"/>
        </w:rPr>
        <w:t>（</w:t>
      </w:r>
      <w:r>
        <w:rPr>
          <w:rFonts w:ascii="仿宋_GB2312" w:hAnsi="Calibri" w:eastAsia="仿宋_GB2312"/>
          <w:b/>
          <w:sz w:val="30"/>
          <w:szCs w:val="30"/>
        </w:rPr>
        <w:t>4）</w:t>
      </w:r>
      <w:bookmarkStart w:id="2316" w:name="_Toc515342695"/>
      <w:bookmarkStart w:id="2317" w:name="_Toc838952310"/>
      <w:bookmarkStart w:id="2318" w:name="_Toc14394"/>
      <w:bookmarkStart w:id="2319" w:name="_Toc6275"/>
      <w:r>
        <w:rPr>
          <w:rFonts w:hint="eastAsia" w:ascii="仿宋_GB2312" w:hAnsi="Calibri" w:eastAsia="仿宋_GB2312"/>
          <w:b/>
          <w:sz w:val="30"/>
          <w:szCs w:val="30"/>
        </w:rPr>
        <w:t>办理CA</w:t>
      </w:r>
      <w:r>
        <w:rPr>
          <w:rFonts w:ascii="仿宋_GB2312" w:hAnsi="Calibri" w:eastAsia="仿宋_GB2312"/>
          <w:b/>
          <w:sz w:val="30"/>
          <w:szCs w:val="30"/>
        </w:rPr>
        <w:t xml:space="preserve"> </w:t>
      </w:r>
      <w:r>
        <w:rPr>
          <w:rFonts w:hint="eastAsia" w:ascii="仿宋_GB2312" w:hAnsi="Calibri" w:eastAsia="仿宋_GB2312"/>
          <w:b/>
          <w:sz w:val="30"/>
          <w:szCs w:val="30"/>
        </w:rPr>
        <w:t>证书</w:t>
      </w:r>
      <w:bookmarkEnd w:id="2316"/>
      <w:bookmarkEnd w:id="2317"/>
      <w:bookmarkEnd w:id="2318"/>
      <w:bookmarkEnd w:id="2319"/>
    </w:p>
    <w:p w14:paraId="5020F556">
      <w:pPr>
        <w:spacing w:line="600" w:lineRule="exact"/>
        <w:ind w:firstLine="600" w:firstLineChars="200"/>
        <w:outlineLvl w:val="9"/>
        <w:rPr>
          <w:rFonts w:hint="eastAsia" w:ascii="仿宋_GB2312" w:eastAsia="仿宋_GB2312"/>
          <w:sz w:val="30"/>
          <w:szCs w:val="30"/>
        </w:rPr>
      </w:pPr>
      <w:r>
        <w:rPr>
          <w:rFonts w:hint="eastAsia" w:ascii="仿宋_GB2312" w:eastAsia="仿宋_GB2312"/>
          <w:sz w:val="30"/>
          <w:szCs w:val="30"/>
        </w:rPr>
        <w:t>交易员若需要通过互联网访问本平台，应提前办理好互联网交易平台数字证书并确保能正常登陆。会员交易员证书申请办理流程如下：</w:t>
      </w:r>
    </w:p>
    <w:p w14:paraId="35CB6F11">
      <w:pPr>
        <w:spacing w:line="600" w:lineRule="exact"/>
        <w:ind w:firstLine="600" w:firstLineChars="200"/>
        <w:outlineLvl w:val="9"/>
        <w:rPr>
          <w:rFonts w:hint="eastAsia" w:ascii="仿宋_GB2312" w:eastAsia="仿宋_GB2312"/>
          <w:sz w:val="30"/>
          <w:szCs w:val="30"/>
        </w:rPr>
      </w:pPr>
      <w:r>
        <w:rPr>
          <w:rFonts w:hint="eastAsia" w:ascii="仿宋_GB2312" w:eastAsia="仿宋_GB2312"/>
          <w:sz w:val="30"/>
          <w:szCs w:val="30"/>
        </w:rPr>
        <w:t>登录CnSCA中心（</w:t>
      </w:r>
      <w:r>
        <w:rPr>
          <w:rFonts w:hint="eastAsia" w:ascii="仿宋_GB2312" w:eastAsia="仿宋_GB2312"/>
          <w:sz w:val="30"/>
          <w:szCs w:val="30"/>
        </w:rPr>
        <w:fldChar w:fldCharType="begin"/>
      </w:r>
      <w:r>
        <w:rPr>
          <w:rFonts w:hint="eastAsia" w:ascii="仿宋_GB2312" w:eastAsia="仿宋_GB2312"/>
          <w:sz w:val="30"/>
          <w:szCs w:val="30"/>
        </w:rPr>
        <w:instrText xml:space="preserve"> HYPERLINK "http://www.sse.com.cn/home/biz/cnsca/" </w:instrText>
      </w:r>
      <w:r>
        <w:rPr>
          <w:rFonts w:hint="eastAsia" w:ascii="仿宋_GB2312" w:eastAsia="仿宋_GB2312"/>
          <w:sz w:val="30"/>
          <w:szCs w:val="30"/>
        </w:rPr>
        <w:fldChar w:fldCharType="separate"/>
      </w:r>
      <w:r>
        <w:rPr>
          <w:rFonts w:hint="eastAsia" w:ascii="仿宋_GB2312" w:eastAsia="仿宋_GB2312"/>
          <w:sz w:val="30"/>
          <w:szCs w:val="30"/>
        </w:rPr>
        <w:t>http://www.sse.com.cn/home/biz/cnsca/</w:t>
      </w:r>
      <w:r>
        <w:rPr>
          <w:rFonts w:hint="eastAsia" w:ascii="仿宋_GB2312" w:eastAsia="仿宋_GB2312"/>
          <w:sz w:val="30"/>
          <w:szCs w:val="30"/>
        </w:rPr>
        <w:fldChar w:fldCharType="end"/>
      </w:r>
      <w:r>
        <w:rPr>
          <w:rFonts w:hint="eastAsia" w:ascii="仿宋_GB2312" w:eastAsia="仿宋_GB2312"/>
          <w:sz w:val="30"/>
          <w:szCs w:val="30"/>
        </w:rPr>
        <w:t>），选择交易业务互联网申报通道证书并申请。</w:t>
      </w:r>
    </w:p>
    <w:p w14:paraId="4AC35EF8">
      <w:pPr>
        <w:spacing w:line="600" w:lineRule="exact"/>
        <w:ind w:firstLine="600" w:firstLineChars="200"/>
        <w:outlineLvl w:val="9"/>
        <w:rPr>
          <w:rFonts w:hint="eastAsia" w:ascii="仿宋_GB2312" w:eastAsia="仿宋_GB2312"/>
          <w:sz w:val="30"/>
          <w:szCs w:val="30"/>
        </w:rPr>
      </w:pPr>
      <w:r>
        <w:rPr>
          <w:rFonts w:hint="eastAsia" w:ascii="仿宋_GB2312" w:eastAsia="仿宋_GB2312"/>
          <w:sz w:val="30"/>
          <w:szCs w:val="30"/>
        </w:rPr>
        <w:t>另外，访问前请务必先安装好对应的驱动及证书管理工具，目前下载入口为：</w:t>
      </w:r>
    </w:p>
    <w:p w14:paraId="60170386">
      <w:pPr>
        <w:spacing w:line="600" w:lineRule="exact"/>
        <w:ind w:firstLine="600" w:firstLineChars="200"/>
        <w:outlineLvl w:val="9"/>
        <w:rPr>
          <w:rFonts w:hint="eastAsia" w:ascii="仿宋_GB2312" w:eastAsia="仿宋_GB2312"/>
          <w:sz w:val="30"/>
          <w:szCs w:val="30"/>
        </w:rPr>
      </w:pPr>
      <w:r>
        <w:rPr>
          <w:rFonts w:hint="eastAsia" w:ascii="仿宋_GB2312" w:eastAsia="仿宋_GB2312"/>
          <w:sz w:val="30"/>
          <w:szCs w:val="30"/>
        </w:rPr>
        <w:t>上交所网站 -&gt;业务办理专区-&gt;CA服务专区-&gt;驱动程序及工具，按 EKey 型号下载。</w:t>
      </w:r>
    </w:p>
    <w:p w14:paraId="6EDA01F8">
      <w:pPr>
        <w:spacing w:line="600" w:lineRule="exact"/>
        <w:ind w:firstLine="600" w:firstLineChars="200"/>
        <w:outlineLvl w:val="9"/>
        <w:rPr>
          <w:rFonts w:hint="eastAsia" w:ascii="仿宋_GB2312" w:eastAsia="仿宋_GB2312"/>
          <w:sz w:val="30"/>
          <w:szCs w:val="30"/>
        </w:rPr>
      </w:pPr>
      <w:r>
        <w:rPr>
          <w:rFonts w:hint="eastAsia" w:ascii="仿宋_GB2312" w:eastAsia="仿宋_GB2312"/>
          <w:sz w:val="30"/>
          <w:szCs w:val="30"/>
        </w:rPr>
        <w:t>访问时先在弹出的窗口确认证书，然后在弹出的框中输入证书密码（证书密码初始值在密码信封里）。</w:t>
      </w:r>
    </w:p>
    <w:p w14:paraId="48C0E66E">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业务申报</w:t>
      </w:r>
    </w:p>
    <w:p w14:paraId="20A754BC">
      <w:pPr>
        <w:spacing w:line="560" w:lineRule="exact"/>
        <w:ind w:firstLine="600" w:firstLineChars="200"/>
        <w:rPr>
          <w:rFonts w:ascii="仿宋_GB2312" w:eastAsia="仿宋_GB2312"/>
          <w:sz w:val="30"/>
          <w:szCs w:val="30"/>
        </w:rPr>
      </w:pPr>
      <w:r>
        <w:rPr>
          <w:rFonts w:hint="eastAsia" w:ascii="仿宋_GB2312" w:eastAsia="仿宋_GB2312"/>
          <w:sz w:val="30"/>
          <w:szCs w:val="30"/>
        </w:rPr>
        <w:t>债券借贷期限由借贷双方协商确定，最长不得超过365天，且不得超过标的债券的剩余存续期限，但可以超过质押债券剩余期限。质押债券先于</w:t>
      </w:r>
      <w:r>
        <w:rPr>
          <w:rFonts w:ascii="仿宋_GB2312" w:eastAsia="仿宋_GB2312"/>
          <w:sz w:val="30"/>
          <w:szCs w:val="30"/>
        </w:rPr>
        <w:t>债券借贷到期导致质押率不符合债券借贷双方约定的，</w:t>
      </w:r>
      <w:r>
        <w:rPr>
          <w:rFonts w:hint="eastAsia" w:ascii="仿宋_GB2312" w:eastAsia="仿宋_GB2312"/>
          <w:sz w:val="30"/>
          <w:szCs w:val="30"/>
        </w:rPr>
        <w:t>借贷双方</w:t>
      </w:r>
      <w:r>
        <w:rPr>
          <w:rFonts w:ascii="仿宋_GB2312" w:eastAsia="仿宋_GB2312"/>
          <w:sz w:val="30"/>
          <w:szCs w:val="30"/>
        </w:rPr>
        <w:t>应当及时</w:t>
      </w:r>
      <w:r>
        <w:rPr>
          <w:rFonts w:hint="eastAsia" w:ascii="仿宋_GB2312" w:eastAsia="仿宋_GB2312"/>
          <w:sz w:val="30"/>
          <w:szCs w:val="30"/>
        </w:rPr>
        <w:t>协商</w:t>
      </w:r>
      <w:r>
        <w:rPr>
          <w:rFonts w:ascii="仿宋_GB2312" w:eastAsia="仿宋_GB2312"/>
          <w:sz w:val="30"/>
          <w:szCs w:val="30"/>
        </w:rPr>
        <w:t>补足。</w:t>
      </w:r>
    </w:p>
    <w:p w14:paraId="7ABDA36F">
      <w:pPr>
        <w:spacing w:line="560" w:lineRule="exact"/>
        <w:ind w:firstLine="600" w:firstLineChars="200"/>
        <w:rPr>
          <w:rFonts w:ascii="仿宋_GB2312" w:eastAsia="仿宋_GB2312"/>
          <w:sz w:val="30"/>
          <w:szCs w:val="30"/>
        </w:rPr>
      </w:pPr>
      <w:r>
        <w:rPr>
          <w:rFonts w:hint="eastAsia" w:ascii="仿宋_GB2312" w:eastAsia="仿宋_GB2312"/>
          <w:sz w:val="30"/>
          <w:szCs w:val="30"/>
        </w:rPr>
        <w:t>本所接受债券借贷申报的时间为每个交易日的</w:t>
      </w:r>
      <w:r>
        <w:rPr>
          <w:rFonts w:ascii="仿宋_GB2312" w:eastAsia="仿宋_GB2312"/>
          <w:sz w:val="30"/>
          <w:szCs w:val="30"/>
        </w:rPr>
        <w:t>9</w:t>
      </w:r>
      <w:r>
        <w:rPr>
          <w:rFonts w:hint="eastAsia" w:ascii="仿宋_GB2312" w:eastAsia="仿宋_GB2312"/>
          <w:sz w:val="30"/>
          <w:szCs w:val="30"/>
        </w:rPr>
        <w:t>：</w:t>
      </w:r>
      <w:r>
        <w:rPr>
          <w:rFonts w:ascii="仿宋_GB2312" w:eastAsia="仿宋_GB2312"/>
          <w:sz w:val="30"/>
          <w:szCs w:val="30"/>
        </w:rPr>
        <w:t>00</w:t>
      </w:r>
      <w:r>
        <w:rPr>
          <w:rFonts w:hint="eastAsia" w:ascii="仿宋_GB2312" w:eastAsia="仿宋_GB2312"/>
          <w:sz w:val="30"/>
          <w:szCs w:val="30"/>
        </w:rPr>
        <w:t>至</w:t>
      </w:r>
      <w:r>
        <w:rPr>
          <w:rFonts w:ascii="仿宋_GB2312" w:eastAsia="仿宋_GB2312"/>
          <w:sz w:val="30"/>
          <w:szCs w:val="30"/>
        </w:rPr>
        <w:t>11:30</w:t>
      </w:r>
      <w:r>
        <w:rPr>
          <w:rFonts w:hint="eastAsia" w:ascii="仿宋_GB2312" w:eastAsia="仿宋_GB2312"/>
          <w:sz w:val="30"/>
          <w:szCs w:val="30"/>
        </w:rPr>
        <w:t>，</w:t>
      </w:r>
      <w:r>
        <w:rPr>
          <w:rFonts w:ascii="仿宋_GB2312" w:eastAsia="仿宋_GB2312"/>
          <w:sz w:val="30"/>
          <w:szCs w:val="30"/>
        </w:rPr>
        <w:t>13:00</w:t>
      </w:r>
      <w:r>
        <w:rPr>
          <w:rFonts w:hint="eastAsia" w:ascii="仿宋_GB2312" w:eastAsia="仿宋_GB2312"/>
          <w:sz w:val="30"/>
          <w:szCs w:val="30"/>
        </w:rPr>
        <w:t>至</w:t>
      </w:r>
      <w:r>
        <w:rPr>
          <w:rFonts w:ascii="仿宋_GB2312" w:eastAsia="仿宋_GB2312"/>
          <w:sz w:val="30"/>
          <w:szCs w:val="30"/>
        </w:rPr>
        <w:t>15:30</w:t>
      </w:r>
      <w:r>
        <w:rPr>
          <w:rFonts w:hint="eastAsia" w:ascii="仿宋_GB2312" w:eastAsia="仿宋_GB2312"/>
          <w:sz w:val="30"/>
          <w:szCs w:val="30"/>
        </w:rPr>
        <w:t>。本所可以根据市场需要调整债券借贷的申报时间。试点期间申报的债券借贷业务，按照试点安排自然到期了结，也可按照试点业务安排进行质押券置换。</w:t>
      </w:r>
    </w:p>
    <w:p w14:paraId="4F75614E">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b/>
          <w:sz w:val="30"/>
        </w:rPr>
        <w:t>1</w:t>
      </w:r>
      <w:r>
        <w:rPr>
          <w:rFonts w:hint="eastAsia" w:ascii="仿宋_GB2312"/>
          <w:b/>
          <w:sz w:val="30"/>
        </w:rPr>
        <w:t>）</w:t>
      </w:r>
      <w:r>
        <w:rPr>
          <w:rFonts w:hint="eastAsia" w:ascii="仿宋_GB2312" w:eastAsia="仿宋_GB2312"/>
          <w:b/>
          <w:sz w:val="30"/>
          <w:szCs w:val="30"/>
        </w:rPr>
        <w:t>交易系统</w:t>
      </w:r>
    </w:p>
    <w:p w14:paraId="2F955114">
      <w:pPr>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债券借贷的交易申报在本所互联网交易平台进行。本所债券交易参与人可直接通过互联网交易平台进行债券借贷业务申报；本所债券</w:t>
      </w:r>
      <w:r>
        <w:rPr>
          <w:rFonts w:ascii="仿宋_GB2312" w:hAnsi="Calibri" w:eastAsia="仿宋_GB2312"/>
          <w:kern w:val="0"/>
          <w:sz w:val="30"/>
          <w:szCs w:val="30"/>
        </w:rPr>
        <w:t>交易参与人以外的其他</w:t>
      </w:r>
      <w:r>
        <w:rPr>
          <w:rFonts w:hint="eastAsia" w:ascii="仿宋_GB2312" w:hAnsi="Calibri" w:eastAsia="仿宋_GB2312"/>
          <w:kern w:val="0"/>
          <w:sz w:val="30"/>
          <w:szCs w:val="30"/>
        </w:rPr>
        <w:t>专业</w:t>
      </w:r>
      <w:r>
        <w:rPr>
          <w:rFonts w:ascii="仿宋_GB2312" w:hAnsi="Calibri" w:eastAsia="仿宋_GB2312"/>
          <w:kern w:val="0"/>
          <w:sz w:val="30"/>
          <w:szCs w:val="30"/>
        </w:rPr>
        <w:t>机构投资者可以作为证券公司的</w:t>
      </w:r>
      <w:r>
        <w:rPr>
          <w:rFonts w:hint="eastAsia" w:ascii="仿宋_GB2312" w:hAnsi="Calibri" w:eastAsia="仿宋_GB2312"/>
          <w:kern w:val="0"/>
          <w:sz w:val="30"/>
          <w:szCs w:val="30"/>
        </w:rPr>
        <w:t>经纪客户，委托证券公司在互联网交易平台上代为申报。</w:t>
      </w:r>
    </w:p>
    <w:p w14:paraId="7D370C5A">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（2）标的债券和质押债券范围</w:t>
      </w:r>
    </w:p>
    <w:p w14:paraId="6F216C63">
      <w:pPr>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债券借贷的标的债券和质押债券应当是在本所上市交易或者挂牌转让的各类固定收益产品，包括债券、资产支持证券以及本所认可的其它产品，相关规则规定不得转让或者质押的除外。向特定对象发行的可转换公司债券暂不纳入债券借贷标的债券及质押债券范围。公开募集基础设施证券投资基金、债券</w:t>
      </w:r>
      <w:r>
        <w:rPr>
          <w:rFonts w:ascii="仿宋_GB2312" w:hAnsi="Calibri" w:eastAsia="仿宋_GB2312"/>
          <w:kern w:val="0"/>
          <w:sz w:val="30"/>
          <w:szCs w:val="30"/>
        </w:rPr>
        <w:t>ETF</w:t>
      </w:r>
      <w:r>
        <w:rPr>
          <w:rFonts w:hint="eastAsia" w:ascii="仿宋_GB2312" w:hAnsi="Calibri" w:eastAsia="仿宋_GB2312"/>
          <w:kern w:val="0"/>
          <w:sz w:val="30"/>
          <w:szCs w:val="30"/>
        </w:rPr>
        <w:t>可以参照适用《办法》与本指南，作为借贷业务标的证券或者质押证券，具体实施时间由本所另行通知。</w:t>
      </w:r>
    </w:p>
    <w:p w14:paraId="6E8FB9EE">
      <w:pPr>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除</w:t>
      </w:r>
      <w:r>
        <w:rPr>
          <w:rFonts w:ascii="仿宋_GB2312" w:hAnsi="Calibri" w:eastAsia="仿宋_GB2312"/>
          <w:kern w:val="0"/>
          <w:sz w:val="30"/>
          <w:szCs w:val="30"/>
        </w:rPr>
        <w:t>前文规定的定向可转债</w:t>
      </w:r>
      <w:r>
        <w:rPr>
          <w:rFonts w:hint="eastAsia" w:ascii="仿宋_GB2312" w:hAnsi="Calibri" w:eastAsia="仿宋_GB2312"/>
          <w:kern w:val="0"/>
          <w:sz w:val="30"/>
          <w:szCs w:val="30"/>
        </w:rPr>
        <w:t>外</w:t>
      </w:r>
      <w:r>
        <w:rPr>
          <w:rFonts w:ascii="仿宋_GB2312" w:hAnsi="Calibri" w:eastAsia="仿宋_GB2312"/>
          <w:kern w:val="0"/>
          <w:sz w:val="30"/>
          <w:szCs w:val="30"/>
        </w:rPr>
        <w:t>，</w:t>
      </w:r>
      <w:r>
        <w:rPr>
          <w:rFonts w:hint="eastAsia" w:ascii="仿宋_GB2312" w:hAnsi="Calibri" w:eastAsia="仿宋_GB2312"/>
          <w:kern w:val="0"/>
          <w:sz w:val="30"/>
          <w:szCs w:val="30"/>
        </w:rPr>
        <w:t>限售类产品（包括限售债券和限售公募基础设施证券投资基金等</w:t>
      </w:r>
      <w:r>
        <w:rPr>
          <w:rFonts w:ascii="仿宋_GB2312" w:hAnsi="Calibri" w:eastAsia="仿宋_GB2312"/>
          <w:kern w:val="0"/>
          <w:sz w:val="30"/>
          <w:szCs w:val="30"/>
        </w:rPr>
        <w:t>）</w:t>
      </w:r>
      <w:r>
        <w:rPr>
          <w:rFonts w:hint="eastAsia" w:ascii="仿宋_GB2312" w:hAnsi="Calibri" w:eastAsia="仿宋_GB2312"/>
          <w:kern w:val="0"/>
          <w:sz w:val="30"/>
          <w:szCs w:val="30"/>
        </w:rPr>
        <w:t>、特定债券或者其他已经发生违约或者披露还本付息存在重大风险的债券以及存在司法冻结等瑕疵的债券，不能作为标的债券和质押债券。</w:t>
      </w:r>
    </w:p>
    <w:p w14:paraId="4FA90E91">
      <w:pPr>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债券借入方应向债券借出方提供约定的质押债券，债券借贷存续期间，质押债券价值应满足双方约定条件。借贷双方应当保证标的债券和质押债券未设定任何形式的担保，不存在任何权属争议或者权利瑕疵。一笔债券借贷支持多只债券质押，</w:t>
      </w:r>
      <w:r>
        <w:rPr>
          <w:rFonts w:hint="eastAsia" w:ascii="仿宋_GB2312" w:hAnsi="Calibri" w:eastAsia="仿宋_GB2312"/>
          <w:kern w:val="0"/>
          <w:sz w:val="30"/>
          <w:szCs w:val="30"/>
          <w:highlight w:val="none"/>
        </w:rPr>
        <w:t>但</w:t>
      </w:r>
      <w:r>
        <w:rPr>
          <w:rFonts w:hint="eastAsia" w:ascii="仿宋_GB2312" w:hAnsi="Calibri" w:eastAsia="仿宋_GB2312"/>
          <w:kern w:val="0"/>
          <w:sz w:val="30"/>
          <w:szCs w:val="30"/>
          <w:highlight w:val="none"/>
          <w:lang w:eastAsia="zh-CN"/>
        </w:rPr>
        <w:t>债券借贷存续期内质押券只数（</w:t>
      </w:r>
      <w:r>
        <w:rPr>
          <w:rFonts w:hint="eastAsia" w:ascii="仿宋_GB2312" w:hAnsi="Calibri" w:eastAsia="仿宋_GB2312"/>
          <w:kern w:val="0"/>
          <w:sz w:val="30"/>
          <w:szCs w:val="30"/>
          <w:highlight w:val="none"/>
        </w:rPr>
        <w:t>协商成交</w:t>
      </w:r>
      <w:r>
        <w:rPr>
          <w:rFonts w:hint="eastAsia" w:ascii="仿宋_GB2312" w:hAnsi="Calibri" w:eastAsia="仿宋_GB2312"/>
          <w:kern w:val="0"/>
          <w:sz w:val="30"/>
          <w:szCs w:val="30"/>
          <w:highlight w:val="none"/>
          <w:lang w:eastAsia="zh-CN"/>
        </w:rPr>
        <w:t>、</w:t>
      </w:r>
      <w:r>
        <w:rPr>
          <w:rFonts w:hint="eastAsia" w:ascii="仿宋_GB2312" w:hAnsi="Calibri" w:eastAsia="仿宋_GB2312"/>
          <w:kern w:val="0"/>
          <w:sz w:val="30"/>
          <w:szCs w:val="30"/>
          <w:highlight w:val="none"/>
        </w:rPr>
        <w:t>到期续做</w:t>
      </w:r>
      <w:r>
        <w:rPr>
          <w:rFonts w:hint="eastAsia" w:ascii="仿宋_GB2312" w:hAnsi="Calibri" w:eastAsia="仿宋_GB2312"/>
          <w:kern w:val="0"/>
          <w:sz w:val="30"/>
          <w:szCs w:val="30"/>
          <w:highlight w:val="none"/>
          <w:lang w:eastAsia="zh-CN"/>
        </w:rPr>
        <w:t>）不得超过</w:t>
      </w:r>
      <w:r>
        <w:rPr>
          <w:rFonts w:hint="eastAsia" w:ascii="仿宋_GB2312" w:hAnsi="Calibri" w:eastAsia="仿宋_GB2312"/>
          <w:kern w:val="0"/>
          <w:sz w:val="30"/>
          <w:szCs w:val="30"/>
          <w:highlight w:val="none"/>
          <w:lang w:val="en-US" w:eastAsia="zh-CN"/>
        </w:rPr>
        <w:t>20只；</w:t>
      </w:r>
      <w:r>
        <w:rPr>
          <w:rFonts w:hint="eastAsia" w:ascii="仿宋_GB2312" w:hAnsi="Calibri" w:eastAsia="仿宋_GB2312"/>
          <w:kern w:val="0"/>
          <w:sz w:val="30"/>
          <w:szCs w:val="30"/>
          <w:highlight w:val="none"/>
          <w:lang w:eastAsia="zh-CN"/>
        </w:rPr>
        <w:t>一笔</w:t>
      </w:r>
      <w:r>
        <w:rPr>
          <w:rFonts w:hint="eastAsia" w:ascii="仿宋_GB2312" w:hAnsi="Calibri" w:eastAsia="仿宋_GB2312"/>
          <w:sz w:val="30"/>
          <w:szCs w:val="30"/>
          <w:highlight w:val="none"/>
        </w:rPr>
        <w:t>质押券变更</w:t>
      </w:r>
      <w:r>
        <w:rPr>
          <w:rFonts w:hint="eastAsia" w:ascii="仿宋_GB2312" w:hAnsi="Calibri" w:eastAsia="仿宋_GB2312"/>
          <w:sz w:val="30"/>
          <w:szCs w:val="30"/>
          <w:highlight w:val="none"/>
          <w:lang w:eastAsia="zh-CN"/>
        </w:rPr>
        <w:t>申报不得超过</w:t>
      </w:r>
      <w:r>
        <w:rPr>
          <w:rFonts w:hint="eastAsia" w:ascii="仿宋_GB2312" w:hAnsi="Calibri" w:eastAsia="仿宋_GB2312"/>
          <w:sz w:val="30"/>
          <w:szCs w:val="30"/>
          <w:highlight w:val="none"/>
          <w:lang w:val="en-US" w:eastAsia="zh-CN"/>
        </w:rPr>
        <w:t>10只（含）质押券的变更</w:t>
      </w:r>
      <w:r>
        <w:rPr>
          <w:rFonts w:hint="eastAsia" w:ascii="仿宋_GB2312" w:hAnsi="Calibri" w:eastAsia="仿宋_GB2312"/>
          <w:kern w:val="0"/>
          <w:sz w:val="30"/>
          <w:szCs w:val="30"/>
        </w:rPr>
        <w:t>。</w:t>
      </w:r>
    </w:p>
    <w:p w14:paraId="11E60C91">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3</w:t>
      </w:r>
      <w:r>
        <w:rPr>
          <w:rFonts w:hint="eastAsia" w:ascii="仿宋_GB2312" w:eastAsia="仿宋_GB2312"/>
          <w:b/>
          <w:sz w:val="30"/>
          <w:szCs w:val="30"/>
        </w:rPr>
        <w:t>）债券借贷申报</w:t>
      </w:r>
    </w:p>
    <w:p w14:paraId="6FC684F6">
      <w:pPr>
        <w:autoSpaceDE w:val="0"/>
        <w:autoSpaceDN w:val="0"/>
        <w:adjustRightInd w:val="0"/>
        <w:spacing w:line="60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债券借贷申报包括协商成交申报、提前终止申报、质押债券变更申报、到期债券结算申报、到期现金结算申报、到期部分现金结算申报、到期续做申报和</w:t>
      </w:r>
      <w:r>
        <w:rPr>
          <w:rFonts w:ascii="仿宋_GB2312" w:hAnsi="宋体" w:eastAsia="仿宋_GB2312" w:cs="宋体"/>
          <w:sz w:val="30"/>
          <w:szCs w:val="30"/>
        </w:rPr>
        <w:t>逾期结算申报</w:t>
      </w:r>
      <w:r>
        <w:rPr>
          <w:rFonts w:hint="eastAsia" w:ascii="仿宋_GB2312" w:hAnsi="宋体" w:eastAsia="仿宋_GB2312" w:cs="宋体"/>
          <w:sz w:val="30"/>
          <w:szCs w:val="30"/>
        </w:rPr>
        <w:t>等。</w:t>
      </w:r>
    </w:p>
    <w:p w14:paraId="2BABA4C5">
      <w:pPr>
        <w:autoSpaceDE w:val="0"/>
        <w:autoSpaceDN w:val="0"/>
        <w:adjustRightIn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1）交易</w:t>
      </w:r>
      <w:r>
        <w:rPr>
          <w:rFonts w:ascii="仿宋_GB2312" w:hAnsi="Calibri" w:eastAsia="仿宋_GB2312"/>
          <w:kern w:val="0"/>
          <w:sz w:val="30"/>
          <w:szCs w:val="30"/>
        </w:rPr>
        <w:t>方式</w:t>
      </w:r>
    </w:p>
    <w:p w14:paraId="4F099FAE">
      <w:pPr>
        <w:autoSpaceDE w:val="0"/>
        <w:autoSpaceDN w:val="0"/>
        <w:adjustRightInd w:val="0"/>
        <w:spacing w:line="600" w:lineRule="exact"/>
        <w:ind w:firstLine="600" w:firstLineChars="200"/>
        <w:rPr>
          <w:rFonts w:ascii="仿宋_GB2312" w:hAnsi="宋体" w:eastAsia="仿宋_GB2312" w:cs="宋体"/>
          <w:sz w:val="30"/>
          <w:szCs w:val="30"/>
        </w:rPr>
      </w:pPr>
      <w:r>
        <w:rPr>
          <w:rFonts w:hint="eastAsia" w:ascii="仿宋_GB2312" w:hAnsi="Calibri" w:eastAsia="仿宋_GB2312"/>
          <w:kern w:val="0"/>
          <w:sz w:val="30"/>
          <w:szCs w:val="30"/>
        </w:rPr>
        <w:t>首次</w:t>
      </w:r>
      <w:r>
        <w:rPr>
          <w:rFonts w:hint="eastAsia" w:ascii="仿宋_GB2312" w:eastAsia="仿宋_GB2312"/>
          <w:color w:val="000000"/>
          <w:sz w:val="30"/>
          <w:szCs w:val="30"/>
          <w:shd w:val="clear" w:color="auto" w:fill="FFFFFF"/>
        </w:rPr>
        <w:t>债券借贷采用</w:t>
      </w:r>
      <w:r>
        <w:rPr>
          <w:rFonts w:hint="eastAsia" w:ascii="仿宋_GB2312" w:hAnsi="宋体" w:eastAsia="仿宋_GB2312" w:cs="宋体"/>
          <w:sz w:val="30"/>
          <w:szCs w:val="30"/>
        </w:rPr>
        <w:t>协商</w:t>
      </w:r>
      <w:r>
        <w:rPr>
          <w:rFonts w:hint="eastAsia" w:ascii="仿宋_GB2312" w:eastAsia="仿宋_GB2312"/>
          <w:color w:val="000000"/>
          <w:sz w:val="30"/>
          <w:szCs w:val="30"/>
          <w:shd w:val="clear" w:color="auto" w:fill="FFFFFF"/>
        </w:rPr>
        <w:t>成交申报方式，借贷双方根据主协议及补充协议的约定，由债券</w:t>
      </w:r>
      <w:r>
        <w:rPr>
          <w:rFonts w:hint="eastAsia" w:ascii="仿宋_GB2312" w:hAnsi="宋体" w:eastAsia="仿宋_GB2312" w:cs="宋体"/>
          <w:sz w:val="30"/>
          <w:szCs w:val="30"/>
        </w:rPr>
        <w:t>借入方录入相关要素后，将全部要素发送至债券借出方，债券借出方确认无误后成交。</w:t>
      </w:r>
    </w:p>
    <w:p w14:paraId="43DFA1A2">
      <w:pPr>
        <w:spacing w:line="600" w:lineRule="exact"/>
        <w:ind w:firstLine="600" w:firstLineChars="200"/>
        <w:outlineLvl w:val="9"/>
        <w:rPr>
          <w:rFonts w:ascii="仿宋_GB2312" w:hAnsi="Calibri" w:eastAsia="仿宋_GB2312"/>
          <w:kern w:val="0"/>
          <w:sz w:val="30"/>
          <w:szCs w:val="30"/>
        </w:rPr>
      </w:pPr>
      <w:r>
        <w:rPr>
          <w:rFonts w:hint="eastAsia" w:ascii="仿宋_GB2312" w:hAnsi="Calibri" w:eastAsia="仿宋_GB2312"/>
          <w:kern w:val="0"/>
          <w:sz w:val="30"/>
          <w:szCs w:val="30"/>
        </w:rPr>
        <w:t>2）</w:t>
      </w:r>
      <w:r>
        <w:rPr>
          <w:rFonts w:hint="eastAsia" w:ascii="仿宋_GB2312" w:hAnsi="宋体" w:eastAsia="仿宋_GB2312" w:cs="宋体"/>
          <w:sz w:val="30"/>
          <w:szCs w:val="30"/>
        </w:rPr>
        <w:t>协商成交</w:t>
      </w:r>
      <w:r>
        <w:rPr>
          <w:rFonts w:hint="eastAsia" w:ascii="仿宋_GB2312" w:hAnsi="Calibri" w:eastAsia="仿宋_GB2312"/>
          <w:kern w:val="0"/>
          <w:sz w:val="30"/>
          <w:szCs w:val="30"/>
        </w:rPr>
        <w:t>申报要素</w:t>
      </w:r>
    </w:p>
    <w:p w14:paraId="0CD09435">
      <w:pPr>
        <w:autoSpaceDE w:val="0"/>
        <w:autoSpaceDN w:val="0"/>
        <w:adjustRightInd w:val="0"/>
        <w:spacing w:line="600" w:lineRule="exact"/>
        <w:ind w:firstLine="600" w:firstLineChars="200"/>
        <w:rPr>
          <w:rFonts w:ascii="仿宋_GB2312" w:hAnsi="Calibri" w:eastAsia="仿宋_GB2312"/>
          <w:kern w:val="0"/>
          <w:sz w:val="30"/>
          <w:szCs w:val="30"/>
        </w:rPr>
      </w:pPr>
      <w:r>
        <w:rPr>
          <w:rFonts w:hint="eastAsia" w:ascii="仿宋_GB2312" w:hAnsi="Calibri" w:eastAsia="仿宋_GB2312"/>
          <w:kern w:val="0"/>
          <w:sz w:val="30"/>
          <w:szCs w:val="30"/>
        </w:rPr>
        <w:t xml:space="preserve">债券借贷业务的要素包括但不限于成交日期、债券借出方和借入方的证券账户、标的债券、质押债券、标的债券总面额、质押债券总面额、首期结算日、到期结算日、借贷期限、标的债券付息日、应计利息总额、借贷费率、到期费用结算方式、申报补充约定等。各要素具体如下： </w:t>
      </w:r>
    </w:p>
    <w:tbl>
      <w:tblPr>
        <w:tblStyle w:val="43"/>
        <w:tblW w:w="8262" w:type="dxa"/>
        <w:tblInd w:w="93" w:type="dxa"/>
        <w:tblLayout w:type="autofit"/>
        <w:tblCellMar>
          <w:top w:w="0" w:type="dxa"/>
          <w:left w:w="108" w:type="dxa"/>
          <w:bottom w:w="0" w:type="dxa"/>
          <w:right w:w="108" w:type="dxa"/>
        </w:tblCellMar>
      </w:tblPr>
      <w:tblGrid>
        <w:gridCol w:w="2591"/>
        <w:gridCol w:w="5671"/>
      </w:tblGrid>
      <w:tr w14:paraId="62886BDD">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15618311">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要素名称</w:t>
            </w:r>
          </w:p>
        </w:tc>
        <w:tc>
          <w:tcPr>
            <w:tcW w:w="5671" w:type="dxa"/>
            <w:tcBorders>
              <w:top w:val="single" w:color="auto" w:sz="8" w:space="0"/>
              <w:left w:val="nil"/>
              <w:bottom w:val="single" w:color="auto" w:sz="8" w:space="0"/>
              <w:right w:val="single" w:color="auto" w:sz="8" w:space="0"/>
            </w:tcBorders>
            <w:vAlign w:val="center"/>
          </w:tcPr>
          <w:p w14:paraId="174A01DA">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要素说明</w:t>
            </w:r>
          </w:p>
        </w:tc>
      </w:tr>
      <w:tr w14:paraId="1F64FCF0">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5068930C">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成交日期</w:t>
            </w:r>
          </w:p>
        </w:tc>
        <w:tc>
          <w:tcPr>
            <w:tcW w:w="5671" w:type="dxa"/>
            <w:tcBorders>
              <w:top w:val="single" w:color="auto" w:sz="8" w:space="0"/>
              <w:left w:val="nil"/>
              <w:bottom w:val="single" w:color="auto" w:sz="8" w:space="0"/>
              <w:right w:val="single" w:color="auto" w:sz="8" w:space="0"/>
            </w:tcBorders>
            <w:vAlign w:val="center"/>
          </w:tcPr>
          <w:p w14:paraId="42E92FC9">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借贷双方交易达成的日期（交易发生当日）</w:t>
            </w:r>
          </w:p>
        </w:tc>
      </w:tr>
      <w:tr w14:paraId="2285D83B">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542E10BA">
            <w:pPr>
              <w:jc w:val="left"/>
              <w:rPr>
                <w:rFonts w:ascii="仿宋_GB2312" w:hAnsi="宋体" w:eastAsia="仿宋_GB2312" w:cs="宋体"/>
                <w:b/>
                <w:bCs/>
                <w:color w:val="000000"/>
                <w:kern w:val="0"/>
                <w:sz w:val="24"/>
                <w:szCs w:val="24"/>
              </w:rPr>
            </w:pPr>
            <w:r>
              <w:rPr>
                <w:rFonts w:ascii="仿宋_GB2312" w:hAnsi="宋体" w:eastAsia="仿宋_GB2312" w:cs="宋体"/>
                <w:b/>
                <w:bCs/>
                <w:color w:val="000000"/>
                <w:kern w:val="0"/>
                <w:sz w:val="24"/>
                <w:szCs w:val="24"/>
              </w:rPr>
              <w:t>借</w:t>
            </w:r>
            <w:r>
              <w:rPr>
                <w:rFonts w:hint="eastAsia" w:ascii="仿宋_GB2312" w:hAnsi="宋体" w:eastAsia="仿宋_GB2312" w:cs="宋体"/>
                <w:b/>
                <w:bCs/>
                <w:color w:val="000000"/>
                <w:kern w:val="0"/>
                <w:sz w:val="24"/>
                <w:szCs w:val="24"/>
              </w:rPr>
              <w:t>入</w:t>
            </w:r>
            <w:r>
              <w:rPr>
                <w:rFonts w:ascii="仿宋_GB2312" w:hAnsi="宋体" w:eastAsia="仿宋_GB2312" w:cs="宋体"/>
                <w:b/>
                <w:bCs/>
                <w:color w:val="000000"/>
                <w:kern w:val="0"/>
                <w:sz w:val="24"/>
                <w:szCs w:val="24"/>
              </w:rPr>
              <w:t>方机构名称</w:t>
            </w:r>
            <w:r>
              <w:rPr>
                <w:rFonts w:hint="eastAsia" w:ascii="仿宋_GB2312" w:hAnsi="宋体" w:eastAsia="仿宋_GB2312" w:cs="宋体"/>
                <w:b/>
                <w:bCs/>
                <w:color w:val="000000"/>
                <w:kern w:val="0"/>
                <w:sz w:val="24"/>
                <w:szCs w:val="24"/>
              </w:rPr>
              <w:t>（以及</w:t>
            </w:r>
            <w:r>
              <w:rPr>
                <w:rFonts w:ascii="仿宋_GB2312" w:hAnsi="宋体" w:eastAsia="仿宋_GB2312" w:cs="宋体"/>
                <w:b/>
                <w:bCs/>
                <w:color w:val="000000"/>
                <w:kern w:val="0"/>
                <w:sz w:val="24"/>
                <w:szCs w:val="24"/>
              </w:rPr>
              <w:t>电话、地址、传真）</w:t>
            </w:r>
          </w:p>
        </w:tc>
        <w:tc>
          <w:tcPr>
            <w:tcW w:w="5671" w:type="dxa"/>
            <w:tcBorders>
              <w:top w:val="single" w:color="auto" w:sz="8" w:space="0"/>
              <w:left w:val="nil"/>
              <w:bottom w:val="single" w:color="auto" w:sz="8" w:space="0"/>
              <w:right w:val="single" w:color="auto" w:sz="8" w:space="0"/>
            </w:tcBorders>
            <w:vAlign w:val="center"/>
          </w:tcPr>
          <w:p w14:paraId="077C74D6">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借入</w:t>
            </w:r>
            <w:r>
              <w:rPr>
                <w:rFonts w:ascii="仿宋_GB2312" w:hAnsi="宋体" w:eastAsia="仿宋_GB2312" w:cs="宋体"/>
                <w:bCs/>
                <w:color w:val="000000"/>
                <w:kern w:val="0"/>
                <w:sz w:val="24"/>
                <w:szCs w:val="24"/>
              </w:rPr>
              <w:t>方机构名称自动生成</w:t>
            </w:r>
            <w:r>
              <w:rPr>
                <w:rFonts w:hint="eastAsia" w:ascii="仿宋_GB2312" w:hAnsi="宋体" w:eastAsia="仿宋_GB2312" w:cs="宋体"/>
                <w:bCs/>
                <w:color w:val="000000"/>
                <w:kern w:val="0"/>
                <w:sz w:val="24"/>
                <w:szCs w:val="24"/>
              </w:rPr>
              <w:t>，</w:t>
            </w:r>
            <w:r>
              <w:rPr>
                <w:rFonts w:ascii="仿宋_GB2312" w:hAnsi="宋体" w:eastAsia="仿宋_GB2312" w:cs="宋体"/>
                <w:bCs/>
                <w:color w:val="000000"/>
                <w:kern w:val="0"/>
                <w:sz w:val="24"/>
                <w:szCs w:val="24"/>
              </w:rPr>
              <w:t>电话、地址、传真</w:t>
            </w:r>
            <w:r>
              <w:rPr>
                <w:rFonts w:hint="eastAsia" w:ascii="仿宋_GB2312" w:hAnsi="宋体" w:eastAsia="仿宋_GB2312" w:cs="宋体"/>
                <w:bCs/>
                <w:color w:val="000000"/>
                <w:kern w:val="0"/>
                <w:sz w:val="24"/>
                <w:szCs w:val="24"/>
              </w:rPr>
              <w:t>选填</w:t>
            </w:r>
            <w:r>
              <w:rPr>
                <w:rFonts w:ascii="仿宋_GB2312" w:hAnsi="宋体" w:eastAsia="仿宋_GB2312" w:cs="宋体"/>
                <w:bCs/>
                <w:color w:val="000000"/>
                <w:kern w:val="0"/>
                <w:sz w:val="24"/>
                <w:szCs w:val="24"/>
              </w:rPr>
              <w:t>。</w:t>
            </w:r>
          </w:p>
        </w:tc>
      </w:tr>
      <w:tr w14:paraId="5B248EF5">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54C562FB">
            <w:pPr>
              <w:jc w:val="left"/>
              <w:rPr>
                <w:rFonts w:ascii="仿宋_GB2312" w:hAnsi="宋体" w:eastAsia="仿宋_GB2312" w:cs="宋体"/>
                <w:b/>
                <w:bCs/>
                <w:color w:val="000000"/>
                <w:kern w:val="0"/>
                <w:sz w:val="24"/>
                <w:szCs w:val="24"/>
              </w:rPr>
            </w:pPr>
            <w:r>
              <w:rPr>
                <w:rFonts w:ascii="仿宋_GB2312" w:hAnsi="宋体" w:eastAsia="仿宋_GB2312" w:cs="宋体"/>
                <w:b/>
                <w:bCs/>
                <w:color w:val="000000"/>
                <w:kern w:val="0"/>
                <w:sz w:val="24"/>
                <w:szCs w:val="24"/>
              </w:rPr>
              <w:t>借</w:t>
            </w:r>
            <w:r>
              <w:rPr>
                <w:rFonts w:hint="eastAsia" w:ascii="仿宋_GB2312" w:hAnsi="宋体" w:eastAsia="仿宋_GB2312" w:cs="宋体"/>
                <w:b/>
                <w:bCs/>
                <w:color w:val="000000"/>
                <w:kern w:val="0"/>
                <w:sz w:val="24"/>
                <w:szCs w:val="24"/>
              </w:rPr>
              <w:t>入</w:t>
            </w:r>
            <w:r>
              <w:rPr>
                <w:rFonts w:ascii="仿宋_GB2312" w:hAnsi="宋体" w:eastAsia="仿宋_GB2312" w:cs="宋体"/>
                <w:b/>
                <w:bCs/>
                <w:color w:val="000000"/>
                <w:kern w:val="0"/>
                <w:sz w:val="24"/>
                <w:szCs w:val="24"/>
              </w:rPr>
              <w:t>方</w:t>
            </w:r>
            <w:r>
              <w:rPr>
                <w:rFonts w:hint="eastAsia" w:ascii="仿宋_GB2312" w:hAnsi="宋体" w:eastAsia="仿宋_GB2312" w:cs="宋体"/>
                <w:b/>
                <w:bCs/>
                <w:color w:val="000000"/>
                <w:kern w:val="0"/>
                <w:sz w:val="24"/>
                <w:szCs w:val="24"/>
              </w:rPr>
              <w:t>交易</w:t>
            </w:r>
            <w:r>
              <w:rPr>
                <w:rFonts w:ascii="仿宋_GB2312" w:hAnsi="宋体" w:eastAsia="仿宋_GB2312" w:cs="宋体"/>
                <w:b/>
                <w:bCs/>
                <w:color w:val="000000"/>
                <w:kern w:val="0"/>
                <w:sz w:val="24"/>
                <w:szCs w:val="24"/>
              </w:rPr>
              <w:t>员</w:t>
            </w:r>
          </w:p>
        </w:tc>
        <w:tc>
          <w:tcPr>
            <w:tcW w:w="5671" w:type="dxa"/>
            <w:tcBorders>
              <w:top w:val="single" w:color="auto" w:sz="8" w:space="0"/>
              <w:left w:val="nil"/>
              <w:bottom w:val="single" w:color="auto" w:sz="8" w:space="0"/>
              <w:right w:val="single" w:color="auto" w:sz="8" w:space="0"/>
            </w:tcBorders>
            <w:vAlign w:val="center"/>
          </w:tcPr>
          <w:p w14:paraId="7B7F02C4">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自动</w:t>
            </w:r>
            <w:r>
              <w:rPr>
                <w:rFonts w:ascii="仿宋_GB2312" w:hAnsi="宋体" w:eastAsia="仿宋_GB2312" w:cs="宋体"/>
                <w:bCs/>
                <w:color w:val="000000"/>
                <w:kern w:val="0"/>
                <w:sz w:val="24"/>
                <w:szCs w:val="24"/>
              </w:rPr>
              <w:t>生成</w:t>
            </w:r>
          </w:p>
        </w:tc>
      </w:tr>
      <w:tr w14:paraId="61C79300">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2A56D237">
            <w:pPr>
              <w:jc w:val="left"/>
              <w:rPr>
                <w:rFonts w:ascii="仿宋_GB2312" w:hAnsi="宋体" w:eastAsia="仿宋_GB2312" w:cs="宋体"/>
                <w:b/>
                <w:bCs/>
                <w:color w:val="000000"/>
                <w:kern w:val="0"/>
                <w:sz w:val="24"/>
                <w:szCs w:val="24"/>
              </w:rPr>
            </w:pPr>
            <w:r>
              <w:rPr>
                <w:rFonts w:ascii="仿宋_GB2312" w:hAnsi="宋体" w:eastAsia="仿宋_GB2312" w:cs="宋体"/>
                <w:b/>
                <w:bCs/>
                <w:color w:val="000000"/>
                <w:kern w:val="0"/>
                <w:sz w:val="24"/>
                <w:szCs w:val="24"/>
              </w:rPr>
              <w:t>借出方机构名称</w:t>
            </w:r>
            <w:r>
              <w:rPr>
                <w:rFonts w:hint="eastAsia" w:ascii="仿宋_GB2312" w:hAnsi="宋体" w:eastAsia="仿宋_GB2312" w:cs="宋体"/>
                <w:b/>
                <w:bCs/>
                <w:color w:val="000000"/>
                <w:kern w:val="0"/>
                <w:sz w:val="24"/>
                <w:szCs w:val="24"/>
              </w:rPr>
              <w:t>（以及</w:t>
            </w:r>
            <w:r>
              <w:rPr>
                <w:rFonts w:ascii="仿宋_GB2312" w:hAnsi="宋体" w:eastAsia="仿宋_GB2312" w:cs="宋体"/>
                <w:b/>
                <w:bCs/>
                <w:color w:val="000000"/>
                <w:kern w:val="0"/>
                <w:sz w:val="24"/>
                <w:szCs w:val="24"/>
              </w:rPr>
              <w:t>电话、地址、传真）</w:t>
            </w:r>
          </w:p>
        </w:tc>
        <w:tc>
          <w:tcPr>
            <w:tcW w:w="5671" w:type="dxa"/>
            <w:tcBorders>
              <w:top w:val="single" w:color="auto" w:sz="8" w:space="0"/>
              <w:left w:val="nil"/>
              <w:bottom w:val="single" w:color="auto" w:sz="8" w:space="0"/>
              <w:right w:val="single" w:color="auto" w:sz="8" w:space="0"/>
            </w:tcBorders>
            <w:vAlign w:val="center"/>
          </w:tcPr>
          <w:p w14:paraId="1CA9B483">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借出</w:t>
            </w:r>
            <w:r>
              <w:rPr>
                <w:rFonts w:ascii="仿宋_GB2312" w:hAnsi="宋体" w:eastAsia="仿宋_GB2312" w:cs="宋体"/>
                <w:bCs/>
                <w:color w:val="000000"/>
                <w:kern w:val="0"/>
                <w:sz w:val="24"/>
                <w:szCs w:val="24"/>
              </w:rPr>
              <w:t>方机构名称</w:t>
            </w:r>
            <w:r>
              <w:rPr>
                <w:rFonts w:hint="eastAsia" w:ascii="仿宋_GB2312" w:hAnsi="宋体" w:eastAsia="仿宋_GB2312" w:cs="宋体"/>
                <w:bCs/>
                <w:color w:val="000000"/>
                <w:kern w:val="0"/>
                <w:sz w:val="24"/>
                <w:szCs w:val="24"/>
              </w:rPr>
              <w:t>由借入方录入</w:t>
            </w:r>
            <w:r>
              <w:rPr>
                <w:rFonts w:ascii="仿宋_GB2312" w:hAnsi="宋体" w:eastAsia="仿宋_GB2312" w:cs="宋体"/>
                <w:bCs/>
                <w:color w:val="000000"/>
                <w:kern w:val="0"/>
                <w:sz w:val="24"/>
                <w:szCs w:val="24"/>
              </w:rPr>
              <w:t>，电话地址传真于借出方确认时录入。</w:t>
            </w:r>
          </w:p>
        </w:tc>
      </w:tr>
      <w:tr w14:paraId="7FEF1E5B">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4AD14CBA">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借出</w:t>
            </w:r>
            <w:r>
              <w:rPr>
                <w:rFonts w:ascii="仿宋_GB2312" w:hAnsi="宋体" w:eastAsia="仿宋_GB2312" w:cs="宋体"/>
                <w:b/>
                <w:bCs/>
                <w:color w:val="000000"/>
                <w:kern w:val="0"/>
                <w:sz w:val="24"/>
                <w:szCs w:val="24"/>
              </w:rPr>
              <w:t>方交易员</w:t>
            </w:r>
          </w:p>
        </w:tc>
        <w:tc>
          <w:tcPr>
            <w:tcW w:w="5671" w:type="dxa"/>
            <w:tcBorders>
              <w:top w:val="single" w:color="auto" w:sz="8" w:space="0"/>
              <w:left w:val="nil"/>
              <w:bottom w:val="single" w:color="auto" w:sz="8" w:space="0"/>
              <w:right w:val="single" w:color="auto" w:sz="8" w:space="0"/>
            </w:tcBorders>
            <w:vAlign w:val="center"/>
          </w:tcPr>
          <w:p w14:paraId="40520161">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借入方录入借出方机构名称后下拉选择借出方交易员。</w:t>
            </w:r>
          </w:p>
        </w:tc>
      </w:tr>
      <w:tr w14:paraId="302A47DA">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3FD0B2BF">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借入方证券账户（以及证券账户名称）</w:t>
            </w:r>
          </w:p>
        </w:tc>
        <w:tc>
          <w:tcPr>
            <w:tcW w:w="5671" w:type="dxa"/>
            <w:tcBorders>
              <w:top w:val="single" w:color="auto" w:sz="8" w:space="0"/>
              <w:left w:val="nil"/>
              <w:bottom w:val="single" w:color="auto" w:sz="8" w:space="0"/>
              <w:right w:val="single" w:color="auto" w:sz="8" w:space="0"/>
            </w:tcBorders>
            <w:vAlign w:val="center"/>
          </w:tcPr>
          <w:p w14:paraId="445658FE">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首期结算时借入债券机构的证券账户，由借入方录入，证券账户名称自动生成。</w:t>
            </w:r>
          </w:p>
        </w:tc>
      </w:tr>
      <w:tr w14:paraId="1AEC6D08">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15A6EBDF">
            <w:pPr>
              <w:jc w:val="left"/>
              <w:rPr>
                <w:rFonts w:ascii="仿宋_GB2312"/>
                <w:b/>
                <w:sz w:val="24"/>
                <w:szCs w:val="22"/>
              </w:rPr>
            </w:pPr>
            <w:r>
              <w:rPr>
                <w:rFonts w:hint="eastAsia" w:ascii="仿宋_GB2312" w:eastAsia="仿宋_GB2312"/>
                <w:b/>
                <w:sz w:val="24"/>
              </w:rPr>
              <w:t>借</w:t>
            </w:r>
            <w:r>
              <w:rPr>
                <w:rFonts w:hint="eastAsia" w:ascii="仿宋_GB2312" w:eastAsia="仿宋_GB2312"/>
                <w:b/>
                <w:sz w:val="24"/>
                <w:szCs w:val="24"/>
              </w:rPr>
              <w:t>入</w:t>
            </w:r>
            <w:r>
              <w:rPr>
                <w:rFonts w:hint="eastAsia" w:ascii="仿宋_GB2312" w:eastAsia="仿宋_GB2312"/>
                <w:b/>
                <w:sz w:val="24"/>
              </w:rPr>
              <w:t>方交易</w:t>
            </w:r>
            <w:r>
              <w:rPr>
                <w:rFonts w:ascii="仿宋_GB2312" w:eastAsia="仿宋_GB2312"/>
                <w:b/>
                <w:sz w:val="24"/>
                <w:szCs w:val="24"/>
              </w:rPr>
              <w:t>单元</w:t>
            </w:r>
          </w:p>
        </w:tc>
        <w:tc>
          <w:tcPr>
            <w:tcW w:w="5671" w:type="dxa"/>
            <w:tcBorders>
              <w:top w:val="single" w:color="auto" w:sz="8" w:space="0"/>
              <w:left w:val="nil"/>
              <w:bottom w:val="single" w:color="auto" w:sz="8" w:space="0"/>
              <w:right w:val="single" w:color="auto" w:sz="8" w:space="0"/>
            </w:tcBorders>
            <w:vAlign w:val="center"/>
          </w:tcPr>
          <w:p w14:paraId="0C520CD6">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首期结算时借入债券机构的交易单元，由借入方录入。</w:t>
            </w:r>
          </w:p>
        </w:tc>
      </w:tr>
      <w:tr w14:paraId="19AED8BF">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tcPr>
          <w:p w14:paraId="4B33BE4E">
            <w:pPr>
              <w:jc w:val="left"/>
              <w:rPr>
                <w:rFonts w:ascii="仿宋_GB2312"/>
                <w:b/>
                <w:sz w:val="24"/>
                <w:szCs w:val="22"/>
              </w:rPr>
            </w:pPr>
            <w:r>
              <w:rPr>
                <w:rFonts w:hint="eastAsia" w:ascii="仿宋_GB2312" w:eastAsia="仿宋_GB2312"/>
                <w:b/>
                <w:sz w:val="24"/>
              </w:rPr>
              <w:t>借入方</w:t>
            </w:r>
            <w:r>
              <w:rPr>
                <w:rFonts w:hint="eastAsia" w:ascii="仿宋_GB2312" w:eastAsia="仿宋_GB2312"/>
                <w:b/>
                <w:sz w:val="24"/>
                <w:szCs w:val="24"/>
              </w:rPr>
              <w:t>资金账户（以及资金账户名称）</w:t>
            </w:r>
          </w:p>
        </w:tc>
        <w:tc>
          <w:tcPr>
            <w:tcW w:w="5671" w:type="dxa"/>
            <w:tcBorders>
              <w:top w:val="single" w:color="auto" w:sz="8" w:space="0"/>
              <w:left w:val="nil"/>
              <w:bottom w:val="single" w:color="auto" w:sz="8" w:space="0"/>
              <w:right w:val="single" w:color="auto" w:sz="8" w:space="0"/>
            </w:tcBorders>
            <w:vAlign w:val="center"/>
          </w:tcPr>
          <w:p w14:paraId="2B454779">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借入债券机构的场外资金</w:t>
            </w:r>
            <w:r>
              <w:rPr>
                <w:rFonts w:ascii="仿宋_GB2312" w:hAnsi="宋体" w:eastAsia="仿宋_GB2312" w:cs="宋体"/>
                <w:bCs/>
                <w:color w:val="000000"/>
                <w:kern w:val="0"/>
                <w:sz w:val="24"/>
                <w:szCs w:val="24"/>
              </w:rPr>
              <w:t>账户与名称</w:t>
            </w:r>
            <w:r>
              <w:rPr>
                <w:rFonts w:hint="eastAsia" w:ascii="仿宋_GB2312" w:hAnsi="宋体" w:eastAsia="仿宋_GB2312" w:cs="宋体"/>
                <w:bCs/>
                <w:color w:val="000000"/>
                <w:kern w:val="0"/>
                <w:sz w:val="24"/>
                <w:szCs w:val="24"/>
              </w:rPr>
              <w:t>，由借入方录入。</w:t>
            </w:r>
          </w:p>
        </w:tc>
      </w:tr>
      <w:tr w14:paraId="41A4D4B0">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3636C2D4">
            <w:pPr>
              <w:jc w:val="left"/>
              <w:rPr>
                <w:rFonts w:ascii="仿宋_GB2312" w:eastAsia="仿宋_GB2312"/>
                <w:b/>
                <w:sz w:val="24"/>
                <w:szCs w:val="24"/>
              </w:rPr>
            </w:pPr>
            <w:r>
              <w:rPr>
                <w:rFonts w:hint="eastAsia" w:ascii="仿宋_GB2312" w:hAnsi="宋体" w:eastAsia="仿宋_GB2312" w:cs="宋体"/>
                <w:b/>
                <w:bCs/>
                <w:color w:val="000000"/>
                <w:kern w:val="0"/>
                <w:sz w:val="24"/>
                <w:szCs w:val="24"/>
              </w:rPr>
              <w:t>借出方证券账户</w:t>
            </w:r>
          </w:p>
        </w:tc>
        <w:tc>
          <w:tcPr>
            <w:tcW w:w="5671" w:type="dxa"/>
            <w:tcBorders>
              <w:top w:val="single" w:color="auto" w:sz="8" w:space="0"/>
              <w:left w:val="nil"/>
              <w:bottom w:val="single" w:color="auto" w:sz="8" w:space="0"/>
              <w:right w:val="single" w:color="auto" w:sz="8" w:space="0"/>
            </w:tcBorders>
            <w:vAlign w:val="center"/>
          </w:tcPr>
          <w:p w14:paraId="74AA2CB8">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首期结算时借出债券机构的证券账户，</w:t>
            </w:r>
            <w:r>
              <w:rPr>
                <w:rFonts w:ascii="仿宋_GB2312" w:hAnsi="宋体" w:eastAsia="仿宋_GB2312" w:cs="宋体"/>
                <w:bCs/>
                <w:color w:val="000000"/>
                <w:kern w:val="0"/>
                <w:sz w:val="24"/>
                <w:szCs w:val="24"/>
              </w:rPr>
              <w:t>借出方确认时录入。</w:t>
            </w:r>
          </w:p>
        </w:tc>
      </w:tr>
      <w:tr w14:paraId="539047E7">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740A6FB4">
            <w:pPr>
              <w:jc w:val="left"/>
              <w:rPr>
                <w:rFonts w:ascii="仿宋_GB2312" w:eastAsia="仿宋_GB2312"/>
                <w:b/>
                <w:sz w:val="24"/>
                <w:szCs w:val="24"/>
              </w:rPr>
            </w:pPr>
            <w:r>
              <w:rPr>
                <w:rFonts w:hint="eastAsia" w:ascii="仿宋_GB2312" w:eastAsia="仿宋_GB2312"/>
                <w:b/>
                <w:sz w:val="24"/>
                <w:szCs w:val="24"/>
              </w:rPr>
              <w:t>借出方交易单元</w:t>
            </w:r>
          </w:p>
        </w:tc>
        <w:tc>
          <w:tcPr>
            <w:tcW w:w="5671" w:type="dxa"/>
            <w:tcBorders>
              <w:top w:val="single" w:color="auto" w:sz="8" w:space="0"/>
              <w:left w:val="nil"/>
              <w:bottom w:val="single" w:color="auto" w:sz="8" w:space="0"/>
              <w:right w:val="single" w:color="auto" w:sz="8" w:space="0"/>
            </w:tcBorders>
            <w:vAlign w:val="center"/>
          </w:tcPr>
          <w:p w14:paraId="788716BC">
            <w:pPr>
              <w:jc w:val="left"/>
              <w:rPr>
                <w:rFonts w:ascii="仿宋_GB2312" w:hAnsi="宋体" w:eastAsia="仿宋_GB2312" w:cs="宋体"/>
                <w:b/>
                <w:bCs/>
                <w:color w:val="000000"/>
                <w:kern w:val="0"/>
                <w:sz w:val="24"/>
                <w:szCs w:val="24"/>
              </w:rPr>
            </w:pPr>
            <w:r>
              <w:rPr>
                <w:rFonts w:hint="eastAsia" w:ascii="仿宋_GB2312" w:hAnsi="宋体" w:eastAsia="仿宋_GB2312" w:cs="宋体"/>
                <w:bCs/>
                <w:color w:val="000000"/>
                <w:kern w:val="0"/>
                <w:sz w:val="24"/>
                <w:szCs w:val="24"/>
              </w:rPr>
              <w:t>首期结算时借出债券机构的交易单元，</w:t>
            </w:r>
            <w:r>
              <w:rPr>
                <w:rFonts w:ascii="仿宋_GB2312" w:hAnsi="宋体" w:eastAsia="仿宋_GB2312" w:cs="宋体"/>
                <w:bCs/>
                <w:color w:val="000000"/>
                <w:kern w:val="0"/>
                <w:sz w:val="24"/>
                <w:szCs w:val="24"/>
              </w:rPr>
              <w:t>借出方确认时录入。</w:t>
            </w:r>
          </w:p>
        </w:tc>
      </w:tr>
      <w:tr w14:paraId="7B4BD033">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tcPr>
          <w:p w14:paraId="6D330086">
            <w:pPr>
              <w:jc w:val="left"/>
              <w:rPr>
                <w:rFonts w:ascii="仿宋_GB2312" w:eastAsia="仿宋_GB2312"/>
                <w:b/>
                <w:sz w:val="24"/>
                <w:szCs w:val="24"/>
              </w:rPr>
            </w:pPr>
            <w:r>
              <w:rPr>
                <w:rFonts w:hint="eastAsia" w:ascii="仿宋_GB2312" w:eastAsia="仿宋_GB2312"/>
                <w:b/>
                <w:sz w:val="24"/>
                <w:szCs w:val="24"/>
              </w:rPr>
              <w:t>借出方资金账户</w:t>
            </w:r>
          </w:p>
        </w:tc>
        <w:tc>
          <w:tcPr>
            <w:tcW w:w="5671" w:type="dxa"/>
            <w:tcBorders>
              <w:top w:val="single" w:color="auto" w:sz="8" w:space="0"/>
              <w:left w:val="nil"/>
              <w:bottom w:val="single" w:color="auto" w:sz="8" w:space="0"/>
              <w:right w:val="single" w:color="auto" w:sz="8" w:space="0"/>
            </w:tcBorders>
            <w:vAlign w:val="center"/>
          </w:tcPr>
          <w:p w14:paraId="34036465">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借出债券机构的场外资金</w:t>
            </w:r>
            <w:r>
              <w:rPr>
                <w:rFonts w:ascii="仿宋_GB2312" w:hAnsi="宋体" w:eastAsia="仿宋_GB2312" w:cs="宋体"/>
                <w:bCs/>
                <w:color w:val="000000"/>
                <w:kern w:val="0"/>
                <w:sz w:val="24"/>
                <w:szCs w:val="24"/>
              </w:rPr>
              <w:t>账户与名称</w:t>
            </w:r>
            <w:r>
              <w:rPr>
                <w:rFonts w:hint="eastAsia" w:ascii="仿宋_GB2312" w:hAnsi="宋体" w:eastAsia="仿宋_GB2312" w:cs="宋体"/>
                <w:bCs/>
                <w:color w:val="000000"/>
                <w:kern w:val="0"/>
                <w:sz w:val="24"/>
                <w:szCs w:val="24"/>
              </w:rPr>
              <w:t>，</w:t>
            </w:r>
            <w:r>
              <w:rPr>
                <w:rFonts w:ascii="仿宋_GB2312" w:hAnsi="宋体" w:eastAsia="仿宋_GB2312" w:cs="宋体"/>
                <w:bCs/>
                <w:color w:val="000000"/>
                <w:kern w:val="0"/>
                <w:sz w:val="24"/>
                <w:szCs w:val="24"/>
              </w:rPr>
              <w:t>借出方确认时录入。</w:t>
            </w:r>
          </w:p>
        </w:tc>
      </w:tr>
      <w:tr w14:paraId="3A07815C">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3E27E324">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标的债券</w:t>
            </w:r>
          </w:p>
        </w:tc>
        <w:tc>
          <w:tcPr>
            <w:tcW w:w="5671" w:type="dxa"/>
            <w:tcBorders>
              <w:top w:val="single" w:color="auto" w:sz="8" w:space="0"/>
              <w:left w:val="nil"/>
              <w:bottom w:val="single" w:color="auto" w:sz="8" w:space="0"/>
              <w:right w:val="single" w:color="auto" w:sz="8" w:space="0"/>
            </w:tcBorders>
            <w:vAlign w:val="center"/>
          </w:tcPr>
          <w:p w14:paraId="08914322">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债券借贷的标的债券代码和简称标识。</w:t>
            </w:r>
            <w:r>
              <w:rPr>
                <w:rFonts w:ascii="仿宋_GB2312" w:hAnsi="宋体" w:eastAsia="仿宋_GB2312" w:cs="宋体"/>
                <w:bCs/>
                <w:color w:val="000000"/>
                <w:kern w:val="0"/>
                <w:sz w:val="24"/>
                <w:szCs w:val="24"/>
              </w:rPr>
              <w:t>输入</w:t>
            </w:r>
            <w:r>
              <w:rPr>
                <w:rFonts w:hint="eastAsia" w:ascii="仿宋_GB2312" w:hAnsi="宋体" w:eastAsia="仿宋_GB2312" w:cs="宋体"/>
                <w:bCs/>
                <w:color w:val="000000"/>
                <w:kern w:val="0"/>
                <w:sz w:val="24"/>
                <w:szCs w:val="24"/>
              </w:rPr>
              <w:t>代码</w:t>
            </w:r>
            <w:r>
              <w:rPr>
                <w:rFonts w:ascii="仿宋_GB2312" w:hAnsi="宋体" w:eastAsia="仿宋_GB2312" w:cs="宋体"/>
                <w:bCs/>
                <w:color w:val="000000"/>
                <w:kern w:val="0"/>
                <w:sz w:val="24"/>
                <w:szCs w:val="24"/>
              </w:rPr>
              <w:t>，自动</w:t>
            </w:r>
            <w:r>
              <w:rPr>
                <w:rFonts w:hint="eastAsia" w:ascii="仿宋_GB2312" w:hAnsi="宋体" w:eastAsia="仿宋_GB2312" w:cs="宋体"/>
                <w:bCs/>
                <w:color w:val="000000"/>
                <w:kern w:val="0"/>
                <w:sz w:val="24"/>
                <w:szCs w:val="24"/>
              </w:rPr>
              <w:t>生成简称。</w:t>
            </w:r>
          </w:p>
        </w:tc>
      </w:tr>
      <w:tr w14:paraId="0E01C7B1">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4DF36742">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标的</w:t>
            </w:r>
            <w:r>
              <w:rPr>
                <w:rFonts w:ascii="仿宋_GB2312" w:hAnsi="宋体" w:eastAsia="仿宋_GB2312" w:cs="宋体"/>
                <w:b/>
                <w:bCs/>
                <w:color w:val="000000"/>
                <w:kern w:val="0"/>
                <w:sz w:val="24"/>
                <w:szCs w:val="24"/>
              </w:rPr>
              <w:t>券面</w:t>
            </w:r>
            <w:r>
              <w:rPr>
                <w:rFonts w:hint="eastAsia" w:ascii="仿宋_GB2312" w:hAnsi="宋体" w:eastAsia="仿宋_GB2312" w:cs="宋体"/>
                <w:b/>
                <w:bCs/>
                <w:color w:val="000000"/>
                <w:kern w:val="0"/>
                <w:sz w:val="24"/>
                <w:szCs w:val="24"/>
              </w:rPr>
              <w:t>值</w:t>
            </w:r>
          </w:p>
        </w:tc>
        <w:tc>
          <w:tcPr>
            <w:tcW w:w="5671" w:type="dxa"/>
            <w:tcBorders>
              <w:top w:val="single" w:color="auto" w:sz="8" w:space="0"/>
              <w:left w:val="nil"/>
              <w:bottom w:val="single" w:color="auto" w:sz="8" w:space="0"/>
              <w:right w:val="single" w:color="auto" w:sz="8" w:space="0"/>
            </w:tcBorders>
            <w:vAlign w:val="center"/>
          </w:tcPr>
          <w:p w14:paraId="7F135573">
            <w:pPr>
              <w:jc w:val="left"/>
              <w:rPr>
                <w:rFonts w:ascii="仿宋_GB2312" w:hAnsi="宋体" w:eastAsia="仿宋_GB2312" w:cs="宋体"/>
                <w:bCs/>
                <w:color w:val="000000"/>
                <w:kern w:val="0"/>
                <w:sz w:val="24"/>
                <w:szCs w:val="24"/>
              </w:rPr>
            </w:pPr>
            <w:r>
              <w:rPr>
                <w:rFonts w:ascii="仿宋_GB2312" w:hAnsi="宋体" w:eastAsia="仿宋_GB2312" w:cs="宋体"/>
                <w:bCs/>
                <w:color w:val="000000"/>
                <w:kern w:val="0"/>
                <w:sz w:val="24"/>
                <w:szCs w:val="24"/>
              </w:rPr>
              <w:t>输入</w:t>
            </w:r>
            <w:r>
              <w:rPr>
                <w:rFonts w:hint="eastAsia" w:ascii="仿宋_GB2312" w:hAnsi="宋体" w:eastAsia="仿宋_GB2312" w:cs="宋体"/>
                <w:bCs/>
                <w:color w:val="000000"/>
                <w:kern w:val="0"/>
                <w:sz w:val="24"/>
                <w:szCs w:val="24"/>
              </w:rPr>
              <w:t>代码</w:t>
            </w:r>
            <w:r>
              <w:rPr>
                <w:rFonts w:ascii="仿宋_GB2312" w:hAnsi="宋体" w:eastAsia="仿宋_GB2312" w:cs="宋体"/>
                <w:bCs/>
                <w:color w:val="000000"/>
                <w:kern w:val="0"/>
                <w:sz w:val="24"/>
                <w:szCs w:val="24"/>
              </w:rPr>
              <w:t>，自动</w:t>
            </w:r>
            <w:r>
              <w:rPr>
                <w:rFonts w:hint="eastAsia" w:ascii="仿宋_GB2312" w:hAnsi="宋体" w:eastAsia="仿宋_GB2312" w:cs="宋体"/>
                <w:bCs/>
                <w:color w:val="000000"/>
                <w:kern w:val="0"/>
                <w:sz w:val="24"/>
                <w:szCs w:val="24"/>
              </w:rPr>
              <w:t>生成。</w:t>
            </w:r>
          </w:p>
        </w:tc>
      </w:tr>
      <w:tr w14:paraId="1E204693">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230455F3">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标的券数量</w:t>
            </w:r>
          </w:p>
        </w:tc>
        <w:tc>
          <w:tcPr>
            <w:tcW w:w="5671" w:type="dxa"/>
            <w:tcBorders>
              <w:top w:val="single" w:color="auto" w:sz="8" w:space="0"/>
              <w:left w:val="nil"/>
              <w:bottom w:val="single" w:color="auto" w:sz="8" w:space="0"/>
              <w:right w:val="single" w:color="auto" w:sz="8" w:space="0"/>
            </w:tcBorders>
            <w:vAlign w:val="center"/>
          </w:tcPr>
          <w:p w14:paraId="19C83D16">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标的</w:t>
            </w:r>
            <w:r>
              <w:rPr>
                <w:rFonts w:ascii="仿宋_GB2312" w:hAnsi="宋体" w:eastAsia="仿宋_GB2312" w:cs="宋体"/>
                <w:bCs/>
                <w:color w:val="000000"/>
                <w:kern w:val="0"/>
                <w:sz w:val="24"/>
                <w:szCs w:val="24"/>
              </w:rPr>
              <w:t>券数量</w:t>
            </w:r>
            <w:r>
              <w:rPr>
                <w:rFonts w:hint="eastAsia" w:ascii="仿宋_GB2312" w:hAnsi="宋体" w:eastAsia="仿宋_GB2312" w:cs="宋体"/>
                <w:bCs/>
                <w:color w:val="000000"/>
                <w:kern w:val="0"/>
                <w:sz w:val="24"/>
                <w:szCs w:val="24"/>
              </w:rPr>
              <w:t>（千元面额），借入方录入。</w:t>
            </w:r>
          </w:p>
        </w:tc>
      </w:tr>
      <w:tr w14:paraId="0F70E307">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44830399">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标的债券总面额（券面</w:t>
            </w:r>
            <w:r>
              <w:rPr>
                <w:rFonts w:ascii="仿宋_GB2312" w:hAnsi="宋体" w:eastAsia="仿宋_GB2312" w:cs="宋体"/>
                <w:b/>
                <w:bCs/>
                <w:color w:val="000000"/>
                <w:kern w:val="0"/>
                <w:sz w:val="24"/>
                <w:szCs w:val="24"/>
              </w:rPr>
              <w:t>总额）</w:t>
            </w:r>
          </w:p>
        </w:tc>
        <w:tc>
          <w:tcPr>
            <w:tcW w:w="5671" w:type="dxa"/>
            <w:tcBorders>
              <w:top w:val="single" w:color="auto" w:sz="8" w:space="0"/>
              <w:left w:val="nil"/>
              <w:bottom w:val="single" w:color="auto" w:sz="8" w:space="0"/>
              <w:right w:val="single" w:color="auto" w:sz="8" w:space="0"/>
            </w:tcBorders>
            <w:vAlign w:val="center"/>
          </w:tcPr>
          <w:p w14:paraId="23A22DEF">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标的债券按发行面额计算的总量，单位为万元。债券发生分期偿还、分期摊还的，债券面值为减少后的面额。</w:t>
            </w:r>
          </w:p>
          <w:p w14:paraId="3675A397">
            <w:pPr>
              <w:jc w:val="left"/>
              <w:rPr>
                <w:rFonts w:ascii="仿宋_GB2312" w:hAnsi="宋体" w:eastAsia="仿宋_GB2312" w:cs="宋体"/>
                <w:bCs/>
                <w:color w:val="000000"/>
                <w:kern w:val="0"/>
                <w:sz w:val="24"/>
                <w:szCs w:val="24"/>
              </w:rPr>
            </w:pPr>
            <w:r>
              <w:rPr>
                <w:rFonts w:hint="eastAsia" w:ascii="仿宋_GB2312" w:eastAsia="仿宋_GB2312"/>
                <w:kern w:val="0"/>
                <w:sz w:val="24"/>
                <w:szCs w:val="24"/>
              </w:rPr>
              <w:t>标的券</w:t>
            </w:r>
            <w:r>
              <w:rPr>
                <w:rFonts w:hint="eastAsia" w:ascii="仿宋_GB2312" w:hAnsi="宋体" w:eastAsia="仿宋_GB2312" w:cs="宋体"/>
                <w:bCs/>
                <w:color w:val="000000"/>
                <w:kern w:val="0"/>
                <w:sz w:val="24"/>
                <w:szCs w:val="24"/>
              </w:rPr>
              <w:t>券面</w:t>
            </w:r>
            <w:r>
              <w:rPr>
                <w:rFonts w:ascii="仿宋_GB2312" w:hAnsi="宋体" w:eastAsia="仿宋_GB2312" w:cs="宋体"/>
                <w:bCs/>
                <w:color w:val="000000"/>
                <w:kern w:val="0"/>
                <w:sz w:val="24"/>
                <w:szCs w:val="24"/>
              </w:rPr>
              <w:t>总额</w:t>
            </w:r>
            <w:r>
              <w:rPr>
                <w:rFonts w:hint="eastAsia" w:ascii="仿宋_GB2312" w:hAnsi="宋体" w:eastAsia="仿宋_GB2312" w:cs="宋体"/>
                <w:bCs/>
                <w:color w:val="000000"/>
                <w:kern w:val="0"/>
                <w:sz w:val="24"/>
                <w:szCs w:val="24"/>
              </w:rPr>
              <w:t>（万元）</w:t>
            </w:r>
            <w:r>
              <w:rPr>
                <w:rFonts w:ascii="仿宋_GB2312" w:hAnsi="仿宋_GB2312" w:eastAsia="仿宋_GB2312" w:cs="宋体"/>
                <w:bCs/>
                <w:color w:val="000000"/>
                <w:kern w:val="0"/>
                <w:sz w:val="24"/>
                <w:szCs w:val="24"/>
              </w:rPr>
              <w:t>=</w:t>
            </w:r>
            <w:r>
              <w:rPr>
                <w:rFonts w:hint="eastAsia" w:ascii="仿宋_GB2312" w:eastAsia="仿宋_GB2312"/>
                <w:kern w:val="0"/>
                <w:sz w:val="24"/>
                <w:szCs w:val="24"/>
              </w:rPr>
              <w:t>单张标的券</w:t>
            </w:r>
            <w:r>
              <w:rPr>
                <w:rFonts w:hint="eastAsia" w:ascii="仿宋_GB2312" w:hAnsi="宋体" w:eastAsia="仿宋_GB2312" w:cs="宋体"/>
                <w:bCs/>
                <w:color w:val="000000"/>
                <w:kern w:val="0"/>
                <w:sz w:val="24"/>
                <w:szCs w:val="24"/>
              </w:rPr>
              <w:t>面额（元）</w:t>
            </w:r>
            <w:r>
              <w:rPr>
                <w:rFonts w:ascii="仿宋_GB2312" w:hAnsi="宋体" w:eastAsia="仿宋_GB2312" w:cs="宋体"/>
                <w:bCs/>
                <w:color w:val="000000"/>
                <w:kern w:val="0"/>
                <w:sz w:val="24"/>
                <w:szCs w:val="24"/>
              </w:rPr>
              <w:t>×</w:t>
            </w:r>
            <w:r>
              <w:rPr>
                <w:rFonts w:hint="eastAsia" w:ascii="仿宋_GB2312" w:hAnsi="宋体" w:eastAsia="仿宋_GB2312" w:cs="宋体"/>
                <w:bCs/>
                <w:color w:val="000000"/>
                <w:kern w:val="0"/>
                <w:sz w:val="24"/>
                <w:szCs w:val="24"/>
              </w:rPr>
              <w:t>标的</w:t>
            </w:r>
            <w:r>
              <w:rPr>
                <w:rFonts w:ascii="仿宋_GB2312" w:hAnsi="宋体" w:eastAsia="仿宋_GB2312" w:cs="宋体"/>
                <w:bCs/>
                <w:color w:val="000000"/>
                <w:kern w:val="0"/>
                <w:sz w:val="24"/>
                <w:szCs w:val="24"/>
              </w:rPr>
              <w:t>券数量</w:t>
            </w:r>
            <w:r>
              <w:rPr>
                <w:rFonts w:hint="eastAsia" w:ascii="仿宋_GB2312" w:hAnsi="宋体" w:eastAsia="仿宋_GB2312" w:cs="宋体"/>
                <w:bCs/>
                <w:color w:val="000000"/>
                <w:kern w:val="0"/>
                <w:sz w:val="24"/>
                <w:szCs w:val="24"/>
              </w:rPr>
              <w:t>（千元面额）×10/10000 （下同）</w:t>
            </w:r>
          </w:p>
        </w:tc>
      </w:tr>
      <w:tr w14:paraId="58AAE76D">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32548357">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标的</w:t>
            </w:r>
            <w:r>
              <w:rPr>
                <w:rFonts w:ascii="仿宋_GB2312" w:hAnsi="宋体" w:eastAsia="仿宋_GB2312" w:cs="宋体"/>
                <w:b/>
                <w:bCs/>
                <w:color w:val="000000"/>
                <w:kern w:val="0"/>
                <w:sz w:val="24"/>
                <w:szCs w:val="24"/>
              </w:rPr>
              <w:t>券下一付息日</w:t>
            </w:r>
          </w:p>
        </w:tc>
        <w:tc>
          <w:tcPr>
            <w:tcW w:w="5671" w:type="dxa"/>
            <w:tcBorders>
              <w:top w:val="single" w:color="auto" w:sz="8" w:space="0"/>
              <w:left w:val="nil"/>
              <w:bottom w:val="single" w:color="auto" w:sz="8" w:space="0"/>
              <w:right w:val="single" w:color="auto" w:sz="8" w:space="0"/>
            </w:tcBorders>
            <w:vAlign w:val="center"/>
          </w:tcPr>
          <w:p w14:paraId="2692A2A0">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标的债券下次付息日，借入方录入。</w:t>
            </w:r>
          </w:p>
        </w:tc>
      </w:tr>
      <w:tr w14:paraId="41AF2F9A">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2E6C616D">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应计利息</w:t>
            </w:r>
            <w:r>
              <w:rPr>
                <w:rFonts w:ascii="仿宋_GB2312" w:hAnsi="宋体" w:eastAsia="仿宋_GB2312" w:cs="宋体"/>
                <w:b/>
                <w:bCs/>
                <w:color w:val="000000"/>
                <w:kern w:val="0"/>
                <w:sz w:val="24"/>
                <w:szCs w:val="24"/>
              </w:rPr>
              <w:t>总额</w:t>
            </w:r>
          </w:p>
        </w:tc>
        <w:tc>
          <w:tcPr>
            <w:tcW w:w="5671" w:type="dxa"/>
            <w:tcBorders>
              <w:top w:val="single" w:color="auto" w:sz="8" w:space="0"/>
              <w:left w:val="nil"/>
              <w:bottom w:val="single" w:color="auto" w:sz="8" w:space="0"/>
              <w:right w:val="single" w:color="auto" w:sz="8" w:space="0"/>
            </w:tcBorders>
            <w:vAlign w:val="center"/>
          </w:tcPr>
          <w:p w14:paraId="4D85532B">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标的债券下次付息日付息总额，借入方录入。</w:t>
            </w:r>
          </w:p>
        </w:tc>
      </w:tr>
      <w:tr w14:paraId="55529AE5">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043B99CB">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质押债券</w:t>
            </w:r>
          </w:p>
        </w:tc>
        <w:tc>
          <w:tcPr>
            <w:tcW w:w="5671" w:type="dxa"/>
            <w:tcBorders>
              <w:top w:val="single" w:color="auto" w:sz="8" w:space="0"/>
              <w:left w:val="nil"/>
              <w:bottom w:val="single" w:color="auto" w:sz="8" w:space="0"/>
              <w:right w:val="single" w:color="auto" w:sz="8" w:space="0"/>
            </w:tcBorders>
            <w:vAlign w:val="center"/>
          </w:tcPr>
          <w:p w14:paraId="5AEADCE6">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债券借贷过程中，债券借入方质押给债券借出方的债券代码和简称标识，</w:t>
            </w:r>
            <w:r>
              <w:rPr>
                <w:rFonts w:ascii="仿宋_GB2312" w:hAnsi="宋体" w:eastAsia="仿宋_GB2312" w:cs="宋体"/>
                <w:bCs/>
                <w:color w:val="000000"/>
                <w:kern w:val="0"/>
                <w:sz w:val="24"/>
                <w:szCs w:val="24"/>
              </w:rPr>
              <w:t>输入</w:t>
            </w:r>
            <w:r>
              <w:rPr>
                <w:rFonts w:hint="eastAsia" w:ascii="仿宋_GB2312" w:hAnsi="宋体" w:eastAsia="仿宋_GB2312" w:cs="宋体"/>
                <w:bCs/>
                <w:color w:val="000000"/>
                <w:kern w:val="0"/>
                <w:sz w:val="24"/>
                <w:szCs w:val="24"/>
              </w:rPr>
              <w:t>代码</w:t>
            </w:r>
            <w:r>
              <w:rPr>
                <w:rFonts w:ascii="仿宋_GB2312" w:hAnsi="宋体" w:eastAsia="仿宋_GB2312" w:cs="宋体"/>
                <w:bCs/>
                <w:color w:val="000000"/>
                <w:kern w:val="0"/>
                <w:sz w:val="24"/>
                <w:szCs w:val="24"/>
              </w:rPr>
              <w:t>，自动</w:t>
            </w:r>
            <w:r>
              <w:rPr>
                <w:rFonts w:hint="eastAsia" w:ascii="仿宋_GB2312" w:hAnsi="宋体" w:eastAsia="仿宋_GB2312" w:cs="宋体"/>
                <w:bCs/>
                <w:color w:val="000000"/>
                <w:kern w:val="0"/>
                <w:sz w:val="24"/>
                <w:szCs w:val="24"/>
              </w:rPr>
              <w:t>生成简称。</w:t>
            </w:r>
          </w:p>
        </w:tc>
      </w:tr>
      <w:tr w14:paraId="06F2054C">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22A04358">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质押</w:t>
            </w:r>
            <w:r>
              <w:rPr>
                <w:rFonts w:ascii="仿宋_GB2312" w:hAnsi="宋体" w:eastAsia="仿宋_GB2312" w:cs="宋体"/>
                <w:b/>
                <w:bCs/>
                <w:color w:val="000000"/>
                <w:kern w:val="0"/>
                <w:sz w:val="24"/>
                <w:szCs w:val="24"/>
              </w:rPr>
              <w:t>券面</w:t>
            </w:r>
            <w:r>
              <w:rPr>
                <w:rFonts w:hint="eastAsia" w:ascii="仿宋_GB2312" w:hAnsi="宋体" w:eastAsia="仿宋_GB2312" w:cs="宋体"/>
                <w:b/>
                <w:bCs/>
                <w:color w:val="000000"/>
                <w:kern w:val="0"/>
                <w:sz w:val="24"/>
                <w:szCs w:val="24"/>
              </w:rPr>
              <w:t>值</w:t>
            </w:r>
          </w:p>
        </w:tc>
        <w:tc>
          <w:tcPr>
            <w:tcW w:w="5671" w:type="dxa"/>
            <w:tcBorders>
              <w:top w:val="single" w:color="auto" w:sz="8" w:space="0"/>
              <w:left w:val="nil"/>
              <w:bottom w:val="single" w:color="auto" w:sz="8" w:space="0"/>
              <w:right w:val="single" w:color="auto" w:sz="8" w:space="0"/>
            </w:tcBorders>
            <w:vAlign w:val="center"/>
          </w:tcPr>
          <w:p w14:paraId="02A802CE">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显示初始</w:t>
            </w:r>
            <w:r>
              <w:rPr>
                <w:rFonts w:ascii="仿宋_GB2312" w:hAnsi="宋体" w:eastAsia="仿宋_GB2312" w:cs="宋体"/>
                <w:bCs/>
                <w:color w:val="000000"/>
                <w:kern w:val="0"/>
                <w:sz w:val="24"/>
                <w:szCs w:val="24"/>
              </w:rPr>
              <w:t>面</w:t>
            </w:r>
            <w:r>
              <w:rPr>
                <w:rFonts w:hint="eastAsia" w:ascii="仿宋_GB2312" w:hAnsi="宋体" w:eastAsia="仿宋_GB2312" w:cs="宋体"/>
                <w:bCs/>
                <w:color w:val="000000"/>
                <w:kern w:val="0"/>
                <w:sz w:val="24"/>
                <w:szCs w:val="24"/>
              </w:rPr>
              <w:t>额与最新</w:t>
            </w:r>
            <w:r>
              <w:rPr>
                <w:rFonts w:ascii="仿宋_GB2312" w:hAnsi="宋体" w:eastAsia="仿宋_GB2312" w:cs="宋体"/>
                <w:bCs/>
                <w:color w:val="000000"/>
                <w:kern w:val="0"/>
                <w:sz w:val="24"/>
                <w:szCs w:val="24"/>
              </w:rPr>
              <w:t>面</w:t>
            </w:r>
            <w:r>
              <w:rPr>
                <w:rFonts w:hint="eastAsia" w:ascii="仿宋_GB2312" w:hAnsi="宋体" w:eastAsia="仿宋_GB2312" w:cs="宋体"/>
                <w:bCs/>
                <w:color w:val="000000"/>
                <w:kern w:val="0"/>
                <w:sz w:val="24"/>
                <w:szCs w:val="24"/>
              </w:rPr>
              <w:t>额。质押</w:t>
            </w:r>
            <w:r>
              <w:rPr>
                <w:rFonts w:ascii="仿宋_GB2312" w:hAnsi="宋体" w:eastAsia="仿宋_GB2312" w:cs="宋体"/>
                <w:bCs/>
                <w:color w:val="000000"/>
                <w:kern w:val="0"/>
                <w:sz w:val="24"/>
                <w:szCs w:val="24"/>
              </w:rPr>
              <w:t>券</w:t>
            </w:r>
            <w:r>
              <w:rPr>
                <w:rFonts w:hint="eastAsia" w:ascii="仿宋_GB2312" w:hAnsi="宋体" w:eastAsia="仿宋_GB2312" w:cs="宋体"/>
                <w:bCs/>
                <w:color w:val="000000"/>
                <w:kern w:val="0"/>
                <w:sz w:val="24"/>
                <w:szCs w:val="24"/>
              </w:rPr>
              <w:t>初始</w:t>
            </w:r>
            <w:r>
              <w:rPr>
                <w:rFonts w:ascii="仿宋_GB2312" w:hAnsi="宋体" w:eastAsia="仿宋_GB2312" w:cs="宋体"/>
                <w:bCs/>
                <w:color w:val="000000"/>
                <w:kern w:val="0"/>
                <w:sz w:val="24"/>
                <w:szCs w:val="24"/>
              </w:rPr>
              <w:t>面额为</w:t>
            </w:r>
            <w:r>
              <w:rPr>
                <w:rFonts w:hint="eastAsia" w:ascii="仿宋_GB2312" w:hAnsi="宋体" w:eastAsia="仿宋_GB2312" w:cs="宋体"/>
                <w:bCs/>
                <w:color w:val="000000"/>
                <w:kern w:val="0"/>
                <w:sz w:val="24"/>
                <w:szCs w:val="24"/>
              </w:rPr>
              <w:t>质押</w:t>
            </w:r>
            <w:r>
              <w:rPr>
                <w:rFonts w:ascii="仿宋_GB2312" w:hAnsi="宋体" w:eastAsia="仿宋_GB2312" w:cs="宋体"/>
                <w:bCs/>
                <w:color w:val="000000"/>
                <w:kern w:val="0"/>
                <w:sz w:val="24"/>
                <w:szCs w:val="24"/>
              </w:rPr>
              <w:t>当日债券面额</w:t>
            </w:r>
            <w:r>
              <w:rPr>
                <w:rFonts w:hint="eastAsia" w:ascii="仿宋_GB2312" w:hAnsi="宋体" w:eastAsia="仿宋_GB2312" w:cs="宋体"/>
                <w:bCs/>
                <w:color w:val="000000"/>
                <w:kern w:val="0"/>
                <w:sz w:val="24"/>
                <w:szCs w:val="24"/>
              </w:rPr>
              <w:t>（发行</w:t>
            </w:r>
            <w:r>
              <w:rPr>
                <w:rFonts w:ascii="仿宋_GB2312" w:hAnsi="宋体" w:eastAsia="仿宋_GB2312" w:cs="宋体"/>
                <w:bCs/>
                <w:color w:val="000000"/>
                <w:kern w:val="0"/>
                <w:sz w:val="24"/>
                <w:szCs w:val="24"/>
              </w:rPr>
              <w:t>面额，如发行后</w:t>
            </w:r>
            <w:r>
              <w:rPr>
                <w:rFonts w:hint="eastAsia" w:ascii="仿宋_GB2312" w:hAnsi="宋体" w:eastAsia="仿宋_GB2312" w:cs="宋体"/>
                <w:bCs/>
                <w:color w:val="000000"/>
                <w:kern w:val="0"/>
                <w:sz w:val="24"/>
                <w:szCs w:val="24"/>
              </w:rPr>
              <w:t>债券发生分期偿还、分期摊还的，债券面值为减少后的面额），如质押日</w:t>
            </w:r>
            <w:r>
              <w:rPr>
                <w:rFonts w:ascii="仿宋_GB2312" w:hAnsi="宋体" w:eastAsia="仿宋_GB2312" w:cs="宋体"/>
                <w:bCs/>
                <w:color w:val="000000"/>
                <w:kern w:val="0"/>
                <w:sz w:val="24"/>
                <w:szCs w:val="24"/>
              </w:rPr>
              <w:t>后</w:t>
            </w:r>
            <w:r>
              <w:rPr>
                <w:rFonts w:hint="eastAsia" w:ascii="仿宋_GB2312" w:hAnsi="宋体" w:eastAsia="仿宋_GB2312" w:cs="宋体"/>
                <w:bCs/>
                <w:color w:val="000000"/>
                <w:kern w:val="0"/>
                <w:sz w:val="24"/>
                <w:szCs w:val="24"/>
              </w:rPr>
              <w:t>，债券发生分期偿还、分期摊还的，相关</w:t>
            </w:r>
            <w:r>
              <w:rPr>
                <w:rFonts w:ascii="仿宋_GB2312" w:hAnsi="宋体" w:eastAsia="仿宋_GB2312" w:cs="宋体"/>
                <w:bCs/>
                <w:color w:val="000000"/>
                <w:kern w:val="0"/>
                <w:sz w:val="24"/>
                <w:szCs w:val="24"/>
              </w:rPr>
              <w:t>质押券面额需更新，显示为</w:t>
            </w:r>
            <w:r>
              <w:rPr>
                <w:rFonts w:hint="eastAsia" w:ascii="仿宋_GB2312" w:hAnsi="宋体" w:eastAsia="仿宋_GB2312" w:cs="宋体"/>
                <w:bCs/>
                <w:color w:val="000000"/>
                <w:kern w:val="0"/>
                <w:sz w:val="24"/>
                <w:szCs w:val="24"/>
              </w:rPr>
              <w:t>最新</w:t>
            </w:r>
            <w:r>
              <w:rPr>
                <w:rFonts w:ascii="仿宋_GB2312" w:hAnsi="宋体" w:eastAsia="仿宋_GB2312" w:cs="宋体"/>
                <w:bCs/>
                <w:color w:val="000000"/>
                <w:kern w:val="0"/>
                <w:sz w:val="24"/>
                <w:szCs w:val="24"/>
              </w:rPr>
              <w:t>面</w:t>
            </w:r>
            <w:r>
              <w:rPr>
                <w:rFonts w:hint="eastAsia" w:ascii="仿宋_GB2312" w:hAnsi="宋体" w:eastAsia="仿宋_GB2312" w:cs="宋体"/>
                <w:bCs/>
                <w:color w:val="000000"/>
                <w:kern w:val="0"/>
                <w:sz w:val="24"/>
                <w:szCs w:val="24"/>
              </w:rPr>
              <w:t>额。</w:t>
            </w:r>
          </w:p>
        </w:tc>
      </w:tr>
      <w:tr w14:paraId="6875E06A">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7178884B">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质押券数量</w:t>
            </w:r>
          </w:p>
        </w:tc>
        <w:tc>
          <w:tcPr>
            <w:tcW w:w="5671" w:type="dxa"/>
            <w:tcBorders>
              <w:top w:val="single" w:color="auto" w:sz="8" w:space="0"/>
              <w:left w:val="nil"/>
              <w:bottom w:val="single" w:color="auto" w:sz="8" w:space="0"/>
              <w:right w:val="single" w:color="auto" w:sz="8" w:space="0"/>
            </w:tcBorders>
            <w:vAlign w:val="center"/>
          </w:tcPr>
          <w:p w14:paraId="4902F8C3">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质押券数量（千元面额），借入方录入。</w:t>
            </w:r>
          </w:p>
        </w:tc>
      </w:tr>
      <w:tr w14:paraId="7E4E80A5">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2074F212">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质押债券总面额（券面</w:t>
            </w:r>
            <w:r>
              <w:rPr>
                <w:rFonts w:ascii="仿宋_GB2312" w:hAnsi="宋体" w:eastAsia="仿宋_GB2312" w:cs="宋体"/>
                <w:b/>
                <w:bCs/>
                <w:color w:val="000000"/>
                <w:kern w:val="0"/>
                <w:sz w:val="24"/>
                <w:szCs w:val="24"/>
              </w:rPr>
              <w:t>总额）</w:t>
            </w:r>
          </w:p>
        </w:tc>
        <w:tc>
          <w:tcPr>
            <w:tcW w:w="5671" w:type="dxa"/>
            <w:tcBorders>
              <w:top w:val="single" w:color="auto" w:sz="8" w:space="0"/>
              <w:left w:val="nil"/>
              <w:bottom w:val="single" w:color="auto" w:sz="8" w:space="0"/>
              <w:right w:val="single" w:color="auto" w:sz="8" w:space="0"/>
            </w:tcBorders>
            <w:vAlign w:val="center"/>
          </w:tcPr>
          <w:p w14:paraId="640C93A9">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质押债券按发行面额计算的总量，单位为万元。债券发生分期偿还、分期摊还的，债券面值为减少后的面值。</w:t>
            </w:r>
          </w:p>
          <w:p w14:paraId="7D63469A">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显示初始券面总</w:t>
            </w:r>
            <w:r>
              <w:rPr>
                <w:rFonts w:ascii="仿宋_GB2312" w:hAnsi="宋体" w:eastAsia="仿宋_GB2312" w:cs="宋体"/>
                <w:bCs/>
                <w:color w:val="000000"/>
                <w:kern w:val="0"/>
                <w:sz w:val="24"/>
                <w:szCs w:val="24"/>
              </w:rPr>
              <w:t>额</w:t>
            </w:r>
            <w:r>
              <w:rPr>
                <w:rFonts w:hint="eastAsia" w:ascii="仿宋_GB2312" w:hAnsi="宋体" w:eastAsia="仿宋_GB2312" w:cs="宋体"/>
                <w:bCs/>
                <w:color w:val="000000"/>
                <w:kern w:val="0"/>
                <w:sz w:val="24"/>
                <w:szCs w:val="24"/>
              </w:rPr>
              <w:t>与</w:t>
            </w:r>
            <w:r>
              <w:rPr>
                <w:rFonts w:ascii="仿宋_GB2312" w:hAnsi="宋体" w:eastAsia="仿宋_GB2312" w:cs="宋体"/>
                <w:bCs/>
                <w:color w:val="000000"/>
                <w:kern w:val="0"/>
                <w:sz w:val="24"/>
                <w:szCs w:val="24"/>
              </w:rPr>
              <w:t>最</w:t>
            </w:r>
            <w:r>
              <w:rPr>
                <w:rFonts w:hint="eastAsia" w:ascii="仿宋_GB2312" w:hAnsi="宋体" w:eastAsia="仿宋_GB2312" w:cs="宋体"/>
                <w:bCs/>
                <w:color w:val="000000"/>
                <w:kern w:val="0"/>
                <w:sz w:val="24"/>
                <w:szCs w:val="24"/>
              </w:rPr>
              <w:t>新券面</w:t>
            </w:r>
            <w:r>
              <w:rPr>
                <w:rFonts w:ascii="仿宋_GB2312" w:hAnsi="宋体" w:eastAsia="仿宋_GB2312" w:cs="宋体"/>
                <w:bCs/>
                <w:color w:val="000000"/>
                <w:kern w:val="0"/>
                <w:sz w:val="24"/>
                <w:szCs w:val="24"/>
              </w:rPr>
              <w:t>总额</w:t>
            </w:r>
            <w:r>
              <w:rPr>
                <w:rFonts w:hint="eastAsia" w:ascii="仿宋_GB2312" w:hAnsi="宋体" w:eastAsia="仿宋_GB2312" w:cs="宋体"/>
                <w:bCs/>
                <w:color w:val="000000"/>
                <w:kern w:val="0"/>
                <w:sz w:val="24"/>
                <w:szCs w:val="24"/>
              </w:rPr>
              <w:t>：</w:t>
            </w:r>
          </w:p>
          <w:p w14:paraId="7EFE4B39">
            <w:pPr>
              <w:jc w:val="left"/>
              <w:rPr>
                <w:rFonts w:ascii="仿宋_GB2312" w:hAnsi="仿宋_GB2312" w:eastAsia="仿宋_GB2312" w:cs="仿宋_GB2312"/>
                <w:bCs/>
                <w:color w:val="000000"/>
                <w:kern w:val="0"/>
                <w:sz w:val="24"/>
                <w:szCs w:val="24"/>
              </w:rPr>
            </w:pPr>
            <w:r>
              <w:rPr>
                <w:rFonts w:hint="eastAsia" w:ascii="仿宋_GB2312" w:hAnsi="宋体" w:eastAsia="仿宋_GB2312" w:cs="宋体"/>
                <w:bCs/>
                <w:color w:val="000000"/>
                <w:kern w:val="0"/>
                <w:sz w:val="24"/>
                <w:szCs w:val="24"/>
              </w:rPr>
              <w:t>初始券面</w:t>
            </w:r>
            <w:r>
              <w:rPr>
                <w:rFonts w:ascii="仿宋_GB2312" w:hAnsi="宋体" w:eastAsia="仿宋_GB2312" w:cs="宋体"/>
                <w:bCs/>
                <w:color w:val="000000"/>
                <w:kern w:val="0"/>
                <w:sz w:val="24"/>
                <w:szCs w:val="24"/>
              </w:rPr>
              <w:t>总额</w:t>
            </w:r>
            <w:r>
              <w:rPr>
                <w:rFonts w:ascii="仿宋_GB2312" w:hAnsi="仿宋_GB2312" w:eastAsia="仿宋_GB2312" w:cs="宋体"/>
                <w:bCs/>
                <w:color w:val="000000"/>
                <w:kern w:val="0"/>
                <w:sz w:val="24"/>
                <w:szCs w:val="24"/>
              </w:rPr>
              <w:t>=</w:t>
            </w:r>
            <w:r>
              <w:rPr>
                <w:rFonts w:hint="eastAsia" w:ascii="仿宋_GB2312" w:hAnsi="宋体" w:eastAsia="仿宋_GB2312" w:cs="宋体"/>
                <w:bCs/>
                <w:color w:val="000000"/>
                <w:kern w:val="0"/>
                <w:sz w:val="24"/>
                <w:szCs w:val="24"/>
              </w:rPr>
              <w:t>单张质押券初始面额（元）×质押券数量（千元面额））×10/10000 （下同）</w:t>
            </w:r>
          </w:p>
          <w:p w14:paraId="543C4001">
            <w:pPr>
              <w:jc w:val="left"/>
              <w:rPr>
                <w:rFonts w:ascii="仿宋_GB2312" w:hAnsi="宋体"/>
                <w:b/>
                <w:color w:val="000000"/>
                <w:kern w:val="0"/>
                <w:sz w:val="24"/>
                <w:szCs w:val="22"/>
              </w:rPr>
            </w:pPr>
            <w:r>
              <w:rPr>
                <w:rFonts w:ascii="仿宋_GB2312" w:hAnsi="宋体" w:eastAsia="仿宋_GB2312" w:cs="宋体"/>
                <w:bCs/>
                <w:color w:val="000000"/>
                <w:kern w:val="0"/>
                <w:sz w:val="24"/>
                <w:szCs w:val="24"/>
              </w:rPr>
              <w:t>最</w:t>
            </w:r>
            <w:r>
              <w:rPr>
                <w:rFonts w:hint="eastAsia" w:ascii="仿宋_GB2312" w:hAnsi="宋体" w:eastAsia="仿宋_GB2312" w:cs="宋体"/>
                <w:bCs/>
                <w:color w:val="000000"/>
                <w:kern w:val="0"/>
                <w:sz w:val="24"/>
                <w:szCs w:val="24"/>
              </w:rPr>
              <w:t>新券面</w:t>
            </w:r>
            <w:r>
              <w:rPr>
                <w:rFonts w:ascii="仿宋_GB2312" w:hAnsi="宋体" w:eastAsia="仿宋_GB2312" w:cs="宋体"/>
                <w:bCs/>
                <w:color w:val="000000"/>
                <w:kern w:val="0"/>
                <w:sz w:val="24"/>
                <w:szCs w:val="24"/>
              </w:rPr>
              <w:t>总额</w:t>
            </w:r>
            <w:r>
              <w:rPr>
                <w:rFonts w:ascii="仿宋_GB2312" w:hAnsi="仿宋_GB2312" w:eastAsia="仿宋_GB2312" w:cs="宋体"/>
                <w:bCs/>
                <w:color w:val="000000"/>
                <w:kern w:val="0"/>
                <w:sz w:val="24"/>
                <w:szCs w:val="24"/>
              </w:rPr>
              <w:t>=</w:t>
            </w:r>
            <w:r>
              <w:rPr>
                <w:rFonts w:hint="eastAsia" w:ascii="仿宋_GB2312" w:hAnsi="宋体" w:eastAsia="仿宋_GB2312" w:cs="宋体"/>
                <w:bCs/>
                <w:color w:val="000000"/>
                <w:kern w:val="0"/>
                <w:sz w:val="24"/>
                <w:szCs w:val="24"/>
              </w:rPr>
              <w:t>单张质押券最新面额（元）×质押券数量（千元面额）×10/10000 （下同）</w:t>
            </w:r>
          </w:p>
        </w:tc>
      </w:tr>
      <w:tr w14:paraId="39CDE104">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4A0F8C88">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借贷费率</w:t>
            </w:r>
          </w:p>
        </w:tc>
        <w:tc>
          <w:tcPr>
            <w:tcW w:w="5671" w:type="dxa"/>
            <w:tcBorders>
              <w:top w:val="single" w:color="auto" w:sz="8" w:space="0"/>
              <w:left w:val="nil"/>
              <w:bottom w:val="single" w:color="auto" w:sz="8" w:space="0"/>
              <w:right w:val="single" w:color="auto" w:sz="8" w:space="0"/>
            </w:tcBorders>
            <w:vAlign w:val="center"/>
          </w:tcPr>
          <w:p w14:paraId="202C1075">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债券借入方从债券借出方借入标的债券支付借贷费用的约定费率。债券借贷费率由借贷双方自行约定。</w:t>
            </w:r>
          </w:p>
        </w:tc>
      </w:tr>
      <w:tr w14:paraId="79ECCDED">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7162C861">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借贷期限</w:t>
            </w:r>
          </w:p>
        </w:tc>
        <w:tc>
          <w:tcPr>
            <w:tcW w:w="5671" w:type="dxa"/>
            <w:tcBorders>
              <w:top w:val="single" w:color="auto" w:sz="8" w:space="0"/>
              <w:left w:val="nil"/>
              <w:bottom w:val="single" w:color="auto" w:sz="8" w:space="0"/>
              <w:right w:val="single" w:color="auto" w:sz="8" w:space="0"/>
            </w:tcBorders>
            <w:vAlign w:val="center"/>
          </w:tcPr>
          <w:p w14:paraId="7D39985E">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首期结算日至到期结算日的日历天数，含首期结算日，不含到期结算日。</w:t>
            </w:r>
          </w:p>
        </w:tc>
      </w:tr>
      <w:tr w14:paraId="77E89FA8">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2B7EF266">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借贷</w:t>
            </w:r>
            <w:r>
              <w:rPr>
                <w:rFonts w:ascii="仿宋_GB2312" w:hAnsi="宋体" w:eastAsia="仿宋_GB2312" w:cs="宋体"/>
                <w:b/>
                <w:bCs/>
                <w:color w:val="000000"/>
                <w:kern w:val="0"/>
                <w:sz w:val="24"/>
                <w:szCs w:val="24"/>
              </w:rPr>
              <w:t>费用</w:t>
            </w:r>
          </w:p>
        </w:tc>
        <w:tc>
          <w:tcPr>
            <w:tcW w:w="5671" w:type="dxa"/>
            <w:tcBorders>
              <w:top w:val="single" w:color="auto" w:sz="8" w:space="0"/>
              <w:left w:val="nil"/>
              <w:bottom w:val="single" w:color="auto" w:sz="8" w:space="0"/>
              <w:right w:val="single" w:color="auto" w:sz="8" w:space="0"/>
            </w:tcBorders>
            <w:vAlign w:val="center"/>
          </w:tcPr>
          <w:p w14:paraId="36B6A0E1">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债券借贷费用=标的债券券面总额×债券借贷费率×借贷期限/365。</w:t>
            </w:r>
          </w:p>
        </w:tc>
      </w:tr>
      <w:tr w14:paraId="42411A93">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78F58CBE">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到期费用结算方式</w:t>
            </w:r>
          </w:p>
        </w:tc>
        <w:tc>
          <w:tcPr>
            <w:tcW w:w="5671" w:type="dxa"/>
            <w:tcBorders>
              <w:top w:val="single" w:color="auto" w:sz="8" w:space="0"/>
              <w:left w:val="nil"/>
              <w:bottom w:val="single" w:color="auto" w:sz="8" w:space="0"/>
              <w:right w:val="single" w:color="auto" w:sz="8" w:space="0"/>
            </w:tcBorders>
            <w:vAlign w:val="center"/>
          </w:tcPr>
          <w:p w14:paraId="191D1047">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可</w:t>
            </w:r>
            <w:r>
              <w:rPr>
                <w:rFonts w:ascii="仿宋_GB2312" w:eastAsia="仿宋_GB2312"/>
                <w:sz w:val="24"/>
                <w:szCs w:val="24"/>
              </w:rPr>
              <w:t>勾选场</w:t>
            </w:r>
            <w:r>
              <w:rPr>
                <w:rFonts w:hint="eastAsia" w:ascii="仿宋_GB2312" w:eastAsia="仿宋_GB2312"/>
                <w:sz w:val="24"/>
                <w:szCs w:val="24"/>
              </w:rPr>
              <w:t>内</w:t>
            </w:r>
            <w:r>
              <w:rPr>
                <w:rFonts w:ascii="仿宋_GB2312" w:eastAsia="仿宋_GB2312"/>
                <w:sz w:val="24"/>
                <w:szCs w:val="24"/>
              </w:rPr>
              <w:t>/外结算，</w:t>
            </w:r>
            <w:r>
              <w:rPr>
                <w:rFonts w:hint="eastAsia" w:ascii="仿宋_GB2312" w:eastAsia="仿宋_GB2312"/>
                <w:sz w:val="24"/>
                <w:szCs w:val="24"/>
              </w:rPr>
              <w:t>场内</w:t>
            </w:r>
            <w:r>
              <w:rPr>
                <w:rFonts w:ascii="仿宋_GB2312" w:eastAsia="仿宋_GB2312"/>
                <w:sz w:val="24"/>
                <w:szCs w:val="24"/>
              </w:rPr>
              <w:t>结算的，默认RTGS结算方式</w:t>
            </w:r>
            <w:r>
              <w:rPr>
                <w:rFonts w:hint="eastAsia" w:ascii="仿宋_GB2312" w:eastAsia="仿宋_GB2312"/>
                <w:sz w:val="24"/>
                <w:szCs w:val="24"/>
              </w:rPr>
              <w:t>。到期费用包括债券借贷费用、现金结算金额等。首期</w:t>
            </w:r>
            <w:r>
              <w:rPr>
                <w:rFonts w:ascii="仿宋_GB2312" w:eastAsia="仿宋_GB2312"/>
                <w:sz w:val="24"/>
                <w:szCs w:val="24"/>
              </w:rPr>
              <w:t>结算时填写的</w:t>
            </w:r>
            <w:r>
              <w:rPr>
                <w:rFonts w:hint="eastAsia" w:ascii="仿宋_GB2312" w:eastAsia="仿宋_GB2312"/>
                <w:sz w:val="24"/>
                <w:szCs w:val="24"/>
              </w:rPr>
              <w:t>到</w:t>
            </w:r>
            <w:r>
              <w:rPr>
                <w:rFonts w:ascii="仿宋_GB2312" w:eastAsia="仿宋_GB2312"/>
                <w:sz w:val="24"/>
                <w:szCs w:val="24"/>
              </w:rPr>
              <w:t>期</w:t>
            </w:r>
            <w:r>
              <w:rPr>
                <w:rFonts w:hint="eastAsia" w:ascii="仿宋_GB2312" w:eastAsia="仿宋_GB2312"/>
                <w:sz w:val="24"/>
                <w:szCs w:val="24"/>
              </w:rPr>
              <w:t>费用结算方式到期结算时可调整。</w:t>
            </w:r>
          </w:p>
        </w:tc>
      </w:tr>
      <w:tr w14:paraId="0366B389">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5DD00FD6">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首期结算日</w:t>
            </w:r>
          </w:p>
        </w:tc>
        <w:tc>
          <w:tcPr>
            <w:tcW w:w="5671" w:type="dxa"/>
            <w:tcBorders>
              <w:top w:val="single" w:color="auto" w:sz="8" w:space="0"/>
              <w:left w:val="nil"/>
              <w:bottom w:val="single" w:color="auto" w:sz="8" w:space="0"/>
              <w:right w:val="single" w:color="auto" w:sz="8" w:space="0"/>
            </w:tcBorders>
            <w:vAlign w:val="center"/>
          </w:tcPr>
          <w:p w14:paraId="59E2FF9E">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债券借出方将标的债券过户到借入方日期</w:t>
            </w:r>
          </w:p>
        </w:tc>
      </w:tr>
      <w:tr w14:paraId="469F2BBE">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0B66762B">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到期结算日</w:t>
            </w:r>
          </w:p>
        </w:tc>
        <w:tc>
          <w:tcPr>
            <w:tcW w:w="5671" w:type="dxa"/>
            <w:tcBorders>
              <w:top w:val="single" w:color="auto" w:sz="8" w:space="0"/>
              <w:left w:val="nil"/>
              <w:bottom w:val="single" w:color="auto" w:sz="8" w:space="0"/>
              <w:right w:val="single" w:color="auto" w:sz="8" w:space="0"/>
            </w:tcBorders>
            <w:vAlign w:val="center"/>
          </w:tcPr>
          <w:p w14:paraId="165D5A12">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债券借入方将标的债券归还借出方并支付债券借出方借贷费用的日期。若到期结算日为上交所非交易日，则实际到期结算日顺延至下一交易日。</w:t>
            </w:r>
          </w:p>
        </w:tc>
      </w:tr>
      <w:tr w14:paraId="6100EE99">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462D44B5">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争议</w:t>
            </w:r>
            <w:r>
              <w:rPr>
                <w:rFonts w:ascii="仿宋_GB2312" w:hAnsi="宋体" w:eastAsia="仿宋_GB2312" w:cs="宋体"/>
                <w:b/>
                <w:bCs/>
                <w:color w:val="000000"/>
                <w:kern w:val="0"/>
                <w:sz w:val="24"/>
                <w:szCs w:val="24"/>
              </w:rPr>
              <w:t>解决方式</w:t>
            </w:r>
          </w:p>
        </w:tc>
        <w:tc>
          <w:tcPr>
            <w:tcW w:w="5671" w:type="dxa"/>
            <w:tcBorders>
              <w:top w:val="single" w:color="auto" w:sz="8" w:space="0"/>
              <w:left w:val="nil"/>
              <w:bottom w:val="single" w:color="auto" w:sz="8" w:space="0"/>
              <w:right w:val="single" w:color="auto" w:sz="8" w:space="0"/>
            </w:tcBorders>
            <w:vAlign w:val="center"/>
          </w:tcPr>
          <w:p w14:paraId="0CF9B1D3">
            <w:pPr>
              <w:jc w:val="left"/>
              <w:rPr>
                <w:rFonts w:ascii="仿宋_GB2312" w:hAnsi="宋体" w:eastAsia="仿宋_GB2312" w:cs="宋体"/>
                <w:bCs/>
                <w:color w:val="000000"/>
                <w:kern w:val="0"/>
                <w:sz w:val="24"/>
                <w:szCs w:val="24"/>
              </w:rPr>
            </w:pPr>
          </w:p>
        </w:tc>
      </w:tr>
      <w:tr w14:paraId="5E854A55">
        <w:tblPrEx>
          <w:tblCellMar>
            <w:top w:w="0" w:type="dxa"/>
            <w:left w:w="108" w:type="dxa"/>
            <w:bottom w:w="0" w:type="dxa"/>
            <w:right w:w="108" w:type="dxa"/>
          </w:tblCellMar>
        </w:tblPrEx>
        <w:trPr>
          <w:trHeight w:val="20" w:hRule="atLeast"/>
        </w:trPr>
        <w:tc>
          <w:tcPr>
            <w:tcW w:w="2591" w:type="dxa"/>
            <w:tcBorders>
              <w:top w:val="single" w:color="auto" w:sz="8" w:space="0"/>
              <w:left w:val="single" w:color="auto" w:sz="8" w:space="0"/>
              <w:bottom w:val="single" w:color="auto" w:sz="8" w:space="0"/>
              <w:right w:val="single" w:color="auto" w:sz="8" w:space="0"/>
            </w:tcBorders>
            <w:vAlign w:val="center"/>
          </w:tcPr>
          <w:p w14:paraId="4EEE0E39">
            <w:pPr>
              <w:jc w:val="left"/>
              <w:rPr>
                <w:rFonts w:ascii="仿宋_GB2312" w:hAnsi="宋体" w:eastAsia="仿宋_GB2312" w:cs="宋体"/>
                <w:b/>
                <w:bCs/>
                <w:color w:val="000000"/>
                <w:kern w:val="0"/>
                <w:sz w:val="24"/>
                <w:szCs w:val="24"/>
              </w:rPr>
            </w:pPr>
            <w:r>
              <w:rPr>
                <w:rFonts w:hint="eastAsia" w:ascii="仿宋_GB2312" w:hAnsi="宋体" w:eastAsia="仿宋_GB2312" w:cs="宋体"/>
                <w:b/>
                <w:bCs/>
                <w:color w:val="000000"/>
                <w:kern w:val="0"/>
                <w:sz w:val="24"/>
                <w:szCs w:val="24"/>
              </w:rPr>
              <w:t>补充</w:t>
            </w:r>
            <w:r>
              <w:rPr>
                <w:rFonts w:ascii="仿宋_GB2312" w:hAnsi="宋体" w:eastAsia="仿宋_GB2312" w:cs="宋体"/>
                <w:b/>
                <w:bCs/>
                <w:color w:val="000000"/>
                <w:kern w:val="0"/>
                <w:sz w:val="24"/>
                <w:szCs w:val="24"/>
              </w:rPr>
              <w:t>约定</w:t>
            </w:r>
          </w:p>
        </w:tc>
        <w:tc>
          <w:tcPr>
            <w:tcW w:w="5671" w:type="dxa"/>
            <w:tcBorders>
              <w:top w:val="single" w:color="auto" w:sz="8" w:space="0"/>
              <w:left w:val="nil"/>
              <w:bottom w:val="single" w:color="auto" w:sz="8" w:space="0"/>
              <w:right w:val="single" w:color="auto" w:sz="8" w:space="0"/>
            </w:tcBorders>
            <w:vAlign w:val="center"/>
          </w:tcPr>
          <w:p w14:paraId="321B54F7">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借贷</w:t>
            </w:r>
            <w:r>
              <w:rPr>
                <w:rFonts w:ascii="仿宋_GB2312" w:hAnsi="宋体" w:eastAsia="仿宋_GB2312" w:cs="宋体"/>
                <w:bCs/>
                <w:color w:val="000000"/>
                <w:kern w:val="0"/>
                <w:sz w:val="24"/>
                <w:szCs w:val="24"/>
              </w:rPr>
              <w:t>双方补充约定，</w:t>
            </w:r>
            <w:r>
              <w:rPr>
                <w:rFonts w:hint="eastAsia" w:ascii="仿宋_GB2312" w:hAnsi="宋体" w:eastAsia="仿宋_GB2312" w:cs="宋体"/>
                <w:bCs/>
                <w:color w:val="000000"/>
                <w:kern w:val="0"/>
                <w:sz w:val="24"/>
                <w:szCs w:val="24"/>
              </w:rPr>
              <w:t>包括质押债券及标的债券的折算标准、费用、风险处置以及借贷违约处置等内容，</w:t>
            </w:r>
            <w:r>
              <w:rPr>
                <w:rFonts w:ascii="仿宋_GB2312" w:hAnsi="宋体" w:eastAsia="仿宋_GB2312" w:cs="宋体"/>
                <w:bCs/>
                <w:color w:val="000000"/>
                <w:kern w:val="0"/>
                <w:sz w:val="24"/>
                <w:szCs w:val="24"/>
              </w:rPr>
              <w:t>如有</w:t>
            </w:r>
          </w:p>
        </w:tc>
      </w:tr>
    </w:tbl>
    <w:p w14:paraId="53B3EF02">
      <w:pPr>
        <w:spacing w:line="600" w:lineRule="exact"/>
        <w:ind w:firstLine="600" w:firstLineChars="200"/>
        <w:rPr>
          <w:rFonts w:ascii="仿宋_GB2312" w:hAnsi="黑体" w:eastAsia="仿宋_GB2312"/>
          <w:bCs/>
          <w:sz w:val="30"/>
          <w:szCs w:val="30"/>
        </w:rPr>
      </w:pPr>
      <w:r>
        <w:rPr>
          <w:rFonts w:hint="eastAsia" w:ascii="仿宋_GB2312" w:hAnsi="黑体" w:eastAsia="仿宋_GB2312"/>
          <w:bCs/>
          <w:sz w:val="30"/>
          <w:szCs w:val="30"/>
        </w:rPr>
        <w:t>3）</w:t>
      </w:r>
      <w:r>
        <w:rPr>
          <w:rFonts w:hint="eastAsia" w:ascii="仿宋_GB2312" w:hAnsi="Calibri" w:eastAsia="仿宋_GB2312"/>
          <w:sz w:val="30"/>
          <w:szCs w:val="30"/>
        </w:rPr>
        <w:t>债券借贷费率与</w:t>
      </w:r>
      <w:r>
        <w:rPr>
          <w:rFonts w:hint="eastAsia" w:ascii="仿宋_GB2312" w:hAnsi="黑体" w:eastAsia="仿宋_GB2312"/>
          <w:bCs/>
          <w:sz w:val="30"/>
          <w:szCs w:val="30"/>
        </w:rPr>
        <w:t>申报最小价格单位</w:t>
      </w:r>
    </w:p>
    <w:p w14:paraId="3936A038">
      <w:pPr>
        <w:autoSpaceDE w:val="0"/>
        <w:autoSpaceDN w:val="0"/>
        <w:adjustRightInd w:val="0"/>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债券借贷费率由借贷双方自行约定。债券借贷费用=标的债券券面总额×债券借贷费率×借贷期限/365。债券借贷交易申报的费率单位为0.0</w:t>
      </w:r>
      <w:r>
        <w:rPr>
          <w:rFonts w:ascii="仿宋_GB2312" w:hAnsi="Calibri" w:eastAsia="仿宋_GB2312"/>
          <w:sz w:val="30"/>
          <w:szCs w:val="30"/>
        </w:rPr>
        <w:t>0</w:t>
      </w:r>
      <w:r>
        <w:rPr>
          <w:rFonts w:hint="eastAsia" w:ascii="仿宋_GB2312" w:hAnsi="Calibri" w:eastAsia="仿宋_GB2312"/>
          <w:sz w:val="30"/>
          <w:szCs w:val="30"/>
        </w:rPr>
        <w:t>1%，</w:t>
      </w:r>
      <w:r>
        <w:rPr>
          <w:rFonts w:hint="eastAsia" w:ascii="仿宋_GB2312" w:hAnsi="Calibri" w:eastAsia="仿宋_GB2312"/>
          <w:sz w:val="30"/>
          <w:szCs w:val="30"/>
          <w:highlight w:val="none"/>
        </w:rPr>
        <w:t>申报费率最小变动单位为0.0</w:t>
      </w:r>
      <w:r>
        <w:rPr>
          <w:rFonts w:ascii="仿宋_GB2312" w:hAnsi="Calibri" w:eastAsia="仿宋_GB2312"/>
          <w:sz w:val="30"/>
          <w:szCs w:val="30"/>
          <w:highlight w:val="none"/>
        </w:rPr>
        <w:t>0</w:t>
      </w:r>
      <w:r>
        <w:rPr>
          <w:rFonts w:hint="eastAsia" w:ascii="仿宋_GB2312" w:hAnsi="Calibri" w:eastAsia="仿宋_GB2312"/>
          <w:sz w:val="30"/>
          <w:szCs w:val="30"/>
          <w:highlight w:val="none"/>
        </w:rPr>
        <w:t>1%</w:t>
      </w:r>
      <w:r>
        <w:rPr>
          <w:rFonts w:hint="eastAsia" w:ascii="仿宋_GB2312" w:hAnsi="Calibri" w:eastAsia="仿宋_GB2312"/>
          <w:sz w:val="30"/>
          <w:szCs w:val="30"/>
        </w:rPr>
        <w:t>。</w:t>
      </w:r>
    </w:p>
    <w:p w14:paraId="7BA47053">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存续期管理</w:t>
      </w:r>
    </w:p>
    <w:p w14:paraId="3638B8BB">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（1）质押债券变更</w:t>
      </w:r>
    </w:p>
    <w:p w14:paraId="6721823B">
      <w:pPr>
        <w:spacing w:line="600" w:lineRule="exact"/>
        <w:ind w:firstLine="600" w:firstLineChars="200"/>
        <w:outlineLvl w:val="9"/>
        <w:rPr>
          <w:rFonts w:ascii="仿宋_GB2312" w:hAnsi="Calibri" w:eastAsia="仿宋_GB2312"/>
          <w:sz w:val="30"/>
          <w:szCs w:val="30"/>
        </w:rPr>
      </w:pPr>
      <w:r>
        <w:rPr>
          <w:rFonts w:hint="eastAsia" w:ascii="仿宋_GB2312" w:hAnsi="Calibri" w:eastAsia="仿宋_GB2312"/>
          <w:sz w:val="30"/>
          <w:szCs w:val="30"/>
        </w:rPr>
        <w:t xml:space="preserve">债券借贷期间，经借贷双方协商一致，可以申报质押债券变更，包括补充质押债券、置换质押债券或者解除部分质押债券质押。变更质押债券申报由债券借入方发起，并由债券借出方确认。一笔债券借贷每个交易日仅能申报一笔质押券变更（一笔申报可含多只质押券的变更）。  </w:t>
      </w:r>
    </w:p>
    <w:p w14:paraId="51631EB3">
      <w:pPr>
        <w:adjustRightInd w:val="0"/>
        <w:snapToGrid w:val="0"/>
        <w:spacing w:line="600" w:lineRule="exact"/>
        <w:ind w:firstLine="600" w:firstLineChars="200"/>
        <w:rPr>
          <w:rFonts w:ascii="仿宋_GB2312" w:hAnsi="宋体" w:eastAsia="仿宋_GB2312"/>
          <w:sz w:val="30"/>
          <w:szCs w:val="30"/>
        </w:rPr>
      </w:pPr>
      <w:r>
        <w:rPr>
          <w:rFonts w:hint="eastAsia" w:ascii="仿宋_GB2312" w:hAnsi="Calibri" w:eastAsia="仿宋_GB2312"/>
          <w:sz w:val="30"/>
          <w:szCs w:val="30"/>
        </w:rPr>
        <w:t>质押券变更申报的</w:t>
      </w:r>
      <w:r>
        <w:rPr>
          <w:rFonts w:hint="eastAsia" w:ascii="仿宋_GB2312" w:hAnsi="宋体" w:eastAsia="仿宋_GB2312"/>
          <w:sz w:val="30"/>
          <w:szCs w:val="30"/>
        </w:rPr>
        <w:t>具体要素及要素说明如下：</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0"/>
        <w:gridCol w:w="5296"/>
      </w:tblGrid>
      <w:tr w14:paraId="0B5F8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0" w:type="dxa"/>
          </w:tcPr>
          <w:p w14:paraId="11F6D46D">
            <w:pPr>
              <w:adjustRightInd w:val="0"/>
              <w:snapToGrid w:val="0"/>
              <w:jc w:val="left"/>
              <w:rPr>
                <w:rFonts w:ascii="仿宋_GB2312" w:eastAsia="仿宋_GB2312"/>
                <w:b/>
                <w:kern w:val="0"/>
                <w:sz w:val="24"/>
                <w:szCs w:val="24"/>
              </w:rPr>
            </w:pPr>
            <w:r>
              <w:rPr>
                <w:rFonts w:hint="eastAsia" w:ascii="仿宋_GB2312" w:eastAsia="仿宋_GB2312"/>
                <w:b/>
                <w:kern w:val="0"/>
                <w:sz w:val="24"/>
                <w:szCs w:val="24"/>
              </w:rPr>
              <w:t>要素名称</w:t>
            </w:r>
          </w:p>
        </w:tc>
        <w:tc>
          <w:tcPr>
            <w:tcW w:w="5296" w:type="dxa"/>
          </w:tcPr>
          <w:p w14:paraId="6FEDA692">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07B17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gridSpan w:val="2"/>
          </w:tcPr>
          <w:p w14:paraId="0EB81B1B">
            <w:pPr>
              <w:adjustRightInd w:val="0"/>
              <w:snapToGrid w:val="0"/>
              <w:jc w:val="center"/>
              <w:rPr>
                <w:rFonts w:ascii="仿宋_GB2312" w:eastAsia="仿宋_GB2312"/>
                <w:b/>
                <w:kern w:val="0"/>
                <w:sz w:val="24"/>
                <w:szCs w:val="24"/>
              </w:rPr>
            </w:pPr>
            <w:r>
              <w:rPr>
                <w:rFonts w:hint="eastAsia" w:ascii="仿宋_GB2312" w:eastAsia="仿宋_GB2312"/>
                <w:b/>
                <w:kern w:val="0"/>
                <w:sz w:val="24"/>
                <w:szCs w:val="24"/>
              </w:rPr>
              <w:t>（补充质押债券或置换质押债券，</w:t>
            </w:r>
            <w:r>
              <w:rPr>
                <w:rFonts w:ascii="仿宋_GB2312" w:eastAsia="仿宋_GB2312"/>
                <w:b/>
                <w:kern w:val="0"/>
                <w:sz w:val="24"/>
                <w:szCs w:val="24"/>
              </w:rPr>
              <w:t>换入/</w:t>
            </w:r>
            <w:r>
              <w:rPr>
                <w:rFonts w:hint="eastAsia" w:ascii="仿宋_GB2312" w:eastAsia="仿宋_GB2312"/>
                <w:b/>
                <w:kern w:val="0"/>
                <w:sz w:val="24"/>
                <w:szCs w:val="24"/>
              </w:rPr>
              <w:t>补入</w:t>
            </w:r>
            <w:r>
              <w:rPr>
                <w:rFonts w:ascii="仿宋_GB2312" w:eastAsia="仿宋_GB2312"/>
                <w:b/>
                <w:kern w:val="0"/>
                <w:sz w:val="24"/>
                <w:szCs w:val="24"/>
              </w:rPr>
              <w:t>券简称新质押券</w:t>
            </w:r>
            <w:r>
              <w:rPr>
                <w:rFonts w:hint="eastAsia" w:ascii="仿宋_GB2312" w:eastAsia="仿宋_GB2312"/>
                <w:b/>
                <w:kern w:val="0"/>
                <w:sz w:val="24"/>
                <w:szCs w:val="24"/>
              </w:rPr>
              <w:t>）新券申报信息</w:t>
            </w:r>
          </w:p>
        </w:tc>
      </w:tr>
      <w:tr w14:paraId="01684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0" w:type="dxa"/>
          </w:tcPr>
          <w:p w14:paraId="17E17581">
            <w:pPr>
              <w:adjustRightInd w:val="0"/>
              <w:snapToGrid w:val="0"/>
              <w:jc w:val="left"/>
              <w:rPr>
                <w:rFonts w:ascii="仿宋_GB2312" w:eastAsia="仿宋_GB2312"/>
                <w:b/>
                <w:kern w:val="0"/>
                <w:sz w:val="24"/>
                <w:szCs w:val="24"/>
              </w:rPr>
            </w:pPr>
            <w:r>
              <w:rPr>
                <w:rFonts w:hint="eastAsia" w:ascii="仿宋_GB2312" w:eastAsia="仿宋_GB2312"/>
                <w:b/>
                <w:kern w:val="0"/>
                <w:sz w:val="24"/>
                <w:szCs w:val="24"/>
              </w:rPr>
              <w:t>新质押券代码</w:t>
            </w:r>
          </w:p>
        </w:tc>
        <w:tc>
          <w:tcPr>
            <w:tcW w:w="5296" w:type="dxa"/>
          </w:tcPr>
          <w:p w14:paraId="457CFF16">
            <w:pPr>
              <w:adjustRightInd w:val="0"/>
              <w:snapToGrid w:val="0"/>
              <w:jc w:val="left"/>
              <w:rPr>
                <w:rFonts w:ascii="仿宋_GB2312" w:eastAsia="仿宋_GB2312"/>
                <w:kern w:val="0"/>
                <w:sz w:val="24"/>
                <w:szCs w:val="24"/>
              </w:rPr>
            </w:pPr>
            <w:r>
              <w:rPr>
                <w:rFonts w:hint="eastAsia" w:ascii="仿宋_GB2312" w:eastAsia="仿宋_GB2312"/>
                <w:kern w:val="0"/>
                <w:sz w:val="24"/>
                <w:szCs w:val="24"/>
              </w:rPr>
              <w:t>新质押债券的代码</w:t>
            </w:r>
          </w:p>
        </w:tc>
      </w:tr>
      <w:tr w14:paraId="777AF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00" w:type="dxa"/>
          </w:tcPr>
          <w:p w14:paraId="5C6F8AAE">
            <w:pPr>
              <w:adjustRightInd w:val="0"/>
              <w:snapToGrid w:val="0"/>
              <w:jc w:val="left"/>
              <w:rPr>
                <w:rFonts w:ascii="仿宋_GB2312" w:eastAsia="仿宋_GB2312"/>
                <w:b/>
                <w:kern w:val="0"/>
                <w:sz w:val="24"/>
                <w:szCs w:val="24"/>
              </w:rPr>
            </w:pPr>
            <w:r>
              <w:rPr>
                <w:rFonts w:hint="eastAsia" w:ascii="仿宋_GB2312" w:eastAsia="仿宋_GB2312"/>
                <w:b/>
                <w:kern w:val="0"/>
                <w:sz w:val="24"/>
                <w:szCs w:val="24"/>
              </w:rPr>
              <w:t>新质押券简称</w:t>
            </w:r>
          </w:p>
        </w:tc>
        <w:tc>
          <w:tcPr>
            <w:tcW w:w="5296" w:type="dxa"/>
          </w:tcPr>
          <w:p w14:paraId="09BE16C8">
            <w:pPr>
              <w:adjustRightInd w:val="0"/>
              <w:snapToGrid w:val="0"/>
              <w:jc w:val="left"/>
              <w:rPr>
                <w:rFonts w:ascii="仿宋_GB2312" w:eastAsia="仿宋_GB2312"/>
                <w:kern w:val="0"/>
                <w:sz w:val="24"/>
                <w:szCs w:val="24"/>
              </w:rPr>
            </w:pPr>
            <w:r>
              <w:rPr>
                <w:rFonts w:hint="eastAsia" w:ascii="仿宋_GB2312" w:eastAsia="仿宋_GB2312"/>
                <w:kern w:val="0"/>
                <w:sz w:val="24"/>
                <w:szCs w:val="24"/>
              </w:rPr>
              <w:t>新质押债券的简称，自动显示，无需输入</w:t>
            </w:r>
          </w:p>
        </w:tc>
      </w:tr>
      <w:tr w14:paraId="4891B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0" w:type="dxa"/>
          </w:tcPr>
          <w:p w14:paraId="264DC3C3">
            <w:pPr>
              <w:adjustRightInd w:val="0"/>
              <w:snapToGrid w:val="0"/>
              <w:jc w:val="left"/>
              <w:rPr>
                <w:rFonts w:ascii="仿宋_GB2312" w:eastAsia="仿宋_GB2312"/>
                <w:b/>
                <w:kern w:val="0"/>
                <w:sz w:val="24"/>
                <w:szCs w:val="24"/>
              </w:rPr>
            </w:pPr>
            <w:r>
              <w:rPr>
                <w:rFonts w:hint="eastAsia" w:ascii="仿宋_GB2312" w:eastAsia="仿宋_GB2312"/>
                <w:b/>
                <w:kern w:val="0"/>
                <w:sz w:val="24"/>
                <w:szCs w:val="24"/>
              </w:rPr>
              <w:t>新质押券面额</w:t>
            </w:r>
          </w:p>
        </w:tc>
        <w:tc>
          <w:tcPr>
            <w:tcW w:w="5296" w:type="dxa"/>
          </w:tcPr>
          <w:p w14:paraId="65CE5A08">
            <w:pPr>
              <w:adjustRightInd w:val="0"/>
              <w:snapToGrid w:val="0"/>
              <w:jc w:val="left"/>
              <w:rPr>
                <w:rFonts w:ascii="仿宋_GB2312" w:eastAsia="仿宋_GB2312"/>
                <w:kern w:val="0"/>
                <w:sz w:val="24"/>
                <w:szCs w:val="24"/>
              </w:rPr>
            </w:pPr>
            <w:r>
              <w:rPr>
                <w:rFonts w:hint="eastAsia" w:ascii="仿宋_GB2312" w:eastAsia="仿宋_GB2312"/>
                <w:kern w:val="0"/>
                <w:sz w:val="24"/>
                <w:szCs w:val="24"/>
              </w:rPr>
              <w:t>单张</w:t>
            </w:r>
            <w:r>
              <w:rPr>
                <w:rFonts w:ascii="仿宋_GB2312" w:eastAsia="仿宋_GB2312"/>
                <w:kern w:val="0"/>
                <w:sz w:val="24"/>
                <w:szCs w:val="24"/>
              </w:rPr>
              <w:t>新质押券面额</w:t>
            </w:r>
          </w:p>
        </w:tc>
      </w:tr>
      <w:tr w14:paraId="6684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0" w:type="dxa"/>
          </w:tcPr>
          <w:p w14:paraId="2986A8C0">
            <w:pPr>
              <w:adjustRightInd w:val="0"/>
              <w:snapToGrid w:val="0"/>
              <w:jc w:val="left"/>
              <w:rPr>
                <w:rFonts w:ascii="仿宋_GB2312" w:eastAsia="仿宋_GB2312"/>
                <w:b/>
                <w:kern w:val="0"/>
                <w:sz w:val="24"/>
                <w:szCs w:val="24"/>
              </w:rPr>
            </w:pPr>
            <w:r>
              <w:rPr>
                <w:rFonts w:hint="eastAsia" w:ascii="仿宋_GB2312" w:eastAsia="仿宋_GB2312"/>
                <w:b/>
                <w:kern w:val="0"/>
                <w:sz w:val="24"/>
                <w:szCs w:val="24"/>
              </w:rPr>
              <w:t>新质押券数量</w:t>
            </w:r>
            <w:r>
              <w:rPr>
                <w:rFonts w:ascii="仿宋_GB2312" w:eastAsia="仿宋_GB2312"/>
                <w:b/>
                <w:kern w:val="0"/>
                <w:sz w:val="24"/>
                <w:szCs w:val="24"/>
              </w:rPr>
              <w:tab/>
            </w:r>
          </w:p>
        </w:tc>
        <w:tc>
          <w:tcPr>
            <w:tcW w:w="5296" w:type="dxa"/>
          </w:tcPr>
          <w:p w14:paraId="4F196D10">
            <w:pPr>
              <w:adjustRightInd w:val="0"/>
              <w:snapToGrid w:val="0"/>
              <w:jc w:val="left"/>
              <w:rPr>
                <w:rFonts w:ascii="仿宋_GB2312" w:eastAsia="仿宋_GB2312"/>
                <w:kern w:val="0"/>
                <w:sz w:val="24"/>
                <w:szCs w:val="24"/>
              </w:rPr>
            </w:pPr>
            <w:r>
              <w:rPr>
                <w:rFonts w:hint="eastAsia" w:ascii="仿宋_GB2312" w:eastAsia="仿宋_GB2312"/>
                <w:kern w:val="0"/>
                <w:sz w:val="24"/>
                <w:szCs w:val="24"/>
              </w:rPr>
              <w:t>质押券数量，以千元面额为单位</w:t>
            </w:r>
          </w:p>
        </w:tc>
      </w:tr>
      <w:tr w14:paraId="32D93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0" w:type="dxa"/>
          </w:tcPr>
          <w:p w14:paraId="4BAE6A8A">
            <w:pPr>
              <w:adjustRightInd w:val="0"/>
              <w:snapToGrid w:val="0"/>
              <w:jc w:val="left"/>
              <w:rPr>
                <w:rFonts w:ascii="仿宋_GB2312" w:eastAsia="仿宋_GB2312"/>
                <w:b/>
                <w:kern w:val="0"/>
                <w:sz w:val="24"/>
                <w:szCs w:val="24"/>
              </w:rPr>
            </w:pPr>
            <w:r>
              <w:rPr>
                <w:rFonts w:hint="eastAsia" w:ascii="仿宋_GB2312" w:eastAsia="仿宋_GB2312"/>
                <w:b/>
                <w:kern w:val="0"/>
                <w:sz w:val="24"/>
                <w:szCs w:val="24"/>
              </w:rPr>
              <w:t>新质押券总面额</w:t>
            </w:r>
          </w:p>
        </w:tc>
        <w:tc>
          <w:tcPr>
            <w:tcW w:w="5296" w:type="dxa"/>
          </w:tcPr>
          <w:p w14:paraId="1BD53D4F">
            <w:pPr>
              <w:adjustRightInd w:val="0"/>
              <w:snapToGrid w:val="0"/>
              <w:jc w:val="left"/>
              <w:rPr>
                <w:rFonts w:ascii="仿宋_GB2312" w:eastAsia="仿宋_GB2312"/>
                <w:kern w:val="0"/>
                <w:sz w:val="24"/>
                <w:szCs w:val="24"/>
              </w:rPr>
            </w:pPr>
            <w:r>
              <w:rPr>
                <w:rFonts w:hint="eastAsia" w:ascii="仿宋_GB2312" w:eastAsia="仿宋_GB2312"/>
                <w:kern w:val="0"/>
                <w:sz w:val="24"/>
                <w:szCs w:val="24"/>
              </w:rPr>
              <w:t>新质押券数量</w:t>
            </w:r>
            <w:r>
              <w:rPr>
                <w:rFonts w:hint="eastAsia" w:ascii="仿宋_GB2312" w:hAnsi="宋体" w:eastAsia="仿宋_GB2312" w:cs="宋体"/>
                <w:bCs/>
                <w:color w:val="000000"/>
                <w:kern w:val="0"/>
                <w:sz w:val="24"/>
                <w:szCs w:val="24"/>
              </w:rPr>
              <w:t>×</w:t>
            </w:r>
            <w:r>
              <w:rPr>
                <w:rFonts w:hint="eastAsia" w:ascii="仿宋_GB2312" w:eastAsia="仿宋_GB2312"/>
                <w:kern w:val="0"/>
                <w:sz w:val="24"/>
                <w:szCs w:val="24"/>
              </w:rPr>
              <w:t>单张质押券面额</w:t>
            </w:r>
            <w:r>
              <w:rPr>
                <w:rFonts w:hint="eastAsia" w:ascii="仿宋_GB2312" w:hAnsi="宋体" w:eastAsia="仿宋_GB2312" w:cs="宋体"/>
                <w:bCs/>
                <w:color w:val="000000"/>
                <w:kern w:val="0"/>
                <w:sz w:val="24"/>
                <w:szCs w:val="24"/>
              </w:rPr>
              <w:t>×10/10000</w:t>
            </w:r>
            <w:r>
              <w:rPr>
                <w:rFonts w:hint="eastAsia" w:ascii="仿宋_GB2312" w:eastAsia="仿宋_GB2312"/>
                <w:kern w:val="0"/>
                <w:sz w:val="24"/>
                <w:szCs w:val="24"/>
              </w:rPr>
              <w:t>，自动显示，无需输入</w:t>
            </w:r>
          </w:p>
        </w:tc>
      </w:tr>
      <w:tr w14:paraId="22F88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96" w:type="dxa"/>
            <w:gridSpan w:val="2"/>
          </w:tcPr>
          <w:p w14:paraId="392C3867">
            <w:pPr>
              <w:adjustRightInd w:val="0"/>
              <w:snapToGrid w:val="0"/>
              <w:jc w:val="center"/>
              <w:rPr>
                <w:rFonts w:ascii="仿宋_GB2312" w:eastAsia="仿宋_GB2312"/>
                <w:kern w:val="0"/>
                <w:sz w:val="24"/>
                <w:szCs w:val="24"/>
              </w:rPr>
            </w:pPr>
            <w:r>
              <w:rPr>
                <w:rFonts w:hint="eastAsia" w:ascii="仿宋_GB2312" w:eastAsia="仿宋_GB2312"/>
                <w:b/>
                <w:kern w:val="0"/>
                <w:sz w:val="24"/>
                <w:szCs w:val="24"/>
              </w:rPr>
              <w:t>（置换质押债券或解除部分质押，</w:t>
            </w:r>
            <w:r>
              <w:rPr>
                <w:rFonts w:ascii="仿宋_GB2312" w:eastAsia="仿宋_GB2312"/>
                <w:b/>
                <w:kern w:val="0"/>
                <w:sz w:val="24"/>
                <w:szCs w:val="24"/>
              </w:rPr>
              <w:t>换出证券简称原质押券</w:t>
            </w:r>
            <w:r>
              <w:rPr>
                <w:rFonts w:hint="eastAsia" w:ascii="仿宋_GB2312" w:eastAsia="仿宋_GB2312"/>
                <w:b/>
                <w:kern w:val="0"/>
                <w:sz w:val="24"/>
                <w:szCs w:val="24"/>
              </w:rPr>
              <w:t>）原券申报信息</w:t>
            </w:r>
          </w:p>
        </w:tc>
      </w:tr>
      <w:tr w14:paraId="0A539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3000" w:type="dxa"/>
          </w:tcPr>
          <w:p w14:paraId="79F0D12C">
            <w:pPr>
              <w:adjustRightInd w:val="0"/>
              <w:snapToGrid w:val="0"/>
              <w:rPr>
                <w:rFonts w:ascii="仿宋_GB2312" w:eastAsia="仿宋_GB2312"/>
                <w:b/>
                <w:kern w:val="0"/>
                <w:sz w:val="24"/>
                <w:szCs w:val="24"/>
              </w:rPr>
            </w:pPr>
            <w:r>
              <w:rPr>
                <w:rFonts w:hint="eastAsia" w:ascii="仿宋_GB2312" w:eastAsia="仿宋_GB2312"/>
                <w:b/>
                <w:kern w:val="0"/>
                <w:sz w:val="24"/>
                <w:szCs w:val="24"/>
              </w:rPr>
              <w:t>原质押券代码</w:t>
            </w:r>
          </w:p>
        </w:tc>
        <w:tc>
          <w:tcPr>
            <w:tcW w:w="5296" w:type="dxa"/>
          </w:tcPr>
          <w:p w14:paraId="024D8E37">
            <w:pPr>
              <w:adjustRightInd w:val="0"/>
              <w:snapToGrid w:val="0"/>
              <w:rPr>
                <w:rFonts w:ascii="仿宋_GB2312" w:eastAsia="仿宋_GB2312"/>
                <w:kern w:val="0"/>
                <w:sz w:val="24"/>
                <w:szCs w:val="24"/>
              </w:rPr>
            </w:pPr>
            <w:r>
              <w:rPr>
                <w:rFonts w:hint="eastAsia" w:ascii="仿宋_GB2312" w:eastAsia="仿宋_GB2312"/>
                <w:kern w:val="0"/>
                <w:sz w:val="24"/>
                <w:szCs w:val="24"/>
              </w:rPr>
              <w:t>原质押债券的代码，自动显示，无需输入</w:t>
            </w:r>
          </w:p>
        </w:tc>
      </w:tr>
      <w:tr w14:paraId="250A4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0" w:type="dxa"/>
          </w:tcPr>
          <w:p w14:paraId="690AC077">
            <w:pPr>
              <w:adjustRightInd w:val="0"/>
              <w:snapToGrid w:val="0"/>
              <w:rPr>
                <w:rFonts w:ascii="仿宋_GB2312" w:eastAsia="仿宋_GB2312"/>
                <w:b/>
                <w:kern w:val="0"/>
                <w:sz w:val="24"/>
                <w:szCs w:val="24"/>
              </w:rPr>
            </w:pPr>
            <w:r>
              <w:rPr>
                <w:rFonts w:hint="eastAsia" w:ascii="仿宋_GB2312" w:eastAsia="仿宋_GB2312"/>
                <w:b/>
                <w:kern w:val="0"/>
                <w:sz w:val="24"/>
                <w:szCs w:val="24"/>
              </w:rPr>
              <w:t>原质押券简称</w:t>
            </w:r>
          </w:p>
        </w:tc>
        <w:tc>
          <w:tcPr>
            <w:tcW w:w="5296" w:type="dxa"/>
          </w:tcPr>
          <w:p w14:paraId="64974F84">
            <w:pPr>
              <w:adjustRightInd w:val="0"/>
              <w:snapToGrid w:val="0"/>
              <w:rPr>
                <w:rFonts w:ascii="仿宋_GB2312" w:eastAsia="仿宋_GB2312"/>
                <w:kern w:val="0"/>
                <w:sz w:val="24"/>
                <w:szCs w:val="24"/>
              </w:rPr>
            </w:pPr>
            <w:r>
              <w:rPr>
                <w:rFonts w:hint="eastAsia" w:ascii="仿宋_GB2312" w:eastAsia="仿宋_GB2312"/>
                <w:kern w:val="0"/>
                <w:sz w:val="24"/>
                <w:szCs w:val="24"/>
              </w:rPr>
              <w:t>原质押债券的简称，自动显示，无需输入</w:t>
            </w:r>
          </w:p>
        </w:tc>
      </w:tr>
      <w:tr w14:paraId="4636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0" w:type="dxa"/>
          </w:tcPr>
          <w:p w14:paraId="2AB389A9">
            <w:pPr>
              <w:adjustRightInd w:val="0"/>
              <w:snapToGrid w:val="0"/>
              <w:rPr>
                <w:rFonts w:ascii="仿宋_GB2312" w:eastAsia="仿宋_GB2312"/>
                <w:b/>
                <w:kern w:val="0"/>
                <w:sz w:val="24"/>
                <w:szCs w:val="24"/>
              </w:rPr>
            </w:pPr>
            <w:r>
              <w:rPr>
                <w:rFonts w:hint="eastAsia" w:ascii="仿宋_GB2312" w:eastAsia="仿宋_GB2312"/>
                <w:b/>
                <w:kern w:val="0"/>
                <w:sz w:val="24"/>
                <w:szCs w:val="24"/>
              </w:rPr>
              <w:t>冻结</w:t>
            </w:r>
            <w:r>
              <w:rPr>
                <w:rFonts w:ascii="仿宋_GB2312" w:eastAsia="仿宋_GB2312"/>
                <w:b/>
                <w:kern w:val="0"/>
                <w:sz w:val="24"/>
                <w:szCs w:val="24"/>
              </w:rPr>
              <w:t>申请书号</w:t>
            </w:r>
          </w:p>
        </w:tc>
        <w:tc>
          <w:tcPr>
            <w:tcW w:w="5296" w:type="dxa"/>
          </w:tcPr>
          <w:p w14:paraId="46601870">
            <w:pPr>
              <w:adjustRightInd w:val="0"/>
              <w:snapToGrid w:val="0"/>
              <w:rPr>
                <w:rFonts w:ascii="仿宋_GB2312" w:eastAsia="仿宋_GB2312"/>
                <w:kern w:val="0"/>
                <w:sz w:val="24"/>
                <w:szCs w:val="24"/>
              </w:rPr>
            </w:pPr>
            <w:r>
              <w:rPr>
                <w:rFonts w:hint="eastAsia" w:ascii="仿宋_GB2312" w:eastAsia="仿宋_GB2312"/>
                <w:kern w:val="0"/>
                <w:sz w:val="24"/>
                <w:szCs w:val="24"/>
              </w:rPr>
              <w:t>换出</w:t>
            </w:r>
            <w:r>
              <w:rPr>
                <w:rFonts w:ascii="仿宋_GB2312" w:eastAsia="仿宋_GB2312"/>
                <w:kern w:val="0"/>
                <w:sz w:val="24"/>
                <w:szCs w:val="24"/>
              </w:rPr>
              <w:t>证券时仅能选原合约中的质押券及</w:t>
            </w:r>
            <w:r>
              <w:rPr>
                <w:rFonts w:hint="eastAsia" w:ascii="仿宋_GB2312" w:eastAsia="仿宋_GB2312"/>
                <w:kern w:val="0"/>
                <w:sz w:val="24"/>
                <w:szCs w:val="24"/>
              </w:rPr>
              <w:t>冻结</w:t>
            </w:r>
            <w:r>
              <w:rPr>
                <w:rFonts w:ascii="仿宋_GB2312" w:eastAsia="仿宋_GB2312"/>
                <w:kern w:val="0"/>
                <w:sz w:val="24"/>
                <w:szCs w:val="24"/>
              </w:rPr>
              <w:t>申请书号，不得超过原质押券该笔冻结申请书号对应的数量</w:t>
            </w:r>
          </w:p>
        </w:tc>
      </w:tr>
      <w:tr w14:paraId="5690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0" w:type="dxa"/>
          </w:tcPr>
          <w:p w14:paraId="72381348">
            <w:pPr>
              <w:adjustRightInd w:val="0"/>
              <w:snapToGrid w:val="0"/>
              <w:rPr>
                <w:rFonts w:ascii="仿宋_GB2312" w:eastAsia="仿宋_GB2312"/>
                <w:b/>
                <w:kern w:val="0"/>
                <w:sz w:val="24"/>
                <w:szCs w:val="24"/>
              </w:rPr>
            </w:pPr>
            <w:r>
              <w:rPr>
                <w:rFonts w:hint="eastAsia" w:ascii="仿宋_GB2312" w:eastAsia="仿宋_GB2312"/>
                <w:b/>
                <w:kern w:val="0"/>
                <w:sz w:val="24"/>
                <w:szCs w:val="24"/>
              </w:rPr>
              <w:t>原质押券面额</w:t>
            </w:r>
          </w:p>
        </w:tc>
        <w:tc>
          <w:tcPr>
            <w:tcW w:w="5296" w:type="dxa"/>
          </w:tcPr>
          <w:p w14:paraId="2E6AD434">
            <w:pPr>
              <w:adjustRightInd w:val="0"/>
              <w:snapToGrid w:val="0"/>
              <w:rPr>
                <w:rFonts w:ascii="仿宋_GB2312" w:eastAsia="仿宋_GB2312"/>
                <w:kern w:val="0"/>
                <w:sz w:val="24"/>
                <w:szCs w:val="24"/>
              </w:rPr>
            </w:pPr>
            <w:r>
              <w:rPr>
                <w:rFonts w:hint="eastAsia" w:ascii="仿宋_GB2312" w:eastAsia="仿宋_GB2312"/>
                <w:kern w:val="0"/>
                <w:sz w:val="24"/>
                <w:szCs w:val="24"/>
              </w:rPr>
              <w:t>单张原</w:t>
            </w:r>
            <w:r>
              <w:rPr>
                <w:rFonts w:ascii="仿宋_GB2312" w:eastAsia="仿宋_GB2312"/>
                <w:kern w:val="0"/>
                <w:sz w:val="24"/>
                <w:szCs w:val="24"/>
              </w:rPr>
              <w:t>质押券面额</w:t>
            </w:r>
          </w:p>
        </w:tc>
      </w:tr>
      <w:tr w14:paraId="2817A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0" w:type="dxa"/>
          </w:tcPr>
          <w:p w14:paraId="6D1C1834">
            <w:pPr>
              <w:adjustRightInd w:val="0"/>
              <w:snapToGrid w:val="0"/>
              <w:rPr>
                <w:rFonts w:ascii="仿宋_GB2312" w:eastAsia="仿宋_GB2312"/>
                <w:b/>
                <w:kern w:val="0"/>
                <w:sz w:val="24"/>
                <w:szCs w:val="24"/>
              </w:rPr>
            </w:pPr>
            <w:r>
              <w:rPr>
                <w:rFonts w:hint="eastAsia" w:ascii="仿宋_GB2312" w:eastAsia="仿宋_GB2312"/>
                <w:b/>
                <w:kern w:val="0"/>
                <w:sz w:val="24"/>
                <w:szCs w:val="24"/>
              </w:rPr>
              <w:t>原质押数量</w:t>
            </w:r>
          </w:p>
        </w:tc>
        <w:tc>
          <w:tcPr>
            <w:tcW w:w="5296" w:type="dxa"/>
          </w:tcPr>
          <w:p w14:paraId="2242B78E">
            <w:pPr>
              <w:adjustRightInd w:val="0"/>
              <w:snapToGrid w:val="0"/>
              <w:rPr>
                <w:rFonts w:ascii="仿宋_GB2312" w:eastAsia="仿宋_GB2312"/>
                <w:kern w:val="0"/>
                <w:sz w:val="24"/>
                <w:szCs w:val="24"/>
              </w:rPr>
            </w:pPr>
            <w:r>
              <w:rPr>
                <w:rFonts w:hint="eastAsia" w:ascii="仿宋_GB2312" w:eastAsia="仿宋_GB2312"/>
                <w:kern w:val="0"/>
                <w:sz w:val="24"/>
                <w:szCs w:val="24"/>
              </w:rPr>
              <w:t>原质押券数量，以千元面额为单位，自动显示，无需输入</w:t>
            </w:r>
          </w:p>
        </w:tc>
      </w:tr>
      <w:tr w14:paraId="0221B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0" w:type="dxa"/>
          </w:tcPr>
          <w:p w14:paraId="47B7A348">
            <w:pPr>
              <w:adjustRightInd w:val="0"/>
              <w:snapToGrid w:val="0"/>
              <w:rPr>
                <w:rFonts w:ascii="仿宋_GB2312" w:eastAsia="仿宋_GB2312"/>
                <w:b/>
                <w:kern w:val="0"/>
                <w:sz w:val="24"/>
                <w:szCs w:val="24"/>
              </w:rPr>
            </w:pPr>
            <w:r>
              <w:rPr>
                <w:rFonts w:hint="eastAsia" w:ascii="仿宋_GB2312" w:eastAsia="仿宋_GB2312"/>
                <w:b/>
                <w:kern w:val="0"/>
                <w:sz w:val="24"/>
                <w:szCs w:val="24"/>
              </w:rPr>
              <w:t>原质押券总面额</w:t>
            </w:r>
          </w:p>
        </w:tc>
        <w:tc>
          <w:tcPr>
            <w:tcW w:w="5296" w:type="dxa"/>
          </w:tcPr>
          <w:p w14:paraId="295F4F85">
            <w:pPr>
              <w:adjustRightInd w:val="0"/>
              <w:snapToGrid w:val="0"/>
              <w:rPr>
                <w:rFonts w:ascii="仿宋_GB2312" w:eastAsia="仿宋_GB2312"/>
                <w:kern w:val="0"/>
                <w:sz w:val="24"/>
                <w:szCs w:val="24"/>
              </w:rPr>
            </w:pPr>
            <w:r>
              <w:rPr>
                <w:rFonts w:hint="eastAsia" w:ascii="仿宋_GB2312" w:eastAsia="仿宋_GB2312"/>
                <w:kern w:val="0"/>
                <w:sz w:val="24"/>
                <w:szCs w:val="24"/>
              </w:rPr>
              <w:t>原质押数量</w:t>
            </w:r>
            <w:r>
              <w:rPr>
                <w:rFonts w:hint="eastAsia" w:ascii="仿宋_GB2312" w:hAnsi="宋体" w:eastAsia="仿宋_GB2312" w:cs="宋体"/>
                <w:bCs/>
                <w:color w:val="000000"/>
                <w:kern w:val="0"/>
                <w:sz w:val="24"/>
                <w:szCs w:val="24"/>
              </w:rPr>
              <w:t>×</w:t>
            </w:r>
            <w:r>
              <w:rPr>
                <w:rFonts w:hint="eastAsia" w:ascii="仿宋_GB2312" w:eastAsia="仿宋_GB2312"/>
                <w:kern w:val="0"/>
                <w:sz w:val="24"/>
                <w:szCs w:val="24"/>
              </w:rPr>
              <w:t>原单张质押券面额</w:t>
            </w:r>
            <w:r>
              <w:rPr>
                <w:rFonts w:hint="eastAsia" w:ascii="仿宋_GB2312" w:hAnsi="宋体" w:eastAsia="仿宋_GB2312" w:cs="宋体"/>
                <w:bCs/>
                <w:color w:val="000000"/>
                <w:kern w:val="0"/>
                <w:sz w:val="24"/>
                <w:szCs w:val="24"/>
              </w:rPr>
              <w:t>×10/10000</w:t>
            </w:r>
            <w:r>
              <w:rPr>
                <w:rFonts w:hint="eastAsia" w:ascii="仿宋_GB2312" w:eastAsia="仿宋_GB2312"/>
                <w:kern w:val="0"/>
                <w:sz w:val="24"/>
                <w:szCs w:val="24"/>
              </w:rPr>
              <w:t>，自动显示，无需输入</w:t>
            </w:r>
          </w:p>
        </w:tc>
      </w:tr>
    </w:tbl>
    <w:p w14:paraId="482D7FA9">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2</w:t>
      </w:r>
      <w:r>
        <w:rPr>
          <w:rFonts w:hint="eastAsia" w:ascii="仿宋_GB2312" w:eastAsia="仿宋_GB2312"/>
          <w:b/>
          <w:sz w:val="30"/>
          <w:szCs w:val="30"/>
        </w:rPr>
        <w:t>）提前终止借贷</w:t>
      </w:r>
    </w:p>
    <w:p w14:paraId="2CE2FA9F">
      <w:pPr>
        <w:spacing w:line="600" w:lineRule="exact"/>
        <w:ind w:firstLine="600" w:firstLineChars="200"/>
        <w:outlineLvl w:val="9"/>
        <w:rPr>
          <w:rFonts w:ascii="仿宋_GB2312" w:hAnsi="Calibri" w:eastAsia="仿宋_GB2312"/>
          <w:sz w:val="30"/>
          <w:szCs w:val="30"/>
        </w:rPr>
      </w:pPr>
      <w:r>
        <w:rPr>
          <w:rFonts w:hint="eastAsia" w:ascii="仿宋_GB2312" w:hAnsi="Calibri" w:eastAsia="仿宋_GB2312"/>
          <w:kern w:val="0"/>
          <w:sz w:val="30"/>
          <w:szCs w:val="30"/>
        </w:rPr>
        <w:t>债券借贷期间，标的债券发生违约、披露重大违约风险或者借贷双方协商一致的，可以按照约定提前终止借贷。债券借入方或债券借出方可以发起提前终止申报，并由对方确认，确认后按</w:t>
      </w:r>
      <w:r>
        <w:rPr>
          <w:rFonts w:hint="eastAsia" w:ascii="仿宋_GB2312" w:hAnsi="宋体" w:eastAsia="仿宋_GB2312" w:cs="宋体"/>
          <w:sz w:val="30"/>
          <w:szCs w:val="30"/>
        </w:rPr>
        <w:t>到期结算办理。</w:t>
      </w:r>
      <w:r>
        <w:rPr>
          <w:rFonts w:hint="eastAsia" w:ascii="仿宋_GB2312" w:hAnsi="Calibri" w:eastAsia="仿宋_GB2312"/>
          <w:sz w:val="30"/>
          <w:szCs w:val="30"/>
        </w:rPr>
        <w:t>提前终止借贷的具体要素及要素说明如下：</w:t>
      </w:r>
      <w:r>
        <w:rPr>
          <w:rFonts w:ascii="仿宋_GB2312" w:hAnsi="Calibri" w:eastAsia="仿宋_GB2312"/>
          <w:sz w:val="30"/>
          <w:szCs w:val="30"/>
        </w:rPr>
        <w:t xml:space="preserve"> </w:t>
      </w:r>
    </w:p>
    <w:tbl>
      <w:tblPr>
        <w:tblStyle w:val="43"/>
        <w:tblW w:w="8724" w:type="dxa"/>
        <w:tblInd w:w="-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2"/>
        <w:gridCol w:w="5812"/>
      </w:tblGrid>
      <w:tr w14:paraId="55ED9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tcPr>
          <w:p w14:paraId="1C4F1A39">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5812" w:type="dxa"/>
          </w:tcPr>
          <w:p w14:paraId="216BF03E">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1851A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tcPr>
          <w:p w14:paraId="6F2E5AE0">
            <w:pPr>
              <w:adjustRightInd w:val="0"/>
              <w:snapToGrid w:val="0"/>
              <w:rPr>
                <w:rFonts w:ascii="仿宋_GB2312" w:eastAsia="仿宋_GB2312"/>
                <w:b/>
                <w:kern w:val="0"/>
                <w:sz w:val="24"/>
                <w:szCs w:val="24"/>
              </w:rPr>
            </w:pPr>
            <w:r>
              <w:rPr>
                <w:rFonts w:hint="eastAsia" w:ascii="仿宋_GB2312" w:eastAsia="仿宋_GB2312"/>
                <w:b/>
                <w:kern w:val="0"/>
                <w:sz w:val="24"/>
                <w:szCs w:val="24"/>
              </w:rPr>
              <w:t>提前终止日</w:t>
            </w:r>
          </w:p>
        </w:tc>
        <w:tc>
          <w:tcPr>
            <w:tcW w:w="5812" w:type="dxa"/>
          </w:tcPr>
          <w:p w14:paraId="3BF6E13E">
            <w:pPr>
              <w:adjustRightInd w:val="0"/>
              <w:snapToGrid w:val="0"/>
              <w:rPr>
                <w:rFonts w:ascii="仿宋_GB2312" w:eastAsia="仿宋_GB2312"/>
                <w:kern w:val="0"/>
                <w:sz w:val="24"/>
                <w:szCs w:val="24"/>
              </w:rPr>
            </w:pPr>
            <w:r>
              <w:rPr>
                <w:rFonts w:hint="eastAsia" w:ascii="仿宋_GB2312" w:eastAsia="仿宋_GB2312"/>
                <w:kern w:val="0"/>
                <w:sz w:val="24"/>
                <w:szCs w:val="24"/>
              </w:rPr>
              <w:t>债券借贷交易的提前终止日期，即申报提前终止当日，自动显示，无需输入。自动计算带出新的借贷期限和新的应付借贷费用，费用可修改。</w:t>
            </w:r>
          </w:p>
        </w:tc>
      </w:tr>
      <w:tr w14:paraId="12F6F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tcPr>
          <w:p w14:paraId="4D46CD1E">
            <w:pPr>
              <w:adjustRightInd w:val="0"/>
              <w:snapToGrid w:val="0"/>
              <w:rPr>
                <w:rFonts w:ascii="仿宋_GB2312" w:eastAsia="仿宋_GB2312"/>
                <w:b/>
                <w:kern w:val="0"/>
                <w:sz w:val="24"/>
                <w:szCs w:val="24"/>
              </w:rPr>
            </w:pPr>
            <w:r>
              <w:rPr>
                <w:rFonts w:hint="eastAsia" w:ascii="仿宋_GB2312" w:eastAsia="仿宋_GB2312"/>
                <w:b/>
                <w:kern w:val="0"/>
                <w:sz w:val="24"/>
                <w:szCs w:val="24"/>
              </w:rPr>
              <w:t>借贷费率</w:t>
            </w:r>
          </w:p>
        </w:tc>
        <w:tc>
          <w:tcPr>
            <w:tcW w:w="5812" w:type="dxa"/>
          </w:tcPr>
          <w:p w14:paraId="69C2FEB2">
            <w:pPr>
              <w:adjustRightInd w:val="0"/>
              <w:snapToGrid w:val="0"/>
              <w:rPr>
                <w:rFonts w:ascii="仿宋_GB2312" w:eastAsia="仿宋_GB2312"/>
                <w:kern w:val="0"/>
                <w:sz w:val="24"/>
                <w:szCs w:val="24"/>
              </w:rPr>
            </w:pPr>
            <w:r>
              <w:rPr>
                <w:rFonts w:hint="eastAsia" w:ascii="仿宋_GB2312" w:eastAsia="仿宋_GB2312"/>
                <w:kern w:val="0"/>
                <w:sz w:val="24"/>
                <w:szCs w:val="24"/>
              </w:rPr>
              <w:t>自动带出协商成交申报中的借贷费率</w:t>
            </w:r>
          </w:p>
        </w:tc>
      </w:tr>
      <w:tr w14:paraId="65AF0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12" w:type="dxa"/>
          </w:tcPr>
          <w:p w14:paraId="01796172">
            <w:pPr>
              <w:adjustRightInd w:val="0"/>
              <w:snapToGrid w:val="0"/>
              <w:rPr>
                <w:rFonts w:ascii="仿宋_GB2312" w:eastAsia="仿宋_GB2312"/>
                <w:b/>
                <w:kern w:val="0"/>
                <w:sz w:val="24"/>
                <w:szCs w:val="24"/>
              </w:rPr>
            </w:pPr>
            <w:r>
              <w:rPr>
                <w:rFonts w:hint="eastAsia" w:ascii="仿宋_GB2312" w:eastAsia="仿宋_GB2312"/>
                <w:b/>
                <w:kern w:val="0"/>
                <w:sz w:val="24"/>
                <w:szCs w:val="24"/>
              </w:rPr>
              <w:t>借贷费用</w:t>
            </w:r>
          </w:p>
        </w:tc>
        <w:tc>
          <w:tcPr>
            <w:tcW w:w="5812" w:type="dxa"/>
          </w:tcPr>
          <w:p w14:paraId="5D8723C6">
            <w:pPr>
              <w:adjustRightInd w:val="0"/>
              <w:snapToGrid w:val="0"/>
              <w:rPr>
                <w:rFonts w:ascii="仿宋_GB2312" w:eastAsia="仿宋_GB2312"/>
                <w:kern w:val="0"/>
                <w:sz w:val="24"/>
                <w:szCs w:val="24"/>
              </w:rPr>
            </w:pPr>
            <w:r>
              <w:rPr>
                <w:rFonts w:hint="eastAsia" w:ascii="仿宋_GB2312" w:eastAsia="仿宋_GB2312"/>
                <w:kern w:val="0"/>
                <w:sz w:val="24"/>
                <w:szCs w:val="24"/>
              </w:rPr>
              <w:t>提前到期日债券借入方支付</w:t>
            </w:r>
            <w:r>
              <w:rPr>
                <w:rFonts w:ascii="仿宋_GB2312" w:eastAsia="仿宋_GB2312"/>
                <w:kern w:val="0"/>
                <w:sz w:val="24"/>
                <w:szCs w:val="24"/>
              </w:rPr>
              <w:t>的</w:t>
            </w:r>
            <w:r>
              <w:rPr>
                <w:rFonts w:hint="eastAsia" w:ascii="仿宋_GB2312" w:eastAsia="仿宋_GB2312"/>
                <w:kern w:val="0"/>
                <w:sz w:val="24"/>
                <w:szCs w:val="24"/>
              </w:rPr>
              <w:t>借贷</w:t>
            </w:r>
            <w:r>
              <w:rPr>
                <w:rFonts w:ascii="仿宋_GB2312" w:eastAsia="仿宋_GB2312"/>
                <w:kern w:val="0"/>
                <w:sz w:val="24"/>
                <w:szCs w:val="24"/>
              </w:rPr>
              <w:t>费用</w:t>
            </w:r>
          </w:p>
        </w:tc>
      </w:tr>
      <w:tr w14:paraId="51D7E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tcPr>
          <w:p w14:paraId="1B3D78A2">
            <w:pPr>
              <w:adjustRightInd w:val="0"/>
              <w:snapToGrid w:val="0"/>
              <w:rPr>
                <w:rFonts w:ascii="仿宋_GB2312" w:eastAsia="仿宋_GB2312"/>
                <w:b/>
                <w:kern w:val="0"/>
                <w:sz w:val="24"/>
                <w:szCs w:val="24"/>
              </w:rPr>
            </w:pPr>
            <w:r>
              <w:rPr>
                <w:rFonts w:hint="eastAsia" w:ascii="仿宋_GB2312" w:eastAsia="仿宋_GB2312"/>
                <w:b/>
                <w:kern w:val="0"/>
                <w:sz w:val="24"/>
                <w:szCs w:val="24"/>
              </w:rPr>
              <w:t>结算</w:t>
            </w:r>
            <w:r>
              <w:rPr>
                <w:rFonts w:ascii="仿宋_GB2312" w:eastAsia="仿宋_GB2312"/>
                <w:b/>
                <w:kern w:val="0"/>
                <w:sz w:val="24"/>
                <w:szCs w:val="24"/>
              </w:rPr>
              <w:t>方式</w:t>
            </w:r>
          </w:p>
        </w:tc>
        <w:tc>
          <w:tcPr>
            <w:tcW w:w="5812" w:type="dxa"/>
          </w:tcPr>
          <w:p w14:paraId="3C340A8C">
            <w:pPr>
              <w:adjustRightInd w:val="0"/>
              <w:snapToGrid w:val="0"/>
              <w:rPr>
                <w:rFonts w:ascii="仿宋_GB2312" w:eastAsia="仿宋_GB2312"/>
                <w:kern w:val="0"/>
                <w:sz w:val="24"/>
                <w:szCs w:val="24"/>
              </w:rPr>
            </w:pPr>
            <w:r>
              <w:rPr>
                <w:rFonts w:hint="eastAsia" w:ascii="仿宋_GB2312" w:eastAsia="仿宋_GB2312"/>
                <w:kern w:val="0"/>
                <w:sz w:val="24"/>
                <w:szCs w:val="24"/>
              </w:rPr>
              <w:t>可以选择债券结算、现金结算和部分现金结算，选择现金结算的，需填写“现金结算金额”；选择部分现金结算的，需填写“部分现金结算金额”以及“标的债券归还数量”</w:t>
            </w:r>
          </w:p>
        </w:tc>
      </w:tr>
      <w:tr w14:paraId="0EAC7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tcPr>
          <w:p w14:paraId="156693A7">
            <w:pPr>
              <w:adjustRightInd w:val="0"/>
              <w:snapToGrid w:val="0"/>
              <w:rPr>
                <w:rFonts w:ascii="仿宋_GB2312" w:eastAsia="仿宋_GB2312"/>
                <w:b/>
                <w:kern w:val="0"/>
                <w:sz w:val="24"/>
                <w:szCs w:val="24"/>
              </w:rPr>
            </w:pPr>
            <w:r>
              <w:rPr>
                <w:rFonts w:hint="eastAsia" w:ascii="仿宋_GB2312" w:eastAsia="仿宋_GB2312"/>
                <w:b/>
                <w:kern w:val="0"/>
                <w:sz w:val="24"/>
                <w:szCs w:val="24"/>
              </w:rPr>
              <w:t>资金</w:t>
            </w:r>
            <w:r>
              <w:rPr>
                <w:rFonts w:ascii="仿宋_GB2312" w:eastAsia="仿宋_GB2312"/>
                <w:b/>
                <w:kern w:val="0"/>
                <w:sz w:val="24"/>
                <w:szCs w:val="24"/>
              </w:rPr>
              <w:t>结算方式</w:t>
            </w:r>
          </w:p>
        </w:tc>
        <w:tc>
          <w:tcPr>
            <w:tcW w:w="5812" w:type="dxa"/>
          </w:tcPr>
          <w:p w14:paraId="4DDC2A38">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可</w:t>
            </w:r>
            <w:r>
              <w:rPr>
                <w:rFonts w:ascii="仿宋_GB2312" w:hAnsi="宋体" w:eastAsia="仿宋_GB2312" w:cs="宋体"/>
                <w:bCs/>
                <w:color w:val="000000"/>
                <w:kern w:val="0"/>
                <w:sz w:val="24"/>
                <w:szCs w:val="24"/>
              </w:rPr>
              <w:t>勾选场</w:t>
            </w:r>
            <w:r>
              <w:rPr>
                <w:rFonts w:hint="eastAsia" w:ascii="仿宋_GB2312" w:hAnsi="宋体" w:eastAsia="仿宋_GB2312" w:cs="宋体"/>
                <w:bCs/>
                <w:color w:val="000000"/>
                <w:kern w:val="0"/>
                <w:sz w:val="24"/>
                <w:szCs w:val="24"/>
              </w:rPr>
              <w:t>内</w:t>
            </w:r>
            <w:r>
              <w:rPr>
                <w:rFonts w:ascii="仿宋_GB2312" w:hAnsi="宋体" w:eastAsia="仿宋_GB2312" w:cs="宋体"/>
                <w:bCs/>
                <w:color w:val="000000"/>
                <w:kern w:val="0"/>
                <w:sz w:val="24"/>
                <w:szCs w:val="24"/>
              </w:rPr>
              <w:t>/外结算，</w:t>
            </w:r>
            <w:r>
              <w:rPr>
                <w:rFonts w:hint="eastAsia" w:ascii="仿宋_GB2312" w:hAnsi="宋体" w:eastAsia="仿宋_GB2312" w:cs="宋体"/>
                <w:bCs/>
                <w:color w:val="000000"/>
                <w:kern w:val="0"/>
                <w:sz w:val="24"/>
                <w:szCs w:val="24"/>
              </w:rPr>
              <w:t>场内</w:t>
            </w:r>
            <w:r>
              <w:rPr>
                <w:rFonts w:ascii="仿宋_GB2312" w:hAnsi="宋体" w:eastAsia="仿宋_GB2312" w:cs="宋体"/>
                <w:bCs/>
                <w:color w:val="000000"/>
                <w:kern w:val="0"/>
                <w:sz w:val="24"/>
                <w:szCs w:val="24"/>
              </w:rPr>
              <w:t>结算的，默认RTGS结算方式</w:t>
            </w:r>
          </w:p>
        </w:tc>
      </w:tr>
      <w:tr w14:paraId="41F37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tcPr>
          <w:p w14:paraId="288E0C3C">
            <w:pPr>
              <w:adjustRightInd w:val="0"/>
              <w:snapToGrid w:val="0"/>
              <w:rPr>
                <w:rFonts w:ascii="仿宋_GB2312" w:eastAsia="仿宋_GB2312"/>
                <w:b/>
                <w:kern w:val="0"/>
                <w:sz w:val="24"/>
                <w:szCs w:val="24"/>
              </w:rPr>
            </w:pPr>
            <w:r>
              <w:rPr>
                <w:rFonts w:hint="eastAsia" w:ascii="仿宋_GB2312" w:eastAsia="仿宋_GB2312"/>
                <w:b/>
                <w:sz w:val="24"/>
                <w:szCs w:val="24"/>
              </w:rPr>
              <w:t>借入方资金账户</w:t>
            </w:r>
          </w:p>
        </w:tc>
        <w:tc>
          <w:tcPr>
            <w:tcW w:w="5812" w:type="dxa"/>
            <w:vAlign w:val="center"/>
          </w:tcPr>
          <w:p w14:paraId="16B28558">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借入债券机构的资金</w:t>
            </w:r>
            <w:r>
              <w:rPr>
                <w:rFonts w:ascii="仿宋_GB2312" w:hAnsi="宋体" w:eastAsia="仿宋_GB2312" w:cs="宋体"/>
                <w:bCs/>
                <w:color w:val="000000"/>
                <w:kern w:val="0"/>
                <w:sz w:val="24"/>
                <w:szCs w:val="24"/>
              </w:rPr>
              <w:t>账户与名称</w:t>
            </w:r>
          </w:p>
        </w:tc>
      </w:tr>
      <w:tr w14:paraId="68B11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tcPr>
          <w:p w14:paraId="439EB259">
            <w:pPr>
              <w:adjustRightInd w:val="0"/>
              <w:snapToGrid w:val="0"/>
              <w:rPr>
                <w:rFonts w:ascii="仿宋_GB2312" w:eastAsia="仿宋_GB2312"/>
                <w:b/>
                <w:sz w:val="24"/>
                <w:szCs w:val="24"/>
              </w:rPr>
            </w:pPr>
            <w:r>
              <w:rPr>
                <w:rFonts w:hint="eastAsia" w:ascii="仿宋_GB2312" w:eastAsia="仿宋_GB2312"/>
                <w:b/>
                <w:sz w:val="24"/>
                <w:szCs w:val="24"/>
              </w:rPr>
              <w:t>借出方资金账户</w:t>
            </w:r>
          </w:p>
        </w:tc>
        <w:tc>
          <w:tcPr>
            <w:tcW w:w="5812" w:type="dxa"/>
            <w:vAlign w:val="center"/>
          </w:tcPr>
          <w:p w14:paraId="5302521E">
            <w:pPr>
              <w:adjustRightInd w:val="0"/>
              <w:snapToGrid w:val="0"/>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借出债券机构的资金</w:t>
            </w:r>
            <w:r>
              <w:rPr>
                <w:rFonts w:ascii="仿宋_GB2312" w:hAnsi="宋体" w:eastAsia="仿宋_GB2312" w:cs="宋体"/>
                <w:bCs/>
                <w:color w:val="000000"/>
                <w:kern w:val="0"/>
                <w:sz w:val="24"/>
                <w:szCs w:val="24"/>
              </w:rPr>
              <w:t>账户与名称</w:t>
            </w:r>
            <w:r>
              <w:rPr>
                <w:rFonts w:hint="eastAsia" w:ascii="仿宋_GB2312" w:hAnsi="宋体" w:eastAsia="仿宋_GB2312" w:cs="宋体"/>
                <w:bCs/>
                <w:color w:val="000000"/>
                <w:kern w:val="0"/>
                <w:sz w:val="24"/>
                <w:szCs w:val="24"/>
              </w:rPr>
              <w:t>，对手方</w:t>
            </w:r>
            <w:r>
              <w:rPr>
                <w:rFonts w:ascii="仿宋_GB2312" w:hAnsi="宋体" w:eastAsia="仿宋_GB2312" w:cs="宋体"/>
                <w:bCs/>
                <w:color w:val="000000"/>
                <w:kern w:val="0"/>
                <w:sz w:val="24"/>
                <w:szCs w:val="24"/>
              </w:rPr>
              <w:t>确认时录入。</w:t>
            </w:r>
          </w:p>
        </w:tc>
      </w:tr>
    </w:tbl>
    <w:p w14:paraId="0C4DC3FA">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3</w:t>
      </w:r>
      <w:r>
        <w:rPr>
          <w:rFonts w:hint="eastAsia" w:ascii="仿宋_GB2312" w:eastAsia="仿宋_GB2312"/>
          <w:b/>
          <w:sz w:val="30"/>
          <w:szCs w:val="30"/>
        </w:rPr>
        <w:t>）借贷到期</w:t>
      </w:r>
    </w:p>
    <w:p w14:paraId="0888066B">
      <w:pPr>
        <w:spacing w:line="560" w:lineRule="exact"/>
        <w:ind w:firstLine="600" w:firstLineChars="200"/>
        <w:jc w:val="left"/>
        <w:rPr>
          <w:rFonts w:ascii="仿宋_GB2312" w:hAnsi="宋体" w:eastAsia="仿宋_GB2312" w:cs="宋体"/>
          <w:sz w:val="30"/>
          <w:szCs w:val="30"/>
        </w:rPr>
      </w:pPr>
      <w:r>
        <w:rPr>
          <w:rFonts w:hint="eastAsia" w:ascii="仿宋_GB2312" w:hAnsi="宋体" w:eastAsia="仿宋_GB2312" w:cs="宋体"/>
          <w:sz w:val="30"/>
          <w:szCs w:val="30"/>
        </w:rPr>
        <w:t>借贷双方协商一致后，可以于借贷到期日进行到期续做或到期结算，到期结算可以采用到期债券结算、到期现金结算或到期部分现金结算。</w:t>
      </w:r>
    </w:p>
    <w:p w14:paraId="48BAD528">
      <w:pPr>
        <w:spacing w:line="560" w:lineRule="exact"/>
        <w:ind w:firstLine="600" w:firstLineChars="200"/>
        <w:jc w:val="left"/>
        <w:rPr>
          <w:rFonts w:ascii="仿宋_GB2312" w:hAnsi="宋体" w:eastAsia="仿宋_GB2312" w:cs="宋体"/>
          <w:sz w:val="30"/>
          <w:szCs w:val="30"/>
        </w:rPr>
      </w:pPr>
      <w:r>
        <w:rPr>
          <w:rFonts w:ascii="仿宋_GB2312" w:hAnsi="宋体" w:eastAsia="仿宋_GB2312" w:cs="宋体"/>
          <w:sz w:val="30"/>
          <w:szCs w:val="30"/>
        </w:rPr>
        <w:t>1）</w:t>
      </w:r>
      <w:r>
        <w:rPr>
          <w:rFonts w:hint="eastAsia" w:ascii="仿宋_GB2312" w:hAnsi="宋体" w:eastAsia="仿宋_GB2312" w:cs="宋体"/>
          <w:sz w:val="30"/>
          <w:szCs w:val="30"/>
        </w:rPr>
        <w:t>到期续做</w:t>
      </w:r>
    </w:p>
    <w:p w14:paraId="450B642A">
      <w:pPr>
        <w:spacing w:line="560" w:lineRule="exact"/>
        <w:ind w:firstLine="600" w:firstLineChars="200"/>
        <w:jc w:val="left"/>
        <w:rPr>
          <w:rFonts w:ascii="仿宋_GB2312" w:hAnsi="宋体" w:eastAsia="仿宋_GB2312"/>
          <w:sz w:val="30"/>
          <w:szCs w:val="30"/>
        </w:rPr>
      </w:pPr>
      <w:r>
        <w:rPr>
          <w:rFonts w:hint="eastAsia" w:ascii="仿宋_GB2312" w:hAnsi="宋体" w:eastAsia="仿宋_GB2312" w:cs="宋体"/>
          <w:sz w:val="30"/>
          <w:szCs w:val="30"/>
        </w:rPr>
        <w:t>到期续做的，债券借入方应当对当日到期的债券借贷提交到期续做申报，并由债券借出方确认生成新的债券借贷合约，原债券借贷合约终止。续做的债券借出方必须是原债券借贷的债券借出方，续做的标的债券必须与原债券借贷一致，标的债券总面额、质押债券、质押债券总面额、借贷期限、费率等要素可以与原债券借贷不同。</w:t>
      </w:r>
      <w:r>
        <w:rPr>
          <w:rFonts w:hint="eastAsia" w:ascii="仿宋_GB2312" w:hAnsi="Calibri" w:eastAsia="仿宋_GB2312"/>
          <w:kern w:val="0"/>
          <w:sz w:val="30"/>
          <w:szCs w:val="30"/>
        </w:rPr>
        <w:t>到期续做申报的</w:t>
      </w:r>
      <w:r>
        <w:rPr>
          <w:rFonts w:hint="eastAsia" w:ascii="仿宋_GB2312" w:hAnsi="宋体" w:eastAsia="仿宋_GB2312"/>
          <w:sz w:val="30"/>
          <w:szCs w:val="30"/>
        </w:rPr>
        <w:t>具体要素及要素说明如下：</w:t>
      </w:r>
    </w:p>
    <w:tbl>
      <w:tblPr>
        <w:tblStyle w:val="43"/>
        <w:tblW w:w="51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6"/>
        <w:gridCol w:w="5943"/>
      </w:tblGrid>
      <w:tr w14:paraId="6E46B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tcPr>
          <w:p w14:paraId="4C08AAC2">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3358" w:type="pct"/>
          </w:tcPr>
          <w:p w14:paraId="766AB923">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2583A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tcPr>
          <w:p w14:paraId="52D7A988">
            <w:pPr>
              <w:adjustRightInd w:val="0"/>
              <w:snapToGrid w:val="0"/>
              <w:rPr>
                <w:rFonts w:ascii="仿宋_GB2312" w:eastAsia="仿宋_GB2312"/>
                <w:b/>
                <w:kern w:val="0"/>
                <w:sz w:val="24"/>
                <w:szCs w:val="24"/>
              </w:rPr>
            </w:pPr>
            <w:r>
              <w:rPr>
                <w:rFonts w:hint="eastAsia" w:ascii="仿宋_GB2312" w:eastAsia="仿宋_GB2312"/>
                <w:b/>
                <w:kern w:val="0"/>
                <w:sz w:val="24"/>
                <w:szCs w:val="24"/>
              </w:rPr>
              <w:t>资金结算</w:t>
            </w:r>
            <w:r>
              <w:rPr>
                <w:rFonts w:ascii="仿宋_GB2312" w:eastAsia="仿宋_GB2312"/>
                <w:b/>
                <w:kern w:val="0"/>
                <w:sz w:val="24"/>
                <w:szCs w:val="24"/>
              </w:rPr>
              <w:t>方式</w:t>
            </w:r>
          </w:p>
        </w:tc>
        <w:tc>
          <w:tcPr>
            <w:tcW w:w="3358" w:type="pct"/>
          </w:tcPr>
          <w:p w14:paraId="387437E5">
            <w:pPr>
              <w:adjustRightInd w:val="0"/>
              <w:snapToGrid w:val="0"/>
              <w:rPr>
                <w:rFonts w:ascii="仿宋_GB2312" w:eastAsia="仿宋_GB2312"/>
                <w:kern w:val="0"/>
                <w:sz w:val="24"/>
                <w:szCs w:val="24"/>
              </w:rPr>
            </w:pPr>
            <w:r>
              <w:rPr>
                <w:rFonts w:hint="eastAsia" w:ascii="仿宋_GB2312" w:eastAsia="仿宋_GB2312"/>
                <w:kern w:val="0"/>
                <w:sz w:val="24"/>
                <w:szCs w:val="24"/>
              </w:rPr>
              <w:t>可</w:t>
            </w:r>
            <w:r>
              <w:rPr>
                <w:rFonts w:ascii="仿宋_GB2312" w:eastAsia="仿宋_GB2312"/>
                <w:kern w:val="0"/>
                <w:sz w:val="24"/>
                <w:szCs w:val="24"/>
              </w:rPr>
              <w:t>选择</w:t>
            </w:r>
            <w:r>
              <w:rPr>
                <w:rFonts w:hint="eastAsia" w:ascii="仿宋_GB2312" w:eastAsia="仿宋_GB2312"/>
                <w:kern w:val="0"/>
                <w:sz w:val="24"/>
                <w:szCs w:val="24"/>
              </w:rPr>
              <w:t>场内</w:t>
            </w:r>
            <w:r>
              <w:rPr>
                <w:rFonts w:ascii="仿宋_GB2312" w:eastAsia="仿宋_GB2312"/>
                <w:kern w:val="0"/>
                <w:sz w:val="24"/>
                <w:szCs w:val="24"/>
              </w:rPr>
              <w:t>或</w:t>
            </w:r>
            <w:r>
              <w:rPr>
                <w:rFonts w:hint="eastAsia" w:ascii="仿宋_GB2312" w:eastAsia="仿宋_GB2312"/>
                <w:kern w:val="0"/>
                <w:sz w:val="24"/>
                <w:szCs w:val="24"/>
              </w:rPr>
              <w:t>场外</w:t>
            </w:r>
            <w:r>
              <w:rPr>
                <w:rFonts w:ascii="仿宋_GB2312" w:eastAsia="仿宋_GB2312"/>
                <w:kern w:val="0"/>
                <w:sz w:val="24"/>
                <w:szCs w:val="24"/>
              </w:rPr>
              <w:t>结算</w:t>
            </w:r>
          </w:p>
        </w:tc>
      </w:tr>
      <w:tr w14:paraId="3DDC2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tcPr>
          <w:p w14:paraId="24A4B3A5">
            <w:pPr>
              <w:adjustRightInd w:val="0"/>
              <w:snapToGrid w:val="0"/>
              <w:rPr>
                <w:rFonts w:ascii="仿宋_GB2312" w:eastAsia="仿宋_GB2312"/>
                <w:b/>
                <w:kern w:val="0"/>
                <w:sz w:val="24"/>
                <w:szCs w:val="24"/>
              </w:rPr>
            </w:pPr>
            <w:r>
              <w:rPr>
                <w:rFonts w:hint="eastAsia" w:ascii="仿宋_GB2312" w:eastAsia="仿宋_GB2312"/>
                <w:b/>
                <w:kern w:val="0"/>
                <w:sz w:val="24"/>
                <w:szCs w:val="24"/>
              </w:rPr>
              <w:t>借入方</w:t>
            </w:r>
            <w:r>
              <w:rPr>
                <w:rFonts w:ascii="仿宋_GB2312" w:eastAsia="仿宋_GB2312"/>
                <w:b/>
                <w:kern w:val="0"/>
                <w:sz w:val="24"/>
                <w:szCs w:val="24"/>
              </w:rPr>
              <w:t>资金账户</w:t>
            </w:r>
          </w:p>
        </w:tc>
        <w:tc>
          <w:tcPr>
            <w:tcW w:w="3358" w:type="pct"/>
          </w:tcPr>
          <w:p w14:paraId="43E1B182">
            <w:pPr>
              <w:adjustRightInd w:val="0"/>
              <w:snapToGrid w:val="0"/>
              <w:rPr>
                <w:rFonts w:ascii="仿宋_GB2312" w:eastAsia="仿宋_GB2312"/>
                <w:kern w:val="0"/>
                <w:sz w:val="24"/>
                <w:szCs w:val="24"/>
              </w:rPr>
            </w:pPr>
            <w:r>
              <w:rPr>
                <w:rFonts w:hint="eastAsia" w:ascii="仿宋_GB2312" w:eastAsia="仿宋_GB2312"/>
                <w:kern w:val="0"/>
                <w:sz w:val="24"/>
                <w:szCs w:val="24"/>
              </w:rPr>
              <w:t>借入方资金账户与名称</w:t>
            </w:r>
          </w:p>
        </w:tc>
      </w:tr>
      <w:tr w14:paraId="485E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42" w:type="pct"/>
          </w:tcPr>
          <w:p w14:paraId="664A9FF6">
            <w:pPr>
              <w:adjustRightInd w:val="0"/>
              <w:snapToGrid w:val="0"/>
              <w:rPr>
                <w:rFonts w:ascii="仿宋_GB2312" w:eastAsia="仿宋_GB2312"/>
                <w:b/>
                <w:kern w:val="0"/>
                <w:sz w:val="24"/>
                <w:szCs w:val="24"/>
              </w:rPr>
            </w:pPr>
            <w:r>
              <w:rPr>
                <w:rFonts w:hint="eastAsia" w:ascii="仿宋_GB2312" w:eastAsia="仿宋_GB2312"/>
                <w:b/>
                <w:kern w:val="0"/>
                <w:sz w:val="24"/>
                <w:szCs w:val="24"/>
              </w:rPr>
              <w:t>借出方</w:t>
            </w:r>
            <w:r>
              <w:rPr>
                <w:rFonts w:ascii="仿宋_GB2312" w:eastAsia="仿宋_GB2312"/>
                <w:b/>
                <w:kern w:val="0"/>
                <w:sz w:val="24"/>
                <w:szCs w:val="24"/>
              </w:rPr>
              <w:t>资金账户</w:t>
            </w:r>
          </w:p>
        </w:tc>
        <w:tc>
          <w:tcPr>
            <w:tcW w:w="3358" w:type="pct"/>
          </w:tcPr>
          <w:p w14:paraId="5669763B">
            <w:pPr>
              <w:adjustRightInd w:val="0"/>
              <w:snapToGrid w:val="0"/>
              <w:rPr>
                <w:rFonts w:ascii="仿宋_GB2312" w:eastAsia="仿宋_GB2312"/>
                <w:kern w:val="0"/>
                <w:sz w:val="24"/>
                <w:szCs w:val="24"/>
              </w:rPr>
            </w:pPr>
            <w:r>
              <w:rPr>
                <w:rFonts w:hint="eastAsia" w:ascii="仿宋_GB2312" w:eastAsia="仿宋_GB2312"/>
                <w:kern w:val="0"/>
                <w:sz w:val="24"/>
                <w:szCs w:val="24"/>
              </w:rPr>
              <w:t>借出方资金账户与名称</w:t>
            </w:r>
          </w:p>
        </w:tc>
      </w:tr>
      <w:tr w14:paraId="2A9CE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000" w:type="pct"/>
            <w:gridSpan w:val="2"/>
          </w:tcPr>
          <w:p w14:paraId="05F0D3B4">
            <w:pPr>
              <w:adjustRightInd w:val="0"/>
              <w:snapToGrid w:val="0"/>
              <w:jc w:val="center"/>
              <w:rPr>
                <w:rFonts w:ascii="仿宋_GB2312" w:eastAsia="仿宋_GB2312"/>
                <w:b/>
                <w:bCs/>
                <w:kern w:val="0"/>
                <w:sz w:val="24"/>
                <w:szCs w:val="24"/>
              </w:rPr>
            </w:pPr>
            <w:r>
              <w:rPr>
                <w:rFonts w:hint="eastAsia" w:ascii="仿宋_GB2312" w:eastAsia="仿宋_GB2312"/>
                <w:b/>
                <w:bCs/>
                <w:kern w:val="0"/>
                <w:sz w:val="24"/>
                <w:szCs w:val="24"/>
              </w:rPr>
              <w:t>续做</w:t>
            </w:r>
            <w:r>
              <w:rPr>
                <w:rFonts w:ascii="仿宋_GB2312" w:eastAsia="仿宋_GB2312"/>
                <w:b/>
                <w:bCs/>
                <w:kern w:val="0"/>
                <w:sz w:val="24"/>
                <w:szCs w:val="24"/>
              </w:rPr>
              <w:t>合约</w:t>
            </w:r>
          </w:p>
        </w:tc>
      </w:tr>
      <w:tr w14:paraId="30F5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tcPr>
          <w:p w14:paraId="5C7D1CEB">
            <w:pPr>
              <w:adjustRightInd w:val="0"/>
              <w:snapToGrid w:val="0"/>
              <w:rPr>
                <w:rFonts w:ascii="仿宋_GB2312" w:eastAsia="仿宋_GB2312"/>
                <w:b/>
                <w:kern w:val="0"/>
                <w:sz w:val="24"/>
                <w:szCs w:val="24"/>
              </w:rPr>
            </w:pPr>
            <w:r>
              <w:rPr>
                <w:rFonts w:hint="eastAsia" w:ascii="仿宋_GB2312" w:eastAsia="仿宋_GB2312"/>
                <w:b/>
                <w:kern w:val="0"/>
                <w:sz w:val="24"/>
                <w:szCs w:val="24"/>
              </w:rPr>
              <w:t>借入方机构名称（电话、传真、地址）</w:t>
            </w:r>
          </w:p>
        </w:tc>
        <w:tc>
          <w:tcPr>
            <w:tcW w:w="3358" w:type="pct"/>
          </w:tcPr>
          <w:p w14:paraId="21B18F95">
            <w:pPr>
              <w:adjustRightInd w:val="0"/>
              <w:snapToGrid w:val="0"/>
              <w:rPr>
                <w:rFonts w:ascii="仿宋_GB2312" w:eastAsia="仿宋_GB2312"/>
                <w:kern w:val="0"/>
                <w:sz w:val="24"/>
                <w:szCs w:val="24"/>
              </w:rPr>
            </w:pPr>
            <w:r>
              <w:rPr>
                <w:rFonts w:hint="eastAsia" w:ascii="仿宋_GB2312" w:eastAsia="仿宋_GB2312"/>
                <w:kern w:val="0"/>
                <w:sz w:val="24"/>
                <w:szCs w:val="24"/>
              </w:rPr>
              <w:t>机构名称自动生成，电话、传真、地址选填</w:t>
            </w:r>
          </w:p>
        </w:tc>
      </w:tr>
      <w:tr w14:paraId="0FC98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tcPr>
          <w:p w14:paraId="785A425F">
            <w:pPr>
              <w:adjustRightInd w:val="0"/>
              <w:snapToGrid w:val="0"/>
              <w:rPr>
                <w:rFonts w:ascii="仿宋_GB2312" w:eastAsia="仿宋_GB2312"/>
                <w:b/>
                <w:kern w:val="0"/>
                <w:sz w:val="24"/>
                <w:szCs w:val="24"/>
              </w:rPr>
            </w:pPr>
            <w:r>
              <w:rPr>
                <w:rFonts w:hint="eastAsia" w:ascii="仿宋_GB2312" w:eastAsia="仿宋_GB2312"/>
                <w:b/>
                <w:kern w:val="0"/>
                <w:sz w:val="24"/>
                <w:szCs w:val="24"/>
              </w:rPr>
              <w:t>借入方交易员</w:t>
            </w:r>
          </w:p>
        </w:tc>
        <w:tc>
          <w:tcPr>
            <w:tcW w:w="3358" w:type="pct"/>
          </w:tcPr>
          <w:p w14:paraId="4DB8787B">
            <w:pPr>
              <w:adjustRightInd w:val="0"/>
              <w:snapToGrid w:val="0"/>
              <w:rPr>
                <w:rFonts w:ascii="仿宋_GB2312" w:eastAsia="仿宋_GB2312"/>
                <w:kern w:val="0"/>
                <w:sz w:val="24"/>
                <w:szCs w:val="24"/>
              </w:rPr>
            </w:pPr>
            <w:r>
              <w:rPr>
                <w:rFonts w:hint="eastAsia" w:ascii="仿宋_GB2312" w:eastAsia="仿宋_GB2312"/>
                <w:kern w:val="0"/>
                <w:sz w:val="24"/>
                <w:szCs w:val="24"/>
              </w:rPr>
              <w:t>自动生成</w:t>
            </w:r>
          </w:p>
        </w:tc>
      </w:tr>
      <w:tr w14:paraId="29C72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77410AF0">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借入方证券账户</w:t>
            </w:r>
          </w:p>
        </w:tc>
        <w:tc>
          <w:tcPr>
            <w:tcW w:w="3358" w:type="pct"/>
            <w:vAlign w:val="center"/>
          </w:tcPr>
          <w:p w14:paraId="5E9BA677">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自动生成</w:t>
            </w:r>
          </w:p>
        </w:tc>
      </w:tr>
      <w:tr w14:paraId="37994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tcPr>
          <w:p w14:paraId="3C85F2BA">
            <w:pPr>
              <w:adjustRightInd w:val="0"/>
              <w:snapToGrid w:val="0"/>
              <w:rPr>
                <w:rFonts w:ascii="仿宋_GB2312" w:eastAsia="仿宋_GB2312"/>
                <w:b/>
                <w:sz w:val="24"/>
                <w:szCs w:val="24"/>
              </w:rPr>
            </w:pPr>
            <w:r>
              <w:rPr>
                <w:rFonts w:hint="eastAsia" w:ascii="仿宋_GB2312" w:eastAsia="仿宋_GB2312"/>
                <w:b/>
                <w:sz w:val="24"/>
                <w:szCs w:val="24"/>
              </w:rPr>
              <w:t>借入方交易单元</w:t>
            </w:r>
          </w:p>
        </w:tc>
        <w:tc>
          <w:tcPr>
            <w:tcW w:w="3358" w:type="pct"/>
            <w:vAlign w:val="center"/>
          </w:tcPr>
          <w:p w14:paraId="50E8AAF8">
            <w:pPr>
              <w:adjustRightInd w:val="0"/>
              <w:snapToGrid w:val="0"/>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续做时借入债券机构的交易单元</w:t>
            </w:r>
          </w:p>
        </w:tc>
      </w:tr>
      <w:tr w14:paraId="6B694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tcPr>
          <w:p w14:paraId="24612754">
            <w:pPr>
              <w:adjustRightInd w:val="0"/>
              <w:snapToGrid w:val="0"/>
              <w:rPr>
                <w:rFonts w:ascii="仿宋_GB2312" w:eastAsia="仿宋_GB2312"/>
                <w:b/>
                <w:kern w:val="0"/>
                <w:sz w:val="24"/>
                <w:szCs w:val="24"/>
              </w:rPr>
            </w:pPr>
            <w:r>
              <w:rPr>
                <w:rFonts w:hint="eastAsia" w:ascii="仿宋_GB2312" w:eastAsia="仿宋_GB2312"/>
                <w:b/>
                <w:sz w:val="24"/>
                <w:szCs w:val="24"/>
              </w:rPr>
              <w:t>借入方资金账户</w:t>
            </w:r>
          </w:p>
        </w:tc>
        <w:tc>
          <w:tcPr>
            <w:tcW w:w="3358" w:type="pct"/>
            <w:vAlign w:val="center"/>
          </w:tcPr>
          <w:p w14:paraId="472150A5">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续做时借入债券机构的资金</w:t>
            </w:r>
            <w:r>
              <w:rPr>
                <w:rFonts w:ascii="仿宋_GB2312" w:hAnsi="宋体" w:eastAsia="仿宋_GB2312" w:cs="宋体"/>
                <w:bCs/>
                <w:color w:val="000000"/>
                <w:kern w:val="0"/>
                <w:sz w:val="24"/>
                <w:szCs w:val="24"/>
              </w:rPr>
              <w:t>账户与名称</w:t>
            </w:r>
          </w:p>
        </w:tc>
      </w:tr>
      <w:tr w14:paraId="72632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tcPr>
          <w:p w14:paraId="0D919E36">
            <w:pPr>
              <w:adjustRightInd w:val="0"/>
              <w:snapToGrid w:val="0"/>
              <w:rPr>
                <w:rFonts w:ascii="仿宋_GB2312" w:hAnsi="宋体" w:eastAsia="仿宋_GB2312" w:cs="宋体"/>
                <w:b/>
                <w:bCs/>
                <w:color w:val="000000"/>
                <w:kern w:val="0"/>
                <w:sz w:val="24"/>
                <w:szCs w:val="24"/>
              </w:rPr>
            </w:pPr>
            <w:r>
              <w:rPr>
                <w:rFonts w:hint="eastAsia" w:ascii="仿宋_GB2312" w:eastAsia="仿宋_GB2312"/>
                <w:b/>
                <w:kern w:val="0"/>
                <w:sz w:val="24"/>
                <w:szCs w:val="24"/>
              </w:rPr>
              <w:t>借出方机构名称（电话、传真、地址）</w:t>
            </w:r>
          </w:p>
        </w:tc>
        <w:tc>
          <w:tcPr>
            <w:tcW w:w="3358" w:type="pct"/>
          </w:tcPr>
          <w:p w14:paraId="3E2F283A">
            <w:pPr>
              <w:adjustRightInd w:val="0"/>
              <w:snapToGrid w:val="0"/>
              <w:rPr>
                <w:rFonts w:ascii="仿宋_GB2312" w:hAnsi="宋体" w:eastAsia="仿宋_GB2312" w:cs="宋体"/>
                <w:bCs/>
                <w:color w:val="000000"/>
                <w:kern w:val="0"/>
                <w:sz w:val="24"/>
                <w:szCs w:val="24"/>
              </w:rPr>
            </w:pPr>
            <w:r>
              <w:rPr>
                <w:rFonts w:hint="eastAsia" w:ascii="仿宋_GB2312" w:eastAsia="仿宋_GB2312"/>
                <w:kern w:val="0"/>
                <w:sz w:val="24"/>
                <w:szCs w:val="24"/>
              </w:rPr>
              <w:t>机构名称自动生成，电话、传真、地址选填</w:t>
            </w:r>
          </w:p>
        </w:tc>
      </w:tr>
      <w:tr w14:paraId="3CECA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tcPr>
          <w:p w14:paraId="34AD4F18">
            <w:pPr>
              <w:adjustRightInd w:val="0"/>
              <w:snapToGrid w:val="0"/>
              <w:rPr>
                <w:rFonts w:ascii="仿宋_GB2312" w:hAnsi="宋体" w:eastAsia="仿宋_GB2312" w:cs="宋体"/>
                <w:b/>
                <w:bCs/>
                <w:color w:val="000000"/>
                <w:kern w:val="0"/>
                <w:sz w:val="24"/>
                <w:szCs w:val="24"/>
              </w:rPr>
            </w:pPr>
            <w:r>
              <w:rPr>
                <w:rFonts w:hint="eastAsia" w:ascii="仿宋_GB2312" w:eastAsia="仿宋_GB2312"/>
                <w:b/>
                <w:kern w:val="0"/>
                <w:sz w:val="24"/>
                <w:szCs w:val="24"/>
              </w:rPr>
              <w:t>借出方交易员</w:t>
            </w:r>
          </w:p>
        </w:tc>
        <w:tc>
          <w:tcPr>
            <w:tcW w:w="3358" w:type="pct"/>
          </w:tcPr>
          <w:p w14:paraId="15F8EEBA">
            <w:pPr>
              <w:adjustRightInd w:val="0"/>
              <w:snapToGrid w:val="0"/>
              <w:rPr>
                <w:rFonts w:ascii="仿宋_GB2312" w:hAnsi="宋体" w:eastAsia="仿宋_GB2312" w:cs="宋体"/>
                <w:bCs/>
                <w:color w:val="000000"/>
                <w:kern w:val="0"/>
                <w:sz w:val="24"/>
                <w:szCs w:val="24"/>
              </w:rPr>
            </w:pPr>
            <w:r>
              <w:rPr>
                <w:rFonts w:hint="eastAsia" w:ascii="仿宋_GB2312" w:eastAsia="仿宋_GB2312"/>
                <w:kern w:val="0"/>
                <w:sz w:val="24"/>
                <w:szCs w:val="24"/>
              </w:rPr>
              <w:t>自动生成</w:t>
            </w:r>
          </w:p>
        </w:tc>
      </w:tr>
      <w:tr w14:paraId="043DF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509CC878">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借出方证券账户</w:t>
            </w:r>
          </w:p>
        </w:tc>
        <w:tc>
          <w:tcPr>
            <w:tcW w:w="3358" w:type="pct"/>
          </w:tcPr>
          <w:p w14:paraId="2795F841">
            <w:pPr>
              <w:adjustRightInd w:val="0"/>
              <w:snapToGrid w:val="0"/>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自动生成</w:t>
            </w:r>
          </w:p>
        </w:tc>
      </w:tr>
      <w:tr w14:paraId="72D3B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2A145D3D">
            <w:pPr>
              <w:adjustRightInd w:val="0"/>
              <w:snapToGrid w:val="0"/>
              <w:rPr>
                <w:rFonts w:ascii="仿宋_GB2312" w:eastAsia="仿宋_GB2312"/>
                <w:b/>
                <w:kern w:val="0"/>
                <w:sz w:val="24"/>
                <w:szCs w:val="24"/>
              </w:rPr>
            </w:pPr>
            <w:r>
              <w:rPr>
                <w:rFonts w:hint="eastAsia" w:ascii="仿宋_GB2312" w:eastAsia="仿宋_GB2312"/>
                <w:b/>
                <w:sz w:val="24"/>
                <w:szCs w:val="24"/>
              </w:rPr>
              <w:t>借出方交易单元</w:t>
            </w:r>
          </w:p>
        </w:tc>
        <w:tc>
          <w:tcPr>
            <w:tcW w:w="3358" w:type="pct"/>
          </w:tcPr>
          <w:p w14:paraId="64069ABE">
            <w:pPr>
              <w:adjustRightInd w:val="0"/>
              <w:snapToGrid w:val="0"/>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自动生成</w:t>
            </w:r>
          </w:p>
        </w:tc>
      </w:tr>
      <w:tr w14:paraId="064B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tcPr>
          <w:p w14:paraId="282DB52C">
            <w:pPr>
              <w:adjustRightInd w:val="0"/>
              <w:snapToGrid w:val="0"/>
              <w:rPr>
                <w:rFonts w:ascii="仿宋_GB2312" w:eastAsia="仿宋_GB2312"/>
                <w:b/>
                <w:kern w:val="0"/>
                <w:sz w:val="24"/>
                <w:szCs w:val="24"/>
              </w:rPr>
            </w:pPr>
            <w:r>
              <w:rPr>
                <w:rFonts w:hint="eastAsia" w:ascii="仿宋_GB2312" w:eastAsia="仿宋_GB2312"/>
                <w:b/>
                <w:sz w:val="24"/>
                <w:szCs w:val="24"/>
              </w:rPr>
              <w:t>借出方资金账户</w:t>
            </w:r>
          </w:p>
        </w:tc>
        <w:tc>
          <w:tcPr>
            <w:tcW w:w="3358" w:type="pct"/>
            <w:vAlign w:val="center"/>
          </w:tcPr>
          <w:p w14:paraId="78190D90">
            <w:pPr>
              <w:adjustRightInd w:val="0"/>
              <w:snapToGrid w:val="0"/>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续做时借出债券机构的资金</w:t>
            </w:r>
            <w:r>
              <w:rPr>
                <w:rFonts w:ascii="仿宋_GB2312" w:hAnsi="宋体" w:eastAsia="仿宋_GB2312" w:cs="宋体"/>
                <w:bCs/>
                <w:color w:val="000000"/>
                <w:kern w:val="0"/>
                <w:sz w:val="24"/>
                <w:szCs w:val="24"/>
              </w:rPr>
              <w:t>账户与名称</w:t>
            </w:r>
          </w:p>
        </w:tc>
      </w:tr>
      <w:tr w14:paraId="20A6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09E367C9">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标的债券</w:t>
            </w:r>
          </w:p>
        </w:tc>
        <w:tc>
          <w:tcPr>
            <w:tcW w:w="3358" w:type="pct"/>
            <w:vAlign w:val="center"/>
          </w:tcPr>
          <w:p w14:paraId="5DE6D85D">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债券借贷的标的债券代码和简称标识。自动带出，无需录入</w:t>
            </w:r>
          </w:p>
        </w:tc>
      </w:tr>
      <w:tr w14:paraId="0F58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6723F002">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标的</w:t>
            </w:r>
            <w:r>
              <w:rPr>
                <w:rFonts w:ascii="仿宋_GB2312" w:hAnsi="宋体" w:eastAsia="仿宋_GB2312" w:cs="宋体"/>
                <w:b/>
                <w:bCs/>
                <w:color w:val="000000"/>
                <w:kern w:val="0"/>
                <w:sz w:val="24"/>
                <w:szCs w:val="24"/>
              </w:rPr>
              <w:t>券面</w:t>
            </w:r>
            <w:r>
              <w:rPr>
                <w:rFonts w:hint="eastAsia" w:ascii="仿宋_GB2312" w:hAnsi="宋体" w:eastAsia="仿宋_GB2312" w:cs="宋体"/>
                <w:b/>
                <w:bCs/>
                <w:color w:val="000000"/>
                <w:kern w:val="0"/>
                <w:sz w:val="24"/>
                <w:szCs w:val="24"/>
              </w:rPr>
              <w:t>额</w:t>
            </w:r>
          </w:p>
        </w:tc>
        <w:tc>
          <w:tcPr>
            <w:tcW w:w="3358" w:type="pct"/>
            <w:vAlign w:val="center"/>
          </w:tcPr>
          <w:p w14:paraId="39D60045">
            <w:pPr>
              <w:adjustRightInd w:val="0"/>
              <w:snapToGrid w:val="0"/>
              <w:rPr>
                <w:rFonts w:ascii="仿宋_GB2312" w:eastAsia="仿宋_GB2312"/>
                <w:kern w:val="0"/>
                <w:sz w:val="24"/>
                <w:szCs w:val="24"/>
              </w:rPr>
            </w:pPr>
            <w:r>
              <w:rPr>
                <w:rFonts w:ascii="仿宋_GB2312" w:hAnsi="宋体" w:eastAsia="仿宋_GB2312" w:cs="宋体"/>
                <w:bCs/>
                <w:color w:val="000000"/>
                <w:kern w:val="0"/>
                <w:sz w:val="24"/>
                <w:szCs w:val="24"/>
              </w:rPr>
              <w:t>输入</w:t>
            </w:r>
            <w:r>
              <w:rPr>
                <w:rFonts w:hint="eastAsia" w:ascii="仿宋_GB2312" w:hAnsi="宋体" w:eastAsia="仿宋_GB2312" w:cs="宋体"/>
                <w:bCs/>
                <w:color w:val="000000"/>
                <w:kern w:val="0"/>
                <w:sz w:val="24"/>
                <w:szCs w:val="24"/>
              </w:rPr>
              <w:t>代码</w:t>
            </w:r>
            <w:r>
              <w:rPr>
                <w:rFonts w:ascii="仿宋_GB2312" w:hAnsi="宋体" w:eastAsia="仿宋_GB2312" w:cs="宋体"/>
                <w:bCs/>
                <w:color w:val="000000"/>
                <w:kern w:val="0"/>
                <w:sz w:val="24"/>
                <w:szCs w:val="24"/>
              </w:rPr>
              <w:t>，自动带出</w:t>
            </w:r>
          </w:p>
        </w:tc>
      </w:tr>
      <w:tr w14:paraId="783C3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0D12C9AB">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标的券数量(千元面额）</w:t>
            </w:r>
          </w:p>
        </w:tc>
        <w:tc>
          <w:tcPr>
            <w:tcW w:w="3358" w:type="pct"/>
            <w:vAlign w:val="center"/>
          </w:tcPr>
          <w:p w14:paraId="5DAC0CD0">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标的券数量可修改</w:t>
            </w:r>
          </w:p>
        </w:tc>
      </w:tr>
      <w:tr w14:paraId="2A6BB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1D7238E5">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标的债券总面额（券面</w:t>
            </w:r>
            <w:r>
              <w:rPr>
                <w:rFonts w:ascii="仿宋_GB2312" w:hAnsi="宋体" w:eastAsia="仿宋_GB2312" w:cs="宋体"/>
                <w:b/>
                <w:bCs/>
                <w:color w:val="000000"/>
                <w:kern w:val="0"/>
                <w:sz w:val="24"/>
                <w:szCs w:val="24"/>
              </w:rPr>
              <w:t>总额）</w:t>
            </w:r>
          </w:p>
        </w:tc>
        <w:tc>
          <w:tcPr>
            <w:tcW w:w="3358" w:type="pct"/>
            <w:vAlign w:val="center"/>
          </w:tcPr>
          <w:p w14:paraId="09D9C1D3">
            <w:pPr>
              <w:adjustRightInd w:val="0"/>
              <w:snapToGrid w:val="0"/>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标的债券按发行面额计算的总量，单位为万元。债券发生分期偿还、分期摊还的，债券面值为减少后的面值。</w:t>
            </w:r>
          </w:p>
          <w:p w14:paraId="17AA469E">
            <w:pPr>
              <w:adjustRightInd w:val="0"/>
              <w:snapToGrid w:val="0"/>
              <w:rPr>
                <w:rFonts w:ascii="仿宋_GB2312" w:eastAsia="仿宋_GB2312"/>
                <w:kern w:val="0"/>
                <w:sz w:val="24"/>
                <w:szCs w:val="24"/>
              </w:rPr>
            </w:pPr>
            <w:r>
              <w:rPr>
                <w:rFonts w:hint="eastAsia" w:ascii="仿宋_GB2312" w:eastAsia="仿宋_GB2312"/>
                <w:kern w:val="0"/>
                <w:sz w:val="24"/>
                <w:szCs w:val="24"/>
              </w:rPr>
              <w:t>标的券</w:t>
            </w:r>
            <w:r>
              <w:rPr>
                <w:rFonts w:hint="eastAsia" w:ascii="仿宋_GB2312" w:hAnsi="宋体" w:eastAsia="仿宋_GB2312" w:cs="宋体"/>
                <w:bCs/>
                <w:color w:val="000000"/>
                <w:kern w:val="0"/>
                <w:sz w:val="24"/>
                <w:szCs w:val="24"/>
              </w:rPr>
              <w:t>券面</w:t>
            </w:r>
            <w:r>
              <w:rPr>
                <w:rFonts w:ascii="仿宋_GB2312" w:hAnsi="宋体" w:eastAsia="仿宋_GB2312" w:cs="宋体"/>
                <w:bCs/>
                <w:color w:val="000000"/>
                <w:kern w:val="0"/>
                <w:sz w:val="24"/>
                <w:szCs w:val="24"/>
              </w:rPr>
              <w:t>总额</w:t>
            </w:r>
            <w:r>
              <w:rPr>
                <w:rFonts w:hint="eastAsia" w:ascii="仿宋_GB2312" w:hAnsi="仿宋_GB2312" w:eastAsia="仿宋_GB2312" w:cs="宋体"/>
                <w:bCs/>
                <w:color w:val="000000"/>
                <w:kern w:val="0"/>
                <w:sz w:val="24"/>
                <w:szCs w:val="24"/>
              </w:rPr>
              <w:t>=</w:t>
            </w:r>
            <w:r>
              <w:rPr>
                <w:rFonts w:hint="eastAsia" w:ascii="仿宋_GB2312" w:eastAsia="仿宋_GB2312"/>
                <w:kern w:val="0"/>
                <w:sz w:val="24"/>
                <w:szCs w:val="24"/>
              </w:rPr>
              <w:t>单张标的券</w:t>
            </w:r>
            <w:r>
              <w:rPr>
                <w:rFonts w:hint="eastAsia" w:ascii="仿宋_GB2312" w:hAnsi="宋体" w:eastAsia="仿宋_GB2312" w:cs="宋体"/>
                <w:bCs/>
                <w:color w:val="000000"/>
                <w:kern w:val="0"/>
                <w:sz w:val="24"/>
                <w:szCs w:val="24"/>
              </w:rPr>
              <w:t>面额</w:t>
            </w:r>
            <w:r>
              <w:rPr>
                <w:rFonts w:ascii="仿宋_GB2312" w:hAnsi="宋体" w:eastAsia="仿宋_GB2312" w:cs="宋体"/>
                <w:bCs/>
                <w:color w:val="000000"/>
                <w:kern w:val="0"/>
                <w:sz w:val="24"/>
                <w:szCs w:val="24"/>
              </w:rPr>
              <w:t>×</w:t>
            </w:r>
            <w:r>
              <w:rPr>
                <w:rFonts w:hint="eastAsia" w:ascii="仿宋_GB2312" w:hAnsi="宋体" w:eastAsia="仿宋_GB2312" w:cs="宋体"/>
                <w:bCs/>
                <w:color w:val="000000"/>
                <w:kern w:val="0"/>
                <w:sz w:val="24"/>
                <w:szCs w:val="24"/>
              </w:rPr>
              <w:t>标的</w:t>
            </w:r>
            <w:r>
              <w:rPr>
                <w:rFonts w:ascii="仿宋_GB2312" w:hAnsi="宋体" w:eastAsia="仿宋_GB2312" w:cs="宋体"/>
                <w:bCs/>
                <w:color w:val="000000"/>
                <w:kern w:val="0"/>
                <w:sz w:val="24"/>
                <w:szCs w:val="24"/>
              </w:rPr>
              <w:t>券数量</w:t>
            </w:r>
          </w:p>
        </w:tc>
      </w:tr>
      <w:tr w14:paraId="600F1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76EA61AC">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标的</w:t>
            </w:r>
            <w:r>
              <w:rPr>
                <w:rFonts w:ascii="仿宋_GB2312" w:hAnsi="宋体" w:eastAsia="仿宋_GB2312" w:cs="宋体"/>
                <w:b/>
                <w:bCs/>
                <w:color w:val="000000"/>
                <w:kern w:val="0"/>
                <w:sz w:val="24"/>
                <w:szCs w:val="24"/>
              </w:rPr>
              <w:t>券下一付息日</w:t>
            </w:r>
          </w:p>
        </w:tc>
        <w:tc>
          <w:tcPr>
            <w:tcW w:w="3358" w:type="pct"/>
            <w:vAlign w:val="center"/>
          </w:tcPr>
          <w:p w14:paraId="4CDFF242">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标的债券下次付息日。</w:t>
            </w:r>
          </w:p>
        </w:tc>
      </w:tr>
      <w:tr w14:paraId="0A29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326D22EC">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应计利息</w:t>
            </w:r>
            <w:r>
              <w:rPr>
                <w:rFonts w:ascii="仿宋_GB2312" w:hAnsi="宋体" w:eastAsia="仿宋_GB2312" w:cs="宋体"/>
                <w:b/>
                <w:bCs/>
                <w:color w:val="000000"/>
                <w:kern w:val="0"/>
                <w:sz w:val="24"/>
                <w:szCs w:val="24"/>
              </w:rPr>
              <w:t>总额</w:t>
            </w:r>
          </w:p>
        </w:tc>
        <w:tc>
          <w:tcPr>
            <w:tcW w:w="3358" w:type="pct"/>
            <w:vAlign w:val="center"/>
          </w:tcPr>
          <w:p w14:paraId="52B9E81A">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标的债券下次付息日付息总额。</w:t>
            </w:r>
          </w:p>
        </w:tc>
      </w:tr>
      <w:tr w14:paraId="1F864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42BE3100">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质押债券</w:t>
            </w:r>
          </w:p>
        </w:tc>
        <w:tc>
          <w:tcPr>
            <w:tcW w:w="3358" w:type="pct"/>
            <w:vAlign w:val="center"/>
          </w:tcPr>
          <w:p w14:paraId="3045D8BD">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债券借贷过程中，债券借入方质押给债券借出方的债券代码和简称标识</w:t>
            </w:r>
          </w:p>
        </w:tc>
      </w:tr>
      <w:tr w14:paraId="6266C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662E18F3">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质押</w:t>
            </w:r>
            <w:r>
              <w:rPr>
                <w:rFonts w:ascii="仿宋_GB2312" w:hAnsi="宋体" w:eastAsia="仿宋_GB2312" w:cs="宋体"/>
                <w:b/>
                <w:bCs/>
                <w:color w:val="000000"/>
                <w:kern w:val="0"/>
                <w:sz w:val="24"/>
                <w:szCs w:val="24"/>
              </w:rPr>
              <w:t>券面</w:t>
            </w:r>
            <w:r>
              <w:rPr>
                <w:rFonts w:hint="eastAsia" w:ascii="仿宋_GB2312" w:hAnsi="宋体" w:eastAsia="仿宋_GB2312" w:cs="宋体"/>
                <w:b/>
                <w:bCs/>
                <w:color w:val="000000"/>
                <w:kern w:val="0"/>
                <w:sz w:val="24"/>
                <w:szCs w:val="24"/>
              </w:rPr>
              <w:t>额（</w:t>
            </w:r>
            <w:r>
              <w:rPr>
                <w:rFonts w:ascii="仿宋_GB2312" w:hAnsi="宋体" w:eastAsia="仿宋_GB2312" w:cs="宋体"/>
                <w:b/>
                <w:bCs/>
                <w:color w:val="000000"/>
                <w:kern w:val="0"/>
                <w:sz w:val="24"/>
                <w:szCs w:val="24"/>
              </w:rPr>
              <w:t>元）</w:t>
            </w:r>
          </w:p>
        </w:tc>
        <w:tc>
          <w:tcPr>
            <w:tcW w:w="3358" w:type="pct"/>
            <w:vAlign w:val="center"/>
          </w:tcPr>
          <w:p w14:paraId="5B77E6F1">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显示初始</w:t>
            </w:r>
            <w:r>
              <w:rPr>
                <w:rFonts w:ascii="仿宋_GB2312" w:hAnsi="宋体" w:eastAsia="仿宋_GB2312" w:cs="宋体"/>
                <w:bCs/>
                <w:color w:val="000000"/>
                <w:kern w:val="0"/>
                <w:sz w:val="24"/>
                <w:szCs w:val="24"/>
              </w:rPr>
              <w:t>面</w:t>
            </w:r>
            <w:r>
              <w:rPr>
                <w:rFonts w:hint="eastAsia" w:ascii="仿宋_GB2312" w:hAnsi="宋体" w:eastAsia="仿宋_GB2312" w:cs="宋体"/>
                <w:bCs/>
                <w:color w:val="000000"/>
                <w:kern w:val="0"/>
                <w:sz w:val="24"/>
                <w:szCs w:val="24"/>
              </w:rPr>
              <w:t>额与最新</w:t>
            </w:r>
            <w:r>
              <w:rPr>
                <w:rFonts w:ascii="仿宋_GB2312" w:hAnsi="宋体" w:eastAsia="仿宋_GB2312" w:cs="宋体"/>
                <w:bCs/>
                <w:color w:val="000000"/>
                <w:kern w:val="0"/>
                <w:sz w:val="24"/>
                <w:szCs w:val="24"/>
              </w:rPr>
              <w:t>面</w:t>
            </w:r>
            <w:r>
              <w:rPr>
                <w:rFonts w:hint="eastAsia" w:ascii="仿宋_GB2312" w:hAnsi="宋体" w:eastAsia="仿宋_GB2312" w:cs="宋体"/>
                <w:bCs/>
                <w:color w:val="000000"/>
                <w:kern w:val="0"/>
                <w:sz w:val="24"/>
                <w:szCs w:val="24"/>
              </w:rPr>
              <w:t>额。质押</w:t>
            </w:r>
            <w:r>
              <w:rPr>
                <w:rFonts w:ascii="仿宋_GB2312" w:hAnsi="宋体" w:eastAsia="仿宋_GB2312" w:cs="宋体"/>
                <w:bCs/>
                <w:color w:val="000000"/>
                <w:kern w:val="0"/>
                <w:sz w:val="24"/>
                <w:szCs w:val="24"/>
              </w:rPr>
              <w:t>券</w:t>
            </w:r>
            <w:r>
              <w:rPr>
                <w:rFonts w:hint="eastAsia" w:ascii="仿宋_GB2312" w:hAnsi="宋体" w:eastAsia="仿宋_GB2312" w:cs="宋体"/>
                <w:bCs/>
                <w:color w:val="000000"/>
                <w:kern w:val="0"/>
                <w:sz w:val="24"/>
                <w:szCs w:val="24"/>
              </w:rPr>
              <w:t>初始</w:t>
            </w:r>
            <w:r>
              <w:rPr>
                <w:rFonts w:ascii="仿宋_GB2312" w:hAnsi="宋体" w:eastAsia="仿宋_GB2312" w:cs="宋体"/>
                <w:bCs/>
                <w:color w:val="000000"/>
                <w:kern w:val="0"/>
                <w:sz w:val="24"/>
                <w:szCs w:val="24"/>
              </w:rPr>
              <w:t>面额为</w:t>
            </w:r>
            <w:r>
              <w:rPr>
                <w:rFonts w:hint="eastAsia" w:ascii="仿宋_GB2312" w:hAnsi="宋体" w:eastAsia="仿宋_GB2312" w:cs="宋体"/>
                <w:bCs/>
                <w:color w:val="000000"/>
                <w:kern w:val="0"/>
                <w:sz w:val="24"/>
                <w:szCs w:val="24"/>
              </w:rPr>
              <w:t>质押</w:t>
            </w:r>
            <w:r>
              <w:rPr>
                <w:rFonts w:ascii="仿宋_GB2312" w:hAnsi="宋体" w:eastAsia="仿宋_GB2312" w:cs="宋体"/>
                <w:bCs/>
                <w:color w:val="000000"/>
                <w:kern w:val="0"/>
                <w:sz w:val="24"/>
                <w:szCs w:val="24"/>
              </w:rPr>
              <w:t>当日债券面额</w:t>
            </w:r>
            <w:r>
              <w:rPr>
                <w:rFonts w:hint="eastAsia" w:ascii="仿宋_GB2312" w:hAnsi="宋体" w:eastAsia="仿宋_GB2312" w:cs="宋体"/>
                <w:bCs/>
                <w:color w:val="000000"/>
                <w:kern w:val="0"/>
                <w:sz w:val="24"/>
                <w:szCs w:val="24"/>
              </w:rPr>
              <w:t>（发行</w:t>
            </w:r>
            <w:r>
              <w:rPr>
                <w:rFonts w:ascii="仿宋_GB2312" w:hAnsi="宋体" w:eastAsia="仿宋_GB2312" w:cs="宋体"/>
                <w:bCs/>
                <w:color w:val="000000"/>
                <w:kern w:val="0"/>
                <w:sz w:val="24"/>
                <w:szCs w:val="24"/>
              </w:rPr>
              <w:t>面额，如发行后</w:t>
            </w:r>
            <w:r>
              <w:rPr>
                <w:rFonts w:hint="eastAsia" w:ascii="仿宋_GB2312" w:hAnsi="宋体" w:eastAsia="仿宋_GB2312" w:cs="宋体"/>
                <w:bCs/>
                <w:color w:val="000000"/>
                <w:kern w:val="0"/>
                <w:sz w:val="24"/>
                <w:szCs w:val="24"/>
              </w:rPr>
              <w:t>债券发生分期偿还、分期摊还的，债券面值为减少后的面额），如质押日</w:t>
            </w:r>
            <w:r>
              <w:rPr>
                <w:rFonts w:ascii="仿宋_GB2312" w:hAnsi="宋体" w:eastAsia="仿宋_GB2312" w:cs="宋体"/>
                <w:bCs/>
                <w:color w:val="000000"/>
                <w:kern w:val="0"/>
                <w:sz w:val="24"/>
                <w:szCs w:val="24"/>
              </w:rPr>
              <w:t>后</w:t>
            </w:r>
            <w:r>
              <w:rPr>
                <w:rFonts w:hint="eastAsia" w:ascii="仿宋_GB2312" w:hAnsi="宋体" w:eastAsia="仿宋_GB2312" w:cs="宋体"/>
                <w:bCs/>
                <w:color w:val="000000"/>
                <w:kern w:val="0"/>
                <w:sz w:val="24"/>
                <w:szCs w:val="24"/>
              </w:rPr>
              <w:t>，债券发生分期偿还、分期摊还的，相关</w:t>
            </w:r>
            <w:r>
              <w:rPr>
                <w:rFonts w:ascii="仿宋_GB2312" w:hAnsi="宋体" w:eastAsia="仿宋_GB2312" w:cs="宋体"/>
                <w:bCs/>
                <w:color w:val="000000"/>
                <w:kern w:val="0"/>
                <w:sz w:val="24"/>
                <w:szCs w:val="24"/>
              </w:rPr>
              <w:t>质押券面额需更新，显示为</w:t>
            </w:r>
            <w:r>
              <w:rPr>
                <w:rFonts w:hint="eastAsia" w:ascii="仿宋_GB2312" w:hAnsi="宋体" w:eastAsia="仿宋_GB2312" w:cs="宋体"/>
                <w:bCs/>
                <w:color w:val="000000"/>
                <w:kern w:val="0"/>
                <w:sz w:val="24"/>
                <w:szCs w:val="24"/>
              </w:rPr>
              <w:t>最新</w:t>
            </w:r>
            <w:r>
              <w:rPr>
                <w:rFonts w:ascii="仿宋_GB2312" w:hAnsi="宋体" w:eastAsia="仿宋_GB2312" w:cs="宋体"/>
                <w:bCs/>
                <w:color w:val="000000"/>
                <w:kern w:val="0"/>
                <w:sz w:val="24"/>
                <w:szCs w:val="24"/>
              </w:rPr>
              <w:t>面</w:t>
            </w:r>
            <w:r>
              <w:rPr>
                <w:rFonts w:hint="eastAsia" w:ascii="仿宋_GB2312" w:hAnsi="宋体" w:eastAsia="仿宋_GB2312" w:cs="宋体"/>
                <w:bCs/>
                <w:color w:val="000000"/>
                <w:kern w:val="0"/>
                <w:sz w:val="24"/>
                <w:szCs w:val="24"/>
              </w:rPr>
              <w:t>额。</w:t>
            </w:r>
          </w:p>
        </w:tc>
      </w:tr>
      <w:tr w14:paraId="7A23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6F0D10D8">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质押券数量</w:t>
            </w:r>
            <w:r>
              <w:rPr>
                <w:rFonts w:ascii="仿宋_GB2312" w:hAnsi="宋体" w:eastAsia="仿宋_GB2312" w:cs="宋体"/>
                <w:b/>
                <w:bCs/>
                <w:color w:val="000000"/>
                <w:kern w:val="0"/>
                <w:sz w:val="24"/>
                <w:szCs w:val="24"/>
              </w:rPr>
              <w:t>（千元面额）</w:t>
            </w:r>
          </w:p>
        </w:tc>
        <w:tc>
          <w:tcPr>
            <w:tcW w:w="3358" w:type="pct"/>
            <w:vAlign w:val="center"/>
          </w:tcPr>
          <w:p w14:paraId="770A2F45">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质押券数量</w:t>
            </w:r>
          </w:p>
        </w:tc>
      </w:tr>
      <w:tr w14:paraId="15D57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jc w:val="center"/>
        </w:trPr>
        <w:tc>
          <w:tcPr>
            <w:tcW w:w="1642" w:type="pct"/>
            <w:vAlign w:val="center"/>
          </w:tcPr>
          <w:p w14:paraId="675C0D73">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质押债券总面额（券面</w:t>
            </w:r>
            <w:r>
              <w:rPr>
                <w:rFonts w:ascii="仿宋_GB2312" w:hAnsi="宋体" w:eastAsia="仿宋_GB2312" w:cs="宋体"/>
                <w:b/>
                <w:bCs/>
                <w:color w:val="000000"/>
                <w:kern w:val="0"/>
                <w:sz w:val="24"/>
                <w:szCs w:val="24"/>
              </w:rPr>
              <w:t>总额）</w:t>
            </w:r>
          </w:p>
        </w:tc>
        <w:tc>
          <w:tcPr>
            <w:tcW w:w="3358" w:type="pct"/>
            <w:vAlign w:val="center"/>
          </w:tcPr>
          <w:p w14:paraId="665E0179">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质押债券按发行面额计算的总量，单位为万元。债券发生分期偿还、分期摊还的，债券面值为减少后的面值。</w:t>
            </w:r>
          </w:p>
          <w:p w14:paraId="427D0B3B">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显示初始券面总</w:t>
            </w:r>
            <w:r>
              <w:rPr>
                <w:rFonts w:ascii="仿宋_GB2312" w:hAnsi="宋体" w:eastAsia="仿宋_GB2312" w:cs="宋体"/>
                <w:bCs/>
                <w:color w:val="000000"/>
                <w:kern w:val="0"/>
                <w:sz w:val="24"/>
                <w:szCs w:val="24"/>
              </w:rPr>
              <w:t>额</w:t>
            </w:r>
            <w:r>
              <w:rPr>
                <w:rFonts w:hint="eastAsia" w:ascii="仿宋_GB2312" w:hAnsi="宋体" w:eastAsia="仿宋_GB2312" w:cs="宋体"/>
                <w:bCs/>
                <w:color w:val="000000"/>
                <w:kern w:val="0"/>
                <w:sz w:val="24"/>
                <w:szCs w:val="24"/>
              </w:rPr>
              <w:t>与</w:t>
            </w:r>
            <w:r>
              <w:rPr>
                <w:rFonts w:ascii="仿宋_GB2312" w:hAnsi="宋体" w:eastAsia="仿宋_GB2312" w:cs="宋体"/>
                <w:bCs/>
                <w:color w:val="000000"/>
                <w:kern w:val="0"/>
                <w:sz w:val="24"/>
                <w:szCs w:val="24"/>
              </w:rPr>
              <w:t>最</w:t>
            </w:r>
            <w:r>
              <w:rPr>
                <w:rFonts w:hint="eastAsia" w:ascii="仿宋_GB2312" w:hAnsi="宋体" w:eastAsia="仿宋_GB2312" w:cs="宋体"/>
                <w:bCs/>
                <w:color w:val="000000"/>
                <w:kern w:val="0"/>
                <w:sz w:val="24"/>
                <w:szCs w:val="24"/>
              </w:rPr>
              <w:t>新券面</w:t>
            </w:r>
            <w:r>
              <w:rPr>
                <w:rFonts w:ascii="仿宋_GB2312" w:hAnsi="宋体" w:eastAsia="仿宋_GB2312" w:cs="宋体"/>
                <w:bCs/>
                <w:color w:val="000000"/>
                <w:kern w:val="0"/>
                <w:sz w:val="24"/>
                <w:szCs w:val="24"/>
              </w:rPr>
              <w:t>总额</w:t>
            </w:r>
            <w:r>
              <w:rPr>
                <w:rFonts w:hint="eastAsia" w:ascii="仿宋_GB2312" w:hAnsi="宋体" w:eastAsia="仿宋_GB2312" w:cs="宋体"/>
                <w:bCs/>
                <w:color w:val="000000"/>
                <w:kern w:val="0"/>
                <w:sz w:val="24"/>
                <w:szCs w:val="24"/>
              </w:rPr>
              <w:t>：</w:t>
            </w:r>
          </w:p>
          <w:p w14:paraId="29E453CF">
            <w:pPr>
              <w:jc w:val="left"/>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初始券面</w:t>
            </w:r>
            <w:r>
              <w:rPr>
                <w:rFonts w:ascii="仿宋_GB2312" w:hAnsi="宋体" w:eastAsia="仿宋_GB2312" w:cs="宋体"/>
                <w:bCs/>
                <w:color w:val="000000"/>
                <w:kern w:val="0"/>
                <w:sz w:val="24"/>
                <w:szCs w:val="24"/>
              </w:rPr>
              <w:t>总额</w:t>
            </w:r>
            <w:r>
              <w:rPr>
                <w:rFonts w:hint="eastAsia" w:ascii="仿宋_GB2312" w:hAnsi="仿宋_GB2312" w:eastAsia="仿宋_GB2312" w:cs="宋体"/>
                <w:bCs/>
                <w:color w:val="000000"/>
                <w:kern w:val="0"/>
                <w:sz w:val="24"/>
                <w:szCs w:val="24"/>
              </w:rPr>
              <w:t>=</w:t>
            </w:r>
            <w:r>
              <w:rPr>
                <w:rFonts w:hint="eastAsia" w:ascii="仿宋_GB2312" w:hAnsi="宋体" w:eastAsia="仿宋_GB2312" w:cs="宋体"/>
                <w:bCs/>
                <w:color w:val="000000"/>
                <w:kern w:val="0"/>
                <w:sz w:val="24"/>
                <w:szCs w:val="24"/>
              </w:rPr>
              <w:t>单张质押券初始面额×质押券数量</w:t>
            </w:r>
          </w:p>
          <w:p w14:paraId="7AF5216D">
            <w:pPr>
              <w:adjustRightInd w:val="0"/>
              <w:snapToGrid w:val="0"/>
              <w:rPr>
                <w:rFonts w:ascii="仿宋_GB2312" w:eastAsia="仿宋_GB2312"/>
                <w:kern w:val="0"/>
                <w:sz w:val="24"/>
                <w:szCs w:val="24"/>
              </w:rPr>
            </w:pPr>
            <w:r>
              <w:rPr>
                <w:rFonts w:ascii="仿宋_GB2312" w:hAnsi="宋体" w:eastAsia="仿宋_GB2312" w:cs="宋体"/>
                <w:bCs/>
                <w:color w:val="000000"/>
                <w:kern w:val="0"/>
                <w:sz w:val="24"/>
                <w:szCs w:val="24"/>
              </w:rPr>
              <w:t>最</w:t>
            </w:r>
            <w:r>
              <w:rPr>
                <w:rFonts w:hint="eastAsia" w:ascii="仿宋_GB2312" w:hAnsi="宋体" w:eastAsia="仿宋_GB2312" w:cs="宋体"/>
                <w:bCs/>
                <w:color w:val="000000"/>
                <w:kern w:val="0"/>
                <w:sz w:val="24"/>
                <w:szCs w:val="24"/>
              </w:rPr>
              <w:t>新券面</w:t>
            </w:r>
            <w:r>
              <w:rPr>
                <w:rFonts w:ascii="仿宋_GB2312" w:hAnsi="宋体" w:eastAsia="仿宋_GB2312" w:cs="宋体"/>
                <w:bCs/>
                <w:color w:val="000000"/>
                <w:kern w:val="0"/>
                <w:sz w:val="24"/>
                <w:szCs w:val="24"/>
              </w:rPr>
              <w:t>总额</w:t>
            </w:r>
            <w:r>
              <w:rPr>
                <w:rFonts w:hint="eastAsia" w:ascii="仿宋_GB2312" w:hAnsi="仿宋_GB2312" w:eastAsia="仿宋_GB2312" w:cs="宋体"/>
                <w:bCs/>
                <w:color w:val="000000"/>
                <w:kern w:val="0"/>
                <w:sz w:val="24"/>
                <w:szCs w:val="24"/>
              </w:rPr>
              <w:t>=</w:t>
            </w:r>
            <w:r>
              <w:rPr>
                <w:rFonts w:hint="eastAsia" w:ascii="仿宋_GB2312" w:hAnsi="宋体" w:eastAsia="仿宋_GB2312" w:cs="宋体"/>
                <w:bCs/>
                <w:color w:val="000000"/>
                <w:kern w:val="0"/>
                <w:sz w:val="24"/>
                <w:szCs w:val="24"/>
              </w:rPr>
              <w:t>单张质押券最新面额×质押券数量</w:t>
            </w:r>
          </w:p>
        </w:tc>
      </w:tr>
      <w:tr w14:paraId="4212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2EA2AB5A">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借贷费率</w:t>
            </w:r>
          </w:p>
        </w:tc>
        <w:tc>
          <w:tcPr>
            <w:tcW w:w="3358" w:type="pct"/>
            <w:vAlign w:val="center"/>
          </w:tcPr>
          <w:p w14:paraId="33E2A12A">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续做时债券借入方从债券借出方借入标的债券支付借贷费用的约定费率。</w:t>
            </w:r>
          </w:p>
        </w:tc>
      </w:tr>
      <w:tr w14:paraId="1A3D1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488430D5">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借贷期限</w:t>
            </w:r>
          </w:p>
        </w:tc>
        <w:tc>
          <w:tcPr>
            <w:tcW w:w="3358" w:type="pct"/>
            <w:vAlign w:val="center"/>
          </w:tcPr>
          <w:p w14:paraId="777839EF">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续做</w:t>
            </w:r>
            <w:r>
              <w:rPr>
                <w:rFonts w:ascii="仿宋_GB2312" w:hAnsi="宋体" w:eastAsia="仿宋_GB2312" w:cs="宋体"/>
                <w:bCs/>
                <w:color w:val="000000"/>
                <w:kern w:val="0"/>
                <w:sz w:val="24"/>
                <w:szCs w:val="24"/>
              </w:rPr>
              <w:t>时</w:t>
            </w:r>
            <w:r>
              <w:rPr>
                <w:rFonts w:hint="eastAsia" w:ascii="仿宋_GB2312" w:hAnsi="宋体" w:eastAsia="仿宋_GB2312" w:cs="宋体"/>
                <w:bCs/>
                <w:color w:val="000000"/>
                <w:kern w:val="0"/>
                <w:sz w:val="24"/>
                <w:szCs w:val="24"/>
              </w:rPr>
              <w:t>首期结算日至到期结算日的日历天数，含首期结算日，不含到期结算日。</w:t>
            </w:r>
          </w:p>
        </w:tc>
      </w:tr>
      <w:tr w14:paraId="53DA5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1EB16221">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借贷</w:t>
            </w:r>
            <w:r>
              <w:rPr>
                <w:rFonts w:ascii="仿宋_GB2312" w:hAnsi="宋体" w:eastAsia="仿宋_GB2312" w:cs="宋体"/>
                <w:b/>
                <w:bCs/>
                <w:color w:val="000000"/>
                <w:kern w:val="0"/>
                <w:sz w:val="24"/>
                <w:szCs w:val="24"/>
              </w:rPr>
              <w:t>费用</w:t>
            </w:r>
          </w:p>
        </w:tc>
        <w:tc>
          <w:tcPr>
            <w:tcW w:w="3358" w:type="pct"/>
            <w:vAlign w:val="center"/>
          </w:tcPr>
          <w:p w14:paraId="64006B11">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债券借贷费用=标的债券券面总额×债券借贷费率×借贷期限/365。</w:t>
            </w:r>
          </w:p>
        </w:tc>
      </w:tr>
      <w:tr w14:paraId="55CC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shd w:val="clear" w:color="auto" w:fill="auto"/>
            <w:vAlign w:val="center"/>
          </w:tcPr>
          <w:p w14:paraId="77DCBC71">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首期结算日</w:t>
            </w:r>
          </w:p>
        </w:tc>
        <w:tc>
          <w:tcPr>
            <w:tcW w:w="3358" w:type="pct"/>
            <w:shd w:val="clear" w:color="auto" w:fill="auto"/>
            <w:vAlign w:val="center"/>
          </w:tcPr>
          <w:p w14:paraId="039C6013">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针对</w:t>
            </w:r>
            <w:r>
              <w:rPr>
                <w:rFonts w:ascii="仿宋_GB2312" w:hAnsi="宋体" w:eastAsia="仿宋_GB2312" w:cs="宋体"/>
                <w:bCs/>
                <w:color w:val="000000"/>
                <w:kern w:val="0"/>
                <w:sz w:val="24"/>
                <w:szCs w:val="24"/>
              </w:rPr>
              <w:t>续</w:t>
            </w:r>
            <w:r>
              <w:rPr>
                <w:rFonts w:hint="eastAsia" w:ascii="仿宋_GB2312" w:hAnsi="宋体" w:eastAsia="仿宋_GB2312" w:cs="宋体"/>
                <w:bCs/>
                <w:color w:val="000000"/>
                <w:kern w:val="0"/>
                <w:sz w:val="24"/>
                <w:szCs w:val="24"/>
              </w:rPr>
              <w:t>做</w:t>
            </w:r>
            <w:r>
              <w:rPr>
                <w:rFonts w:ascii="仿宋_GB2312" w:hAnsi="宋体" w:eastAsia="仿宋_GB2312" w:cs="宋体"/>
                <w:bCs/>
                <w:color w:val="000000"/>
                <w:kern w:val="0"/>
                <w:sz w:val="24"/>
                <w:szCs w:val="24"/>
              </w:rPr>
              <w:t>合约，首期结算日为</w:t>
            </w:r>
            <w:r>
              <w:rPr>
                <w:rFonts w:hint="eastAsia" w:ascii="仿宋_GB2312" w:hAnsi="宋体" w:eastAsia="仿宋_GB2312" w:cs="宋体"/>
                <w:bCs/>
                <w:color w:val="000000"/>
                <w:kern w:val="0"/>
                <w:sz w:val="24"/>
                <w:szCs w:val="24"/>
              </w:rPr>
              <w:t>申报</w:t>
            </w:r>
            <w:r>
              <w:rPr>
                <w:rFonts w:ascii="仿宋_GB2312" w:hAnsi="宋体" w:eastAsia="仿宋_GB2312" w:cs="宋体"/>
                <w:bCs/>
                <w:color w:val="000000"/>
                <w:kern w:val="0"/>
                <w:sz w:val="24"/>
                <w:szCs w:val="24"/>
              </w:rPr>
              <w:t>续</w:t>
            </w:r>
            <w:r>
              <w:rPr>
                <w:rFonts w:hint="eastAsia" w:ascii="仿宋_GB2312" w:hAnsi="宋体" w:eastAsia="仿宋_GB2312" w:cs="宋体"/>
                <w:bCs/>
                <w:color w:val="000000"/>
                <w:kern w:val="0"/>
                <w:sz w:val="24"/>
                <w:szCs w:val="24"/>
              </w:rPr>
              <w:t>做</w:t>
            </w:r>
            <w:r>
              <w:rPr>
                <w:rFonts w:ascii="仿宋_GB2312" w:hAnsi="宋体" w:eastAsia="仿宋_GB2312" w:cs="宋体"/>
                <w:bCs/>
                <w:color w:val="000000"/>
                <w:kern w:val="0"/>
                <w:sz w:val="24"/>
                <w:szCs w:val="24"/>
              </w:rPr>
              <w:t>当日。</w:t>
            </w:r>
          </w:p>
        </w:tc>
      </w:tr>
      <w:tr w14:paraId="55622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66B96D97">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到期结算日</w:t>
            </w:r>
          </w:p>
        </w:tc>
        <w:tc>
          <w:tcPr>
            <w:tcW w:w="3358" w:type="pct"/>
            <w:vAlign w:val="center"/>
          </w:tcPr>
          <w:p w14:paraId="51428FC8">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债券借入方将标的债券归还借出方并支付债券借出方借贷费用的日期。若到期结算日为上交所非交易日，则实际到期结算日顺延至下一交易日。</w:t>
            </w:r>
          </w:p>
        </w:tc>
      </w:tr>
      <w:tr w14:paraId="0A8F4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42" w:type="pct"/>
            <w:vAlign w:val="center"/>
          </w:tcPr>
          <w:p w14:paraId="403A701F">
            <w:pPr>
              <w:adjustRightInd w:val="0"/>
              <w:snapToGrid w:val="0"/>
              <w:rPr>
                <w:rFonts w:ascii="仿宋_GB2312" w:eastAsia="仿宋_GB2312"/>
                <w:b/>
                <w:kern w:val="0"/>
                <w:sz w:val="24"/>
                <w:szCs w:val="24"/>
              </w:rPr>
            </w:pPr>
            <w:r>
              <w:rPr>
                <w:rFonts w:hint="eastAsia" w:ascii="仿宋_GB2312" w:hAnsi="宋体" w:eastAsia="仿宋_GB2312" w:cs="宋体"/>
                <w:b/>
                <w:bCs/>
                <w:color w:val="000000"/>
                <w:kern w:val="0"/>
                <w:sz w:val="24"/>
                <w:szCs w:val="24"/>
              </w:rPr>
              <w:t>其他</w:t>
            </w:r>
            <w:r>
              <w:rPr>
                <w:rFonts w:ascii="仿宋_GB2312" w:hAnsi="宋体" w:eastAsia="仿宋_GB2312" w:cs="宋体"/>
                <w:b/>
                <w:bCs/>
                <w:color w:val="000000"/>
                <w:kern w:val="0"/>
                <w:sz w:val="24"/>
                <w:szCs w:val="24"/>
              </w:rPr>
              <w:t>约定</w:t>
            </w:r>
          </w:p>
        </w:tc>
        <w:tc>
          <w:tcPr>
            <w:tcW w:w="3358" w:type="pct"/>
            <w:vAlign w:val="center"/>
          </w:tcPr>
          <w:p w14:paraId="25CAE86A">
            <w:pPr>
              <w:adjustRightInd w:val="0"/>
              <w:snapToGrid w:val="0"/>
              <w:rPr>
                <w:rFonts w:ascii="仿宋_GB2312" w:eastAsia="仿宋_GB2312"/>
                <w:kern w:val="0"/>
                <w:sz w:val="24"/>
                <w:szCs w:val="24"/>
              </w:rPr>
            </w:pPr>
            <w:r>
              <w:rPr>
                <w:rFonts w:hint="eastAsia" w:ascii="仿宋_GB2312" w:hAnsi="宋体" w:eastAsia="仿宋_GB2312" w:cs="宋体"/>
                <w:bCs/>
                <w:color w:val="000000"/>
                <w:kern w:val="0"/>
                <w:sz w:val="24"/>
                <w:szCs w:val="24"/>
              </w:rPr>
              <w:t>借贷</w:t>
            </w:r>
            <w:r>
              <w:rPr>
                <w:rFonts w:ascii="仿宋_GB2312" w:hAnsi="宋体" w:eastAsia="仿宋_GB2312" w:cs="宋体"/>
                <w:bCs/>
                <w:color w:val="000000"/>
                <w:kern w:val="0"/>
                <w:sz w:val="24"/>
                <w:szCs w:val="24"/>
              </w:rPr>
              <w:t>双方补充约定，</w:t>
            </w:r>
            <w:r>
              <w:rPr>
                <w:rFonts w:hint="eastAsia" w:ascii="仿宋_GB2312" w:hAnsi="宋体" w:eastAsia="仿宋_GB2312" w:cs="宋体"/>
                <w:bCs/>
                <w:color w:val="000000"/>
                <w:kern w:val="0"/>
                <w:sz w:val="24"/>
                <w:szCs w:val="24"/>
              </w:rPr>
              <w:t>包括质押债券及标的债券的折算标准、费用、风险处置以及借贷违约处置等内容，</w:t>
            </w:r>
            <w:r>
              <w:rPr>
                <w:rFonts w:ascii="仿宋_GB2312" w:hAnsi="宋体" w:eastAsia="仿宋_GB2312" w:cs="宋体"/>
                <w:bCs/>
                <w:color w:val="000000"/>
                <w:kern w:val="0"/>
                <w:sz w:val="24"/>
                <w:szCs w:val="24"/>
              </w:rPr>
              <w:t>如有</w:t>
            </w:r>
          </w:p>
        </w:tc>
      </w:tr>
    </w:tbl>
    <w:p w14:paraId="7FCC9AB1">
      <w:pPr>
        <w:spacing w:line="560" w:lineRule="exact"/>
        <w:ind w:firstLine="600" w:firstLineChars="200"/>
        <w:jc w:val="left"/>
        <w:rPr>
          <w:rFonts w:ascii="仿宋_GB2312" w:hAnsi="宋体" w:eastAsia="仿宋_GB2312" w:cs="宋体"/>
          <w:sz w:val="30"/>
          <w:szCs w:val="30"/>
        </w:rPr>
      </w:pPr>
      <w:r>
        <w:rPr>
          <w:rFonts w:hint="eastAsia" w:ascii="仿宋_GB2312" w:hAnsi="宋体" w:eastAsia="仿宋_GB2312" w:cs="宋体"/>
          <w:sz w:val="30"/>
          <w:szCs w:val="30"/>
        </w:rPr>
        <w:t>2</w:t>
      </w:r>
      <w:r>
        <w:rPr>
          <w:rFonts w:ascii="仿宋_GB2312" w:hAnsi="宋体" w:eastAsia="仿宋_GB2312" w:cs="宋体"/>
          <w:sz w:val="30"/>
          <w:szCs w:val="30"/>
        </w:rPr>
        <w:t>）</w:t>
      </w:r>
      <w:r>
        <w:rPr>
          <w:rFonts w:hint="eastAsia" w:ascii="仿宋_GB2312" w:hAnsi="宋体" w:eastAsia="仿宋_GB2312" w:cs="宋体"/>
          <w:sz w:val="30"/>
          <w:szCs w:val="30"/>
        </w:rPr>
        <w:t>到期结算</w:t>
      </w:r>
    </w:p>
    <w:p w14:paraId="53EF454F">
      <w:pPr>
        <w:spacing w:line="560" w:lineRule="exact"/>
        <w:ind w:firstLine="600"/>
        <w:rPr>
          <w:rFonts w:ascii="仿宋_GB2312" w:hAnsi="宋体" w:eastAsia="仿宋_GB2312" w:cs="宋体"/>
          <w:sz w:val="30"/>
          <w:szCs w:val="30"/>
        </w:rPr>
      </w:pPr>
      <w:r>
        <w:rPr>
          <w:rFonts w:hint="eastAsia" w:ascii="仿宋_GB2312" w:hAnsi="宋体" w:eastAsia="仿宋_GB2312" w:cs="宋体"/>
          <w:sz w:val="30"/>
          <w:szCs w:val="30"/>
        </w:rPr>
        <w:t>到期债券结算的，债券借入方应对当日到期的债券借贷提交到期债券结算申报，选择</w:t>
      </w:r>
      <w:r>
        <w:rPr>
          <w:rFonts w:ascii="仿宋_GB2312" w:hAnsi="宋体" w:eastAsia="仿宋_GB2312" w:cs="宋体"/>
          <w:sz w:val="30"/>
          <w:szCs w:val="30"/>
        </w:rPr>
        <w:t>场内结算的</w:t>
      </w:r>
      <w:r>
        <w:rPr>
          <w:rFonts w:hint="eastAsia" w:ascii="仿宋_GB2312" w:hAnsi="宋体" w:eastAsia="仿宋_GB2312" w:cs="宋体"/>
          <w:sz w:val="30"/>
          <w:szCs w:val="30"/>
        </w:rPr>
        <w:t>，无需债券借出方确认；选择场外结算，需借出方确认。</w:t>
      </w:r>
    </w:p>
    <w:p w14:paraId="69605175">
      <w:pPr>
        <w:spacing w:line="560" w:lineRule="exact"/>
        <w:ind w:firstLine="600"/>
        <w:rPr>
          <w:rFonts w:ascii="仿宋_GB2312" w:hAnsi="宋体" w:eastAsia="仿宋_GB2312" w:cs="宋体"/>
          <w:sz w:val="30"/>
          <w:szCs w:val="30"/>
        </w:rPr>
      </w:pPr>
      <w:r>
        <w:rPr>
          <w:rFonts w:hint="eastAsia" w:ascii="仿宋_GB2312" w:hAnsi="宋体" w:eastAsia="仿宋_GB2312" w:cs="宋体"/>
          <w:sz w:val="30"/>
          <w:szCs w:val="30"/>
        </w:rPr>
        <w:t>到期现金结算或到期部分现金结算的，债券借入方应对当日到期的债券借贷提交到期现金结算申报或到期部分现金结算申报，并由债券借出方确认。</w:t>
      </w:r>
    </w:p>
    <w:tbl>
      <w:tblPr>
        <w:tblStyle w:val="43"/>
        <w:tblW w:w="0" w:type="auto"/>
        <w:tblInd w:w="-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2"/>
        <w:gridCol w:w="5466"/>
      </w:tblGrid>
      <w:tr w14:paraId="12754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tcPr>
          <w:p w14:paraId="60ED6048">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5466" w:type="dxa"/>
          </w:tcPr>
          <w:p w14:paraId="7DACEF67">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3803A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tcPr>
          <w:p w14:paraId="249A11A4">
            <w:pPr>
              <w:adjustRightInd w:val="0"/>
              <w:snapToGrid w:val="0"/>
              <w:rPr>
                <w:rFonts w:ascii="仿宋_GB2312" w:eastAsia="仿宋_GB2312"/>
                <w:b/>
                <w:sz w:val="24"/>
                <w:szCs w:val="24"/>
              </w:rPr>
            </w:pPr>
            <w:r>
              <w:rPr>
                <w:rFonts w:hint="eastAsia" w:ascii="仿宋_GB2312" w:eastAsia="仿宋_GB2312"/>
                <w:b/>
                <w:sz w:val="24"/>
                <w:szCs w:val="24"/>
              </w:rPr>
              <w:t>到期</w:t>
            </w:r>
            <w:r>
              <w:rPr>
                <w:rFonts w:ascii="仿宋_GB2312" w:eastAsia="仿宋_GB2312"/>
                <w:b/>
                <w:sz w:val="24"/>
                <w:szCs w:val="24"/>
              </w:rPr>
              <w:t>结算方式</w:t>
            </w:r>
          </w:p>
        </w:tc>
        <w:tc>
          <w:tcPr>
            <w:tcW w:w="5466" w:type="dxa"/>
            <w:vAlign w:val="center"/>
          </w:tcPr>
          <w:p w14:paraId="1F4F82D6">
            <w:pPr>
              <w:adjustRightInd w:val="0"/>
              <w:snapToGrid w:val="0"/>
              <w:rPr>
                <w:rFonts w:ascii="仿宋_GB2312" w:eastAsia="仿宋_GB2312"/>
                <w:kern w:val="0"/>
                <w:sz w:val="24"/>
                <w:szCs w:val="24"/>
              </w:rPr>
            </w:pPr>
            <w:r>
              <w:rPr>
                <w:rFonts w:hint="eastAsia" w:ascii="仿宋_GB2312" w:eastAsia="仿宋_GB2312"/>
                <w:kern w:val="0"/>
                <w:sz w:val="24"/>
                <w:szCs w:val="24"/>
              </w:rPr>
              <w:t>可选“到期</w:t>
            </w:r>
            <w:r>
              <w:rPr>
                <w:rFonts w:ascii="仿宋_GB2312" w:eastAsia="仿宋_GB2312"/>
                <w:kern w:val="0"/>
                <w:sz w:val="24"/>
                <w:szCs w:val="24"/>
              </w:rPr>
              <w:t>债券结算</w:t>
            </w:r>
            <w:r>
              <w:rPr>
                <w:rFonts w:hint="eastAsia" w:ascii="仿宋_GB2312" w:eastAsia="仿宋_GB2312"/>
                <w:kern w:val="0"/>
                <w:sz w:val="24"/>
                <w:szCs w:val="24"/>
              </w:rPr>
              <w:t>”、“</w:t>
            </w:r>
            <w:r>
              <w:rPr>
                <w:rFonts w:ascii="仿宋_GB2312" w:eastAsia="仿宋_GB2312"/>
                <w:kern w:val="0"/>
                <w:sz w:val="24"/>
                <w:szCs w:val="24"/>
              </w:rPr>
              <w:t>到期</w:t>
            </w:r>
            <w:r>
              <w:rPr>
                <w:rFonts w:hint="eastAsia" w:ascii="仿宋_GB2312" w:eastAsia="仿宋_GB2312"/>
                <w:kern w:val="0"/>
                <w:sz w:val="24"/>
                <w:szCs w:val="24"/>
              </w:rPr>
              <w:t>现金</w:t>
            </w:r>
            <w:r>
              <w:rPr>
                <w:rFonts w:ascii="仿宋_GB2312" w:eastAsia="仿宋_GB2312"/>
                <w:kern w:val="0"/>
                <w:sz w:val="24"/>
                <w:szCs w:val="24"/>
              </w:rPr>
              <w:t>结算</w:t>
            </w:r>
            <w:r>
              <w:rPr>
                <w:rFonts w:hint="eastAsia" w:ascii="仿宋_GB2312" w:eastAsia="仿宋_GB2312"/>
                <w:kern w:val="0"/>
                <w:sz w:val="24"/>
                <w:szCs w:val="24"/>
              </w:rPr>
              <w:t>”或“</w:t>
            </w:r>
            <w:r>
              <w:rPr>
                <w:rFonts w:ascii="仿宋_GB2312" w:eastAsia="仿宋_GB2312"/>
                <w:kern w:val="0"/>
                <w:sz w:val="24"/>
                <w:szCs w:val="24"/>
              </w:rPr>
              <w:t>到期</w:t>
            </w:r>
            <w:r>
              <w:rPr>
                <w:rFonts w:hint="eastAsia" w:ascii="仿宋_GB2312" w:eastAsia="仿宋_GB2312"/>
                <w:kern w:val="0"/>
                <w:sz w:val="24"/>
                <w:szCs w:val="24"/>
              </w:rPr>
              <w:t>部分现金</w:t>
            </w:r>
            <w:r>
              <w:rPr>
                <w:rFonts w:ascii="仿宋_GB2312" w:eastAsia="仿宋_GB2312"/>
                <w:kern w:val="0"/>
                <w:sz w:val="24"/>
                <w:szCs w:val="24"/>
              </w:rPr>
              <w:t>结算</w:t>
            </w:r>
            <w:r>
              <w:rPr>
                <w:rFonts w:hint="eastAsia" w:ascii="仿宋_GB2312" w:eastAsia="仿宋_GB2312"/>
                <w:kern w:val="0"/>
                <w:sz w:val="24"/>
                <w:szCs w:val="24"/>
              </w:rPr>
              <w:t>”。</w:t>
            </w:r>
            <w:r>
              <w:rPr>
                <w:rFonts w:ascii="仿宋_GB2312" w:eastAsia="仿宋_GB2312"/>
                <w:kern w:val="0"/>
                <w:sz w:val="24"/>
                <w:szCs w:val="24"/>
              </w:rPr>
              <w:t xml:space="preserve"> </w:t>
            </w:r>
          </w:p>
          <w:p w14:paraId="58CCAF24">
            <w:pPr>
              <w:adjustRightInd w:val="0"/>
              <w:snapToGrid w:val="0"/>
              <w:rPr>
                <w:rFonts w:ascii="仿宋_GB2312" w:eastAsia="仿宋_GB2312"/>
                <w:kern w:val="0"/>
                <w:sz w:val="24"/>
                <w:szCs w:val="24"/>
              </w:rPr>
            </w:pPr>
            <w:r>
              <w:rPr>
                <w:rFonts w:hint="eastAsia" w:ascii="仿宋_GB2312" w:eastAsia="仿宋_GB2312"/>
                <w:kern w:val="0"/>
                <w:sz w:val="24"/>
                <w:szCs w:val="24"/>
              </w:rPr>
              <w:t>【到期现金结算】，进入申报界面，填写“现金结算金额”。</w:t>
            </w:r>
            <w:r>
              <w:rPr>
                <w:rFonts w:ascii="仿宋_GB2312" w:eastAsia="仿宋_GB2312"/>
                <w:kern w:val="0"/>
                <w:sz w:val="24"/>
                <w:szCs w:val="24"/>
              </w:rPr>
              <w:t xml:space="preserve"> </w:t>
            </w:r>
          </w:p>
          <w:p w14:paraId="55C6434D">
            <w:pPr>
              <w:adjustRightInd w:val="0"/>
              <w:snapToGrid w:val="0"/>
              <w:rPr>
                <w:rFonts w:ascii="Arial" w:hAnsi="Arial" w:cs="Arial"/>
                <w:color w:val="0000FF"/>
                <w:sz w:val="20"/>
                <w:szCs w:val="20"/>
              </w:rPr>
            </w:pPr>
            <w:r>
              <w:rPr>
                <w:rFonts w:hint="eastAsia" w:ascii="仿宋_GB2312" w:eastAsia="仿宋_GB2312"/>
                <w:kern w:val="0"/>
                <w:sz w:val="24"/>
                <w:szCs w:val="24"/>
              </w:rPr>
              <w:t>【到期部分现金结算】，进入申报界面，带出原成交单，填写“部分现金结算金额”，填写“标的债券归还总面额”。</w:t>
            </w:r>
          </w:p>
        </w:tc>
      </w:tr>
      <w:tr w14:paraId="69A6C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tcPr>
          <w:p w14:paraId="1EDA55A8">
            <w:pPr>
              <w:adjustRightInd w:val="0"/>
              <w:snapToGrid w:val="0"/>
              <w:rPr>
                <w:rFonts w:ascii="仿宋_GB2312" w:eastAsia="仿宋_GB2312"/>
                <w:b/>
                <w:sz w:val="24"/>
                <w:szCs w:val="24"/>
              </w:rPr>
            </w:pPr>
            <w:r>
              <w:rPr>
                <w:rFonts w:hint="eastAsia" w:ascii="仿宋_GB2312" w:eastAsia="仿宋_GB2312"/>
                <w:b/>
                <w:kern w:val="0"/>
                <w:sz w:val="24"/>
                <w:szCs w:val="24"/>
              </w:rPr>
              <w:t>资金结算方式</w:t>
            </w:r>
          </w:p>
        </w:tc>
        <w:tc>
          <w:tcPr>
            <w:tcW w:w="5466" w:type="dxa"/>
            <w:vAlign w:val="center"/>
          </w:tcPr>
          <w:p w14:paraId="66D9E364">
            <w:pPr>
              <w:adjustRightInd w:val="0"/>
              <w:snapToGrid w:val="0"/>
              <w:rPr>
                <w:rFonts w:ascii="仿宋_GB2312" w:hAnsi="宋体" w:eastAsia="仿宋_GB2312" w:cs="宋体"/>
                <w:bCs/>
                <w:color w:val="000000"/>
                <w:kern w:val="0"/>
                <w:sz w:val="24"/>
                <w:szCs w:val="24"/>
              </w:rPr>
            </w:pPr>
            <w:r>
              <w:rPr>
                <w:rFonts w:hint="eastAsia" w:ascii="仿宋_GB2312" w:hAnsi="宋体" w:eastAsia="仿宋_GB2312" w:cs="宋体"/>
                <w:bCs/>
                <w:color w:val="000000"/>
                <w:kern w:val="0"/>
                <w:sz w:val="24"/>
                <w:szCs w:val="24"/>
              </w:rPr>
              <w:t>资金结算方式下拉选择</w:t>
            </w:r>
            <w:r>
              <w:rPr>
                <w:rFonts w:ascii="仿宋_GB2312" w:hAnsi="宋体" w:eastAsia="仿宋_GB2312" w:cs="宋体"/>
                <w:bCs/>
                <w:color w:val="000000"/>
                <w:kern w:val="0"/>
                <w:sz w:val="24"/>
                <w:szCs w:val="24"/>
              </w:rPr>
              <w:t>“</w:t>
            </w:r>
            <w:r>
              <w:rPr>
                <w:rFonts w:hint="eastAsia" w:ascii="仿宋_GB2312" w:hAnsi="宋体" w:eastAsia="仿宋_GB2312" w:cs="宋体"/>
                <w:bCs/>
                <w:color w:val="000000"/>
                <w:kern w:val="0"/>
                <w:sz w:val="24"/>
                <w:szCs w:val="24"/>
              </w:rPr>
              <w:t>场内结算</w:t>
            </w:r>
            <w:r>
              <w:rPr>
                <w:rFonts w:ascii="仿宋_GB2312" w:hAnsi="宋体" w:eastAsia="仿宋_GB2312" w:cs="宋体"/>
                <w:bCs/>
                <w:color w:val="000000"/>
                <w:kern w:val="0"/>
                <w:sz w:val="24"/>
                <w:szCs w:val="24"/>
              </w:rPr>
              <w:t>”</w:t>
            </w:r>
            <w:r>
              <w:rPr>
                <w:rFonts w:hint="eastAsia" w:ascii="仿宋_GB2312" w:hAnsi="宋体" w:eastAsia="仿宋_GB2312" w:cs="宋体"/>
                <w:bCs/>
                <w:color w:val="000000"/>
                <w:kern w:val="0"/>
                <w:sz w:val="24"/>
                <w:szCs w:val="24"/>
              </w:rPr>
              <w:t>或</w:t>
            </w:r>
            <w:r>
              <w:rPr>
                <w:rFonts w:ascii="仿宋_GB2312" w:hAnsi="宋体" w:eastAsia="仿宋_GB2312" w:cs="宋体"/>
                <w:bCs/>
                <w:color w:val="000000"/>
                <w:kern w:val="0"/>
                <w:sz w:val="24"/>
                <w:szCs w:val="24"/>
              </w:rPr>
              <w:t>“</w:t>
            </w:r>
            <w:r>
              <w:rPr>
                <w:rFonts w:hint="eastAsia" w:ascii="仿宋_GB2312" w:hAnsi="宋体" w:eastAsia="仿宋_GB2312" w:cs="宋体"/>
                <w:bCs/>
                <w:color w:val="000000"/>
                <w:kern w:val="0"/>
                <w:sz w:val="24"/>
                <w:szCs w:val="24"/>
              </w:rPr>
              <w:t>场外结算</w:t>
            </w:r>
            <w:r>
              <w:rPr>
                <w:rFonts w:ascii="仿宋_GB2312" w:hAnsi="宋体" w:eastAsia="仿宋_GB2312" w:cs="宋体"/>
                <w:bCs/>
                <w:color w:val="000000"/>
                <w:kern w:val="0"/>
                <w:sz w:val="24"/>
                <w:szCs w:val="24"/>
              </w:rPr>
              <w:t>”</w:t>
            </w:r>
            <w:r>
              <w:rPr>
                <w:rFonts w:hint="eastAsia" w:ascii="仿宋_GB2312" w:hAnsi="宋体" w:eastAsia="仿宋_GB2312" w:cs="宋体"/>
                <w:bCs/>
                <w:color w:val="000000"/>
                <w:kern w:val="0"/>
                <w:sz w:val="24"/>
                <w:szCs w:val="24"/>
              </w:rPr>
              <w:t>。选择场外结算的时候，需输入资金账户。</w:t>
            </w:r>
          </w:p>
        </w:tc>
      </w:tr>
      <w:tr w14:paraId="217F8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12" w:type="dxa"/>
          </w:tcPr>
          <w:p w14:paraId="61DB7ED3">
            <w:pPr>
              <w:adjustRightInd w:val="0"/>
              <w:snapToGrid w:val="0"/>
              <w:rPr>
                <w:rFonts w:ascii="仿宋_GB2312" w:eastAsia="仿宋_GB2312"/>
                <w:b/>
                <w:kern w:val="0"/>
                <w:sz w:val="24"/>
                <w:szCs w:val="24"/>
              </w:rPr>
            </w:pPr>
            <w:r>
              <w:rPr>
                <w:rFonts w:hint="eastAsia" w:ascii="仿宋_GB2312" w:eastAsia="仿宋_GB2312"/>
                <w:b/>
                <w:kern w:val="0"/>
                <w:sz w:val="24"/>
                <w:szCs w:val="24"/>
              </w:rPr>
              <w:t>借入方资金账户</w:t>
            </w:r>
          </w:p>
        </w:tc>
        <w:tc>
          <w:tcPr>
            <w:tcW w:w="5466" w:type="dxa"/>
            <w:vAlign w:val="center"/>
          </w:tcPr>
          <w:p w14:paraId="3451A3BE">
            <w:pPr>
              <w:adjustRightInd w:val="0"/>
              <w:snapToGrid w:val="0"/>
              <w:rPr>
                <w:rFonts w:ascii="仿宋_GB2312" w:hAnsi="宋体" w:eastAsia="仿宋_GB2312" w:cs="宋体"/>
                <w:bCs/>
                <w:color w:val="000000"/>
                <w:kern w:val="0"/>
                <w:sz w:val="24"/>
                <w:szCs w:val="24"/>
              </w:rPr>
            </w:pPr>
            <w:r>
              <w:rPr>
                <w:rFonts w:hint="eastAsia" w:ascii="仿宋_GB2312" w:eastAsia="仿宋_GB2312"/>
                <w:kern w:val="0"/>
                <w:sz w:val="24"/>
                <w:szCs w:val="24"/>
              </w:rPr>
              <w:t>借入方资金账户与名称。</w:t>
            </w:r>
          </w:p>
        </w:tc>
      </w:tr>
      <w:tr w14:paraId="39446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2" w:type="dxa"/>
          </w:tcPr>
          <w:p w14:paraId="27556CD2">
            <w:pPr>
              <w:adjustRightInd w:val="0"/>
              <w:snapToGrid w:val="0"/>
              <w:rPr>
                <w:rFonts w:ascii="仿宋_GB2312" w:eastAsia="仿宋_GB2312"/>
                <w:b/>
                <w:kern w:val="0"/>
                <w:sz w:val="24"/>
                <w:szCs w:val="24"/>
              </w:rPr>
            </w:pPr>
            <w:r>
              <w:rPr>
                <w:rFonts w:hint="eastAsia" w:ascii="仿宋_GB2312" w:eastAsia="仿宋_GB2312"/>
                <w:b/>
                <w:kern w:val="0"/>
                <w:sz w:val="24"/>
                <w:szCs w:val="24"/>
              </w:rPr>
              <w:t>借出方资金账户</w:t>
            </w:r>
          </w:p>
        </w:tc>
        <w:tc>
          <w:tcPr>
            <w:tcW w:w="5466" w:type="dxa"/>
            <w:vAlign w:val="center"/>
          </w:tcPr>
          <w:p w14:paraId="30DDAAA6">
            <w:pPr>
              <w:adjustRightInd w:val="0"/>
              <w:snapToGrid w:val="0"/>
              <w:rPr>
                <w:rFonts w:ascii="仿宋_GB2312" w:hAnsi="宋体" w:eastAsia="仿宋_GB2312" w:cs="宋体"/>
                <w:bCs/>
                <w:color w:val="000000"/>
                <w:kern w:val="0"/>
                <w:sz w:val="24"/>
                <w:szCs w:val="24"/>
              </w:rPr>
            </w:pPr>
            <w:r>
              <w:rPr>
                <w:rFonts w:hint="eastAsia" w:ascii="仿宋_GB2312" w:eastAsia="仿宋_GB2312"/>
                <w:sz w:val="24"/>
                <w:szCs w:val="24"/>
              </w:rPr>
              <w:t>选择场外结算的时候，借出方也需填写资金账户与名称</w:t>
            </w:r>
            <w:r>
              <w:rPr>
                <w:rFonts w:hint="eastAsia" w:ascii="仿宋_GB2312" w:hAnsi="宋体" w:eastAsia="仿宋_GB2312" w:cs="宋体"/>
                <w:bCs/>
                <w:color w:val="000000"/>
                <w:kern w:val="0"/>
                <w:sz w:val="24"/>
                <w:szCs w:val="24"/>
              </w:rPr>
              <w:t>，</w:t>
            </w:r>
            <w:r>
              <w:rPr>
                <w:rFonts w:hint="eastAsia" w:ascii="仿宋_GB2312" w:eastAsia="仿宋_GB2312"/>
                <w:sz w:val="24"/>
                <w:szCs w:val="24"/>
              </w:rPr>
              <w:t>借出方</w:t>
            </w:r>
            <w:r>
              <w:rPr>
                <w:rFonts w:ascii="仿宋_GB2312" w:hAnsi="宋体" w:eastAsia="仿宋_GB2312" w:cs="宋体"/>
                <w:bCs/>
                <w:color w:val="000000"/>
                <w:kern w:val="0"/>
                <w:sz w:val="24"/>
                <w:szCs w:val="24"/>
              </w:rPr>
              <w:t>确认时录入</w:t>
            </w:r>
            <w:r>
              <w:rPr>
                <w:rFonts w:hint="eastAsia" w:ascii="仿宋_GB2312" w:eastAsia="仿宋_GB2312"/>
                <w:kern w:val="0"/>
                <w:sz w:val="24"/>
                <w:szCs w:val="24"/>
              </w:rPr>
              <w:t>。</w:t>
            </w:r>
          </w:p>
        </w:tc>
      </w:tr>
    </w:tbl>
    <w:p w14:paraId="5DF0A26D">
      <w:pPr>
        <w:spacing w:line="560" w:lineRule="exact"/>
        <w:ind w:firstLine="601" w:firstLineChars="200"/>
        <w:jc w:val="left"/>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4</w:t>
      </w:r>
      <w:r>
        <w:rPr>
          <w:rFonts w:hint="eastAsia" w:ascii="仿宋_GB2312" w:eastAsia="仿宋_GB2312"/>
          <w:b/>
          <w:sz w:val="30"/>
          <w:szCs w:val="30"/>
        </w:rPr>
        <w:t>）其他</w:t>
      </w:r>
    </w:p>
    <w:p w14:paraId="6764ACA9">
      <w:pPr>
        <w:spacing w:line="560" w:lineRule="exact"/>
        <w:ind w:firstLine="600" w:firstLineChars="200"/>
        <w:outlineLvl w:val="9"/>
        <w:rPr>
          <w:rFonts w:ascii="仿宋_GB2312" w:hAnsi="宋体" w:eastAsia="仿宋_GB2312" w:cs="宋体"/>
          <w:sz w:val="30"/>
          <w:szCs w:val="30"/>
        </w:rPr>
      </w:pPr>
      <w:r>
        <w:rPr>
          <w:rFonts w:hint="eastAsia" w:ascii="仿宋_GB2312" w:hAnsi="宋体" w:eastAsia="仿宋_GB2312" w:cs="宋体"/>
          <w:sz w:val="30"/>
          <w:szCs w:val="30"/>
        </w:rPr>
        <w:t>债券借入方针对已过期合约可以发起逾期结算申报，并由债券借出方确认。交易系统根据申报当日自动计算新的借贷期限，借贷费用由双方自行协商。逾期结算可选择债券结算、现金结算、部分现金结算。到期费用可选择场内结算、场外结算。</w:t>
      </w:r>
    </w:p>
    <w:tbl>
      <w:tblPr>
        <w:tblStyle w:val="43"/>
        <w:tblW w:w="8724" w:type="dxa"/>
        <w:tblInd w:w="-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5"/>
        <w:gridCol w:w="6379"/>
      </w:tblGrid>
      <w:tr w14:paraId="51F51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5" w:type="dxa"/>
          </w:tcPr>
          <w:p w14:paraId="2D72ED07">
            <w:pPr>
              <w:adjustRightInd w:val="0"/>
              <w:snapToGrid w:val="0"/>
              <w:rPr>
                <w:rFonts w:ascii="仿宋_GB2312" w:eastAsia="仿宋_GB2312"/>
                <w:b/>
                <w:kern w:val="0"/>
                <w:sz w:val="24"/>
                <w:szCs w:val="24"/>
              </w:rPr>
            </w:pPr>
            <w:r>
              <w:rPr>
                <w:rFonts w:hint="eastAsia" w:ascii="仿宋_GB2312" w:eastAsia="仿宋_GB2312"/>
                <w:b/>
                <w:kern w:val="0"/>
                <w:sz w:val="24"/>
                <w:szCs w:val="24"/>
              </w:rPr>
              <w:t>要素名称</w:t>
            </w:r>
          </w:p>
        </w:tc>
        <w:tc>
          <w:tcPr>
            <w:tcW w:w="6379" w:type="dxa"/>
          </w:tcPr>
          <w:p w14:paraId="5ED8C3C0">
            <w:pPr>
              <w:adjustRightInd w:val="0"/>
              <w:snapToGrid w:val="0"/>
              <w:rPr>
                <w:rFonts w:ascii="仿宋_GB2312" w:eastAsia="仿宋_GB2312"/>
                <w:b/>
                <w:kern w:val="0"/>
                <w:sz w:val="24"/>
                <w:szCs w:val="24"/>
              </w:rPr>
            </w:pPr>
            <w:r>
              <w:rPr>
                <w:rFonts w:hint="eastAsia" w:ascii="仿宋_GB2312" w:eastAsia="仿宋_GB2312"/>
                <w:b/>
                <w:kern w:val="0"/>
                <w:sz w:val="24"/>
                <w:szCs w:val="24"/>
              </w:rPr>
              <w:t>要素说明</w:t>
            </w:r>
          </w:p>
        </w:tc>
      </w:tr>
      <w:tr w14:paraId="276D2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5" w:type="dxa"/>
          </w:tcPr>
          <w:p w14:paraId="510FF962">
            <w:pPr>
              <w:adjustRightInd w:val="0"/>
              <w:snapToGrid w:val="0"/>
              <w:rPr>
                <w:rFonts w:ascii="仿宋_GB2312" w:eastAsia="仿宋_GB2312"/>
                <w:b/>
                <w:kern w:val="0"/>
                <w:sz w:val="24"/>
                <w:szCs w:val="24"/>
              </w:rPr>
            </w:pPr>
            <w:r>
              <w:rPr>
                <w:rFonts w:hint="eastAsia" w:ascii="仿宋_GB2312" w:eastAsia="仿宋_GB2312"/>
                <w:b/>
                <w:kern w:val="0"/>
                <w:sz w:val="24"/>
                <w:szCs w:val="24"/>
              </w:rPr>
              <w:t>实际结算日</w:t>
            </w:r>
          </w:p>
        </w:tc>
        <w:tc>
          <w:tcPr>
            <w:tcW w:w="6379" w:type="dxa"/>
          </w:tcPr>
          <w:p w14:paraId="0A62C2B5">
            <w:pPr>
              <w:adjustRightInd w:val="0"/>
              <w:snapToGrid w:val="0"/>
              <w:rPr>
                <w:rFonts w:ascii="仿宋_GB2312" w:eastAsia="仿宋_GB2312"/>
                <w:kern w:val="0"/>
                <w:sz w:val="24"/>
                <w:szCs w:val="24"/>
              </w:rPr>
            </w:pPr>
            <w:r>
              <w:rPr>
                <w:rFonts w:hint="eastAsia" w:ascii="仿宋_GB2312" w:eastAsia="仿宋_GB2312"/>
                <w:kern w:val="0"/>
                <w:sz w:val="24"/>
                <w:szCs w:val="24"/>
              </w:rPr>
              <w:t>自动显示，无需输入。</w:t>
            </w:r>
          </w:p>
        </w:tc>
      </w:tr>
      <w:tr w14:paraId="5E944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5" w:type="dxa"/>
          </w:tcPr>
          <w:p w14:paraId="7566E4B2">
            <w:pPr>
              <w:adjustRightInd w:val="0"/>
              <w:snapToGrid w:val="0"/>
              <w:rPr>
                <w:rFonts w:ascii="仿宋_GB2312" w:eastAsia="仿宋_GB2312"/>
                <w:b/>
                <w:kern w:val="0"/>
                <w:sz w:val="24"/>
                <w:szCs w:val="24"/>
              </w:rPr>
            </w:pPr>
            <w:r>
              <w:rPr>
                <w:rFonts w:hint="eastAsia" w:ascii="仿宋_GB2312" w:eastAsia="仿宋_GB2312"/>
                <w:b/>
                <w:kern w:val="0"/>
                <w:sz w:val="24"/>
                <w:szCs w:val="24"/>
              </w:rPr>
              <w:t>实际期限</w:t>
            </w:r>
          </w:p>
        </w:tc>
        <w:tc>
          <w:tcPr>
            <w:tcW w:w="6379" w:type="dxa"/>
          </w:tcPr>
          <w:p w14:paraId="5670C456">
            <w:pPr>
              <w:adjustRightInd w:val="0"/>
              <w:snapToGrid w:val="0"/>
              <w:rPr>
                <w:rFonts w:ascii="仿宋_GB2312" w:eastAsia="仿宋_GB2312"/>
                <w:kern w:val="0"/>
                <w:sz w:val="24"/>
                <w:szCs w:val="24"/>
              </w:rPr>
            </w:pPr>
            <w:r>
              <w:rPr>
                <w:rFonts w:hint="eastAsia" w:ascii="仿宋_GB2312" w:eastAsia="仿宋_GB2312"/>
                <w:kern w:val="0"/>
                <w:sz w:val="24"/>
                <w:szCs w:val="24"/>
              </w:rPr>
              <w:t>交易系统根据申报当日自动计算新的借贷期限</w:t>
            </w:r>
          </w:p>
        </w:tc>
      </w:tr>
      <w:tr w14:paraId="011F0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45" w:type="dxa"/>
          </w:tcPr>
          <w:p w14:paraId="34456197">
            <w:pPr>
              <w:adjustRightInd w:val="0"/>
              <w:snapToGrid w:val="0"/>
              <w:rPr>
                <w:rFonts w:ascii="仿宋_GB2312" w:eastAsia="仿宋_GB2312"/>
                <w:b/>
                <w:kern w:val="0"/>
                <w:sz w:val="24"/>
                <w:szCs w:val="24"/>
              </w:rPr>
            </w:pPr>
            <w:r>
              <w:rPr>
                <w:rFonts w:hint="eastAsia" w:ascii="仿宋_GB2312" w:eastAsia="仿宋_GB2312"/>
                <w:b/>
                <w:kern w:val="0"/>
                <w:sz w:val="24"/>
                <w:szCs w:val="24"/>
              </w:rPr>
              <w:t>实际借贷费用</w:t>
            </w:r>
          </w:p>
        </w:tc>
        <w:tc>
          <w:tcPr>
            <w:tcW w:w="6379" w:type="dxa"/>
          </w:tcPr>
          <w:p w14:paraId="36DA7E4C">
            <w:pPr>
              <w:adjustRightInd w:val="0"/>
              <w:snapToGrid w:val="0"/>
              <w:rPr>
                <w:rFonts w:ascii="仿宋_GB2312" w:eastAsia="仿宋_GB2312"/>
                <w:kern w:val="0"/>
                <w:sz w:val="24"/>
                <w:szCs w:val="24"/>
              </w:rPr>
            </w:pPr>
            <w:r>
              <w:rPr>
                <w:rFonts w:hint="eastAsia" w:ascii="仿宋_GB2312" w:eastAsia="仿宋_GB2312"/>
                <w:kern w:val="0"/>
                <w:sz w:val="24"/>
                <w:szCs w:val="24"/>
              </w:rPr>
              <w:t>债券借入方实际付给债券借出方的借贷费用，双方自行协商</w:t>
            </w:r>
          </w:p>
        </w:tc>
      </w:tr>
      <w:tr w14:paraId="45034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5" w:type="dxa"/>
          </w:tcPr>
          <w:p w14:paraId="28BD0C8B">
            <w:pPr>
              <w:adjustRightInd w:val="0"/>
              <w:snapToGrid w:val="0"/>
              <w:rPr>
                <w:rFonts w:ascii="仿宋_GB2312" w:eastAsia="仿宋_GB2312"/>
                <w:b/>
                <w:kern w:val="0"/>
                <w:sz w:val="24"/>
                <w:szCs w:val="24"/>
              </w:rPr>
            </w:pPr>
            <w:r>
              <w:rPr>
                <w:rFonts w:hint="eastAsia" w:ascii="仿宋_GB2312" w:eastAsia="仿宋_GB2312"/>
                <w:b/>
                <w:kern w:val="0"/>
                <w:sz w:val="24"/>
                <w:szCs w:val="24"/>
              </w:rPr>
              <w:t>逾期结算</w:t>
            </w:r>
            <w:r>
              <w:rPr>
                <w:rFonts w:ascii="仿宋_GB2312" w:eastAsia="仿宋_GB2312"/>
                <w:b/>
                <w:kern w:val="0"/>
                <w:sz w:val="24"/>
                <w:szCs w:val="24"/>
              </w:rPr>
              <w:t>方式</w:t>
            </w:r>
          </w:p>
        </w:tc>
        <w:tc>
          <w:tcPr>
            <w:tcW w:w="6379" w:type="dxa"/>
          </w:tcPr>
          <w:p w14:paraId="26E5525D">
            <w:pPr>
              <w:adjustRightInd w:val="0"/>
              <w:snapToGrid w:val="0"/>
              <w:rPr>
                <w:rFonts w:ascii="仿宋_GB2312" w:eastAsia="仿宋_GB2312"/>
                <w:kern w:val="0"/>
                <w:sz w:val="24"/>
                <w:szCs w:val="24"/>
              </w:rPr>
            </w:pPr>
            <w:r>
              <w:rPr>
                <w:rFonts w:hint="eastAsia" w:ascii="仿宋_GB2312" w:eastAsia="仿宋_GB2312"/>
                <w:kern w:val="0"/>
                <w:sz w:val="24"/>
                <w:szCs w:val="24"/>
              </w:rPr>
              <w:t>【债券结算】</w:t>
            </w:r>
            <w:r>
              <w:rPr>
                <w:rFonts w:ascii="仿宋_GB2312" w:eastAsia="仿宋_GB2312"/>
                <w:kern w:val="0"/>
                <w:sz w:val="24"/>
                <w:szCs w:val="24"/>
              </w:rPr>
              <w:t>，</w:t>
            </w:r>
            <w:r>
              <w:rPr>
                <w:rFonts w:hint="eastAsia" w:ascii="仿宋_GB2312" w:eastAsia="仿宋_GB2312"/>
                <w:kern w:val="0"/>
                <w:sz w:val="24"/>
                <w:szCs w:val="24"/>
              </w:rPr>
              <w:t>默认</w:t>
            </w:r>
            <w:r>
              <w:rPr>
                <w:rFonts w:ascii="仿宋_GB2312" w:eastAsia="仿宋_GB2312"/>
                <w:kern w:val="0"/>
                <w:sz w:val="24"/>
                <w:szCs w:val="24"/>
              </w:rPr>
              <w:t>RTGS</w:t>
            </w:r>
            <w:r>
              <w:rPr>
                <w:rFonts w:hint="eastAsia" w:ascii="仿宋_GB2312" w:eastAsia="仿宋_GB2312"/>
                <w:kern w:val="0"/>
                <w:sz w:val="24"/>
                <w:szCs w:val="24"/>
              </w:rPr>
              <w:t>。</w:t>
            </w:r>
          </w:p>
          <w:p w14:paraId="2485AEC7">
            <w:pPr>
              <w:adjustRightInd w:val="0"/>
              <w:snapToGrid w:val="0"/>
              <w:rPr>
                <w:rFonts w:ascii="仿宋_GB2312" w:eastAsia="仿宋_GB2312"/>
                <w:kern w:val="0"/>
                <w:sz w:val="24"/>
                <w:szCs w:val="24"/>
              </w:rPr>
            </w:pPr>
            <w:r>
              <w:rPr>
                <w:rFonts w:hint="eastAsia" w:ascii="仿宋_GB2312" w:eastAsia="仿宋_GB2312"/>
                <w:kern w:val="0"/>
                <w:sz w:val="24"/>
                <w:szCs w:val="24"/>
              </w:rPr>
              <w:t>现金结算、部分现金结算，根据结算方式需填写的字段不同。</w:t>
            </w:r>
          </w:p>
          <w:p w14:paraId="36FCA9D7">
            <w:pPr>
              <w:adjustRightInd w:val="0"/>
              <w:snapToGrid w:val="0"/>
              <w:rPr>
                <w:rFonts w:ascii="仿宋_GB2312" w:eastAsia="仿宋_GB2312"/>
                <w:kern w:val="0"/>
                <w:sz w:val="24"/>
                <w:szCs w:val="24"/>
              </w:rPr>
            </w:pPr>
            <w:r>
              <w:rPr>
                <w:rFonts w:hint="eastAsia" w:ascii="仿宋_GB2312" w:eastAsia="仿宋_GB2312"/>
                <w:kern w:val="0"/>
                <w:sz w:val="24"/>
                <w:szCs w:val="24"/>
              </w:rPr>
              <w:t>【到期现金结算】，进入申报界面，填写“现金结算金额”。</w:t>
            </w:r>
            <w:r>
              <w:rPr>
                <w:rFonts w:ascii="仿宋_GB2312" w:eastAsia="仿宋_GB2312"/>
                <w:kern w:val="0"/>
                <w:sz w:val="24"/>
                <w:szCs w:val="24"/>
              </w:rPr>
              <w:t xml:space="preserve"> </w:t>
            </w:r>
          </w:p>
          <w:p w14:paraId="24BB5B88">
            <w:pPr>
              <w:adjustRightInd w:val="0"/>
              <w:snapToGrid w:val="0"/>
              <w:rPr>
                <w:rFonts w:ascii="仿宋_GB2312" w:eastAsia="仿宋_GB2312"/>
                <w:kern w:val="0"/>
                <w:sz w:val="24"/>
                <w:szCs w:val="24"/>
              </w:rPr>
            </w:pPr>
            <w:r>
              <w:rPr>
                <w:rFonts w:hint="eastAsia" w:ascii="仿宋_GB2312" w:eastAsia="仿宋_GB2312"/>
                <w:kern w:val="0"/>
                <w:sz w:val="24"/>
                <w:szCs w:val="24"/>
              </w:rPr>
              <w:t>【到期部分现金结算】，进入申报界面，填写“现金结算金额”，填写“标的债券归还数量”。</w:t>
            </w:r>
          </w:p>
        </w:tc>
      </w:tr>
      <w:tr w14:paraId="28F74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5" w:type="dxa"/>
          </w:tcPr>
          <w:p w14:paraId="057D0DD4">
            <w:pPr>
              <w:adjustRightInd w:val="0"/>
              <w:snapToGrid w:val="0"/>
              <w:rPr>
                <w:rFonts w:ascii="仿宋_GB2312" w:eastAsia="仿宋_GB2312"/>
                <w:b/>
                <w:kern w:val="0"/>
                <w:sz w:val="24"/>
                <w:szCs w:val="24"/>
              </w:rPr>
            </w:pPr>
            <w:r>
              <w:rPr>
                <w:rFonts w:hint="eastAsia" w:ascii="仿宋_GB2312" w:eastAsia="仿宋_GB2312"/>
                <w:b/>
                <w:kern w:val="0"/>
                <w:sz w:val="24"/>
                <w:szCs w:val="24"/>
              </w:rPr>
              <w:t>资金</w:t>
            </w:r>
            <w:r>
              <w:rPr>
                <w:rFonts w:ascii="仿宋_GB2312" w:eastAsia="仿宋_GB2312"/>
                <w:b/>
                <w:kern w:val="0"/>
                <w:sz w:val="24"/>
                <w:szCs w:val="24"/>
              </w:rPr>
              <w:t>结算方式</w:t>
            </w:r>
          </w:p>
        </w:tc>
        <w:tc>
          <w:tcPr>
            <w:tcW w:w="6379" w:type="dxa"/>
          </w:tcPr>
          <w:p w14:paraId="6E0C2572">
            <w:pPr>
              <w:adjustRightInd w:val="0"/>
              <w:snapToGrid w:val="0"/>
              <w:rPr>
                <w:rFonts w:ascii="仿宋_GB2312" w:eastAsia="仿宋_GB2312"/>
                <w:kern w:val="0"/>
                <w:sz w:val="24"/>
                <w:szCs w:val="24"/>
              </w:rPr>
            </w:pPr>
            <w:r>
              <w:rPr>
                <w:rFonts w:hint="eastAsia" w:ascii="仿宋_GB2312" w:eastAsia="仿宋_GB2312"/>
                <w:kern w:val="0"/>
                <w:sz w:val="24"/>
                <w:szCs w:val="24"/>
              </w:rPr>
              <w:t>可</w:t>
            </w:r>
            <w:r>
              <w:rPr>
                <w:rFonts w:ascii="仿宋_GB2312" w:eastAsia="仿宋_GB2312"/>
                <w:kern w:val="0"/>
                <w:sz w:val="24"/>
                <w:szCs w:val="24"/>
              </w:rPr>
              <w:t>勾选场</w:t>
            </w:r>
            <w:r>
              <w:rPr>
                <w:rFonts w:hint="eastAsia" w:ascii="仿宋_GB2312" w:eastAsia="仿宋_GB2312"/>
                <w:kern w:val="0"/>
                <w:sz w:val="24"/>
                <w:szCs w:val="24"/>
              </w:rPr>
              <w:t>内</w:t>
            </w:r>
            <w:r>
              <w:rPr>
                <w:rFonts w:ascii="仿宋_GB2312" w:eastAsia="仿宋_GB2312"/>
                <w:kern w:val="0"/>
                <w:sz w:val="24"/>
                <w:szCs w:val="24"/>
              </w:rPr>
              <w:t>/外结算，</w:t>
            </w:r>
            <w:r>
              <w:rPr>
                <w:rFonts w:hint="eastAsia" w:ascii="仿宋_GB2312" w:eastAsia="仿宋_GB2312"/>
                <w:kern w:val="0"/>
                <w:sz w:val="24"/>
                <w:szCs w:val="24"/>
              </w:rPr>
              <w:t>场内</w:t>
            </w:r>
            <w:r>
              <w:rPr>
                <w:rFonts w:ascii="仿宋_GB2312" w:eastAsia="仿宋_GB2312"/>
                <w:kern w:val="0"/>
                <w:sz w:val="24"/>
                <w:szCs w:val="24"/>
              </w:rPr>
              <w:t>结算的，默认RTGS结算方式</w:t>
            </w:r>
            <w:r>
              <w:rPr>
                <w:rFonts w:hint="eastAsia" w:ascii="仿宋_GB2312" w:eastAsia="仿宋_GB2312"/>
                <w:kern w:val="0"/>
                <w:sz w:val="24"/>
                <w:szCs w:val="24"/>
              </w:rPr>
              <w:t>。资金结算方式选场外结算时，需填写资金账户</w:t>
            </w:r>
          </w:p>
        </w:tc>
      </w:tr>
      <w:tr w14:paraId="2E462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5" w:type="dxa"/>
          </w:tcPr>
          <w:p w14:paraId="751956C2">
            <w:pPr>
              <w:adjustRightInd w:val="0"/>
              <w:snapToGrid w:val="0"/>
              <w:rPr>
                <w:rFonts w:ascii="仿宋_GB2312" w:eastAsia="仿宋_GB2312"/>
                <w:b/>
                <w:kern w:val="0"/>
                <w:sz w:val="24"/>
                <w:szCs w:val="24"/>
              </w:rPr>
            </w:pPr>
            <w:r>
              <w:rPr>
                <w:rFonts w:hint="eastAsia" w:ascii="仿宋_GB2312" w:eastAsia="仿宋_GB2312"/>
                <w:b/>
                <w:sz w:val="24"/>
                <w:szCs w:val="24"/>
              </w:rPr>
              <w:t>借入方资金账户</w:t>
            </w:r>
          </w:p>
        </w:tc>
        <w:tc>
          <w:tcPr>
            <w:tcW w:w="6379" w:type="dxa"/>
            <w:vAlign w:val="center"/>
          </w:tcPr>
          <w:p w14:paraId="5ECEEABD">
            <w:pPr>
              <w:adjustRightInd w:val="0"/>
              <w:snapToGrid w:val="0"/>
              <w:rPr>
                <w:rFonts w:ascii="仿宋_GB2312" w:eastAsia="仿宋_GB2312"/>
                <w:kern w:val="0"/>
                <w:sz w:val="24"/>
                <w:szCs w:val="24"/>
              </w:rPr>
            </w:pPr>
            <w:r>
              <w:rPr>
                <w:rFonts w:hint="eastAsia" w:ascii="仿宋_GB2312" w:eastAsia="仿宋_GB2312"/>
                <w:kern w:val="0"/>
                <w:sz w:val="24"/>
                <w:szCs w:val="24"/>
              </w:rPr>
              <w:t>借入债券机构的资金</w:t>
            </w:r>
            <w:r>
              <w:rPr>
                <w:rFonts w:ascii="仿宋_GB2312" w:eastAsia="仿宋_GB2312"/>
                <w:kern w:val="0"/>
                <w:sz w:val="24"/>
                <w:szCs w:val="24"/>
              </w:rPr>
              <w:t>账户与名称</w:t>
            </w:r>
          </w:p>
        </w:tc>
      </w:tr>
      <w:tr w14:paraId="7050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45" w:type="dxa"/>
          </w:tcPr>
          <w:p w14:paraId="6840D2B1">
            <w:pPr>
              <w:adjustRightInd w:val="0"/>
              <w:snapToGrid w:val="0"/>
              <w:rPr>
                <w:rFonts w:ascii="仿宋_GB2312" w:eastAsia="仿宋_GB2312"/>
                <w:b/>
                <w:sz w:val="24"/>
                <w:szCs w:val="24"/>
              </w:rPr>
            </w:pPr>
            <w:r>
              <w:rPr>
                <w:rFonts w:hint="eastAsia" w:ascii="仿宋_GB2312" w:eastAsia="仿宋_GB2312"/>
                <w:b/>
                <w:sz w:val="24"/>
                <w:szCs w:val="24"/>
              </w:rPr>
              <w:t>借出方资金账户</w:t>
            </w:r>
          </w:p>
        </w:tc>
        <w:tc>
          <w:tcPr>
            <w:tcW w:w="6379" w:type="dxa"/>
            <w:vAlign w:val="center"/>
          </w:tcPr>
          <w:p w14:paraId="3C6CD153">
            <w:pPr>
              <w:adjustRightInd w:val="0"/>
              <w:snapToGrid w:val="0"/>
              <w:rPr>
                <w:rFonts w:ascii="仿宋_GB2312" w:eastAsia="仿宋_GB2312"/>
                <w:kern w:val="0"/>
                <w:sz w:val="24"/>
                <w:szCs w:val="24"/>
              </w:rPr>
            </w:pPr>
            <w:r>
              <w:rPr>
                <w:rFonts w:hint="eastAsia" w:ascii="仿宋_GB2312" w:eastAsia="仿宋_GB2312"/>
                <w:kern w:val="0"/>
                <w:sz w:val="24"/>
                <w:szCs w:val="24"/>
              </w:rPr>
              <w:t>借出债券机构的资金</w:t>
            </w:r>
            <w:r>
              <w:rPr>
                <w:rFonts w:ascii="仿宋_GB2312" w:eastAsia="仿宋_GB2312"/>
                <w:kern w:val="0"/>
                <w:sz w:val="24"/>
                <w:szCs w:val="24"/>
              </w:rPr>
              <w:t>账户与名称</w:t>
            </w:r>
            <w:r>
              <w:rPr>
                <w:rFonts w:hint="eastAsia" w:ascii="仿宋_GB2312" w:eastAsia="仿宋_GB2312"/>
                <w:kern w:val="0"/>
                <w:sz w:val="24"/>
                <w:szCs w:val="24"/>
              </w:rPr>
              <w:t>，对手方</w:t>
            </w:r>
            <w:r>
              <w:rPr>
                <w:rFonts w:ascii="仿宋_GB2312" w:eastAsia="仿宋_GB2312"/>
                <w:kern w:val="0"/>
                <w:sz w:val="24"/>
                <w:szCs w:val="24"/>
              </w:rPr>
              <w:t>确认时录入。</w:t>
            </w:r>
          </w:p>
        </w:tc>
      </w:tr>
    </w:tbl>
    <w:p w14:paraId="6D733973">
      <w:pPr>
        <w:numPr>
          <w:ilvl w:val="2"/>
          <w:numId w:val="4"/>
        </w:numPr>
        <w:spacing w:line="560" w:lineRule="exact"/>
        <w:ind w:left="0" w:firstLine="0"/>
        <w:outlineLvl w:val="2"/>
        <w:rPr>
          <w:rFonts w:ascii="仿宋_GB2312" w:eastAsia="仿宋_GB2312"/>
          <w:b/>
          <w:bCs/>
          <w:sz w:val="30"/>
          <w:szCs w:val="30"/>
        </w:rPr>
      </w:pPr>
      <w:r>
        <w:rPr>
          <w:rFonts w:hint="eastAsia" w:ascii="仿宋_GB2312" w:eastAsia="仿宋_GB2312"/>
          <w:b/>
          <w:bCs/>
          <w:sz w:val="30"/>
          <w:szCs w:val="30"/>
        </w:rPr>
        <w:t>前端控制与用券效率</w:t>
      </w:r>
    </w:p>
    <w:p w14:paraId="3C4CE1DA">
      <w:pPr>
        <w:spacing w:line="560" w:lineRule="exact"/>
        <w:ind w:firstLine="601" w:firstLineChars="200"/>
        <w:outlineLvl w:val="2"/>
        <w:rPr>
          <w:rFonts w:ascii="仿宋_GB2312" w:hAnsi="黑体" w:eastAsia="仿宋_GB2312"/>
          <w:bCs/>
          <w:color w:val="000000" w:themeColor="text1"/>
          <w:sz w:val="30"/>
          <w:szCs w:val="30"/>
          <w14:textFill>
            <w14:solidFill>
              <w14:schemeClr w14:val="tx1"/>
            </w14:solidFill>
          </w14:textFill>
        </w:rPr>
      </w:pPr>
      <w:r>
        <w:rPr>
          <w:rFonts w:hint="eastAsia" w:ascii="仿宋_GB2312" w:eastAsia="仿宋_GB2312"/>
          <w:b/>
          <w:color w:val="000000" w:themeColor="text1"/>
          <w:sz w:val="30"/>
          <w:szCs w:val="30"/>
          <w14:textFill>
            <w14:solidFill>
              <w14:schemeClr w14:val="tx1"/>
            </w14:solidFill>
          </w14:textFill>
        </w:rPr>
        <w:t>（1）前端控制</w:t>
      </w:r>
    </w:p>
    <w:p w14:paraId="7B66B1A5">
      <w:pPr>
        <w:spacing w:line="560" w:lineRule="exact"/>
        <w:ind w:firstLine="600" w:firstLineChars="200"/>
        <w:outlineLvl w:val="9"/>
        <w:rPr>
          <w:rFonts w:ascii="仿宋_GB2312" w:hAnsi="黑体" w:eastAsia="仿宋_GB2312"/>
          <w:bCs/>
          <w:color w:val="000000" w:themeColor="text1"/>
          <w:sz w:val="30"/>
          <w:szCs w:val="30"/>
          <w14:textFill>
            <w14:solidFill>
              <w14:schemeClr w14:val="tx1"/>
            </w14:solidFill>
          </w14:textFill>
        </w:rPr>
      </w:pPr>
      <w:r>
        <w:rPr>
          <w:rFonts w:hint="eastAsia" w:ascii="仿宋_GB2312" w:hAnsi="黑体" w:eastAsia="仿宋_GB2312"/>
          <w:bCs/>
          <w:color w:val="000000" w:themeColor="text1"/>
          <w:sz w:val="30"/>
          <w:szCs w:val="30"/>
          <w14:textFill>
            <w14:solidFill>
              <w14:schemeClr w14:val="tx1"/>
            </w14:solidFill>
          </w14:textFill>
        </w:rPr>
        <w:t>符合净额结算标准的债券，采用RTGS结算方式进行债券借贷的，在完成</w:t>
      </w:r>
      <w:r>
        <w:rPr>
          <w:rFonts w:ascii="仿宋_GB2312" w:hAnsi="黑体" w:eastAsia="仿宋_GB2312"/>
          <w:bCs/>
          <w:color w:val="000000" w:themeColor="text1"/>
          <w:sz w:val="30"/>
          <w:szCs w:val="30"/>
          <w14:textFill>
            <w14:solidFill>
              <w14:schemeClr w14:val="tx1"/>
            </w14:solidFill>
          </w14:textFill>
        </w:rPr>
        <w:t>交收后</w:t>
      </w:r>
      <w:r>
        <w:rPr>
          <w:rFonts w:hint="eastAsia" w:ascii="仿宋_GB2312" w:hAnsi="黑体" w:eastAsia="仿宋_GB2312"/>
          <w:bCs/>
          <w:color w:val="000000" w:themeColor="text1"/>
          <w:sz w:val="30"/>
          <w:szCs w:val="30"/>
          <w14:textFill>
            <w14:solidFill>
              <w14:schemeClr w14:val="tx1"/>
            </w14:solidFill>
          </w14:textFill>
        </w:rPr>
        <w:t>，互联网平台根据</w:t>
      </w:r>
      <w:r>
        <w:rPr>
          <w:rFonts w:ascii="仿宋_GB2312" w:hAnsi="黑体" w:eastAsia="仿宋_GB2312"/>
          <w:bCs/>
          <w:color w:val="000000" w:themeColor="text1"/>
          <w:sz w:val="30"/>
          <w:szCs w:val="30"/>
          <w14:textFill>
            <w14:solidFill>
              <w14:schemeClr w14:val="tx1"/>
            </w14:solidFill>
          </w14:textFill>
        </w:rPr>
        <w:t>交收结果</w:t>
      </w:r>
      <w:r>
        <w:rPr>
          <w:rFonts w:hint="eastAsia" w:ascii="仿宋_GB2312" w:hAnsi="黑体" w:eastAsia="仿宋_GB2312"/>
          <w:bCs/>
          <w:color w:val="000000" w:themeColor="text1"/>
          <w:sz w:val="30"/>
          <w:szCs w:val="30"/>
          <w14:textFill>
            <w14:solidFill>
              <w14:schemeClr w14:val="tx1"/>
            </w14:solidFill>
          </w14:textFill>
        </w:rPr>
        <w:t>实时更新相关债券持仓；</w:t>
      </w:r>
      <w:r>
        <w:rPr>
          <w:rFonts w:hint="eastAsia" w:ascii="仿宋_GB2312" w:hAnsi="黑体" w:eastAsia="仿宋_GB2312"/>
          <w:bCs/>
          <w:color w:val="000000" w:themeColor="text1"/>
          <w:sz w:val="30"/>
          <w:szCs w:val="30"/>
          <w:lang w:eastAsia="zh-CN"/>
          <w14:textFill>
            <w14:solidFill>
              <w14:schemeClr w14:val="tx1"/>
            </w14:solidFill>
          </w14:textFill>
        </w:rPr>
        <w:t>新固收</w:t>
      </w:r>
      <w:r>
        <w:rPr>
          <w:rFonts w:hint="eastAsia" w:ascii="仿宋_GB2312" w:hAnsi="黑体" w:eastAsia="仿宋_GB2312"/>
          <w:bCs/>
          <w:color w:val="000000" w:themeColor="text1"/>
          <w:sz w:val="30"/>
          <w:szCs w:val="30"/>
          <w14:textFill>
            <w14:solidFill>
              <w14:schemeClr w14:val="tx1"/>
            </w14:solidFill>
          </w14:textFill>
        </w:rPr>
        <w:t>RTGS相关交易</w:t>
      </w:r>
      <w:r>
        <w:rPr>
          <w:rFonts w:ascii="仿宋_GB2312" w:hAnsi="黑体" w:eastAsia="仿宋_GB2312"/>
          <w:bCs/>
          <w:color w:val="000000" w:themeColor="text1"/>
          <w:sz w:val="30"/>
          <w:szCs w:val="30"/>
          <w14:textFill>
            <w14:solidFill>
              <w14:schemeClr w14:val="tx1"/>
            </w14:solidFill>
          </w14:textFill>
        </w:rPr>
        <w:t>的</w:t>
      </w:r>
      <w:r>
        <w:rPr>
          <w:rFonts w:hint="eastAsia" w:ascii="仿宋_GB2312" w:hAnsi="黑体" w:eastAsia="仿宋_GB2312"/>
          <w:bCs/>
          <w:color w:val="000000" w:themeColor="text1"/>
          <w:sz w:val="30"/>
          <w:szCs w:val="30"/>
          <w14:textFill>
            <w14:solidFill>
              <w14:schemeClr w14:val="tx1"/>
            </w14:solidFill>
          </w14:textFill>
        </w:rPr>
        <w:t>总量不能超过日初持仓数量。</w:t>
      </w:r>
    </w:p>
    <w:p w14:paraId="3B61D09F">
      <w:pPr>
        <w:spacing w:line="560" w:lineRule="exact"/>
        <w:ind w:firstLine="600" w:firstLineChars="200"/>
        <w:outlineLvl w:val="9"/>
        <w:rPr>
          <w:rFonts w:ascii="仿宋_GB2312" w:hAnsi="黑体" w:eastAsia="仿宋_GB2312"/>
          <w:bCs/>
          <w:color w:val="000000" w:themeColor="text1"/>
          <w:sz w:val="30"/>
          <w:szCs w:val="30"/>
          <w14:textFill>
            <w14:solidFill>
              <w14:schemeClr w14:val="tx1"/>
            </w14:solidFill>
          </w14:textFill>
        </w:rPr>
      </w:pPr>
      <w:r>
        <w:rPr>
          <w:rFonts w:hint="eastAsia" w:ascii="仿宋_GB2312" w:hAnsi="黑体" w:eastAsia="仿宋_GB2312"/>
          <w:bCs/>
          <w:color w:val="000000" w:themeColor="text1"/>
          <w:sz w:val="30"/>
          <w:szCs w:val="30"/>
          <w14:textFill>
            <w14:solidFill>
              <w14:schemeClr w14:val="tx1"/>
            </w14:solidFill>
          </w14:textFill>
        </w:rPr>
        <w:t>不符合净额结算标准的债券用于债券借贷业务的，以登记结算机构登记的持仓为准。</w:t>
      </w:r>
    </w:p>
    <w:p w14:paraId="2C0405B7">
      <w:pPr>
        <w:spacing w:line="560" w:lineRule="exact"/>
        <w:ind w:firstLine="601" w:firstLineChars="200"/>
        <w:outlineLvl w:val="2"/>
        <w:rPr>
          <w:rFonts w:ascii="仿宋_GB2312" w:hAnsi="宋体" w:eastAsia="仿宋_GB2312" w:cs="宋体"/>
          <w:b/>
          <w:color w:val="000000" w:themeColor="text1"/>
          <w:sz w:val="30"/>
          <w:szCs w:val="30"/>
          <w14:textFill>
            <w14:solidFill>
              <w14:schemeClr w14:val="tx1"/>
            </w14:solidFill>
          </w14:textFill>
        </w:rPr>
      </w:pPr>
      <w:r>
        <w:rPr>
          <w:rFonts w:hint="eastAsia" w:ascii="仿宋_GB2312" w:hAnsi="黑体" w:eastAsia="仿宋_GB2312"/>
          <w:b/>
          <w:bCs/>
          <w:color w:val="000000" w:themeColor="text1"/>
          <w:sz w:val="30"/>
          <w:szCs w:val="30"/>
          <w14:textFill>
            <w14:solidFill>
              <w14:schemeClr w14:val="tx1"/>
            </w14:solidFill>
          </w14:textFill>
        </w:rPr>
        <w:t>（2）用券效率</w:t>
      </w:r>
    </w:p>
    <w:p w14:paraId="0DBAA2A1">
      <w:pPr>
        <w:spacing w:line="560" w:lineRule="exact"/>
        <w:ind w:firstLine="601" w:firstLineChars="200"/>
        <w:outlineLvl w:val="9"/>
        <w:rPr>
          <w:rFonts w:ascii="仿宋_GB2312" w:hAnsi="黑体" w:eastAsia="仿宋_GB2312"/>
          <w:b/>
          <w:bCs/>
          <w:color w:val="000000" w:themeColor="text1"/>
          <w:sz w:val="30"/>
          <w:szCs w:val="30"/>
          <w14:textFill>
            <w14:solidFill>
              <w14:schemeClr w14:val="tx1"/>
            </w14:solidFill>
          </w14:textFill>
        </w:rPr>
      </w:pPr>
      <w:r>
        <w:rPr>
          <w:rFonts w:hint="eastAsia" w:ascii="仿宋_GB2312" w:hAnsi="黑体" w:eastAsia="仿宋_GB2312"/>
          <w:b/>
          <w:bCs/>
          <w:color w:val="000000" w:themeColor="text1"/>
          <w:sz w:val="30"/>
          <w:szCs w:val="30"/>
          <w14:textFill>
            <w14:solidFill>
              <w14:schemeClr w14:val="tx1"/>
            </w14:solidFill>
          </w14:textFill>
        </w:rPr>
        <w:t>1）现券买入以及回购业务中解除质押的债券用于债券借贷的效率</w:t>
      </w:r>
    </w:p>
    <w:p w14:paraId="72198C9C">
      <w:pPr>
        <w:spacing w:line="560" w:lineRule="exact"/>
        <w:ind w:firstLine="600" w:firstLineChars="200"/>
        <w:outlineLvl w:val="9"/>
        <w:rPr>
          <w:rFonts w:ascii="仿宋_GB2312" w:hAnsi="黑体" w:eastAsia="仿宋_GB2312"/>
          <w:bCs/>
          <w:sz w:val="30"/>
          <w:szCs w:val="30"/>
        </w:rPr>
      </w:pPr>
      <w:r>
        <w:rPr>
          <w:rFonts w:hint="eastAsia" w:ascii="仿宋_GB2312" w:hAnsi="黑体" w:eastAsia="仿宋_GB2312"/>
          <w:bCs/>
          <w:sz w:val="30"/>
          <w:szCs w:val="30"/>
        </w:rPr>
        <w:t>符合多边净额结算标准的债券，T日买入的，或者T日通用质押式回购、协议回购解除质押的，T+1日可用于债券借贷。</w:t>
      </w:r>
    </w:p>
    <w:p w14:paraId="2CFCF453">
      <w:pPr>
        <w:spacing w:line="560" w:lineRule="exact"/>
        <w:ind w:firstLine="600" w:firstLineChars="200"/>
        <w:outlineLvl w:val="9"/>
        <w:rPr>
          <w:rFonts w:ascii="仿宋_GB2312" w:hAnsi="黑体" w:eastAsia="仿宋_GB2312"/>
          <w:bCs/>
          <w:sz w:val="30"/>
          <w:szCs w:val="30"/>
        </w:rPr>
      </w:pPr>
      <w:r>
        <w:rPr>
          <w:rFonts w:hint="eastAsia" w:ascii="仿宋_GB2312" w:hAnsi="黑体" w:eastAsia="仿宋_GB2312"/>
          <w:bCs/>
          <w:sz w:val="30"/>
          <w:szCs w:val="30"/>
        </w:rPr>
        <w:t>不符合多边净额结算标准的债券，T日买入的，或者T日协议回购解除质押的，T日可用于债券借贷。</w:t>
      </w:r>
    </w:p>
    <w:p w14:paraId="45B75806">
      <w:pPr>
        <w:spacing w:line="560" w:lineRule="exact"/>
        <w:ind w:firstLine="600" w:firstLineChars="200"/>
        <w:outlineLvl w:val="9"/>
        <w:rPr>
          <w:rFonts w:ascii="仿宋_GB2312" w:hAnsi="黑体" w:eastAsia="仿宋_GB2312"/>
          <w:bCs/>
          <w:sz w:val="30"/>
          <w:szCs w:val="30"/>
        </w:rPr>
      </w:pPr>
      <w:r>
        <w:rPr>
          <w:rFonts w:hint="eastAsia" w:ascii="仿宋_GB2312" w:hAnsi="黑体" w:eastAsia="仿宋_GB2312"/>
          <w:bCs/>
          <w:sz w:val="30"/>
          <w:szCs w:val="30"/>
        </w:rPr>
        <w:t>T日三方回购解除质押且转出的债券，T+1日可用于债券借贷。</w:t>
      </w:r>
    </w:p>
    <w:p w14:paraId="7C2B4CAB">
      <w:pPr>
        <w:spacing w:line="560" w:lineRule="exact"/>
        <w:ind w:firstLine="601" w:firstLineChars="200"/>
        <w:outlineLvl w:val="9"/>
        <w:rPr>
          <w:rFonts w:ascii="仿宋_GB2312" w:hAnsi="黑体" w:eastAsia="仿宋_GB2312"/>
          <w:b/>
          <w:bCs/>
          <w:sz w:val="30"/>
          <w:szCs w:val="30"/>
        </w:rPr>
      </w:pPr>
      <w:r>
        <w:rPr>
          <w:rFonts w:ascii="仿宋_GB2312" w:hAnsi="黑体" w:eastAsia="仿宋_GB2312"/>
          <w:b/>
          <w:bCs/>
          <w:sz w:val="30"/>
          <w:szCs w:val="30"/>
        </w:rPr>
        <w:t>2</w:t>
      </w:r>
      <w:r>
        <w:rPr>
          <w:rFonts w:hint="eastAsia" w:ascii="仿宋_GB2312" w:hAnsi="黑体" w:eastAsia="仿宋_GB2312"/>
          <w:b/>
          <w:bCs/>
          <w:sz w:val="30"/>
          <w:szCs w:val="30"/>
        </w:rPr>
        <w:t>）债券借贷借入、返还、到期解除质押的债券用于现券、回购业务和新开债券借贷的效率</w:t>
      </w:r>
    </w:p>
    <w:p w14:paraId="0F3D8B24">
      <w:pPr>
        <w:spacing w:line="560" w:lineRule="exact"/>
        <w:ind w:firstLine="600" w:firstLineChars="200"/>
        <w:outlineLvl w:val="9"/>
        <w:rPr>
          <w:rFonts w:ascii="仿宋_GB2312" w:hAnsi="黑体" w:eastAsia="仿宋_GB2312"/>
          <w:bCs/>
          <w:sz w:val="30"/>
          <w:szCs w:val="30"/>
        </w:rPr>
      </w:pPr>
      <w:r>
        <w:rPr>
          <w:rFonts w:hint="eastAsia" w:ascii="仿宋_GB2312" w:hAnsi="黑体" w:eastAsia="仿宋_GB2312"/>
          <w:bCs/>
          <w:sz w:val="30"/>
          <w:szCs w:val="30"/>
        </w:rPr>
        <w:t>符合多边净额结算条件的债券，通过债券借贷</w:t>
      </w:r>
      <w:r>
        <w:rPr>
          <w:rFonts w:ascii="仿宋_GB2312" w:hAnsi="黑体" w:eastAsia="仿宋_GB2312"/>
          <w:bCs/>
          <w:sz w:val="30"/>
          <w:szCs w:val="30"/>
        </w:rPr>
        <w:t>业务</w:t>
      </w:r>
      <w:r>
        <w:rPr>
          <w:rFonts w:hint="eastAsia" w:ascii="仿宋_GB2312" w:hAnsi="黑体" w:eastAsia="仿宋_GB2312"/>
          <w:bCs/>
          <w:sz w:val="30"/>
          <w:szCs w:val="30"/>
        </w:rPr>
        <w:t>T日借入、返还、到期解除质押的，T日可采用多边净额结算方式申报卖出、入质押库，或用于债券借贷（包括作为标的债券和质押券用于新开合约、质押券变更等）；T+1日可采用RTGS结算方式申报卖出、用于协议回购或三方回购。</w:t>
      </w:r>
    </w:p>
    <w:p w14:paraId="09CBF85D">
      <w:pPr>
        <w:spacing w:line="560" w:lineRule="exact"/>
        <w:ind w:firstLine="600" w:firstLineChars="200"/>
        <w:outlineLvl w:val="9"/>
        <w:rPr>
          <w:rFonts w:ascii="仿宋_GB2312" w:hAnsi="黑体" w:eastAsia="仿宋_GB2312"/>
          <w:bCs/>
          <w:sz w:val="30"/>
          <w:szCs w:val="30"/>
        </w:rPr>
      </w:pPr>
      <w:r>
        <w:rPr>
          <w:rFonts w:hint="eastAsia" w:ascii="仿宋_GB2312" w:hAnsi="黑体" w:eastAsia="仿宋_GB2312"/>
          <w:bCs/>
          <w:sz w:val="30"/>
          <w:szCs w:val="30"/>
        </w:rPr>
        <w:t>不符合多边净额结算条件的债券，通过互联网平台T日借入、返还、到期解除质押的，T日可采用RTGS结算方式卖出、用于债券借贷（包括作为标的债券和质押券用于新开合约、质押券变更等）、协议回购或三方回购。</w:t>
      </w:r>
    </w:p>
    <w:p w14:paraId="39ACEA73">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行情展示</w:t>
      </w:r>
    </w:p>
    <w:p w14:paraId="25491C6B">
      <w:pPr>
        <w:spacing w:line="600" w:lineRule="exact"/>
        <w:ind w:firstLine="600" w:firstLineChars="200"/>
        <w:outlineLvl w:val="9"/>
        <w:rPr>
          <w:rFonts w:hint="eastAsia" w:ascii="仿宋_GB2312" w:eastAsia="仿宋_GB2312"/>
          <w:b/>
          <w:sz w:val="30"/>
          <w:szCs w:val="30"/>
          <w:lang w:eastAsia="zh-CN"/>
        </w:rPr>
      </w:pPr>
      <w:r>
        <w:rPr>
          <w:rFonts w:hint="eastAsia" w:ascii="仿宋_GB2312" w:hAnsi="宋体" w:eastAsia="仿宋_GB2312" w:cs="宋体"/>
          <w:sz w:val="30"/>
          <w:szCs w:val="30"/>
        </w:rPr>
        <w:t>本所定期披露</w:t>
      </w:r>
      <w:r>
        <w:rPr>
          <w:rFonts w:hint="eastAsia" w:ascii="仿宋_GB2312" w:hAnsi="宋体" w:eastAsia="仿宋_GB2312" w:cs="宋体"/>
          <w:sz w:val="30"/>
          <w:szCs w:val="30"/>
          <w:lang w:eastAsia="zh-CN"/>
        </w:rPr>
        <w:t>债券借贷</w:t>
      </w:r>
      <w:r>
        <w:rPr>
          <w:rFonts w:hint="eastAsia" w:ascii="仿宋_GB2312" w:hAnsi="宋体" w:eastAsia="仿宋_GB2312" w:cs="宋体"/>
          <w:sz w:val="30"/>
          <w:szCs w:val="30"/>
        </w:rPr>
        <w:t>全市场成交统计数据</w:t>
      </w:r>
      <w:r>
        <w:rPr>
          <w:rFonts w:hint="eastAsia" w:ascii="仿宋_GB2312" w:hAnsi="宋体" w:eastAsia="仿宋_GB2312" w:cs="宋体"/>
          <w:sz w:val="30"/>
          <w:szCs w:val="30"/>
          <w:lang w:eastAsia="zh-CN"/>
        </w:rPr>
        <w:t>，</w:t>
      </w:r>
      <w:r>
        <w:rPr>
          <w:rFonts w:hint="eastAsia" w:ascii="仿宋_GB2312" w:hAnsi="宋体" w:eastAsia="仿宋_GB2312" w:cs="宋体"/>
          <w:sz w:val="30"/>
          <w:szCs w:val="30"/>
        </w:rPr>
        <w:t>债券借贷逐笔成交行情和汇总行情</w:t>
      </w:r>
      <w:r>
        <w:rPr>
          <w:rFonts w:hint="eastAsia" w:ascii="仿宋_GB2312" w:hAnsi="宋体" w:eastAsia="仿宋_GB2312" w:cs="宋体"/>
          <w:sz w:val="30"/>
          <w:szCs w:val="30"/>
          <w:lang w:eastAsia="zh-CN"/>
        </w:rPr>
        <w:t>暂不公布，具体公布时间另行通知。</w:t>
      </w:r>
    </w:p>
    <w:p w14:paraId="4FE368A3">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风险</w:t>
      </w:r>
      <w:r>
        <w:rPr>
          <w:rFonts w:ascii="仿宋_GB2312" w:eastAsia="仿宋_GB2312"/>
          <w:b/>
          <w:sz w:val="30"/>
          <w:szCs w:val="30"/>
        </w:rPr>
        <w:t>管理及</w:t>
      </w:r>
      <w:r>
        <w:rPr>
          <w:rFonts w:hint="eastAsia" w:ascii="仿宋_GB2312" w:eastAsia="仿宋_GB2312"/>
          <w:b/>
          <w:sz w:val="30"/>
          <w:szCs w:val="30"/>
        </w:rPr>
        <w:t>违约处置</w:t>
      </w:r>
    </w:p>
    <w:p w14:paraId="1C5BEB7D">
      <w:pPr>
        <w:autoSpaceDE w:val="0"/>
        <w:autoSpaceDN w:val="0"/>
        <w:adjustRightInd w:val="0"/>
        <w:spacing w:line="600" w:lineRule="exact"/>
        <w:ind w:firstLine="601" w:firstLineChars="200"/>
        <w:rPr>
          <w:rFonts w:ascii="仿宋_GB2312" w:hAnsi="Calibri" w:eastAsia="仿宋_GB2312"/>
          <w:sz w:val="30"/>
          <w:szCs w:val="30"/>
        </w:rPr>
      </w:pPr>
      <w:r>
        <w:rPr>
          <w:rFonts w:hint="eastAsia" w:ascii="仿宋_GB2312" w:hAnsi="Calibri" w:eastAsia="仿宋_GB2312"/>
          <w:b/>
          <w:sz w:val="30"/>
          <w:szCs w:val="30"/>
        </w:rPr>
        <w:t>（1）</w:t>
      </w:r>
      <w:r>
        <w:rPr>
          <w:rFonts w:hint="eastAsia" w:ascii="仿宋_GB2312" w:eastAsia="仿宋_GB2312"/>
          <w:b/>
          <w:sz w:val="30"/>
          <w:szCs w:val="30"/>
        </w:rPr>
        <w:t>风险</w:t>
      </w:r>
      <w:r>
        <w:rPr>
          <w:rFonts w:ascii="仿宋_GB2312" w:eastAsia="仿宋_GB2312"/>
          <w:b/>
          <w:sz w:val="30"/>
          <w:szCs w:val="30"/>
        </w:rPr>
        <w:t>管理</w:t>
      </w:r>
    </w:p>
    <w:p w14:paraId="61DECFE3">
      <w:pPr>
        <w:autoSpaceDE w:val="0"/>
        <w:autoSpaceDN w:val="0"/>
        <w:adjustRightIn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本所对债券借贷申报、质押债券、交收违约情况等各种信息进行监控，加强对债券借贷业务的风险监测和评估。债券借贷存续期间，发生异常和违约事件的，借贷双方应及时向本所报告事件情况及其发生的原因、处理进展情况和处理结果。单个机构自债券借贷的借入余额超过其自有债券托管总量的20%(含20%)或单只债券借入余额超过该只债券发行量10%（含10%）起，每增加5个百分点，该机构应向本所报告并说明原因。</w:t>
      </w:r>
    </w:p>
    <w:p w14:paraId="4E9733E4">
      <w:pPr>
        <w:autoSpaceDE w:val="0"/>
        <w:autoSpaceDN w:val="0"/>
        <w:adjustRightInd w:val="0"/>
        <w:spacing w:line="600" w:lineRule="exact"/>
        <w:ind w:firstLine="601" w:firstLineChars="200"/>
        <w:rPr>
          <w:rFonts w:ascii="仿宋_GB2312" w:hAnsi="Calibri" w:eastAsia="仿宋_GB2312"/>
          <w:sz w:val="30"/>
          <w:szCs w:val="30"/>
        </w:rPr>
      </w:pPr>
      <w:r>
        <w:rPr>
          <w:rFonts w:hint="eastAsia" w:ascii="仿宋_GB2312" w:hAnsi="Calibri" w:eastAsia="仿宋_GB2312"/>
          <w:b/>
          <w:sz w:val="30"/>
          <w:szCs w:val="30"/>
        </w:rPr>
        <w:t>（2）</w:t>
      </w:r>
      <w:r>
        <w:rPr>
          <w:rFonts w:hint="eastAsia" w:ascii="仿宋_GB2312" w:eastAsia="仿宋_GB2312"/>
          <w:b/>
          <w:sz w:val="30"/>
          <w:szCs w:val="30"/>
        </w:rPr>
        <w:t>违约处置</w:t>
      </w:r>
    </w:p>
    <w:p w14:paraId="7FCA4373">
      <w:pPr>
        <w:autoSpaceDE w:val="0"/>
        <w:autoSpaceDN w:val="0"/>
        <w:adjustRightIn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借贷发生异常或者违约的，借贷双方应当按照《办法》、主协议、补充协议或申报补充约定等相关规定和约定，通过协商、支付违约金、偿还与标的债券等价的金额、处置质押债券、申请仲裁、诉讼等方式解决。违约发生后，违约方应积极采取措施处理违约事件，维护守约方的合法权益。双方对违约处理协商一致的，可以向本所申报解除质押登记、或申请将质押债券由违约方过户至守约方、或申请质押债券处置过户至拍卖、变卖的受让人，登记结算机构将依据本所发送的指令办理标的债券过户、解除质押登记或质押债券处置过户。发生违约后，借贷双方根据主协议、补充协议及申报补充约定等相关约定办理。质押债券处置产生的任何法律后果及责任，由借贷双方自行承担。</w:t>
      </w:r>
    </w:p>
    <w:p w14:paraId="103A3FE9">
      <w:pPr>
        <w:numPr>
          <w:ilvl w:val="1"/>
          <w:numId w:val="4"/>
        </w:numPr>
        <w:spacing w:line="600" w:lineRule="exact"/>
        <w:ind w:left="0" w:firstLine="0"/>
        <w:outlineLvl w:val="1"/>
        <w:rPr>
          <w:rFonts w:ascii="仿宋_GB2312" w:eastAsia="仿宋_GB2312"/>
          <w:b/>
          <w:sz w:val="30"/>
          <w:szCs w:val="30"/>
        </w:rPr>
      </w:pPr>
      <w:bookmarkStart w:id="2320" w:name="_Toc151136934"/>
      <w:bookmarkEnd w:id="2320"/>
      <w:bookmarkStart w:id="2321" w:name="_Toc151137045"/>
      <w:bookmarkEnd w:id="2321"/>
      <w:bookmarkStart w:id="2322" w:name="_Toc151137042"/>
      <w:bookmarkEnd w:id="2322"/>
      <w:bookmarkStart w:id="2323" w:name="_Toc151136921"/>
      <w:bookmarkEnd w:id="2323"/>
      <w:bookmarkStart w:id="2324" w:name="_Toc151137031"/>
      <w:bookmarkEnd w:id="2324"/>
      <w:bookmarkStart w:id="2325" w:name="_Toc151137025"/>
      <w:bookmarkEnd w:id="2325"/>
      <w:bookmarkStart w:id="2326" w:name="_Toc151137040"/>
      <w:bookmarkEnd w:id="2326"/>
      <w:bookmarkStart w:id="2327" w:name="_Toc151137038"/>
      <w:bookmarkEnd w:id="2327"/>
      <w:bookmarkStart w:id="2328" w:name="_Toc151136925"/>
      <w:bookmarkEnd w:id="2328"/>
      <w:bookmarkStart w:id="2329" w:name="_Toc151137026"/>
      <w:bookmarkEnd w:id="2329"/>
      <w:bookmarkStart w:id="2330" w:name="_Toc151136935"/>
      <w:bookmarkEnd w:id="2330"/>
      <w:bookmarkStart w:id="2331" w:name="_Toc151136950"/>
      <w:bookmarkEnd w:id="2331"/>
      <w:bookmarkStart w:id="2332" w:name="_Toc151137037"/>
      <w:bookmarkEnd w:id="2332"/>
      <w:bookmarkStart w:id="2333" w:name="_Toc151137029"/>
      <w:bookmarkEnd w:id="2333"/>
      <w:bookmarkStart w:id="2334" w:name="_Toc151137030"/>
      <w:bookmarkEnd w:id="2334"/>
      <w:bookmarkStart w:id="2335" w:name="_Toc151136946"/>
      <w:bookmarkEnd w:id="2335"/>
      <w:bookmarkStart w:id="2336" w:name="_Toc151136942"/>
      <w:bookmarkEnd w:id="2336"/>
      <w:bookmarkStart w:id="2337" w:name="_Toc151137051"/>
      <w:bookmarkEnd w:id="2337"/>
      <w:bookmarkStart w:id="2338" w:name="_Toc151137020"/>
      <w:bookmarkEnd w:id="2338"/>
      <w:bookmarkStart w:id="2339" w:name="_Toc151136927"/>
      <w:bookmarkEnd w:id="2339"/>
      <w:bookmarkStart w:id="2340" w:name="_Toc151137034"/>
      <w:bookmarkEnd w:id="2340"/>
      <w:bookmarkStart w:id="2341" w:name="_Toc151137039"/>
      <w:bookmarkEnd w:id="2341"/>
      <w:bookmarkStart w:id="2342" w:name="_Toc151137046"/>
      <w:bookmarkEnd w:id="2342"/>
      <w:bookmarkStart w:id="2343" w:name="_Toc151136944"/>
      <w:bookmarkEnd w:id="2343"/>
      <w:bookmarkStart w:id="2344" w:name="_Toc151136932"/>
      <w:bookmarkEnd w:id="2344"/>
      <w:bookmarkStart w:id="2345" w:name="_Toc151136943"/>
      <w:bookmarkEnd w:id="2345"/>
      <w:bookmarkStart w:id="2346" w:name="_Toc151137024"/>
      <w:bookmarkEnd w:id="2346"/>
      <w:bookmarkStart w:id="2347" w:name="_Toc151136920"/>
      <w:bookmarkEnd w:id="2347"/>
      <w:bookmarkStart w:id="2348" w:name="_Toc151136956"/>
      <w:bookmarkEnd w:id="2348"/>
      <w:bookmarkStart w:id="2349" w:name="_Toc151136947"/>
      <w:bookmarkEnd w:id="2349"/>
      <w:bookmarkStart w:id="2350" w:name="_Toc151137018"/>
      <w:bookmarkEnd w:id="2350"/>
      <w:bookmarkStart w:id="2351" w:name="_Toc151136953"/>
      <w:bookmarkEnd w:id="2351"/>
      <w:bookmarkStart w:id="2352" w:name="_Toc151137035"/>
      <w:bookmarkEnd w:id="2352"/>
      <w:bookmarkStart w:id="2353" w:name="_Toc151137041"/>
      <w:bookmarkEnd w:id="2353"/>
      <w:bookmarkStart w:id="2354" w:name="_Toc151137036"/>
      <w:bookmarkEnd w:id="2354"/>
      <w:bookmarkStart w:id="2355" w:name="_Toc151137050"/>
      <w:bookmarkEnd w:id="2355"/>
      <w:bookmarkStart w:id="2356" w:name="_Toc151136922"/>
      <w:bookmarkEnd w:id="2356"/>
      <w:bookmarkStart w:id="2357" w:name="_Toc151137043"/>
      <w:bookmarkEnd w:id="2357"/>
      <w:bookmarkStart w:id="2358" w:name="_Toc151137017"/>
      <w:bookmarkEnd w:id="2358"/>
      <w:bookmarkStart w:id="2359" w:name="_Toc151136928"/>
      <w:bookmarkEnd w:id="2359"/>
      <w:bookmarkStart w:id="2360" w:name="_Toc151136954"/>
      <w:bookmarkEnd w:id="2360"/>
      <w:bookmarkStart w:id="2361" w:name="_Toc151136941"/>
      <w:bookmarkEnd w:id="2361"/>
      <w:bookmarkStart w:id="2362" w:name="_Toc151136926"/>
      <w:bookmarkEnd w:id="2362"/>
      <w:bookmarkStart w:id="2363" w:name="_Toc151137044"/>
      <w:bookmarkEnd w:id="2363"/>
      <w:bookmarkStart w:id="2364" w:name="_Toc151137047"/>
      <w:bookmarkEnd w:id="2364"/>
      <w:bookmarkStart w:id="2365" w:name="_Toc151136945"/>
      <w:bookmarkEnd w:id="2365"/>
      <w:bookmarkStart w:id="2366" w:name="_Toc151136952"/>
      <w:bookmarkEnd w:id="2366"/>
      <w:bookmarkStart w:id="2367" w:name="_Toc151137019"/>
      <w:bookmarkEnd w:id="2367"/>
      <w:bookmarkStart w:id="2368" w:name="_Toc151137032"/>
      <w:bookmarkEnd w:id="2368"/>
      <w:bookmarkStart w:id="2369" w:name="_Toc151136923"/>
      <w:bookmarkEnd w:id="2369"/>
      <w:bookmarkStart w:id="2370" w:name="_Toc151137022"/>
      <w:bookmarkEnd w:id="2370"/>
      <w:bookmarkStart w:id="2371" w:name="_Toc151137027"/>
      <w:bookmarkEnd w:id="2371"/>
      <w:bookmarkStart w:id="2372" w:name="_Toc151137048"/>
      <w:bookmarkEnd w:id="2372"/>
      <w:bookmarkStart w:id="2373" w:name="_Toc151136930"/>
      <w:bookmarkEnd w:id="2373"/>
      <w:bookmarkStart w:id="2374" w:name="_Toc151136948"/>
      <w:bookmarkEnd w:id="2374"/>
      <w:bookmarkStart w:id="2375" w:name="_Toc151136949"/>
      <w:bookmarkEnd w:id="2375"/>
      <w:bookmarkStart w:id="2376" w:name="_Toc151137021"/>
      <w:bookmarkEnd w:id="2376"/>
      <w:bookmarkStart w:id="2377" w:name="_Toc151137023"/>
      <w:bookmarkEnd w:id="2377"/>
      <w:bookmarkStart w:id="2378" w:name="_Toc151136955"/>
      <w:bookmarkEnd w:id="2378"/>
      <w:bookmarkStart w:id="2379" w:name="_Toc151137033"/>
      <w:bookmarkEnd w:id="2379"/>
      <w:bookmarkStart w:id="2380" w:name="_Toc151136933"/>
      <w:bookmarkEnd w:id="2380"/>
      <w:bookmarkStart w:id="2381" w:name="_Toc151136931"/>
      <w:bookmarkEnd w:id="2381"/>
      <w:bookmarkStart w:id="2382" w:name="_Toc151137049"/>
      <w:bookmarkEnd w:id="2382"/>
      <w:bookmarkStart w:id="2383" w:name="_Toc151136924"/>
      <w:bookmarkEnd w:id="2383"/>
      <w:bookmarkStart w:id="2384" w:name="_Toc151136929"/>
      <w:bookmarkEnd w:id="2384"/>
      <w:bookmarkStart w:id="2385" w:name="_Toc151137028"/>
      <w:bookmarkEnd w:id="2385"/>
      <w:bookmarkStart w:id="2386" w:name="_Toc151136951"/>
      <w:bookmarkEnd w:id="2386"/>
      <w:bookmarkStart w:id="2387" w:name="_Toc56166103"/>
      <w:bookmarkStart w:id="2388" w:name="_Toc221913542"/>
      <w:bookmarkStart w:id="2389" w:name="_Toc41660684"/>
      <w:bookmarkStart w:id="2390" w:name="_Toc526060160"/>
      <w:bookmarkStart w:id="2391" w:name="_Toc501820795"/>
      <w:bookmarkStart w:id="2392" w:name="_Toc151137052"/>
      <w:bookmarkStart w:id="2393" w:name="_Toc392260649"/>
      <w:bookmarkStart w:id="2394" w:name="_Toc574973031"/>
      <w:bookmarkStart w:id="2395" w:name="_Toc56166292"/>
      <w:bookmarkStart w:id="2396" w:name="_Toc464193754"/>
      <w:r>
        <w:rPr>
          <w:rFonts w:hint="eastAsia" w:ascii="仿宋_GB2312" w:eastAsia="仿宋_GB2312"/>
          <w:b/>
          <w:sz w:val="30"/>
          <w:szCs w:val="30"/>
        </w:rPr>
        <w:t>信用保护工具</w:t>
      </w:r>
      <w:bookmarkEnd w:id="2387"/>
      <w:bookmarkEnd w:id="2388"/>
      <w:bookmarkEnd w:id="2389"/>
      <w:bookmarkEnd w:id="2390"/>
      <w:bookmarkEnd w:id="2391"/>
      <w:bookmarkEnd w:id="2392"/>
      <w:bookmarkEnd w:id="2393"/>
      <w:bookmarkEnd w:id="2394"/>
      <w:bookmarkEnd w:id="2395"/>
      <w:bookmarkEnd w:id="2396"/>
    </w:p>
    <w:p w14:paraId="5132D949">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相关规则</w:t>
      </w:r>
    </w:p>
    <w:p w14:paraId="418133D8">
      <w:pPr>
        <w:widowControl/>
        <w:numPr>
          <w:ilvl w:val="0"/>
          <w:numId w:val="21"/>
        </w:num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《上海证券交易所 中国证券登记结算有限责任公司信用保护工具业务管理试点办法》</w:t>
      </w:r>
    </w:p>
    <w:p w14:paraId="3DF10030">
      <w:pPr>
        <w:widowControl/>
        <w:numPr>
          <w:ilvl w:val="0"/>
          <w:numId w:val="21"/>
        </w:num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w:t>
      </w:r>
      <w:r>
        <w:rPr>
          <w:rFonts w:ascii="仿宋_GB2312" w:hAnsi="Calibri" w:eastAsia="仿宋_GB2312"/>
          <w:sz w:val="30"/>
          <w:szCs w:val="30"/>
        </w:rPr>
        <w:t>上海证券交易所信用保护工具交易业务指引</w:t>
      </w:r>
      <w:r>
        <w:rPr>
          <w:rFonts w:hint="eastAsia" w:ascii="仿宋_GB2312" w:hAnsi="Calibri" w:eastAsia="仿宋_GB2312"/>
          <w:sz w:val="30"/>
          <w:szCs w:val="30"/>
        </w:rPr>
        <w:t>》</w:t>
      </w:r>
    </w:p>
    <w:p w14:paraId="1CF68F4A">
      <w:pPr>
        <w:widowControl/>
        <w:numPr>
          <w:ilvl w:val="0"/>
          <w:numId w:val="21"/>
        </w:numPr>
        <w:spacing w:line="600" w:lineRule="exact"/>
        <w:ind w:firstLine="600" w:firstLineChars="200"/>
        <w:rPr>
          <w:rFonts w:ascii="仿宋_GB2312" w:hAnsi="Calibri" w:eastAsia="仿宋_GB2312"/>
          <w:sz w:val="30"/>
          <w:szCs w:val="30"/>
        </w:rPr>
      </w:pPr>
      <w:r>
        <w:rPr>
          <w:rFonts w:ascii="仿宋_GB2312" w:hAnsi="Calibri" w:eastAsia="仿宋_GB2312"/>
          <w:sz w:val="30"/>
          <w:szCs w:val="30"/>
        </w:rPr>
        <w:t>上海证券交易所</w:t>
      </w:r>
      <w:r>
        <w:rPr>
          <w:rFonts w:hint="eastAsia" w:ascii="仿宋_GB2312" w:hAnsi="Calibri" w:eastAsia="仿宋_GB2312"/>
          <w:sz w:val="30"/>
          <w:szCs w:val="30"/>
        </w:rPr>
        <w:t>《</w:t>
      </w:r>
      <w:r>
        <w:rPr>
          <w:rFonts w:ascii="仿宋_GB2312" w:hAnsi="Calibri" w:eastAsia="仿宋_GB2312"/>
          <w:sz w:val="30"/>
          <w:szCs w:val="30"/>
        </w:rPr>
        <w:t>关于开展信用保护凭证业务试点的通知</w:t>
      </w:r>
      <w:r>
        <w:rPr>
          <w:rFonts w:hint="eastAsia" w:ascii="仿宋_GB2312" w:hAnsi="Calibri" w:eastAsia="仿宋_GB2312"/>
          <w:sz w:val="30"/>
          <w:szCs w:val="30"/>
        </w:rPr>
        <w:t>》</w:t>
      </w:r>
    </w:p>
    <w:p w14:paraId="4AC0D874">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概述</w:t>
      </w:r>
    </w:p>
    <w:p w14:paraId="6D7B7A81">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信用保护工具是指信用保护卖方和信用保护买方（以下合称交易双方）达成的，约定在未来一定期限内，信用保护买方（以下简称买方）按照约定的标准和方式向信用保护卖方（以下简称卖方）支付信用保护费用，由卖方就约定的一个或多个参考实体或其符合特定债务种类和债务特征的一个或多个、一类或多类债务（以下简称受保护债务）向买方提供信用风险保护的金融工具。</w:t>
      </w:r>
    </w:p>
    <w:p w14:paraId="3070B195">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前文所述参考实体是指交易双方约定的，以其信用风险作为信用保护工具交易标的的单个或者多个实体。</w:t>
      </w:r>
    </w:p>
    <w:p w14:paraId="2016A133">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（1）分类</w:t>
      </w:r>
    </w:p>
    <w:p w14:paraId="033A59BE">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信用保护工具分为信用保护合约（以下简称合约）和信用保护凭证（以下简称凭证）两类产品。合约由交易双方签署，相关权利义务限于合约签署双方，不可转让。凭证由凭证创设机构（以下简称创设机构）创设，就一个或多个参考实体或其符合特定债务种类和债务特征的一个或多个、一类或多类债务向凭证持有人提供信用保护，并可以通过交易系统转让。</w:t>
      </w:r>
    </w:p>
    <w:p w14:paraId="62F1430A">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组合型信用保护合约（以下简称CDX合约）是指合约交易双方达成的，以特定CDX组合项下全部参考实体或其符合特定债务种类和债务特征的全部债务为保护对象的信用保护合约。CDX组合设置和编制的具体方案由CDX组合管理人另行规定。</w:t>
      </w:r>
    </w:p>
    <w:p w14:paraId="38ED877C">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（2）参与机构</w:t>
      </w:r>
    </w:p>
    <w:p w14:paraId="19CE7502">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信用保护工具业务的参与机构实行分层管理制度。合约的参与者分为合约核心交易商（以下简称核心交易商）和其他投资者，核心交易商需事先向本所备案。凭证的参与者包括创设机构和其他投资者。创设机构需事先向本所备案。</w:t>
      </w:r>
    </w:p>
    <w:p w14:paraId="067AD8E1">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（3）业务流程</w:t>
      </w:r>
    </w:p>
    <w:p w14:paraId="272FB6BF">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信用保护工具业务流程包括参与者备案、业务实施、信用事件后续结算安排等环节。其中，参与者备案指核心交易商、创设机构按业务需求进行备案；合约业务实施包括签署主协议、签署交易确认书、支付保护费等流程；凭证业务实施包括凭证创设、登记、挂牌、转让等；信用事件后续结算安排包括确定信用事件决定日及实物结算、现金结算等。相关登记结算具体流程按照</w:t>
      </w:r>
      <w:r>
        <w:rPr>
          <w:rFonts w:hint="eastAsia" w:ascii="仿宋_GB2312" w:hAnsi="宋体" w:eastAsia="仿宋_GB2312" w:cs="宋体"/>
          <w:color w:val="000000"/>
          <w:kern w:val="0"/>
          <w:sz w:val="30"/>
          <w:szCs w:val="30"/>
        </w:rPr>
        <w:t>登记结算机构</w:t>
      </w:r>
      <w:r>
        <w:rPr>
          <w:rFonts w:hint="eastAsia" w:ascii="仿宋_GB2312" w:hAnsi="Calibri" w:eastAsia="仿宋_GB2312"/>
          <w:sz w:val="30"/>
          <w:szCs w:val="30"/>
        </w:rPr>
        <w:t>相关规则办理。</w:t>
      </w:r>
    </w:p>
    <w:p w14:paraId="6EA3AF80">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（4）受保护债务范围</w:t>
      </w:r>
    </w:p>
    <w:p w14:paraId="36FDB2D7">
      <w:pPr>
        <w:spacing w:line="600" w:lineRule="exact"/>
        <w:ind w:firstLine="600" w:firstLineChars="200"/>
        <w:rPr>
          <w:rFonts w:ascii="仿宋_GB2312" w:hAnsi="Calibri" w:eastAsia="仿宋_GB2312"/>
          <w:sz w:val="30"/>
          <w:szCs w:val="30"/>
        </w:rPr>
      </w:pPr>
      <w:r>
        <w:rPr>
          <w:rFonts w:hint="eastAsia" w:ascii="仿宋_GB2312" w:hAnsi="Calibri" w:eastAsia="仿宋_GB2312" w:cs="宋体"/>
          <w:sz w:val="30"/>
          <w:szCs w:val="30"/>
        </w:rPr>
        <w:t>试点初期，信用保护工具受保护债务范围主要包括在中国境内发行并在沪深证券交易所上市交易或者挂牌转让的以人民币计价的公司债券（含次级债券）、可转换公司债券及本所认可的其他债务。其中，CDX合约的受保护债务范围为CDX组合内参考实体在中国境内发行并在沪深交易所上市交易或者挂牌转让的以人民币计价的公司债券和可转换公司债券。</w:t>
      </w:r>
    </w:p>
    <w:p w14:paraId="2422BE5D">
      <w:pPr>
        <w:numPr>
          <w:ilvl w:val="2"/>
          <w:numId w:val="4"/>
        </w:numPr>
        <w:spacing w:line="600" w:lineRule="exact"/>
        <w:ind w:left="0" w:firstLine="0"/>
        <w:outlineLvl w:val="2"/>
        <w:rPr>
          <w:rFonts w:ascii="仿宋_GB2312" w:eastAsia="仿宋_GB2312"/>
          <w:b/>
          <w:sz w:val="30"/>
          <w:szCs w:val="30"/>
        </w:rPr>
      </w:pPr>
      <w:bookmarkStart w:id="2397" w:name="_Toc41660690"/>
      <w:r>
        <w:rPr>
          <w:rFonts w:hint="eastAsia" w:ascii="仿宋_GB2312" w:eastAsia="仿宋_GB2312"/>
          <w:b/>
          <w:sz w:val="30"/>
          <w:szCs w:val="30"/>
        </w:rPr>
        <w:t>参与者资质要求及备案</w:t>
      </w:r>
      <w:bookmarkEnd w:id="2397"/>
    </w:p>
    <w:p w14:paraId="651C61E1">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信用保护工具业务实行参与者资质管理。参与者应当充分知悉信用保护工具相关规则，了解信用保护工具的相关风险，根据《试点办法》《业务指引》规定的条件及自身的风险承受能力评估是否适合参与信用保护工具业务，并自行承担风险。</w:t>
      </w:r>
    </w:p>
    <w:p w14:paraId="290AA1C3">
      <w:pPr>
        <w:spacing w:line="600" w:lineRule="exact"/>
        <w:ind w:firstLine="600" w:firstLineChars="200"/>
        <w:rPr>
          <w:rFonts w:ascii="仿宋_GB2312" w:eastAsia="仿宋_GB2312"/>
          <w:sz w:val="30"/>
          <w:szCs w:val="30"/>
        </w:rPr>
      </w:pPr>
      <w:r>
        <w:rPr>
          <w:rFonts w:hint="eastAsia" w:ascii="仿宋_GB2312" w:eastAsia="仿宋_GB2312"/>
          <w:sz w:val="30"/>
          <w:szCs w:val="30"/>
        </w:rPr>
        <w:t>信用保护工具参与者的投资者适当性应当与</w:t>
      </w:r>
      <w:r>
        <w:rPr>
          <w:rFonts w:hint="eastAsia" w:eastAsia="仿宋_GB2312"/>
          <w:sz w:val="30"/>
          <w:szCs w:val="28"/>
        </w:rPr>
        <w:t>本所债券市场投资者适当性管理相关规则</w:t>
      </w:r>
      <w:r>
        <w:rPr>
          <w:rFonts w:hint="eastAsia" w:ascii="仿宋_GB2312" w:eastAsia="仿宋_GB2312"/>
          <w:sz w:val="30"/>
          <w:szCs w:val="30"/>
        </w:rPr>
        <w:t>规定的参考实体受保护债务的投资者适当性标准保持一致。参考实体受保护的多个债务投资者适当性标准不一致的，以受保护债务中较高的投资者适当性标准为准；受保护债务投资者适当性标准不明确的，仅限于</w:t>
      </w:r>
      <w:r>
        <w:rPr>
          <w:rFonts w:hint="eastAsia" w:eastAsia="仿宋_GB2312"/>
          <w:sz w:val="30"/>
          <w:szCs w:val="28"/>
        </w:rPr>
        <w:t>专业投资者中的</w:t>
      </w:r>
      <w:r>
        <w:rPr>
          <w:rFonts w:hint="eastAsia" w:ascii="仿宋_GB2312" w:eastAsia="仿宋_GB2312"/>
          <w:sz w:val="30"/>
          <w:szCs w:val="30"/>
        </w:rPr>
        <w:t>机构投资者。本所可以根据市场发展情况，调整信用保护工具投资者适当性标准。</w:t>
      </w:r>
    </w:p>
    <w:p w14:paraId="28373294">
      <w:pPr>
        <w:spacing w:line="600" w:lineRule="exact"/>
        <w:ind w:firstLine="601" w:firstLineChars="200"/>
        <w:outlineLvl w:val="3"/>
        <w:rPr>
          <w:rFonts w:ascii="仿宋_GB2312" w:hAnsi="黑体" w:eastAsia="仿宋_GB2312"/>
          <w:b/>
          <w:sz w:val="30"/>
          <w:szCs w:val="30"/>
        </w:rPr>
      </w:pPr>
      <w:bookmarkStart w:id="2398" w:name="_Toc41660691"/>
      <w:r>
        <w:rPr>
          <w:rFonts w:hint="eastAsia" w:ascii="仿宋_GB2312" w:hAnsi="黑体" w:eastAsia="仿宋_GB2312"/>
          <w:b/>
          <w:sz w:val="30"/>
          <w:szCs w:val="30"/>
        </w:rPr>
        <w:t>（1）核心交易商和创设机构</w:t>
      </w:r>
    </w:p>
    <w:bookmarkEnd w:id="2398"/>
    <w:p w14:paraId="126C527D">
      <w:pPr>
        <w:spacing w:line="600" w:lineRule="exact"/>
        <w:ind w:firstLine="600" w:firstLineChars="200"/>
        <w:rPr>
          <w:rFonts w:ascii="仿宋_GB2312" w:eastAsia="仿宋_GB2312"/>
          <w:sz w:val="30"/>
          <w:szCs w:val="30"/>
        </w:rPr>
      </w:pPr>
      <w:r>
        <w:rPr>
          <w:rFonts w:hint="eastAsia" w:ascii="仿宋_GB2312" w:eastAsia="仿宋_GB2312"/>
          <w:sz w:val="30"/>
          <w:szCs w:val="30"/>
        </w:rPr>
        <w:t>符合下列条件的金融机构、信用增进机构等经本所备案可成为核心交易商：</w:t>
      </w:r>
    </w:p>
    <w:p w14:paraId="4E00003A">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1）具有较丰富的信用风险管理经验和较强的信用风险承担能力；</w:t>
      </w:r>
    </w:p>
    <w:p w14:paraId="2D137618">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2）具有相对独立的信用保护工具交易团队，建立完备的信用风险管理工具内部操作规程和业务管理制度；</w:t>
      </w:r>
    </w:p>
    <w:p w14:paraId="4E9B972D">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3）近三年未因重大的证券期货违法行为被采取过重大行政监管措施或者受到行政、刑事处罚；</w:t>
      </w:r>
    </w:p>
    <w:p w14:paraId="40A2599E">
      <w:pPr>
        <w:adjustRightInd w:val="0"/>
        <w:snapToGrid w:val="0"/>
        <w:spacing w:line="600" w:lineRule="exact"/>
        <w:ind w:firstLine="600" w:firstLineChars="200"/>
        <w:rPr>
          <w:rFonts w:ascii="仿宋_GB2312" w:eastAsia="仿宋_GB2312"/>
          <w:sz w:val="30"/>
          <w:szCs w:val="30"/>
        </w:rPr>
      </w:pPr>
      <w:bookmarkStart w:id="2399" w:name="OLE_LINK10"/>
      <w:r>
        <w:rPr>
          <w:rFonts w:hint="eastAsia" w:ascii="仿宋_GB2312" w:eastAsia="仿宋_GB2312"/>
          <w:sz w:val="30"/>
          <w:szCs w:val="30"/>
        </w:rPr>
        <w:t>4）本所要求的其他条件。</w:t>
      </w:r>
    </w:p>
    <w:bookmarkEnd w:id="2399"/>
    <w:p w14:paraId="359E601F">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符合以下条件的核心交易商经本所备案可成为创设机构：</w:t>
      </w:r>
    </w:p>
    <w:p w14:paraId="0BC0C0D9">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1）最近一年末净资产不少于40亿元；</w:t>
      </w:r>
    </w:p>
    <w:p w14:paraId="01BD7662">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2）具有较强的信用风险管理和评估能力，并配备5名以上（含5名）的风险管理人员；</w:t>
      </w:r>
    </w:p>
    <w:p w14:paraId="6B64925C">
      <w:pPr>
        <w:adjustRightInd w:val="0"/>
        <w:snapToGrid w:val="0"/>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3）本所要求的其他条件。</w:t>
      </w:r>
    </w:p>
    <w:p w14:paraId="4799CC75">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证券期货经营机构备案成为核心交易商或者创设机构的，还须符合中国证监会的相关规定。CDX业务试点初期，具有场外期权一级交易商资质的证券期货经营机构经备案可作为核心交易商参与CDX业务，其他证券期货经营机构可作为投资者参与CDX业务。可作为核心交易商参与</w:t>
      </w:r>
      <w:r>
        <w:rPr>
          <w:rFonts w:ascii="仿宋_GB2312" w:hAnsi="Calibri" w:eastAsia="仿宋_GB2312"/>
          <w:sz w:val="30"/>
          <w:szCs w:val="30"/>
        </w:rPr>
        <w:t>CDX</w:t>
      </w:r>
      <w:r>
        <w:rPr>
          <w:rFonts w:hint="eastAsia" w:ascii="仿宋_GB2312" w:hAnsi="Calibri" w:eastAsia="仿宋_GB2312"/>
          <w:sz w:val="30"/>
          <w:szCs w:val="30"/>
        </w:rPr>
        <w:t>业务的机构名单，将在本所网站公布。</w:t>
      </w:r>
    </w:p>
    <w:p w14:paraId="5D106E06">
      <w:pPr>
        <w:spacing w:line="600" w:lineRule="exact"/>
        <w:ind w:firstLine="450" w:firstLineChars="150"/>
        <w:outlineLvl w:val="3"/>
        <w:rPr>
          <w:rFonts w:ascii="仿宋_GB2312" w:hAnsi="黑体" w:eastAsia="仿宋_GB2312"/>
          <w:b/>
          <w:sz w:val="30"/>
          <w:szCs w:val="30"/>
        </w:rPr>
      </w:pPr>
      <w:r>
        <w:rPr>
          <w:rFonts w:hint="eastAsia" w:ascii="仿宋_GB2312" w:hAnsi="黑体" w:eastAsia="仿宋_GB2312"/>
          <w:b/>
          <w:sz w:val="30"/>
          <w:szCs w:val="30"/>
        </w:rPr>
        <w:t>（2）备案要求</w:t>
      </w:r>
    </w:p>
    <w:p w14:paraId="06AC15CB">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债券投资者拟成为核心交易商或者创设机构的，应当向本所提交以下参与者资质备案文件：</w:t>
      </w:r>
    </w:p>
    <w:p w14:paraId="4B2985E5">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1）信用保护合约核心交易商/凭证创设机构资质申请信息表（附件</w:t>
      </w:r>
      <w:r>
        <w:rPr>
          <w:rFonts w:ascii="仿宋_GB2312" w:hAnsi="Calibri" w:eastAsia="仿宋_GB2312"/>
          <w:sz w:val="30"/>
          <w:szCs w:val="30"/>
        </w:rPr>
        <w:t>2</w:t>
      </w:r>
      <w:r>
        <w:rPr>
          <w:rFonts w:hint="eastAsia" w:ascii="仿宋_GB2312" w:hAnsi="Calibri" w:eastAsia="仿宋_GB2312"/>
          <w:sz w:val="30"/>
          <w:szCs w:val="30"/>
          <w:lang w:val="en-US" w:eastAsia="zh-CN"/>
        </w:rPr>
        <w:t>2</w:t>
      </w:r>
      <w:r>
        <w:rPr>
          <w:rFonts w:hint="eastAsia" w:ascii="仿宋_GB2312" w:hAnsi="Calibri" w:eastAsia="仿宋_GB2312"/>
          <w:sz w:val="30"/>
          <w:szCs w:val="30"/>
        </w:rPr>
        <w:t>）；</w:t>
      </w:r>
    </w:p>
    <w:p w14:paraId="59FC8E0E">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2）最近一个会计年度经审计的总资产、净资产的说明及相关证明文件；</w:t>
      </w:r>
    </w:p>
    <w:p w14:paraId="060CAC10">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3）公司信用保护工具交易团队、信用保护工具业务内部操作规程和业务管理制度或者业务系统说明；</w:t>
      </w:r>
    </w:p>
    <w:p w14:paraId="18C886D8">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4）近三年未因重大的证券期货违法行为被采取过重大行政监管措施或受到行政或者刑事处罚的承诺函；</w:t>
      </w:r>
    </w:p>
    <w:p w14:paraId="1AB770EF">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5）本所要求的其他文件。</w:t>
      </w:r>
    </w:p>
    <w:p w14:paraId="1A558A69">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上述第（二）至（四）项文件，对于合约核心交易商补充备案CDX业务和备案申请信息表内容变更的，如所涉及内容较此前提交材料无重大变化的，可免于重复提交。</w:t>
      </w:r>
    </w:p>
    <w:p w14:paraId="610A5234">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参与者备案成为核心交易商或创设机构</w:t>
      </w:r>
      <w:r>
        <w:rPr>
          <w:rFonts w:hint="eastAsia" w:eastAsia="仿宋_GB2312"/>
          <w:sz w:val="30"/>
          <w:szCs w:val="28"/>
        </w:rPr>
        <w:t>，以及变更相关备案信息</w:t>
      </w:r>
      <w:r>
        <w:rPr>
          <w:rFonts w:hint="eastAsia" w:ascii="仿宋_GB2312" w:hAnsi="Calibri" w:eastAsia="仿宋_GB2312"/>
          <w:sz w:val="30"/>
          <w:szCs w:val="30"/>
        </w:rPr>
        <w:t xml:space="preserve">的文件可通过以下两种方式提交本所： </w:t>
      </w:r>
    </w:p>
    <w:p w14:paraId="0ECFDF51">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1）通过电子邮件（ssebond@sse.com.cn）；</w:t>
      </w:r>
    </w:p>
    <w:p w14:paraId="2FC61F77">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2）通过债券业务管理系统。</w:t>
      </w:r>
    </w:p>
    <w:p w14:paraId="1679410D">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业务初期主要采用电子邮件方式，邮件标题格式为“【参与者备案】XXX公司-信用保护合约核心交易商/凭证创设机构备案材料”，附件超过20M的请以超大附件或网盘链接通过普通附件发送。</w:t>
      </w:r>
    </w:p>
    <w:p w14:paraId="2B354601">
      <w:pPr>
        <w:spacing w:line="600" w:lineRule="exact"/>
        <w:ind w:firstLine="601" w:firstLineChars="200"/>
        <w:outlineLvl w:val="3"/>
        <w:rPr>
          <w:rFonts w:ascii="仿宋_GB2312" w:hAnsi="黑体" w:eastAsia="仿宋_GB2312"/>
          <w:b/>
          <w:sz w:val="30"/>
          <w:szCs w:val="30"/>
        </w:rPr>
      </w:pPr>
      <w:r>
        <w:rPr>
          <w:rFonts w:hint="eastAsia" w:ascii="仿宋_GB2312" w:hAnsi="黑体" w:eastAsia="仿宋_GB2312"/>
          <w:b/>
          <w:sz w:val="30"/>
          <w:szCs w:val="30"/>
        </w:rPr>
        <w:t>（3）经纪客户管理</w:t>
      </w:r>
    </w:p>
    <w:p w14:paraId="74E22A26">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证券公司应当按照相关规定对经纪客户进行管理，建立健全经纪客户参与信用保护工具业务相关的风险控制制度和业务流程，并建立经纪客户参与信用保护工具业务的诚信档案。</w:t>
      </w:r>
    </w:p>
    <w:p w14:paraId="6F5D6F2A">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证券公司应当在经纪客户参与信用保护工具业务前，向其全面介绍信用保护工具的相关业务规则及协议，充分揭示可能产生的风险，并要求其签署风险揭示书。风险揭示书应当包含本所确定的信用保护工具</w:t>
      </w:r>
      <w:r>
        <w:rPr>
          <w:rFonts w:hint="eastAsia" w:eastAsia="仿宋_GB2312"/>
          <w:sz w:val="30"/>
          <w:szCs w:val="28"/>
        </w:rPr>
        <w:t>债券投资者</w:t>
      </w:r>
      <w:r>
        <w:rPr>
          <w:rFonts w:hint="eastAsia" w:ascii="仿宋_GB2312" w:hAnsi="Calibri" w:eastAsia="仿宋_GB2312"/>
          <w:sz w:val="30"/>
          <w:szCs w:val="30"/>
        </w:rPr>
        <w:t>风险揭示书必备条款</w:t>
      </w:r>
      <w:r>
        <w:rPr>
          <w:rStyle w:val="53"/>
          <w:rFonts w:ascii="仿宋_GB2312" w:hAnsi="Calibri" w:eastAsia="仿宋_GB2312"/>
          <w:sz w:val="30"/>
          <w:szCs w:val="30"/>
        </w:rPr>
        <w:footnoteReference w:id="1"/>
      </w:r>
      <w:r>
        <w:rPr>
          <w:rFonts w:hint="eastAsia" w:ascii="仿宋_GB2312" w:hAnsi="Calibri" w:eastAsia="仿宋_GB2312"/>
          <w:sz w:val="30"/>
          <w:szCs w:val="30"/>
        </w:rPr>
        <w:t>。</w:t>
      </w:r>
    </w:p>
    <w:p w14:paraId="1FEF2DBE">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签署主协议和补充协议</w:t>
      </w:r>
    </w:p>
    <w:p w14:paraId="53F880B4">
      <w:pPr>
        <w:widowControl/>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交易双方参与合约业务前应当签署《中国证券期货市场衍生品交易主协议（信用保护合约专用版）》，主协议为一对一签署，签署后在相关签署人之间生效。</w:t>
      </w:r>
    </w:p>
    <w:p w14:paraId="7C4D1574">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合约参与者为法人机构的，主协议由其法定代表人或授权代理人进行签署；参与者为证券投资基金、银行理财、资产管理计划等资管产品的，由管理人的法定代表人或授权代理人代为签署。</w:t>
      </w:r>
      <w:r>
        <w:rPr>
          <w:rFonts w:hint="eastAsia" w:eastAsia="仿宋_GB2312"/>
          <w:sz w:val="30"/>
          <w:szCs w:val="28"/>
        </w:rPr>
        <w:t>核心交易商与</w:t>
      </w:r>
      <w:r>
        <w:rPr>
          <w:rFonts w:hint="eastAsia" w:ascii="仿宋_GB2312" w:hAnsi="Calibri" w:eastAsia="仿宋_GB2312"/>
          <w:sz w:val="30"/>
          <w:szCs w:val="30"/>
        </w:rPr>
        <w:t>同一管理人管理的多只资管产品</w:t>
      </w:r>
      <w:r>
        <w:rPr>
          <w:rFonts w:hint="eastAsia" w:eastAsia="仿宋_GB2312"/>
          <w:sz w:val="30"/>
          <w:szCs w:val="28"/>
        </w:rPr>
        <w:t>开展合约交易的，可以与该资管产品管理人就多只资管产品合并签订一份</w:t>
      </w:r>
      <w:r>
        <w:rPr>
          <w:rFonts w:hint="eastAsia" w:ascii="仿宋_GB2312" w:hAnsi="Calibri" w:eastAsia="仿宋_GB2312"/>
          <w:sz w:val="30"/>
          <w:szCs w:val="30"/>
        </w:rPr>
        <w:t>主协议</w:t>
      </w:r>
      <w:r>
        <w:rPr>
          <w:rFonts w:hint="eastAsia" w:eastAsia="仿宋_GB2312"/>
          <w:sz w:val="30"/>
          <w:szCs w:val="28"/>
        </w:rPr>
        <w:t>，并附加盖交易双方公章的代签产品列表</w:t>
      </w:r>
      <w:r>
        <w:rPr>
          <w:rFonts w:hint="eastAsia" w:ascii="仿宋_GB2312" w:hAnsi="Calibri" w:eastAsia="仿宋_GB2312"/>
          <w:sz w:val="30"/>
          <w:szCs w:val="30"/>
        </w:rPr>
        <w:t>。</w:t>
      </w:r>
    </w:p>
    <w:p w14:paraId="773AF883">
      <w:pPr>
        <w:spacing w:line="600" w:lineRule="exact"/>
        <w:ind w:firstLine="600" w:firstLineChars="200"/>
        <w:rPr>
          <w:rFonts w:ascii="仿宋_GB2312" w:eastAsia="仿宋_GB2312"/>
          <w:kern w:val="0"/>
          <w:sz w:val="30"/>
          <w:szCs w:val="30"/>
        </w:rPr>
      </w:pPr>
      <w:r>
        <w:rPr>
          <w:rFonts w:hint="eastAsia" w:ascii="仿宋_GB2312" w:eastAsia="仿宋_GB2312"/>
          <w:kern w:val="0"/>
          <w:sz w:val="30"/>
          <w:szCs w:val="30"/>
        </w:rPr>
        <w:t>交易双方可以就合约相关事宜签订补充协议，但不得违反法律法规、部门规章、《</w:t>
      </w:r>
      <w:r>
        <w:rPr>
          <w:rFonts w:hint="eastAsia" w:ascii="仿宋_GB2312" w:hAnsi="Calibri" w:eastAsia="仿宋_GB2312"/>
          <w:sz w:val="30"/>
          <w:szCs w:val="30"/>
        </w:rPr>
        <w:t>上海证券交易所</w:t>
      </w:r>
      <w:r>
        <w:rPr>
          <w:rFonts w:ascii="仿宋_GB2312" w:hAnsi="Calibri" w:eastAsia="仿宋_GB2312"/>
          <w:sz w:val="30"/>
          <w:szCs w:val="30"/>
        </w:rPr>
        <w:t xml:space="preserve"> </w:t>
      </w:r>
      <w:r>
        <w:rPr>
          <w:rFonts w:hint="eastAsia" w:ascii="仿宋_GB2312" w:hAnsi="Calibri" w:eastAsia="仿宋_GB2312"/>
          <w:sz w:val="30"/>
          <w:szCs w:val="30"/>
        </w:rPr>
        <w:t>中国证券登记结算有限责任公司信用保护工具业务管理试点办法</w:t>
      </w:r>
      <w:r>
        <w:rPr>
          <w:rFonts w:hint="eastAsia" w:ascii="仿宋_GB2312" w:eastAsia="仿宋_GB2312"/>
          <w:kern w:val="0"/>
          <w:sz w:val="30"/>
          <w:szCs w:val="30"/>
        </w:rPr>
        <w:t>》（以下简称《试点办法》）《</w:t>
      </w:r>
      <w:r>
        <w:rPr>
          <w:rFonts w:hint="eastAsia" w:ascii="仿宋_GB2312" w:hAnsi="Calibri" w:eastAsia="仿宋_GB2312"/>
          <w:sz w:val="30"/>
          <w:szCs w:val="30"/>
        </w:rPr>
        <w:t>上海证券交易所信用保护工具交易业务指引</w:t>
      </w:r>
      <w:r>
        <w:rPr>
          <w:rFonts w:hint="eastAsia" w:ascii="仿宋_GB2312" w:eastAsia="仿宋_GB2312"/>
          <w:kern w:val="0"/>
          <w:sz w:val="30"/>
          <w:szCs w:val="30"/>
        </w:rPr>
        <w:t>》（以下简称《业务指引》）及本所、</w:t>
      </w:r>
      <w:r>
        <w:rPr>
          <w:rFonts w:hint="eastAsia" w:ascii="仿宋_GB2312" w:hAnsi="宋体" w:eastAsia="仿宋_GB2312" w:cs="宋体"/>
          <w:color w:val="000000"/>
          <w:kern w:val="0"/>
          <w:sz w:val="30"/>
          <w:szCs w:val="30"/>
        </w:rPr>
        <w:t>登记结算机构</w:t>
      </w:r>
      <w:r>
        <w:rPr>
          <w:rFonts w:hint="eastAsia" w:ascii="仿宋_GB2312" w:eastAsia="仿宋_GB2312"/>
          <w:kern w:val="0"/>
          <w:sz w:val="30"/>
          <w:szCs w:val="30"/>
        </w:rPr>
        <w:t>的其他相关规定。</w:t>
      </w:r>
    </w:p>
    <w:p w14:paraId="5BC9A35C">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交易双方签署主协议后，应当在5个交易日内向本所和中国证券业协会备案。中国证券业协会与本所进行主协议备案数据共享。</w:t>
      </w:r>
      <w:r>
        <w:rPr>
          <w:rFonts w:hint="eastAsia" w:eastAsia="仿宋_GB2312"/>
          <w:sz w:val="30"/>
          <w:szCs w:val="28"/>
        </w:rPr>
        <w:t>核心交易商应当按照中国证券业协会的要求填写代签产品明细表，并将代签产品列表与代签产品明细表随主协议一并在中国证券业协会相关报送系统中报送。代签产品列表如有变更，核心交易商应当在变更之日</w:t>
      </w:r>
      <w:r>
        <w:rPr>
          <w:rFonts w:ascii="仿宋_GB2312" w:hAnsi="Calibri" w:eastAsia="仿宋_GB2312"/>
          <w:sz w:val="30"/>
          <w:szCs w:val="30"/>
        </w:rPr>
        <w:t>5</w:t>
      </w:r>
      <w:r>
        <w:rPr>
          <w:rFonts w:hint="eastAsia" w:eastAsia="仿宋_GB2312"/>
          <w:sz w:val="30"/>
          <w:szCs w:val="28"/>
        </w:rPr>
        <w:t>个工作日内向中国证券业协会更新相关信息。</w:t>
      </w:r>
    </w:p>
    <w:p w14:paraId="509DCC3E">
      <w:pPr>
        <w:numPr>
          <w:ilvl w:val="2"/>
          <w:numId w:val="4"/>
        </w:numPr>
        <w:spacing w:line="600" w:lineRule="exact"/>
        <w:ind w:left="0" w:firstLine="0"/>
        <w:outlineLvl w:val="2"/>
        <w:rPr>
          <w:rFonts w:ascii="仿宋_GB2312" w:eastAsia="仿宋_GB2312"/>
          <w:b/>
          <w:sz w:val="30"/>
          <w:szCs w:val="30"/>
        </w:rPr>
      </w:pPr>
      <w:bookmarkStart w:id="2400" w:name="_Toc522561443"/>
      <w:bookmarkStart w:id="2401" w:name="_Toc534569692"/>
      <w:bookmarkStart w:id="2402" w:name="_Toc41660695"/>
      <w:r>
        <w:rPr>
          <w:rFonts w:hint="eastAsia" w:ascii="仿宋_GB2312" w:eastAsia="仿宋_GB2312"/>
          <w:b/>
          <w:sz w:val="30"/>
          <w:szCs w:val="30"/>
        </w:rPr>
        <w:t>合约</w:t>
      </w:r>
      <w:bookmarkEnd w:id="2400"/>
      <w:bookmarkStart w:id="2403" w:name="_Toc520192260"/>
      <w:bookmarkEnd w:id="2403"/>
      <w:bookmarkStart w:id="2404" w:name="_Toc522561464"/>
      <w:bookmarkEnd w:id="2404"/>
      <w:bookmarkStart w:id="2405" w:name="_Toc522561470"/>
      <w:bookmarkEnd w:id="2405"/>
      <w:bookmarkStart w:id="2406" w:name="_Toc520192255"/>
      <w:bookmarkEnd w:id="2406"/>
      <w:bookmarkStart w:id="2407" w:name="_Toc522561446"/>
      <w:bookmarkEnd w:id="2407"/>
      <w:bookmarkStart w:id="2408" w:name="_Toc520192263"/>
      <w:bookmarkEnd w:id="2408"/>
      <w:bookmarkStart w:id="2409" w:name="_Toc520192277"/>
      <w:bookmarkEnd w:id="2409"/>
      <w:bookmarkStart w:id="2410" w:name="_Toc520192278"/>
      <w:bookmarkEnd w:id="2410"/>
      <w:bookmarkStart w:id="2411" w:name="_Toc522561451"/>
      <w:bookmarkEnd w:id="2411"/>
      <w:bookmarkStart w:id="2412" w:name="_Toc522561449"/>
      <w:bookmarkEnd w:id="2412"/>
      <w:bookmarkStart w:id="2413" w:name="_Toc520192269"/>
      <w:bookmarkEnd w:id="2413"/>
      <w:bookmarkStart w:id="2414" w:name="_Toc522561450"/>
      <w:bookmarkEnd w:id="2414"/>
      <w:bookmarkStart w:id="2415" w:name="_Toc522561456"/>
      <w:bookmarkEnd w:id="2415"/>
      <w:bookmarkStart w:id="2416" w:name="_Toc520192271"/>
      <w:bookmarkEnd w:id="2416"/>
      <w:bookmarkStart w:id="2417" w:name="_Toc522561457"/>
      <w:bookmarkEnd w:id="2417"/>
      <w:bookmarkStart w:id="2418" w:name="_Toc520192258"/>
      <w:bookmarkEnd w:id="2418"/>
      <w:bookmarkStart w:id="2419" w:name="_Toc520192266"/>
      <w:bookmarkEnd w:id="2419"/>
      <w:bookmarkStart w:id="2420" w:name="_Toc520192262"/>
      <w:bookmarkEnd w:id="2420"/>
      <w:bookmarkStart w:id="2421" w:name="_Toc522561465"/>
      <w:bookmarkEnd w:id="2421"/>
      <w:bookmarkStart w:id="2422" w:name="_Toc520192280"/>
      <w:bookmarkEnd w:id="2422"/>
      <w:bookmarkStart w:id="2423" w:name="_Toc520192272"/>
      <w:bookmarkEnd w:id="2423"/>
      <w:bookmarkStart w:id="2424" w:name="_Toc520192270"/>
      <w:bookmarkEnd w:id="2424"/>
      <w:bookmarkStart w:id="2425" w:name="_Toc522561447"/>
      <w:bookmarkEnd w:id="2425"/>
      <w:bookmarkStart w:id="2426" w:name="_Toc520192274"/>
      <w:bookmarkEnd w:id="2426"/>
      <w:bookmarkStart w:id="2427" w:name="_Toc522561452"/>
      <w:bookmarkEnd w:id="2427"/>
      <w:bookmarkStart w:id="2428" w:name="_Toc522561453"/>
      <w:bookmarkEnd w:id="2428"/>
      <w:bookmarkStart w:id="2429" w:name="_Toc520192281"/>
      <w:bookmarkEnd w:id="2429"/>
      <w:bookmarkStart w:id="2430" w:name="_Toc522561444"/>
      <w:bookmarkEnd w:id="2430"/>
      <w:bookmarkStart w:id="2431" w:name="_Toc522561448"/>
      <w:bookmarkEnd w:id="2431"/>
      <w:bookmarkStart w:id="2432" w:name="_Toc522561459"/>
      <w:bookmarkEnd w:id="2432"/>
      <w:bookmarkStart w:id="2433" w:name="_Toc520192273"/>
      <w:bookmarkEnd w:id="2433"/>
      <w:bookmarkStart w:id="2434" w:name="_Toc520192282"/>
      <w:bookmarkEnd w:id="2434"/>
      <w:bookmarkStart w:id="2435" w:name="_Toc522561469"/>
      <w:bookmarkEnd w:id="2435"/>
      <w:bookmarkStart w:id="2436" w:name="_Toc520192275"/>
      <w:bookmarkEnd w:id="2436"/>
      <w:bookmarkStart w:id="2437" w:name="_Toc520192267"/>
      <w:bookmarkEnd w:id="2437"/>
      <w:bookmarkStart w:id="2438" w:name="_Toc522561445"/>
      <w:bookmarkEnd w:id="2438"/>
      <w:bookmarkStart w:id="2439" w:name="_Toc522561462"/>
      <w:bookmarkEnd w:id="2439"/>
      <w:bookmarkStart w:id="2440" w:name="_Toc522561468"/>
      <w:bookmarkEnd w:id="2440"/>
      <w:bookmarkStart w:id="2441" w:name="_Toc520192257"/>
      <w:bookmarkEnd w:id="2441"/>
      <w:bookmarkStart w:id="2442" w:name="_Toc522561466"/>
      <w:bookmarkEnd w:id="2442"/>
      <w:bookmarkStart w:id="2443" w:name="_Toc522561467"/>
      <w:bookmarkEnd w:id="2443"/>
      <w:bookmarkStart w:id="2444" w:name="_Toc522561454"/>
      <w:bookmarkEnd w:id="2444"/>
      <w:bookmarkStart w:id="2445" w:name="_Toc520192259"/>
      <w:bookmarkEnd w:id="2445"/>
      <w:bookmarkStart w:id="2446" w:name="_Toc522561471"/>
      <w:bookmarkEnd w:id="2446"/>
      <w:bookmarkStart w:id="2447" w:name="_Toc520192283"/>
      <w:bookmarkEnd w:id="2447"/>
      <w:bookmarkStart w:id="2448" w:name="_Toc520192264"/>
      <w:bookmarkEnd w:id="2448"/>
      <w:bookmarkStart w:id="2449" w:name="_Toc520192265"/>
      <w:bookmarkEnd w:id="2449"/>
      <w:bookmarkStart w:id="2450" w:name="_Toc520192276"/>
      <w:bookmarkEnd w:id="2450"/>
      <w:bookmarkStart w:id="2451" w:name="_Toc520192268"/>
      <w:bookmarkEnd w:id="2451"/>
      <w:bookmarkStart w:id="2452" w:name="_Toc522561458"/>
      <w:bookmarkEnd w:id="2452"/>
      <w:bookmarkStart w:id="2453" w:name="_Toc520192279"/>
      <w:bookmarkEnd w:id="2453"/>
      <w:bookmarkStart w:id="2454" w:name="_Toc522561455"/>
      <w:bookmarkEnd w:id="2454"/>
      <w:bookmarkStart w:id="2455" w:name="_Toc522561460"/>
      <w:bookmarkEnd w:id="2455"/>
      <w:bookmarkStart w:id="2456" w:name="_Toc520192256"/>
      <w:bookmarkEnd w:id="2456"/>
      <w:bookmarkStart w:id="2457" w:name="_Toc522561463"/>
      <w:bookmarkEnd w:id="2457"/>
      <w:bookmarkStart w:id="2458" w:name="_Toc522561461"/>
      <w:bookmarkEnd w:id="2458"/>
      <w:bookmarkStart w:id="2459" w:name="_Toc520192261"/>
      <w:bookmarkEnd w:id="2459"/>
      <w:r>
        <w:rPr>
          <w:rFonts w:hint="eastAsia" w:ascii="仿宋_GB2312" w:eastAsia="仿宋_GB2312"/>
          <w:b/>
          <w:sz w:val="30"/>
          <w:szCs w:val="30"/>
        </w:rPr>
        <w:t>业务流程</w:t>
      </w:r>
      <w:bookmarkEnd w:id="2401"/>
      <w:bookmarkEnd w:id="2402"/>
    </w:p>
    <w:p w14:paraId="4FF4D343">
      <w:pPr>
        <w:spacing w:line="600" w:lineRule="exact"/>
        <w:ind w:firstLine="601" w:firstLineChars="200"/>
        <w:outlineLvl w:val="3"/>
        <w:rPr>
          <w:rFonts w:ascii="仿宋_GB2312" w:eastAsia="仿宋_GB2312"/>
          <w:b/>
          <w:sz w:val="30"/>
          <w:szCs w:val="30"/>
        </w:rPr>
      </w:pPr>
      <w:bookmarkStart w:id="2460" w:name="_Toc41660696"/>
      <w:r>
        <w:rPr>
          <w:rFonts w:hint="eastAsia" w:ascii="仿宋_GB2312" w:eastAsia="仿宋_GB2312"/>
          <w:b/>
          <w:sz w:val="30"/>
          <w:szCs w:val="30"/>
        </w:rPr>
        <w:t>（1）合约申报及生成交易确认书</w:t>
      </w:r>
      <w:bookmarkEnd w:id="2460"/>
    </w:p>
    <w:p w14:paraId="4C127D83">
      <w:pPr>
        <w:spacing w:line="600" w:lineRule="exact"/>
        <w:ind w:firstLine="600" w:firstLineChars="200"/>
        <w:rPr>
          <w:rFonts w:ascii="仿宋_GB2312" w:hAnsi="黑体" w:eastAsia="仿宋_GB2312"/>
          <w:sz w:val="30"/>
          <w:szCs w:val="30"/>
        </w:rPr>
      </w:pPr>
      <w:r>
        <w:rPr>
          <w:rFonts w:hint="eastAsia" w:ascii="仿宋_GB2312" w:hAnsi="黑体" w:eastAsia="仿宋_GB2312"/>
          <w:sz w:val="30"/>
          <w:szCs w:val="30"/>
        </w:rPr>
        <w:t>1）合约申报</w:t>
      </w:r>
    </w:p>
    <w:p w14:paraId="7CF2D513">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交易双方协商一致后，一方通过交易系统进行合约申报，另一方进行确认。</w:t>
      </w:r>
    </w:p>
    <w:p w14:paraId="7D52F27D">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业务初期，交易系统仅支持通过协商成交方式达成交易</w:t>
      </w:r>
      <w:r>
        <w:rPr>
          <w:rFonts w:hint="eastAsia" w:ascii="仿宋_GB2312" w:hAnsi="Calibri" w:eastAsia="仿宋_GB2312"/>
          <w:sz w:val="30"/>
          <w:szCs w:val="30"/>
          <w:lang w:eastAsia="zh-CN"/>
        </w:rPr>
        <w:t>，交易申报通过</w:t>
      </w:r>
      <w:r>
        <w:rPr>
          <w:rFonts w:hint="eastAsia" w:ascii="仿宋_GB2312" w:hAnsi="仿宋" w:eastAsia="仿宋_GB2312"/>
          <w:sz w:val="30"/>
          <w:szCs w:val="30"/>
          <w:lang w:eastAsia="zh-CN"/>
        </w:rPr>
        <w:t>一债通</w:t>
      </w:r>
      <w:r>
        <w:rPr>
          <w:rFonts w:hint="eastAsia" w:ascii="仿宋_GB2312" w:hAnsi="Calibri" w:eastAsia="仿宋_GB2312"/>
          <w:sz w:val="30"/>
          <w:szCs w:val="30"/>
          <w:lang w:eastAsia="zh-CN"/>
        </w:rPr>
        <w:t>完成</w:t>
      </w:r>
      <w:r>
        <w:rPr>
          <w:rFonts w:hint="eastAsia" w:ascii="仿宋_GB2312" w:hAnsi="Calibri" w:eastAsia="仿宋_GB2312"/>
          <w:sz w:val="30"/>
          <w:szCs w:val="30"/>
        </w:rPr>
        <w:t>。交易一方将协商一致的交易要素通过交易系统发送给交易对手方，经交易对手方确认后，由交易系统确认成交。发送协商成交申报时，对手方必须符合相关参与者资质要求并签署了主协议。</w:t>
      </w:r>
    </w:p>
    <w:p w14:paraId="08979B5F">
      <w:pPr>
        <w:spacing w:line="600" w:lineRule="exact"/>
        <w:ind w:firstLine="600" w:firstLineChars="200"/>
        <w:rPr>
          <w:rFonts w:ascii="仿宋_GB2312" w:hAnsi="黑体" w:eastAsia="仿宋_GB2312"/>
          <w:sz w:val="30"/>
          <w:szCs w:val="30"/>
        </w:rPr>
      </w:pPr>
      <w:r>
        <w:rPr>
          <w:rFonts w:hint="eastAsia" w:ascii="仿宋_GB2312" w:hAnsi="黑体" w:eastAsia="仿宋_GB2312"/>
          <w:sz w:val="30"/>
          <w:szCs w:val="30"/>
        </w:rPr>
        <w:t>2）生成交易确认书</w:t>
      </w:r>
    </w:p>
    <w:p w14:paraId="4F2874F6">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交易系统根据交易双方的确认，对符合形式要求的合约生成《XXXX信用保护合约交易确认书》（以下简称交易确认书，详见附件</w:t>
      </w:r>
      <w:r>
        <w:rPr>
          <w:rFonts w:ascii="仿宋_GB2312" w:hAnsi="Calibri" w:eastAsia="仿宋_GB2312"/>
          <w:sz w:val="30"/>
          <w:szCs w:val="30"/>
        </w:rPr>
        <w:t>2</w:t>
      </w:r>
      <w:r>
        <w:rPr>
          <w:rFonts w:hint="eastAsia" w:ascii="仿宋_GB2312" w:hAnsi="Calibri" w:eastAsia="仿宋_GB2312"/>
          <w:sz w:val="30"/>
          <w:szCs w:val="30"/>
          <w:lang w:val="en-US" w:eastAsia="zh-CN"/>
        </w:rPr>
        <w:t>3</w:t>
      </w:r>
      <w:r>
        <w:rPr>
          <w:rFonts w:hint="eastAsia" w:ascii="仿宋_GB2312" w:hAnsi="Calibri" w:eastAsia="仿宋_GB2312"/>
          <w:sz w:val="30"/>
          <w:szCs w:val="30"/>
        </w:rPr>
        <w:t>）。</w:t>
      </w:r>
    </w:p>
    <w:p w14:paraId="3A75781D">
      <w:pPr>
        <w:widowControl/>
        <w:spacing w:line="600" w:lineRule="exact"/>
        <w:ind w:firstLine="600" w:firstLineChars="200"/>
        <w:rPr>
          <w:rFonts w:ascii="仿宋_GB2312" w:hAnsi="黑体" w:eastAsia="仿宋_GB2312"/>
          <w:sz w:val="30"/>
          <w:szCs w:val="30"/>
        </w:rPr>
      </w:pPr>
      <w:bookmarkStart w:id="2461" w:name="_Toc41660697"/>
      <w:r>
        <w:rPr>
          <w:rFonts w:hint="eastAsia" w:ascii="仿宋_GB2312" w:hAnsi="黑体" w:eastAsia="仿宋_GB2312"/>
          <w:sz w:val="30"/>
          <w:szCs w:val="30"/>
        </w:rPr>
        <w:t>3）合约申报要素</w:t>
      </w:r>
    </w:p>
    <w:bookmarkEnd w:id="2461"/>
    <w:p w14:paraId="2B8149B5">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合约的申报要素包括：买方名称、买方证券账户、卖方名称、卖方证券账户、名义本金、参考实体、债务种类、债务特征、可交付债务（如有）、信用事件类型、合约起始日、合约到期日、保护费率、保护费支付方式（含保护费支付频率和支付日期、保护费支付路径）、信用事件后的结算方式等。</w:t>
      </w:r>
    </w:p>
    <w:p w14:paraId="08452A62">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合约申报名义本金应当不低于50万元；保护费率计价单位为bp；保护费率变动单位为1bp。</w:t>
      </w:r>
    </w:p>
    <w:p w14:paraId="1AD0B651">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此外，针对CDX合约，合约特别要素参见《组合型信用保护合约要素表》（附件</w:t>
      </w:r>
      <w:r>
        <w:rPr>
          <w:rFonts w:ascii="仿宋_GB2312" w:hAnsi="Calibri" w:eastAsia="仿宋_GB2312"/>
          <w:sz w:val="30"/>
          <w:szCs w:val="30"/>
        </w:rPr>
        <w:t>2</w:t>
      </w:r>
      <w:r>
        <w:rPr>
          <w:rFonts w:hint="eastAsia" w:ascii="仿宋_GB2312" w:hAnsi="Calibri" w:eastAsia="仿宋_GB2312"/>
          <w:sz w:val="30"/>
          <w:szCs w:val="30"/>
          <w:lang w:val="en-US" w:eastAsia="zh-CN"/>
        </w:rPr>
        <w:t>4</w:t>
      </w:r>
      <w:r>
        <w:rPr>
          <w:rFonts w:hint="eastAsia" w:ascii="仿宋_GB2312" w:hAnsi="Calibri" w:eastAsia="仿宋_GB2312"/>
          <w:sz w:val="30"/>
          <w:szCs w:val="30"/>
        </w:rPr>
        <w:t>）。</w:t>
      </w:r>
    </w:p>
    <w:p w14:paraId="0E9DDE0F">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合约的申报时间为每个交易日的9:00-11:30、13:00-</w:t>
      </w:r>
      <w:r>
        <w:rPr>
          <w:rFonts w:ascii="仿宋_GB2312" w:hAnsi="Calibri" w:eastAsia="仿宋_GB2312"/>
          <w:sz w:val="30"/>
          <w:szCs w:val="30"/>
        </w:rPr>
        <w:t>15</w:t>
      </w:r>
      <w:r>
        <w:rPr>
          <w:rFonts w:hint="eastAsia" w:ascii="仿宋_GB2312" w:hAnsi="Calibri" w:eastAsia="仿宋_GB2312"/>
          <w:sz w:val="30"/>
          <w:szCs w:val="30"/>
        </w:rPr>
        <w:t>:</w:t>
      </w:r>
      <w:r>
        <w:rPr>
          <w:rFonts w:ascii="仿宋_GB2312" w:hAnsi="Calibri" w:eastAsia="仿宋_GB2312"/>
          <w:sz w:val="30"/>
          <w:szCs w:val="30"/>
        </w:rPr>
        <w:t>3</w:t>
      </w:r>
      <w:r>
        <w:rPr>
          <w:rFonts w:hint="eastAsia" w:ascii="仿宋_GB2312" w:hAnsi="Calibri" w:eastAsia="仿宋_GB2312"/>
          <w:sz w:val="30"/>
          <w:szCs w:val="30"/>
        </w:rPr>
        <w:t>0。本所可以根据市场需要调整合约的申报时间。</w:t>
      </w:r>
    </w:p>
    <w:p w14:paraId="5C67916D">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债券投资者为本所债券交易参与人的，可直接通过交易系统进行申报；债券投资者为经纪客户的，由证券公司根据客户的委托和真实意思表示代为申报。本所可以根据市场需要调整合约的申报平台。</w:t>
      </w:r>
    </w:p>
    <w:p w14:paraId="0250F3B1">
      <w:pPr>
        <w:spacing w:line="600" w:lineRule="exact"/>
        <w:ind w:firstLine="600" w:firstLineChars="200"/>
        <w:rPr>
          <w:rFonts w:ascii="仿宋_GB2312" w:hAnsi="黑体" w:eastAsia="仿宋_GB2312"/>
          <w:sz w:val="30"/>
          <w:szCs w:val="30"/>
        </w:rPr>
      </w:pPr>
      <w:r>
        <w:rPr>
          <w:rFonts w:hint="eastAsia" w:ascii="仿宋_GB2312" w:hAnsi="黑体" w:eastAsia="仿宋_GB2312"/>
          <w:sz w:val="30"/>
          <w:szCs w:val="30"/>
        </w:rPr>
        <w:t>4）合约头寸要求</w:t>
      </w:r>
    </w:p>
    <w:p w14:paraId="16B25BB0">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试点初期，任何一家债券投资者对特定受保护债务的信用保护合约净买入余额或净卖出余额均不得超过该受保护债务总余额的100%。</w:t>
      </w:r>
    </w:p>
    <w:p w14:paraId="44B704AA">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信用保护合约买入余额、卖出余额按照各期限未到期余额加总计算。</w:t>
      </w:r>
    </w:p>
    <w:p w14:paraId="1B726B20">
      <w:pPr>
        <w:spacing w:line="600" w:lineRule="exact"/>
        <w:ind w:firstLine="601" w:firstLineChars="200"/>
        <w:outlineLvl w:val="3"/>
        <w:rPr>
          <w:rFonts w:ascii="仿宋_GB2312" w:eastAsia="仿宋_GB2312"/>
          <w:b/>
          <w:sz w:val="30"/>
          <w:szCs w:val="30"/>
        </w:rPr>
      </w:pPr>
      <w:bookmarkStart w:id="2462" w:name="_Toc41660700"/>
      <w:r>
        <w:rPr>
          <w:rFonts w:hint="eastAsia" w:ascii="仿宋_GB2312" w:eastAsia="仿宋_GB2312"/>
          <w:b/>
          <w:sz w:val="30"/>
          <w:szCs w:val="30"/>
        </w:rPr>
        <w:t>（2）合约提前终止</w:t>
      </w:r>
    </w:p>
    <w:p w14:paraId="558CFA88">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交易双方可在交易系统上提前终止合约。合约交易双方协商一致提前终止合约的，可以由一方通过交易系统申报，另一方进行确认。</w:t>
      </w:r>
    </w:p>
    <w:p w14:paraId="4DA19F72">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交易双方自行计算相关结算金额并通过登记结算机构或者自行协商的其他方式支付结算金额。通过登记结算机构办理结算金额支付的，交易双方在</w:t>
      </w:r>
      <w:r>
        <w:rPr>
          <w:rFonts w:ascii="仿宋_GB2312" w:hAnsi="Calibri" w:eastAsia="仿宋_GB2312"/>
          <w:sz w:val="30"/>
          <w:szCs w:val="30"/>
        </w:rPr>
        <w:t>中国证券登记结算有限责任公司</w:t>
      </w:r>
      <w:r>
        <w:rPr>
          <w:rFonts w:hint="eastAsia" w:ascii="仿宋_GB2312" w:hAnsi="Calibri" w:eastAsia="仿宋_GB2312"/>
          <w:sz w:val="30"/>
          <w:szCs w:val="30"/>
        </w:rPr>
        <w:t>PROP综合业务终端办理资金代收代付，具体流程参见登记结算机构相关规定。通过自行协商支付结算金额的，交易双方需自行完成支付。</w:t>
      </w:r>
    </w:p>
    <w:bookmarkEnd w:id="2462"/>
    <w:p w14:paraId="734A9F08">
      <w:pPr>
        <w:spacing w:line="600" w:lineRule="exact"/>
        <w:ind w:firstLine="601" w:firstLineChars="200"/>
        <w:outlineLvl w:val="3"/>
        <w:rPr>
          <w:rFonts w:ascii="仿宋_GB2312" w:eastAsia="仿宋_GB2312"/>
          <w:b/>
          <w:sz w:val="30"/>
          <w:szCs w:val="30"/>
        </w:rPr>
      </w:pPr>
      <w:bookmarkStart w:id="2463" w:name="_Toc41660701"/>
      <w:r>
        <w:rPr>
          <w:rFonts w:hint="eastAsia" w:ascii="仿宋_GB2312" w:eastAsia="仿宋_GB2312"/>
          <w:b/>
          <w:sz w:val="30"/>
          <w:szCs w:val="30"/>
        </w:rPr>
        <w:t>（</w:t>
      </w:r>
      <w:r>
        <w:rPr>
          <w:rFonts w:ascii="仿宋_GB2312" w:eastAsia="仿宋_GB2312"/>
          <w:b/>
          <w:sz w:val="30"/>
          <w:szCs w:val="30"/>
        </w:rPr>
        <w:t>3</w:t>
      </w:r>
      <w:r>
        <w:rPr>
          <w:rFonts w:hint="eastAsia" w:ascii="仿宋_GB2312" w:eastAsia="仿宋_GB2312"/>
          <w:b/>
          <w:sz w:val="30"/>
          <w:szCs w:val="30"/>
        </w:rPr>
        <w:t>）合约保护费支付</w:t>
      </w:r>
      <w:bookmarkEnd w:id="2463"/>
    </w:p>
    <w:p w14:paraId="2C3A359D">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合约的保护费支付方式可选择按季支付约定保护费、季度标准保护费和部分前端费用相结合、或者前端一次性支付。</w:t>
      </w:r>
    </w:p>
    <w:p w14:paraId="6A525138">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合约保护费可以通过登记结算机构或者自行协商的其他方式支付。通过登记结算机构办理保护费支付的，交易双方在</w:t>
      </w:r>
      <w:r>
        <w:rPr>
          <w:rFonts w:ascii="仿宋_GB2312" w:hAnsi="Calibri" w:eastAsia="仿宋_GB2312"/>
          <w:sz w:val="30"/>
          <w:szCs w:val="30"/>
        </w:rPr>
        <w:t>中国证券登记结算有限责任公司</w:t>
      </w:r>
      <w:r>
        <w:rPr>
          <w:rFonts w:hint="eastAsia" w:ascii="仿宋_GB2312" w:hAnsi="Calibri" w:eastAsia="仿宋_GB2312"/>
          <w:sz w:val="30"/>
          <w:szCs w:val="30"/>
        </w:rPr>
        <w:t>PROP综合业务终端办理资金代收代付，具体流程参见登记结算机构相关规定。通过自行协商支付保护费的，在每个保护费支付日，合约买方需自行向卖方支付保护费。</w:t>
      </w:r>
    </w:p>
    <w:p w14:paraId="4EC3BA44">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4</w:t>
      </w:r>
      <w:r>
        <w:rPr>
          <w:rFonts w:hint="eastAsia" w:ascii="仿宋_GB2312" w:eastAsia="仿宋_GB2312"/>
          <w:b/>
          <w:sz w:val="30"/>
          <w:szCs w:val="30"/>
        </w:rPr>
        <w:t>）合约保护费停止积累情形</w:t>
      </w:r>
    </w:p>
    <w:p w14:paraId="2FDE3880">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1）对于按季支付约定保护费、季度标准保护费率和部分前端费用相结合的，若合约存续期未发生信用事件，合约到期后停止保护费积累；</w:t>
      </w:r>
    </w:p>
    <w:p w14:paraId="3CC6ECDA">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对于按季支付约定保护费、季度标准保护费率和部分前端费用相结合的，若合约存续期发生信用事件，信用事件决定日后停止保护费积累。其中，对于CDX合约，在信用事件决定日后，发生信用事件的参考实体所代表的名义本金停止保护费积累，其余部分名义本金的保护费不受影响，继续积累；</w:t>
      </w:r>
    </w:p>
    <w:p w14:paraId="345D382B">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3）合约提前终止的，合约终止日后停止保护费积累，交易双方在合约终止日通过约定方式支付结算金额。</w:t>
      </w:r>
    </w:p>
    <w:p w14:paraId="74523112">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（5）CDX合约意向申报</w:t>
      </w:r>
    </w:p>
    <w:p w14:paraId="0958EF6D">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试点初期，每个交易日15:30前，可以作为核心交易商开展CDX合约业务的市场参与者须在交易系统就当日每个最新版本CDX组合的关键期限合约向全市场提供双边意向申报，意向申报不可直接确认成交。</w:t>
      </w:r>
    </w:p>
    <w:p w14:paraId="60C4E513">
      <w:pPr>
        <w:spacing w:line="560" w:lineRule="exact"/>
        <w:jc w:val="center"/>
        <w:rPr>
          <w:rFonts w:ascii="仿宋_GB2312" w:eastAsia="仿宋_GB2312"/>
          <w:b/>
          <w:sz w:val="30"/>
          <w:szCs w:val="30"/>
        </w:rPr>
      </w:pPr>
      <w:r>
        <w:rPr>
          <w:rFonts w:ascii="仿宋_GB2312" w:eastAsia="仿宋_GB2312"/>
          <w:b/>
          <w:sz w:val="30"/>
          <w:szCs w:val="30"/>
        </w:rPr>
        <w:t>CDX</w:t>
      </w:r>
      <w:r>
        <w:rPr>
          <w:rFonts w:hint="eastAsia" w:ascii="仿宋_GB2312" w:eastAsia="仿宋_GB2312"/>
          <w:b/>
          <w:sz w:val="30"/>
          <w:szCs w:val="30"/>
        </w:rPr>
        <w:t>合约意向申报参考要素</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2410"/>
        <w:gridCol w:w="1559"/>
        <w:gridCol w:w="2748"/>
      </w:tblGrid>
      <w:tr w14:paraId="448E4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296" w:type="dxa"/>
            <w:gridSpan w:val="4"/>
            <w:vAlign w:val="center"/>
          </w:tcPr>
          <w:p w14:paraId="72315CFC">
            <w:pPr>
              <w:ind w:firstLine="360"/>
              <w:jc w:val="center"/>
              <w:rPr>
                <w:rFonts w:ascii="仿宋_GB2312" w:eastAsia="仿宋_GB2312"/>
                <w:b/>
                <w:sz w:val="24"/>
                <w:szCs w:val="24"/>
                <w:lang w:eastAsia="en-US" w:bidi="en-US"/>
              </w:rPr>
            </w:pPr>
            <w:r>
              <w:rPr>
                <w:rFonts w:hint="eastAsia" w:ascii="仿宋_GB2312" w:eastAsia="仿宋_GB2312"/>
                <w:b/>
                <w:sz w:val="24"/>
                <w:szCs w:val="24"/>
                <w:lang w:eastAsia="en-US" w:bidi="en-US"/>
              </w:rPr>
              <w:t>一般要素</w:t>
            </w:r>
          </w:p>
        </w:tc>
      </w:tr>
      <w:tr w14:paraId="4D8A5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96" w:type="dxa"/>
            <w:vAlign w:val="center"/>
          </w:tcPr>
          <w:p w14:paraId="0D2B8CA0">
            <w:pPr>
              <w:widowControl/>
              <w:ind w:firstLine="0"/>
              <w:rPr>
                <w:rFonts w:ascii="仿宋_GB2312" w:hAnsi="仿宋" w:eastAsia="仿宋_GB2312"/>
                <w:b/>
                <w:bCs/>
                <w:color w:val="000000"/>
                <w:sz w:val="24"/>
                <w:szCs w:val="24"/>
                <w:lang w:eastAsia="en-US" w:bidi="en-US"/>
              </w:rPr>
            </w:pPr>
            <w:r>
              <w:rPr>
                <w:rFonts w:hint="eastAsia" w:ascii="仿宋_GB2312" w:hAnsi="仿宋" w:eastAsia="仿宋_GB2312"/>
                <w:b/>
                <w:bCs/>
                <w:color w:val="000000"/>
                <w:sz w:val="24"/>
                <w:szCs w:val="24"/>
                <w:lang w:eastAsia="en-US" w:bidi="en-US"/>
              </w:rPr>
              <w:t>CDX组合</w:t>
            </w:r>
            <w:r>
              <w:rPr>
                <w:rFonts w:ascii="仿宋_GB2312" w:hAnsi="仿宋" w:eastAsia="仿宋_GB2312"/>
                <w:b/>
                <w:bCs/>
                <w:color w:val="000000"/>
                <w:sz w:val="24"/>
                <w:szCs w:val="24"/>
                <w:lang w:eastAsia="en-US" w:bidi="en-US"/>
              </w:rPr>
              <w:t>名称</w:t>
            </w:r>
          </w:p>
        </w:tc>
        <w:tc>
          <w:tcPr>
            <w:tcW w:w="2410" w:type="dxa"/>
            <w:vAlign w:val="center"/>
          </w:tcPr>
          <w:p w14:paraId="712C9BCC">
            <w:pPr>
              <w:widowControl/>
              <w:ind w:firstLine="0"/>
              <w:rPr>
                <w:rFonts w:ascii="仿宋_GB2312" w:hAnsi="仿宋" w:eastAsia="仿宋_GB2312"/>
                <w:color w:val="000000"/>
                <w:sz w:val="24"/>
                <w:szCs w:val="24"/>
                <w:lang w:eastAsia="en-US" w:bidi="en-US"/>
              </w:rPr>
            </w:pPr>
            <w:r>
              <w:rPr>
                <w:rFonts w:hint="eastAsia" w:ascii="仿宋_GB2312" w:hAnsi="仿宋" w:eastAsia="仿宋_GB2312"/>
                <w:color w:val="000000"/>
                <w:sz w:val="24"/>
                <w:szCs w:val="24"/>
                <w:lang w:eastAsia="en-US" w:bidi="en-US"/>
              </w:rPr>
              <w:t>交易所大型发行人CDX/交易所民企CDX</w:t>
            </w:r>
          </w:p>
        </w:tc>
        <w:tc>
          <w:tcPr>
            <w:tcW w:w="1559" w:type="dxa"/>
            <w:vAlign w:val="center"/>
          </w:tcPr>
          <w:p w14:paraId="171B8942">
            <w:pPr>
              <w:widowControl/>
              <w:ind w:firstLine="0"/>
              <w:rPr>
                <w:rFonts w:ascii="仿宋_GB2312" w:hAnsi="仿宋" w:eastAsia="仿宋_GB2312"/>
                <w:b/>
                <w:bCs/>
                <w:color w:val="000000"/>
                <w:sz w:val="24"/>
                <w:szCs w:val="24"/>
                <w:lang w:eastAsia="en-US" w:bidi="en-US"/>
              </w:rPr>
            </w:pPr>
            <w:r>
              <w:rPr>
                <w:rFonts w:hint="eastAsia" w:ascii="仿宋_GB2312" w:hAnsi="仿宋" w:eastAsia="仿宋_GB2312"/>
                <w:b/>
                <w:bCs/>
                <w:color w:val="000000"/>
                <w:sz w:val="24"/>
                <w:szCs w:val="24"/>
                <w:lang w:eastAsia="en-US" w:bidi="en-US"/>
              </w:rPr>
              <w:t>币种</w:t>
            </w:r>
          </w:p>
        </w:tc>
        <w:tc>
          <w:tcPr>
            <w:tcW w:w="2631" w:type="dxa"/>
            <w:vAlign w:val="center"/>
          </w:tcPr>
          <w:p w14:paraId="024C213C">
            <w:pPr>
              <w:widowControl/>
              <w:ind w:firstLine="0"/>
              <w:rPr>
                <w:rFonts w:ascii="仿宋_GB2312" w:hAnsi="仿宋" w:eastAsia="仿宋_GB2312"/>
                <w:color w:val="000000"/>
                <w:sz w:val="24"/>
                <w:szCs w:val="24"/>
                <w:lang w:eastAsia="en-US" w:bidi="en-US"/>
              </w:rPr>
            </w:pPr>
            <w:r>
              <w:rPr>
                <w:rFonts w:hint="eastAsia" w:ascii="仿宋_GB2312" w:hAnsi="仿宋" w:eastAsia="仿宋_GB2312"/>
                <w:color w:val="000000"/>
                <w:sz w:val="24"/>
                <w:szCs w:val="24"/>
                <w:lang w:eastAsia="en-US" w:bidi="en-US"/>
              </w:rPr>
              <w:t>人民币</w:t>
            </w:r>
          </w:p>
        </w:tc>
      </w:tr>
      <w:tr w14:paraId="3FBC1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96" w:type="dxa"/>
            <w:vAlign w:val="center"/>
          </w:tcPr>
          <w:p w14:paraId="44509CEB">
            <w:pPr>
              <w:widowControl/>
              <w:ind w:firstLine="0"/>
              <w:rPr>
                <w:rFonts w:ascii="仿宋_GB2312" w:hAnsi="仿宋" w:eastAsia="仿宋_GB2312"/>
                <w:b/>
                <w:bCs/>
                <w:color w:val="000000"/>
                <w:sz w:val="24"/>
                <w:szCs w:val="24"/>
                <w:lang w:eastAsia="en-US" w:bidi="en-US"/>
              </w:rPr>
            </w:pPr>
            <w:r>
              <w:rPr>
                <w:rFonts w:hint="eastAsia" w:ascii="仿宋_GB2312" w:hAnsi="仿宋" w:eastAsia="仿宋_GB2312"/>
                <w:b/>
                <w:color w:val="000000"/>
                <w:sz w:val="24"/>
                <w:szCs w:val="24"/>
                <w:lang w:eastAsia="en-US" w:bidi="en-US"/>
              </w:rPr>
              <w:t>起始日</w:t>
            </w:r>
          </w:p>
        </w:tc>
        <w:tc>
          <w:tcPr>
            <w:tcW w:w="2410" w:type="dxa"/>
            <w:vAlign w:val="center"/>
          </w:tcPr>
          <w:p w14:paraId="58A571B8">
            <w:pPr>
              <w:widowControl/>
              <w:ind w:firstLine="0"/>
              <w:rPr>
                <w:rFonts w:ascii="仿宋_GB2312" w:hAnsi="仿宋" w:eastAsia="仿宋_GB2312"/>
                <w:color w:val="000000"/>
                <w:sz w:val="24"/>
                <w:szCs w:val="24"/>
                <w:lang w:eastAsia="en-US" w:bidi="en-US"/>
              </w:rPr>
            </w:pPr>
            <w:r>
              <w:rPr>
                <w:rFonts w:hint="eastAsia" w:ascii="仿宋_GB2312" w:hAnsi="仿宋" w:eastAsia="仿宋_GB2312"/>
                <w:color w:val="000000"/>
                <w:sz w:val="24"/>
                <w:szCs w:val="24"/>
                <w:lang w:eastAsia="en-US" w:bidi="en-US"/>
              </w:rPr>
              <w:t>当前日期的下一个交易日</w:t>
            </w:r>
          </w:p>
        </w:tc>
        <w:tc>
          <w:tcPr>
            <w:tcW w:w="1559" w:type="dxa"/>
            <w:vAlign w:val="center"/>
          </w:tcPr>
          <w:p w14:paraId="01364ED2">
            <w:pPr>
              <w:widowControl/>
              <w:ind w:firstLine="0"/>
              <w:rPr>
                <w:rFonts w:ascii="仿宋_GB2312" w:hAnsi="仿宋" w:eastAsia="仿宋_GB2312"/>
                <w:b/>
                <w:bCs/>
                <w:color w:val="000000"/>
                <w:sz w:val="24"/>
                <w:szCs w:val="24"/>
                <w:lang w:eastAsia="en-US" w:bidi="en-US"/>
              </w:rPr>
            </w:pPr>
            <w:r>
              <w:rPr>
                <w:rFonts w:hint="eastAsia" w:ascii="仿宋_GB2312" w:hAnsi="仿宋" w:eastAsia="仿宋_GB2312"/>
                <w:b/>
                <w:bCs/>
                <w:color w:val="000000"/>
                <w:sz w:val="24"/>
                <w:szCs w:val="24"/>
                <w:lang w:eastAsia="en-US" w:bidi="en-US"/>
              </w:rPr>
              <w:t>期限</w:t>
            </w:r>
          </w:p>
        </w:tc>
        <w:tc>
          <w:tcPr>
            <w:tcW w:w="2631" w:type="dxa"/>
            <w:vAlign w:val="center"/>
          </w:tcPr>
          <w:p w14:paraId="6851F572">
            <w:pPr>
              <w:widowControl/>
              <w:ind w:firstLine="0"/>
              <w:rPr>
                <w:rFonts w:ascii="仿宋_GB2312" w:hAnsi="仿宋" w:eastAsia="仿宋_GB2312"/>
                <w:color w:val="000000"/>
                <w:sz w:val="24"/>
                <w:szCs w:val="24"/>
                <w:lang w:eastAsia="en-US" w:bidi="en-US"/>
              </w:rPr>
            </w:pPr>
            <w:r>
              <w:rPr>
                <w:rFonts w:ascii="仿宋_GB2312" w:hAnsi="仿宋" w:eastAsia="仿宋_GB2312"/>
                <w:color w:val="000000"/>
                <w:sz w:val="24"/>
                <w:szCs w:val="24"/>
                <w:lang w:eastAsia="en-US" w:bidi="en-US"/>
              </w:rPr>
              <w:t>3M</w:t>
            </w:r>
            <w:r>
              <w:rPr>
                <w:rFonts w:hint="eastAsia" w:ascii="仿宋_GB2312" w:hAnsi="仿宋" w:eastAsia="仿宋_GB2312"/>
                <w:color w:val="000000"/>
                <w:sz w:val="24"/>
                <w:szCs w:val="24"/>
                <w:lang w:eastAsia="en-US" w:bidi="en-US"/>
              </w:rPr>
              <w:t>/</w:t>
            </w:r>
            <w:r>
              <w:rPr>
                <w:rFonts w:ascii="仿宋_GB2312" w:hAnsi="仿宋" w:eastAsia="仿宋_GB2312"/>
                <w:color w:val="000000"/>
                <w:sz w:val="24"/>
                <w:szCs w:val="24"/>
                <w:lang w:eastAsia="en-US" w:bidi="en-US"/>
              </w:rPr>
              <w:t>6M</w:t>
            </w:r>
            <w:r>
              <w:rPr>
                <w:rFonts w:hint="eastAsia" w:ascii="仿宋_GB2312" w:hAnsi="仿宋" w:eastAsia="仿宋_GB2312"/>
                <w:color w:val="000000"/>
                <w:sz w:val="24"/>
                <w:szCs w:val="24"/>
                <w:lang w:eastAsia="en-US" w:bidi="en-US"/>
              </w:rPr>
              <w:t>/</w:t>
            </w:r>
            <w:r>
              <w:rPr>
                <w:rFonts w:ascii="仿宋_GB2312" w:hAnsi="仿宋" w:eastAsia="仿宋_GB2312"/>
                <w:color w:val="000000"/>
                <w:sz w:val="24"/>
                <w:szCs w:val="24"/>
                <w:lang w:eastAsia="en-US" w:bidi="en-US"/>
              </w:rPr>
              <w:t>1Y</w:t>
            </w:r>
            <w:r>
              <w:rPr>
                <w:rFonts w:hint="eastAsia" w:ascii="仿宋_GB2312" w:hAnsi="仿宋" w:eastAsia="仿宋_GB2312"/>
                <w:color w:val="000000"/>
                <w:sz w:val="24"/>
                <w:szCs w:val="24"/>
                <w:lang w:eastAsia="en-US" w:bidi="en-US"/>
              </w:rPr>
              <w:t>/</w:t>
            </w:r>
            <w:r>
              <w:rPr>
                <w:rFonts w:ascii="仿宋_GB2312" w:hAnsi="仿宋" w:eastAsia="仿宋_GB2312"/>
                <w:color w:val="000000"/>
                <w:sz w:val="24"/>
                <w:szCs w:val="24"/>
                <w:lang w:eastAsia="en-US" w:bidi="en-US"/>
              </w:rPr>
              <w:t>2Y</w:t>
            </w:r>
            <w:r>
              <w:rPr>
                <w:rFonts w:hint="eastAsia" w:ascii="仿宋_GB2312" w:hAnsi="仿宋" w:eastAsia="仿宋_GB2312"/>
                <w:color w:val="000000"/>
                <w:sz w:val="24"/>
                <w:szCs w:val="24"/>
                <w:lang w:eastAsia="en-US" w:bidi="en-US"/>
              </w:rPr>
              <w:t>/</w:t>
            </w:r>
            <w:r>
              <w:rPr>
                <w:rFonts w:ascii="仿宋_GB2312" w:hAnsi="仿宋" w:eastAsia="仿宋_GB2312"/>
                <w:color w:val="000000"/>
                <w:sz w:val="24"/>
                <w:szCs w:val="24"/>
                <w:lang w:eastAsia="en-US" w:bidi="en-US"/>
              </w:rPr>
              <w:t>3Y</w:t>
            </w:r>
            <w:r>
              <w:rPr>
                <w:rFonts w:hint="eastAsia" w:ascii="仿宋_GB2312" w:hAnsi="仿宋" w:eastAsia="仿宋_GB2312"/>
                <w:color w:val="000000"/>
                <w:sz w:val="24"/>
                <w:szCs w:val="24"/>
                <w:lang w:eastAsia="en-US" w:bidi="en-US"/>
              </w:rPr>
              <w:t>/</w:t>
            </w:r>
            <w:r>
              <w:rPr>
                <w:rFonts w:ascii="仿宋_GB2312" w:hAnsi="仿宋" w:eastAsia="仿宋_GB2312"/>
                <w:color w:val="000000"/>
                <w:sz w:val="24"/>
                <w:szCs w:val="24"/>
                <w:lang w:eastAsia="en-US" w:bidi="en-US"/>
              </w:rPr>
              <w:t>4Y</w:t>
            </w:r>
            <w:r>
              <w:rPr>
                <w:rFonts w:hint="eastAsia" w:ascii="仿宋_GB2312" w:hAnsi="仿宋" w:eastAsia="仿宋_GB2312"/>
                <w:color w:val="000000"/>
                <w:sz w:val="24"/>
                <w:szCs w:val="24"/>
                <w:lang w:eastAsia="en-US" w:bidi="en-US"/>
              </w:rPr>
              <w:t>/</w:t>
            </w:r>
            <w:r>
              <w:rPr>
                <w:rFonts w:ascii="仿宋_GB2312" w:hAnsi="仿宋" w:eastAsia="仿宋_GB2312"/>
                <w:color w:val="000000"/>
                <w:sz w:val="24"/>
                <w:szCs w:val="24"/>
                <w:lang w:eastAsia="en-US" w:bidi="en-US"/>
              </w:rPr>
              <w:t>5Y</w:t>
            </w:r>
          </w:p>
        </w:tc>
      </w:tr>
      <w:tr w14:paraId="237A4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96" w:type="dxa"/>
            <w:vAlign w:val="center"/>
          </w:tcPr>
          <w:p w14:paraId="32327445">
            <w:pPr>
              <w:widowControl/>
              <w:ind w:firstLine="0"/>
              <w:rPr>
                <w:rFonts w:ascii="仿宋_GB2312" w:hAnsi="仿宋" w:eastAsia="仿宋_GB2312"/>
                <w:b/>
                <w:color w:val="000000"/>
                <w:sz w:val="24"/>
                <w:szCs w:val="24"/>
                <w:lang w:eastAsia="en-US" w:bidi="en-US"/>
              </w:rPr>
            </w:pPr>
            <w:r>
              <w:rPr>
                <w:rFonts w:hint="eastAsia" w:ascii="仿宋_GB2312" w:hAnsi="仿宋" w:eastAsia="仿宋_GB2312"/>
                <w:b/>
                <w:color w:val="000000"/>
                <w:sz w:val="24"/>
                <w:szCs w:val="24"/>
                <w:lang w:eastAsia="en-US" w:bidi="en-US"/>
              </w:rPr>
              <w:t>买入</w:t>
            </w:r>
            <w:r>
              <w:rPr>
                <w:rFonts w:hint="eastAsia" w:ascii="仿宋_GB2312" w:hAnsi="仿宋" w:eastAsia="仿宋_GB2312"/>
                <w:b/>
                <w:bCs/>
                <w:color w:val="000000"/>
                <w:sz w:val="24"/>
                <w:szCs w:val="24"/>
                <w:lang w:eastAsia="en-US" w:bidi="en-US"/>
              </w:rPr>
              <w:t>保护费率</w:t>
            </w:r>
          </w:p>
        </w:tc>
        <w:tc>
          <w:tcPr>
            <w:tcW w:w="2410" w:type="dxa"/>
            <w:vAlign w:val="center"/>
          </w:tcPr>
          <w:p w14:paraId="5315B93D">
            <w:pPr>
              <w:widowControl/>
              <w:ind w:firstLine="0"/>
              <w:rPr>
                <w:rFonts w:ascii="仿宋_GB2312" w:hAnsi="仿宋" w:eastAsia="仿宋_GB2312"/>
                <w:color w:val="000000"/>
                <w:sz w:val="24"/>
                <w:szCs w:val="24"/>
                <w:lang w:eastAsia="en-US" w:bidi="en-US"/>
              </w:rPr>
            </w:pPr>
            <w:r>
              <w:rPr>
                <w:rFonts w:hint="eastAsia" w:ascii="仿宋_GB2312" w:hAnsi="仿宋" w:eastAsia="仿宋_GB2312"/>
                <w:color w:val="000000"/>
                <w:sz w:val="24"/>
                <w:szCs w:val="24"/>
                <w:lang w:eastAsia="en-US" w:bidi="en-US"/>
              </w:rPr>
              <w:t>约定，单位（</w:t>
            </w:r>
            <w:r>
              <w:rPr>
                <w:rFonts w:ascii="仿宋_GB2312" w:hAnsi="仿宋" w:eastAsia="仿宋_GB2312"/>
                <w:color w:val="000000"/>
                <w:sz w:val="24"/>
                <w:szCs w:val="24"/>
                <w:lang w:eastAsia="en-US" w:bidi="en-US"/>
              </w:rPr>
              <w:t>bps）</w:t>
            </w:r>
          </w:p>
        </w:tc>
        <w:tc>
          <w:tcPr>
            <w:tcW w:w="1559" w:type="dxa"/>
            <w:vAlign w:val="center"/>
          </w:tcPr>
          <w:p w14:paraId="53DBEA58">
            <w:pPr>
              <w:widowControl/>
              <w:ind w:firstLine="0"/>
              <w:rPr>
                <w:rFonts w:ascii="仿宋_GB2312" w:hAnsi="仿宋" w:eastAsia="仿宋_GB2312"/>
                <w:b/>
                <w:color w:val="000000"/>
                <w:sz w:val="24"/>
                <w:szCs w:val="24"/>
                <w:lang w:eastAsia="en-US" w:bidi="en-US"/>
              </w:rPr>
            </w:pPr>
            <w:r>
              <w:rPr>
                <w:rFonts w:hint="eastAsia" w:ascii="仿宋_GB2312" w:hAnsi="仿宋" w:eastAsia="仿宋_GB2312"/>
                <w:b/>
                <w:sz w:val="24"/>
                <w:szCs w:val="24"/>
                <w:lang w:eastAsia="en-US" w:bidi="en-US"/>
              </w:rPr>
              <w:t>报价方式</w:t>
            </w:r>
          </w:p>
        </w:tc>
        <w:tc>
          <w:tcPr>
            <w:tcW w:w="2631" w:type="dxa"/>
            <w:vAlign w:val="center"/>
          </w:tcPr>
          <w:p w14:paraId="78FDDE1A">
            <w:pPr>
              <w:widowControl/>
              <w:ind w:firstLine="0"/>
              <w:rPr>
                <w:rFonts w:ascii="仿宋_GB2312" w:hAnsi="仿宋" w:eastAsia="仿宋_GB2312"/>
                <w:color w:val="000000"/>
                <w:sz w:val="24"/>
                <w:szCs w:val="24"/>
                <w:lang w:eastAsia="en-US" w:bidi="en-US"/>
              </w:rPr>
            </w:pPr>
            <w:r>
              <w:rPr>
                <w:rFonts w:hint="eastAsia" w:ascii="仿宋_GB2312" w:hAnsi="仿宋" w:eastAsia="仿宋_GB2312"/>
                <w:sz w:val="24"/>
                <w:szCs w:val="24"/>
                <w:lang w:eastAsia="en-US" w:bidi="en-US"/>
              </w:rPr>
              <w:t>按年化保护费报价</w:t>
            </w:r>
          </w:p>
        </w:tc>
      </w:tr>
      <w:tr w14:paraId="144C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96" w:type="dxa"/>
            <w:vAlign w:val="center"/>
          </w:tcPr>
          <w:p w14:paraId="1C8657CD">
            <w:pPr>
              <w:widowControl/>
              <w:ind w:firstLine="0"/>
              <w:rPr>
                <w:rFonts w:ascii="仿宋_GB2312" w:hAnsi="仿宋" w:eastAsia="仿宋_GB2312"/>
                <w:b/>
                <w:color w:val="000000"/>
                <w:sz w:val="24"/>
                <w:szCs w:val="24"/>
                <w:lang w:eastAsia="en-US" w:bidi="en-US"/>
              </w:rPr>
            </w:pPr>
            <w:r>
              <w:rPr>
                <w:rFonts w:hint="eastAsia" w:ascii="仿宋_GB2312" w:hAnsi="仿宋" w:eastAsia="仿宋_GB2312"/>
                <w:b/>
                <w:bCs/>
                <w:color w:val="000000"/>
                <w:sz w:val="24"/>
                <w:szCs w:val="24"/>
                <w:lang w:eastAsia="en-US" w:bidi="en-US"/>
              </w:rPr>
              <w:t>卖出保护费率</w:t>
            </w:r>
          </w:p>
        </w:tc>
        <w:tc>
          <w:tcPr>
            <w:tcW w:w="2410" w:type="dxa"/>
            <w:vAlign w:val="center"/>
          </w:tcPr>
          <w:p w14:paraId="2D8BFAE9">
            <w:pPr>
              <w:widowControl/>
              <w:ind w:firstLine="0"/>
              <w:rPr>
                <w:rFonts w:ascii="仿宋_GB2312" w:hAnsi="仿宋" w:eastAsia="仿宋_GB2312"/>
                <w:color w:val="000000"/>
                <w:sz w:val="24"/>
                <w:szCs w:val="24"/>
                <w:lang w:eastAsia="en-US" w:bidi="en-US"/>
              </w:rPr>
            </w:pPr>
            <w:r>
              <w:rPr>
                <w:rFonts w:hint="eastAsia" w:ascii="仿宋_GB2312" w:hAnsi="仿宋" w:eastAsia="仿宋_GB2312"/>
                <w:color w:val="000000"/>
                <w:sz w:val="24"/>
                <w:szCs w:val="24"/>
                <w:lang w:eastAsia="en-US" w:bidi="en-US"/>
              </w:rPr>
              <w:t>约定，单位（</w:t>
            </w:r>
            <w:r>
              <w:rPr>
                <w:rFonts w:ascii="仿宋_GB2312" w:hAnsi="仿宋" w:eastAsia="仿宋_GB2312"/>
                <w:color w:val="000000"/>
                <w:sz w:val="24"/>
                <w:szCs w:val="24"/>
                <w:lang w:eastAsia="en-US" w:bidi="en-US"/>
              </w:rPr>
              <w:t>bps）</w:t>
            </w:r>
          </w:p>
        </w:tc>
        <w:tc>
          <w:tcPr>
            <w:tcW w:w="1559" w:type="dxa"/>
            <w:vAlign w:val="center"/>
          </w:tcPr>
          <w:p w14:paraId="398FBE45">
            <w:pPr>
              <w:widowControl/>
              <w:ind w:firstLine="0"/>
              <w:rPr>
                <w:rFonts w:ascii="仿宋_GB2312" w:hAnsi="仿宋" w:eastAsia="仿宋_GB2312"/>
                <w:b/>
                <w:color w:val="000000"/>
                <w:sz w:val="24"/>
                <w:szCs w:val="24"/>
                <w:lang w:eastAsia="en-US" w:bidi="en-US"/>
              </w:rPr>
            </w:pPr>
            <w:r>
              <w:rPr>
                <w:rFonts w:hint="eastAsia" w:ascii="仿宋_GB2312" w:hAnsi="仿宋" w:eastAsia="仿宋_GB2312"/>
                <w:b/>
                <w:bCs/>
                <w:color w:val="000000"/>
                <w:sz w:val="24"/>
                <w:szCs w:val="24"/>
                <w:lang w:eastAsia="en-US" w:bidi="en-US"/>
              </w:rPr>
              <w:t>约定回收率</w:t>
            </w:r>
          </w:p>
        </w:tc>
        <w:tc>
          <w:tcPr>
            <w:tcW w:w="2631" w:type="dxa"/>
            <w:vAlign w:val="center"/>
          </w:tcPr>
          <w:p w14:paraId="746FE305">
            <w:pPr>
              <w:widowControl/>
              <w:ind w:firstLine="0"/>
              <w:rPr>
                <w:rFonts w:ascii="仿宋_GB2312" w:hAnsi="仿宋" w:eastAsia="仿宋_GB2312"/>
                <w:color w:val="000000"/>
                <w:sz w:val="24"/>
                <w:szCs w:val="24"/>
                <w:lang w:eastAsia="en-US" w:bidi="en-US"/>
              </w:rPr>
            </w:pPr>
            <w:r>
              <w:rPr>
                <w:rFonts w:ascii="仿宋_GB2312" w:hAnsi="仿宋" w:eastAsia="仿宋_GB2312"/>
                <w:color w:val="000000"/>
                <w:sz w:val="24"/>
                <w:szCs w:val="24"/>
                <w:lang w:eastAsia="en-US" w:bidi="en-US"/>
              </w:rPr>
              <w:t>25%</w:t>
            </w:r>
          </w:p>
        </w:tc>
      </w:tr>
      <w:tr w14:paraId="3170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96" w:type="dxa"/>
            <w:vAlign w:val="center"/>
          </w:tcPr>
          <w:p w14:paraId="6B3F23D7">
            <w:pPr>
              <w:widowControl/>
              <w:ind w:firstLine="0"/>
              <w:rPr>
                <w:rFonts w:ascii="仿宋_GB2312" w:hAnsi="仿宋" w:eastAsia="仿宋_GB2312"/>
                <w:b/>
                <w:bCs/>
                <w:color w:val="000000"/>
                <w:sz w:val="24"/>
                <w:szCs w:val="24"/>
                <w:lang w:eastAsia="en-US" w:bidi="en-US"/>
              </w:rPr>
            </w:pPr>
            <w:r>
              <w:rPr>
                <w:rFonts w:hint="eastAsia" w:ascii="仿宋_GB2312" w:hAnsi="仿宋" w:eastAsia="仿宋_GB2312"/>
                <w:b/>
                <w:color w:val="000000"/>
                <w:sz w:val="24"/>
                <w:szCs w:val="24"/>
                <w:lang w:eastAsia="en-US" w:bidi="en-US"/>
              </w:rPr>
              <w:t>计息基准</w:t>
            </w:r>
          </w:p>
        </w:tc>
        <w:tc>
          <w:tcPr>
            <w:tcW w:w="2410" w:type="dxa"/>
            <w:vAlign w:val="center"/>
          </w:tcPr>
          <w:p w14:paraId="472A6DD6">
            <w:pPr>
              <w:widowControl/>
              <w:ind w:firstLine="0"/>
              <w:rPr>
                <w:rFonts w:ascii="仿宋_GB2312" w:hAnsi="仿宋" w:eastAsia="仿宋_GB2312"/>
                <w:color w:val="000000"/>
                <w:sz w:val="24"/>
                <w:szCs w:val="24"/>
                <w:lang w:eastAsia="en-US" w:bidi="en-US"/>
              </w:rPr>
            </w:pPr>
            <w:r>
              <w:rPr>
                <w:rFonts w:ascii="仿宋_GB2312" w:hAnsi="仿宋" w:eastAsia="仿宋_GB2312"/>
                <w:color w:val="000000"/>
                <w:sz w:val="24"/>
                <w:szCs w:val="24"/>
                <w:lang w:eastAsia="en-US" w:bidi="en-US"/>
              </w:rPr>
              <w:t>A/365</w:t>
            </w:r>
          </w:p>
        </w:tc>
        <w:tc>
          <w:tcPr>
            <w:tcW w:w="1559" w:type="dxa"/>
            <w:vAlign w:val="center"/>
          </w:tcPr>
          <w:p w14:paraId="477B9EFE">
            <w:pPr>
              <w:widowControl/>
              <w:ind w:firstLine="0"/>
              <w:rPr>
                <w:rFonts w:ascii="仿宋_GB2312" w:hAnsi="仿宋" w:eastAsia="仿宋_GB2312"/>
                <w:b/>
                <w:color w:val="000000"/>
                <w:sz w:val="24"/>
                <w:szCs w:val="24"/>
                <w:lang w:eastAsia="en-US" w:bidi="en-US"/>
              </w:rPr>
            </w:pPr>
            <w:r>
              <w:rPr>
                <w:rFonts w:hint="eastAsia" w:ascii="仿宋_GB2312" w:hAnsi="仿宋" w:eastAsia="仿宋_GB2312"/>
                <w:b/>
                <w:color w:val="000000"/>
                <w:sz w:val="24"/>
                <w:szCs w:val="24"/>
                <w:lang w:eastAsia="en-US" w:bidi="en-US"/>
              </w:rPr>
              <w:t>组合滚动日</w:t>
            </w:r>
          </w:p>
        </w:tc>
        <w:tc>
          <w:tcPr>
            <w:tcW w:w="2631" w:type="dxa"/>
            <w:vAlign w:val="center"/>
          </w:tcPr>
          <w:p w14:paraId="45A859FE">
            <w:pPr>
              <w:widowControl/>
              <w:ind w:firstLine="0"/>
              <w:rPr>
                <w:rFonts w:ascii="仿宋_GB2312" w:hAnsi="仿宋" w:eastAsia="仿宋_GB2312"/>
                <w:color w:val="000000"/>
                <w:sz w:val="24"/>
                <w:szCs w:val="24"/>
                <w:lang w:eastAsia="en-US" w:bidi="en-US"/>
              </w:rPr>
            </w:pPr>
            <w:r>
              <w:rPr>
                <w:rFonts w:ascii="仿宋_GB2312" w:hAnsi="仿宋" w:eastAsia="仿宋_GB2312"/>
                <w:color w:val="000000"/>
                <w:sz w:val="24"/>
                <w:szCs w:val="24"/>
                <w:lang w:eastAsia="en-US" w:bidi="en-US"/>
              </w:rPr>
              <w:t>3月20日</w:t>
            </w:r>
            <w:r>
              <w:rPr>
                <w:rFonts w:hint="eastAsia" w:ascii="仿宋_GB2312" w:hAnsi="仿宋" w:eastAsia="仿宋_GB2312"/>
                <w:color w:val="000000"/>
                <w:sz w:val="24"/>
                <w:szCs w:val="24"/>
                <w:lang w:eastAsia="en-US" w:bidi="en-US"/>
              </w:rPr>
              <w:t>和</w:t>
            </w:r>
            <w:r>
              <w:rPr>
                <w:rFonts w:ascii="仿宋_GB2312" w:hAnsi="仿宋" w:eastAsia="仿宋_GB2312"/>
                <w:color w:val="000000"/>
                <w:sz w:val="24"/>
                <w:szCs w:val="24"/>
                <w:lang w:eastAsia="en-US" w:bidi="en-US"/>
              </w:rPr>
              <w:t>9月20日，根据</w:t>
            </w:r>
            <w:r>
              <w:rPr>
                <w:rFonts w:hint="eastAsia" w:ascii="仿宋_GB2312" w:hAnsi="仿宋" w:eastAsia="仿宋_GB2312"/>
                <w:color w:val="000000"/>
                <w:sz w:val="24"/>
                <w:szCs w:val="24"/>
                <w:lang w:eastAsia="en-US" w:bidi="en-US"/>
              </w:rPr>
              <w:t>交易日准则调整</w:t>
            </w:r>
          </w:p>
        </w:tc>
      </w:tr>
      <w:tr w14:paraId="0BBC2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296" w:type="dxa"/>
            <w:gridSpan w:val="4"/>
            <w:vAlign w:val="center"/>
          </w:tcPr>
          <w:p w14:paraId="5D038184">
            <w:pPr>
              <w:ind w:firstLine="360"/>
              <w:jc w:val="center"/>
              <w:rPr>
                <w:rFonts w:ascii="仿宋_GB2312" w:eastAsia="仿宋_GB2312"/>
                <w:b/>
                <w:sz w:val="24"/>
                <w:szCs w:val="24"/>
                <w:lang w:eastAsia="en-US" w:bidi="en-US"/>
              </w:rPr>
            </w:pPr>
            <w:r>
              <w:rPr>
                <w:rFonts w:hint="eastAsia" w:ascii="仿宋_GB2312" w:hAnsi="仿宋" w:eastAsia="仿宋_GB2312"/>
                <w:b/>
                <w:color w:val="000000"/>
                <w:sz w:val="24"/>
                <w:szCs w:val="24"/>
                <w:lang w:eastAsia="en-US" w:bidi="en-US"/>
              </w:rPr>
              <w:t>与信用事件有关要素</w:t>
            </w:r>
          </w:p>
        </w:tc>
      </w:tr>
      <w:tr w14:paraId="643DC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96" w:type="dxa"/>
            <w:vAlign w:val="center"/>
          </w:tcPr>
          <w:p w14:paraId="13264C51">
            <w:pPr>
              <w:widowControl/>
              <w:ind w:firstLine="0"/>
              <w:rPr>
                <w:rFonts w:ascii="仿宋_GB2312" w:hAnsi="仿宋" w:eastAsia="仿宋_GB2312"/>
                <w:b/>
                <w:bCs/>
                <w:color w:val="000000"/>
                <w:sz w:val="24"/>
                <w:szCs w:val="24"/>
                <w:lang w:eastAsia="en-US" w:bidi="en-US"/>
              </w:rPr>
            </w:pPr>
            <w:r>
              <w:rPr>
                <w:rFonts w:hint="eastAsia" w:ascii="仿宋_GB2312" w:hAnsi="仿宋" w:eastAsia="仿宋_GB2312"/>
                <w:b/>
                <w:bCs/>
                <w:color w:val="000000"/>
                <w:sz w:val="24"/>
                <w:szCs w:val="24"/>
                <w:lang w:eastAsia="en-US" w:bidi="en-US"/>
              </w:rPr>
              <w:t>债务种类</w:t>
            </w:r>
          </w:p>
        </w:tc>
        <w:tc>
          <w:tcPr>
            <w:tcW w:w="2410" w:type="dxa"/>
            <w:vAlign w:val="center"/>
          </w:tcPr>
          <w:p w14:paraId="5C3D791B">
            <w:pPr>
              <w:widowControl/>
              <w:ind w:firstLine="0"/>
              <w:rPr>
                <w:rFonts w:ascii="仿宋_GB2312" w:hAnsi="仿宋" w:eastAsia="仿宋_GB2312"/>
                <w:color w:val="000000"/>
                <w:sz w:val="24"/>
                <w:szCs w:val="24"/>
                <w:lang w:eastAsia="en-US" w:bidi="en-US"/>
              </w:rPr>
            </w:pPr>
            <w:r>
              <w:rPr>
                <w:rFonts w:hint="eastAsia" w:ascii="仿宋_GB2312" w:hAnsi="仿宋" w:eastAsia="仿宋_GB2312"/>
                <w:color w:val="000000"/>
                <w:sz w:val="24"/>
                <w:szCs w:val="24"/>
                <w:lang w:eastAsia="en-US" w:bidi="en-US"/>
              </w:rPr>
              <w:t>公司债；</w:t>
            </w:r>
            <w:r>
              <w:rPr>
                <w:rFonts w:ascii="仿宋_GB2312" w:hAnsi="仿宋" w:eastAsia="仿宋_GB2312"/>
                <w:color w:val="000000"/>
                <w:sz w:val="24"/>
                <w:szCs w:val="24"/>
                <w:lang w:eastAsia="en-US" w:bidi="en-US"/>
              </w:rPr>
              <w:t>可转债</w:t>
            </w:r>
          </w:p>
        </w:tc>
        <w:tc>
          <w:tcPr>
            <w:tcW w:w="1559" w:type="dxa"/>
            <w:vAlign w:val="center"/>
          </w:tcPr>
          <w:p w14:paraId="539EDE1E">
            <w:pPr>
              <w:widowControl/>
              <w:ind w:firstLine="360"/>
              <w:jc w:val="center"/>
              <w:rPr>
                <w:rFonts w:ascii="仿宋_GB2312" w:hAnsi="仿宋" w:eastAsia="仿宋_GB2312"/>
                <w:b/>
                <w:bCs/>
                <w:color w:val="000000"/>
                <w:sz w:val="24"/>
                <w:szCs w:val="24"/>
                <w:lang w:eastAsia="en-US" w:bidi="en-US"/>
              </w:rPr>
            </w:pPr>
            <w:r>
              <w:rPr>
                <w:rFonts w:hint="eastAsia" w:ascii="仿宋_GB2312" w:hAnsi="仿宋" w:eastAsia="仿宋_GB2312"/>
                <w:b/>
                <w:bCs/>
                <w:color w:val="000000"/>
                <w:sz w:val="24"/>
                <w:szCs w:val="24"/>
                <w:lang w:eastAsia="en-US" w:bidi="en-US"/>
              </w:rPr>
              <w:t>债务特征</w:t>
            </w:r>
          </w:p>
        </w:tc>
        <w:tc>
          <w:tcPr>
            <w:tcW w:w="2631" w:type="dxa"/>
            <w:vAlign w:val="center"/>
          </w:tcPr>
          <w:p w14:paraId="51AA1B20">
            <w:pPr>
              <w:widowControl/>
              <w:ind w:firstLine="0"/>
              <w:rPr>
                <w:rFonts w:ascii="仿宋_GB2312" w:hAnsi="仿宋" w:eastAsia="仿宋_GB2312"/>
                <w:color w:val="000000"/>
                <w:sz w:val="24"/>
                <w:szCs w:val="24"/>
                <w:lang w:eastAsia="en-US" w:bidi="en-US"/>
              </w:rPr>
            </w:pPr>
            <w:r>
              <w:rPr>
                <w:rFonts w:hint="eastAsia" w:ascii="仿宋_GB2312" w:hAnsi="仿宋" w:eastAsia="仿宋_GB2312"/>
                <w:color w:val="000000"/>
                <w:sz w:val="24"/>
                <w:szCs w:val="24"/>
                <w:lang w:eastAsia="en-US" w:bidi="en-US"/>
              </w:rPr>
              <w:t>一般债务；本币；交易流通</w:t>
            </w:r>
          </w:p>
        </w:tc>
      </w:tr>
      <w:tr w14:paraId="36F78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96" w:type="dxa"/>
            <w:vAlign w:val="center"/>
          </w:tcPr>
          <w:p w14:paraId="05616BF4">
            <w:pPr>
              <w:widowControl/>
              <w:ind w:firstLine="0"/>
              <w:rPr>
                <w:rFonts w:ascii="仿宋_GB2312" w:hAnsi="仿宋" w:eastAsia="仿宋_GB2312"/>
                <w:b/>
                <w:sz w:val="24"/>
                <w:szCs w:val="24"/>
                <w:lang w:eastAsia="en-US" w:bidi="en-US"/>
              </w:rPr>
            </w:pPr>
            <w:r>
              <w:rPr>
                <w:rFonts w:hint="eastAsia" w:ascii="仿宋_GB2312" w:hAnsi="仿宋" w:eastAsia="仿宋_GB2312"/>
                <w:b/>
                <w:bCs/>
                <w:color w:val="000000"/>
                <w:sz w:val="24"/>
                <w:szCs w:val="24"/>
                <w:lang w:eastAsia="en-US" w:bidi="en-US"/>
              </w:rPr>
              <w:t>信用事件</w:t>
            </w:r>
          </w:p>
        </w:tc>
        <w:tc>
          <w:tcPr>
            <w:tcW w:w="6600" w:type="dxa"/>
            <w:gridSpan w:val="3"/>
            <w:vAlign w:val="center"/>
          </w:tcPr>
          <w:p w14:paraId="1F060A11">
            <w:pPr>
              <w:widowControl/>
              <w:ind w:firstLine="0"/>
              <w:rPr>
                <w:rFonts w:ascii="仿宋_GB2312" w:hAnsi="仿宋" w:eastAsia="仿宋_GB2312"/>
                <w:sz w:val="24"/>
                <w:szCs w:val="24"/>
                <w:lang w:eastAsia="en-US" w:bidi="en-US"/>
              </w:rPr>
            </w:pPr>
            <w:r>
              <w:rPr>
                <w:rFonts w:hint="eastAsia" w:ascii="仿宋_GB2312" w:hAnsi="仿宋" w:eastAsia="仿宋_GB2312"/>
                <w:color w:val="000000"/>
                <w:sz w:val="24"/>
                <w:szCs w:val="24"/>
                <w:lang w:eastAsia="en-US" w:bidi="en-US"/>
              </w:rPr>
              <w:t>破产和支付违约（起点金额</w:t>
            </w:r>
            <w:r>
              <w:rPr>
                <w:rFonts w:ascii="仿宋_GB2312" w:hAnsi="仿宋" w:eastAsia="仿宋_GB2312"/>
                <w:color w:val="000000"/>
                <w:sz w:val="24"/>
                <w:szCs w:val="24"/>
                <w:lang w:eastAsia="en-US" w:bidi="en-US"/>
              </w:rPr>
              <w:t>100万元人民币或其等值金额；宽限期3个营业日；适用宽限期顺延）</w:t>
            </w:r>
          </w:p>
        </w:tc>
      </w:tr>
    </w:tbl>
    <w:p w14:paraId="30659C4D">
      <w:pPr>
        <w:numPr>
          <w:ilvl w:val="2"/>
          <w:numId w:val="4"/>
        </w:numPr>
        <w:spacing w:line="600" w:lineRule="exact"/>
        <w:ind w:left="0" w:firstLine="0"/>
        <w:outlineLvl w:val="2"/>
        <w:rPr>
          <w:rFonts w:ascii="仿宋_GB2312" w:eastAsia="仿宋_GB2312"/>
          <w:b/>
          <w:sz w:val="30"/>
          <w:szCs w:val="30"/>
        </w:rPr>
      </w:pPr>
      <w:bookmarkStart w:id="2464" w:name="_Toc41660706"/>
      <w:r>
        <w:rPr>
          <w:rFonts w:hint="eastAsia" w:ascii="仿宋_GB2312" w:eastAsia="仿宋_GB2312"/>
          <w:b/>
          <w:sz w:val="30"/>
          <w:szCs w:val="30"/>
        </w:rPr>
        <w:t>凭证创设流程</w:t>
      </w:r>
      <w:bookmarkEnd w:id="2464"/>
    </w:p>
    <w:p w14:paraId="4D0B409C">
      <w:pPr>
        <w:pStyle w:val="92"/>
        <w:spacing w:line="600" w:lineRule="exact"/>
        <w:ind w:left="425" w:firstLine="0"/>
        <w:outlineLvl w:val="3"/>
        <w:rPr>
          <w:rFonts w:ascii="仿宋_GB2312" w:eastAsia="仿宋_GB2312"/>
          <w:b/>
          <w:sz w:val="30"/>
          <w:szCs w:val="30"/>
          <w:lang w:eastAsia="zh-CN"/>
        </w:rPr>
      </w:pPr>
      <w:r>
        <w:rPr>
          <w:rFonts w:hint="eastAsia" w:ascii="仿宋_GB2312" w:eastAsia="仿宋_GB2312"/>
          <w:b/>
          <w:sz w:val="30"/>
          <w:szCs w:val="30"/>
          <w:lang w:eastAsia="zh-CN"/>
        </w:rPr>
        <w:t>（1）</w:t>
      </w:r>
      <w:r>
        <w:rPr>
          <w:rFonts w:hint="eastAsia" w:ascii="仿宋_GB2312" w:eastAsia="仿宋_GB2312"/>
          <w:b/>
          <w:sz w:val="30"/>
          <w:szCs w:val="30"/>
          <w:lang w:eastAsia="zh-CN"/>
        </w:rPr>
        <w:tab/>
      </w:r>
      <w:r>
        <w:rPr>
          <w:rFonts w:hint="eastAsia" w:ascii="仿宋_GB2312" w:eastAsia="仿宋_GB2312"/>
          <w:b/>
          <w:sz w:val="30"/>
          <w:szCs w:val="30"/>
          <w:lang w:eastAsia="zh-CN"/>
        </w:rPr>
        <w:t>凭证创设前准备</w:t>
      </w:r>
    </w:p>
    <w:p w14:paraId="7CE5B168">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创设机构创设凭证应当向本所提交以下创设文件，创设文件均应加盖出具文件机构的公章：</w:t>
      </w:r>
    </w:p>
    <w:p w14:paraId="5C9579FA">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1）凭证创设说明书（附件</w:t>
      </w:r>
      <w:r>
        <w:rPr>
          <w:rFonts w:ascii="仿宋_GB2312" w:hAnsi="Calibri" w:eastAsia="仿宋_GB2312"/>
          <w:sz w:val="30"/>
          <w:szCs w:val="30"/>
        </w:rPr>
        <w:t>2</w:t>
      </w:r>
      <w:r>
        <w:rPr>
          <w:rFonts w:hint="eastAsia" w:ascii="仿宋_GB2312" w:hAnsi="Calibri" w:eastAsia="仿宋_GB2312"/>
          <w:sz w:val="30"/>
          <w:szCs w:val="30"/>
          <w:lang w:val="en-US" w:eastAsia="zh-CN"/>
        </w:rPr>
        <w:t>5</w:t>
      </w:r>
      <w:r>
        <w:rPr>
          <w:rFonts w:hint="eastAsia" w:ascii="仿宋_GB2312" w:hAnsi="Calibri" w:eastAsia="仿宋_GB2312"/>
          <w:sz w:val="30"/>
          <w:szCs w:val="30"/>
        </w:rPr>
        <w:t>）；</w:t>
      </w:r>
    </w:p>
    <w:p w14:paraId="160648B5">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2）创设机构的信用评级报告；</w:t>
      </w:r>
    </w:p>
    <w:p w14:paraId="3C31FD7B">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3）最近一个会计年度经审计的创设机构的财务报表和审计报告；</w:t>
      </w:r>
    </w:p>
    <w:p w14:paraId="09C4BDEE">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4）本所要求提交的其他文件。</w:t>
      </w:r>
    </w:p>
    <w:p w14:paraId="646678B5">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凭证创设说明书中应当明确创设机构的基本情况、参考实体、债务种类、债务特征、可交付债务（如有）、名义本金、凭证起始日、凭证到期日、信用事件类型、结算方式、凭证持有人会议规则等相关内容。凭证持有人会议规则应当载明凭证持有人通过凭证持有人会议行使权利的范围、程序和其他重要事项。</w:t>
      </w:r>
    </w:p>
    <w:p w14:paraId="21A5DF91">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凭证创设文件可通过以下两种方式提交本所：</w:t>
      </w:r>
    </w:p>
    <w:p w14:paraId="19BAF351">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1）通过电子邮件（</w:t>
      </w:r>
      <w:r>
        <w:rPr>
          <w:rFonts w:ascii="仿宋_GB2312" w:hAnsi="Calibri" w:eastAsia="仿宋_GB2312"/>
          <w:sz w:val="30"/>
          <w:szCs w:val="30"/>
        </w:rPr>
        <w:t>ssebond@sse.com.cn</w:t>
      </w:r>
      <w:r>
        <w:rPr>
          <w:rFonts w:hint="eastAsia" w:ascii="仿宋_GB2312" w:hAnsi="Calibri" w:eastAsia="仿宋_GB2312"/>
          <w:sz w:val="30"/>
          <w:szCs w:val="30"/>
        </w:rPr>
        <w:t>）；</w:t>
      </w:r>
    </w:p>
    <w:p w14:paraId="442C6EA1">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2）通过债券业务管理系统。</w:t>
      </w:r>
    </w:p>
    <w:p w14:paraId="7463A4AF">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业务初期主要采用电子邮件方式</w:t>
      </w:r>
      <w:r>
        <w:rPr>
          <w:rFonts w:ascii="仿宋_GB2312" w:hAnsi="Calibri" w:eastAsia="仿宋_GB2312"/>
          <w:sz w:val="30"/>
          <w:szCs w:val="30"/>
        </w:rPr>
        <w:t xml:space="preserve">, </w:t>
      </w:r>
      <w:r>
        <w:rPr>
          <w:rFonts w:hint="eastAsia" w:ascii="仿宋_GB2312" w:hAnsi="Calibri" w:eastAsia="仿宋_GB2312"/>
          <w:sz w:val="30"/>
          <w:szCs w:val="30"/>
        </w:rPr>
        <w:t>邮件标题格式为“【凭证创设备案】</w:t>
      </w:r>
      <w:r>
        <w:rPr>
          <w:rFonts w:ascii="仿宋_GB2312" w:hAnsi="Calibri" w:eastAsia="仿宋_GB2312"/>
          <w:sz w:val="30"/>
          <w:szCs w:val="30"/>
        </w:rPr>
        <w:t>XXX</w:t>
      </w:r>
      <w:r>
        <w:rPr>
          <w:rFonts w:hint="eastAsia" w:ascii="仿宋_GB2312" w:hAnsi="Calibri" w:eastAsia="仿宋_GB2312"/>
          <w:sz w:val="30"/>
          <w:szCs w:val="30"/>
        </w:rPr>
        <w:t>公司</w:t>
      </w:r>
      <w:r>
        <w:rPr>
          <w:rFonts w:ascii="仿宋_GB2312" w:hAnsi="Calibri" w:eastAsia="仿宋_GB2312"/>
          <w:sz w:val="30"/>
          <w:szCs w:val="30"/>
        </w:rPr>
        <w:t>XX</w:t>
      </w:r>
      <w:r>
        <w:rPr>
          <w:rFonts w:hint="eastAsia" w:ascii="仿宋_GB2312" w:hAnsi="Calibri" w:eastAsia="仿宋_GB2312"/>
          <w:sz w:val="30"/>
          <w:szCs w:val="30"/>
        </w:rPr>
        <w:t>年</w:t>
      </w:r>
      <w:r>
        <w:rPr>
          <w:rFonts w:ascii="仿宋_GB2312" w:hAnsi="Calibri" w:eastAsia="仿宋_GB2312"/>
          <w:sz w:val="30"/>
          <w:szCs w:val="30"/>
        </w:rPr>
        <w:t>XX</w:t>
      </w:r>
      <w:r>
        <w:rPr>
          <w:rFonts w:hint="eastAsia" w:ascii="仿宋_GB2312" w:hAnsi="Calibri" w:eastAsia="仿宋_GB2312"/>
          <w:sz w:val="30"/>
          <w:szCs w:val="30"/>
        </w:rPr>
        <w:t>期信用保护凭证创设备案材料”，附件超过</w:t>
      </w:r>
      <w:r>
        <w:rPr>
          <w:rFonts w:ascii="仿宋_GB2312" w:hAnsi="Calibri" w:eastAsia="仿宋_GB2312"/>
          <w:sz w:val="30"/>
          <w:szCs w:val="30"/>
        </w:rPr>
        <w:t>20M</w:t>
      </w:r>
      <w:r>
        <w:rPr>
          <w:rFonts w:hint="eastAsia" w:ascii="仿宋_GB2312" w:hAnsi="Calibri" w:eastAsia="仿宋_GB2312"/>
          <w:sz w:val="30"/>
          <w:szCs w:val="30"/>
        </w:rPr>
        <w:t>的请以超大附件或网盘链接通过普通附件发送。</w:t>
      </w:r>
    </w:p>
    <w:p w14:paraId="00AE45C6">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本所对凭证创设文件进行完备性核对，不对凭证的投资价值及投资风险进行实质性判断。</w:t>
      </w:r>
    </w:p>
    <w:p w14:paraId="6140F459">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创设文件完备的，本所在收到文件</w:t>
      </w:r>
      <w:r>
        <w:rPr>
          <w:rFonts w:ascii="仿宋_GB2312" w:hAnsi="Calibri" w:eastAsia="仿宋_GB2312"/>
          <w:sz w:val="30"/>
          <w:szCs w:val="30"/>
        </w:rPr>
        <w:t>10</w:t>
      </w:r>
      <w:r>
        <w:rPr>
          <w:rFonts w:hint="eastAsia" w:ascii="仿宋_GB2312" w:hAnsi="Calibri" w:eastAsia="仿宋_GB2312"/>
          <w:sz w:val="30"/>
          <w:szCs w:val="30"/>
        </w:rPr>
        <w:t>个交易日内，出具无异议函。</w:t>
      </w:r>
    </w:p>
    <w:p w14:paraId="4ECE920D">
      <w:pPr>
        <w:pStyle w:val="92"/>
        <w:spacing w:line="600" w:lineRule="exact"/>
        <w:ind w:left="425" w:firstLine="0"/>
        <w:outlineLvl w:val="3"/>
        <w:rPr>
          <w:rFonts w:ascii="仿宋_GB2312" w:eastAsia="仿宋_GB2312"/>
          <w:b/>
          <w:sz w:val="30"/>
          <w:szCs w:val="30"/>
          <w:lang w:eastAsia="zh-CN"/>
        </w:rPr>
      </w:pPr>
      <w:r>
        <w:rPr>
          <w:rFonts w:hint="eastAsia" w:ascii="仿宋_GB2312" w:eastAsia="仿宋_GB2312"/>
          <w:b/>
          <w:sz w:val="30"/>
          <w:szCs w:val="30"/>
          <w:lang w:eastAsia="zh-CN"/>
        </w:rPr>
        <w:t>（</w:t>
      </w:r>
      <w:r>
        <w:rPr>
          <w:rFonts w:ascii="仿宋_GB2312" w:eastAsia="仿宋_GB2312"/>
          <w:b/>
          <w:sz w:val="30"/>
          <w:szCs w:val="30"/>
          <w:lang w:eastAsia="zh-CN"/>
        </w:rPr>
        <w:t>2</w:t>
      </w:r>
      <w:r>
        <w:rPr>
          <w:rFonts w:hint="eastAsia" w:ascii="仿宋_GB2312" w:eastAsia="仿宋_GB2312"/>
          <w:b/>
          <w:sz w:val="30"/>
          <w:szCs w:val="30"/>
          <w:lang w:eastAsia="zh-CN"/>
        </w:rPr>
        <w:t>）</w:t>
      </w:r>
      <w:r>
        <w:rPr>
          <w:rFonts w:hint="eastAsia" w:ascii="仿宋_GB2312" w:eastAsia="仿宋_GB2312"/>
          <w:b/>
          <w:sz w:val="30"/>
          <w:szCs w:val="30"/>
          <w:lang w:eastAsia="zh-CN"/>
        </w:rPr>
        <w:tab/>
      </w:r>
      <w:r>
        <w:rPr>
          <w:rFonts w:hint="eastAsia" w:ascii="仿宋_GB2312" w:eastAsia="仿宋_GB2312"/>
          <w:b/>
          <w:sz w:val="30"/>
          <w:szCs w:val="30"/>
          <w:lang w:eastAsia="zh-CN"/>
        </w:rPr>
        <w:t>凭证创设文件披露</w:t>
      </w:r>
    </w:p>
    <w:p w14:paraId="40EA30F3">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创设机构应当在凭证创设前2个交易日通过债券业务管理系统向本所提交并通过本所债券业务平台（bond.uap.sse.com.cn）或者以本所认可的其他方式向投资者披露凭证创设说明书、创设机构的信用评级报告、创设机构经审计的财务报表和审计报告等相关文件。</w:t>
      </w:r>
    </w:p>
    <w:p w14:paraId="737C5765">
      <w:pPr>
        <w:pStyle w:val="92"/>
        <w:spacing w:line="600" w:lineRule="exact"/>
        <w:ind w:left="425" w:firstLine="0"/>
        <w:outlineLvl w:val="3"/>
        <w:rPr>
          <w:rFonts w:ascii="仿宋_GB2312" w:eastAsia="仿宋_GB2312"/>
          <w:b/>
          <w:sz w:val="30"/>
          <w:szCs w:val="30"/>
          <w:lang w:eastAsia="zh-CN"/>
        </w:rPr>
      </w:pPr>
      <w:r>
        <w:rPr>
          <w:rFonts w:hint="eastAsia" w:ascii="仿宋_GB2312" w:eastAsia="仿宋_GB2312"/>
          <w:b/>
          <w:sz w:val="30"/>
          <w:szCs w:val="30"/>
          <w:lang w:eastAsia="zh-CN"/>
        </w:rPr>
        <w:t>（</w:t>
      </w:r>
      <w:r>
        <w:rPr>
          <w:rFonts w:ascii="仿宋_GB2312" w:eastAsia="仿宋_GB2312"/>
          <w:b/>
          <w:sz w:val="30"/>
          <w:szCs w:val="30"/>
          <w:lang w:eastAsia="zh-CN"/>
        </w:rPr>
        <w:t>3</w:t>
      </w:r>
      <w:r>
        <w:rPr>
          <w:rFonts w:hint="eastAsia" w:ascii="仿宋_GB2312" w:eastAsia="仿宋_GB2312"/>
          <w:b/>
          <w:sz w:val="30"/>
          <w:szCs w:val="30"/>
          <w:lang w:eastAsia="zh-CN"/>
        </w:rPr>
        <w:t>）</w:t>
      </w:r>
      <w:r>
        <w:rPr>
          <w:rFonts w:hint="eastAsia" w:ascii="仿宋_GB2312" w:eastAsia="仿宋_GB2312"/>
          <w:b/>
          <w:sz w:val="30"/>
          <w:szCs w:val="30"/>
          <w:lang w:eastAsia="zh-CN"/>
        </w:rPr>
        <w:tab/>
      </w:r>
      <w:r>
        <w:rPr>
          <w:rFonts w:hint="eastAsia" w:ascii="仿宋_GB2312" w:eastAsia="仿宋_GB2312"/>
          <w:b/>
          <w:sz w:val="30"/>
          <w:szCs w:val="30"/>
          <w:lang w:eastAsia="zh-CN"/>
        </w:rPr>
        <w:t>凭证创设操作</w:t>
      </w:r>
    </w:p>
    <w:p w14:paraId="434A6295">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创设机构应在无异议函有效期内完成凭证创设工作。凭证创设可以采用簿记建档或者其他方式。</w:t>
      </w:r>
    </w:p>
    <w:p w14:paraId="0D7B975E">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凭证创设前，创设机构向本所申请确定凭证挂牌代码及简称。</w:t>
      </w:r>
    </w:p>
    <w:p w14:paraId="0E399357">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凭证挂牌代码及简称可通过以下两种方式向本所申请：</w:t>
      </w:r>
    </w:p>
    <w:p w14:paraId="26E28F07">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1）通过电子邮件（ssebond@sse.com.cn）；</w:t>
      </w:r>
    </w:p>
    <w:p w14:paraId="5FF467BD">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2）通过债券业务管理系统。</w:t>
      </w:r>
    </w:p>
    <w:p w14:paraId="17AE0D12">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业务初期主要采用电子邮件方式, 邮件标题格式为“【凭证挂牌代码及简称申请】XXX公司XX年XX期信用保护凭证挂牌代码及简称申请”，邮件正文中需说明凭证品种及自拟简称（不超过8个字符），创设机构需一并提交本所出具的无异议函，附件超过20M的请以超大附件或网盘链接通过普通附件发送。</w:t>
      </w:r>
    </w:p>
    <w:p w14:paraId="175204DD">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凭证的销售由创设机构自行完成。创设完成后，凭证创设机构发布凭证创设情况公告（附件</w:t>
      </w:r>
      <w:r>
        <w:rPr>
          <w:rFonts w:ascii="仿宋_GB2312" w:hAnsi="Calibri" w:eastAsia="仿宋_GB2312"/>
          <w:sz w:val="30"/>
          <w:szCs w:val="30"/>
        </w:rPr>
        <w:t>2</w:t>
      </w:r>
      <w:r>
        <w:rPr>
          <w:rFonts w:hint="eastAsia" w:ascii="仿宋_GB2312" w:hAnsi="Calibri" w:eastAsia="仿宋_GB2312"/>
          <w:sz w:val="30"/>
          <w:szCs w:val="30"/>
          <w:lang w:val="en-US" w:eastAsia="zh-CN"/>
        </w:rPr>
        <w:t>6</w:t>
      </w:r>
      <w:r>
        <w:rPr>
          <w:rFonts w:hint="eastAsia" w:ascii="仿宋_GB2312" w:hAnsi="Calibri" w:eastAsia="仿宋_GB2312"/>
          <w:sz w:val="30"/>
          <w:szCs w:val="30"/>
        </w:rPr>
        <w:t>）。</w:t>
      </w:r>
    </w:p>
    <w:p w14:paraId="13808649">
      <w:pPr>
        <w:pStyle w:val="92"/>
        <w:spacing w:line="600" w:lineRule="exact"/>
        <w:ind w:left="425" w:firstLine="0"/>
        <w:outlineLvl w:val="3"/>
        <w:rPr>
          <w:rFonts w:ascii="仿宋_GB2312" w:eastAsia="仿宋_GB2312"/>
          <w:b/>
          <w:sz w:val="30"/>
          <w:szCs w:val="30"/>
          <w:lang w:eastAsia="zh-CN"/>
        </w:rPr>
      </w:pPr>
      <w:r>
        <w:rPr>
          <w:rFonts w:hint="eastAsia" w:ascii="仿宋_GB2312" w:eastAsia="仿宋_GB2312"/>
          <w:b/>
          <w:sz w:val="30"/>
          <w:szCs w:val="30"/>
          <w:lang w:eastAsia="zh-CN"/>
        </w:rPr>
        <w:t>（</w:t>
      </w:r>
      <w:r>
        <w:rPr>
          <w:rFonts w:ascii="仿宋_GB2312" w:eastAsia="仿宋_GB2312"/>
          <w:b/>
          <w:sz w:val="30"/>
          <w:szCs w:val="30"/>
          <w:lang w:eastAsia="zh-CN"/>
        </w:rPr>
        <w:t>4</w:t>
      </w:r>
      <w:r>
        <w:rPr>
          <w:rFonts w:hint="eastAsia" w:ascii="仿宋_GB2312" w:eastAsia="仿宋_GB2312"/>
          <w:b/>
          <w:sz w:val="30"/>
          <w:szCs w:val="30"/>
          <w:lang w:eastAsia="zh-CN"/>
        </w:rPr>
        <w:t>）凭证登记托管和挂牌</w:t>
      </w:r>
    </w:p>
    <w:p w14:paraId="1D15D451">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本所为凭证办理登记、挂牌一站式服务。凭证创设完成后次日，创设机构需要向本所提交以下凭证挂牌申请电子材料：</w:t>
      </w:r>
    </w:p>
    <w:p w14:paraId="133EEB7A">
      <w:pPr>
        <w:spacing w:line="600" w:lineRule="exact"/>
        <w:ind w:firstLine="600" w:firstLineChars="200"/>
        <w:rPr>
          <w:rFonts w:ascii="仿宋_GB2312" w:hAnsi="Calibri" w:eastAsia="仿宋_GB2312"/>
          <w:sz w:val="30"/>
          <w:szCs w:val="30"/>
        </w:rPr>
      </w:pPr>
      <w:r>
        <w:rPr>
          <w:rFonts w:ascii="仿宋_GB2312" w:hAnsi="Calibri" w:eastAsia="仿宋_GB2312"/>
          <w:sz w:val="30"/>
          <w:szCs w:val="30"/>
        </w:rPr>
        <w:t>1</w:t>
      </w:r>
      <w:r>
        <w:rPr>
          <w:rFonts w:hint="eastAsia" w:ascii="仿宋_GB2312" w:hAnsi="Calibri" w:eastAsia="仿宋_GB2312"/>
          <w:sz w:val="30"/>
          <w:szCs w:val="30"/>
        </w:rPr>
        <w:t>）凭证挂牌转让申请书（附件</w:t>
      </w:r>
      <w:r>
        <w:rPr>
          <w:rFonts w:hint="eastAsia" w:ascii="仿宋_GB2312" w:hAnsi="Calibri" w:eastAsia="仿宋_GB2312"/>
          <w:sz w:val="30"/>
          <w:szCs w:val="30"/>
          <w:lang w:val="en-US" w:eastAsia="zh-CN"/>
        </w:rPr>
        <w:t>27</w:t>
      </w:r>
      <w:r>
        <w:rPr>
          <w:rFonts w:hint="eastAsia" w:ascii="仿宋_GB2312" w:hAnsi="Calibri" w:eastAsia="仿宋_GB2312"/>
          <w:sz w:val="30"/>
          <w:szCs w:val="30"/>
        </w:rPr>
        <w:t xml:space="preserve">）； </w:t>
      </w:r>
    </w:p>
    <w:p w14:paraId="1C5924F2">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2）信用保护凭证挂牌协议；</w:t>
      </w:r>
    </w:p>
    <w:p w14:paraId="54EC6663">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3）经具有从事证券期货业务资格的注册会计师签字的凭证募集资金的验资报告或创设款到账确认书（附件</w:t>
      </w:r>
      <w:r>
        <w:rPr>
          <w:rFonts w:hint="eastAsia" w:ascii="仿宋_GB2312" w:hAnsi="Calibri" w:eastAsia="仿宋_GB2312"/>
          <w:sz w:val="30"/>
          <w:szCs w:val="30"/>
          <w:lang w:val="en-US" w:eastAsia="zh-CN"/>
        </w:rPr>
        <w:t>28</w:t>
      </w:r>
      <w:r>
        <w:rPr>
          <w:rFonts w:hint="eastAsia" w:ascii="仿宋_GB2312" w:hAnsi="Calibri" w:eastAsia="仿宋_GB2312"/>
          <w:sz w:val="30"/>
          <w:szCs w:val="30"/>
        </w:rPr>
        <w:t>）；</w:t>
      </w:r>
    </w:p>
    <w:p w14:paraId="72BEC21C">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4）凭证挂牌公告（附件</w:t>
      </w:r>
      <w:r>
        <w:rPr>
          <w:rFonts w:hint="eastAsia" w:ascii="仿宋_GB2312" w:hAnsi="Calibri" w:eastAsia="仿宋_GB2312"/>
          <w:sz w:val="30"/>
          <w:szCs w:val="30"/>
          <w:lang w:val="en-US" w:eastAsia="zh-CN"/>
        </w:rPr>
        <w:t>29</w:t>
      </w:r>
      <w:r>
        <w:rPr>
          <w:rFonts w:hint="eastAsia" w:ascii="仿宋_GB2312" w:hAnsi="Calibri" w:eastAsia="仿宋_GB2312"/>
          <w:sz w:val="30"/>
          <w:szCs w:val="30"/>
        </w:rPr>
        <w:t>）；</w:t>
      </w:r>
    </w:p>
    <w:p w14:paraId="0932F5B6">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5）证券登记及服务协议；</w:t>
      </w:r>
    </w:p>
    <w:p w14:paraId="6142C7EE">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6）证券登记申请表；</w:t>
      </w:r>
    </w:p>
    <w:p w14:paraId="15E52D1F">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7）凭证持有人名册清单；</w:t>
      </w:r>
    </w:p>
    <w:p w14:paraId="1CD207B8">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其中（1）-（4）为挂牌申请材料，（5）-（7）为登记申请材料。</w:t>
      </w:r>
    </w:p>
    <w:p w14:paraId="72084F97">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业务初期通过ssebond@sse.com.cn一次齐备提交电子文件，本所收到材料审核无误后发送中国结算上海分公司登记，本所将中国结算上海分公司登记结果及拟挂牌转让日期反馈给创设机构。 T日上午11:00前提交上述（1）-（7）申请材料且无误的，可安排T+2日挂牌转让。</w:t>
      </w:r>
    </w:p>
    <w:p w14:paraId="566E15D0">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若凭证投资者信息有误，根据中国结算上海分公司相关规定办理更正。</w:t>
      </w:r>
    </w:p>
    <w:p w14:paraId="5E705579">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创设机构应当在凭证挂牌后5个交易日内将证券登记及服务协议原件邮寄至中国结算上海分公司。</w:t>
      </w:r>
    </w:p>
    <w:p w14:paraId="16E7C907">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创设机构通过本所交易系统完成凭证ISIN代码申请。</w:t>
      </w:r>
    </w:p>
    <w:p w14:paraId="061A81A7">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相关文件的纸质材料由创设机构保存，保存期限不得少于凭证摘牌之日起3年。</w:t>
      </w:r>
    </w:p>
    <w:p w14:paraId="73AE92F4">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凭证交易流程</w:t>
      </w:r>
    </w:p>
    <w:p w14:paraId="2C195AD0">
      <w:pPr>
        <w:spacing w:line="600" w:lineRule="exact"/>
        <w:ind w:firstLine="601" w:firstLineChars="200"/>
        <w:outlineLvl w:val="3"/>
        <w:rPr>
          <w:rFonts w:ascii="仿宋_GB2312" w:eastAsia="仿宋_GB2312"/>
          <w:b/>
          <w:sz w:val="30"/>
          <w:szCs w:val="30"/>
        </w:rPr>
      </w:pPr>
      <w:bookmarkStart w:id="2465" w:name="_Toc41660720"/>
      <w:r>
        <w:rPr>
          <w:rFonts w:hint="eastAsia" w:ascii="仿宋_GB2312" w:eastAsia="仿宋_GB2312"/>
          <w:b/>
          <w:sz w:val="30"/>
          <w:szCs w:val="30"/>
        </w:rPr>
        <w:t>（1）凭证交易</w:t>
      </w:r>
      <w:bookmarkEnd w:id="2465"/>
    </w:p>
    <w:p w14:paraId="165EE3FC">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凭证的交易时间为每个交易日的9:00-11:30、13:00-</w:t>
      </w:r>
      <w:r>
        <w:rPr>
          <w:rFonts w:ascii="仿宋_GB2312" w:hAnsi="Calibri" w:eastAsia="仿宋_GB2312"/>
          <w:sz w:val="30"/>
          <w:szCs w:val="30"/>
        </w:rPr>
        <w:t>15</w:t>
      </w:r>
      <w:r>
        <w:rPr>
          <w:rFonts w:hint="eastAsia" w:ascii="仿宋_GB2312" w:hAnsi="Calibri" w:eastAsia="仿宋_GB2312"/>
          <w:sz w:val="30"/>
          <w:szCs w:val="30"/>
        </w:rPr>
        <w:t>:</w:t>
      </w:r>
      <w:r>
        <w:rPr>
          <w:rFonts w:ascii="仿宋_GB2312" w:hAnsi="Calibri" w:eastAsia="仿宋_GB2312"/>
          <w:sz w:val="30"/>
          <w:szCs w:val="30"/>
        </w:rPr>
        <w:t>3</w:t>
      </w:r>
      <w:r>
        <w:rPr>
          <w:rFonts w:hint="eastAsia" w:ascii="仿宋_GB2312" w:hAnsi="Calibri" w:eastAsia="仿宋_GB2312"/>
          <w:sz w:val="30"/>
          <w:szCs w:val="30"/>
        </w:rPr>
        <w:t>0。本所可以根据市场需要调整凭证的交易时间。</w:t>
      </w:r>
    </w:p>
    <w:p w14:paraId="6F9DB63A">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凭证申报要求如下：</w:t>
      </w:r>
    </w:p>
    <w:p w14:paraId="21046E64">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1）计价单位：百元名义本金凭证的价格；</w:t>
      </w:r>
    </w:p>
    <w:p w14:paraId="070461DD">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2）申报价格变动单位：0.001元；</w:t>
      </w:r>
    </w:p>
    <w:p w14:paraId="5E8411A3">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3）申报数量：不低于50万元，且为</w:t>
      </w:r>
      <w:r>
        <w:rPr>
          <w:rFonts w:hint="default" w:ascii="仿宋_GB2312" w:hAnsi="Calibri" w:eastAsia="仿宋_GB2312"/>
          <w:sz w:val="30"/>
          <w:szCs w:val="30"/>
          <w:lang w:val="en-US"/>
        </w:rPr>
        <w:t>1000</w:t>
      </w:r>
      <w:r>
        <w:rPr>
          <w:rFonts w:hint="eastAsia" w:ascii="仿宋_GB2312" w:hAnsi="Calibri" w:eastAsia="仿宋_GB2312"/>
          <w:sz w:val="30"/>
          <w:szCs w:val="30"/>
        </w:rPr>
        <w:t>元的整数倍。</w:t>
      </w:r>
    </w:p>
    <w:p w14:paraId="23863241">
      <w:pPr>
        <w:spacing w:line="600" w:lineRule="exact"/>
        <w:ind w:firstLine="600" w:firstLineChars="200"/>
        <w:rPr>
          <w:rFonts w:ascii="仿宋_GB2312" w:hAnsi="Calibri" w:eastAsia="仿宋_GB2312"/>
          <w:bCs/>
          <w:sz w:val="30"/>
          <w:szCs w:val="30"/>
        </w:rPr>
      </w:pPr>
      <w:r>
        <w:rPr>
          <w:rFonts w:hint="eastAsia" w:ascii="仿宋_GB2312" w:hAnsi="Calibri" w:eastAsia="仿宋_GB2312"/>
          <w:sz w:val="30"/>
          <w:szCs w:val="30"/>
        </w:rPr>
        <w:t>债券投资者为本所债券交易参与人的，可直接通过交易系统进行凭证交易申报；债券投资者为经纪客户的，由证券公司根据客户的委托在</w:t>
      </w:r>
      <w:r>
        <w:rPr>
          <w:rFonts w:hint="eastAsia" w:ascii="仿宋_GB2312" w:hAnsi="Calibri" w:eastAsia="仿宋_GB2312"/>
          <w:sz w:val="30"/>
          <w:szCs w:val="30"/>
          <w:lang w:eastAsia="zh-CN"/>
        </w:rPr>
        <w:t>新固定收益系统</w:t>
      </w:r>
      <w:r>
        <w:rPr>
          <w:rFonts w:hint="eastAsia" w:ascii="仿宋_GB2312" w:hAnsi="Calibri" w:eastAsia="仿宋_GB2312"/>
          <w:sz w:val="30"/>
          <w:szCs w:val="30"/>
        </w:rPr>
        <w:t>上代为申报。</w:t>
      </w:r>
    </w:p>
    <w:p w14:paraId="25247C31">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业务初期，交易系统仅支持通过协商成交方式达成交易。交易一方将协商一致的交易要素通过交易系统发送给交易对手方，经交易对手方确认后，由交易系统确认成交。发送协商成交申报时，对手方必须符合相关投资者适当性要求。</w:t>
      </w:r>
    </w:p>
    <w:p w14:paraId="3539B2CF">
      <w:pPr>
        <w:spacing w:line="600" w:lineRule="exact"/>
        <w:ind w:firstLine="450" w:firstLineChars="150"/>
        <w:outlineLvl w:val="3"/>
        <w:rPr>
          <w:rFonts w:ascii="仿宋_GB2312" w:hAnsi="黑体" w:eastAsia="仿宋_GB2312"/>
          <w:b/>
          <w:sz w:val="30"/>
          <w:szCs w:val="30"/>
        </w:rPr>
      </w:pPr>
      <w:bookmarkStart w:id="2466" w:name="_Toc41660725"/>
      <w:r>
        <w:rPr>
          <w:rFonts w:hint="eastAsia" w:ascii="仿宋_GB2312" w:hAnsi="黑体" w:eastAsia="仿宋_GB2312"/>
          <w:b/>
          <w:sz w:val="30"/>
          <w:szCs w:val="30"/>
        </w:rPr>
        <w:t>（2）凭证转让限制</w:t>
      </w:r>
      <w:bookmarkEnd w:id="2466"/>
    </w:p>
    <w:p w14:paraId="5C39EF71">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单只凭证创设及转让后的债券投资者原则上不超过200人，本所另有规定的除外。</w:t>
      </w:r>
    </w:p>
    <w:p w14:paraId="0143BEAC">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若凭证存续期间未发生信用事件，凭证自到期日收盘后终止转让流通；若凭证存续期间发生信用事件，凭证可交易至创设机构公告的最后交易日期。</w:t>
      </w:r>
    </w:p>
    <w:p w14:paraId="68AC659E">
      <w:pPr>
        <w:spacing w:line="600" w:lineRule="exact"/>
        <w:ind w:firstLine="601" w:firstLineChars="200"/>
        <w:outlineLvl w:val="3"/>
        <w:rPr>
          <w:rFonts w:ascii="仿宋_GB2312" w:hAnsi="黑体" w:eastAsia="仿宋_GB2312"/>
          <w:b/>
          <w:sz w:val="30"/>
          <w:szCs w:val="30"/>
        </w:rPr>
      </w:pPr>
      <w:bookmarkStart w:id="2467" w:name="_Toc41660726"/>
      <w:r>
        <w:rPr>
          <w:rFonts w:hint="eastAsia" w:ascii="仿宋_GB2312" w:hAnsi="黑体" w:eastAsia="仿宋_GB2312"/>
          <w:b/>
          <w:sz w:val="30"/>
          <w:szCs w:val="30"/>
        </w:rPr>
        <w:t>（3）凭证转让的结算</w:t>
      </w:r>
      <w:bookmarkEnd w:id="2467"/>
    </w:p>
    <w:p w14:paraId="02362A0F">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凭证参与者在</w:t>
      </w:r>
      <w:r>
        <w:rPr>
          <w:rFonts w:hint="eastAsia" w:ascii="仿宋_GB2312" w:hAnsi="Calibri" w:eastAsia="仿宋_GB2312"/>
          <w:sz w:val="30"/>
          <w:szCs w:val="30"/>
          <w:lang w:eastAsia="zh-CN"/>
        </w:rPr>
        <w:t>新固定收益系统</w:t>
      </w:r>
      <w:r>
        <w:rPr>
          <w:rFonts w:hint="eastAsia" w:ascii="仿宋_GB2312" w:hAnsi="Calibri" w:eastAsia="仿宋_GB2312"/>
          <w:sz w:val="30"/>
          <w:szCs w:val="30"/>
        </w:rPr>
        <w:t>达成交易后，登记结算机构根据成交数据在结算日期办理实时逐笔全额结算。</w:t>
      </w:r>
    </w:p>
    <w:p w14:paraId="299A14BC">
      <w:pPr>
        <w:spacing w:line="600" w:lineRule="exact"/>
        <w:ind w:firstLine="601" w:firstLineChars="200"/>
        <w:outlineLvl w:val="3"/>
        <w:rPr>
          <w:rFonts w:ascii="仿宋_GB2312" w:hAnsi="黑体" w:eastAsia="仿宋_GB2312"/>
          <w:b/>
          <w:sz w:val="30"/>
          <w:szCs w:val="30"/>
        </w:rPr>
      </w:pPr>
      <w:bookmarkStart w:id="2468" w:name="_Toc41660727"/>
      <w:r>
        <w:rPr>
          <w:rFonts w:hint="eastAsia" w:ascii="仿宋_GB2312" w:hAnsi="黑体" w:eastAsia="仿宋_GB2312"/>
          <w:b/>
          <w:sz w:val="30"/>
          <w:szCs w:val="30"/>
        </w:rPr>
        <w:t>（4）凭证回购注销</w:t>
      </w:r>
      <w:bookmarkEnd w:id="2468"/>
    </w:p>
    <w:p w14:paraId="202AF5EE">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创设机构可回购其创设的凭证，并将其注销。创设机构购回自身创设的凭证后，向本所提交注销申请，申请要素包括凭证名称、凭证代码、需要注销的凭证数量等。</w:t>
      </w:r>
    </w:p>
    <w:p w14:paraId="035A3519">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本所对注销申请进行形式审查，审查无误的将相关数据发送至登记结算机构。登记结算机构根据本所提供的数据完成注销并将相关数据反馈至本所。</w:t>
      </w:r>
    </w:p>
    <w:p w14:paraId="5C027893">
      <w:pPr>
        <w:spacing w:line="600" w:lineRule="exact"/>
        <w:ind w:firstLine="601" w:firstLineChars="200"/>
        <w:outlineLvl w:val="3"/>
        <w:rPr>
          <w:rFonts w:ascii="仿宋_GB2312" w:eastAsia="仿宋_GB2312"/>
          <w:b/>
          <w:sz w:val="30"/>
          <w:szCs w:val="30"/>
        </w:rPr>
      </w:pPr>
      <w:bookmarkStart w:id="2469" w:name="_Toc41660728"/>
      <w:r>
        <w:rPr>
          <w:rFonts w:hint="eastAsia" w:ascii="仿宋_GB2312" w:eastAsia="仿宋_GB2312"/>
          <w:b/>
          <w:sz w:val="30"/>
          <w:szCs w:val="30"/>
        </w:rPr>
        <w:t>（5）凭证头寸要求</w:t>
      </w:r>
      <w:bookmarkEnd w:id="2469"/>
    </w:p>
    <w:p w14:paraId="1E7CB31B">
      <w:pPr>
        <w:spacing w:line="600" w:lineRule="exact"/>
        <w:ind w:firstLine="600" w:firstLineChars="200"/>
        <w:rPr>
          <w:rFonts w:ascii="仿宋_GB2312" w:eastAsia="仿宋_GB2312"/>
          <w:sz w:val="30"/>
          <w:szCs w:val="30"/>
        </w:rPr>
      </w:pPr>
      <w:r>
        <w:rPr>
          <w:rFonts w:hint="eastAsia" w:ascii="仿宋_GB2312" w:eastAsia="仿宋_GB2312"/>
          <w:sz w:val="30"/>
          <w:szCs w:val="30"/>
        </w:rPr>
        <w:t>试点初期，任何一家债券投资者对特定受保护债务的信用保护凭证的买入余额不得超过该受保护债务总余额的100%；任何一家债券投资者对特定受保护债务的信用保护凭证的卖出余额不得超过该受保护债务总余额的100%。</w:t>
      </w:r>
    </w:p>
    <w:p w14:paraId="540E8216">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针对特定受保护债务的信用保护凭证创设总规模不得超过该受保护债务总余额的500%。</w:t>
      </w:r>
    </w:p>
    <w:p w14:paraId="69A0906B">
      <w:pPr>
        <w:numPr>
          <w:ilvl w:val="2"/>
          <w:numId w:val="4"/>
        </w:numPr>
        <w:spacing w:line="600" w:lineRule="exact"/>
        <w:ind w:left="0" w:firstLine="0"/>
        <w:outlineLvl w:val="2"/>
        <w:rPr>
          <w:rFonts w:ascii="仿宋_GB2312" w:eastAsia="仿宋_GB2312"/>
          <w:b/>
          <w:sz w:val="30"/>
          <w:szCs w:val="30"/>
        </w:rPr>
      </w:pPr>
      <w:bookmarkStart w:id="2470" w:name="_Toc41660734"/>
      <w:r>
        <w:rPr>
          <w:rFonts w:hint="eastAsia" w:ascii="仿宋_GB2312" w:eastAsia="仿宋_GB2312"/>
          <w:b/>
          <w:sz w:val="30"/>
          <w:szCs w:val="30"/>
        </w:rPr>
        <w:t>信息披露及行情</w:t>
      </w:r>
    </w:p>
    <w:p w14:paraId="56F94F51">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（1）信息披露</w:t>
      </w:r>
    </w:p>
    <w:p w14:paraId="1A3BFC2F">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信用保护工具在本所挂牌后的日常信息披露和操作业务由本所债券业务部受理。</w:t>
      </w:r>
    </w:p>
    <w:p w14:paraId="1335B6EC">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信息披露文件通过债券业务管理系统提交本所。</w:t>
      </w:r>
    </w:p>
    <w:p w14:paraId="2A09325C">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凭证存续期间，创设机构应当在每年4月30日之前通过本所网站或者以本所认可的其他方式披露上一年度的年度报告、财务报表及审计报告，并在每年6月30日之前通过本所网站或者以本所认可的其他方式披露定期跟踪评级报告。年度报告应当至少记载以下内容：</w:t>
      </w:r>
    </w:p>
    <w:p w14:paraId="3352CE5D">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1）创设机构概况；</w:t>
      </w:r>
    </w:p>
    <w:p w14:paraId="3F93084E">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2）创设机构经营情况、财务状况；</w:t>
      </w:r>
    </w:p>
    <w:p w14:paraId="58A29C93">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3）创设机构主体评级情况；</w:t>
      </w:r>
    </w:p>
    <w:p w14:paraId="45355ABC">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4）创设机构在报告期内发生的可能影响创设机构赔付能力或者凭证价格的重大事项；</w:t>
      </w:r>
    </w:p>
    <w:p w14:paraId="1A572BC3">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5）本所要求披露的其他事项。</w:t>
      </w:r>
    </w:p>
    <w:p w14:paraId="29B559D3">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凭证存续期间，发生可能影响创设机构赔付能力的重大事项，或者存在关于创设机构及其创设的凭证的重大市场传闻的，创设机构应当及时向本所提交并通过本所网站或者以本所认可的其他方式披露临时报告，说明事件的起因、目前的状态和可能产生的后果。</w:t>
      </w:r>
    </w:p>
    <w:p w14:paraId="38FD4D9F">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重大事项包括：</w:t>
      </w:r>
    </w:p>
    <w:p w14:paraId="23C72BA7">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1）创设机构创设的凭证发生赔付；</w:t>
      </w:r>
    </w:p>
    <w:p w14:paraId="25E42BE1">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2）创设机构主要资产被查封、扣押、冻结；</w:t>
      </w:r>
    </w:p>
    <w:p w14:paraId="326A00C4">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3）创设机构发生超过上年末净资产10%的重大损失；</w:t>
      </w:r>
    </w:p>
    <w:p w14:paraId="32A908F3">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4）创设机构发生未能清偿到期重大债务的违约情况；</w:t>
      </w:r>
    </w:p>
    <w:p w14:paraId="13E047A2">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5）创设机构作出减资、合并、分立、解散及申请破产的决定；</w:t>
      </w:r>
    </w:p>
    <w:p w14:paraId="1D60351C">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6）创设机构涉及重大诉讼、仲裁事项或者受到重大行政处罚；</w:t>
      </w:r>
    </w:p>
    <w:p w14:paraId="244AF035">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7）创设机构履约保障方、担保物或者其他偿债保障措施发生重大变化；</w:t>
      </w:r>
    </w:p>
    <w:p w14:paraId="12EC319E">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8）创设机构涉嫌犯罪被司法机关立案调查，创设机构董事、监事、高级管理人员涉嫌犯罪被司法机关采取强制措施；</w:t>
      </w:r>
    </w:p>
    <w:p w14:paraId="032CC3D8">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9）其他对投资者作出投资决策有重大影响的事项；</w:t>
      </w:r>
    </w:p>
    <w:p w14:paraId="775E5276">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10）法律、行政法规、规章规定或中国证监会、本所规定的其他事项。</w:t>
      </w:r>
    </w:p>
    <w:p w14:paraId="4F033453">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创设机构应当聘请资信评级机构进行定期和不定期跟踪信用评级。跟踪评级报告应当及时提交创设机构，并由创设机构或者资信评级机构按规定及时向市场披露。定期跟踪评级报告应当于每一会计年度结束之日起6个月内披露。</w:t>
      </w:r>
    </w:p>
    <w:p w14:paraId="0455B12C">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资信评级机构应当充分关注可能影响创设机构信用评级的各种重大因素，及时开展不定期跟踪评级，及时披露跟踪评级结果。</w:t>
      </w:r>
    </w:p>
    <w:p w14:paraId="405FC38B">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2</w:t>
      </w:r>
      <w:r>
        <w:rPr>
          <w:rFonts w:hint="eastAsia" w:ascii="仿宋_GB2312" w:eastAsia="仿宋_GB2312"/>
          <w:b/>
          <w:sz w:val="30"/>
          <w:szCs w:val="30"/>
        </w:rPr>
        <w:t>）违约报告义务</w:t>
      </w:r>
      <w:bookmarkEnd w:id="2470"/>
    </w:p>
    <w:p w14:paraId="0AA4A842">
      <w:pPr>
        <w:widowControl/>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债券投资者未按照相关规定、约定履行信用保护工具支付或交付义务的，该债券投资者与其对手方应当在支付或交付违约情形发生后1个交易日内将相关违约情形报告本所。</w:t>
      </w:r>
    </w:p>
    <w:p w14:paraId="7A0A8E5D">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报告提交的邮箱地址为：</w:t>
      </w:r>
      <w:r>
        <w:fldChar w:fldCharType="begin"/>
      </w:r>
      <w:r>
        <w:instrText xml:space="preserve"> HYPERLINK "mailto:ssebond@sse.com.cn" </w:instrText>
      </w:r>
      <w:r>
        <w:fldChar w:fldCharType="separate"/>
      </w:r>
      <w:r>
        <w:rPr>
          <w:rFonts w:ascii="仿宋_GB2312" w:hAnsi="Calibri" w:eastAsia="仿宋_GB2312"/>
          <w:sz w:val="30"/>
          <w:szCs w:val="30"/>
        </w:rPr>
        <w:t>ssebond@sse.com.cn</w:t>
      </w:r>
      <w:r>
        <w:rPr>
          <w:rFonts w:ascii="仿宋_GB2312" w:hAnsi="Calibri" w:eastAsia="仿宋_GB2312"/>
          <w:sz w:val="30"/>
          <w:szCs w:val="30"/>
        </w:rPr>
        <w:fldChar w:fldCharType="end"/>
      </w:r>
      <w:r>
        <w:rPr>
          <w:rFonts w:hint="eastAsia" w:ascii="仿宋_GB2312" w:hAnsi="Calibri" w:eastAsia="仿宋_GB2312"/>
          <w:sz w:val="30"/>
          <w:szCs w:val="30"/>
        </w:rPr>
        <w:t>，邮件标题格式为“</w:t>
      </w:r>
      <w:r>
        <w:rPr>
          <w:rFonts w:hint="eastAsia" w:ascii="仿宋_GB2312" w:hAnsi="Calibri" w:eastAsia="仿宋_GB2312"/>
          <w:b/>
          <w:sz w:val="30"/>
          <w:szCs w:val="30"/>
        </w:rPr>
        <w:t>【违约报告】</w:t>
      </w:r>
      <w:r>
        <w:rPr>
          <w:rFonts w:hint="eastAsia" w:ascii="仿宋_GB2312" w:hAnsi="Calibri" w:eastAsia="仿宋_GB2312"/>
          <w:sz w:val="30"/>
          <w:szCs w:val="30"/>
        </w:rPr>
        <w:t>XXX公司-信用保护工具违约报告”，附件超过20M的请以超大附件或网盘链接通过普通附件发送。</w:t>
      </w:r>
    </w:p>
    <w:p w14:paraId="6572AD4D">
      <w:pPr>
        <w:spacing w:line="600" w:lineRule="exact"/>
        <w:ind w:firstLine="601" w:firstLineChars="200"/>
        <w:outlineLvl w:val="3"/>
        <w:rPr>
          <w:rFonts w:ascii="仿宋_GB2312" w:eastAsia="仿宋_GB2312"/>
          <w:b/>
          <w:sz w:val="30"/>
          <w:szCs w:val="30"/>
        </w:rPr>
      </w:pPr>
      <w:bookmarkStart w:id="2471" w:name="_Toc41660735"/>
      <w:r>
        <w:rPr>
          <w:rFonts w:hint="eastAsia" w:ascii="仿宋_GB2312" w:eastAsia="仿宋_GB2312"/>
          <w:b/>
          <w:sz w:val="30"/>
          <w:szCs w:val="30"/>
        </w:rPr>
        <w:t>（</w:t>
      </w:r>
      <w:r>
        <w:rPr>
          <w:rFonts w:ascii="仿宋_GB2312" w:eastAsia="仿宋_GB2312"/>
          <w:b/>
          <w:sz w:val="30"/>
          <w:szCs w:val="30"/>
        </w:rPr>
        <w:t>3</w:t>
      </w:r>
      <w:r>
        <w:rPr>
          <w:rFonts w:hint="eastAsia" w:ascii="仿宋_GB2312" w:eastAsia="仿宋_GB2312"/>
          <w:b/>
          <w:sz w:val="30"/>
          <w:szCs w:val="30"/>
        </w:rPr>
        <w:t>）到期风险提示</w:t>
      </w:r>
      <w:bookmarkEnd w:id="2471"/>
    </w:p>
    <w:p w14:paraId="26D79275">
      <w:pPr>
        <w:spacing w:line="600" w:lineRule="exact"/>
        <w:ind w:firstLine="600" w:firstLineChars="200"/>
        <w:rPr>
          <w:rFonts w:ascii="仿宋_GB2312" w:hAnsi="Calibri" w:eastAsia="仿宋_GB2312"/>
          <w:b/>
          <w:sz w:val="30"/>
          <w:szCs w:val="30"/>
        </w:rPr>
      </w:pPr>
      <w:r>
        <w:rPr>
          <w:rFonts w:hint="eastAsia" w:ascii="仿宋_GB2312" w:eastAsia="仿宋_GB2312"/>
          <w:sz w:val="30"/>
          <w:szCs w:val="30"/>
        </w:rPr>
        <w:t>创设机构应当于凭证到期日前30个交易日通过债券业务管理系统向本所提交并通过本所网站或者以本所认可的其他方式发布提示性公告，提示凭证即将到期及相关转让风险。证券公司应当于凭证到期前30个交易日起向申报买入凭证的经纪客户提示到期风险。</w:t>
      </w:r>
    </w:p>
    <w:p w14:paraId="67785695">
      <w:pPr>
        <w:spacing w:line="600" w:lineRule="exact"/>
        <w:ind w:firstLine="601" w:firstLineChars="200"/>
        <w:outlineLvl w:val="3"/>
        <w:rPr>
          <w:rFonts w:ascii="仿宋_GB2312" w:eastAsia="仿宋_GB2312"/>
          <w:b/>
          <w:sz w:val="30"/>
          <w:szCs w:val="30"/>
        </w:rPr>
      </w:pPr>
      <w:bookmarkStart w:id="2472" w:name="_Toc41660736"/>
      <w:r>
        <w:rPr>
          <w:rFonts w:hint="eastAsia" w:ascii="仿宋_GB2312" w:eastAsia="仿宋_GB2312"/>
          <w:b/>
          <w:sz w:val="30"/>
          <w:szCs w:val="30"/>
        </w:rPr>
        <w:t>（</w:t>
      </w:r>
      <w:r>
        <w:rPr>
          <w:rFonts w:ascii="仿宋_GB2312" w:eastAsia="仿宋_GB2312"/>
          <w:b/>
          <w:sz w:val="30"/>
          <w:szCs w:val="30"/>
        </w:rPr>
        <w:t>4</w:t>
      </w:r>
      <w:r>
        <w:rPr>
          <w:rFonts w:hint="eastAsia" w:ascii="仿宋_GB2312" w:eastAsia="仿宋_GB2312"/>
          <w:b/>
          <w:sz w:val="30"/>
          <w:szCs w:val="30"/>
        </w:rPr>
        <w:t>）凭证摘牌公告</w:t>
      </w:r>
      <w:bookmarkEnd w:id="2472"/>
    </w:p>
    <w:p w14:paraId="35FC664F">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凭证到期且未发生信用事件、创设机构回购注销其全部凭证、凭证存续期间发生信用事件且创设机构与债券投资者完成结算或者出现本所认定的其他情形的，本所于相关日期确定后终止凭证的挂牌转让。</w:t>
      </w:r>
    </w:p>
    <w:p w14:paraId="38854406">
      <w:pPr>
        <w:spacing w:line="600" w:lineRule="exact"/>
        <w:ind w:firstLine="601" w:firstLineChars="200"/>
        <w:outlineLvl w:val="3"/>
        <w:rPr>
          <w:rFonts w:ascii="仿宋_GB2312" w:eastAsia="仿宋_GB2312"/>
          <w:b/>
          <w:sz w:val="30"/>
          <w:szCs w:val="30"/>
        </w:rPr>
      </w:pPr>
      <w:bookmarkStart w:id="2473" w:name="_Toc41660738"/>
      <w:r>
        <w:rPr>
          <w:rFonts w:hint="eastAsia" w:ascii="仿宋_GB2312" w:eastAsia="仿宋_GB2312"/>
          <w:b/>
          <w:sz w:val="30"/>
          <w:szCs w:val="30"/>
        </w:rPr>
        <w:t>（</w:t>
      </w:r>
      <w:r>
        <w:rPr>
          <w:rFonts w:ascii="仿宋_GB2312" w:eastAsia="仿宋_GB2312"/>
          <w:b/>
          <w:sz w:val="30"/>
          <w:szCs w:val="30"/>
        </w:rPr>
        <w:t>5</w:t>
      </w:r>
      <w:r>
        <w:rPr>
          <w:rFonts w:hint="eastAsia" w:ascii="仿宋_GB2312" w:eastAsia="仿宋_GB2312"/>
          <w:b/>
          <w:sz w:val="30"/>
          <w:szCs w:val="30"/>
        </w:rPr>
        <w:t>）统计数据</w:t>
      </w:r>
      <w:bookmarkEnd w:id="2473"/>
    </w:p>
    <w:p w14:paraId="624166F4">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本所将定期发布信用保护工具交易统计数据，统计数据要素包括核心交易商类型、合约规模等信息。</w:t>
      </w:r>
    </w:p>
    <w:p w14:paraId="5C581384">
      <w:pPr>
        <w:numPr>
          <w:ilvl w:val="2"/>
          <w:numId w:val="4"/>
        </w:numPr>
        <w:spacing w:line="600" w:lineRule="exact"/>
        <w:ind w:left="0" w:firstLine="0"/>
        <w:outlineLvl w:val="2"/>
        <w:rPr>
          <w:rFonts w:ascii="仿宋_GB2312" w:eastAsia="仿宋_GB2312"/>
          <w:b/>
          <w:sz w:val="30"/>
          <w:szCs w:val="30"/>
        </w:rPr>
      </w:pPr>
      <w:bookmarkStart w:id="2474" w:name="_Toc41660739"/>
      <w:bookmarkStart w:id="2475" w:name="_Toc534569695"/>
      <w:r>
        <w:rPr>
          <w:rFonts w:hint="eastAsia" w:ascii="仿宋_GB2312" w:eastAsia="仿宋_GB2312"/>
          <w:b/>
          <w:sz w:val="30"/>
          <w:szCs w:val="30"/>
        </w:rPr>
        <w:t>信用事件后续结算安排</w:t>
      </w:r>
      <w:bookmarkEnd w:id="2474"/>
      <w:bookmarkEnd w:id="2475"/>
    </w:p>
    <w:p w14:paraId="5D620EA1">
      <w:pPr>
        <w:spacing w:line="600" w:lineRule="exact"/>
        <w:ind w:firstLine="601" w:firstLineChars="200"/>
        <w:outlineLvl w:val="3"/>
        <w:rPr>
          <w:rFonts w:ascii="仿宋_GB2312" w:eastAsia="仿宋_GB2312"/>
          <w:b/>
          <w:sz w:val="30"/>
          <w:szCs w:val="30"/>
        </w:rPr>
      </w:pPr>
      <w:bookmarkStart w:id="2476" w:name="_Toc514051536"/>
      <w:bookmarkStart w:id="2477" w:name="_Toc41660740"/>
      <w:r>
        <w:rPr>
          <w:rFonts w:hint="eastAsia" w:ascii="仿宋_GB2312" w:eastAsia="仿宋_GB2312"/>
          <w:b/>
          <w:sz w:val="30"/>
          <w:szCs w:val="30"/>
        </w:rPr>
        <w:t>（1）确定信用事件决定日</w:t>
      </w:r>
      <w:bookmarkEnd w:id="2476"/>
      <w:bookmarkEnd w:id="2477"/>
    </w:p>
    <w:p w14:paraId="0412A503">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信用事件发生后，买方或者卖方可按照双方约定的方式向对手方发送“信用事件通知书”并附“公共信息通知书”（以下简称信用事件通知书，详见附件</w:t>
      </w:r>
      <w:r>
        <w:rPr>
          <w:rFonts w:hint="eastAsia" w:ascii="仿宋_GB2312" w:hAnsi="Calibri" w:eastAsia="仿宋_GB2312"/>
          <w:sz w:val="30"/>
          <w:szCs w:val="30"/>
          <w:lang w:val="en-US" w:eastAsia="zh-CN"/>
        </w:rPr>
        <w:t>30</w:t>
      </w:r>
      <w:r>
        <w:rPr>
          <w:rFonts w:hint="eastAsia" w:ascii="仿宋_GB2312" w:hAnsi="Calibri" w:eastAsia="仿宋_GB2312"/>
          <w:sz w:val="30"/>
          <w:szCs w:val="30"/>
        </w:rPr>
        <w:t>、</w:t>
      </w:r>
      <w:r>
        <w:rPr>
          <w:rFonts w:hint="eastAsia" w:ascii="仿宋_GB2312" w:hAnsi="Calibri" w:eastAsia="仿宋_GB2312"/>
          <w:sz w:val="30"/>
          <w:szCs w:val="30"/>
          <w:lang w:val="en-US" w:eastAsia="zh-CN"/>
        </w:rPr>
        <w:t>31</w:t>
      </w:r>
      <w:r>
        <w:rPr>
          <w:rFonts w:hint="eastAsia" w:ascii="仿宋_GB2312" w:hAnsi="Calibri" w:eastAsia="仿宋_GB2312"/>
          <w:sz w:val="30"/>
          <w:szCs w:val="30"/>
        </w:rPr>
        <w:t>）。信用事件通知书中需对相关信用事件附有合理、详尽的说明，至少需要指出哪一个参考实体发生了哪一种信用事件、发生的时间和对信用事件的基本描述。</w:t>
      </w:r>
    </w:p>
    <w:p w14:paraId="61AE38E8">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公共信息通知书应列明买方或卖方从公开信息渠道获得的有关信用事件已经发生的信息或报道。除非交易双方另有约定，公开信息渠道限于全国发行报刊</w:t>
      </w:r>
      <w:r>
        <w:rPr>
          <w:rFonts w:hint="eastAsia" w:eastAsia="仿宋_GB2312"/>
          <w:sz w:val="30"/>
          <w:szCs w:val="28"/>
        </w:rPr>
        <w:t>或全国党政机关事业单位网站（及其子网站或平台）</w:t>
      </w:r>
      <w:r>
        <w:rPr>
          <w:rFonts w:hint="eastAsia" w:ascii="仿宋_GB2312" w:hAnsi="Calibri" w:eastAsia="仿宋_GB2312"/>
          <w:sz w:val="30"/>
          <w:szCs w:val="30"/>
        </w:rPr>
        <w:t>，或是参考实体所在行业协会</w:t>
      </w:r>
      <w:r>
        <w:rPr>
          <w:rFonts w:hint="eastAsia" w:eastAsia="仿宋_GB2312"/>
          <w:sz w:val="30"/>
          <w:szCs w:val="28"/>
        </w:rPr>
        <w:t>或参考债务所在市场</w:t>
      </w:r>
      <w:r>
        <w:rPr>
          <w:rFonts w:hint="eastAsia" w:ascii="仿宋_GB2312" w:hAnsi="Calibri" w:eastAsia="仿宋_GB2312"/>
          <w:sz w:val="30"/>
          <w:szCs w:val="30"/>
        </w:rPr>
        <w:t>认可的权威性专业报刊、网站或信息提供商，且有关报道者或报道机构未在提前终止日前撤</w:t>
      </w:r>
      <w:r>
        <w:rPr>
          <w:rFonts w:hint="eastAsia" w:eastAsia="仿宋_GB2312"/>
          <w:sz w:val="30"/>
          <w:szCs w:val="28"/>
        </w:rPr>
        <w:t>销</w:t>
      </w:r>
      <w:r>
        <w:rPr>
          <w:rFonts w:hint="eastAsia" w:ascii="仿宋_GB2312" w:hAnsi="Calibri" w:eastAsia="仿宋_GB2312"/>
          <w:sz w:val="30"/>
          <w:szCs w:val="30"/>
        </w:rPr>
        <w:t>该信息或报道，也未公开承认有重大误报。</w:t>
      </w:r>
    </w:p>
    <w:p w14:paraId="79D59B62">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若交易双方对信用事件无异议，则合约或者首份凭证信用事件通知书送达之日即为信用事件决定日。</w:t>
      </w:r>
    </w:p>
    <w:p w14:paraId="252767F8">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合约或凭证参与者向对手方发送信用事件通知书及所附公共信息通知书后，应在1个交易日内向本所报告，将信用事件通知书及所附公共信息通知书的PDF扫描件发送到以下邮箱：</w:t>
      </w:r>
      <w:r>
        <w:fldChar w:fldCharType="begin"/>
      </w:r>
      <w:r>
        <w:instrText xml:space="preserve"> HYPERLINK "mailto:ssebond@sse.com.cn" </w:instrText>
      </w:r>
      <w:r>
        <w:fldChar w:fldCharType="separate"/>
      </w:r>
      <w:r>
        <w:rPr>
          <w:rFonts w:ascii="仿宋_GB2312" w:hAnsi="Calibri" w:eastAsia="仿宋_GB2312"/>
          <w:sz w:val="30"/>
          <w:szCs w:val="30"/>
        </w:rPr>
        <w:t>ssebond@sse.com.cn</w:t>
      </w:r>
      <w:r>
        <w:rPr>
          <w:rFonts w:ascii="仿宋_GB2312" w:hAnsi="Calibri" w:eastAsia="仿宋_GB2312"/>
          <w:sz w:val="30"/>
          <w:szCs w:val="30"/>
        </w:rPr>
        <w:fldChar w:fldCharType="end"/>
      </w:r>
      <w:r>
        <w:rPr>
          <w:rFonts w:hint="eastAsia" w:ascii="仿宋_GB2312" w:hAnsi="Calibri" w:eastAsia="仿宋_GB2312"/>
          <w:sz w:val="30"/>
          <w:szCs w:val="30"/>
        </w:rPr>
        <w:t>，邮件格式为“XXX信用保护工具信用事件通知书及公共信息通知书</w:t>
      </w:r>
      <w:r>
        <w:rPr>
          <w:rFonts w:eastAsia="仿宋_GB2312"/>
          <w:sz w:val="30"/>
          <w:szCs w:val="28"/>
        </w:rPr>
        <w:t>-</w:t>
      </w:r>
      <w:r>
        <w:rPr>
          <w:rFonts w:hint="eastAsia" w:eastAsia="仿宋_GB2312"/>
          <w:sz w:val="30"/>
          <w:szCs w:val="28"/>
        </w:rPr>
        <w:t>【机构全称】</w:t>
      </w:r>
      <w:r>
        <w:rPr>
          <w:rFonts w:eastAsia="仿宋_GB2312"/>
          <w:sz w:val="30"/>
          <w:szCs w:val="28"/>
        </w:rPr>
        <w:t>-</w:t>
      </w:r>
      <w:r>
        <w:rPr>
          <w:rFonts w:hint="eastAsia" w:eastAsia="仿宋_GB2312"/>
          <w:sz w:val="30"/>
          <w:szCs w:val="28"/>
        </w:rPr>
        <w:t>【参考实体】</w:t>
      </w:r>
      <w:r>
        <w:rPr>
          <w:rFonts w:eastAsia="仿宋_GB2312"/>
          <w:sz w:val="30"/>
          <w:szCs w:val="28"/>
        </w:rPr>
        <w:t>-</w:t>
      </w:r>
      <w:r>
        <w:rPr>
          <w:rFonts w:hint="eastAsia" w:eastAsia="仿宋_GB2312"/>
          <w:sz w:val="30"/>
          <w:szCs w:val="28"/>
        </w:rPr>
        <w:t>【信用事件发生时间，即</w:t>
      </w:r>
      <w:r>
        <w:rPr>
          <w:rFonts w:ascii="仿宋_GB2312" w:hAnsi="Calibri" w:eastAsia="仿宋_GB2312"/>
          <w:sz w:val="30"/>
          <w:szCs w:val="30"/>
        </w:rPr>
        <w:t>YYYYMMDD</w:t>
      </w:r>
      <w:r>
        <w:rPr>
          <w:rFonts w:hint="eastAsia" w:eastAsia="仿宋_GB2312"/>
          <w:sz w:val="30"/>
          <w:szCs w:val="28"/>
        </w:rPr>
        <w:t>】</w:t>
      </w:r>
      <w:r>
        <w:rPr>
          <w:rFonts w:hint="eastAsia" w:ascii="仿宋_GB2312" w:hAnsi="Calibri" w:eastAsia="仿宋_GB2312"/>
          <w:sz w:val="30"/>
          <w:szCs w:val="30"/>
        </w:rPr>
        <w:t>”。对于CDX合约，信用事件通知书及所附公共信息通知书在向本所报告的同时，还需抄送CDX组合管理人邮箱csi</w:t>
      </w:r>
      <w:r>
        <w:rPr>
          <w:rFonts w:ascii="仿宋_GB2312" w:hAnsi="Calibri" w:eastAsia="仿宋_GB2312"/>
          <w:sz w:val="30"/>
          <w:szCs w:val="30"/>
        </w:rPr>
        <w:t>cslt@csindex.com.cn</w:t>
      </w:r>
      <w:r>
        <w:rPr>
          <w:rFonts w:hint="eastAsia" w:ascii="仿宋_GB2312" w:hAnsi="Calibri" w:eastAsia="仿宋_GB2312"/>
          <w:sz w:val="30"/>
          <w:szCs w:val="30"/>
        </w:rPr>
        <w:t>，同时电话通知CDX组合管理人相关业务负责人。</w:t>
      </w:r>
    </w:p>
    <w:p w14:paraId="7B6D43CA">
      <w:pPr>
        <w:spacing w:line="600" w:lineRule="exact"/>
        <w:ind w:firstLine="601" w:firstLineChars="200"/>
        <w:outlineLvl w:val="3"/>
        <w:rPr>
          <w:rFonts w:ascii="仿宋_GB2312" w:eastAsia="仿宋_GB2312"/>
          <w:b/>
          <w:sz w:val="30"/>
          <w:szCs w:val="30"/>
        </w:rPr>
      </w:pPr>
      <w:bookmarkStart w:id="2478" w:name="_Toc41660741"/>
      <w:r>
        <w:rPr>
          <w:rFonts w:hint="eastAsia" w:ascii="仿宋_GB2312" w:eastAsia="仿宋_GB2312"/>
          <w:b/>
          <w:sz w:val="30"/>
          <w:szCs w:val="30"/>
        </w:rPr>
        <w:t>（2）发送结算通知书</w:t>
      </w:r>
      <w:bookmarkEnd w:id="2478"/>
    </w:p>
    <w:p w14:paraId="1011AD97">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信用事件决定日确定后，需要明确相关结算安排。</w:t>
      </w:r>
    </w:p>
    <w:p w14:paraId="07F5360F">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对于合约，信用事件决定日后30个自然日内，合约买方应按照约定的方式向合约卖方发送“结算通知书”（附件</w:t>
      </w:r>
      <w:r>
        <w:rPr>
          <w:rFonts w:hint="eastAsia" w:ascii="仿宋_GB2312" w:hAnsi="Calibri" w:eastAsia="仿宋_GB2312"/>
          <w:sz w:val="30"/>
          <w:szCs w:val="30"/>
          <w:lang w:val="en-US" w:eastAsia="zh-CN"/>
        </w:rPr>
        <w:t>32</w:t>
      </w:r>
      <w:r>
        <w:rPr>
          <w:rFonts w:hint="eastAsia" w:ascii="仿宋_GB2312" w:hAnsi="Calibri" w:eastAsia="仿宋_GB2312"/>
          <w:sz w:val="30"/>
          <w:szCs w:val="30"/>
        </w:rPr>
        <w:t>），最后结算日不得超过结算通知书送达日后30个自然日。</w:t>
      </w:r>
    </w:p>
    <w:p w14:paraId="266F614C">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对于凭证，信用事件决定日后3个自然日内，创设机构须通过本所网站发布关于信用事件和后续结算安排公告，内容包括信用事件决定日、可交付债务（如有）、凭证最后交易日期，结算方式以及结算时间区间等信息。最后结算日不得超过信用事件决定日后60个自然日。信用事件和后续结算安排公告发布后，凭证买方应按照创设说明书中约定的方式向创设机构发送“结算通知书”（附件</w:t>
      </w:r>
      <w:r>
        <w:rPr>
          <w:rFonts w:hint="eastAsia" w:ascii="仿宋_GB2312" w:hAnsi="Calibri" w:eastAsia="仿宋_GB2312"/>
          <w:sz w:val="30"/>
          <w:szCs w:val="30"/>
          <w:lang w:val="en-US" w:eastAsia="zh-CN"/>
        </w:rPr>
        <w:t>32</w:t>
      </w:r>
      <w:r>
        <w:rPr>
          <w:rFonts w:hint="eastAsia" w:ascii="仿宋_GB2312" w:hAnsi="Calibri" w:eastAsia="仿宋_GB2312"/>
          <w:sz w:val="30"/>
          <w:szCs w:val="30"/>
        </w:rPr>
        <w:t>），明确具体结算日，具体结算日不得晚于最后结算日。</w:t>
      </w:r>
    </w:p>
    <w:p w14:paraId="5555B22A">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若采取实物结算方式，结算通知书中应当包括用于结算的可交付债务的具体信息、交割方式、交割时间等。若采取现金结算方式，结算通知书中应包括现金结算的交付方式、交付时间等信息。</w:t>
      </w:r>
    </w:p>
    <w:p w14:paraId="7EEDC718">
      <w:pPr>
        <w:spacing w:line="600" w:lineRule="exact"/>
        <w:ind w:firstLine="600" w:firstLineChars="200"/>
        <w:rPr>
          <w:rFonts w:eastAsia="仿宋_GB2312"/>
          <w:sz w:val="30"/>
          <w:szCs w:val="28"/>
        </w:rPr>
      </w:pPr>
      <w:r>
        <w:rPr>
          <w:rFonts w:hint="eastAsia" w:eastAsia="仿宋_GB2312"/>
          <w:sz w:val="30"/>
          <w:szCs w:val="28"/>
        </w:rPr>
        <w:t>买方发出结算通知书后，应在</w:t>
      </w:r>
      <w:r>
        <w:rPr>
          <w:rFonts w:ascii="仿宋_GB2312" w:hAnsi="Calibri" w:eastAsia="仿宋_GB2312"/>
          <w:sz w:val="30"/>
          <w:szCs w:val="30"/>
        </w:rPr>
        <w:t>1</w:t>
      </w:r>
      <w:r>
        <w:rPr>
          <w:rFonts w:hint="eastAsia" w:eastAsia="仿宋_GB2312"/>
          <w:sz w:val="30"/>
          <w:szCs w:val="28"/>
        </w:rPr>
        <w:t>个交易日内向本所报告，将结算通知书的</w:t>
      </w:r>
      <w:r>
        <w:rPr>
          <w:rFonts w:ascii="仿宋_GB2312" w:hAnsi="Calibri" w:eastAsia="仿宋_GB2312"/>
          <w:sz w:val="30"/>
          <w:szCs w:val="30"/>
        </w:rPr>
        <w:t>PDF</w:t>
      </w:r>
      <w:r>
        <w:rPr>
          <w:rFonts w:hint="eastAsia" w:eastAsia="仿宋_GB2312"/>
          <w:sz w:val="30"/>
          <w:szCs w:val="28"/>
        </w:rPr>
        <w:t>扫描件发送到以下邮箱：</w:t>
      </w:r>
      <w:r>
        <w:fldChar w:fldCharType="begin"/>
      </w:r>
      <w:r>
        <w:instrText xml:space="preserve"> HYPERLINK "mailto:ssebond@sse.com.cn" </w:instrText>
      </w:r>
      <w:r>
        <w:fldChar w:fldCharType="separate"/>
      </w:r>
      <w:r>
        <w:rPr>
          <w:rFonts w:ascii="仿宋_GB2312" w:hAnsi="Calibri" w:eastAsia="仿宋_GB2312"/>
          <w:sz w:val="30"/>
          <w:szCs w:val="30"/>
        </w:rPr>
        <w:t>ssebond@sse.com.cn</w:t>
      </w:r>
      <w:r>
        <w:rPr>
          <w:rFonts w:ascii="仿宋_GB2312" w:hAnsi="Calibri" w:eastAsia="仿宋_GB2312"/>
          <w:sz w:val="30"/>
          <w:szCs w:val="30"/>
        </w:rPr>
        <w:fldChar w:fldCharType="end"/>
      </w:r>
      <w:r>
        <w:rPr>
          <w:rFonts w:hint="eastAsia" w:eastAsia="仿宋_GB2312"/>
          <w:sz w:val="30"/>
          <w:szCs w:val="28"/>
        </w:rPr>
        <w:t>，邮件格式为“信用保护工具结算通知书</w:t>
      </w:r>
      <w:r>
        <w:rPr>
          <w:rFonts w:eastAsia="仿宋_GB2312"/>
          <w:sz w:val="30"/>
          <w:szCs w:val="28"/>
        </w:rPr>
        <w:t>-</w:t>
      </w:r>
      <w:r>
        <w:rPr>
          <w:rFonts w:hint="eastAsia" w:eastAsia="仿宋_GB2312"/>
          <w:sz w:val="30"/>
          <w:szCs w:val="28"/>
        </w:rPr>
        <w:t>【机构全称】</w:t>
      </w:r>
      <w:r>
        <w:rPr>
          <w:rFonts w:eastAsia="仿宋_GB2312"/>
          <w:sz w:val="30"/>
          <w:szCs w:val="28"/>
        </w:rPr>
        <w:t>-</w:t>
      </w:r>
      <w:r>
        <w:rPr>
          <w:rFonts w:hint="eastAsia" w:eastAsia="仿宋_GB2312"/>
          <w:sz w:val="30"/>
          <w:szCs w:val="28"/>
        </w:rPr>
        <w:t>【参考实体】</w:t>
      </w:r>
      <w:r>
        <w:rPr>
          <w:rFonts w:eastAsia="仿宋_GB2312"/>
          <w:sz w:val="30"/>
          <w:szCs w:val="28"/>
        </w:rPr>
        <w:t>-</w:t>
      </w:r>
      <w:r>
        <w:rPr>
          <w:rFonts w:hint="eastAsia" w:eastAsia="仿宋_GB2312"/>
          <w:sz w:val="30"/>
          <w:szCs w:val="28"/>
        </w:rPr>
        <w:t>【结算日，即</w:t>
      </w:r>
      <w:r>
        <w:rPr>
          <w:rFonts w:ascii="仿宋_GB2312" w:hAnsi="Calibri" w:eastAsia="仿宋_GB2312"/>
          <w:sz w:val="30"/>
          <w:szCs w:val="30"/>
        </w:rPr>
        <w:t>YYYYMMDD</w:t>
      </w:r>
      <w:r>
        <w:rPr>
          <w:rFonts w:hint="eastAsia" w:eastAsia="仿宋_GB2312"/>
          <w:sz w:val="30"/>
          <w:szCs w:val="28"/>
        </w:rPr>
        <w:t>】”。</w:t>
      </w:r>
    </w:p>
    <w:p w14:paraId="343786E8">
      <w:pPr>
        <w:spacing w:line="600" w:lineRule="exact"/>
        <w:ind w:firstLine="601" w:firstLineChars="200"/>
        <w:outlineLvl w:val="3"/>
        <w:rPr>
          <w:rFonts w:ascii="仿宋_GB2312" w:eastAsia="仿宋_GB2312"/>
          <w:b/>
          <w:sz w:val="30"/>
          <w:szCs w:val="30"/>
        </w:rPr>
      </w:pPr>
      <w:bookmarkStart w:id="2479" w:name="_Toc41660742"/>
      <w:r>
        <w:rPr>
          <w:rFonts w:hint="eastAsia" w:ascii="仿宋_GB2312" w:eastAsia="仿宋_GB2312"/>
          <w:b/>
          <w:sz w:val="30"/>
          <w:szCs w:val="30"/>
        </w:rPr>
        <w:t>（3）结算期间结算安排</w:t>
      </w:r>
      <w:bookmarkEnd w:id="2479"/>
    </w:p>
    <w:p w14:paraId="708A336E">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交易双方应当在结算日确认相关结算要素。凭证和采用实物结算的合约，由买方通过交易系统申报相关结算要素，卖方进行确认。登记结算机构根据</w:t>
      </w:r>
      <w:r>
        <w:rPr>
          <w:rFonts w:hint="eastAsia" w:ascii="仿宋_GB2312" w:hAnsi="Calibri" w:eastAsia="仿宋_GB2312"/>
          <w:sz w:val="30"/>
          <w:szCs w:val="30"/>
          <w:lang w:eastAsia="zh-CN"/>
        </w:rPr>
        <w:t>新固定收益系统</w:t>
      </w:r>
      <w:r>
        <w:rPr>
          <w:rFonts w:hint="eastAsia" w:ascii="仿宋_GB2312" w:hAnsi="Calibri" w:eastAsia="仿宋_GB2312"/>
          <w:sz w:val="30"/>
          <w:szCs w:val="30"/>
        </w:rPr>
        <w:t>发送的数据提供T+1日逐笔全额非担保交收服务。交收以单笔现金结算或实物结算为最小单位，不办理部分交收。</w:t>
      </w:r>
    </w:p>
    <w:p w14:paraId="5E4EFDA2">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采用实物结算方式的，买方应向卖方交付充足的可交付债务；若买方没有充足的可交付债务，可申报部分可交付债务，则卖方按照实际交付债务的数量确认结算金额。对于按季度支付保护费的合约而言，买方还需向卖方支付应付未付的保护费，即从上一次保护费支付日到信用事件决定日期间的保护费。最终采用轧差方式支付，卖方支付的金额为轧差净额。</w:t>
      </w:r>
    </w:p>
    <w:p w14:paraId="762EC33D">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合约采用现金结算的，交易双方可以通过登记结算机构或者自行协商的其他方式支付结算金额。通过登记结算机构办理结算金额支付的，交易双方在</w:t>
      </w:r>
      <w:r>
        <w:rPr>
          <w:rFonts w:ascii="仿宋_GB2312" w:hAnsi="Calibri" w:eastAsia="仿宋_GB2312"/>
          <w:sz w:val="30"/>
          <w:szCs w:val="30"/>
        </w:rPr>
        <w:t>中国证券登记结算有限责任公司</w:t>
      </w:r>
      <w:r>
        <w:rPr>
          <w:rFonts w:hint="eastAsia" w:ascii="仿宋_GB2312" w:hAnsi="Calibri" w:eastAsia="仿宋_GB2312"/>
          <w:sz w:val="30"/>
          <w:szCs w:val="30"/>
        </w:rPr>
        <w:t>PROP综合业务终端办理资金代收代付，具体流程参见登记结算机构相关规定。</w:t>
      </w:r>
    </w:p>
    <w:p w14:paraId="4F9FD5BE">
      <w:pPr>
        <w:spacing w:line="600" w:lineRule="exact"/>
        <w:ind w:firstLine="600" w:firstLineChars="200"/>
        <w:rPr>
          <w:rFonts w:ascii="仿宋_GB2312" w:eastAsia="仿宋_GB2312" w:cs="宋体"/>
          <w:sz w:val="30"/>
          <w:szCs w:val="30"/>
        </w:rPr>
      </w:pPr>
      <w:r>
        <w:rPr>
          <w:rFonts w:ascii="仿宋_GB2312" w:eastAsia="仿宋_GB2312" w:cs="宋体"/>
          <w:sz w:val="30"/>
          <w:szCs w:val="30"/>
        </w:rPr>
        <w:t>CDX</w:t>
      </w:r>
      <w:r>
        <w:rPr>
          <w:rFonts w:hint="eastAsia" w:ascii="仿宋_GB2312" w:eastAsia="仿宋_GB2312"/>
          <w:sz w:val="30"/>
          <w:szCs w:val="28"/>
        </w:rPr>
        <w:t>业务试点初期，</w:t>
      </w:r>
      <w:r>
        <w:rPr>
          <w:rFonts w:hint="eastAsia" w:ascii="仿宋_GB2312" w:eastAsia="仿宋_GB2312" w:cs="宋体"/>
          <w:sz w:val="30"/>
          <w:szCs w:val="30"/>
        </w:rPr>
        <w:t>采用实物结算的，可交付债务仅限于参考实体在上交所上市或挂牌的债券。交易双方就</w:t>
      </w:r>
      <w:r>
        <w:rPr>
          <w:rFonts w:ascii="仿宋_GB2312" w:eastAsia="仿宋_GB2312" w:cs="宋体"/>
          <w:sz w:val="30"/>
          <w:szCs w:val="30"/>
        </w:rPr>
        <w:t>CDX</w:t>
      </w:r>
      <w:r>
        <w:rPr>
          <w:rFonts w:hint="eastAsia" w:ascii="仿宋_GB2312" w:eastAsia="仿宋_GB2312" w:cs="宋体"/>
          <w:sz w:val="30"/>
          <w:szCs w:val="30"/>
        </w:rPr>
        <w:t>合约部分参考实体进行信用事件结算的，应对进行结算的部分参考实体以及结算完成后继续存续的其余部分参考实体做好记录。交易双方在通过交易系统进行</w:t>
      </w:r>
      <w:r>
        <w:rPr>
          <w:rFonts w:ascii="仿宋_GB2312" w:eastAsia="仿宋_GB2312" w:cs="宋体"/>
          <w:sz w:val="30"/>
          <w:szCs w:val="30"/>
        </w:rPr>
        <w:t>CDX</w:t>
      </w:r>
      <w:r>
        <w:rPr>
          <w:rFonts w:hint="eastAsia" w:ascii="仿宋_GB2312" w:eastAsia="仿宋_GB2312" w:cs="宋体"/>
          <w:sz w:val="30"/>
          <w:szCs w:val="30"/>
        </w:rPr>
        <w:t>合约信用事件结算申报时，可以就此进行备注。</w:t>
      </w:r>
    </w:p>
    <w:p w14:paraId="189DF19B">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4</w:t>
      </w:r>
      <w:r>
        <w:rPr>
          <w:rFonts w:hint="eastAsia" w:ascii="仿宋_GB2312" w:eastAsia="仿宋_GB2312"/>
          <w:b/>
          <w:sz w:val="30"/>
          <w:szCs w:val="30"/>
        </w:rPr>
        <w:t>）信用事件分歧处理</w:t>
      </w:r>
    </w:p>
    <w:p w14:paraId="08F4AEFE">
      <w:pPr>
        <w:spacing w:line="600" w:lineRule="exact"/>
        <w:ind w:firstLine="600" w:firstLineChars="200"/>
        <w:rPr>
          <w:rFonts w:eastAsia="仿宋_GB2312" w:cs="宋体"/>
          <w:sz w:val="30"/>
          <w:szCs w:val="30"/>
        </w:rPr>
      </w:pPr>
      <w:r>
        <w:rPr>
          <w:rFonts w:hint="eastAsia" w:eastAsia="仿宋_GB2312" w:cs="宋体"/>
          <w:sz w:val="30"/>
          <w:szCs w:val="30"/>
        </w:rPr>
        <w:t>若交易双方对信用事件产生分歧，交易双方可对相关分歧进行协商，也可提请信用事件专家委员会出具专家意见并组织协商。若交易双方认可信用事件专家委员会出具的专家意见或协商结果，交易双方按照相关专家意见或协商结果进行处理。</w:t>
      </w:r>
    </w:p>
    <w:p w14:paraId="685F5570">
      <w:pPr>
        <w:spacing w:line="600" w:lineRule="exact"/>
        <w:ind w:firstLine="600" w:firstLineChars="200"/>
        <w:rPr>
          <w:rFonts w:eastAsia="仿宋_GB2312" w:cs="宋体"/>
          <w:sz w:val="30"/>
          <w:szCs w:val="30"/>
        </w:rPr>
      </w:pPr>
      <w:r>
        <w:rPr>
          <w:rFonts w:hint="eastAsia" w:eastAsia="仿宋_GB2312" w:cs="宋体"/>
          <w:sz w:val="30"/>
          <w:szCs w:val="30"/>
        </w:rPr>
        <w:t>若交易双方发生争议未提交信用事件专家委员会或者不认可相关专家意见或协商结果的，交易双方可根据约定就信用事件争议事项提交仲裁或诉讼。</w:t>
      </w:r>
    </w:p>
    <w:p w14:paraId="1E2AA021">
      <w:pPr>
        <w:spacing w:line="600" w:lineRule="exact"/>
        <w:ind w:firstLine="600" w:firstLineChars="200"/>
        <w:rPr>
          <w:rFonts w:eastAsia="仿宋_GB2312" w:cs="宋体"/>
          <w:sz w:val="30"/>
          <w:szCs w:val="30"/>
        </w:rPr>
      </w:pPr>
      <w:r>
        <w:rPr>
          <w:rFonts w:hint="eastAsia" w:eastAsia="仿宋_GB2312" w:cs="宋体"/>
          <w:sz w:val="30"/>
          <w:szCs w:val="30"/>
        </w:rPr>
        <w:t>若交易双方认可的信用事件专家委员会出具的专家意见、仲裁裁决或者诉讼判决支持买方的诉求，则合约或者首份凭证信用事件通知书送达之日即为信用事件决定日，最后结算日不得晚于信用事件专家委员会专家意见、仲裁裁决书或者判决书送达卖方之日后</w:t>
      </w:r>
      <w:r>
        <w:rPr>
          <w:rFonts w:eastAsia="仿宋_GB2312" w:cs="宋体"/>
          <w:sz w:val="30"/>
          <w:szCs w:val="30"/>
        </w:rPr>
        <w:t>30</w:t>
      </w:r>
      <w:r>
        <w:rPr>
          <w:rFonts w:hint="eastAsia" w:eastAsia="仿宋_GB2312" w:cs="宋体"/>
          <w:sz w:val="30"/>
          <w:szCs w:val="30"/>
        </w:rPr>
        <w:t>个自然日。</w:t>
      </w:r>
    </w:p>
    <w:p w14:paraId="300346ED">
      <w:pPr>
        <w:numPr>
          <w:ilvl w:val="1"/>
          <w:numId w:val="4"/>
        </w:numPr>
        <w:spacing w:line="600" w:lineRule="exact"/>
        <w:ind w:left="0" w:firstLine="0"/>
        <w:outlineLvl w:val="1"/>
        <w:rPr>
          <w:rFonts w:eastAsia="仿宋_GB2312" w:cs="宋体"/>
          <w:b/>
          <w:sz w:val="30"/>
          <w:szCs w:val="30"/>
        </w:rPr>
      </w:pPr>
      <w:bookmarkStart w:id="2480" w:name="_Toc2005123918"/>
      <w:bookmarkStart w:id="2481" w:name="_Toc151137053"/>
      <w:bookmarkStart w:id="2482" w:name="_Toc882536783"/>
      <w:bookmarkStart w:id="2483" w:name="_Toc1987929732"/>
      <w:bookmarkStart w:id="2484" w:name="_Toc87051947"/>
      <w:bookmarkStart w:id="2485" w:name="_Toc82148988"/>
      <w:bookmarkStart w:id="2486" w:name="_Toc125059113"/>
      <w:r>
        <w:rPr>
          <w:rFonts w:hint="eastAsia" w:eastAsia="仿宋_GB2312" w:cs="宋体"/>
          <w:b/>
          <w:sz w:val="30"/>
          <w:szCs w:val="30"/>
        </w:rPr>
        <w:t>担保品处置</w:t>
      </w:r>
      <w:bookmarkEnd w:id="2480"/>
      <w:bookmarkEnd w:id="2481"/>
      <w:bookmarkEnd w:id="2482"/>
      <w:bookmarkEnd w:id="2483"/>
      <w:bookmarkEnd w:id="2484"/>
      <w:bookmarkEnd w:id="2485"/>
      <w:bookmarkEnd w:id="2486"/>
    </w:p>
    <w:p w14:paraId="32E8F013">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业务概述</w:t>
      </w:r>
    </w:p>
    <w:p w14:paraId="78B769DE">
      <w:pPr>
        <w:spacing w:line="600" w:lineRule="exact"/>
        <w:ind w:firstLine="600" w:firstLineChars="200"/>
        <w:rPr>
          <w:rFonts w:eastAsia="仿宋_GB2312" w:cs="宋体"/>
          <w:sz w:val="30"/>
          <w:szCs w:val="30"/>
        </w:rPr>
      </w:pPr>
      <w:r>
        <w:rPr>
          <w:rFonts w:hint="eastAsia" w:eastAsia="仿宋_GB2312" w:cs="宋体"/>
          <w:sz w:val="30"/>
          <w:szCs w:val="30"/>
        </w:rPr>
        <w:t>债券质押类业务出现支付违约或其他双方约定情形后，质权人（以下称处置方）根据与出质人的约定，通过本所债券</w:t>
      </w:r>
      <w:r>
        <w:rPr>
          <w:rFonts w:hint="eastAsia" w:ascii="仿宋_GB2312" w:eastAsia="仿宋_GB2312" w:cs="宋体"/>
          <w:sz w:val="30"/>
          <w:szCs w:val="30"/>
        </w:rPr>
        <w:t>担保品处置平台（以下简称处置平台，功能简介见附件</w:t>
      </w:r>
      <w:r>
        <w:rPr>
          <w:rFonts w:hint="eastAsia" w:ascii="仿宋_GB2312" w:eastAsia="仿宋_GB2312" w:cs="宋体"/>
          <w:sz w:val="30"/>
          <w:szCs w:val="30"/>
          <w:lang w:val="en-US" w:eastAsia="zh-CN"/>
        </w:rPr>
        <w:t>33</w:t>
      </w:r>
      <w:r>
        <w:rPr>
          <w:rFonts w:hint="eastAsia" w:ascii="仿宋_GB2312" w:eastAsia="仿宋_GB2312" w:cs="宋体"/>
          <w:sz w:val="30"/>
          <w:szCs w:val="30"/>
        </w:rPr>
        <w:t>，地址为</w:t>
      </w:r>
      <w:r>
        <w:rPr>
          <w:rFonts w:ascii="仿宋_GB2312" w:eastAsia="仿宋_GB2312" w:cs="宋体"/>
          <w:sz w:val="30"/>
          <w:szCs w:val="30"/>
        </w:rPr>
        <w:t>https://bond.uap.sse.com.cn</w:t>
      </w:r>
      <w:r>
        <w:rPr>
          <w:rFonts w:hint="eastAsia" w:ascii="仿宋_GB2312" w:eastAsia="仿宋_GB2312" w:cs="宋体"/>
          <w:sz w:val="30"/>
          <w:szCs w:val="30"/>
        </w:rPr>
        <w:t>）对债券担保品</w:t>
      </w:r>
      <w:r>
        <w:rPr>
          <w:rFonts w:hint="eastAsia" w:eastAsia="仿宋_GB2312" w:cs="宋体"/>
          <w:sz w:val="30"/>
          <w:szCs w:val="30"/>
        </w:rPr>
        <w:t>（以下简称担保品）进行处置。本所建立处置平台为担保品处置提供专业服务与技术支持，包括对处置平台系统进行运营和维护、建立并维护处置平台合格报价团（以下简称合格报价团）等服务内容。本所提供担保品处置服务不表明对担保品的权属、风险或收益作出判断或保证，相关风险由各方自行承担。前述所称债券质押类业务，包括债券通用质押式回购、债券质押式协议回购、债券质押式三方回购及本所认定的其他业务。</w:t>
      </w:r>
    </w:p>
    <w:p w14:paraId="67B5E02B">
      <w:pPr>
        <w:spacing w:line="600" w:lineRule="exact"/>
        <w:ind w:firstLine="600" w:firstLineChars="200"/>
        <w:rPr>
          <w:rFonts w:eastAsia="仿宋_GB2312" w:cs="宋体"/>
          <w:sz w:val="30"/>
          <w:szCs w:val="30"/>
        </w:rPr>
      </w:pPr>
      <w:r>
        <w:rPr>
          <w:rFonts w:hint="eastAsia" w:eastAsia="仿宋_GB2312" w:cs="宋体"/>
          <w:sz w:val="30"/>
          <w:szCs w:val="30"/>
        </w:rPr>
        <w:t>处置平台涉及的处置报价活动应当遵循公开、公平、公正和诚实信用原则，维护处置方、出质人和报价团成员的合法权益，不得损害国家利益和社会公共利益。</w:t>
      </w:r>
    </w:p>
    <w:p w14:paraId="440364A2">
      <w:pPr>
        <w:spacing w:line="600" w:lineRule="exact"/>
        <w:ind w:firstLine="600" w:firstLineChars="200"/>
        <w:rPr>
          <w:rFonts w:eastAsia="仿宋_GB2312" w:cs="宋体"/>
          <w:sz w:val="30"/>
          <w:szCs w:val="30"/>
        </w:rPr>
      </w:pPr>
      <w:r>
        <w:rPr>
          <w:rFonts w:hint="eastAsia" w:eastAsia="仿宋_GB2312" w:cs="宋体"/>
          <w:sz w:val="30"/>
          <w:szCs w:val="30"/>
        </w:rPr>
        <w:t>处置方、合格报价团成员及其他相关主体参与担保品处置业务，应当遵守法律法规、部门规章、规范性文件、服务指引、本指南及本所其他业务规则的相关规定，确保向本所提交的相关文件及公告真实、准确、完整。处置方应当承诺其有权对相关债券担保品进行处置，待处置的债券担保品除回购交易项下形成的质押关系外，不存在其他的权属争议或权利瑕疵。</w:t>
      </w:r>
    </w:p>
    <w:p w14:paraId="1A6AE616">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处置前的准备</w:t>
      </w:r>
    </w:p>
    <w:p w14:paraId="4F2734C0">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（1）合格报价团成员</w:t>
      </w:r>
    </w:p>
    <w:p w14:paraId="4B270C41">
      <w:pPr>
        <w:spacing w:line="600" w:lineRule="exact"/>
        <w:ind w:firstLine="600" w:firstLineChars="200"/>
        <w:rPr>
          <w:rFonts w:eastAsia="仿宋_GB2312" w:cs="宋体"/>
          <w:sz w:val="30"/>
          <w:szCs w:val="30"/>
        </w:rPr>
      </w:pPr>
      <w:r>
        <w:rPr>
          <w:rFonts w:hint="eastAsia" w:eastAsia="仿宋_GB2312" w:cs="宋体"/>
          <w:sz w:val="30"/>
          <w:szCs w:val="30"/>
        </w:rPr>
        <w:t>为保障债券担保品处置的顺利进行，本所组建合格报价团。参加担保品处置平台报价的主体应当为合格报价团成员。报价团成员应当遵守服务指引的规定，并根据债券担保品处置公告的相关要求进行合理报价，中标后及时履行缴款义务。</w:t>
      </w:r>
    </w:p>
    <w:p w14:paraId="1646F0D5">
      <w:pPr>
        <w:spacing w:line="600" w:lineRule="exact"/>
        <w:ind w:firstLine="600" w:firstLineChars="200"/>
        <w:rPr>
          <w:rFonts w:eastAsia="仿宋_GB2312" w:cs="宋体"/>
          <w:sz w:val="30"/>
          <w:szCs w:val="30"/>
        </w:rPr>
      </w:pPr>
      <w:r>
        <w:rPr>
          <w:rFonts w:hint="eastAsia" w:eastAsia="仿宋_GB2312" w:cs="宋体"/>
          <w:sz w:val="30"/>
          <w:szCs w:val="30"/>
        </w:rPr>
        <w:t>1）合格报价团的范围</w:t>
      </w:r>
    </w:p>
    <w:p w14:paraId="76488B1A">
      <w:pPr>
        <w:spacing w:line="600" w:lineRule="exact"/>
        <w:ind w:firstLine="600" w:firstLineChars="200"/>
        <w:rPr>
          <w:rFonts w:eastAsia="仿宋_GB2312" w:cs="宋体"/>
          <w:sz w:val="30"/>
          <w:szCs w:val="30"/>
        </w:rPr>
      </w:pPr>
      <w:r>
        <w:rPr>
          <w:rFonts w:hint="eastAsia" w:eastAsia="仿宋_GB2312" w:cs="宋体"/>
          <w:sz w:val="30"/>
          <w:szCs w:val="30"/>
        </w:rPr>
        <w:t>符合下列条件之一的机构可以向本所申请加入合格报价团：</w:t>
      </w:r>
    </w:p>
    <w:p w14:paraId="2B4BA6C8">
      <w:pPr>
        <w:spacing w:line="600" w:lineRule="exact"/>
        <w:ind w:firstLine="600" w:firstLineChars="200"/>
        <w:rPr>
          <w:rFonts w:eastAsia="仿宋_GB2312" w:cs="宋体"/>
          <w:sz w:val="30"/>
          <w:szCs w:val="30"/>
        </w:rPr>
      </w:pPr>
      <w:r>
        <w:rPr>
          <w:rFonts w:eastAsia="仿宋_GB2312" w:cs="宋体"/>
          <w:sz w:val="30"/>
          <w:szCs w:val="30"/>
        </w:rPr>
        <w:t>a.</w:t>
      </w:r>
      <w:r>
        <w:rPr>
          <w:rFonts w:hint="eastAsia" w:eastAsia="仿宋_GB2312" w:cs="宋体"/>
          <w:sz w:val="30"/>
          <w:szCs w:val="30"/>
        </w:rPr>
        <w:t>商业银行；</w:t>
      </w:r>
    </w:p>
    <w:p w14:paraId="5D2BDE6B">
      <w:pPr>
        <w:spacing w:line="600" w:lineRule="exact"/>
        <w:ind w:firstLine="600" w:firstLineChars="200"/>
        <w:rPr>
          <w:rFonts w:eastAsia="仿宋_GB2312" w:cs="宋体"/>
          <w:sz w:val="30"/>
          <w:szCs w:val="30"/>
        </w:rPr>
      </w:pPr>
      <w:r>
        <w:rPr>
          <w:rFonts w:eastAsia="仿宋_GB2312" w:cs="宋体"/>
          <w:sz w:val="30"/>
          <w:szCs w:val="30"/>
        </w:rPr>
        <w:t>b.</w:t>
      </w:r>
      <w:r>
        <w:rPr>
          <w:rFonts w:hint="eastAsia" w:eastAsia="仿宋_GB2312" w:cs="宋体"/>
          <w:sz w:val="30"/>
          <w:szCs w:val="30"/>
        </w:rPr>
        <w:t>证券公司；</w:t>
      </w:r>
    </w:p>
    <w:p w14:paraId="7B0D9362">
      <w:pPr>
        <w:spacing w:line="600" w:lineRule="exact"/>
        <w:ind w:firstLine="600" w:firstLineChars="200"/>
        <w:rPr>
          <w:rFonts w:eastAsia="仿宋_GB2312" w:cs="宋体"/>
          <w:sz w:val="30"/>
          <w:szCs w:val="30"/>
        </w:rPr>
      </w:pPr>
      <w:r>
        <w:rPr>
          <w:rFonts w:eastAsia="仿宋_GB2312" w:cs="宋体"/>
          <w:sz w:val="30"/>
          <w:szCs w:val="30"/>
        </w:rPr>
        <w:t>c.</w:t>
      </w:r>
      <w:r>
        <w:rPr>
          <w:rFonts w:hint="eastAsia" w:eastAsia="仿宋_GB2312" w:cs="宋体"/>
          <w:sz w:val="30"/>
          <w:szCs w:val="30"/>
        </w:rPr>
        <w:t>保险公司；</w:t>
      </w:r>
    </w:p>
    <w:p w14:paraId="3620CCB3">
      <w:pPr>
        <w:spacing w:line="600" w:lineRule="exact"/>
        <w:ind w:firstLine="600" w:firstLineChars="200"/>
        <w:rPr>
          <w:rFonts w:eastAsia="仿宋_GB2312" w:cs="宋体"/>
          <w:sz w:val="30"/>
          <w:szCs w:val="30"/>
        </w:rPr>
      </w:pPr>
      <w:r>
        <w:rPr>
          <w:rFonts w:eastAsia="仿宋_GB2312" w:cs="宋体"/>
          <w:sz w:val="30"/>
          <w:szCs w:val="30"/>
        </w:rPr>
        <w:t>d.</w:t>
      </w:r>
      <w:r>
        <w:rPr>
          <w:rFonts w:hint="eastAsia" w:eastAsia="仿宋_GB2312" w:cs="宋体"/>
          <w:sz w:val="30"/>
          <w:szCs w:val="30"/>
        </w:rPr>
        <w:t>上年末资产管理规模超过</w:t>
      </w:r>
      <w:r>
        <w:rPr>
          <w:rFonts w:ascii="仿宋_GB2312" w:eastAsia="仿宋_GB2312" w:cs="宋体"/>
          <w:sz w:val="30"/>
          <w:szCs w:val="30"/>
        </w:rPr>
        <w:t>1000</w:t>
      </w:r>
      <w:r>
        <w:rPr>
          <w:rFonts w:hint="eastAsia" w:ascii="仿宋_GB2312" w:eastAsia="仿宋_GB2312" w:cs="宋体"/>
          <w:sz w:val="30"/>
          <w:szCs w:val="30"/>
        </w:rPr>
        <w:t>亿</w:t>
      </w:r>
      <w:r>
        <w:rPr>
          <w:rFonts w:hint="eastAsia" w:eastAsia="仿宋_GB2312" w:cs="宋体"/>
          <w:sz w:val="30"/>
          <w:szCs w:val="30"/>
        </w:rPr>
        <w:t>元人民币的资产管理机构；</w:t>
      </w:r>
    </w:p>
    <w:p w14:paraId="1E6B293C">
      <w:pPr>
        <w:spacing w:line="600" w:lineRule="exact"/>
        <w:ind w:firstLine="600" w:firstLineChars="200"/>
        <w:rPr>
          <w:rFonts w:eastAsia="仿宋_GB2312" w:cs="宋体"/>
          <w:sz w:val="30"/>
          <w:szCs w:val="30"/>
        </w:rPr>
      </w:pPr>
      <w:r>
        <w:rPr>
          <w:rFonts w:eastAsia="仿宋_GB2312" w:cs="宋体"/>
          <w:sz w:val="30"/>
          <w:szCs w:val="30"/>
        </w:rPr>
        <w:t>e.</w:t>
      </w:r>
      <w:r>
        <w:rPr>
          <w:rFonts w:hint="eastAsia" w:eastAsia="仿宋_GB2312" w:cs="宋体"/>
          <w:sz w:val="30"/>
          <w:szCs w:val="30"/>
        </w:rPr>
        <w:t>金融资产管理公司；</w:t>
      </w:r>
    </w:p>
    <w:p w14:paraId="08260446">
      <w:pPr>
        <w:spacing w:line="600" w:lineRule="exact"/>
        <w:ind w:firstLine="600" w:firstLineChars="200"/>
        <w:rPr>
          <w:rFonts w:eastAsia="仿宋_GB2312" w:cs="宋体"/>
          <w:sz w:val="30"/>
          <w:szCs w:val="30"/>
        </w:rPr>
      </w:pPr>
      <w:r>
        <w:rPr>
          <w:rFonts w:eastAsia="仿宋_GB2312" w:cs="宋体"/>
          <w:sz w:val="30"/>
          <w:szCs w:val="30"/>
        </w:rPr>
        <w:t>f.</w:t>
      </w:r>
      <w:r>
        <w:rPr>
          <w:rFonts w:hint="eastAsia" w:eastAsia="仿宋_GB2312" w:cs="宋体"/>
          <w:sz w:val="30"/>
          <w:szCs w:val="30"/>
        </w:rPr>
        <w:t>本所认可的其他机构。</w:t>
      </w:r>
    </w:p>
    <w:p w14:paraId="2E5D5CE2">
      <w:pPr>
        <w:spacing w:line="600" w:lineRule="exact"/>
        <w:ind w:firstLine="600" w:firstLineChars="200"/>
        <w:rPr>
          <w:rFonts w:ascii="仿宋_GB2312" w:eastAsia="仿宋_GB2312" w:cs="宋体"/>
          <w:sz w:val="30"/>
          <w:szCs w:val="30"/>
        </w:rPr>
      </w:pPr>
      <w:r>
        <w:rPr>
          <w:rFonts w:ascii="仿宋_GB2312" w:eastAsia="仿宋_GB2312" w:cs="宋体"/>
          <w:sz w:val="30"/>
          <w:szCs w:val="30"/>
        </w:rPr>
        <w:t>2</w:t>
      </w:r>
      <w:r>
        <w:rPr>
          <w:rFonts w:hint="eastAsia" w:ascii="仿宋_GB2312" w:eastAsia="仿宋_GB2312" w:cs="宋体"/>
          <w:sz w:val="30"/>
          <w:szCs w:val="30"/>
        </w:rPr>
        <w:t>）合格报价团的申请</w:t>
      </w:r>
    </w:p>
    <w:p w14:paraId="35439410">
      <w:pPr>
        <w:spacing w:line="600" w:lineRule="exact"/>
        <w:ind w:firstLine="600" w:firstLineChars="200"/>
        <w:rPr>
          <w:rFonts w:ascii="仿宋_GB2312" w:eastAsia="仿宋_GB2312" w:cs="宋体"/>
          <w:sz w:val="30"/>
          <w:szCs w:val="30"/>
        </w:rPr>
      </w:pPr>
      <w:r>
        <w:rPr>
          <w:rFonts w:hint="eastAsia" w:ascii="仿宋_GB2312" w:eastAsia="仿宋_GB2312" w:cs="宋体"/>
          <w:sz w:val="30"/>
          <w:szCs w:val="30"/>
        </w:rPr>
        <w:t>符合条件且有意向参与处置平台的机构可以向本所提交《上海证券交易所债券担保品处置平台合格报价团成员申请书》（格式见</w:t>
      </w:r>
      <w:r>
        <w:rPr>
          <w:rFonts w:hint="eastAsia" w:ascii="仿宋_GB2312" w:eastAsia="仿宋_GB2312" w:cs="宋体"/>
          <w:sz w:val="30"/>
          <w:szCs w:val="30"/>
          <w:lang w:eastAsia="zh-CN"/>
        </w:rPr>
        <w:t>《</w:t>
      </w:r>
      <w:r>
        <w:rPr>
          <w:rFonts w:hint="eastAsia" w:ascii="仿宋_GB2312" w:eastAsia="仿宋_GB2312" w:cs="宋体"/>
          <w:sz w:val="30"/>
          <w:szCs w:val="30"/>
        </w:rPr>
        <w:t>上海证券交易所债券担保品处置平台服务指引</w:t>
      </w:r>
      <w:r>
        <w:rPr>
          <w:rFonts w:hint="eastAsia" w:ascii="仿宋_GB2312" w:eastAsia="仿宋_GB2312" w:cs="宋体"/>
          <w:sz w:val="30"/>
          <w:szCs w:val="30"/>
          <w:lang w:eastAsia="zh-CN"/>
        </w:rPr>
        <w:t>》</w:t>
      </w:r>
      <w:r>
        <w:rPr>
          <w:rFonts w:hint="eastAsia" w:ascii="仿宋_GB2312" w:eastAsia="仿宋_GB2312" w:cs="宋体"/>
          <w:sz w:val="30"/>
          <w:szCs w:val="30"/>
        </w:rPr>
        <w:t>的附件</w:t>
      </w:r>
      <w:r>
        <w:rPr>
          <w:rFonts w:ascii="仿宋_GB2312" w:eastAsia="仿宋_GB2312" w:cs="宋体"/>
          <w:sz w:val="30"/>
          <w:szCs w:val="30"/>
        </w:rPr>
        <w:t>1</w:t>
      </w:r>
      <w:r>
        <w:rPr>
          <w:rFonts w:hint="eastAsia" w:ascii="仿宋_GB2312" w:eastAsia="仿宋_GB2312" w:cs="宋体"/>
          <w:sz w:val="30"/>
          <w:szCs w:val="30"/>
        </w:rPr>
        <w:t>）及本所要求的其他文件。提交方式为将盖章的申请材料扫描成</w:t>
      </w:r>
      <w:r>
        <w:rPr>
          <w:rFonts w:ascii="仿宋_GB2312" w:eastAsia="仿宋_GB2312" w:cs="宋体"/>
          <w:sz w:val="30"/>
          <w:szCs w:val="30"/>
        </w:rPr>
        <w:t>PDF</w:t>
      </w:r>
      <w:r>
        <w:rPr>
          <w:rFonts w:hint="eastAsia" w:ascii="仿宋_GB2312" w:eastAsia="仿宋_GB2312" w:cs="宋体"/>
          <w:sz w:val="30"/>
          <w:szCs w:val="30"/>
        </w:rPr>
        <w:t>文件通过邮箱（</w:t>
      </w:r>
      <w:r>
        <w:rPr>
          <w:rFonts w:ascii="仿宋_GB2312" w:eastAsia="仿宋_GB2312" w:cs="宋体"/>
          <w:sz w:val="30"/>
          <w:szCs w:val="30"/>
        </w:rPr>
        <w:t>bondtrading@sse.com.cn</w:t>
      </w:r>
      <w:r>
        <w:rPr>
          <w:rFonts w:hint="eastAsia" w:ascii="仿宋_GB2312" w:eastAsia="仿宋_GB2312" w:cs="宋体"/>
          <w:sz w:val="30"/>
          <w:szCs w:val="30"/>
        </w:rPr>
        <w:t>，下同）发送至本所债券业务</w:t>
      </w:r>
      <w:r>
        <w:rPr>
          <w:rFonts w:hint="eastAsia" w:ascii="仿宋_GB2312" w:eastAsia="仿宋_GB2312" w:cs="宋体"/>
          <w:sz w:val="30"/>
          <w:szCs w:val="30"/>
          <w:lang w:eastAsia="zh-CN"/>
        </w:rPr>
        <w:t>中心</w:t>
      </w:r>
      <w:r>
        <w:rPr>
          <w:rFonts w:hint="eastAsia" w:ascii="仿宋_GB2312" w:eastAsia="仿宋_GB2312" w:cs="宋体"/>
          <w:sz w:val="30"/>
          <w:szCs w:val="30"/>
        </w:rPr>
        <w:t>，邮件标题格式为“</w:t>
      </w:r>
      <w:r>
        <w:rPr>
          <w:rFonts w:ascii="仿宋_GB2312" w:eastAsia="仿宋_GB2312" w:cs="宋体"/>
          <w:sz w:val="30"/>
          <w:szCs w:val="30"/>
        </w:rPr>
        <w:t xml:space="preserve">XX </w:t>
      </w:r>
      <w:r>
        <w:rPr>
          <w:rFonts w:hint="eastAsia" w:ascii="仿宋_GB2312" w:eastAsia="仿宋_GB2312" w:cs="宋体"/>
          <w:sz w:val="30"/>
          <w:szCs w:val="30"/>
        </w:rPr>
        <w:t>公司担保品处置平台合格报价团成员申请”。</w:t>
      </w:r>
    </w:p>
    <w:p w14:paraId="53E4A05B">
      <w:pPr>
        <w:spacing w:line="600" w:lineRule="exact"/>
        <w:ind w:firstLine="600" w:firstLineChars="200"/>
        <w:rPr>
          <w:rFonts w:ascii="仿宋_GB2312" w:eastAsia="仿宋_GB2312" w:cs="宋体"/>
          <w:sz w:val="30"/>
          <w:szCs w:val="30"/>
        </w:rPr>
      </w:pPr>
      <w:r>
        <w:rPr>
          <w:rFonts w:hint="eastAsia" w:ascii="仿宋_GB2312" w:eastAsia="仿宋_GB2312" w:cs="宋体"/>
          <w:sz w:val="30"/>
          <w:szCs w:val="30"/>
        </w:rPr>
        <w:t>申请人材料符合要求的，确定为报价团成员。本所将定期通过上证债券信息网等对市场更新报价团的名单。</w:t>
      </w:r>
    </w:p>
    <w:p w14:paraId="77D8604C">
      <w:pPr>
        <w:spacing w:line="600" w:lineRule="exact"/>
        <w:ind w:firstLine="600" w:firstLineChars="200"/>
        <w:rPr>
          <w:rFonts w:ascii="仿宋_GB2312" w:eastAsia="仿宋_GB2312" w:cs="宋体"/>
          <w:sz w:val="30"/>
          <w:szCs w:val="30"/>
        </w:rPr>
      </w:pPr>
      <w:r>
        <w:rPr>
          <w:rFonts w:ascii="仿宋_GB2312" w:eastAsia="仿宋_GB2312" w:cs="宋体"/>
          <w:sz w:val="30"/>
          <w:szCs w:val="30"/>
        </w:rPr>
        <w:t>3</w:t>
      </w:r>
      <w:r>
        <w:rPr>
          <w:rFonts w:hint="eastAsia" w:ascii="仿宋_GB2312" w:eastAsia="仿宋_GB2312" w:cs="宋体"/>
          <w:sz w:val="30"/>
          <w:szCs w:val="30"/>
        </w:rPr>
        <w:t>）报价团成员的准备工作</w:t>
      </w:r>
    </w:p>
    <w:p w14:paraId="4A929599">
      <w:pPr>
        <w:spacing w:line="600" w:lineRule="exact"/>
        <w:ind w:firstLine="600" w:firstLineChars="200"/>
        <w:rPr>
          <w:rFonts w:ascii="仿宋_GB2312" w:eastAsia="仿宋_GB2312" w:cs="宋体"/>
          <w:sz w:val="30"/>
          <w:szCs w:val="30"/>
        </w:rPr>
      </w:pPr>
      <w:r>
        <w:rPr>
          <w:rFonts w:hint="eastAsia" w:ascii="仿宋_GB2312" w:eastAsia="仿宋_GB2312" w:cs="宋体"/>
          <w:sz w:val="30"/>
          <w:szCs w:val="30"/>
        </w:rPr>
        <w:t>根据报价团成员的申请，本所向其配发处置平台用户数字证书（以下简称“</w:t>
      </w:r>
      <w:r>
        <w:rPr>
          <w:rFonts w:ascii="仿宋_GB2312" w:eastAsia="仿宋_GB2312" w:cs="宋体"/>
          <w:sz w:val="30"/>
          <w:szCs w:val="30"/>
        </w:rPr>
        <w:t>CA</w:t>
      </w:r>
      <w:r>
        <w:rPr>
          <w:rFonts w:hint="eastAsia" w:ascii="仿宋_GB2312" w:eastAsia="仿宋_GB2312" w:cs="宋体"/>
          <w:sz w:val="30"/>
          <w:szCs w:val="30"/>
        </w:rPr>
        <w:t>证书”，</w:t>
      </w:r>
      <w:r>
        <w:rPr>
          <w:rFonts w:ascii="仿宋_GB2312" w:eastAsia="仿宋_GB2312" w:cs="宋体"/>
          <w:sz w:val="30"/>
          <w:szCs w:val="30"/>
        </w:rPr>
        <w:t>CA</w:t>
      </w:r>
      <w:r>
        <w:rPr>
          <w:rFonts w:hint="eastAsia" w:ascii="仿宋_GB2312" w:eastAsia="仿宋_GB2312" w:cs="宋体"/>
          <w:sz w:val="30"/>
          <w:szCs w:val="30"/>
        </w:rPr>
        <w:t>证书办理流程见附件</w:t>
      </w:r>
      <w:r>
        <w:rPr>
          <w:rFonts w:hint="eastAsia" w:ascii="仿宋_GB2312" w:eastAsia="仿宋_GB2312" w:cs="宋体"/>
          <w:sz w:val="30"/>
          <w:szCs w:val="30"/>
          <w:lang w:val="en-US" w:eastAsia="zh-CN"/>
        </w:rPr>
        <w:t>34</w:t>
      </w:r>
      <w:r>
        <w:rPr>
          <w:rFonts w:hint="eastAsia" w:ascii="仿宋_GB2312" w:eastAsia="仿宋_GB2312" w:cs="宋体"/>
          <w:sz w:val="30"/>
          <w:szCs w:val="30"/>
        </w:rPr>
        <w:t>）和系统用户名和密码。</w:t>
      </w:r>
    </w:p>
    <w:p w14:paraId="3373986D">
      <w:pPr>
        <w:spacing w:line="600" w:lineRule="exact"/>
        <w:ind w:firstLine="600" w:firstLineChars="200"/>
        <w:rPr>
          <w:rFonts w:ascii="仿宋_GB2312" w:eastAsia="仿宋_GB2312" w:cs="宋体"/>
          <w:sz w:val="30"/>
          <w:szCs w:val="30"/>
        </w:rPr>
      </w:pPr>
      <w:r>
        <w:rPr>
          <w:rFonts w:hint="eastAsia" w:ascii="仿宋_GB2312" w:eastAsia="仿宋_GB2312" w:cs="宋体"/>
          <w:sz w:val="30"/>
          <w:szCs w:val="30"/>
        </w:rPr>
        <w:t>报价团成员确认在债券登记结算机构开立的债券账户状态正常。报价团成员需要新开立债券账户的，按照债券登记结算机构规定办理。</w:t>
      </w:r>
    </w:p>
    <w:p w14:paraId="060B8A24">
      <w:pPr>
        <w:spacing w:line="600" w:lineRule="exact"/>
        <w:ind w:firstLine="600" w:firstLineChars="200"/>
        <w:rPr>
          <w:rFonts w:eastAsia="仿宋_GB2312" w:cs="宋体"/>
          <w:sz w:val="30"/>
          <w:szCs w:val="30"/>
        </w:rPr>
      </w:pPr>
      <w:r>
        <w:rPr>
          <w:rFonts w:hint="eastAsia" w:ascii="仿宋_GB2312" w:eastAsia="仿宋_GB2312" w:cs="宋体"/>
          <w:sz w:val="30"/>
          <w:szCs w:val="30"/>
        </w:rPr>
        <w:t>报价团成员应自备</w:t>
      </w:r>
      <w:r>
        <w:rPr>
          <w:rFonts w:ascii="仿宋_GB2312" w:eastAsia="仿宋_GB2312" w:cs="宋体"/>
          <w:sz w:val="30"/>
          <w:szCs w:val="30"/>
        </w:rPr>
        <w:t>2</w:t>
      </w:r>
      <w:r>
        <w:rPr>
          <w:rFonts w:hint="eastAsia" w:ascii="仿宋_GB2312" w:eastAsia="仿宋_GB2312" w:cs="宋体"/>
          <w:sz w:val="30"/>
          <w:szCs w:val="30"/>
        </w:rPr>
        <w:t>台能接入互联网的电脑用于接入处置平台，一台主用，一台备用。该电脑应支持</w:t>
      </w:r>
      <w:r>
        <w:rPr>
          <w:rFonts w:ascii="仿宋_GB2312" w:eastAsia="仿宋_GB2312" w:cs="宋体"/>
          <w:sz w:val="30"/>
          <w:szCs w:val="30"/>
        </w:rPr>
        <w:t>USB</w:t>
      </w:r>
      <w:r>
        <w:rPr>
          <w:rFonts w:hint="eastAsia" w:ascii="仿宋_GB2312" w:eastAsia="仿宋_GB2312" w:cs="宋体"/>
          <w:sz w:val="30"/>
          <w:szCs w:val="30"/>
        </w:rPr>
        <w:t>接口</w:t>
      </w:r>
      <w:r>
        <w:rPr>
          <w:rFonts w:hint="eastAsia" w:eastAsia="仿宋_GB2312" w:cs="宋体"/>
          <w:sz w:val="30"/>
          <w:szCs w:val="30"/>
        </w:rPr>
        <w:t>，以便安装有</w:t>
      </w:r>
      <w:r>
        <w:rPr>
          <w:rFonts w:ascii="仿宋_GB2312" w:eastAsia="仿宋_GB2312" w:cs="宋体"/>
          <w:sz w:val="30"/>
          <w:szCs w:val="30"/>
        </w:rPr>
        <w:t>CA</w:t>
      </w:r>
      <w:r>
        <w:rPr>
          <w:rFonts w:hint="eastAsia" w:ascii="仿宋_GB2312" w:eastAsia="仿宋_GB2312" w:cs="宋体"/>
          <w:sz w:val="30"/>
          <w:szCs w:val="30"/>
        </w:rPr>
        <w:t>证书的</w:t>
      </w:r>
      <w:r>
        <w:rPr>
          <w:rFonts w:ascii="仿宋_GB2312" w:eastAsia="仿宋_GB2312" w:cs="宋体"/>
          <w:sz w:val="30"/>
          <w:szCs w:val="30"/>
        </w:rPr>
        <w:t>EKey</w:t>
      </w:r>
      <w:r>
        <w:rPr>
          <w:rFonts w:hint="eastAsia" w:eastAsia="仿宋_GB2312" w:cs="宋体"/>
          <w:sz w:val="30"/>
          <w:szCs w:val="30"/>
        </w:rPr>
        <w:t>能插入使用。</w:t>
      </w:r>
    </w:p>
    <w:p w14:paraId="7809CF70">
      <w:pPr>
        <w:spacing w:line="600" w:lineRule="exact"/>
        <w:ind w:firstLine="600" w:firstLineChars="200"/>
        <w:rPr>
          <w:rFonts w:eastAsia="仿宋_GB2312" w:cs="宋体"/>
          <w:sz w:val="30"/>
          <w:szCs w:val="30"/>
        </w:rPr>
      </w:pPr>
      <w:r>
        <w:rPr>
          <w:rFonts w:hint="eastAsia" w:eastAsia="仿宋_GB2312" w:cs="宋体"/>
          <w:sz w:val="30"/>
          <w:szCs w:val="30"/>
        </w:rPr>
        <w:t>4）报价团资格调整</w:t>
      </w:r>
    </w:p>
    <w:p w14:paraId="39ADEE50">
      <w:pPr>
        <w:spacing w:line="600" w:lineRule="exact"/>
        <w:ind w:firstLine="600" w:firstLineChars="200"/>
        <w:rPr>
          <w:rFonts w:eastAsia="仿宋_GB2312" w:cs="宋体"/>
          <w:sz w:val="30"/>
          <w:szCs w:val="30"/>
        </w:rPr>
      </w:pPr>
      <w:r>
        <w:rPr>
          <w:rFonts w:hint="eastAsia" w:eastAsia="仿宋_GB2312" w:cs="宋体"/>
          <w:sz w:val="30"/>
          <w:szCs w:val="30"/>
        </w:rPr>
        <w:t>本所负责合格报价团的持续期管理。合格报价团成员存在以下情形之一的，本所可取消其合格报价团成员资格：</w:t>
      </w:r>
    </w:p>
    <w:p w14:paraId="2692D722">
      <w:pPr>
        <w:spacing w:line="600" w:lineRule="exact"/>
        <w:ind w:firstLine="600" w:firstLineChars="200"/>
        <w:rPr>
          <w:rFonts w:eastAsia="仿宋_GB2312" w:cs="宋体"/>
          <w:sz w:val="30"/>
          <w:szCs w:val="30"/>
        </w:rPr>
      </w:pPr>
      <w:r>
        <w:rPr>
          <w:rFonts w:hint="eastAsia" w:eastAsia="仿宋_GB2312" w:cs="宋体"/>
          <w:sz w:val="30"/>
          <w:szCs w:val="30"/>
        </w:rPr>
        <w:t>a.中标后超过缴款截止日期未缴款或缴款不足；</w:t>
      </w:r>
    </w:p>
    <w:p w14:paraId="1A26FF69">
      <w:pPr>
        <w:spacing w:line="600" w:lineRule="exact"/>
        <w:ind w:firstLine="600" w:firstLineChars="200"/>
        <w:rPr>
          <w:rFonts w:eastAsia="仿宋_GB2312" w:cs="宋体"/>
          <w:sz w:val="30"/>
          <w:szCs w:val="30"/>
        </w:rPr>
      </w:pPr>
      <w:r>
        <w:rPr>
          <w:rFonts w:hint="eastAsia" w:eastAsia="仿宋_GB2312" w:cs="宋体"/>
          <w:sz w:val="30"/>
          <w:szCs w:val="30"/>
        </w:rPr>
        <w:t>b.与其他成员恶意串通，影响处置报价；</w:t>
      </w:r>
    </w:p>
    <w:p w14:paraId="6542E5CE">
      <w:pPr>
        <w:spacing w:line="600" w:lineRule="exact"/>
        <w:ind w:firstLine="600" w:firstLineChars="200"/>
        <w:rPr>
          <w:rFonts w:eastAsia="仿宋_GB2312" w:cs="宋体"/>
          <w:sz w:val="30"/>
          <w:szCs w:val="30"/>
        </w:rPr>
      </w:pPr>
      <w:r>
        <w:rPr>
          <w:rFonts w:hint="eastAsia" w:eastAsia="仿宋_GB2312" w:cs="宋体"/>
          <w:sz w:val="30"/>
          <w:szCs w:val="30"/>
        </w:rPr>
        <w:t>c.本所认为应当取消参团资格的其他情形。</w:t>
      </w:r>
    </w:p>
    <w:p w14:paraId="1A992795">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2</w:t>
      </w:r>
      <w:r>
        <w:rPr>
          <w:rFonts w:hint="eastAsia" w:ascii="仿宋_GB2312" w:eastAsia="仿宋_GB2312"/>
          <w:b/>
          <w:sz w:val="30"/>
          <w:szCs w:val="30"/>
        </w:rPr>
        <w:t>）处置方与处置标的范围</w:t>
      </w:r>
    </w:p>
    <w:p w14:paraId="3C358C91">
      <w:pPr>
        <w:spacing w:line="600" w:lineRule="exact"/>
        <w:ind w:firstLine="600" w:firstLineChars="200"/>
        <w:rPr>
          <w:rFonts w:eastAsia="仿宋_GB2312" w:cs="宋体"/>
          <w:sz w:val="30"/>
          <w:szCs w:val="30"/>
        </w:rPr>
      </w:pPr>
      <w:r>
        <w:rPr>
          <w:rFonts w:hint="eastAsia" w:eastAsia="仿宋_GB2312" w:cs="宋体"/>
          <w:sz w:val="30"/>
          <w:szCs w:val="30"/>
        </w:rPr>
        <w:t>1）处置方的范围</w:t>
      </w:r>
    </w:p>
    <w:p w14:paraId="39EE53BC">
      <w:pPr>
        <w:spacing w:line="600" w:lineRule="exact"/>
        <w:ind w:firstLine="600" w:firstLineChars="200"/>
        <w:rPr>
          <w:rFonts w:eastAsia="仿宋_GB2312" w:cs="宋体"/>
          <w:sz w:val="30"/>
          <w:szCs w:val="30"/>
        </w:rPr>
      </w:pPr>
      <w:r>
        <w:rPr>
          <w:rFonts w:hint="eastAsia" w:eastAsia="仿宋_GB2312" w:cs="宋体"/>
          <w:sz w:val="30"/>
          <w:szCs w:val="30"/>
        </w:rPr>
        <w:t>在业务试点初期，可以参与的处置方包括：</w:t>
      </w:r>
    </w:p>
    <w:p w14:paraId="11E83B74">
      <w:pPr>
        <w:spacing w:line="600" w:lineRule="exact"/>
        <w:ind w:firstLine="600" w:firstLineChars="200"/>
        <w:rPr>
          <w:rFonts w:eastAsia="仿宋_GB2312" w:cs="宋体"/>
          <w:sz w:val="30"/>
          <w:szCs w:val="30"/>
        </w:rPr>
      </w:pPr>
      <w:r>
        <w:rPr>
          <w:rFonts w:hint="eastAsia" w:eastAsia="仿宋_GB2312" w:cs="宋体"/>
          <w:sz w:val="30"/>
          <w:szCs w:val="30"/>
        </w:rPr>
        <w:t>a.债券登记结算机构；</w:t>
      </w:r>
    </w:p>
    <w:p w14:paraId="1FB3A26D">
      <w:pPr>
        <w:spacing w:line="600" w:lineRule="exact"/>
        <w:ind w:firstLine="600" w:firstLineChars="200"/>
        <w:rPr>
          <w:rFonts w:eastAsia="仿宋_GB2312" w:cs="宋体"/>
          <w:sz w:val="30"/>
          <w:szCs w:val="30"/>
        </w:rPr>
      </w:pPr>
      <w:r>
        <w:rPr>
          <w:rFonts w:hint="eastAsia" w:eastAsia="仿宋_GB2312" w:cs="宋体"/>
          <w:sz w:val="30"/>
          <w:szCs w:val="30"/>
        </w:rPr>
        <w:t>b.协议回购的逆回购方；</w:t>
      </w:r>
    </w:p>
    <w:p w14:paraId="4D41D5D5">
      <w:pPr>
        <w:spacing w:line="600" w:lineRule="exact"/>
        <w:ind w:firstLine="600" w:firstLineChars="200"/>
        <w:rPr>
          <w:rFonts w:eastAsia="仿宋_GB2312" w:cs="宋体"/>
          <w:sz w:val="30"/>
          <w:szCs w:val="30"/>
        </w:rPr>
      </w:pPr>
      <w:r>
        <w:rPr>
          <w:rFonts w:hint="eastAsia" w:eastAsia="仿宋_GB2312" w:cs="宋体"/>
          <w:sz w:val="30"/>
          <w:szCs w:val="30"/>
        </w:rPr>
        <w:t>c.三方回购的逆回购方；</w:t>
      </w:r>
    </w:p>
    <w:p w14:paraId="48A8CD5C">
      <w:pPr>
        <w:spacing w:line="600" w:lineRule="exact"/>
        <w:ind w:firstLine="600" w:firstLineChars="200"/>
        <w:rPr>
          <w:rFonts w:eastAsia="仿宋_GB2312" w:cs="宋体"/>
          <w:sz w:val="30"/>
          <w:szCs w:val="30"/>
        </w:rPr>
      </w:pPr>
      <w:r>
        <w:rPr>
          <w:rFonts w:hint="eastAsia" w:eastAsia="仿宋_GB2312" w:cs="宋体"/>
          <w:sz w:val="30"/>
          <w:szCs w:val="30"/>
        </w:rPr>
        <w:t>d.本所认可的其他机构。</w:t>
      </w:r>
    </w:p>
    <w:p w14:paraId="1A9E9CAF">
      <w:pPr>
        <w:spacing w:line="600" w:lineRule="exact"/>
        <w:ind w:firstLine="600" w:firstLineChars="200"/>
        <w:rPr>
          <w:rFonts w:eastAsia="仿宋_GB2312" w:cs="宋体"/>
          <w:sz w:val="30"/>
          <w:szCs w:val="30"/>
        </w:rPr>
      </w:pPr>
      <w:r>
        <w:rPr>
          <w:rFonts w:hint="eastAsia" w:eastAsia="仿宋_GB2312" w:cs="宋体"/>
          <w:sz w:val="30"/>
          <w:szCs w:val="30"/>
        </w:rPr>
        <w:t>处置方应当承诺其有权对相关债券担保品进行处置，待处置的债券担保品除回购交易项下形成的质押关系之外，不存在其他的权属争议或权利瑕疵。</w:t>
      </w:r>
    </w:p>
    <w:p w14:paraId="2D5FCEAB">
      <w:pPr>
        <w:spacing w:line="600" w:lineRule="exact"/>
        <w:ind w:firstLine="600" w:firstLineChars="200"/>
        <w:rPr>
          <w:rFonts w:eastAsia="仿宋_GB2312" w:cs="宋体"/>
          <w:sz w:val="30"/>
          <w:szCs w:val="30"/>
        </w:rPr>
      </w:pPr>
      <w:r>
        <w:rPr>
          <w:rFonts w:hint="eastAsia" w:eastAsia="仿宋_GB2312" w:cs="宋体"/>
          <w:sz w:val="30"/>
          <w:szCs w:val="30"/>
        </w:rPr>
        <w:t>2）处置品种</w:t>
      </w:r>
    </w:p>
    <w:p w14:paraId="29E07BE9">
      <w:pPr>
        <w:spacing w:line="600" w:lineRule="exact"/>
        <w:ind w:firstLine="600" w:firstLineChars="200"/>
        <w:rPr>
          <w:rFonts w:eastAsia="仿宋_GB2312" w:cs="宋体"/>
          <w:sz w:val="30"/>
          <w:szCs w:val="30"/>
        </w:rPr>
      </w:pPr>
      <w:r>
        <w:rPr>
          <w:rFonts w:hint="eastAsia" w:eastAsia="仿宋_GB2312" w:cs="宋体"/>
          <w:sz w:val="30"/>
          <w:szCs w:val="30"/>
        </w:rPr>
        <w:t>在业务试点初期，处置平台可以支持的处置品种包括在指定登记结算机构托管并按规定办理质押的各类担保品，包括但不限于国债、地方政府债券、金融债、公司债券、可转债、资产支持证券以及本所认可的其他债券。</w:t>
      </w:r>
    </w:p>
    <w:p w14:paraId="5C6469A8">
      <w:pPr>
        <w:spacing w:line="600" w:lineRule="exact"/>
        <w:ind w:firstLine="600" w:firstLineChars="200"/>
        <w:rPr>
          <w:rFonts w:eastAsia="仿宋_GB2312" w:cs="宋体"/>
          <w:sz w:val="30"/>
          <w:szCs w:val="30"/>
        </w:rPr>
      </w:pPr>
      <w:r>
        <w:rPr>
          <w:rFonts w:hint="eastAsia" w:eastAsia="仿宋_GB2312" w:cs="宋体"/>
          <w:sz w:val="30"/>
          <w:szCs w:val="30"/>
        </w:rPr>
        <w:t>本所可以调整通过处置平台处置的担保品范围。</w:t>
      </w:r>
    </w:p>
    <w:p w14:paraId="285CD851">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3</w:t>
      </w:r>
      <w:r>
        <w:rPr>
          <w:rFonts w:hint="eastAsia" w:ascii="仿宋_GB2312" w:eastAsia="仿宋_GB2312"/>
          <w:b/>
          <w:sz w:val="30"/>
          <w:szCs w:val="30"/>
        </w:rPr>
        <w:t>）处置申请前的准备</w:t>
      </w:r>
    </w:p>
    <w:p w14:paraId="1A5E75F6">
      <w:pPr>
        <w:spacing w:line="600" w:lineRule="exact"/>
        <w:ind w:firstLine="600" w:firstLineChars="200"/>
        <w:rPr>
          <w:rFonts w:eastAsia="仿宋_GB2312" w:cs="宋体"/>
          <w:sz w:val="30"/>
          <w:szCs w:val="30"/>
        </w:rPr>
      </w:pPr>
      <w:r>
        <w:rPr>
          <w:rFonts w:hint="eastAsia" w:eastAsia="仿宋_GB2312" w:cs="宋体"/>
          <w:sz w:val="30"/>
          <w:szCs w:val="30"/>
        </w:rPr>
        <w:t>1）处置方确定处置模式</w:t>
      </w:r>
    </w:p>
    <w:p w14:paraId="65C78239">
      <w:pPr>
        <w:spacing w:line="600" w:lineRule="exact"/>
        <w:ind w:firstLine="600" w:firstLineChars="200"/>
        <w:rPr>
          <w:rFonts w:eastAsia="仿宋_GB2312" w:cs="宋体"/>
          <w:sz w:val="30"/>
          <w:szCs w:val="30"/>
        </w:rPr>
      </w:pPr>
      <w:r>
        <w:rPr>
          <w:rFonts w:hint="eastAsia" w:eastAsia="仿宋_GB2312" w:cs="宋体"/>
          <w:sz w:val="30"/>
          <w:szCs w:val="30"/>
        </w:rPr>
        <w:t>处置方可选择资产包或单只债券处置模式对担保品进行处置。</w:t>
      </w:r>
    </w:p>
    <w:p w14:paraId="5DA3B589">
      <w:pPr>
        <w:spacing w:line="600" w:lineRule="exact"/>
        <w:ind w:firstLine="600" w:firstLineChars="200"/>
        <w:rPr>
          <w:rFonts w:eastAsia="仿宋_GB2312" w:cs="宋体"/>
          <w:sz w:val="30"/>
          <w:szCs w:val="30"/>
        </w:rPr>
      </w:pPr>
      <w:r>
        <w:rPr>
          <w:rFonts w:hint="eastAsia" w:eastAsia="仿宋_GB2312" w:cs="宋体"/>
          <w:sz w:val="30"/>
          <w:szCs w:val="30"/>
        </w:rPr>
        <w:t>a. 资产包处置模式</w:t>
      </w:r>
    </w:p>
    <w:p w14:paraId="5A2F76F6">
      <w:pPr>
        <w:spacing w:line="600" w:lineRule="exact"/>
        <w:ind w:firstLine="600" w:firstLineChars="200"/>
        <w:rPr>
          <w:rFonts w:eastAsia="仿宋_GB2312" w:cs="宋体"/>
          <w:sz w:val="30"/>
          <w:szCs w:val="30"/>
        </w:rPr>
      </w:pPr>
      <w:r>
        <w:rPr>
          <w:rFonts w:hint="eastAsia" w:eastAsia="仿宋_GB2312" w:cs="宋体"/>
          <w:sz w:val="30"/>
          <w:szCs w:val="30"/>
        </w:rPr>
        <w:t>资产包处置模式是指以资产包为单位处置债券担保品，资产包不可拆分，由多只债券担保品组成。单个资产包的面值总和不得低于</w:t>
      </w:r>
      <w:r>
        <w:rPr>
          <w:rFonts w:ascii="仿宋_GB2312" w:eastAsia="仿宋_GB2312" w:cs="宋体"/>
          <w:sz w:val="30"/>
          <w:szCs w:val="30"/>
        </w:rPr>
        <w:t>1,000</w:t>
      </w:r>
      <w:r>
        <w:rPr>
          <w:rFonts w:hint="eastAsia" w:ascii="仿宋_GB2312" w:eastAsia="仿宋_GB2312" w:cs="宋体"/>
          <w:sz w:val="30"/>
          <w:szCs w:val="30"/>
        </w:rPr>
        <w:t>万元人民</w:t>
      </w:r>
      <w:r>
        <w:rPr>
          <w:rFonts w:hint="eastAsia" w:eastAsia="仿宋_GB2312" w:cs="宋体"/>
          <w:sz w:val="30"/>
          <w:szCs w:val="30"/>
        </w:rPr>
        <w:t>币，不得超过</w:t>
      </w:r>
      <w:r>
        <w:rPr>
          <w:rFonts w:ascii="仿宋_GB2312" w:eastAsia="仿宋_GB2312" w:cs="宋体"/>
          <w:sz w:val="30"/>
          <w:szCs w:val="30"/>
        </w:rPr>
        <w:t>10</w:t>
      </w:r>
      <w:r>
        <w:rPr>
          <w:rFonts w:hint="eastAsia" w:ascii="仿宋_GB2312" w:eastAsia="仿宋_GB2312" w:cs="宋体"/>
          <w:sz w:val="30"/>
          <w:szCs w:val="30"/>
        </w:rPr>
        <w:t>亿</w:t>
      </w:r>
      <w:r>
        <w:rPr>
          <w:rFonts w:hint="eastAsia" w:eastAsia="仿宋_GB2312" w:cs="宋体"/>
          <w:sz w:val="30"/>
          <w:szCs w:val="30"/>
        </w:rPr>
        <w:t>元人民币。处置方在申请处置时，需要提交待处置的资产包明细清单与资产包最低处置价格。报价团成员对单个资产包报价，采取“价高者得”的中标原则，相同报价时，申报时间优先者得。</w:t>
      </w:r>
    </w:p>
    <w:p w14:paraId="22320377">
      <w:pPr>
        <w:spacing w:line="600" w:lineRule="exact"/>
        <w:ind w:firstLine="600" w:firstLineChars="200"/>
        <w:rPr>
          <w:rFonts w:eastAsia="仿宋_GB2312" w:cs="宋体"/>
          <w:sz w:val="30"/>
          <w:szCs w:val="30"/>
        </w:rPr>
      </w:pPr>
      <w:r>
        <w:rPr>
          <w:rFonts w:hint="eastAsia" w:eastAsia="仿宋_GB2312" w:cs="宋体"/>
          <w:sz w:val="30"/>
          <w:szCs w:val="30"/>
        </w:rPr>
        <w:t>b. 单只债券处置模式</w:t>
      </w:r>
    </w:p>
    <w:p w14:paraId="05F0BC43">
      <w:pPr>
        <w:spacing w:line="600" w:lineRule="exact"/>
        <w:ind w:firstLine="600" w:firstLineChars="200"/>
        <w:rPr>
          <w:rFonts w:eastAsia="仿宋_GB2312" w:cs="宋体"/>
          <w:sz w:val="30"/>
          <w:szCs w:val="30"/>
        </w:rPr>
      </w:pPr>
      <w:r>
        <w:rPr>
          <w:rFonts w:hint="eastAsia" w:eastAsia="仿宋_GB2312" w:cs="宋体"/>
          <w:sz w:val="30"/>
          <w:szCs w:val="30"/>
        </w:rPr>
        <w:t>单只债券处置模式是指以单只债券为单位处置债券担保品，原则上不设规模限制，采用荷兰式招标方式产生处置结果。处置平台将各报价团成员的有效报价按价格从高到低进行排序，并将报价数额累加，直至满足预定处置额或将全部有效标位募完为止。此时的价位点便称为边际价位点，中标的报价团都以此价格中标。</w:t>
      </w:r>
    </w:p>
    <w:p w14:paraId="2356A939">
      <w:pPr>
        <w:spacing w:line="600" w:lineRule="exact"/>
        <w:ind w:firstLine="600" w:firstLineChars="200"/>
        <w:rPr>
          <w:rFonts w:eastAsia="仿宋_GB2312" w:cs="宋体"/>
          <w:sz w:val="30"/>
          <w:szCs w:val="30"/>
        </w:rPr>
      </w:pPr>
      <w:r>
        <w:rPr>
          <w:rFonts w:hint="eastAsia" w:eastAsia="仿宋_GB2312" w:cs="宋体"/>
          <w:sz w:val="30"/>
          <w:szCs w:val="30"/>
        </w:rPr>
        <w:t>若发生尾数量，处置平台按规则进行尾数量的自动分配，以完成处置。若边际价位点的报价量无法全部中标，即边际价位点的报价总量大于预定处置额减去优于边际价位点的所有报价的有效报价总量，以该边际价位点的各价位的报价量为权重按舍去法进行报价量分配。分配完成后，若存在尾数量，即若预定处置额大于总中标量，则按照报价时间顺序、先投先得原则进行尾数量的分配，优先将尾数量分配至报价时间最早的报价团成员的边际价位（即等于边际价位点的价位），若该报价团成员的边际价位的未中标量小于尾数量，则继续分配至报价时间次之的报价团成员的边际价位，直到尾数量分配完毕为止。</w:t>
      </w:r>
    </w:p>
    <w:p w14:paraId="57E8DB63">
      <w:pPr>
        <w:spacing w:line="600" w:lineRule="exact"/>
        <w:ind w:firstLine="600" w:firstLineChars="200"/>
        <w:rPr>
          <w:rFonts w:eastAsia="仿宋_GB2312" w:cs="宋体"/>
          <w:sz w:val="30"/>
          <w:szCs w:val="30"/>
        </w:rPr>
      </w:pPr>
      <w:r>
        <w:rPr>
          <w:rFonts w:hint="eastAsia" w:eastAsia="仿宋_GB2312" w:cs="宋体"/>
          <w:sz w:val="30"/>
          <w:szCs w:val="30"/>
        </w:rPr>
        <w:t>2）处置方确定报价团模式</w:t>
      </w:r>
    </w:p>
    <w:p w14:paraId="44B43DA7">
      <w:pPr>
        <w:spacing w:line="600" w:lineRule="exact"/>
        <w:ind w:firstLine="600" w:firstLineChars="200"/>
        <w:rPr>
          <w:rFonts w:eastAsia="仿宋_GB2312" w:cs="宋体"/>
          <w:sz w:val="30"/>
          <w:szCs w:val="30"/>
        </w:rPr>
      </w:pPr>
      <w:r>
        <w:rPr>
          <w:rFonts w:hint="eastAsia" w:eastAsia="仿宋_GB2312" w:cs="宋体"/>
          <w:sz w:val="30"/>
          <w:szCs w:val="30"/>
        </w:rPr>
        <w:t>处置方可选择下列两种报价团模式参与担保品处置：</w:t>
      </w:r>
    </w:p>
    <w:p w14:paraId="7E561FF2">
      <w:pPr>
        <w:spacing w:line="600" w:lineRule="exact"/>
        <w:ind w:firstLine="600" w:firstLineChars="200"/>
        <w:rPr>
          <w:rFonts w:eastAsia="仿宋_GB2312" w:cs="宋体"/>
          <w:sz w:val="30"/>
          <w:szCs w:val="30"/>
        </w:rPr>
      </w:pPr>
      <w:r>
        <w:rPr>
          <w:rFonts w:hint="eastAsia" w:eastAsia="仿宋_GB2312" w:cs="宋体"/>
          <w:sz w:val="30"/>
          <w:szCs w:val="30"/>
        </w:rPr>
        <w:t>a. 面向全部合格报价团成员处置；</w:t>
      </w:r>
    </w:p>
    <w:p w14:paraId="37F14BE5">
      <w:pPr>
        <w:spacing w:line="600" w:lineRule="exact"/>
        <w:ind w:firstLine="600" w:firstLineChars="200"/>
        <w:rPr>
          <w:rFonts w:eastAsia="仿宋_GB2312" w:cs="宋体"/>
          <w:sz w:val="30"/>
          <w:szCs w:val="30"/>
        </w:rPr>
      </w:pPr>
      <w:r>
        <w:rPr>
          <w:rFonts w:hint="eastAsia" w:eastAsia="仿宋_GB2312" w:cs="宋体"/>
          <w:sz w:val="30"/>
          <w:szCs w:val="30"/>
        </w:rPr>
        <w:t>处置方面向本所“合格报价团”全部成员进行债券担保品处置。</w:t>
      </w:r>
    </w:p>
    <w:p w14:paraId="79F12146">
      <w:pPr>
        <w:spacing w:line="600" w:lineRule="exact"/>
        <w:ind w:firstLine="600" w:firstLineChars="200"/>
        <w:rPr>
          <w:rFonts w:eastAsia="仿宋_GB2312" w:cs="宋体"/>
          <w:sz w:val="30"/>
          <w:szCs w:val="30"/>
        </w:rPr>
      </w:pPr>
      <w:r>
        <w:rPr>
          <w:rFonts w:hint="eastAsia" w:eastAsia="仿宋_GB2312" w:cs="宋体"/>
          <w:sz w:val="30"/>
          <w:szCs w:val="30"/>
        </w:rPr>
        <w:t>b. 面向指定报价团成员处置。</w:t>
      </w:r>
    </w:p>
    <w:p w14:paraId="53605CE2">
      <w:pPr>
        <w:spacing w:line="600" w:lineRule="exact"/>
        <w:ind w:firstLine="600" w:firstLineChars="200"/>
        <w:rPr>
          <w:rFonts w:eastAsia="仿宋_GB2312" w:cs="宋体"/>
          <w:sz w:val="30"/>
          <w:szCs w:val="30"/>
        </w:rPr>
      </w:pPr>
      <w:r>
        <w:rPr>
          <w:rFonts w:hint="eastAsia" w:eastAsia="仿宋_GB2312" w:cs="宋体"/>
          <w:sz w:val="30"/>
          <w:szCs w:val="30"/>
        </w:rPr>
        <w:t>处置方选择面向指定报价团进行处置的，可以在合格报价团范围</w:t>
      </w:r>
      <w:r>
        <w:rPr>
          <w:rFonts w:hint="eastAsia" w:ascii="仿宋_GB2312" w:eastAsia="仿宋_GB2312" w:cs="宋体"/>
          <w:sz w:val="30"/>
          <w:szCs w:val="30"/>
        </w:rPr>
        <w:t>内选择</w:t>
      </w:r>
      <w:r>
        <w:rPr>
          <w:rFonts w:hint="eastAsia" w:eastAsia="仿宋_GB2312" w:cs="宋体"/>
          <w:sz w:val="30"/>
          <w:szCs w:val="30"/>
        </w:rPr>
        <w:t>不少于</w:t>
      </w:r>
      <w:r>
        <w:rPr>
          <w:rFonts w:ascii="仿宋_GB2312" w:eastAsia="仿宋_GB2312" w:cs="宋体"/>
          <w:sz w:val="30"/>
          <w:szCs w:val="30"/>
        </w:rPr>
        <w:t>20</w:t>
      </w:r>
      <w:r>
        <w:rPr>
          <w:rFonts w:hint="eastAsia" w:ascii="仿宋_GB2312" w:eastAsia="仿宋_GB2312" w:cs="宋体"/>
          <w:sz w:val="30"/>
          <w:szCs w:val="30"/>
        </w:rPr>
        <w:t>家</w:t>
      </w:r>
      <w:r>
        <w:rPr>
          <w:rFonts w:hint="eastAsia" w:eastAsia="仿宋_GB2312" w:cs="宋体"/>
          <w:sz w:val="30"/>
          <w:szCs w:val="30"/>
        </w:rPr>
        <w:t>合格报价团成员组成指定报价团参加担保品处置报价。</w:t>
      </w:r>
    </w:p>
    <w:p w14:paraId="09A1BF8D">
      <w:pPr>
        <w:spacing w:line="600" w:lineRule="exact"/>
        <w:ind w:firstLine="600" w:firstLineChars="200"/>
        <w:rPr>
          <w:rFonts w:eastAsia="仿宋_GB2312" w:cs="宋体"/>
          <w:sz w:val="30"/>
          <w:szCs w:val="30"/>
        </w:rPr>
      </w:pPr>
      <w:r>
        <w:rPr>
          <w:rFonts w:hint="eastAsia" w:eastAsia="仿宋_GB2312" w:cs="宋体"/>
          <w:sz w:val="30"/>
          <w:szCs w:val="30"/>
        </w:rPr>
        <w:t>3）处置方确定最低处置价格</w:t>
      </w:r>
    </w:p>
    <w:p w14:paraId="73AC5087">
      <w:pPr>
        <w:spacing w:line="600" w:lineRule="exact"/>
        <w:ind w:firstLine="600" w:firstLineChars="200"/>
        <w:rPr>
          <w:rFonts w:eastAsia="仿宋_GB2312" w:cs="宋体"/>
          <w:sz w:val="30"/>
          <w:szCs w:val="30"/>
        </w:rPr>
      </w:pPr>
      <w:r>
        <w:rPr>
          <w:rFonts w:hint="eastAsia" w:eastAsia="仿宋_GB2312" w:cs="宋体"/>
          <w:sz w:val="30"/>
          <w:szCs w:val="30"/>
        </w:rPr>
        <w:t>最低处置价格指处置方可以接受的被处置担保品的最低处置总金额。处置方应当合理设定最低处置价格，并就最低处置价格的设定方法进行说明，相关说明应在担保品处置公告中予以披露，确保在担保品被顺利处置的同时有效保障出质人的合法权益。</w:t>
      </w:r>
    </w:p>
    <w:p w14:paraId="2F1C0A4F">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处置申请的受理与公告</w:t>
      </w:r>
    </w:p>
    <w:p w14:paraId="2C96B466">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1</w:t>
      </w:r>
      <w:r>
        <w:rPr>
          <w:rFonts w:hint="eastAsia" w:ascii="仿宋_GB2312" w:eastAsia="仿宋_GB2312"/>
          <w:b/>
          <w:sz w:val="30"/>
          <w:szCs w:val="30"/>
        </w:rPr>
        <w:t>）申请文件的一致性</w:t>
      </w:r>
    </w:p>
    <w:p w14:paraId="3F130F81">
      <w:pPr>
        <w:spacing w:line="600" w:lineRule="exact"/>
        <w:ind w:firstLine="600" w:firstLineChars="200"/>
        <w:rPr>
          <w:rFonts w:eastAsia="仿宋_GB2312" w:cs="宋体"/>
          <w:sz w:val="30"/>
          <w:szCs w:val="30"/>
        </w:rPr>
      </w:pPr>
      <w:r>
        <w:rPr>
          <w:rFonts w:hint="eastAsia" w:eastAsia="仿宋_GB2312" w:cs="宋体"/>
          <w:sz w:val="30"/>
          <w:szCs w:val="30"/>
        </w:rPr>
        <w:t>处置方、中介机构及其相关机构应当确保不同申请文件之间、申请文件前后之间、申请文件与其已披露的其他文件之间的相关内容与表述一致。</w:t>
      </w:r>
    </w:p>
    <w:p w14:paraId="50CCE0AD">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2</w:t>
      </w:r>
      <w:r>
        <w:rPr>
          <w:rFonts w:hint="eastAsia" w:ascii="仿宋_GB2312" w:eastAsia="仿宋_GB2312"/>
          <w:b/>
          <w:sz w:val="30"/>
          <w:szCs w:val="30"/>
        </w:rPr>
        <w:t>）一般处置方的申请受理</w:t>
      </w:r>
    </w:p>
    <w:p w14:paraId="2737D962">
      <w:pPr>
        <w:spacing w:line="600" w:lineRule="exact"/>
        <w:ind w:firstLine="600" w:firstLineChars="200"/>
        <w:rPr>
          <w:rFonts w:eastAsia="仿宋_GB2312" w:cs="宋体"/>
          <w:sz w:val="30"/>
          <w:szCs w:val="30"/>
        </w:rPr>
      </w:pPr>
      <w:r>
        <w:rPr>
          <w:rFonts w:hint="eastAsia" w:eastAsia="仿宋_GB2312" w:cs="宋体"/>
          <w:sz w:val="30"/>
          <w:szCs w:val="30"/>
        </w:rPr>
        <w:t>协议回购、三方回购市场的逆回购方拟作为处置方进行担保品处置的，应当向本所报送以下申请文件：</w:t>
      </w:r>
    </w:p>
    <w:p w14:paraId="0A3DF110">
      <w:pPr>
        <w:spacing w:line="600" w:lineRule="exact"/>
        <w:ind w:firstLine="600" w:firstLineChars="200"/>
        <w:rPr>
          <w:rFonts w:eastAsia="仿宋_GB2312" w:cs="宋体"/>
          <w:sz w:val="30"/>
          <w:szCs w:val="30"/>
        </w:rPr>
      </w:pPr>
      <w:r>
        <w:rPr>
          <w:rFonts w:eastAsia="仿宋_GB2312" w:cs="宋体"/>
          <w:sz w:val="30"/>
          <w:szCs w:val="30"/>
        </w:rPr>
        <w:t>1</w:t>
      </w:r>
      <w:r>
        <w:rPr>
          <w:rFonts w:hint="eastAsia" w:eastAsia="仿宋_GB2312" w:cs="宋体"/>
          <w:sz w:val="30"/>
          <w:szCs w:val="30"/>
        </w:rPr>
        <w:t>）处置方出具的《上海证券交易所债券担保品处置平台处置服务申请》（格式见服务指引的附</w:t>
      </w:r>
      <w:r>
        <w:rPr>
          <w:rFonts w:hint="eastAsia" w:ascii="仿宋_GB2312" w:eastAsia="仿宋_GB2312" w:cs="宋体"/>
          <w:sz w:val="30"/>
          <w:szCs w:val="30"/>
        </w:rPr>
        <w:t>件</w:t>
      </w:r>
      <w:r>
        <w:rPr>
          <w:rFonts w:ascii="仿宋_GB2312" w:eastAsia="仿宋_GB2312" w:cs="宋体"/>
          <w:sz w:val="30"/>
          <w:szCs w:val="30"/>
        </w:rPr>
        <w:t>2</w:t>
      </w:r>
      <w:r>
        <w:rPr>
          <w:rFonts w:hint="eastAsia" w:ascii="仿宋_GB2312" w:eastAsia="仿宋_GB2312" w:cs="宋体"/>
          <w:sz w:val="30"/>
          <w:szCs w:val="30"/>
        </w:rPr>
        <w:t>）</w:t>
      </w:r>
      <w:r>
        <w:rPr>
          <w:rFonts w:hint="eastAsia" w:eastAsia="仿宋_GB2312" w:cs="宋体"/>
          <w:sz w:val="30"/>
          <w:szCs w:val="30"/>
        </w:rPr>
        <w:t>；</w:t>
      </w:r>
    </w:p>
    <w:p w14:paraId="03115C72">
      <w:pPr>
        <w:spacing w:line="600" w:lineRule="exact"/>
        <w:ind w:firstLine="600" w:firstLineChars="200"/>
        <w:rPr>
          <w:rFonts w:eastAsia="仿宋_GB2312" w:cs="宋体"/>
          <w:sz w:val="30"/>
          <w:szCs w:val="30"/>
        </w:rPr>
      </w:pPr>
      <w:r>
        <w:rPr>
          <w:rFonts w:hint="eastAsia" w:eastAsia="仿宋_GB2312" w:cs="宋体"/>
          <w:sz w:val="30"/>
          <w:szCs w:val="30"/>
        </w:rPr>
        <w:t>2). 出质人出具的《同意债券担保品处置的声明》（如有，格式见服务指引的附</w:t>
      </w:r>
      <w:r>
        <w:rPr>
          <w:rFonts w:hint="eastAsia" w:ascii="仿宋_GB2312" w:eastAsia="仿宋_GB2312" w:cs="宋体"/>
          <w:sz w:val="30"/>
          <w:szCs w:val="30"/>
        </w:rPr>
        <w:t>件</w:t>
      </w:r>
      <w:r>
        <w:rPr>
          <w:rFonts w:ascii="仿宋_GB2312" w:eastAsia="仿宋_GB2312" w:cs="宋体"/>
          <w:sz w:val="30"/>
          <w:szCs w:val="30"/>
        </w:rPr>
        <w:t>3</w:t>
      </w:r>
      <w:r>
        <w:rPr>
          <w:rFonts w:hint="eastAsia" w:ascii="仿宋_GB2312" w:eastAsia="仿宋_GB2312" w:cs="宋体"/>
          <w:sz w:val="30"/>
          <w:szCs w:val="30"/>
        </w:rPr>
        <w:t>）</w:t>
      </w:r>
      <w:r>
        <w:rPr>
          <w:rFonts w:hint="eastAsia" w:eastAsia="仿宋_GB2312" w:cs="宋体"/>
          <w:sz w:val="30"/>
          <w:szCs w:val="30"/>
        </w:rPr>
        <w:t>；</w:t>
      </w:r>
    </w:p>
    <w:p w14:paraId="49718538">
      <w:pPr>
        <w:spacing w:line="600" w:lineRule="exact"/>
        <w:ind w:firstLine="600" w:firstLineChars="200"/>
        <w:rPr>
          <w:rFonts w:eastAsia="仿宋_GB2312" w:cs="宋体"/>
          <w:sz w:val="30"/>
          <w:szCs w:val="30"/>
        </w:rPr>
      </w:pPr>
      <w:r>
        <w:rPr>
          <w:rFonts w:hint="eastAsia" w:eastAsia="仿宋_GB2312" w:cs="宋体"/>
          <w:sz w:val="30"/>
          <w:szCs w:val="30"/>
        </w:rPr>
        <w:t>3). 律师事务所出具的法律意见书；</w:t>
      </w:r>
    </w:p>
    <w:p w14:paraId="27004162">
      <w:pPr>
        <w:spacing w:line="600" w:lineRule="exact"/>
        <w:ind w:firstLine="600" w:firstLineChars="200"/>
        <w:rPr>
          <w:rFonts w:eastAsia="仿宋_GB2312" w:cs="宋体"/>
          <w:sz w:val="30"/>
          <w:szCs w:val="30"/>
        </w:rPr>
      </w:pPr>
      <w:r>
        <w:rPr>
          <w:rFonts w:hint="eastAsia" w:eastAsia="仿宋_GB2312" w:cs="宋体"/>
          <w:sz w:val="30"/>
          <w:szCs w:val="30"/>
        </w:rPr>
        <w:t>4). 债券担保品处置公告（格式见服务指引的附</w:t>
      </w:r>
      <w:r>
        <w:rPr>
          <w:rFonts w:hint="eastAsia" w:ascii="仿宋_GB2312" w:eastAsia="仿宋_GB2312" w:cs="宋体"/>
          <w:sz w:val="30"/>
          <w:szCs w:val="30"/>
        </w:rPr>
        <w:t>件</w:t>
      </w:r>
      <w:r>
        <w:rPr>
          <w:rFonts w:ascii="仿宋_GB2312" w:eastAsia="仿宋_GB2312" w:cs="宋体"/>
          <w:sz w:val="30"/>
          <w:szCs w:val="30"/>
        </w:rPr>
        <w:t>4</w:t>
      </w:r>
      <w:r>
        <w:rPr>
          <w:rFonts w:hint="eastAsia" w:ascii="仿宋_GB2312" w:eastAsia="仿宋_GB2312" w:cs="宋体"/>
          <w:sz w:val="30"/>
          <w:szCs w:val="30"/>
        </w:rPr>
        <w:t>）；</w:t>
      </w:r>
    </w:p>
    <w:p w14:paraId="0D2A6C53">
      <w:pPr>
        <w:spacing w:line="600" w:lineRule="exact"/>
        <w:ind w:firstLine="600" w:firstLineChars="200"/>
        <w:rPr>
          <w:rFonts w:ascii="仿宋_GB2312" w:eastAsia="仿宋_GB2312" w:cs="宋体"/>
          <w:sz w:val="30"/>
          <w:szCs w:val="30"/>
        </w:rPr>
      </w:pPr>
      <w:r>
        <w:rPr>
          <w:rFonts w:hint="eastAsia" w:eastAsia="仿宋_GB2312" w:cs="宋体"/>
          <w:sz w:val="30"/>
          <w:szCs w:val="30"/>
        </w:rPr>
        <w:t>5). 指定报价团成员名单及联系方式（如有，格式见附件</w:t>
      </w:r>
      <w:r>
        <w:rPr>
          <w:rFonts w:hint="eastAsia" w:ascii="仿宋_GB2312" w:eastAsia="仿宋_GB2312" w:cs="宋体"/>
          <w:sz w:val="30"/>
          <w:szCs w:val="30"/>
          <w:lang w:val="en-US" w:eastAsia="zh-CN"/>
        </w:rPr>
        <w:t>35</w:t>
      </w:r>
      <w:r>
        <w:rPr>
          <w:rFonts w:hint="eastAsia" w:ascii="仿宋_GB2312" w:eastAsia="仿宋_GB2312" w:cs="宋体"/>
          <w:sz w:val="30"/>
          <w:szCs w:val="30"/>
        </w:rPr>
        <w:t>）</w:t>
      </w:r>
    </w:p>
    <w:p w14:paraId="0EADEDC4">
      <w:pPr>
        <w:spacing w:line="600" w:lineRule="exact"/>
        <w:ind w:firstLine="600" w:firstLineChars="200"/>
        <w:rPr>
          <w:rFonts w:eastAsia="仿宋_GB2312" w:cs="宋体"/>
          <w:sz w:val="30"/>
          <w:szCs w:val="30"/>
        </w:rPr>
      </w:pPr>
      <w:r>
        <w:rPr>
          <w:rFonts w:hint="eastAsia" w:eastAsia="仿宋_GB2312" w:cs="宋体"/>
          <w:sz w:val="30"/>
          <w:szCs w:val="30"/>
        </w:rPr>
        <w:t>6). 担保品处置现场负责人及进入担保品处置场所的人员名单（格式见附</w:t>
      </w:r>
      <w:r>
        <w:rPr>
          <w:rFonts w:hint="eastAsia" w:ascii="仿宋_GB2312" w:eastAsia="仿宋_GB2312" w:cs="宋体"/>
          <w:sz w:val="30"/>
          <w:szCs w:val="30"/>
        </w:rPr>
        <w:t>件</w:t>
      </w:r>
      <w:r>
        <w:rPr>
          <w:rFonts w:hint="eastAsia" w:ascii="仿宋_GB2312" w:eastAsia="仿宋_GB2312" w:cs="宋体"/>
          <w:sz w:val="30"/>
          <w:szCs w:val="30"/>
          <w:lang w:val="en-US" w:eastAsia="zh-CN"/>
        </w:rPr>
        <w:t>36</w:t>
      </w:r>
      <w:r>
        <w:rPr>
          <w:rFonts w:hint="eastAsia" w:ascii="仿宋_GB2312" w:eastAsia="仿宋_GB2312" w:cs="宋体"/>
          <w:sz w:val="30"/>
          <w:szCs w:val="30"/>
        </w:rPr>
        <w:t>）；</w:t>
      </w:r>
    </w:p>
    <w:p w14:paraId="647FE116">
      <w:pPr>
        <w:spacing w:line="600" w:lineRule="exact"/>
        <w:ind w:firstLine="600" w:firstLineChars="200"/>
        <w:rPr>
          <w:rFonts w:eastAsia="仿宋_GB2312" w:cs="宋体"/>
          <w:sz w:val="30"/>
          <w:szCs w:val="30"/>
        </w:rPr>
      </w:pPr>
      <w:r>
        <w:rPr>
          <w:rFonts w:hint="eastAsia" w:eastAsia="仿宋_GB2312" w:cs="宋体"/>
          <w:sz w:val="30"/>
          <w:szCs w:val="30"/>
        </w:rPr>
        <w:t>7). 本所要求的其他文件。</w:t>
      </w:r>
    </w:p>
    <w:p w14:paraId="69981D3D">
      <w:pPr>
        <w:spacing w:line="600" w:lineRule="exact"/>
        <w:ind w:firstLine="600" w:firstLineChars="200"/>
        <w:rPr>
          <w:rFonts w:eastAsia="仿宋_GB2312" w:cs="宋体"/>
          <w:sz w:val="30"/>
          <w:szCs w:val="30"/>
        </w:rPr>
      </w:pPr>
      <w:r>
        <w:rPr>
          <w:rFonts w:hint="eastAsia" w:eastAsia="仿宋_GB2312" w:cs="宋体"/>
          <w:sz w:val="30"/>
          <w:szCs w:val="30"/>
        </w:rPr>
        <w:t>若质权人与出质人在债券质押类业务交易申报中明确约定违约情形下质权人</w:t>
      </w:r>
      <w:r>
        <w:rPr>
          <w:rFonts w:hint="eastAsia" w:eastAsia="仿宋_GB2312" w:cs="宋体"/>
          <w:sz w:val="30"/>
          <w:szCs w:val="30"/>
          <w:highlight w:val="none"/>
          <w:lang w:eastAsia="zh-CN"/>
        </w:rPr>
        <w:t>拍卖、变卖</w:t>
      </w:r>
      <w:r>
        <w:rPr>
          <w:rFonts w:hint="eastAsia" w:eastAsia="仿宋_GB2312" w:cs="宋体"/>
          <w:sz w:val="30"/>
          <w:szCs w:val="30"/>
        </w:rPr>
        <w:t>违约合同项下所质押债券担保品，则无须提交上述第</w:t>
      </w:r>
      <w:r>
        <w:rPr>
          <w:rFonts w:hint="eastAsia" w:ascii="仿宋_GB2312" w:eastAsia="仿宋_GB2312" w:cs="宋体"/>
          <w:sz w:val="30"/>
          <w:szCs w:val="30"/>
        </w:rPr>
        <w:t>（</w:t>
      </w:r>
      <w:r>
        <w:rPr>
          <w:rFonts w:ascii="仿宋_GB2312" w:eastAsia="仿宋_GB2312" w:cs="宋体"/>
          <w:sz w:val="30"/>
          <w:szCs w:val="30"/>
        </w:rPr>
        <w:t>2</w:t>
      </w:r>
      <w:r>
        <w:rPr>
          <w:rFonts w:hint="eastAsia" w:ascii="仿宋_GB2312" w:eastAsia="仿宋_GB2312" w:cs="宋体"/>
          <w:sz w:val="30"/>
          <w:szCs w:val="30"/>
        </w:rPr>
        <w:t>）项申请文件。法律意见书应包括但不限于担保品处置的法律合规性意见。日期安排方面，通常情况下，缴款截止日（</w:t>
      </w:r>
      <w:r>
        <w:rPr>
          <w:rFonts w:ascii="仿宋_GB2312" w:eastAsia="仿宋_GB2312" w:cs="宋体"/>
          <w:sz w:val="30"/>
          <w:szCs w:val="30"/>
        </w:rPr>
        <w:t>T+1</w:t>
      </w:r>
      <w:r>
        <w:rPr>
          <w:rFonts w:hint="eastAsia" w:ascii="仿宋_GB2312" w:eastAsia="仿宋_GB2312" w:cs="宋体"/>
          <w:sz w:val="30"/>
          <w:szCs w:val="30"/>
        </w:rPr>
        <w:t>日）为处置日（</w:t>
      </w:r>
      <w:r>
        <w:rPr>
          <w:rFonts w:ascii="仿宋_GB2312" w:eastAsia="仿宋_GB2312" w:cs="宋体"/>
          <w:sz w:val="30"/>
          <w:szCs w:val="30"/>
        </w:rPr>
        <w:t>T</w:t>
      </w:r>
      <w:r>
        <w:rPr>
          <w:rFonts w:hint="eastAsia" w:ascii="仿宋_GB2312" w:eastAsia="仿宋_GB2312" w:cs="宋体"/>
          <w:sz w:val="30"/>
          <w:szCs w:val="30"/>
        </w:rPr>
        <w:t>日）的下一个交易日，担保品交付截止日期（</w:t>
      </w:r>
      <w:r>
        <w:rPr>
          <w:rFonts w:ascii="仿宋_GB2312" w:eastAsia="仿宋_GB2312" w:cs="宋体"/>
          <w:sz w:val="30"/>
          <w:szCs w:val="30"/>
        </w:rPr>
        <w:t>T+</w:t>
      </w:r>
      <w:r>
        <w:rPr>
          <w:rFonts w:hint="eastAsia" w:ascii="仿宋_GB2312" w:eastAsia="仿宋_GB2312" w:cs="宋体"/>
          <w:sz w:val="30"/>
          <w:szCs w:val="30"/>
          <w:lang w:val="en-US" w:eastAsia="zh-CN"/>
        </w:rPr>
        <w:t>3</w:t>
      </w:r>
      <w:r>
        <w:rPr>
          <w:rFonts w:hint="eastAsia" w:ascii="仿宋_GB2312" w:eastAsia="仿宋_GB2312" w:cs="宋体"/>
          <w:sz w:val="30"/>
          <w:szCs w:val="30"/>
        </w:rPr>
        <w:t>日）为缴款截止日的下一个交易日。担保品交付后的下一个交易日（</w:t>
      </w:r>
      <w:r>
        <w:rPr>
          <w:rFonts w:ascii="仿宋_GB2312" w:eastAsia="仿宋_GB2312" w:cs="宋体"/>
          <w:sz w:val="30"/>
          <w:szCs w:val="30"/>
        </w:rPr>
        <w:t>T+</w:t>
      </w:r>
      <w:r>
        <w:rPr>
          <w:rFonts w:hint="eastAsia" w:ascii="仿宋_GB2312" w:eastAsia="仿宋_GB2312" w:cs="宋体"/>
          <w:sz w:val="30"/>
          <w:szCs w:val="30"/>
          <w:lang w:val="en-US" w:eastAsia="zh-CN"/>
        </w:rPr>
        <w:t>4</w:t>
      </w:r>
      <w:r>
        <w:rPr>
          <w:rFonts w:hint="eastAsia" w:ascii="仿宋_GB2312" w:eastAsia="仿宋_GB2312" w:cs="宋体"/>
          <w:sz w:val="30"/>
          <w:szCs w:val="30"/>
        </w:rPr>
        <w:t>日），报</w:t>
      </w:r>
      <w:r>
        <w:rPr>
          <w:rFonts w:hint="eastAsia" w:eastAsia="仿宋_GB2312" w:cs="宋体"/>
          <w:sz w:val="30"/>
          <w:szCs w:val="30"/>
        </w:rPr>
        <w:t>价团成员中标的债券可以进行交易或转让。采用全部合格报价团模式的，无须提</w:t>
      </w:r>
      <w:r>
        <w:rPr>
          <w:rFonts w:hint="eastAsia" w:ascii="仿宋_GB2312" w:eastAsia="仿宋_GB2312" w:cs="宋体"/>
          <w:sz w:val="30"/>
          <w:szCs w:val="30"/>
        </w:rPr>
        <w:t>交第（</w:t>
      </w:r>
      <w:r>
        <w:rPr>
          <w:rFonts w:hint="eastAsia" w:ascii="仿宋_GB2312" w:eastAsia="仿宋_GB2312" w:cs="宋体"/>
          <w:sz w:val="30"/>
          <w:szCs w:val="30"/>
          <w:lang w:val="en-US" w:eastAsia="zh-CN"/>
        </w:rPr>
        <w:t>5</w:t>
      </w:r>
      <w:r>
        <w:rPr>
          <w:rFonts w:hint="eastAsia" w:ascii="仿宋_GB2312" w:eastAsia="仿宋_GB2312" w:cs="宋体"/>
          <w:sz w:val="30"/>
          <w:szCs w:val="30"/>
        </w:rPr>
        <w:t>）</w:t>
      </w:r>
      <w:r>
        <w:rPr>
          <w:rFonts w:hint="eastAsia" w:eastAsia="仿宋_GB2312" w:cs="宋体"/>
          <w:sz w:val="30"/>
          <w:szCs w:val="30"/>
        </w:rPr>
        <w:t>项申请文件。</w:t>
      </w:r>
    </w:p>
    <w:p w14:paraId="215E11D2">
      <w:pPr>
        <w:spacing w:line="600" w:lineRule="exact"/>
        <w:ind w:firstLine="600" w:firstLineChars="200"/>
        <w:rPr>
          <w:rFonts w:eastAsia="仿宋_GB2312" w:cs="宋体"/>
          <w:sz w:val="30"/>
          <w:szCs w:val="30"/>
        </w:rPr>
      </w:pPr>
      <w:r>
        <w:rPr>
          <w:rFonts w:hint="eastAsia" w:eastAsia="仿宋_GB2312" w:cs="宋体"/>
          <w:sz w:val="30"/>
          <w:szCs w:val="30"/>
        </w:rPr>
        <w:t>提交方式为将申请材料扫描成</w:t>
      </w:r>
      <w:r>
        <w:rPr>
          <w:rFonts w:ascii="仿宋_GB2312" w:eastAsia="仿宋_GB2312" w:cs="宋体"/>
          <w:sz w:val="30"/>
          <w:szCs w:val="30"/>
        </w:rPr>
        <w:t>PDF</w:t>
      </w:r>
      <w:r>
        <w:rPr>
          <w:rFonts w:hint="eastAsia" w:eastAsia="仿宋_GB2312" w:cs="宋体"/>
          <w:sz w:val="30"/>
          <w:szCs w:val="30"/>
        </w:rPr>
        <w:t>文件通过邮箱</w:t>
      </w:r>
      <w:r>
        <w:rPr>
          <w:rFonts w:hint="eastAsia" w:ascii="仿宋_GB2312" w:eastAsia="仿宋_GB2312" w:cs="宋体"/>
          <w:sz w:val="30"/>
          <w:szCs w:val="30"/>
        </w:rPr>
        <w:t>（</w:t>
      </w:r>
      <w:r>
        <w:rPr>
          <w:rFonts w:ascii="仿宋_GB2312" w:eastAsia="仿宋_GB2312" w:cs="宋体"/>
          <w:sz w:val="30"/>
          <w:szCs w:val="30"/>
        </w:rPr>
        <w:t>bondtrading@sse.com.cn</w:t>
      </w:r>
      <w:r>
        <w:rPr>
          <w:rFonts w:hint="eastAsia" w:ascii="仿宋_GB2312" w:eastAsia="仿宋_GB2312" w:cs="宋体"/>
          <w:sz w:val="30"/>
          <w:szCs w:val="30"/>
        </w:rPr>
        <w:t>，下同）发送至本所债券业务</w:t>
      </w:r>
      <w:r>
        <w:rPr>
          <w:rFonts w:hint="eastAsia" w:ascii="仿宋_GB2312" w:eastAsia="仿宋_GB2312" w:cs="宋体"/>
          <w:sz w:val="30"/>
          <w:szCs w:val="30"/>
          <w:lang w:eastAsia="zh-CN"/>
        </w:rPr>
        <w:t>中心</w:t>
      </w:r>
      <w:r>
        <w:rPr>
          <w:rFonts w:hint="eastAsia" w:ascii="仿宋_GB2312" w:eastAsia="仿宋_GB2312" w:cs="宋体"/>
          <w:sz w:val="30"/>
          <w:szCs w:val="30"/>
        </w:rPr>
        <w:t>，邮件标题格式为“</w:t>
      </w:r>
      <w:r>
        <w:rPr>
          <w:rFonts w:ascii="仿宋_GB2312" w:eastAsia="仿宋_GB2312" w:cs="宋体"/>
          <w:sz w:val="30"/>
          <w:szCs w:val="30"/>
        </w:rPr>
        <w:t xml:space="preserve">XX </w:t>
      </w:r>
      <w:r>
        <w:rPr>
          <w:rFonts w:hint="eastAsia" w:ascii="仿宋_GB2312" w:eastAsia="仿宋_GB2312" w:cs="宋体"/>
          <w:sz w:val="30"/>
          <w:szCs w:val="30"/>
        </w:rPr>
        <w:t>公司</w:t>
      </w:r>
      <w:r>
        <w:rPr>
          <w:rFonts w:ascii="仿宋_GB2312" w:eastAsia="仿宋_GB2312" w:cs="宋体"/>
          <w:sz w:val="30"/>
          <w:szCs w:val="30"/>
        </w:rPr>
        <w:t xml:space="preserve"> XX </w:t>
      </w:r>
      <w:r>
        <w:rPr>
          <w:rFonts w:hint="eastAsia" w:ascii="仿宋_GB2312" w:eastAsia="仿宋_GB2312" w:cs="宋体"/>
          <w:sz w:val="30"/>
          <w:szCs w:val="30"/>
        </w:rPr>
        <w:t>年（</w:t>
      </w:r>
      <w:r>
        <w:rPr>
          <w:rFonts w:ascii="仿宋_GB2312" w:eastAsia="仿宋_GB2312" w:cs="宋体"/>
          <w:sz w:val="30"/>
          <w:szCs w:val="30"/>
        </w:rPr>
        <w:t>X</w:t>
      </w:r>
      <w:r>
        <w:rPr>
          <w:rFonts w:hint="eastAsia" w:ascii="仿宋_GB2312" w:eastAsia="仿宋_GB2312" w:cs="宋体"/>
          <w:sz w:val="30"/>
          <w:szCs w:val="30"/>
        </w:rPr>
        <w:t>）期担保品处置服务申请</w:t>
      </w:r>
      <w:r>
        <w:rPr>
          <w:rFonts w:hint="eastAsia" w:eastAsia="仿宋_GB2312" w:cs="宋体"/>
          <w:sz w:val="30"/>
          <w:szCs w:val="30"/>
        </w:rPr>
        <w:t>”。发送后，经办人员应向本所债券担保品处置服务联系人（见附</w:t>
      </w:r>
      <w:r>
        <w:rPr>
          <w:rFonts w:hint="eastAsia" w:ascii="仿宋_GB2312" w:eastAsia="仿宋_GB2312" w:cs="宋体"/>
          <w:sz w:val="30"/>
          <w:szCs w:val="30"/>
        </w:rPr>
        <w:t>件</w:t>
      </w:r>
      <w:r>
        <w:rPr>
          <w:rFonts w:hint="eastAsia" w:ascii="仿宋_GB2312" w:eastAsia="仿宋_GB2312" w:cs="宋体"/>
          <w:sz w:val="30"/>
          <w:szCs w:val="30"/>
          <w:lang w:val="en-US" w:eastAsia="zh-CN"/>
        </w:rPr>
        <w:t>37</w:t>
      </w:r>
      <w:r>
        <w:rPr>
          <w:rFonts w:hint="eastAsia" w:ascii="仿宋_GB2312" w:eastAsia="仿宋_GB2312" w:cs="宋体"/>
          <w:sz w:val="30"/>
          <w:szCs w:val="30"/>
        </w:rPr>
        <w:t>）确</w:t>
      </w:r>
      <w:r>
        <w:rPr>
          <w:rFonts w:hint="eastAsia" w:eastAsia="仿宋_GB2312" w:cs="宋体"/>
          <w:sz w:val="30"/>
          <w:szCs w:val="30"/>
        </w:rPr>
        <w:t>认。</w:t>
      </w:r>
    </w:p>
    <w:p w14:paraId="54D92D0A">
      <w:pPr>
        <w:spacing w:line="600" w:lineRule="exact"/>
        <w:ind w:firstLine="600" w:firstLineChars="200"/>
        <w:rPr>
          <w:rFonts w:eastAsia="仿宋_GB2312" w:cs="宋体"/>
          <w:sz w:val="30"/>
          <w:szCs w:val="30"/>
        </w:rPr>
      </w:pPr>
      <w:r>
        <w:rPr>
          <w:rFonts w:hint="eastAsia" w:eastAsia="仿宋_GB2312" w:cs="宋体"/>
          <w:sz w:val="30"/>
          <w:szCs w:val="30"/>
        </w:rPr>
        <w:t>本所收到一般处置方的申请文件</w:t>
      </w:r>
      <w:r>
        <w:rPr>
          <w:rFonts w:ascii="仿宋_GB2312" w:eastAsia="仿宋_GB2312" w:cs="宋体"/>
          <w:sz w:val="30"/>
          <w:szCs w:val="30"/>
        </w:rPr>
        <w:t>3</w:t>
      </w:r>
      <w:r>
        <w:rPr>
          <w:rFonts w:hint="eastAsia" w:ascii="仿宋_GB2312" w:eastAsia="仿宋_GB2312" w:cs="宋体"/>
          <w:sz w:val="30"/>
          <w:szCs w:val="30"/>
        </w:rPr>
        <w:t>个</w:t>
      </w:r>
      <w:r>
        <w:rPr>
          <w:rFonts w:hint="eastAsia" w:eastAsia="仿宋_GB2312" w:cs="宋体"/>
          <w:sz w:val="30"/>
          <w:szCs w:val="30"/>
        </w:rPr>
        <w:t>交易日内对申请文件是否符合要求进行核对。要件不齐备的，本所以电话、邮件等方式一次性告知补充事项。要件齐备的，本所通知处置方启动处置流程。</w:t>
      </w:r>
    </w:p>
    <w:p w14:paraId="744F43D6">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3</w:t>
      </w:r>
      <w:r>
        <w:rPr>
          <w:rFonts w:hint="eastAsia" w:ascii="仿宋_GB2312" w:eastAsia="仿宋_GB2312"/>
          <w:b/>
          <w:sz w:val="30"/>
          <w:szCs w:val="30"/>
        </w:rPr>
        <w:t>）技术服务协议</w:t>
      </w:r>
    </w:p>
    <w:p w14:paraId="16EA2035">
      <w:pPr>
        <w:spacing w:line="600" w:lineRule="exact"/>
        <w:ind w:firstLine="600" w:firstLineChars="200"/>
        <w:rPr>
          <w:rFonts w:eastAsia="仿宋_GB2312" w:cs="宋体"/>
          <w:sz w:val="30"/>
          <w:szCs w:val="30"/>
        </w:rPr>
      </w:pPr>
      <w:r>
        <w:rPr>
          <w:rFonts w:hint="eastAsia" w:eastAsia="仿宋_GB2312" w:cs="宋体"/>
          <w:sz w:val="30"/>
          <w:szCs w:val="30"/>
        </w:rPr>
        <w:t>处置方收到启动处置流程的通知后，应在处置日前与本所签订《上海证券交易所债券担保品处置技术服务协议》。（格式见服务指引的附</w:t>
      </w:r>
      <w:r>
        <w:rPr>
          <w:rFonts w:hint="eastAsia" w:ascii="仿宋_GB2312" w:eastAsia="仿宋_GB2312" w:cs="宋体"/>
          <w:sz w:val="30"/>
          <w:szCs w:val="30"/>
        </w:rPr>
        <w:t>件</w:t>
      </w:r>
      <w:r>
        <w:rPr>
          <w:rFonts w:ascii="仿宋_GB2312" w:eastAsia="仿宋_GB2312" w:cs="宋体"/>
          <w:sz w:val="30"/>
          <w:szCs w:val="30"/>
        </w:rPr>
        <w:t>5</w:t>
      </w:r>
      <w:r>
        <w:rPr>
          <w:rFonts w:hint="eastAsia" w:ascii="仿宋_GB2312" w:eastAsia="仿宋_GB2312" w:cs="宋体"/>
          <w:sz w:val="30"/>
          <w:szCs w:val="30"/>
        </w:rPr>
        <w:t>）。</w:t>
      </w:r>
    </w:p>
    <w:p w14:paraId="4F561ABA">
      <w:pPr>
        <w:spacing w:line="600" w:lineRule="exact"/>
        <w:ind w:firstLine="600" w:firstLineChars="200"/>
        <w:rPr>
          <w:rFonts w:eastAsia="仿宋_GB2312" w:cs="宋体"/>
          <w:sz w:val="30"/>
          <w:szCs w:val="30"/>
        </w:rPr>
      </w:pPr>
      <w:r>
        <w:rPr>
          <w:rFonts w:hint="eastAsia" w:eastAsia="仿宋_GB2312" w:cs="宋体"/>
          <w:sz w:val="30"/>
          <w:szCs w:val="30"/>
        </w:rPr>
        <w:t>处置方将技术服务协议文件填写完毕经授权代表签字和加盖本公司公章后再扫描成</w:t>
      </w:r>
      <w:r>
        <w:rPr>
          <w:rFonts w:ascii="仿宋_GB2312" w:eastAsia="仿宋_GB2312" w:cs="宋体"/>
          <w:sz w:val="30"/>
          <w:szCs w:val="30"/>
        </w:rPr>
        <w:t>PDF</w:t>
      </w:r>
      <w:r>
        <w:rPr>
          <w:rFonts w:hint="eastAsia" w:ascii="仿宋_GB2312" w:eastAsia="仿宋_GB2312" w:cs="宋体"/>
          <w:sz w:val="30"/>
          <w:szCs w:val="30"/>
        </w:rPr>
        <w:t>文件通过邮箱发送至本所债券业务</w:t>
      </w:r>
      <w:r>
        <w:rPr>
          <w:rFonts w:hint="eastAsia" w:ascii="仿宋_GB2312" w:eastAsia="仿宋_GB2312" w:cs="宋体"/>
          <w:sz w:val="30"/>
          <w:szCs w:val="30"/>
          <w:lang w:eastAsia="zh-CN"/>
        </w:rPr>
        <w:t>中心</w:t>
      </w:r>
      <w:r>
        <w:rPr>
          <w:rFonts w:hint="eastAsia" w:ascii="仿宋_GB2312" w:eastAsia="仿宋_GB2312" w:cs="宋体"/>
          <w:sz w:val="30"/>
          <w:szCs w:val="30"/>
        </w:rPr>
        <w:t>，从而完成技术服务协议的签署。邮件标题格式为“</w:t>
      </w:r>
      <w:r>
        <w:rPr>
          <w:rFonts w:ascii="仿宋_GB2312" w:eastAsia="仿宋_GB2312" w:cs="宋体"/>
          <w:sz w:val="30"/>
          <w:szCs w:val="30"/>
        </w:rPr>
        <w:t xml:space="preserve">XX </w:t>
      </w:r>
      <w:r>
        <w:rPr>
          <w:rFonts w:hint="eastAsia" w:ascii="仿宋_GB2312" w:eastAsia="仿宋_GB2312" w:cs="宋体"/>
          <w:sz w:val="30"/>
          <w:szCs w:val="30"/>
        </w:rPr>
        <w:t>公司</w:t>
      </w:r>
      <w:r>
        <w:rPr>
          <w:rFonts w:ascii="仿宋_GB2312" w:eastAsia="仿宋_GB2312" w:cs="宋体"/>
          <w:sz w:val="30"/>
          <w:szCs w:val="30"/>
        </w:rPr>
        <w:t xml:space="preserve"> XX </w:t>
      </w:r>
      <w:r>
        <w:rPr>
          <w:rFonts w:hint="eastAsia" w:ascii="仿宋_GB2312" w:eastAsia="仿宋_GB2312" w:cs="宋体"/>
          <w:sz w:val="30"/>
          <w:szCs w:val="30"/>
        </w:rPr>
        <w:t>年（</w:t>
      </w:r>
      <w:r>
        <w:rPr>
          <w:rFonts w:ascii="仿宋_GB2312" w:eastAsia="仿宋_GB2312" w:cs="宋体"/>
          <w:sz w:val="30"/>
          <w:szCs w:val="30"/>
        </w:rPr>
        <w:t>X</w:t>
      </w:r>
      <w:r>
        <w:rPr>
          <w:rFonts w:hint="eastAsia" w:ascii="仿宋_GB2312" w:eastAsia="仿宋_GB2312" w:cs="宋体"/>
          <w:sz w:val="30"/>
          <w:szCs w:val="30"/>
        </w:rPr>
        <w:t>）期担保品处</w:t>
      </w:r>
      <w:r>
        <w:rPr>
          <w:rFonts w:hint="eastAsia" w:eastAsia="仿宋_GB2312" w:cs="宋体"/>
          <w:sz w:val="30"/>
          <w:szCs w:val="30"/>
        </w:rPr>
        <w:t>置技术服务协议”。发送后，经办人员应向本所债券担保品处置服务联系人确认。</w:t>
      </w:r>
    </w:p>
    <w:p w14:paraId="51324A06">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4</w:t>
      </w:r>
      <w:r>
        <w:rPr>
          <w:rFonts w:hint="eastAsia" w:ascii="仿宋_GB2312" w:eastAsia="仿宋_GB2312"/>
          <w:b/>
          <w:sz w:val="30"/>
          <w:szCs w:val="30"/>
        </w:rPr>
        <w:t>）一般处置方的处置公告</w:t>
      </w:r>
    </w:p>
    <w:p w14:paraId="6E655EC8">
      <w:pPr>
        <w:spacing w:line="600" w:lineRule="exact"/>
        <w:ind w:firstLine="600" w:firstLineChars="200"/>
        <w:rPr>
          <w:rFonts w:eastAsia="仿宋_GB2312" w:cs="宋体"/>
          <w:sz w:val="30"/>
          <w:szCs w:val="30"/>
        </w:rPr>
      </w:pPr>
      <w:r>
        <w:rPr>
          <w:rFonts w:hint="eastAsia" w:eastAsia="仿宋_GB2312" w:cs="宋体"/>
          <w:sz w:val="30"/>
          <w:szCs w:val="30"/>
        </w:rPr>
        <w:t>处置方应当于担保</w:t>
      </w:r>
      <w:r>
        <w:rPr>
          <w:rFonts w:hint="eastAsia" w:ascii="仿宋_GB2312" w:eastAsia="仿宋_GB2312" w:cs="宋体"/>
          <w:sz w:val="30"/>
          <w:szCs w:val="30"/>
        </w:rPr>
        <w:t>品处置日前</w:t>
      </w:r>
      <w:r>
        <w:rPr>
          <w:rFonts w:ascii="仿宋_GB2312" w:eastAsia="仿宋_GB2312" w:cs="宋体"/>
          <w:sz w:val="30"/>
          <w:szCs w:val="30"/>
        </w:rPr>
        <w:t>3</w:t>
      </w:r>
      <w:r>
        <w:rPr>
          <w:rFonts w:hint="eastAsia" w:ascii="仿宋_GB2312" w:eastAsia="仿宋_GB2312" w:cs="宋体"/>
          <w:sz w:val="30"/>
          <w:szCs w:val="30"/>
        </w:rPr>
        <w:t>个交易日（</w:t>
      </w:r>
      <w:r>
        <w:rPr>
          <w:rFonts w:ascii="仿宋_GB2312" w:eastAsia="仿宋_GB2312" w:cs="宋体"/>
          <w:sz w:val="30"/>
          <w:szCs w:val="30"/>
        </w:rPr>
        <w:t>T-3</w:t>
      </w:r>
      <w:r>
        <w:rPr>
          <w:rFonts w:hint="eastAsia" w:ascii="仿宋_GB2312" w:eastAsia="仿宋_GB2312" w:cs="宋体"/>
          <w:sz w:val="30"/>
          <w:szCs w:val="30"/>
        </w:rPr>
        <w:t>日）</w:t>
      </w:r>
      <w:r>
        <w:rPr>
          <w:rFonts w:hint="eastAsia" w:eastAsia="仿宋_GB2312" w:cs="宋体"/>
          <w:sz w:val="30"/>
          <w:szCs w:val="30"/>
        </w:rPr>
        <w:t>将处置公告通过上交所处置平台向市场发布。处置公告等各类公开文件中不得披露出质人的身份。</w:t>
      </w:r>
    </w:p>
    <w:p w14:paraId="74CDAB26">
      <w:pPr>
        <w:spacing w:line="600" w:lineRule="exact"/>
        <w:ind w:firstLine="600" w:firstLineChars="200"/>
        <w:rPr>
          <w:rFonts w:eastAsia="仿宋_GB2312" w:cs="宋体"/>
          <w:sz w:val="30"/>
          <w:szCs w:val="30"/>
        </w:rPr>
      </w:pPr>
      <w:r>
        <w:rPr>
          <w:rFonts w:hint="eastAsia" w:eastAsia="仿宋_GB2312" w:cs="宋体"/>
          <w:sz w:val="30"/>
          <w:szCs w:val="30"/>
        </w:rPr>
        <w:t>处置方将处置公告等文件</w:t>
      </w:r>
      <w:r>
        <w:rPr>
          <w:rFonts w:hint="eastAsia" w:ascii="仿宋_GB2312" w:eastAsia="仿宋_GB2312" w:cs="宋体"/>
          <w:sz w:val="30"/>
          <w:szCs w:val="30"/>
        </w:rPr>
        <w:t>扫描成</w:t>
      </w:r>
      <w:r>
        <w:rPr>
          <w:rFonts w:ascii="仿宋_GB2312" w:eastAsia="仿宋_GB2312" w:cs="宋体"/>
          <w:sz w:val="30"/>
          <w:szCs w:val="30"/>
        </w:rPr>
        <w:t>PDF</w:t>
      </w:r>
      <w:r>
        <w:rPr>
          <w:rFonts w:hint="eastAsia" w:ascii="仿宋_GB2312" w:eastAsia="仿宋_GB2312" w:cs="宋体"/>
          <w:sz w:val="30"/>
          <w:szCs w:val="30"/>
        </w:rPr>
        <w:t>文件后通过邮箱发送至本所债券业务</w:t>
      </w:r>
      <w:r>
        <w:rPr>
          <w:rFonts w:hint="eastAsia" w:ascii="仿宋_GB2312" w:eastAsia="仿宋_GB2312" w:cs="宋体"/>
          <w:sz w:val="30"/>
          <w:szCs w:val="30"/>
          <w:lang w:eastAsia="zh-CN"/>
        </w:rPr>
        <w:t>中心</w:t>
      </w:r>
      <w:r>
        <w:rPr>
          <w:rFonts w:hint="eastAsia" w:ascii="仿宋_GB2312" w:eastAsia="仿宋_GB2312" w:cs="宋体"/>
          <w:sz w:val="30"/>
          <w:szCs w:val="30"/>
        </w:rPr>
        <w:t>，由本所技术支持人员代为上传到处置平台。邮件标题格式为“</w:t>
      </w:r>
      <w:r>
        <w:rPr>
          <w:rFonts w:ascii="仿宋_GB2312" w:eastAsia="仿宋_GB2312" w:cs="宋体"/>
          <w:sz w:val="30"/>
          <w:szCs w:val="30"/>
        </w:rPr>
        <w:t xml:space="preserve">XX </w:t>
      </w:r>
      <w:r>
        <w:rPr>
          <w:rFonts w:hint="eastAsia" w:ascii="仿宋_GB2312" w:eastAsia="仿宋_GB2312" w:cs="宋体"/>
          <w:sz w:val="30"/>
          <w:szCs w:val="30"/>
        </w:rPr>
        <w:t>公司</w:t>
      </w:r>
      <w:r>
        <w:rPr>
          <w:rFonts w:ascii="仿宋_GB2312" w:eastAsia="仿宋_GB2312" w:cs="宋体"/>
          <w:sz w:val="30"/>
          <w:szCs w:val="30"/>
        </w:rPr>
        <w:t xml:space="preserve"> XX </w:t>
      </w:r>
      <w:r>
        <w:rPr>
          <w:rFonts w:hint="eastAsia" w:ascii="仿宋_GB2312" w:eastAsia="仿宋_GB2312" w:cs="宋体"/>
          <w:sz w:val="30"/>
          <w:szCs w:val="30"/>
        </w:rPr>
        <w:t>年（</w:t>
      </w:r>
      <w:r>
        <w:rPr>
          <w:rFonts w:ascii="仿宋_GB2312" w:eastAsia="仿宋_GB2312" w:cs="宋体"/>
          <w:sz w:val="30"/>
          <w:szCs w:val="30"/>
        </w:rPr>
        <w:t>X</w:t>
      </w:r>
      <w:r>
        <w:rPr>
          <w:rFonts w:hint="eastAsia" w:ascii="仿宋_GB2312" w:eastAsia="仿宋_GB2312" w:cs="宋体"/>
          <w:sz w:val="30"/>
          <w:szCs w:val="30"/>
        </w:rPr>
        <w:t>）期担</w:t>
      </w:r>
      <w:r>
        <w:rPr>
          <w:rFonts w:hint="eastAsia" w:eastAsia="仿宋_GB2312" w:cs="宋体"/>
          <w:sz w:val="30"/>
          <w:szCs w:val="30"/>
        </w:rPr>
        <w:t>保品处置的处置公告”。</w:t>
      </w:r>
    </w:p>
    <w:p w14:paraId="41856FE4">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5</w:t>
      </w:r>
      <w:r>
        <w:rPr>
          <w:rFonts w:hint="eastAsia" w:ascii="仿宋_GB2312" w:eastAsia="仿宋_GB2312"/>
          <w:b/>
          <w:sz w:val="30"/>
          <w:szCs w:val="30"/>
        </w:rPr>
        <w:t>）登记结算机构的处置委托及公告</w:t>
      </w:r>
    </w:p>
    <w:p w14:paraId="2BAA7295">
      <w:pPr>
        <w:spacing w:line="600" w:lineRule="exact"/>
        <w:ind w:firstLine="600" w:firstLineChars="200"/>
        <w:rPr>
          <w:rFonts w:eastAsia="仿宋_GB2312" w:cs="宋体"/>
          <w:sz w:val="30"/>
          <w:szCs w:val="30"/>
        </w:rPr>
      </w:pPr>
      <w:r>
        <w:rPr>
          <w:rFonts w:hint="eastAsia" w:eastAsia="仿宋_GB2312" w:cs="宋体"/>
          <w:sz w:val="30"/>
          <w:szCs w:val="30"/>
        </w:rPr>
        <w:t>对于登记结算机构的处置申请，本所将采用简化流程优先处理。登记结算机构应于处置日前</w:t>
      </w:r>
      <w:r>
        <w:rPr>
          <w:rFonts w:hint="eastAsia" w:ascii="仿宋_GB2312" w:eastAsia="仿宋_GB2312" w:cs="宋体"/>
          <w:sz w:val="30"/>
          <w:szCs w:val="30"/>
        </w:rPr>
        <w:t>一工作日（</w:t>
      </w:r>
      <w:r>
        <w:rPr>
          <w:rFonts w:ascii="仿宋_GB2312" w:eastAsia="仿宋_GB2312" w:cs="宋体"/>
          <w:sz w:val="30"/>
          <w:szCs w:val="30"/>
        </w:rPr>
        <w:t>T-1</w:t>
      </w:r>
      <w:r>
        <w:rPr>
          <w:rFonts w:hint="eastAsia" w:ascii="仿宋_GB2312" w:eastAsia="仿宋_GB2312" w:cs="宋体"/>
          <w:sz w:val="30"/>
          <w:szCs w:val="30"/>
        </w:rPr>
        <w:t>日）向本所提交《上海证券交易所债券担保品处置公告》，并通过处置平台向市场发布。具体提交方式和一般处置方提</w:t>
      </w:r>
      <w:r>
        <w:rPr>
          <w:rFonts w:hint="eastAsia" w:eastAsia="仿宋_GB2312" w:cs="宋体"/>
          <w:sz w:val="30"/>
          <w:szCs w:val="30"/>
        </w:rPr>
        <w:t>交处置公告相同。</w:t>
      </w:r>
    </w:p>
    <w:p w14:paraId="2803AE26">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6</w:t>
      </w:r>
      <w:r>
        <w:rPr>
          <w:rFonts w:hint="eastAsia" w:ascii="仿宋_GB2312" w:eastAsia="仿宋_GB2312"/>
          <w:b/>
          <w:sz w:val="30"/>
          <w:szCs w:val="30"/>
        </w:rPr>
        <w:t>）担保品处置的取消</w:t>
      </w:r>
    </w:p>
    <w:p w14:paraId="22EC9444">
      <w:pPr>
        <w:spacing w:line="600" w:lineRule="exact"/>
        <w:ind w:firstLine="600" w:firstLineChars="200"/>
        <w:rPr>
          <w:rFonts w:ascii="仿宋_GB2312" w:eastAsia="仿宋_GB2312" w:cs="宋体"/>
          <w:sz w:val="30"/>
          <w:szCs w:val="30"/>
        </w:rPr>
      </w:pPr>
      <w:r>
        <w:rPr>
          <w:rFonts w:hint="eastAsia" w:eastAsia="仿宋_GB2312" w:cs="宋体"/>
          <w:sz w:val="30"/>
          <w:szCs w:val="30"/>
        </w:rPr>
        <w:t>担保品处置服务申请提交后，处置方确需对处置取消或延期和变更的，原则上应当在处置日前</w:t>
      </w:r>
      <w:r>
        <w:rPr>
          <w:rFonts w:hint="eastAsia" w:ascii="仿宋_GB2312" w:eastAsia="仿宋_GB2312" w:cs="宋体"/>
          <w:sz w:val="30"/>
          <w:szCs w:val="30"/>
        </w:rPr>
        <w:t>一交易日（</w:t>
      </w:r>
      <w:r>
        <w:rPr>
          <w:rFonts w:ascii="仿宋_GB2312" w:eastAsia="仿宋_GB2312" w:cs="宋体"/>
          <w:sz w:val="30"/>
          <w:szCs w:val="30"/>
        </w:rPr>
        <w:t>T-1</w:t>
      </w:r>
      <w:r>
        <w:rPr>
          <w:rFonts w:hint="eastAsia" w:ascii="仿宋_GB2312" w:eastAsia="仿宋_GB2312" w:cs="宋体"/>
          <w:sz w:val="30"/>
          <w:szCs w:val="30"/>
        </w:rPr>
        <w:t>日）</w:t>
      </w:r>
      <w:r>
        <w:rPr>
          <w:rFonts w:ascii="仿宋_GB2312" w:eastAsia="仿宋_GB2312" w:cs="宋体"/>
          <w:sz w:val="30"/>
          <w:szCs w:val="30"/>
        </w:rPr>
        <w:t>17:00</w:t>
      </w:r>
      <w:r>
        <w:rPr>
          <w:rFonts w:hint="eastAsia" w:ascii="仿宋_GB2312" w:eastAsia="仿宋_GB2312" w:cs="宋体"/>
          <w:sz w:val="30"/>
          <w:szCs w:val="30"/>
        </w:rPr>
        <w:t>前与本所取得联系，并通过邮箱方式向本所提交相关书面申请及公告等材料，书面申请及公告的格式不限，由本所技术支持人员代为上传到处置平台进行发布。邮件标题格式为“</w:t>
      </w:r>
      <w:r>
        <w:rPr>
          <w:rFonts w:ascii="仿宋_GB2312" w:eastAsia="仿宋_GB2312" w:cs="宋体"/>
          <w:sz w:val="30"/>
          <w:szCs w:val="30"/>
        </w:rPr>
        <w:t xml:space="preserve">XX </w:t>
      </w:r>
      <w:r>
        <w:rPr>
          <w:rFonts w:hint="eastAsia" w:ascii="仿宋_GB2312" w:eastAsia="仿宋_GB2312" w:cs="宋体"/>
          <w:sz w:val="30"/>
          <w:szCs w:val="30"/>
        </w:rPr>
        <w:t>公司</w:t>
      </w:r>
      <w:r>
        <w:rPr>
          <w:rFonts w:ascii="仿宋_GB2312" w:eastAsia="仿宋_GB2312" w:cs="宋体"/>
          <w:sz w:val="30"/>
          <w:szCs w:val="30"/>
        </w:rPr>
        <w:t xml:space="preserve"> XX </w:t>
      </w:r>
      <w:r>
        <w:rPr>
          <w:rFonts w:hint="eastAsia" w:ascii="仿宋_GB2312" w:eastAsia="仿宋_GB2312" w:cs="宋体"/>
          <w:sz w:val="30"/>
          <w:szCs w:val="30"/>
        </w:rPr>
        <w:t>年（</w:t>
      </w:r>
      <w:r>
        <w:rPr>
          <w:rFonts w:ascii="仿宋_GB2312" w:eastAsia="仿宋_GB2312" w:cs="宋体"/>
          <w:sz w:val="30"/>
          <w:szCs w:val="30"/>
        </w:rPr>
        <w:t>X</w:t>
      </w:r>
      <w:r>
        <w:rPr>
          <w:rFonts w:hint="eastAsia" w:ascii="仿宋_GB2312" w:eastAsia="仿宋_GB2312" w:cs="宋体"/>
          <w:sz w:val="30"/>
          <w:szCs w:val="30"/>
        </w:rPr>
        <w:t>）期担保品处置的取消（或延期</w:t>
      </w:r>
      <w:r>
        <w:rPr>
          <w:rFonts w:ascii="仿宋_GB2312" w:eastAsia="仿宋_GB2312" w:cs="宋体"/>
          <w:sz w:val="30"/>
          <w:szCs w:val="30"/>
        </w:rPr>
        <w:t>/</w:t>
      </w:r>
      <w:r>
        <w:rPr>
          <w:rFonts w:hint="eastAsia" w:ascii="仿宋_GB2312" w:eastAsia="仿宋_GB2312" w:cs="宋体"/>
          <w:sz w:val="30"/>
          <w:szCs w:val="30"/>
        </w:rPr>
        <w:t>变更）公告”。</w:t>
      </w:r>
    </w:p>
    <w:p w14:paraId="0625244F">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处置</w:t>
      </w:r>
    </w:p>
    <w:p w14:paraId="30820447">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1</w:t>
      </w:r>
      <w:r>
        <w:rPr>
          <w:rFonts w:hint="eastAsia" w:ascii="仿宋_GB2312" w:eastAsia="仿宋_GB2312"/>
          <w:b/>
          <w:sz w:val="30"/>
          <w:szCs w:val="30"/>
        </w:rPr>
        <w:t>）处置准备就绪（</w:t>
      </w:r>
      <w:r>
        <w:rPr>
          <w:rFonts w:ascii="仿宋_GB2312" w:eastAsia="仿宋_GB2312"/>
          <w:b/>
          <w:sz w:val="30"/>
          <w:szCs w:val="30"/>
        </w:rPr>
        <w:t>T</w:t>
      </w:r>
      <w:r>
        <w:rPr>
          <w:rFonts w:hint="eastAsia" w:ascii="仿宋_GB2312" w:eastAsia="仿宋_GB2312"/>
          <w:b/>
          <w:sz w:val="30"/>
          <w:szCs w:val="30"/>
        </w:rPr>
        <w:t>日处置开始前）</w:t>
      </w:r>
    </w:p>
    <w:p w14:paraId="3E01E5E6">
      <w:pPr>
        <w:spacing w:line="600" w:lineRule="exact"/>
        <w:ind w:firstLine="600" w:firstLineChars="200"/>
        <w:rPr>
          <w:rFonts w:eastAsia="仿宋_GB2312" w:cs="宋体"/>
          <w:sz w:val="30"/>
          <w:szCs w:val="30"/>
        </w:rPr>
      </w:pPr>
      <w:r>
        <w:rPr>
          <w:rFonts w:eastAsia="仿宋_GB2312" w:cs="宋体"/>
          <w:sz w:val="30"/>
          <w:szCs w:val="30"/>
        </w:rPr>
        <w:t>1</w:t>
      </w:r>
      <w:r>
        <w:rPr>
          <w:rFonts w:hint="eastAsia" w:eastAsia="仿宋_GB2312" w:cs="宋体"/>
          <w:sz w:val="30"/>
          <w:szCs w:val="30"/>
        </w:rPr>
        <w:t>）技术设施就绪</w:t>
      </w:r>
    </w:p>
    <w:p w14:paraId="29CD8640">
      <w:pPr>
        <w:spacing w:line="600" w:lineRule="exact"/>
        <w:ind w:firstLine="600" w:firstLineChars="200"/>
        <w:rPr>
          <w:rFonts w:eastAsia="仿宋_GB2312" w:cs="宋体"/>
          <w:sz w:val="30"/>
          <w:szCs w:val="30"/>
        </w:rPr>
      </w:pPr>
      <w:r>
        <w:rPr>
          <w:rFonts w:hint="eastAsia" w:eastAsia="仿宋_GB2312" w:cs="宋体"/>
          <w:sz w:val="30"/>
          <w:szCs w:val="30"/>
        </w:rPr>
        <w:t>处置日前一工作</w:t>
      </w:r>
      <w:r>
        <w:rPr>
          <w:rFonts w:hint="eastAsia" w:ascii="仿宋_GB2312" w:eastAsia="仿宋_GB2312" w:cs="宋体"/>
          <w:sz w:val="30"/>
          <w:szCs w:val="30"/>
        </w:rPr>
        <w:t>日（</w:t>
      </w:r>
      <w:r>
        <w:rPr>
          <w:rFonts w:ascii="仿宋_GB2312" w:eastAsia="仿宋_GB2312" w:cs="宋体"/>
          <w:sz w:val="30"/>
          <w:szCs w:val="30"/>
        </w:rPr>
        <w:t>T-1</w:t>
      </w:r>
      <w:r>
        <w:rPr>
          <w:rFonts w:hint="eastAsia" w:ascii="仿宋_GB2312" w:eastAsia="仿宋_GB2312" w:cs="宋体"/>
          <w:sz w:val="30"/>
          <w:szCs w:val="30"/>
        </w:rPr>
        <w:t>日），本所技术支持人员进入处置场所，检查相关设备，确保设备运行正</w:t>
      </w:r>
      <w:r>
        <w:rPr>
          <w:rFonts w:hint="eastAsia" w:eastAsia="仿宋_GB2312" w:cs="宋体"/>
          <w:sz w:val="30"/>
          <w:szCs w:val="30"/>
        </w:rPr>
        <w:t>常，通讯畅通。</w:t>
      </w:r>
    </w:p>
    <w:p w14:paraId="0C28211A">
      <w:pPr>
        <w:spacing w:line="600" w:lineRule="exact"/>
        <w:ind w:firstLine="600" w:firstLineChars="200"/>
        <w:rPr>
          <w:rFonts w:eastAsia="仿宋_GB2312" w:cs="宋体"/>
          <w:sz w:val="30"/>
          <w:szCs w:val="30"/>
        </w:rPr>
      </w:pPr>
      <w:r>
        <w:rPr>
          <w:rFonts w:hint="eastAsia" w:eastAsia="仿宋_GB2312" w:cs="宋体"/>
          <w:sz w:val="30"/>
          <w:szCs w:val="30"/>
        </w:rPr>
        <w:t>技术支持人员于处置开始前离开处置场所，根据需要和发行人员通知，及时进入处置场所提供技术支持和服务。</w:t>
      </w:r>
    </w:p>
    <w:p w14:paraId="510DBA96">
      <w:pPr>
        <w:spacing w:line="600" w:lineRule="exact"/>
        <w:ind w:firstLine="600" w:firstLineChars="200"/>
        <w:rPr>
          <w:rFonts w:eastAsia="仿宋_GB2312" w:cs="宋体"/>
          <w:sz w:val="30"/>
          <w:szCs w:val="30"/>
        </w:rPr>
      </w:pPr>
      <w:r>
        <w:rPr>
          <w:rFonts w:hint="eastAsia" w:eastAsia="仿宋_GB2312" w:cs="宋体"/>
          <w:sz w:val="30"/>
          <w:szCs w:val="30"/>
        </w:rPr>
        <w:t>2）处置工作人员就绪</w:t>
      </w:r>
    </w:p>
    <w:p w14:paraId="64A5EE6A">
      <w:pPr>
        <w:spacing w:line="600" w:lineRule="exact"/>
        <w:ind w:firstLine="600" w:firstLineChars="200"/>
        <w:rPr>
          <w:rFonts w:eastAsia="仿宋_GB2312" w:cs="宋体"/>
          <w:sz w:val="30"/>
          <w:szCs w:val="30"/>
        </w:rPr>
      </w:pPr>
      <w:r>
        <w:rPr>
          <w:rFonts w:hint="eastAsia" w:eastAsia="仿宋_GB2312" w:cs="宋体"/>
          <w:sz w:val="30"/>
          <w:szCs w:val="30"/>
        </w:rPr>
        <w:t>处置人员到位，办理登记，存放随身携带的通讯工具，于处置开始前登记进入处置场所，熟悉处置场所环境和相关设备使用等，处置期间不得擅自离开。如需与外界沟通相关事项，应使用专用通讯设备对外联系。</w:t>
      </w:r>
    </w:p>
    <w:p w14:paraId="31C72A89">
      <w:pPr>
        <w:spacing w:line="600" w:lineRule="exact"/>
        <w:ind w:firstLine="600" w:firstLineChars="200"/>
        <w:rPr>
          <w:rFonts w:eastAsia="仿宋_GB2312" w:cs="宋体"/>
          <w:sz w:val="30"/>
          <w:szCs w:val="30"/>
        </w:rPr>
      </w:pPr>
      <w:r>
        <w:rPr>
          <w:rFonts w:hint="eastAsia" w:eastAsia="仿宋_GB2312" w:cs="宋体"/>
          <w:sz w:val="30"/>
          <w:szCs w:val="30"/>
        </w:rPr>
        <w:t>3）处置人员发布处置要素</w:t>
      </w:r>
    </w:p>
    <w:p w14:paraId="0A749828">
      <w:pPr>
        <w:spacing w:line="600" w:lineRule="exact"/>
        <w:ind w:firstLine="600" w:firstLineChars="200"/>
        <w:rPr>
          <w:rFonts w:eastAsia="仿宋_GB2312" w:cs="宋体"/>
          <w:sz w:val="30"/>
          <w:szCs w:val="30"/>
        </w:rPr>
      </w:pPr>
      <w:r>
        <w:rPr>
          <w:rFonts w:hint="eastAsia" w:eastAsia="仿宋_GB2312" w:cs="宋体"/>
          <w:sz w:val="30"/>
          <w:szCs w:val="30"/>
        </w:rPr>
        <w:t>本所技术支持人员根据处置方提交的材料提前在处置平台中完成报价团成员设定、处置标书要素录入等工作。由处置人员在处置开始前登录处置平台确认处置标书要素，并通过平台发布。</w:t>
      </w:r>
    </w:p>
    <w:p w14:paraId="7172ED4F">
      <w:pPr>
        <w:spacing w:line="600" w:lineRule="exact"/>
        <w:ind w:firstLine="600" w:firstLineChars="200"/>
        <w:rPr>
          <w:rFonts w:eastAsia="仿宋_GB2312" w:cs="宋体"/>
          <w:sz w:val="30"/>
          <w:szCs w:val="30"/>
        </w:rPr>
      </w:pPr>
      <w:r>
        <w:rPr>
          <w:rFonts w:hint="eastAsia" w:eastAsia="仿宋_GB2312" w:cs="宋体"/>
          <w:sz w:val="30"/>
          <w:szCs w:val="30"/>
        </w:rPr>
        <w:t>4）报价团成员远程登录就绪</w:t>
      </w:r>
    </w:p>
    <w:p w14:paraId="78758696">
      <w:pPr>
        <w:spacing w:line="600" w:lineRule="exact"/>
        <w:ind w:firstLine="600" w:firstLineChars="200"/>
        <w:rPr>
          <w:rFonts w:eastAsia="仿宋_GB2312" w:cs="宋体"/>
          <w:sz w:val="30"/>
          <w:szCs w:val="30"/>
        </w:rPr>
      </w:pPr>
      <w:r>
        <w:rPr>
          <w:rFonts w:hint="eastAsia" w:eastAsia="仿宋_GB2312" w:cs="宋体"/>
          <w:sz w:val="30"/>
          <w:szCs w:val="30"/>
        </w:rPr>
        <w:t>报价团成员在</w:t>
      </w:r>
      <w:r>
        <w:rPr>
          <w:rFonts w:hint="eastAsia" w:ascii="仿宋_GB2312" w:eastAsia="仿宋_GB2312" w:cs="宋体"/>
          <w:sz w:val="30"/>
          <w:szCs w:val="30"/>
        </w:rPr>
        <w:t>处置开始前，使用本所配发的</w:t>
      </w:r>
      <w:r>
        <w:rPr>
          <w:rFonts w:ascii="仿宋_GB2312" w:eastAsia="仿宋_GB2312" w:cs="宋体"/>
          <w:sz w:val="30"/>
          <w:szCs w:val="30"/>
        </w:rPr>
        <w:t>CA</w:t>
      </w:r>
      <w:r>
        <w:rPr>
          <w:rFonts w:hint="eastAsia" w:ascii="仿宋_GB2312" w:eastAsia="仿宋_GB2312" w:cs="宋体"/>
          <w:sz w:val="30"/>
          <w:szCs w:val="30"/>
        </w:rPr>
        <w:t>证书（债券发行系统的</w:t>
      </w:r>
      <w:r>
        <w:rPr>
          <w:rFonts w:ascii="仿宋_GB2312" w:eastAsia="仿宋_GB2312" w:cs="宋体"/>
          <w:sz w:val="30"/>
          <w:szCs w:val="30"/>
        </w:rPr>
        <w:t>EKey</w:t>
      </w:r>
      <w:r>
        <w:rPr>
          <w:rFonts w:hint="eastAsia" w:ascii="仿宋_GB2312" w:eastAsia="仿宋_GB2312" w:cs="宋体"/>
          <w:sz w:val="30"/>
          <w:szCs w:val="30"/>
        </w:rPr>
        <w:t>也可以在担保品处置平台使用）、系统用户名及密码，通过互联网用</w:t>
      </w:r>
      <w:r>
        <w:rPr>
          <w:rFonts w:ascii="仿宋_GB2312" w:eastAsia="仿宋_GB2312" w:cs="宋体"/>
          <w:sz w:val="30"/>
          <w:szCs w:val="30"/>
        </w:rPr>
        <w:t>IE</w:t>
      </w:r>
      <w:r>
        <w:rPr>
          <w:rFonts w:hint="eastAsia" w:ascii="仿宋_GB2312" w:eastAsia="仿宋_GB2312" w:cs="宋体"/>
          <w:sz w:val="30"/>
          <w:szCs w:val="30"/>
        </w:rPr>
        <w:t>浏览器远程登录处置平台，并确认相关登录设备运行正常、通讯畅通</w:t>
      </w:r>
      <w:r>
        <w:rPr>
          <w:rFonts w:hint="eastAsia" w:eastAsia="仿宋_GB2312" w:cs="宋体"/>
          <w:sz w:val="30"/>
          <w:szCs w:val="30"/>
        </w:rPr>
        <w:t>。</w:t>
      </w:r>
    </w:p>
    <w:p w14:paraId="773D0E86">
      <w:pPr>
        <w:spacing w:line="600" w:lineRule="exact"/>
        <w:ind w:firstLine="600" w:firstLineChars="200"/>
        <w:rPr>
          <w:rFonts w:eastAsia="仿宋_GB2312" w:cs="宋体"/>
          <w:sz w:val="30"/>
          <w:szCs w:val="30"/>
        </w:rPr>
      </w:pPr>
      <w:r>
        <w:rPr>
          <w:rFonts w:hint="eastAsia" w:eastAsia="仿宋_GB2312" w:cs="宋体"/>
          <w:sz w:val="30"/>
          <w:szCs w:val="30"/>
        </w:rPr>
        <w:t>担保品处置平台的地址为https://bond.uap.sse.com.cn。</w:t>
      </w:r>
    </w:p>
    <w:p w14:paraId="46487F4E">
      <w:pPr>
        <w:spacing w:line="600" w:lineRule="exact"/>
        <w:ind w:firstLine="600" w:firstLineChars="200"/>
        <w:rPr>
          <w:rFonts w:eastAsia="仿宋_GB2312" w:cs="宋体"/>
          <w:sz w:val="30"/>
          <w:szCs w:val="30"/>
        </w:rPr>
      </w:pPr>
      <w:r>
        <w:rPr>
          <w:rFonts w:hint="eastAsia" w:eastAsia="仿宋_GB2312" w:cs="宋体"/>
          <w:sz w:val="30"/>
          <w:szCs w:val="30"/>
        </w:rPr>
        <w:t>5）上交所制作处置场所相关情况登记表</w:t>
      </w:r>
    </w:p>
    <w:p w14:paraId="066E5CB0">
      <w:pPr>
        <w:spacing w:line="600" w:lineRule="exact"/>
        <w:ind w:firstLine="600" w:firstLineChars="200"/>
        <w:rPr>
          <w:rFonts w:eastAsia="仿宋_GB2312" w:cs="宋体"/>
          <w:sz w:val="30"/>
          <w:szCs w:val="30"/>
        </w:rPr>
      </w:pPr>
      <w:r>
        <w:rPr>
          <w:rFonts w:hint="eastAsia" w:eastAsia="仿宋_GB2312" w:cs="宋体"/>
          <w:sz w:val="30"/>
          <w:szCs w:val="30"/>
        </w:rPr>
        <w:t>本所技术支持人员制作处置场所人员进出登记表、处置场所通讯设备使用情况记录表，置放于处置场所，便利处置方人员填写。</w:t>
      </w:r>
    </w:p>
    <w:p w14:paraId="72B7E739">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2</w:t>
      </w:r>
      <w:r>
        <w:rPr>
          <w:rFonts w:hint="eastAsia" w:ascii="仿宋_GB2312" w:eastAsia="仿宋_GB2312"/>
          <w:b/>
          <w:sz w:val="30"/>
          <w:szCs w:val="30"/>
        </w:rPr>
        <w:t>）处置中的工作</w:t>
      </w:r>
    </w:p>
    <w:p w14:paraId="1767F87B">
      <w:pPr>
        <w:spacing w:line="600" w:lineRule="exact"/>
        <w:ind w:firstLine="600" w:firstLineChars="200"/>
        <w:rPr>
          <w:rFonts w:eastAsia="仿宋_GB2312" w:cs="宋体"/>
          <w:sz w:val="30"/>
          <w:szCs w:val="30"/>
        </w:rPr>
      </w:pPr>
      <w:r>
        <w:rPr>
          <w:rFonts w:hint="eastAsia" w:eastAsia="仿宋_GB2312" w:cs="宋体"/>
          <w:sz w:val="30"/>
          <w:szCs w:val="30"/>
        </w:rPr>
        <w:t>1）处置开始和截止</w:t>
      </w:r>
    </w:p>
    <w:p w14:paraId="7D5BE358">
      <w:pPr>
        <w:spacing w:line="600" w:lineRule="exact"/>
        <w:ind w:firstLine="600" w:firstLineChars="200"/>
        <w:rPr>
          <w:rFonts w:eastAsia="仿宋_GB2312" w:cs="宋体"/>
          <w:sz w:val="30"/>
          <w:szCs w:val="30"/>
        </w:rPr>
      </w:pPr>
      <w:r>
        <w:rPr>
          <w:rFonts w:hint="eastAsia" w:eastAsia="仿宋_GB2312" w:cs="宋体"/>
          <w:sz w:val="30"/>
          <w:szCs w:val="30"/>
        </w:rPr>
        <w:t>处置严格按照处置方披露的公告文件确定的处置起始时点开始，至处置截止时点终止。</w:t>
      </w:r>
    </w:p>
    <w:p w14:paraId="315F5346">
      <w:pPr>
        <w:spacing w:line="600" w:lineRule="exact"/>
        <w:ind w:firstLine="600" w:firstLineChars="200"/>
        <w:rPr>
          <w:rFonts w:eastAsia="仿宋_GB2312" w:cs="宋体"/>
          <w:sz w:val="30"/>
          <w:szCs w:val="30"/>
        </w:rPr>
      </w:pPr>
      <w:r>
        <w:rPr>
          <w:rFonts w:hint="eastAsia" w:eastAsia="仿宋_GB2312" w:cs="宋体"/>
          <w:sz w:val="30"/>
          <w:szCs w:val="30"/>
        </w:rPr>
        <w:t>处置平台提供的处置报</w:t>
      </w:r>
      <w:r>
        <w:rPr>
          <w:rFonts w:hint="eastAsia" w:ascii="仿宋_GB2312" w:eastAsia="仿宋_GB2312" w:cs="宋体"/>
          <w:sz w:val="30"/>
          <w:szCs w:val="30"/>
        </w:rPr>
        <w:t>价服务时间原则上为</w:t>
      </w:r>
      <w:r>
        <w:rPr>
          <w:rFonts w:ascii="仿宋_GB2312" w:eastAsia="仿宋_GB2312" w:cs="宋体"/>
          <w:sz w:val="30"/>
          <w:szCs w:val="30"/>
        </w:rPr>
        <w:t>9:30-15:00</w:t>
      </w:r>
      <w:r>
        <w:rPr>
          <w:rFonts w:hint="eastAsia" w:ascii="仿宋_GB2312" w:eastAsia="仿宋_GB2312" w:cs="宋体"/>
          <w:sz w:val="30"/>
          <w:szCs w:val="30"/>
        </w:rPr>
        <w:t>，公告文件确定的处置时间应在上述时间范围内。处置时间内，本所确认处置平台或通讯主干线出现技术故障等影</w:t>
      </w:r>
      <w:r>
        <w:rPr>
          <w:rFonts w:hint="eastAsia" w:eastAsia="仿宋_GB2312" w:cs="宋体"/>
          <w:sz w:val="30"/>
          <w:szCs w:val="30"/>
        </w:rPr>
        <w:t>响报价的，处置方通知报价团成员的联系人、处置操作人员，可以申请延长应急报价时间并及时通过处置平台对外发布。</w:t>
      </w:r>
    </w:p>
    <w:p w14:paraId="1389DB1F">
      <w:pPr>
        <w:spacing w:line="600" w:lineRule="exact"/>
        <w:ind w:firstLine="600" w:firstLineChars="200"/>
        <w:rPr>
          <w:rFonts w:eastAsia="仿宋_GB2312" w:cs="宋体"/>
          <w:sz w:val="30"/>
          <w:szCs w:val="30"/>
        </w:rPr>
      </w:pPr>
      <w:r>
        <w:rPr>
          <w:rFonts w:hint="eastAsia" w:eastAsia="仿宋_GB2312" w:cs="宋体"/>
          <w:sz w:val="30"/>
          <w:szCs w:val="30"/>
        </w:rPr>
        <w:t>2）处置报价</w:t>
      </w:r>
    </w:p>
    <w:p w14:paraId="73116023">
      <w:pPr>
        <w:spacing w:line="600" w:lineRule="exact"/>
        <w:ind w:firstLine="600" w:firstLineChars="200"/>
        <w:rPr>
          <w:rFonts w:eastAsia="仿宋_GB2312" w:cs="宋体"/>
          <w:sz w:val="30"/>
          <w:szCs w:val="30"/>
        </w:rPr>
      </w:pPr>
      <w:r>
        <w:rPr>
          <w:rFonts w:hint="eastAsia" w:eastAsia="仿宋_GB2312" w:cs="宋体"/>
          <w:sz w:val="30"/>
          <w:szCs w:val="30"/>
        </w:rPr>
        <w:t>a. 通过平台报价。报价团成员在处置时间内，通过处置平台进行报价。报价为全价报价，报价面值应介于报价下限与报价上限之间，单笔报价金额应不低于单笔最低报价量。对每期担保品处置，每个报价团成员仅能在一个标位上进行报价。处置期间，通过处置平台的报价可撤销和修改，经修改的报价为新的报价；报价截止后，报价不可撤销和修改。</w:t>
      </w:r>
    </w:p>
    <w:p w14:paraId="7E3AD110">
      <w:pPr>
        <w:spacing w:line="600" w:lineRule="exact"/>
        <w:ind w:firstLine="600" w:firstLineChars="200"/>
        <w:rPr>
          <w:rFonts w:eastAsia="仿宋_GB2312" w:cs="宋体"/>
          <w:sz w:val="30"/>
          <w:szCs w:val="30"/>
        </w:rPr>
      </w:pPr>
      <w:r>
        <w:rPr>
          <w:rFonts w:hint="eastAsia" w:eastAsia="仿宋_GB2312" w:cs="宋体"/>
          <w:sz w:val="30"/>
          <w:szCs w:val="30"/>
        </w:rPr>
        <w:t>晚于报价截止时间的报价为无效报价。</w:t>
      </w:r>
    </w:p>
    <w:p w14:paraId="4447A379">
      <w:pPr>
        <w:spacing w:line="600" w:lineRule="exact"/>
        <w:ind w:firstLine="600" w:firstLineChars="200"/>
        <w:rPr>
          <w:rFonts w:eastAsia="仿宋_GB2312" w:cs="宋体"/>
          <w:sz w:val="30"/>
          <w:szCs w:val="30"/>
        </w:rPr>
      </w:pPr>
      <w:r>
        <w:rPr>
          <w:rFonts w:hint="eastAsia" w:eastAsia="仿宋_GB2312" w:cs="宋体"/>
          <w:sz w:val="30"/>
          <w:szCs w:val="30"/>
        </w:rPr>
        <w:t>b. 应急报价。报价期间，报价团成员远程客户端出现技术故障以及其他不能通过担保品处置平台进行报价的情形时，应当在处置公告确定的报价截止时间</w:t>
      </w:r>
      <w:r>
        <w:rPr>
          <w:rFonts w:hint="eastAsia" w:ascii="仿宋_GB2312" w:eastAsia="仿宋_GB2312" w:cs="宋体"/>
          <w:sz w:val="30"/>
          <w:szCs w:val="30"/>
        </w:rPr>
        <w:t>前，完整、准确填写《债券担保品处置应急报价书》（格式见服务指引的附件</w:t>
      </w:r>
      <w:r>
        <w:rPr>
          <w:rFonts w:ascii="仿宋_GB2312" w:eastAsia="仿宋_GB2312" w:cs="宋体"/>
          <w:sz w:val="30"/>
          <w:szCs w:val="30"/>
        </w:rPr>
        <w:t>6</w:t>
      </w:r>
      <w:r>
        <w:rPr>
          <w:rFonts w:hint="eastAsia" w:ascii="仿宋_GB2312" w:eastAsia="仿宋_GB2312" w:cs="宋体"/>
          <w:sz w:val="30"/>
          <w:szCs w:val="30"/>
        </w:rPr>
        <w:t>）</w:t>
      </w:r>
      <w:r>
        <w:rPr>
          <w:rFonts w:hint="eastAsia" w:eastAsia="仿宋_GB2312" w:cs="宋体"/>
          <w:sz w:val="30"/>
          <w:szCs w:val="30"/>
        </w:rPr>
        <w:t>，并传真到处置场所进行应急报价。</w:t>
      </w:r>
    </w:p>
    <w:p w14:paraId="0F3EDD7F">
      <w:pPr>
        <w:spacing w:line="600" w:lineRule="exact"/>
        <w:ind w:firstLine="600" w:firstLineChars="200"/>
        <w:rPr>
          <w:rFonts w:ascii="仿宋_GB2312" w:eastAsia="仿宋_GB2312" w:cs="宋体"/>
          <w:sz w:val="30"/>
          <w:szCs w:val="30"/>
        </w:rPr>
      </w:pPr>
      <w:r>
        <w:rPr>
          <w:rFonts w:hint="eastAsia" w:eastAsia="仿宋_GB2312" w:cs="宋体"/>
          <w:sz w:val="30"/>
          <w:szCs w:val="30"/>
        </w:rPr>
        <w:t>报价团成员应急报价时，应当及时拨打处置场所专用电话向处置方人员及时报告。处置方人员审阅应急报价标书发现内容不完整、不准确的，应当提示报价团成员进行更正。本所技术支持人员将经处置方人员审阅有效的应急报价数据输入处置平台代为报价。应急报价时间以处置场所收到应急报价标书的时间为准。</w:t>
      </w:r>
    </w:p>
    <w:p w14:paraId="7B6A9BA1">
      <w:pPr>
        <w:spacing w:line="600" w:lineRule="exact"/>
        <w:ind w:firstLine="600" w:firstLineChars="200"/>
        <w:rPr>
          <w:rFonts w:eastAsia="仿宋_GB2312" w:cs="宋体"/>
          <w:sz w:val="30"/>
          <w:szCs w:val="30"/>
        </w:rPr>
      </w:pPr>
      <w:r>
        <w:rPr>
          <w:rFonts w:hint="eastAsia" w:eastAsia="仿宋_GB2312" w:cs="宋体"/>
          <w:sz w:val="30"/>
          <w:szCs w:val="30"/>
        </w:rPr>
        <w:t>报价团成员通过处置平台报价、又进行应急报价，或进行多次应急报价的，以最后一次有效报价为准。除处置方通知延长应急报价时间外，晚于报价截止时间的应急报价为无效报价。</w:t>
      </w:r>
    </w:p>
    <w:p w14:paraId="662DFE0E">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3</w:t>
      </w:r>
      <w:r>
        <w:rPr>
          <w:rFonts w:hint="eastAsia" w:ascii="仿宋_GB2312" w:eastAsia="仿宋_GB2312"/>
          <w:b/>
          <w:sz w:val="30"/>
          <w:szCs w:val="30"/>
        </w:rPr>
        <w:t>）处置结果产生及发送</w:t>
      </w:r>
    </w:p>
    <w:p w14:paraId="31F250AB">
      <w:pPr>
        <w:spacing w:line="600" w:lineRule="exact"/>
        <w:ind w:firstLine="600" w:firstLineChars="200"/>
        <w:rPr>
          <w:rFonts w:eastAsia="仿宋_GB2312" w:cs="宋体"/>
          <w:sz w:val="30"/>
          <w:szCs w:val="30"/>
        </w:rPr>
      </w:pPr>
      <w:r>
        <w:rPr>
          <w:rFonts w:hint="eastAsia" w:eastAsia="仿宋_GB2312" w:cs="宋体"/>
          <w:sz w:val="30"/>
          <w:szCs w:val="30"/>
        </w:rPr>
        <w:t>1）处置结果产生</w:t>
      </w:r>
    </w:p>
    <w:p w14:paraId="0E6CEE43">
      <w:pPr>
        <w:spacing w:line="600" w:lineRule="exact"/>
        <w:ind w:firstLine="600" w:firstLineChars="200"/>
        <w:rPr>
          <w:rFonts w:eastAsia="仿宋_GB2312" w:cs="宋体"/>
          <w:sz w:val="30"/>
          <w:szCs w:val="30"/>
        </w:rPr>
      </w:pPr>
      <w:r>
        <w:rPr>
          <w:rFonts w:hint="eastAsia" w:eastAsia="仿宋_GB2312" w:cs="宋体"/>
          <w:sz w:val="30"/>
          <w:szCs w:val="30"/>
        </w:rPr>
        <w:t>处置截止时间后，处置平台对有效报价，按照处置方披露的公告文件指定的处置方式、中标原则进行处理，产生处置结果。</w:t>
      </w:r>
    </w:p>
    <w:p w14:paraId="093FD654">
      <w:pPr>
        <w:spacing w:line="600" w:lineRule="exact"/>
        <w:ind w:firstLine="600" w:firstLineChars="200"/>
        <w:rPr>
          <w:rFonts w:eastAsia="仿宋_GB2312" w:cs="宋体"/>
          <w:sz w:val="30"/>
          <w:szCs w:val="30"/>
        </w:rPr>
      </w:pPr>
      <w:r>
        <w:rPr>
          <w:rFonts w:hint="eastAsia" w:eastAsia="仿宋_GB2312" w:cs="宋体"/>
          <w:sz w:val="30"/>
          <w:szCs w:val="30"/>
        </w:rPr>
        <w:t>本所技术支持人员将处置结果提交处置方现场负责人。经处置方现场负责人签字确认后生效。处置方、出质人及报价团成员应认可处置结果。处置结果产生后不可撤销。</w:t>
      </w:r>
    </w:p>
    <w:p w14:paraId="375CC90A">
      <w:pPr>
        <w:spacing w:line="600" w:lineRule="exact"/>
        <w:ind w:firstLine="600" w:firstLineChars="200"/>
        <w:rPr>
          <w:rFonts w:eastAsia="仿宋_GB2312" w:cs="宋体"/>
          <w:sz w:val="30"/>
          <w:szCs w:val="30"/>
        </w:rPr>
      </w:pPr>
      <w:r>
        <w:rPr>
          <w:rFonts w:hint="eastAsia" w:eastAsia="仿宋_GB2312" w:cs="宋体"/>
          <w:sz w:val="30"/>
          <w:szCs w:val="30"/>
        </w:rPr>
        <w:t>2）处置结果发送</w:t>
      </w:r>
    </w:p>
    <w:p w14:paraId="693EB3ED">
      <w:pPr>
        <w:spacing w:line="600" w:lineRule="exact"/>
        <w:ind w:firstLine="600" w:firstLineChars="200"/>
        <w:rPr>
          <w:rFonts w:eastAsia="仿宋_GB2312" w:cs="宋体"/>
          <w:sz w:val="30"/>
          <w:szCs w:val="30"/>
        </w:rPr>
      </w:pPr>
      <w:r>
        <w:rPr>
          <w:rFonts w:hint="eastAsia" w:eastAsia="仿宋_GB2312" w:cs="宋体"/>
          <w:sz w:val="30"/>
          <w:szCs w:val="30"/>
        </w:rPr>
        <w:t>处置结果生效后，处置方通过处置平台向参与处置报价的报价团成员发送处置结果。</w:t>
      </w:r>
    </w:p>
    <w:p w14:paraId="4FC62728">
      <w:pPr>
        <w:spacing w:line="600" w:lineRule="exact"/>
        <w:ind w:firstLine="600" w:firstLineChars="200"/>
        <w:rPr>
          <w:rFonts w:eastAsia="仿宋_GB2312" w:cs="宋体"/>
          <w:sz w:val="30"/>
          <w:szCs w:val="30"/>
        </w:rPr>
      </w:pPr>
      <w:r>
        <w:rPr>
          <w:rFonts w:hint="eastAsia" w:eastAsia="仿宋_GB2312" w:cs="宋体"/>
          <w:sz w:val="30"/>
          <w:szCs w:val="30"/>
        </w:rPr>
        <w:t>3）处置情况和结果数据查询</w:t>
      </w:r>
    </w:p>
    <w:p w14:paraId="526AC063">
      <w:pPr>
        <w:spacing w:line="600" w:lineRule="exact"/>
        <w:ind w:firstLine="600" w:firstLineChars="200"/>
        <w:rPr>
          <w:rFonts w:eastAsia="仿宋_GB2312" w:cs="宋体"/>
          <w:sz w:val="30"/>
          <w:szCs w:val="30"/>
        </w:rPr>
      </w:pPr>
      <w:r>
        <w:rPr>
          <w:rFonts w:hint="eastAsia" w:eastAsia="仿宋_GB2312" w:cs="宋体"/>
          <w:sz w:val="30"/>
          <w:szCs w:val="30"/>
        </w:rPr>
        <w:t>处置结束后，处置方可以通过处置平台查询、打印和导出报价团成员的报价量、中标量等数据。</w:t>
      </w:r>
    </w:p>
    <w:p w14:paraId="50BE4695">
      <w:pPr>
        <w:spacing w:line="600" w:lineRule="exact"/>
        <w:ind w:firstLine="600" w:firstLineChars="200"/>
        <w:rPr>
          <w:rFonts w:eastAsia="仿宋_GB2312" w:cs="宋体"/>
          <w:sz w:val="30"/>
          <w:szCs w:val="30"/>
        </w:rPr>
      </w:pPr>
      <w:r>
        <w:rPr>
          <w:rFonts w:hint="eastAsia" w:eastAsia="仿宋_GB2312" w:cs="宋体"/>
          <w:sz w:val="30"/>
          <w:szCs w:val="30"/>
        </w:rPr>
        <w:t>报价团成员可以通过处置平台查询、打印或者导出自身的中标结果。</w:t>
      </w:r>
    </w:p>
    <w:p w14:paraId="6AAAFB5B">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4</w:t>
      </w:r>
      <w:r>
        <w:rPr>
          <w:rFonts w:hint="eastAsia" w:ascii="仿宋_GB2312" w:eastAsia="仿宋_GB2312"/>
          <w:b/>
          <w:sz w:val="30"/>
          <w:szCs w:val="30"/>
        </w:rPr>
        <w:t>）发布处置结果</w:t>
      </w:r>
    </w:p>
    <w:p w14:paraId="0D44C625">
      <w:pPr>
        <w:spacing w:line="600" w:lineRule="exact"/>
        <w:ind w:firstLine="600" w:firstLineChars="200"/>
        <w:rPr>
          <w:rFonts w:eastAsia="仿宋_GB2312" w:cs="宋体"/>
          <w:sz w:val="30"/>
          <w:szCs w:val="30"/>
        </w:rPr>
      </w:pPr>
      <w:r>
        <w:rPr>
          <w:rFonts w:hint="eastAsia" w:eastAsia="仿宋_GB2312" w:cs="宋体"/>
          <w:sz w:val="30"/>
          <w:szCs w:val="30"/>
        </w:rPr>
        <w:t>处置结束后，处置方</w:t>
      </w:r>
      <w:r>
        <w:rPr>
          <w:rFonts w:hint="eastAsia" w:ascii="仿宋_GB2312" w:eastAsia="仿宋_GB2312" w:cs="宋体"/>
          <w:sz w:val="30"/>
          <w:szCs w:val="30"/>
        </w:rPr>
        <w:t>在处置日（一般于处置日</w:t>
      </w:r>
      <w:r>
        <w:rPr>
          <w:rFonts w:ascii="仿宋_GB2312" w:eastAsia="仿宋_GB2312" w:cs="宋体"/>
          <w:sz w:val="30"/>
          <w:szCs w:val="30"/>
        </w:rPr>
        <w:t>17</w:t>
      </w:r>
      <w:r>
        <w:rPr>
          <w:rFonts w:hint="eastAsia" w:ascii="仿宋_GB2312" w:eastAsia="仿宋_GB2312" w:cs="宋体"/>
          <w:sz w:val="30"/>
          <w:szCs w:val="30"/>
        </w:rPr>
        <w:t>：</w:t>
      </w:r>
      <w:r>
        <w:rPr>
          <w:rFonts w:ascii="仿宋_GB2312" w:eastAsia="仿宋_GB2312" w:cs="宋体"/>
          <w:sz w:val="30"/>
          <w:szCs w:val="30"/>
        </w:rPr>
        <w:t>00</w:t>
      </w:r>
      <w:r>
        <w:rPr>
          <w:rFonts w:hint="eastAsia" w:ascii="仿宋_GB2312" w:eastAsia="仿宋_GB2312" w:cs="宋体"/>
          <w:sz w:val="30"/>
          <w:szCs w:val="30"/>
        </w:rPr>
        <w:t>前）通过本所处置平台披露处置结果公告（格式见附件</w:t>
      </w:r>
      <w:r>
        <w:rPr>
          <w:rFonts w:hint="eastAsia" w:ascii="仿宋_GB2312" w:eastAsia="仿宋_GB2312" w:cs="宋体"/>
          <w:sz w:val="30"/>
          <w:szCs w:val="30"/>
          <w:lang w:val="en-US" w:eastAsia="zh-CN"/>
        </w:rPr>
        <w:t>38</w:t>
      </w:r>
      <w:r>
        <w:rPr>
          <w:rFonts w:hint="eastAsia" w:eastAsia="仿宋_GB2312" w:cs="宋体"/>
          <w:sz w:val="30"/>
          <w:szCs w:val="30"/>
        </w:rPr>
        <w:t>）。</w:t>
      </w:r>
    </w:p>
    <w:p w14:paraId="6BD69451">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5</w:t>
      </w:r>
      <w:r>
        <w:rPr>
          <w:rFonts w:hint="eastAsia" w:ascii="仿宋_GB2312" w:eastAsia="仿宋_GB2312"/>
          <w:b/>
          <w:sz w:val="30"/>
          <w:szCs w:val="30"/>
        </w:rPr>
        <w:t>）填写托管信息</w:t>
      </w:r>
    </w:p>
    <w:p w14:paraId="06EF270F">
      <w:pPr>
        <w:spacing w:line="600" w:lineRule="exact"/>
        <w:ind w:firstLine="600" w:firstLineChars="200"/>
        <w:rPr>
          <w:rFonts w:eastAsia="仿宋_GB2312" w:cs="宋体"/>
          <w:sz w:val="30"/>
          <w:szCs w:val="30"/>
        </w:rPr>
      </w:pPr>
      <w:r>
        <w:rPr>
          <w:rFonts w:hint="eastAsia" w:eastAsia="仿宋_GB2312" w:cs="宋体"/>
          <w:sz w:val="30"/>
          <w:szCs w:val="30"/>
        </w:rPr>
        <w:t>处置结束后，中标的报价团成员应在处置日通过本所处置平台填写中标债券的托管信息。托管信息包括证券账户及每只债券的托管量。每个中标的报价团成员可将中标的债券分别托管指定多个证券账户下，但多个证券账户的债券托管量合计应等于本次中标量。指定的证券账户可以是自营账户、经纪客户的账户或者本公司作为管理人的资管产品账户。采取资产包模式的，可将资产包包含的债券拆开托管在不同账户下。</w:t>
      </w:r>
    </w:p>
    <w:p w14:paraId="7869B08E">
      <w:pPr>
        <w:numPr>
          <w:ilvl w:val="2"/>
          <w:numId w:val="4"/>
        </w:numPr>
        <w:spacing w:line="600" w:lineRule="exact"/>
        <w:ind w:left="0" w:firstLine="0"/>
        <w:outlineLvl w:val="2"/>
        <w:rPr>
          <w:rFonts w:eastAsia="仿宋_GB2312" w:cs="宋体"/>
          <w:b/>
          <w:bCs/>
          <w:sz w:val="30"/>
          <w:szCs w:val="30"/>
        </w:rPr>
      </w:pPr>
      <w:r>
        <w:rPr>
          <w:rFonts w:hint="eastAsia" w:eastAsia="仿宋_GB2312" w:cs="宋体"/>
          <w:b/>
          <w:bCs/>
          <w:sz w:val="30"/>
          <w:szCs w:val="30"/>
        </w:rPr>
        <w:t>缴款和债券过户</w:t>
      </w:r>
    </w:p>
    <w:p w14:paraId="76A3A243">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1</w:t>
      </w:r>
      <w:r>
        <w:rPr>
          <w:rFonts w:hint="eastAsia" w:ascii="仿宋_GB2312" w:eastAsia="仿宋_GB2312"/>
          <w:b/>
          <w:sz w:val="30"/>
          <w:szCs w:val="30"/>
        </w:rPr>
        <w:t>）缴款</w:t>
      </w:r>
    </w:p>
    <w:p w14:paraId="010F1204">
      <w:pPr>
        <w:spacing w:line="600" w:lineRule="exact"/>
        <w:ind w:firstLine="600" w:firstLineChars="200"/>
        <w:rPr>
          <w:rFonts w:eastAsia="仿宋_GB2312" w:cs="宋体"/>
          <w:sz w:val="30"/>
          <w:szCs w:val="30"/>
        </w:rPr>
      </w:pPr>
      <w:r>
        <w:rPr>
          <w:rFonts w:hint="eastAsia" w:eastAsia="仿宋_GB2312" w:cs="宋体"/>
          <w:sz w:val="30"/>
          <w:szCs w:val="30"/>
        </w:rPr>
        <w:t>担保品处置完成后，中标的报价团成员应当根据处置方公告的缴款时间安排和相关约定及时履行缴款义务。</w:t>
      </w:r>
    </w:p>
    <w:p w14:paraId="3D50E6CA">
      <w:pPr>
        <w:spacing w:line="600" w:lineRule="exact"/>
        <w:ind w:firstLine="600" w:firstLineChars="200"/>
        <w:rPr>
          <w:rFonts w:eastAsia="仿宋_GB2312" w:cs="宋体"/>
          <w:sz w:val="30"/>
          <w:szCs w:val="30"/>
        </w:rPr>
      </w:pPr>
      <w:r>
        <w:rPr>
          <w:rFonts w:hint="eastAsia" w:eastAsia="仿宋_GB2312" w:cs="宋体"/>
          <w:sz w:val="30"/>
          <w:szCs w:val="30"/>
        </w:rPr>
        <w:t>中标报价团成员和处置方通过场外方式完成缴款。中标报价团成员应根据处置平台生成的处置结果于缴款截止日之前将其认购款项全额划入处置方在处置公告中指定的银行账户中。缴款截止日期及缴款账户以处置方公告的内容为准。</w:t>
      </w:r>
    </w:p>
    <w:p w14:paraId="0C7F5043">
      <w:pPr>
        <w:spacing w:line="600" w:lineRule="exact"/>
        <w:ind w:firstLine="600" w:firstLineChars="200"/>
        <w:rPr>
          <w:rFonts w:eastAsia="仿宋_GB2312" w:cs="宋体"/>
          <w:sz w:val="30"/>
          <w:szCs w:val="30"/>
        </w:rPr>
      </w:pPr>
      <w:r>
        <w:rPr>
          <w:rFonts w:hint="eastAsia" w:eastAsia="仿宋_GB2312" w:cs="宋体"/>
          <w:sz w:val="30"/>
          <w:szCs w:val="30"/>
        </w:rPr>
        <w:t>处置方在缴</w:t>
      </w:r>
      <w:r>
        <w:rPr>
          <w:rFonts w:hint="eastAsia" w:ascii="仿宋_GB2312" w:eastAsia="仿宋_GB2312" w:cs="宋体"/>
          <w:sz w:val="30"/>
          <w:szCs w:val="30"/>
        </w:rPr>
        <w:t>款截止后应当确认资金到账情况，并在缴款截止日的下一个交易日</w:t>
      </w:r>
      <w:r>
        <w:rPr>
          <w:rFonts w:ascii="仿宋_GB2312" w:eastAsia="仿宋_GB2312" w:cs="宋体"/>
          <w:sz w:val="30"/>
          <w:szCs w:val="30"/>
        </w:rPr>
        <w:t>12:00</w:t>
      </w:r>
      <w:r>
        <w:rPr>
          <w:rFonts w:hint="eastAsia" w:ascii="仿宋_GB2312" w:eastAsia="仿宋_GB2312" w:cs="宋体"/>
          <w:sz w:val="30"/>
          <w:szCs w:val="30"/>
        </w:rPr>
        <w:t>之前以邮件方式向本所提交资金到账确认书（格式见服务指引的附件</w:t>
      </w:r>
      <w:r>
        <w:rPr>
          <w:rFonts w:ascii="仿宋_GB2312" w:eastAsia="仿宋_GB2312" w:cs="宋体"/>
          <w:sz w:val="30"/>
          <w:szCs w:val="30"/>
        </w:rPr>
        <w:t>7</w:t>
      </w:r>
      <w:r>
        <w:rPr>
          <w:rFonts w:hint="eastAsia" w:ascii="仿宋_GB2312" w:eastAsia="仿宋_GB2312" w:cs="宋体"/>
          <w:sz w:val="30"/>
          <w:szCs w:val="30"/>
        </w:rPr>
        <w:t>）。邮件标题格式为“</w:t>
      </w:r>
      <w:r>
        <w:rPr>
          <w:rFonts w:ascii="仿宋_GB2312" w:eastAsia="仿宋_GB2312" w:cs="宋体"/>
          <w:sz w:val="30"/>
          <w:szCs w:val="30"/>
        </w:rPr>
        <w:t xml:space="preserve">XX </w:t>
      </w:r>
      <w:r>
        <w:rPr>
          <w:rFonts w:hint="eastAsia" w:ascii="仿宋_GB2312" w:eastAsia="仿宋_GB2312" w:cs="宋体"/>
          <w:sz w:val="30"/>
          <w:szCs w:val="30"/>
        </w:rPr>
        <w:t>公司参与</w:t>
      </w:r>
      <w:r>
        <w:rPr>
          <w:rFonts w:ascii="仿宋_GB2312" w:eastAsia="仿宋_GB2312" w:cs="宋体"/>
          <w:sz w:val="30"/>
          <w:szCs w:val="30"/>
        </w:rPr>
        <w:t xml:space="preserve">XX </w:t>
      </w:r>
      <w:r>
        <w:rPr>
          <w:rFonts w:hint="eastAsia" w:ascii="仿宋_GB2312" w:eastAsia="仿宋_GB2312" w:cs="宋体"/>
          <w:sz w:val="30"/>
          <w:szCs w:val="30"/>
        </w:rPr>
        <w:t>公司</w:t>
      </w:r>
      <w:r>
        <w:rPr>
          <w:rFonts w:ascii="仿宋_GB2312" w:eastAsia="仿宋_GB2312" w:cs="宋体"/>
          <w:sz w:val="30"/>
          <w:szCs w:val="30"/>
        </w:rPr>
        <w:t xml:space="preserve"> XX </w:t>
      </w:r>
      <w:r>
        <w:rPr>
          <w:rFonts w:hint="eastAsia" w:ascii="仿宋_GB2312" w:eastAsia="仿宋_GB2312" w:cs="宋体"/>
          <w:sz w:val="30"/>
          <w:szCs w:val="30"/>
        </w:rPr>
        <w:t>年（</w:t>
      </w:r>
      <w:r>
        <w:rPr>
          <w:rFonts w:ascii="仿宋_GB2312" w:eastAsia="仿宋_GB2312" w:cs="宋体"/>
          <w:sz w:val="30"/>
          <w:szCs w:val="30"/>
        </w:rPr>
        <w:t>X</w:t>
      </w:r>
      <w:r>
        <w:rPr>
          <w:rFonts w:hint="eastAsia" w:ascii="仿宋_GB2312" w:eastAsia="仿宋_GB2312" w:cs="宋体"/>
          <w:sz w:val="30"/>
          <w:szCs w:val="30"/>
        </w:rPr>
        <w:t>）期担保品</w:t>
      </w:r>
      <w:r>
        <w:rPr>
          <w:rFonts w:hint="eastAsia" w:eastAsia="仿宋_GB2312" w:cs="宋体"/>
          <w:sz w:val="30"/>
          <w:szCs w:val="30"/>
        </w:rPr>
        <w:t>处置的资金到账确认书”。发送后，经办人员应向本所债券担保品处置服务联系人确认。</w:t>
      </w:r>
    </w:p>
    <w:p w14:paraId="409115E3">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w:t>
      </w:r>
      <w:r>
        <w:rPr>
          <w:rFonts w:ascii="仿宋_GB2312" w:eastAsia="仿宋_GB2312"/>
          <w:b/>
          <w:sz w:val="30"/>
          <w:szCs w:val="30"/>
        </w:rPr>
        <w:t>2</w:t>
      </w:r>
      <w:r>
        <w:rPr>
          <w:rFonts w:hint="eastAsia" w:ascii="仿宋_GB2312" w:eastAsia="仿宋_GB2312"/>
          <w:b/>
          <w:sz w:val="30"/>
          <w:szCs w:val="30"/>
        </w:rPr>
        <w:t>）债券过户</w:t>
      </w:r>
    </w:p>
    <w:p w14:paraId="771EE556">
      <w:pPr>
        <w:spacing w:line="600" w:lineRule="exact"/>
        <w:ind w:firstLine="600" w:firstLineChars="200"/>
        <w:rPr>
          <w:rFonts w:eastAsia="仿宋_GB2312" w:cs="宋体"/>
          <w:sz w:val="30"/>
          <w:szCs w:val="30"/>
        </w:rPr>
      </w:pPr>
      <w:r>
        <w:rPr>
          <w:rFonts w:hint="eastAsia" w:eastAsia="仿宋_GB2312" w:cs="宋体"/>
          <w:sz w:val="30"/>
          <w:szCs w:val="30"/>
        </w:rPr>
        <w:t>本所依据处置方提交的资金到账确认书后向债券登记结算机构发送债券过户数据，由债券登记结算机构按相关规则办理债券过户。具体流程如下：</w:t>
      </w:r>
    </w:p>
    <w:p w14:paraId="35B2ABCE">
      <w:pPr>
        <w:spacing w:line="600" w:lineRule="exact"/>
        <w:ind w:firstLine="600" w:firstLineChars="200"/>
        <w:rPr>
          <w:rFonts w:eastAsia="仿宋_GB2312" w:cs="宋体"/>
          <w:sz w:val="30"/>
          <w:szCs w:val="30"/>
        </w:rPr>
      </w:pPr>
      <w:r>
        <w:rPr>
          <w:rFonts w:hint="eastAsia" w:eastAsia="仿宋_GB2312" w:cs="宋体"/>
          <w:sz w:val="30"/>
          <w:szCs w:val="30"/>
        </w:rPr>
        <w:t>本所在收到处置方提交的资金到账确认书</w:t>
      </w:r>
      <w:r>
        <w:rPr>
          <w:rFonts w:hint="eastAsia" w:ascii="仿宋_GB2312" w:eastAsia="仿宋_GB2312" w:cs="宋体"/>
          <w:sz w:val="30"/>
          <w:szCs w:val="30"/>
        </w:rPr>
        <w:t>的</w:t>
      </w:r>
      <w:r>
        <w:rPr>
          <w:rFonts w:ascii="仿宋_GB2312" w:eastAsia="仿宋_GB2312" w:cs="宋体"/>
          <w:sz w:val="30"/>
          <w:szCs w:val="30"/>
        </w:rPr>
        <w:t>15</w:t>
      </w:r>
      <w:r>
        <w:rPr>
          <w:rFonts w:hint="eastAsia" w:ascii="仿宋_GB2312" w:eastAsia="仿宋_GB2312" w:cs="宋体"/>
          <w:sz w:val="30"/>
          <w:szCs w:val="30"/>
        </w:rPr>
        <w:t>：</w:t>
      </w:r>
      <w:r>
        <w:rPr>
          <w:rFonts w:ascii="仿宋_GB2312" w:eastAsia="仿宋_GB2312" w:cs="宋体"/>
          <w:sz w:val="30"/>
          <w:szCs w:val="30"/>
        </w:rPr>
        <w:t>00</w:t>
      </w:r>
      <w:r>
        <w:rPr>
          <w:rFonts w:hint="eastAsia" w:ascii="仿宋_GB2312" w:eastAsia="仿宋_GB2312" w:cs="宋体"/>
          <w:sz w:val="30"/>
          <w:szCs w:val="30"/>
        </w:rPr>
        <w:t>前，将资金到账信息录入担保品处置平台，通过担保品处置平台向</w:t>
      </w:r>
      <w:r>
        <w:rPr>
          <w:rFonts w:hint="eastAsia" w:eastAsia="仿宋_GB2312" w:cs="宋体"/>
          <w:sz w:val="30"/>
          <w:szCs w:val="30"/>
        </w:rPr>
        <w:t>债券登记结算机构发送债券过户数据，债券登记结算机构于当日日终办理债券过户。过户后的下一个交易日，处置债券可以进行交易或转让。</w:t>
      </w:r>
    </w:p>
    <w:p w14:paraId="40E3781E">
      <w:pPr>
        <w:numPr>
          <w:ilvl w:val="0"/>
          <w:numId w:val="4"/>
        </w:numPr>
        <w:outlineLvl w:val="0"/>
        <w:rPr>
          <w:b/>
          <w:sz w:val="36"/>
        </w:rPr>
      </w:pPr>
      <w:bookmarkStart w:id="2487" w:name="_Toc16497830"/>
      <w:bookmarkStart w:id="2488" w:name="_Toc56166293"/>
      <w:bookmarkStart w:id="2489" w:name="_Toc24459967"/>
      <w:bookmarkStart w:id="2490" w:name="_Toc34763061"/>
      <w:bookmarkStart w:id="2491" w:name="_Toc19542086"/>
      <w:bookmarkStart w:id="2492" w:name="_Toc56166104"/>
      <w:r>
        <w:rPr>
          <w:b/>
          <w:sz w:val="36"/>
        </w:rPr>
        <w:br w:type="page"/>
      </w:r>
      <w:bookmarkStart w:id="2493" w:name="_Toc1518200951"/>
      <w:bookmarkStart w:id="2494" w:name="_Toc1616714925"/>
      <w:bookmarkStart w:id="2495" w:name="_Toc293671115"/>
      <w:bookmarkStart w:id="2496" w:name="_Toc546906785"/>
      <w:bookmarkStart w:id="2497" w:name="_Toc151137054"/>
      <w:bookmarkStart w:id="2498" w:name="_Toc1893816124"/>
      <w:bookmarkStart w:id="2499" w:name="_Toc1686475796"/>
      <w:r>
        <w:rPr>
          <w:rFonts w:hint="eastAsia" w:ascii="黑体" w:hAnsi="黑体" w:eastAsia="黑体" w:cs="黑体"/>
          <w:b/>
          <w:sz w:val="36"/>
        </w:rPr>
        <w:t>非交易类服务</w:t>
      </w:r>
      <w:bookmarkEnd w:id="2487"/>
      <w:bookmarkEnd w:id="2488"/>
      <w:bookmarkEnd w:id="2489"/>
      <w:bookmarkEnd w:id="2490"/>
      <w:bookmarkEnd w:id="2491"/>
      <w:bookmarkEnd w:id="2492"/>
      <w:bookmarkEnd w:id="2493"/>
      <w:bookmarkEnd w:id="2494"/>
      <w:bookmarkEnd w:id="2495"/>
      <w:bookmarkEnd w:id="2496"/>
      <w:bookmarkEnd w:id="2497"/>
      <w:bookmarkEnd w:id="2498"/>
      <w:bookmarkEnd w:id="2499"/>
    </w:p>
    <w:p w14:paraId="64DD6F01">
      <w:pPr>
        <w:spacing w:line="600" w:lineRule="exact"/>
        <w:ind w:firstLine="600" w:firstLineChars="200"/>
        <w:rPr>
          <w:rFonts w:ascii="仿宋_GB2312" w:hAnsi="Calibri" w:eastAsia="仿宋_GB2312"/>
          <w:sz w:val="30"/>
          <w:szCs w:val="30"/>
        </w:rPr>
      </w:pPr>
      <w:r>
        <w:rPr>
          <w:rFonts w:hint="eastAsia" w:ascii="仿宋_GB2312" w:hAnsi="仿宋" w:eastAsia="仿宋_GB2312"/>
          <w:sz w:val="30"/>
          <w:szCs w:val="30"/>
        </w:rPr>
        <w:t>本指南所称非交易服务，包括债券分期偿还、回售及其转售、转股、换股、转托管、质押券出入库业务等，质押券出</w:t>
      </w:r>
      <w:r>
        <w:rPr>
          <w:rFonts w:hint="eastAsia" w:ascii="仿宋_GB2312" w:hAnsi="Calibri" w:eastAsia="仿宋_GB2312"/>
          <w:sz w:val="30"/>
          <w:szCs w:val="30"/>
        </w:rPr>
        <w:t>入库业务具体规定详见本指南第7章。各项业务实施系统平台详见下表：</w:t>
      </w:r>
    </w:p>
    <w:tbl>
      <w:tblPr>
        <w:tblStyle w:val="4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7"/>
        <w:gridCol w:w="4111"/>
      </w:tblGrid>
      <w:tr w14:paraId="3CF6E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977" w:type="dxa"/>
          </w:tcPr>
          <w:p w14:paraId="15B22BD6">
            <w:pPr>
              <w:rPr>
                <w:rFonts w:ascii="Calibri" w:hAnsi="Calibri" w:eastAsia="仿宋_GB2312"/>
                <w:b/>
                <w:sz w:val="24"/>
                <w:szCs w:val="24"/>
              </w:rPr>
            </w:pPr>
            <w:r>
              <w:rPr>
                <w:rFonts w:hint="eastAsia" w:ascii="Calibri" w:hAnsi="Calibri" w:eastAsia="仿宋_GB2312"/>
                <w:b/>
                <w:sz w:val="24"/>
                <w:szCs w:val="24"/>
              </w:rPr>
              <w:t>非交易业务类型</w:t>
            </w:r>
          </w:p>
        </w:tc>
        <w:tc>
          <w:tcPr>
            <w:tcW w:w="4111" w:type="dxa"/>
          </w:tcPr>
          <w:p w14:paraId="2D2278BA">
            <w:pPr>
              <w:rPr>
                <w:rFonts w:ascii="Calibri" w:hAnsi="Calibri" w:eastAsia="仿宋_GB2312"/>
                <w:b/>
                <w:sz w:val="24"/>
                <w:szCs w:val="24"/>
              </w:rPr>
            </w:pPr>
            <w:r>
              <w:rPr>
                <w:rFonts w:hint="eastAsia" w:ascii="Calibri" w:hAnsi="Calibri" w:eastAsia="仿宋_GB2312"/>
                <w:b/>
                <w:sz w:val="24"/>
                <w:szCs w:val="24"/>
              </w:rPr>
              <w:t>实施系统平台</w:t>
            </w:r>
          </w:p>
        </w:tc>
      </w:tr>
      <w:tr w14:paraId="12C9B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977" w:type="dxa"/>
          </w:tcPr>
          <w:p w14:paraId="27807ED3">
            <w:pPr>
              <w:rPr>
                <w:rFonts w:ascii="Calibri" w:hAnsi="Calibri" w:eastAsia="仿宋_GB2312"/>
                <w:b/>
                <w:sz w:val="24"/>
                <w:szCs w:val="24"/>
              </w:rPr>
            </w:pPr>
            <w:r>
              <w:rPr>
                <w:rFonts w:hint="eastAsia" w:ascii="Calibri" w:hAnsi="Calibri" w:eastAsia="仿宋_GB2312"/>
                <w:b/>
                <w:sz w:val="24"/>
                <w:szCs w:val="24"/>
              </w:rPr>
              <w:t>出入库</w:t>
            </w:r>
          </w:p>
        </w:tc>
        <w:tc>
          <w:tcPr>
            <w:tcW w:w="4111" w:type="dxa"/>
          </w:tcPr>
          <w:p w14:paraId="56825B02">
            <w:pPr>
              <w:rPr>
                <w:rFonts w:ascii="Calibri" w:hAnsi="Calibri" w:eastAsia="仿宋_GB2312"/>
                <w:sz w:val="24"/>
                <w:szCs w:val="24"/>
              </w:rPr>
            </w:pPr>
            <w:r>
              <w:rPr>
                <w:rFonts w:hint="eastAsia" w:ascii="Calibri" w:hAnsi="Calibri" w:eastAsia="仿宋_GB2312"/>
                <w:sz w:val="24"/>
                <w:szCs w:val="24"/>
              </w:rPr>
              <w:t>综合业务平台</w:t>
            </w:r>
          </w:p>
        </w:tc>
      </w:tr>
      <w:tr w14:paraId="02D4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977" w:type="dxa"/>
          </w:tcPr>
          <w:p w14:paraId="4071565C">
            <w:pPr>
              <w:rPr>
                <w:rFonts w:ascii="Calibri" w:hAnsi="Calibri" w:eastAsia="仿宋_GB2312"/>
                <w:b/>
                <w:sz w:val="24"/>
                <w:szCs w:val="24"/>
              </w:rPr>
            </w:pPr>
            <w:r>
              <w:rPr>
                <w:rFonts w:hint="eastAsia" w:ascii="Calibri" w:hAnsi="Calibri" w:eastAsia="仿宋_GB2312"/>
                <w:b/>
                <w:sz w:val="24"/>
                <w:szCs w:val="24"/>
              </w:rPr>
              <w:t>回售</w:t>
            </w:r>
          </w:p>
        </w:tc>
        <w:tc>
          <w:tcPr>
            <w:tcW w:w="4111" w:type="dxa"/>
          </w:tcPr>
          <w:p w14:paraId="1533AA4E">
            <w:pPr>
              <w:rPr>
                <w:rFonts w:hint="eastAsia" w:ascii="Calibri" w:hAnsi="Calibri" w:eastAsia="仿宋_GB2312"/>
                <w:sz w:val="24"/>
                <w:szCs w:val="24"/>
                <w:lang w:eastAsia="zh-CN"/>
              </w:rPr>
            </w:pPr>
            <w:r>
              <w:rPr>
                <w:rFonts w:hint="eastAsia" w:ascii="Calibri" w:hAnsi="Calibri" w:eastAsia="仿宋_GB2312"/>
                <w:sz w:val="24"/>
                <w:szCs w:val="24"/>
              </w:rPr>
              <w:t>综合业务平台、</w:t>
            </w:r>
            <w:r>
              <w:rPr>
                <w:rFonts w:hint="eastAsia" w:ascii="Calibri" w:hAnsi="Calibri" w:eastAsia="仿宋_GB2312"/>
                <w:sz w:val="24"/>
                <w:szCs w:val="24"/>
                <w:lang w:eastAsia="zh-CN"/>
              </w:rPr>
              <w:t>新固定收益系统</w:t>
            </w:r>
          </w:p>
        </w:tc>
      </w:tr>
      <w:tr w14:paraId="358FD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977" w:type="dxa"/>
          </w:tcPr>
          <w:p w14:paraId="4BB82A4E">
            <w:pPr>
              <w:rPr>
                <w:rFonts w:ascii="Calibri" w:hAnsi="Calibri" w:eastAsia="仿宋_GB2312"/>
                <w:b/>
                <w:sz w:val="24"/>
                <w:szCs w:val="24"/>
              </w:rPr>
            </w:pPr>
            <w:r>
              <w:rPr>
                <w:rFonts w:hint="eastAsia" w:ascii="Calibri" w:hAnsi="Calibri" w:eastAsia="仿宋_GB2312"/>
                <w:b/>
                <w:sz w:val="24"/>
                <w:szCs w:val="24"/>
              </w:rPr>
              <w:t>回售撤销</w:t>
            </w:r>
          </w:p>
        </w:tc>
        <w:tc>
          <w:tcPr>
            <w:tcW w:w="4111" w:type="dxa"/>
          </w:tcPr>
          <w:p w14:paraId="464854FE">
            <w:pPr>
              <w:rPr>
                <w:rFonts w:ascii="Calibri" w:hAnsi="Calibri" w:eastAsia="仿宋_GB2312"/>
                <w:sz w:val="24"/>
                <w:szCs w:val="24"/>
              </w:rPr>
            </w:pPr>
            <w:r>
              <w:rPr>
                <w:rFonts w:hint="eastAsia" w:ascii="Calibri" w:hAnsi="Calibri" w:eastAsia="仿宋_GB2312"/>
                <w:sz w:val="24"/>
                <w:szCs w:val="24"/>
                <w:lang w:eastAsia="zh-CN"/>
              </w:rPr>
              <w:t>新固定收益系统</w:t>
            </w:r>
          </w:p>
        </w:tc>
      </w:tr>
      <w:tr w14:paraId="1152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977" w:type="dxa"/>
          </w:tcPr>
          <w:p w14:paraId="3279C49E">
            <w:pPr>
              <w:rPr>
                <w:rFonts w:ascii="Calibri" w:hAnsi="Calibri" w:eastAsia="仿宋_GB2312"/>
                <w:b/>
                <w:sz w:val="24"/>
                <w:szCs w:val="24"/>
              </w:rPr>
            </w:pPr>
            <w:r>
              <w:rPr>
                <w:rFonts w:hint="eastAsia" w:ascii="Calibri" w:hAnsi="Calibri" w:eastAsia="仿宋_GB2312"/>
                <w:b/>
                <w:sz w:val="24"/>
                <w:szCs w:val="24"/>
              </w:rPr>
              <w:t>公募可转债转股</w:t>
            </w:r>
          </w:p>
        </w:tc>
        <w:tc>
          <w:tcPr>
            <w:tcW w:w="4111" w:type="dxa"/>
          </w:tcPr>
          <w:p w14:paraId="7D7E73C8">
            <w:pPr>
              <w:rPr>
                <w:rFonts w:ascii="Calibri" w:hAnsi="Calibri" w:eastAsia="仿宋_GB2312"/>
                <w:sz w:val="24"/>
                <w:szCs w:val="24"/>
              </w:rPr>
            </w:pPr>
            <w:r>
              <w:rPr>
                <w:rFonts w:hint="eastAsia" w:ascii="Calibri" w:hAnsi="Calibri" w:eastAsia="仿宋_GB2312"/>
                <w:sz w:val="24"/>
                <w:szCs w:val="24"/>
              </w:rPr>
              <w:t>综合业务平台</w:t>
            </w:r>
          </w:p>
        </w:tc>
      </w:tr>
      <w:tr w14:paraId="33C32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977" w:type="dxa"/>
          </w:tcPr>
          <w:p w14:paraId="5C4E4DAB">
            <w:pPr>
              <w:rPr>
                <w:rFonts w:ascii="Calibri" w:hAnsi="Calibri" w:eastAsia="仿宋_GB2312"/>
                <w:b/>
                <w:sz w:val="24"/>
                <w:szCs w:val="24"/>
              </w:rPr>
            </w:pPr>
            <w:r>
              <w:rPr>
                <w:rFonts w:hint="eastAsia" w:ascii="Calibri" w:hAnsi="Calibri" w:eastAsia="仿宋_GB2312"/>
                <w:b/>
                <w:sz w:val="24"/>
                <w:szCs w:val="24"/>
              </w:rPr>
              <w:t>私募可转债转股</w:t>
            </w:r>
          </w:p>
        </w:tc>
        <w:tc>
          <w:tcPr>
            <w:tcW w:w="4111" w:type="dxa"/>
          </w:tcPr>
          <w:p w14:paraId="0CC60D55">
            <w:pPr>
              <w:rPr>
                <w:rFonts w:ascii="Calibri" w:hAnsi="Calibri" w:eastAsia="仿宋_GB2312"/>
                <w:sz w:val="24"/>
                <w:szCs w:val="24"/>
              </w:rPr>
            </w:pPr>
            <w:r>
              <w:rPr>
                <w:rFonts w:hint="eastAsia" w:ascii="Calibri" w:hAnsi="Calibri" w:eastAsia="仿宋_GB2312"/>
                <w:sz w:val="24"/>
                <w:szCs w:val="24"/>
                <w:lang w:eastAsia="zh-CN"/>
              </w:rPr>
              <w:t>新固定收益系统</w:t>
            </w:r>
          </w:p>
        </w:tc>
      </w:tr>
      <w:tr w14:paraId="28BBF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977" w:type="dxa"/>
          </w:tcPr>
          <w:p w14:paraId="1E69370B">
            <w:pPr>
              <w:rPr>
                <w:rFonts w:ascii="Calibri" w:hAnsi="Calibri" w:eastAsia="仿宋_GB2312"/>
                <w:b/>
                <w:sz w:val="24"/>
                <w:szCs w:val="24"/>
              </w:rPr>
            </w:pPr>
            <w:r>
              <w:rPr>
                <w:rFonts w:hint="eastAsia" w:ascii="Calibri" w:hAnsi="Calibri" w:eastAsia="仿宋_GB2312"/>
                <w:b/>
                <w:sz w:val="24"/>
                <w:szCs w:val="24"/>
              </w:rPr>
              <w:t>公募可交债换股</w:t>
            </w:r>
          </w:p>
        </w:tc>
        <w:tc>
          <w:tcPr>
            <w:tcW w:w="4111" w:type="dxa"/>
          </w:tcPr>
          <w:p w14:paraId="3BFF9B0B">
            <w:pPr>
              <w:rPr>
                <w:rFonts w:ascii="Calibri" w:hAnsi="Calibri" w:eastAsia="仿宋_GB2312"/>
                <w:sz w:val="24"/>
                <w:szCs w:val="24"/>
              </w:rPr>
            </w:pPr>
            <w:r>
              <w:rPr>
                <w:rFonts w:hint="eastAsia" w:ascii="Calibri" w:hAnsi="Calibri" w:eastAsia="仿宋_GB2312"/>
                <w:sz w:val="24"/>
                <w:szCs w:val="24"/>
              </w:rPr>
              <w:t>综合业务平台</w:t>
            </w:r>
          </w:p>
        </w:tc>
      </w:tr>
      <w:tr w14:paraId="2AE99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2977" w:type="dxa"/>
          </w:tcPr>
          <w:p w14:paraId="5C8DED30">
            <w:pPr>
              <w:rPr>
                <w:rFonts w:ascii="Calibri" w:hAnsi="Calibri" w:eastAsia="仿宋_GB2312"/>
                <w:b/>
                <w:sz w:val="24"/>
                <w:szCs w:val="24"/>
              </w:rPr>
            </w:pPr>
            <w:r>
              <w:rPr>
                <w:rFonts w:hint="eastAsia" w:ascii="Calibri" w:hAnsi="Calibri" w:eastAsia="仿宋_GB2312"/>
                <w:b/>
                <w:sz w:val="24"/>
                <w:szCs w:val="24"/>
              </w:rPr>
              <w:t>私募可交债换股</w:t>
            </w:r>
          </w:p>
        </w:tc>
        <w:tc>
          <w:tcPr>
            <w:tcW w:w="4111" w:type="dxa"/>
          </w:tcPr>
          <w:p w14:paraId="76F6798F">
            <w:pPr>
              <w:rPr>
                <w:rFonts w:ascii="Calibri" w:hAnsi="Calibri" w:eastAsia="仿宋_GB2312"/>
                <w:sz w:val="24"/>
                <w:szCs w:val="24"/>
              </w:rPr>
            </w:pPr>
            <w:r>
              <w:rPr>
                <w:rFonts w:hint="eastAsia" w:ascii="Calibri" w:hAnsi="Calibri" w:eastAsia="仿宋_GB2312"/>
                <w:sz w:val="24"/>
                <w:szCs w:val="24"/>
                <w:lang w:eastAsia="zh-CN"/>
              </w:rPr>
              <w:t>新固定收益系统</w:t>
            </w:r>
          </w:p>
        </w:tc>
      </w:tr>
      <w:tr w14:paraId="6B3F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977" w:type="dxa"/>
          </w:tcPr>
          <w:p w14:paraId="4A44F214">
            <w:pPr>
              <w:rPr>
                <w:rFonts w:ascii="Calibri" w:hAnsi="Calibri" w:eastAsia="仿宋_GB2312"/>
                <w:b/>
                <w:sz w:val="24"/>
                <w:szCs w:val="24"/>
              </w:rPr>
            </w:pPr>
            <w:r>
              <w:rPr>
                <w:rFonts w:hint="eastAsia" w:ascii="Calibri" w:hAnsi="Calibri" w:eastAsia="仿宋_GB2312"/>
                <w:b/>
                <w:sz w:val="24"/>
                <w:szCs w:val="24"/>
              </w:rPr>
              <w:t>转托管</w:t>
            </w:r>
          </w:p>
        </w:tc>
        <w:tc>
          <w:tcPr>
            <w:tcW w:w="4111" w:type="dxa"/>
          </w:tcPr>
          <w:p w14:paraId="4AEA3A27">
            <w:pPr>
              <w:rPr>
                <w:rFonts w:ascii="Calibri" w:hAnsi="Calibri" w:eastAsia="仿宋_GB2312"/>
                <w:sz w:val="24"/>
                <w:szCs w:val="24"/>
              </w:rPr>
            </w:pPr>
            <w:r>
              <w:rPr>
                <w:rFonts w:hint="eastAsia" w:ascii="Calibri" w:hAnsi="Calibri" w:eastAsia="仿宋_GB2312"/>
                <w:sz w:val="24"/>
                <w:szCs w:val="24"/>
                <w:lang w:eastAsia="zh-CN"/>
              </w:rPr>
              <w:t>新固定收益系统</w:t>
            </w:r>
          </w:p>
        </w:tc>
      </w:tr>
    </w:tbl>
    <w:p w14:paraId="0DBA0BB5">
      <w:pPr>
        <w:numPr>
          <w:ilvl w:val="1"/>
          <w:numId w:val="4"/>
        </w:numPr>
        <w:spacing w:line="600" w:lineRule="exact"/>
        <w:ind w:left="0" w:firstLine="0"/>
        <w:outlineLvl w:val="1"/>
        <w:rPr>
          <w:rFonts w:ascii="仿宋_GB2312" w:eastAsia="仿宋_GB2312"/>
          <w:b/>
          <w:sz w:val="30"/>
          <w:szCs w:val="30"/>
        </w:rPr>
      </w:pPr>
      <w:bookmarkStart w:id="2500" w:name="_Toc816568287"/>
      <w:bookmarkStart w:id="2501" w:name="_Toc952091279"/>
      <w:bookmarkStart w:id="2502" w:name="_Toc151137055"/>
      <w:bookmarkStart w:id="2503" w:name="_Toc24459968"/>
      <w:bookmarkStart w:id="2504" w:name="_Toc19542087"/>
      <w:bookmarkStart w:id="2505" w:name="_Toc56166105"/>
      <w:bookmarkStart w:id="2506" w:name="_Toc867746499"/>
      <w:bookmarkStart w:id="2507" w:name="_Toc34763062"/>
      <w:bookmarkStart w:id="2508" w:name="_Toc1838706143"/>
      <w:bookmarkStart w:id="2509" w:name="_Toc16497831"/>
      <w:bookmarkStart w:id="2510" w:name="_Toc684761277"/>
      <w:bookmarkStart w:id="2511" w:name="_Toc1381995790"/>
      <w:bookmarkStart w:id="2512" w:name="_Toc56166294"/>
      <w:r>
        <w:rPr>
          <w:rFonts w:hint="eastAsia" w:ascii="仿宋_GB2312" w:eastAsia="仿宋_GB2312"/>
          <w:b/>
          <w:sz w:val="30"/>
          <w:szCs w:val="30"/>
        </w:rPr>
        <w:t>分期偿还</w:t>
      </w:r>
      <w:bookmarkEnd w:id="2500"/>
      <w:bookmarkEnd w:id="2501"/>
      <w:bookmarkEnd w:id="2502"/>
      <w:bookmarkEnd w:id="2503"/>
      <w:bookmarkEnd w:id="2504"/>
      <w:bookmarkEnd w:id="2505"/>
      <w:bookmarkEnd w:id="2506"/>
      <w:bookmarkEnd w:id="2507"/>
      <w:bookmarkEnd w:id="2508"/>
      <w:bookmarkEnd w:id="2509"/>
      <w:bookmarkEnd w:id="2510"/>
      <w:bookmarkEnd w:id="2511"/>
      <w:bookmarkEnd w:id="2512"/>
    </w:p>
    <w:p w14:paraId="68C8D53F">
      <w:pPr>
        <w:numPr>
          <w:ilvl w:val="2"/>
          <w:numId w:val="4"/>
        </w:numPr>
        <w:spacing w:line="600" w:lineRule="exact"/>
        <w:ind w:left="0" w:firstLine="0"/>
        <w:outlineLvl w:val="2"/>
        <w:rPr>
          <w:rFonts w:ascii="仿宋_GB2312" w:hAnsi="Calibri" w:eastAsia="仿宋_GB2312"/>
          <w:b/>
          <w:bCs/>
          <w:sz w:val="30"/>
          <w:szCs w:val="30"/>
        </w:rPr>
      </w:pPr>
      <w:r>
        <w:rPr>
          <w:rFonts w:hint="eastAsia" w:ascii="Calibri" w:hAnsi="Calibri" w:eastAsia="仿宋_GB2312"/>
          <w:b/>
          <w:bCs/>
          <w:sz w:val="30"/>
          <w:szCs w:val="30"/>
        </w:rPr>
        <w:t>分期偿还定义</w:t>
      </w:r>
    </w:p>
    <w:p w14:paraId="20E89C49">
      <w:pPr>
        <w:spacing w:line="600" w:lineRule="exact"/>
        <w:ind w:firstLine="600" w:firstLineChars="200"/>
        <w:rPr>
          <w:rFonts w:ascii="仿宋_GB2312" w:hAnsi="Calibri" w:eastAsia="仿宋_GB2312"/>
          <w:sz w:val="30"/>
          <w:szCs w:val="30"/>
        </w:rPr>
      </w:pPr>
      <w:r>
        <w:rPr>
          <w:rFonts w:hint="eastAsia" w:ascii="Calibri" w:hAnsi="Calibri" w:eastAsia="仿宋_GB2312"/>
          <w:sz w:val="30"/>
          <w:szCs w:val="30"/>
        </w:rPr>
        <w:t>债券分期偿还是指债券发行人根据发行文件约定分期偿还债券本金。</w:t>
      </w:r>
      <w:r>
        <w:rPr>
          <w:rFonts w:hint="eastAsia" w:ascii="仿宋_GB2312" w:hAnsi="Calibri" w:eastAsia="仿宋_GB2312"/>
          <w:sz w:val="30"/>
          <w:szCs w:val="30"/>
        </w:rPr>
        <w:t>债券分期偿还可采用减少面额、减少持仓或本所认可的其他方式办理。</w:t>
      </w:r>
    </w:p>
    <w:p w14:paraId="06272CA5">
      <w:pPr>
        <w:numPr>
          <w:ilvl w:val="2"/>
          <w:numId w:val="4"/>
        </w:numPr>
        <w:spacing w:line="600" w:lineRule="exact"/>
        <w:ind w:left="0" w:firstLine="0"/>
        <w:outlineLvl w:val="2"/>
        <w:rPr>
          <w:rFonts w:ascii="Calibri" w:hAnsi="Calibri" w:eastAsia="仿宋_GB2312"/>
          <w:b/>
          <w:sz w:val="30"/>
          <w:szCs w:val="30"/>
        </w:rPr>
      </w:pPr>
      <w:r>
        <w:rPr>
          <w:rFonts w:hint="eastAsia" w:ascii="Calibri" w:hAnsi="Calibri" w:eastAsia="仿宋_GB2312"/>
          <w:b/>
          <w:sz w:val="30"/>
          <w:szCs w:val="30"/>
        </w:rPr>
        <w:t>减</w:t>
      </w:r>
      <w:r>
        <w:rPr>
          <w:rFonts w:hint="eastAsia" w:ascii="仿宋_GB2312" w:eastAsia="仿宋_GB2312"/>
          <w:b/>
          <w:sz w:val="30"/>
          <w:szCs w:val="30"/>
        </w:rPr>
        <w:t>面额</w:t>
      </w:r>
      <w:r>
        <w:rPr>
          <w:rFonts w:hint="eastAsia" w:ascii="Calibri" w:hAnsi="Calibri" w:eastAsia="仿宋_GB2312"/>
          <w:b/>
          <w:sz w:val="30"/>
          <w:szCs w:val="30"/>
        </w:rPr>
        <w:t>方式</w:t>
      </w:r>
    </w:p>
    <w:p w14:paraId="1FD22F73">
      <w:pPr>
        <w:spacing w:line="600" w:lineRule="exact"/>
        <w:ind w:firstLine="600" w:firstLineChars="200"/>
        <w:rPr>
          <w:rFonts w:ascii="Calibri" w:hAnsi="Calibri" w:eastAsia="仿宋_GB2312"/>
          <w:sz w:val="30"/>
          <w:szCs w:val="30"/>
        </w:rPr>
      </w:pPr>
      <w:r>
        <w:rPr>
          <w:rFonts w:hint="eastAsia" w:ascii="Calibri" w:hAnsi="Calibri" w:eastAsia="仿宋_GB2312"/>
          <w:sz w:val="30"/>
          <w:szCs w:val="30"/>
        </w:rPr>
        <w:t>债券分期偿还采取减少面额的方式，按照以下规定办理：</w:t>
      </w:r>
    </w:p>
    <w:p w14:paraId="4B1CFE29">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（1）债券持仓数量保持不变，债券面额根据已偿还比例相应减少。面额计算公式为：减少后的面额</w:t>
      </w:r>
      <w:r>
        <w:rPr>
          <w:rFonts w:ascii="仿宋_GB2312" w:hAnsi="宋体" w:eastAsia="仿宋_GB2312"/>
          <w:sz w:val="30"/>
          <w:szCs w:val="30"/>
        </w:rPr>
        <w:t>=发行</w:t>
      </w:r>
      <w:r>
        <w:rPr>
          <w:rFonts w:hint="eastAsia" w:ascii="仿宋_GB2312" w:hAnsi="宋体" w:eastAsia="仿宋_GB2312"/>
          <w:sz w:val="30"/>
          <w:szCs w:val="30"/>
        </w:rPr>
        <w:t>面额×未偿还比例。</w:t>
      </w:r>
    </w:p>
    <w:p w14:paraId="780E531D">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（2）债券交易申报价格采用“减少后的面额所对应债券的价格”。</w:t>
      </w:r>
    </w:p>
    <w:p w14:paraId="3D1F7844">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（3）本所在权益登记日次一交易日作除权处理。</w:t>
      </w:r>
      <w:r>
        <w:rPr>
          <w:rFonts w:hint="eastAsia" w:ascii="仿宋_GB2312" w:hAnsi="Calibri" w:eastAsia="仿宋_GB2312"/>
          <w:color w:val="000000"/>
          <w:sz w:val="30"/>
          <w:szCs w:val="30"/>
        </w:rPr>
        <w:t>除权日即时行情中显示的该债券的前收盘价为除权参考价。</w:t>
      </w:r>
      <w:r>
        <w:rPr>
          <w:rFonts w:hint="eastAsia" w:ascii="仿宋_GB2312" w:hAnsi="宋体" w:eastAsia="仿宋_GB2312"/>
          <w:sz w:val="30"/>
          <w:szCs w:val="30"/>
        </w:rPr>
        <w:t>除权参考价格的计算公式为：除权参考价格</w:t>
      </w:r>
      <w:r>
        <w:rPr>
          <w:rFonts w:ascii="仿宋_GB2312" w:hAnsi="宋体" w:eastAsia="仿宋_GB2312"/>
          <w:sz w:val="30"/>
          <w:szCs w:val="30"/>
        </w:rPr>
        <w:t>=前收盘价格-100元×本次偿还比例。</w:t>
      </w:r>
      <w:r>
        <w:rPr>
          <w:rFonts w:hint="eastAsia" w:ascii="仿宋_GB2312" w:hAnsi="宋体" w:eastAsia="仿宋_GB2312"/>
          <w:sz w:val="30"/>
          <w:szCs w:val="30"/>
        </w:rPr>
        <w:t>若计算出的除权参考价为负值，则本所不进行除权处理，即除权参考价格=分期偿还日前一日的收盘价。</w:t>
      </w:r>
    </w:p>
    <w:p w14:paraId="334B177B">
      <w:pPr>
        <w:numPr>
          <w:ilvl w:val="2"/>
          <w:numId w:val="4"/>
        </w:numPr>
        <w:spacing w:line="600" w:lineRule="exact"/>
        <w:ind w:left="0" w:firstLine="0"/>
        <w:outlineLvl w:val="2"/>
        <w:rPr>
          <w:rFonts w:ascii="仿宋_GB2312" w:hAnsi="宋体" w:eastAsia="仿宋_GB2312"/>
          <w:b/>
          <w:sz w:val="30"/>
          <w:szCs w:val="30"/>
        </w:rPr>
      </w:pPr>
      <w:r>
        <w:rPr>
          <w:rFonts w:hint="eastAsia" w:ascii="仿宋_GB2312" w:hAnsi="宋体" w:eastAsia="仿宋_GB2312"/>
          <w:b/>
          <w:sz w:val="30"/>
          <w:szCs w:val="30"/>
        </w:rPr>
        <w:t>减持仓方式</w:t>
      </w:r>
    </w:p>
    <w:p w14:paraId="6011B0A5">
      <w:pPr>
        <w:spacing w:line="600" w:lineRule="exact"/>
        <w:ind w:firstLine="600" w:firstLineChars="200"/>
        <w:rPr>
          <w:rFonts w:ascii="仿宋_GB2312" w:hAnsi="宋体" w:eastAsia="仿宋_GB2312"/>
          <w:sz w:val="30"/>
          <w:szCs w:val="30"/>
        </w:rPr>
      </w:pPr>
      <w:r>
        <w:rPr>
          <w:rFonts w:ascii="仿宋_GB2312" w:hAnsi="宋体" w:eastAsia="仿宋_GB2312"/>
          <w:sz w:val="30"/>
          <w:szCs w:val="30"/>
        </w:rPr>
        <w:t>债券分期偿采取减少持仓</w:t>
      </w:r>
      <w:r>
        <w:rPr>
          <w:rFonts w:hint="eastAsia" w:ascii="仿宋_GB2312" w:hAnsi="宋体" w:eastAsia="仿宋_GB2312"/>
          <w:sz w:val="30"/>
          <w:szCs w:val="30"/>
        </w:rPr>
        <w:t>方式的，债券面额保持不变，债券持仓数量根据已偿还比例相应减少。由此产生的不足</w:t>
      </w:r>
      <w:r>
        <w:rPr>
          <w:rFonts w:ascii="仿宋_GB2312" w:hAnsi="宋体" w:eastAsia="仿宋_GB2312"/>
          <w:sz w:val="30"/>
          <w:szCs w:val="30"/>
        </w:rPr>
        <w:t>1000元</w:t>
      </w:r>
      <w:r>
        <w:rPr>
          <w:rFonts w:hint="eastAsia" w:ascii="仿宋_GB2312" w:hAnsi="宋体" w:eastAsia="仿宋_GB2312"/>
          <w:sz w:val="30"/>
          <w:szCs w:val="30"/>
        </w:rPr>
        <w:t>面额债券，应当予以全部偿还。</w:t>
      </w:r>
    </w:p>
    <w:p w14:paraId="5AE7AF8B">
      <w:pPr>
        <w:numPr>
          <w:ilvl w:val="2"/>
          <w:numId w:val="4"/>
        </w:numPr>
        <w:spacing w:line="600" w:lineRule="exact"/>
        <w:ind w:left="0" w:firstLine="0"/>
        <w:outlineLvl w:val="2"/>
        <w:rPr>
          <w:rFonts w:ascii="仿宋_GB2312" w:hAnsi="Calibri" w:eastAsia="仿宋_GB2312"/>
          <w:b/>
          <w:sz w:val="30"/>
          <w:szCs w:val="30"/>
        </w:rPr>
      </w:pPr>
      <w:r>
        <w:rPr>
          <w:rFonts w:hint="eastAsia" w:ascii="仿宋_GB2312" w:hAnsi="宋体" w:eastAsia="仿宋_GB2312"/>
          <w:b/>
          <w:sz w:val="30"/>
          <w:szCs w:val="30"/>
        </w:rPr>
        <w:t>信息披露</w:t>
      </w:r>
    </w:p>
    <w:p w14:paraId="5A1E96C5">
      <w:pPr>
        <w:spacing w:line="600" w:lineRule="exact"/>
        <w:ind w:firstLine="600" w:firstLineChars="200"/>
        <w:rPr>
          <w:rFonts w:ascii="仿宋_GB2312" w:hAnsi="Calibri" w:eastAsia="仿宋_GB2312"/>
          <w:sz w:val="30"/>
          <w:szCs w:val="30"/>
        </w:rPr>
      </w:pPr>
      <w:r>
        <w:rPr>
          <w:rFonts w:hint="eastAsia" w:ascii="仿宋_GB2312" w:hAnsi="宋体" w:eastAsia="仿宋_GB2312"/>
          <w:sz w:val="30"/>
          <w:szCs w:val="30"/>
        </w:rPr>
        <w:t>债券投资者可通过本所官网、</w:t>
      </w:r>
      <w:r>
        <w:rPr>
          <w:rFonts w:hint="eastAsia" w:ascii="仿宋_GB2312" w:hAnsi="宋体" w:eastAsia="仿宋_GB2312"/>
          <w:sz w:val="30"/>
          <w:szCs w:val="30"/>
          <w:lang w:eastAsia="zh-CN"/>
        </w:rPr>
        <w:t>上证</w:t>
      </w:r>
      <w:r>
        <w:rPr>
          <w:rFonts w:hint="eastAsia" w:ascii="仿宋_GB2312" w:hAnsi="宋体" w:eastAsia="仿宋_GB2312"/>
          <w:sz w:val="30"/>
          <w:szCs w:val="30"/>
        </w:rPr>
        <w:t>债券信息网等本所信息披露平台查看</w:t>
      </w:r>
      <w:r>
        <w:rPr>
          <w:rFonts w:hint="eastAsia" w:ascii="仿宋_GB2312" w:hAnsi="Calibri" w:eastAsia="仿宋_GB2312"/>
          <w:sz w:val="30"/>
          <w:szCs w:val="30"/>
        </w:rPr>
        <w:t>下列信息披露文件与信息：</w:t>
      </w:r>
    </w:p>
    <w:p w14:paraId="266D7842">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w:t>
      </w:r>
      <w:r>
        <w:rPr>
          <w:rFonts w:ascii="仿宋_GB2312" w:hAnsi="宋体" w:eastAsia="仿宋_GB2312"/>
          <w:sz w:val="30"/>
          <w:szCs w:val="30"/>
        </w:rPr>
        <w:t>1）</w:t>
      </w:r>
      <w:r>
        <w:rPr>
          <w:rFonts w:hint="eastAsia" w:ascii="Calibri" w:hAnsi="Calibri" w:eastAsia="仿宋_GB2312"/>
          <w:sz w:val="30"/>
          <w:szCs w:val="30"/>
        </w:rPr>
        <w:t>分期偿还本金公告。发行人</w:t>
      </w:r>
      <w:r>
        <w:rPr>
          <w:rFonts w:hint="eastAsia" w:ascii="仿宋_GB2312" w:hAnsi="Calibri" w:eastAsia="仿宋_GB2312"/>
          <w:sz w:val="30"/>
          <w:szCs w:val="30"/>
        </w:rPr>
        <w:t>提前5个交易日披露</w:t>
      </w:r>
      <w:r>
        <w:rPr>
          <w:rFonts w:hint="eastAsia" w:ascii="仿宋_GB2312" w:hAnsi="宋体" w:eastAsia="仿宋_GB2312"/>
          <w:sz w:val="30"/>
          <w:szCs w:val="30"/>
        </w:rPr>
        <w:t>分期偿还本金公告</w:t>
      </w:r>
      <w:r>
        <w:rPr>
          <w:rFonts w:hint="eastAsia" w:ascii="仿宋_GB2312" w:hAnsi="Calibri" w:eastAsia="仿宋_GB2312"/>
          <w:sz w:val="30"/>
          <w:szCs w:val="30"/>
        </w:rPr>
        <w:t>，具体披露信息包括</w:t>
      </w:r>
      <w:r>
        <w:rPr>
          <w:rFonts w:hint="eastAsia" w:ascii="仿宋_GB2312" w:hAnsi="宋体" w:eastAsia="仿宋_GB2312"/>
          <w:sz w:val="30"/>
          <w:szCs w:val="30"/>
        </w:rPr>
        <w:t>本期债券基本情况及债权登记日、债券面额变更情况、开盘参考价调整方式等。</w:t>
      </w:r>
    </w:p>
    <w:p w14:paraId="323655B1">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w:t>
      </w:r>
      <w:r>
        <w:rPr>
          <w:rFonts w:ascii="仿宋_GB2312" w:hAnsi="宋体" w:eastAsia="仿宋_GB2312"/>
          <w:sz w:val="30"/>
          <w:szCs w:val="30"/>
        </w:rPr>
        <w:t>2）</w:t>
      </w:r>
      <w:r>
        <w:rPr>
          <w:rFonts w:hint="eastAsia" w:ascii="仿宋_GB2312" w:hAnsi="Calibri" w:eastAsia="仿宋_GB2312"/>
          <w:sz w:val="30"/>
          <w:szCs w:val="30"/>
        </w:rPr>
        <w:t>债券分期偿还提示性公告。</w:t>
      </w:r>
      <w:r>
        <w:rPr>
          <w:rFonts w:hint="eastAsia" w:ascii="仿宋_GB2312" w:hAnsi="宋体" w:eastAsia="仿宋_GB2312"/>
          <w:sz w:val="30"/>
          <w:szCs w:val="30"/>
        </w:rPr>
        <w:t>发行人通过本所披露的至少三次提示性公告中披露债券面额计算方法、开盘参考价调整方式等。</w:t>
      </w:r>
    </w:p>
    <w:p w14:paraId="7B160674">
      <w:pPr>
        <w:numPr>
          <w:ilvl w:val="1"/>
          <w:numId w:val="4"/>
        </w:numPr>
        <w:spacing w:line="600" w:lineRule="exact"/>
        <w:ind w:left="0" w:firstLine="0"/>
        <w:outlineLvl w:val="1"/>
        <w:rPr>
          <w:rFonts w:ascii="仿宋_GB2312" w:eastAsia="仿宋_GB2312"/>
          <w:b/>
          <w:sz w:val="30"/>
          <w:szCs w:val="30"/>
        </w:rPr>
      </w:pPr>
      <w:bookmarkStart w:id="2513" w:name="_Toc1560419682"/>
      <w:bookmarkStart w:id="2514" w:name="_Toc56166106"/>
      <w:bookmarkStart w:id="2515" w:name="_Toc2068715400"/>
      <w:bookmarkStart w:id="2516" w:name="_Toc14166608"/>
      <w:bookmarkStart w:id="2517" w:name="_Toc24459969"/>
      <w:bookmarkStart w:id="2518" w:name="_Toc642274977"/>
      <w:bookmarkStart w:id="2519" w:name="_Toc34763063"/>
      <w:bookmarkStart w:id="2520" w:name="_Toc151137056"/>
      <w:bookmarkStart w:id="2521" w:name="_Toc1767062973"/>
      <w:bookmarkStart w:id="2522" w:name="_Toc1171995118"/>
      <w:bookmarkStart w:id="2523" w:name="_Toc16497832"/>
      <w:bookmarkStart w:id="2524" w:name="_Toc19542088"/>
      <w:bookmarkStart w:id="2525" w:name="_Toc56166295"/>
      <w:bookmarkStart w:id="2526" w:name="_Toc682488501"/>
      <w:r>
        <w:rPr>
          <w:rFonts w:hint="eastAsia" w:ascii="仿宋_GB2312" w:eastAsia="仿宋_GB2312"/>
          <w:b/>
          <w:sz w:val="30"/>
          <w:szCs w:val="30"/>
        </w:rPr>
        <w:t>债券回售</w:t>
      </w:r>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p>
    <w:p w14:paraId="2B1DDC40">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回售准备</w:t>
      </w:r>
    </w:p>
    <w:p w14:paraId="2EB64653">
      <w:pPr>
        <w:spacing w:line="600" w:lineRule="exact"/>
        <w:ind w:firstLine="600" w:firstLineChars="200"/>
        <w:jc w:val="left"/>
        <w:rPr>
          <w:rFonts w:ascii="Calibri" w:hAnsi="Calibri" w:eastAsia="仿宋_GB2312"/>
          <w:sz w:val="30"/>
          <w:szCs w:val="30"/>
        </w:rPr>
      </w:pPr>
      <w:r>
        <w:rPr>
          <w:rFonts w:hint="eastAsia" w:ascii="Calibri" w:hAnsi="Calibri" w:eastAsia="仿宋_GB2312"/>
          <w:sz w:val="30"/>
          <w:szCs w:val="30"/>
        </w:rPr>
        <w:t>债券投资者可根据发行文件约定在一定期限内行使向发行人售出债券的权利。</w:t>
      </w:r>
    </w:p>
    <w:p w14:paraId="29B0C731">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设定持有人回售选择权的债券，持有人有权选择在回售登记期内进行登记，将持有的债券按回售价格全部或部分回售给发行人，或选择继续持有债券。</w:t>
      </w:r>
    </w:p>
    <w:p w14:paraId="3F8EEFE0">
      <w:pPr>
        <w:spacing w:line="600" w:lineRule="exact"/>
        <w:ind w:firstLine="600" w:firstLineChars="200"/>
        <w:jc w:val="left"/>
        <w:rPr>
          <w:rFonts w:ascii="仿宋_GB2312" w:hAnsi="Calibri" w:eastAsia="仿宋_GB2312"/>
          <w:sz w:val="30"/>
          <w:szCs w:val="30"/>
        </w:rPr>
      </w:pPr>
      <w:r>
        <w:rPr>
          <w:rFonts w:hint="eastAsia" w:ascii="仿宋_GB2312" w:hAnsi="宋体" w:eastAsia="仿宋_GB2312"/>
          <w:sz w:val="30"/>
          <w:szCs w:val="30"/>
        </w:rPr>
        <w:t>债券投资者可通过</w:t>
      </w:r>
      <w:r>
        <w:rPr>
          <w:rFonts w:ascii="仿宋_GB2312" w:hAnsi="宋体" w:eastAsia="仿宋_GB2312"/>
          <w:sz w:val="30"/>
          <w:szCs w:val="30"/>
        </w:rPr>
        <w:t>本所官网、</w:t>
      </w:r>
      <w:r>
        <w:rPr>
          <w:rFonts w:hint="eastAsia" w:ascii="仿宋_GB2312" w:hAnsi="宋体" w:eastAsia="仿宋_GB2312"/>
          <w:sz w:val="30"/>
          <w:szCs w:val="30"/>
          <w:lang w:eastAsia="zh-CN"/>
        </w:rPr>
        <w:t>上证</w:t>
      </w:r>
      <w:r>
        <w:rPr>
          <w:rFonts w:ascii="仿宋_GB2312" w:hAnsi="宋体" w:eastAsia="仿宋_GB2312"/>
          <w:sz w:val="30"/>
          <w:szCs w:val="30"/>
        </w:rPr>
        <w:t>债券信息网等本所信息披露平台查看</w:t>
      </w:r>
      <w:r>
        <w:rPr>
          <w:rFonts w:hint="eastAsia" w:ascii="仿宋_GB2312" w:hAnsi="Calibri" w:eastAsia="仿宋_GB2312"/>
          <w:sz w:val="30"/>
          <w:szCs w:val="30"/>
        </w:rPr>
        <w:t>下列有关债券回售的信息披露文件：</w:t>
      </w:r>
    </w:p>
    <w:p w14:paraId="16252629">
      <w:pPr>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（1）回售实施公告。公告内容包括回售登记期、回售价格、回售登记办法、回售资金兑付日、是否可撤销、是否转售等。</w:t>
      </w:r>
    </w:p>
    <w:p w14:paraId="4E94FD92">
      <w:pPr>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（2）回售结果公告。公告内容包括回售金额、回售有效登记数量、拟转售债券金额、转售期、注销金额等。</w:t>
      </w:r>
    </w:p>
    <w:p w14:paraId="141B112A">
      <w:pPr>
        <w:numPr>
          <w:ilvl w:val="2"/>
          <w:numId w:val="4"/>
        </w:numPr>
        <w:spacing w:line="600" w:lineRule="exact"/>
        <w:ind w:left="0" w:firstLine="0"/>
        <w:outlineLvl w:val="2"/>
        <w:rPr>
          <w:rFonts w:ascii="仿宋_GB2312" w:eastAsia="仿宋_GB2312"/>
          <w:b/>
          <w:sz w:val="30"/>
          <w:szCs w:val="30"/>
        </w:rPr>
      </w:pPr>
      <w:bookmarkStart w:id="2527" w:name="_Toc16497835"/>
      <w:bookmarkStart w:id="2528" w:name="_Toc34763066"/>
      <w:bookmarkStart w:id="2529" w:name="_Toc19542091"/>
      <w:bookmarkStart w:id="2530" w:name="_Toc24459972"/>
      <w:r>
        <w:rPr>
          <w:rFonts w:hint="eastAsia" w:ascii="仿宋_GB2312" w:eastAsia="仿宋_GB2312"/>
          <w:b/>
          <w:sz w:val="30"/>
          <w:szCs w:val="30"/>
        </w:rPr>
        <w:t>回售申报</w:t>
      </w:r>
      <w:bookmarkEnd w:id="2527"/>
      <w:bookmarkEnd w:id="2528"/>
      <w:bookmarkEnd w:id="2529"/>
      <w:bookmarkEnd w:id="2530"/>
    </w:p>
    <w:p w14:paraId="1D05E349">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回售登记期内，债券投资者可以通过本所</w:t>
      </w:r>
      <w:r>
        <w:rPr>
          <w:rFonts w:hint="eastAsia" w:ascii="仿宋_GB2312" w:hAnsi="Calibri" w:eastAsia="仿宋_GB2312"/>
          <w:sz w:val="30"/>
          <w:szCs w:val="30"/>
        </w:rPr>
        <w:t>新固定收益系统</w:t>
      </w:r>
      <w:r>
        <w:rPr>
          <w:rFonts w:hint="eastAsia" w:ascii="仿宋_GB2312" w:hAnsi="宋体" w:eastAsia="仿宋_GB2312"/>
          <w:sz w:val="30"/>
          <w:szCs w:val="30"/>
        </w:rPr>
        <w:t>、综合业务平台或本所认可的其他方式进行债券回售申报。未做回售申报的，视为继续持有债券。</w:t>
      </w:r>
    </w:p>
    <w:p w14:paraId="061E7D1C">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（1）公募可转债</w:t>
      </w:r>
      <w:r>
        <w:rPr>
          <w:rFonts w:ascii="仿宋_GB2312" w:hAnsi="宋体" w:eastAsia="仿宋_GB2312"/>
          <w:sz w:val="30"/>
          <w:szCs w:val="30"/>
        </w:rPr>
        <w:t>以外的</w:t>
      </w:r>
      <w:r>
        <w:rPr>
          <w:rFonts w:hint="eastAsia" w:ascii="仿宋_GB2312" w:hAnsi="宋体" w:eastAsia="仿宋_GB2312"/>
          <w:sz w:val="30"/>
          <w:szCs w:val="30"/>
        </w:rPr>
        <w:t>债券</w:t>
      </w:r>
      <w:r>
        <w:rPr>
          <w:rFonts w:ascii="仿宋_GB2312" w:hAnsi="宋体" w:eastAsia="仿宋_GB2312"/>
          <w:sz w:val="30"/>
          <w:szCs w:val="30"/>
        </w:rPr>
        <w:t>回售</w:t>
      </w:r>
    </w:p>
    <w:p w14:paraId="085E8340">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在</w:t>
      </w:r>
      <w:r>
        <w:rPr>
          <w:rFonts w:ascii="仿宋_GB2312" w:hAnsi="Calibri" w:eastAsia="仿宋_GB2312"/>
          <w:sz w:val="30"/>
          <w:szCs w:val="30"/>
        </w:rPr>
        <w:t>回售登记期内，</w:t>
      </w:r>
      <w:r>
        <w:rPr>
          <w:rFonts w:hint="eastAsia" w:ascii="仿宋_GB2312" w:hAnsi="Calibri" w:eastAsia="仿宋_GB2312"/>
          <w:sz w:val="30"/>
          <w:szCs w:val="30"/>
        </w:rPr>
        <w:t>债券投资者可以通过新固定收益系统进行回售申报；</w:t>
      </w:r>
      <w:r>
        <w:rPr>
          <w:rFonts w:hint="eastAsia" w:ascii="仿宋_GB2312" w:hAnsi="仿宋" w:eastAsia="仿宋_GB2312"/>
          <w:sz w:val="30"/>
          <w:szCs w:val="30"/>
        </w:rPr>
        <w:t>其中，</w:t>
      </w:r>
      <w:r>
        <w:rPr>
          <w:rFonts w:ascii="仿宋_GB2312" w:hAnsi="仿宋" w:eastAsia="仿宋_GB2312"/>
          <w:sz w:val="30"/>
          <w:szCs w:val="30"/>
        </w:rPr>
        <w:t>在</w:t>
      </w:r>
      <w:r>
        <w:rPr>
          <w:rFonts w:hint="eastAsia" w:ascii="仿宋_GB2312" w:hAnsi="仿宋" w:eastAsia="仿宋_GB2312"/>
          <w:sz w:val="30"/>
          <w:szCs w:val="30"/>
        </w:rPr>
        <w:t>新债券交易系统</w:t>
      </w:r>
      <w:r>
        <w:rPr>
          <w:rFonts w:hint="eastAsia" w:ascii="仿宋_GB2312" w:hAnsi="Calibri" w:eastAsia="仿宋_GB2312"/>
          <w:sz w:val="30"/>
          <w:szCs w:val="30"/>
        </w:rPr>
        <w:t>和新固定收益系统双边挂牌的债券，债券投资者还可以通过综合业务平台进行回售申报。</w:t>
      </w:r>
    </w:p>
    <w:p w14:paraId="167C5E2F">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（2）公募</w:t>
      </w:r>
      <w:r>
        <w:rPr>
          <w:rFonts w:ascii="仿宋_GB2312" w:hAnsi="Calibri" w:eastAsia="仿宋_GB2312"/>
          <w:sz w:val="30"/>
          <w:szCs w:val="30"/>
        </w:rPr>
        <w:t>可转债回售</w:t>
      </w:r>
    </w:p>
    <w:p w14:paraId="4B5256CB">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在公募</w:t>
      </w:r>
      <w:r>
        <w:rPr>
          <w:rFonts w:ascii="仿宋_GB2312" w:hAnsi="Calibri" w:eastAsia="仿宋_GB2312"/>
          <w:sz w:val="30"/>
          <w:szCs w:val="30"/>
        </w:rPr>
        <w:t>可转债的回售登记期内，债券投资者可以通过综合业务平台进行回售申报。</w:t>
      </w:r>
    </w:p>
    <w:p w14:paraId="5255299D">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（3）回售</w:t>
      </w:r>
      <w:r>
        <w:rPr>
          <w:rFonts w:ascii="仿宋_GB2312" w:hAnsi="宋体" w:eastAsia="仿宋_GB2312"/>
          <w:sz w:val="30"/>
          <w:szCs w:val="30"/>
        </w:rPr>
        <w:t>申报流程</w:t>
      </w:r>
    </w:p>
    <w:p w14:paraId="54B7929B">
      <w:pPr>
        <w:spacing w:line="600" w:lineRule="exact"/>
        <w:ind w:firstLine="600" w:firstLineChars="200"/>
        <w:jc w:val="left"/>
        <w:rPr>
          <w:rFonts w:ascii="仿宋_GB2312" w:hAnsi="宋体" w:eastAsia="仿宋_GB2312"/>
          <w:sz w:val="30"/>
          <w:szCs w:val="30"/>
        </w:rPr>
      </w:pPr>
      <w:r>
        <w:rPr>
          <w:rFonts w:hint="eastAsia" w:ascii="仿宋_GB2312" w:hAnsi="Calibri" w:eastAsia="仿宋_GB2312"/>
          <w:sz w:val="30"/>
          <w:szCs w:val="30"/>
        </w:rPr>
        <w:t>新固定收益系统</w:t>
      </w:r>
      <w:r>
        <w:rPr>
          <w:rFonts w:hint="eastAsia" w:ascii="仿宋_GB2312" w:hAnsi="宋体" w:eastAsia="仿宋_GB2312"/>
          <w:sz w:val="30"/>
          <w:szCs w:val="30"/>
        </w:rPr>
        <w:t>接受回售申报时间为回售期间每个交易日的</w:t>
      </w:r>
      <w:r>
        <w:rPr>
          <w:rFonts w:ascii="仿宋_GB2312" w:hAnsi="宋体" w:eastAsia="仿宋_GB2312"/>
          <w:sz w:val="30"/>
          <w:szCs w:val="30"/>
        </w:rPr>
        <w:t>9：00至11：30</w:t>
      </w:r>
      <w:r>
        <w:rPr>
          <w:rFonts w:hint="eastAsia" w:ascii="仿宋_GB2312" w:hAnsi="宋体" w:eastAsia="仿宋_GB2312"/>
          <w:sz w:val="30"/>
          <w:szCs w:val="30"/>
        </w:rPr>
        <w:t>、</w:t>
      </w:r>
      <w:r>
        <w:rPr>
          <w:rFonts w:ascii="仿宋_GB2312" w:hAnsi="宋体" w:eastAsia="仿宋_GB2312"/>
          <w:sz w:val="30"/>
          <w:szCs w:val="30"/>
        </w:rPr>
        <w:t>13：00至15：30</w:t>
      </w:r>
      <w:r>
        <w:rPr>
          <w:rFonts w:hint="eastAsia" w:ascii="仿宋_GB2312" w:hAnsi="宋体" w:eastAsia="仿宋_GB2312"/>
          <w:sz w:val="30"/>
          <w:szCs w:val="30"/>
        </w:rPr>
        <w:t>。</w:t>
      </w:r>
    </w:p>
    <w:p w14:paraId="488BCB83">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综合业务平台接受回售申报时间为回售期间每个交易日的</w:t>
      </w:r>
      <w:r>
        <w:rPr>
          <w:rFonts w:ascii="仿宋_GB2312" w:hAnsi="宋体" w:eastAsia="仿宋_GB2312"/>
          <w:sz w:val="30"/>
          <w:szCs w:val="30"/>
        </w:rPr>
        <w:t>9：30</w:t>
      </w:r>
      <w:r>
        <w:rPr>
          <w:rFonts w:hint="eastAsia" w:ascii="仿宋_GB2312" w:hAnsi="宋体" w:eastAsia="仿宋_GB2312"/>
          <w:sz w:val="30"/>
          <w:szCs w:val="30"/>
        </w:rPr>
        <w:t>至</w:t>
      </w:r>
      <w:r>
        <w:rPr>
          <w:rFonts w:ascii="仿宋_GB2312" w:hAnsi="宋体" w:eastAsia="仿宋_GB2312"/>
          <w:sz w:val="30"/>
          <w:szCs w:val="30"/>
        </w:rPr>
        <w:t>11：30、13：00至15：</w:t>
      </w:r>
      <w:r>
        <w:rPr>
          <w:rFonts w:hint="eastAsia" w:ascii="仿宋_GB2312" w:hAnsi="宋体" w:eastAsia="仿宋_GB2312"/>
          <w:sz w:val="30"/>
          <w:szCs w:val="30"/>
        </w:rPr>
        <w:t>00</w:t>
      </w:r>
      <w:r>
        <w:rPr>
          <w:rFonts w:ascii="仿宋_GB2312" w:hAnsi="宋体" w:eastAsia="仿宋_GB2312"/>
          <w:sz w:val="30"/>
          <w:szCs w:val="30"/>
        </w:rPr>
        <w:t>。</w:t>
      </w:r>
    </w:p>
    <w:p w14:paraId="771E534C">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债券回售的申报数量应当为</w:t>
      </w:r>
      <w:r>
        <w:rPr>
          <w:rFonts w:ascii="仿宋_GB2312" w:hAnsi="宋体" w:eastAsia="仿宋_GB2312"/>
          <w:sz w:val="30"/>
          <w:szCs w:val="30"/>
        </w:rPr>
        <w:t>1000元</w:t>
      </w:r>
      <w:r>
        <w:rPr>
          <w:rFonts w:hint="eastAsia" w:ascii="仿宋_GB2312" w:hAnsi="宋体" w:eastAsia="仿宋_GB2312"/>
          <w:sz w:val="30"/>
          <w:szCs w:val="30"/>
        </w:rPr>
        <w:t>面额或其整数倍。</w:t>
      </w:r>
    </w:p>
    <w:p w14:paraId="44AE3D19">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债券回售申报要素应当包括非交易类型、证券代码、证券简称、回售数量、证券账户等内容。具体要素及要素说明如下：</w:t>
      </w:r>
    </w:p>
    <w:tbl>
      <w:tblPr>
        <w:tblStyle w:val="4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5529"/>
      </w:tblGrid>
      <w:tr w14:paraId="0FDC8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056A912D">
            <w:pPr>
              <w:rPr>
                <w:rFonts w:ascii="仿宋_GB2312" w:hAnsi="宋体" w:eastAsia="仿宋_GB2312"/>
                <w:b/>
                <w:sz w:val="24"/>
                <w:szCs w:val="24"/>
              </w:rPr>
            </w:pPr>
            <w:r>
              <w:rPr>
                <w:rFonts w:hint="eastAsia" w:ascii="仿宋_GB2312" w:hAnsi="宋体" w:eastAsia="仿宋_GB2312"/>
                <w:b/>
                <w:sz w:val="24"/>
                <w:szCs w:val="24"/>
              </w:rPr>
              <w:t>申报要素</w:t>
            </w:r>
          </w:p>
        </w:tc>
        <w:tc>
          <w:tcPr>
            <w:tcW w:w="5529" w:type="dxa"/>
          </w:tcPr>
          <w:p w14:paraId="65768C22">
            <w:pPr>
              <w:rPr>
                <w:rFonts w:ascii="仿宋_GB2312" w:hAnsi="宋体" w:eastAsia="仿宋_GB2312"/>
                <w:b/>
                <w:sz w:val="24"/>
                <w:szCs w:val="24"/>
              </w:rPr>
            </w:pPr>
            <w:r>
              <w:rPr>
                <w:rFonts w:hint="eastAsia" w:ascii="仿宋_GB2312" w:hAnsi="宋体" w:eastAsia="仿宋_GB2312"/>
                <w:b/>
                <w:sz w:val="24"/>
                <w:szCs w:val="24"/>
              </w:rPr>
              <w:t>要素说明</w:t>
            </w:r>
          </w:p>
        </w:tc>
      </w:tr>
      <w:tr w14:paraId="6790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140B51FE">
            <w:pPr>
              <w:rPr>
                <w:rFonts w:ascii="仿宋_GB2312" w:hAnsi="宋体" w:eastAsia="仿宋_GB2312"/>
                <w:b/>
                <w:sz w:val="24"/>
                <w:szCs w:val="24"/>
              </w:rPr>
            </w:pPr>
            <w:r>
              <w:rPr>
                <w:rFonts w:hint="eastAsia" w:ascii="仿宋_GB2312" w:hAnsi="宋体" w:eastAsia="仿宋_GB2312"/>
                <w:b/>
                <w:sz w:val="24"/>
                <w:szCs w:val="24"/>
              </w:rPr>
              <w:t>非交易类型</w:t>
            </w:r>
          </w:p>
        </w:tc>
        <w:tc>
          <w:tcPr>
            <w:tcW w:w="5529" w:type="dxa"/>
          </w:tcPr>
          <w:p w14:paraId="78220C58">
            <w:pPr>
              <w:rPr>
                <w:rFonts w:ascii="仿宋_GB2312" w:hAnsi="宋体" w:eastAsia="仿宋_GB2312"/>
                <w:sz w:val="24"/>
                <w:szCs w:val="24"/>
              </w:rPr>
            </w:pPr>
            <w:r>
              <w:rPr>
                <w:rFonts w:hint="eastAsia" w:ascii="仿宋_GB2312" w:hAnsi="宋体" w:eastAsia="仿宋_GB2312"/>
                <w:sz w:val="24"/>
                <w:szCs w:val="24"/>
              </w:rPr>
              <w:t>综合业务</w:t>
            </w:r>
            <w:r>
              <w:rPr>
                <w:rFonts w:ascii="仿宋_GB2312" w:hAnsi="宋体" w:eastAsia="仿宋_GB2312"/>
                <w:sz w:val="24"/>
                <w:szCs w:val="24"/>
              </w:rPr>
              <w:t>平台为</w:t>
            </w:r>
            <w:r>
              <w:rPr>
                <w:rFonts w:hint="eastAsia" w:ascii="仿宋_GB2312" w:hAnsi="宋体" w:eastAsia="仿宋_GB2312"/>
                <w:sz w:val="24"/>
                <w:szCs w:val="24"/>
              </w:rPr>
              <w:t>“</w:t>
            </w:r>
            <w:r>
              <w:rPr>
                <w:rFonts w:ascii="仿宋_GB2312" w:hAnsi="宋体" w:eastAsia="仿宋_GB2312"/>
                <w:sz w:val="24"/>
                <w:szCs w:val="24"/>
              </w:rPr>
              <w:t>BSB</w:t>
            </w:r>
            <w:r>
              <w:rPr>
                <w:rFonts w:hint="eastAsia" w:ascii="仿宋_GB2312" w:hAnsi="宋体" w:eastAsia="仿宋_GB2312"/>
                <w:sz w:val="24"/>
                <w:szCs w:val="24"/>
              </w:rPr>
              <w:t>”，</w:t>
            </w:r>
            <w:r>
              <w:rPr>
                <w:rFonts w:hint="eastAsia" w:ascii="仿宋_GB2312" w:hAnsi="宋体" w:eastAsia="仿宋_GB2312"/>
                <w:sz w:val="24"/>
                <w:szCs w:val="24"/>
                <w:lang w:eastAsia="zh-CN"/>
              </w:rPr>
              <w:t>新固定收益系统</w:t>
            </w:r>
            <w:r>
              <w:rPr>
                <w:rFonts w:ascii="仿宋_GB2312" w:hAnsi="宋体" w:eastAsia="仿宋_GB2312"/>
                <w:sz w:val="24"/>
                <w:szCs w:val="24"/>
              </w:rPr>
              <w:t>为回售菜单入口</w:t>
            </w:r>
          </w:p>
        </w:tc>
      </w:tr>
      <w:tr w14:paraId="38EA7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32EC6E31">
            <w:pPr>
              <w:rPr>
                <w:rFonts w:ascii="仿宋_GB2312" w:hAnsi="宋体" w:eastAsia="仿宋_GB2312"/>
                <w:b/>
                <w:sz w:val="24"/>
                <w:szCs w:val="24"/>
              </w:rPr>
            </w:pPr>
            <w:r>
              <w:rPr>
                <w:rFonts w:hint="eastAsia" w:ascii="仿宋_GB2312" w:hAnsi="宋体" w:eastAsia="仿宋_GB2312"/>
                <w:b/>
                <w:sz w:val="24"/>
                <w:szCs w:val="24"/>
              </w:rPr>
              <w:t>证券账户</w:t>
            </w:r>
          </w:p>
        </w:tc>
        <w:tc>
          <w:tcPr>
            <w:tcW w:w="5529" w:type="dxa"/>
          </w:tcPr>
          <w:p w14:paraId="3E76CA31">
            <w:pPr>
              <w:rPr>
                <w:rFonts w:ascii="仿宋_GB2312" w:hAnsi="宋体" w:eastAsia="仿宋_GB2312"/>
                <w:sz w:val="24"/>
                <w:szCs w:val="24"/>
              </w:rPr>
            </w:pPr>
            <w:r>
              <w:rPr>
                <w:rFonts w:hint="eastAsia" w:ascii="仿宋_GB2312" w:hAnsi="宋体" w:eastAsia="仿宋_GB2312"/>
                <w:sz w:val="24"/>
                <w:szCs w:val="24"/>
              </w:rPr>
              <w:t>账户名称</w:t>
            </w:r>
          </w:p>
        </w:tc>
      </w:tr>
      <w:tr w14:paraId="45111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1" w:type="dxa"/>
          </w:tcPr>
          <w:p w14:paraId="5C545810">
            <w:pPr>
              <w:rPr>
                <w:rFonts w:ascii="仿宋_GB2312" w:hAnsi="宋体" w:eastAsia="仿宋_GB2312"/>
                <w:b/>
                <w:sz w:val="24"/>
                <w:szCs w:val="24"/>
              </w:rPr>
            </w:pPr>
            <w:r>
              <w:rPr>
                <w:rFonts w:hint="eastAsia" w:ascii="仿宋_GB2312" w:hAnsi="宋体" w:eastAsia="仿宋_GB2312"/>
                <w:b/>
                <w:sz w:val="24"/>
                <w:szCs w:val="24"/>
              </w:rPr>
              <w:t>证券代码</w:t>
            </w:r>
          </w:p>
        </w:tc>
        <w:tc>
          <w:tcPr>
            <w:tcW w:w="5529" w:type="dxa"/>
          </w:tcPr>
          <w:p w14:paraId="3802CF04">
            <w:pPr>
              <w:rPr>
                <w:rFonts w:ascii="仿宋_GB2312" w:hAnsi="宋体" w:eastAsia="仿宋_GB2312"/>
                <w:sz w:val="24"/>
                <w:szCs w:val="24"/>
              </w:rPr>
            </w:pPr>
            <w:r>
              <w:rPr>
                <w:rFonts w:hint="eastAsia" w:ascii="仿宋_GB2312" w:hAnsi="宋体" w:eastAsia="仿宋_GB2312"/>
                <w:sz w:val="24"/>
                <w:szCs w:val="24"/>
              </w:rPr>
              <w:t>现券代码</w:t>
            </w:r>
          </w:p>
        </w:tc>
      </w:tr>
      <w:tr w14:paraId="51FDA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1C5FAA14">
            <w:pPr>
              <w:rPr>
                <w:rFonts w:ascii="仿宋_GB2312" w:hAnsi="宋体" w:eastAsia="仿宋_GB2312"/>
                <w:b/>
                <w:sz w:val="24"/>
                <w:szCs w:val="24"/>
              </w:rPr>
            </w:pPr>
            <w:r>
              <w:rPr>
                <w:rFonts w:hint="eastAsia" w:ascii="仿宋_GB2312" w:hAnsi="宋体" w:eastAsia="仿宋_GB2312"/>
                <w:b/>
                <w:sz w:val="24"/>
                <w:szCs w:val="24"/>
              </w:rPr>
              <w:t>证券账号</w:t>
            </w:r>
          </w:p>
        </w:tc>
        <w:tc>
          <w:tcPr>
            <w:tcW w:w="5529" w:type="dxa"/>
          </w:tcPr>
          <w:p w14:paraId="3BCF0E19">
            <w:pPr>
              <w:rPr>
                <w:rFonts w:ascii="仿宋_GB2312" w:hAnsi="宋体" w:eastAsia="仿宋_GB2312"/>
                <w:sz w:val="24"/>
                <w:szCs w:val="24"/>
              </w:rPr>
            </w:pPr>
            <w:r>
              <w:rPr>
                <w:rFonts w:hint="eastAsia" w:ascii="仿宋_GB2312" w:hAnsi="宋体" w:eastAsia="仿宋_GB2312"/>
                <w:sz w:val="24"/>
                <w:szCs w:val="24"/>
              </w:rPr>
              <w:t>可以选择本交易员有权使用的所有交易账号</w:t>
            </w:r>
          </w:p>
        </w:tc>
      </w:tr>
      <w:tr w14:paraId="47FB7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307F15FD">
            <w:pPr>
              <w:rPr>
                <w:rFonts w:ascii="仿宋_GB2312" w:hAnsi="宋体" w:eastAsia="仿宋_GB2312"/>
                <w:b/>
                <w:sz w:val="24"/>
                <w:szCs w:val="24"/>
              </w:rPr>
            </w:pPr>
            <w:r>
              <w:rPr>
                <w:rFonts w:hint="eastAsia" w:ascii="仿宋_GB2312" w:hAnsi="宋体" w:eastAsia="仿宋_GB2312"/>
                <w:b/>
                <w:sz w:val="24"/>
                <w:szCs w:val="24"/>
              </w:rPr>
              <w:t>回售数量</w:t>
            </w:r>
          </w:p>
        </w:tc>
        <w:tc>
          <w:tcPr>
            <w:tcW w:w="5529" w:type="dxa"/>
          </w:tcPr>
          <w:p w14:paraId="47890560">
            <w:pPr>
              <w:rPr>
                <w:rFonts w:ascii="仿宋_GB2312" w:hAnsi="宋体" w:eastAsia="仿宋_GB2312"/>
                <w:sz w:val="24"/>
                <w:szCs w:val="24"/>
              </w:rPr>
            </w:pPr>
            <w:r>
              <w:rPr>
                <w:rFonts w:hint="eastAsia" w:ascii="仿宋_GB2312" w:hAnsi="宋体" w:eastAsia="仿宋_GB2312"/>
                <w:sz w:val="24"/>
                <w:szCs w:val="24"/>
              </w:rPr>
              <w:t>回售的现券数量，以1000元面额为单位</w:t>
            </w:r>
          </w:p>
        </w:tc>
      </w:tr>
      <w:tr w14:paraId="38B6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7552A7F2">
            <w:pPr>
              <w:rPr>
                <w:rFonts w:ascii="仿宋_GB2312" w:hAnsi="宋体" w:eastAsia="仿宋_GB2312"/>
                <w:b/>
                <w:sz w:val="24"/>
                <w:szCs w:val="24"/>
              </w:rPr>
            </w:pPr>
            <w:r>
              <w:rPr>
                <w:rFonts w:hint="eastAsia" w:ascii="仿宋_GB2312" w:hAnsi="宋体" w:eastAsia="仿宋_GB2312"/>
                <w:b/>
                <w:sz w:val="24"/>
                <w:szCs w:val="24"/>
              </w:rPr>
              <w:t>席位号</w:t>
            </w:r>
          </w:p>
        </w:tc>
        <w:tc>
          <w:tcPr>
            <w:tcW w:w="5529" w:type="dxa"/>
          </w:tcPr>
          <w:p w14:paraId="47F15378">
            <w:pPr>
              <w:rPr>
                <w:rFonts w:ascii="仿宋_GB2312" w:hAnsi="宋体" w:eastAsia="仿宋_GB2312"/>
                <w:sz w:val="24"/>
                <w:szCs w:val="24"/>
              </w:rPr>
            </w:pPr>
            <w:r>
              <w:rPr>
                <w:rFonts w:hint="eastAsia" w:ascii="仿宋_GB2312" w:hAnsi="宋体" w:eastAsia="仿宋_GB2312"/>
                <w:sz w:val="24"/>
                <w:szCs w:val="24"/>
              </w:rPr>
              <w:t>根据选择的账户自动匹配，无需用户输入</w:t>
            </w:r>
          </w:p>
        </w:tc>
      </w:tr>
      <w:tr w14:paraId="67B60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1" w:type="dxa"/>
          </w:tcPr>
          <w:p w14:paraId="3C48CEB5">
            <w:pPr>
              <w:jc w:val="left"/>
              <w:rPr>
                <w:rFonts w:ascii="仿宋_GB2312" w:hAnsi="宋体" w:eastAsia="仿宋_GB2312"/>
                <w:b/>
                <w:sz w:val="24"/>
                <w:szCs w:val="24"/>
              </w:rPr>
            </w:pPr>
            <w:r>
              <w:rPr>
                <w:rFonts w:hint="eastAsia" w:ascii="仿宋_GB2312" w:hAnsi="宋体" w:eastAsia="仿宋_GB2312"/>
                <w:b/>
                <w:sz w:val="24"/>
                <w:szCs w:val="24"/>
              </w:rPr>
              <w:t>回售价格</w:t>
            </w:r>
          </w:p>
        </w:tc>
        <w:tc>
          <w:tcPr>
            <w:tcW w:w="5529" w:type="dxa"/>
          </w:tcPr>
          <w:p w14:paraId="5F54440F">
            <w:pPr>
              <w:rPr>
                <w:rFonts w:ascii="仿宋_GB2312" w:hAnsi="宋体" w:eastAsia="仿宋_GB2312"/>
                <w:sz w:val="24"/>
                <w:szCs w:val="24"/>
              </w:rPr>
            </w:pPr>
            <w:r>
              <w:rPr>
                <w:rFonts w:hint="eastAsia" w:ascii="仿宋_GB2312" w:hAnsi="宋体" w:eastAsia="仿宋_GB2312"/>
                <w:sz w:val="24"/>
                <w:szCs w:val="24"/>
              </w:rPr>
              <w:t>自动匹配，无需用户输入</w:t>
            </w:r>
          </w:p>
        </w:tc>
      </w:tr>
    </w:tbl>
    <w:p w14:paraId="33C0D2AA">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债券回售的价格应当按照发行人发布的债券回售公告及本所相关规定办理。</w:t>
      </w:r>
    </w:p>
    <w:p w14:paraId="0B32444A">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当日做出</w:t>
      </w:r>
      <w:r>
        <w:rPr>
          <w:rFonts w:ascii="仿宋_GB2312" w:hAnsi="宋体" w:eastAsia="仿宋_GB2312"/>
          <w:sz w:val="30"/>
          <w:szCs w:val="30"/>
        </w:rPr>
        <w:t>的回售</w:t>
      </w:r>
      <w:r>
        <w:rPr>
          <w:rFonts w:hint="eastAsia" w:ascii="仿宋_GB2312" w:hAnsi="宋体" w:eastAsia="仿宋_GB2312"/>
          <w:sz w:val="30"/>
          <w:szCs w:val="30"/>
        </w:rPr>
        <w:t>申报</w:t>
      </w:r>
      <w:r>
        <w:rPr>
          <w:rFonts w:ascii="仿宋_GB2312" w:hAnsi="宋体" w:eastAsia="仿宋_GB2312"/>
          <w:sz w:val="30"/>
          <w:szCs w:val="30"/>
        </w:rPr>
        <w:t>，在</w:t>
      </w:r>
      <w:r>
        <w:rPr>
          <w:rFonts w:hint="eastAsia" w:ascii="仿宋_GB2312" w:hAnsi="宋体" w:eastAsia="仿宋_GB2312"/>
          <w:sz w:val="30"/>
          <w:szCs w:val="30"/>
        </w:rPr>
        <w:t>当日</w:t>
      </w:r>
      <w:r>
        <w:rPr>
          <w:rFonts w:ascii="仿宋_GB2312" w:hAnsi="宋体" w:eastAsia="仿宋_GB2312"/>
          <w:sz w:val="30"/>
          <w:szCs w:val="30"/>
        </w:rPr>
        <w:t>交易时间内可以撤单。</w:t>
      </w:r>
    </w:p>
    <w:p w14:paraId="0A02B3F8">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本所及登记结算机构对债券交易业务的处理优先于债券回售业务。债券投资者当日买入的债券，当日可以申报回售；若债券投资者当日申报债券交易后，剩余持仓数量不足回售申报数量的，回售成功数量为债券投资者的剩余持仓部分。</w:t>
      </w:r>
    </w:p>
    <w:p w14:paraId="5EF2AD40">
      <w:pPr>
        <w:numPr>
          <w:ilvl w:val="2"/>
          <w:numId w:val="4"/>
        </w:numPr>
        <w:spacing w:line="600" w:lineRule="exact"/>
        <w:ind w:left="0" w:firstLine="0"/>
        <w:outlineLvl w:val="2"/>
        <w:rPr>
          <w:rFonts w:ascii="仿宋_GB2312" w:eastAsia="仿宋_GB2312"/>
          <w:b/>
          <w:sz w:val="30"/>
          <w:szCs w:val="30"/>
        </w:rPr>
      </w:pPr>
      <w:bookmarkStart w:id="2531" w:name="_Toc19542092"/>
      <w:bookmarkStart w:id="2532" w:name="_Toc24459973"/>
      <w:bookmarkStart w:id="2533" w:name="_Toc34763067"/>
      <w:bookmarkStart w:id="2534" w:name="_Toc16497836"/>
      <w:r>
        <w:rPr>
          <w:rFonts w:hint="eastAsia" w:ascii="仿宋_GB2312" w:eastAsia="仿宋_GB2312"/>
          <w:b/>
          <w:sz w:val="30"/>
          <w:szCs w:val="30"/>
        </w:rPr>
        <w:t>回售撤销</w:t>
      </w:r>
      <w:bookmarkEnd w:id="2531"/>
      <w:bookmarkEnd w:id="2532"/>
      <w:bookmarkEnd w:id="2533"/>
      <w:bookmarkEnd w:id="2534"/>
      <w:r>
        <w:rPr>
          <w:rFonts w:hint="eastAsia" w:ascii="仿宋_GB2312" w:eastAsia="仿宋_GB2312"/>
          <w:b/>
          <w:sz w:val="30"/>
          <w:szCs w:val="30"/>
        </w:rPr>
        <w:t>申报</w:t>
      </w:r>
    </w:p>
    <w:p w14:paraId="5F7EE36A">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回售实施公告中载明债券回售可撤销的，已申报回售登记的债券投资者，可于回售撤销登记期内申报回售撤销。回售撤销登记期一般为回售登记开始日至回售资金发放日前</w:t>
      </w:r>
      <w:r>
        <w:rPr>
          <w:rFonts w:ascii="仿宋_GB2312" w:hAnsi="宋体" w:eastAsia="仿宋_GB2312"/>
          <w:sz w:val="30"/>
          <w:szCs w:val="30"/>
        </w:rPr>
        <w:t>4个交易日之间</w:t>
      </w:r>
      <w:r>
        <w:rPr>
          <w:rFonts w:hint="eastAsia" w:ascii="仿宋_GB2312" w:hAnsi="宋体" w:eastAsia="仿宋_GB2312"/>
          <w:sz w:val="30"/>
          <w:szCs w:val="30"/>
        </w:rPr>
        <w:t>。债券投资者通过</w:t>
      </w:r>
      <w:r>
        <w:rPr>
          <w:rFonts w:hint="eastAsia" w:ascii="仿宋_GB2312" w:hAnsi="宋体" w:eastAsia="仿宋_GB2312"/>
          <w:sz w:val="30"/>
          <w:szCs w:val="30"/>
          <w:lang w:eastAsia="zh-CN"/>
        </w:rPr>
        <w:t>新固定收益系统</w:t>
      </w:r>
      <w:r>
        <w:rPr>
          <w:rFonts w:hint="eastAsia" w:ascii="仿宋_GB2312" w:hAnsi="宋体" w:eastAsia="仿宋_GB2312"/>
          <w:sz w:val="30"/>
          <w:szCs w:val="30"/>
        </w:rPr>
        <w:t>进行回售撤销申报。</w:t>
      </w:r>
    </w:p>
    <w:p w14:paraId="417D29D6">
      <w:pPr>
        <w:spacing w:line="60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回售撤销申报的申报时间与回售申报一致，申报要素包括证券代码、证券简称、回售撤销数量、证券账户等内容。具体要素及要素说明如下：</w:t>
      </w:r>
    </w:p>
    <w:tbl>
      <w:tblPr>
        <w:tblStyle w:val="4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5529"/>
      </w:tblGrid>
      <w:tr w14:paraId="3FB02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5FA3048E">
            <w:pPr>
              <w:rPr>
                <w:rFonts w:ascii="仿宋_GB2312" w:hAnsi="宋体" w:eastAsia="仿宋_GB2312"/>
                <w:b/>
                <w:sz w:val="24"/>
                <w:szCs w:val="24"/>
              </w:rPr>
            </w:pPr>
            <w:r>
              <w:rPr>
                <w:rFonts w:hint="eastAsia" w:ascii="仿宋_GB2312" w:hAnsi="宋体" w:eastAsia="仿宋_GB2312"/>
                <w:b/>
                <w:sz w:val="24"/>
                <w:szCs w:val="24"/>
              </w:rPr>
              <w:t>申报要素</w:t>
            </w:r>
          </w:p>
        </w:tc>
        <w:tc>
          <w:tcPr>
            <w:tcW w:w="5529" w:type="dxa"/>
          </w:tcPr>
          <w:p w14:paraId="6A0F7D08">
            <w:pPr>
              <w:rPr>
                <w:rFonts w:ascii="仿宋_GB2312" w:hAnsi="宋体" w:eastAsia="仿宋_GB2312"/>
                <w:b/>
                <w:sz w:val="24"/>
                <w:szCs w:val="24"/>
              </w:rPr>
            </w:pPr>
            <w:r>
              <w:rPr>
                <w:rFonts w:hint="eastAsia" w:ascii="仿宋_GB2312" w:hAnsi="宋体" w:eastAsia="仿宋_GB2312"/>
                <w:b/>
                <w:sz w:val="24"/>
                <w:szCs w:val="24"/>
              </w:rPr>
              <w:t>要素说明</w:t>
            </w:r>
          </w:p>
        </w:tc>
      </w:tr>
      <w:tr w14:paraId="54DE5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104D9594">
            <w:pPr>
              <w:rPr>
                <w:rFonts w:hint="eastAsia" w:ascii="仿宋_GB2312" w:hAnsi="宋体" w:eastAsia="仿宋_GB2312"/>
                <w:b/>
                <w:sz w:val="24"/>
                <w:szCs w:val="24"/>
                <w:lang w:eastAsia="zh-CN"/>
              </w:rPr>
            </w:pPr>
            <w:r>
              <w:rPr>
                <w:rFonts w:hint="eastAsia" w:ascii="仿宋_GB2312" w:hAnsi="宋体" w:eastAsia="仿宋_GB2312"/>
                <w:b/>
                <w:sz w:val="24"/>
                <w:szCs w:val="24"/>
                <w:lang w:eastAsia="zh-CN"/>
              </w:rPr>
              <w:t>订单类型</w:t>
            </w:r>
          </w:p>
        </w:tc>
        <w:tc>
          <w:tcPr>
            <w:tcW w:w="5529" w:type="dxa"/>
          </w:tcPr>
          <w:p w14:paraId="185E3C85">
            <w:pPr>
              <w:rPr>
                <w:rFonts w:hint="eastAsia" w:ascii="仿宋_GB2312" w:hAnsi="宋体" w:eastAsia="仿宋_GB2312"/>
                <w:sz w:val="24"/>
                <w:szCs w:val="24"/>
                <w:lang w:eastAsia="zh-CN"/>
              </w:rPr>
            </w:pPr>
            <w:r>
              <w:rPr>
                <w:rFonts w:hint="eastAsia" w:ascii="仿宋_GB2312" w:hAnsi="宋体" w:eastAsia="仿宋_GB2312"/>
                <w:sz w:val="24"/>
                <w:szCs w:val="24"/>
                <w:lang w:eastAsia="zh-CN"/>
              </w:rPr>
              <w:t>默认带出债券回售撤销</w:t>
            </w:r>
          </w:p>
        </w:tc>
      </w:tr>
      <w:tr w14:paraId="706BF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38C7E0A1">
            <w:pPr>
              <w:rPr>
                <w:rFonts w:hint="eastAsia" w:ascii="仿宋_GB2312" w:hAnsi="宋体" w:eastAsia="仿宋_GB2312"/>
                <w:b/>
                <w:sz w:val="24"/>
                <w:szCs w:val="24"/>
                <w:lang w:eastAsia="zh-CN"/>
              </w:rPr>
            </w:pPr>
            <w:r>
              <w:rPr>
                <w:rFonts w:hint="eastAsia" w:ascii="仿宋_GB2312" w:hAnsi="宋体" w:eastAsia="仿宋_GB2312"/>
                <w:b/>
                <w:sz w:val="24"/>
                <w:szCs w:val="24"/>
                <w:lang w:eastAsia="zh-CN"/>
              </w:rPr>
              <w:t>交易参与人</w:t>
            </w:r>
          </w:p>
        </w:tc>
        <w:tc>
          <w:tcPr>
            <w:tcW w:w="5529" w:type="dxa"/>
          </w:tcPr>
          <w:p w14:paraId="2AC10A93">
            <w:pPr>
              <w:rPr>
                <w:rFonts w:hint="eastAsia" w:ascii="仿宋_GB2312" w:hAnsi="宋体" w:eastAsia="仿宋_GB2312"/>
                <w:sz w:val="24"/>
                <w:szCs w:val="24"/>
                <w:lang w:eastAsia="zh-CN"/>
              </w:rPr>
            </w:pPr>
            <w:r>
              <w:rPr>
                <w:rFonts w:hint="eastAsia" w:ascii="仿宋_GB2312" w:hAnsi="宋体" w:eastAsia="仿宋_GB2312"/>
                <w:sz w:val="24"/>
                <w:szCs w:val="24"/>
                <w:lang w:eastAsia="zh-CN"/>
              </w:rPr>
              <w:t>申报方债券交易参与人简称，自动带出</w:t>
            </w:r>
          </w:p>
        </w:tc>
      </w:tr>
      <w:tr w14:paraId="3982D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1" w:type="dxa"/>
          </w:tcPr>
          <w:p w14:paraId="631965AC">
            <w:pPr>
              <w:rPr>
                <w:rFonts w:hint="eastAsia" w:ascii="仿宋_GB2312" w:hAnsi="宋体" w:eastAsia="仿宋_GB2312"/>
                <w:b/>
                <w:sz w:val="24"/>
                <w:szCs w:val="24"/>
                <w:lang w:eastAsia="zh-CN"/>
              </w:rPr>
            </w:pPr>
            <w:r>
              <w:rPr>
                <w:rFonts w:hint="eastAsia" w:ascii="仿宋_GB2312" w:hAnsi="宋体" w:eastAsia="仿宋_GB2312"/>
                <w:b/>
                <w:sz w:val="24"/>
                <w:szCs w:val="24"/>
                <w:lang w:eastAsia="zh-CN"/>
              </w:rPr>
              <w:t>一债通账户</w:t>
            </w:r>
          </w:p>
        </w:tc>
        <w:tc>
          <w:tcPr>
            <w:tcW w:w="5529" w:type="dxa"/>
          </w:tcPr>
          <w:p w14:paraId="203E6EAB">
            <w:pPr>
              <w:rPr>
                <w:rFonts w:hint="eastAsia" w:ascii="仿宋_GB2312" w:hAnsi="宋体" w:eastAsia="仿宋_GB2312"/>
                <w:sz w:val="24"/>
                <w:szCs w:val="24"/>
                <w:lang w:eastAsia="zh-CN"/>
              </w:rPr>
            </w:pPr>
            <w:r>
              <w:rPr>
                <w:rFonts w:hint="eastAsia" w:ascii="仿宋_GB2312" w:hAnsi="宋体" w:eastAsia="仿宋_GB2312"/>
                <w:sz w:val="24"/>
                <w:szCs w:val="24"/>
                <w:lang w:eastAsia="zh-CN"/>
              </w:rPr>
              <w:t>申报方交易员一债通账户号码，自动带出</w:t>
            </w:r>
          </w:p>
        </w:tc>
      </w:tr>
      <w:tr w14:paraId="355B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5F451EC5">
            <w:pPr>
              <w:rPr>
                <w:rFonts w:hint="eastAsia" w:ascii="仿宋_GB2312" w:hAnsi="宋体" w:eastAsia="仿宋_GB2312"/>
                <w:b/>
                <w:sz w:val="24"/>
                <w:szCs w:val="24"/>
                <w:lang w:eastAsia="zh-CN"/>
              </w:rPr>
            </w:pPr>
            <w:r>
              <w:rPr>
                <w:rFonts w:hint="eastAsia" w:ascii="仿宋_GB2312" w:hAnsi="宋体" w:eastAsia="仿宋_GB2312"/>
                <w:b/>
                <w:sz w:val="24"/>
                <w:szCs w:val="24"/>
                <w:lang w:eastAsia="zh-CN"/>
              </w:rPr>
              <w:t>交易员</w:t>
            </w:r>
          </w:p>
        </w:tc>
        <w:tc>
          <w:tcPr>
            <w:tcW w:w="5529" w:type="dxa"/>
          </w:tcPr>
          <w:p w14:paraId="4B0DF887">
            <w:pPr>
              <w:rPr>
                <w:rFonts w:hint="eastAsia" w:ascii="仿宋_GB2312" w:hAnsi="宋体" w:eastAsia="仿宋_GB2312"/>
                <w:sz w:val="24"/>
                <w:szCs w:val="24"/>
                <w:lang w:eastAsia="zh-CN"/>
              </w:rPr>
            </w:pPr>
            <w:r>
              <w:rPr>
                <w:rFonts w:hint="eastAsia" w:ascii="仿宋_GB2312" w:hAnsi="宋体" w:eastAsia="仿宋_GB2312"/>
                <w:sz w:val="24"/>
                <w:szCs w:val="24"/>
                <w:lang w:eastAsia="zh-CN"/>
              </w:rPr>
              <w:t>申报方交易员名称，自动带出</w:t>
            </w:r>
          </w:p>
        </w:tc>
      </w:tr>
      <w:tr w14:paraId="21CE5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3A873E15">
            <w:pPr>
              <w:rPr>
                <w:rFonts w:ascii="仿宋_GB2312" w:hAnsi="宋体" w:eastAsia="仿宋_GB2312"/>
                <w:b/>
                <w:sz w:val="24"/>
                <w:szCs w:val="24"/>
              </w:rPr>
            </w:pPr>
            <w:r>
              <w:rPr>
                <w:rFonts w:hint="eastAsia" w:ascii="仿宋_GB2312" w:hAnsi="宋体" w:eastAsia="仿宋_GB2312"/>
                <w:b/>
                <w:sz w:val="24"/>
                <w:szCs w:val="24"/>
              </w:rPr>
              <w:t>证券账户</w:t>
            </w:r>
          </w:p>
        </w:tc>
        <w:tc>
          <w:tcPr>
            <w:tcW w:w="5529" w:type="dxa"/>
          </w:tcPr>
          <w:p w14:paraId="2F7D2F9E">
            <w:pPr>
              <w:rPr>
                <w:rFonts w:ascii="仿宋_GB2312" w:hAnsi="宋体" w:eastAsia="仿宋_GB2312"/>
                <w:sz w:val="24"/>
                <w:szCs w:val="24"/>
              </w:rPr>
            </w:pPr>
            <w:r>
              <w:rPr>
                <w:rFonts w:hint="eastAsia" w:ascii="仿宋_GB2312" w:hAnsi="宋体" w:eastAsia="仿宋_GB2312"/>
                <w:sz w:val="24"/>
                <w:szCs w:val="24"/>
              </w:rPr>
              <w:t>本交易员有权使用的</w:t>
            </w:r>
            <w:r>
              <w:rPr>
                <w:rFonts w:hint="eastAsia" w:ascii="仿宋_GB2312" w:hAnsi="宋体" w:eastAsia="仿宋_GB2312"/>
                <w:sz w:val="24"/>
                <w:szCs w:val="24"/>
                <w:lang w:eastAsia="zh-CN"/>
              </w:rPr>
              <w:t>证券</w:t>
            </w:r>
            <w:r>
              <w:rPr>
                <w:rFonts w:hint="eastAsia" w:ascii="仿宋_GB2312" w:hAnsi="宋体" w:eastAsia="仿宋_GB2312"/>
                <w:sz w:val="24"/>
                <w:szCs w:val="24"/>
              </w:rPr>
              <w:t>账</w:t>
            </w:r>
            <w:r>
              <w:rPr>
                <w:rFonts w:hint="eastAsia" w:ascii="仿宋_GB2312" w:hAnsi="宋体" w:eastAsia="仿宋_GB2312"/>
                <w:sz w:val="24"/>
                <w:szCs w:val="24"/>
                <w:lang w:eastAsia="zh-CN"/>
              </w:rPr>
              <w:t>户</w:t>
            </w:r>
            <w:r>
              <w:rPr>
                <w:rFonts w:hint="eastAsia" w:ascii="仿宋_GB2312" w:hAnsi="宋体" w:eastAsia="仿宋_GB2312"/>
                <w:sz w:val="24"/>
                <w:szCs w:val="24"/>
              </w:rPr>
              <w:t>号</w:t>
            </w:r>
          </w:p>
        </w:tc>
      </w:tr>
      <w:tr w14:paraId="659B1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261872EE">
            <w:pPr>
              <w:rPr>
                <w:rFonts w:ascii="仿宋_GB2312" w:hAnsi="宋体" w:eastAsia="仿宋_GB2312"/>
                <w:b/>
                <w:sz w:val="24"/>
                <w:szCs w:val="24"/>
              </w:rPr>
            </w:pPr>
            <w:r>
              <w:rPr>
                <w:rFonts w:hint="eastAsia" w:ascii="仿宋_GB2312" w:hAnsi="宋体" w:eastAsia="仿宋_GB2312"/>
                <w:b/>
                <w:sz w:val="24"/>
                <w:szCs w:val="24"/>
              </w:rPr>
              <w:t>证券代码</w:t>
            </w:r>
          </w:p>
        </w:tc>
        <w:tc>
          <w:tcPr>
            <w:tcW w:w="5529" w:type="dxa"/>
          </w:tcPr>
          <w:p w14:paraId="3507017E">
            <w:pPr>
              <w:rPr>
                <w:rFonts w:ascii="仿宋_GB2312" w:hAnsi="宋体" w:eastAsia="仿宋_GB2312"/>
                <w:sz w:val="24"/>
                <w:szCs w:val="24"/>
              </w:rPr>
            </w:pPr>
            <w:r>
              <w:rPr>
                <w:rFonts w:hint="eastAsia" w:ascii="仿宋_GB2312" w:hAnsi="宋体" w:eastAsia="仿宋_GB2312"/>
                <w:sz w:val="24"/>
                <w:szCs w:val="24"/>
                <w:lang w:eastAsia="zh-CN"/>
              </w:rPr>
              <w:t>回售撤销的证券</w:t>
            </w:r>
            <w:r>
              <w:rPr>
                <w:rFonts w:hint="eastAsia" w:ascii="仿宋_GB2312" w:hAnsi="宋体" w:eastAsia="仿宋_GB2312"/>
                <w:sz w:val="24"/>
                <w:szCs w:val="24"/>
              </w:rPr>
              <w:t>代码</w:t>
            </w:r>
          </w:p>
        </w:tc>
      </w:tr>
      <w:tr w14:paraId="45D14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1" w:type="dxa"/>
          </w:tcPr>
          <w:p w14:paraId="2058A022">
            <w:pPr>
              <w:rPr>
                <w:rFonts w:hint="eastAsia" w:ascii="仿宋_GB2312" w:hAnsi="宋体" w:eastAsia="仿宋_GB2312"/>
                <w:b/>
                <w:sz w:val="24"/>
                <w:szCs w:val="24"/>
                <w:lang w:eastAsia="zh-CN"/>
              </w:rPr>
            </w:pPr>
            <w:r>
              <w:rPr>
                <w:rFonts w:hint="eastAsia" w:ascii="仿宋_GB2312" w:hAnsi="宋体" w:eastAsia="仿宋_GB2312"/>
                <w:b/>
                <w:sz w:val="24"/>
                <w:szCs w:val="24"/>
              </w:rPr>
              <w:t>证券</w:t>
            </w:r>
            <w:r>
              <w:rPr>
                <w:rFonts w:hint="eastAsia" w:ascii="仿宋_GB2312" w:hAnsi="宋体" w:eastAsia="仿宋_GB2312"/>
                <w:b/>
                <w:sz w:val="24"/>
                <w:szCs w:val="24"/>
                <w:lang w:eastAsia="zh-CN"/>
              </w:rPr>
              <w:t>简称</w:t>
            </w:r>
          </w:p>
        </w:tc>
        <w:tc>
          <w:tcPr>
            <w:tcW w:w="5529" w:type="dxa"/>
          </w:tcPr>
          <w:p w14:paraId="1B080BF8">
            <w:pPr>
              <w:rPr>
                <w:rFonts w:hint="eastAsia" w:ascii="仿宋_GB2312" w:hAnsi="宋体" w:eastAsia="仿宋_GB2312"/>
                <w:sz w:val="24"/>
                <w:szCs w:val="24"/>
                <w:lang w:eastAsia="zh-CN"/>
              </w:rPr>
            </w:pPr>
            <w:r>
              <w:rPr>
                <w:rFonts w:hint="eastAsia" w:ascii="仿宋_GB2312" w:hAnsi="宋体" w:eastAsia="仿宋_GB2312"/>
                <w:sz w:val="24"/>
                <w:szCs w:val="24"/>
                <w:lang w:eastAsia="zh-CN"/>
              </w:rPr>
              <w:t>根据证券代码自动带出简称</w:t>
            </w:r>
          </w:p>
        </w:tc>
      </w:tr>
      <w:tr w14:paraId="2A35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5CB3C41B">
            <w:pPr>
              <w:rPr>
                <w:rFonts w:ascii="仿宋_GB2312" w:hAnsi="宋体" w:eastAsia="仿宋_GB2312"/>
                <w:b/>
                <w:sz w:val="24"/>
                <w:szCs w:val="24"/>
              </w:rPr>
            </w:pPr>
            <w:r>
              <w:rPr>
                <w:rFonts w:hint="eastAsia" w:ascii="仿宋_GB2312" w:hAnsi="宋体" w:eastAsia="仿宋_GB2312"/>
                <w:b/>
                <w:sz w:val="24"/>
                <w:szCs w:val="24"/>
              </w:rPr>
              <w:t>数量</w:t>
            </w:r>
          </w:p>
        </w:tc>
        <w:tc>
          <w:tcPr>
            <w:tcW w:w="5529" w:type="dxa"/>
          </w:tcPr>
          <w:p w14:paraId="307ED70D">
            <w:pPr>
              <w:rPr>
                <w:rFonts w:ascii="仿宋_GB2312" w:hAnsi="宋体" w:eastAsia="仿宋_GB2312"/>
                <w:sz w:val="24"/>
                <w:szCs w:val="24"/>
              </w:rPr>
            </w:pPr>
            <w:r>
              <w:rPr>
                <w:rFonts w:hint="eastAsia" w:ascii="仿宋_GB2312" w:hAnsi="宋体" w:eastAsia="仿宋_GB2312"/>
                <w:sz w:val="24"/>
                <w:szCs w:val="24"/>
              </w:rPr>
              <w:t>回售撤销的</w:t>
            </w:r>
            <w:r>
              <w:rPr>
                <w:rFonts w:hint="eastAsia" w:ascii="仿宋_GB2312" w:hAnsi="宋体" w:eastAsia="仿宋_GB2312"/>
                <w:sz w:val="24"/>
                <w:szCs w:val="24"/>
                <w:lang w:eastAsia="zh-CN"/>
              </w:rPr>
              <w:t>证</w:t>
            </w:r>
            <w:r>
              <w:rPr>
                <w:rFonts w:hint="eastAsia" w:ascii="仿宋_GB2312" w:hAnsi="宋体" w:eastAsia="仿宋_GB2312"/>
                <w:sz w:val="24"/>
                <w:szCs w:val="24"/>
              </w:rPr>
              <w:t>券数量，以1000元面额为单位</w:t>
            </w:r>
          </w:p>
        </w:tc>
      </w:tr>
      <w:tr w14:paraId="4F3BB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3A1EB580">
            <w:pPr>
              <w:rPr>
                <w:rFonts w:hint="eastAsia" w:ascii="仿宋_GB2312" w:hAnsi="宋体" w:eastAsia="仿宋_GB2312"/>
                <w:b/>
                <w:sz w:val="24"/>
                <w:szCs w:val="24"/>
                <w:lang w:eastAsia="zh-CN"/>
              </w:rPr>
            </w:pPr>
            <w:r>
              <w:rPr>
                <w:rFonts w:hint="eastAsia" w:ascii="仿宋_GB2312" w:hAnsi="宋体" w:eastAsia="仿宋_GB2312"/>
                <w:b/>
                <w:sz w:val="24"/>
                <w:szCs w:val="24"/>
                <w:lang w:eastAsia="zh-CN"/>
              </w:rPr>
              <w:t>交易单元</w:t>
            </w:r>
          </w:p>
        </w:tc>
        <w:tc>
          <w:tcPr>
            <w:tcW w:w="5529" w:type="dxa"/>
          </w:tcPr>
          <w:p w14:paraId="7A8EA742">
            <w:pPr>
              <w:rPr>
                <w:rFonts w:hint="eastAsia" w:ascii="仿宋_GB2312" w:hAnsi="宋体" w:eastAsia="仿宋_GB2312"/>
                <w:sz w:val="24"/>
                <w:szCs w:val="24"/>
                <w:lang w:eastAsia="zh-CN"/>
              </w:rPr>
            </w:pPr>
            <w:r>
              <w:rPr>
                <w:rFonts w:hint="eastAsia" w:ascii="仿宋_GB2312" w:hAnsi="宋体" w:eastAsia="仿宋_GB2312"/>
                <w:sz w:val="24"/>
                <w:szCs w:val="24"/>
              </w:rPr>
              <w:t>根据选择的账户自动</w:t>
            </w:r>
            <w:r>
              <w:rPr>
                <w:rFonts w:hint="eastAsia" w:ascii="仿宋_GB2312" w:hAnsi="宋体" w:eastAsia="仿宋_GB2312"/>
                <w:sz w:val="24"/>
                <w:szCs w:val="24"/>
                <w:lang w:eastAsia="zh-CN"/>
              </w:rPr>
              <w:t>带出</w:t>
            </w:r>
          </w:p>
        </w:tc>
      </w:tr>
    </w:tbl>
    <w:p w14:paraId="0ACDE5F5">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回售撤销申报后，</w:t>
      </w:r>
      <w:r>
        <w:rPr>
          <w:rFonts w:ascii="仿宋_GB2312" w:hAnsi="宋体" w:eastAsia="仿宋_GB2312"/>
          <w:sz w:val="30"/>
          <w:szCs w:val="30"/>
        </w:rPr>
        <w:t>T+1</w:t>
      </w:r>
      <w:r>
        <w:rPr>
          <w:rFonts w:hint="eastAsia" w:ascii="仿宋_GB2312" w:hAnsi="宋体" w:eastAsia="仿宋_GB2312"/>
          <w:sz w:val="30"/>
          <w:szCs w:val="30"/>
        </w:rPr>
        <w:t>日债券恢复可交易状态。</w:t>
      </w:r>
    </w:p>
    <w:p w14:paraId="231C7BF6">
      <w:pPr>
        <w:pStyle w:val="15"/>
        <w:ind w:firstLine="600" w:firstLineChars="200"/>
        <w:rPr>
          <w:lang w:eastAsia="zh-CN"/>
        </w:rPr>
      </w:pPr>
      <w:r>
        <w:rPr>
          <w:rFonts w:hint="eastAsia" w:ascii="仿宋_GB2312" w:hAnsi="宋体" w:eastAsia="仿宋_GB2312"/>
          <w:sz w:val="30"/>
          <w:szCs w:val="30"/>
          <w:lang w:eastAsia="zh-CN"/>
        </w:rPr>
        <w:t>在债券回售登记期内，债券投资者可以多次提交回售申报和回售撤销申报。回售申报数量不得高于可用债券持仓，回售撤销申报数量不得高于已申报回售数量。其中，已申报回售数量</w:t>
      </w:r>
      <w:r>
        <w:rPr>
          <w:rFonts w:ascii="仿宋_GB2312" w:hAnsi="宋体" w:eastAsia="仿宋_GB2312"/>
          <w:sz w:val="30"/>
          <w:szCs w:val="30"/>
          <w:lang w:eastAsia="zh-CN"/>
        </w:rPr>
        <w:t>=</w:t>
      </w:r>
      <w:r>
        <w:rPr>
          <w:rFonts w:hint="eastAsia" w:ascii="仿宋_GB2312" w:hAnsi="宋体" w:eastAsia="仿宋_GB2312"/>
          <w:sz w:val="30"/>
          <w:szCs w:val="30"/>
          <w:lang w:eastAsia="zh-CN"/>
        </w:rPr>
        <w:t>累计的回售申报数量</w:t>
      </w:r>
      <w:r>
        <w:rPr>
          <w:rFonts w:ascii="仿宋_GB2312" w:hAnsi="宋体" w:eastAsia="仿宋_GB2312"/>
          <w:sz w:val="30"/>
          <w:szCs w:val="30"/>
          <w:lang w:eastAsia="zh-CN"/>
        </w:rPr>
        <w:t>-</w:t>
      </w:r>
      <w:r>
        <w:rPr>
          <w:rFonts w:hint="eastAsia" w:ascii="仿宋_GB2312" w:hAnsi="宋体" w:eastAsia="仿宋_GB2312"/>
          <w:sz w:val="30"/>
          <w:szCs w:val="30"/>
          <w:lang w:eastAsia="zh-CN"/>
        </w:rPr>
        <w:t>累计撤销回售申报数量；债券投资者可用债券持仓是指债券投资者未冻结的、可进行相关业务操作的持仓数量。当日申请回售撤销的合计数量超过已回售登记余额的，按照已回售申报登记余额进行回售撤销处理。</w:t>
      </w:r>
    </w:p>
    <w:p w14:paraId="42BB4629">
      <w:pPr>
        <w:numPr>
          <w:ilvl w:val="1"/>
          <w:numId w:val="4"/>
        </w:numPr>
        <w:spacing w:line="600" w:lineRule="exact"/>
        <w:ind w:left="0" w:firstLine="0"/>
        <w:outlineLvl w:val="1"/>
        <w:rPr>
          <w:rFonts w:ascii="仿宋_GB2312" w:eastAsia="仿宋_GB2312"/>
          <w:b/>
          <w:sz w:val="30"/>
          <w:szCs w:val="30"/>
        </w:rPr>
      </w:pPr>
      <w:bookmarkStart w:id="2535" w:name="_Toc102993382"/>
      <w:bookmarkEnd w:id="2535"/>
      <w:bookmarkStart w:id="2536" w:name="_Toc1963193637"/>
      <w:bookmarkStart w:id="2537" w:name="_Toc1065118283"/>
      <w:bookmarkStart w:id="2538" w:name="_Toc24459975"/>
      <w:bookmarkStart w:id="2539" w:name="_Toc151137057"/>
      <w:bookmarkStart w:id="2540" w:name="_Toc1400088879"/>
      <w:bookmarkStart w:id="2541" w:name="_Toc19542094"/>
      <w:bookmarkStart w:id="2542" w:name="_Toc1577922957"/>
      <w:bookmarkStart w:id="2543" w:name="_Toc56166107"/>
      <w:bookmarkStart w:id="2544" w:name="_Toc14166609"/>
      <w:bookmarkStart w:id="2545" w:name="_Toc34763069"/>
      <w:bookmarkStart w:id="2546" w:name="_Toc56166296"/>
      <w:bookmarkStart w:id="2547" w:name="_Toc16497838"/>
      <w:bookmarkStart w:id="2548" w:name="_Toc798218619"/>
      <w:bookmarkStart w:id="2549" w:name="_Toc669277858"/>
      <w:r>
        <w:rPr>
          <w:rFonts w:hint="eastAsia" w:ascii="仿宋_GB2312" w:eastAsia="仿宋_GB2312"/>
          <w:b/>
          <w:sz w:val="30"/>
          <w:szCs w:val="30"/>
        </w:rPr>
        <w:t>债券回售后转售</w:t>
      </w:r>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p>
    <w:p w14:paraId="2E136492">
      <w:pPr>
        <w:spacing w:line="600" w:lineRule="exact"/>
        <w:ind w:firstLine="600" w:firstLineChars="200"/>
        <w:jc w:val="left"/>
        <w:rPr>
          <w:rFonts w:ascii="Calibri" w:hAnsi="Calibri" w:eastAsia="仿宋_GB2312"/>
          <w:sz w:val="30"/>
          <w:szCs w:val="30"/>
        </w:rPr>
      </w:pPr>
      <w:r>
        <w:rPr>
          <w:rFonts w:hint="eastAsia" w:ascii="仿宋_GB2312" w:hAnsi="Calibri" w:eastAsia="仿宋_GB2312"/>
          <w:sz w:val="30"/>
          <w:szCs w:val="30"/>
        </w:rPr>
        <w:t>债券回售后转售是指发行人根据回售实施公告选择将全部或部分回售债券转售给债券投资者。</w:t>
      </w:r>
    </w:p>
    <w:p w14:paraId="7B578643">
      <w:pPr>
        <w:numPr>
          <w:ilvl w:val="2"/>
          <w:numId w:val="4"/>
        </w:numPr>
        <w:spacing w:line="600" w:lineRule="exact"/>
        <w:ind w:left="0" w:firstLine="0"/>
        <w:outlineLvl w:val="2"/>
        <w:rPr>
          <w:rFonts w:ascii="仿宋_GB2312" w:eastAsia="仿宋_GB2312"/>
          <w:b/>
          <w:sz w:val="30"/>
          <w:szCs w:val="30"/>
        </w:rPr>
      </w:pPr>
      <w:bookmarkStart w:id="2550" w:name="_Toc34763070"/>
      <w:bookmarkStart w:id="2551" w:name="_Toc19542095"/>
      <w:bookmarkStart w:id="2552" w:name="_Toc16497839"/>
      <w:bookmarkStart w:id="2553" w:name="_Toc24459976"/>
      <w:r>
        <w:rPr>
          <w:rFonts w:hint="eastAsia" w:ascii="仿宋_GB2312" w:eastAsia="仿宋_GB2312"/>
          <w:b/>
          <w:sz w:val="30"/>
          <w:szCs w:val="30"/>
        </w:rPr>
        <w:t>转售准备</w:t>
      </w:r>
      <w:bookmarkEnd w:id="2550"/>
      <w:bookmarkEnd w:id="2551"/>
      <w:bookmarkEnd w:id="2552"/>
      <w:bookmarkEnd w:id="2553"/>
    </w:p>
    <w:p w14:paraId="10BECA49">
      <w:pPr>
        <w:spacing w:line="600" w:lineRule="exact"/>
        <w:ind w:firstLine="600" w:firstLineChars="200"/>
        <w:jc w:val="left"/>
        <w:rPr>
          <w:rFonts w:ascii="仿宋_GB2312" w:hAnsi="Calibri" w:eastAsia="仿宋_GB2312"/>
          <w:sz w:val="30"/>
          <w:szCs w:val="30"/>
        </w:rPr>
      </w:pPr>
      <w:r>
        <w:rPr>
          <w:rFonts w:hint="eastAsia" w:ascii="仿宋_GB2312" w:hAnsi="宋体" w:eastAsia="仿宋_GB2312"/>
          <w:sz w:val="30"/>
          <w:szCs w:val="30"/>
        </w:rPr>
        <w:t>债券投资者可通过</w:t>
      </w:r>
      <w:r>
        <w:rPr>
          <w:rFonts w:ascii="仿宋_GB2312" w:hAnsi="宋体" w:eastAsia="仿宋_GB2312"/>
          <w:sz w:val="30"/>
          <w:szCs w:val="30"/>
        </w:rPr>
        <w:t>本所官网、</w:t>
      </w:r>
      <w:r>
        <w:rPr>
          <w:rFonts w:hint="eastAsia" w:ascii="仿宋_GB2312" w:hAnsi="宋体" w:eastAsia="仿宋_GB2312"/>
          <w:sz w:val="30"/>
          <w:szCs w:val="30"/>
          <w:lang w:eastAsia="zh-CN"/>
        </w:rPr>
        <w:t>上证</w:t>
      </w:r>
      <w:r>
        <w:rPr>
          <w:rFonts w:ascii="仿宋_GB2312" w:hAnsi="宋体" w:eastAsia="仿宋_GB2312"/>
          <w:sz w:val="30"/>
          <w:szCs w:val="30"/>
        </w:rPr>
        <w:t>债券信息网</w:t>
      </w:r>
      <w:r>
        <w:rPr>
          <w:rFonts w:hint="eastAsia" w:ascii="仿宋_GB2312" w:hAnsi="宋体" w:eastAsia="仿宋_GB2312"/>
          <w:sz w:val="30"/>
          <w:szCs w:val="30"/>
        </w:rPr>
        <w:t>等本所信息披露平台查看下列</w:t>
      </w:r>
      <w:r>
        <w:rPr>
          <w:rFonts w:hint="eastAsia" w:ascii="仿宋_GB2312" w:hAnsi="Calibri" w:eastAsia="仿宋_GB2312"/>
          <w:sz w:val="30"/>
          <w:szCs w:val="30"/>
        </w:rPr>
        <w:t>有关债券回售后转售的信息披露文件。</w:t>
      </w:r>
    </w:p>
    <w:p w14:paraId="5602DA01">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（1） 回售结束后，发行人根据相关安排进行回售后转售的，将在回售结果公告中披露拟转售债券金额、转售期等。</w:t>
      </w:r>
    </w:p>
    <w:p w14:paraId="67372591">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（2）转售结果公告。公告内容包括拟转售债券金额、完成转售债券金额、注销未转售债券金额等。</w:t>
      </w:r>
    </w:p>
    <w:p w14:paraId="5480A98D">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转售期原则上不超过</w:t>
      </w:r>
      <w:r>
        <w:rPr>
          <w:rFonts w:ascii="仿宋_GB2312" w:hAnsi="宋体" w:eastAsia="仿宋_GB2312"/>
          <w:sz w:val="30"/>
          <w:szCs w:val="30"/>
        </w:rPr>
        <w:t>20个交易日</w:t>
      </w:r>
      <w:r>
        <w:rPr>
          <w:rFonts w:hint="eastAsia" w:ascii="仿宋_GB2312" w:hAnsi="宋体" w:eastAsia="仿宋_GB2312"/>
          <w:sz w:val="30"/>
          <w:szCs w:val="30"/>
        </w:rPr>
        <w:t>，自回售资金发放当日起算。经本所认可，发行人公告延期事由的，可适当延长转售期。</w:t>
      </w:r>
    </w:p>
    <w:p w14:paraId="386A98D1">
      <w:pPr>
        <w:spacing w:line="600" w:lineRule="exact"/>
        <w:ind w:firstLine="600" w:firstLineChars="200"/>
        <w:jc w:val="left"/>
        <w:rPr>
          <w:rFonts w:ascii="仿宋_GB2312" w:hAnsi="宋体" w:eastAsia="仿宋_GB2312"/>
          <w:sz w:val="30"/>
          <w:szCs w:val="30"/>
        </w:rPr>
      </w:pPr>
      <w:r>
        <w:rPr>
          <w:rFonts w:ascii="仿宋_GB2312" w:hAnsi="宋体" w:eastAsia="仿宋_GB2312"/>
          <w:sz w:val="30"/>
          <w:szCs w:val="30"/>
        </w:rPr>
        <w:t>转售价格由发行人和转售受让方自行协商确定。</w:t>
      </w:r>
    </w:p>
    <w:p w14:paraId="402B5158">
      <w:pPr>
        <w:numPr>
          <w:ilvl w:val="2"/>
          <w:numId w:val="4"/>
        </w:numPr>
        <w:spacing w:line="600" w:lineRule="exact"/>
        <w:ind w:left="0" w:firstLine="0"/>
        <w:outlineLvl w:val="2"/>
        <w:rPr>
          <w:rFonts w:ascii="仿宋_GB2312" w:eastAsia="仿宋_GB2312"/>
          <w:b/>
          <w:sz w:val="30"/>
          <w:szCs w:val="30"/>
        </w:rPr>
      </w:pPr>
      <w:bookmarkStart w:id="2554" w:name="_Toc24459978"/>
      <w:bookmarkStart w:id="2555" w:name="_Toc16497841"/>
      <w:bookmarkStart w:id="2556" w:name="_Toc19542097"/>
      <w:bookmarkStart w:id="2557" w:name="_Toc34763072"/>
      <w:r>
        <w:rPr>
          <w:rFonts w:hint="eastAsia" w:ascii="仿宋_GB2312" w:eastAsia="仿宋_GB2312"/>
          <w:b/>
          <w:sz w:val="30"/>
          <w:szCs w:val="30"/>
        </w:rPr>
        <w:t>转售申报</w:t>
      </w:r>
      <w:bookmarkEnd w:id="2554"/>
      <w:bookmarkEnd w:id="2555"/>
      <w:bookmarkEnd w:id="2556"/>
      <w:bookmarkEnd w:id="2557"/>
    </w:p>
    <w:p w14:paraId="6B76C1D6">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发行人与转售受让方可以通过本所</w:t>
      </w:r>
      <w:r>
        <w:rPr>
          <w:rFonts w:hint="eastAsia" w:ascii="仿宋_GB2312" w:hAnsi="Calibri" w:eastAsia="仿宋_GB2312"/>
          <w:sz w:val="30"/>
          <w:szCs w:val="30"/>
        </w:rPr>
        <w:t>新固定收益系统</w:t>
      </w:r>
      <w:r>
        <w:rPr>
          <w:rFonts w:hint="eastAsia" w:ascii="仿宋_GB2312" w:hAnsi="宋体" w:eastAsia="仿宋_GB2312"/>
          <w:sz w:val="30"/>
          <w:szCs w:val="30"/>
        </w:rPr>
        <w:t>实施转售，也可以通过本所认可的其他方式实施转售。</w:t>
      </w:r>
    </w:p>
    <w:p w14:paraId="78123E97">
      <w:pPr>
        <w:spacing w:line="60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通过本所</w:t>
      </w:r>
      <w:r>
        <w:rPr>
          <w:rFonts w:hint="eastAsia" w:ascii="仿宋_GB2312" w:hAnsi="Calibri" w:eastAsia="仿宋_GB2312"/>
          <w:sz w:val="30"/>
          <w:szCs w:val="30"/>
        </w:rPr>
        <w:t>新固定收益系统</w:t>
      </w:r>
      <w:r>
        <w:rPr>
          <w:rFonts w:hint="eastAsia" w:ascii="仿宋_GB2312" w:hAnsi="宋体" w:eastAsia="仿宋_GB2312"/>
          <w:sz w:val="30"/>
          <w:szCs w:val="30"/>
        </w:rPr>
        <w:t>实施转售的，发行人与转售受让方应当在转售期内提交转售申报，具体实施方式为</w:t>
      </w:r>
      <w:r>
        <w:rPr>
          <w:rFonts w:hint="eastAsia" w:ascii="仿宋_GB2312" w:hAnsi="宋体" w:eastAsia="仿宋_GB2312"/>
          <w:bCs/>
          <w:sz w:val="30"/>
          <w:szCs w:val="30"/>
        </w:rPr>
        <w:t>通过协商成交的方式完成转售</w:t>
      </w:r>
      <w:r>
        <w:rPr>
          <w:rFonts w:hint="eastAsia" w:ascii="仿宋_GB2312" w:hAnsi="宋体" w:eastAsia="仿宋_GB2312"/>
          <w:sz w:val="30"/>
          <w:szCs w:val="30"/>
        </w:rPr>
        <w:t>。协商成交的申报要素、交易流程及其撤销详见本指南第5章。转售协商成交申报的买方为转售受让方，卖方为发行人，卖方证券账户即发行人回售专用证券账户。债券转售的受让方应符合本所债券投资者适当性管理相关要求。</w:t>
      </w:r>
    </w:p>
    <w:p w14:paraId="510CAF5B">
      <w:pPr>
        <w:spacing w:line="60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lang w:eastAsia="zh-CN"/>
        </w:rPr>
        <w:t>通过其他方式实施转售的，</w:t>
      </w:r>
      <w:r>
        <w:rPr>
          <w:rFonts w:hint="eastAsia" w:ascii="仿宋_GB2312" w:hAnsi="宋体" w:eastAsia="仿宋_GB2312"/>
          <w:sz w:val="30"/>
          <w:szCs w:val="30"/>
        </w:rPr>
        <w:t>发行人与转售受让方</w:t>
      </w:r>
      <w:r>
        <w:rPr>
          <w:rFonts w:hint="eastAsia" w:ascii="仿宋_GB2312" w:hAnsi="宋体" w:eastAsia="仿宋_GB2312"/>
          <w:sz w:val="30"/>
          <w:szCs w:val="30"/>
          <w:lang w:eastAsia="zh-CN"/>
        </w:rPr>
        <w:t>应确保转售价格合理公允。具体申请材料及办理程序见</w:t>
      </w:r>
      <w:r>
        <w:rPr>
          <w:rFonts w:hint="eastAsia" w:ascii="仿宋_GB2312" w:hAnsi="宋体" w:eastAsia="仿宋_GB2312"/>
          <w:sz w:val="30"/>
          <w:szCs w:val="30"/>
          <w:lang w:val="en-US" w:eastAsia="zh-CN"/>
        </w:rPr>
        <w:t>9.8 非交易过户。</w:t>
      </w:r>
    </w:p>
    <w:p w14:paraId="389F6E05">
      <w:pPr>
        <w:numPr>
          <w:ilvl w:val="1"/>
          <w:numId w:val="4"/>
        </w:numPr>
        <w:spacing w:line="600" w:lineRule="exact"/>
        <w:ind w:left="0" w:firstLine="0"/>
        <w:outlineLvl w:val="1"/>
        <w:rPr>
          <w:rFonts w:ascii="仿宋_GB2312" w:eastAsia="仿宋_GB2312"/>
          <w:b/>
          <w:sz w:val="30"/>
          <w:szCs w:val="30"/>
        </w:rPr>
      </w:pPr>
      <w:bookmarkStart w:id="2558" w:name="_Toc1316550073"/>
      <w:bookmarkStart w:id="2559" w:name="_Toc1987505826"/>
      <w:bookmarkStart w:id="2560" w:name="_Toc2109226568"/>
      <w:bookmarkStart w:id="2561" w:name="_Toc1632444230"/>
      <w:bookmarkStart w:id="2562" w:name="_Toc1711613962"/>
      <w:bookmarkStart w:id="2563" w:name="_Toc24459980"/>
      <w:bookmarkStart w:id="2564" w:name="_Toc14166610"/>
      <w:bookmarkStart w:id="2565" w:name="_Toc56166297"/>
      <w:bookmarkStart w:id="2566" w:name="_Toc151137058"/>
      <w:bookmarkStart w:id="2567" w:name="_Toc16497843"/>
      <w:bookmarkStart w:id="2568" w:name="_Toc34763074"/>
      <w:bookmarkStart w:id="2569" w:name="_Toc19542099"/>
      <w:bookmarkStart w:id="2570" w:name="_Toc56166108"/>
      <w:bookmarkStart w:id="2571" w:name="_Toc881512843"/>
      <w:r>
        <w:rPr>
          <w:rFonts w:hint="eastAsia" w:ascii="仿宋_GB2312" w:eastAsia="仿宋_GB2312"/>
          <w:b/>
          <w:sz w:val="30"/>
          <w:szCs w:val="30"/>
        </w:rPr>
        <w:t>债券转股</w:t>
      </w:r>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p>
    <w:p w14:paraId="069F5D23">
      <w:pPr>
        <w:numPr>
          <w:ilvl w:val="2"/>
          <w:numId w:val="4"/>
        </w:numPr>
        <w:spacing w:line="600" w:lineRule="exact"/>
        <w:ind w:left="0" w:firstLine="0"/>
        <w:outlineLvl w:val="2"/>
        <w:rPr>
          <w:rFonts w:ascii="仿宋_GB2312" w:eastAsia="仿宋_GB2312"/>
          <w:b/>
          <w:sz w:val="30"/>
          <w:szCs w:val="30"/>
        </w:rPr>
      </w:pPr>
      <w:bookmarkStart w:id="2572" w:name="_Toc24459981"/>
      <w:bookmarkStart w:id="2573" w:name="_Toc19542100"/>
      <w:bookmarkStart w:id="2574" w:name="_Toc16497844"/>
      <w:bookmarkStart w:id="2575" w:name="_Toc34763075"/>
      <w:bookmarkStart w:id="2576" w:name="_Toc14166611"/>
      <w:r>
        <w:rPr>
          <w:rFonts w:hint="eastAsia" w:ascii="仿宋_GB2312" w:eastAsia="仿宋_GB2312"/>
          <w:b/>
          <w:sz w:val="30"/>
          <w:szCs w:val="30"/>
        </w:rPr>
        <w:t>转股准备</w:t>
      </w:r>
      <w:bookmarkEnd w:id="2572"/>
      <w:bookmarkEnd w:id="2573"/>
      <w:bookmarkEnd w:id="2574"/>
      <w:bookmarkEnd w:id="2575"/>
    </w:p>
    <w:p w14:paraId="6AF7B6A4">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设定转股条款的债券，债券投资者有权选择在转股期内实施转股，将持有的债券转换为发行人的股票或股份。</w:t>
      </w:r>
    </w:p>
    <w:p w14:paraId="3431BAA3">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本所为下列品种提供转股服务：</w:t>
      </w:r>
    </w:p>
    <w:p w14:paraId="5D553B7B">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（1）上市公司面向不特定对象发行的可转换公司债券（以下简称公募可转债）；</w:t>
      </w:r>
    </w:p>
    <w:p w14:paraId="6ADCBA8E">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（2）非上市公司非公开发行可转换公司债券（以下简称私募可转债）；</w:t>
      </w:r>
    </w:p>
    <w:p w14:paraId="0F6D47F8">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（3）本所认可的其他债券。</w:t>
      </w:r>
    </w:p>
    <w:p w14:paraId="400DA443">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转股类型分为公募可转债转股、私募可转债转新三板股票及私募可转债转股权。</w:t>
      </w:r>
    </w:p>
    <w:p w14:paraId="15EEADA2">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其中，公募可转债转股通过综合业务平台实施；私募可转债转新三板股票及私募可转债转股权通过</w:t>
      </w:r>
      <w:r>
        <w:rPr>
          <w:rFonts w:hint="eastAsia" w:ascii="仿宋_GB2312" w:hAnsi="宋体" w:eastAsia="仿宋_GB2312"/>
          <w:sz w:val="30"/>
          <w:szCs w:val="30"/>
          <w:lang w:eastAsia="zh-CN"/>
        </w:rPr>
        <w:t>新固定收益系统</w:t>
      </w:r>
      <w:r>
        <w:rPr>
          <w:rFonts w:hint="eastAsia" w:ascii="仿宋_GB2312" w:hAnsi="宋体" w:eastAsia="仿宋_GB2312"/>
          <w:sz w:val="30"/>
          <w:szCs w:val="30"/>
        </w:rPr>
        <w:t>实施。</w:t>
      </w:r>
    </w:p>
    <w:p w14:paraId="3428D4E3">
      <w:pPr>
        <w:spacing w:line="600" w:lineRule="exact"/>
        <w:ind w:firstLine="600" w:firstLineChars="200"/>
        <w:jc w:val="left"/>
        <w:rPr>
          <w:rFonts w:ascii="仿宋_GB2312" w:hAnsi="Calibri" w:eastAsia="仿宋_GB2312"/>
          <w:sz w:val="30"/>
          <w:szCs w:val="30"/>
        </w:rPr>
      </w:pPr>
      <w:r>
        <w:rPr>
          <w:rFonts w:hint="eastAsia" w:ascii="仿宋_GB2312" w:hAnsi="宋体" w:eastAsia="仿宋_GB2312"/>
          <w:sz w:val="30"/>
          <w:szCs w:val="30"/>
        </w:rPr>
        <w:t>债券投资者可通过</w:t>
      </w:r>
      <w:r>
        <w:rPr>
          <w:rFonts w:ascii="仿宋_GB2312" w:hAnsi="宋体" w:eastAsia="仿宋_GB2312"/>
          <w:sz w:val="30"/>
          <w:szCs w:val="30"/>
        </w:rPr>
        <w:t>本所官网、</w:t>
      </w:r>
      <w:r>
        <w:rPr>
          <w:rFonts w:hint="eastAsia" w:ascii="仿宋_GB2312" w:hAnsi="宋体" w:eastAsia="仿宋_GB2312"/>
          <w:sz w:val="30"/>
          <w:szCs w:val="30"/>
          <w:lang w:eastAsia="zh-CN"/>
        </w:rPr>
        <w:t>上证</w:t>
      </w:r>
      <w:r>
        <w:rPr>
          <w:rFonts w:ascii="仿宋_GB2312" w:hAnsi="宋体" w:eastAsia="仿宋_GB2312"/>
          <w:sz w:val="30"/>
          <w:szCs w:val="30"/>
        </w:rPr>
        <w:t>债券信息网等本所信息披露平台查看下列</w:t>
      </w:r>
      <w:r>
        <w:rPr>
          <w:rFonts w:hint="eastAsia" w:ascii="仿宋_GB2312" w:hAnsi="Calibri" w:eastAsia="仿宋_GB2312"/>
          <w:sz w:val="30"/>
          <w:szCs w:val="30"/>
        </w:rPr>
        <w:t>有关债券转股的信息披露文件。</w:t>
      </w:r>
    </w:p>
    <w:p w14:paraId="7F07F22E">
      <w:pPr>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（1）公募可转债开始转股公告。公告内容包括公募可转债转股的证券代码、证券简称、转股价格、转股申报起止日等。</w:t>
      </w:r>
    </w:p>
    <w:p w14:paraId="62619D37">
      <w:pPr>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（2）私募可转债转股公告。公告内容包括可转换债券的基本情况、转股申报起止日、转股程序、转股价格等。</w:t>
      </w:r>
    </w:p>
    <w:p w14:paraId="56E1AFC8">
      <w:pPr>
        <w:numPr>
          <w:ilvl w:val="2"/>
          <w:numId w:val="4"/>
        </w:numPr>
        <w:spacing w:line="600" w:lineRule="exact"/>
        <w:ind w:left="0" w:firstLine="0"/>
        <w:outlineLvl w:val="2"/>
        <w:rPr>
          <w:rFonts w:ascii="仿宋_GB2312" w:eastAsia="仿宋_GB2312"/>
          <w:b/>
          <w:sz w:val="30"/>
          <w:szCs w:val="30"/>
        </w:rPr>
      </w:pPr>
      <w:bookmarkStart w:id="2577" w:name="_Toc24459983"/>
      <w:bookmarkStart w:id="2578" w:name="_Toc34763077"/>
      <w:bookmarkStart w:id="2579" w:name="_Toc16497846"/>
      <w:bookmarkStart w:id="2580" w:name="_Toc19542102"/>
      <w:r>
        <w:rPr>
          <w:rFonts w:hint="eastAsia" w:ascii="仿宋_GB2312" w:eastAsia="仿宋_GB2312"/>
          <w:b/>
          <w:sz w:val="30"/>
          <w:szCs w:val="30"/>
        </w:rPr>
        <w:t>转股申报</w:t>
      </w:r>
      <w:bookmarkEnd w:id="2577"/>
      <w:bookmarkEnd w:id="2578"/>
      <w:bookmarkEnd w:id="2579"/>
      <w:bookmarkEnd w:id="2580"/>
    </w:p>
    <w:p w14:paraId="32E833E0">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公募可转债自发行结束之日起六个月后，在符合约定条件时，债券投资者可申请转换为上市公司股票。转股期由发行人自行决定，并应符合相关规则的要求。</w:t>
      </w:r>
    </w:p>
    <w:p w14:paraId="76206ED1">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公募可转债的持有人可以在转股期内进行转股，但下列时间除外：</w:t>
      </w:r>
    </w:p>
    <w:p w14:paraId="7D27875D">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（1）公募可转债停止交易前的可转债停牌时间；</w:t>
      </w:r>
    </w:p>
    <w:p w14:paraId="19836A72">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（2）发行人公司股票停牌时间；</w:t>
      </w:r>
    </w:p>
    <w:p w14:paraId="3C8AD418">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（3）发行人按照有关规定申请停止转股期间。</w:t>
      </w:r>
    </w:p>
    <w:p w14:paraId="1D700B1A">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私募可转债自发行结束之日起</w:t>
      </w:r>
      <w:r>
        <w:rPr>
          <w:rFonts w:ascii="仿宋_GB2312" w:hAnsi="宋体" w:eastAsia="仿宋_GB2312"/>
          <w:sz w:val="30"/>
          <w:szCs w:val="30"/>
        </w:rPr>
        <w:t>6个月后</w:t>
      </w:r>
      <w:r>
        <w:rPr>
          <w:rFonts w:hint="eastAsia" w:ascii="仿宋_GB2312" w:hAnsi="宋体" w:eastAsia="仿宋_GB2312"/>
          <w:sz w:val="30"/>
          <w:szCs w:val="30"/>
        </w:rPr>
        <w:t>，债券投资者可以转股。每</w:t>
      </w:r>
      <w:r>
        <w:rPr>
          <w:rFonts w:ascii="仿宋_GB2312" w:hAnsi="宋体" w:eastAsia="仿宋_GB2312"/>
          <w:sz w:val="30"/>
          <w:szCs w:val="30"/>
        </w:rPr>
        <w:t>3个月可设置一次转股申报期，转股申报期不得少于5个交易日，不得多于10个交易日。</w:t>
      </w:r>
    </w:p>
    <w:p w14:paraId="2CBC5246">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通过</w:t>
      </w:r>
      <w:r>
        <w:rPr>
          <w:rFonts w:hint="eastAsia" w:ascii="仿宋_GB2312" w:hAnsi="宋体" w:eastAsia="仿宋_GB2312"/>
          <w:sz w:val="30"/>
          <w:szCs w:val="30"/>
          <w:lang w:eastAsia="zh-CN"/>
        </w:rPr>
        <w:t>新固定收益系统</w:t>
      </w:r>
      <w:r>
        <w:rPr>
          <w:rFonts w:hint="eastAsia" w:ascii="仿宋_GB2312" w:hAnsi="宋体" w:eastAsia="仿宋_GB2312"/>
          <w:sz w:val="30"/>
          <w:szCs w:val="30"/>
        </w:rPr>
        <w:t>进行转股申报的申报时间为转股期内每个交易日的</w:t>
      </w:r>
      <w:r>
        <w:rPr>
          <w:rFonts w:ascii="仿宋_GB2312" w:hAnsi="宋体" w:eastAsia="仿宋_GB2312"/>
          <w:sz w:val="30"/>
          <w:szCs w:val="30"/>
        </w:rPr>
        <w:t>9：00至11：30、13：00至15：30。</w:t>
      </w:r>
    </w:p>
    <w:p w14:paraId="6928FE1C">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通过综合业务平台进行转股申报的申报时间为转股期内每个交易日的</w:t>
      </w:r>
      <w:r>
        <w:rPr>
          <w:rFonts w:ascii="仿宋_GB2312" w:hAnsi="宋体" w:eastAsia="仿宋_GB2312"/>
          <w:sz w:val="30"/>
          <w:szCs w:val="30"/>
        </w:rPr>
        <w:t>9：</w:t>
      </w:r>
      <w:r>
        <w:rPr>
          <w:rFonts w:hint="eastAsia" w:ascii="仿宋_GB2312" w:hAnsi="宋体" w:eastAsia="仿宋_GB2312"/>
          <w:sz w:val="30"/>
          <w:szCs w:val="30"/>
        </w:rPr>
        <w:t>30</w:t>
      </w:r>
      <w:r>
        <w:rPr>
          <w:rFonts w:ascii="仿宋_GB2312" w:hAnsi="宋体" w:eastAsia="仿宋_GB2312"/>
          <w:sz w:val="30"/>
          <w:szCs w:val="30"/>
        </w:rPr>
        <w:t>至11：30、13：00至15：</w:t>
      </w:r>
      <w:r>
        <w:rPr>
          <w:rFonts w:hint="eastAsia" w:ascii="仿宋_GB2312" w:hAnsi="宋体" w:eastAsia="仿宋_GB2312"/>
          <w:sz w:val="30"/>
          <w:szCs w:val="30"/>
        </w:rPr>
        <w:t>00</w:t>
      </w:r>
      <w:r>
        <w:rPr>
          <w:rFonts w:ascii="仿宋_GB2312" w:hAnsi="宋体" w:eastAsia="仿宋_GB2312"/>
          <w:sz w:val="30"/>
          <w:szCs w:val="30"/>
        </w:rPr>
        <w:t>。</w:t>
      </w:r>
    </w:p>
    <w:p w14:paraId="15DC0A81">
      <w:pPr>
        <w:spacing w:line="600" w:lineRule="exact"/>
        <w:ind w:firstLine="600" w:firstLineChars="200"/>
        <w:jc w:val="left"/>
        <w:rPr>
          <w:rFonts w:ascii="仿宋_GB2312" w:hAnsi="宋体" w:eastAsia="仿宋_GB2312"/>
          <w:sz w:val="28"/>
          <w:szCs w:val="28"/>
        </w:rPr>
      </w:pPr>
      <w:r>
        <w:rPr>
          <w:rFonts w:hint="eastAsia" w:ascii="仿宋_GB2312" w:hAnsi="宋体" w:eastAsia="仿宋_GB2312"/>
          <w:sz w:val="30"/>
          <w:szCs w:val="30"/>
        </w:rPr>
        <w:t>转股申报的申报要素包括非交易类型、证券代码、证券简称、转股数量、转股类型、证券账号等。具体申报要素如下：</w:t>
      </w:r>
    </w:p>
    <w:tbl>
      <w:tblPr>
        <w:tblStyle w:val="4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5103"/>
      </w:tblGrid>
      <w:tr w14:paraId="4608C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306CE03C">
            <w:pPr>
              <w:rPr>
                <w:rFonts w:ascii="仿宋_GB2312" w:hAnsi="宋体" w:eastAsia="仿宋_GB2312"/>
                <w:b/>
                <w:sz w:val="24"/>
                <w:szCs w:val="24"/>
              </w:rPr>
            </w:pPr>
            <w:r>
              <w:rPr>
                <w:rFonts w:hint="eastAsia" w:ascii="仿宋_GB2312" w:hAnsi="宋体" w:eastAsia="仿宋_GB2312"/>
                <w:b/>
                <w:sz w:val="24"/>
                <w:szCs w:val="24"/>
              </w:rPr>
              <w:t>申报要素</w:t>
            </w:r>
          </w:p>
        </w:tc>
        <w:tc>
          <w:tcPr>
            <w:tcW w:w="5103" w:type="dxa"/>
          </w:tcPr>
          <w:p w14:paraId="50A95990">
            <w:pPr>
              <w:rPr>
                <w:rFonts w:ascii="仿宋_GB2312" w:hAnsi="宋体" w:eastAsia="仿宋_GB2312"/>
                <w:b/>
                <w:sz w:val="24"/>
                <w:szCs w:val="24"/>
              </w:rPr>
            </w:pPr>
            <w:r>
              <w:rPr>
                <w:rFonts w:hint="eastAsia" w:ascii="仿宋_GB2312" w:hAnsi="宋体" w:eastAsia="仿宋_GB2312"/>
                <w:b/>
                <w:sz w:val="24"/>
                <w:szCs w:val="24"/>
              </w:rPr>
              <w:t>要素说明</w:t>
            </w:r>
          </w:p>
        </w:tc>
      </w:tr>
      <w:tr w14:paraId="13F5F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4ED21E8A">
            <w:pPr>
              <w:rPr>
                <w:rFonts w:ascii="仿宋_GB2312" w:hAnsi="宋体" w:eastAsia="仿宋_GB2312"/>
                <w:b/>
                <w:sz w:val="24"/>
                <w:szCs w:val="24"/>
              </w:rPr>
            </w:pPr>
            <w:r>
              <w:rPr>
                <w:rFonts w:hint="eastAsia" w:ascii="仿宋_GB2312" w:hAnsi="宋体" w:eastAsia="仿宋_GB2312"/>
                <w:b/>
                <w:sz w:val="24"/>
                <w:szCs w:val="24"/>
              </w:rPr>
              <w:t>非交易类型</w:t>
            </w:r>
          </w:p>
        </w:tc>
        <w:tc>
          <w:tcPr>
            <w:tcW w:w="5103" w:type="dxa"/>
          </w:tcPr>
          <w:p w14:paraId="5487148D">
            <w:pPr>
              <w:rPr>
                <w:rFonts w:ascii="仿宋_GB2312" w:hAnsi="宋体" w:eastAsia="仿宋_GB2312"/>
                <w:sz w:val="24"/>
                <w:szCs w:val="24"/>
              </w:rPr>
            </w:pPr>
            <w:r>
              <w:rPr>
                <w:rFonts w:hint="eastAsia" w:ascii="仿宋_GB2312" w:hAnsi="宋体" w:eastAsia="仿宋_GB2312"/>
                <w:sz w:val="24"/>
                <w:szCs w:val="24"/>
              </w:rPr>
              <w:t>综合业务</w:t>
            </w:r>
            <w:r>
              <w:rPr>
                <w:rFonts w:ascii="仿宋_GB2312" w:hAnsi="宋体" w:eastAsia="仿宋_GB2312"/>
                <w:sz w:val="24"/>
                <w:szCs w:val="24"/>
              </w:rPr>
              <w:t>平台为BES</w:t>
            </w:r>
            <w:r>
              <w:rPr>
                <w:rFonts w:hint="eastAsia" w:ascii="仿宋_GB2312" w:hAnsi="宋体" w:eastAsia="仿宋_GB2312"/>
                <w:sz w:val="24"/>
                <w:szCs w:val="24"/>
              </w:rPr>
              <w:t>，</w:t>
            </w:r>
            <w:r>
              <w:rPr>
                <w:rFonts w:hint="eastAsia" w:ascii="仿宋_GB2312" w:hAnsi="宋体" w:eastAsia="仿宋_GB2312"/>
                <w:sz w:val="24"/>
                <w:szCs w:val="24"/>
                <w:lang w:eastAsia="zh-CN"/>
              </w:rPr>
              <w:t>新固定收益系统</w:t>
            </w:r>
            <w:r>
              <w:rPr>
                <w:rFonts w:ascii="仿宋_GB2312" w:hAnsi="宋体" w:eastAsia="仿宋_GB2312"/>
                <w:sz w:val="24"/>
                <w:szCs w:val="24"/>
              </w:rPr>
              <w:t>为</w:t>
            </w:r>
            <w:r>
              <w:rPr>
                <w:rFonts w:hint="eastAsia" w:ascii="仿宋_GB2312" w:hAnsi="宋体" w:eastAsia="仿宋_GB2312"/>
                <w:sz w:val="24"/>
                <w:szCs w:val="24"/>
              </w:rPr>
              <w:t>转股</w:t>
            </w:r>
            <w:r>
              <w:rPr>
                <w:rFonts w:ascii="仿宋_GB2312" w:hAnsi="宋体" w:eastAsia="仿宋_GB2312"/>
                <w:sz w:val="24"/>
                <w:szCs w:val="24"/>
              </w:rPr>
              <w:t>菜单入口</w:t>
            </w:r>
          </w:p>
        </w:tc>
      </w:tr>
      <w:tr w14:paraId="3F48E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561E0BC1">
            <w:pPr>
              <w:rPr>
                <w:rFonts w:ascii="仿宋_GB2312" w:hAnsi="宋体" w:eastAsia="仿宋_GB2312"/>
                <w:b/>
                <w:sz w:val="24"/>
                <w:szCs w:val="24"/>
              </w:rPr>
            </w:pPr>
            <w:r>
              <w:rPr>
                <w:rFonts w:hint="eastAsia" w:ascii="仿宋_GB2312" w:hAnsi="宋体" w:eastAsia="仿宋_GB2312"/>
                <w:b/>
                <w:sz w:val="24"/>
                <w:szCs w:val="24"/>
              </w:rPr>
              <w:t>转股类型</w:t>
            </w:r>
          </w:p>
        </w:tc>
        <w:tc>
          <w:tcPr>
            <w:tcW w:w="5103" w:type="dxa"/>
          </w:tcPr>
          <w:p w14:paraId="3C1F614A">
            <w:pPr>
              <w:rPr>
                <w:rFonts w:hint="eastAsia" w:ascii="仿宋_GB2312" w:hAnsi="宋体" w:eastAsia="仿宋_GB2312"/>
                <w:sz w:val="24"/>
                <w:szCs w:val="24"/>
                <w:lang w:eastAsia="zh-CN"/>
              </w:rPr>
            </w:pPr>
            <w:r>
              <w:rPr>
                <w:rFonts w:hint="eastAsia" w:ascii="仿宋_GB2312" w:hAnsi="宋体" w:eastAsia="仿宋_GB2312"/>
                <w:sz w:val="24"/>
                <w:szCs w:val="24"/>
              </w:rPr>
              <w:t>综合业务</w:t>
            </w:r>
            <w:r>
              <w:rPr>
                <w:rFonts w:ascii="仿宋_GB2312" w:hAnsi="宋体" w:eastAsia="仿宋_GB2312"/>
                <w:sz w:val="24"/>
                <w:szCs w:val="24"/>
              </w:rPr>
              <w:t>平台为</w:t>
            </w:r>
            <w:r>
              <w:rPr>
                <w:rFonts w:hint="eastAsia" w:ascii="仿宋_GB2312" w:hAnsi="宋体" w:eastAsia="仿宋_GB2312"/>
                <w:sz w:val="24"/>
                <w:szCs w:val="24"/>
              </w:rPr>
              <w:t>公募可转债转股，</w:t>
            </w:r>
            <w:r>
              <w:rPr>
                <w:rFonts w:hint="eastAsia" w:ascii="仿宋_GB2312" w:hAnsi="宋体" w:eastAsia="仿宋_GB2312"/>
                <w:sz w:val="24"/>
                <w:szCs w:val="24"/>
                <w:lang w:eastAsia="zh-CN"/>
              </w:rPr>
              <w:t>新固定收益系统</w:t>
            </w:r>
            <w:r>
              <w:rPr>
                <w:rFonts w:ascii="仿宋_GB2312" w:hAnsi="宋体" w:eastAsia="仿宋_GB2312"/>
                <w:sz w:val="24"/>
                <w:szCs w:val="24"/>
              </w:rPr>
              <w:t>为</w:t>
            </w:r>
            <w:r>
              <w:rPr>
                <w:rFonts w:hint="eastAsia" w:ascii="仿宋_GB2312" w:hAnsi="宋体" w:eastAsia="仿宋_GB2312"/>
                <w:sz w:val="24"/>
                <w:szCs w:val="24"/>
                <w:lang w:eastAsia="zh-CN"/>
              </w:rPr>
              <w:t>双非可转债转股</w:t>
            </w:r>
          </w:p>
        </w:tc>
      </w:tr>
      <w:tr w14:paraId="5CB38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27" w:type="dxa"/>
          </w:tcPr>
          <w:p w14:paraId="60DF4639">
            <w:pPr>
              <w:rPr>
                <w:rFonts w:ascii="仿宋_GB2312" w:hAnsi="宋体" w:eastAsia="仿宋_GB2312"/>
                <w:b/>
                <w:sz w:val="24"/>
                <w:szCs w:val="24"/>
              </w:rPr>
            </w:pPr>
            <w:r>
              <w:rPr>
                <w:rFonts w:hint="eastAsia" w:ascii="仿宋_GB2312" w:hAnsi="宋体" w:eastAsia="仿宋_GB2312"/>
                <w:b/>
                <w:sz w:val="24"/>
                <w:szCs w:val="24"/>
              </w:rPr>
              <w:t>证券账户</w:t>
            </w:r>
          </w:p>
        </w:tc>
        <w:tc>
          <w:tcPr>
            <w:tcW w:w="5103" w:type="dxa"/>
          </w:tcPr>
          <w:p w14:paraId="1620F794">
            <w:pPr>
              <w:rPr>
                <w:rFonts w:ascii="仿宋_GB2312" w:hAnsi="宋体" w:eastAsia="仿宋_GB2312"/>
                <w:sz w:val="24"/>
                <w:szCs w:val="24"/>
              </w:rPr>
            </w:pPr>
            <w:r>
              <w:rPr>
                <w:rFonts w:hint="eastAsia" w:ascii="仿宋_GB2312" w:hAnsi="宋体" w:eastAsia="仿宋_GB2312"/>
                <w:sz w:val="24"/>
                <w:szCs w:val="24"/>
              </w:rPr>
              <w:t>账户名称</w:t>
            </w:r>
          </w:p>
        </w:tc>
      </w:tr>
      <w:tr w14:paraId="2A9E7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724DD6DD">
            <w:pPr>
              <w:rPr>
                <w:rFonts w:ascii="仿宋_GB2312" w:hAnsi="宋体" w:eastAsia="仿宋_GB2312"/>
                <w:b/>
                <w:sz w:val="24"/>
                <w:szCs w:val="24"/>
              </w:rPr>
            </w:pPr>
            <w:r>
              <w:rPr>
                <w:rFonts w:hint="eastAsia" w:ascii="仿宋_GB2312" w:hAnsi="宋体" w:eastAsia="仿宋_GB2312"/>
                <w:b/>
                <w:sz w:val="24"/>
                <w:szCs w:val="24"/>
              </w:rPr>
              <w:t>证券代码</w:t>
            </w:r>
          </w:p>
        </w:tc>
        <w:tc>
          <w:tcPr>
            <w:tcW w:w="5103" w:type="dxa"/>
          </w:tcPr>
          <w:p w14:paraId="57E3B366">
            <w:pPr>
              <w:rPr>
                <w:rFonts w:ascii="仿宋_GB2312" w:hAnsi="宋体" w:eastAsia="仿宋_GB2312"/>
                <w:sz w:val="24"/>
                <w:szCs w:val="24"/>
              </w:rPr>
            </w:pPr>
            <w:r>
              <w:rPr>
                <w:rFonts w:hint="eastAsia" w:ascii="仿宋_GB2312" w:hAnsi="宋体" w:eastAsia="仿宋_GB2312"/>
                <w:sz w:val="24"/>
                <w:szCs w:val="24"/>
              </w:rPr>
              <w:t>现券代码</w:t>
            </w:r>
          </w:p>
        </w:tc>
      </w:tr>
      <w:tr w14:paraId="4E94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58E0472A">
            <w:pPr>
              <w:rPr>
                <w:rFonts w:ascii="仿宋_GB2312" w:hAnsi="宋体" w:eastAsia="仿宋_GB2312"/>
                <w:b/>
                <w:sz w:val="24"/>
                <w:szCs w:val="24"/>
              </w:rPr>
            </w:pPr>
            <w:r>
              <w:rPr>
                <w:rFonts w:hint="eastAsia" w:ascii="仿宋_GB2312" w:hAnsi="宋体" w:eastAsia="仿宋_GB2312"/>
                <w:b/>
                <w:sz w:val="24"/>
                <w:szCs w:val="24"/>
              </w:rPr>
              <w:t>证券账号</w:t>
            </w:r>
          </w:p>
        </w:tc>
        <w:tc>
          <w:tcPr>
            <w:tcW w:w="5103" w:type="dxa"/>
          </w:tcPr>
          <w:p w14:paraId="1EB9E48E">
            <w:pPr>
              <w:rPr>
                <w:rFonts w:ascii="仿宋_GB2312" w:hAnsi="宋体" w:eastAsia="仿宋_GB2312"/>
                <w:sz w:val="24"/>
                <w:szCs w:val="24"/>
              </w:rPr>
            </w:pPr>
            <w:r>
              <w:rPr>
                <w:rFonts w:hint="eastAsia" w:ascii="仿宋_GB2312" w:hAnsi="宋体" w:eastAsia="仿宋_GB2312"/>
                <w:sz w:val="24"/>
                <w:szCs w:val="24"/>
              </w:rPr>
              <w:t>可以选择本交易员有权使用的所有交易账号</w:t>
            </w:r>
          </w:p>
        </w:tc>
      </w:tr>
      <w:tr w14:paraId="1D7AE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53C8AFB6">
            <w:pPr>
              <w:rPr>
                <w:rFonts w:ascii="仿宋_GB2312" w:hAnsi="宋体" w:eastAsia="仿宋_GB2312"/>
                <w:b/>
                <w:sz w:val="24"/>
                <w:szCs w:val="24"/>
              </w:rPr>
            </w:pPr>
            <w:r>
              <w:rPr>
                <w:rFonts w:hint="eastAsia" w:ascii="仿宋_GB2312" w:hAnsi="宋体" w:eastAsia="仿宋_GB2312"/>
                <w:b/>
                <w:sz w:val="24"/>
                <w:szCs w:val="24"/>
              </w:rPr>
              <w:t>转股数量</w:t>
            </w:r>
          </w:p>
        </w:tc>
        <w:tc>
          <w:tcPr>
            <w:tcW w:w="5103" w:type="dxa"/>
          </w:tcPr>
          <w:p w14:paraId="03B57FEB">
            <w:pPr>
              <w:rPr>
                <w:rFonts w:ascii="仿宋_GB2312" w:hAnsi="宋体" w:eastAsia="仿宋_GB2312"/>
                <w:sz w:val="24"/>
                <w:szCs w:val="24"/>
              </w:rPr>
            </w:pPr>
            <w:r>
              <w:rPr>
                <w:rFonts w:hint="eastAsia" w:ascii="仿宋_GB2312" w:hAnsi="宋体" w:eastAsia="仿宋_GB2312"/>
                <w:sz w:val="24"/>
                <w:szCs w:val="24"/>
              </w:rPr>
              <w:t>可转债转股的现券数量，以1000元面额为单位</w:t>
            </w:r>
          </w:p>
        </w:tc>
      </w:tr>
      <w:tr w14:paraId="3FE68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27" w:type="dxa"/>
          </w:tcPr>
          <w:p w14:paraId="0E0AD6B2">
            <w:pPr>
              <w:rPr>
                <w:rFonts w:ascii="仿宋_GB2312" w:hAnsi="宋体" w:eastAsia="仿宋_GB2312"/>
                <w:b/>
                <w:sz w:val="24"/>
                <w:szCs w:val="24"/>
              </w:rPr>
            </w:pPr>
            <w:r>
              <w:rPr>
                <w:rFonts w:hint="eastAsia" w:ascii="仿宋_GB2312" w:hAnsi="宋体" w:eastAsia="仿宋_GB2312"/>
                <w:b/>
                <w:sz w:val="24"/>
                <w:szCs w:val="24"/>
              </w:rPr>
              <w:t>席位号</w:t>
            </w:r>
          </w:p>
        </w:tc>
        <w:tc>
          <w:tcPr>
            <w:tcW w:w="5103" w:type="dxa"/>
          </w:tcPr>
          <w:p w14:paraId="076FC949">
            <w:pPr>
              <w:rPr>
                <w:rFonts w:ascii="仿宋_GB2312" w:hAnsi="宋体" w:eastAsia="仿宋_GB2312"/>
                <w:sz w:val="24"/>
                <w:szCs w:val="24"/>
              </w:rPr>
            </w:pPr>
            <w:r>
              <w:rPr>
                <w:rFonts w:hint="eastAsia" w:ascii="仿宋_GB2312" w:hAnsi="宋体" w:eastAsia="仿宋_GB2312"/>
                <w:sz w:val="24"/>
                <w:szCs w:val="24"/>
              </w:rPr>
              <w:t>根据选择的账户自动匹配，无需输入</w:t>
            </w:r>
          </w:p>
        </w:tc>
      </w:tr>
      <w:tr w14:paraId="0A5BA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4C53E3F6">
            <w:pPr>
              <w:rPr>
                <w:rFonts w:ascii="仿宋_GB2312" w:hAnsi="宋体" w:eastAsia="仿宋_GB2312"/>
                <w:b/>
                <w:sz w:val="24"/>
                <w:szCs w:val="24"/>
              </w:rPr>
            </w:pPr>
            <w:r>
              <w:rPr>
                <w:rFonts w:hint="eastAsia" w:ascii="仿宋_GB2312" w:hAnsi="宋体" w:eastAsia="仿宋_GB2312"/>
                <w:b/>
                <w:sz w:val="24"/>
                <w:szCs w:val="24"/>
              </w:rPr>
              <w:t>转股价格</w:t>
            </w:r>
          </w:p>
        </w:tc>
        <w:tc>
          <w:tcPr>
            <w:tcW w:w="5103" w:type="dxa"/>
          </w:tcPr>
          <w:p w14:paraId="756111E7">
            <w:pPr>
              <w:rPr>
                <w:rFonts w:ascii="仿宋_GB2312" w:hAnsi="宋体" w:eastAsia="仿宋_GB2312"/>
                <w:sz w:val="24"/>
                <w:szCs w:val="24"/>
              </w:rPr>
            </w:pPr>
            <w:r>
              <w:rPr>
                <w:rFonts w:hint="eastAsia" w:ascii="仿宋_GB2312" w:hAnsi="宋体" w:eastAsia="仿宋_GB2312"/>
                <w:sz w:val="24"/>
                <w:szCs w:val="24"/>
              </w:rPr>
              <w:t>自动匹配，无需输入</w:t>
            </w:r>
          </w:p>
        </w:tc>
      </w:tr>
    </w:tbl>
    <w:p w14:paraId="70E99AC7">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转股申报的申报数量应当为</w:t>
      </w:r>
      <w:r>
        <w:rPr>
          <w:rFonts w:ascii="仿宋_GB2312" w:hAnsi="宋体" w:eastAsia="仿宋_GB2312"/>
          <w:sz w:val="30"/>
          <w:szCs w:val="30"/>
        </w:rPr>
        <w:t>1000元</w:t>
      </w:r>
      <w:r>
        <w:rPr>
          <w:rFonts w:hint="eastAsia" w:ascii="仿宋_GB2312" w:hAnsi="宋体" w:eastAsia="仿宋_GB2312"/>
          <w:sz w:val="30"/>
          <w:szCs w:val="30"/>
        </w:rPr>
        <w:t>面额或其整数倍；</w:t>
      </w:r>
    </w:p>
    <w:p w14:paraId="5B99BC46">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可转债可转换的最小股份单位为</w:t>
      </w:r>
      <w:r>
        <w:rPr>
          <w:rFonts w:ascii="仿宋_GB2312" w:hAnsi="宋体" w:eastAsia="仿宋_GB2312"/>
          <w:sz w:val="30"/>
          <w:szCs w:val="30"/>
        </w:rPr>
        <w:t>1股。同一交易日内多次申报转股的，将合并计算转股数量。</w:t>
      </w:r>
    </w:p>
    <w:p w14:paraId="28556E92">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转股时不足转换</w:t>
      </w:r>
      <w:r>
        <w:rPr>
          <w:rFonts w:ascii="仿宋_GB2312" w:hAnsi="宋体" w:eastAsia="仿宋_GB2312"/>
          <w:sz w:val="30"/>
          <w:szCs w:val="30"/>
        </w:rPr>
        <w:t>1股的</w:t>
      </w:r>
      <w:r>
        <w:rPr>
          <w:rFonts w:hint="eastAsia" w:ascii="仿宋_GB2312" w:hAnsi="宋体" w:eastAsia="仿宋_GB2312"/>
          <w:sz w:val="30"/>
          <w:szCs w:val="30"/>
        </w:rPr>
        <w:t>公募可转债部分，由发行人在转股申报日后以现金方式兑付其本金和利息；转股份时不足转换</w:t>
      </w:r>
      <w:r>
        <w:rPr>
          <w:rFonts w:ascii="仿宋_GB2312" w:hAnsi="宋体" w:eastAsia="仿宋_GB2312"/>
          <w:sz w:val="30"/>
          <w:szCs w:val="30"/>
        </w:rPr>
        <w:t>1股的</w:t>
      </w:r>
      <w:r>
        <w:rPr>
          <w:rFonts w:hint="eastAsia" w:ascii="仿宋_GB2312" w:hAnsi="宋体" w:eastAsia="仿宋_GB2312"/>
          <w:sz w:val="30"/>
          <w:szCs w:val="30"/>
        </w:rPr>
        <w:t>私募可转债部分，应当按照募集说明书约定的方式处置。当日提交的转股申报，当日转股申报时间内可以撤销。撤销转股申报实时生效，生效后可转债可以交易。</w:t>
      </w:r>
    </w:p>
    <w:p w14:paraId="0E2E4AEA">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本所及登记结算机构对债券交易业务的处理优先于转股业务。当日买入的可转债当日（</w:t>
      </w:r>
      <w:r>
        <w:rPr>
          <w:rFonts w:ascii="仿宋_GB2312" w:hAnsi="宋体" w:eastAsia="仿宋_GB2312"/>
          <w:sz w:val="30"/>
          <w:szCs w:val="30"/>
        </w:rPr>
        <w:t>T日）</w:t>
      </w:r>
      <w:r>
        <w:rPr>
          <w:rFonts w:hint="eastAsia" w:ascii="仿宋_GB2312" w:hAnsi="宋体" w:eastAsia="仿宋_GB2312"/>
          <w:sz w:val="30"/>
          <w:szCs w:val="30"/>
        </w:rPr>
        <w:t>可以申报转股。若债券投资者当日申报债券交易后，实际可用可转债余额不足转股申报数量的，转股成功数量为债券投资者的实际可用可转债余额。</w:t>
      </w:r>
    </w:p>
    <w:p w14:paraId="369833AA">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转股交收于转股申报日（</w:t>
      </w:r>
      <w:r>
        <w:rPr>
          <w:rFonts w:ascii="仿宋_GB2312" w:hAnsi="宋体" w:eastAsia="仿宋_GB2312"/>
          <w:sz w:val="30"/>
          <w:szCs w:val="30"/>
        </w:rPr>
        <w:t>T日）</w:t>
      </w:r>
      <w:r>
        <w:rPr>
          <w:rFonts w:hint="eastAsia" w:ascii="仿宋_GB2312" w:hAnsi="宋体" w:eastAsia="仿宋_GB2312"/>
          <w:sz w:val="30"/>
          <w:szCs w:val="30"/>
        </w:rPr>
        <w:t>日终完成。</w:t>
      </w:r>
    </w:p>
    <w:p w14:paraId="27E015BD">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可转债转股新增的股票可在转股交收完成的次一交易日（</w:t>
      </w:r>
      <w:r>
        <w:rPr>
          <w:rFonts w:ascii="仿宋_GB2312" w:hAnsi="宋体" w:eastAsia="仿宋_GB2312"/>
          <w:sz w:val="30"/>
          <w:szCs w:val="30"/>
        </w:rPr>
        <w:t>T+1日）</w:t>
      </w:r>
      <w:r>
        <w:rPr>
          <w:rFonts w:hint="eastAsia" w:ascii="仿宋_GB2312" w:hAnsi="宋体" w:eastAsia="仿宋_GB2312"/>
          <w:sz w:val="30"/>
          <w:szCs w:val="30"/>
        </w:rPr>
        <w:t>上市流通。</w:t>
      </w:r>
    </w:p>
    <w:p w14:paraId="5C126338">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证券登记结算机构将根据本所传送的有效转股申报数据，按相关规定记减公募可转债持有人的持仓余额，同时记增可转债持有人相应的股票数量，完成变更登记。</w:t>
      </w:r>
    </w:p>
    <w:p w14:paraId="758CE594">
      <w:pPr>
        <w:spacing w:line="600" w:lineRule="exact"/>
        <w:ind w:firstLine="600" w:firstLineChars="200"/>
        <w:jc w:val="left"/>
        <w:rPr>
          <w:rFonts w:ascii="仿宋_GB2312" w:hAnsi="Calibri" w:eastAsia="仿宋_GB2312"/>
          <w:kern w:val="24"/>
          <w:sz w:val="30"/>
          <w:szCs w:val="30"/>
        </w:rPr>
      </w:pPr>
      <w:r>
        <w:rPr>
          <w:rFonts w:hint="eastAsia" w:ascii="仿宋_GB2312" w:hAnsi="宋体" w:eastAsia="仿宋_GB2312"/>
          <w:sz w:val="30"/>
          <w:szCs w:val="30"/>
        </w:rPr>
        <w:t>本所将</w:t>
      </w:r>
      <w:r>
        <w:rPr>
          <w:rFonts w:hint="eastAsia" w:ascii="仿宋_GB2312" w:hAnsi="Calibri" w:eastAsia="仿宋_GB2312"/>
          <w:kern w:val="24"/>
          <w:sz w:val="30"/>
          <w:szCs w:val="30"/>
        </w:rPr>
        <w:t>经</w:t>
      </w:r>
      <w:r>
        <w:rPr>
          <w:rFonts w:hint="eastAsia" w:ascii="仿宋_GB2312" w:hAnsi="宋体" w:eastAsia="仿宋_GB2312" w:cs="宋体"/>
          <w:color w:val="000000"/>
          <w:kern w:val="0"/>
          <w:sz w:val="30"/>
          <w:szCs w:val="30"/>
        </w:rPr>
        <w:t>登记结算机构</w:t>
      </w:r>
      <w:r>
        <w:rPr>
          <w:rFonts w:hint="eastAsia" w:ascii="仿宋_GB2312" w:hAnsi="Calibri" w:eastAsia="仿宋_GB2312"/>
          <w:kern w:val="24"/>
          <w:sz w:val="30"/>
          <w:szCs w:val="30"/>
        </w:rPr>
        <w:t>确认的私募可转债有效转股申报记录发送给发行人。</w:t>
      </w:r>
    </w:p>
    <w:p w14:paraId="15451B29">
      <w:pPr>
        <w:numPr>
          <w:ilvl w:val="1"/>
          <w:numId w:val="4"/>
        </w:numPr>
        <w:spacing w:line="600" w:lineRule="exact"/>
        <w:ind w:left="0" w:firstLine="0"/>
        <w:outlineLvl w:val="1"/>
        <w:rPr>
          <w:rFonts w:ascii="仿宋_GB2312" w:eastAsia="仿宋_GB2312"/>
          <w:b/>
          <w:sz w:val="30"/>
          <w:szCs w:val="30"/>
        </w:rPr>
      </w:pPr>
      <w:bookmarkStart w:id="2581" w:name="_Toc1038604130"/>
      <w:bookmarkStart w:id="2582" w:name="_Toc151137059"/>
      <w:bookmarkStart w:id="2583" w:name="_Toc24459984"/>
      <w:bookmarkStart w:id="2584" w:name="_Toc1664751453"/>
      <w:bookmarkStart w:id="2585" w:name="_Toc34763078"/>
      <w:bookmarkStart w:id="2586" w:name="_Toc56166298"/>
      <w:bookmarkStart w:id="2587" w:name="_Toc56166109"/>
      <w:bookmarkStart w:id="2588" w:name="_Toc632260610"/>
      <w:bookmarkStart w:id="2589" w:name="_Toc1561291148"/>
      <w:bookmarkStart w:id="2590" w:name="_Toc2078805654"/>
      <w:bookmarkStart w:id="2591" w:name="_Toc19542103"/>
      <w:bookmarkStart w:id="2592" w:name="_Toc2097033542"/>
      <w:bookmarkStart w:id="2593" w:name="_Toc16497847"/>
      <w:r>
        <w:rPr>
          <w:rFonts w:hint="eastAsia" w:ascii="仿宋_GB2312" w:eastAsia="仿宋_GB2312"/>
          <w:b/>
          <w:sz w:val="30"/>
          <w:szCs w:val="30"/>
        </w:rPr>
        <w:t>债券换股</w:t>
      </w:r>
      <w:bookmarkEnd w:id="2576"/>
      <w:bookmarkEnd w:id="2581"/>
      <w:bookmarkEnd w:id="2582"/>
      <w:bookmarkEnd w:id="2583"/>
      <w:bookmarkEnd w:id="2584"/>
      <w:bookmarkEnd w:id="2585"/>
      <w:bookmarkEnd w:id="2586"/>
      <w:bookmarkEnd w:id="2587"/>
      <w:bookmarkEnd w:id="2588"/>
      <w:bookmarkEnd w:id="2589"/>
      <w:bookmarkEnd w:id="2590"/>
      <w:bookmarkEnd w:id="2591"/>
      <w:bookmarkEnd w:id="2592"/>
      <w:bookmarkEnd w:id="2593"/>
    </w:p>
    <w:p w14:paraId="3F6E6589">
      <w:pPr>
        <w:numPr>
          <w:ilvl w:val="2"/>
          <w:numId w:val="4"/>
        </w:numPr>
        <w:spacing w:line="600" w:lineRule="exact"/>
        <w:ind w:left="0" w:firstLine="0"/>
        <w:outlineLvl w:val="2"/>
        <w:rPr>
          <w:rFonts w:ascii="仿宋_GB2312" w:eastAsia="仿宋_GB2312"/>
          <w:b/>
          <w:sz w:val="30"/>
          <w:szCs w:val="30"/>
        </w:rPr>
      </w:pPr>
      <w:bookmarkStart w:id="2594" w:name="_Toc34763079"/>
      <w:bookmarkStart w:id="2595" w:name="_Toc24459985"/>
      <w:bookmarkStart w:id="2596" w:name="_Toc19542104"/>
      <w:bookmarkStart w:id="2597" w:name="_Toc16497848"/>
      <w:r>
        <w:rPr>
          <w:rFonts w:hint="eastAsia" w:ascii="仿宋_GB2312" w:eastAsia="仿宋_GB2312"/>
          <w:b/>
          <w:sz w:val="30"/>
          <w:szCs w:val="30"/>
        </w:rPr>
        <w:t>换股准备</w:t>
      </w:r>
      <w:bookmarkEnd w:id="2594"/>
      <w:bookmarkEnd w:id="2595"/>
      <w:bookmarkEnd w:id="2596"/>
      <w:bookmarkEnd w:id="2597"/>
    </w:p>
    <w:p w14:paraId="0AFFE651">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可交换公司债券（以下简称可交债）的债券投资者，在进入换股期后，有权选择是否将持有的债券换为发行人持有的预备用于交换的上市公司股票。</w:t>
      </w:r>
    </w:p>
    <w:p w14:paraId="7CC1C6A8">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自公开发行可交债发行结束之日起</w:t>
      </w:r>
      <w:r>
        <w:rPr>
          <w:rFonts w:ascii="仿宋_GB2312" w:hAnsi="宋体" w:eastAsia="仿宋_GB2312"/>
          <w:sz w:val="30"/>
          <w:szCs w:val="30"/>
        </w:rPr>
        <w:t>12个月后</w:t>
      </w:r>
      <w:r>
        <w:rPr>
          <w:rFonts w:hint="eastAsia" w:ascii="仿宋_GB2312" w:hAnsi="宋体" w:eastAsia="仿宋_GB2312"/>
          <w:sz w:val="30"/>
          <w:szCs w:val="30"/>
        </w:rPr>
        <w:t>或非公开发行可交债发行结束之日起6个月后</w:t>
      </w:r>
      <w:r>
        <w:rPr>
          <w:rFonts w:ascii="仿宋_GB2312" w:hAnsi="宋体" w:eastAsia="仿宋_GB2312"/>
          <w:sz w:val="30"/>
          <w:szCs w:val="30"/>
        </w:rPr>
        <w:t>，债券投资者方可按照募集说明书约定选择是否交换为预备用于交换的</w:t>
      </w:r>
      <w:r>
        <w:rPr>
          <w:rFonts w:hint="eastAsia" w:ascii="仿宋_GB2312" w:hAnsi="宋体" w:eastAsia="仿宋_GB2312"/>
          <w:sz w:val="30"/>
          <w:szCs w:val="30"/>
        </w:rPr>
        <w:t>股票。</w:t>
      </w:r>
    </w:p>
    <w:p w14:paraId="3119743E">
      <w:pPr>
        <w:spacing w:line="600" w:lineRule="exact"/>
        <w:ind w:firstLine="600" w:firstLineChars="200"/>
        <w:jc w:val="left"/>
        <w:rPr>
          <w:rFonts w:ascii="仿宋_GB2312" w:hAnsi="宋体" w:eastAsia="仿宋_GB2312"/>
          <w:sz w:val="30"/>
          <w:szCs w:val="30"/>
        </w:rPr>
      </w:pPr>
      <w:r>
        <w:rPr>
          <w:rFonts w:ascii="仿宋_GB2312" w:hAnsi="宋体" w:eastAsia="仿宋_GB2312"/>
          <w:sz w:val="30"/>
          <w:szCs w:val="30"/>
        </w:rPr>
        <w:t>债券投资者可通过本所官网、</w:t>
      </w:r>
      <w:r>
        <w:rPr>
          <w:rFonts w:hint="eastAsia" w:ascii="仿宋_GB2312" w:hAnsi="宋体" w:eastAsia="仿宋_GB2312"/>
          <w:sz w:val="30"/>
          <w:szCs w:val="30"/>
          <w:lang w:eastAsia="zh-CN"/>
        </w:rPr>
        <w:t>上证</w:t>
      </w:r>
      <w:r>
        <w:rPr>
          <w:rFonts w:ascii="仿宋_GB2312" w:hAnsi="宋体" w:eastAsia="仿宋_GB2312"/>
          <w:sz w:val="30"/>
          <w:szCs w:val="30"/>
        </w:rPr>
        <w:t>债券信息网等本所信息披露平台查看</w:t>
      </w:r>
      <w:r>
        <w:rPr>
          <w:rFonts w:hint="eastAsia" w:ascii="仿宋_GB2312" w:hAnsi="宋体" w:eastAsia="仿宋_GB2312"/>
          <w:sz w:val="30"/>
          <w:szCs w:val="30"/>
        </w:rPr>
        <w:t>可交债开始换股公告，公告内容包括证券代码、证券简称、换股价格、换股申报起止日等。</w:t>
      </w:r>
    </w:p>
    <w:p w14:paraId="15F4CE63">
      <w:pPr>
        <w:spacing w:line="600" w:lineRule="exact"/>
        <w:ind w:firstLine="600" w:firstLineChars="200"/>
        <w:jc w:val="left"/>
        <w:rPr>
          <w:rFonts w:ascii="仿宋_GB2312" w:hAnsi="Calibri" w:eastAsia="仿宋_GB2312"/>
          <w:sz w:val="30"/>
          <w:szCs w:val="30"/>
        </w:rPr>
      </w:pPr>
      <w:r>
        <w:rPr>
          <w:rFonts w:hint="eastAsia" w:ascii="仿宋_GB2312" w:hAnsi="宋体" w:eastAsia="仿宋_GB2312"/>
          <w:sz w:val="30"/>
          <w:szCs w:val="30"/>
        </w:rPr>
        <w:t>公募可交债换股通过综合业务平台实施；私募可交债换股通过</w:t>
      </w:r>
      <w:r>
        <w:rPr>
          <w:rFonts w:hint="eastAsia" w:ascii="仿宋_GB2312" w:hAnsi="宋体" w:eastAsia="仿宋_GB2312"/>
          <w:sz w:val="30"/>
          <w:szCs w:val="30"/>
          <w:lang w:eastAsia="zh-CN"/>
        </w:rPr>
        <w:t>新固定收益系统</w:t>
      </w:r>
      <w:r>
        <w:rPr>
          <w:rFonts w:hint="eastAsia" w:ascii="仿宋_GB2312" w:hAnsi="宋体" w:eastAsia="仿宋_GB2312"/>
          <w:sz w:val="30"/>
          <w:szCs w:val="30"/>
        </w:rPr>
        <w:t>实施。</w:t>
      </w:r>
    </w:p>
    <w:p w14:paraId="31A95AD7">
      <w:pPr>
        <w:numPr>
          <w:ilvl w:val="2"/>
          <w:numId w:val="4"/>
        </w:numPr>
        <w:spacing w:line="600" w:lineRule="exact"/>
        <w:ind w:left="0" w:firstLine="0"/>
        <w:outlineLvl w:val="2"/>
        <w:rPr>
          <w:rFonts w:ascii="仿宋_GB2312" w:eastAsia="仿宋_GB2312"/>
          <w:b/>
          <w:sz w:val="30"/>
          <w:szCs w:val="30"/>
        </w:rPr>
      </w:pPr>
      <w:bookmarkStart w:id="2598" w:name="_Toc16497850"/>
      <w:bookmarkStart w:id="2599" w:name="_Toc34763081"/>
      <w:bookmarkStart w:id="2600" w:name="_Toc24459987"/>
      <w:bookmarkStart w:id="2601" w:name="_Toc19542106"/>
      <w:r>
        <w:rPr>
          <w:rFonts w:hint="eastAsia" w:ascii="仿宋_GB2312" w:eastAsia="仿宋_GB2312"/>
          <w:b/>
          <w:sz w:val="30"/>
          <w:szCs w:val="30"/>
        </w:rPr>
        <w:t>换股申报</w:t>
      </w:r>
      <w:bookmarkEnd w:id="2598"/>
      <w:bookmarkEnd w:id="2599"/>
      <w:bookmarkEnd w:id="2600"/>
      <w:bookmarkEnd w:id="2601"/>
    </w:p>
    <w:p w14:paraId="0FD3C345">
      <w:pPr>
        <w:spacing w:line="600" w:lineRule="exact"/>
        <w:ind w:firstLine="600" w:firstLineChars="200"/>
        <w:jc w:val="left"/>
        <w:rPr>
          <w:rFonts w:ascii="仿宋_GB2312" w:hAnsi="Calibri" w:eastAsia="仿宋_GB2312"/>
          <w:sz w:val="30"/>
          <w:szCs w:val="30"/>
        </w:rPr>
      </w:pPr>
      <w:r>
        <w:rPr>
          <w:rFonts w:hint="eastAsia" w:ascii="仿宋_GB2312" w:hAnsi="Calibri" w:eastAsia="仿宋_GB2312" w:cs="仿宋_GB2312"/>
          <w:kern w:val="0"/>
          <w:sz w:val="30"/>
          <w:szCs w:val="30"/>
        </w:rPr>
        <w:t>可</w:t>
      </w:r>
      <w:r>
        <w:rPr>
          <w:rFonts w:hint="eastAsia" w:ascii="仿宋_GB2312" w:hAnsi="Calibri" w:eastAsia="仿宋_GB2312"/>
          <w:sz w:val="30"/>
          <w:szCs w:val="30"/>
        </w:rPr>
        <w:t>交换债持有人申请在本所换股的，换股申报视同为债券受托管理人与发行人认可的解除担保指令。</w:t>
      </w:r>
    </w:p>
    <w:p w14:paraId="5D188FF8">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通过</w:t>
      </w:r>
      <w:r>
        <w:rPr>
          <w:rFonts w:hint="eastAsia" w:ascii="仿宋_GB2312" w:hAnsi="宋体" w:eastAsia="仿宋_GB2312"/>
          <w:sz w:val="30"/>
          <w:szCs w:val="30"/>
          <w:lang w:eastAsia="zh-CN"/>
        </w:rPr>
        <w:t>新固定收益系统</w:t>
      </w:r>
      <w:r>
        <w:rPr>
          <w:rFonts w:hint="eastAsia" w:ascii="仿宋_GB2312" w:hAnsi="宋体" w:eastAsia="仿宋_GB2312"/>
          <w:sz w:val="30"/>
          <w:szCs w:val="30"/>
        </w:rPr>
        <w:t>进行换股申报的申报时间为换股期内每个交易日的</w:t>
      </w:r>
      <w:r>
        <w:rPr>
          <w:rFonts w:ascii="仿宋_GB2312" w:hAnsi="宋体" w:eastAsia="仿宋_GB2312"/>
          <w:sz w:val="30"/>
          <w:szCs w:val="30"/>
        </w:rPr>
        <w:t>9：00至11：30、13：00至15：30。</w:t>
      </w:r>
    </w:p>
    <w:p w14:paraId="47EACAD8">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通过综合业务平台进行换股申报的申报时间为换股期内每个交易日的</w:t>
      </w:r>
      <w:r>
        <w:rPr>
          <w:rFonts w:ascii="仿宋_GB2312" w:hAnsi="宋体" w:eastAsia="仿宋_GB2312"/>
          <w:sz w:val="30"/>
          <w:szCs w:val="30"/>
        </w:rPr>
        <w:t>9：</w:t>
      </w:r>
      <w:r>
        <w:rPr>
          <w:rFonts w:hint="eastAsia" w:ascii="仿宋_GB2312" w:hAnsi="宋体" w:eastAsia="仿宋_GB2312"/>
          <w:sz w:val="30"/>
          <w:szCs w:val="30"/>
        </w:rPr>
        <w:t>30</w:t>
      </w:r>
      <w:r>
        <w:rPr>
          <w:rFonts w:ascii="仿宋_GB2312" w:hAnsi="宋体" w:eastAsia="仿宋_GB2312"/>
          <w:sz w:val="30"/>
          <w:szCs w:val="30"/>
        </w:rPr>
        <w:t>至11：30、13：00至15：</w:t>
      </w:r>
      <w:r>
        <w:rPr>
          <w:rFonts w:hint="eastAsia" w:ascii="仿宋_GB2312" w:hAnsi="宋体" w:eastAsia="仿宋_GB2312"/>
          <w:sz w:val="30"/>
          <w:szCs w:val="30"/>
        </w:rPr>
        <w:t>00</w:t>
      </w:r>
      <w:r>
        <w:rPr>
          <w:rFonts w:ascii="仿宋_GB2312" w:hAnsi="宋体" w:eastAsia="仿宋_GB2312"/>
          <w:sz w:val="30"/>
          <w:szCs w:val="30"/>
        </w:rPr>
        <w:t>。</w:t>
      </w:r>
    </w:p>
    <w:p w14:paraId="5B6F09C0">
      <w:pPr>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换股申报要素应当包括非交易类型、证券代码、证券简称、换股数量、证券账户等内容。</w:t>
      </w:r>
    </w:p>
    <w:tbl>
      <w:tblPr>
        <w:tblStyle w:val="4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5103"/>
      </w:tblGrid>
      <w:tr w14:paraId="2C4F6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2877ADC9">
            <w:pPr>
              <w:rPr>
                <w:rFonts w:ascii="仿宋_GB2312" w:hAnsi="宋体" w:eastAsia="仿宋_GB2312"/>
                <w:b/>
                <w:sz w:val="24"/>
                <w:szCs w:val="24"/>
              </w:rPr>
            </w:pPr>
            <w:r>
              <w:rPr>
                <w:rFonts w:hint="eastAsia" w:ascii="仿宋_GB2312" w:hAnsi="宋体" w:eastAsia="仿宋_GB2312"/>
                <w:b/>
                <w:sz w:val="24"/>
                <w:szCs w:val="24"/>
              </w:rPr>
              <w:t>申报要素</w:t>
            </w:r>
          </w:p>
        </w:tc>
        <w:tc>
          <w:tcPr>
            <w:tcW w:w="5103" w:type="dxa"/>
          </w:tcPr>
          <w:p w14:paraId="70DC1815">
            <w:pPr>
              <w:rPr>
                <w:rFonts w:ascii="仿宋_GB2312" w:hAnsi="宋体" w:eastAsia="仿宋_GB2312"/>
                <w:b/>
                <w:sz w:val="24"/>
                <w:szCs w:val="24"/>
              </w:rPr>
            </w:pPr>
            <w:r>
              <w:rPr>
                <w:rFonts w:hint="eastAsia" w:ascii="仿宋_GB2312" w:hAnsi="宋体" w:eastAsia="仿宋_GB2312"/>
                <w:b/>
                <w:sz w:val="24"/>
                <w:szCs w:val="24"/>
              </w:rPr>
              <w:t>要素说明</w:t>
            </w:r>
          </w:p>
        </w:tc>
      </w:tr>
      <w:tr w14:paraId="66C6D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1CB4D68E">
            <w:pPr>
              <w:rPr>
                <w:rFonts w:ascii="仿宋_GB2312" w:hAnsi="宋体" w:eastAsia="仿宋_GB2312"/>
                <w:b/>
                <w:sz w:val="24"/>
                <w:szCs w:val="24"/>
              </w:rPr>
            </w:pPr>
            <w:r>
              <w:rPr>
                <w:rFonts w:hint="eastAsia" w:ascii="仿宋_GB2312" w:hAnsi="宋体" w:eastAsia="仿宋_GB2312"/>
                <w:b/>
                <w:sz w:val="24"/>
                <w:szCs w:val="24"/>
              </w:rPr>
              <w:t>非交易类型</w:t>
            </w:r>
          </w:p>
        </w:tc>
        <w:tc>
          <w:tcPr>
            <w:tcW w:w="5103" w:type="dxa"/>
          </w:tcPr>
          <w:p w14:paraId="14294372">
            <w:pPr>
              <w:rPr>
                <w:rFonts w:ascii="仿宋_GB2312" w:hAnsi="宋体" w:eastAsia="仿宋_GB2312"/>
                <w:sz w:val="24"/>
                <w:szCs w:val="24"/>
              </w:rPr>
            </w:pPr>
            <w:r>
              <w:rPr>
                <w:rFonts w:hint="eastAsia" w:ascii="仿宋_GB2312" w:hAnsi="宋体" w:eastAsia="仿宋_GB2312"/>
                <w:sz w:val="24"/>
                <w:szCs w:val="24"/>
              </w:rPr>
              <w:t>综合业务</w:t>
            </w:r>
            <w:r>
              <w:rPr>
                <w:rFonts w:ascii="仿宋_GB2312" w:hAnsi="宋体" w:eastAsia="仿宋_GB2312"/>
                <w:sz w:val="24"/>
                <w:szCs w:val="24"/>
              </w:rPr>
              <w:t>平台</w:t>
            </w:r>
            <w:r>
              <w:rPr>
                <w:rFonts w:hint="eastAsia" w:ascii="仿宋_GB2312" w:hAnsi="宋体" w:eastAsia="仿宋_GB2312"/>
                <w:sz w:val="24"/>
                <w:szCs w:val="24"/>
              </w:rPr>
              <w:t>为“BSS”，</w:t>
            </w:r>
            <w:r>
              <w:rPr>
                <w:rFonts w:hint="eastAsia" w:ascii="仿宋_GB2312" w:hAnsi="宋体" w:eastAsia="仿宋_GB2312"/>
                <w:sz w:val="24"/>
                <w:szCs w:val="24"/>
                <w:lang w:eastAsia="zh-CN"/>
              </w:rPr>
              <w:t>新固定收益系统</w:t>
            </w:r>
            <w:r>
              <w:rPr>
                <w:rFonts w:ascii="仿宋_GB2312" w:hAnsi="宋体" w:eastAsia="仿宋_GB2312"/>
                <w:sz w:val="24"/>
                <w:szCs w:val="24"/>
              </w:rPr>
              <w:t>为换股菜单入口</w:t>
            </w:r>
          </w:p>
        </w:tc>
      </w:tr>
      <w:tr w14:paraId="6EC4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1DD16370">
            <w:pPr>
              <w:rPr>
                <w:rFonts w:ascii="仿宋_GB2312" w:hAnsi="宋体" w:eastAsia="仿宋_GB2312"/>
                <w:b/>
                <w:sz w:val="24"/>
                <w:szCs w:val="24"/>
              </w:rPr>
            </w:pPr>
            <w:r>
              <w:rPr>
                <w:rFonts w:hint="eastAsia" w:ascii="仿宋_GB2312" w:hAnsi="宋体" w:eastAsia="仿宋_GB2312"/>
                <w:b/>
                <w:sz w:val="24"/>
                <w:szCs w:val="24"/>
              </w:rPr>
              <w:t>证券账户</w:t>
            </w:r>
          </w:p>
        </w:tc>
        <w:tc>
          <w:tcPr>
            <w:tcW w:w="5103" w:type="dxa"/>
          </w:tcPr>
          <w:p w14:paraId="4060C8A9">
            <w:pPr>
              <w:rPr>
                <w:rFonts w:ascii="仿宋_GB2312" w:hAnsi="宋体" w:eastAsia="仿宋_GB2312"/>
                <w:sz w:val="24"/>
                <w:szCs w:val="24"/>
              </w:rPr>
            </w:pPr>
            <w:r>
              <w:rPr>
                <w:rFonts w:hint="eastAsia" w:ascii="仿宋_GB2312" w:hAnsi="宋体" w:eastAsia="仿宋_GB2312"/>
                <w:sz w:val="24"/>
                <w:szCs w:val="24"/>
              </w:rPr>
              <w:t>账户名称</w:t>
            </w:r>
          </w:p>
        </w:tc>
      </w:tr>
      <w:tr w14:paraId="30DF3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27" w:type="dxa"/>
          </w:tcPr>
          <w:p w14:paraId="56118C82">
            <w:pPr>
              <w:rPr>
                <w:rFonts w:ascii="仿宋_GB2312" w:hAnsi="宋体" w:eastAsia="仿宋_GB2312"/>
                <w:b/>
                <w:sz w:val="24"/>
                <w:szCs w:val="24"/>
              </w:rPr>
            </w:pPr>
            <w:r>
              <w:rPr>
                <w:rFonts w:hint="eastAsia" w:ascii="仿宋_GB2312" w:hAnsi="宋体" w:eastAsia="仿宋_GB2312"/>
                <w:b/>
                <w:sz w:val="24"/>
                <w:szCs w:val="24"/>
              </w:rPr>
              <w:t>证券代码</w:t>
            </w:r>
          </w:p>
        </w:tc>
        <w:tc>
          <w:tcPr>
            <w:tcW w:w="5103" w:type="dxa"/>
          </w:tcPr>
          <w:p w14:paraId="77D54AB1">
            <w:pPr>
              <w:rPr>
                <w:rFonts w:ascii="仿宋_GB2312" w:hAnsi="宋体" w:eastAsia="仿宋_GB2312"/>
                <w:sz w:val="24"/>
                <w:szCs w:val="24"/>
              </w:rPr>
            </w:pPr>
            <w:r>
              <w:rPr>
                <w:rFonts w:hint="eastAsia" w:ascii="仿宋_GB2312" w:hAnsi="宋体" w:eastAsia="仿宋_GB2312"/>
                <w:sz w:val="24"/>
                <w:szCs w:val="24"/>
              </w:rPr>
              <w:t>现券代码</w:t>
            </w:r>
          </w:p>
        </w:tc>
      </w:tr>
      <w:tr w14:paraId="2B501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4972DE28">
            <w:pPr>
              <w:rPr>
                <w:rFonts w:ascii="仿宋_GB2312" w:hAnsi="宋体" w:eastAsia="仿宋_GB2312"/>
                <w:b/>
                <w:sz w:val="24"/>
                <w:szCs w:val="24"/>
              </w:rPr>
            </w:pPr>
            <w:r>
              <w:rPr>
                <w:rFonts w:hint="eastAsia" w:ascii="仿宋_GB2312" w:hAnsi="宋体" w:eastAsia="仿宋_GB2312"/>
                <w:b/>
                <w:sz w:val="24"/>
                <w:szCs w:val="24"/>
              </w:rPr>
              <w:t>证券账号</w:t>
            </w:r>
          </w:p>
        </w:tc>
        <w:tc>
          <w:tcPr>
            <w:tcW w:w="5103" w:type="dxa"/>
          </w:tcPr>
          <w:p w14:paraId="27473F05">
            <w:pPr>
              <w:rPr>
                <w:rFonts w:ascii="仿宋_GB2312" w:hAnsi="宋体" w:eastAsia="仿宋_GB2312"/>
                <w:sz w:val="24"/>
                <w:szCs w:val="24"/>
              </w:rPr>
            </w:pPr>
            <w:r>
              <w:rPr>
                <w:rFonts w:hint="eastAsia" w:ascii="仿宋_GB2312" w:hAnsi="宋体" w:eastAsia="仿宋_GB2312"/>
                <w:sz w:val="24"/>
                <w:szCs w:val="24"/>
              </w:rPr>
              <w:t>可以选择本交易员有权使用的所有交易账号</w:t>
            </w:r>
          </w:p>
        </w:tc>
      </w:tr>
      <w:tr w14:paraId="4762B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20A404AE">
            <w:pPr>
              <w:rPr>
                <w:rFonts w:ascii="仿宋_GB2312" w:hAnsi="宋体" w:eastAsia="仿宋_GB2312"/>
                <w:b/>
                <w:sz w:val="24"/>
                <w:szCs w:val="24"/>
              </w:rPr>
            </w:pPr>
            <w:r>
              <w:rPr>
                <w:rFonts w:hint="eastAsia" w:ascii="仿宋_GB2312" w:hAnsi="宋体" w:eastAsia="仿宋_GB2312"/>
                <w:b/>
                <w:sz w:val="24"/>
                <w:szCs w:val="24"/>
              </w:rPr>
              <w:t>换股数量</w:t>
            </w:r>
          </w:p>
        </w:tc>
        <w:tc>
          <w:tcPr>
            <w:tcW w:w="5103" w:type="dxa"/>
          </w:tcPr>
          <w:p w14:paraId="281F1DC3">
            <w:pPr>
              <w:rPr>
                <w:rFonts w:ascii="仿宋_GB2312" w:hAnsi="宋体" w:eastAsia="仿宋_GB2312"/>
                <w:sz w:val="24"/>
                <w:szCs w:val="24"/>
              </w:rPr>
            </w:pPr>
            <w:r>
              <w:rPr>
                <w:rFonts w:hint="eastAsia" w:ascii="仿宋_GB2312" w:hAnsi="宋体" w:eastAsia="仿宋_GB2312"/>
                <w:sz w:val="24"/>
                <w:szCs w:val="24"/>
              </w:rPr>
              <w:t>可交债换股的现券数量，以1000元面额为单位</w:t>
            </w:r>
          </w:p>
        </w:tc>
      </w:tr>
      <w:tr w14:paraId="6A5FB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7F307754">
            <w:pPr>
              <w:rPr>
                <w:rFonts w:ascii="仿宋_GB2312" w:hAnsi="宋体" w:eastAsia="仿宋_GB2312"/>
                <w:b/>
                <w:sz w:val="24"/>
                <w:szCs w:val="24"/>
              </w:rPr>
            </w:pPr>
            <w:r>
              <w:rPr>
                <w:rFonts w:hint="eastAsia" w:ascii="仿宋_GB2312" w:hAnsi="宋体" w:eastAsia="仿宋_GB2312"/>
                <w:b/>
                <w:sz w:val="24"/>
                <w:szCs w:val="24"/>
              </w:rPr>
              <w:t>席位号</w:t>
            </w:r>
          </w:p>
        </w:tc>
        <w:tc>
          <w:tcPr>
            <w:tcW w:w="5103" w:type="dxa"/>
          </w:tcPr>
          <w:p w14:paraId="3EF29AB8">
            <w:pPr>
              <w:rPr>
                <w:rFonts w:ascii="仿宋_GB2312" w:hAnsi="宋体" w:eastAsia="仿宋_GB2312"/>
                <w:sz w:val="24"/>
                <w:szCs w:val="24"/>
              </w:rPr>
            </w:pPr>
            <w:r>
              <w:rPr>
                <w:rFonts w:hint="eastAsia" w:ascii="仿宋_GB2312" w:hAnsi="宋体" w:eastAsia="仿宋_GB2312"/>
                <w:sz w:val="24"/>
                <w:szCs w:val="24"/>
              </w:rPr>
              <w:t>根据选择的账户自动匹配，无需输入</w:t>
            </w:r>
          </w:p>
        </w:tc>
      </w:tr>
      <w:tr w14:paraId="2C6D9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27" w:type="dxa"/>
          </w:tcPr>
          <w:p w14:paraId="2D6CACC1">
            <w:pPr>
              <w:rPr>
                <w:rFonts w:ascii="仿宋_GB2312" w:hAnsi="宋体" w:eastAsia="仿宋_GB2312"/>
                <w:b/>
                <w:sz w:val="24"/>
                <w:szCs w:val="24"/>
              </w:rPr>
            </w:pPr>
            <w:r>
              <w:rPr>
                <w:rFonts w:hint="eastAsia" w:ascii="仿宋_GB2312" w:hAnsi="宋体" w:eastAsia="仿宋_GB2312"/>
                <w:b/>
                <w:sz w:val="24"/>
                <w:szCs w:val="24"/>
              </w:rPr>
              <w:t>换股价格</w:t>
            </w:r>
          </w:p>
        </w:tc>
        <w:tc>
          <w:tcPr>
            <w:tcW w:w="5103" w:type="dxa"/>
          </w:tcPr>
          <w:p w14:paraId="15F63577">
            <w:pPr>
              <w:rPr>
                <w:rFonts w:ascii="仿宋_GB2312" w:hAnsi="宋体" w:eastAsia="仿宋_GB2312"/>
                <w:sz w:val="24"/>
                <w:szCs w:val="24"/>
              </w:rPr>
            </w:pPr>
            <w:r>
              <w:rPr>
                <w:rFonts w:hint="eastAsia" w:ascii="仿宋_GB2312" w:hAnsi="宋体" w:eastAsia="仿宋_GB2312"/>
                <w:sz w:val="24"/>
                <w:szCs w:val="24"/>
              </w:rPr>
              <w:t>自动匹配，无需输入</w:t>
            </w:r>
          </w:p>
        </w:tc>
      </w:tr>
    </w:tbl>
    <w:p w14:paraId="73D68825">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债券换股的申报数量应当为1000元面额或其整数倍。</w:t>
      </w:r>
    </w:p>
    <w:p w14:paraId="0FA49BAD">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债券可换成的最小股份单位为1股。同一交易日内多次申报换股的，将合并计算换股数量。换股时不足交换1股的可交换债部分，由发行人以现金方式兑付其本金和利息。</w:t>
      </w:r>
    </w:p>
    <w:p w14:paraId="4C89969D">
      <w:pPr>
        <w:spacing w:line="600" w:lineRule="exact"/>
        <w:ind w:firstLine="600" w:firstLineChars="200"/>
        <w:jc w:val="left"/>
        <w:rPr>
          <w:rFonts w:ascii="仿宋_GB2312" w:hAnsi="Calibri" w:eastAsia="仿宋_GB2312" w:cs="仿宋_GB2312"/>
          <w:kern w:val="0"/>
          <w:sz w:val="30"/>
          <w:szCs w:val="30"/>
        </w:rPr>
      </w:pPr>
      <w:r>
        <w:rPr>
          <w:rFonts w:hint="eastAsia" w:ascii="仿宋_GB2312" w:hAnsi="宋体" w:eastAsia="仿宋_GB2312"/>
          <w:sz w:val="30"/>
          <w:szCs w:val="30"/>
        </w:rPr>
        <w:t>可</w:t>
      </w:r>
      <w:r>
        <w:rPr>
          <w:rFonts w:hint="eastAsia" w:ascii="仿宋_GB2312" w:hAnsi="Calibri" w:eastAsia="仿宋_GB2312" w:cs="仿宋_GB2312"/>
          <w:kern w:val="0"/>
          <w:sz w:val="30"/>
          <w:szCs w:val="30"/>
        </w:rPr>
        <w:t>交换债的换股价格由募集说明书约定，并可以按照募集说明书约定的方式进行调整。</w:t>
      </w:r>
    </w:p>
    <w:p w14:paraId="23993C0C">
      <w:pPr>
        <w:spacing w:line="600" w:lineRule="exact"/>
        <w:ind w:firstLine="600" w:firstLineChars="200"/>
        <w:rPr>
          <w:rFonts w:ascii="仿宋_GB2312" w:hAnsi="Calibri" w:eastAsia="仿宋_GB2312" w:cs="仿宋_GB2312"/>
          <w:kern w:val="0"/>
          <w:sz w:val="30"/>
          <w:szCs w:val="30"/>
        </w:rPr>
      </w:pPr>
      <w:r>
        <w:rPr>
          <w:rFonts w:hint="eastAsia" w:ascii="仿宋_GB2312" w:hAnsi="Calibri" w:eastAsia="仿宋_GB2312" w:cs="仿宋_GB2312"/>
          <w:kern w:val="0"/>
          <w:sz w:val="30"/>
          <w:szCs w:val="30"/>
        </w:rPr>
        <w:t>债券投资者可通过</w:t>
      </w:r>
      <w:r>
        <w:rPr>
          <w:rFonts w:ascii="仿宋_GB2312" w:hAnsi="宋体" w:eastAsia="仿宋_GB2312"/>
          <w:sz w:val="30"/>
          <w:szCs w:val="30"/>
        </w:rPr>
        <w:t>本所官网、</w:t>
      </w:r>
      <w:r>
        <w:rPr>
          <w:rFonts w:hint="eastAsia" w:ascii="仿宋_GB2312" w:hAnsi="宋体" w:eastAsia="仿宋_GB2312"/>
          <w:sz w:val="30"/>
          <w:szCs w:val="30"/>
          <w:lang w:eastAsia="zh-CN"/>
        </w:rPr>
        <w:t>上证</w:t>
      </w:r>
      <w:r>
        <w:rPr>
          <w:rFonts w:ascii="仿宋_GB2312" w:hAnsi="宋体" w:eastAsia="仿宋_GB2312"/>
          <w:sz w:val="30"/>
          <w:szCs w:val="30"/>
        </w:rPr>
        <w:t>债券信息网等本所信息披露平台查看换股价格调整公告，换股价格调整公告于换股价格调整前2个交易日以前公布。</w:t>
      </w:r>
    </w:p>
    <w:p w14:paraId="1E449661">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当日提交的换股申报，当日换股申报时间内可以撤销。换股撤销实时生效，生效后债券恢复交易。</w:t>
      </w:r>
    </w:p>
    <w:p w14:paraId="6D50D365">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本所及登记结算机构对债券交易业务的处理优先于换股业务。当日买入的可交换债当日（</w:t>
      </w:r>
      <w:r>
        <w:rPr>
          <w:rFonts w:ascii="仿宋_GB2312" w:hAnsi="宋体" w:eastAsia="仿宋_GB2312"/>
          <w:sz w:val="30"/>
          <w:szCs w:val="30"/>
        </w:rPr>
        <w:t>T日）</w:t>
      </w:r>
      <w:r>
        <w:rPr>
          <w:rFonts w:hint="eastAsia" w:ascii="仿宋_GB2312" w:hAnsi="宋体" w:eastAsia="仿宋_GB2312"/>
          <w:sz w:val="30"/>
          <w:szCs w:val="30"/>
        </w:rPr>
        <w:t>可以申报换股。若债券持有人申报换股的可交债数量大于其实际持有可交债余额，该换股申报交收全部失败，证券登记结算机构不办理部分换股交收。</w:t>
      </w:r>
    </w:p>
    <w:p w14:paraId="11490CDC">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换股交收于换股申报日（</w:t>
      </w:r>
      <w:r>
        <w:rPr>
          <w:rFonts w:ascii="仿宋_GB2312" w:hAnsi="宋体" w:eastAsia="仿宋_GB2312"/>
          <w:sz w:val="30"/>
          <w:szCs w:val="30"/>
        </w:rPr>
        <w:t>T日）</w:t>
      </w:r>
      <w:r>
        <w:rPr>
          <w:rFonts w:hint="eastAsia" w:ascii="仿宋_GB2312" w:hAnsi="宋体" w:eastAsia="仿宋_GB2312"/>
          <w:sz w:val="30"/>
          <w:szCs w:val="30"/>
        </w:rPr>
        <w:t>日终完成。</w:t>
      </w:r>
    </w:p>
    <w:p w14:paraId="6D58E1CF">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可交换债换股换得的股票可在换股交收完成的次一交易日（</w:t>
      </w:r>
      <w:r>
        <w:rPr>
          <w:rFonts w:ascii="仿宋_GB2312" w:hAnsi="宋体" w:eastAsia="仿宋_GB2312"/>
          <w:sz w:val="30"/>
          <w:szCs w:val="30"/>
        </w:rPr>
        <w:t>T+1日）</w:t>
      </w:r>
      <w:r>
        <w:rPr>
          <w:rFonts w:hint="eastAsia" w:ascii="仿宋_GB2312" w:hAnsi="宋体" w:eastAsia="仿宋_GB2312"/>
          <w:sz w:val="30"/>
          <w:szCs w:val="30"/>
        </w:rPr>
        <w:t>进行交易。</w:t>
      </w:r>
    </w:p>
    <w:p w14:paraId="6E1F433A">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换股期间，预备用于交换的股票出现司法冻结、扣划或其他权利瑕疵影响债券投资者换股权利的，发行人应当向本所申请暂停可交债换股，发行人未及时申请暂停可交债换股的，本所可视情况暂停提供换股服务。</w:t>
      </w:r>
    </w:p>
    <w:p w14:paraId="07DA22E5">
      <w:pPr>
        <w:spacing w:line="600" w:lineRule="exact"/>
        <w:ind w:firstLine="600" w:firstLineChars="200"/>
        <w:rPr>
          <w:rFonts w:ascii="仿宋_GB2312" w:hAnsi="宋体" w:eastAsia="仿宋_GB2312"/>
          <w:sz w:val="30"/>
          <w:szCs w:val="30"/>
        </w:rPr>
      </w:pPr>
      <w:r>
        <w:rPr>
          <w:rFonts w:hint="eastAsia" w:ascii="仿宋_GB2312" w:hAnsi="Calibri" w:eastAsia="仿宋_GB2312" w:cs="仿宋_GB2312"/>
          <w:kern w:val="0"/>
          <w:sz w:val="30"/>
          <w:szCs w:val="30"/>
        </w:rPr>
        <w:t>债券投资者可通过</w:t>
      </w:r>
      <w:r>
        <w:rPr>
          <w:rFonts w:ascii="仿宋_GB2312" w:hAnsi="宋体" w:eastAsia="仿宋_GB2312"/>
          <w:sz w:val="30"/>
          <w:szCs w:val="30"/>
        </w:rPr>
        <w:t>本所官网、</w:t>
      </w:r>
      <w:r>
        <w:rPr>
          <w:rFonts w:hint="eastAsia" w:ascii="仿宋_GB2312" w:hAnsi="宋体" w:eastAsia="仿宋_GB2312"/>
          <w:sz w:val="30"/>
          <w:szCs w:val="30"/>
          <w:lang w:eastAsia="zh-CN"/>
        </w:rPr>
        <w:t>上证</w:t>
      </w:r>
      <w:r>
        <w:rPr>
          <w:rFonts w:ascii="仿宋_GB2312" w:hAnsi="宋体" w:eastAsia="仿宋_GB2312"/>
          <w:sz w:val="30"/>
          <w:szCs w:val="30"/>
        </w:rPr>
        <w:t>债券信息网等本所信息披露平台查看可交换债券暂停换股公告</w:t>
      </w:r>
      <w:r>
        <w:rPr>
          <w:rFonts w:hint="eastAsia" w:ascii="仿宋_GB2312" w:hAnsi="宋体" w:eastAsia="仿宋_GB2312"/>
          <w:sz w:val="30"/>
          <w:szCs w:val="30"/>
        </w:rPr>
        <w:t>。可</w:t>
      </w:r>
      <w:r>
        <w:rPr>
          <w:rFonts w:hint="eastAsia" w:ascii="仿宋_GB2312" w:hAnsi="宋体" w:eastAsia="仿宋_GB2312"/>
          <w:sz w:val="30"/>
          <w:szCs w:val="30"/>
          <w:lang w:eastAsia="zh-CN"/>
        </w:rPr>
        <w:t>交换</w:t>
      </w:r>
      <w:r>
        <w:rPr>
          <w:rFonts w:hint="eastAsia" w:ascii="仿宋_GB2312" w:hAnsi="宋体" w:eastAsia="仿宋_GB2312"/>
          <w:sz w:val="30"/>
          <w:szCs w:val="30"/>
        </w:rPr>
        <w:t>债券暂停换股公告于换股价格调整前</w:t>
      </w:r>
      <w:r>
        <w:rPr>
          <w:rFonts w:ascii="仿宋_GB2312" w:hAnsi="宋体" w:eastAsia="仿宋_GB2312"/>
          <w:sz w:val="30"/>
          <w:szCs w:val="30"/>
        </w:rPr>
        <w:t>2个交易日以前公布</w:t>
      </w:r>
      <w:r>
        <w:rPr>
          <w:rFonts w:hint="eastAsia" w:ascii="仿宋_GB2312" w:hAnsi="宋体" w:eastAsia="仿宋_GB2312"/>
          <w:sz w:val="30"/>
          <w:szCs w:val="30"/>
        </w:rPr>
        <w:t>，公告内容包括暂停原因、暂停起始时间及预计恢复换股时间。</w:t>
      </w:r>
    </w:p>
    <w:p w14:paraId="1F4FEE5A">
      <w:pPr>
        <w:spacing w:line="600" w:lineRule="exact"/>
        <w:ind w:firstLine="600" w:firstLineChars="200"/>
        <w:jc w:val="left"/>
        <w:rPr>
          <w:rFonts w:ascii="仿宋_GB2312" w:hAnsi="宋体" w:eastAsia="仿宋_GB2312"/>
          <w:sz w:val="30"/>
          <w:szCs w:val="30"/>
        </w:rPr>
      </w:pPr>
      <w:r>
        <w:rPr>
          <w:rFonts w:ascii="仿宋_GB2312" w:hAnsi="宋体" w:eastAsia="仿宋_GB2312"/>
          <w:sz w:val="30"/>
          <w:szCs w:val="30"/>
        </w:rPr>
        <w:t>暂停换股事项消除后，换股恢复。债券投资者可通过本所官网、</w:t>
      </w:r>
      <w:r>
        <w:rPr>
          <w:rFonts w:hint="eastAsia" w:ascii="仿宋_GB2312" w:hAnsi="宋体" w:eastAsia="仿宋_GB2312"/>
          <w:sz w:val="30"/>
          <w:szCs w:val="30"/>
          <w:lang w:eastAsia="zh-CN"/>
        </w:rPr>
        <w:t>上证</w:t>
      </w:r>
      <w:r>
        <w:rPr>
          <w:rFonts w:ascii="仿宋_GB2312" w:hAnsi="宋体" w:eastAsia="仿宋_GB2312"/>
          <w:sz w:val="30"/>
          <w:szCs w:val="30"/>
        </w:rPr>
        <w:t>债券信息网等本所信息披露平台查看可交换债</w:t>
      </w:r>
      <w:r>
        <w:rPr>
          <w:rFonts w:hint="eastAsia" w:ascii="仿宋_GB2312" w:hAnsi="宋体" w:eastAsia="仿宋_GB2312"/>
          <w:sz w:val="30"/>
          <w:szCs w:val="30"/>
        </w:rPr>
        <w:t>券恢复换股公告，公告于恢复换股前</w:t>
      </w:r>
      <w:r>
        <w:rPr>
          <w:rFonts w:ascii="仿宋_GB2312" w:hAnsi="宋体" w:eastAsia="仿宋_GB2312"/>
          <w:sz w:val="30"/>
          <w:szCs w:val="30"/>
        </w:rPr>
        <w:t>2个交易日以前公布，公告内容包括恢复换股时间</w:t>
      </w:r>
      <w:r>
        <w:rPr>
          <w:rFonts w:hint="eastAsia" w:ascii="仿宋_GB2312" w:hAnsi="宋体" w:eastAsia="仿宋_GB2312"/>
          <w:sz w:val="30"/>
          <w:szCs w:val="30"/>
        </w:rPr>
        <w:t>等。</w:t>
      </w:r>
    </w:p>
    <w:p w14:paraId="1D7CA2A8">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发行人或预备用于交换的股票出现其他影响债券投资者换股权利事项的，本所可视情况暂停或终止可交换债换股。</w:t>
      </w:r>
    </w:p>
    <w:p w14:paraId="627CB556">
      <w:pPr>
        <w:spacing w:line="600" w:lineRule="exact"/>
        <w:ind w:firstLine="600" w:firstLineChars="200"/>
        <w:jc w:val="left"/>
        <w:rPr>
          <w:rFonts w:ascii="仿宋_GB2312" w:hAnsi="微软雅黑" w:eastAsia="仿宋_GB2312"/>
          <w:sz w:val="30"/>
          <w:szCs w:val="30"/>
        </w:rPr>
      </w:pPr>
      <w:r>
        <w:rPr>
          <w:rFonts w:hint="eastAsia" w:ascii="仿宋_GB2312" w:hAnsi="宋体" w:eastAsia="仿宋_GB2312"/>
          <w:sz w:val="30"/>
          <w:szCs w:val="30"/>
        </w:rPr>
        <w:t>若</w:t>
      </w:r>
      <w:r>
        <w:rPr>
          <w:rFonts w:ascii="仿宋_GB2312" w:hAnsi="宋体" w:eastAsia="仿宋_GB2312"/>
          <w:sz w:val="30"/>
          <w:szCs w:val="30"/>
        </w:rPr>
        <w:t>债券投资者</w:t>
      </w:r>
      <w:r>
        <w:rPr>
          <w:rFonts w:hint="eastAsia" w:ascii="仿宋_GB2312" w:hAnsi="宋体" w:eastAsia="仿宋_GB2312"/>
          <w:sz w:val="30"/>
          <w:szCs w:val="30"/>
        </w:rPr>
        <w:t>申报换股的可交债数量</w:t>
      </w:r>
      <w:r>
        <w:rPr>
          <w:rFonts w:hint="eastAsia" w:ascii="仿宋_GB2312" w:hAnsi="宋体" w:eastAsia="仿宋_GB2312"/>
          <w:sz w:val="30"/>
          <w:szCs w:val="30"/>
          <w:lang w:eastAsia="zh-CN"/>
        </w:rPr>
        <w:t>小</w:t>
      </w:r>
      <w:r>
        <w:rPr>
          <w:rFonts w:hint="eastAsia" w:ascii="仿宋_GB2312" w:hAnsi="宋体" w:eastAsia="仿宋_GB2312"/>
          <w:sz w:val="30"/>
          <w:szCs w:val="30"/>
        </w:rPr>
        <w:t>于其实际持有可交债余额，则持有可交债全部进行换股。证券登记结算机构确认换股申报有效后，将记减（注销）持有人的可交债数额，同时记增持有人相应的标的股票股份数额。</w:t>
      </w:r>
    </w:p>
    <w:p w14:paraId="7809D2D6">
      <w:pPr>
        <w:numPr>
          <w:ilvl w:val="1"/>
          <w:numId w:val="4"/>
        </w:numPr>
        <w:spacing w:line="600" w:lineRule="exact"/>
        <w:ind w:left="0" w:firstLine="0"/>
        <w:outlineLvl w:val="1"/>
        <w:rPr>
          <w:rFonts w:ascii="仿宋_GB2312" w:eastAsia="仿宋_GB2312"/>
          <w:b/>
          <w:sz w:val="30"/>
          <w:szCs w:val="30"/>
        </w:rPr>
      </w:pPr>
      <w:bookmarkStart w:id="2602" w:name="_Toc970183088"/>
      <w:bookmarkStart w:id="2603" w:name="_Toc19542118"/>
      <w:bookmarkStart w:id="2604" w:name="_Toc576741737"/>
      <w:bookmarkStart w:id="2605" w:name="_Toc400565493"/>
      <w:bookmarkStart w:id="2606" w:name="_Toc24459999"/>
      <w:bookmarkStart w:id="2607" w:name="_Toc56166110"/>
      <w:bookmarkStart w:id="2608" w:name="_Toc34763093"/>
      <w:bookmarkStart w:id="2609" w:name="_Toc151137060"/>
      <w:bookmarkStart w:id="2610" w:name="_Toc806803986"/>
      <w:bookmarkStart w:id="2611" w:name="_Toc1321694063"/>
      <w:bookmarkStart w:id="2612" w:name="_Toc56166299"/>
      <w:bookmarkStart w:id="2613" w:name="_Toc225036676"/>
      <w:r>
        <w:rPr>
          <w:rFonts w:hint="eastAsia" w:ascii="仿宋_GB2312" w:eastAsia="仿宋_GB2312"/>
          <w:b/>
          <w:sz w:val="30"/>
          <w:szCs w:val="30"/>
        </w:rPr>
        <w:t>债券转托管</w:t>
      </w:r>
      <w:bookmarkEnd w:id="2602"/>
      <w:bookmarkEnd w:id="2603"/>
      <w:bookmarkEnd w:id="2604"/>
      <w:bookmarkEnd w:id="2605"/>
      <w:bookmarkEnd w:id="2606"/>
      <w:bookmarkEnd w:id="2607"/>
      <w:bookmarkEnd w:id="2608"/>
      <w:bookmarkEnd w:id="2609"/>
      <w:bookmarkEnd w:id="2610"/>
      <w:bookmarkEnd w:id="2611"/>
      <w:bookmarkEnd w:id="2612"/>
      <w:bookmarkEnd w:id="2613"/>
    </w:p>
    <w:p w14:paraId="08C2F24F">
      <w:pPr>
        <w:numPr>
          <w:ilvl w:val="2"/>
          <w:numId w:val="4"/>
        </w:numPr>
        <w:spacing w:line="600" w:lineRule="exact"/>
        <w:ind w:left="0" w:firstLine="0"/>
        <w:outlineLvl w:val="2"/>
        <w:rPr>
          <w:rFonts w:ascii="仿宋_GB2312" w:eastAsia="仿宋_GB2312"/>
          <w:b/>
          <w:sz w:val="30"/>
          <w:szCs w:val="30"/>
        </w:rPr>
      </w:pPr>
      <w:bookmarkStart w:id="2614" w:name="_Toc24460000"/>
      <w:bookmarkStart w:id="2615" w:name="_Toc34763094"/>
      <w:bookmarkStart w:id="2616" w:name="_Toc19542119"/>
      <w:r>
        <w:rPr>
          <w:rFonts w:hint="eastAsia" w:ascii="仿宋_GB2312" w:eastAsia="仿宋_GB2312"/>
          <w:b/>
          <w:sz w:val="30"/>
          <w:szCs w:val="30"/>
        </w:rPr>
        <w:t>转托管服务范围</w:t>
      </w:r>
      <w:bookmarkEnd w:id="2614"/>
      <w:bookmarkEnd w:id="2615"/>
      <w:bookmarkEnd w:id="2616"/>
    </w:p>
    <w:p w14:paraId="378A66DE">
      <w:pPr>
        <w:spacing w:line="600" w:lineRule="exact"/>
        <w:ind w:firstLine="600" w:firstLineChars="200"/>
        <w:rPr>
          <w:rFonts w:ascii="仿宋_GB2312" w:hAnsi="宋体" w:eastAsia="仿宋_GB2312"/>
          <w:sz w:val="30"/>
          <w:szCs w:val="30"/>
        </w:rPr>
      </w:pPr>
      <w:r>
        <w:rPr>
          <w:rFonts w:hint="eastAsia" w:ascii="仿宋_GB2312" w:eastAsia="仿宋_GB2312"/>
          <w:sz w:val="30"/>
          <w:szCs w:val="30"/>
        </w:rPr>
        <w:t>债券投资者可以通过交易系统提交转托管申报，将持有的已上市流通可跨市场债券在不同登记结算机构间进行托管转移。</w:t>
      </w:r>
      <w:r>
        <w:rPr>
          <w:rFonts w:hint="eastAsia" w:ascii="仿宋_GB2312" w:hAnsi="宋体" w:eastAsia="仿宋_GB2312"/>
          <w:sz w:val="30"/>
          <w:szCs w:val="30"/>
        </w:rPr>
        <w:t>债券转托管是指同一债券投资者，将持有债券在不同托管机构间进行的托管转移。目前，本所支持国债、地方债、企业债及政府支持</w:t>
      </w:r>
      <w:r>
        <w:rPr>
          <w:rFonts w:hint="eastAsia" w:ascii="仿宋_GB2312" w:hAnsi="宋体" w:eastAsia="仿宋_GB2312"/>
          <w:sz w:val="30"/>
          <w:szCs w:val="30"/>
          <w:lang w:eastAsia="zh-CN"/>
        </w:rPr>
        <w:t>债</w:t>
      </w:r>
      <w:r>
        <w:rPr>
          <w:rFonts w:hint="eastAsia" w:ascii="仿宋_GB2312" w:hAnsi="宋体" w:eastAsia="仿宋_GB2312"/>
          <w:sz w:val="30"/>
          <w:szCs w:val="30"/>
        </w:rPr>
        <w:t>券在中央国</w:t>
      </w:r>
      <w:r>
        <w:rPr>
          <w:rFonts w:hint="eastAsia" w:ascii="仿宋_GB2312" w:hAnsi="宋体" w:eastAsia="仿宋_GB2312" w:cs="Arial"/>
          <w:sz w:val="30"/>
          <w:szCs w:val="30"/>
          <w:shd w:val="clear" w:color="auto" w:fill="FFFFFF"/>
        </w:rPr>
        <w:t>债登</w:t>
      </w:r>
      <w:r>
        <w:rPr>
          <w:rFonts w:hint="eastAsia" w:ascii="仿宋_GB2312" w:hAnsi="宋体" w:eastAsia="仿宋_GB2312"/>
          <w:sz w:val="30"/>
          <w:szCs w:val="30"/>
        </w:rPr>
        <w:t>记结算有限责任公司（以下简称中债登）与</w:t>
      </w:r>
      <w:r>
        <w:rPr>
          <w:rFonts w:ascii="仿宋_GB2312" w:hAnsi="Calibri" w:eastAsia="仿宋_GB2312"/>
          <w:sz w:val="30"/>
          <w:szCs w:val="30"/>
        </w:rPr>
        <w:t>中国证券登记结算有限责任公司</w:t>
      </w:r>
      <w:r>
        <w:rPr>
          <w:rFonts w:hint="eastAsia" w:ascii="仿宋_GB2312" w:hAnsi="Calibri" w:eastAsia="仿宋_GB2312"/>
          <w:sz w:val="30"/>
          <w:szCs w:val="30"/>
        </w:rPr>
        <w:t>（以下简称中国结算）</w:t>
      </w:r>
      <w:r>
        <w:rPr>
          <w:rFonts w:hint="eastAsia" w:ascii="仿宋_GB2312" w:hAnsi="宋体" w:eastAsia="仿宋_GB2312"/>
          <w:sz w:val="30"/>
          <w:szCs w:val="30"/>
        </w:rPr>
        <w:t>之间的转托管。</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145"/>
        <w:gridCol w:w="2550"/>
        <w:gridCol w:w="4065"/>
      </w:tblGrid>
      <w:tr w14:paraId="5D422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1145" w:type="dxa"/>
            <w:shd w:val="clear" w:color="auto" w:fill="FFFFFF"/>
          </w:tcPr>
          <w:p w14:paraId="394CC314">
            <w:pPr>
              <w:widowControl/>
              <w:jc w:val="left"/>
              <w:rPr>
                <w:rFonts w:ascii="仿宋_GB2312" w:hAnsi="宋体" w:eastAsia="仿宋_GB2312" w:cs="宋体"/>
                <w:b/>
                <w:color w:val="000000"/>
                <w:kern w:val="0"/>
                <w:sz w:val="24"/>
                <w:szCs w:val="24"/>
              </w:rPr>
            </w:pPr>
            <w:r>
              <w:rPr>
                <w:rFonts w:hint="eastAsia" w:ascii="仿宋_GB2312" w:hAnsi="宋体" w:eastAsia="仿宋_GB2312" w:cs="宋体"/>
                <w:b/>
                <w:color w:val="000000"/>
                <w:kern w:val="0"/>
                <w:sz w:val="24"/>
                <w:szCs w:val="24"/>
              </w:rPr>
              <w:t>子市场</w:t>
            </w:r>
          </w:p>
        </w:tc>
        <w:tc>
          <w:tcPr>
            <w:tcW w:w="2550" w:type="dxa"/>
            <w:shd w:val="clear" w:color="auto" w:fill="FFFFFF"/>
          </w:tcPr>
          <w:p w14:paraId="66E595CF">
            <w:pPr>
              <w:widowControl/>
              <w:jc w:val="left"/>
              <w:rPr>
                <w:rFonts w:ascii="仿宋_GB2312" w:hAnsi="宋体" w:eastAsia="仿宋_GB2312" w:cs="宋体"/>
                <w:b/>
                <w:color w:val="000000"/>
                <w:kern w:val="0"/>
                <w:sz w:val="24"/>
                <w:szCs w:val="24"/>
              </w:rPr>
            </w:pPr>
            <w:r>
              <w:rPr>
                <w:rFonts w:hint="eastAsia" w:ascii="仿宋_GB2312" w:hAnsi="宋体" w:eastAsia="仿宋_GB2312" w:cs="宋体"/>
                <w:b/>
                <w:color w:val="000000"/>
                <w:kern w:val="0"/>
                <w:sz w:val="24"/>
                <w:szCs w:val="24"/>
              </w:rPr>
              <w:t>产品类型</w:t>
            </w:r>
          </w:p>
        </w:tc>
        <w:tc>
          <w:tcPr>
            <w:tcW w:w="4065" w:type="dxa"/>
            <w:shd w:val="clear" w:color="auto" w:fill="FFFFFF"/>
          </w:tcPr>
          <w:p w14:paraId="64141039">
            <w:pPr>
              <w:widowControl/>
              <w:jc w:val="left"/>
              <w:rPr>
                <w:rFonts w:ascii="仿宋_GB2312" w:hAnsi="宋体" w:eastAsia="仿宋_GB2312" w:cs="宋体"/>
                <w:b/>
                <w:color w:val="000000"/>
                <w:kern w:val="0"/>
                <w:sz w:val="24"/>
                <w:szCs w:val="24"/>
              </w:rPr>
            </w:pPr>
            <w:r>
              <w:rPr>
                <w:rFonts w:hint="eastAsia" w:ascii="仿宋_GB2312" w:hAnsi="宋体" w:eastAsia="仿宋_GB2312" w:cs="宋体"/>
                <w:b/>
                <w:color w:val="000000"/>
                <w:kern w:val="0"/>
                <w:sz w:val="24"/>
                <w:szCs w:val="24"/>
              </w:rPr>
              <w:t>转托管方向</w:t>
            </w:r>
          </w:p>
        </w:tc>
      </w:tr>
      <w:tr w14:paraId="45812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1145" w:type="dxa"/>
            <w:vMerge w:val="restart"/>
            <w:shd w:val="clear" w:color="auto" w:fill="FFFFFF"/>
          </w:tcPr>
          <w:p w14:paraId="3F67064D">
            <w:pPr>
              <w:widowControl/>
              <w:jc w:val="left"/>
              <w:rPr>
                <w:rFonts w:ascii="仿宋_GB2312" w:hAnsi="宋体" w:eastAsia="仿宋_GB2312" w:cs="宋体"/>
                <w:b/>
                <w:color w:val="000000"/>
                <w:kern w:val="0"/>
                <w:sz w:val="24"/>
                <w:szCs w:val="24"/>
              </w:rPr>
            </w:pPr>
            <w:r>
              <w:rPr>
                <w:rFonts w:hint="eastAsia" w:ascii="仿宋_GB2312" w:hAnsi="宋体" w:eastAsia="仿宋_GB2312" w:cs="宋体"/>
                <w:b/>
                <w:color w:val="000000"/>
                <w:kern w:val="0"/>
                <w:sz w:val="24"/>
                <w:szCs w:val="24"/>
              </w:rPr>
              <w:t>现券</w:t>
            </w:r>
          </w:p>
        </w:tc>
        <w:tc>
          <w:tcPr>
            <w:tcW w:w="2550" w:type="dxa"/>
            <w:shd w:val="clear" w:color="auto" w:fill="FFFFFF"/>
          </w:tcPr>
          <w:p w14:paraId="7CC8D12E">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国债</w:t>
            </w:r>
          </w:p>
        </w:tc>
        <w:tc>
          <w:tcPr>
            <w:tcW w:w="4065" w:type="dxa"/>
            <w:shd w:val="clear" w:color="auto" w:fill="FFFFFF"/>
          </w:tcPr>
          <w:p w14:paraId="5472019E">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中国结算转中债登，中债登转中国结算</w:t>
            </w:r>
          </w:p>
        </w:tc>
      </w:tr>
      <w:tr w14:paraId="3FCBE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1145" w:type="dxa"/>
            <w:vMerge w:val="continue"/>
            <w:shd w:val="clear" w:color="auto" w:fill="FFFFFF"/>
          </w:tcPr>
          <w:p w14:paraId="4C783B61">
            <w:pPr>
              <w:widowControl/>
              <w:jc w:val="left"/>
              <w:rPr>
                <w:rFonts w:ascii="仿宋_GB2312" w:hAnsi="宋体" w:eastAsia="仿宋_GB2312" w:cs="宋体"/>
                <w:b/>
                <w:color w:val="000000"/>
                <w:kern w:val="0"/>
                <w:sz w:val="24"/>
                <w:szCs w:val="24"/>
              </w:rPr>
            </w:pPr>
          </w:p>
        </w:tc>
        <w:tc>
          <w:tcPr>
            <w:tcW w:w="2550" w:type="dxa"/>
            <w:shd w:val="clear" w:color="auto" w:fill="FFFFFF"/>
          </w:tcPr>
          <w:p w14:paraId="1AA0AB76">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地方债</w:t>
            </w:r>
          </w:p>
        </w:tc>
        <w:tc>
          <w:tcPr>
            <w:tcW w:w="4065" w:type="dxa"/>
            <w:shd w:val="clear" w:color="auto" w:fill="FFFFFF"/>
          </w:tcPr>
          <w:p w14:paraId="2DA2C71D">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中国结算转中债登，中债登转中国结算</w:t>
            </w:r>
          </w:p>
        </w:tc>
      </w:tr>
      <w:tr w14:paraId="23A2E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1145" w:type="dxa"/>
            <w:vMerge w:val="continue"/>
            <w:shd w:val="clear" w:color="auto" w:fill="FFFFFF"/>
          </w:tcPr>
          <w:p w14:paraId="3D991CA4">
            <w:pPr>
              <w:widowControl/>
              <w:jc w:val="left"/>
              <w:rPr>
                <w:rFonts w:ascii="仿宋_GB2312" w:hAnsi="宋体" w:eastAsia="仿宋_GB2312" w:cs="宋体"/>
                <w:b/>
                <w:color w:val="000000"/>
                <w:kern w:val="0"/>
                <w:sz w:val="24"/>
                <w:szCs w:val="24"/>
              </w:rPr>
            </w:pPr>
          </w:p>
        </w:tc>
        <w:tc>
          <w:tcPr>
            <w:tcW w:w="2550" w:type="dxa"/>
            <w:shd w:val="clear" w:color="auto" w:fill="FFFFFF"/>
          </w:tcPr>
          <w:p w14:paraId="695405B1">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政策性金融债</w:t>
            </w:r>
          </w:p>
        </w:tc>
        <w:tc>
          <w:tcPr>
            <w:tcW w:w="4065" w:type="dxa"/>
            <w:shd w:val="clear" w:color="auto" w:fill="FFFFFF"/>
          </w:tcPr>
          <w:p w14:paraId="4B2562A6">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不可转托管</w:t>
            </w:r>
          </w:p>
        </w:tc>
      </w:tr>
      <w:tr w14:paraId="103F8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1145" w:type="dxa"/>
            <w:vMerge w:val="continue"/>
            <w:shd w:val="clear" w:color="auto" w:fill="FFFFFF"/>
          </w:tcPr>
          <w:p w14:paraId="36903366">
            <w:pPr>
              <w:widowControl/>
              <w:jc w:val="left"/>
              <w:rPr>
                <w:rFonts w:ascii="仿宋_GB2312" w:hAnsi="宋体" w:eastAsia="仿宋_GB2312" w:cs="宋体"/>
                <w:b/>
                <w:color w:val="000000"/>
                <w:kern w:val="0"/>
                <w:sz w:val="24"/>
                <w:szCs w:val="24"/>
              </w:rPr>
            </w:pPr>
          </w:p>
        </w:tc>
        <w:tc>
          <w:tcPr>
            <w:tcW w:w="2550" w:type="dxa"/>
            <w:shd w:val="clear" w:color="auto" w:fill="FFFFFF"/>
          </w:tcPr>
          <w:p w14:paraId="4D0EF47F">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企业债</w:t>
            </w:r>
          </w:p>
        </w:tc>
        <w:tc>
          <w:tcPr>
            <w:tcW w:w="4065" w:type="dxa"/>
            <w:shd w:val="clear" w:color="auto" w:fill="FFFFFF"/>
          </w:tcPr>
          <w:p w14:paraId="22B1B34C">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中国结算转中债登，中债登转中国结算</w:t>
            </w:r>
          </w:p>
        </w:tc>
      </w:tr>
      <w:tr w14:paraId="45C0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1145" w:type="dxa"/>
            <w:vMerge w:val="continue"/>
            <w:shd w:val="clear" w:color="auto" w:fill="FFFFFF"/>
          </w:tcPr>
          <w:p w14:paraId="22A203F8">
            <w:pPr>
              <w:widowControl/>
              <w:jc w:val="left"/>
              <w:rPr>
                <w:rFonts w:ascii="仿宋_GB2312" w:hAnsi="宋体" w:eastAsia="仿宋_GB2312" w:cs="宋体"/>
                <w:b/>
                <w:color w:val="000000"/>
                <w:kern w:val="0"/>
                <w:sz w:val="24"/>
                <w:szCs w:val="24"/>
              </w:rPr>
            </w:pPr>
          </w:p>
        </w:tc>
        <w:tc>
          <w:tcPr>
            <w:tcW w:w="2550" w:type="dxa"/>
            <w:shd w:val="clear" w:color="auto" w:fill="FFFFFF"/>
          </w:tcPr>
          <w:p w14:paraId="506CA639">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政府支持</w:t>
            </w:r>
            <w:r>
              <w:rPr>
                <w:rFonts w:hint="eastAsia" w:ascii="仿宋_GB2312" w:hAnsi="宋体" w:eastAsia="仿宋_GB2312" w:cs="宋体"/>
                <w:color w:val="000000"/>
                <w:kern w:val="0"/>
                <w:sz w:val="24"/>
                <w:szCs w:val="24"/>
                <w:lang w:eastAsia="zh-CN"/>
              </w:rPr>
              <w:t>债</w:t>
            </w:r>
            <w:r>
              <w:rPr>
                <w:rFonts w:hint="eastAsia" w:ascii="仿宋_GB2312" w:hAnsi="宋体" w:eastAsia="仿宋_GB2312" w:cs="宋体"/>
                <w:color w:val="000000"/>
                <w:kern w:val="0"/>
                <w:sz w:val="24"/>
                <w:szCs w:val="24"/>
              </w:rPr>
              <w:t>券</w:t>
            </w:r>
          </w:p>
        </w:tc>
        <w:tc>
          <w:tcPr>
            <w:tcW w:w="4065" w:type="dxa"/>
            <w:shd w:val="clear" w:color="auto" w:fill="FFFFFF"/>
          </w:tcPr>
          <w:p w14:paraId="468F19C1">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中国结算转中债登，中债登转中国结算</w:t>
            </w:r>
          </w:p>
        </w:tc>
      </w:tr>
      <w:tr w14:paraId="40040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1145" w:type="dxa"/>
            <w:vMerge w:val="continue"/>
            <w:shd w:val="clear" w:color="auto" w:fill="FFFFFF"/>
          </w:tcPr>
          <w:p w14:paraId="774E5336">
            <w:pPr>
              <w:widowControl/>
              <w:jc w:val="left"/>
              <w:rPr>
                <w:rFonts w:ascii="仿宋_GB2312" w:hAnsi="宋体" w:eastAsia="仿宋_GB2312" w:cs="宋体"/>
                <w:b/>
                <w:color w:val="000000"/>
                <w:kern w:val="0"/>
                <w:sz w:val="24"/>
                <w:szCs w:val="24"/>
              </w:rPr>
            </w:pPr>
          </w:p>
        </w:tc>
        <w:tc>
          <w:tcPr>
            <w:tcW w:w="2550" w:type="dxa"/>
            <w:shd w:val="clear" w:color="auto" w:fill="FFFFFF"/>
          </w:tcPr>
          <w:p w14:paraId="2C551D61">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公司债（含可交债、私募可转债，</w:t>
            </w:r>
            <w:r>
              <w:rPr>
                <w:rFonts w:ascii="仿宋_GB2312" w:hAnsi="宋体" w:eastAsia="仿宋_GB2312" w:cs="宋体"/>
                <w:color w:val="000000"/>
                <w:kern w:val="0"/>
                <w:sz w:val="24"/>
                <w:szCs w:val="24"/>
              </w:rPr>
              <w:t>不含企业债</w:t>
            </w:r>
            <w:r>
              <w:rPr>
                <w:rFonts w:hint="eastAsia" w:ascii="仿宋_GB2312" w:hAnsi="宋体" w:eastAsia="仿宋_GB2312" w:cs="宋体"/>
                <w:color w:val="000000"/>
                <w:kern w:val="0"/>
                <w:sz w:val="24"/>
                <w:szCs w:val="24"/>
              </w:rPr>
              <w:t>）</w:t>
            </w:r>
          </w:p>
        </w:tc>
        <w:tc>
          <w:tcPr>
            <w:tcW w:w="4065" w:type="dxa"/>
            <w:shd w:val="clear" w:color="auto" w:fill="FFFFFF"/>
          </w:tcPr>
          <w:p w14:paraId="6E26415A">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不可转托管</w:t>
            </w:r>
          </w:p>
        </w:tc>
      </w:tr>
      <w:tr w14:paraId="7AC75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1145" w:type="dxa"/>
            <w:vMerge w:val="continue"/>
            <w:shd w:val="clear" w:color="auto" w:fill="FFFFFF"/>
          </w:tcPr>
          <w:p w14:paraId="57D85512">
            <w:pPr>
              <w:widowControl/>
              <w:jc w:val="left"/>
              <w:rPr>
                <w:rFonts w:ascii="仿宋_GB2312" w:hAnsi="宋体" w:eastAsia="仿宋_GB2312" w:cs="宋体"/>
                <w:b/>
                <w:color w:val="000000"/>
                <w:kern w:val="0"/>
                <w:sz w:val="24"/>
                <w:szCs w:val="24"/>
              </w:rPr>
            </w:pPr>
          </w:p>
        </w:tc>
        <w:tc>
          <w:tcPr>
            <w:tcW w:w="2550" w:type="dxa"/>
            <w:shd w:val="clear" w:color="auto" w:fill="FFFFFF"/>
          </w:tcPr>
          <w:p w14:paraId="7D660693">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资产支持证券</w:t>
            </w:r>
          </w:p>
        </w:tc>
        <w:tc>
          <w:tcPr>
            <w:tcW w:w="4065" w:type="dxa"/>
            <w:shd w:val="clear" w:color="auto" w:fill="FFFFFF"/>
          </w:tcPr>
          <w:p w14:paraId="49ADAD2A">
            <w:pPr>
              <w:widowControl/>
              <w:jc w:val="lef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不可转托管</w:t>
            </w:r>
          </w:p>
        </w:tc>
      </w:tr>
    </w:tbl>
    <w:p w14:paraId="495AD7C0">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转托管方向为从本所债券市场转出到银行间债券市场（以下简称转出）的国债、地方债等跨市场债券的转托管，可以通过本所</w:t>
      </w:r>
      <w:r>
        <w:rPr>
          <w:rFonts w:hint="eastAsia" w:ascii="仿宋_GB2312" w:hAnsi="宋体" w:eastAsia="仿宋_GB2312"/>
          <w:sz w:val="30"/>
          <w:szCs w:val="30"/>
          <w:lang w:eastAsia="zh-CN"/>
        </w:rPr>
        <w:t>新固定收益系统</w:t>
      </w:r>
      <w:r>
        <w:rPr>
          <w:rFonts w:hint="eastAsia" w:ascii="仿宋_GB2312" w:hAnsi="宋体" w:eastAsia="仿宋_GB2312"/>
          <w:sz w:val="30"/>
          <w:szCs w:val="30"/>
        </w:rPr>
        <w:t>或</w:t>
      </w:r>
      <w:r>
        <w:rPr>
          <w:rFonts w:ascii="仿宋_GB2312" w:hAnsi="Calibri" w:eastAsia="仿宋_GB2312"/>
          <w:sz w:val="30"/>
          <w:szCs w:val="30"/>
        </w:rPr>
        <w:t>中国证券登记结算有限责任公司</w:t>
      </w:r>
      <w:r>
        <w:rPr>
          <w:rFonts w:hint="eastAsia" w:ascii="仿宋_GB2312" w:hAnsi="宋体" w:eastAsia="仿宋_GB2312"/>
          <w:sz w:val="30"/>
          <w:szCs w:val="30"/>
        </w:rPr>
        <w:t>P</w:t>
      </w:r>
      <w:r>
        <w:rPr>
          <w:rFonts w:ascii="仿宋_GB2312" w:hAnsi="宋体" w:eastAsia="仿宋_GB2312"/>
          <w:sz w:val="30"/>
          <w:szCs w:val="30"/>
        </w:rPr>
        <w:t>ROP</w:t>
      </w:r>
      <w:r>
        <w:rPr>
          <w:rFonts w:hint="eastAsia" w:ascii="仿宋_GB2312" w:hAnsi="宋体" w:eastAsia="仿宋_GB2312"/>
          <w:sz w:val="30"/>
          <w:szCs w:val="30"/>
        </w:rPr>
        <w:t>系统提交转托管申报。</w:t>
      </w:r>
    </w:p>
    <w:p w14:paraId="0A522CA2">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转托管方向为从本所债券市场转出到银行间债券市场的企业债、政府支持债券等跨市场债券的转托管，通过</w:t>
      </w:r>
      <w:r>
        <w:rPr>
          <w:rFonts w:hint="eastAsia" w:ascii="仿宋_GB2312" w:hAnsi="Calibri" w:eastAsia="仿宋_GB2312"/>
          <w:sz w:val="30"/>
          <w:szCs w:val="30"/>
        </w:rPr>
        <w:t>中国证券登记结算有限责任公司</w:t>
      </w:r>
      <w:r>
        <w:rPr>
          <w:rFonts w:ascii="仿宋_GB2312" w:hAnsi="宋体" w:eastAsia="仿宋_GB2312"/>
          <w:sz w:val="30"/>
          <w:szCs w:val="30"/>
        </w:rPr>
        <w:t>PROP</w:t>
      </w:r>
      <w:r>
        <w:rPr>
          <w:rFonts w:hint="eastAsia" w:ascii="仿宋_GB2312" w:hAnsi="宋体" w:eastAsia="仿宋_GB2312"/>
          <w:sz w:val="30"/>
          <w:szCs w:val="30"/>
        </w:rPr>
        <w:t>系统提交转托管申请。转托管方向为从银行间债券市场债券转入到本所债券市场的，按照中债登相关规定进行操作。</w:t>
      </w:r>
    </w:p>
    <w:p w14:paraId="6A416DF5">
      <w:pPr>
        <w:numPr>
          <w:ilvl w:val="2"/>
          <w:numId w:val="4"/>
        </w:numPr>
        <w:spacing w:line="600" w:lineRule="exact"/>
        <w:ind w:left="0" w:firstLine="0"/>
        <w:outlineLvl w:val="2"/>
        <w:rPr>
          <w:rFonts w:ascii="仿宋_GB2312" w:eastAsia="仿宋_GB2312"/>
          <w:b/>
          <w:sz w:val="30"/>
          <w:szCs w:val="30"/>
        </w:rPr>
      </w:pPr>
      <w:bookmarkStart w:id="2617" w:name="_Toc16497855"/>
      <w:bookmarkStart w:id="2618" w:name="_Toc24460001"/>
      <w:bookmarkStart w:id="2619" w:name="_Toc34763095"/>
      <w:bookmarkStart w:id="2620" w:name="_Toc19542120"/>
      <w:r>
        <w:rPr>
          <w:rFonts w:hint="eastAsia" w:ascii="仿宋_GB2312" w:eastAsia="仿宋_GB2312"/>
          <w:b/>
          <w:sz w:val="30"/>
          <w:szCs w:val="30"/>
        </w:rPr>
        <w:t>转托管申报</w:t>
      </w:r>
      <w:bookmarkEnd w:id="2617"/>
      <w:bookmarkEnd w:id="2618"/>
      <w:bookmarkEnd w:id="2619"/>
      <w:bookmarkEnd w:id="2620"/>
    </w:p>
    <w:p w14:paraId="754C837A">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通过</w:t>
      </w:r>
      <w:r>
        <w:rPr>
          <w:rFonts w:hint="eastAsia" w:ascii="仿宋_GB2312" w:hAnsi="宋体" w:eastAsia="仿宋_GB2312"/>
          <w:sz w:val="30"/>
          <w:szCs w:val="30"/>
          <w:lang w:eastAsia="zh-CN"/>
        </w:rPr>
        <w:t>新固定收益系统</w:t>
      </w:r>
      <w:r>
        <w:rPr>
          <w:rFonts w:hint="eastAsia" w:ascii="仿宋_GB2312" w:hAnsi="宋体" w:eastAsia="仿宋_GB2312"/>
          <w:sz w:val="30"/>
          <w:szCs w:val="30"/>
        </w:rPr>
        <w:t>进行转托管申报时间为每个交易日的9：00至11：30、13：00至</w:t>
      </w:r>
      <w:r>
        <w:rPr>
          <w:rFonts w:ascii="仿宋_GB2312" w:hAnsi="宋体" w:eastAsia="仿宋_GB2312"/>
          <w:sz w:val="30"/>
          <w:szCs w:val="30"/>
        </w:rPr>
        <w:t>15：30</w:t>
      </w:r>
      <w:r>
        <w:rPr>
          <w:rFonts w:ascii="仿宋_GB2312" w:hAnsi="宋体" w:eastAsia="仿宋_GB2312"/>
          <w:sz w:val="30"/>
          <w:vertAlign w:val="superscript"/>
        </w:rPr>
        <w:t xml:space="preserve"> </w:t>
      </w:r>
      <w:r>
        <w:rPr>
          <w:rFonts w:hint="eastAsia" w:ascii="仿宋_GB2312" w:hAnsi="宋体" w:eastAsia="仿宋_GB2312"/>
          <w:sz w:val="30"/>
          <w:szCs w:val="30"/>
        </w:rPr>
        <w:t>。</w:t>
      </w:r>
    </w:p>
    <w:p w14:paraId="37B2D5D3">
      <w:pPr>
        <w:spacing w:line="600" w:lineRule="exact"/>
        <w:ind w:firstLine="600" w:firstLineChars="200"/>
        <w:jc w:val="left"/>
        <w:rPr>
          <w:rFonts w:hint="eastAsia" w:ascii="仿宋_GB2312" w:hAnsi="宋体" w:eastAsia="仿宋_GB2312"/>
          <w:sz w:val="30"/>
          <w:szCs w:val="30"/>
        </w:rPr>
      </w:pPr>
      <w:r>
        <w:rPr>
          <w:rFonts w:hint="eastAsia" w:ascii="仿宋_GB2312" w:hAnsi="宋体" w:eastAsia="仿宋_GB2312"/>
          <w:sz w:val="30"/>
          <w:szCs w:val="30"/>
        </w:rPr>
        <w:t>进行转托管转出的，债券投资者向本所报送的转出申报应当包括证券代码、证券简称、数量、转出证券账户、在其他债券登记结算机构开立的债券托管账户等内容。</w:t>
      </w:r>
    </w:p>
    <w:tbl>
      <w:tblPr>
        <w:tblStyle w:val="4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5109"/>
      </w:tblGrid>
      <w:tr w14:paraId="28193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1C7E7C72">
            <w:pPr>
              <w:rPr>
                <w:rFonts w:ascii="仿宋_GB2312" w:hAnsi="宋体" w:eastAsia="仿宋_GB2312"/>
                <w:b/>
                <w:sz w:val="24"/>
                <w:szCs w:val="24"/>
              </w:rPr>
            </w:pPr>
            <w:r>
              <w:rPr>
                <w:rFonts w:hint="eastAsia" w:ascii="仿宋_GB2312" w:hAnsi="宋体" w:eastAsia="仿宋_GB2312"/>
                <w:b/>
                <w:sz w:val="24"/>
                <w:szCs w:val="24"/>
              </w:rPr>
              <w:t>申报要素</w:t>
            </w:r>
          </w:p>
        </w:tc>
        <w:tc>
          <w:tcPr>
            <w:tcW w:w="5109" w:type="dxa"/>
          </w:tcPr>
          <w:p w14:paraId="7A22A612">
            <w:pPr>
              <w:rPr>
                <w:rFonts w:ascii="仿宋_GB2312" w:hAnsi="宋体" w:eastAsia="仿宋_GB2312"/>
                <w:b/>
                <w:sz w:val="24"/>
                <w:szCs w:val="24"/>
              </w:rPr>
            </w:pPr>
            <w:r>
              <w:rPr>
                <w:rFonts w:hint="eastAsia" w:ascii="仿宋_GB2312" w:hAnsi="宋体" w:eastAsia="仿宋_GB2312"/>
                <w:b/>
                <w:sz w:val="24"/>
                <w:szCs w:val="24"/>
              </w:rPr>
              <w:t>要素说明</w:t>
            </w:r>
          </w:p>
        </w:tc>
      </w:tr>
      <w:tr w14:paraId="5E367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380957E7">
            <w:pPr>
              <w:rPr>
                <w:rFonts w:hint="eastAsia" w:ascii="仿宋_GB2312" w:hAnsi="宋体" w:eastAsia="仿宋_GB2312"/>
                <w:b/>
                <w:sz w:val="24"/>
                <w:szCs w:val="24"/>
                <w:lang w:eastAsia="zh-CN"/>
              </w:rPr>
            </w:pPr>
            <w:r>
              <w:rPr>
                <w:rFonts w:hint="eastAsia" w:ascii="仿宋_GB2312" w:hAnsi="宋体" w:eastAsia="仿宋_GB2312"/>
                <w:b/>
                <w:sz w:val="24"/>
                <w:szCs w:val="24"/>
                <w:lang w:eastAsia="zh-CN"/>
              </w:rPr>
              <w:t>订单类型</w:t>
            </w:r>
          </w:p>
        </w:tc>
        <w:tc>
          <w:tcPr>
            <w:tcW w:w="5109" w:type="dxa"/>
          </w:tcPr>
          <w:p w14:paraId="49D0ECC4">
            <w:pPr>
              <w:rPr>
                <w:rFonts w:hint="eastAsia" w:ascii="仿宋_GB2312" w:hAnsi="宋体" w:eastAsia="仿宋_GB2312"/>
                <w:b w:val="0"/>
                <w:bCs/>
                <w:sz w:val="24"/>
                <w:szCs w:val="24"/>
                <w:lang w:eastAsia="zh-CN"/>
              </w:rPr>
            </w:pPr>
            <w:r>
              <w:rPr>
                <w:rFonts w:hint="eastAsia" w:ascii="仿宋_GB2312" w:hAnsi="宋体" w:eastAsia="仿宋_GB2312"/>
                <w:b w:val="0"/>
                <w:bCs/>
                <w:sz w:val="24"/>
                <w:szCs w:val="24"/>
                <w:lang w:eastAsia="zh-CN"/>
              </w:rPr>
              <w:t>默认显示债券转托管</w:t>
            </w:r>
          </w:p>
        </w:tc>
      </w:tr>
      <w:tr w14:paraId="47E7F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483E55CC">
            <w:pPr>
              <w:rPr>
                <w:rFonts w:hint="eastAsia" w:ascii="仿宋_GB2312" w:hAnsi="宋体" w:eastAsia="仿宋_GB2312"/>
                <w:b/>
                <w:sz w:val="24"/>
                <w:szCs w:val="24"/>
                <w:lang w:eastAsia="zh-CN"/>
              </w:rPr>
            </w:pPr>
            <w:r>
              <w:rPr>
                <w:rFonts w:hint="eastAsia" w:ascii="仿宋_GB2312" w:hAnsi="宋体" w:eastAsia="仿宋_GB2312"/>
                <w:b/>
                <w:sz w:val="24"/>
                <w:szCs w:val="24"/>
                <w:lang w:eastAsia="zh-CN"/>
              </w:rPr>
              <w:t>交易参与人</w:t>
            </w:r>
          </w:p>
        </w:tc>
        <w:tc>
          <w:tcPr>
            <w:tcW w:w="5109" w:type="dxa"/>
          </w:tcPr>
          <w:p w14:paraId="326CB075">
            <w:pPr>
              <w:rPr>
                <w:rFonts w:hint="eastAsia" w:ascii="仿宋_GB2312" w:hAnsi="宋体" w:eastAsia="仿宋_GB2312"/>
                <w:b w:val="0"/>
                <w:bCs/>
                <w:sz w:val="24"/>
                <w:szCs w:val="24"/>
                <w:lang w:eastAsia="zh-CN"/>
              </w:rPr>
            </w:pPr>
            <w:r>
              <w:rPr>
                <w:rFonts w:hint="eastAsia" w:ascii="仿宋_GB2312" w:hAnsi="宋体" w:eastAsia="仿宋_GB2312"/>
                <w:b w:val="0"/>
                <w:bCs/>
                <w:sz w:val="24"/>
                <w:szCs w:val="24"/>
                <w:lang w:eastAsia="zh-CN"/>
              </w:rPr>
              <w:t>申报方债券交易参与人简称，自动带出</w:t>
            </w:r>
          </w:p>
        </w:tc>
      </w:tr>
      <w:tr w14:paraId="52C56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27" w:type="dxa"/>
          </w:tcPr>
          <w:p w14:paraId="586B0F8A">
            <w:pPr>
              <w:rPr>
                <w:rFonts w:hint="eastAsia" w:ascii="仿宋_GB2312" w:hAnsi="宋体" w:eastAsia="仿宋_GB2312"/>
                <w:b/>
                <w:sz w:val="24"/>
                <w:szCs w:val="24"/>
                <w:lang w:eastAsia="zh-CN"/>
              </w:rPr>
            </w:pPr>
            <w:r>
              <w:rPr>
                <w:rFonts w:hint="eastAsia" w:ascii="仿宋_GB2312" w:hAnsi="宋体" w:eastAsia="仿宋_GB2312"/>
                <w:b/>
                <w:sz w:val="24"/>
                <w:szCs w:val="24"/>
                <w:lang w:eastAsia="zh-CN"/>
              </w:rPr>
              <w:t>一债通账户</w:t>
            </w:r>
          </w:p>
        </w:tc>
        <w:tc>
          <w:tcPr>
            <w:tcW w:w="5109" w:type="dxa"/>
          </w:tcPr>
          <w:p w14:paraId="53E4B8A5">
            <w:pPr>
              <w:rPr>
                <w:rFonts w:hint="eastAsia" w:ascii="仿宋_GB2312" w:hAnsi="宋体" w:eastAsia="仿宋_GB2312"/>
                <w:b w:val="0"/>
                <w:bCs/>
                <w:sz w:val="24"/>
                <w:szCs w:val="24"/>
                <w:lang w:eastAsia="zh-CN"/>
              </w:rPr>
            </w:pPr>
            <w:r>
              <w:rPr>
                <w:rFonts w:hint="eastAsia" w:ascii="仿宋_GB2312" w:hAnsi="宋体" w:eastAsia="仿宋_GB2312"/>
                <w:b w:val="0"/>
                <w:bCs/>
                <w:sz w:val="24"/>
                <w:szCs w:val="24"/>
                <w:lang w:eastAsia="zh-CN"/>
              </w:rPr>
              <w:t>申报方交易员一债通账户号码，自动带出</w:t>
            </w:r>
          </w:p>
        </w:tc>
      </w:tr>
      <w:tr w14:paraId="0BA3F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4657CBA8">
            <w:pPr>
              <w:rPr>
                <w:rFonts w:hint="eastAsia" w:ascii="仿宋_GB2312" w:hAnsi="宋体" w:eastAsia="仿宋_GB2312"/>
                <w:b/>
                <w:sz w:val="24"/>
                <w:szCs w:val="24"/>
                <w:lang w:eastAsia="zh-CN"/>
              </w:rPr>
            </w:pPr>
            <w:r>
              <w:rPr>
                <w:rFonts w:hint="eastAsia" w:ascii="仿宋_GB2312" w:hAnsi="宋体" w:eastAsia="仿宋_GB2312"/>
                <w:b/>
                <w:sz w:val="24"/>
                <w:szCs w:val="24"/>
                <w:lang w:eastAsia="zh-CN"/>
              </w:rPr>
              <w:t>交易员</w:t>
            </w:r>
          </w:p>
        </w:tc>
        <w:tc>
          <w:tcPr>
            <w:tcW w:w="5109" w:type="dxa"/>
          </w:tcPr>
          <w:p w14:paraId="6D6A7995">
            <w:pPr>
              <w:rPr>
                <w:rFonts w:hint="eastAsia" w:ascii="仿宋_GB2312" w:hAnsi="宋体" w:eastAsia="仿宋_GB2312"/>
                <w:b w:val="0"/>
                <w:bCs/>
                <w:sz w:val="24"/>
                <w:szCs w:val="24"/>
                <w:lang w:eastAsia="zh-CN"/>
              </w:rPr>
            </w:pPr>
            <w:r>
              <w:rPr>
                <w:rFonts w:hint="eastAsia" w:ascii="仿宋_GB2312" w:hAnsi="宋体" w:eastAsia="仿宋_GB2312"/>
                <w:b w:val="0"/>
                <w:bCs/>
                <w:sz w:val="24"/>
                <w:szCs w:val="24"/>
                <w:lang w:eastAsia="zh-CN"/>
              </w:rPr>
              <w:t>申报方交易员名称，自动带出</w:t>
            </w:r>
          </w:p>
        </w:tc>
      </w:tr>
      <w:tr w14:paraId="68D46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5B3D35D0">
            <w:pPr>
              <w:rPr>
                <w:rFonts w:ascii="仿宋_GB2312" w:hAnsi="宋体" w:eastAsia="仿宋_GB2312"/>
                <w:b/>
                <w:sz w:val="24"/>
                <w:szCs w:val="24"/>
              </w:rPr>
            </w:pPr>
            <w:r>
              <w:rPr>
                <w:rFonts w:hint="eastAsia" w:ascii="仿宋_GB2312" w:hAnsi="宋体" w:eastAsia="仿宋_GB2312"/>
                <w:b/>
                <w:sz w:val="24"/>
                <w:szCs w:val="24"/>
              </w:rPr>
              <w:t>证券代码</w:t>
            </w:r>
          </w:p>
        </w:tc>
        <w:tc>
          <w:tcPr>
            <w:tcW w:w="5109" w:type="dxa"/>
          </w:tcPr>
          <w:p w14:paraId="1CEECB26">
            <w:pPr>
              <w:rPr>
                <w:rFonts w:ascii="仿宋_GB2312" w:hAnsi="宋体" w:eastAsia="仿宋_GB2312"/>
                <w:sz w:val="24"/>
                <w:szCs w:val="24"/>
              </w:rPr>
            </w:pPr>
            <w:r>
              <w:rPr>
                <w:rFonts w:hint="eastAsia" w:ascii="仿宋_GB2312" w:hAnsi="宋体" w:eastAsia="仿宋_GB2312"/>
                <w:sz w:val="24"/>
                <w:szCs w:val="24"/>
              </w:rPr>
              <w:t>转托管</w:t>
            </w:r>
            <w:r>
              <w:rPr>
                <w:rFonts w:hint="eastAsia" w:ascii="仿宋_GB2312" w:hAnsi="宋体" w:eastAsia="仿宋_GB2312"/>
                <w:sz w:val="24"/>
                <w:szCs w:val="24"/>
                <w:lang w:eastAsia="zh-CN"/>
              </w:rPr>
              <w:t>转出</w:t>
            </w:r>
            <w:r>
              <w:rPr>
                <w:rFonts w:hint="eastAsia" w:ascii="仿宋_GB2312" w:hAnsi="宋体" w:eastAsia="仿宋_GB2312"/>
                <w:sz w:val="24"/>
                <w:szCs w:val="24"/>
              </w:rPr>
              <w:t>的</w:t>
            </w:r>
            <w:r>
              <w:rPr>
                <w:rFonts w:hint="eastAsia" w:ascii="仿宋_GB2312" w:hAnsi="宋体" w:eastAsia="仿宋_GB2312"/>
                <w:sz w:val="24"/>
                <w:szCs w:val="24"/>
                <w:lang w:eastAsia="zh-CN"/>
              </w:rPr>
              <w:t>上交所证</w:t>
            </w:r>
            <w:r>
              <w:rPr>
                <w:rFonts w:hint="eastAsia" w:ascii="仿宋_GB2312" w:hAnsi="宋体" w:eastAsia="仿宋_GB2312"/>
                <w:sz w:val="24"/>
                <w:szCs w:val="24"/>
              </w:rPr>
              <w:t>券代码</w:t>
            </w:r>
          </w:p>
        </w:tc>
      </w:tr>
      <w:tr w14:paraId="10BE2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09798EEB">
            <w:pPr>
              <w:rPr>
                <w:rFonts w:ascii="仿宋_GB2312" w:hAnsi="宋体" w:eastAsia="仿宋_GB2312"/>
                <w:b/>
                <w:sz w:val="24"/>
                <w:szCs w:val="24"/>
              </w:rPr>
            </w:pPr>
            <w:r>
              <w:rPr>
                <w:rFonts w:hint="eastAsia" w:ascii="仿宋_GB2312" w:hAnsi="宋体" w:eastAsia="仿宋_GB2312"/>
                <w:b/>
                <w:sz w:val="24"/>
                <w:szCs w:val="24"/>
              </w:rPr>
              <w:t>证券简称</w:t>
            </w:r>
          </w:p>
        </w:tc>
        <w:tc>
          <w:tcPr>
            <w:tcW w:w="5109" w:type="dxa"/>
          </w:tcPr>
          <w:p w14:paraId="2265CB74">
            <w:pPr>
              <w:rPr>
                <w:rFonts w:hint="eastAsia" w:ascii="仿宋_GB2312" w:hAnsi="宋体" w:eastAsia="仿宋_GB2312"/>
                <w:sz w:val="24"/>
                <w:szCs w:val="24"/>
                <w:lang w:eastAsia="zh-CN"/>
              </w:rPr>
            </w:pPr>
            <w:r>
              <w:rPr>
                <w:rFonts w:hint="eastAsia" w:ascii="仿宋_GB2312" w:hAnsi="宋体" w:eastAsia="仿宋_GB2312"/>
                <w:sz w:val="24"/>
                <w:szCs w:val="24"/>
                <w:lang w:eastAsia="zh-CN"/>
              </w:rPr>
              <w:t>根据证券代码自动带出</w:t>
            </w:r>
          </w:p>
        </w:tc>
      </w:tr>
      <w:tr w14:paraId="6CBA3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27" w:type="dxa"/>
          </w:tcPr>
          <w:p w14:paraId="2626C6CC">
            <w:pPr>
              <w:rPr>
                <w:rFonts w:ascii="仿宋_GB2312" w:hAnsi="宋体" w:eastAsia="仿宋_GB2312"/>
                <w:b/>
                <w:sz w:val="24"/>
                <w:szCs w:val="24"/>
              </w:rPr>
            </w:pPr>
            <w:r>
              <w:rPr>
                <w:rFonts w:hint="eastAsia" w:ascii="仿宋_GB2312" w:hAnsi="宋体" w:eastAsia="仿宋_GB2312"/>
                <w:b/>
                <w:sz w:val="24"/>
                <w:szCs w:val="24"/>
              </w:rPr>
              <w:t>数量</w:t>
            </w:r>
          </w:p>
        </w:tc>
        <w:tc>
          <w:tcPr>
            <w:tcW w:w="5109" w:type="dxa"/>
          </w:tcPr>
          <w:p w14:paraId="5943408F">
            <w:pPr>
              <w:rPr>
                <w:rFonts w:ascii="仿宋_GB2312" w:hAnsi="宋体" w:eastAsia="仿宋_GB2312"/>
                <w:sz w:val="24"/>
                <w:szCs w:val="24"/>
              </w:rPr>
            </w:pPr>
            <w:r>
              <w:rPr>
                <w:rFonts w:hint="eastAsia" w:ascii="仿宋_GB2312" w:hAnsi="宋体" w:eastAsia="仿宋_GB2312"/>
                <w:sz w:val="24"/>
                <w:szCs w:val="24"/>
              </w:rPr>
              <w:t>转托管</w:t>
            </w:r>
            <w:r>
              <w:rPr>
                <w:rFonts w:hint="eastAsia" w:ascii="仿宋_GB2312" w:hAnsi="宋体" w:eastAsia="仿宋_GB2312"/>
                <w:sz w:val="24"/>
                <w:szCs w:val="24"/>
                <w:lang w:eastAsia="zh-CN"/>
              </w:rPr>
              <w:t>转出</w:t>
            </w:r>
            <w:r>
              <w:rPr>
                <w:rFonts w:hint="eastAsia" w:ascii="仿宋_GB2312" w:hAnsi="宋体" w:eastAsia="仿宋_GB2312"/>
                <w:sz w:val="24"/>
                <w:szCs w:val="24"/>
              </w:rPr>
              <w:t>的</w:t>
            </w:r>
            <w:r>
              <w:rPr>
                <w:rFonts w:hint="eastAsia" w:ascii="仿宋_GB2312" w:hAnsi="宋体" w:eastAsia="仿宋_GB2312"/>
                <w:sz w:val="24"/>
                <w:szCs w:val="24"/>
                <w:lang w:eastAsia="zh-CN"/>
              </w:rPr>
              <w:t>证</w:t>
            </w:r>
            <w:r>
              <w:rPr>
                <w:rFonts w:hint="eastAsia" w:ascii="仿宋_GB2312" w:hAnsi="宋体" w:eastAsia="仿宋_GB2312"/>
                <w:sz w:val="24"/>
                <w:szCs w:val="24"/>
              </w:rPr>
              <w:t>券数量，以1000元面额为单位。</w:t>
            </w:r>
          </w:p>
        </w:tc>
      </w:tr>
      <w:tr w14:paraId="2B39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5F0CB69E">
            <w:pPr>
              <w:rPr>
                <w:rFonts w:ascii="仿宋_GB2312" w:hAnsi="宋体" w:eastAsia="仿宋_GB2312"/>
                <w:b/>
                <w:sz w:val="24"/>
                <w:szCs w:val="24"/>
              </w:rPr>
            </w:pPr>
            <w:r>
              <w:rPr>
                <w:rFonts w:hint="eastAsia" w:ascii="仿宋_GB2312" w:hAnsi="宋体" w:eastAsia="仿宋_GB2312"/>
                <w:b/>
                <w:sz w:val="24"/>
                <w:szCs w:val="24"/>
              </w:rPr>
              <w:t>银行间托管账号</w:t>
            </w:r>
          </w:p>
        </w:tc>
        <w:tc>
          <w:tcPr>
            <w:tcW w:w="5109" w:type="dxa"/>
          </w:tcPr>
          <w:p w14:paraId="44F8FAB9">
            <w:pPr>
              <w:rPr>
                <w:rFonts w:ascii="仿宋_GB2312" w:hAnsi="宋体" w:eastAsia="仿宋_GB2312"/>
                <w:sz w:val="24"/>
                <w:szCs w:val="24"/>
              </w:rPr>
            </w:pPr>
            <w:r>
              <w:rPr>
                <w:rFonts w:hint="eastAsia" w:ascii="仿宋_GB2312" w:hAnsi="宋体" w:eastAsia="仿宋_GB2312"/>
                <w:sz w:val="24"/>
                <w:szCs w:val="24"/>
                <w:lang w:eastAsia="zh-CN"/>
              </w:rPr>
              <w:t>中债登</w:t>
            </w:r>
            <w:r>
              <w:rPr>
                <w:rFonts w:hint="eastAsia" w:ascii="仿宋_GB2312" w:hAnsi="宋体" w:eastAsia="仿宋_GB2312"/>
                <w:sz w:val="24"/>
                <w:szCs w:val="24"/>
              </w:rPr>
              <w:t>11位托管账号</w:t>
            </w:r>
          </w:p>
        </w:tc>
      </w:tr>
      <w:tr w14:paraId="37D27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28D6FE70">
            <w:pPr>
              <w:rPr>
                <w:rFonts w:ascii="仿宋_GB2312" w:hAnsi="宋体" w:eastAsia="仿宋_GB2312"/>
                <w:b/>
                <w:sz w:val="24"/>
                <w:szCs w:val="24"/>
              </w:rPr>
            </w:pPr>
            <w:r>
              <w:rPr>
                <w:rFonts w:hint="eastAsia" w:ascii="仿宋_GB2312" w:hAnsi="宋体" w:eastAsia="仿宋_GB2312"/>
                <w:b/>
                <w:sz w:val="24"/>
                <w:szCs w:val="24"/>
              </w:rPr>
              <w:t>证券账户</w:t>
            </w:r>
          </w:p>
        </w:tc>
        <w:tc>
          <w:tcPr>
            <w:tcW w:w="5109" w:type="dxa"/>
          </w:tcPr>
          <w:p w14:paraId="49E5770B">
            <w:pPr>
              <w:rPr>
                <w:rFonts w:ascii="仿宋_GB2312" w:hAnsi="宋体" w:eastAsia="仿宋_GB2312"/>
                <w:sz w:val="24"/>
                <w:szCs w:val="24"/>
              </w:rPr>
            </w:pPr>
            <w:r>
              <w:rPr>
                <w:rFonts w:hint="eastAsia" w:ascii="仿宋_GB2312" w:hAnsi="宋体" w:eastAsia="仿宋_GB2312"/>
                <w:sz w:val="24"/>
                <w:szCs w:val="24"/>
                <w:lang w:eastAsia="zh-CN"/>
              </w:rPr>
              <w:t>上交所证券账户号码</w:t>
            </w:r>
          </w:p>
        </w:tc>
      </w:tr>
      <w:tr w14:paraId="2157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20B16C49">
            <w:pPr>
              <w:rPr>
                <w:rFonts w:hint="eastAsia" w:ascii="仿宋_GB2312" w:hAnsi="宋体" w:eastAsia="仿宋_GB2312"/>
                <w:b/>
                <w:sz w:val="24"/>
                <w:szCs w:val="24"/>
                <w:lang w:eastAsia="zh-CN"/>
              </w:rPr>
            </w:pPr>
            <w:r>
              <w:rPr>
                <w:rFonts w:hint="eastAsia" w:ascii="仿宋_GB2312" w:hAnsi="宋体" w:eastAsia="仿宋_GB2312"/>
                <w:b/>
                <w:sz w:val="24"/>
                <w:szCs w:val="24"/>
                <w:lang w:eastAsia="zh-CN"/>
              </w:rPr>
              <w:t>交易单元</w:t>
            </w:r>
          </w:p>
        </w:tc>
        <w:tc>
          <w:tcPr>
            <w:tcW w:w="5109" w:type="dxa"/>
          </w:tcPr>
          <w:p w14:paraId="1DA8139D">
            <w:pPr>
              <w:rPr>
                <w:rFonts w:hint="eastAsia" w:ascii="仿宋_GB2312" w:hAnsi="宋体" w:eastAsia="仿宋_GB2312"/>
                <w:sz w:val="24"/>
                <w:szCs w:val="24"/>
                <w:lang w:eastAsia="zh-CN"/>
              </w:rPr>
            </w:pPr>
            <w:r>
              <w:rPr>
                <w:rFonts w:hint="eastAsia" w:ascii="仿宋_GB2312" w:hAnsi="宋体" w:eastAsia="仿宋_GB2312"/>
                <w:sz w:val="24"/>
                <w:szCs w:val="24"/>
                <w:lang w:eastAsia="zh-CN"/>
              </w:rPr>
              <w:t>根据证券账户自动带出</w:t>
            </w:r>
          </w:p>
        </w:tc>
      </w:tr>
    </w:tbl>
    <w:p w14:paraId="69AB5583">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债券转托管的申报数量应当为</w:t>
      </w:r>
      <w:r>
        <w:rPr>
          <w:rFonts w:ascii="仿宋_GB2312" w:hAnsi="宋体" w:eastAsia="仿宋_GB2312"/>
          <w:sz w:val="30"/>
          <w:szCs w:val="30"/>
        </w:rPr>
        <w:t>1000元</w:t>
      </w:r>
      <w:r>
        <w:rPr>
          <w:rFonts w:hint="eastAsia" w:ascii="仿宋_GB2312" w:hAnsi="宋体" w:eastAsia="仿宋_GB2312"/>
          <w:sz w:val="30"/>
          <w:szCs w:val="30"/>
        </w:rPr>
        <w:t>面额或其整数倍。</w:t>
      </w:r>
    </w:p>
    <w:p w14:paraId="6D8AA7C0">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债券投资者在债券挂牌上市后可通过</w:t>
      </w:r>
      <w:r>
        <w:rPr>
          <w:rFonts w:hint="eastAsia" w:ascii="仿宋_GB2312" w:hAnsi="宋体" w:eastAsia="仿宋_GB2312"/>
          <w:sz w:val="30"/>
          <w:szCs w:val="30"/>
          <w:lang w:eastAsia="zh-CN"/>
        </w:rPr>
        <w:t>新固定收益系统</w:t>
      </w:r>
      <w:r>
        <w:rPr>
          <w:rFonts w:hint="eastAsia" w:ascii="仿宋_GB2312" w:hAnsi="宋体" w:eastAsia="仿宋_GB2312"/>
          <w:sz w:val="30"/>
          <w:szCs w:val="30"/>
        </w:rPr>
        <w:t>发起转托管转出申报，国债和地方债到期或付息日前</w:t>
      </w:r>
      <w:r>
        <w:rPr>
          <w:rFonts w:ascii="仿宋_GB2312" w:hAnsi="宋体" w:eastAsia="仿宋_GB2312"/>
          <w:sz w:val="30"/>
          <w:szCs w:val="30"/>
        </w:rPr>
        <w:t>7个交易日暂停转出</w:t>
      </w:r>
      <w:r>
        <w:rPr>
          <w:rFonts w:hint="eastAsia" w:ascii="仿宋_GB2312" w:hAnsi="宋体" w:eastAsia="仿宋_GB2312"/>
          <w:sz w:val="30"/>
          <w:szCs w:val="30"/>
        </w:rPr>
        <w:t>申报，付息日后的第一个交易日恢复转托管申报。现券交易停牌期间</w:t>
      </w:r>
      <w:r>
        <w:rPr>
          <w:rFonts w:hint="eastAsia" w:ascii="仿宋_GB2312" w:hAnsi="宋体" w:eastAsia="仿宋_GB2312"/>
          <w:sz w:val="30"/>
          <w:szCs w:val="30"/>
          <w:lang w:eastAsia="zh-CN"/>
        </w:rPr>
        <w:t>不影响转托管转出申报。</w:t>
      </w:r>
    </w:p>
    <w:p w14:paraId="11C9C663">
      <w:pPr>
        <w:spacing w:line="60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当日买入或跨市场转入的债券，当日可以提交转托管转出申请。当日提交的转托管申请，当日收盘前可以在转托管申报时间内撤销。</w:t>
      </w:r>
    </w:p>
    <w:p w14:paraId="59FAA862">
      <w:pPr>
        <w:numPr>
          <w:ilvl w:val="1"/>
          <w:numId w:val="4"/>
        </w:numPr>
        <w:spacing w:line="600" w:lineRule="exact"/>
        <w:ind w:left="0" w:firstLine="0"/>
        <w:outlineLvl w:val="1"/>
        <w:rPr>
          <w:rFonts w:ascii="仿宋_GB2312" w:eastAsia="仿宋_GB2312"/>
          <w:b/>
          <w:sz w:val="30"/>
          <w:szCs w:val="30"/>
        </w:rPr>
      </w:pPr>
      <w:bookmarkStart w:id="2621" w:name="_Toc1018180268"/>
      <w:bookmarkStart w:id="2622" w:name="_Toc151137061"/>
      <w:bookmarkStart w:id="2623" w:name="_Toc1822946864"/>
      <w:bookmarkStart w:id="2624" w:name="_Toc254268440"/>
      <w:bookmarkStart w:id="2625" w:name="_Toc1237165466"/>
      <w:bookmarkStart w:id="2626" w:name="_Toc742981037"/>
      <w:bookmarkStart w:id="2627" w:name="_Toc644237763"/>
      <w:bookmarkStart w:id="2628" w:name="_Toc56166300"/>
      <w:bookmarkStart w:id="2629" w:name="_Toc56166111"/>
      <w:bookmarkStart w:id="2630" w:name="_Toc47467034"/>
      <w:r>
        <w:rPr>
          <w:rFonts w:hint="eastAsia" w:ascii="仿宋_GB2312" w:eastAsia="仿宋_GB2312"/>
          <w:b/>
          <w:sz w:val="30"/>
          <w:szCs w:val="30"/>
        </w:rPr>
        <w:t>核心交易</w:t>
      </w:r>
      <w:r>
        <w:rPr>
          <w:rFonts w:ascii="仿宋_GB2312" w:eastAsia="仿宋_GB2312"/>
          <w:b/>
          <w:sz w:val="30"/>
          <w:szCs w:val="30"/>
        </w:rPr>
        <w:t>系统备用通道</w:t>
      </w:r>
      <w:bookmarkEnd w:id="2621"/>
      <w:bookmarkEnd w:id="2622"/>
      <w:bookmarkEnd w:id="2623"/>
      <w:bookmarkEnd w:id="2624"/>
      <w:bookmarkEnd w:id="2625"/>
      <w:bookmarkEnd w:id="2626"/>
      <w:bookmarkEnd w:id="2627"/>
    </w:p>
    <w:p w14:paraId="5B010617">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互联网</w:t>
      </w:r>
      <w:r>
        <w:rPr>
          <w:rFonts w:ascii="仿宋_GB2312" w:hAnsi="宋体" w:eastAsia="仿宋_GB2312"/>
          <w:sz w:val="30"/>
          <w:szCs w:val="30"/>
        </w:rPr>
        <w:t>交易平台核心系统备用通道</w:t>
      </w:r>
      <w:r>
        <w:rPr>
          <w:rFonts w:hint="eastAsia" w:ascii="仿宋_GB2312" w:hAnsi="宋体" w:eastAsia="仿宋_GB2312"/>
          <w:sz w:val="30"/>
          <w:szCs w:val="30"/>
        </w:rPr>
        <w:t>为</w:t>
      </w:r>
      <w:r>
        <w:rPr>
          <w:rFonts w:ascii="仿宋_GB2312" w:hAnsi="宋体" w:eastAsia="仿宋_GB2312"/>
          <w:sz w:val="30"/>
          <w:szCs w:val="30"/>
        </w:rPr>
        <w:t>综合业务平台的网页版申报</w:t>
      </w:r>
      <w:r>
        <w:rPr>
          <w:rFonts w:hint="eastAsia" w:ascii="仿宋_GB2312" w:hAnsi="宋体" w:eastAsia="仿宋_GB2312"/>
          <w:sz w:val="30"/>
          <w:szCs w:val="30"/>
        </w:rPr>
        <w:t>渠道</w:t>
      </w:r>
      <w:r>
        <w:rPr>
          <w:rFonts w:ascii="仿宋_GB2312" w:hAnsi="宋体" w:eastAsia="仿宋_GB2312"/>
          <w:sz w:val="30"/>
          <w:szCs w:val="30"/>
        </w:rPr>
        <w:t>，</w:t>
      </w:r>
      <w:r>
        <w:rPr>
          <w:rFonts w:hint="eastAsia" w:ascii="仿宋_GB2312" w:hAnsi="宋体" w:eastAsia="仿宋_GB2312"/>
          <w:sz w:val="30"/>
          <w:szCs w:val="30"/>
        </w:rPr>
        <w:t>债券</w:t>
      </w:r>
      <w:r>
        <w:rPr>
          <w:rFonts w:ascii="仿宋_GB2312" w:hAnsi="宋体" w:eastAsia="仿宋_GB2312"/>
          <w:sz w:val="30"/>
          <w:szCs w:val="30"/>
        </w:rPr>
        <w:t>投资者</w:t>
      </w:r>
      <w:r>
        <w:rPr>
          <w:rFonts w:hint="eastAsia" w:ascii="仿宋_GB2312" w:hAnsi="宋体" w:eastAsia="仿宋_GB2312"/>
          <w:sz w:val="30"/>
          <w:szCs w:val="30"/>
        </w:rPr>
        <w:t>可以</w:t>
      </w:r>
      <w:r>
        <w:rPr>
          <w:rFonts w:ascii="仿宋_GB2312" w:hAnsi="宋体" w:eastAsia="仿宋_GB2312"/>
          <w:sz w:val="30"/>
          <w:szCs w:val="30"/>
        </w:rPr>
        <w:t>通过</w:t>
      </w:r>
      <w:r>
        <w:rPr>
          <w:rFonts w:hint="eastAsia" w:ascii="仿宋_GB2312" w:hAnsi="宋体" w:eastAsia="仿宋_GB2312"/>
          <w:sz w:val="30"/>
          <w:szCs w:val="30"/>
        </w:rPr>
        <w:t>互联网</w:t>
      </w:r>
      <w:r>
        <w:rPr>
          <w:rFonts w:ascii="仿宋_GB2312" w:hAnsi="宋体" w:eastAsia="仿宋_GB2312"/>
          <w:sz w:val="30"/>
          <w:szCs w:val="30"/>
        </w:rPr>
        <w:t>交易平台核心系统备用通道申报指定</w:t>
      </w:r>
      <w:r>
        <w:rPr>
          <w:rFonts w:hint="eastAsia" w:ascii="仿宋_GB2312" w:hAnsi="宋体" w:eastAsia="仿宋_GB2312"/>
          <w:sz w:val="30"/>
          <w:szCs w:val="30"/>
        </w:rPr>
        <w:t>交易</w:t>
      </w:r>
      <w:r>
        <w:rPr>
          <w:rFonts w:ascii="仿宋_GB2312" w:hAnsi="宋体" w:eastAsia="仿宋_GB2312"/>
          <w:sz w:val="30"/>
          <w:szCs w:val="30"/>
        </w:rPr>
        <w:t>、撤销指定交易</w:t>
      </w:r>
      <w:r>
        <w:rPr>
          <w:rFonts w:hint="eastAsia" w:ascii="仿宋_GB2312" w:hAnsi="宋体" w:eastAsia="仿宋_GB2312"/>
          <w:sz w:val="30"/>
          <w:szCs w:val="30"/>
        </w:rPr>
        <w:t>、质押券</w:t>
      </w:r>
      <w:r>
        <w:rPr>
          <w:rFonts w:ascii="仿宋_GB2312" w:hAnsi="宋体" w:eastAsia="仿宋_GB2312"/>
          <w:sz w:val="30"/>
          <w:szCs w:val="30"/>
        </w:rPr>
        <w:t>出入库、</w:t>
      </w:r>
      <w:r>
        <w:rPr>
          <w:rFonts w:hint="eastAsia" w:ascii="仿宋_GB2312" w:hAnsi="宋体" w:eastAsia="仿宋_GB2312"/>
          <w:sz w:val="30"/>
          <w:szCs w:val="30"/>
        </w:rPr>
        <w:t>公募债</w:t>
      </w:r>
      <w:r>
        <w:rPr>
          <w:rFonts w:ascii="仿宋_GB2312" w:hAnsi="宋体" w:eastAsia="仿宋_GB2312"/>
          <w:sz w:val="30"/>
          <w:szCs w:val="30"/>
        </w:rPr>
        <w:t>回售、</w:t>
      </w:r>
      <w:r>
        <w:rPr>
          <w:rFonts w:hint="eastAsia" w:ascii="仿宋_GB2312" w:hAnsi="宋体" w:eastAsia="仿宋_GB2312"/>
          <w:sz w:val="30"/>
          <w:szCs w:val="30"/>
        </w:rPr>
        <w:t>可转债</w:t>
      </w:r>
      <w:r>
        <w:rPr>
          <w:rFonts w:ascii="仿宋_GB2312" w:hAnsi="宋体" w:eastAsia="仿宋_GB2312"/>
          <w:sz w:val="30"/>
          <w:szCs w:val="30"/>
        </w:rPr>
        <w:t>转股、</w:t>
      </w:r>
      <w:r>
        <w:rPr>
          <w:rFonts w:hint="eastAsia" w:ascii="仿宋_GB2312" w:hAnsi="宋体" w:eastAsia="仿宋_GB2312"/>
          <w:sz w:val="30"/>
          <w:szCs w:val="30"/>
        </w:rPr>
        <w:t>可交换债换股</w:t>
      </w:r>
      <w:r>
        <w:rPr>
          <w:rFonts w:ascii="仿宋_GB2312" w:hAnsi="宋体" w:eastAsia="仿宋_GB2312"/>
          <w:sz w:val="30"/>
          <w:szCs w:val="30"/>
        </w:rPr>
        <w:t>、</w:t>
      </w:r>
      <w:r>
        <w:rPr>
          <w:rFonts w:hint="eastAsia" w:ascii="仿宋_GB2312" w:hAnsi="宋体" w:eastAsia="仿宋_GB2312"/>
          <w:sz w:val="30"/>
          <w:szCs w:val="30"/>
        </w:rPr>
        <w:t>债券ETF申赎</w:t>
      </w:r>
      <w:r>
        <w:rPr>
          <w:rFonts w:ascii="仿宋_GB2312" w:hAnsi="宋体" w:eastAsia="仿宋_GB2312"/>
          <w:sz w:val="30"/>
          <w:szCs w:val="30"/>
        </w:rPr>
        <w:t>等业务。</w:t>
      </w:r>
    </w:p>
    <w:p w14:paraId="3BF3BF76">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核心系统备用通道为网页服务，本所</w:t>
      </w:r>
      <w:r>
        <w:rPr>
          <w:rFonts w:ascii="仿宋_GB2312" w:hAnsi="宋体" w:eastAsia="仿宋_GB2312"/>
          <w:sz w:val="30"/>
          <w:szCs w:val="30"/>
        </w:rPr>
        <w:t>会员和其他</w:t>
      </w:r>
      <w:r>
        <w:rPr>
          <w:rFonts w:hint="eastAsia" w:ascii="仿宋_GB2312" w:hAnsi="宋体" w:eastAsia="仿宋_GB2312"/>
          <w:sz w:val="30"/>
          <w:szCs w:val="30"/>
        </w:rPr>
        <w:t>自有</w:t>
      </w:r>
      <w:r>
        <w:rPr>
          <w:rFonts w:ascii="仿宋_GB2312" w:hAnsi="宋体" w:eastAsia="仿宋_GB2312"/>
          <w:sz w:val="30"/>
          <w:szCs w:val="30"/>
        </w:rPr>
        <w:t>或者租用交易单元的债券交易参与人</w:t>
      </w:r>
      <w:r>
        <w:rPr>
          <w:rFonts w:hint="eastAsia" w:ascii="仿宋_GB2312" w:hAnsi="宋体" w:eastAsia="仿宋_GB2312"/>
          <w:sz w:val="30"/>
          <w:szCs w:val="30"/>
        </w:rPr>
        <w:t>可通过互联网和交易专网访问。</w:t>
      </w:r>
    </w:p>
    <w:p w14:paraId="7D2EB851">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互联网地址：https://iitp.uap.sse.com.cn/otcbnt/</w:t>
      </w:r>
    </w:p>
    <w:p w14:paraId="390B7DE4">
      <w:pPr>
        <w:pStyle w:val="15"/>
        <w:ind w:firstLine="600" w:firstLineChars="200"/>
        <w:rPr>
          <w:rFonts w:hint="eastAsia" w:ascii="仿宋_GB2312" w:hAnsi="仿宋_GB2312" w:eastAsia="仿宋_GB2312" w:cs="仿宋_GB2312"/>
          <w:sz w:val="30"/>
          <w:szCs w:val="30"/>
          <w:lang w:val="en-US" w:eastAsia="zh-CN"/>
        </w:rPr>
      </w:pPr>
      <w:r>
        <w:rPr>
          <w:rFonts w:hint="eastAsia" w:ascii="仿宋_GB2312" w:hAnsi="宋体" w:eastAsia="仿宋_GB2312"/>
          <w:sz w:val="30"/>
          <w:szCs w:val="30"/>
          <w:highlight w:val="none"/>
        </w:rPr>
        <w:t>专网地址：</w:t>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"http://180.7.167.3/otcportal"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http://180.7.</w:t>
      </w:r>
      <w:r>
        <w:rPr>
          <w:rFonts w:hint="eastAsia" w:ascii="仿宋_GB2312" w:hAnsi="仿宋_GB2312" w:eastAsia="仿宋_GB2312" w:cs="仿宋_GB2312"/>
          <w:sz w:val="30"/>
          <w:szCs w:val="30"/>
          <w:lang w:val="en-US" w:eastAsia="zh-CN"/>
        </w:rPr>
        <w:t>38</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otcportal</w:t>
      </w:r>
      <w:r>
        <w:rPr>
          <w:rFonts w:hint="eastAsia" w:ascii="仿宋_GB2312" w:hAnsi="仿宋_GB2312" w:eastAsia="仿宋_GB2312" w:cs="仿宋_GB2312"/>
          <w:sz w:val="30"/>
          <w:szCs w:val="30"/>
        </w:rPr>
        <w:fldChar w:fldCharType="end"/>
      </w:r>
    </w:p>
    <w:p w14:paraId="69285915">
      <w:pPr>
        <w:spacing w:line="600" w:lineRule="exact"/>
        <w:ind w:firstLine="2100" w:firstLineChars="700"/>
        <w:rPr>
          <w:rFonts w:ascii="仿宋_GB2312" w:hAnsi="宋体" w:eastAsia="仿宋_GB2312"/>
          <w:sz w:val="30"/>
          <w:szCs w:val="30"/>
        </w:rPr>
      </w:pP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HYPERLINK "http://180.7.167.3/otcportal"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http://180.7.</w:t>
      </w:r>
      <w:r>
        <w:rPr>
          <w:rFonts w:hint="eastAsia" w:ascii="仿宋_GB2312" w:hAnsi="仿宋_GB2312" w:eastAsia="仿宋_GB2312" w:cs="仿宋_GB2312"/>
          <w:sz w:val="30"/>
          <w:szCs w:val="30"/>
          <w:lang w:val="en-US" w:eastAsia="zh-CN"/>
        </w:rPr>
        <w:t>38</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otcportal</w:t>
      </w:r>
      <w:r>
        <w:rPr>
          <w:rFonts w:hint="eastAsia" w:ascii="仿宋_GB2312" w:hAnsi="仿宋_GB2312" w:eastAsia="仿宋_GB2312" w:cs="仿宋_GB2312"/>
          <w:sz w:val="30"/>
          <w:szCs w:val="30"/>
        </w:rPr>
        <w:fldChar w:fldCharType="end"/>
      </w:r>
    </w:p>
    <w:p w14:paraId="6DE1688D">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债券</w:t>
      </w:r>
      <w:r>
        <w:rPr>
          <w:rFonts w:ascii="仿宋_GB2312" w:hAnsi="宋体" w:eastAsia="仿宋_GB2312"/>
          <w:sz w:val="30"/>
          <w:szCs w:val="30"/>
        </w:rPr>
        <w:t>交易参与人</w:t>
      </w:r>
      <w:r>
        <w:rPr>
          <w:rFonts w:hint="eastAsia" w:ascii="仿宋_GB2312" w:hAnsi="宋体" w:eastAsia="仿宋_GB2312"/>
          <w:sz w:val="30"/>
          <w:szCs w:val="30"/>
        </w:rPr>
        <w:t>若需要通过互联网访问本平台，应提前</w:t>
      </w:r>
      <w:r>
        <w:rPr>
          <w:rFonts w:ascii="仿宋_GB2312" w:hAnsi="宋体" w:eastAsia="仿宋_GB2312"/>
          <w:sz w:val="30"/>
          <w:szCs w:val="30"/>
        </w:rPr>
        <w:t>通过本所CnCSA中心</w:t>
      </w:r>
      <w:r>
        <w:rPr>
          <w:rFonts w:hint="eastAsia" w:ascii="仿宋_GB2312" w:hAnsi="宋体" w:eastAsia="仿宋_GB2312"/>
          <w:sz w:val="30"/>
          <w:szCs w:val="30"/>
        </w:rPr>
        <w:t>（http://www.sse.com.cn/home/biz/cnsca/</w:t>
      </w:r>
      <w:r>
        <w:rPr>
          <w:rFonts w:ascii="仿宋_GB2312" w:hAnsi="宋体" w:eastAsia="仿宋_GB2312"/>
          <w:sz w:val="30"/>
          <w:szCs w:val="30"/>
        </w:rPr>
        <w:t>）</w:t>
      </w:r>
      <w:r>
        <w:rPr>
          <w:rFonts w:hint="eastAsia" w:ascii="仿宋_GB2312" w:hAnsi="宋体" w:eastAsia="仿宋_GB2312"/>
          <w:sz w:val="30"/>
          <w:szCs w:val="30"/>
        </w:rPr>
        <w:t>办理好互联网交易平台数字证书并确保能正常登陆。</w:t>
      </w:r>
    </w:p>
    <w:p w14:paraId="40060DB5">
      <w:pPr>
        <w:spacing w:line="600" w:lineRule="exact"/>
        <w:ind w:firstLine="600" w:firstLineChars="200"/>
        <w:rPr>
          <w:rFonts w:hint="eastAsia" w:ascii="仿宋_GB2312" w:hAnsi="宋体" w:eastAsia="仿宋_GB2312"/>
          <w:sz w:val="30"/>
          <w:szCs w:val="30"/>
          <w:highlight w:val="none"/>
        </w:rPr>
      </w:pPr>
      <w:r>
        <w:rPr>
          <w:rFonts w:hint="eastAsia" w:ascii="仿宋_GB2312" w:hAnsi="宋体" w:eastAsia="仿宋_GB2312"/>
          <w:sz w:val="30"/>
          <w:szCs w:val="30"/>
          <w:highlight w:val="none"/>
        </w:rPr>
        <w:t>技术服务热线：400</w:t>
      </w:r>
      <w:r>
        <w:rPr>
          <w:rFonts w:hint="eastAsia" w:ascii="仿宋_GB2312" w:hAnsi="宋体" w:eastAsia="仿宋_GB2312"/>
          <w:sz w:val="30"/>
          <w:szCs w:val="30"/>
          <w:highlight w:val="none"/>
          <w:lang w:val="en-US" w:eastAsia="zh-CN"/>
        </w:rPr>
        <w:t>8888400-2</w:t>
      </w:r>
    </w:p>
    <w:p w14:paraId="750C427A">
      <w:pPr>
        <w:numPr>
          <w:ilvl w:val="1"/>
          <w:numId w:val="4"/>
        </w:numPr>
        <w:spacing w:line="600" w:lineRule="exact"/>
        <w:ind w:left="0" w:firstLine="0"/>
        <w:outlineLvl w:val="1"/>
        <w:rPr>
          <w:rFonts w:ascii="仿宋_GB2312" w:eastAsia="仿宋_GB2312"/>
          <w:b/>
          <w:sz w:val="30"/>
          <w:szCs w:val="30"/>
        </w:rPr>
      </w:pPr>
      <w:bookmarkStart w:id="2631" w:name="_Toc15113"/>
      <w:bookmarkStart w:id="2632" w:name="_Toc4362"/>
      <w:bookmarkStart w:id="2633" w:name="_Toc22748"/>
      <w:bookmarkStart w:id="2634" w:name="_Toc7380"/>
      <w:bookmarkStart w:id="2635" w:name="_Toc7086"/>
      <w:bookmarkStart w:id="2636" w:name="_Toc1388872239"/>
      <w:bookmarkStart w:id="2637" w:name="_Toc1069714204"/>
      <w:bookmarkStart w:id="2638" w:name="_Toc30476"/>
      <w:bookmarkStart w:id="2639" w:name="_Toc1528436931"/>
      <w:bookmarkStart w:id="2640" w:name="_Toc1865391361"/>
      <w:bookmarkStart w:id="2641" w:name="_Toc19744"/>
      <w:bookmarkStart w:id="2642" w:name="_Toc438278443"/>
      <w:bookmarkStart w:id="2643" w:name="_Toc20519"/>
      <w:bookmarkStart w:id="2644" w:name="_Toc629653419"/>
      <w:bookmarkStart w:id="2645" w:name="_Toc93043896"/>
      <w:r>
        <w:rPr>
          <w:rFonts w:hint="eastAsia" w:ascii="仿宋_GB2312" w:eastAsia="仿宋_GB2312"/>
          <w:b/>
          <w:sz w:val="30"/>
          <w:szCs w:val="30"/>
          <w:lang w:eastAsia="zh-CN"/>
        </w:rPr>
        <w:t>非</w:t>
      </w:r>
      <w:r>
        <w:rPr>
          <w:rFonts w:hint="eastAsia" w:ascii="仿宋_GB2312" w:eastAsia="仿宋_GB2312"/>
          <w:b/>
          <w:sz w:val="30"/>
          <w:szCs w:val="30"/>
        </w:rPr>
        <w:t>交易</w:t>
      </w:r>
      <w:r>
        <w:rPr>
          <w:rFonts w:hint="eastAsia" w:ascii="仿宋_GB2312" w:eastAsia="仿宋_GB2312"/>
          <w:b/>
          <w:sz w:val="30"/>
          <w:szCs w:val="30"/>
          <w:lang w:eastAsia="zh-CN"/>
        </w:rPr>
        <w:t>过户</w:t>
      </w:r>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p>
    <w:p w14:paraId="1A915F9E">
      <w:pPr>
        <w:widowControl/>
        <w:numPr>
          <w:ilvl w:val="2"/>
          <w:numId w:val="4"/>
        </w:numPr>
        <w:spacing w:line="600" w:lineRule="exact"/>
        <w:ind w:firstLine="0" w:firstLineChars="0"/>
        <w:jc w:val="left"/>
        <w:outlineLvl w:val="2"/>
        <w:rPr>
          <w:rFonts w:hint="eastAsia" w:ascii="仿宋_GB2312" w:hAnsi="Times New Roman" w:eastAsia="仿宋_GB2312"/>
          <w:b/>
          <w:sz w:val="30"/>
          <w:szCs w:val="30"/>
          <w:lang w:val="en-US" w:eastAsia="zh-CN"/>
        </w:rPr>
      </w:pPr>
      <w:r>
        <w:rPr>
          <w:rFonts w:hint="eastAsia" w:ascii="仿宋_GB2312" w:hAnsi="Times New Roman" w:eastAsia="仿宋_GB2312"/>
          <w:b/>
          <w:sz w:val="30"/>
          <w:szCs w:val="30"/>
          <w:lang w:val="en-US" w:eastAsia="zh-CN"/>
        </w:rPr>
        <w:t>适用范围</w:t>
      </w:r>
    </w:p>
    <w:p w14:paraId="4A032DFD">
      <w:pPr>
        <w:widowControl/>
        <w:ind w:firstLine="600" w:firstLineChars="200"/>
        <w:jc w:val="left"/>
        <w:rPr>
          <w:rFonts w:hint="default" w:ascii="仿宋_GB2312" w:hAnsi="Calibri" w:eastAsia="仿宋_GB2312"/>
          <w:b w:val="0"/>
          <w:bCs w:val="0"/>
          <w:sz w:val="30"/>
          <w:szCs w:val="30"/>
          <w:lang w:val="en-US" w:eastAsia="zh-CN"/>
        </w:rPr>
      </w:pPr>
      <w:r>
        <w:rPr>
          <w:rFonts w:hint="eastAsia" w:ascii="仿宋_GB2312" w:hAnsi="Calibri" w:eastAsia="仿宋_GB2312"/>
          <w:b w:val="0"/>
          <w:bCs w:val="0"/>
          <w:sz w:val="30"/>
          <w:szCs w:val="30"/>
          <w:lang w:val="en-US" w:eastAsia="zh-CN"/>
        </w:rPr>
        <w:t>为配合中国结算办理债券非交易过户登记业务，本所对投资者基于债券回售转售、交易通道限制两种情形提出的非交易过户登记申请，进行前端受理。投资者基于其他情形申请办理非交易过户登记业务的，由</w:t>
      </w:r>
      <w:r>
        <w:rPr>
          <w:rFonts w:hint="eastAsia" w:ascii="仿宋_GB2312" w:hAnsi="Calibri" w:eastAsia="仿宋_GB2312"/>
          <w:b w:val="0"/>
          <w:sz w:val="30"/>
          <w:szCs w:val="30"/>
        </w:rPr>
        <w:t>中国结算上海</w:t>
      </w:r>
      <w:r>
        <w:rPr>
          <w:rFonts w:hint="eastAsia" w:ascii="仿宋_GB2312" w:hAnsi="Calibri" w:eastAsia="仿宋_GB2312"/>
          <w:b w:val="0"/>
          <w:sz w:val="30"/>
          <w:szCs w:val="30"/>
          <w:lang w:eastAsia="zh-CN"/>
        </w:rPr>
        <w:t>分</w:t>
      </w:r>
      <w:r>
        <w:rPr>
          <w:rFonts w:hint="eastAsia" w:ascii="仿宋_GB2312" w:hAnsi="Calibri" w:eastAsia="仿宋_GB2312"/>
          <w:b w:val="0"/>
          <w:sz w:val="30"/>
          <w:szCs w:val="30"/>
        </w:rPr>
        <w:t>公司</w:t>
      </w:r>
      <w:r>
        <w:rPr>
          <w:rFonts w:hint="eastAsia" w:ascii="仿宋_GB2312" w:hAnsi="Calibri" w:eastAsia="仿宋_GB2312"/>
          <w:b w:val="0"/>
          <w:sz w:val="30"/>
          <w:szCs w:val="30"/>
          <w:lang w:val="en-US" w:eastAsia="zh-CN"/>
        </w:rPr>
        <w:t>直接办理。</w:t>
      </w:r>
    </w:p>
    <w:p w14:paraId="3F2C3C16">
      <w:pPr>
        <w:widowControl/>
        <w:ind w:firstLine="600" w:firstLineChars="200"/>
        <w:jc w:val="left"/>
        <w:rPr>
          <w:rFonts w:hint="default" w:ascii="仿宋_GB2312" w:hAnsi="Calibri" w:eastAsia="仿宋_GB2312"/>
          <w:b w:val="0"/>
          <w:bCs w:val="0"/>
          <w:sz w:val="30"/>
          <w:szCs w:val="30"/>
          <w:lang w:val="en-US" w:eastAsia="zh-CN"/>
        </w:rPr>
      </w:pPr>
      <w:r>
        <w:rPr>
          <w:rFonts w:hint="eastAsia" w:ascii="仿宋_GB2312" w:hAnsi="Calibri" w:eastAsia="仿宋_GB2312"/>
          <w:b w:val="0"/>
          <w:bCs w:val="0"/>
          <w:sz w:val="30"/>
          <w:szCs w:val="30"/>
          <w:lang w:val="en-US" w:eastAsia="zh-CN"/>
        </w:rPr>
        <w:t>债券发行人实施回售转售，</w:t>
      </w:r>
      <w:r>
        <w:rPr>
          <w:rFonts w:hint="eastAsia" w:ascii="仿宋_GB2312" w:hAnsi="Calibri" w:eastAsia="仿宋_GB2312"/>
          <w:b w:val="0"/>
          <w:bCs w:val="0"/>
          <w:sz w:val="30"/>
          <w:szCs w:val="30"/>
          <w:highlight w:val="none"/>
          <w:lang w:val="en-US" w:eastAsia="zh-CN"/>
        </w:rPr>
        <w:t>原则上应当</w:t>
      </w:r>
      <w:r>
        <w:rPr>
          <w:rFonts w:hint="eastAsia" w:ascii="仿宋_GB2312" w:hAnsi="Calibri" w:eastAsia="仿宋_GB2312"/>
          <w:b w:val="0"/>
          <w:bCs w:val="0"/>
          <w:sz w:val="30"/>
          <w:szCs w:val="30"/>
          <w:lang w:val="en-US" w:eastAsia="zh-CN"/>
        </w:rPr>
        <w:t>通过交易系统实施。发行人筹措回售兑付资金存在困难，且投资者已经先行支付转售价款的，可以申请通过非交易过户方式完成债券过户登记。受托管理人或者其他履行同等职责的机构应当加强核查，确保相关申请符合规定且相应资金用于债券回售兑付。</w:t>
      </w:r>
    </w:p>
    <w:p w14:paraId="2A26C0FE">
      <w:pPr>
        <w:widowControl/>
        <w:numPr>
          <w:ilvl w:val="2"/>
          <w:numId w:val="4"/>
        </w:numPr>
        <w:spacing w:line="600" w:lineRule="exact"/>
        <w:ind w:firstLine="0" w:firstLineChars="0"/>
        <w:jc w:val="left"/>
        <w:outlineLvl w:val="2"/>
        <w:rPr>
          <w:rFonts w:hint="eastAsia" w:ascii="仿宋_GB2312" w:hAnsi="Times New Roman" w:eastAsia="仿宋_GB2312"/>
          <w:b/>
          <w:sz w:val="30"/>
          <w:szCs w:val="30"/>
          <w:lang w:val="en-US" w:eastAsia="zh-CN"/>
        </w:rPr>
      </w:pPr>
      <w:r>
        <w:rPr>
          <w:rFonts w:hint="eastAsia" w:ascii="仿宋_GB2312" w:hAnsi="Times New Roman" w:eastAsia="仿宋_GB2312"/>
          <w:b/>
          <w:sz w:val="30"/>
          <w:szCs w:val="30"/>
          <w:lang w:val="en-US" w:eastAsia="zh-CN"/>
        </w:rPr>
        <w:t>申请材料</w:t>
      </w:r>
    </w:p>
    <w:p w14:paraId="719E42AD">
      <w:pPr>
        <w:widowControl/>
        <w:spacing w:line="240" w:lineRule="auto"/>
        <w:ind w:firstLine="600" w:firstLineChars="200"/>
        <w:jc w:val="left"/>
        <w:rPr>
          <w:rFonts w:hint="eastAsia" w:ascii="仿宋_GB2312" w:hAnsi="Calibri" w:eastAsia="仿宋_GB2312" w:cs="Times New Roman"/>
          <w:sz w:val="30"/>
          <w:szCs w:val="30"/>
          <w:lang w:eastAsia="zh-CN"/>
        </w:rPr>
      </w:pPr>
      <w:r>
        <w:rPr>
          <w:rFonts w:hint="eastAsia" w:ascii="仿宋_GB2312" w:hAnsi="Calibri" w:eastAsia="仿宋_GB2312" w:cs="Times New Roman"/>
          <w:sz w:val="30"/>
          <w:szCs w:val="30"/>
          <w:lang w:val="en-US" w:eastAsia="zh-CN"/>
        </w:rPr>
        <w:t>申请办理债券非交易过户的，应当向本所提交下列材料：</w:t>
      </w:r>
    </w:p>
    <w:p w14:paraId="4F74B7E2">
      <w:pPr>
        <w:widowControl/>
        <w:spacing w:line="240" w:lineRule="auto"/>
        <w:ind w:firstLine="600" w:firstLineChars="200"/>
        <w:jc w:val="left"/>
        <w:rPr>
          <w:rFonts w:hint="eastAsia" w:ascii="仿宋_GB2312" w:hAnsi="Calibri" w:eastAsia="仿宋_GB2312" w:cs="Times New Roman"/>
          <w:color w:val="auto"/>
          <w:sz w:val="30"/>
          <w:szCs w:val="30"/>
        </w:rPr>
      </w:pPr>
      <w:r>
        <w:rPr>
          <w:rFonts w:hint="default" w:ascii="仿宋_GB2312" w:hAnsi="Calibri" w:eastAsia="仿宋_GB2312" w:cs="Times New Roman"/>
          <w:color w:val="auto"/>
          <w:sz w:val="30"/>
          <w:szCs w:val="30"/>
          <w:highlight w:val="none"/>
          <w:lang w:val="en-US"/>
        </w:rPr>
        <w:t>（1）</w:t>
      </w:r>
      <w:r>
        <w:rPr>
          <w:rFonts w:hint="eastAsia" w:ascii="仿宋_GB2312" w:hAnsi="Calibri" w:eastAsia="仿宋_GB2312" w:cs="Times New Roman"/>
          <w:color w:val="auto"/>
          <w:sz w:val="30"/>
          <w:szCs w:val="30"/>
          <w:highlight w:val="none"/>
        </w:rPr>
        <w:t>上海证券交易所债券转让确认申请表(附件</w:t>
      </w:r>
      <w:r>
        <w:rPr>
          <w:rFonts w:hint="eastAsia" w:ascii="仿宋_GB2312" w:hAnsi="Calibri" w:eastAsia="仿宋_GB2312" w:cs="Times New Roman"/>
          <w:color w:val="auto"/>
          <w:sz w:val="30"/>
          <w:szCs w:val="30"/>
          <w:highlight w:val="none"/>
          <w:lang w:val="en-US" w:eastAsia="zh-CN"/>
        </w:rPr>
        <w:t>40</w:t>
      </w:r>
      <w:r>
        <w:rPr>
          <w:rFonts w:hint="eastAsia" w:ascii="仿宋_GB2312" w:hAnsi="Calibri" w:eastAsia="仿宋_GB2312" w:cs="Times New Roman"/>
          <w:color w:val="auto"/>
          <w:sz w:val="30"/>
          <w:szCs w:val="30"/>
          <w:highlight w:val="none"/>
        </w:rPr>
        <w:t xml:space="preserve">) </w:t>
      </w:r>
      <w:r>
        <w:rPr>
          <w:rFonts w:hint="eastAsia" w:ascii="仿宋_GB2312" w:hAnsi="Calibri" w:eastAsia="仿宋_GB2312" w:cs="Times New Roman"/>
          <w:color w:val="auto"/>
          <w:sz w:val="30"/>
          <w:szCs w:val="30"/>
        </w:rPr>
        <w:t>；</w:t>
      </w:r>
    </w:p>
    <w:p w14:paraId="7011FFC3">
      <w:pPr>
        <w:widowControl/>
        <w:spacing w:line="240" w:lineRule="auto"/>
        <w:ind w:firstLine="600" w:firstLineChars="200"/>
        <w:jc w:val="left"/>
        <w:rPr>
          <w:rFonts w:hint="eastAsia" w:ascii="仿宋_GB2312" w:hAnsi="Calibri" w:eastAsia="仿宋_GB2312" w:cs="Times New Roman"/>
          <w:color w:val="auto"/>
          <w:sz w:val="30"/>
          <w:szCs w:val="30"/>
        </w:rPr>
      </w:pPr>
      <w:r>
        <w:rPr>
          <w:rFonts w:hint="default" w:ascii="仿宋_GB2312" w:hAnsi="Calibri" w:eastAsia="仿宋_GB2312" w:cs="Times New Roman"/>
          <w:color w:val="auto"/>
          <w:sz w:val="30"/>
          <w:szCs w:val="30"/>
          <w:lang w:val="en-US"/>
        </w:rPr>
        <w:t>（2）</w:t>
      </w:r>
      <w:r>
        <w:rPr>
          <w:rFonts w:hint="eastAsia" w:ascii="仿宋_GB2312" w:hAnsi="Calibri" w:eastAsia="仿宋_GB2312" w:cs="Times New Roman"/>
          <w:color w:val="auto"/>
          <w:sz w:val="30"/>
          <w:szCs w:val="30"/>
        </w:rPr>
        <w:t>关于“**债券”非交易过户的申请(附件</w:t>
      </w:r>
      <w:r>
        <w:rPr>
          <w:rFonts w:hint="eastAsia" w:ascii="仿宋_GB2312" w:hAnsi="Calibri" w:eastAsia="仿宋_GB2312" w:cs="Times New Roman"/>
          <w:color w:val="auto"/>
          <w:sz w:val="30"/>
          <w:szCs w:val="30"/>
          <w:lang w:val="en-US" w:eastAsia="zh-CN"/>
        </w:rPr>
        <w:t>41</w:t>
      </w:r>
      <w:r>
        <w:rPr>
          <w:rFonts w:hint="eastAsia" w:ascii="仿宋_GB2312" w:hAnsi="Calibri" w:eastAsia="仿宋_GB2312" w:cs="Times New Roman"/>
          <w:color w:val="auto"/>
          <w:sz w:val="30"/>
          <w:szCs w:val="30"/>
        </w:rPr>
        <w:t>)（涉及托管人的，需托管人签章</w:t>
      </w:r>
      <w:r>
        <w:rPr>
          <w:rFonts w:hint="eastAsia" w:ascii="仿宋_GB2312" w:hAnsi="Calibri" w:eastAsia="仿宋_GB2312" w:cs="Times New Roman"/>
          <w:color w:val="auto"/>
          <w:sz w:val="30"/>
          <w:szCs w:val="30"/>
          <w:lang w:eastAsia="zh-CN"/>
        </w:rPr>
        <w:t>或</w:t>
      </w:r>
      <w:r>
        <w:rPr>
          <w:rFonts w:hint="eastAsia" w:ascii="仿宋_GB2312" w:hAnsi="Calibri" w:eastAsia="仿宋_GB2312" w:cs="Times New Roman"/>
          <w:color w:val="auto"/>
          <w:sz w:val="30"/>
          <w:szCs w:val="30"/>
        </w:rPr>
        <w:t>托管人托管部</w:t>
      </w:r>
      <w:r>
        <w:rPr>
          <w:rFonts w:hint="eastAsia" w:ascii="仿宋_GB2312" w:hAnsi="Calibri" w:eastAsia="仿宋_GB2312" w:cs="Times New Roman"/>
          <w:color w:val="auto"/>
          <w:sz w:val="30"/>
          <w:szCs w:val="30"/>
          <w:lang w:eastAsia="zh-CN"/>
        </w:rPr>
        <w:t>签章</w:t>
      </w:r>
      <w:r>
        <w:rPr>
          <w:rFonts w:hint="eastAsia" w:ascii="仿宋_GB2312" w:hAnsi="Calibri" w:eastAsia="仿宋_GB2312" w:cs="Times New Roman"/>
          <w:color w:val="auto"/>
          <w:sz w:val="30"/>
          <w:szCs w:val="30"/>
        </w:rPr>
        <w:t>确认）；</w:t>
      </w:r>
    </w:p>
    <w:p w14:paraId="7B1E9A64">
      <w:pPr>
        <w:widowControl/>
        <w:spacing w:line="240" w:lineRule="auto"/>
        <w:ind w:firstLine="600" w:firstLineChars="200"/>
        <w:jc w:val="left"/>
        <w:rPr>
          <w:rFonts w:hint="eastAsia" w:ascii="仿宋_GB2312" w:hAnsi="Calibri" w:eastAsia="仿宋_GB2312" w:cs="Times New Roman"/>
          <w:color w:val="auto"/>
          <w:sz w:val="30"/>
          <w:szCs w:val="30"/>
          <w:highlight w:val="none"/>
        </w:rPr>
      </w:pPr>
      <w:r>
        <w:rPr>
          <w:rFonts w:hint="default" w:ascii="仿宋_GB2312" w:hAnsi="Calibri" w:eastAsia="仿宋_GB2312" w:cs="Times New Roman"/>
          <w:color w:val="auto"/>
          <w:sz w:val="30"/>
          <w:szCs w:val="30"/>
          <w:highlight w:val="none"/>
          <w:lang w:val="en-US"/>
        </w:rPr>
        <w:t>（3）</w:t>
      </w:r>
      <w:r>
        <w:rPr>
          <w:rFonts w:hint="eastAsia" w:ascii="仿宋_GB2312" w:hAnsi="Calibri" w:eastAsia="仿宋_GB2312" w:cs="Times New Roman"/>
          <w:color w:val="auto"/>
          <w:sz w:val="30"/>
          <w:szCs w:val="30"/>
          <w:highlight w:val="none"/>
        </w:rPr>
        <w:t>转让双方营业执照；</w:t>
      </w:r>
    </w:p>
    <w:p w14:paraId="460B118F">
      <w:pPr>
        <w:widowControl/>
        <w:spacing w:line="240" w:lineRule="auto"/>
        <w:ind w:firstLine="600" w:firstLineChars="200"/>
        <w:jc w:val="left"/>
        <w:rPr>
          <w:rFonts w:hint="default" w:ascii="仿宋_GB2312" w:hAnsi="Calibri" w:eastAsia="仿宋_GB2312" w:cs="Times New Roman"/>
          <w:color w:val="auto"/>
          <w:sz w:val="30"/>
          <w:szCs w:val="30"/>
          <w:highlight w:val="none"/>
          <w:lang w:val="en-US" w:eastAsia="zh-CN"/>
        </w:rPr>
      </w:pPr>
      <w:r>
        <w:rPr>
          <w:rFonts w:hint="eastAsia" w:ascii="仿宋_GB2312" w:hAnsi="Calibri" w:eastAsia="仿宋_GB2312" w:cs="Times New Roman"/>
          <w:color w:val="auto"/>
          <w:sz w:val="30"/>
          <w:szCs w:val="30"/>
          <w:highlight w:val="none"/>
          <w:lang w:val="en-US" w:eastAsia="zh-CN"/>
        </w:rPr>
        <w:t>（4）转让双方法定代表人证明书；</w:t>
      </w:r>
    </w:p>
    <w:p w14:paraId="5B9D2E1D">
      <w:pPr>
        <w:widowControl/>
        <w:spacing w:line="240" w:lineRule="auto"/>
        <w:ind w:firstLine="600" w:firstLineChars="200"/>
        <w:jc w:val="left"/>
        <w:rPr>
          <w:rFonts w:hint="eastAsia" w:ascii="仿宋_GB2312" w:hAnsi="Calibri" w:eastAsia="仿宋_GB2312" w:cs="Times New Roman"/>
          <w:color w:val="auto"/>
          <w:sz w:val="30"/>
          <w:szCs w:val="30"/>
          <w:highlight w:val="none"/>
          <w:lang w:val="en-US" w:eastAsia="zh-CN"/>
        </w:rPr>
      </w:pPr>
      <w:r>
        <w:rPr>
          <w:rFonts w:hint="eastAsia" w:ascii="仿宋_GB2312" w:hAnsi="Calibri" w:eastAsia="仿宋_GB2312" w:cs="Times New Roman"/>
          <w:color w:val="auto"/>
          <w:sz w:val="30"/>
          <w:szCs w:val="30"/>
          <w:highlight w:val="none"/>
          <w:lang w:val="en-US" w:eastAsia="zh-CN"/>
        </w:rPr>
        <w:t>（5）转让双方</w:t>
      </w:r>
      <w:r>
        <w:rPr>
          <w:rFonts w:hint="eastAsia" w:ascii="仿宋_GB2312" w:hAnsi="Calibri" w:eastAsia="仿宋_GB2312" w:cs="Times New Roman"/>
          <w:color w:val="auto"/>
          <w:sz w:val="30"/>
          <w:szCs w:val="30"/>
          <w:highlight w:val="none"/>
        </w:rPr>
        <w:t>法定代表人身份证</w:t>
      </w:r>
      <w:r>
        <w:rPr>
          <w:rFonts w:hint="eastAsia" w:ascii="仿宋_GB2312" w:hAnsi="Calibri" w:eastAsia="仿宋_GB2312" w:cs="Times New Roman"/>
          <w:color w:val="auto"/>
          <w:sz w:val="30"/>
          <w:szCs w:val="30"/>
          <w:highlight w:val="none"/>
          <w:lang w:eastAsia="zh-CN"/>
        </w:rPr>
        <w:t>；</w:t>
      </w:r>
    </w:p>
    <w:p w14:paraId="751CD789">
      <w:pPr>
        <w:widowControl/>
        <w:spacing w:line="240" w:lineRule="auto"/>
        <w:ind w:firstLine="600" w:firstLineChars="200"/>
        <w:jc w:val="left"/>
        <w:rPr>
          <w:rFonts w:hint="eastAsia" w:ascii="仿宋_GB2312" w:hAnsi="Calibri" w:eastAsia="仿宋_GB2312" w:cs="Times New Roman"/>
          <w:color w:val="auto"/>
          <w:sz w:val="30"/>
          <w:szCs w:val="30"/>
          <w:highlight w:val="none"/>
          <w:lang w:val="en-US" w:eastAsia="zh-CN"/>
        </w:rPr>
      </w:pPr>
      <w:r>
        <w:rPr>
          <w:rFonts w:hint="eastAsia" w:ascii="仿宋_GB2312" w:hAnsi="Calibri" w:eastAsia="仿宋_GB2312" w:cs="Times New Roman"/>
          <w:color w:val="auto"/>
          <w:sz w:val="30"/>
          <w:szCs w:val="30"/>
          <w:highlight w:val="none"/>
          <w:lang w:val="en-US" w:eastAsia="zh-CN"/>
        </w:rPr>
        <w:t>（6）转让双方授权经办人的相关委托书</w:t>
      </w:r>
      <w:r>
        <w:rPr>
          <w:rFonts w:hint="eastAsia" w:ascii="仿宋_GB2312" w:hAnsi="Calibri" w:eastAsia="仿宋_GB2312" w:cs="Times New Roman"/>
          <w:color w:val="auto"/>
          <w:sz w:val="30"/>
          <w:szCs w:val="30"/>
          <w:highlight w:val="none"/>
        </w:rPr>
        <w:t>(附件</w:t>
      </w:r>
      <w:r>
        <w:rPr>
          <w:rFonts w:hint="eastAsia" w:ascii="仿宋_GB2312" w:hAnsi="Calibri" w:eastAsia="仿宋_GB2312" w:cs="Times New Roman"/>
          <w:color w:val="auto"/>
          <w:sz w:val="30"/>
          <w:szCs w:val="30"/>
          <w:highlight w:val="none"/>
          <w:lang w:val="en-US" w:eastAsia="zh-CN"/>
        </w:rPr>
        <w:t>42</w:t>
      </w:r>
      <w:r>
        <w:rPr>
          <w:rFonts w:hint="eastAsia" w:ascii="仿宋_GB2312" w:hAnsi="Calibri" w:eastAsia="仿宋_GB2312" w:cs="Times New Roman"/>
          <w:color w:val="auto"/>
          <w:sz w:val="30"/>
          <w:szCs w:val="30"/>
          <w:highlight w:val="none"/>
        </w:rPr>
        <w:t>)</w:t>
      </w:r>
      <w:r>
        <w:rPr>
          <w:rFonts w:hint="eastAsia" w:ascii="仿宋_GB2312" w:hAnsi="Calibri" w:eastAsia="仿宋_GB2312" w:cs="Times New Roman"/>
          <w:color w:val="auto"/>
          <w:sz w:val="30"/>
          <w:szCs w:val="30"/>
          <w:highlight w:val="none"/>
          <w:lang w:val="en-US" w:eastAsia="zh-CN"/>
        </w:rPr>
        <w:t>；</w:t>
      </w:r>
    </w:p>
    <w:p w14:paraId="77F004B6">
      <w:pPr>
        <w:widowControl/>
        <w:spacing w:line="240" w:lineRule="auto"/>
        <w:ind w:firstLine="600" w:firstLineChars="200"/>
        <w:jc w:val="left"/>
        <w:rPr>
          <w:rFonts w:hint="default" w:ascii="仿宋_GB2312" w:hAnsi="Calibri" w:eastAsia="仿宋_GB2312" w:cs="Times New Roman"/>
          <w:color w:val="auto"/>
          <w:sz w:val="30"/>
          <w:szCs w:val="30"/>
          <w:highlight w:val="none"/>
          <w:lang w:val="en-US" w:eastAsia="zh-CN"/>
        </w:rPr>
      </w:pPr>
      <w:r>
        <w:rPr>
          <w:rFonts w:hint="eastAsia" w:ascii="仿宋_GB2312" w:hAnsi="Calibri" w:eastAsia="仿宋_GB2312" w:cs="Times New Roman"/>
          <w:color w:val="auto"/>
          <w:sz w:val="30"/>
          <w:szCs w:val="30"/>
          <w:highlight w:val="none"/>
          <w:lang w:val="en-US" w:eastAsia="zh-CN"/>
        </w:rPr>
        <w:t>（7）转让双方经办人身份证；</w:t>
      </w:r>
    </w:p>
    <w:p w14:paraId="2C8250D7">
      <w:pPr>
        <w:widowControl/>
        <w:spacing w:line="240" w:lineRule="auto"/>
        <w:ind w:firstLine="600" w:firstLineChars="200"/>
        <w:jc w:val="left"/>
        <w:rPr>
          <w:rFonts w:hint="eastAsia" w:ascii="仿宋_GB2312" w:hAnsi="Calibri" w:eastAsia="仿宋_GB2312" w:cs="Times New Roman"/>
          <w:color w:val="auto"/>
          <w:sz w:val="30"/>
          <w:szCs w:val="30"/>
          <w:highlight w:val="none"/>
        </w:rPr>
      </w:pPr>
      <w:r>
        <w:rPr>
          <w:rFonts w:hint="eastAsia" w:ascii="仿宋_GB2312" w:hAnsi="Calibri" w:eastAsia="仿宋_GB2312" w:cs="Times New Roman"/>
          <w:color w:val="auto"/>
          <w:sz w:val="30"/>
          <w:szCs w:val="30"/>
          <w:highlight w:val="none"/>
        </w:rPr>
        <w:t>（</w:t>
      </w:r>
      <w:r>
        <w:rPr>
          <w:rFonts w:hint="eastAsia" w:ascii="仿宋_GB2312" w:hAnsi="Calibri" w:eastAsia="仿宋_GB2312" w:cs="Times New Roman"/>
          <w:color w:val="auto"/>
          <w:sz w:val="30"/>
          <w:szCs w:val="30"/>
          <w:highlight w:val="none"/>
          <w:lang w:val="en-US" w:eastAsia="zh-CN"/>
        </w:rPr>
        <w:t>8</w:t>
      </w:r>
      <w:r>
        <w:rPr>
          <w:rFonts w:hint="eastAsia" w:ascii="仿宋_GB2312" w:hAnsi="Calibri" w:eastAsia="仿宋_GB2312" w:cs="Times New Roman"/>
          <w:color w:val="auto"/>
          <w:sz w:val="30"/>
          <w:szCs w:val="30"/>
          <w:highlight w:val="none"/>
        </w:rPr>
        <w:t>）能够确认转让双方账户号和账户名称相对应的材料（账户卡</w:t>
      </w:r>
      <w:r>
        <w:rPr>
          <w:rFonts w:hint="eastAsia" w:ascii="仿宋_GB2312" w:hAnsi="Calibri" w:eastAsia="仿宋_GB2312" w:cs="Times New Roman"/>
          <w:color w:val="auto"/>
          <w:sz w:val="30"/>
          <w:szCs w:val="30"/>
          <w:highlight w:val="none"/>
          <w:lang w:eastAsia="zh-CN"/>
        </w:rPr>
        <w:t>、</w:t>
      </w:r>
      <w:r>
        <w:rPr>
          <w:rFonts w:hint="eastAsia" w:ascii="仿宋_GB2312" w:hAnsi="Calibri" w:eastAsia="仿宋_GB2312" w:cs="Times New Roman"/>
          <w:color w:val="auto"/>
          <w:sz w:val="30"/>
          <w:szCs w:val="30"/>
          <w:highlight w:val="none"/>
        </w:rPr>
        <w:t>开户文件</w:t>
      </w:r>
      <w:r>
        <w:rPr>
          <w:rFonts w:hint="eastAsia" w:ascii="仿宋_GB2312" w:hAnsi="Calibri" w:eastAsia="仿宋_GB2312" w:cs="Times New Roman"/>
          <w:color w:val="auto"/>
          <w:sz w:val="30"/>
          <w:szCs w:val="30"/>
          <w:highlight w:val="none"/>
          <w:lang w:eastAsia="zh-CN"/>
        </w:rPr>
        <w:t>、</w:t>
      </w:r>
      <w:r>
        <w:rPr>
          <w:rFonts w:hint="eastAsia" w:ascii="仿宋_GB2312" w:hAnsi="Calibri" w:eastAsia="仿宋_GB2312" w:cs="Times New Roman"/>
          <w:color w:val="auto"/>
          <w:sz w:val="30"/>
          <w:szCs w:val="30"/>
          <w:highlight w:val="none"/>
        </w:rPr>
        <w:t>PROP截图</w:t>
      </w:r>
      <w:r>
        <w:rPr>
          <w:rFonts w:hint="eastAsia" w:ascii="仿宋_GB2312" w:hAnsi="Calibri" w:eastAsia="仿宋_GB2312" w:cs="Times New Roman"/>
          <w:color w:val="auto"/>
          <w:sz w:val="30"/>
          <w:szCs w:val="30"/>
          <w:highlight w:val="none"/>
          <w:lang w:eastAsia="zh-CN"/>
        </w:rPr>
        <w:t>、</w:t>
      </w:r>
      <w:r>
        <w:rPr>
          <w:rFonts w:hint="eastAsia" w:ascii="仿宋_GB2312" w:hAnsi="Calibri" w:eastAsia="仿宋_GB2312" w:cs="Times New Roman"/>
          <w:color w:val="auto"/>
          <w:sz w:val="30"/>
          <w:szCs w:val="30"/>
          <w:highlight w:val="none"/>
        </w:rPr>
        <w:t>账户持仓等</w:t>
      </w:r>
      <w:r>
        <w:rPr>
          <w:rFonts w:hint="eastAsia" w:ascii="仿宋_GB2312" w:hAnsi="Calibri" w:eastAsia="仿宋_GB2312" w:cs="Times New Roman"/>
          <w:color w:val="auto"/>
          <w:sz w:val="30"/>
          <w:szCs w:val="30"/>
          <w:highlight w:val="none"/>
          <w:lang w:eastAsia="zh-CN"/>
        </w:rPr>
        <w:t>择一即可</w:t>
      </w:r>
      <w:r>
        <w:rPr>
          <w:rFonts w:hint="eastAsia" w:ascii="仿宋_GB2312" w:hAnsi="Calibri" w:eastAsia="仿宋_GB2312" w:cs="Times New Roman"/>
          <w:color w:val="auto"/>
          <w:sz w:val="30"/>
          <w:szCs w:val="30"/>
          <w:highlight w:val="none"/>
        </w:rPr>
        <w:t>，无需盖章）</w:t>
      </w:r>
    </w:p>
    <w:p w14:paraId="434F242B">
      <w:pPr>
        <w:widowControl/>
        <w:spacing w:line="240" w:lineRule="auto"/>
        <w:ind w:firstLine="600" w:firstLineChars="200"/>
        <w:jc w:val="left"/>
        <w:rPr>
          <w:rFonts w:hint="eastAsia" w:ascii="仿宋_GB2312" w:hAnsi="Calibri" w:eastAsia="仿宋_GB2312" w:cs="Times New Roman"/>
          <w:color w:val="auto"/>
          <w:sz w:val="30"/>
          <w:szCs w:val="30"/>
        </w:rPr>
      </w:pPr>
      <w:r>
        <w:rPr>
          <w:rFonts w:hint="default" w:ascii="仿宋_GB2312" w:hAnsi="Calibri" w:eastAsia="仿宋_GB2312" w:cs="Times New Roman"/>
          <w:color w:val="auto"/>
          <w:sz w:val="30"/>
          <w:szCs w:val="30"/>
          <w:lang w:val="en-US"/>
        </w:rPr>
        <w:t>（</w:t>
      </w:r>
      <w:r>
        <w:rPr>
          <w:rFonts w:hint="eastAsia" w:ascii="仿宋_GB2312" w:hAnsi="Calibri" w:eastAsia="仿宋_GB2312" w:cs="Times New Roman"/>
          <w:color w:val="auto"/>
          <w:sz w:val="30"/>
          <w:szCs w:val="30"/>
          <w:lang w:val="en-US" w:eastAsia="zh-CN"/>
        </w:rPr>
        <w:t>9</w:t>
      </w:r>
      <w:r>
        <w:rPr>
          <w:rFonts w:hint="default" w:ascii="仿宋_GB2312" w:hAnsi="Calibri" w:eastAsia="仿宋_GB2312" w:cs="Times New Roman"/>
          <w:color w:val="auto"/>
          <w:sz w:val="30"/>
          <w:szCs w:val="30"/>
          <w:lang w:val="en-US"/>
        </w:rPr>
        <w:t>）</w:t>
      </w:r>
      <w:r>
        <w:rPr>
          <w:rFonts w:hint="eastAsia" w:ascii="仿宋_GB2312" w:hAnsi="Calibri" w:eastAsia="仿宋_GB2312" w:cs="Times New Roman"/>
          <w:color w:val="auto"/>
          <w:sz w:val="30"/>
          <w:szCs w:val="30"/>
        </w:rPr>
        <w:t>转让协议或归属证明；</w:t>
      </w:r>
    </w:p>
    <w:p w14:paraId="5C0451DE">
      <w:pPr>
        <w:widowControl/>
        <w:spacing w:line="240" w:lineRule="auto"/>
        <w:ind w:firstLine="600" w:firstLineChars="200"/>
        <w:jc w:val="left"/>
        <w:rPr>
          <w:rFonts w:hint="eastAsia" w:ascii="仿宋_GB2312" w:hAnsi="Calibri" w:eastAsia="仿宋_GB2312" w:cs="Times New Roman"/>
          <w:color w:val="auto"/>
          <w:sz w:val="30"/>
          <w:szCs w:val="30"/>
          <w:lang w:eastAsia="zh-CN"/>
        </w:rPr>
      </w:pPr>
      <w:r>
        <w:rPr>
          <w:rFonts w:hint="default" w:ascii="仿宋_GB2312" w:hAnsi="Calibri" w:eastAsia="仿宋_GB2312" w:cs="Times New Roman"/>
          <w:color w:val="auto"/>
          <w:sz w:val="30"/>
          <w:szCs w:val="30"/>
          <w:lang w:val="en-US"/>
        </w:rPr>
        <w:t>（</w:t>
      </w:r>
      <w:r>
        <w:rPr>
          <w:rFonts w:hint="eastAsia" w:ascii="仿宋_GB2312" w:hAnsi="Calibri" w:eastAsia="仿宋_GB2312" w:cs="Times New Roman"/>
          <w:color w:val="auto"/>
          <w:sz w:val="30"/>
          <w:szCs w:val="30"/>
          <w:lang w:val="en-US" w:eastAsia="zh-CN"/>
        </w:rPr>
        <w:t>10</w:t>
      </w:r>
      <w:r>
        <w:rPr>
          <w:rFonts w:hint="default" w:ascii="仿宋_GB2312" w:hAnsi="Calibri" w:eastAsia="仿宋_GB2312" w:cs="Times New Roman"/>
          <w:color w:val="auto"/>
          <w:sz w:val="30"/>
          <w:szCs w:val="30"/>
          <w:lang w:val="en-US"/>
        </w:rPr>
        <w:t>）</w:t>
      </w:r>
      <w:r>
        <w:rPr>
          <w:rFonts w:hint="eastAsia" w:ascii="仿宋_GB2312" w:hAnsi="Calibri" w:eastAsia="仿宋_GB2312" w:cs="Times New Roman"/>
          <w:color w:val="auto"/>
          <w:sz w:val="30"/>
          <w:szCs w:val="30"/>
        </w:rPr>
        <w:t>涉及回售转售的，提供回售结果公告、</w:t>
      </w:r>
      <w:r>
        <w:rPr>
          <w:rFonts w:hint="eastAsia" w:ascii="仿宋_GB2312" w:hAnsi="Calibri" w:eastAsia="仿宋_GB2312" w:cs="Times New Roman"/>
          <w:color w:val="auto"/>
          <w:sz w:val="30"/>
          <w:szCs w:val="30"/>
          <w:lang w:eastAsia="zh-CN"/>
        </w:rPr>
        <w:t>转售兑付资金划付凭证</w:t>
      </w:r>
      <w:r>
        <w:rPr>
          <w:rFonts w:hint="eastAsia" w:ascii="仿宋_GB2312" w:hAnsi="Calibri" w:eastAsia="仿宋_GB2312" w:cs="Times New Roman"/>
          <w:color w:val="auto"/>
          <w:sz w:val="30"/>
          <w:szCs w:val="30"/>
          <w:highlight w:val="none"/>
          <w:lang w:eastAsia="zh-CN"/>
        </w:rPr>
        <w:t>以及</w:t>
      </w:r>
      <w:r>
        <w:rPr>
          <w:rFonts w:hint="eastAsia" w:ascii="仿宋_GB2312" w:hAnsi="Calibri" w:eastAsia="仿宋_GB2312"/>
          <w:color w:val="auto"/>
          <w:sz w:val="30"/>
          <w:szCs w:val="30"/>
          <w:lang w:val="en-US" w:eastAsia="zh-CN"/>
        </w:rPr>
        <w:t>受托管理人关于转让合规性核查说明</w:t>
      </w:r>
      <w:r>
        <w:rPr>
          <w:rFonts w:hint="eastAsia" w:ascii="仿宋_GB2312" w:hAnsi="Calibri" w:eastAsia="仿宋_GB2312" w:cs="Times New Roman"/>
          <w:color w:val="auto"/>
          <w:sz w:val="30"/>
          <w:szCs w:val="30"/>
        </w:rPr>
        <w:t>(附件</w:t>
      </w:r>
      <w:r>
        <w:rPr>
          <w:rFonts w:hint="eastAsia" w:ascii="仿宋_GB2312" w:hAnsi="Calibri" w:eastAsia="仿宋_GB2312" w:cs="Times New Roman"/>
          <w:color w:val="auto"/>
          <w:sz w:val="30"/>
          <w:szCs w:val="30"/>
          <w:lang w:val="en-US" w:eastAsia="zh-CN"/>
        </w:rPr>
        <w:t>43</w:t>
      </w:r>
      <w:r>
        <w:rPr>
          <w:rFonts w:hint="eastAsia" w:ascii="仿宋_GB2312" w:hAnsi="Calibri" w:eastAsia="仿宋_GB2312" w:cs="Times New Roman"/>
          <w:color w:val="auto"/>
          <w:sz w:val="30"/>
          <w:szCs w:val="30"/>
        </w:rPr>
        <w:t>)</w:t>
      </w:r>
      <w:r>
        <w:rPr>
          <w:rFonts w:hint="eastAsia" w:ascii="仿宋_GB2312" w:hAnsi="Calibri" w:eastAsia="仿宋_GB2312" w:cs="Times New Roman"/>
          <w:color w:val="auto"/>
          <w:sz w:val="30"/>
          <w:szCs w:val="30"/>
          <w:lang w:eastAsia="zh-CN"/>
        </w:rPr>
        <w:t>。</w:t>
      </w:r>
    </w:p>
    <w:p w14:paraId="2661E3D0">
      <w:pPr>
        <w:widowControl/>
        <w:spacing w:line="240" w:lineRule="auto"/>
        <w:ind w:firstLine="600" w:firstLineChars="200"/>
        <w:jc w:val="left"/>
        <w:rPr>
          <w:rFonts w:hint="eastAsia" w:ascii="仿宋_GB2312" w:hAnsi="Calibri" w:eastAsia="仿宋_GB2312" w:cs="Times New Roman"/>
          <w:sz w:val="30"/>
          <w:szCs w:val="30"/>
          <w:lang w:eastAsia="zh-CN"/>
        </w:rPr>
      </w:pPr>
      <w:r>
        <w:rPr>
          <w:rFonts w:hint="eastAsia" w:ascii="仿宋_GB2312" w:hAnsi="Calibri" w:eastAsia="仿宋_GB2312" w:cs="Times New Roman"/>
          <w:color w:val="auto"/>
          <w:sz w:val="30"/>
          <w:szCs w:val="30"/>
          <w:lang w:val="en-US" w:eastAsia="zh-CN"/>
        </w:rPr>
        <w:t>（11）</w:t>
      </w:r>
      <w:r>
        <w:rPr>
          <w:rFonts w:hint="eastAsia" w:ascii="仿宋_GB2312" w:hAnsi="Calibri" w:eastAsia="仿宋_GB2312" w:cs="Times New Roman"/>
          <w:sz w:val="30"/>
          <w:szCs w:val="30"/>
          <w:lang w:eastAsia="zh-CN"/>
        </w:rPr>
        <w:t>申请人</w:t>
      </w:r>
      <w:r>
        <w:rPr>
          <w:rFonts w:hint="eastAsia" w:ascii="仿宋_GB2312" w:hAnsi="Calibri" w:eastAsia="仿宋_GB2312" w:cs="Times New Roman"/>
          <w:sz w:val="30"/>
          <w:szCs w:val="30"/>
          <w:lang w:val="en-US" w:eastAsia="zh-CN"/>
        </w:rPr>
        <w:t>为</w:t>
      </w:r>
      <w:r>
        <w:rPr>
          <w:rFonts w:hint="eastAsia" w:ascii="仿宋_GB2312" w:hAnsi="Calibri" w:eastAsia="仿宋_GB2312" w:cs="Times New Roman"/>
          <w:sz w:val="30"/>
          <w:szCs w:val="30"/>
          <w:lang w:eastAsia="zh-CN"/>
        </w:rPr>
        <w:t>境外投资者</w:t>
      </w:r>
      <w:r>
        <w:rPr>
          <w:rFonts w:hint="eastAsia" w:ascii="仿宋_GB2312" w:hAnsi="Calibri" w:eastAsia="仿宋_GB2312" w:cs="Times New Roman"/>
          <w:sz w:val="30"/>
          <w:szCs w:val="30"/>
          <w:lang w:val="en-US" w:eastAsia="zh-CN"/>
        </w:rPr>
        <w:t>的</w:t>
      </w:r>
      <w:r>
        <w:rPr>
          <w:rFonts w:hint="eastAsia" w:ascii="仿宋_GB2312" w:hAnsi="Calibri" w:eastAsia="仿宋_GB2312" w:cs="Times New Roman"/>
          <w:sz w:val="30"/>
          <w:szCs w:val="30"/>
          <w:lang w:eastAsia="zh-CN"/>
        </w:rPr>
        <w:t>，请依照中国结算最新要求</w:t>
      </w:r>
      <w:r>
        <w:rPr>
          <w:rFonts w:hint="eastAsia" w:ascii="仿宋_GB2312" w:hAnsi="Calibri" w:eastAsia="仿宋_GB2312" w:cs="Times New Roman"/>
          <w:sz w:val="30"/>
          <w:szCs w:val="30"/>
          <w:lang w:val="en-US" w:eastAsia="zh-CN"/>
        </w:rPr>
        <w:t>提供相应</w:t>
      </w:r>
      <w:r>
        <w:rPr>
          <w:rFonts w:hint="eastAsia" w:ascii="仿宋_GB2312" w:hAnsi="Calibri" w:eastAsia="仿宋_GB2312" w:cs="Times New Roman"/>
          <w:sz w:val="30"/>
          <w:szCs w:val="30"/>
          <w:lang w:eastAsia="zh-CN"/>
        </w:rPr>
        <w:t>公证、认证</w:t>
      </w:r>
      <w:r>
        <w:rPr>
          <w:rFonts w:hint="eastAsia" w:ascii="仿宋_GB2312" w:hAnsi="Calibri" w:eastAsia="仿宋_GB2312" w:cs="Times New Roman"/>
          <w:sz w:val="30"/>
          <w:szCs w:val="30"/>
          <w:lang w:val="en-US" w:eastAsia="zh-CN"/>
        </w:rPr>
        <w:t>或</w:t>
      </w:r>
      <w:r>
        <w:rPr>
          <w:rFonts w:hint="eastAsia" w:ascii="仿宋_GB2312" w:hAnsi="Calibri" w:eastAsia="仿宋_GB2312" w:cs="Times New Roman"/>
          <w:sz w:val="30"/>
          <w:szCs w:val="30"/>
          <w:lang w:eastAsia="zh-CN"/>
        </w:rPr>
        <w:t>翻译</w:t>
      </w:r>
      <w:r>
        <w:rPr>
          <w:rFonts w:hint="eastAsia" w:ascii="仿宋_GB2312" w:hAnsi="Calibri" w:eastAsia="仿宋_GB2312" w:cs="Times New Roman"/>
          <w:sz w:val="30"/>
          <w:szCs w:val="30"/>
          <w:lang w:val="en-US" w:eastAsia="zh-CN"/>
        </w:rPr>
        <w:t>材料</w:t>
      </w:r>
      <w:r>
        <w:rPr>
          <w:rFonts w:hint="eastAsia" w:ascii="仿宋_GB2312" w:hAnsi="Calibri" w:eastAsia="仿宋_GB2312" w:cs="Times New Roman"/>
          <w:sz w:val="30"/>
          <w:szCs w:val="30"/>
          <w:lang w:eastAsia="zh-CN"/>
        </w:rPr>
        <w:t>；</w:t>
      </w:r>
    </w:p>
    <w:p w14:paraId="69D2133B">
      <w:pPr>
        <w:widowControl/>
        <w:spacing w:line="240" w:lineRule="auto"/>
        <w:ind w:firstLine="600" w:firstLineChars="200"/>
        <w:jc w:val="left"/>
        <w:rPr>
          <w:rFonts w:hint="eastAsia" w:ascii="仿宋_GB2312" w:hAnsi="Calibri" w:eastAsia="仿宋_GB2312" w:cs="Times New Roman"/>
          <w:sz w:val="30"/>
          <w:szCs w:val="30"/>
          <w:lang w:val="en-US" w:eastAsia="zh-CN"/>
        </w:rPr>
      </w:pPr>
      <w:r>
        <w:rPr>
          <w:rFonts w:hint="default" w:ascii="仿宋_GB2312" w:hAnsi="Calibri" w:eastAsia="仿宋_GB2312" w:cs="Times New Roman"/>
          <w:sz w:val="30"/>
          <w:szCs w:val="30"/>
          <w:lang w:val="en-US" w:eastAsia="zh-CN"/>
        </w:rPr>
        <w:t>（</w:t>
      </w:r>
      <w:r>
        <w:rPr>
          <w:rFonts w:hint="eastAsia" w:ascii="仿宋_GB2312" w:hAnsi="Calibri" w:eastAsia="仿宋_GB2312" w:cs="Times New Roman"/>
          <w:sz w:val="30"/>
          <w:szCs w:val="30"/>
          <w:lang w:val="en-US" w:eastAsia="zh-CN"/>
        </w:rPr>
        <w:t>12</w:t>
      </w:r>
      <w:r>
        <w:rPr>
          <w:rFonts w:hint="default" w:ascii="仿宋_GB2312" w:hAnsi="Calibri" w:eastAsia="仿宋_GB2312" w:cs="Times New Roman"/>
          <w:sz w:val="30"/>
          <w:szCs w:val="30"/>
          <w:lang w:val="en-US" w:eastAsia="zh-CN"/>
        </w:rPr>
        <w:t>）</w:t>
      </w:r>
      <w:r>
        <w:rPr>
          <w:rFonts w:hint="eastAsia" w:ascii="仿宋_GB2312" w:hAnsi="Calibri" w:eastAsia="仿宋_GB2312" w:cs="Times New Roman"/>
          <w:sz w:val="30"/>
          <w:szCs w:val="30"/>
          <w:lang w:val="en-US" w:eastAsia="zh-CN"/>
        </w:rPr>
        <w:t>中国结算要求的</w:t>
      </w:r>
      <w:r>
        <w:rPr>
          <w:rFonts w:hint="eastAsia" w:ascii="仿宋_GB2312" w:hAnsi="Calibri" w:eastAsia="仿宋_GB2312" w:cs="Times New Roman"/>
          <w:sz w:val="30"/>
          <w:szCs w:val="30"/>
          <w:lang w:eastAsia="zh-CN"/>
        </w:rPr>
        <w:t>其他</w:t>
      </w:r>
      <w:r>
        <w:rPr>
          <w:rFonts w:hint="eastAsia" w:ascii="仿宋_GB2312" w:hAnsi="Calibri" w:eastAsia="仿宋_GB2312" w:cs="Times New Roman"/>
          <w:sz w:val="30"/>
          <w:szCs w:val="30"/>
          <w:lang w:val="en-US" w:eastAsia="zh-CN"/>
        </w:rPr>
        <w:t>申请材料。</w:t>
      </w:r>
    </w:p>
    <w:p w14:paraId="38BE36CA">
      <w:pPr>
        <w:widowControl/>
        <w:spacing w:line="240" w:lineRule="auto"/>
        <w:ind w:firstLine="600" w:firstLineChars="200"/>
        <w:jc w:val="left"/>
        <w:rPr>
          <w:rFonts w:hint="eastAsia" w:ascii="仿宋_GB2312" w:hAnsi="Calibri" w:eastAsia="仿宋_GB2312" w:cs="Times New Roman"/>
          <w:sz w:val="30"/>
          <w:szCs w:val="30"/>
          <w:lang w:val="en-US" w:eastAsia="zh-CN"/>
        </w:rPr>
      </w:pPr>
      <w:r>
        <w:rPr>
          <w:rFonts w:hint="eastAsia" w:ascii="仿宋_GB2312" w:hAnsi="Calibri" w:eastAsia="仿宋_GB2312" w:cs="Times New Roman"/>
          <w:sz w:val="30"/>
          <w:szCs w:val="30"/>
          <w:lang w:val="en-US" w:eastAsia="zh-CN"/>
        </w:rPr>
        <w:t>注：1）前述材料如无特别说明，均需要加盖公章；2）申请人有效身份证明文件相关要求，详见《中国证券登记结算有限责任公司上海分公司营业大厅业务指南》之《附录一 有效身份证明文件相关要求》。</w:t>
      </w:r>
    </w:p>
    <w:p w14:paraId="10C00C55">
      <w:pPr>
        <w:widowControl/>
        <w:numPr>
          <w:ilvl w:val="2"/>
          <w:numId w:val="4"/>
        </w:numPr>
        <w:spacing w:line="600" w:lineRule="exact"/>
        <w:ind w:firstLine="0" w:firstLineChars="0"/>
        <w:jc w:val="left"/>
        <w:outlineLvl w:val="2"/>
        <w:rPr>
          <w:rFonts w:hint="eastAsia" w:ascii="仿宋_GB2312" w:hAnsi="Times New Roman" w:eastAsia="仿宋_GB2312"/>
          <w:b/>
          <w:sz w:val="30"/>
          <w:szCs w:val="30"/>
          <w:lang w:val="en-US" w:eastAsia="zh-CN"/>
        </w:rPr>
      </w:pPr>
      <w:r>
        <w:rPr>
          <w:rFonts w:hint="eastAsia" w:ascii="仿宋_GB2312" w:hAnsi="Times New Roman" w:eastAsia="仿宋_GB2312"/>
          <w:b/>
          <w:sz w:val="30"/>
          <w:szCs w:val="30"/>
          <w:lang w:val="en-US" w:eastAsia="zh-CN"/>
        </w:rPr>
        <w:t>办理程序</w:t>
      </w:r>
    </w:p>
    <w:p w14:paraId="7FFD9809">
      <w:pPr>
        <w:widowControl/>
        <w:ind w:firstLine="600" w:firstLineChars="200"/>
        <w:jc w:val="left"/>
        <w:rPr>
          <w:rFonts w:hint="eastAsia" w:ascii="仿宋_GB2312" w:hAnsi="Calibri" w:eastAsia="仿宋_GB2312" w:cs="Times New Roman"/>
          <w:sz w:val="30"/>
          <w:szCs w:val="30"/>
          <w:lang w:val="en-US" w:eastAsia="zh-CN"/>
        </w:rPr>
      </w:pPr>
      <w:r>
        <w:rPr>
          <w:rFonts w:hint="eastAsia" w:ascii="仿宋_GB2312" w:hAnsi="Calibri" w:eastAsia="仿宋_GB2312" w:cs="Times New Roman"/>
          <w:sz w:val="30"/>
          <w:szCs w:val="30"/>
          <w:lang w:eastAsia="zh-CN"/>
        </w:rPr>
        <w:t>（1）申请人</w:t>
      </w:r>
      <w:r>
        <w:rPr>
          <w:rFonts w:hint="eastAsia" w:ascii="仿宋_GB2312" w:hAnsi="Calibri" w:eastAsia="仿宋_GB2312" w:cs="Times New Roman"/>
          <w:sz w:val="30"/>
          <w:szCs w:val="30"/>
          <w:lang w:val="en-US" w:eastAsia="zh-CN"/>
        </w:rPr>
        <w:t>向本所提交非交易过户申请材料。</w:t>
      </w:r>
    </w:p>
    <w:p w14:paraId="5B03A76A">
      <w:pPr>
        <w:widowControl/>
        <w:ind w:firstLine="600" w:firstLineChars="200"/>
        <w:jc w:val="left"/>
        <w:rPr>
          <w:rFonts w:hint="eastAsia" w:ascii="仿宋_GB2312" w:hAnsi="Calibri" w:eastAsia="仿宋_GB2312" w:cs="Times New Roman"/>
          <w:sz w:val="30"/>
          <w:szCs w:val="30"/>
          <w:lang w:eastAsia="zh-CN"/>
        </w:rPr>
      </w:pPr>
      <w:r>
        <w:rPr>
          <w:rFonts w:hint="eastAsia" w:ascii="仿宋_GB2312" w:hAnsi="Calibri" w:eastAsia="仿宋_GB2312" w:cs="Times New Roman"/>
          <w:sz w:val="30"/>
          <w:szCs w:val="30"/>
          <w:lang w:val="en-US" w:eastAsia="zh-CN"/>
        </w:rPr>
        <w:t>申请人</w:t>
      </w:r>
      <w:r>
        <w:rPr>
          <w:rFonts w:hint="eastAsia" w:ascii="仿宋_GB2312" w:hAnsi="Calibri" w:eastAsia="仿宋_GB2312" w:cs="Times New Roman"/>
          <w:sz w:val="30"/>
          <w:szCs w:val="30"/>
          <w:lang w:eastAsia="zh-CN"/>
        </w:rPr>
        <w:t>可</w:t>
      </w:r>
      <w:r>
        <w:rPr>
          <w:rFonts w:hint="eastAsia" w:ascii="仿宋_GB2312" w:hAnsi="Calibri" w:eastAsia="仿宋_GB2312" w:cs="Times New Roman"/>
          <w:sz w:val="30"/>
          <w:szCs w:val="30"/>
          <w:lang w:val="en-US" w:eastAsia="zh-CN"/>
        </w:rPr>
        <w:t>以</w:t>
      </w:r>
      <w:r>
        <w:rPr>
          <w:rFonts w:hint="eastAsia" w:ascii="仿宋_GB2312" w:hAnsi="Calibri" w:eastAsia="仿宋_GB2312" w:cs="Times New Roman"/>
          <w:sz w:val="30"/>
          <w:szCs w:val="30"/>
          <w:lang w:eastAsia="zh-CN"/>
        </w:rPr>
        <w:t>通过邮箱提交盖章版</w:t>
      </w:r>
      <w:r>
        <w:rPr>
          <w:rFonts w:hint="eastAsia" w:ascii="仿宋_GB2312" w:hAnsi="Calibri" w:eastAsia="仿宋_GB2312" w:cs="Times New Roman"/>
          <w:sz w:val="30"/>
          <w:szCs w:val="30"/>
          <w:lang w:val="en-US" w:eastAsia="zh-CN"/>
        </w:rPr>
        <w:t>申请材料</w:t>
      </w:r>
      <w:r>
        <w:rPr>
          <w:rFonts w:hint="eastAsia" w:ascii="仿宋_GB2312" w:hAnsi="Calibri" w:eastAsia="仿宋_GB2312" w:cs="Times New Roman"/>
          <w:sz w:val="30"/>
          <w:szCs w:val="30"/>
          <w:lang w:eastAsia="zh-CN"/>
        </w:rPr>
        <w:t>的扫描件，</w:t>
      </w:r>
      <w:r>
        <w:rPr>
          <w:rFonts w:hint="eastAsia" w:ascii="仿宋_GB2312" w:hAnsi="Calibri" w:eastAsia="仿宋_GB2312" w:cs="Times New Roman"/>
          <w:sz w:val="30"/>
          <w:szCs w:val="30"/>
          <w:lang w:val="en-US" w:eastAsia="zh-CN"/>
        </w:rPr>
        <w:t>并</w:t>
      </w:r>
      <w:r>
        <w:rPr>
          <w:rFonts w:hint="eastAsia" w:ascii="仿宋_GB2312" w:hAnsi="Calibri" w:eastAsia="仿宋_GB2312" w:cs="Times New Roman"/>
          <w:sz w:val="30"/>
          <w:szCs w:val="30"/>
          <w:lang w:eastAsia="zh-CN"/>
        </w:rPr>
        <w:t>请妥善保管纸质原件，以备后续查验。</w:t>
      </w:r>
      <w:r>
        <w:rPr>
          <w:rFonts w:hint="eastAsia" w:ascii="仿宋_GB2312" w:hAnsi="Calibri" w:eastAsia="仿宋_GB2312" w:cs="Times New Roman"/>
          <w:sz w:val="30"/>
          <w:szCs w:val="30"/>
          <w:lang w:val="en-US" w:eastAsia="zh-CN"/>
        </w:rPr>
        <w:t>申请材料请发送至邮箱：</w:t>
      </w:r>
      <w:r>
        <w:rPr>
          <w:rFonts w:hint="eastAsia" w:ascii="仿宋_GB2312" w:hAnsi="Calibri" w:eastAsia="仿宋_GB2312" w:cs="Times New Roman"/>
          <w:sz w:val="30"/>
          <w:szCs w:val="30"/>
          <w:lang w:eastAsia="zh-CN"/>
        </w:rPr>
        <w:t>bond@sse.com.cn，标题格式：非交易过户+债券代码+简称+过入方。</w:t>
      </w:r>
    </w:p>
    <w:p w14:paraId="3DF4E089">
      <w:pPr>
        <w:widowControl/>
        <w:ind w:firstLine="600" w:firstLineChars="200"/>
        <w:jc w:val="left"/>
        <w:rPr>
          <w:rFonts w:hint="eastAsia" w:ascii="仿宋_GB2312" w:hAnsi="Calibri" w:eastAsia="仿宋_GB2312" w:cs="Times New Roman"/>
          <w:sz w:val="30"/>
          <w:szCs w:val="30"/>
          <w:lang w:eastAsia="zh-CN"/>
        </w:rPr>
      </w:pPr>
      <w:r>
        <w:rPr>
          <w:rFonts w:hint="eastAsia" w:ascii="仿宋_GB2312" w:hAnsi="Calibri" w:eastAsia="仿宋_GB2312" w:cs="Times New Roman"/>
          <w:sz w:val="30"/>
          <w:szCs w:val="30"/>
          <w:lang w:val="en-US" w:eastAsia="zh-CN"/>
        </w:rPr>
        <w:t>申请人</w:t>
      </w:r>
      <w:r>
        <w:rPr>
          <w:rFonts w:hint="eastAsia" w:ascii="仿宋_GB2312" w:hAnsi="Calibri" w:eastAsia="仿宋_GB2312" w:cs="Times New Roman"/>
          <w:sz w:val="30"/>
          <w:szCs w:val="30"/>
          <w:lang w:eastAsia="zh-CN"/>
        </w:rPr>
        <w:t>如需要现场申请的，请</w:t>
      </w:r>
      <w:r>
        <w:rPr>
          <w:rFonts w:hint="eastAsia" w:ascii="仿宋_GB2312" w:hAnsi="Calibri" w:eastAsia="仿宋_GB2312" w:cs="Times New Roman"/>
          <w:sz w:val="30"/>
          <w:szCs w:val="30"/>
          <w:lang w:val="en-US" w:eastAsia="zh-CN"/>
        </w:rPr>
        <w:t>联系</w:t>
      </w:r>
      <w:r>
        <w:rPr>
          <w:rFonts w:hint="eastAsia" w:ascii="仿宋_GB2312" w:hAnsi="Calibri" w:eastAsia="仿宋_GB2312" w:cs="Times New Roman"/>
          <w:sz w:val="30"/>
          <w:szCs w:val="30"/>
          <w:highlight w:val="none"/>
          <w:lang w:val="en-US" w:eastAsia="zh-CN"/>
        </w:rPr>
        <w:t>倪老师（联系电话：68601924）</w:t>
      </w:r>
      <w:r>
        <w:rPr>
          <w:rFonts w:hint="eastAsia" w:ascii="仿宋_GB2312" w:hAnsi="Calibri" w:eastAsia="仿宋_GB2312" w:cs="Times New Roman"/>
          <w:sz w:val="30"/>
          <w:szCs w:val="30"/>
          <w:lang w:val="en-US" w:eastAsia="zh-CN"/>
        </w:rPr>
        <w:t>提前预约，</w:t>
      </w:r>
      <w:r>
        <w:rPr>
          <w:rFonts w:hint="eastAsia" w:ascii="仿宋_GB2312" w:hAnsi="Calibri" w:eastAsia="仿宋_GB2312" w:cs="Times New Roman"/>
          <w:sz w:val="30"/>
          <w:szCs w:val="30"/>
          <w:lang w:eastAsia="zh-CN"/>
        </w:rPr>
        <w:t>提交</w:t>
      </w:r>
      <w:r>
        <w:rPr>
          <w:rFonts w:hint="eastAsia" w:ascii="仿宋_GB2312" w:hAnsi="Calibri" w:eastAsia="仿宋_GB2312" w:cs="Times New Roman"/>
          <w:sz w:val="30"/>
          <w:szCs w:val="30"/>
          <w:lang w:val="en-US" w:eastAsia="zh-CN"/>
        </w:rPr>
        <w:t>申请材料</w:t>
      </w:r>
      <w:r>
        <w:rPr>
          <w:rFonts w:hint="eastAsia" w:ascii="仿宋_GB2312" w:hAnsi="Calibri" w:eastAsia="仿宋_GB2312" w:cs="Times New Roman"/>
          <w:sz w:val="30"/>
          <w:szCs w:val="30"/>
          <w:lang w:eastAsia="zh-CN"/>
        </w:rPr>
        <w:t>原件和盖章版复印件</w:t>
      </w:r>
      <w:r>
        <w:rPr>
          <w:rFonts w:hint="eastAsia" w:ascii="仿宋_GB2312" w:hAnsi="Calibri" w:eastAsia="仿宋_GB2312"/>
          <w:sz w:val="30"/>
          <w:szCs w:val="30"/>
          <w:lang w:eastAsia="zh-CN"/>
        </w:rPr>
        <w:t>（</w:t>
      </w:r>
      <w:r>
        <w:rPr>
          <w:rFonts w:hint="eastAsia" w:ascii="仿宋_GB2312" w:hAnsi="Calibri" w:eastAsia="仿宋_GB2312"/>
          <w:sz w:val="30"/>
          <w:szCs w:val="30"/>
          <w:lang w:val="en-US" w:eastAsia="zh-CN"/>
        </w:rPr>
        <w:t>1套</w:t>
      </w:r>
      <w:r>
        <w:rPr>
          <w:rFonts w:hint="eastAsia" w:ascii="仿宋_GB2312" w:hAnsi="Calibri" w:eastAsia="仿宋_GB2312"/>
          <w:sz w:val="30"/>
          <w:szCs w:val="30"/>
          <w:lang w:eastAsia="zh-CN"/>
        </w:rPr>
        <w:t>）</w:t>
      </w:r>
      <w:r>
        <w:rPr>
          <w:rFonts w:hint="eastAsia" w:ascii="仿宋_GB2312" w:hAnsi="Calibri" w:eastAsia="仿宋_GB2312" w:cs="Times New Roman"/>
          <w:sz w:val="30"/>
          <w:szCs w:val="30"/>
          <w:lang w:eastAsia="zh-CN"/>
        </w:rPr>
        <w:t>。</w:t>
      </w:r>
    </w:p>
    <w:p w14:paraId="13DA670B">
      <w:pPr>
        <w:widowControl/>
        <w:ind w:firstLine="600" w:firstLineChars="200"/>
        <w:jc w:val="left"/>
        <w:rPr>
          <w:rFonts w:hint="eastAsia" w:ascii="仿宋_GB2312" w:hAnsi="Calibri" w:eastAsia="仿宋_GB2312"/>
          <w:b w:val="0"/>
          <w:sz w:val="30"/>
          <w:szCs w:val="30"/>
        </w:rPr>
      </w:pPr>
      <w:r>
        <w:rPr>
          <w:rFonts w:hint="eastAsia" w:ascii="仿宋_GB2312" w:hAnsi="Calibri" w:eastAsia="仿宋_GB2312" w:cs="Times New Roman"/>
          <w:sz w:val="30"/>
          <w:szCs w:val="30"/>
          <w:lang w:eastAsia="zh-CN"/>
        </w:rPr>
        <w:t>（2）</w:t>
      </w:r>
      <w:r>
        <w:rPr>
          <w:rFonts w:hint="eastAsia" w:ascii="仿宋_GB2312" w:hAnsi="Calibri" w:eastAsia="仿宋_GB2312"/>
          <w:b w:val="0"/>
          <w:sz w:val="30"/>
          <w:szCs w:val="30"/>
          <w:lang w:val="en-US" w:eastAsia="zh-CN"/>
        </w:rPr>
        <w:t>本所确认受理。本所向申请人提供</w:t>
      </w:r>
      <w:r>
        <w:rPr>
          <w:rFonts w:hint="eastAsia" w:ascii="仿宋_GB2312" w:hAnsi="Calibri" w:eastAsia="仿宋_GB2312"/>
          <w:b w:val="0"/>
          <w:sz w:val="30"/>
          <w:szCs w:val="30"/>
        </w:rPr>
        <w:t>《上海证券交易所债券转让确认申请表》</w:t>
      </w:r>
      <w:r>
        <w:rPr>
          <w:rFonts w:hint="eastAsia" w:ascii="仿宋_GB2312" w:hAnsi="Calibri" w:eastAsia="仿宋_GB2312"/>
          <w:b w:val="0"/>
          <w:sz w:val="30"/>
          <w:szCs w:val="30"/>
          <w:lang w:eastAsia="zh-CN"/>
        </w:rPr>
        <w:t>（</w:t>
      </w:r>
      <w:r>
        <w:rPr>
          <w:rFonts w:hint="eastAsia" w:ascii="仿宋_GB2312" w:hAnsi="Calibri" w:eastAsia="仿宋_GB2312"/>
          <w:b w:val="0"/>
          <w:sz w:val="30"/>
          <w:szCs w:val="30"/>
        </w:rPr>
        <w:t>盖章</w:t>
      </w:r>
      <w:r>
        <w:rPr>
          <w:rFonts w:hint="eastAsia" w:ascii="仿宋_GB2312" w:hAnsi="Calibri" w:eastAsia="仿宋_GB2312"/>
          <w:b w:val="0"/>
          <w:sz w:val="30"/>
          <w:szCs w:val="30"/>
          <w:lang w:val="en-US" w:eastAsia="zh-CN"/>
        </w:rPr>
        <w:t>版）。</w:t>
      </w:r>
    </w:p>
    <w:p w14:paraId="65525262">
      <w:pPr>
        <w:spacing w:line="600" w:lineRule="exact"/>
        <w:ind w:firstLine="600" w:firstLineChars="200"/>
        <w:rPr>
          <w:rFonts w:hint="eastAsia" w:ascii="仿宋_GB2312" w:hAnsi="Calibri" w:eastAsia="仿宋_GB2312"/>
          <w:sz w:val="30"/>
          <w:szCs w:val="30"/>
        </w:rPr>
      </w:pPr>
      <w:r>
        <w:rPr>
          <w:rFonts w:hint="eastAsia" w:ascii="仿宋_GB2312" w:hAnsi="Calibri" w:eastAsia="仿宋_GB2312"/>
          <w:b w:val="0"/>
          <w:sz w:val="30"/>
          <w:szCs w:val="30"/>
          <w:lang w:val="en-US" w:eastAsia="zh-CN"/>
        </w:rPr>
        <w:t>（3）申请人赴中国结算上海分公司办理过户业务。申请人携带</w:t>
      </w:r>
      <w:r>
        <w:rPr>
          <w:rFonts w:hint="eastAsia" w:ascii="仿宋_GB2312" w:hAnsi="Calibri" w:eastAsia="仿宋_GB2312"/>
          <w:b w:val="0"/>
          <w:sz w:val="30"/>
          <w:szCs w:val="30"/>
        </w:rPr>
        <w:t>《上海证券交易所债券转让确认申请表》</w:t>
      </w:r>
      <w:r>
        <w:rPr>
          <w:rFonts w:hint="eastAsia" w:ascii="仿宋_GB2312" w:hAnsi="Calibri" w:eastAsia="仿宋_GB2312"/>
          <w:b w:val="0"/>
          <w:sz w:val="30"/>
          <w:szCs w:val="30"/>
          <w:lang w:eastAsia="zh-CN"/>
        </w:rPr>
        <w:t>（</w:t>
      </w:r>
      <w:r>
        <w:rPr>
          <w:rFonts w:hint="eastAsia" w:ascii="仿宋_GB2312" w:hAnsi="Calibri" w:eastAsia="仿宋_GB2312"/>
          <w:b w:val="0"/>
          <w:sz w:val="30"/>
          <w:szCs w:val="30"/>
        </w:rPr>
        <w:t>盖章</w:t>
      </w:r>
      <w:r>
        <w:rPr>
          <w:rFonts w:hint="eastAsia" w:ascii="仿宋_GB2312" w:hAnsi="Calibri" w:eastAsia="仿宋_GB2312"/>
          <w:b w:val="0"/>
          <w:sz w:val="30"/>
          <w:szCs w:val="30"/>
          <w:lang w:val="en-US" w:eastAsia="zh-CN"/>
        </w:rPr>
        <w:t>版）及</w:t>
      </w:r>
      <w:r>
        <w:rPr>
          <w:rFonts w:hint="eastAsia" w:ascii="仿宋_GB2312" w:hAnsi="Calibri" w:eastAsia="仿宋_GB2312"/>
          <w:b w:val="0"/>
          <w:sz w:val="30"/>
          <w:szCs w:val="30"/>
        </w:rPr>
        <w:t>相关申请材料到中国结算上海公司大厅现场办理</w:t>
      </w:r>
      <w:r>
        <w:rPr>
          <w:rFonts w:hint="eastAsia" w:ascii="仿宋_GB2312" w:hAnsi="Calibri" w:eastAsia="仿宋_GB2312"/>
          <w:b w:val="0"/>
          <w:sz w:val="30"/>
          <w:szCs w:val="30"/>
          <w:lang w:val="en-US" w:eastAsia="zh-CN"/>
        </w:rPr>
        <w:t>过户业务</w:t>
      </w:r>
      <w:r>
        <w:rPr>
          <w:rFonts w:hint="eastAsia" w:ascii="仿宋_GB2312" w:hAnsi="Calibri" w:eastAsia="仿宋_GB2312"/>
          <w:b w:val="0"/>
          <w:sz w:val="30"/>
          <w:szCs w:val="30"/>
        </w:rPr>
        <w:t>，也可</w:t>
      </w:r>
      <w:r>
        <w:rPr>
          <w:rFonts w:hint="eastAsia" w:ascii="仿宋_GB2312" w:hAnsi="Calibri" w:eastAsia="仿宋_GB2312"/>
          <w:b w:val="0"/>
          <w:sz w:val="30"/>
          <w:szCs w:val="30"/>
          <w:lang w:val="en-US" w:eastAsia="zh-CN"/>
        </w:rPr>
        <w:t>以</w:t>
      </w:r>
      <w:r>
        <w:rPr>
          <w:rFonts w:hint="eastAsia" w:ascii="仿宋_GB2312" w:hAnsi="Calibri" w:eastAsia="仿宋_GB2312"/>
          <w:b w:val="0"/>
          <w:sz w:val="30"/>
          <w:szCs w:val="30"/>
        </w:rPr>
        <w:t>通过所属经纪商在中国结算上海公司综合业务平台在线提交</w:t>
      </w:r>
      <w:r>
        <w:rPr>
          <w:rFonts w:hint="eastAsia" w:ascii="仿宋_GB2312" w:hAnsi="Calibri" w:eastAsia="仿宋_GB2312"/>
          <w:b w:val="0"/>
          <w:sz w:val="30"/>
          <w:szCs w:val="30"/>
          <w:lang w:val="en-US" w:eastAsia="zh-CN"/>
        </w:rPr>
        <w:t>相关材料</w:t>
      </w:r>
      <w:r>
        <w:rPr>
          <w:rFonts w:hint="eastAsia" w:ascii="仿宋_GB2312" w:hAnsi="Calibri" w:eastAsia="仿宋_GB2312"/>
          <w:b w:val="0"/>
          <w:sz w:val="30"/>
          <w:szCs w:val="30"/>
          <w:lang w:eastAsia="zh-CN"/>
        </w:rPr>
        <w:t>。</w:t>
      </w:r>
      <w:r>
        <w:rPr>
          <w:rFonts w:hint="eastAsia" w:ascii="仿宋_GB2312" w:hAnsi="Calibri" w:eastAsia="仿宋_GB2312"/>
          <w:b w:val="0"/>
          <w:sz w:val="30"/>
          <w:szCs w:val="30"/>
        </w:rPr>
        <w:t>具体可咨询</w:t>
      </w:r>
      <w:r>
        <w:rPr>
          <w:rFonts w:hint="eastAsia" w:ascii="仿宋_GB2312" w:hAnsi="Calibri" w:eastAsia="仿宋_GB2312"/>
          <w:b w:val="0"/>
          <w:sz w:val="30"/>
          <w:szCs w:val="30"/>
          <w:lang w:eastAsia="zh-CN"/>
        </w:rPr>
        <w:t>中国</w:t>
      </w:r>
      <w:r>
        <w:rPr>
          <w:rFonts w:hint="eastAsia" w:ascii="仿宋_GB2312" w:hAnsi="Calibri" w:eastAsia="仿宋_GB2312"/>
          <w:b w:val="0"/>
          <w:sz w:val="30"/>
          <w:szCs w:val="30"/>
        </w:rPr>
        <w:t>结算公司客服4008058058。</w:t>
      </w:r>
    </w:p>
    <w:p w14:paraId="5655D8A4">
      <w:pPr>
        <w:spacing w:line="600" w:lineRule="exact"/>
        <w:ind w:firstLine="600" w:firstLineChars="200"/>
        <w:rPr>
          <w:rFonts w:hint="eastAsia" w:ascii="仿宋_GB2312" w:hAnsi="宋体" w:eastAsia="仿宋_GB2312"/>
          <w:sz w:val="30"/>
          <w:szCs w:val="30"/>
        </w:rPr>
      </w:pPr>
    </w:p>
    <w:p w14:paraId="3968104C">
      <w:pPr>
        <w:numPr>
          <w:ilvl w:val="0"/>
          <w:numId w:val="4"/>
        </w:numPr>
        <w:outlineLvl w:val="0"/>
        <w:rPr>
          <w:b/>
          <w:sz w:val="36"/>
        </w:rPr>
      </w:pPr>
      <w:r>
        <w:rPr>
          <w:rFonts w:ascii="仿宋_GB2312" w:hAnsi="宋体" w:eastAsia="仿宋_GB2312"/>
          <w:sz w:val="30"/>
          <w:szCs w:val="30"/>
        </w:rPr>
        <w:br w:type="page"/>
      </w:r>
      <w:bookmarkStart w:id="2646" w:name="_Toc2076997560"/>
      <w:bookmarkStart w:id="2647" w:name="_Toc679372381"/>
      <w:bookmarkStart w:id="2648" w:name="_Toc151137062"/>
      <w:bookmarkStart w:id="2649" w:name="_Toc1776836245"/>
      <w:bookmarkStart w:id="2650" w:name="_Toc1957925481"/>
      <w:bookmarkStart w:id="2651" w:name="_Toc258766216"/>
      <w:bookmarkStart w:id="2652" w:name="_Toc72861912"/>
      <w:r>
        <w:rPr>
          <w:rFonts w:hint="eastAsia" w:ascii="黑体" w:hAnsi="黑体" w:eastAsia="黑体" w:cs="黑体"/>
          <w:b/>
          <w:sz w:val="36"/>
        </w:rPr>
        <w:t>债券行情展示</w:t>
      </w:r>
      <w:bookmarkEnd w:id="2628"/>
      <w:bookmarkEnd w:id="2629"/>
      <w:bookmarkEnd w:id="2630"/>
      <w:bookmarkEnd w:id="2646"/>
      <w:bookmarkEnd w:id="2647"/>
      <w:bookmarkEnd w:id="2648"/>
      <w:bookmarkEnd w:id="2649"/>
      <w:bookmarkEnd w:id="2650"/>
      <w:bookmarkEnd w:id="2651"/>
      <w:bookmarkEnd w:id="2652"/>
      <w:bookmarkStart w:id="2653" w:name="_Toc44666370"/>
      <w:bookmarkEnd w:id="2653"/>
      <w:bookmarkStart w:id="2654" w:name="_Toc44604373"/>
      <w:bookmarkEnd w:id="2654"/>
      <w:bookmarkStart w:id="2655" w:name="_Toc44666411"/>
      <w:bookmarkEnd w:id="2655"/>
      <w:bookmarkStart w:id="2656" w:name="_Toc44688495"/>
      <w:bookmarkEnd w:id="2656"/>
      <w:bookmarkStart w:id="2657" w:name="_Toc44661485"/>
      <w:bookmarkEnd w:id="2657"/>
      <w:bookmarkStart w:id="2658" w:name="_Toc47467035"/>
      <w:bookmarkEnd w:id="2658"/>
      <w:bookmarkStart w:id="2659" w:name="_Toc44604460"/>
      <w:bookmarkEnd w:id="2659"/>
    </w:p>
    <w:p w14:paraId="6CD24286">
      <w:pPr>
        <w:numPr>
          <w:ilvl w:val="1"/>
          <w:numId w:val="4"/>
        </w:numPr>
        <w:spacing w:line="600" w:lineRule="exact"/>
        <w:ind w:left="0" w:firstLine="0"/>
        <w:outlineLvl w:val="1"/>
        <w:rPr>
          <w:rFonts w:ascii="仿宋_GB2312" w:eastAsia="仿宋_GB2312"/>
          <w:b/>
          <w:sz w:val="30"/>
          <w:szCs w:val="30"/>
        </w:rPr>
      </w:pPr>
      <w:bookmarkStart w:id="2660" w:name="_Toc44604462"/>
      <w:bookmarkEnd w:id="2660"/>
      <w:bookmarkStart w:id="2661" w:name="_Toc44666413"/>
      <w:bookmarkEnd w:id="2661"/>
      <w:bookmarkStart w:id="2662" w:name="_Toc44604375"/>
      <w:bookmarkEnd w:id="2662"/>
      <w:bookmarkStart w:id="2663" w:name="_Toc44688497"/>
      <w:bookmarkEnd w:id="2663"/>
      <w:bookmarkStart w:id="2664" w:name="_Toc44661487"/>
      <w:bookmarkEnd w:id="2664"/>
      <w:bookmarkStart w:id="2665" w:name="_Toc44666372"/>
      <w:bookmarkEnd w:id="2665"/>
      <w:bookmarkStart w:id="2666" w:name="_Toc56166112"/>
      <w:bookmarkStart w:id="2667" w:name="_Toc47467036"/>
      <w:bookmarkStart w:id="2668" w:name="_Toc151137063"/>
      <w:bookmarkStart w:id="2669" w:name="_Toc1344974521"/>
      <w:bookmarkStart w:id="2670" w:name="_Toc342643983"/>
      <w:bookmarkStart w:id="2671" w:name="_Toc1290647570"/>
      <w:bookmarkStart w:id="2672" w:name="_Toc56166301"/>
      <w:bookmarkStart w:id="2673" w:name="_Toc1644302641"/>
      <w:bookmarkStart w:id="2674" w:name="_Toc1485457909"/>
      <w:bookmarkStart w:id="2675" w:name="_Toc1786369647"/>
      <w:r>
        <w:rPr>
          <w:rFonts w:hint="eastAsia" w:ascii="仿宋_GB2312" w:eastAsia="仿宋_GB2312"/>
          <w:b/>
          <w:sz w:val="30"/>
          <w:szCs w:val="30"/>
        </w:rPr>
        <w:t>概述</w:t>
      </w:r>
      <w:bookmarkEnd w:id="2666"/>
      <w:bookmarkEnd w:id="2667"/>
      <w:bookmarkEnd w:id="2668"/>
      <w:bookmarkEnd w:id="2669"/>
      <w:bookmarkEnd w:id="2670"/>
      <w:bookmarkEnd w:id="2671"/>
      <w:bookmarkEnd w:id="2672"/>
      <w:bookmarkEnd w:id="2673"/>
      <w:bookmarkEnd w:id="2674"/>
      <w:bookmarkEnd w:id="2675"/>
    </w:p>
    <w:p w14:paraId="5C82A57C">
      <w:pPr>
        <w:spacing w:line="600" w:lineRule="exact"/>
        <w:ind w:firstLine="564" w:firstLineChars="188"/>
        <w:rPr>
          <w:rFonts w:ascii="仿宋_GB2312" w:hAnsi="宋体" w:eastAsia="仿宋_GB2312"/>
          <w:sz w:val="30"/>
          <w:szCs w:val="30"/>
        </w:rPr>
      </w:pPr>
      <w:r>
        <w:rPr>
          <w:rFonts w:hint="eastAsia" w:ascii="仿宋_GB2312" w:hAnsi="宋体" w:eastAsia="仿宋_GB2312"/>
          <w:sz w:val="30"/>
          <w:szCs w:val="30"/>
        </w:rPr>
        <w:t>本所或者本所授权机构在每个交易日向全市场发布债券交易申报信息、债券交易成交信息、债券市场基础信息、债券指数、债券收益率曲线等信息。前述发布信息具体</w:t>
      </w:r>
      <w:bookmarkStart w:id="2676" w:name="_Toc37431267"/>
      <w:bookmarkStart w:id="2677" w:name="_Toc37431266"/>
      <w:r>
        <w:rPr>
          <w:rFonts w:hint="eastAsia" w:ascii="仿宋_GB2312" w:hAnsi="宋体" w:eastAsia="仿宋_GB2312"/>
          <w:sz w:val="30"/>
          <w:szCs w:val="30"/>
        </w:rPr>
        <w:t>可分为实时数据</w:t>
      </w:r>
      <w:bookmarkEnd w:id="2676"/>
      <w:bookmarkEnd w:id="2677"/>
      <w:bookmarkStart w:id="2678" w:name="_Toc37431298"/>
      <w:r>
        <w:rPr>
          <w:rFonts w:hint="eastAsia" w:ascii="仿宋_GB2312" w:hAnsi="宋体" w:eastAsia="仿宋_GB2312"/>
          <w:sz w:val="30"/>
          <w:szCs w:val="30"/>
        </w:rPr>
        <w:t>、统计行情</w:t>
      </w:r>
      <w:bookmarkEnd w:id="2678"/>
      <w:r>
        <w:rPr>
          <w:rFonts w:hint="eastAsia" w:ascii="仿宋_GB2312" w:hAnsi="宋体" w:eastAsia="仿宋_GB2312"/>
          <w:sz w:val="30"/>
          <w:szCs w:val="30"/>
        </w:rPr>
        <w:t>、</w:t>
      </w:r>
      <w:bookmarkStart w:id="2679" w:name="_Toc37431308"/>
      <w:r>
        <w:rPr>
          <w:rFonts w:hint="eastAsia" w:ascii="仿宋_GB2312" w:hAnsi="宋体" w:eastAsia="仿宋_GB2312"/>
          <w:sz w:val="30"/>
          <w:szCs w:val="30"/>
        </w:rPr>
        <w:t>参考数据</w:t>
      </w:r>
      <w:bookmarkEnd w:id="2679"/>
      <w:r>
        <w:rPr>
          <w:rFonts w:hint="eastAsia" w:ascii="仿宋_GB2312" w:hAnsi="宋体" w:eastAsia="仿宋_GB2312"/>
          <w:sz w:val="30"/>
          <w:szCs w:val="30"/>
        </w:rPr>
        <w:t>三种类型。本所授权机构的公示信息请至上证所信息网络有限公司官网（</w:t>
      </w:r>
      <w:r>
        <w:rPr>
          <w:rFonts w:ascii="仿宋_GB2312" w:hAnsi="宋体" w:eastAsia="仿宋_GB2312"/>
          <w:sz w:val="30"/>
          <w:szCs w:val="30"/>
        </w:rPr>
        <w:t>https://www.sseinfo.com/</w:t>
      </w:r>
      <w:r>
        <w:rPr>
          <w:rFonts w:hint="eastAsia" w:ascii="仿宋_GB2312" w:hAnsi="宋体" w:eastAsia="仿宋_GB2312"/>
          <w:sz w:val="30"/>
          <w:szCs w:val="30"/>
        </w:rPr>
        <w:t>）查询。具体行情发布内容，以行情商发布的行情信息为准。</w:t>
      </w:r>
    </w:p>
    <w:p w14:paraId="225C12F3">
      <w:pPr>
        <w:numPr>
          <w:ilvl w:val="1"/>
          <w:numId w:val="4"/>
        </w:numPr>
        <w:spacing w:line="600" w:lineRule="exact"/>
        <w:ind w:left="0" w:firstLine="0"/>
        <w:outlineLvl w:val="1"/>
        <w:rPr>
          <w:rFonts w:ascii="仿宋_GB2312" w:eastAsia="仿宋_GB2312"/>
          <w:b/>
          <w:sz w:val="30"/>
          <w:szCs w:val="30"/>
        </w:rPr>
      </w:pPr>
      <w:bookmarkStart w:id="2680" w:name="_Toc47458427"/>
      <w:bookmarkEnd w:id="2680"/>
      <w:bookmarkStart w:id="2681" w:name="_Toc47458428"/>
      <w:bookmarkEnd w:id="2681"/>
      <w:bookmarkStart w:id="2682" w:name="_Toc47465924"/>
      <w:bookmarkEnd w:id="2682"/>
      <w:bookmarkStart w:id="2683" w:name="_Toc47428409"/>
      <w:bookmarkEnd w:id="2683"/>
      <w:bookmarkStart w:id="2684" w:name="_Toc47428408"/>
      <w:bookmarkEnd w:id="2684"/>
      <w:bookmarkStart w:id="2685" w:name="_Toc47467037"/>
      <w:bookmarkEnd w:id="2685"/>
      <w:bookmarkStart w:id="2686" w:name="_Toc47427141"/>
      <w:bookmarkEnd w:id="2686"/>
      <w:bookmarkStart w:id="2687" w:name="_Toc47465925"/>
      <w:bookmarkEnd w:id="2687"/>
      <w:bookmarkStart w:id="2688" w:name="_Toc47427142"/>
      <w:bookmarkEnd w:id="2688"/>
      <w:bookmarkStart w:id="2689" w:name="_Toc47467038"/>
      <w:bookmarkEnd w:id="2689"/>
      <w:bookmarkStart w:id="2690" w:name="_Toc690888801"/>
      <w:bookmarkStart w:id="2691" w:name="_Toc1854623400"/>
      <w:bookmarkStart w:id="2692" w:name="_Toc1644696693"/>
      <w:bookmarkStart w:id="2693" w:name="_Toc1852632045"/>
      <w:bookmarkStart w:id="2694" w:name="_Toc47467039"/>
      <w:bookmarkStart w:id="2695" w:name="_Toc997555959"/>
      <w:bookmarkStart w:id="2696" w:name="_Toc151137064"/>
      <w:bookmarkStart w:id="2697" w:name="_Toc56166113"/>
      <w:bookmarkStart w:id="2698" w:name="_Toc56166302"/>
      <w:bookmarkStart w:id="2699" w:name="_Toc2128135729"/>
      <w:r>
        <w:rPr>
          <w:rFonts w:hint="eastAsia" w:ascii="仿宋_GB2312" w:eastAsia="仿宋_GB2312"/>
          <w:b/>
          <w:sz w:val="30"/>
          <w:szCs w:val="30"/>
        </w:rPr>
        <w:t>实时数据</w:t>
      </w:r>
      <w:bookmarkEnd w:id="2690"/>
      <w:bookmarkEnd w:id="2691"/>
      <w:bookmarkEnd w:id="2692"/>
      <w:bookmarkEnd w:id="2693"/>
      <w:bookmarkEnd w:id="2694"/>
      <w:bookmarkEnd w:id="2695"/>
      <w:bookmarkEnd w:id="2696"/>
      <w:bookmarkEnd w:id="2697"/>
      <w:bookmarkEnd w:id="2698"/>
      <w:bookmarkEnd w:id="2699"/>
    </w:p>
    <w:p w14:paraId="2142491D">
      <w:pPr>
        <w:spacing w:line="600" w:lineRule="exact"/>
        <w:ind w:firstLine="564" w:firstLineChars="188"/>
        <w:rPr>
          <w:rFonts w:ascii="仿宋_GB2312" w:hAnsi="宋体" w:eastAsia="仿宋_GB2312"/>
          <w:sz w:val="30"/>
          <w:szCs w:val="30"/>
        </w:rPr>
      </w:pPr>
      <w:r>
        <w:rPr>
          <w:rFonts w:hint="eastAsia" w:ascii="仿宋_GB2312" w:hAnsi="宋体" w:eastAsia="仿宋_GB2312"/>
          <w:sz w:val="30"/>
          <w:szCs w:val="30"/>
        </w:rPr>
        <w:t>实时数据是指本所或者本所授权机构在交易时间向全市场实时发布的申报和成交数据。实时数据包括实时截片行情、逐笔申报行情、逐笔成交行情。</w:t>
      </w:r>
    </w:p>
    <w:p w14:paraId="2FD02094">
      <w:pPr>
        <w:numPr>
          <w:ilvl w:val="2"/>
          <w:numId w:val="4"/>
        </w:numPr>
        <w:spacing w:line="600" w:lineRule="exact"/>
        <w:ind w:left="0" w:firstLine="0"/>
        <w:outlineLvl w:val="2"/>
        <w:rPr>
          <w:rFonts w:ascii="仿宋_GB2312" w:eastAsia="仿宋_GB2312"/>
          <w:b/>
          <w:sz w:val="30"/>
          <w:szCs w:val="30"/>
        </w:rPr>
      </w:pPr>
      <w:bookmarkStart w:id="2700" w:name="_Toc47467041"/>
      <w:r>
        <w:rPr>
          <w:rFonts w:hint="eastAsia" w:ascii="仿宋_GB2312" w:eastAsia="仿宋_GB2312"/>
          <w:b/>
          <w:sz w:val="30"/>
          <w:szCs w:val="30"/>
        </w:rPr>
        <w:t>实时截片行情</w:t>
      </w:r>
      <w:bookmarkEnd w:id="2700"/>
    </w:p>
    <w:p w14:paraId="4A827B23">
      <w:pPr>
        <w:spacing w:line="600" w:lineRule="exact"/>
        <w:ind w:firstLine="564" w:firstLineChars="188"/>
        <w:rPr>
          <w:rFonts w:ascii="仿宋_GB2312" w:hAnsi="宋体" w:eastAsia="仿宋_GB2312"/>
          <w:sz w:val="30"/>
          <w:szCs w:val="30"/>
        </w:rPr>
      </w:pPr>
      <w:r>
        <w:rPr>
          <w:rFonts w:hint="eastAsia" w:ascii="仿宋_GB2312" w:eastAsia="仿宋_GB2312"/>
          <w:color w:val="000000"/>
          <w:sz w:val="30"/>
          <w:szCs w:val="30"/>
        </w:rPr>
        <w:t>本所以</w:t>
      </w:r>
      <w:r>
        <w:rPr>
          <w:rFonts w:hint="eastAsia" w:ascii="仿宋_GB2312" w:hAnsi="Calibri" w:eastAsia="仿宋_GB2312"/>
          <w:sz w:val="30"/>
          <w:szCs w:val="30"/>
        </w:rPr>
        <w:t>实时截片行情形式</w:t>
      </w:r>
      <w:r>
        <w:rPr>
          <w:rFonts w:hint="eastAsia" w:ascii="仿宋_GB2312" w:hAnsi="宋体" w:eastAsia="仿宋_GB2312"/>
          <w:sz w:val="30"/>
          <w:szCs w:val="30"/>
        </w:rPr>
        <w:t>向市场实时发布债券现券、通用回购和国债预发行的匹配成交申报信息。</w:t>
      </w:r>
    </w:p>
    <w:p w14:paraId="2717D2F8">
      <w:pPr>
        <w:spacing w:line="600" w:lineRule="exact"/>
        <w:ind w:firstLine="564" w:firstLineChars="188"/>
        <w:rPr>
          <w:rFonts w:ascii="仿宋_GB2312" w:hAnsi="宋体" w:eastAsia="仿宋_GB2312"/>
          <w:sz w:val="30"/>
          <w:szCs w:val="30"/>
        </w:rPr>
      </w:pPr>
      <w:r>
        <w:rPr>
          <w:rFonts w:hint="eastAsia" w:ascii="仿宋_GB2312" w:hAnsi="宋体" w:eastAsia="仿宋_GB2312"/>
          <w:sz w:val="30"/>
          <w:szCs w:val="30"/>
        </w:rPr>
        <w:t>默认情况下，本所发布的行情为Level1行情（下文如无特别说明，所指均为Level1行情）。投资者对行情有进一步需求的，可购买Level2行情。相比Level1行情，Level2行情将匹配成交的</w:t>
      </w:r>
      <w:r>
        <w:rPr>
          <w:rFonts w:hint="eastAsia" w:ascii="仿宋_GB2312" w:hAnsi="宋体" w:eastAsia="仿宋_GB2312" w:cs="宋体"/>
          <w:kern w:val="0"/>
          <w:sz w:val="30"/>
          <w:szCs w:val="30"/>
        </w:rPr>
        <w:t>五档行情信息扩充到十档行情，新增逐笔成交数据等增值信息。</w:t>
      </w:r>
    </w:p>
    <w:p w14:paraId="50A3BA0F">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（1）债券现券</w:t>
      </w:r>
    </w:p>
    <w:p w14:paraId="62446CC4">
      <w:pPr>
        <w:spacing w:line="600" w:lineRule="exact"/>
        <w:ind w:firstLine="564" w:firstLineChars="188"/>
        <w:rPr>
          <w:rFonts w:ascii="仿宋_GB2312" w:hAnsi="Calibri" w:eastAsia="仿宋_GB2312"/>
          <w:sz w:val="30"/>
          <w:szCs w:val="30"/>
        </w:rPr>
      </w:pPr>
      <w:r>
        <w:rPr>
          <w:rFonts w:hint="eastAsia" w:ascii="仿宋_GB2312" w:hAnsi="宋体" w:eastAsia="仿宋_GB2312"/>
          <w:sz w:val="30"/>
          <w:szCs w:val="30"/>
        </w:rPr>
        <w:t>本所在每个交易日的交易时间内，向全市场公开发布通过匹配成交交易方式提交的债券现券交易的实时截片行情。</w:t>
      </w:r>
    </w:p>
    <w:p w14:paraId="4D8FADE6">
      <w:pPr>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1）集合匹配</w:t>
      </w:r>
    </w:p>
    <w:p w14:paraId="5006F67C">
      <w:pPr>
        <w:spacing w:line="600" w:lineRule="exact"/>
        <w:ind w:firstLine="564" w:firstLineChars="188"/>
        <w:jc w:val="left"/>
        <w:rPr>
          <w:rFonts w:ascii="仿宋_GB2312" w:hAnsi="宋体" w:eastAsia="仿宋_GB2312"/>
          <w:sz w:val="30"/>
          <w:szCs w:val="30"/>
        </w:rPr>
      </w:pPr>
      <w:r>
        <w:rPr>
          <w:rFonts w:hint="eastAsia" w:ascii="仿宋_GB2312" w:hAnsi="宋体" w:eastAsia="仿宋_GB2312" w:cs="宋体"/>
          <w:kern w:val="0"/>
          <w:sz w:val="30"/>
          <w:szCs w:val="30"/>
        </w:rPr>
        <w:t>集合匹配阶段，本所通过</w:t>
      </w:r>
      <w:r>
        <w:rPr>
          <w:rFonts w:hint="eastAsia" w:ascii="仿宋_GB2312" w:hAnsi="宋体" w:eastAsia="仿宋_GB2312"/>
          <w:sz w:val="30"/>
          <w:szCs w:val="30"/>
        </w:rPr>
        <w:t>发送截片行情向市场实时发布</w:t>
      </w:r>
      <w:r>
        <w:rPr>
          <w:rFonts w:ascii="仿宋_GB2312" w:hAnsi="宋体" w:eastAsia="仿宋_GB2312" w:cs="宋体"/>
          <w:kern w:val="0"/>
          <w:sz w:val="30"/>
          <w:szCs w:val="30"/>
        </w:rPr>
        <w:t>债券现券的虚拟匹配结果</w:t>
      </w:r>
      <w:r>
        <w:rPr>
          <w:rFonts w:hint="eastAsia" w:ascii="仿宋_GB2312" w:hAnsi="宋体" w:eastAsia="仿宋_GB2312" w:cs="宋体"/>
          <w:kern w:val="0"/>
          <w:sz w:val="30"/>
          <w:szCs w:val="30"/>
        </w:rPr>
        <w:t>，</w:t>
      </w:r>
      <w:r>
        <w:rPr>
          <w:rFonts w:hint="eastAsia" w:ascii="仿宋_GB2312" w:hAnsi="宋体" w:eastAsia="仿宋_GB2312"/>
          <w:sz w:val="30"/>
          <w:szCs w:val="30"/>
        </w:rPr>
        <w:t>前述截片行情信息包括前收盘价格、虚拟开盘价、虚拟匹配量、虚拟未匹配量、申报方向</w:t>
      </w:r>
      <w:r>
        <w:rPr>
          <w:rFonts w:hint="eastAsia" w:ascii="仿宋_GB2312" w:hAnsi="仿宋" w:eastAsia="仿宋_GB2312"/>
          <w:sz w:val="30"/>
          <w:szCs w:val="30"/>
        </w:rPr>
        <w:t>等内容。具体如下</w:t>
      </w:r>
      <w:r>
        <w:rPr>
          <w:rFonts w:hint="eastAsia" w:ascii="仿宋_GB2312" w:hAnsi="宋体" w:eastAsia="仿宋_GB2312"/>
          <w:sz w:val="30"/>
          <w:szCs w:val="30"/>
        </w:rPr>
        <w:t>：</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6713"/>
      </w:tblGrid>
      <w:tr w14:paraId="5629D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shd w:val="clear" w:color="auto" w:fill="D9D9D9"/>
          </w:tcPr>
          <w:p w14:paraId="562182BA">
            <w:pPr>
              <w:rPr>
                <w:rFonts w:ascii="仿宋_GB2312" w:eastAsia="仿宋_GB2312"/>
                <w:b/>
                <w:sz w:val="24"/>
                <w:szCs w:val="24"/>
              </w:rPr>
            </w:pPr>
            <w:r>
              <w:rPr>
                <w:rFonts w:hint="eastAsia" w:ascii="仿宋_GB2312" w:eastAsia="仿宋_GB2312"/>
                <w:b/>
                <w:sz w:val="24"/>
                <w:szCs w:val="24"/>
              </w:rPr>
              <w:t>要素名称</w:t>
            </w:r>
          </w:p>
        </w:tc>
        <w:tc>
          <w:tcPr>
            <w:tcW w:w="6713" w:type="dxa"/>
            <w:shd w:val="clear" w:color="auto" w:fill="D9D9D9"/>
          </w:tcPr>
          <w:p w14:paraId="2FFE37B8">
            <w:pPr>
              <w:rPr>
                <w:rFonts w:ascii="仿宋_GB2312" w:eastAsia="仿宋_GB2312"/>
                <w:b/>
                <w:sz w:val="24"/>
                <w:szCs w:val="24"/>
              </w:rPr>
            </w:pPr>
            <w:r>
              <w:rPr>
                <w:rFonts w:hint="eastAsia" w:ascii="仿宋_GB2312" w:eastAsia="仿宋_GB2312"/>
                <w:b/>
                <w:sz w:val="24"/>
                <w:szCs w:val="24"/>
              </w:rPr>
              <w:t>要素说明</w:t>
            </w:r>
          </w:p>
        </w:tc>
      </w:tr>
      <w:tr w14:paraId="28AAD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4A57095A">
            <w:pPr>
              <w:rPr>
                <w:rFonts w:ascii="仿宋_GB2312" w:eastAsia="仿宋_GB2312"/>
                <w:b/>
                <w:sz w:val="24"/>
                <w:szCs w:val="24"/>
              </w:rPr>
            </w:pPr>
            <w:r>
              <w:rPr>
                <w:rFonts w:hint="eastAsia" w:ascii="仿宋_GB2312" w:eastAsia="仿宋_GB2312"/>
                <w:b/>
                <w:sz w:val="24"/>
                <w:szCs w:val="24"/>
              </w:rPr>
              <w:t>证券代码</w:t>
            </w:r>
          </w:p>
        </w:tc>
        <w:tc>
          <w:tcPr>
            <w:tcW w:w="6713" w:type="dxa"/>
            <w:vAlign w:val="center"/>
          </w:tcPr>
          <w:p w14:paraId="11DF3EF0">
            <w:pPr>
              <w:rPr>
                <w:rFonts w:ascii="仿宋_GB2312" w:eastAsia="仿宋_GB2312"/>
                <w:sz w:val="24"/>
                <w:szCs w:val="24"/>
              </w:rPr>
            </w:pPr>
            <w:r>
              <w:rPr>
                <w:rFonts w:hint="eastAsia" w:ascii="仿宋_GB2312" w:eastAsia="仿宋_GB2312"/>
                <w:sz w:val="24"/>
                <w:szCs w:val="24"/>
              </w:rPr>
              <w:t>债券代码</w:t>
            </w:r>
          </w:p>
        </w:tc>
      </w:tr>
      <w:tr w14:paraId="6E7C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3F00B020">
            <w:pPr>
              <w:rPr>
                <w:rFonts w:ascii="仿宋_GB2312" w:eastAsia="仿宋_GB2312"/>
                <w:b/>
                <w:sz w:val="24"/>
                <w:szCs w:val="24"/>
              </w:rPr>
            </w:pPr>
            <w:r>
              <w:rPr>
                <w:rFonts w:hint="eastAsia" w:ascii="仿宋_GB2312" w:eastAsia="仿宋_GB2312"/>
                <w:b/>
                <w:sz w:val="24"/>
                <w:szCs w:val="24"/>
              </w:rPr>
              <w:t>证券简称</w:t>
            </w:r>
          </w:p>
        </w:tc>
        <w:tc>
          <w:tcPr>
            <w:tcW w:w="6713" w:type="dxa"/>
            <w:vAlign w:val="center"/>
          </w:tcPr>
          <w:p w14:paraId="46B3A6D8">
            <w:pPr>
              <w:rPr>
                <w:rFonts w:ascii="仿宋_GB2312" w:eastAsia="仿宋_GB2312"/>
                <w:sz w:val="24"/>
                <w:szCs w:val="24"/>
              </w:rPr>
            </w:pPr>
            <w:r>
              <w:rPr>
                <w:rFonts w:hint="eastAsia" w:ascii="仿宋_GB2312" w:eastAsia="仿宋_GB2312"/>
                <w:sz w:val="24"/>
                <w:szCs w:val="24"/>
              </w:rPr>
              <w:t>债券简称</w:t>
            </w:r>
          </w:p>
        </w:tc>
      </w:tr>
      <w:tr w14:paraId="0573C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vAlign w:val="center"/>
          </w:tcPr>
          <w:p w14:paraId="7C518EBF">
            <w:pPr>
              <w:rPr>
                <w:rFonts w:ascii="仿宋_GB2312" w:eastAsia="仿宋_GB2312"/>
                <w:b/>
                <w:sz w:val="24"/>
                <w:szCs w:val="24"/>
              </w:rPr>
            </w:pPr>
            <w:r>
              <w:rPr>
                <w:rFonts w:hint="eastAsia" w:ascii="仿宋_GB2312" w:eastAsia="仿宋_GB2312"/>
                <w:b/>
                <w:sz w:val="24"/>
                <w:szCs w:val="24"/>
              </w:rPr>
              <w:t>交易日期</w:t>
            </w:r>
          </w:p>
        </w:tc>
        <w:tc>
          <w:tcPr>
            <w:tcW w:w="6713" w:type="dxa"/>
          </w:tcPr>
          <w:p w14:paraId="1A3281C0">
            <w:pPr>
              <w:rPr>
                <w:rFonts w:ascii="仿宋_GB2312" w:eastAsia="仿宋_GB2312"/>
                <w:sz w:val="24"/>
                <w:szCs w:val="24"/>
              </w:rPr>
            </w:pPr>
            <w:r>
              <w:rPr>
                <w:rFonts w:hint="eastAsia" w:ascii="仿宋_GB2312" w:eastAsia="仿宋_GB2312"/>
                <w:sz w:val="24"/>
                <w:szCs w:val="24"/>
              </w:rPr>
              <w:t>年月日</w:t>
            </w:r>
          </w:p>
        </w:tc>
      </w:tr>
      <w:tr w14:paraId="7D6A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6856D2D1">
            <w:pPr>
              <w:rPr>
                <w:rFonts w:ascii="仿宋_GB2312" w:eastAsia="仿宋_GB2312"/>
                <w:b/>
                <w:sz w:val="24"/>
                <w:szCs w:val="24"/>
              </w:rPr>
            </w:pPr>
            <w:r>
              <w:rPr>
                <w:rFonts w:hint="eastAsia" w:ascii="仿宋_GB2312" w:eastAsia="仿宋_GB2312"/>
                <w:b/>
                <w:sz w:val="24"/>
                <w:szCs w:val="24"/>
              </w:rPr>
              <w:t>交易时间</w:t>
            </w:r>
          </w:p>
        </w:tc>
        <w:tc>
          <w:tcPr>
            <w:tcW w:w="6713" w:type="dxa"/>
          </w:tcPr>
          <w:p w14:paraId="313E790E">
            <w:pPr>
              <w:rPr>
                <w:rFonts w:ascii="仿宋_GB2312" w:eastAsia="仿宋_GB2312"/>
                <w:sz w:val="24"/>
                <w:szCs w:val="24"/>
              </w:rPr>
            </w:pPr>
            <w:r>
              <w:rPr>
                <w:rFonts w:hint="eastAsia" w:ascii="仿宋_GB2312" w:eastAsia="仿宋_GB2312"/>
                <w:sz w:val="24"/>
                <w:szCs w:val="24"/>
              </w:rPr>
              <w:t xml:space="preserve">时分秒   </w:t>
            </w:r>
          </w:p>
        </w:tc>
      </w:tr>
      <w:tr w14:paraId="4E81D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4A00A4C4">
            <w:pPr>
              <w:rPr>
                <w:rFonts w:ascii="仿宋_GB2312" w:eastAsia="仿宋_GB2312"/>
                <w:b/>
                <w:sz w:val="24"/>
                <w:szCs w:val="24"/>
              </w:rPr>
            </w:pPr>
            <w:r>
              <w:rPr>
                <w:rFonts w:hint="eastAsia" w:ascii="仿宋_GB2312" w:eastAsia="仿宋_GB2312"/>
                <w:b/>
                <w:sz w:val="24"/>
                <w:szCs w:val="24"/>
              </w:rPr>
              <w:t>前收盘价格</w:t>
            </w:r>
          </w:p>
        </w:tc>
        <w:tc>
          <w:tcPr>
            <w:tcW w:w="6713" w:type="dxa"/>
            <w:vAlign w:val="center"/>
          </w:tcPr>
          <w:p w14:paraId="67559A82">
            <w:pPr>
              <w:rPr>
                <w:rFonts w:ascii="仿宋_GB2312" w:eastAsia="仿宋_GB2312"/>
                <w:sz w:val="24"/>
                <w:szCs w:val="24"/>
              </w:rPr>
            </w:pPr>
            <w:r>
              <w:rPr>
                <w:rFonts w:hint="eastAsia" w:ascii="仿宋_GB2312" w:eastAsia="仿宋_GB2312"/>
                <w:sz w:val="24"/>
                <w:szCs w:val="24"/>
              </w:rPr>
              <w:t>单位：元（</w:t>
            </w:r>
            <w:r>
              <w:rPr>
                <w:rFonts w:ascii="仿宋_GB2312" w:eastAsia="仿宋_GB2312"/>
                <w:sz w:val="24"/>
                <w:szCs w:val="24"/>
              </w:rPr>
              <w:t>3</w:t>
            </w:r>
            <w:r>
              <w:rPr>
                <w:rFonts w:hint="eastAsia" w:ascii="仿宋_GB2312" w:eastAsia="仿宋_GB2312"/>
                <w:sz w:val="24"/>
                <w:szCs w:val="24"/>
              </w:rPr>
              <w:t>位小数）</w:t>
            </w:r>
          </w:p>
        </w:tc>
      </w:tr>
      <w:tr w14:paraId="36E67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6B4ABDF7">
            <w:pPr>
              <w:rPr>
                <w:rFonts w:ascii="仿宋_GB2312" w:eastAsia="仿宋_GB2312"/>
                <w:b/>
                <w:sz w:val="24"/>
                <w:szCs w:val="24"/>
              </w:rPr>
            </w:pPr>
            <w:r>
              <w:rPr>
                <w:rFonts w:hint="eastAsia" w:ascii="仿宋_GB2312" w:eastAsia="仿宋_GB2312"/>
                <w:b/>
                <w:sz w:val="24"/>
                <w:szCs w:val="24"/>
              </w:rPr>
              <w:t>虚拟开盘价</w:t>
            </w:r>
          </w:p>
        </w:tc>
        <w:tc>
          <w:tcPr>
            <w:tcW w:w="6713" w:type="dxa"/>
            <w:vAlign w:val="center"/>
          </w:tcPr>
          <w:p w14:paraId="6426782B">
            <w:pPr>
              <w:rPr>
                <w:rFonts w:ascii="仿宋_GB2312" w:eastAsia="仿宋_GB2312"/>
                <w:sz w:val="24"/>
                <w:szCs w:val="24"/>
              </w:rPr>
            </w:pPr>
            <w:r>
              <w:rPr>
                <w:rFonts w:hint="eastAsia" w:ascii="仿宋_GB2312" w:eastAsia="仿宋_GB2312"/>
                <w:sz w:val="24"/>
                <w:szCs w:val="24"/>
              </w:rPr>
              <w:t>单位：元（</w:t>
            </w:r>
            <w:r>
              <w:rPr>
                <w:rFonts w:ascii="仿宋_GB2312" w:eastAsia="仿宋_GB2312"/>
                <w:sz w:val="24"/>
                <w:szCs w:val="24"/>
              </w:rPr>
              <w:t>3</w:t>
            </w:r>
            <w:r>
              <w:rPr>
                <w:rFonts w:hint="eastAsia" w:ascii="仿宋_GB2312" w:eastAsia="仿宋_GB2312"/>
                <w:sz w:val="24"/>
                <w:szCs w:val="24"/>
              </w:rPr>
              <w:t>位小数）；仅包括匹配成交申报方式计算出的开盘价。</w:t>
            </w:r>
          </w:p>
        </w:tc>
      </w:tr>
      <w:tr w14:paraId="0ED19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9" w:type="dxa"/>
            <w:vAlign w:val="center"/>
          </w:tcPr>
          <w:p w14:paraId="2F0A4D51">
            <w:pPr>
              <w:rPr>
                <w:rFonts w:ascii="仿宋_GB2312" w:eastAsia="仿宋_GB2312"/>
                <w:b/>
                <w:sz w:val="24"/>
                <w:szCs w:val="24"/>
              </w:rPr>
            </w:pPr>
            <w:r>
              <w:rPr>
                <w:rFonts w:hint="eastAsia" w:ascii="仿宋_GB2312" w:eastAsia="仿宋_GB2312"/>
                <w:b/>
                <w:sz w:val="24"/>
                <w:szCs w:val="24"/>
              </w:rPr>
              <w:t>虚拟匹配量</w:t>
            </w:r>
          </w:p>
        </w:tc>
        <w:tc>
          <w:tcPr>
            <w:tcW w:w="6713" w:type="dxa"/>
            <w:vAlign w:val="center"/>
          </w:tcPr>
          <w:p w14:paraId="6CCE2F20">
            <w:pPr>
              <w:rPr>
                <w:rFonts w:ascii="仿宋_GB2312" w:eastAsia="仿宋_GB2312"/>
                <w:sz w:val="24"/>
                <w:szCs w:val="24"/>
              </w:rPr>
            </w:pPr>
            <w:r>
              <w:rPr>
                <w:rFonts w:hint="eastAsia" w:ascii="仿宋_GB2312" w:eastAsia="仿宋_GB2312"/>
                <w:sz w:val="24"/>
                <w:szCs w:val="24"/>
              </w:rPr>
              <w:t>单位：千元面额（整数）</w:t>
            </w:r>
          </w:p>
        </w:tc>
      </w:tr>
      <w:tr w14:paraId="483F1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4A1FC283">
            <w:pPr>
              <w:rPr>
                <w:rFonts w:ascii="仿宋_GB2312" w:eastAsia="仿宋_GB2312"/>
                <w:b/>
                <w:sz w:val="24"/>
                <w:szCs w:val="24"/>
              </w:rPr>
            </w:pPr>
            <w:r>
              <w:rPr>
                <w:rFonts w:hint="eastAsia" w:ascii="仿宋_GB2312" w:eastAsia="仿宋_GB2312"/>
                <w:b/>
                <w:sz w:val="24"/>
                <w:szCs w:val="24"/>
              </w:rPr>
              <w:t>虚拟未匹配量</w:t>
            </w:r>
          </w:p>
        </w:tc>
        <w:tc>
          <w:tcPr>
            <w:tcW w:w="6713" w:type="dxa"/>
            <w:vAlign w:val="center"/>
          </w:tcPr>
          <w:p w14:paraId="5DA853F3">
            <w:pPr>
              <w:rPr>
                <w:rFonts w:ascii="仿宋_GB2312" w:eastAsia="仿宋_GB2312"/>
                <w:sz w:val="24"/>
                <w:szCs w:val="24"/>
              </w:rPr>
            </w:pPr>
            <w:r>
              <w:rPr>
                <w:rFonts w:hint="eastAsia" w:ascii="仿宋_GB2312" w:eastAsia="仿宋_GB2312"/>
                <w:sz w:val="24"/>
                <w:szCs w:val="24"/>
              </w:rPr>
              <w:t>单位：千元面额（整数）</w:t>
            </w:r>
          </w:p>
        </w:tc>
      </w:tr>
      <w:tr w14:paraId="1504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14:paraId="1FBA3A47">
            <w:pPr>
              <w:rPr>
                <w:rFonts w:ascii="仿宋_GB2312" w:eastAsia="仿宋_GB2312"/>
                <w:b/>
                <w:sz w:val="24"/>
                <w:szCs w:val="24"/>
              </w:rPr>
            </w:pPr>
            <w:r>
              <w:rPr>
                <w:rFonts w:hint="eastAsia" w:ascii="仿宋_GB2312" w:eastAsia="仿宋_GB2312"/>
                <w:b/>
                <w:sz w:val="24"/>
                <w:szCs w:val="24"/>
              </w:rPr>
              <w:t>虚拟未匹配量申报方向</w:t>
            </w:r>
          </w:p>
        </w:tc>
        <w:tc>
          <w:tcPr>
            <w:tcW w:w="6713" w:type="dxa"/>
          </w:tcPr>
          <w:p w14:paraId="541B32CF">
            <w:pPr>
              <w:rPr>
                <w:rFonts w:ascii="仿宋_GB2312" w:eastAsia="仿宋_GB2312"/>
                <w:b/>
                <w:sz w:val="24"/>
                <w:szCs w:val="24"/>
              </w:rPr>
            </w:pPr>
          </w:p>
        </w:tc>
      </w:tr>
    </w:tbl>
    <w:p w14:paraId="5804646A">
      <w:pPr>
        <w:spacing w:line="600" w:lineRule="exact"/>
        <w:ind w:firstLine="600" w:firstLineChars="200"/>
        <w:contextualSpacing/>
        <w:jc w:val="left"/>
        <w:rPr>
          <w:rFonts w:ascii="仿宋_GB2312" w:hAnsi="宋体" w:eastAsia="仿宋_GB2312" w:cs="宋体"/>
          <w:kern w:val="0"/>
          <w:sz w:val="30"/>
          <w:szCs w:val="30"/>
        </w:rPr>
      </w:pPr>
      <w:r>
        <w:rPr>
          <w:rFonts w:hint="eastAsia" w:ascii="仿宋_GB2312" w:hAnsi="宋体" w:eastAsia="仿宋_GB2312" w:cs="宋体"/>
          <w:kern w:val="0"/>
          <w:sz w:val="30"/>
          <w:szCs w:val="30"/>
        </w:rPr>
        <w:t>虚拟开盘价是指</w:t>
      </w:r>
      <w:r>
        <w:rPr>
          <w:rFonts w:hint="eastAsia" w:ascii="Calibri" w:hAnsi="Calibri" w:eastAsia="仿宋_GB2312"/>
          <w:color w:val="000000"/>
          <w:sz w:val="30"/>
          <w:szCs w:val="30"/>
        </w:rPr>
        <w:t>截至揭示时所有有效申报按照集合匹配规则虚拟</w:t>
      </w:r>
      <w:r>
        <w:rPr>
          <w:rFonts w:hint="eastAsia" w:ascii="仿宋_GB2312" w:hAnsi="Calibri" w:eastAsia="仿宋_GB2312"/>
          <w:color w:val="000000"/>
          <w:sz w:val="30"/>
          <w:szCs w:val="30"/>
        </w:rPr>
        <w:t>成交并予以即时揭示的价格</w:t>
      </w:r>
      <w:r>
        <w:rPr>
          <w:rFonts w:hint="eastAsia" w:ascii="仿宋_GB2312" w:hAnsi="宋体" w:eastAsia="仿宋_GB2312" w:cs="宋体"/>
          <w:kern w:val="0"/>
          <w:sz w:val="30"/>
          <w:szCs w:val="30"/>
        </w:rPr>
        <w:t>。</w:t>
      </w:r>
    </w:p>
    <w:p w14:paraId="0A117519">
      <w:pPr>
        <w:spacing w:line="600" w:lineRule="exact"/>
        <w:ind w:firstLine="600" w:firstLineChars="200"/>
        <w:contextualSpacing/>
        <w:jc w:val="left"/>
        <w:rPr>
          <w:rFonts w:ascii="仿宋_GB2312" w:hAnsi="宋体" w:eastAsia="仿宋_GB2312" w:cs="宋体"/>
          <w:b/>
          <w:bCs/>
          <w:kern w:val="0"/>
          <w:sz w:val="30"/>
          <w:szCs w:val="30"/>
        </w:rPr>
      </w:pPr>
      <w:r>
        <w:rPr>
          <w:rFonts w:hint="eastAsia" w:ascii="仿宋_GB2312" w:hAnsi="宋体" w:eastAsia="仿宋_GB2312" w:cs="宋体"/>
          <w:kern w:val="0"/>
          <w:sz w:val="30"/>
          <w:szCs w:val="30"/>
        </w:rPr>
        <w:t>虚拟匹配量是指</w:t>
      </w:r>
      <w:r>
        <w:rPr>
          <w:rFonts w:hint="eastAsia" w:ascii="仿宋_GB2312" w:hAnsi="Times" w:eastAsia="仿宋_GB2312"/>
          <w:color w:val="000000"/>
          <w:sz w:val="30"/>
          <w:szCs w:val="30"/>
        </w:rPr>
        <w:t>截至揭示时按照</w:t>
      </w:r>
      <w:r>
        <w:rPr>
          <w:rFonts w:hint="eastAsia" w:ascii="仿宋_GB2312" w:hAnsi="宋体" w:eastAsia="仿宋_GB2312" w:cs="宋体"/>
          <w:color w:val="000000"/>
          <w:kern w:val="0"/>
          <w:sz w:val="30"/>
          <w:szCs w:val="30"/>
        </w:rPr>
        <w:t>集合匹配参考价格</w:t>
      </w:r>
      <w:r>
        <w:rPr>
          <w:rFonts w:hint="eastAsia" w:ascii="仿宋_GB2312" w:hAnsi="Calibri" w:eastAsia="仿宋_GB2312"/>
          <w:color w:val="000000"/>
          <w:sz w:val="30"/>
          <w:szCs w:val="30"/>
        </w:rPr>
        <w:t>虚拟成交并予以即时揭示的申报数量</w:t>
      </w:r>
      <w:r>
        <w:rPr>
          <w:rFonts w:hint="eastAsia" w:ascii="仿宋_GB2312" w:hAnsi="宋体" w:eastAsia="仿宋_GB2312" w:cs="宋体"/>
          <w:kern w:val="0"/>
          <w:sz w:val="30"/>
          <w:szCs w:val="30"/>
        </w:rPr>
        <w:t>。</w:t>
      </w:r>
    </w:p>
    <w:p w14:paraId="459F926C">
      <w:pPr>
        <w:spacing w:line="600" w:lineRule="exact"/>
        <w:ind w:firstLine="600" w:firstLineChars="200"/>
        <w:contextualSpacing/>
        <w:jc w:val="left"/>
        <w:rPr>
          <w:rFonts w:ascii="仿宋_GB2312" w:hAnsi="宋体" w:eastAsia="仿宋_GB2312" w:cs="宋体"/>
          <w:kern w:val="0"/>
          <w:sz w:val="30"/>
          <w:szCs w:val="30"/>
        </w:rPr>
      </w:pPr>
      <w:r>
        <w:rPr>
          <w:rFonts w:hint="eastAsia" w:ascii="仿宋_GB2312" w:hAnsi="宋体" w:eastAsia="仿宋_GB2312" w:cs="宋体"/>
          <w:kern w:val="0"/>
          <w:sz w:val="30"/>
          <w:szCs w:val="30"/>
        </w:rPr>
        <w:t>虚拟未匹配量是指</w:t>
      </w:r>
      <w:r>
        <w:rPr>
          <w:rFonts w:hint="eastAsia" w:ascii="仿宋_GB2312" w:hAnsi="Calibri" w:eastAsia="仿宋_GB2312"/>
          <w:color w:val="000000"/>
          <w:sz w:val="30"/>
          <w:szCs w:val="30"/>
        </w:rPr>
        <w:t>截至揭示时未能按照</w:t>
      </w:r>
      <w:r>
        <w:rPr>
          <w:rFonts w:hint="eastAsia" w:ascii="仿宋_GB2312" w:hAnsi="宋体" w:eastAsia="仿宋_GB2312" w:cs="宋体"/>
          <w:color w:val="000000"/>
          <w:kern w:val="0"/>
          <w:sz w:val="30"/>
          <w:szCs w:val="30"/>
        </w:rPr>
        <w:t>集合匹配参考价格</w:t>
      </w:r>
      <w:r>
        <w:rPr>
          <w:rFonts w:hint="eastAsia" w:ascii="仿宋_GB2312" w:hAnsi="Calibri" w:eastAsia="仿宋_GB2312"/>
          <w:color w:val="000000"/>
          <w:sz w:val="30"/>
          <w:szCs w:val="30"/>
        </w:rPr>
        <w:t>虚拟成交并予以即时揭示的买方或卖方剩余申报数量</w:t>
      </w:r>
      <w:r>
        <w:rPr>
          <w:rFonts w:hint="eastAsia" w:ascii="仿宋_GB2312" w:hAnsi="宋体" w:eastAsia="仿宋_GB2312" w:cs="宋体"/>
          <w:kern w:val="0"/>
          <w:sz w:val="30"/>
          <w:szCs w:val="30"/>
        </w:rPr>
        <w:t>。</w:t>
      </w:r>
    </w:p>
    <w:p w14:paraId="36F1C215">
      <w:pPr>
        <w:spacing w:line="600" w:lineRule="exact"/>
        <w:ind w:firstLine="600" w:firstLineChars="200"/>
        <w:contextualSpacing/>
        <w:jc w:val="left"/>
        <w:rPr>
          <w:rFonts w:ascii="仿宋_GB2312" w:hAnsi="Calibri" w:eastAsia="仿宋_GB2312"/>
          <w:sz w:val="30"/>
          <w:szCs w:val="30"/>
        </w:rPr>
      </w:pPr>
      <w:r>
        <w:rPr>
          <w:rFonts w:hint="eastAsia" w:ascii="仿宋_GB2312" w:hAnsi="Calibri" w:eastAsia="仿宋_GB2312"/>
          <w:sz w:val="30"/>
          <w:szCs w:val="30"/>
        </w:rPr>
        <w:t>2）连续匹配</w:t>
      </w:r>
    </w:p>
    <w:p w14:paraId="0456BE21">
      <w:pPr>
        <w:spacing w:line="600" w:lineRule="exact"/>
        <w:ind w:firstLine="600" w:firstLineChars="200"/>
        <w:contextualSpacing/>
        <w:rPr>
          <w:rFonts w:ascii="仿宋_GB2312" w:hAnsi="宋体" w:eastAsia="仿宋_GB2312"/>
          <w:sz w:val="30"/>
          <w:szCs w:val="30"/>
        </w:rPr>
      </w:pPr>
      <w:r>
        <w:rPr>
          <w:rFonts w:hint="eastAsia" w:ascii="仿宋_GB2312" w:hAnsi="宋体" w:eastAsia="仿宋_GB2312"/>
          <w:sz w:val="30"/>
          <w:szCs w:val="30"/>
        </w:rPr>
        <w:t>连续匹配阶段，</w:t>
      </w:r>
      <w:r>
        <w:rPr>
          <w:rFonts w:hint="eastAsia" w:ascii="仿宋_GB2312" w:hAnsi="宋体" w:eastAsia="仿宋_GB2312" w:cs="宋体"/>
          <w:kern w:val="0"/>
          <w:sz w:val="30"/>
          <w:szCs w:val="30"/>
        </w:rPr>
        <w:t>本所通过</w:t>
      </w:r>
      <w:r>
        <w:rPr>
          <w:rFonts w:hint="eastAsia" w:ascii="仿宋_GB2312" w:hAnsi="宋体" w:eastAsia="仿宋_GB2312"/>
          <w:sz w:val="30"/>
          <w:szCs w:val="30"/>
        </w:rPr>
        <w:t>发送截片行情向市场实时发布</w:t>
      </w:r>
      <w:r>
        <w:rPr>
          <w:rFonts w:hint="eastAsia" w:ascii="仿宋_GB2312" w:hAnsi="宋体" w:eastAsia="仿宋_GB2312" w:cs="宋体"/>
          <w:kern w:val="0"/>
          <w:sz w:val="30"/>
          <w:szCs w:val="30"/>
        </w:rPr>
        <w:t>债券现券的五档行情信息，</w:t>
      </w:r>
      <w:r>
        <w:rPr>
          <w:rFonts w:hint="eastAsia" w:ascii="仿宋_GB2312" w:hAnsi="宋体" w:eastAsia="仿宋_GB2312"/>
          <w:sz w:val="30"/>
          <w:szCs w:val="30"/>
        </w:rPr>
        <w:t>包括连续匹配最优五档买卖申报时间、价格及数量等信息。具体如下：</w:t>
      </w:r>
    </w:p>
    <w:tbl>
      <w:tblPr>
        <w:tblStyle w:val="43"/>
        <w:tblW w:w="7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6"/>
        <w:gridCol w:w="5493"/>
      </w:tblGrid>
      <w:tr w14:paraId="2473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2316" w:type="dxa"/>
            <w:shd w:val="clear" w:color="auto" w:fill="E6E6E6"/>
            <w:vAlign w:val="center"/>
          </w:tcPr>
          <w:p w14:paraId="12FC23E2">
            <w:pPr>
              <w:rPr>
                <w:rFonts w:ascii="仿宋_GB2312" w:eastAsia="仿宋_GB2312"/>
                <w:b/>
                <w:sz w:val="24"/>
                <w:szCs w:val="24"/>
              </w:rPr>
            </w:pPr>
            <w:r>
              <w:rPr>
                <w:rFonts w:hint="eastAsia" w:ascii="仿宋_GB2312" w:eastAsia="仿宋_GB2312"/>
                <w:b/>
                <w:sz w:val="24"/>
                <w:szCs w:val="24"/>
              </w:rPr>
              <w:t>要素名称</w:t>
            </w:r>
          </w:p>
        </w:tc>
        <w:tc>
          <w:tcPr>
            <w:tcW w:w="5493" w:type="dxa"/>
            <w:shd w:val="clear" w:color="auto" w:fill="E6E6E6"/>
            <w:vAlign w:val="center"/>
          </w:tcPr>
          <w:p w14:paraId="181D0879">
            <w:pPr>
              <w:rPr>
                <w:rFonts w:ascii="仿宋_GB2312" w:eastAsia="仿宋_GB2312"/>
                <w:b/>
                <w:sz w:val="24"/>
                <w:szCs w:val="24"/>
              </w:rPr>
            </w:pPr>
            <w:r>
              <w:rPr>
                <w:rFonts w:hint="eastAsia" w:ascii="仿宋_GB2312" w:eastAsia="仿宋_GB2312"/>
                <w:b/>
                <w:sz w:val="24"/>
                <w:szCs w:val="24"/>
              </w:rPr>
              <w:t>要素说明</w:t>
            </w:r>
          </w:p>
        </w:tc>
      </w:tr>
      <w:tr w14:paraId="15C63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vAlign w:val="center"/>
          </w:tcPr>
          <w:p w14:paraId="7A53A26F">
            <w:pPr>
              <w:rPr>
                <w:rFonts w:ascii="仿宋_GB2312" w:eastAsia="仿宋_GB2312"/>
                <w:b/>
                <w:sz w:val="24"/>
                <w:szCs w:val="24"/>
              </w:rPr>
            </w:pPr>
            <w:r>
              <w:rPr>
                <w:rFonts w:hint="eastAsia" w:ascii="仿宋_GB2312" w:eastAsia="仿宋_GB2312"/>
                <w:b/>
                <w:sz w:val="24"/>
                <w:szCs w:val="24"/>
              </w:rPr>
              <w:t>证券代码</w:t>
            </w:r>
          </w:p>
        </w:tc>
        <w:tc>
          <w:tcPr>
            <w:tcW w:w="5493" w:type="dxa"/>
            <w:vAlign w:val="center"/>
          </w:tcPr>
          <w:p w14:paraId="2C1F82AE">
            <w:pPr>
              <w:rPr>
                <w:rFonts w:ascii="仿宋_GB2312" w:eastAsia="仿宋_GB2312"/>
                <w:sz w:val="24"/>
                <w:szCs w:val="24"/>
              </w:rPr>
            </w:pPr>
            <w:r>
              <w:rPr>
                <w:rFonts w:hint="eastAsia" w:ascii="仿宋_GB2312" w:eastAsia="仿宋_GB2312"/>
                <w:sz w:val="24"/>
                <w:szCs w:val="24"/>
              </w:rPr>
              <w:t>债券代码</w:t>
            </w:r>
          </w:p>
        </w:tc>
      </w:tr>
      <w:tr w14:paraId="6CCEE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vAlign w:val="center"/>
          </w:tcPr>
          <w:p w14:paraId="79673DFD">
            <w:pPr>
              <w:rPr>
                <w:rFonts w:ascii="仿宋_GB2312" w:eastAsia="仿宋_GB2312"/>
                <w:b/>
                <w:sz w:val="24"/>
                <w:szCs w:val="24"/>
              </w:rPr>
            </w:pPr>
            <w:r>
              <w:rPr>
                <w:rFonts w:hint="eastAsia" w:ascii="仿宋_GB2312" w:eastAsia="仿宋_GB2312"/>
                <w:b/>
                <w:sz w:val="24"/>
                <w:szCs w:val="24"/>
              </w:rPr>
              <w:t>证券简称</w:t>
            </w:r>
          </w:p>
        </w:tc>
        <w:tc>
          <w:tcPr>
            <w:tcW w:w="5493" w:type="dxa"/>
            <w:vAlign w:val="center"/>
          </w:tcPr>
          <w:p w14:paraId="1B079159">
            <w:pPr>
              <w:rPr>
                <w:rFonts w:ascii="仿宋_GB2312" w:eastAsia="仿宋_GB2312"/>
                <w:sz w:val="24"/>
                <w:szCs w:val="24"/>
              </w:rPr>
            </w:pPr>
            <w:r>
              <w:rPr>
                <w:rFonts w:hint="eastAsia" w:ascii="仿宋_GB2312" w:eastAsia="仿宋_GB2312"/>
                <w:sz w:val="24"/>
                <w:szCs w:val="24"/>
              </w:rPr>
              <w:t>债券简称</w:t>
            </w:r>
          </w:p>
        </w:tc>
      </w:tr>
      <w:tr w14:paraId="7C6B6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vAlign w:val="center"/>
          </w:tcPr>
          <w:p w14:paraId="0B8EE968">
            <w:pPr>
              <w:rPr>
                <w:rFonts w:ascii="仿宋_GB2312" w:eastAsia="仿宋_GB2312"/>
                <w:b/>
                <w:sz w:val="24"/>
                <w:szCs w:val="24"/>
              </w:rPr>
            </w:pPr>
            <w:r>
              <w:rPr>
                <w:rFonts w:hint="eastAsia" w:ascii="仿宋_GB2312" w:eastAsia="仿宋_GB2312"/>
                <w:b/>
                <w:sz w:val="24"/>
                <w:szCs w:val="24"/>
              </w:rPr>
              <w:t>交易日期</w:t>
            </w:r>
          </w:p>
        </w:tc>
        <w:tc>
          <w:tcPr>
            <w:tcW w:w="5493" w:type="dxa"/>
          </w:tcPr>
          <w:p w14:paraId="42E67433">
            <w:pPr>
              <w:rPr>
                <w:rFonts w:ascii="仿宋_GB2312" w:eastAsia="仿宋_GB2312"/>
                <w:sz w:val="24"/>
                <w:szCs w:val="24"/>
              </w:rPr>
            </w:pPr>
            <w:r>
              <w:rPr>
                <w:rFonts w:hint="eastAsia" w:ascii="仿宋_GB2312" w:eastAsia="仿宋_GB2312"/>
                <w:sz w:val="24"/>
                <w:szCs w:val="24"/>
              </w:rPr>
              <w:t>年月日</w:t>
            </w:r>
          </w:p>
        </w:tc>
      </w:tr>
      <w:tr w14:paraId="110DB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vAlign w:val="center"/>
          </w:tcPr>
          <w:p w14:paraId="22938499">
            <w:pPr>
              <w:rPr>
                <w:rFonts w:ascii="仿宋_GB2312" w:eastAsia="仿宋_GB2312"/>
                <w:b/>
                <w:sz w:val="24"/>
                <w:szCs w:val="24"/>
              </w:rPr>
            </w:pPr>
            <w:r>
              <w:rPr>
                <w:rFonts w:hint="eastAsia" w:ascii="仿宋_GB2312" w:eastAsia="仿宋_GB2312"/>
                <w:b/>
                <w:sz w:val="24"/>
                <w:szCs w:val="24"/>
              </w:rPr>
              <w:t>交易时间</w:t>
            </w:r>
          </w:p>
        </w:tc>
        <w:tc>
          <w:tcPr>
            <w:tcW w:w="5493" w:type="dxa"/>
          </w:tcPr>
          <w:p w14:paraId="562084C7">
            <w:pPr>
              <w:rPr>
                <w:rFonts w:ascii="仿宋_GB2312" w:eastAsia="仿宋_GB2312"/>
                <w:sz w:val="24"/>
                <w:szCs w:val="24"/>
              </w:rPr>
            </w:pPr>
            <w:r>
              <w:rPr>
                <w:rFonts w:hint="eastAsia" w:ascii="仿宋_GB2312" w:eastAsia="仿宋_GB2312"/>
                <w:sz w:val="24"/>
                <w:szCs w:val="24"/>
              </w:rPr>
              <w:t xml:space="preserve">时分秒   </w:t>
            </w:r>
          </w:p>
        </w:tc>
      </w:tr>
      <w:tr w14:paraId="0C8DB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tcPr>
          <w:p w14:paraId="511740EE">
            <w:pPr>
              <w:rPr>
                <w:rFonts w:ascii="仿宋_GB2312" w:eastAsia="仿宋_GB2312"/>
                <w:b/>
                <w:sz w:val="24"/>
                <w:szCs w:val="24"/>
              </w:rPr>
            </w:pPr>
            <w:r>
              <w:rPr>
                <w:rFonts w:hint="eastAsia" w:ascii="仿宋_GB2312" w:eastAsia="仿宋_GB2312"/>
                <w:b/>
                <w:sz w:val="24"/>
                <w:szCs w:val="24"/>
              </w:rPr>
              <w:t>申买价</w:t>
            </w:r>
          </w:p>
          <w:p w14:paraId="73613F66">
            <w:pPr>
              <w:rPr>
                <w:rFonts w:ascii="仿宋_GB2312" w:eastAsia="仿宋_GB2312"/>
                <w:b/>
                <w:sz w:val="24"/>
                <w:szCs w:val="24"/>
              </w:rPr>
            </w:pPr>
            <w:r>
              <w:rPr>
                <w:rFonts w:hint="eastAsia" w:ascii="仿宋_GB2312" w:eastAsia="仿宋_GB2312"/>
                <w:b/>
                <w:sz w:val="24"/>
                <w:szCs w:val="24"/>
              </w:rPr>
              <w:t>一/二/三/四/五</w:t>
            </w:r>
          </w:p>
        </w:tc>
        <w:tc>
          <w:tcPr>
            <w:tcW w:w="5493" w:type="dxa"/>
            <w:vAlign w:val="center"/>
          </w:tcPr>
          <w:p w14:paraId="142DCC97">
            <w:pPr>
              <w:rPr>
                <w:rFonts w:ascii="仿宋_GB2312" w:eastAsia="仿宋_GB2312"/>
                <w:sz w:val="24"/>
                <w:szCs w:val="24"/>
              </w:rPr>
            </w:pPr>
            <w:r>
              <w:rPr>
                <w:rFonts w:hint="eastAsia" w:ascii="仿宋_GB2312" w:eastAsia="仿宋_GB2312"/>
                <w:sz w:val="24"/>
                <w:szCs w:val="24"/>
              </w:rPr>
              <w:t>单位：元（</w:t>
            </w:r>
            <w:r>
              <w:rPr>
                <w:rFonts w:ascii="仿宋_GB2312" w:eastAsia="仿宋_GB2312"/>
                <w:sz w:val="24"/>
                <w:szCs w:val="24"/>
              </w:rPr>
              <w:t>3</w:t>
            </w:r>
            <w:r>
              <w:rPr>
                <w:rFonts w:hint="eastAsia" w:ascii="仿宋_GB2312" w:eastAsia="仿宋_GB2312"/>
                <w:sz w:val="24"/>
                <w:szCs w:val="24"/>
              </w:rPr>
              <w:t>位小数）</w:t>
            </w:r>
          </w:p>
        </w:tc>
      </w:tr>
      <w:tr w14:paraId="1784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tcPr>
          <w:p w14:paraId="35B64F76">
            <w:pPr>
              <w:rPr>
                <w:rFonts w:ascii="仿宋_GB2312" w:eastAsia="仿宋_GB2312"/>
                <w:b/>
                <w:sz w:val="24"/>
                <w:szCs w:val="24"/>
              </w:rPr>
            </w:pPr>
            <w:r>
              <w:rPr>
                <w:rFonts w:hint="eastAsia" w:ascii="仿宋_GB2312" w:eastAsia="仿宋_GB2312"/>
                <w:b/>
                <w:sz w:val="24"/>
                <w:szCs w:val="24"/>
              </w:rPr>
              <w:t>申买数量</w:t>
            </w:r>
          </w:p>
          <w:p w14:paraId="4DEE63F4">
            <w:pPr>
              <w:rPr>
                <w:rFonts w:ascii="仿宋_GB2312" w:eastAsia="仿宋_GB2312"/>
                <w:b/>
                <w:sz w:val="24"/>
                <w:szCs w:val="24"/>
              </w:rPr>
            </w:pPr>
            <w:r>
              <w:rPr>
                <w:rFonts w:hint="eastAsia" w:ascii="仿宋_GB2312" w:eastAsia="仿宋_GB2312"/>
                <w:b/>
                <w:sz w:val="24"/>
                <w:szCs w:val="24"/>
              </w:rPr>
              <w:t>一/二/三/四/五</w:t>
            </w:r>
          </w:p>
        </w:tc>
        <w:tc>
          <w:tcPr>
            <w:tcW w:w="5493" w:type="dxa"/>
            <w:vAlign w:val="center"/>
          </w:tcPr>
          <w:p w14:paraId="3356C8BB">
            <w:pPr>
              <w:rPr>
                <w:rFonts w:ascii="仿宋_GB2312" w:eastAsia="仿宋_GB2312"/>
                <w:sz w:val="24"/>
                <w:szCs w:val="24"/>
              </w:rPr>
            </w:pPr>
            <w:r>
              <w:rPr>
                <w:rFonts w:hint="eastAsia" w:ascii="仿宋_GB2312" w:eastAsia="仿宋_GB2312"/>
                <w:sz w:val="24"/>
                <w:szCs w:val="24"/>
              </w:rPr>
              <w:t>单位：千元面额（整数）</w:t>
            </w:r>
          </w:p>
        </w:tc>
      </w:tr>
      <w:tr w14:paraId="0DCD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tcPr>
          <w:p w14:paraId="0A413C1D">
            <w:pPr>
              <w:rPr>
                <w:rFonts w:ascii="仿宋_GB2312" w:eastAsia="仿宋_GB2312"/>
                <w:b/>
                <w:sz w:val="24"/>
                <w:szCs w:val="24"/>
              </w:rPr>
            </w:pPr>
            <w:r>
              <w:rPr>
                <w:rFonts w:hint="eastAsia" w:ascii="仿宋_GB2312" w:eastAsia="仿宋_GB2312"/>
                <w:b/>
                <w:sz w:val="24"/>
                <w:szCs w:val="24"/>
              </w:rPr>
              <w:t>申卖价</w:t>
            </w:r>
          </w:p>
          <w:p w14:paraId="1C9DD2C7">
            <w:pPr>
              <w:rPr>
                <w:rFonts w:ascii="仿宋_GB2312" w:eastAsia="仿宋_GB2312"/>
                <w:b/>
                <w:sz w:val="24"/>
                <w:szCs w:val="24"/>
              </w:rPr>
            </w:pPr>
            <w:r>
              <w:rPr>
                <w:rFonts w:hint="eastAsia" w:ascii="仿宋_GB2312" w:eastAsia="仿宋_GB2312"/>
                <w:b/>
                <w:sz w:val="24"/>
                <w:szCs w:val="24"/>
              </w:rPr>
              <w:t>一/二/三/四/五</w:t>
            </w:r>
          </w:p>
        </w:tc>
        <w:tc>
          <w:tcPr>
            <w:tcW w:w="5493" w:type="dxa"/>
            <w:vAlign w:val="center"/>
          </w:tcPr>
          <w:p w14:paraId="36CC2BDC">
            <w:pPr>
              <w:rPr>
                <w:rFonts w:ascii="仿宋_GB2312" w:eastAsia="仿宋_GB2312"/>
                <w:sz w:val="24"/>
                <w:szCs w:val="24"/>
              </w:rPr>
            </w:pPr>
            <w:r>
              <w:rPr>
                <w:rFonts w:hint="eastAsia" w:ascii="仿宋_GB2312" w:eastAsia="仿宋_GB2312"/>
                <w:sz w:val="24"/>
                <w:szCs w:val="24"/>
              </w:rPr>
              <w:t>单位：元（</w:t>
            </w:r>
            <w:r>
              <w:rPr>
                <w:rFonts w:ascii="仿宋_GB2312" w:eastAsia="仿宋_GB2312"/>
                <w:sz w:val="24"/>
                <w:szCs w:val="24"/>
              </w:rPr>
              <w:t>3</w:t>
            </w:r>
            <w:r>
              <w:rPr>
                <w:rFonts w:hint="eastAsia" w:ascii="仿宋_GB2312" w:eastAsia="仿宋_GB2312"/>
                <w:sz w:val="24"/>
                <w:szCs w:val="24"/>
              </w:rPr>
              <w:t>位小数）</w:t>
            </w:r>
          </w:p>
        </w:tc>
      </w:tr>
      <w:tr w14:paraId="0A2D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tcPr>
          <w:p w14:paraId="44F98E61">
            <w:pPr>
              <w:rPr>
                <w:rFonts w:ascii="仿宋_GB2312" w:eastAsia="仿宋_GB2312"/>
                <w:b/>
                <w:sz w:val="24"/>
                <w:szCs w:val="24"/>
              </w:rPr>
            </w:pPr>
            <w:r>
              <w:rPr>
                <w:rFonts w:hint="eastAsia" w:ascii="仿宋_GB2312" w:eastAsia="仿宋_GB2312"/>
                <w:b/>
                <w:sz w:val="24"/>
                <w:szCs w:val="24"/>
              </w:rPr>
              <w:t>申卖数量</w:t>
            </w:r>
          </w:p>
          <w:p w14:paraId="26AD4686">
            <w:pPr>
              <w:rPr>
                <w:rFonts w:ascii="仿宋_GB2312" w:eastAsia="仿宋_GB2312"/>
                <w:b/>
                <w:sz w:val="24"/>
                <w:szCs w:val="24"/>
              </w:rPr>
            </w:pPr>
            <w:r>
              <w:rPr>
                <w:rFonts w:hint="eastAsia" w:ascii="仿宋_GB2312" w:eastAsia="仿宋_GB2312"/>
                <w:b/>
                <w:sz w:val="24"/>
                <w:szCs w:val="24"/>
              </w:rPr>
              <w:t>一/二/三/四/五</w:t>
            </w:r>
          </w:p>
        </w:tc>
        <w:tc>
          <w:tcPr>
            <w:tcW w:w="5493" w:type="dxa"/>
            <w:vAlign w:val="center"/>
          </w:tcPr>
          <w:p w14:paraId="75C3EDE1">
            <w:pPr>
              <w:rPr>
                <w:rFonts w:ascii="仿宋_GB2312" w:eastAsia="仿宋_GB2312"/>
                <w:sz w:val="24"/>
                <w:szCs w:val="24"/>
              </w:rPr>
            </w:pPr>
            <w:r>
              <w:rPr>
                <w:rFonts w:hint="eastAsia" w:ascii="仿宋_GB2312" w:eastAsia="仿宋_GB2312"/>
                <w:sz w:val="24"/>
                <w:szCs w:val="24"/>
              </w:rPr>
              <w:t>单位：千元面额（整数）</w:t>
            </w:r>
          </w:p>
        </w:tc>
      </w:tr>
    </w:tbl>
    <w:p w14:paraId="01FD4288">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（2）通用回购</w:t>
      </w:r>
    </w:p>
    <w:p w14:paraId="598E59FD">
      <w:pPr>
        <w:spacing w:line="600" w:lineRule="exact"/>
        <w:ind w:firstLine="564" w:firstLineChars="188"/>
        <w:rPr>
          <w:rFonts w:ascii="仿宋_GB2312" w:hAnsi="Calibri" w:eastAsia="仿宋_GB2312"/>
          <w:b/>
          <w:sz w:val="30"/>
          <w:szCs w:val="30"/>
        </w:rPr>
      </w:pPr>
      <w:r>
        <w:rPr>
          <w:rFonts w:hint="eastAsia" w:ascii="仿宋_GB2312" w:hAnsi="宋体" w:eastAsia="仿宋_GB2312"/>
          <w:sz w:val="30"/>
          <w:szCs w:val="30"/>
        </w:rPr>
        <w:t>本所在每个交易日的交易时间内，向全市场公开发布通过匹配成交交易方式提交的通用回购交易的实时截片行情。</w:t>
      </w:r>
    </w:p>
    <w:p w14:paraId="61578B16">
      <w:pPr>
        <w:spacing w:line="600" w:lineRule="exact"/>
        <w:ind w:firstLine="600"/>
        <w:jc w:val="left"/>
        <w:rPr>
          <w:rFonts w:ascii="仿宋_GB2312" w:hAnsi="Calibri" w:eastAsia="仿宋_GB2312"/>
          <w:sz w:val="30"/>
          <w:szCs w:val="30"/>
        </w:rPr>
      </w:pPr>
      <w:r>
        <w:rPr>
          <w:rFonts w:hint="eastAsia" w:ascii="仿宋_GB2312" w:hAnsi="Calibri" w:eastAsia="仿宋_GB2312"/>
          <w:sz w:val="30"/>
          <w:szCs w:val="30"/>
        </w:rPr>
        <w:t>1）集合匹配</w:t>
      </w:r>
    </w:p>
    <w:p w14:paraId="691C0505">
      <w:pPr>
        <w:widowControl/>
        <w:spacing w:line="600" w:lineRule="exact"/>
        <w:ind w:firstLine="564" w:firstLineChars="188"/>
        <w:jc w:val="left"/>
        <w:rPr>
          <w:rFonts w:ascii="仿宋_GB2312" w:hAnsi="宋体" w:eastAsia="仿宋_GB2312" w:cs="宋体"/>
          <w:kern w:val="0"/>
          <w:sz w:val="30"/>
          <w:szCs w:val="30"/>
        </w:rPr>
      </w:pPr>
      <w:r>
        <w:rPr>
          <w:rFonts w:hint="eastAsia" w:ascii="仿宋_GB2312" w:hAnsi="宋体" w:eastAsia="仿宋_GB2312" w:cs="宋体"/>
          <w:kern w:val="0"/>
          <w:sz w:val="30"/>
          <w:szCs w:val="30"/>
        </w:rPr>
        <w:t>集合匹配阶段，本所通过</w:t>
      </w:r>
      <w:r>
        <w:rPr>
          <w:rFonts w:hint="eastAsia" w:ascii="仿宋_GB2312" w:hAnsi="宋体" w:eastAsia="仿宋_GB2312"/>
          <w:sz w:val="30"/>
          <w:szCs w:val="30"/>
        </w:rPr>
        <w:t>发送截片行情向市场实时发布</w:t>
      </w:r>
      <w:r>
        <w:rPr>
          <w:rFonts w:hint="eastAsia" w:ascii="仿宋_GB2312" w:hAnsi="宋体" w:eastAsia="仿宋_GB2312" w:cs="宋体"/>
          <w:kern w:val="0"/>
          <w:sz w:val="30"/>
          <w:szCs w:val="30"/>
        </w:rPr>
        <w:t>通用回购的虚拟集合匹配结果，</w:t>
      </w:r>
      <w:r>
        <w:rPr>
          <w:rFonts w:hint="eastAsia" w:ascii="仿宋_GB2312" w:hAnsi="宋体" w:eastAsia="仿宋_GB2312"/>
          <w:sz w:val="30"/>
          <w:szCs w:val="30"/>
        </w:rPr>
        <w:t>前述截片行情信息</w:t>
      </w:r>
      <w:r>
        <w:rPr>
          <w:rFonts w:hint="eastAsia" w:ascii="仿宋_GB2312" w:hAnsi="宋体" w:eastAsia="仿宋_GB2312" w:cs="宋体"/>
          <w:kern w:val="0"/>
          <w:sz w:val="30"/>
          <w:szCs w:val="30"/>
        </w:rPr>
        <w:t>包</w:t>
      </w:r>
      <w:r>
        <w:rPr>
          <w:rFonts w:hint="eastAsia" w:ascii="仿宋_GB2312" w:hAnsi="宋体" w:eastAsia="仿宋_GB2312"/>
          <w:sz w:val="30"/>
          <w:szCs w:val="30"/>
        </w:rPr>
        <w:t>括昨日收盘利率、虚拟开盘利率、虚拟匹配金额、虚拟未匹配金额等内容。具体内容如下：</w:t>
      </w:r>
    </w:p>
    <w:tbl>
      <w:tblPr>
        <w:tblStyle w:val="43"/>
        <w:tblW w:w="7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316"/>
        <w:gridCol w:w="5493"/>
      </w:tblGrid>
      <w:tr w14:paraId="3501B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31" w:hRule="atLeast"/>
          <w:jc w:val="center"/>
        </w:trPr>
        <w:tc>
          <w:tcPr>
            <w:tcW w:w="2316" w:type="dxa"/>
            <w:shd w:val="clear" w:color="auto" w:fill="FFFFFF"/>
            <w:vAlign w:val="center"/>
          </w:tcPr>
          <w:p w14:paraId="6092244D">
            <w:pPr>
              <w:jc w:val="left"/>
              <w:rPr>
                <w:rFonts w:ascii="仿宋_GB2312" w:eastAsia="仿宋_GB2312"/>
                <w:b/>
                <w:sz w:val="24"/>
                <w:szCs w:val="24"/>
              </w:rPr>
            </w:pPr>
            <w:r>
              <w:rPr>
                <w:rFonts w:hint="eastAsia" w:ascii="仿宋_GB2312" w:eastAsia="仿宋_GB2312"/>
                <w:b/>
                <w:sz w:val="24"/>
                <w:szCs w:val="24"/>
              </w:rPr>
              <w:t>要素名称</w:t>
            </w:r>
          </w:p>
        </w:tc>
        <w:tc>
          <w:tcPr>
            <w:tcW w:w="5493" w:type="dxa"/>
            <w:shd w:val="clear" w:color="auto" w:fill="FFFFFF"/>
            <w:vAlign w:val="center"/>
          </w:tcPr>
          <w:p w14:paraId="06DAA50E">
            <w:pPr>
              <w:jc w:val="left"/>
              <w:rPr>
                <w:rFonts w:ascii="仿宋_GB2312" w:eastAsia="仿宋_GB2312"/>
                <w:b/>
                <w:sz w:val="24"/>
                <w:szCs w:val="24"/>
              </w:rPr>
            </w:pPr>
            <w:r>
              <w:rPr>
                <w:rFonts w:hint="eastAsia" w:ascii="仿宋_GB2312" w:eastAsia="仿宋_GB2312"/>
                <w:b/>
                <w:sz w:val="24"/>
                <w:szCs w:val="24"/>
              </w:rPr>
              <w:t>要素说明</w:t>
            </w:r>
          </w:p>
        </w:tc>
      </w:tr>
      <w:tr w14:paraId="1D9D9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709EBDBD">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回购代码</w:t>
            </w:r>
          </w:p>
        </w:tc>
        <w:tc>
          <w:tcPr>
            <w:tcW w:w="5493" w:type="dxa"/>
            <w:shd w:val="clear" w:color="auto" w:fill="FFFFFF"/>
            <w:vAlign w:val="center"/>
          </w:tcPr>
          <w:p w14:paraId="1B1BB1B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债券代码</w:t>
            </w:r>
          </w:p>
        </w:tc>
      </w:tr>
      <w:tr w14:paraId="17EB4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70C6B03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回购简称</w:t>
            </w:r>
          </w:p>
        </w:tc>
        <w:tc>
          <w:tcPr>
            <w:tcW w:w="5493" w:type="dxa"/>
            <w:shd w:val="clear" w:color="auto" w:fill="FFFFFF"/>
            <w:vAlign w:val="center"/>
          </w:tcPr>
          <w:p w14:paraId="56A1718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债券简称</w:t>
            </w:r>
          </w:p>
        </w:tc>
      </w:tr>
      <w:tr w14:paraId="3687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7DC3291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交易日期</w:t>
            </w:r>
          </w:p>
        </w:tc>
        <w:tc>
          <w:tcPr>
            <w:tcW w:w="5493" w:type="dxa"/>
            <w:shd w:val="clear" w:color="auto" w:fill="FFFFFF"/>
          </w:tcPr>
          <w:p w14:paraId="510C642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w:t>
            </w:r>
          </w:p>
        </w:tc>
      </w:tr>
      <w:tr w14:paraId="0393B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191D2BE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交易时间</w:t>
            </w:r>
          </w:p>
        </w:tc>
        <w:tc>
          <w:tcPr>
            <w:tcW w:w="5493" w:type="dxa"/>
            <w:shd w:val="clear" w:color="auto" w:fill="FFFFFF"/>
          </w:tcPr>
          <w:p w14:paraId="3871EEE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 xml:space="preserve">时分秒   </w:t>
            </w:r>
          </w:p>
        </w:tc>
      </w:tr>
      <w:tr w14:paraId="77C2F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2FA9C9C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昨日收盘利率</w:t>
            </w:r>
          </w:p>
        </w:tc>
        <w:tc>
          <w:tcPr>
            <w:tcW w:w="5493" w:type="dxa"/>
            <w:shd w:val="clear" w:color="auto" w:fill="FFFFFF"/>
            <w:vAlign w:val="center"/>
          </w:tcPr>
          <w:p w14:paraId="247586B3">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4B7A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14E4C03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虚拟开盘利率</w:t>
            </w:r>
          </w:p>
        </w:tc>
        <w:tc>
          <w:tcPr>
            <w:tcW w:w="5493" w:type="dxa"/>
            <w:shd w:val="clear" w:color="auto" w:fill="FFFFFF"/>
            <w:vAlign w:val="center"/>
          </w:tcPr>
          <w:p w14:paraId="02653804">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159E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2F79ECED">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虚拟匹配量</w:t>
            </w:r>
          </w:p>
        </w:tc>
        <w:tc>
          <w:tcPr>
            <w:tcW w:w="5493" w:type="dxa"/>
            <w:shd w:val="clear" w:color="auto" w:fill="FFFFFF"/>
            <w:vAlign w:val="center"/>
          </w:tcPr>
          <w:p w14:paraId="2FE268F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r w14:paraId="086A2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78E89697">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虚拟未匹配量</w:t>
            </w:r>
          </w:p>
        </w:tc>
        <w:tc>
          <w:tcPr>
            <w:tcW w:w="5493" w:type="dxa"/>
            <w:shd w:val="clear" w:color="auto" w:fill="FFFFFF"/>
            <w:vAlign w:val="center"/>
          </w:tcPr>
          <w:p w14:paraId="64D4D33B">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r w14:paraId="0301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2BC205B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虚拟未匹配量申报方向</w:t>
            </w:r>
          </w:p>
        </w:tc>
        <w:tc>
          <w:tcPr>
            <w:tcW w:w="5493" w:type="dxa"/>
            <w:shd w:val="clear" w:color="auto" w:fill="FFFFFF"/>
            <w:vAlign w:val="center"/>
          </w:tcPr>
          <w:p w14:paraId="41234710">
            <w:pPr>
              <w:tabs>
                <w:tab w:val="left" w:pos="900"/>
                <w:tab w:val="left" w:pos="1320"/>
              </w:tabs>
              <w:spacing w:after="93" w:afterLines="30"/>
              <w:jc w:val="left"/>
              <w:rPr>
                <w:rFonts w:ascii="仿宋_GB2312" w:eastAsia="仿宋_GB2312"/>
                <w:b/>
                <w:bCs/>
                <w:iCs/>
                <w:kern w:val="0"/>
                <w:sz w:val="24"/>
                <w:szCs w:val="24"/>
              </w:rPr>
            </w:pPr>
          </w:p>
        </w:tc>
      </w:tr>
    </w:tbl>
    <w:p w14:paraId="39220ED8">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虚拟开盘利率是指</w:t>
      </w:r>
      <w:r>
        <w:rPr>
          <w:rFonts w:hint="eastAsia" w:ascii="Calibri" w:hAnsi="Calibri" w:eastAsia="仿宋_GB2312"/>
          <w:color w:val="000000"/>
          <w:sz w:val="30"/>
          <w:szCs w:val="30"/>
        </w:rPr>
        <w:t>截至揭示时所有有效申报按照集合匹配规则虚拟成交并予以即时揭示的利率。</w:t>
      </w:r>
    </w:p>
    <w:p w14:paraId="72CCBAA3">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虚拟匹配量是指</w:t>
      </w:r>
      <w:r>
        <w:rPr>
          <w:rFonts w:hint="eastAsia" w:ascii="Calibri" w:hAnsi="Times" w:eastAsia="仿宋_GB2312"/>
          <w:color w:val="000000"/>
          <w:sz w:val="30"/>
          <w:szCs w:val="30"/>
        </w:rPr>
        <w:t>截至揭示时按照</w:t>
      </w:r>
      <w:r>
        <w:rPr>
          <w:rFonts w:hint="eastAsia" w:ascii="Calibri" w:hAnsi="宋体" w:eastAsia="仿宋_GB2312" w:cs="宋体"/>
          <w:color w:val="000000"/>
          <w:kern w:val="0"/>
          <w:sz w:val="30"/>
          <w:szCs w:val="30"/>
        </w:rPr>
        <w:t>集合匹配参考价格</w:t>
      </w:r>
      <w:r>
        <w:rPr>
          <w:rFonts w:hint="eastAsia" w:ascii="Calibri" w:hAnsi="Calibri" w:eastAsia="仿宋_GB2312"/>
          <w:color w:val="000000"/>
          <w:sz w:val="30"/>
          <w:szCs w:val="30"/>
        </w:rPr>
        <w:t>虚拟成交并予以即时揭示的申报数量。</w:t>
      </w:r>
      <w:r>
        <w:rPr>
          <w:rFonts w:hint="eastAsia" w:ascii="仿宋_GB2312" w:hAnsi="宋体" w:eastAsia="仿宋_GB2312"/>
          <w:sz w:val="30"/>
          <w:szCs w:val="30"/>
        </w:rPr>
        <w:t xml:space="preserve">  </w:t>
      </w:r>
    </w:p>
    <w:p w14:paraId="619EA2ED">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虚拟未匹配量是指</w:t>
      </w:r>
      <w:r>
        <w:rPr>
          <w:rFonts w:hint="eastAsia" w:ascii="Calibri" w:hAnsi="Calibri" w:eastAsia="仿宋_GB2312"/>
          <w:color w:val="000000"/>
          <w:sz w:val="30"/>
          <w:szCs w:val="30"/>
        </w:rPr>
        <w:t>截至揭示时未能按照</w:t>
      </w:r>
      <w:r>
        <w:rPr>
          <w:rFonts w:hint="eastAsia" w:ascii="Calibri" w:hAnsi="宋体" w:eastAsia="仿宋_GB2312" w:cs="宋体"/>
          <w:color w:val="000000"/>
          <w:kern w:val="0"/>
          <w:sz w:val="30"/>
          <w:szCs w:val="30"/>
        </w:rPr>
        <w:t>集合匹配参考价格</w:t>
      </w:r>
      <w:r>
        <w:rPr>
          <w:rFonts w:hint="eastAsia" w:ascii="Calibri" w:hAnsi="Calibri" w:eastAsia="仿宋_GB2312"/>
          <w:color w:val="000000"/>
          <w:sz w:val="30"/>
          <w:szCs w:val="30"/>
        </w:rPr>
        <w:t>虚拟成交并予以即时揭示的买方或卖方剩余申报数量。</w:t>
      </w:r>
    </w:p>
    <w:p w14:paraId="55D2D7ED">
      <w:pPr>
        <w:spacing w:line="600" w:lineRule="exact"/>
        <w:ind w:firstLine="600"/>
        <w:jc w:val="left"/>
        <w:rPr>
          <w:rFonts w:ascii="仿宋_GB2312" w:hAnsi="Calibri" w:eastAsia="仿宋_GB2312"/>
          <w:sz w:val="30"/>
          <w:szCs w:val="30"/>
        </w:rPr>
      </w:pPr>
      <w:r>
        <w:rPr>
          <w:rFonts w:hint="eastAsia" w:ascii="仿宋_GB2312" w:hAnsi="Calibri" w:eastAsia="仿宋_GB2312"/>
          <w:sz w:val="30"/>
          <w:szCs w:val="30"/>
        </w:rPr>
        <w:t>2）连续匹配</w:t>
      </w:r>
    </w:p>
    <w:p w14:paraId="5EF8187B">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连续匹配阶段，</w:t>
      </w:r>
      <w:r>
        <w:rPr>
          <w:rFonts w:hint="eastAsia" w:ascii="仿宋_GB2312" w:hAnsi="宋体" w:eastAsia="仿宋_GB2312" w:cs="宋体"/>
          <w:kern w:val="0"/>
          <w:sz w:val="30"/>
          <w:szCs w:val="30"/>
        </w:rPr>
        <w:t>本所通过</w:t>
      </w:r>
      <w:r>
        <w:rPr>
          <w:rFonts w:hint="eastAsia" w:ascii="仿宋_GB2312" w:hAnsi="宋体" w:eastAsia="仿宋_GB2312"/>
          <w:sz w:val="30"/>
          <w:szCs w:val="30"/>
        </w:rPr>
        <w:t>发送截片行情向市场实时发布</w:t>
      </w:r>
      <w:r>
        <w:rPr>
          <w:rFonts w:hint="eastAsia" w:ascii="仿宋_GB2312" w:hAnsi="宋体" w:eastAsia="仿宋_GB2312" w:cs="宋体"/>
          <w:kern w:val="0"/>
          <w:sz w:val="30"/>
          <w:szCs w:val="30"/>
        </w:rPr>
        <w:t>通用回购的五档行情信息，</w:t>
      </w:r>
      <w:r>
        <w:rPr>
          <w:rFonts w:hint="eastAsia" w:ascii="仿宋_GB2312" w:hAnsi="宋体" w:eastAsia="仿宋_GB2312"/>
          <w:sz w:val="30"/>
          <w:szCs w:val="30"/>
        </w:rPr>
        <w:t>包括连续匹配最优五档买卖申报时间、利率及数量等信息。具体如下：</w:t>
      </w:r>
    </w:p>
    <w:tbl>
      <w:tblPr>
        <w:tblStyle w:val="43"/>
        <w:tblW w:w="7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316"/>
        <w:gridCol w:w="5493"/>
      </w:tblGrid>
      <w:tr w14:paraId="70E7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2316" w:type="dxa"/>
            <w:shd w:val="clear" w:color="auto" w:fill="FFFFFF"/>
            <w:vAlign w:val="center"/>
          </w:tcPr>
          <w:p w14:paraId="5E5CF4C1">
            <w:pPr>
              <w:rPr>
                <w:rFonts w:ascii="仿宋_GB2312" w:eastAsia="仿宋_GB2312"/>
                <w:b/>
                <w:sz w:val="24"/>
                <w:szCs w:val="24"/>
              </w:rPr>
            </w:pPr>
            <w:r>
              <w:rPr>
                <w:rFonts w:hint="eastAsia" w:ascii="仿宋_GB2312" w:eastAsia="仿宋_GB2312"/>
                <w:b/>
                <w:sz w:val="24"/>
                <w:szCs w:val="24"/>
              </w:rPr>
              <w:t>要素名称</w:t>
            </w:r>
          </w:p>
        </w:tc>
        <w:tc>
          <w:tcPr>
            <w:tcW w:w="5493" w:type="dxa"/>
            <w:shd w:val="clear" w:color="auto" w:fill="FFFFFF"/>
            <w:vAlign w:val="center"/>
          </w:tcPr>
          <w:p w14:paraId="6C5FD32C">
            <w:pPr>
              <w:rPr>
                <w:rFonts w:ascii="仿宋_GB2312" w:eastAsia="仿宋_GB2312"/>
                <w:b/>
                <w:sz w:val="24"/>
                <w:szCs w:val="24"/>
              </w:rPr>
            </w:pPr>
            <w:r>
              <w:rPr>
                <w:rFonts w:hint="eastAsia" w:ascii="仿宋_GB2312" w:eastAsia="仿宋_GB2312"/>
                <w:b/>
                <w:sz w:val="24"/>
                <w:szCs w:val="24"/>
              </w:rPr>
              <w:t>要素说明</w:t>
            </w:r>
          </w:p>
        </w:tc>
      </w:tr>
      <w:tr w14:paraId="364B3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16690D1C">
            <w:pPr>
              <w:spacing w:after="72"/>
              <w:rPr>
                <w:rFonts w:ascii="仿宋_GB2312" w:eastAsia="仿宋_GB2312"/>
                <w:b/>
                <w:sz w:val="24"/>
                <w:szCs w:val="24"/>
              </w:rPr>
            </w:pPr>
            <w:r>
              <w:rPr>
                <w:rFonts w:hint="eastAsia" w:ascii="仿宋_GB2312" w:eastAsia="仿宋_GB2312"/>
                <w:b/>
                <w:sz w:val="24"/>
                <w:szCs w:val="24"/>
              </w:rPr>
              <w:t>回购代码</w:t>
            </w:r>
          </w:p>
        </w:tc>
        <w:tc>
          <w:tcPr>
            <w:tcW w:w="5493" w:type="dxa"/>
            <w:shd w:val="clear" w:color="auto" w:fill="FFFFFF"/>
            <w:vAlign w:val="center"/>
          </w:tcPr>
          <w:p w14:paraId="256FB48B">
            <w:pPr>
              <w:spacing w:after="72"/>
              <w:rPr>
                <w:rFonts w:ascii="仿宋_GB2312" w:eastAsia="仿宋_GB2312"/>
                <w:sz w:val="24"/>
                <w:szCs w:val="24"/>
              </w:rPr>
            </w:pPr>
            <w:r>
              <w:rPr>
                <w:rFonts w:hint="eastAsia" w:ascii="仿宋_GB2312" w:eastAsia="仿宋_GB2312"/>
                <w:sz w:val="24"/>
                <w:szCs w:val="24"/>
              </w:rPr>
              <w:t>债券代码</w:t>
            </w:r>
          </w:p>
        </w:tc>
      </w:tr>
      <w:tr w14:paraId="3B13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4F9627C9">
            <w:pPr>
              <w:spacing w:after="72"/>
              <w:rPr>
                <w:rFonts w:ascii="仿宋_GB2312" w:eastAsia="仿宋_GB2312"/>
                <w:b/>
                <w:sz w:val="24"/>
                <w:szCs w:val="24"/>
              </w:rPr>
            </w:pPr>
            <w:r>
              <w:rPr>
                <w:rFonts w:hint="eastAsia" w:ascii="仿宋_GB2312" w:eastAsia="仿宋_GB2312"/>
                <w:b/>
                <w:sz w:val="24"/>
                <w:szCs w:val="24"/>
              </w:rPr>
              <w:t>回购简称</w:t>
            </w:r>
          </w:p>
        </w:tc>
        <w:tc>
          <w:tcPr>
            <w:tcW w:w="5493" w:type="dxa"/>
            <w:shd w:val="clear" w:color="auto" w:fill="FFFFFF"/>
            <w:vAlign w:val="center"/>
          </w:tcPr>
          <w:p w14:paraId="60F21C9D">
            <w:pPr>
              <w:spacing w:after="72"/>
              <w:rPr>
                <w:rFonts w:ascii="仿宋_GB2312" w:eastAsia="仿宋_GB2312"/>
                <w:sz w:val="24"/>
                <w:szCs w:val="24"/>
              </w:rPr>
            </w:pPr>
            <w:r>
              <w:rPr>
                <w:rFonts w:hint="eastAsia" w:ascii="仿宋_GB2312" w:eastAsia="仿宋_GB2312"/>
                <w:sz w:val="24"/>
                <w:szCs w:val="24"/>
              </w:rPr>
              <w:t>债券简称</w:t>
            </w:r>
          </w:p>
        </w:tc>
      </w:tr>
      <w:tr w14:paraId="226CB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7A9016D6">
            <w:pPr>
              <w:spacing w:after="72"/>
              <w:rPr>
                <w:rFonts w:ascii="仿宋_GB2312" w:eastAsia="仿宋_GB2312"/>
                <w:b/>
                <w:sz w:val="24"/>
                <w:szCs w:val="24"/>
              </w:rPr>
            </w:pPr>
            <w:r>
              <w:rPr>
                <w:rFonts w:hint="eastAsia" w:ascii="仿宋_GB2312" w:eastAsia="仿宋_GB2312"/>
                <w:b/>
                <w:sz w:val="24"/>
                <w:szCs w:val="24"/>
              </w:rPr>
              <w:t>交易日期</w:t>
            </w:r>
          </w:p>
        </w:tc>
        <w:tc>
          <w:tcPr>
            <w:tcW w:w="5493" w:type="dxa"/>
            <w:shd w:val="clear" w:color="auto" w:fill="FFFFFF"/>
          </w:tcPr>
          <w:p w14:paraId="2FE27D17">
            <w:pPr>
              <w:spacing w:after="72"/>
              <w:rPr>
                <w:rFonts w:ascii="仿宋_GB2312" w:eastAsia="仿宋_GB2312"/>
                <w:sz w:val="24"/>
                <w:szCs w:val="24"/>
              </w:rPr>
            </w:pPr>
            <w:r>
              <w:rPr>
                <w:rFonts w:hint="eastAsia" w:ascii="仿宋_GB2312" w:eastAsia="仿宋_GB2312"/>
                <w:sz w:val="24"/>
                <w:szCs w:val="24"/>
              </w:rPr>
              <w:t>年月日</w:t>
            </w:r>
          </w:p>
        </w:tc>
      </w:tr>
      <w:tr w14:paraId="3AB36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79BC0CD0">
            <w:pPr>
              <w:spacing w:after="72"/>
              <w:rPr>
                <w:rFonts w:ascii="仿宋_GB2312" w:eastAsia="仿宋_GB2312"/>
                <w:b/>
                <w:sz w:val="24"/>
                <w:szCs w:val="24"/>
              </w:rPr>
            </w:pPr>
            <w:r>
              <w:rPr>
                <w:rFonts w:hint="eastAsia" w:ascii="仿宋_GB2312" w:eastAsia="仿宋_GB2312"/>
                <w:b/>
                <w:sz w:val="24"/>
                <w:szCs w:val="24"/>
              </w:rPr>
              <w:t>交易时间</w:t>
            </w:r>
          </w:p>
        </w:tc>
        <w:tc>
          <w:tcPr>
            <w:tcW w:w="5493" w:type="dxa"/>
            <w:shd w:val="clear" w:color="auto" w:fill="FFFFFF"/>
          </w:tcPr>
          <w:p w14:paraId="6ABA6F20">
            <w:pPr>
              <w:spacing w:after="72"/>
              <w:rPr>
                <w:rFonts w:ascii="仿宋_GB2312" w:eastAsia="仿宋_GB2312"/>
                <w:sz w:val="24"/>
                <w:szCs w:val="24"/>
              </w:rPr>
            </w:pPr>
            <w:r>
              <w:rPr>
                <w:rFonts w:hint="eastAsia" w:ascii="仿宋_GB2312" w:eastAsia="仿宋_GB2312"/>
                <w:sz w:val="24"/>
                <w:szCs w:val="24"/>
              </w:rPr>
              <w:t xml:space="preserve">时分秒   </w:t>
            </w:r>
          </w:p>
        </w:tc>
      </w:tr>
      <w:tr w14:paraId="74736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3D35F0D7">
            <w:pPr>
              <w:spacing w:after="72"/>
              <w:rPr>
                <w:rFonts w:ascii="仿宋_GB2312" w:eastAsia="仿宋_GB2312"/>
                <w:b/>
                <w:sz w:val="24"/>
                <w:szCs w:val="24"/>
              </w:rPr>
            </w:pPr>
            <w:r>
              <w:rPr>
                <w:rFonts w:hint="eastAsia" w:ascii="仿宋_GB2312" w:eastAsia="仿宋_GB2312"/>
                <w:b/>
                <w:sz w:val="24"/>
                <w:szCs w:val="24"/>
              </w:rPr>
              <w:t>申买利率</w:t>
            </w:r>
          </w:p>
          <w:p w14:paraId="5E1B4C75">
            <w:pPr>
              <w:spacing w:after="72"/>
              <w:rPr>
                <w:rFonts w:ascii="仿宋_GB2312" w:eastAsia="仿宋_GB2312"/>
                <w:b/>
                <w:sz w:val="24"/>
                <w:szCs w:val="24"/>
              </w:rPr>
            </w:pPr>
            <w:r>
              <w:rPr>
                <w:rFonts w:hint="eastAsia" w:ascii="仿宋_GB2312" w:eastAsia="仿宋_GB2312"/>
                <w:b/>
                <w:sz w:val="24"/>
                <w:szCs w:val="24"/>
              </w:rPr>
              <w:t>一/二/三/四/五</w:t>
            </w:r>
          </w:p>
        </w:tc>
        <w:tc>
          <w:tcPr>
            <w:tcW w:w="5493" w:type="dxa"/>
            <w:shd w:val="clear" w:color="auto" w:fill="FFFFFF"/>
            <w:vAlign w:val="center"/>
          </w:tcPr>
          <w:p w14:paraId="43A34593">
            <w:pPr>
              <w:spacing w:after="72"/>
              <w:rPr>
                <w:rFonts w:ascii="仿宋_GB2312" w:eastAsia="仿宋_GB2312"/>
                <w:sz w:val="24"/>
                <w:szCs w:val="24"/>
              </w:rPr>
            </w:pPr>
            <w:r>
              <w:rPr>
                <w:rFonts w:hint="eastAsia" w:ascii="仿宋_GB2312" w:eastAsia="仿宋_GB2312"/>
                <w:sz w:val="24"/>
                <w:szCs w:val="24"/>
              </w:rPr>
              <w:t>单位：元（</w:t>
            </w:r>
            <w:r>
              <w:rPr>
                <w:rFonts w:ascii="仿宋_GB2312" w:eastAsia="仿宋_GB2312"/>
                <w:sz w:val="24"/>
                <w:szCs w:val="24"/>
              </w:rPr>
              <w:t>3</w:t>
            </w:r>
            <w:r>
              <w:rPr>
                <w:rFonts w:hint="eastAsia" w:ascii="仿宋_GB2312" w:eastAsia="仿宋_GB2312"/>
                <w:sz w:val="24"/>
                <w:szCs w:val="24"/>
              </w:rPr>
              <w:t>位小数）</w:t>
            </w:r>
          </w:p>
        </w:tc>
      </w:tr>
      <w:tr w14:paraId="4CA51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7DA26066">
            <w:pPr>
              <w:spacing w:after="72"/>
              <w:rPr>
                <w:rFonts w:ascii="仿宋_GB2312" w:eastAsia="仿宋_GB2312"/>
                <w:b/>
                <w:sz w:val="24"/>
                <w:szCs w:val="24"/>
              </w:rPr>
            </w:pPr>
            <w:r>
              <w:rPr>
                <w:rFonts w:hint="eastAsia" w:ascii="仿宋_GB2312" w:eastAsia="仿宋_GB2312"/>
                <w:b/>
                <w:sz w:val="24"/>
                <w:szCs w:val="24"/>
              </w:rPr>
              <w:t>申买数量</w:t>
            </w:r>
          </w:p>
          <w:p w14:paraId="287D857F">
            <w:pPr>
              <w:spacing w:after="72"/>
              <w:rPr>
                <w:rFonts w:ascii="仿宋_GB2312" w:eastAsia="仿宋_GB2312"/>
                <w:b/>
                <w:sz w:val="24"/>
                <w:szCs w:val="24"/>
              </w:rPr>
            </w:pPr>
            <w:r>
              <w:rPr>
                <w:rFonts w:hint="eastAsia" w:ascii="仿宋_GB2312" w:eastAsia="仿宋_GB2312"/>
                <w:b/>
                <w:sz w:val="24"/>
                <w:szCs w:val="24"/>
              </w:rPr>
              <w:t>一/二/三/四/五</w:t>
            </w:r>
          </w:p>
        </w:tc>
        <w:tc>
          <w:tcPr>
            <w:tcW w:w="5493" w:type="dxa"/>
            <w:shd w:val="clear" w:color="auto" w:fill="FFFFFF"/>
            <w:vAlign w:val="center"/>
          </w:tcPr>
          <w:p w14:paraId="5ABAC710">
            <w:pPr>
              <w:spacing w:after="72"/>
              <w:rPr>
                <w:rFonts w:ascii="仿宋_GB2312" w:eastAsia="仿宋_GB2312"/>
                <w:sz w:val="24"/>
                <w:szCs w:val="24"/>
              </w:rPr>
            </w:pPr>
            <w:r>
              <w:rPr>
                <w:rFonts w:hint="eastAsia" w:ascii="仿宋_GB2312" w:eastAsia="仿宋_GB2312"/>
                <w:sz w:val="24"/>
                <w:szCs w:val="24"/>
              </w:rPr>
              <w:t>单位：千元面额（整数）</w:t>
            </w:r>
          </w:p>
        </w:tc>
      </w:tr>
      <w:tr w14:paraId="5A55A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5B4D901D">
            <w:pPr>
              <w:spacing w:after="72"/>
              <w:rPr>
                <w:rFonts w:ascii="仿宋_GB2312" w:eastAsia="仿宋_GB2312"/>
                <w:b/>
                <w:sz w:val="24"/>
                <w:szCs w:val="24"/>
              </w:rPr>
            </w:pPr>
            <w:r>
              <w:rPr>
                <w:rFonts w:hint="eastAsia" w:ascii="仿宋_GB2312" w:eastAsia="仿宋_GB2312"/>
                <w:b/>
                <w:sz w:val="24"/>
                <w:szCs w:val="24"/>
              </w:rPr>
              <w:t>申卖利率</w:t>
            </w:r>
          </w:p>
          <w:p w14:paraId="153D31AE">
            <w:pPr>
              <w:spacing w:after="72"/>
              <w:rPr>
                <w:rFonts w:ascii="仿宋_GB2312" w:eastAsia="仿宋_GB2312"/>
                <w:b/>
                <w:sz w:val="24"/>
                <w:szCs w:val="24"/>
              </w:rPr>
            </w:pPr>
            <w:r>
              <w:rPr>
                <w:rFonts w:hint="eastAsia" w:ascii="仿宋_GB2312" w:eastAsia="仿宋_GB2312"/>
                <w:b/>
                <w:sz w:val="24"/>
                <w:szCs w:val="24"/>
              </w:rPr>
              <w:t>一/二/三/四/五</w:t>
            </w:r>
          </w:p>
        </w:tc>
        <w:tc>
          <w:tcPr>
            <w:tcW w:w="5493" w:type="dxa"/>
            <w:shd w:val="clear" w:color="auto" w:fill="FFFFFF"/>
            <w:vAlign w:val="center"/>
          </w:tcPr>
          <w:p w14:paraId="251B5A19">
            <w:pPr>
              <w:spacing w:after="72"/>
              <w:rPr>
                <w:rFonts w:ascii="仿宋_GB2312" w:eastAsia="仿宋_GB2312"/>
                <w:sz w:val="24"/>
                <w:szCs w:val="24"/>
              </w:rPr>
            </w:pPr>
            <w:r>
              <w:rPr>
                <w:rFonts w:hint="eastAsia" w:ascii="仿宋_GB2312" w:eastAsia="仿宋_GB2312"/>
                <w:sz w:val="24"/>
                <w:szCs w:val="24"/>
              </w:rPr>
              <w:t>单位：元（</w:t>
            </w:r>
            <w:r>
              <w:rPr>
                <w:rFonts w:ascii="仿宋_GB2312" w:eastAsia="仿宋_GB2312"/>
                <w:sz w:val="24"/>
                <w:szCs w:val="24"/>
              </w:rPr>
              <w:t>3</w:t>
            </w:r>
            <w:r>
              <w:rPr>
                <w:rFonts w:hint="eastAsia" w:ascii="仿宋_GB2312" w:eastAsia="仿宋_GB2312"/>
                <w:sz w:val="24"/>
                <w:szCs w:val="24"/>
              </w:rPr>
              <w:t>位小数）</w:t>
            </w:r>
          </w:p>
        </w:tc>
      </w:tr>
      <w:tr w14:paraId="7F58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18021E50">
            <w:pPr>
              <w:spacing w:after="72"/>
              <w:rPr>
                <w:rFonts w:ascii="仿宋_GB2312" w:eastAsia="仿宋_GB2312"/>
                <w:b/>
                <w:sz w:val="24"/>
                <w:szCs w:val="24"/>
              </w:rPr>
            </w:pPr>
            <w:r>
              <w:rPr>
                <w:rFonts w:hint="eastAsia" w:ascii="仿宋_GB2312" w:eastAsia="仿宋_GB2312"/>
                <w:b/>
                <w:sz w:val="24"/>
                <w:szCs w:val="24"/>
              </w:rPr>
              <w:t>申卖数量</w:t>
            </w:r>
          </w:p>
          <w:p w14:paraId="33457128">
            <w:pPr>
              <w:spacing w:after="72"/>
              <w:rPr>
                <w:rFonts w:ascii="仿宋_GB2312" w:eastAsia="仿宋_GB2312"/>
                <w:b/>
                <w:sz w:val="24"/>
                <w:szCs w:val="24"/>
              </w:rPr>
            </w:pPr>
            <w:r>
              <w:rPr>
                <w:rFonts w:hint="eastAsia" w:ascii="仿宋_GB2312" w:eastAsia="仿宋_GB2312"/>
                <w:b/>
                <w:sz w:val="24"/>
                <w:szCs w:val="24"/>
              </w:rPr>
              <w:t>一/二/三/四/五</w:t>
            </w:r>
          </w:p>
        </w:tc>
        <w:tc>
          <w:tcPr>
            <w:tcW w:w="5493" w:type="dxa"/>
            <w:shd w:val="clear" w:color="auto" w:fill="FFFFFF"/>
            <w:vAlign w:val="center"/>
          </w:tcPr>
          <w:p w14:paraId="489F6392">
            <w:pPr>
              <w:spacing w:after="72"/>
              <w:rPr>
                <w:rFonts w:ascii="仿宋_GB2312" w:eastAsia="仿宋_GB2312"/>
                <w:sz w:val="24"/>
                <w:szCs w:val="24"/>
              </w:rPr>
            </w:pPr>
            <w:r>
              <w:rPr>
                <w:rFonts w:hint="eastAsia" w:ascii="仿宋_GB2312" w:eastAsia="仿宋_GB2312"/>
                <w:sz w:val="24"/>
                <w:szCs w:val="24"/>
              </w:rPr>
              <w:t>单位：千元面额（整数）</w:t>
            </w:r>
          </w:p>
        </w:tc>
      </w:tr>
    </w:tbl>
    <w:p w14:paraId="2AABB71F">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（3）国债预发行</w:t>
      </w:r>
    </w:p>
    <w:p w14:paraId="67F1997B">
      <w:pPr>
        <w:spacing w:line="600" w:lineRule="exact"/>
        <w:ind w:firstLine="564" w:firstLineChars="188"/>
        <w:rPr>
          <w:rFonts w:ascii="仿宋_GB2312" w:hAnsi="宋体" w:eastAsia="仿宋_GB2312"/>
          <w:sz w:val="30"/>
          <w:szCs w:val="30"/>
        </w:rPr>
      </w:pPr>
      <w:r>
        <w:rPr>
          <w:rFonts w:hint="eastAsia" w:ascii="仿宋_GB2312" w:hAnsi="宋体" w:eastAsia="仿宋_GB2312"/>
          <w:sz w:val="30"/>
          <w:szCs w:val="30"/>
        </w:rPr>
        <w:t>本所发布债券投资者通过匹配成交交易方式提交的国债预发行实时截片行情，包括前收盘价格、虚拟开盘价、虚拟匹配量、虚拟未匹配量、虚拟未匹配量申报方向、连续匹配最优五档买卖价格及数量等申报信息。</w:t>
      </w:r>
    </w:p>
    <w:p w14:paraId="35EB9942">
      <w:pPr>
        <w:widowControl/>
        <w:spacing w:line="600" w:lineRule="exact"/>
        <w:ind w:firstLine="564" w:firstLineChars="188"/>
        <w:jc w:val="left"/>
        <w:rPr>
          <w:rFonts w:ascii="仿宋_GB2312" w:hAnsi="宋体" w:eastAsia="仿宋_GB2312" w:cs="宋体"/>
          <w:b/>
          <w:kern w:val="0"/>
          <w:sz w:val="30"/>
          <w:szCs w:val="30"/>
        </w:rPr>
      </w:pPr>
      <w:r>
        <w:rPr>
          <w:rFonts w:hint="eastAsia" w:ascii="仿宋_GB2312" w:hAnsi="宋体" w:eastAsia="仿宋_GB2312" w:cs="宋体"/>
          <w:kern w:val="0"/>
          <w:sz w:val="30"/>
          <w:szCs w:val="30"/>
        </w:rPr>
        <w:t>总体上，国债预发行的实时截片行情和债券现券类似，只是债券代码、简称替换为债券预发行代码及简称。</w:t>
      </w:r>
    </w:p>
    <w:p w14:paraId="059883D4">
      <w:pPr>
        <w:numPr>
          <w:ilvl w:val="2"/>
          <w:numId w:val="4"/>
        </w:numPr>
        <w:spacing w:line="600" w:lineRule="exact"/>
        <w:ind w:left="0" w:firstLine="0"/>
        <w:outlineLvl w:val="2"/>
        <w:rPr>
          <w:rFonts w:ascii="仿宋_GB2312" w:eastAsia="仿宋_GB2312"/>
          <w:b/>
          <w:sz w:val="30"/>
          <w:szCs w:val="30"/>
        </w:rPr>
      </w:pPr>
      <w:bookmarkStart w:id="2701" w:name="_Toc47467042"/>
      <w:bookmarkEnd w:id="2701"/>
      <w:bookmarkStart w:id="2702" w:name="_Toc47374932"/>
      <w:bookmarkEnd w:id="2702"/>
      <w:bookmarkStart w:id="2703" w:name="_Toc47375476"/>
      <w:bookmarkEnd w:id="2703"/>
      <w:bookmarkStart w:id="2704" w:name="_Toc47458432"/>
      <w:bookmarkEnd w:id="2704"/>
      <w:bookmarkStart w:id="2705" w:name="_Toc47428413"/>
      <w:bookmarkEnd w:id="2705"/>
      <w:bookmarkStart w:id="2706" w:name="_Toc47427146"/>
      <w:bookmarkEnd w:id="2706"/>
      <w:bookmarkStart w:id="2707" w:name="_Toc47465929"/>
      <w:bookmarkEnd w:id="2707"/>
      <w:bookmarkStart w:id="2708" w:name="_Toc47374373"/>
      <w:bookmarkEnd w:id="2708"/>
      <w:bookmarkStart w:id="2709" w:name="_Toc47374410"/>
      <w:bookmarkEnd w:id="2709"/>
      <w:bookmarkStart w:id="2710" w:name="_Toc47467043"/>
      <w:r>
        <w:rPr>
          <w:rFonts w:hint="eastAsia" w:ascii="仿宋_GB2312" w:eastAsia="仿宋_GB2312"/>
          <w:b/>
          <w:sz w:val="30"/>
          <w:szCs w:val="30"/>
        </w:rPr>
        <w:t>逐笔申报行情</w:t>
      </w:r>
      <w:bookmarkEnd w:id="2710"/>
    </w:p>
    <w:p w14:paraId="43B91149">
      <w:pPr>
        <w:widowControl/>
        <w:spacing w:line="600" w:lineRule="exact"/>
        <w:ind w:firstLine="564" w:firstLineChars="188"/>
        <w:jc w:val="left"/>
        <w:rPr>
          <w:rFonts w:ascii="仿宋_GB2312" w:hAnsi="宋体" w:eastAsia="仿宋_GB2312" w:cs="宋体"/>
          <w:kern w:val="0"/>
          <w:sz w:val="30"/>
          <w:szCs w:val="30"/>
        </w:rPr>
      </w:pPr>
      <w:r>
        <w:rPr>
          <w:rFonts w:hint="eastAsia" w:ascii="仿宋_GB2312" w:hAnsi="宋体" w:eastAsia="仿宋_GB2312" w:cs="宋体"/>
          <w:kern w:val="0"/>
          <w:sz w:val="30"/>
          <w:szCs w:val="30"/>
        </w:rPr>
        <w:t>逐笔申报行情适用于债券现券交易、协议回购交易与三方回购交易等。</w:t>
      </w:r>
    </w:p>
    <w:p w14:paraId="3F28088D">
      <w:pPr>
        <w:spacing w:line="600" w:lineRule="exact"/>
        <w:ind w:firstLine="564" w:firstLineChars="188"/>
        <w:rPr>
          <w:rFonts w:ascii="仿宋_GB2312" w:eastAsia="仿宋_GB2312"/>
          <w:color w:val="000000"/>
          <w:sz w:val="30"/>
          <w:szCs w:val="30"/>
        </w:rPr>
      </w:pPr>
      <w:r>
        <w:rPr>
          <w:rFonts w:hint="eastAsia" w:ascii="仿宋_GB2312" w:hAnsi="宋体" w:eastAsia="仿宋_GB2312"/>
          <w:sz w:val="30"/>
          <w:szCs w:val="30"/>
        </w:rPr>
        <w:t>本所在每个交易日的交易时间内，向全市场公开发布逐笔申报行情</w:t>
      </w:r>
      <w:r>
        <w:rPr>
          <w:rFonts w:hint="eastAsia" w:ascii="仿宋_GB2312" w:eastAsia="仿宋_GB2312"/>
          <w:color w:val="000000"/>
          <w:sz w:val="30"/>
          <w:szCs w:val="30"/>
        </w:rPr>
        <w:t>。对于已经发送的申报数据，若该申报已被成交，申报数据不做更新；若该申报被撤销，则新发撤销信息。</w:t>
      </w:r>
    </w:p>
    <w:p w14:paraId="4E5E91C2">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（1）债券现券</w:t>
      </w:r>
    </w:p>
    <w:p w14:paraId="55EEB612">
      <w:pPr>
        <w:spacing w:line="600" w:lineRule="exact"/>
        <w:ind w:firstLine="564" w:firstLineChars="188"/>
        <w:rPr>
          <w:rFonts w:ascii="仿宋_GB2312" w:eastAsia="仿宋_GB2312"/>
          <w:color w:val="000000"/>
          <w:sz w:val="30"/>
          <w:szCs w:val="30"/>
        </w:rPr>
      </w:pPr>
      <w:r>
        <w:rPr>
          <w:rFonts w:hint="eastAsia" w:ascii="仿宋_GB2312" w:eastAsia="仿宋_GB2312"/>
          <w:color w:val="000000"/>
          <w:sz w:val="30"/>
          <w:szCs w:val="30"/>
        </w:rPr>
        <w:t>对于债券现券交易，本所逐笔发布债券投资者向全市场发送的点击成交、意向申报、竞买成交申报信息。其中，竞买成交申报信息仅适用于竞买成交的</w:t>
      </w:r>
      <w:r>
        <w:rPr>
          <w:rFonts w:hint="eastAsia" w:ascii="仿宋_GB2312" w:eastAsia="仿宋_GB2312"/>
          <w:color w:val="000000"/>
          <w:sz w:val="30"/>
          <w:szCs w:val="30"/>
          <w:lang w:eastAsia="zh-CN"/>
        </w:rPr>
        <w:t>竞买预约申报、</w:t>
      </w:r>
      <w:r>
        <w:rPr>
          <w:rFonts w:hint="eastAsia" w:ascii="仿宋_GB2312" w:eastAsia="仿宋_GB2312"/>
          <w:color w:val="000000"/>
          <w:sz w:val="30"/>
          <w:szCs w:val="30"/>
        </w:rPr>
        <w:t>竞买发起申报以及单一主体中标方式下的应价申报，</w:t>
      </w:r>
      <w:r>
        <w:rPr>
          <w:rFonts w:hint="eastAsia" w:ascii="仿宋_GB2312" w:eastAsia="仿宋_GB2312"/>
          <w:b/>
          <w:bCs/>
          <w:color w:val="000000"/>
          <w:sz w:val="30"/>
          <w:szCs w:val="30"/>
        </w:rPr>
        <w:t>《债券交易规则》第一百一十六条关于逐笔发布匹配成交债券现券大额买卖申报行情的规定暂缓实施</w:t>
      </w:r>
      <w:r>
        <w:rPr>
          <w:rFonts w:hint="eastAsia" w:ascii="仿宋_GB2312" w:eastAsia="仿宋_GB2312"/>
          <w:color w:val="000000"/>
          <w:sz w:val="30"/>
          <w:szCs w:val="30"/>
        </w:rPr>
        <w:t>。</w:t>
      </w:r>
    </w:p>
    <w:p w14:paraId="4C246280">
      <w:pPr>
        <w:spacing w:line="600" w:lineRule="exact"/>
        <w:ind w:firstLine="600" w:firstLineChars="200"/>
        <w:rPr>
          <w:rFonts w:ascii="仿宋_GB2312" w:hAnsi="黑体" w:eastAsia="仿宋_GB2312"/>
          <w:bCs/>
          <w:sz w:val="30"/>
          <w:szCs w:val="30"/>
        </w:rPr>
      </w:pPr>
      <w:r>
        <w:rPr>
          <w:rFonts w:hint="eastAsia" w:ascii="仿宋_GB2312" w:hAnsi="黑体" w:eastAsia="仿宋_GB2312"/>
          <w:bCs/>
          <w:sz w:val="30"/>
          <w:szCs w:val="30"/>
        </w:rPr>
        <w:t>1）点击成交（面向全市场）</w:t>
      </w:r>
    </w:p>
    <w:p w14:paraId="14536849">
      <w:pPr>
        <w:spacing w:line="600" w:lineRule="exact"/>
        <w:ind w:firstLine="564" w:firstLineChars="188"/>
        <w:rPr>
          <w:rFonts w:ascii="仿宋_GB2312" w:hAnsi="宋体" w:eastAsia="仿宋_GB2312"/>
          <w:sz w:val="30"/>
          <w:szCs w:val="30"/>
        </w:rPr>
      </w:pPr>
      <w:r>
        <w:rPr>
          <w:rFonts w:hint="eastAsia" w:ascii="仿宋_GB2312" w:hAnsi="宋体" w:eastAsia="仿宋_GB2312"/>
          <w:sz w:val="30"/>
          <w:szCs w:val="30"/>
        </w:rPr>
        <w:t>对于债券现券，本所逐笔发布债券投资者向全市场发送的点击成交信息，包括申报方交易参与人简称（若显名）、申报方交易员（若显名）、申报价、申报数量、申报方向、结算方式等信息。具体如下：</w:t>
      </w:r>
    </w:p>
    <w:tbl>
      <w:tblPr>
        <w:tblStyle w:val="4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527"/>
        <w:gridCol w:w="5995"/>
      </w:tblGrid>
      <w:tr w14:paraId="07D9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2527" w:type="dxa"/>
            <w:shd w:val="clear" w:color="auto" w:fill="FFFFFF"/>
            <w:vAlign w:val="center"/>
          </w:tcPr>
          <w:p w14:paraId="2C6FEFCE">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5995" w:type="dxa"/>
            <w:shd w:val="clear" w:color="auto" w:fill="FFFFFF"/>
            <w:vAlign w:val="center"/>
          </w:tcPr>
          <w:p w14:paraId="38EA26F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2B298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7" w:type="dxa"/>
            <w:shd w:val="clear" w:color="auto" w:fill="FFFFFF"/>
            <w:vAlign w:val="center"/>
          </w:tcPr>
          <w:p w14:paraId="64BD31D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证券代码</w:t>
            </w:r>
          </w:p>
        </w:tc>
        <w:tc>
          <w:tcPr>
            <w:tcW w:w="5995" w:type="dxa"/>
            <w:shd w:val="clear" w:color="auto" w:fill="FFFFFF"/>
            <w:vAlign w:val="center"/>
          </w:tcPr>
          <w:p w14:paraId="2501668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债券代码</w:t>
            </w:r>
          </w:p>
        </w:tc>
      </w:tr>
      <w:tr w14:paraId="73B2F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7" w:type="dxa"/>
            <w:shd w:val="clear" w:color="auto" w:fill="FFFFFF"/>
            <w:vAlign w:val="center"/>
          </w:tcPr>
          <w:p w14:paraId="34724700">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证券简称</w:t>
            </w:r>
          </w:p>
        </w:tc>
        <w:tc>
          <w:tcPr>
            <w:tcW w:w="5995" w:type="dxa"/>
            <w:shd w:val="clear" w:color="auto" w:fill="FFFFFF"/>
            <w:vAlign w:val="center"/>
          </w:tcPr>
          <w:p w14:paraId="1B2DEEE2">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债券简称</w:t>
            </w:r>
          </w:p>
        </w:tc>
      </w:tr>
      <w:tr w14:paraId="29C65C12">
        <w:tblPrEx>
          <w:tblCellMar>
            <w:top w:w="0" w:type="dxa"/>
            <w:left w:w="108" w:type="dxa"/>
            <w:bottom w:w="0" w:type="dxa"/>
            <w:right w:w="108" w:type="dxa"/>
          </w:tblCellMar>
        </w:tblPrEx>
        <w:trPr>
          <w:jc w:val="center"/>
        </w:trPr>
        <w:tc>
          <w:tcPr>
            <w:tcW w:w="2527" w:type="dxa"/>
            <w:shd w:val="clear" w:color="auto" w:fill="FFFFFF"/>
            <w:vAlign w:val="center"/>
          </w:tcPr>
          <w:p w14:paraId="59891B69">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lang w:eastAsia="zh-CN"/>
              </w:rPr>
              <w:t>结算方式</w:t>
            </w:r>
          </w:p>
        </w:tc>
        <w:tc>
          <w:tcPr>
            <w:tcW w:w="5995" w:type="dxa"/>
            <w:shd w:val="clear" w:color="auto" w:fill="FFFFFF"/>
            <w:vAlign w:val="center"/>
          </w:tcPr>
          <w:p w14:paraId="0937C0E6">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rPr>
              <w:t>净额结算</w:t>
            </w:r>
            <w:r>
              <w:rPr>
                <w:rFonts w:hint="eastAsia" w:ascii="仿宋_GB2312" w:eastAsia="仿宋_GB2312"/>
                <w:bCs/>
                <w:iCs/>
                <w:kern w:val="0"/>
                <w:sz w:val="24"/>
                <w:szCs w:val="24"/>
                <w:lang w:val="en-US" w:eastAsia="zh-CN"/>
              </w:rPr>
              <w:t>/</w:t>
            </w:r>
            <w:r>
              <w:rPr>
                <w:rFonts w:hint="eastAsia" w:ascii="仿宋_GB2312" w:eastAsia="仿宋_GB2312"/>
                <w:bCs/>
                <w:iCs/>
                <w:kern w:val="0"/>
                <w:sz w:val="24"/>
                <w:szCs w:val="24"/>
              </w:rPr>
              <w:t>RTGS结算</w:t>
            </w:r>
          </w:p>
        </w:tc>
      </w:tr>
      <w:tr w14:paraId="354C4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7" w:type="dxa"/>
            <w:shd w:val="clear" w:color="auto" w:fill="FFFFFF"/>
            <w:vAlign w:val="center"/>
          </w:tcPr>
          <w:p w14:paraId="269F8BE2">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申报时间</w:t>
            </w:r>
          </w:p>
        </w:tc>
        <w:tc>
          <w:tcPr>
            <w:tcW w:w="5995" w:type="dxa"/>
            <w:shd w:val="clear" w:color="auto" w:fill="FFFFFF"/>
            <w:vAlign w:val="center"/>
          </w:tcPr>
          <w:p w14:paraId="59D9A86A">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5FBA8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7" w:type="dxa"/>
            <w:shd w:val="clear" w:color="auto" w:fill="FFFFFF"/>
            <w:vAlign w:val="center"/>
          </w:tcPr>
          <w:p w14:paraId="20107903">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申报方简称</w:t>
            </w:r>
          </w:p>
        </w:tc>
        <w:tc>
          <w:tcPr>
            <w:tcW w:w="5995" w:type="dxa"/>
            <w:shd w:val="clear" w:color="auto" w:fill="FFFFFF"/>
            <w:vAlign w:val="center"/>
          </w:tcPr>
          <w:p w14:paraId="65C2EC8A">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lang w:eastAsia="zh-CN"/>
              </w:rPr>
              <w:t>债券交易参与人简称</w:t>
            </w:r>
          </w:p>
        </w:tc>
      </w:tr>
      <w:tr w14:paraId="6DFFC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7" w:type="dxa"/>
            <w:shd w:val="clear" w:color="auto" w:fill="FFFFFF"/>
            <w:vAlign w:val="center"/>
          </w:tcPr>
          <w:p w14:paraId="3A131D1F">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申报方交易员</w:t>
            </w:r>
          </w:p>
        </w:tc>
        <w:tc>
          <w:tcPr>
            <w:tcW w:w="5995" w:type="dxa"/>
            <w:shd w:val="clear" w:color="auto" w:fill="FFFFFF"/>
            <w:vAlign w:val="center"/>
          </w:tcPr>
          <w:p w14:paraId="1C8836C1">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lang w:eastAsia="zh-CN"/>
              </w:rPr>
              <w:t>交易员名称</w:t>
            </w:r>
          </w:p>
        </w:tc>
      </w:tr>
      <w:tr w14:paraId="6F7CC6DE">
        <w:tblPrEx>
          <w:tblCellMar>
            <w:top w:w="0" w:type="dxa"/>
            <w:left w:w="108" w:type="dxa"/>
            <w:bottom w:w="0" w:type="dxa"/>
            <w:right w:w="108" w:type="dxa"/>
          </w:tblCellMar>
        </w:tblPrEx>
        <w:trPr>
          <w:jc w:val="center"/>
        </w:trPr>
        <w:tc>
          <w:tcPr>
            <w:tcW w:w="2527" w:type="dxa"/>
            <w:shd w:val="clear" w:color="auto" w:fill="FFFFFF"/>
            <w:vAlign w:val="center"/>
          </w:tcPr>
          <w:p w14:paraId="745A3EB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价格</w:t>
            </w:r>
          </w:p>
        </w:tc>
        <w:tc>
          <w:tcPr>
            <w:tcW w:w="5995" w:type="dxa"/>
            <w:shd w:val="clear" w:color="auto" w:fill="FFFFFF"/>
            <w:vAlign w:val="center"/>
          </w:tcPr>
          <w:p w14:paraId="30CF318C">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059ED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7" w:type="dxa"/>
            <w:shd w:val="clear" w:color="auto" w:fill="FFFFFF"/>
            <w:vAlign w:val="center"/>
          </w:tcPr>
          <w:p w14:paraId="0CF076F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数量</w:t>
            </w:r>
          </w:p>
        </w:tc>
        <w:tc>
          <w:tcPr>
            <w:tcW w:w="5995" w:type="dxa"/>
            <w:shd w:val="clear" w:color="auto" w:fill="FFFFFF"/>
            <w:vAlign w:val="center"/>
          </w:tcPr>
          <w:p w14:paraId="7E74931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单位：元（整数）</w:t>
            </w:r>
          </w:p>
        </w:tc>
      </w:tr>
      <w:tr w14:paraId="48D5D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7" w:type="dxa"/>
            <w:shd w:val="clear" w:color="auto" w:fill="FFFFFF"/>
            <w:vAlign w:val="center"/>
          </w:tcPr>
          <w:p w14:paraId="750CFF7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交易方向</w:t>
            </w:r>
          </w:p>
        </w:tc>
        <w:tc>
          <w:tcPr>
            <w:tcW w:w="5995" w:type="dxa"/>
            <w:shd w:val="clear" w:color="auto" w:fill="FFFFFF"/>
            <w:vAlign w:val="center"/>
          </w:tcPr>
          <w:p w14:paraId="661AAA9A">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买</w:t>
            </w:r>
            <w:r>
              <w:rPr>
                <w:rFonts w:hint="eastAsia" w:ascii="仿宋_GB2312" w:eastAsia="仿宋_GB2312"/>
                <w:bCs/>
                <w:iCs/>
                <w:kern w:val="0"/>
                <w:sz w:val="24"/>
                <w:szCs w:val="24"/>
                <w:lang w:val="en-US" w:eastAsia="zh-CN"/>
              </w:rPr>
              <w:t>/</w:t>
            </w:r>
            <w:r>
              <w:rPr>
                <w:rFonts w:hint="eastAsia" w:ascii="仿宋_GB2312" w:eastAsia="仿宋_GB2312"/>
                <w:bCs/>
                <w:iCs/>
                <w:kern w:val="0"/>
                <w:sz w:val="24"/>
                <w:szCs w:val="24"/>
              </w:rPr>
              <w:t>卖</w:t>
            </w:r>
          </w:p>
        </w:tc>
      </w:tr>
      <w:tr w14:paraId="3DDA5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7" w:type="dxa"/>
            <w:shd w:val="clear" w:color="auto" w:fill="FFFFFF"/>
            <w:vAlign w:val="center"/>
          </w:tcPr>
          <w:p w14:paraId="200C33C3">
            <w:pPr>
              <w:tabs>
                <w:tab w:val="left" w:pos="900"/>
                <w:tab w:val="left" w:pos="1320"/>
              </w:tabs>
              <w:spacing w:after="93" w:afterLines="30"/>
              <w:jc w:val="left"/>
              <w:rPr>
                <w:rFonts w:hint="eastAsia" w:ascii="仿宋_GB2312" w:eastAsia="仿宋_GB2312"/>
                <w:b/>
                <w:bCs/>
                <w:iCs/>
                <w:kern w:val="0"/>
                <w:sz w:val="24"/>
                <w:szCs w:val="24"/>
                <w:lang w:eastAsia="zh-CN"/>
              </w:rPr>
            </w:pPr>
            <w:r>
              <w:rPr>
                <w:rFonts w:hint="eastAsia" w:ascii="仿宋_GB2312" w:eastAsia="仿宋_GB2312"/>
                <w:b/>
                <w:bCs/>
                <w:iCs/>
                <w:kern w:val="0"/>
                <w:sz w:val="24"/>
                <w:szCs w:val="24"/>
                <w:lang w:eastAsia="zh-CN"/>
              </w:rPr>
              <w:t>是否全额成交</w:t>
            </w:r>
          </w:p>
        </w:tc>
        <w:tc>
          <w:tcPr>
            <w:tcW w:w="5995" w:type="dxa"/>
            <w:shd w:val="clear" w:color="auto" w:fill="FFFFFF"/>
            <w:vAlign w:val="center"/>
          </w:tcPr>
          <w:p w14:paraId="6D48EEC4">
            <w:pPr>
              <w:tabs>
                <w:tab w:val="left" w:pos="900"/>
                <w:tab w:val="left" w:pos="1320"/>
              </w:tabs>
              <w:spacing w:after="93" w:afterLines="30"/>
              <w:jc w:val="left"/>
              <w:rPr>
                <w:rFonts w:hint="eastAsia" w:ascii="仿宋_GB2312" w:eastAsia="仿宋_GB2312"/>
                <w:bCs/>
                <w:iCs/>
                <w:kern w:val="0"/>
                <w:sz w:val="24"/>
                <w:szCs w:val="24"/>
                <w:lang w:eastAsia="zh-CN"/>
              </w:rPr>
            </w:pPr>
            <w:r>
              <w:rPr>
                <w:rFonts w:hint="eastAsia" w:ascii="仿宋_GB2312" w:eastAsia="仿宋_GB2312"/>
                <w:bCs/>
                <w:iCs/>
                <w:kern w:val="0"/>
                <w:sz w:val="24"/>
                <w:szCs w:val="24"/>
                <w:lang w:eastAsia="zh-CN"/>
              </w:rPr>
              <w:t>是</w:t>
            </w:r>
            <w:r>
              <w:rPr>
                <w:rFonts w:hint="eastAsia" w:ascii="仿宋_GB2312" w:eastAsia="仿宋_GB2312"/>
                <w:bCs/>
                <w:iCs/>
                <w:kern w:val="0"/>
                <w:sz w:val="24"/>
                <w:szCs w:val="24"/>
                <w:lang w:val="en-US" w:eastAsia="zh-CN"/>
              </w:rPr>
              <w:t>/</w:t>
            </w:r>
            <w:r>
              <w:rPr>
                <w:rFonts w:hint="eastAsia" w:ascii="仿宋_GB2312" w:eastAsia="仿宋_GB2312"/>
                <w:bCs/>
                <w:iCs/>
                <w:kern w:val="0"/>
                <w:sz w:val="24"/>
                <w:szCs w:val="24"/>
                <w:lang w:eastAsia="zh-CN"/>
              </w:rPr>
              <w:t>否</w:t>
            </w:r>
          </w:p>
        </w:tc>
      </w:tr>
    </w:tbl>
    <w:p w14:paraId="156A8C2F">
      <w:pPr>
        <w:spacing w:line="600" w:lineRule="exact"/>
        <w:ind w:firstLine="600" w:firstLineChars="200"/>
        <w:rPr>
          <w:rFonts w:ascii="仿宋_GB2312" w:hAnsi="黑体" w:eastAsia="仿宋_GB2312"/>
          <w:bCs/>
          <w:sz w:val="30"/>
          <w:szCs w:val="30"/>
        </w:rPr>
      </w:pPr>
      <w:r>
        <w:rPr>
          <w:rFonts w:hint="eastAsia" w:ascii="仿宋_GB2312" w:hAnsi="黑体" w:eastAsia="仿宋_GB2312"/>
          <w:bCs/>
          <w:sz w:val="30"/>
          <w:szCs w:val="30"/>
          <w:lang w:val="en-US" w:eastAsia="zh-CN"/>
        </w:rPr>
        <w:t>2</w:t>
      </w:r>
      <w:r>
        <w:rPr>
          <w:rFonts w:hint="eastAsia" w:ascii="仿宋_GB2312" w:hAnsi="黑体" w:eastAsia="仿宋_GB2312"/>
          <w:bCs/>
          <w:sz w:val="30"/>
          <w:szCs w:val="30"/>
          <w:lang w:eastAsia="zh-CN"/>
        </w:rPr>
        <w:t>）</w:t>
      </w:r>
      <w:r>
        <w:rPr>
          <w:rFonts w:hint="eastAsia" w:ascii="仿宋_GB2312" w:hAnsi="黑体" w:eastAsia="仿宋_GB2312"/>
          <w:bCs/>
          <w:sz w:val="30"/>
          <w:szCs w:val="30"/>
        </w:rPr>
        <w:t>意向申报（面向全市场）</w:t>
      </w:r>
    </w:p>
    <w:p w14:paraId="32599F12">
      <w:pPr>
        <w:spacing w:line="600" w:lineRule="exact"/>
        <w:ind w:firstLine="564" w:firstLineChars="188"/>
        <w:rPr>
          <w:rFonts w:ascii="仿宋_GB2312" w:hAnsi="宋体" w:eastAsia="仿宋_GB2312"/>
          <w:sz w:val="30"/>
          <w:szCs w:val="30"/>
        </w:rPr>
      </w:pPr>
      <w:r>
        <w:rPr>
          <w:rFonts w:hint="eastAsia" w:ascii="仿宋_GB2312" w:hAnsi="宋体" w:eastAsia="仿宋_GB2312"/>
          <w:sz w:val="30"/>
          <w:szCs w:val="30"/>
        </w:rPr>
        <w:t>对于债券现券，本所逐笔发布债券投资者向全市场发送的意向申报信息，包括申报方交易参与人简称、申报方交易员、申报价、申报数量、申报方向等信息。具体如下：</w:t>
      </w:r>
    </w:p>
    <w:tbl>
      <w:tblPr>
        <w:tblStyle w:val="4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527"/>
        <w:gridCol w:w="5995"/>
      </w:tblGrid>
      <w:tr w14:paraId="78224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31" w:hRule="atLeast"/>
          <w:jc w:val="center"/>
        </w:trPr>
        <w:tc>
          <w:tcPr>
            <w:tcW w:w="2527" w:type="dxa"/>
            <w:shd w:val="clear" w:color="auto" w:fill="FFFFFF"/>
            <w:vAlign w:val="center"/>
          </w:tcPr>
          <w:p w14:paraId="21C8F5FD">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5995" w:type="dxa"/>
            <w:shd w:val="clear" w:color="auto" w:fill="FFFFFF"/>
            <w:vAlign w:val="center"/>
          </w:tcPr>
          <w:p w14:paraId="1780FD2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5181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527" w:type="dxa"/>
            <w:shd w:val="clear" w:color="auto" w:fill="FFFFFF"/>
            <w:vAlign w:val="center"/>
          </w:tcPr>
          <w:p w14:paraId="65FEF9A7">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证券代码</w:t>
            </w:r>
          </w:p>
        </w:tc>
        <w:tc>
          <w:tcPr>
            <w:tcW w:w="5995" w:type="dxa"/>
            <w:shd w:val="clear" w:color="auto" w:fill="FFFFFF"/>
            <w:vAlign w:val="center"/>
          </w:tcPr>
          <w:p w14:paraId="55F85148">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债券代码</w:t>
            </w:r>
          </w:p>
        </w:tc>
      </w:tr>
      <w:tr w14:paraId="31985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527" w:type="dxa"/>
            <w:shd w:val="clear" w:color="auto" w:fill="FFFFFF"/>
            <w:vAlign w:val="center"/>
          </w:tcPr>
          <w:p w14:paraId="6AB11385">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证券简称</w:t>
            </w:r>
          </w:p>
        </w:tc>
        <w:tc>
          <w:tcPr>
            <w:tcW w:w="5995" w:type="dxa"/>
            <w:shd w:val="clear" w:color="auto" w:fill="FFFFFF"/>
            <w:vAlign w:val="center"/>
          </w:tcPr>
          <w:p w14:paraId="0C0CF30D">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债券简称</w:t>
            </w:r>
          </w:p>
        </w:tc>
      </w:tr>
      <w:tr w14:paraId="02024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527" w:type="dxa"/>
            <w:shd w:val="clear" w:color="auto" w:fill="FFFFFF"/>
            <w:vAlign w:val="center"/>
          </w:tcPr>
          <w:p w14:paraId="761FBC3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申报时间</w:t>
            </w:r>
          </w:p>
        </w:tc>
        <w:tc>
          <w:tcPr>
            <w:tcW w:w="5995" w:type="dxa"/>
            <w:shd w:val="clear" w:color="auto" w:fill="FFFFFF"/>
            <w:vAlign w:val="center"/>
          </w:tcPr>
          <w:p w14:paraId="23C6591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23633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527" w:type="dxa"/>
            <w:shd w:val="clear" w:color="auto" w:fill="FFFFFF"/>
            <w:vAlign w:val="center"/>
          </w:tcPr>
          <w:p w14:paraId="706F43D0">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申报方简称</w:t>
            </w:r>
          </w:p>
        </w:tc>
        <w:tc>
          <w:tcPr>
            <w:tcW w:w="5995" w:type="dxa"/>
            <w:shd w:val="clear" w:color="auto" w:fill="FFFFFF"/>
            <w:vAlign w:val="center"/>
          </w:tcPr>
          <w:p w14:paraId="1908685B">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lang w:eastAsia="zh-CN"/>
              </w:rPr>
              <w:t>债券交易参与人简称</w:t>
            </w:r>
          </w:p>
        </w:tc>
      </w:tr>
      <w:tr w14:paraId="69BB5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527" w:type="dxa"/>
            <w:shd w:val="clear" w:color="auto" w:fill="FFFFFF"/>
            <w:vAlign w:val="center"/>
          </w:tcPr>
          <w:p w14:paraId="6B36004C">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申报方交易员</w:t>
            </w:r>
          </w:p>
        </w:tc>
        <w:tc>
          <w:tcPr>
            <w:tcW w:w="5995" w:type="dxa"/>
            <w:shd w:val="clear" w:color="auto" w:fill="FFFFFF"/>
            <w:vAlign w:val="center"/>
          </w:tcPr>
          <w:p w14:paraId="1C640F44">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lang w:eastAsia="zh-CN"/>
              </w:rPr>
              <w:t>交易员名称</w:t>
            </w:r>
          </w:p>
        </w:tc>
      </w:tr>
      <w:tr w14:paraId="4B95A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527" w:type="dxa"/>
            <w:shd w:val="clear" w:color="auto" w:fill="FFFFFF"/>
            <w:vAlign w:val="center"/>
          </w:tcPr>
          <w:p w14:paraId="462890B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价格</w:t>
            </w:r>
          </w:p>
        </w:tc>
        <w:tc>
          <w:tcPr>
            <w:tcW w:w="5995" w:type="dxa"/>
            <w:shd w:val="clear" w:color="auto" w:fill="FFFFFF"/>
            <w:vAlign w:val="center"/>
          </w:tcPr>
          <w:p w14:paraId="4DC115A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05BD4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527" w:type="dxa"/>
            <w:shd w:val="clear" w:color="auto" w:fill="FFFFFF"/>
            <w:vAlign w:val="center"/>
          </w:tcPr>
          <w:p w14:paraId="19F4667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数量</w:t>
            </w:r>
          </w:p>
        </w:tc>
        <w:tc>
          <w:tcPr>
            <w:tcW w:w="5995" w:type="dxa"/>
            <w:shd w:val="clear" w:color="auto" w:fill="FFFFFF"/>
            <w:vAlign w:val="center"/>
          </w:tcPr>
          <w:p w14:paraId="4A4696F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单位：元（整数）</w:t>
            </w:r>
          </w:p>
        </w:tc>
      </w:tr>
      <w:tr w14:paraId="682EB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527" w:type="dxa"/>
            <w:shd w:val="clear" w:color="auto" w:fill="FFFFFF"/>
            <w:vAlign w:val="center"/>
          </w:tcPr>
          <w:p w14:paraId="4E4AC40E">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交易方向</w:t>
            </w:r>
          </w:p>
        </w:tc>
        <w:tc>
          <w:tcPr>
            <w:tcW w:w="5995" w:type="dxa"/>
            <w:shd w:val="clear" w:color="auto" w:fill="FFFFFF"/>
            <w:vAlign w:val="center"/>
          </w:tcPr>
          <w:p w14:paraId="50C3444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买</w:t>
            </w:r>
            <w:r>
              <w:rPr>
                <w:rFonts w:hint="eastAsia" w:ascii="仿宋_GB2312" w:eastAsia="仿宋_GB2312"/>
                <w:bCs/>
                <w:iCs/>
                <w:kern w:val="0"/>
                <w:sz w:val="24"/>
                <w:szCs w:val="24"/>
                <w:lang w:val="en-US" w:eastAsia="zh-CN"/>
              </w:rPr>
              <w:t>/</w:t>
            </w:r>
            <w:r>
              <w:rPr>
                <w:rFonts w:hint="eastAsia" w:ascii="仿宋_GB2312" w:eastAsia="仿宋_GB2312"/>
                <w:bCs/>
                <w:iCs/>
                <w:kern w:val="0"/>
                <w:sz w:val="24"/>
                <w:szCs w:val="24"/>
              </w:rPr>
              <w:t>卖</w:t>
            </w:r>
          </w:p>
        </w:tc>
      </w:tr>
    </w:tbl>
    <w:p w14:paraId="7CA148E4">
      <w:pPr>
        <w:spacing w:line="600" w:lineRule="exact"/>
        <w:ind w:firstLine="600" w:firstLineChars="200"/>
        <w:rPr>
          <w:rFonts w:ascii="仿宋_GB2312" w:hAnsi="黑体" w:eastAsia="仿宋_GB2312"/>
          <w:bCs/>
          <w:sz w:val="30"/>
          <w:szCs w:val="30"/>
        </w:rPr>
      </w:pPr>
      <w:r>
        <w:rPr>
          <w:rFonts w:hint="eastAsia" w:ascii="仿宋_GB2312" w:hAnsi="黑体" w:eastAsia="仿宋_GB2312"/>
          <w:bCs/>
          <w:sz w:val="30"/>
          <w:szCs w:val="30"/>
          <w:lang w:val="en-US" w:eastAsia="zh-CN"/>
        </w:rPr>
        <w:t>3</w:t>
      </w:r>
      <w:r>
        <w:rPr>
          <w:rFonts w:hint="eastAsia" w:ascii="仿宋_GB2312" w:hAnsi="黑体" w:eastAsia="仿宋_GB2312"/>
          <w:bCs/>
          <w:sz w:val="30"/>
          <w:szCs w:val="30"/>
        </w:rPr>
        <w:t>）竞买成交</w:t>
      </w:r>
    </w:p>
    <w:p w14:paraId="3FB413F0">
      <w:pPr>
        <w:spacing w:line="600" w:lineRule="exact"/>
        <w:ind w:firstLine="564" w:firstLineChars="188"/>
        <w:rPr>
          <w:rFonts w:ascii="仿宋_GB2312" w:hAnsi="宋体" w:eastAsia="仿宋_GB2312"/>
          <w:sz w:val="30"/>
          <w:szCs w:val="30"/>
        </w:rPr>
      </w:pPr>
      <w:r>
        <w:rPr>
          <w:rFonts w:hint="eastAsia" w:ascii="仿宋_GB2312" w:hAnsi="宋体" w:eastAsia="仿宋_GB2312"/>
          <w:sz w:val="30"/>
          <w:szCs w:val="30"/>
        </w:rPr>
        <w:t>对于债券现券，本所逐笔发布债券投资者向全市场发送的</w:t>
      </w:r>
      <w:r>
        <w:rPr>
          <w:rFonts w:hint="eastAsia" w:ascii="仿宋_GB2312" w:hAnsi="宋体" w:eastAsia="仿宋_GB2312"/>
          <w:sz w:val="30"/>
          <w:szCs w:val="30"/>
          <w:lang w:eastAsia="zh-CN"/>
        </w:rPr>
        <w:t>竞买预约申报和</w:t>
      </w:r>
      <w:r>
        <w:rPr>
          <w:rFonts w:hint="eastAsia" w:ascii="仿宋_GB2312" w:hAnsi="宋体" w:eastAsia="仿宋_GB2312"/>
          <w:sz w:val="30"/>
          <w:szCs w:val="30"/>
        </w:rPr>
        <w:t>竞买发起申报信息，包括卖方的交易参与人简称（若显名）、交易员（若显名）、竞买方式、底价、竞买数量、结算方式、结算周期。其中，单一主体中标方式下本所还会逐笔发布竞买成交的竞买应价申报信息，包括应价方的交易参与人简称（若显名）、交易员（若显名）、价格、数量等信息。</w:t>
      </w:r>
    </w:p>
    <w:p w14:paraId="3696AEE6">
      <w:pPr>
        <w:widowControl/>
        <w:spacing w:line="600" w:lineRule="exact"/>
        <w:ind w:firstLine="564" w:firstLineChars="188"/>
        <w:jc w:val="left"/>
        <w:rPr>
          <w:rFonts w:hint="eastAsia" w:ascii="仿宋_GB2312" w:hAnsi="宋体" w:eastAsia="仿宋_GB2312" w:cs="宋体"/>
          <w:kern w:val="0"/>
          <w:sz w:val="30"/>
          <w:szCs w:val="30"/>
        </w:rPr>
      </w:pPr>
      <w:r>
        <w:rPr>
          <w:rFonts w:hint="eastAsia" w:ascii="仿宋_GB2312" w:hAnsi="宋体" w:eastAsia="仿宋_GB2312" w:cs="宋体"/>
          <w:kern w:val="0"/>
          <w:sz w:val="30"/>
          <w:szCs w:val="30"/>
        </w:rPr>
        <w:t>采用单一主体中标方式的，本所逐笔发布卖方向全市场发送的</w:t>
      </w:r>
      <w:r>
        <w:rPr>
          <w:rFonts w:hint="eastAsia" w:ascii="仿宋_GB2312" w:hAnsi="宋体" w:eastAsia="仿宋_GB2312"/>
          <w:sz w:val="30"/>
          <w:szCs w:val="30"/>
          <w:lang w:eastAsia="zh-CN"/>
        </w:rPr>
        <w:t>竞买预约申报</w:t>
      </w:r>
      <w:r>
        <w:rPr>
          <w:rFonts w:hint="eastAsia" w:ascii="仿宋_GB2312" w:hAnsi="宋体" w:eastAsia="仿宋_GB2312" w:cs="宋体"/>
          <w:kern w:val="0"/>
          <w:sz w:val="30"/>
          <w:szCs w:val="30"/>
        </w:rPr>
        <w:t>信息，包括</w:t>
      </w:r>
      <w:r>
        <w:rPr>
          <w:rFonts w:hint="eastAsia" w:ascii="仿宋_GB2312" w:hAnsi="宋体" w:eastAsia="仿宋_GB2312"/>
          <w:sz w:val="30"/>
          <w:szCs w:val="30"/>
        </w:rPr>
        <w:t>卖方的交易参与人简称（若显名）、交易员（若显名）、竞买方式、底价、竞买数量、结算方式等</w:t>
      </w:r>
      <w:r>
        <w:rPr>
          <w:rFonts w:hint="eastAsia" w:ascii="仿宋_GB2312" w:hAnsi="宋体" w:eastAsia="仿宋_GB2312" w:cs="宋体"/>
          <w:kern w:val="0"/>
          <w:sz w:val="30"/>
          <w:szCs w:val="30"/>
        </w:rPr>
        <w:t>信息。具体如下：</w:t>
      </w:r>
    </w:p>
    <w:tbl>
      <w:tblPr>
        <w:tblStyle w:val="43"/>
        <w:tblW w:w="7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316"/>
        <w:gridCol w:w="5493"/>
      </w:tblGrid>
      <w:tr w14:paraId="2F55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31" w:hRule="atLeast"/>
          <w:jc w:val="center"/>
        </w:trPr>
        <w:tc>
          <w:tcPr>
            <w:tcW w:w="2316" w:type="dxa"/>
            <w:shd w:val="clear" w:color="auto" w:fill="FFFFFF"/>
            <w:vAlign w:val="center"/>
          </w:tcPr>
          <w:p w14:paraId="33A8882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5493" w:type="dxa"/>
            <w:shd w:val="clear" w:color="auto" w:fill="FFFFFF"/>
            <w:vAlign w:val="center"/>
          </w:tcPr>
          <w:p w14:paraId="4DAD2306">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166BC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2F0E521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证券代码</w:t>
            </w:r>
          </w:p>
        </w:tc>
        <w:tc>
          <w:tcPr>
            <w:tcW w:w="5493" w:type="dxa"/>
            <w:shd w:val="clear" w:color="auto" w:fill="FFFFFF"/>
            <w:vAlign w:val="center"/>
          </w:tcPr>
          <w:p w14:paraId="65060F7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债券代码</w:t>
            </w:r>
          </w:p>
        </w:tc>
      </w:tr>
      <w:tr w14:paraId="23B2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6943366C">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证券简称</w:t>
            </w:r>
          </w:p>
        </w:tc>
        <w:tc>
          <w:tcPr>
            <w:tcW w:w="5493" w:type="dxa"/>
            <w:shd w:val="clear" w:color="auto" w:fill="FFFFFF"/>
            <w:vAlign w:val="center"/>
          </w:tcPr>
          <w:p w14:paraId="0FFF9884">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债券简称</w:t>
            </w:r>
          </w:p>
        </w:tc>
      </w:tr>
      <w:tr w14:paraId="3C14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37DEF356">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竞买日</w:t>
            </w:r>
          </w:p>
        </w:tc>
        <w:tc>
          <w:tcPr>
            <w:tcW w:w="5493" w:type="dxa"/>
            <w:shd w:val="clear" w:color="auto" w:fill="FFFFFF"/>
            <w:vAlign w:val="center"/>
          </w:tcPr>
          <w:p w14:paraId="1C2D5526">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年月日</w:t>
            </w:r>
          </w:p>
        </w:tc>
      </w:tr>
      <w:tr w14:paraId="7180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55EE2C7C">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发布时间</w:t>
            </w:r>
          </w:p>
        </w:tc>
        <w:tc>
          <w:tcPr>
            <w:tcW w:w="5493" w:type="dxa"/>
            <w:shd w:val="clear" w:color="auto" w:fill="FFFFFF"/>
            <w:vAlign w:val="center"/>
          </w:tcPr>
          <w:p w14:paraId="7CFAA2B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74808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26903DFD">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lang w:eastAsia="zh-CN"/>
              </w:rPr>
              <w:t>订单</w:t>
            </w:r>
            <w:r>
              <w:rPr>
                <w:rFonts w:hint="eastAsia" w:ascii="仿宋_GB2312" w:eastAsia="仿宋_GB2312"/>
                <w:b/>
                <w:bCs/>
                <w:iCs/>
                <w:kern w:val="0"/>
                <w:sz w:val="24"/>
                <w:szCs w:val="24"/>
              </w:rPr>
              <w:t>编号</w:t>
            </w:r>
          </w:p>
        </w:tc>
        <w:tc>
          <w:tcPr>
            <w:tcW w:w="5493" w:type="dxa"/>
            <w:shd w:val="clear" w:color="auto" w:fill="FFFFFF"/>
            <w:vAlign w:val="center"/>
          </w:tcPr>
          <w:p w14:paraId="35965EDB">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竞买</w:t>
            </w:r>
            <w:r>
              <w:rPr>
                <w:rFonts w:hint="eastAsia" w:ascii="仿宋_GB2312" w:eastAsia="仿宋_GB2312"/>
                <w:bCs/>
                <w:iCs/>
                <w:kern w:val="0"/>
                <w:sz w:val="24"/>
                <w:szCs w:val="24"/>
                <w:lang w:eastAsia="zh-CN"/>
              </w:rPr>
              <w:t>预约</w:t>
            </w:r>
            <w:r>
              <w:rPr>
                <w:rFonts w:hint="eastAsia" w:ascii="仿宋_GB2312" w:eastAsia="仿宋_GB2312"/>
                <w:bCs/>
                <w:iCs/>
                <w:kern w:val="0"/>
                <w:sz w:val="24"/>
                <w:szCs w:val="24"/>
              </w:rPr>
              <w:t>编号</w:t>
            </w:r>
          </w:p>
        </w:tc>
      </w:tr>
      <w:tr w14:paraId="4FE50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1BEB11D9">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卖方简称</w:t>
            </w:r>
          </w:p>
        </w:tc>
        <w:tc>
          <w:tcPr>
            <w:tcW w:w="5493" w:type="dxa"/>
            <w:shd w:val="clear" w:color="auto" w:fill="FFFFFF"/>
            <w:vAlign w:val="center"/>
          </w:tcPr>
          <w:p w14:paraId="27EA6057">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竞买的卖方交易参与人简称，可匿名；</w:t>
            </w:r>
          </w:p>
          <w:p w14:paraId="4F48E41D">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（竞买卖方如果是匿名申报，则卖方为匿名）</w:t>
            </w:r>
          </w:p>
        </w:tc>
      </w:tr>
      <w:tr w14:paraId="27234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04A79ACB">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卖方交易员</w:t>
            </w:r>
          </w:p>
        </w:tc>
        <w:tc>
          <w:tcPr>
            <w:tcW w:w="5493" w:type="dxa"/>
            <w:shd w:val="clear" w:color="auto" w:fill="FFFFFF"/>
            <w:vAlign w:val="center"/>
          </w:tcPr>
          <w:p w14:paraId="20586559">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竞买卖方交易员名称，可匿名；</w:t>
            </w:r>
          </w:p>
          <w:p w14:paraId="2051AF3A">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（竞买卖方如果是匿名申报，则卖方交易员为匿名）</w:t>
            </w:r>
          </w:p>
        </w:tc>
      </w:tr>
      <w:tr w14:paraId="1D469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18F80527">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竞买方式</w:t>
            </w:r>
          </w:p>
        </w:tc>
        <w:tc>
          <w:tcPr>
            <w:tcW w:w="5493" w:type="dxa"/>
            <w:shd w:val="clear" w:color="auto" w:fill="FFFFFF"/>
            <w:vAlign w:val="center"/>
          </w:tcPr>
          <w:p w14:paraId="00589B8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单一主体中标</w:t>
            </w:r>
          </w:p>
        </w:tc>
      </w:tr>
      <w:tr w14:paraId="66587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45842C6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底价</w:t>
            </w:r>
          </w:p>
        </w:tc>
        <w:tc>
          <w:tcPr>
            <w:tcW w:w="5493" w:type="dxa"/>
            <w:shd w:val="clear" w:color="auto" w:fill="FFFFFF"/>
            <w:vAlign w:val="center"/>
          </w:tcPr>
          <w:p w14:paraId="575155A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竞买最低申报价，单位：元（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52924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44FDA150">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竞买数量</w:t>
            </w:r>
          </w:p>
        </w:tc>
        <w:tc>
          <w:tcPr>
            <w:tcW w:w="5493" w:type="dxa"/>
            <w:shd w:val="clear" w:color="auto" w:fill="FFFFFF"/>
            <w:vAlign w:val="center"/>
          </w:tcPr>
          <w:p w14:paraId="286F0CCB">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单位：千元面额（整数）</w:t>
            </w:r>
          </w:p>
        </w:tc>
      </w:tr>
      <w:tr w14:paraId="0262F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316" w:type="dxa"/>
            <w:shd w:val="clear" w:color="auto" w:fill="FFFFFF"/>
            <w:vAlign w:val="center"/>
          </w:tcPr>
          <w:p w14:paraId="35D93B3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结算方式</w:t>
            </w:r>
          </w:p>
        </w:tc>
        <w:tc>
          <w:tcPr>
            <w:tcW w:w="5493" w:type="dxa"/>
            <w:shd w:val="clear" w:color="auto" w:fill="FFFFFF"/>
            <w:vAlign w:val="center"/>
          </w:tcPr>
          <w:p w14:paraId="5598369F">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净额结算</w:t>
            </w:r>
            <w:r>
              <w:rPr>
                <w:rFonts w:hint="eastAsia" w:ascii="仿宋_GB2312" w:eastAsia="仿宋_GB2312"/>
                <w:bCs/>
                <w:iCs/>
                <w:kern w:val="0"/>
                <w:sz w:val="24"/>
                <w:szCs w:val="24"/>
                <w:lang w:val="en-US" w:eastAsia="zh-CN"/>
              </w:rPr>
              <w:t>/</w:t>
            </w:r>
            <w:r>
              <w:rPr>
                <w:rFonts w:hint="eastAsia" w:ascii="仿宋_GB2312" w:eastAsia="仿宋_GB2312"/>
                <w:bCs/>
                <w:iCs/>
                <w:kern w:val="0"/>
                <w:sz w:val="24"/>
                <w:szCs w:val="24"/>
              </w:rPr>
              <w:t>RTGS结算</w:t>
            </w:r>
          </w:p>
        </w:tc>
      </w:tr>
    </w:tbl>
    <w:p w14:paraId="24B71BFD">
      <w:pPr>
        <w:widowControl/>
        <w:spacing w:line="600" w:lineRule="exact"/>
        <w:ind w:firstLine="564" w:firstLineChars="188"/>
        <w:jc w:val="left"/>
        <w:rPr>
          <w:rFonts w:hint="eastAsia" w:ascii="仿宋_GB2312" w:hAnsi="宋体" w:eastAsia="仿宋_GB2312" w:cs="宋体"/>
          <w:kern w:val="0"/>
          <w:sz w:val="30"/>
          <w:szCs w:val="30"/>
        </w:rPr>
      </w:pPr>
      <w:r>
        <w:rPr>
          <w:rFonts w:hint="eastAsia" w:ascii="仿宋_GB2312" w:hAnsi="宋体" w:eastAsia="仿宋_GB2312" w:cs="宋体"/>
          <w:kern w:val="0"/>
          <w:sz w:val="30"/>
          <w:szCs w:val="30"/>
        </w:rPr>
        <w:t>采用单一主体中标方式的，本所逐笔发布卖方向全市场发送的</w:t>
      </w:r>
      <w:r>
        <w:rPr>
          <w:rFonts w:hint="eastAsia" w:ascii="仿宋_GB2312" w:hAnsi="宋体" w:eastAsia="仿宋_GB2312"/>
          <w:sz w:val="30"/>
          <w:szCs w:val="30"/>
          <w:lang w:eastAsia="zh-CN"/>
        </w:rPr>
        <w:t>竞买发起申报</w:t>
      </w:r>
      <w:r>
        <w:rPr>
          <w:rFonts w:hint="eastAsia" w:ascii="仿宋_GB2312" w:hAnsi="宋体" w:eastAsia="仿宋_GB2312" w:cs="宋体"/>
          <w:kern w:val="0"/>
          <w:sz w:val="30"/>
          <w:szCs w:val="30"/>
        </w:rPr>
        <w:t>信息，包括</w:t>
      </w:r>
      <w:r>
        <w:rPr>
          <w:rFonts w:hint="eastAsia" w:ascii="仿宋_GB2312" w:hAnsi="宋体" w:eastAsia="仿宋_GB2312"/>
          <w:sz w:val="30"/>
          <w:szCs w:val="30"/>
        </w:rPr>
        <w:t>卖方的交易参与人简称（若显名）、交易员（若显名）、竞买方式、底价、竞买数量、结算方式等</w:t>
      </w:r>
      <w:r>
        <w:rPr>
          <w:rFonts w:hint="eastAsia" w:ascii="仿宋_GB2312" w:hAnsi="宋体" w:eastAsia="仿宋_GB2312" w:cs="宋体"/>
          <w:kern w:val="0"/>
          <w:sz w:val="30"/>
          <w:szCs w:val="30"/>
        </w:rPr>
        <w:t>信息。具体如下：</w:t>
      </w:r>
    </w:p>
    <w:tbl>
      <w:tblPr>
        <w:tblStyle w:val="43"/>
        <w:tblW w:w="7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316"/>
        <w:gridCol w:w="5493"/>
      </w:tblGrid>
      <w:tr w14:paraId="109F6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2316" w:type="dxa"/>
            <w:shd w:val="clear" w:color="auto" w:fill="FFFFFF"/>
            <w:vAlign w:val="center"/>
          </w:tcPr>
          <w:p w14:paraId="13447ACE">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5493" w:type="dxa"/>
            <w:shd w:val="clear" w:color="auto" w:fill="FFFFFF"/>
            <w:vAlign w:val="center"/>
          </w:tcPr>
          <w:p w14:paraId="00C56ABE">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25A1E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55E1A410">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证券代码</w:t>
            </w:r>
          </w:p>
        </w:tc>
        <w:tc>
          <w:tcPr>
            <w:tcW w:w="5493" w:type="dxa"/>
            <w:shd w:val="clear" w:color="auto" w:fill="FFFFFF"/>
            <w:vAlign w:val="center"/>
          </w:tcPr>
          <w:p w14:paraId="6B43F1B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债券代码</w:t>
            </w:r>
          </w:p>
        </w:tc>
      </w:tr>
      <w:tr w14:paraId="4951A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5CDFB684">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证券简称</w:t>
            </w:r>
          </w:p>
        </w:tc>
        <w:tc>
          <w:tcPr>
            <w:tcW w:w="5493" w:type="dxa"/>
            <w:shd w:val="clear" w:color="auto" w:fill="FFFFFF"/>
            <w:vAlign w:val="center"/>
          </w:tcPr>
          <w:p w14:paraId="6B697A7E">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债券简称</w:t>
            </w:r>
          </w:p>
        </w:tc>
      </w:tr>
      <w:tr w14:paraId="24243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35F58E0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发布时间</w:t>
            </w:r>
          </w:p>
        </w:tc>
        <w:tc>
          <w:tcPr>
            <w:tcW w:w="5493" w:type="dxa"/>
            <w:shd w:val="clear" w:color="auto" w:fill="FFFFFF"/>
            <w:vAlign w:val="center"/>
          </w:tcPr>
          <w:p w14:paraId="39B1F8D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5DE5C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58DA3FA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lang w:eastAsia="zh-CN"/>
              </w:rPr>
              <w:t>订单</w:t>
            </w:r>
            <w:r>
              <w:rPr>
                <w:rFonts w:hint="eastAsia" w:ascii="仿宋_GB2312" w:eastAsia="仿宋_GB2312"/>
                <w:b/>
                <w:bCs/>
                <w:iCs/>
                <w:kern w:val="0"/>
                <w:sz w:val="24"/>
                <w:szCs w:val="24"/>
              </w:rPr>
              <w:t>编号</w:t>
            </w:r>
          </w:p>
        </w:tc>
        <w:tc>
          <w:tcPr>
            <w:tcW w:w="5493" w:type="dxa"/>
            <w:shd w:val="clear" w:color="auto" w:fill="FFFFFF"/>
            <w:vAlign w:val="center"/>
          </w:tcPr>
          <w:p w14:paraId="408ED82B">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竞买</w:t>
            </w:r>
            <w:r>
              <w:rPr>
                <w:rFonts w:hint="eastAsia" w:ascii="仿宋_GB2312" w:eastAsia="仿宋_GB2312"/>
                <w:bCs/>
                <w:iCs/>
                <w:kern w:val="0"/>
                <w:sz w:val="24"/>
                <w:szCs w:val="24"/>
                <w:lang w:eastAsia="zh-CN"/>
              </w:rPr>
              <w:t>申报</w:t>
            </w:r>
            <w:r>
              <w:rPr>
                <w:rFonts w:hint="eastAsia" w:ascii="仿宋_GB2312" w:eastAsia="仿宋_GB2312"/>
                <w:bCs/>
                <w:iCs/>
                <w:kern w:val="0"/>
                <w:sz w:val="24"/>
                <w:szCs w:val="24"/>
              </w:rPr>
              <w:t>编号</w:t>
            </w:r>
          </w:p>
        </w:tc>
      </w:tr>
      <w:tr w14:paraId="32938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345E4AC0">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卖方简称</w:t>
            </w:r>
          </w:p>
        </w:tc>
        <w:tc>
          <w:tcPr>
            <w:tcW w:w="5493" w:type="dxa"/>
            <w:shd w:val="clear" w:color="auto" w:fill="FFFFFF"/>
            <w:vAlign w:val="center"/>
          </w:tcPr>
          <w:p w14:paraId="7AEA53F9">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竞买的卖方交易参与人简称，可匿名；</w:t>
            </w:r>
          </w:p>
          <w:p w14:paraId="5E3B5DD6">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（竞买卖方如果是匿名申报，则卖方为匿名）</w:t>
            </w:r>
          </w:p>
        </w:tc>
      </w:tr>
      <w:tr w14:paraId="54F14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614E3FA6">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卖方交易员</w:t>
            </w:r>
          </w:p>
        </w:tc>
        <w:tc>
          <w:tcPr>
            <w:tcW w:w="5493" w:type="dxa"/>
            <w:shd w:val="clear" w:color="auto" w:fill="FFFFFF"/>
            <w:vAlign w:val="center"/>
          </w:tcPr>
          <w:p w14:paraId="2DE03D9D">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竞买卖方交易员名称，可匿名；</w:t>
            </w:r>
          </w:p>
          <w:p w14:paraId="69C7E9FE">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（竞买卖方如果是匿名申报，则卖方交易员为匿名）</w:t>
            </w:r>
          </w:p>
        </w:tc>
      </w:tr>
      <w:tr w14:paraId="47B82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68B4BF8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竞买方式</w:t>
            </w:r>
          </w:p>
        </w:tc>
        <w:tc>
          <w:tcPr>
            <w:tcW w:w="5493" w:type="dxa"/>
            <w:shd w:val="clear" w:color="auto" w:fill="FFFFFF"/>
            <w:vAlign w:val="center"/>
          </w:tcPr>
          <w:p w14:paraId="4E19324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单一主体中标</w:t>
            </w:r>
          </w:p>
        </w:tc>
      </w:tr>
      <w:tr w14:paraId="3E26D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324F87F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底价</w:t>
            </w:r>
          </w:p>
        </w:tc>
        <w:tc>
          <w:tcPr>
            <w:tcW w:w="5493" w:type="dxa"/>
            <w:shd w:val="clear" w:color="auto" w:fill="FFFFFF"/>
            <w:vAlign w:val="center"/>
          </w:tcPr>
          <w:p w14:paraId="230F5844">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竞买最低申报价，单位：元（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23AB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745C9640">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竞买数量</w:t>
            </w:r>
          </w:p>
        </w:tc>
        <w:tc>
          <w:tcPr>
            <w:tcW w:w="5493" w:type="dxa"/>
            <w:shd w:val="clear" w:color="auto" w:fill="FFFFFF"/>
            <w:vAlign w:val="center"/>
          </w:tcPr>
          <w:p w14:paraId="2D0F021C">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单位：千元面额（整数）</w:t>
            </w:r>
          </w:p>
        </w:tc>
      </w:tr>
      <w:tr w14:paraId="2BBB1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1802C06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结算方式</w:t>
            </w:r>
          </w:p>
        </w:tc>
        <w:tc>
          <w:tcPr>
            <w:tcW w:w="5493" w:type="dxa"/>
            <w:shd w:val="clear" w:color="auto" w:fill="FFFFFF"/>
            <w:vAlign w:val="center"/>
          </w:tcPr>
          <w:p w14:paraId="4D6A6C06">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净额结算</w:t>
            </w:r>
            <w:r>
              <w:rPr>
                <w:rFonts w:hint="eastAsia" w:ascii="仿宋_GB2312" w:eastAsia="仿宋_GB2312"/>
                <w:bCs/>
                <w:iCs/>
                <w:kern w:val="0"/>
                <w:sz w:val="24"/>
                <w:szCs w:val="24"/>
                <w:lang w:val="en-US" w:eastAsia="zh-CN"/>
              </w:rPr>
              <w:t>/</w:t>
            </w:r>
            <w:r>
              <w:rPr>
                <w:rFonts w:hint="eastAsia" w:ascii="仿宋_GB2312" w:eastAsia="仿宋_GB2312"/>
                <w:bCs/>
                <w:iCs/>
                <w:kern w:val="0"/>
                <w:sz w:val="24"/>
                <w:szCs w:val="24"/>
              </w:rPr>
              <w:t>RTGS结算</w:t>
            </w:r>
          </w:p>
        </w:tc>
      </w:tr>
    </w:tbl>
    <w:p w14:paraId="06DAA0F6">
      <w:pPr>
        <w:widowControl/>
        <w:spacing w:line="60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采用单一主体中标方式的，本所逐笔发布应价方向全市场发送的应价申报信息</w:t>
      </w:r>
      <w:r>
        <w:rPr>
          <w:rFonts w:hint="eastAsia" w:ascii="仿宋_GB2312" w:hAnsi="宋体" w:eastAsia="仿宋_GB2312"/>
          <w:sz w:val="30"/>
          <w:szCs w:val="30"/>
        </w:rPr>
        <w:t>，包括应价方的交易参与人简称（若显名）、交易员（若显名）、价格、数量等信息</w:t>
      </w:r>
      <w:r>
        <w:rPr>
          <w:rFonts w:hint="eastAsia" w:ascii="仿宋_GB2312" w:hAnsi="宋体" w:eastAsia="仿宋_GB2312" w:cs="宋体"/>
          <w:kern w:val="0"/>
          <w:sz w:val="30"/>
          <w:szCs w:val="30"/>
        </w:rPr>
        <w:t>。具体如下：</w:t>
      </w:r>
    </w:p>
    <w:tbl>
      <w:tblPr>
        <w:tblStyle w:val="43"/>
        <w:tblW w:w="7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316"/>
        <w:gridCol w:w="5493"/>
      </w:tblGrid>
      <w:tr w14:paraId="0617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2316" w:type="dxa"/>
            <w:shd w:val="clear" w:color="auto" w:fill="FFFFFF"/>
            <w:vAlign w:val="center"/>
          </w:tcPr>
          <w:p w14:paraId="7D20C21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5493" w:type="dxa"/>
            <w:shd w:val="clear" w:color="auto" w:fill="FFFFFF"/>
            <w:vAlign w:val="center"/>
          </w:tcPr>
          <w:p w14:paraId="2E0F0A1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5B14C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441D06F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证券代码</w:t>
            </w:r>
          </w:p>
        </w:tc>
        <w:tc>
          <w:tcPr>
            <w:tcW w:w="5493" w:type="dxa"/>
            <w:shd w:val="clear" w:color="auto" w:fill="FFFFFF"/>
            <w:vAlign w:val="center"/>
          </w:tcPr>
          <w:p w14:paraId="21C8AB85">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债券代码</w:t>
            </w:r>
          </w:p>
        </w:tc>
      </w:tr>
      <w:tr w14:paraId="2F882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58F58039">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证券简称</w:t>
            </w:r>
          </w:p>
        </w:tc>
        <w:tc>
          <w:tcPr>
            <w:tcW w:w="5493" w:type="dxa"/>
            <w:shd w:val="clear" w:color="auto" w:fill="FFFFFF"/>
            <w:vAlign w:val="center"/>
          </w:tcPr>
          <w:p w14:paraId="43BA2A40">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债券简称</w:t>
            </w:r>
          </w:p>
        </w:tc>
      </w:tr>
      <w:tr w14:paraId="4283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7B722A2E">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竞买编号</w:t>
            </w:r>
          </w:p>
        </w:tc>
        <w:tc>
          <w:tcPr>
            <w:tcW w:w="5493" w:type="dxa"/>
            <w:shd w:val="clear" w:color="auto" w:fill="FFFFFF"/>
            <w:vAlign w:val="center"/>
          </w:tcPr>
          <w:p w14:paraId="6220CEC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lang w:eastAsia="zh-CN"/>
              </w:rPr>
              <w:t>应价申报</w:t>
            </w:r>
            <w:r>
              <w:rPr>
                <w:rFonts w:hint="eastAsia" w:ascii="仿宋_GB2312" w:eastAsia="仿宋_GB2312"/>
                <w:bCs/>
                <w:iCs/>
                <w:kern w:val="0"/>
                <w:sz w:val="24"/>
                <w:szCs w:val="24"/>
              </w:rPr>
              <w:t>对应</w:t>
            </w:r>
            <w:r>
              <w:rPr>
                <w:rFonts w:hint="eastAsia" w:ascii="仿宋_GB2312" w:eastAsia="仿宋_GB2312"/>
                <w:bCs/>
                <w:iCs/>
                <w:kern w:val="0"/>
                <w:sz w:val="24"/>
                <w:szCs w:val="24"/>
                <w:lang w:eastAsia="zh-CN"/>
              </w:rPr>
              <w:t>的</w:t>
            </w:r>
            <w:r>
              <w:rPr>
                <w:rFonts w:hint="eastAsia" w:ascii="仿宋_GB2312" w:eastAsia="仿宋_GB2312"/>
                <w:bCs/>
                <w:iCs/>
                <w:kern w:val="0"/>
                <w:sz w:val="24"/>
                <w:szCs w:val="24"/>
              </w:rPr>
              <w:t>竞买</w:t>
            </w:r>
            <w:r>
              <w:rPr>
                <w:rFonts w:hint="eastAsia" w:ascii="仿宋_GB2312" w:eastAsia="仿宋_GB2312"/>
                <w:bCs/>
                <w:iCs/>
                <w:kern w:val="0"/>
                <w:sz w:val="24"/>
                <w:szCs w:val="24"/>
                <w:lang w:eastAsia="zh-CN"/>
              </w:rPr>
              <w:t>申报</w:t>
            </w:r>
            <w:r>
              <w:rPr>
                <w:rFonts w:hint="eastAsia" w:ascii="仿宋_GB2312" w:eastAsia="仿宋_GB2312"/>
                <w:bCs/>
                <w:iCs/>
                <w:kern w:val="0"/>
                <w:sz w:val="24"/>
                <w:szCs w:val="24"/>
              </w:rPr>
              <w:t>编号</w:t>
            </w:r>
          </w:p>
        </w:tc>
      </w:tr>
      <w:tr w14:paraId="3C58F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6AB6FFE7">
            <w:pPr>
              <w:tabs>
                <w:tab w:val="left" w:pos="900"/>
                <w:tab w:val="left" w:pos="1320"/>
              </w:tabs>
              <w:spacing w:after="93" w:afterLines="30"/>
              <w:jc w:val="left"/>
              <w:rPr>
                <w:rFonts w:hint="eastAsia" w:ascii="仿宋_GB2312" w:eastAsia="仿宋_GB2312"/>
                <w:b/>
                <w:bCs/>
                <w:iCs/>
                <w:kern w:val="0"/>
                <w:sz w:val="24"/>
                <w:szCs w:val="24"/>
                <w:lang w:eastAsia="zh-CN"/>
              </w:rPr>
            </w:pPr>
            <w:r>
              <w:rPr>
                <w:rFonts w:hint="eastAsia" w:ascii="仿宋_GB2312" w:eastAsia="仿宋_GB2312"/>
                <w:b/>
                <w:bCs/>
                <w:iCs/>
                <w:kern w:val="0"/>
                <w:sz w:val="24"/>
                <w:szCs w:val="24"/>
                <w:lang w:eastAsia="zh-CN"/>
              </w:rPr>
              <w:t>订单编号</w:t>
            </w:r>
          </w:p>
        </w:tc>
        <w:tc>
          <w:tcPr>
            <w:tcW w:w="5493" w:type="dxa"/>
            <w:shd w:val="clear" w:color="auto" w:fill="FFFFFF"/>
            <w:vAlign w:val="center"/>
          </w:tcPr>
          <w:p w14:paraId="5F866B4C">
            <w:pPr>
              <w:tabs>
                <w:tab w:val="left" w:pos="900"/>
                <w:tab w:val="left" w:pos="1320"/>
              </w:tabs>
              <w:spacing w:after="93" w:afterLines="30"/>
              <w:jc w:val="left"/>
              <w:rPr>
                <w:rFonts w:hint="eastAsia" w:ascii="仿宋_GB2312" w:eastAsia="仿宋_GB2312"/>
                <w:bCs/>
                <w:iCs/>
                <w:kern w:val="0"/>
                <w:sz w:val="24"/>
                <w:szCs w:val="24"/>
                <w:lang w:eastAsia="zh-CN"/>
              </w:rPr>
            </w:pPr>
            <w:r>
              <w:rPr>
                <w:rFonts w:hint="eastAsia" w:ascii="仿宋_GB2312" w:eastAsia="仿宋_GB2312"/>
                <w:bCs/>
                <w:iCs/>
                <w:kern w:val="0"/>
                <w:sz w:val="24"/>
                <w:szCs w:val="24"/>
                <w:lang w:eastAsia="zh-CN"/>
              </w:rPr>
              <w:t>应价申报订单编号</w:t>
            </w:r>
          </w:p>
        </w:tc>
      </w:tr>
      <w:tr w14:paraId="7245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44877E2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竞买时间</w:t>
            </w:r>
          </w:p>
        </w:tc>
        <w:tc>
          <w:tcPr>
            <w:tcW w:w="5493" w:type="dxa"/>
            <w:shd w:val="clear" w:color="auto" w:fill="FFFFFF"/>
            <w:vAlign w:val="center"/>
          </w:tcPr>
          <w:p w14:paraId="15ACE80F">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79903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3837F84A">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应价方简称</w:t>
            </w:r>
          </w:p>
        </w:tc>
        <w:tc>
          <w:tcPr>
            <w:tcW w:w="5493" w:type="dxa"/>
            <w:shd w:val="clear" w:color="auto" w:fill="FFFFFF"/>
            <w:vAlign w:val="center"/>
          </w:tcPr>
          <w:p w14:paraId="2468ED33">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参与竞买交易的应价方简称，可匿名；</w:t>
            </w:r>
          </w:p>
          <w:p w14:paraId="256924F7">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（应价方如果是匿名提交的应价申报，则应价方为匿名）</w:t>
            </w:r>
          </w:p>
        </w:tc>
      </w:tr>
      <w:tr w14:paraId="5E868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772FAA31">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应价方交易员</w:t>
            </w:r>
          </w:p>
        </w:tc>
        <w:tc>
          <w:tcPr>
            <w:tcW w:w="5493" w:type="dxa"/>
            <w:shd w:val="clear" w:color="auto" w:fill="FFFFFF"/>
            <w:vAlign w:val="center"/>
          </w:tcPr>
          <w:p w14:paraId="35F1DB66">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参与竞买交易的应价方交易员，可匿名；</w:t>
            </w:r>
          </w:p>
          <w:p w14:paraId="11B6BA7F">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（应价方如果是匿名提交的应价申报，则应价方交易员为匿名）</w:t>
            </w:r>
          </w:p>
        </w:tc>
      </w:tr>
      <w:tr w14:paraId="35406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5E86EE5E">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价格</w:t>
            </w:r>
          </w:p>
        </w:tc>
        <w:tc>
          <w:tcPr>
            <w:tcW w:w="5493" w:type="dxa"/>
            <w:shd w:val="clear" w:color="auto" w:fill="FFFFFF"/>
            <w:vAlign w:val="center"/>
          </w:tcPr>
          <w:p w14:paraId="3FC7598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应价方申报价格，单位：元（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7AE60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737196F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数量</w:t>
            </w:r>
          </w:p>
        </w:tc>
        <w:tc>
          <w:tcPr>
            <w:tcW w:w="5493" w:type="dxa"/>
            <w:shd w:val="clear" w:color="auto" w:fill="FFFFFF"/>
            <w:vAlign w:val="center"/>
          </w:tcPr>
          <w:p w14:paraId="21B9B3F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申报数量，单位：千元面额（整数）</w:t>
            </w:r>
          </w:p>
        </w:tc>
      </w:tr>
      <w:tr w14:paraId="6CE19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2678BDEA">
            <w:pPr>
              <w:tabs>
                <w:tab w:val="left" w:pos="900"/>
                <w:tab w:val="left" w:pos="1320"/>
              </w:tabs>
              <w:spacing w:after="93" w:afterLines="30"/>
              <w:jc w:val="left"/>
              <w:rPr>
                <w:rFonts w:hint="eastAsia" w:ascii="仿宋_GB2312" w:eastAsia="仿宋_GB2312"/>
                <w:b/>
                <w:bCs/>
                <w:iCs/>
                <w:kern w:val="0"/>
                <w:sz w:val="24"/>
                <w:szCs w:val="24"/>
                <w:lang w:eastAsia="zh-CN"/>
              </w:rPr>
            </w:pPr>
            <w:r>
              <w:rPr>
                <w:rFonts w:hint="eastAsia" w:ascii="仿宋_GB2312" w:eastAsia="仿宋_GB2312"/>
                <w:b/>
                <w:bCs w:val="0"/>
                <w:iCs/>
                <w:kern w:val="0"/>
                <w:sz w:val="24"/>
                <w:szCs w:val="24"/>
              </w:rPr>
              <w:t>结算</w:t>
            </w:r>
            <w:r>
              <w:rPr>
                <w:rFonts w:hint="eastAsia" w:ascii="仿宋_GB2312" w:eastAsia="仿宋_GB2312"/>
                <w:b/>
                <w:bCs w:val="0"/>
                <w:iCs/>
                <w:kern w:val="0"/>
                <w:sz w:val="24"/>
                <w:szCs w:val="24"/>
                <w:lang w:eastAsia="zh-CN"/>
              </w:rPr>
              <w:t>方式</w:t>
            </w:r>
          </w:p>
        </w:tc>
        <w:tc>
          <w:tcPr>
            <w:tcW w:w="5493" w:type="dxa"/>
            <w:shd w:val="clear" w:color="auto" w:fill="FFFFFF"/>
            <w:vAlign w:val="center"/>
          </w:tcPr>
          <w:p w14:paraId="4EFBA503">
            <w:pPr>
              <w:tabs>
                <w:tab w:val="left" w:pos="900"/>
                <w:tab w:val="left" w:pos="1320"/>
              </w:tabs>
              <w:spacing w:after="93" w:afterLines="30"/>
              <w:jc w:val="left"/>
              <w:rPr>
                <w:rFonts w:hint="eastAsia" w:ascii="仿宋_GB2312" w:eastAsia="仿宋_GB2312"/>
                <w:bCs/>
                <w:iCs/>
                <w:kern w:val="0"/>
                <w:sz w:val="24"/>
                <w:szCs w:val="24"/>
              </w:rPr>
            </w:pPr>
            <w:r>
              <w:rPr>
                <w:rFonts w:hint="eastAsia" w:ascii="仿宋_GB2312" w:eastAsia="仿宋_GB2312"/>
                <w:bCs/>
                <w:iCs/>
                <w:kern w:val="0"/>
                <w:sz w:val="24"/>
                <w:szCs w:val="24"/>
              </w:rPr>
              <w:t>净额结算</w:t>
            </w:r>
            <w:r>
              <w:rPr>
                <w:rFonts w:hint="eastAsia" w:ascii="仿宋_GB2312" w:eastAsia="仿宋_GB2312"/>
                <w:bCs/>
                <w:iCs/>
                <w:kern w:val="0"/>
                <w:sz w:val="24"/>
                <w:szCs w:val="24"/>
                <w:lang w:val="en-US" w:eastAsia="zh-CN"/>
              </w:rPr>
              <w:t>/</w:t>
            </w:r>
            <w:r>
              <w:rPr>
                <w:rFonts w:hint="eastAsia" w:ascii="仿宋_GB2312" w:eastAsia="仿宋_GB2312"/>
                <w:bCs/>
                <w:iCs/>
                <w:kern w:val="0"/>
                <w:sz w:val="24"/>
                <w:szCs w:val="24"/>
              </w:rPr>
              <w:t>RTGS结算</w:t>
            </w:r>
          </w:p>
        </w:tc>
      </w:tr>
    </w:tbl>
    <w:p w14:paraId="7A28AD0E">
      <w:pPr>
        <w:spacing w:line="600" w:lineRule="exact"/>
        <w:ind w:firstLine="601" w:firstLineChars="200"/>
        <w:outlineLvl w:val="3"/>
        <w:rPr>
          <w:rFonts w:ascii="仿宋_GB2312" w:eastAsia="仿宋_GB2312"/>
          <w:b/>
          <w:sz w:val="30"/>
          <w:szCs w:val="30"/>
        </w:rPr>
      </w:pPr>
      <w:bookmarkStart w:id="2711" w:name="_Toc47375478"/>
      <w:bookmarkEnd w:id="2711"/>
      <w:bookmarkStart w:id="2712" w:name="_Toc47374934"/>
      <w:bookmarkEnd w:id="2712"/>
      <w:bookmarkStart w:id="2713" w:name="_Toc47374375"/>
      <w:bookmarkEnd w:id="2713"/>
      <w:bookmarkStart w:id="2714" w:name="_Toc47374412"/>
      <w:bookmarkEnd w:id="2714"/>
      <w:bookmarkStart w:id="2715" w:name="_Toc47427148"/>
      <w:bookmarkEnd w:id="2715"/>
      <w:bookmarkStart w:id="2716" w:name="_Toc47428415"/>
      <w:bookmarkEnd w:id="2716"/>
      <w:bookmarkStart w:id="2717" w:name="_Toc47458434"/>
      <w:bookmarkEnd w:id="2717"/>
      <w:r>
        <w:rPr>
          <w:rFonts w:hint="eastAsia" w:ascii="仿宋_GB2312" w:eastAsia="仿宋_GB2312"/>
          <w:b/>
          <w:sz w:val="30"/>
          <w:szCs w:val="30"/>
        </w:rPr>
        <w:t>（2）协议回购</w:t>
      </w:r>
    </w:p>
    <w:p w14:paraId="606D9070">
      <w:pPr>
        <w:widowControl/>
        <w:spacing w:line="600" w:lineRule="exact"/>
        <w:ind w:firstLine="564" w:firstLineChars="188"/>
        <w:jc w:val="left"/>
        <w:rPr>
          <w:rFonts w:ascii="仿宋_GB2312" w:hAnsi="宋体" w:eastAsia="仿宋_GB2312"/>
          <w:sz w:val="30"/>
          <w:szCs w:val="30"/>
        </w:rPr>
      </w:pPr>
      <w:r>
        <w:rPr>
          <w:rFonts w:hint="eastAsia" w:ascii="仿宋_GB2312" w:hAnsi="宋体" w:eastAsia="仿宋_GB2312"/>
          <w:sz w:val="30"/>
          <w:szCs w:val="30"/>
        </w:rPr>
        <w:t>对于</w:t>
      </w:r>
      <w:r>
        <w:rPr>
          <w:rFonts w:hint="eastAsia" w:ascii="仿宋_GB2312" w:hAnsi="宋体" w:eastAsia="仿宋_GB2312" w:cs="宋体"/>
          <w:kern w:val="0"/>
          <w:sz w:val="30"/>
          <w:szCs w:val="30"/>
        </w:rPr>
        <w:t>协议回购</w:t>
      </w:r>
      <w:r>
        <w:rPr>
          <w:rFonts w:hint="eastAsia" w:ascii="仿宋_GB2312" w:hAnsi="宋体" w:eastAsia="仿宋_GB2312"/>
          <w:sz w:val="30"/>
          <w:szCs w:val="30"/>
        </w:rPr>
        <w:t>，本所逐笔发布债券投资者向全市场发送的意向申报信息，包括回购金额、回购利率、申报方向等信息。</w:t>
      </w:r>
    </w:p>
    <w:p w14:paraId="1F810D9C">
      <w:pPr>
        <w:widowControl/>
        <w:spacing w:line="600" w:lineRule="exact"/>
        <w:ind w:firstLine="564" w:firstLineChars="188"/>
        <w:jc w:val="left"/>
        <w:rPr>
          <w:rFonts w:ascii="仿宋_GB2312" w:hAnsi="宋体" w:eastAsia="仿宋_GB2312" w:cs="宋体"/>
          <w:kern w:val="0"/>
          <w:sz w:val="30"/>
          <w:szCs w:val="30"/>
        </w:rPr>
      </w:pPr>
      <w:r>
        <w:rPr>
          <w:rFonts w:hint="eastAsia" w:ascii="仿宋_GB2312" w:hAnsi="宋体" w:eastAsia="仿宋_GB2312" w:cs="宋体"/>
          <w:kern w:val="0"/>
          <w:sz w:val="30"/>
          <w:szCs w:val="30"/>
        </w:rPr>
        <w:t>协议回购的逐笔申报行情要素中回购利率</w:t>
      </w:r>
      <w:r>
        <w:rPr>
          <w:rFonts w:hint="eastAsia" w:ascii="仿宋_GB2312" w:hAnsi="宋体" w:eastAsia="仿宋_GB2312" w:cs="宋体"/>
          <w:kern w:val="0"/>
          <w:sz w:val="30"/>
          <w:szCs w:val="30"/>
          <w:lang w:eastAsia="zh-CN"/>
        </w:rPr>
        <w:t>、折算比例、质押券数量、回购金额等</w:t>
      </w:r>
      <w:r>
        <w:rPr>
          <w:rFonts w:hint="eastAsia" w:ascii="仿宋_GB2312" w:hAnsi="宋体" w:eastAsia="仿宋_GB2312" w:cs="宋体"/>
          <w:kern w:val="0"/>
          <w:sz w:val="30"/>
          <w:szCs w:val="30"/>
        </w:rPr>
        <w:t>非必填项。</w:t>
      </w:r>
    </w:p>
    <w:tbl>
      <w:tblPr>
        <w:tblStyle w:val="43"/>
        <w:tblW w:w="7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316"/>
        <w:gridCol w:w="5493"/>
      </w:tblGrid>
      <w:tr w14:paraId="45785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2316" w:type="dxa"/>
            <w:shd w:val="clear" w:color="auto" w:fill="FFFFFF"/>
            <w:vAlign w:val="center"/>
          </w:tcPr>
          <w:p w14:paraId="61DE75F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字段</w:t>
            </w:r>
          </w:p>
        </w:tc>
        <w:tc>
          <w:tcPr>
            <w:tcW w:w="5493" w:type="dxa"/>
            <w:shd w:val="clear" w:color="auto" w:fill="FFFFFF"/>
            <w:vAlign w:val="center"/>
          </w:tcPr>
          <w:p w14:paraId="04A5AF97">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格式</w:t>
            </w:r>
          </w:p>
        </w:tc>
      </w:tr>
      <w:tr w14:paraId="45FA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1E2C7CD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申报时间</w:t>
            </w:r>
          </w:p>
        </w:tc>
        <w:tc>
          <w:tcPr>
            <w:tcW w:w="5493" w:type="dxa"/>
            <w:shd w:val="clear" w:color="auto" w:fill="FFFFFF"/>
            <w:vAlign w:val="center"/>
          </w:tcPr>
          <w:p w14:paraId="4B817F7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0EFFA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14389951">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申报方简称</w:t>
            </w:r>
          </w:p>
        </w:tc>
        <w:tc>
          <w:tcPr>
            <w:tcW w:w="5493" w:type="dxa"/>
            <w:shd w:val="clear" w:color="auto" w:fill="FFFFFF"/>
            <w:vAlign w:val="center"/>
          </w:tcPr>
          <w:p w14:paraId="02D67512">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lang w:eastAsia="zh-CN"/>
              </w:rPr>
              <w:t>债券交易参与人简称</w:t>
            </w:r>
          </w:p>
        </w:tc>
      </w:tr>
      <w:tr w14:paraId="464DA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1C1F25D6">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申报方交易员</w:t>
            </w:r>
          </w:p>
        </w:tc>
        <w:tc>
          <w:tcPr>
            <w:tcW w:w="5493" w:type="dxa"/>
            <w:shd w:val="clear" w:color="auto" w:fill="FFFFFF"/>
            <w:vAlign w:val="center"/>
          </w:tcPr>
          <w:p w14:paraId="016FD7CD">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lang w:eastAsia="zh-CN"/>
              </w:rPr>
              <w:t>交易员名称</w:t>
            </w:r>
          </w:p>
        </w:tc>
      </w:tr>
      <w:tr w14:paraId="039A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3FCBE0C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回购金额</w:t>
            </w:r>
          </w:p>
        </w:tc>
        <w:tc>
          <w:tcPr>
            <w:tcW w:w="5493" w:type="dxa"/>
            <w:shd w:val="clear" w:color="auto" w:fill="FFFFFF"/>
            <w:vAlign w:val="center"/>
          </w:tcPr>
          <w:p w14:paraId="5CBC082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r w14:paraId="5C29D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4335E30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回购期限</w:t>
            </w:r>
          </w:p>
        </w:tc>
        <w:tc>
          <w:tcPr>
            <w:tcW w:w="5493" w:type="dxa"/>
            <w:shd w:val="clear" w:color="auto" w:fill="FFFFFF"/>
            <w:vAlign w:val="center"/>
          </w:tcPr>
          <w:p w14:paraId="7CB6E9DC">
            <w:pPr>
              <w:tabs>
                <w:tab w:val="left" w:pos="900"/>
                <w:tab w:val="left" w:pos="1320"/>
              </w:tabs>
              <w:spacing w:after="93" w:afterLines="30"/>
              <w:jc w:val="left"/>
              <w:rPr>
                <w:rFonts w:ascii="仿宋_GB2312" w:eastAsia="仿宋_GB2312"/>
                <w:bCs/>
                <w:iCs/>
                <w:kern w:val="0"/>
                <w:sz w:val="24"/>
                <w:szCs w:val="24"/>
              </w:rPr>
            </w:pPr>
            <w:r>
              <w:rPr>
                <w:rFonts w:ascii="仿宋_GB2312" w:eastAsia="仿宋_GB2312"/>
                <w:bCs/>
                <w:iCs/>
                <w:kern w:val="0"/>
                <w:sz w:val="24"/>
                <w:szCs w:val="24"/>
              </w:rPr>
              <w:t>单位</w:t>
            </w:r>
            <w:r>
              <w:rPr>
                <w:rFonts w:hint="eastAsia" w:ascii="仿宋_GB2312" w:eastAsia="仿宋_GB2312"/>
                <w:bCs/>
                <w:iCs/>
                <w:kern w:val="0"/>
                <w:sz w:val="24"/>
                <w:szCs w:val="24"/>
              </w:rPr>
              <w:t>：天</w:t>
            </w:r>
          </w:p>
        </w:tc>
      </w:tr>
      <w:tr w14:paraId="5A7C8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53B9D822">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回购利率</w:t>
            </w:r>
          </w:p>
        </w:tc>
        <w:tc>
          <w:tcPr>
            <w:tcW w:w="5493" w:type="dxa"/>
            <w:shd w:val="clear" w:color="auto" w:fill="FFFFFF"/>
            <w:vAlign w:val="center"/>
          </w:tcPr>
          <w:p w14:paraId="3A17E53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04673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66503620">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交易方向</w:t>
            </w:r>
          </w:p>
        </w:tc>
        <w:tc>
          <w:tcPr>
            <w:tcW w:w="5493" w:type="dxa"/>
            <w:shd w:val="clear" w:color="auto" w:fill="FFFFFF"/>
            <w:vAlign w:val="center"/>
          </w:tcPr>
          <w:p w14:paraId="03CD4424">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融入</w:t>
            </w:r>
            <w:r>
              <w:rPr>
                <w:rFonts w:hint="eastAsia" w:ascii="仿宋_GB2312" w:eastAsia="仿宋_GB2312"/>
                <w:bCs/>
                <w:iCs/>
                <w:kern w:val="0"/>
                <w:sz w:val="24"/>
                <w:szCs w:val="24"/>
                <w:lang w:val="en-US" w:eastAsia="zh-CN"/>
              </w:rPr>
              <w:t>/</w:t>
            </w:r>
            <w:r>
              <w:rPr>
                <w:rFonts w:hint="eastAsia" w:ascii="仿宋_GB2312" w:eastAsia="仿宋_GB2312"/>
                <w:bCs/>
                <w:iCs/>
                <w:kern w:val="0"/>
                <w:sz w:val="24"/>
                <w:szCs w:val="24"/>
              </w:rPr>
              <w:t>融出</w:t>
            </w:r>
          </w:p>
        </w:tc>
      </w:tr>
      <w:tr w14:paraId="50F23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312EFA52">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申报方式</w:t>
            </w:r>
          </w:p>
        </w:tc>
        <w:tc>
          <w:tcPr>
            <w:tcW w:w="5493" w:type="dxa"/>
            <w:shd w:val="clear" w:color="auto" w:fill="FFFFFF"/>
            <w:vAlign w:val="center"/>
          </w:tcPr>
          <w:p w14:paraId="6F190C1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意向申报</w:t>
            </w:r>
          </w:p>
        </w:tc>
      </w:tr>
      <w:tr w14:paraId="058AC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1DB23C2E">
            <w:pPr>
              <w:tabs>
                <w:tab w:val="left" w:pos="900"/>
                <w:tab w:val="left" w:pos="1320"/>
              </w:tabs>
              <w:spacing w:after="93" w:afterLines="30"/>
              <w:jc w:val="left"/>
              <w:rPr>
                <w:rFonts w:hint="eastAsia" w:ascii="仿宋_GB2312" w:eastAsia="仿宋_GB2312"/>
                <w:b/>
                <w:bCs/>
                <w:iCs/>
                <w:kern w:val="0"/>
                <w:sz w:val="24"/>
                <w:szCs w:val="24"/>
                <w:lang w:eastAsia="zh-CN"/>
              </w:rPr>
            </w:pPr>
            <w:r>
              <w:rPr>
                <w:rFonts w:hint="eastAsia" w:ascii="仿宋_GB2312" w:eastAsia="仿宋_GB2312"/>
                <w:b/>
                <w:bCs/>
                <w:iCs/>
                <w:kern w:val="0"/>
                <w:sz w:val="24"/>
                <w:szCs w:val="24"/>
                <w:lang w:eastAsia="zh-CN"/>
              </w:rPr>
              <w:t>质</w:t>
            </w:r>
            <w:r>
              <w:rPr>
                <w:rFonts w:hint="eastAsia" w:ascii="仿宋_GB2312" w:eastAsia="仿宋_GB2312"/>
                <w:b/>
                <w:bCs/>
                <w:iCs/>
                <w:kern w:val="0"/>
                <w:sz w:val="24"/>
                <w:szCs w:val="24"/>
              </w:rPr>
              <w:t>押券</w:t>
            </w:r>
            <w:r>
              <w:rPr>
                <w:rFonts w:hint="eastAsia" w:ascii="仿宋_GB2312" w:eastAsia="仿宋_GB2312"/>
                <w:b/>
                <w:bCs/>
                <w:iCs/>
                <w:kern w:val="0"/>
                <w:sz w:val="24"/>
                <w:szCs w:val="24"/>
                <w:lang w:eastAsia="zh-CN"/>
              </w:rPr>
              <w:t>代码</w:t>
            </w:r>
          </w:p>
        </w:tc>
        <w:tc>
          <w:tcPr>
            <w:tcW w:w="5493" w:type="dxa"/>
            <w:shd w:val="clear" w:color="auto" w:fill="FFFFFF"/>
            <w:vAlign w:val="center"/>
          </w:tcPr>
          <w:p w14:paraId="24756E2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lang w:eastAsia="zh-CN"/>
              </w:rPr>
              <w:t>质押券的证券代码</w:t>
            </w:r>
          </w:p>
        </w:tc>
      </w:tr>
      <w:tr w14:paraId="75FB2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55472217">
            <w:pPr>
              <w:tabs>
                <w:tab w:val="left" w:pos="900"/>
                <w:tab w:val="left" w:pos="1320"/>
              </w:tabs>
              <w:spacing w:after="93" w:afterLines="30"/>
              <w:jc w:val="left"/>
              <w:rPr>
                <w:rFonts w:hint="eastAsia" w:ascii="仿宋_GB2312" w:eastAsia="仿宋_GB2312"/>
                <w:b/>
                <w:bCs/>
                <w:iCs/>
                <w:kern w:val="0"/>
                <w:sz w:val="24"/>
                <w:szCs w:val="24"/>
                <w:lang w:eastAsia="zh-CN"/>
              </w:rPr>
            </w:pPr>
            <w:r>
              <w:rPr>
                <w:rFonts w:hint="eastAsia" w:ascii="仿宋_GB2312" w:eastAsia="仿宋_GB2312"/>
                <w:b/>
                <w:bCs/>
                <w:iCs/>
                <w:kern w:val="0"/>
                <w:sz w:val="24"/>
                <w:szCs w:val="24"/>
                <w:lang w:eastAsia="zh-CN"/>
              </w:rPr>
              <w:t>折算比例</w:t>
            </w:r>
          </w:p>
        </w:tc>
        <w:tc>
          <w:tcPr>
            <w:tcW w:w="5493" w:type="dxa"/>
            <w:shd w:val="clear" w:color="auto" w:fill="FFFFFF"/>
            <w:vAlign w:val="center"/>
          </w:tcPr>
          <w:p w14:paraId="726DCEAA">
            <w:pPr>
              <w:tabs>
                <w:tab w:val="left" w:pos="900"/>
                <w:tab w:val="left" w:pos="1320"/>
              </w:tabs>
              <w:spacing w:after="93" w:afterLines="30"/>
              <w:jc w:val="left"/>
              <w:rPr>
                <w:rFonts w:hint="eastAsia" w:ascii="仿宋_GB2312" w:eastAsia="仿宋_GB2312"/>
                <w:bCs/>
                <w:iCs/>
                <w:kern w:val="0"/>
                <w:sz w:val="24"/>
                <w:szCs w:val="24"/>
              </w:rPr>
            </w:pPr>
            <w:r>
              <w:rPr>
                <w:rFonts w:hint="eastAsia" w:ascii="仿宋_GB2312" w:eastAsia="仿宋_GB2312"/>
                <w:bCs/>
                <w:iCs/>
                <w:kern w:val="0"/>
                <w:sz w:val="24"/>
                <w:szCs w:val="24"/>
              </w:rPr>
              <w:t>成交金额占质押券总面额的百分比</w:t>
            </w:r>
          </w:p>
        </w:tc>
      </w:tr>
      <w:tr w14:paraId="19DE3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44AC278F">
            <w:pPr>
              <w:tabs>
                <w:tab w:val="left" w:pos="900"/>
                <w:tab w:val="left" w:pos="1320"/>
              </w:tabs>
              <w:spacing w:after="93" w:afterLines="30"/>
              <w:jc w:val="left"/>
              <w:rPr>
                <w:rFonts w:hint="eastAsia" w:ascii="仿宋_GB2312" w:eastAsia="仿宋_GB2312"/>
                <w:b/>
                <w:bCs/>
                <w:iCs/>
                <w:kern w:val="0"/>
                <w:sz w:val="24"/>
                <w:szCs w:val="24"/>
                <w:lang w:eastAsia="zh-CN"/>
              </w:rPr>
            </w:pPr>
            <w:r>
              <w:rPr>
                <w:rFonts w:hint="eastAsia" w:ascii="仿宋_GB2312" w:eastAsia="仿宋_GB2312"/>
                <w:b/>
                <w:bCs/>
                <w:iCs/>
                <w:kern w:val="0"/>
                <w:sz w:val="24"/>
                <w:szCs w:val="24"/>
                <w:lang w:eastAsia="zh-CN"/>
              </w:rPr>
              <w:t>质押券数量</w:t>
            </w:r>
          </w:p>
        </w:tc>
        <w:tc>
          <w:tcPr>
            <w:tcW w:w="5493" w:type="dxa"/>
            <w:shd w:val="clear" w:color="auto" w:fill="FFFFFF"/>
            <w:vAlign w:val="center"/>
          </w:tcPr>
          <w:p w14:paraId="5DAE39D0">
            <w:pPr>
              <w:tabs>
                <w:tab w:val="left" w:pos="900"/>
                <w:tab w:val="left" w:pos="1320"/>
              </w:tabs>
              <w:spacing w:after="93" w:afterLines="30"/>
              <w:jc w:val="left"/>
              <w:rPr>
                <w:rFonts w:hint="eastAsia" w:ascii="仿宋_GB2312" w:eastAsia="仿宋_GB2312"/>
                <w:bCs/>
                <w:iCs/>
                <w:kern w:val="0"/>
                <w:sz w:val="24"/>
                <w:szCs w:val="24"/>
                <w:lang w:eastAsia="zh-CN"/>
              </w:rPr>
            </w:pPr>
            <w:r>
              <w:rPr>
                <w:rFonts w:hint="eastAsia" w:ascii="仿宋_GB2312" w:eastAsia="仿宋_GB2312"/>
                <w:bCs/>
                <w:iCs/>
                <w:kern w:val="0"/>
                <w:sz w:val="24"/>
                <w:szCs w:val="24"/>
              </w:rPr>
              <w:t>质押券的数量，</w:t>
            </w:r>
            <w:r>
              <w:rPr>
                <w:rFonts w:hint="eastAsia" w:ascii="仿宋_GB2312" w:eastAsia="仿宋_GB2312"/>
                <w:bCs/>
                <w:iCs/>
                <w:kern w:val="0"/>
                <w:sz w:val="24"/>
                <w:szCs w:val="24"/>
                <w:lang w:eastAsia="zh-CN"/>
              </w:rPr>
              <w:t>债券</w:t>
            </w:r>
            <w:r>
              <w:rPr>
                <w:rFonts w:hint="eastAsia" w:ascii="仿宋_GB2312" w:eastAsia="仿宋_GB2312"/>
                <w:bCs/>
                <w:iCs/>
                <w:kern w:val="0"/>
                <w:sz w:val="24"/>
                <w:szCs w:val="24"/>
              </w:rPr>
              <w:t>单位为千元面额</w:t>
            </w:r>
            <w:r>
              <w:rPr>
                <w:rFonts w:hint="eastAsia" w:ascii="仿宋_GB2312" w:eastAsia="仿宋_GB2312"/>
                <w:bCs/>
                <w:iCs/>
                <w:kern w:val="0"/>
                <w:sz w:val="24"/>
                <w:szCs w:val="24"/>
                <w:lang w:eastAsia="zh-CN"/>
              </w:rPr>
              <w:t>，基金单位为份</w:t>
            </w:r>
          </w:p>
        </w:tc>
      </w:tr>
    </w:tbl>
    <w:p w14:paraId="67DA3227">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（3）三方回购</w:t>
      </w:r>
    </w:p>
    <w:p w14:paraId="1B819E75">
      <w:pPr>
        <w:widowControl/>
        <w:spacing w:line="600" w:lineRule="exact"/>
        <w:ind w:firstLine="564" w:firstLineChars="188"/>
        <w:jc w:val="left"/>
        <w:rPr>
          <w:rFonts w:ascii="仿宋_GB2312" w:hAnsi="宋体" w:eastAsia="仿宋_GB2312"/>
          <w:sz w:val="30"/>
          <w:szCs w:val="30"/>
        </w:rPr>
      </w:pPr>
      <w:r>
        <w:rPr>
          <w:rFonts w:hint="eastAsia" w:ascii="仿宋_GB2312" w:hAnsi="宋体" w:eastAsia="仿宋_GB2312"/>
          <w:sz w:val="30"/>
          <w:szCs w:val="30"/>
        </w:rPr>
        <w:t>对于</w:t>
      </w:r>
      <w:r>
        <w:rPr>
          <w:rFonts w:hint="eastAsia" w:ascii="仿宋_GB2312" w:hAnsi="宋体" w:eastAsia="仿宋_GB2312" w:cs="宋体"/>
          <w:kern w:val="0"/>
          <w:sz w:val="30"/>
          <w:szCs w:val="30"/>
        </w:rPr>
        <w:t>三方回购</w:t>
      </w:r>
      <w:r>
        <w:rPr>
          <w:rFonts w:hint="eastAsia" w:ascii="仿宋_GB2312" w:hAnsi="宋体" w:eastAsia="仿宋_GB2312"/>
          <w:sz w:val="30"/>
          <w:szCs w:val="30"/>
        </w:rPr>
        <w:t>，本所逐笔发布债券投资者向全市场发送的意向申报信息，包括回购金额、回购利率、申报方向等信息。</w:t>
      </w:r>
    </w:p>
    <w:p w14:paraId="7955AE2B">
      <w:pPr>
        <w:widowControl/>
        <w:spacing w:line="600" w:lineRule="exact"/>
        <w:ind w:firstLine="564" w:firstLineChars="188"/>
        <w:jc w:val="left"/>
        <w:rPr>
          <w:rFonts w:ascii="仿宋_GB2312" w:hAnsi="宋体" w:eastAsia="仿宋_GB2312" w:cs="宋体"/>
          <w:kern w:val="0"/>
          <w:sz w:val="30"/>
          <w:szCs w:val="30"/>
        </w:rPr>
      </w:pPr>
      <w:r>
        <w:rPr>
          <w:rFonts w:hint="eastAsia" w:ascii="仿宋_GB2312" w:hAnsi="宋体" w:eastAsia="仿宋_GB2312" w:cs="宋体"/>
          <w:kern w:val="0"/>
          <w:sz w:val="30"/>
          <w:szCs w:val="30"/>
        </w:rPr>
        <w:t>三方回购的逐笔申报行情中的质押券篮子包括篮子1、篮子2、篮子3、篮子4、篮子5、篮子6、篮子7、篮子8、不限等多种类型（</w:t>
      </w:r>
      <w:r>
        <w:rPr>
          <w:rFonts w:hint="eastAsia" w:ascii="仿宋_GB2312" w:hAnsi="Calibri" w:eastAsia="仿宋_GB2312"/>
          <w:sz w:val="30"/>
          <w:szCs w:val="30"/>
        </w:rPr>
        <w:t>具体“质押券篮子”信息详见本指南第7章</w:t>
      </w:r>
      <w:r>
        <w:rPr>
          <w:rFonts w:hint="eastAsia" w:ascii="仿宋_GB2312" w:hAnsi="宋体" w:eastAsia="仿宋_GB2312" w:cs="宋体"/>
          <w:kern w:val="0"/>
          <w:sz w:val="30"/>
          <w:szCs w:val="30"/>
        </w:rPr>
        <w:t>），可多个篮子，与新债券交易系统中发起申报的标签相一致。行情要素中回购利率</w:t>
      </w:r>
      <w:r>
        <w:rPr>
          <w:rFonts w:hint="eastAsia" w:ascii="仿宋_GB2312" w:hAnsi="宋体" w:eastAsia="仿宋_GB2312" w:cs="宋体"/>
          <w:kern w:val="0"/>
          <w:sz w:val="30"/>
          <w:szCs w:val="30"/>
          <w:lang w:eastAsia="zh-CN"/>
        </w:rPr>
        <w:t>、回购金额等</w:t>
      </w:r>
      <w:r>
        <w:rPr>
          <w:rFonts w:hint="eastAsia" w:ascii="仿宋_GB2312" w:hAnsi="宋体" w:eastAsia="仿宋_GB2312" w:cs="宋体"/>
          <w:kern w:val="0"/>
          <w:sz w:val="30"/>
          <w:szCs w:val="30"/>
        </w:rPr>
        <w:t>非必填项。</w:t>
      </w:r>
    </w:p>
    <w:tbl>
      <w:tblPr>
        <w:tblStyle w:val="43"/>
        <w:tblW w:w="7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316"/>
        <w:gridCol w:w="5493"/>
      </w:tblGrid>
      <w:tr w14:paraId="767F2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2316" w:type="dxa"/>
            <w:shd w:val="clear" w:color="auto" w:fill="FFFFFF"/>
            <w:vAlign w:val="center"/>
          </w:tcPr>
          <w:p w14:paraId="778AAE6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5493" w:type="dxa"/>
            <w:shd w:val="clear" w:color="auto" w:fill="FFFFFF"/>
            <w:vAlign w:val="center"/>
          </w:tcPr>
          <w:p w14:paraId="12AE1E1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258BC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157CC2B2">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申报时间</w:t>
            </w:r>
          </w:p>
        </w:tc>
        <w:tc>
          <w:tcPr>
            <w:tcW w:w="5493" w:type="dxa"/>
            <w:shd w:val="clear" w:color="auto" w:fill="FFFFFF"/>
            <w:vAlign w:val="center"/>
          </w:tcPr>
          <w:p w14:paraId="64EDED3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3482B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101D3B8C">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申报方简称</w:t>
            </w:r>
          </w:p>
        </w:tc>
        <w:tc>
          <w:tcPr>
            <w:tcW w:w="5493" w:type="dxa"/>
            <w:shd w:val="clear" w:color="auto" w:fill="FFFFFF"/>
            <w:vAlign w:val="center"/>
          </w:tcPr>
          <w:p w14:paraId="5F5D52D7">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lang w:eastAsia="zh-CN"/>
              </w:rPr>
              <w:t>债券交易参与人简称</w:t>
            </w:r>
          </w:p>
        </w:tc>
      </w:tr>
      <w:tr w14:paraId="334CB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0A638A1F">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申报方交易员</w:t>
            </w:r>
          </w:p>
        </w:tc>
        <w:tc>
          <w:tcPr>
            <w:tcW w:w="5493" w:type="dxa"/>
            <w:shd w:val="clear" w:color="auto" w:fill="FFFFFF"/>
            <w:vAlign w:val="center"/>
          </w:tcPr>
          <w:p w14:paraId="76666741">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lang w:eastAsia="zh-CN"/>
              </w:rPr>
              <w:t>交易员名称</w:t>
            </w:r>
          </w:p>
        </w:tc>
      </w:tr>
      <w:tr w14:paraId="41BCC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7533555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回购金额</w:t>
            </w:r>
          </w:p>
        </w:tc>
        <w:tc>
          <w:tcPr>
            <w:tcW w:w="5493" w:type="dxa"/>
            <w:shd w:val="clear" w:color="auto" w:fill="FFFFFF"/>
            <w:vAlign w:val="center"/>
          </w:tcPr>
          <w:p w14:paraId="0F6AA83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r w14:paraId="0C89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588AE88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回购期限</w:t>
            </w:r>
          </w:p>
        </w:tc>
        <w:tc>
          <w:tcPr>
            <w:tcW w:w="5493" w:type="dxa"/>
            <w:shd w:val="clear" w:color="auto" w:fill="FFFFFF"/>
            <w:vAlign w:val="center"/>
          </w:tcPr>
          <w:p w14:paraId="1D723BBB">
            <w:pPr>
              <w:tabs>
                <w:tab w:val="left" w:pos="900"/>
                <w:tab w:val="left" w:pos="1320"/>
              </w:tabs>
              <w:spacing w:after="93" w:afterLines="30"/>
              <w:jc w:val="left"/>
              <w:rPr>
                <w:rFonts w:ascii="仿宋_GB2312" w:eastAsia="仿宋_GB2312"/>
                <w:bCs/>
                <w:iCs/>
                <w:kern w:val="0"/>
                <w:sz w:val="24"/>
                <w:szCs w:val="24"/>
              </w:rPr>
            </w:pPr>
            <w:r>
              <w:rPr>
                <w:rFonts w:ascii="仿宋_GB2312" w:eastAsia="仿宋_GB2312"/>
                <w:bCs/>
                <w:iCs/>
                <w:kern w:val="0"/>
                <w:sz w:val="24"/>
                <w:szCs w:val="24"/>
              </w:rPr>
              <w:t>单位</w:t>
            </w:r>
            <w:r>
              <w:rPr>
                <w:rFonts w:hint="eastAsia" w:ascii="仿宋_GB2312" w:eastAsia="仿宋_GB2312"/>
                <w:bCs/>
                <w:iCs/>
                <w:kern w:val="0"/>
                <w:sz w:val="24"/>
                <w:szCs w:val="24"/>
              </w:rPr>
              <w:t>：天</w:t>
            </w:r>
          </w:p>
        </w:tc>
      </w:tr>
      <w:tr w14:paraId="61C16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5C2FBD82">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回购利率</w:t>
            </w:r>
          </w:p>
        </w:tc>
        <w:tc>
          <w:tcPr>
            <w:tcW w:w="5493" w:type="dxa"/>
            <w:shd w:val="clear" w:color="auto" w:fill="FFFFFF"/>
            <w:vAlign w:val="center"/>
          </w:tcPr>
          <w:p w14:paraId="4919CDB5">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48DB1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4858160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交易方向</w:t>
            </w:r>
          </w:p>
        </w:tc>
        <w:tc>
          <w:tcPr>
            <w:tcW w:w="5493" w:type="dxa"/>
            <w:shd w:val="clear" w:color="auto" w:fill="FFFFFF"/>
            <w:vAlign w:val="center"/>
          </w:tcPr>
          <w:p w14:paraId="12749A2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融入</w:t>
            </w:r>
            <w:r>
              <w:rPr>
                <w:rFonts w:hint="eastAsia" w:ascii="仿宋_GB2312" w:eastAsia="仿宋_GB2312"/>
                <w:bCs/>
                <w:iCs/>
                <w:kern w:val="0"/>
                <w:sz w:val="24"/>
                <w:szCs w:val="24"/>
                <w:lang w:val="en-US" w:eastAsia="zh-CN"/>
              </w:rPr>
              <w:t>/</w:t>
            </w:r>
            <w:r>
              <w:rPr>
                <w:rFonts w:hint="eastAsia" w:ascii="仿宋_GB2312" w:eastAsia="仿宋_GB2312"/>
                <w:bCs/>
                <w:iCs/>
                <w:kern w:val="0"/>
                <w:sz w:val="24"/>
                <w:szCs w:val="24"/>
              </w:rPr>
              <w:t>融出</w:t>
            </w:r>
          </w:p>
        </w:tc>
      </w:tr>
      <w:tr w14:paraId="06F26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46B8861A">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申报方式</w:t>
            </w:r>
          </w:p>
        </w:tc>
        <w:tc>
          <w:tcPr>
            <w:tcW w:w="5493" w:type="dxa"/>
            <w:shd w:val="clear" w:color="auto" w:fill="FFFFFF"/>
            <w:vAlign w:val="center"/>
          </w:tcPr>
          <w:p w14:paraId="2AD04D3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意向申报</w:t>
            </w:r>
          </w:p>
        </w:tc>
      </w:tr>
      <w:tr w14:paraId="2882E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6F0C4F4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质押券篮子</w:t>
            </w:r>
          </w:p>
        </w:tc>
        <w:tc>
          <w:tcPr>
            <w:tcW w:w="5493" w:type="dxa"/>
            <w:shd w:val="clear" w:color="auto" w:fill="FFFFFF"/>
            <w:vAlign w:val="center"/>
          </w:tcPr>
          <w:p w14:paraId="109E87AC">
            <w:pPr>
              <w:tabs>
                <w:tab w:val="left" w:pos="900"/>
                <w:tab w:val="left" w:pos="1320"/>
              </w:tabs>
              <w:spacing w:after="93" w:afterLines="30"/>
              <w:jc w:val="left"/>
              <w:rPr>
                <w:rFonts w:ascii="仿宋_GB2312" w:eastAsia="仿宋_GB2312"/>
                <w:b/>
                <w:bCs/>
                <w:iCs/>
                <w:kern w:val="0"/>
                <w:sz w:val="24"/>
                <w:szCs w:val="24"/>
              </w:rPr>
            </w:pPr>
          </w:p>
        </w:tc>
      </w:tr>
    </w:tbl>
    <w:p w14:paraId="636FBCFF">
      <w:pPr>
        <w:numPr>
          <w:ilvl w:val="2"/>
          <w:numId w:val="4"/>
        </w:numPr>
        <w:spacing w:line="600" w:lineRule="exact"/>
        <w:ind w:left="0" w:firstLine="0"/>
        <w:outlineLvl w:val="2"/>
        <w:rPr>
          <w:rFonts w:ascii="仿宋_GB2312" w:eastAsia="仿宋_GB2312"/>
          <w:b/>
          <w:sz w:val="30"/>
          <w:szCs w:val="30"/>
        </w:rPr>
      </w:pPr>
      <w:bookmarkStart w:id="2718" w:name="_Toc12542895"/>
      <w:bookmarkEnd w:id="2718"/>
      <w:bookmarkStart w:id="2719" w:name="_Toc12542896"/>
      <w:bookmarkEnd w:id="2719"/>
      <w:bookmarkStart w:id="2720" w:name="_Toc12542568"/>
      <w:bookmarkEnd w:id="2720"/>
      <w:bookmarkStart w:id="2721" w:name="_Toc12542569"/>
      <w:bookmarkEnd w:id="2721"/>
      <w:bookmarkStart w:id="2722" w:name="_Toc47467044"/>
      <w:r>
        <w:rPr>
          <w:rFonts w:hint="eastAsia" w:ascii="仿宋_GB2312" w:eastAsia="仿宋_GB2312"/>
          <w:b/>
          <w:sz w:val="30"/>
          <w:szCs w:val="30"/>
        </w:rPr>
        <w:t>逐笔成交行情</w:t>
      </w:r>
      <w:bookmarkEnd w:id="2722"/>
    </w:p>
    <w:p w14:paraId="36171232">
      <w:pPr>
        <w:widowControl/>
        <w:spacing w:line="600" w:lineRule="exact"/>
        <w:ind w:firstLine="564" w:firstLineChars="188"/>
        <w:jc w:val="left"/>
        <w:rPr>
          <w:rFonts w:ascii="仿宋_GB2312" w:hAnsi="宋体" w:eastAsia="仿宋_GB2312" w:cs="宋体"/>
          <w:kern w:val="0"/>
          <w:sz w:val="30"/>
          <w:szCs w:val="30"/>
        </w:rPr>
      </w:pPr>
      <w:r>
        <w:rPr>
          <w:rFonts w:hint="eastAsia" w:ascii="仿宋_GB2312" w:hAnsi="宋体" w:eastAsia="仿宋_GB2312" w:cs="宋体"/>
          <w:kern w:val="0"/>
          <w:sz w:val="30"/>
          <w:szCs w:val="30"/>
        </w:rPr>
        <w:t>逐笔成交行情适用于债券现券等产品。</w:t>
      </w:r>
    </w:p>
    <w:p w14:paraId="36BB8326">
      <w:pPr>
        <w:widowControl/>
        <w:spacing w:line="600" w:lineRule="exact"/>
        <w:ind w:firstLine="564" w:firstLineChars="188"/>
        <w:jc w:val="left"/>
        <w:rPr>
          <w:rFonts w:ascii="仿宋_GB2312" w:hAnsi="宋体" w:eastAsia="仿宋_GB2312" w:cs="宋体"/>
          <w:kern w:val="0"/>
          <w:sz w:val="30"/>
          <w:szCs w:val="30"/>
        </w:rPr>
      </w:pPr>
      <w:r>
        <w:rPr>
          <w:rFonts w:hint="eastAsia" w:ascii="仿宋_GB2312" w:hAnsi="宋体" w:eastAsia="仿宋_GB2312" w:cs="宋体"/>
          <w:kern w:val="0"/>
          <w:sz w:val="30"/>
          <w:szCs w:val="30"/>
        </w:rPr>
        <w:t>逐笔成交行情不包括多主体中标方式的竞买达成的交易信息，</w:t>
      </w:r>
      <w:r>
        <w:rPr>
          <w:rFonts w:hint="eastAsia" w:ascii="仿宋_GB2312" w:eastAsia="仿宋_GB2312"/>
          <w:b/>
          <w:bCs/>
          <w:color w:val="000000"/>
          <w:sz w:val="30"/>
          <w:szCs w:val="30"/>
        </w:rPr>
        <w:t>《债券交易规则》第一百一十七条发布债券现券匹配成交大额逐笔成交行情的规定暂缓实施</w:t>
      </w:r>
      <w:r>
        <w:rPr>
          <w:rFonts w:hint="eastAsia" w:ascii="仿宋_GB2312" w:hAnsi="宋体" w:eastAsia="仿宋_GB2312" w:cs="宋体"/>
          <w:b/>
          <w:bCs/>
          <w:kern w:val="0"/>
          <w:sz w:val="30"/>
          <w:szCs w:val="30"/>
        </w:rPr>
        <w:t>。</w:t>
      </w:r>
    </w:p>
    <w:p w14:paraId="02D739C7">
      <w:pPr>
        <w:spacing w:line="600" w:lineRule="exact"/>
        <w:ind w:firstLine="564" w:firstLineChars="188"/>
        <w:rPr>
          <w:rFonts w:ascii="仿宋_GB2312" w:hAnsi="宋体" w:eastAsia="仿宋_GB2312"/>
          <w:sz w:val="30"/>
          <w:szCs w:val="30"/>
        </w:rPr>
      </w:pPr>
      <w:r>
        <w:rPr>
          <w:rFonts w:hint="eastAsia" w:ascii="仿宋_GB2312" w:hAnsi="宋体" w:eastAsia="仿宋_GB2312" w:cs="宋体"/>
          <w:kern w:val="0"/>
          <w:sz w:val="30"/>
          <w:szCs w:val="30"/>
        </w:rPr>
        <w:t>对于债券现券，本所逐笔发布债券投资者</w:t>
      </w:r>
      <w:r>
        <w:rPr>
          <w:rFonts w:hint="eastAsia" w:ascii="仿宋_GB2312" w:hAnsi="宋体" w:eastAsia="仿宋_GB2312"/>
          <w:sz w:val="30"/>
          <w:szCs w:val="30"/>
        </w:rPr>
        <w:t>通过</w:t>
      </w:r>
      <w:r>
        <w:rPr>
          <w:rFonts w:hint="eastAsia" w:ascii="仿宋_GB2312" w:hAnsi="宋体" w:eastAsia="仿宋_GB2312" w:cs="宋体"/>
          <w:kern w:val="0"/>
          <w:sz w:val="30"/>
          <w:szCs w:val="30"/>
        </w:rPr>
        <w:t>点击成交、询价成交、竞买成交（单一主体中标方式）、协商成交（含合并申报方式）方式达成交易的成交行情，包括</w:t>
      </w:r>
      <w:r>
        <w:rPr>
          <w:rFonts w:hint="eastAsia" w:ascii="仿宋_GB2312" w:hAnsi="宋体" w:eastAsia="仿宋_GB2312"/>
          <w:sz w:val="30"/>
          <w:szCs w:val="30"/>
        </w:rPr>
        <w:t>交易时间、成交价格、交易方式等信息。具体如下：</w:t>
      </w:r>
    </w:p>
    <w:tbl>
      <w:tblPr>
        <w:tblStyle w:val="43"/>
        <w:tblW w:w="78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316"/>
        <w:gridCol w:w="5493"/>
      </w:tblGrid>
      <w:tr w14:paraId="4A4B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2316" w:type="dxa"/>
            <w:shd w:val="clear" w:color="auto" w:fill="FFFFFF"/>
            <w:vAlign w:val="center"/>
          </w:tcPr>
          <w:p w14:paraId="771058C6">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5493" w:type="dxa"/>
            <w:shd w:val="clear" w:color="auto" w:fill="FFFFFF"/>
            <w:vAlign w:val="center"/>
          </w:tcPr>
          <w:p w14:paraId="59470356">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6384F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4597D22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证券代码</w:t>
            </w:r>
          </w:p>
        </w:tc>
        <w:tc>
          <w:tcPr>
            <w:tcW w:w="5493" w:type="dxa"/>
            <w:shd w:val="clear" w:color="auto" w:fill="FFFFFF"/>
            <w:vAlign w:val="center"/>
          </w:tcPr>
          <w:p w14:paraId="52B5881A">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债券代码</w:t>
            </w:r>
          </w:p>
        </w:tc>
      </w:tr>
      <w:tr w14:paraId="5983B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3C45F3F4">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证券简称</w:t>
            </w:r>
          </w:p>
        </w:tc>
        <w:tc>
          <w:tcPr>
            <w:tcW w:w="5493" w:type="dxa"/>
            <w:shd w:val="clear" w:color="auto" w:fill="FFFFFF"/>
            <w:vAlign w:val="center"/>
          </w:tcPr>
          <w:p w14:paraId="026E9414">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债券简称</w:t>
            </w:r>
          </w:p>
        </w:tc>
      </w:tr>
      <w:tr w14:paraId="68711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6EC2301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交易时间</w:t>
            </w:r>
          </w:p>
        </w:tc>
        <w:tc>
          <w:tcPr>
            <w:tcW w:w="5493" w:type="dxa"/>
            <w:shd w:val="clear" w:color="auto" w:fill="FFFFFF"/>
            <w:vAlign w:val="center"/>
          </w:tcPr>
          <w:p w14:paraId="0C3C77B8">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38685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3527276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成交价格</w:t>
            </w:r>
          </w:p>
        </w:tc>
        <w:tc>
          <w:tcPr>
            <w:tcW w:w="5493" w:type="dxa"/>
            <w:shd w:val="clear" w:color="auto" w:fill="FFFFFF"/>
            <w:vAlign w:val="center"/>
          </w:tcPr>
          <w:p w14:paraId="523B8886">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61AEC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69540480">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交易方式</w:t>
            </w:r>
          </w:p>
        </w:tc>
        <w:tc>
          <w:tcPr>
            <w:tcW w:w="5493" w:type="dxa"/>
            <w:shd w:val="clear" w:color="auto" w:fill="FFFFFF"/>
            <w:vAlign w:val="center"/>
          </w:tcPr>
          <w:p w14:paraId="0F38263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color w:val="auto"/>
                <w:kern w:val="0"/>
                <w:sz w:val="24"/>
                <w:szCs w:val="24"/>
                <w:lang w:eastAsia="zh-CN"/>
              </w:rPr>
              <w:t>确定报价</w:t>
            </w:r>
            <w:r>
              <w:rPr>
                <w:rFonts w:hint="eastAsia" w:ascii="仿宋_GB2312" w:eastAsia="仿宋_GB2312"/>
                <w:bCs/>
                <w:iCs/>
                <w:color w:val="auto"/>
                <w:kern w:val="0"/>
                <w:sz w:val="24"/>
                <w:szCs w:val="24"/>
              </w:rPr>
              <w:t>点击成交；</w:t>
            </w:r>
            <w:r>
              <w:rPr>
                <w:rFonts w:hint="eastAsia" w:ascii="仿宋_GB2312" w:eastAsia="仿宋_GB2312"/>
                <w:bCs/>
                <w:iCs/>
                <w:color w:val="auto"/>
                <w:kern w:val="0"/>
                <w:sz w:val="24"/>
                <w:szCs w:val="24"/>
                <w:lang w:eastAsia="zh-CN"/>
              </w:rPr>
              <w:t>待定报价</w:t>
            </w:r>
            <w:r>
              <w:rPr>
                <w:rFonts w:hint="eastAsia" w:ascii="仿宋_GB2312" w:eastAsia="仿宋_GB2312"/>
                <w:bCs/>
                <w:iCs/>
                <w:color w:val="auto"/>
                <w:kern w:val="0"/>
                <w:sz w:val="24"/>
                <w:szCs w:val="24"/>
              </w:rPr>
              <w:t>点击成交；询价成交；协商成交</w:t>
            </w:r>
            <w:r>
              <w:rPr>
                <w:rFonts w:hint="eastAsia" w:ascii="仿宋_GB2312" w:eastAsia="仿宋_GB2312"/>
                <w:bCs/>
                <w:iCs/>
                <w:color w:val="auto"/>
                <w:kern w:val="0"/>
                <w:sz w:val="24"/>
                <w:szCs w:val="24"/>
                <w:lang w:eastAsia="zh-CN"/>
              </w:rPr>
              <w:t>（含合并申报）</w:t>
            </w:r>
            <w:r>
              <w:rPr>
                <w:rFonts w:hint="eastAsia" w:ascii="仿宋_GB2312" w:eastAsia="仿宋_GB2312"/>
                <w:bCs/>
                <w:iCs/>
                <w:color w:val="auto"/>
                <w:kern w:val="0"/>
                <w:sz w:val="24"/>
                <w:szCs w:val="24"/>
              </w:rPr>
              <w:t>；竞买</w:t>
            </w:r>
            <w:r>
              <w:rPr>
                <w:rFonts w:hint="eastAsia" w:ascii="仿宋_GB2312" w:eastAsia="仿宋_GB2312"/>
                <w:bCs/>
                <w:iCs/>
                <w:color w:val="auto"/>
                <w:kern w:val="0"/>
                <w:sz w:val="24"/>
                <w:szCs w:val="24"/>
                <w:lang w:eastAsia="zh-CN"/>
              </w:rPr>
              <w:t>单一主体</w:t>
            </w:r>
            <w:r>
              <w:rPr>
                <w:rFonts w:hint="eastAsia" w:ascii="仿宋_GB2312" w:eastAsia="仿宋_GB2312"/>
                <w:bCs/>
                <w:iCs/>
                <w:color w:val="auto"/>
                <w:kern w:val="0"/>
                <w:sz w:val="24"/>
                <w:szCs w:val="24"/>
              </w:rPr>
              <w:t>成交</w:t>
            </w:r>
          </w:p>
        </w:tc>
      </w:tr>
      <w:tr w14:paraId="33879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0D5F0244">
            <w:pPr>
              <w:tabs>
                <w:tab w:val="left" w:pos="900"/>
                <w:tab w:val="left" w:pos="1320"/>
              </w:tabs>
              <w:spacing w:after="93" w:afterLines="30"/>
              <w:jc w:val="left"/>
              <w:rPr>
                <w:rFonts w:hint="eastAsia" w:ascii="仿宋_GB2312" w:eastAsia="仿宋_GB2312"/>
                <w:b/>
                <w:bCs/>
                <w:iCs/>
                <w:kern w:val="0"/>
                <w:sz w:val="24"/>
                <w:szCs w:val="24"/>
                <w:lang w:eastAsia="zh-CN"/>
              </w:rPr>
            </w:pPr>
            <w:r>
              <w:rPr>
                <w:rFonts w:hint="eastAsia" w:ascii="仿宋_GB2312" w:eastAsia="仿宋_GB2312"/>
                <w:b/>
                <w:bCs/>
                <w:iCs/>
                <w:kern w:val="0"/>
                <w:sz w:val="24"/>
                <w:szCs w:val="24"/>
                <w:lang w:eastAsia="zh-CN"/>
              </w:rPr>
              <w:t>成交数量</w:t>
            </w:r>
          </w:p>
        </w:tc>
        <w:tc>
          <w:tcPr>
            <w:tcW w:w="5493" w:type="dxa"/>
            <w:shd w:val="clear" w:color="auto" w:fill="FFFFFF"/>
            <w:vAlign w:val="center"/>
          </w:tcPr>
          <w:p w14:paraId="40D02D23">
            <w:pPr>
              <w:tabs>
                <w:tab w:val="left" w:pos="900"/>
                <w:tab w:val="left" w:pos="1320"/>
              </w:tabs>
              <w:spacing w:after="93" w:afterLines="30"/>
              <w:jc w:val="left"/>
              <w:rPr>
                <w:rFonts w:hint="eastAsia" w:ascii="仿宋_GB2312" w:eastAsia="仿宋_GB2312"/>
                <w:bCs/>
                <w:iCs/>
                <w:kern w:val="0"/>
                <w:sz w:val="24"/>
                <w:szCs w:val="24"/>
                <w:lang w:eastAsia="zh-CN"/>
              </w:rPr>
            </w:pPr>
            <w:r>
              <w:rPr>
                <w:rFonts w:hint="eastAsia" w:ascii="仿宋_GB2312" w:eastAsia="仿宋_GB2312"/>
                <w:bCs/>
                <w:iCs/>
                <w:kern w:val="0"/>
                <w:sz w:val="24"/>
                <w:szCs w:val="24"/>
                <w:lang w:eastAsia="zh-CN"/>
              </w:rPr>
              <w:t>成交证券数量</w:t>
            </w:r>
          </w:p>
        </w:tc>
      </w:tr>
      <w:tr w14:paraId="0EEFD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6" w:type="dxa"/>
            <w:shd w:val="clear" w:color="auto" w:fill="FFFFFF"/>
            <w:vAlign w:val="center"/>
          </w:tcPr>
          <w:p w14:paraId="277DEC84">
            <w:pPr>
              <w:tabs>
                <w:tab w:val="left" w:pos="900"/>
                <w:tab w:val="left" w:pos="1320"/>
              </w:tabs>
              <w:spacing w:after="93" w:afterLines="30"/>
              <w:jc w:val="left"/>
              <w:rPr>
                <w:rFonts w:hint="eastAsia" w:ascii="仿宋_GB2312" w:eastAsia="仿宋_GB2312"/>
                <w:b/>
                <w:bCs/>
                <w:iCs/>
                <w:kern w:val="0"/>
                <w:sz w:val="24"/>
                <w:szCs w:val="24"/>
                <w:lang w:eastAsia="zh-CN"/>
              </w:rPr>
            </w:pPr>
            <w:r>
              <w:rPr>
                <w:rFonts w:hint="eastAsia" w:ascii="仿宋_GB2312" w:eastAsia="仿宋_GB2312"/>
                <w:b/>
                <w:bCs/>
                <w:iCs/>
                <w:kern w:val="0"/>
                <w:sz w:val="24"/>
                <w:szCs w:val="24"/>
                <w:lang w:eastAsia="zh-CN"/>
              </w:rPr>
              <w:t>成交金额</w:t>
            </w:r>
          </w:p>
        </w:tc>
        <w:tc>
          <w:tcPr>
            <w:tcW w:w="5493" w:type="dxa"/>
            <w:shd w:val="clear" w:color="auto" w:fill="FFFFFF"/>
            <w:vAlign w:val="center"/>
          </w:tcPr>
          <w:p w14:paraId="206F5475">
            <w:pPr>
              <w:tabs>
                <w:tab w:val="left" w:pos="900"/>
                <w:tab w:val="left" w:pos="1320"/>
              </w:tabs>
              <w:spacing w:after="93" w:afterLines="30"/>
              <w:jc w:val="left"/>
              <w:rPr>
                <w:rFonts w:hint="eastAsia" w:ascii="仿宋_GB2312" w:eastAsia="仿宋_GB2312"/>
                <w:bCs/>
                <w:iCs/>
                <w:kern w:val="0"/>
                <w:sz w:val="24"/>
                <w:szCs w:val="24"/>
                <w:lang w:eastAsia="zh-CN"/>
              </w:rPr>
            </w:pPr>
            <w:r>
              <w:rPr>
                <w:rFonts w:hint="eastAsia" w:ascii="仿宋_GB2312" w:eastAsia="仿宋_GB2312"/>
                <w:bCs/>
                <w:iCs/>
                <w:kern w:val="0"/>
                <w:sz w:val="24"/>
                <w:szCs w:val="24"/>
                <w:lang w:eastAsia="zh-CN"/>
              </w:rPr>
              <w:t>成交金额</w:t>
            </w:r>
          </w:p>
        </w:tc>
      </w:tr>
    </w:tbl>
    <w:p w14:paraId="164BA0AA">
      <w:pPr>
        <w:spacing w:line="60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通过协商成交（合并申报）</w:t>
      </w:r>
      <w:r>
        <w:rPr>
          <w:rFonts w:hint="eastAsia" w:ascii="仿宋_GB2312" w:hAnsi="宋体" w:eastAsia="仿宋_GB2312"/>
          <w:sz w:val="30"/>
          <w:szCs w:val="30"/>
        </w:rPr>
        <w:t>交易方式</w:t>
      </w:r>
      <w:r>
        <w:rPr>
          <w:rFonts w:hint="eastAsia" w:ascii="仿宋_GB2312" w:hAnsi="宋体" w:eastAsia="仿宋_GB2312" w:cs="宋体"/>
          <w:kern w:val="0"/>
          <w:sz w:val="30"/>
          <w:szCs w:val="30"/>
        </w:rPr>
        <w:t>达成的债券现券交易，在逐笔成交行情中交易方式展示为两笔协商成交的成交行情。</w:t>
      </w:r>
    </w:p>
    <w:p w14:paraId="3657077F">
      <w:pPr>
        <w:numPr>
          <w:ilvl w:val="1"/>
          <w:numId w:val="4"/>
        </w:numPr>
        <w:spacing w:line="600" w:lineRule="exact"/>
        <w:ind w:left="0" w:firstLine="0"/>
        <w:outlineLvl w:val="1"/>
        <w:rPr>
          <w:rFonts w:ascii="仿宋_GB2312" w:eastAsia="仿宋_GB2312"/>
          <w:b/>
          <w:sz w:val="30"/>
          <w:szCs w:val="30"/>
        </w:rPr>
      </w:pPr>
      <w:bookmarkStart w:id="2723" w:name="_Toc47467045"/>
      <w:bookmarkEnd w:id="2723"/>
      <w:bookmarkStart w:id="2724" w:name="_Toc47375480"/>
      <w:bookmarkEnd w:id="2724"/>
      <w:bookmarkStart w:id="2725" w:name="_Toc47374936"/>
      <w:bookmarkEnd w:id="2725"/>
      <w:bookmarkStart w:id="2726" w:name="_Toc47465932"/>
      <w:bookmarkEnd w:id="2726"/>
      <w:bookmarkStart w:id="2727" w:name="_Toc47458436"/>
      <w:bookmarkEnd w:id="2727"/>
      <w:bookmarkStart w:id="2728" w:name="_Toc47427150"/>
      <w:bookmarkEnd w:id="2728"/>
      <w:bookmarkStart w:id="2729" w:name="_Toc47428417"/>
      <w:bookmarkEnd w:id="2729"/>
      <w:bookmarkStart w:id="2730" w:name="_Toc56166303"/>
      <w:bookmarkStart w:id="2731" w:name="_Toc341195100"/>
      <w:bookmarkStart w:id="2732" w:name="_Toc1608808713"/>
      <w:bookmarkStart w:id="2733" w:name="_Toc267469738"/>
      <w:bookmarkStart w:id="2734" w:name="_Toc825064551"/>
      <w:bookmarkStart w:id="2735" w:name="_Toc56166114"/>
      <w:bookmarkStart w:id="2736" w:name="_Toc1991208762"/>
      <w:bookmarkStart w:id="2737" w:name="_Toc47467046"/>
      <w:bookmarkStart w:id="2738" w:name="_Toc151137065"/>
      <w:bookmarkStart w:id="2739" w:name="_Toc1146760808"/>
      <w:r>
        <w:rPr>
          <w:rFonts w:hint="eastAsia" w:ascii="仿宋_GB2312" w:eastAsia="仿宋_GB2312"/>
          <w:b/>
          <w:sz w:val="30"/>
          <w:szCs w:val="30"/>
        </w:rPr>
        <w:t>统计行情</w:t>
      </w:r>
      <w:bookmarkEnd w:id="2730"/>
      <w:bookmarkEnd w:id="2731"/>
      <w:bookmarkEnd w:id="2732"/>
      <w:bookmarkEnd w:id="2733"/>
      <w:bookmarkEnd w:id="2734"/>
      <w:bookmarkEnd w:id="2735"/>
      <w:bookmarkEnd w:id="2736"/>
      <w:bookmarkEnd w:id="2737"/>
      <w:bookmarkEnd w:id="2738"/>
      <w:bookmarkEnd w:id="2739"/>
    </w:p>
    <w:p w14:paraId="220D7D30">
      <w:pPr>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统计数据是指本所或者本所授权机构在交易时间向全市场实时发布的当日申报和成交统计数据，包括申报统计行情、成交统计行情、开盘价和收盘价。</w:t>
      </w:r>
    </w:p>
    <w:p w14:paraId="51FEEBE7">
      <w:pPr>
        <w:numPr>
          <w:ilvl w:val="2"/>
          <w:numId w:val="4"/>
        </w:numPr>
        <w:spacing w:line="600" w:lineRule="exact"/>
        <w:ind w:left="0" w:firstLine="0"/>
        <w:outlineLvl w:val="2"/>
        <w:rPr>
          <w:rFonts w:ascii="仿宋_GB2312" w:eastAsia="仿宋_GB2312"/>
          <w:b/>
          <w:sz w:val="30"/>
          <w:szCs w:val="30"/>
        </w:rPr>
      </w:pPr>
      <w:bookmarkStart w:id="2740" w:name="_Toc47467047"/>
      <w:r>
        <w:rPr>
          <w:rFonts w:hint="eastAsia" w:ascii="仿宋_GB2312" w:eastAsia="仿宋_GB2312"/>
          <w:b/>
          <w:sz w:val="30"/>
          <w:szCs w:val="30"/>
        </w:rPr>
        <w:t>申报统计行情</w:t>
      </w:r>
      <w:bookmarkEnd w:id="2740"/>
    </w:p>
    <w:p w14:paraId="1A87B6DD">
      <w:pPr>
        <w:widowControl/>
        <w:spacing w:line="60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申报统计行情适用于债券现券交易、通用回购交易等。</w:t>
      </w:r>
    </w:p>
    <w:p w14:paraId="28B93EF8">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（1）债券现券</w:t>
      </w:r>
    </w:p>
    <w:p w14:paraId="5B1CBA12">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对于债券现券，本所实时发布债券投资者通过匹配成交</w:t>
      </w:r>
      <w:r>
        <w:rPr>
          <w:rFonts w:hint="eastAsia" w:ascii="仿宋_GB2312" w:hAnsi="宋体" w:eastAsia="仿宋_GB2312"/>
          <w:sz w:val="30"/>
          <w:szCs w:val="30"/>
          <w:lang w:eastAsia="zh-CN"/>
        </w:rPr>
        <w:t>等</w:t>
      </w:r>
      <w:r>
        <w:rPr>
          <w:rFonts w:hint="eastAsia" w:ascii="仿宋_GB2312" w:hAnsi="宋体" w:eastAsia="仿宋_GB2312"/>
          <w:sz w:val="30"/>
          <w:szCs w:val="30"/>
        </w:rPr>
        <w:t>方式提交的申报统计行情</w:t>
      </w:r>
      <w:r>
        <w:rPr>
          <w:rFonts w:hint="eastAsia" w:ascii="仿宋_GB2312" w:eastAsia="仿宋_GB2312"/>
          <w:color w:val="000000"/>
          <w:sz w:val="30"/>
          <w:szCs w:val="30"/>
        </w:rPr>
        <w:t>。</w:t>
      </w:r>
    </w:p>
    <w:p w14:paraId="150FD70E">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申报统计行情包括当日最高申买</w:t>
      </w:r>
      <w:r>
        <w:rPr>
          <w:rFonts w:ascii="仿宋_GB2312" w:hAnsi="宋体" w:eastAsia="仿宋_GB2312"/>
          <w:sz w:val="30"/>
          <w:szCs w:val="30"/>
        </w:rPr>
        <w:t>/卖价、</w:t>
      </w:r>
      <w:r>
        <w:rPr>
          <w:rFonts w:hint="eastAsia" w:ascii="仿宋_GB2312" w:hAnsi="宋体" w:eastAsia="仿宋_GB2312"/>
          <w:sz w:val="30"/>
          <w:szCs w:val="30"/>
        </w:rPr>
        <w:t>当日</w:t>
      </w:r>
      <w:r>
        <w:rPr>
          <w:rFonts w:ascii="仿宋_GB2312" w:hAnsi="宋体" w:eastAsia="仿宋_GB2312"/>
          <w:sz w:val="30"/>
          <w:szCs w:val="30"/>
        </w:rPr>
        <w:t>最低申买/卖价、当日最新申买/卖价、</w:t>
      </w:r>
      <w:r>
        <w:rPr>
          <w:rFonts w:hint="eastAsia" w:ascii="仿宋_GB2312" w:hAnsi="宋体" w:eastAsia="仿宋_GB2312"/>
          <w:sz w:val="30"/>
          <w:szCs w:val="30"/>
        </w:rPr>
        <w:t>当日</w:t>
      </w:r>
      <w:r>
        <w:rPr>
          <w:rFonts w:ascii="仿宋_GB2312" w:hAnsi="宋体" w:eastAsia="仿宋_GB2312"/>
          <w:sz w:val="30"/>
          <w:szCs w:val="30"/>
        </w:rPr>
        <w:t>加权平均申买/卖价、总申买/卖</w:t>
      </w:r>
      <w:r>
        <w:rPr>
          <w:rFonts w:hint="eastAsia" w:ascii="仿宋_GB2312" w:hAnsi="宋体" w:eastAsia="仿宋_GB2312"/>
          <w:sz w:val="30"/>
          <w:szCs w:val="30"/>
        </w:rPr>
        <w:t>数量</w:t>
      </w:r>
      <w:r>
        <w:rPr>
          <w:rFonts w:ascii="仿宋_GB2312" w:hAnsi="宋体" w:eastAsia="仿宋_GB2312"/>
          <w:sz w:val="30"/>
          <w:szCs w:val="30"/>
        </w:rPr>
        <w:t>、总申买/卖金额、总申买/卖笔数等</w:t>
      </w:r>
      <w:r>
        <w:rPr>
          <w:rFonts w:hint="eastAsia" w:ascii="仿宋_GB2312" w:hAnsi="宋体" w:eastAsia="仿宋_GB2312"/>
          <w:sz w:val="30"/>
          <w:szCs w:val="30"/>
        </w:rPr>
        <w:t>信息。具体如下：</w:t>
      </w:r>
    </w:p>
    <w:tbl>
      <w:tblPr>
        <w:tblStyle w:val="43"/>
        <w:tblW w:w="7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3560"/>
        <w:gridCol w:w="3917"/>
      </w:tblGrid>
      <w:tr w14:paraId="3EF7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560" w:type="dxa"/>
            <w:shd w:val="clear" w:color="auto" w:fill="FFFFFF"/>
            <w:vAlign w:val="center"/>
          </w:tcPr>
          <w:p w14:paraId="06860B0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3917" w:type="dxa"/>
            <w:shd w:val="clear" w:color="auto" w:fill="FFFFFF"/>
            <w:vAlign w:val="center"/>
          </w:tcPr>
          <w:p w14:paraId="3869671E">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577A1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0418249D">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证券代码</w:t>
            </w:r>
          </w:p>
        </w:tc>
        <w:tc>
          <w:tcPr>
            <w:tcW w:w="3917" w:type="dxa"/>
            <w:shd w:val="clear" w:color="auto" w:fill="FFFFFF"/>
            <w:vAlign w:val="center"/>
          </w:tcPr>
          <w:p w14:paraId="6CDB6C5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债券代码</w:t>
            </w:r>
          </w:p>
        </w:tc>
      </w:tr>
      <w:tr w14:paraId="6858F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78F05AC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证券简称</w:t>
            </w:r>
          </w:p>
        </w:tc>
        <w:tc>
          <w:tcPr>
            <w:tcW w:w="3917" w:type="dxa"/>
            <w:shd w:val="clear" w:color="auto" w:fill="FFFFFF"/>
            <w:vAlign w:val="center"/>
          </w:tcPr>
          <w:p w14:paraId="3C2D7835">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债券简称</w:t>
            </w:r>
          </w:p>
        </w:tc>
      </w:tr>
      <w:tr w14:paraId="5F1A1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3CF67E1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交易日期</w:t>
            </w:r>
          </w:p>
        </w:tc>
        <w:tc>
          <w:tcPr>
            <w:tcW w:w="3917" w:type="dxa"/>
            <w:shd w:val="clear" w:color="auto" w:fill="FFFFFF"/>
            <w:vAlign w:val="center"/>
          </w:tcPr>
          <w:p w14:paraId="115AA965">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w:t>
            </w:r>
          </w:p>
        </w:tc>
      </w:tr>
      <w:tr w14:paraId="4C9B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48B3CC16">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交易时间</w:t>
            </w:r>
          </w:p>
        </w:tc>
        <w:tc>
          <w:tcPr>
            <w:tcW w:w="3917" w:type="dxa"/>
            <w:shd w:val="clear" w:color="auto" w:fill="FFFFFF"/>
            <w:vAlign w:val="center"/>
          </w:tcPr>
          <w:p w14:paraId="7E6CB668">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38259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23C8F87E">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当日最高申买价</w:t>
            </w:r>
          </w:p>
        </w:tc>
        <w:tc>
          <w:tcPr>
            <w:tcW w:w="3917" w:type="dxa"/>
            <w:shd w:val="clear" w:color="auto" w:fill="FFFFFF"/>
            <w:vAlign w:val="center"/>
          </w:tcPr>
          <w:p w14:paraId="4ABBD98B">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757E2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276A9AB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当日最低申买价</w:t>
            </w:r>
          </w:p>
        </w:tc>
        <w:tc>
          <w:tcPr>
            <w:tcW w:w="3917" w:type="dxa"/>
            <w:shd w:val="clear" w:color="auto" w:fill="FFFFFF"/>
            <w:vAlign w:val="center"/>
          </w:tcPr>
          <w:p w14:paraId="74FE0438">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3CC88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1C91C856">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当日最新申买价</w:t>
            </w:r>
          </w:p>
        </w:tc>
        <w:tc>
          <w:tcPr>
            <w:tcW w:w="3917" w:type="dxa"/>
            <w:shd w:val="clear" w:color="auto" w:fill="FFFFFF"/>
            <w:vAlign w:val="center"/>
          </w:tcPr>
          <w:p w14:paraId="6EF5E21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12DF7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610A920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当日加权平均申买价</w:t>
            </w:r>
          </w:p>
        </w:tc>
        <w:tc>
          <w:tcPr>
            <w:tcW w:w="3917" w:type="dxa"/>
            <w:shd w:val="clear" w:color="auto" w:fill="FFFFFF"/>
            <w:vAlign w:val="center"/>
          </w:tcPr>
          <w:p w14:paraId="40C5BAE6">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35686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00AFF7E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当日最高申卖价</w:t>
            </w:r>
          </w:p>
        </w:tc>
        <w:tc>
          <w:tcPr>
            <w:tcW w:w="3917" w:type="dxa"/>
            <w:shd w:val="clear" w:color="auto" w:fill="FFFFFF"/>
            <w:vAlign w:val="center"/>
          </w:tcPr>
          <w:p w14:paraId="2437708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34836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57100B37">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当日最低申卖价</w:t>
            </w:r>
          </w:p>
        </w:tc>
        <w:tc>
          <w:tcPr>
            <w:tcW w:w="3917" w:type="dxa"/>
            <w:shd w:val="clear" w:color="auto" w:fill="FFFFFF"/>
            <w:vAlign w:val="center"/>
          </w:tcPr>
          <w:p w14:paraId="775FF2FF">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056E2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439A0FD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当日最新申卖价</w:t>
            </w:r>
          </w:p>
        </w:tc>
        <w:tc>
          <w:tcPr>
            <w:tcW w:w="3917" w:type="dxa"/>
            <w:shd w:val="clear" w:color="auto" w:fill="FFFFFF"/>
            <w:vAlign w:val="center"/>
          </w:tcPr>
          <w:p w14:paraId="1B16AE34">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0F0C4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3749D05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当日加权平均申卖价</w:t>
            </w:r>
          </w:p>
        </w:tc>
        <w:tc>
          <w:tcPr>
            <w:tcW w:w="3917" w:type="dxa"/>
            <w:shd w:val="clear" w:color="auto" w:fill="FFFFFF"/>
            <w:vAlign w:val="center"/>
          </w:tcPr>
          <w:p w14:paraId="1E18618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7AA35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1C9AF98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当日累计申买数量</w:t>
            </w:r>
          </w:p>
        </w:tc>
        <w:tc>
          <w:tcPr>
            <w:tcW w:w="3917" w:type="dxa"/>
            <w:shd w:val="clear" w:color="auto" w:fill="FFFFFF"/>
            <w:vAlign w:val="center"/>
          </w:tcPr>
          <w:p w14:paraId="77A4929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单位：元（整数）</w:t>
            </w:r>
          </w:p>
        </w:tc>
      </w:tr>
      <w:tr w14:paraId="590E6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04150E4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当日累计申买金额</w:t>
            </w:r>
          </w:p>
        </w:tc>
        <w:tc>
          <w:tcPr>
            <w:tcW w:w="3917" w:type="dxa"/>
            <w:shd w:val="clear" w:color="auto" w:fill="FFFFFF"/>
            <w:vAlign w:val="center"/>
          </w:tcPr>
          <w:p w14:paraId="434D91BB">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r w14:paraId="3A6F5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627F696D">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当日累计申买笔数</w:t>
            </w:r>
          </w:p>
        </w:tc>
        <w:tc>
          <w:tcPr>
            <w:tcW w:w="3917" w:type="dxa"/>
            <w:shd w:val="clear" w:color="auto" w:fill="FFFFFF"/>
            <w:vAlign w:val="center"/>
          </w:tcPr>
          <w:p w14:paraId="3B134904">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单位：笔</w:t>
            </w:r>
          </w:p>
        </w:tc>
      </w:tr>
      <w:tr w14:paraId="57211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0F30ED56">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当日累计申卖数量</w:t>
            </w:r>
          </w:p>
        </w:tc>
        <w:tc>
          <w:tcPr>
            <w:tcW w:w="3917" w:type="dxa"/>
            <w:shd w:val="clear" w:color="auto" w:fill="FFFFFF"/>
            <w:vAlign w:val="center"/>
          </w:tcPr>
          <w:p w14:paraId="2106515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单位：元（整数）</w:t>
            </w:r>
          </w:p>
        </w:tc>
      </w:tr>
      <w:tr w14:paraId="4103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4AE88B6D">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当日累计申卖金额</w:t>
            </w:r>
          </w:p>
        </w:tc>
        <w:tc>
          <w:tcPr>
            <w:tcW w:w="3917" w:type="dxa"/>
            <w:shd w:val="clear" w:color="auto" w:fill="FFFFFF"/>
            <w:vAlign w:val="center"/>
          </w:tcPr>
          <w:p w14:paraId="7A582D4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r w14:paraId="06955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5BEAF74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当日累计申卖笔数</w:t>
            </w:r>
          </w:p>
        </w:tc>
        <w:tc>
          <w:tcPr>
            <w:tcW w:w="3917" w:type="dxa"/>
            <w:shd w:val="clear" w:color="auto" w:fill="FFFFFF"/>
            <w:vAlign w:val="center"/>
          </w:tcPr>
          <w:p w14:paraId="00604DF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单位：笔</w:t>
            </w:r>
          </w:p>
        </w:tc>
      </w:tr>
    </w:tbl>
    <w:p w14:paraId="2175397F">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（2）通用回购</w:t>
      </w:r>
    </w:p>
    <w:p w14:paraId="602E5962">
      <w:pPr>
        <w:spacing w:line="600" w:lineRule="exact"/>
        <w:ind w:firstLine="564" w:firstLineChars="188"/>
        <w:rPr>
          <w:rFonts w:ascii="仿宋_GB2312" w:hAnsi="宋体" w:eastAsia="仿宋_GB2312"/>
          <w:sz w:val="30"/>
          <w:szCs w:val="30"/>
        </w:rPr>
      </w:pPr>
      <w:r>
        <w:rPr>
          <w:rFonts w:hint="eastAsia" w:ascii="仿宋_GB2312" w:hAnsi="宋体" w:eastAsia="仿宋_GB2312"/>
          <w:sz w:val="30"/>
          <w:szCs w:val="30"/>
        </w:rPr>
        <w:t>对于通用回购，本所实时发布债券投资者通过匹配成交方式提交的申报统计行情。申报统计行情按回购代码进行统计，包括当日最高申买</w:t>
      </w:r>
      <w:r>
        <w:rPr>
          <w:rFonts w:ascii="仿宋_GB2312" w:hAnsi="宋体" w:eastAsia="仿宋_GB2312"/>
          <w:sz w:val="30"/>
          <w:szCs w:val="30"/>
        </w:rPr>
        <w:t>/卖利率、</w:t>
      </w:r>
      <w:r>
        <w:rPr>
          <w:rFonts w:hint="eastAsia" w:ascii="仿宋_GB2312" w:hAnsi="宋体" w:eastAsia="仿宋_GB2312"/>
          <w:sz w:val="30"/>
          <w:szCs w:val="30"/>
        </w:rPr>
        <w:t>当日最低申买</w:t>
      </w:r>
      <w:r>
        <w:rPr>
          <w:rFonts w:ascii="仿宋_GB2312" w:hAnsi="宋体" w:eastAsia="仿宋_GB2312"/>
          <w:sz w:val="30"/>
          <w:szCs w:val="30"/>
        </w:rPr>
        <w:t>/卖利率、当日最新申买/卖利率、</w:t>
      </w:r>
      <w:r>
        <w:rPr>
          <w:rFonts w:hint="eastAsia" w:ascii="仿宋_GB2312" w:hAnsi="宋体" w:eastAsia="仿宋_GB2312"/>
          <w:sz w:val="30"/>
          <w:szCs w:val="30"/>
        </w:rPr>
        <w:t>当日加权平均申买</w:t>
      </w:r>
      <w:r>
        <w:rPr>
          <w:rFonts w:ascii="仿宋_GB2312" w:hAnsi="宋体" w:eastAsia="仿宋_GB2312"/>
          <w:sz w:val="30"/>
          <w:szCs w:val="30"/>
        </w:rPr>
        <w:t>/卖利率、总申买/卖金额等</w:t>
      </w:r>
      <w:r>
        <w:rPr>
          <w:rFonts w:hint="eastAsia" w:ascii="仿宋_GB2312" w:hAnsi="宋体" w:eastAsia="仿宋_GB2312"/>
          <w:sz w:val="30"/>
          <w:szCs w:val="30"/>
        </w:rPr>
        <w:t>信息。具体如下：</w:t>
      </w:r>
    </w:p>
    <w:tbl>
      <w:tblPr>
        <w:tblStyle w:val="43"/>
        <w:tblW w:w="7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3560"/>
        <w:gridCol w:w="3917"/>
      </w:tblGrid>
      <w:tr w14:paraId="6E239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31" w:hRule="atLeast"/>
          <w:jc w:val="center"/>
        </w:trPr>
        <w:tc>
          <w:tcPr>
            <w:tcW w:w="3560" w:type="dxa"/>
            <w:shd w:val="clear" w:color="auto" w:fill="FFFFFF"/>
            <w:vAlign w:val="center"/>
          </w:tcPr>
          <w:p w14:paraId="2450CF52">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3917" w:type="dxa"/>
            <w:shd w:val="clear" w:color="auto" w:fill="FFFFFF"/>
            <w:vAlign w:val="center"/>
          </w:tcPr>
          <w:p w14:paraId="211B28D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02B0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3CCDE69D">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回购代码</w:t>
            </w:r>
          </w:p>
        </w:tc>
        <w:tc>
          <w:tcPr>
            <w:tcW w:w="3917" w:type="dxa"/>
            <w:shd w:val="clear" w:color="auto" w:fill="FFFFFF"/>
            <w:vAlign w:val="center"/>
          </w:tcPr>
          <w:p w14:paraId="5EF867E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通用回购代码</w:t>
            </w:r>
          </w:p>
        </w:tc>
      </w:tr>
      <w:tr w14:paraId="16D0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037B409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回购品种</w:t>
            </w:r>
          </w:p>
        </w:tc>
        <w:tc>
          <w:tcPr>
            <w:tcW w:w="3917" w:type="dxa"/>
            <w:shd w:val="clear" w:color="auto" w:fill="FFFFFF"/>
            <w:vAlign w:val="center"/>
          </w:tcPr>
          <w:p w14:paraId="620C0356">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通用回购品种</w:t>
            </w:r>
          </w:p>
        </w:tc>
      </w:tr>
      <w:tr w14:paraId="06C54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35E6B3C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交易日期</w:t>
            </w:r>
          </w:p>
        </w:tc>
        <w:tc>
          <w:tcPr>
            <w:tcW w:w="3917" w:type="dxa"/>
            <w:shd w:val="clear" w:color="auto" w:fill="FFFFFF"/>
            <w:vAlign w:val="center"/>
          </w:tcPr>
          <w:p w14:paraId="04E851DA">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w:t>
            </w:r>
          </w:p>
        </w:tc>
      </w:tr>
      <w:tr w14:paraId="7778F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679B8D7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交易时间</w:t>
            </w:r>
          </w:p>
        </w:tc>
        <w:tc>
          <w:tcPr>
            <w:tcW w:w="3917" w:type="dxa"/>
            <w:shd w:val="clear" w:color="auto" w:fill="FFFFFF"/>
            <w:vAlign w:val="center"/>
          </w:tcPr>
          <w:p w14:paraId="6208A72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6C685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0C46BB2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当日最高申买利率</w:t>
            </w:r>
          </w:p>
        </w:tc>
        <w:tc>
          <w:tcPr>
            <w:tcW w:w="3917" w:type="dxa"/>
            <w:shd w:val="clear" w:color="auto" w:fill="FFFFFF"/>
            <w:vAlign w:val="center"/>
          </w:tcPr>
          <w:p w14:paraId="12E9222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7AE0F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12D3E3E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当日最低申买利率</w:t>
            </w:r>
          </w:p>
        </w:tc>
        <w:tc>
          <w:tcPr>
            <w:tcW w:w="3917" w:type="dxa"/>
            <w:shd w:val="clear" w:color="auto" w:fill="FFFFFF"/>
            <w:vAlign w:val="center"/>
          </w:tcPr>
          <w:p w14:paraId="64B8E3A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155CA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47B4AD4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当日最新申买利率</w:t>
            </w:r>
          </w:p>
        </w:tc>
        <w:tc>
          <w:tcPr>
            <w:tcW w:w="3917" w:type="dxa"/>
            <w:shd w:val="clear" w:color="auto" w:fill="FFFFFF"/>
            <w:vAlign w:val="center"/>
          </w:tcPr>
          <w:p w14:paraId="2D0CEC5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7D901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27764B4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当日加权平均申买利率</w:t>
            </w:r>
          </w:p>
        </w:tc>
        <w:tc>
          <w:tcPr>
            <w:tcW w:w="3917" w:type="dxa"/>
            <w:shd w:val="clear" w:color="auto" w:fill="FFFFFF"/>
            <w:vAlign w:val="center"/>
          </w:tcPr>
          <w:p w14:paraId="126B9828">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2D83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03AEC7FA">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当日最高申卖利率</w:t>
            </w:r>
          </w:p>
        </w:tc>
        <w:tc>
          <w:tcPr>
            <w:tcW w:w="3917" w:type="dxa"/>
            <w:shd w:val="clear" w:color="auto" w:fill="FFFFFF"/>
            <w:vAlign w:val="center"/>
          </w:tcPr>
          <w:p w14:paraId="523DB13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51E47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3A56E74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当日最低申卖利率</w:t>
            </w:r>
          </w:p>
        </w:tc>
        <w:tc>
          <w:tcPr>
            <w:tcW w:w="3917" w:type="dxa"/>
            <w:shd w:val="clear" w:color="auto" w:fill="FFFFFF"/>
            <w:vAlign w:val="center"/>
          </w:tcPr>
          <w:p w14:paraId="01D1E644">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6E3D4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0199526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当日最新申卖利率</w:t>
            </w:r>
          </w:p>
        </w:tc>
        <w:tc>
          <w:tcPr>
            <w:tcW w:w="3917" w:type="dxa"/>
            <w:shd w:val="clear" w:color="auto" w:fill="FFFFFF"/>
            <w:vAlign w:val="center"/>
          </w:tcPr>
          <w:p w14:paraId="1D53144A">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00347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684519A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当日加权平均申卖利率</w:t>
            </w:r>
          </w:p>
        </w:tc>
        <w:tc>
          <w:tcPr>
            <w:tcW w:w="3917" w:type="dxa"/>
            <w:shd w:val="clear" w:color="auto" w:fill="FFFFFF"/>
            <w:vAlign w:val="center"/>
          </w:tcPr>
          <w:p w14:paraId="22CE1E2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7A6FC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5E1795A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当日累计申买金额</w:t>
            </w:r>
          </w:p>
        </w:tc>
        <w:tc>
          <w:tcPr>
            <w:tcW w:w="3917" w:type="dxa"/>
            <w:shd w:val="clear" w:color="auto" w:fill="FFFFFF"/>
            <w:vAlign w:val="center"/>
          </w:tcPr>
          <w:p w14:paraId="7B9DBAB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r w14:paraId="1F6B7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71B9AD8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当日累计申卖金额</w:t>
            </w:r>
          </w:p>
        </w:tc>
        <w:tc>
          <w:tcPr>
            <w:tcW w:w="3917" w:type="dxa"/>
            <w:shd w:val="clear" w:color="auto" w:fill="FFFFFF"/>
            <w:vAlign w:val="center"/>
          </w:tcPr>
          <w:p w14:paraId="0866AA3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bl>
    <w:p w14:paraId="34B25D02">
      <w:pPr>
        <w:numPr>
          <w:ilvl w:val="2"/>
          <w:numId w:val="4"/>
        </w:numPr>
        <w:spacing w:line="600" w:lineRule="exact"/>
        <w:ind w:left="0" w:firstLine="0"/>
        <w:outlineLvl w:val="2"/>
        <w:rPr>
          <w:rFonts w:ascii="仿宋_GB2312" w:eastAsia="仿宋_GB2312"/>
          <w:b/>
          <w:sz w:val="30"/>
          <w:szCs w:val="30"/>
        </w:rPr>
      </w:pPr>
      <w:bookmarkStart w:id="2741" w:name="_Toc47375483"/>
      <w:bookmarkEnd w:id="2741"/>
      <w:bookmarkStart w:id="2742" w:name="_Toc47465935"/>
      <w:bookmarkEnd w:id="2742"/>
      <w:bookmarkStart w:id="2743" w:name="_Toc47427153"/>
      <w:bookmarkEnd w:id="2743"/>
      <w:bookmarkStart w:id="2744" w:name="_Toc47467048"/>
      <w:bookmarkEnd w:id="2744"/>
      <w:bookmarkStart w:id="2745" w:name="_Toc47374939"/>
      <w:bookmarkEnd w:id="2745"/>
      <w:bookmarkStart w:id="2746" w:name="_Toc47428420"/>
      <w:bookmarkEnd w:id="2746"/>
      <w:bookmarkStart w:id="2747" w:name="_Toc47458439"/>
      <w:bookmarkEnd w:id="2747"/>
      <w:bookmarkStart w:id="2748" w:name="_Toc47467049"/>
      <w:r>
        <w:rPr>
          <w:rFonts w:hint="eastAsia" w:ascii="仿宋_GB2312" w:eastAsia="仿宋_GB2312"/>
          <w:b/>
          <w:sz w:val="30"/>
          <w:szCs w:val="30"/>
        </w:rPr>
        <w:t>成交统计行情</w:t>
      </w:r>
      <w:bookmarkEnd w:id="2748"/>
    </w:p>
    <w:p w14:paraId="03FA96B9">
      <w:pPr>
        <w:widowControl/>
        <w:spacing w:line="600" w:lineRule="exact"/>
        <w:ind w:firstLine="528" w:firstLineChars="176"/>
        <w:jc w:val="left"/>
        <w:rPr>
          <w:rFonts w:ascii="仿宋_GB2312" w:hAnsi="宋体" w:eastAsia="仿宋_GB2312" w:cs="宋体"/>
          <w:kern w:val="0"/>
          <w:sz w:val="30"/>
          <w:szCs w:val="30"/>
        </w:rPr>
      </w:pPr>
      <w:r>
        <w:rPr>
          <w:rFonts w:hint="eastAsia" w:ascii="仿宋_GB2312" w:hAnsi="宋体" w:eastAsia="仿宋_GB2312" w:cs="宋体"/>
          <w:kern w:val="0"/>
          <w:sz w:val="30"/>
          <w:szCs w:val="30"/>
        </w:rPr>
        <w:t>成交统计行情适用于债券现券、通用回购、协议回购、三方回购及国债预发行等产品。</w:t>
      </w:r>
    </w:p>
    <w:p w14:paraId="53F2A6F9">
      <w:pPr>
        <w:spacing w:line="600" w:lineRule="exact"/>
        <w:ind w:firstLine="528" w:firstLineChars="176"/>
        <w:jc w:val="left"/>
        <w:rPr>
          <w:rFonts w:ascii="仿宋_GB2312" w:hAnsi="宋体" w:eastAsia="仿宋_GB2312" w:cs="宋体"/>
          <w:kern w:val="0"/>
          <w:sz w:val="30"/>
          <w:szCs w:val="30"/>
        </w:rPr>
      </w:pPr>
      <w:r>
        <w:rPr>
          <w:rFonts w:hint="eastAsia" w:ascii="仿宋_GB2312" w:hAnsi="宋体" w:eastAsia="仿宋_GB2312" w:cs="宋体"/>
          <w:kern w:val="0"/>
          <w:sz w:val="30"/>
          <w:szCs w:val="30"/>
        </w:rPr>
        <w:t>所有的行情要素（除特殊说明外）数据均基于相关品种采用的交易方式形成，相关交易方式包括匹配成交、点击成交、询价成交、竞买成交、协商成交。其中，</w:t>
      </w:r>
      <w:r>
        <w:rPr>
          <w:rFonts w:hint="eastAsia" w:ascii="仿宋_GB2312" w:hAnsi="宋体" w:eastAsia="仿宋_GB2312"/>
          <w:b/>
          <w:bCs/>
          <w:sz w:val="30"/>
          <w:szCs w:val="30"/>
        </w:rPr>
        <w:t>匹配成交的行情和非匹配成交的行情分别通过不同渠道发送。</w:t>
      </w:r>
    </w:p>
    <w:p w14:paraId="528546EF">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（1）债券现券</w:t>
      </w:r>
    </w:p>
    <w:p w14:paraId="52E8A1FC">
      <w:pPr>
        <w:spacing w:line="600" w:lineRule="exact"/>
        <w:ind w:firstLine="528" w:firstLineChars="176"/>
        <w:rPr>
          <w:rFonts w:ascii="仿宋_GB2312" w:hAnsi="Calibri" w:eastAsia="仿宋_GB2312"/>
          <w:sz w:val="30"/>
          <w:szCs w:val="30"/>
        </w:rPr>
      </w:pPr>
      <w:r>
        <w:rPr>
          <w:rFonts w:hint="eastAsia" w:ascii="仿宋_GB2312" w:hAnsi="宋体" w:eastAsia="仿宋_GB2312"/>
          <w:sz w:val="30"/>
          <w:szCs w:val="30"/>
        </w:rPr>
        <w:t>对于债券现券，本所实时发布债券投资者通过匹配成交</w:t>
      </w:r>
      <w:r>
        <w:rPr>
          <w:rFonts w:ascii="仿宋_GB2312" w:hAnsi="宋体" w:eastAsia="仿宋_GB2312"/>
          <w:sz w:val="30"/>
          <w:szCs w:val="30"/>
        </w:rPr>
        <w:t>、点击成交、询价成交、协商成交（含</w:t>
      </w:r>
      <w:r>
        <w:rPr>
          <w:rFonts w:hint="eastAsia" w:ascii="仿宋_GB2312" w:hAnsi="仿宋" w:eastAsia="仿宋_GB2312"/>
          <w:sz w:val="30"/>
          <w:szCs w:val="30"/>
        </w:rPr>
        <w:t>合并申报</w:t>
      </w:r>
      <w:r>
        <w:rPr>
          <w:rFonts w:hint="eastAsia" w:ascii="仿宋_GB2312" w:hAnsi="宋体" w:eastAsia="仿宋_GB2312"/>
          <w:sz w:val="30"/>
          <w:szCs w:val="30"/>
        </w:rPr>
        <w:t>）及竞买成交方式达成的成交统计行情。成交统计行情按证券代码进行成交统计，并单独提供匹配成交的统计类信息</w:t>
      </w:r>
      <w:r>
        <w:rPr>
          <w:rFonts w:hint="eastAsia" w:ascii="仿宋_GB2312" w:hAnsi="Calibri" w:eastAsia="仿宋_GB2312"/>
          <w:sz w:val="30"/>
          <w:szCs w:val="30"/>
        </w:rPr>
        <w:t>。</w:t>
      </w:r>
    </w:p>
    <w:p w14:paraId="176127CC">
      <w:pPr>
        <w:spacing w:line="600" w:lineRule="exact"/>
        <w:ind w:firstLine="528" w:firstLineChars="176"/>
        <w:rPr>
          <w:rFonts w:ascii="仿宋_GB2312" w:hAnsi="Calibri" w:eastAsia="仿宋_GB2312"/>
          <w:sz w:val="30"/>
          <w:szCs w:val="30"/>
        </w:rPr>
      </w:pPr>
      <w:r>
        <w:rPr>
          <w:rFonts w:hint="eastAsia" w:ascii="仿宋_GB2312" w:hAnsi="Calibri" w:eastAsia="仿宋_GB2312"/>
          <w:sz w:val="30"/>
          <w:szCs w:val="30"/>
        </w:rPr>
        <w:t>匹配成交方式下，债券现券的成交统计行情包括</w:t>
      </w:r>
      <w:r>
        <w:rPr>
          <w:rFonts w:hint="eastAsia" w:ascii="仿宋_GB2312" w:eastAsia="仿宋_GB2312"/>
          <w:color w:val="000000"/>
          <w:sz w:val="30"/>
          <w:szCs w:val="30"/>
        </w:rPr>
        <w:t>当日最新成交价格、当日最高成交价格、当日最低成交价格、当日累计成交数量、当日累计成交金额等信息。</w:t>
      </w:r>
      <w:r>
        <w:rPr>
          <w:rFonts w:hint="eastAsia" w:ascii="仿宋_GB2312" w:hAnsi="Calibri" w:eastAsia="仿宋_GB2312"/>
          <w:sz w:val="30"/>
          <w:szCs w:val="30"/>
        </w:rPr>
        <w:t>具体如下：</w:t>
      </w:r>
    </w:p>
    <w:tbl>
      <w:tblPr>
        <w:tblStyle w:val="43"/>
        <w:tblW w:w="7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3560"/>
        <w:gridCol w:w="3917"/>
      </w:tblGrid>
      <w:tr w14:paraId="2905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31" w:hRule="atLeast"/>
          <w:jc w:val="center"/>
        </w:trPr>
        <w:tc>
          <w:tcPr>
            <w:tcW w:w="3560" w:type="dxa"/>
            <w:shd w:val="clear" w:color="auto" w:fill="FFFFFF"/>
            <w:vAlign w:val="center"/>
          </w:tcPr>
          <w:p w14:paraId="4E703A4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3917" w:type="dxa"/>
            <w:shd w:val="clear" w:color="auto" w:fill="FFFFFF"/>
            <w:vAlign w:val="center"/>
          </w:tcPr>
          <w:p w14:paraId="175CDAD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74676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131C697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证券代码</w:t>
            </w:r>
          </w:p>
        </w:tc>
        <w:tc>
          <w:tcPr>
            <w:tcW w:w="3917" w:type="dxa"/>
            <w:shd w:val="clear" w:color="auto" w:fill="FFFFFF"/>
            <w:vAlign w:val="center"/>
          </w:tcPr>
          <w:p w14:paraId="2F0A81C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债券代码</w:t>
            </w:r>
          </w:p>
        </w:tc>
      </w:tr>
      <w:tr w14:paraId="6B206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7AAF26B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证券简称</w:t>
            </w:r>
          </w:p>
        </w:tc>
        <w:tc>
          <w:tcPr>
            <w:tcW w:w="3917" w:type="dxa"/>
            <w:shd w:val="clear" w:color="auto" w:fill="FFFFFF"/>
            <w:vAlign w:val="center"/>
          </w:tcPr>
          <w:p w14:paraId="35E31E7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债券简称</w:t>
            </w:r>
          </w:p>
        </w:tc>
      </w:tr>
      <w:tr w14:paraId="5D49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6F23131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交易日期</w:t>
            </w:r>
          </w:p>
        </w:tc>
        <w:tc>
          <w:tcPr>
            <w:tcW w:w="3917" w:type="dxa"/>
            <w:shd w:val="clear" w:color="auto" w:fill="FFFFFF"/>
            <w:vAlign w:val="center"/>
          </w:tcPr>
          <w:p w14:paraId="3CC3A2CC">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w:t>
            </w:r>
          </w:p>
        </w:tc>
      </w:tr>
      <w:tr w14:paraId="3185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vAlign w:val="center"/>
          </w:tcPr>
          <w:p w14:paraId="3332B50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交易时间</w:t>
            </w:r>
          </w:p>
        </w:tc>
        <w:tc>
          <w:tcPr>
            <w:tcW w:w="3917" w:type="dxa"/>
            <w:shd w:val="clear" w:color="auto" w:fill="FFFFFF"/>
            <w:vAlign w:val="center"/>
          </w:tcPr>
          <w:p w14:paraId="0C5AB476">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74F6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8" w:hRule="atLeast"/>
          <w:jc w:val="center"/>
        </w:trPr>
        <w:tc>
          <w:tcPr>
            <w:tcW w:w="3560" w:type="dxa"/>
            <w:shd w:val="clear" w:color="auto" w:fill="FFFFFF"/>
          </w:tcPr>
          <w:p w14:paraId="76204667">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最新成交时间</w:t>
            </w:r>
          </w:p>
        </w:tc>
        <w:tc>
          <w:tcPr>
            <w:tcW w:w="3917" w:type="dxa"/>
            <w:shd w:val="clear" w:color="auto" w:fill="FFFFFF"/>
            <w:vAlign w:val="center"/>
          </w:tcPr>
          <w:p w14:paraId="62A8B2F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5915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3902EB6A">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昨日收盘价</w:t>
            </w:r>
          </w:p>
        </w:tc>
        <w:tc>
          <w:tcPr>
            <w:tcW w:w="3917" w:type="dxa"/>
            <w:shd w:val="clear" w:color="auto" w:fill="FFFFFF"/>
            <w:vAlign w:val="center"/>
          </w:tcPr>
          <w:p w14:paraId="491E2EBA">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50DD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356C5EB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当日开盘价</w:t>
            </w:r>
          </w:p>
        </w:tc>
        <w:tc>
          <w:tcPr>
            <w:tcW w:w="3917" w:type="dxa"/>
            <w:shd w:val="clear" w:color="auto" w:fill="FFFFFF"/>
            <w:vAlign w:val="center"/>
          </w:tcPr>
          <w:p w14:paraId="1E49E2CF">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5D96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3FAFEC8C">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当日最高价</w:t>
            </w:r>
          </w:p>
        </w:tc>
        <w:tc>
          <w:tcPr>
            <w:tcW w:w="3917" w:type="dxa"/>
            <w:shd w:val="clear" w:color="auto" w:fill="FFFFFF"/>
            <w:vAlign w:val="center"/>
          </w:tcPr>
          <w:p w14:paraId="716F6E08">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2E798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5EDC1FDA">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当日最低价</w:t>
            </w:r>
          </w:p>
        </w:tc>
        <w:tc>
          <w:tcPr>
            <w:tcW w:w="3917" w:type="dxa"/>
            <w:shd w:val="clear" w:color="auto" w:fill="FFFFFF"/>
            <w:vAlign w:val="center"/>
          </w:tcPr>
          <w:p w14:paraId="01F3D348">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15A3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563F4CF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当日最新价</w:t>
            </w:r>
          </w:p>
        </w:tc>
        <w:tc>
          <w:tcPr>
            <w:tcW w:w="3917" w:type="dxa"/>
            <w:shd w:val="clear" w:color="auto" w:fill="FFFFFF"/>
            <w:vAlign w:val="center"/>
          </w:tcPr>
          <w:p w14:paraId="76B547D8">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75758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0B70729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当日收盘价</w:t>
            </w:r>
          </w:p>
        </w:tc>
        <w:tc>
          <w:tcPr>
            <w:tcW w:w="3917" w:type="dxa"/>
            <w:shd w:val="clear" w:color="auto" w:fill="FFFFFF"/>
            <w:vAlign w:val="center"/>
          </w:tcPr>
          <w:p w14:paraId="232A6898">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5BA2A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548F1A76">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当日加权平均价</w:t>
            </w:r>
          </w:p>
        </w:tc>
        <w:tc>
          <w:tcPr>
            <w:tcW w:w="3917" w:type="dxa"/>
            <w:shd w:val="clear" w:color="auto" w:fill="FFFFFF"/>
            <w:vAlign w:val="center"/>
          </w:tcPr>
          <w:p w14:paraId="6AF37A4F">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3F53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5149B4D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当日累计成交数量</w:t>
            </w:r>
          </w:p>
        </w:tc>
        <w:tc>
          <w:tcPr>
            <w:tcW w:w="3917" w:type="dxa"/>
            <w:shd w:val="clear" w:color="auto" w:fill="FFFFFF"/>
            <w:vAlign w:val="center"/>
          </w:tcPr>
          <w:p w14:paraId="5108692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单位：元（整数）</w:t>
            </w:r>
          </w:p>
        </w:tc>
      </w:tr>
      <w:tr w14:paraId="233C6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3560" w:type="dxa"/>
            <w:shd w:val="clear" w:color="auto" w:fill="FFFFFF"/>
          </w:tcPr>
          <w:p w14:paraId="305F7BC0">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当日累计成交金额</w:t>
            </w:r>
          </w:p>
        </w:tc>
        <w:tc>
          <w:tcPr>
            <w:tcW w:w="3917" w:type="dxa"/>
            <w:shd w:val="clear" w:color="auto" w:fill="FFFFFF"/>
            <w:vAlign w:val="center"/>
          </w:tcPr>
          <w:p w14:paraId="7544D05A">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bl>
    <w:p w14:paraId="063E7E06">
      <w:pPr>
        <w:spacing w:line="600" w:lineRule="exact"/>
        <w:ind w:firstLine="528" w:firstLineChars="176"/>
        <w:rPr>
          <w:rFonts w:ascii="仿宋_GB2312" w:hAnsi="宋体" w:eastAsia="仿宋_GB2312"/>
          <w:sz w:val="30"/>
          <w:szCs w:val="30"/>
        </w:rPr>
      </w:pPr>
      <w:r>
        <w:rPr>
          <w:rFonts w:hint="eastAsia" w:ascii="仿宋_GB2312" w:hAnsi="Calibri" w:eastAsia="仿宋_GB2312"/>
          <w:sz w:val="30"/>
          <w:szCs w:val="30"/>
        </w:rPr>
        <w:t>非匹配成交方式下，债券现券的成交统计行情包括</w:t>
      </w:r>
      <w:r>
        <w:rPr>
          <w:rFonts w:hint="eastAsia" w:ascii="仿宋_GB2312" w:eastAsia="仿宋_GB2312"/>
          <w:color w:val="000000"/>
          <w:sz w:val="30"/>
          <w:szCs w:val="30"/>
        </w:rPr>
        <w:t>当日最新成交价格、当日最高成交价格、当日最低成交价格、当日加权平均价格、</w:t>
      </w:r>
      <w:r>
        <w:rPr>
          <w:rFonts w:hint="eastAsia" w:ascii="仿宋_GB2312" w:eastAsia="仿宋_GB2312"/>
          <w:color w:val="000000"/>
          <w:sz w:val="30"/>
          <w:szCs w:val="30"/>
          <w:highlight w:val="none"/>
        </w:rPr>
        <w:t>当日累计成交数量、当日累计成交金额</w:t>
      </w:r>
      <w:r>
        <w:rPr>
          <w:rFonts w:hint="eastAsia" w:ascii="仿宋_GB2312" w:eastAsia="仿宋_GB2312"/>
          <w:color w:val="000000"/>
          <w:sz w:val="30"/>
          <w:szCs w:val="30"/>
        </w:rPr>
        <w:t>等信息。</w:t>
      </w:r>
      <w:r>
        <w:rPr>
          <w:rFonts w:hint="eastAsia" w:ascii="仿宋_GB2312" w:hAnsi="Calibri" w:eastAsia="仿宋_GB2312"/>
          <w:sz w:val="30"/>
          <w:szCs w:val="30"/>
        </w:rPr>
        <w:t>具体如下：</w:t>
      </w:r>
    </w:p>
    <w:tbl>
      <w:tblPr>
        <w:tblStyle w:val="43"/>
        <w:tblW w:w="7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3560"/>
        <w:gridCol w:w="3917"/>
      </w:tblGrid>
      <w:tr w14:paraId="47EF7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560" w:type="dxa"/>
            <w:shd w:val="clear" w:color="auto" w:fill="FFFFFF"/>
            <w:vAlign w:val="center"/>
          </w:tcPr>
          <w:p w14:paraId="5C096B3A">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3917" w:type="dxa"/>
            <w:shd w:val="clear" w:color="auto" w:fill="FFFFFF"/>
            <w:vAlign w:val="center"/>
          </w:tcPr>
          <w:p w14:paraId="17C8D3B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4B109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6BA5975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证券代码</w:t>
            </w:r>
          </w:p>
        </w:tc>
        <w:tc>
          <w:tcPr>
            <w:tcW w:w="3917" w:type="dxa"/>
            <w:shd w:val="clear" w:color="auto" w:fill="FFFFFF"/>
            <w:vAlign w:val="center"/>
          </w:tcPr>
          <w:p w14:paraId="74C1B08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债券代码</w:t>
            </w:r>
          </w:p>
        </w:tc>
      </w:tr>
      <w:tr w14:paraId="6844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3641521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证券简称</w:t>
            </w:r>
          </w:p>
        </w:tc>
        <w:tc>
          <w:tcPr>
            <w:tcW w:w="3917" w:type="dxa"/>
            <w:shd w:val="clear" w:color="auto" w:fill="FFFFFF"/>
            <w:vAlign w:val="center"/>
          </w:tcPr>
          <w:p w14:paraId="43062488">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债券简称</w:t>
            </w:r>
          </w:p>
        </w:tc>
      </w:tr>
      <w:tr w14:paraId="798B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321BE8F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交易日期</w:t>
            </w:r>
          </w:p>
        </w:tc>
        <w:tc>
          <w:tcPr>
            <w:tcW w:w="3917" w:type="dxa"/>
            <w:shd w:val="clear" w:color="auto" w:fill="FFFFFF"/>
            <w:vAlign w:val="center"/>
          </w:tcPr>
          <w:p w14:paraId="5B1698D3">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w:t>
            </w:r>
          </w:p>
        </w:tc>
      </w:tr>
      <w:tr w14:paraId="0B500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3560" w:type="dxa"/>
            <w:shd w:val="clear" w:color="auto" w:fill="FFFFFF"/>
          </w:tcPr>
          <w:p w14:paraId="51FE83DC">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最新成交时间</w:t>
            </w:r>
          </w:p>
        </w:tc>
        <w:tc>
          <w:tcPr>
            <w:tcW w:w="3917" w:type="dxa"/>
            <w:shd w:val="clear" w:color="auto" w:fill="FFFFFF"/>
            <w:vAlign w:val="center"/>
          </w:tcPr>
          <w:p w14:paraId="350366C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3A26B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797CCDD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昨日收盘价</w:t>
            </w:r>
          </w:p>
        </w:tc>
        <w:tc>
          <w:tcPr>
            <w:tcW w:w="3917" w:type="dxa"/>
            <w:shd w:val="clear" w:color="auto" w:fill="FFFFFF"/>
            <w:vAlign w:val="center"/>
          </w:tcPr>
          <w:p w14:paraId="3556AEC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7F11E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20572000">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当日开盘价</w:t>
            </w:r>
          </w:p>
        </w:tc>
        <w:tc>
          <w:tcPr>
            <w:tcW w:w="3917" w:type="dxa"/>
            <w:shd w:val="clear" w:color="auto" w:fill="FFFFFF"/>
            <w:vAlign w:val="center"/>
          </w:tcPr>
          <w:p w14:paraId="012BD72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3585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082F271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当日最高价</w:t>
            </w:r>
          </w:p>
        </w:tc>
        <w:tc>
          <w:tcPr>
            <w:tcW w:w="3917" w:type="dxa"/>
            <w:shd w:val="clear" w:color="auto" w:fill="FFFFFF"/>
            <w:vAlign w:val="center"/>
          </w:tcPr>
          <w:p w14:paraId="7F909CDC">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3A0A9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3B89E742">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当日最低价</w:t>
            </w:r>
          </w:p>
        </w:tc>
        <w:tc>
          <w:tcPr>
            <w:tcW w:w="3917" w:type="dxa"/>
            <w:shd w:val="clear" w:color="auto" w:fill="FFFFFF"/>
            <w:vAlign w:val="center"/>
          </w:tcPr>
          <w:p w14:paraId="386B3F3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453DE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41230E80">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当日最新价</w:t>
            </w:r>
          </w:p>
        </w:tc>
        <w:tc>
          <w:tcPr>
            <w:tcW w:w="3917" w:type="dxa"/>
            <w:shd w:val="clear" w:color="auto" w:fill="FFFFFF"/>
            <w:vAlign w:val="center"/>
          </w:tcPr>
          <w:p w14:paraId="1B70B16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076F1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15ED78EE">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当日收盘价</w:t>
            </w:r>
          </w:p>
        </w:tc>
        <w:tc>
          <w:tcPr>
            <w:tcW w:w="3917" w:type="dxa"/>
            <w:shd w:val="clear" w:color="auto" w:fill="FFFFFF"/>
            <w:vAlign w:val="center"/>
          </w:tcPr>
          <w:p w14:paraId="4584633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56802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2E0F5EE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当日加权平均价</w:t>
            </w:r>
          </w:p>
        </w:tc>
        <w:tc>
          <w:tcPr>
            <w:tcW w:w="3917" w:type="dxa"/>
            <w:shd w:val="clear" w:color="auto" w:fill="FFFFFF"/>
            <w:vAlign w:val="center"/>
          </w:tcPr>
          <w:p w14:paraId="160356A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54CB3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1A0287E0">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当日累计成交数量</w:t>
            </w:r>
          </w:p>
        </w:tc>
        <w:tc>
          <w:tcPr>
            <w:tcW w:w="3917" w:type="dxa"/>
            <w:shd w:val="clear" w:color="auto" w:fill="FFFFFF"/>
            <w:vAlign w:val="center"/>
          </w:tcPr>
          <w:p w14:paraId="6AD781C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单位：元（整数）</w:t>
            </w:r>
          </w:p>
        </w:tc>
      </w:tr>
      <w:tr w14:paraId="5805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3FD39AE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当日累计成交金额</w:t>
            </w:r>
          </w:p>
        </w:tc>
        <w:tc>
          <w:tcPr>
            <w:tcW w:w="3917" w:type="dxa"/>
            <w:shd w:val="clear" w:color="auto" w:fill="FFFFFF"/>
            <w:vAlign w:val="center"/>
          </w:tcPr>
          <w:p w14:paraId="38B187C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r w14:paraId="7899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1FB74DAE">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当日累计成交笔数</w:t>
            </w:r>
          </w:p>
        </w:tc>
        <w:tc>
          <w:tcPr>
            <w:tcW w:w="3917" w:type="dxa"/>
            <w:shd w:val="clear" w:color="auto" w:fill="FFFFFF"/>
            <w:vAlign w:val="center"/>
          </w:tcPr>
          <w:p w14:paraId="08FAAE85">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单位：笔</w:t>
            </w:r>
          </w:p>
        </w:tc>
      </w:tr>
    </w:tbl>
    <w:p w14:paraId="2698FD2C">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（2）通用回购</w:t>
      </w:r>
    </w:p>
    <w:p w14:paraId="56A509BD">
      <w:pPr>
        <w:spacing w:line="600" w:lineRule="exact"/>
        <w:ind w:firstLine="564" w:firstLineChars="188"/>
        <w:rPr>
          <w:rFonts w:ascii="仿宋_GB2312" w:hAnsi="宋体" w:eastAsia="仿宋_GB2312"/>
          <w:sz w:val="30"/>
          <w:szCs w:val="30"/>
        </w:rPr>
      </w:pPr>
      <w:r>
        <w:rPr>
          <w:rFonts w:hint="eastAsia" w:ascii="仿宋_GB2312" w:hAnsi="宋体" w:eastAsia="仿宋_GB2312"/>
          <w:sz w:val="30"/>
          <w:szCs w:val="30"/>
        </w:rPr>
        <w:t>对于通用回购，本所实时发布债券投资者通过匹配成交方式达成的成交统计行情，成交统计行情按回购代码进行成交统计。</w:t>
      </w:r>
    </w:p>
    <w:p w14:paraId="3671D7C5">
      <w:pPr>
        <w:spacing w:line="600" w:lineRule="exact"/>
        <w:ind w:firstLine="564" w:firstLineChars="188"/>
        <w:rPr>
          <w:rFonts w:ascii="仿宋_GB2312" w:hAnsi="宋体" w:eastAsia="仿宋_GB2312"/>
          <w:sz w:val="30"/>
          <w:szCs w:val="30"/>
        </w:rPr>
      </w:pPr>
      <w:r>
        <w:rPr>
          <w:rFonts w:hint="eastAsia" w:ascii="仿宋_GB2312" w:hAnsi="宋体" w:eastAsia="仿宋_GB2312"/>
          <w:sz w:val="30"/>
          <w:szCs w:val="30"/>
        </w:rPr>
        <w:t>通用回购的成交统计行情包括昨日收盘利率、昨日加权平均利率、当日开盘利率、当日最高利率、当日最低利率、当日最新利率、当日收盘利率、当日加权平均利率、当日累计成交金额、等信息</w:t>
      </w:r>
      <w:r>
        <w:rPr>
          <w:rFonts w:hint="eastAsia" w:ascii="仿宋_GB2312" w:hAnsi="Calibri" w:eastAsia="仿宋_GB2312"/>
          <w:sz w:val="30"/>
          <w:szCs w:val="30"/>
        </w:rPr>
        <w:t>。具体如下：</w:t>
      </w:r>
    </w:p>
    <w:tbl>
      <w:tblPr>
        <w:tblStyle w:val="43"/>
        <w:tblW w:w="7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3560"/>
        <w:gridCol w:w="3917"/>
      </w:tblGrid>
      <w:tr w14:paraId="7E026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560" w:type="dxa"/>
            <w:shd w:val="clear" w:color="auto" w:fill="FFFFFF"/>
            <w:vAlign w:val="center"/>
          </w:tcPr>
          <w:p w14:paraId="09FB53F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3917" w:type="dxa"/>
            <w:shd w:val="clear" w:color="auto" w:fill="FFFFFF"/>
            <w:vAlign w:val="center"/>
          </w:tcPr>
          <w:p w14:paraId="42382692">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65A69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3943E09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回购代码</w:t>
            </w:r>
          </w:p>
        </w:tc>
        <w:tc>
          <w:tcPr>
            <w:tcW w:w="3917" w:type="dxa"/>
            <w:shd w:val="clear" w:color="auto" w:fill="FFFFFF"/>
            <w:vAlign w:val="center"/>
          </w:tcPr>
          <w:p w14:paraId="311DF20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通用回购代码</w:t>
            </w:r>
          </w:p>
        </w:tc>
      </w:tr>
      <w:tr w14:paraId="08AA8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4C4089DC">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回购简称</w:t>
            </w:r>
          </w:p>
        </w:tc>
        <w:tc>
          <w:tcPr>
            <w:tcW w:w="3917" w:type="dxa"/>
            <w:shd w:val="clear" w:color="auto" w:fill="FFFFFF"/>
            <w:vAlign w:val="center"/>
          </w:tcPr>
          <w:p w14:paraId="258E7F23">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通用回购简称</w:t>
            </w:r>
          </w:p>
        </w:tc>
      </w:tr>
      <w:tr w14:paraId="4140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7AA0A9A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交易日期</w:t>
            </w:r>
          </w:p>
        </w:tc>
        <w:tc>
          <w:tcPr>
            <w:tcW w:w="3917" w:type="dxa"/>
            <w:shd w:val="clear" w:color="auto" w:fill="FFFFFF"/>
            <w:vAlign w:val="center"/>
          </w:tcPr>
          <w:p w14:paraId="15F044CF">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w:t>
            </w:r>
          </w:p>
        </w:tc>
      </w:tr>
      <w:tr w14:paraId="05490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01BC37AD">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交易时间</w:t>
            </w:r>
          </w:p>
        </w:tc>
        <w:tc>
          <w:tcPr>
            <w:tcW w:w="3917" w:type="dxa"/>
            <w:shd w:val="clear" w:color="auto" w:fill="FFFFFF"/>
            <w:vAlign w:val="center"/>
          </w:tcPr>
          <w:p w14:paraId="6ACF119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5931D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5EC0768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最新成交时间</w:t>
            </w:r>
          </w:p>
        </w:tc>
        <w:tc>
          <w:tcPr>
            <w:tcW w:w="3917" w:type="dxa"/>
            <w:shd w:val="clear" w:color="auto" w:fill="FFFFFF"/>
            <w:vAlign w:val="center"/>
          </w:tcPr>
          <w:p w14:paraId="156812B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19681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55EEA6E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昨日收盘利率</w:t>
            </w:r>
          </w:p>
        </w:tc>
        <w:tc>
          <w:tcPr>
            <w:tcW w:w="3917" w:type="dxa"/>
            <w:shd w:val="clear" w:color="auto" w:fill="FFFFFF"/>
            <w:vAlign w:val="center"/>
          </w:tcPr>
          <w:p w14:paraId="3E43661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67AA7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5796D87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昨日加权平均利率</w:t>
            </w:r>
          </w:p>
        </w:tc>
        <w:tc>
          <w:tcPr>
            <w:tcW w:w="3917" w:type="dxa"/>
            <w:shd w:val="clear" w:color="auto" w:fill="FFFFFF"/>
            <w:vAlign w:val="center"/>
          </w:tcPr>
          <w:p w14:paraId="54F5833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02264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119BA05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当日开盘利率</w:t>
            </w:r>
          </w:p>
        </w:tc>
        <w:tc>
          <w:tcPr>
            <w:tcW w:w="3917" w:type="dxa"/>
            <w:shd w:val="clear" w:color="auto" w:fill="FFFFFF"/>
            <w:vAlign w:val="center"/>
          </w:tcPr>
          <w:p w14:paraId="56C94C7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6078D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147E1E2C">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当日最高利率</w:t>
            </w:r>
          </w:p>
        </w:tc>
        <w:tc>
          <w:tcPr>
            <w:tcW w:w="3917" w:type="dxa"/>
            <w:shd w:val="clear" w:color="auto" w:fill="FFFFFF"/>
            <w:vAlign w:val="center"/>
          </w:tcPr>
          <w:p w14:paraId="4A6F233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34B30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75E8E757">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当日最低利率</w:t>
            </w:r>
          </w:p>
        </w:tc>
        <w:tc>
          <w:tcPr>
            <w:tcW w:w="3917" w:type="dxa"/>
            <w:shd w:val="clear" w:color="auto" w:fill="FFFFFF"/>
          </w:tcPr>
          <w:p w14:paraId="6D24CFEF">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34B4B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4FFE797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当日最新利率</w:t>
            </w:r>
          </w:p>
        </w:tc>
        <w:tc>
          <w:tcPr>
            <w:tcW w:w="3917" w:type="dxa"/>
            <w:shd w:val="clear" w:color="auto" w:fill="FFFFFF"/>
          </w:tcPr>
          <w:p w14:paraId="7A70B85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4E40B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1DE7010C">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当日收盘利率</w:t>
            </w:r>
          </w:p>
        </w:tc>
        <w:tc>
          <w:tcPr>
            <w:tcW w:w="3917" w:type="dxa"/>
            <w:shd w:val="clear" w:color="auto" w:fill="FFFFFF"/>
            <w:vAlign w:val="center"/>
          </w:tcPr>
          <w:p w14:paraId="3C8881B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44564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377F984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当日加权平均利率</w:t>
            </w:r>
          </w:p>
        </w:tc>
        <w:tc>
          <w:tcPr>
            <w:tcW w:w="3917" w:type="dxa"/>
            <w:shd w:val="clear" w:color="auto" w:fill="FFFFFF"/>
          </w:tcPr>
          <w:p w14:paraId="0DBA60C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6B894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3D0090A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当日累计成交金额</w:t>
            </w:r>
          </w:p>
        </w:tc>
        <w:tc>
          <w:tcPr>
            <w:tcW w:w="3917" w:type="dxa"/>
            <w:shd w:val="clear" w:color="auto" w:fill="FFFFFF"/>
            <w:vAlign w:val="center"/>
          </w:tcPr>
          <w:p w14:paraId="6FEBDA2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bl>
    <w:p w14:paraId="2F58E05C">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（3）协议回购</w:t>
      </w:r>
    </w:p>
    <w:p w14:paraId="4BD17130">
      <w:pPr>
        <w:widowControl/>
        <w:spacing w:line="600" w:lineRule="exact"/>
        <w:ind w:firstLine="564" w:firstLineChars="188"/>
        <w:jc w:val="left"/>
        <w:rPr>
          <w:rFonts w:ascii="仿宋_GB2312" w:hAnsi="宋体" w:eastAsia="仿宋_GB2312" w:cs="宋体"/>
          <w:kern w:val="0"/>
          <w:sz w:val="30"/>
          <w:szCs w:val="30"/>
        </w:rPr>
      </w:pPr>
      <w:r>
        <w:rPr>
          <w:rFonts w:hint="eastAsia" w:ascii="仿宋_GB2312" w:hAnsi="宋体" w:eastAsia="仿宋_GB2312"/>
          <w:sz w:val="30"/>
          <w:szCs w:val="30"/>
        </w:rPr>
        <w:t>对于协议回购，本所实时发布债券投资者通过协商成交方式达成的成交统计行情。</w:t>
      </w:r>
      <w:r>
        <w:rPr>
          <w:rFonts w:hint="eastAsia" w:ascii="仿宋_GB2312" w:hAnsi="宋体" w:eastAsia="仿宋_GB2312" w:cs="宋体"/>
          <w:kern w:val="0"/>
          <w:sz w:val="30"/>
          <w:szCs w:val="30"/>
        </w:rPr>
        <w:t>协议回购</w:t>
      </w:r>
      <w:r>
        <w:rPr>
          <w:rFonts w:hint="eastAsia" w:ascii="仿宋_GB2312" w:hAnsi="宋体" w:eastAsia="仿宋_GB2312"/>
          <w:sz w:val="30"/>
          <w:szCs w:val="30"/>
        </w:rPr>
        <w:t>按回购期限</w:t>
      </w:r>
      <w:r>
        <w:rPr>
          <w:rFonts w:hint="eastAsia" w:ascii="仿宋_GB2312" w:hAnsi="宋体" w:eastAsia="仿宋_GB2312" w:cs="宋体"/>
          <w:kern w:val="0"/>
          <w:sz w:val="30"/>
          <w:szCs w:val="30"/>
        </w:rPr>
        <w:t>分九个类型</w:t>
      </w:r>
      <w:r>
        <w:rPr>
          <w:rFonts w:hint="eastAsia" w:ascii="仿宋_GB2312" w:hAnsi="宋体" w:eastAsia="仿宋_GB2312"/>
          <w:sz w:val="30"/>
          <w:szCs w:val="30"/>
        </w:rPr>
        <w:t>进行成交统计。</w:t>
      </w:r>
    </w:p>
    <w:p w14:paraId="06C30C6B">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协议回购的成交统计行情包括回购期限、昨日收盘利率、昨日加权平均利率、</w:t>
      </w:r>
      <w:r>
        <w:rPr>
          <w:rFonts w:hint="eastAsia" w:ascii="仿宋_GB2312" w:hAnsi="宋体" w:eastAsia="仿宋_GB2312"/>
          <w:sz w:val="30"/>
          <w:szCs w:val="30"/>
          <w:highlight w:val="none"/>
        </w:rPr>
        <w:t>当日开盘利率、当日最高利率、当日最低利率</w:t>
      </w:r>
      <w:r>
        <w:rPr>
          <w:rFonts w:hint="eastAsia" w:ascii="仿宋_GB2312" w:hAnsi="宋体" w:eastAsia="仿宋_GB2312"/>
          <w:sz w:val="30"/>
          <w:szCs w:val="30"/>
        </w:rPr>
        <w:t>、当日最新利率、</w:t>
      </w:r>
      <w:r>
        <w:rPr>
          <w:rFonts w:hint="eastAsia" w:ascii="仿宋_GB2312" w:hAnsi="宋体" w:eastAsia="仿宋_GB2312"/>
          <w:sz w:val="30"/>
          <w:szCs w:val="30"/>
          <w:highlight w:val="none"/>
        </w:rPr>
        <w:t>当日收盘利率</w:t>
      </w:r>
      <w:r>
        <w:rPr>
          <w:rFonts w:hint="eastAsia" w:ascii="仿宋_GB2312" w:hAnsi="宋体" w:eastAsia="仿宋_GB2312"/>
          <w:sz w:val="30"/>
          <w:szCs w:val="30"/>
        </w:rPr>
        <w:t>、当日加权平均利率、当日累计成交金额、当日累计成交笔数等信息。具体如下：</w:t>
      </w:r>
    </w:p>
    <w:tbl>
      <w:tblPr>
        <w:tblStyle w:val="43"/>
        <w:tblW w:w="7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3560"/>
        <w:gridCol w:w="3917"/>
      </w:tblGrid>
      <w:tr w14:paraId="42267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560" w:type="dxa"/>
            <w:shd w:val="clear" w:color="auto" w:fill="FFFFFF"/>
            <w:vAlign w:val="center"/>
          </w:tcPr>
          <w:p w14:paraId="5BEDA9A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3917" w:type="dxa"/>
            <w:shd w:val="clear" w:color="auto" w:fill="FFFFFF"/>
            <w:vAlign w:val="center"/>
          </w:tcPr>
          <w:p w14:paraId="71EA28F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28224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52F6D99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交易日期</w:t>
            </w:r>
          </w:p>
        </w:tc>
        <w:tc>
          <w:tcPr>
            <w:tcW w:w="3917" w:type="dxa"/>
            <w:shd w:val="clear" w:color="auto" w:fill="FFFFFF"/>
            <w:vAlign w:val="center"/>
          </w:tcPr>
          <w:p w14:paraId="22D224C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w:t>
            </w:r>
          </w:p>
        </w:tc>
      </w:tr>
      <w:tr w14:paraId="41306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126B6CC8">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最新成交时间</w:t>
            </w:r>
          </w:p>
        </w:tc>
        <w:tc>
          <w:tcPr>
            <w:tcW w:w="3917" w:type="dxa"/>
            <w:shd w:val="clear" w:color="auto" w:fill="FFFFFF"/>
            <w:vAlign w:val="center"/>
          </w:tcPr>
          <w:p w14:paraId="46C7FBB1">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时分秒</w:t>
            </w:r>
          </w:p>
        </w:tc>
      </w:tr>
      <w:tr w14:paraId="1C044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36B28526">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期限</w:t>
            </w:r>
          </w:p>
        </w:tc>
        <w:tc>
          <w:tcPr>
            <w:tcW w:w="3917" w:type="dxa"/>
            <w:shd w:val="clear" w:color="auto" w:fill="FFFFFF"/>
            <w:vAlign w:val="center"/>
          </w:tcPr>
          <w:p w14:paraId="4516018A">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单位：天</w:t>
            </w:r>
          </w:p>
        </w:tc>
      </w:tr>
      <w:tr w14:paraId="283A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1E83F63A">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昨日收盘利率</w:t>
            </w:r>
          </w:p>
        </w:tc>
        <w:tc>
          <w:tcPr>
            <w:tcW w:w="3917" w:type="dxa"/>
            <w:shd w:val="clear" w:color="auto" w:fill="FFFFFF"/>
            <w:vAlign w:val="center"/>
          </w:tcPr>
          <w:p w14:paraId="2C191FCC">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76A06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20A0A45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昨日加权平均利率</w:t>
            </w:r>
          </w:p>
        </w:tc>
        <w:tc>
          <w:tcPr>
            <w:tcW w:w="3917" w:type="dxa"/>
            <w:shd w:val="clear" w:color="auto" w:fill="FFFFFF"/>
            <w:vAlign w:val="center"/>
          </w:tcPr>
          <w:p w14:paraId="4984DA5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7E918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401F8E1A">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当日开盘利率</w:t>
            </w:r>
          </w:p>
        </w:tc>
        <w:tc>
          <w:tcPr>
            <w:tcW w:w="3917" w:type="dxa"/>
            <w:shd w:val="clear" w:color="auto" w:fill="FFFFFF"/>
            <w:vAlign w:val="center"/>
          </w:tcPr>
          <w:p w14:paraId="64F3B911">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百分数%（</w:t>
            </w:r>
            <w:r>
              <w:rPr>
                <w:rFonts w:ascii="仿宋_GB2312" w:eastAsia="仿宋_GB2312"/>
                <w:bCs/>
                <w:iCs/>
                <w:kern w:val="0"/>
                <w:sz w:val="24"/>
                <w:szCs w:val="24"/>
                <w:highlight w:val="none"/>
              </w:rPr>
              <w:t>3</w:t>
            </w:r>
            <w:r>
              <w:rPr>
                <w:rFonts w:hint="eastAsia" w:ascii="仿宋_GB2312" w:eastAsia="仿宋_GB2312"/>
                <w:bCs/>
                <w:iCs/>
                <w:kern w:val="0"/>
                <w:sz w:val="24"/>
                <w:szCs w:val="24"/>
                <w:highlight w:val="none"/>
              </w:rPr>
              <w:t>位小数）</w:t>
            </w:r>
          </w:p>
        </w:tc>
      </w:tr>
      <w:tr w14:paraId="4D6DE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2DB58475">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当日收盘利率</w:t>
            </w:r>
          </w:p>
        </w:tc>
        <w:tc>
          <w:tcPr>
            <w:tcW w:w="3917" w:type="dxa"/>
            <w:shd w:val="clear" w:color="auto" w:fill="FFFFFF"/>
            <w:vAlign w:val="center"/>
          </w:tcPr>
          <w:p w14:paraId="7827EAA8">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百分数%（</w:t>
            </w:r>
            <w:r>
              <w:rPr>
                <w:rFonts w:ascii="仿宋_GB2312" w:eastAsia="仿宋_GB2312"/>
                <w:bCs/>
                <w:iCs/>
                <w:kern w:val="0"/>
                <w:sz w:val="24"/>
                <w:szCs w:val="24"/>
                <w:highlight w:val="none"/>
              </w:rPr>
              <w:t>3</w:t>
            </w:r>
            <w:r>
              <w:rPr>
                <w:rFonts w:hint="eastAsia" w:ascii="仿宋_GB2312" w:eastAsia="仿宋_GB2312"/>
                <w:bCs/>
                <w:iCs/>
                <w:kern w:val="0"/>
                <w:sz w:val="24"/>
                <w:szCs w:val="24"/>
                <w:highlight w:val="none"/>
              </w:rPr>
              <w:t>位小数）</w:t>
            </w:r>
          </w:p>
        </w:tc>
      </w:tr>
      <w:tr w14:paraId="68B78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556D9E7B">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当日最高利率</w:t>
            </w:r>
          </w:p>
        </w:tc>
        <w:tc>
          <w:tcPr>
            <w:tcW w:w="3917" w:type="dxa"/>
            <w:shd w:val="clear" w:color="auto" w:fill="FFFFFF"/>
            <w:vAlign w:val="center"/>
          </w:tcPr>
          <w:p w14:paraId="2E524015">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百分数%（</w:t>
            </w:r>
            <w:r>
              <w:rPr>
                <w:rFonts w:ascii="仿宋_GB2312" w:eastAsia="仿宋_GB2312"/>
                <w:bCs/>
                <w:iCs/>
                <w:kern w:val="0"/>
                <w:sz w:val="24"/>
                <w:szCs w:val="24"/>
                <w:highlight w:val="none"/>
              </w:rPr>
              <w:t>3</w:t>
            </w:r>
            <w:r>
              <w:rPr>
                <w:rFonts w:hint="eastAsia" w:ascii="仿宋_GB2312" w:eastAsia="仿宋_GB2312"/>
                <w:bCs/>
                <w:iCs/>
                <w:kern w:val="0"/>
                <w:sz w:val="24"/>
                <w:szCs w:val="24"/>
                <w:highlight w:val="none"/>
              </w:rPr>
              <w:t>位小数）</w:t>
            </w:r>
          </w:p>
        </w:tc>
      </w:tr>
      <w:tr w14:paraId="5935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4BA6B437">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当日最低利率</w:t>
            </w:r>
          </w:p>
        </w:tc>
        <w:tc>
          <w:tcPr>
            <w:tcW w:w="3917" w:type="dxa"/>
            <w:shd w:val="clear" w:color="auto" w:fill="FFFFFF"/>
          </w:tcPr>
          <w:p w14:paraId="681916E9">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百分数%（</w:t>
            </w:r>
            <w:r>
              <w:rPr>
                <w:rFonts w:ascii="仿宋_GB2312" w:eastAsia="仿宋_GB2312"/>
                <w:bCs/>
                <w:iCs/>
                <w:kern w:val="0"/>
                <w:sz w:val="24"/>
                <w:szCs w:val="24"/>
                <w:highlight w:val="none"/>
              </w:rPr>
              <w:t>3</w:t>
            </w:r>
            <w:r>
              <w:rPr>
                <w:rFonts w:hint="eastAsia" w:ascii="仿宋_GB2312" w:eastAsia="仿宋_GB2312"/>
                <w:bCs/>
                <w:iCs/>
                <w:kern w:val="0"/>
                <w:sz w:val="24"/>
                <w:szCs w:val="24"/>
                <w:highlight w:val="none"/>
              </w:rPr>
              <w:t>位小数）</w:t>
            </w:r>
          </w:p>
        </w:tc>
      </w:tr>
      <w:tr w14:paraId="4CDD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5D4F6E1E">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当日最新利率</w:t>
            </w:r>
          </w:p>
        </w:tc>
        <w:tc>
          <w:tcPr>
            <w:tcW w:w="3917" w:type="dxa"/>
            <w:shd w:val="clear" w:color="auto" w:fill="FFFFFF"/>
          </w:tcPr>
          <w:p w14:paraId="11A8B72B">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0FD14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0011F1F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当日加权平均利率</w:t>
            </w:r>
          </w:p>
        </w:tc>
        <w:tc>
          <w:tcPr>
            <w:tcW w:w="3917" w:type="dxa"/>
            <w:shd w:val="clear" w:color="auto" w:fill="FFFFFF"/>
          </w:tcPr>
          <w:p w14:paraId="7FB55B2A">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2DD6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1B9F1C32">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当日累计成交金额</w:t>
            </w:r>
          </w:p>
        </w:tc>
        <w:tc>
          <w:tcPr>
            <w:tcW w:w="3917" w:type="dxa"/>
            <w:shd w:val="clear" w:color="auto" w:fill="FFFFFF"/>
            <w:vAlign w:val="center"/>
          </w:tcPr>
          <w:p w14:paraId="40EA93E1">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r w14:paraId="28A2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46AB561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当日累计成交笔数</w:t>
            </w:r>
          </w:p>
        </w:tc>
        <w:tc>
          <w:tcPr>
            <w:tcW w:w="3917" w:type="dxa"/>
            <w:shd w:val="clear" w:color="auto" w:fill="FFFFFF"/>
            <w:vAlign w:val="center"/>
          </w:tcPr>
          <w:p w14:paraId="59F7744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单位：笔</w:t>
            </w:r>
          </w:p>
        </w:tc>
      </w:tr>
    </w:tbl>
    <w:p w14:paraId="5301EEF6">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（4）三方回购</w:t>
      </w:r>
    </w:p>
    <w:p w14:paraId="00EB052C">
      <w:pPr>
        <w:widowControl/>
        <w:spacing w:line="600" w:lineRule="exact"/>
        <w:ind w:firstLine="600" w:firstLineChars="200"/>
        <w:rPr>
          <w:rFonts w:ascii="仿宋_GB2312" w:hAnsi="宋体" w:eastAsia="仿宋_GB2312" w:cs="宋体"/>
          <w:kern w:val="0"/>
          <w:sz w:val="30"/>
          <w:szCs w:val="30"/>
        </w:rPr>
      </w:pPr>
      <w:r>
        <w:rPr>
          <w:rFonts w:hint="eastAsia" w:ascii="仿宋_GB2312" w:hAnsi="宋体" w:eastAsia="仿宋_GB2312"/>
          <w:sz w:val="30"/>
          <w:szCs w:val="30"/>
        </w:rPr>
        <w:t>对于三方回购，本所实时发布债券投资者通过协商成交方式达成的成交统计行情。</w:t>
      </w:r>
      <w:r>
        <w:rPr>
          <w:rFonts w:hint="eastAsia" w:ascii="仿宋_GB2312" w:hAnsi="宋体" w:eastAsia="仿宋_GB2312" w:cs="宋体"/>
          <w:kern w:val="0"/>
          <w:sz w:val="30"/>
          <w:szCs w:val="30"/>
        </w:rPr>
        <w:t>三方回购的</w:t>
      </w:r>
      <w:r>
        <w:rPr>
          <w:rFonts w:hint="eastAsia" w:ascii="仿宋_GB2312" w:hAnsi="宋体" w:eastAsia="仿宋_GB2312"/>
          <w:sz w:val="30"/>
          <w:szCs w:val="30"/>
        </w:rPr>
        <w:t>按回购期限</w:t>
      </w:r>
      <w:r>
        <w:rPr>
          <w:rFonts w:hint="eastAsia" w:ascii="仿宋_GB2312" w:hAnsi="宋体" w:eastAsia="仿宋_GB2312" w:cs="宋体"/>
          <w:kern w:val="0"/>
          <w:sz w:val="30"/>
          <w:szCs w:val="30"/>
        </w:rPr>
        <w:t>分九个类型</w:t>
      </w:r>
      <w:r>
        <w:rPr>
          <w:rFonts w:hint="eastAsia" w:ascii="仿宋_GB2312" w:hAnsi="宋体" w:eastAsia="仿宋_GB2312"/>
          <w:sz w:val="30"/>
          <w:szCs w:val="30"/>
        </w:rPr>
        <w:t>进行成交统计。九个类型对应代码分别为</w:t>
      </w:r>
      <w:r>
        <w:rPr>
          <w:rFonts w:ascii="仿宋_GB2312" w:hAnsi="宋体" w:eastAsia="仿宋_GB2312"/>
          <w:sz w:val="30"/>
          <w:szCs w:val="30"/>
        </w:rPr>
        <w:t>207001</w:t>
      </w:r>
      <w:r>
        <w:rPr>
          <w:rFonts w:hint="eastAsia" w:ascii="仿宋_GB2312" w:hAnsi="宋体" w:eastAsia="仿宋_GB2312"/>
          <w:sz w:val="30"/>
          <w:szCs w:val="30"/>
        </w:rPr>
        <w:t>、</w:t>
      </w:r>
      <w:r>
        <w:rPr>
          <w:rFonts w:ascii="仿宋_GB2312" w:hAnsi="宋体" w:eastAsia="仿宋_GB2312"/>
          <w:sz w:val="30"/>
          <w:szCs w:val="30"/>
        </w:rPr>
        <w:t>207007</w:t>
      </w:r>
      <w:r>
        <w:rPr>
          <w:rFonts w:hint="eastAsia" w:ascii="仿宋_GB2312" w:hAnsi="宋体" w:eastAsia="仿宋_GB2312"/>
          <w:sz w:val="30"/>
          <w:szCs w:val="30"/>
        </w:rPr>
        <w:t>、</w:t>
      </w:r>
      <w:r>
        <w:rPr>
          <w:rFonts w:ascii="仿宋_GB2312" w:hAnsi="宋体" w:eastAsia="仿宋_GB2312"/>
          <w:sz w:val="30"/>
          <w:szCs w:val="30"/>
        </w:rPr>
        <w:t>207014</w:t>
      </w:r>
      <w:r>
        <w:rPr>
          <w:rFonts w:hint="eastAsia" w:ascii="仿宋_GB2312" w:hAnsi="宋体" w:eastAsia="仿宋_GB2312"/>
          <w:sz w:val="30"/>
          <w:szCs w:val="30"/>
        </w:rPr>
        <w:t>、</w:t>
      </w:r>
      <w:r>
        <w:rPr>
          <w:rFonts w:ascii="仿宋_GB2312" w:hAnsi="宋体" w:eastAsia="仿宋_GB2312"/>
          <w:sz w:val="30"/>
          <w:szCs w:val="30"/>
        </w:rPr>
        <w:t>207021</w:t>
      </w:r>
      <w:r>
        <w:rPr>
          <w:rFonts w:hint="eastAsia" w:ascii="仿宋_GB2312" w:hAnsi="宋体" w:eastAsia="仿宋_GB2312"/>
          <w:sz w:val="30"/>
          <w:szCs w:val="30"/>
        </w:rPr>
        <w:t>、</w:t>
      </w:r>
      <w:r>
        <w:rPr>
          <w:rFonts w:ascii="仿宋_GB2312" w:hAnsi="宋体" w:eastAsia="仿宋_GB2312"/>
          <w:sz w:val="30"/>
          <w:szCs w:val="30"/>
        </w:rPr>
        <w:t>207030</w:t>
      </w:r>
      <w:r>
        <w:rPr>
          <w:rFonts w:hint="eastAsia" w:ascii="仿宋_GB2312" w:hAnsi="宋体" w:eastAsia="仿宋_GB2312"/>
          <w:sz w:val="30"/>
          <w:szCs w:val="30"/>
        </w:rPr>
        <w:t>、</w:t>
      </w:r>
      <w:r>
        <w:rPr>
          <w:rFonts w:ascii="仿宋_GB2312" w:hAnsi="宋体" w:eastAsia="仿宋_GB2312"/>
          <w:sz w:val="30"/>
          <w:szCs w:val="30"/>
        </w:rPr>
        <w:t>207090</w:t>
      </w:r>
      <w:r>
        <w:rPr>
          <w:rFonts w:hint="eastAsia" w:ascii="仿宋_GB2312" w:hAnsi="宋体" w:eastAsia="仿宋_GB2312"/>
          <w:sz w:val="30"/>
          <w:szCs w:val="30"/>
        </w:rPr>
        <w:t>、</w:t>
      </w:r>
      <w:r>
        <w:rPr>
          <w:rFonts w:ascii="仿宋_GB2312" w:hAnsi="宋体" w:eastAsia="仿宋_GB2312"/>
          <w:sz w:val="30"/>
          <w:szCs w:val="30"/>
        </w:rPr>
        <w:t>207180</w:t>
      </w:r>
      <w:r>
        <w:rPr>
          <w:rFonts w:hint="eastAsia" w:ascii="仿宋_GB2312" w:hAnsi="宋体" w:eastAsia="仿宋_GB2312"/>
          <w:sz w:val="30"/>
          <w:szCs w:val="30"/>
        </w:rPr>
        <w:t>、</w:t>
      </w:r>
      <w:r>
        <w:rPr>
          <w:rFonts w:ascii="仿宋_GB2312" w:hAnsi="宋体" w:eastAsia="仿宋_GB2312"/>
          <w:sz w:val="30"/>
          <w:szCs w:val="30"/>
        </w:rPr>
        <w:t>207270</w:t>
      </w:r>
      <w:r>
        <w:rPr>
          <w:rFonts w:hint="eastAsia" w:ascii="仿宋_GB2312" w:hAnsi="宋体" w:eastAsia="仿宋_GB2312"/>
          <w:sz w:val="30"/>
          <w:szCs w:val="30"/>
        </w:rPr>
        <w:t>、</w:t>
      </w:r>
      <w:r>
        <w:rPr>
          <w:rFonts w:ascii="仿宋_GB2312" w:hAnsi="宋体" w:eastAsia="仿宋_GB2312"/>
          <w:sz w:val="30"/>
          <w:szCs w:val="30"/>
        </w:rPr>
        <w:t>207365</w:t>
      </w:r>
      <w:r>
        <w:rPr>
          <w:rFonts w:hint="eastAsia" w:ascii="仿宋_GB2312" w:hAnsi="宋体" w:eastAsia="仿宋_GB2312"/>
          <w:sz w:val="30"/>
          <w:szCs w:val="30"/>
        </w:rPr>
        <w:t>，简称分别为</w:t>
      </w:r>
      <w:r>
        <w:rPr>
          <w:rFonts w:ascii="仿宋_GB2312" w:hAnsi="宋体" w:eastAsia="仿宋_GB2312"/>
          <w:sz w:val="30"/>
          <w:szCs w:val="30"/>
        </w:rPr>
        <w:t>TPR001</w:t>
      </w:r>
      <w:r>
        <w:rPr>
          <w:rFonts w:hint="eastAsia" w:ascii="仿宋_GB2312" w:hAnsi="宋体" w:eastAsia="仿宋_GB2312"/>
          <w:sz w:val="30"/>
          <w:szCs w:val="30"/>
        </w:rPr>
        <w:t>、</w:t>
      </w:r>
      <w:r>
        <w:rPr>
          <w:rFonts w:ascii="仿宋_GB2312" w:hAnsi="宋体" w:eastAsia="仿宋_GB2312"/>
          <w:sz w:val="30"/>
          <w:szCs w:val="30"/>
        </w:rPr>
        <w:t>TPR007</w:t>
      </w:r>
      <w:r>
        <w:rPr>
          <w:rFonts w:hint="eastAsia" w:ascii="仿宋_GB2312" w:hAnsi="宋体" w:eastAsia="仿宋_GB2312"/>
          <w:sz w:val="30"/>
          <w:szCs w:val="30"/>
        </w:rPr>
        <w:t>、</w:t>
      </w:r>
      <w:r>
        <w:rPr>
          <w:rFonts w:ascii="仿宋_GB2312" w:hAnsi="宋体" w:eastAsia="仿宋_GB2312"/>
          <w:sz w:val="30"/>
          <w:szCs w:val="30"/>
        </w:rPr>
        <w:t>TPR014</w:t>
      </w:r>
      <w:r>
        <w:rPr>
          <w:rFonts w:hint="eastAsia" w:ascii="仿宋_GB2312" w:hAnsi="宋体" w:eastAsia="仿宋_GB2312"/>
          <w:sz w:val="30"/>
          <w:szCs w:val="30"/>
        </w:rPr>
        <w:t>、</w:t>
      </w:r>
      <w:r>
        <w:rPr>
          <w:rFonts w:ascii="仿宋_GB2312" w:hAnsi="宋体" w:eastAsia="仿宋_GB2312"/>
          <w:sz w:val="30"/>
          <w:szCs w:val="30"/>
        </w:rPr>
        <w:t>TPR021</w:t>
      </w:r>
      <w:r>
        <w:rPr>
          <w:rFonts w:hint="eastAsia" w:ascii="仿宋_GB2312" w:hAnsi="宋体" w:eastAsia="仿宋_GB2312"/>
          <w:sz w:val="30"/>
          <w:szCs w:val="30"/>
        </w:rPr>
        <w:t>、</w:t>
      </w:r>
      <w:r>
        <w:rPr>
          <w:rFonts w:ascii="仿宋_GB2312" w:hAnsi="宋体" w:eastAsia="仿宋_GB2312"/>
          <w:sz w:val="30"/>
          <w:szCs w:val="30"/>
        </w:rPr>
        <w:t>TPR1M</w:t>
      </w:r>
      <w:r>
        <w:rPr>
          <w:rFonts w:hint="eastAsia" w:ascii="仿宋_GB2312" w:hAnsi="宋体" w:eastAsia="仿宋_GB2312"/>
          <w:sz w:val="30"/>
          <w:szCs w:val="30"/>
        </w:rPr>
        <w:t>、</w:t>
      </w:r>
      <w:r>
        <w:rPr>
          <w:rFonts w:ascii="仿宋_GB2312" w:hAnsi="宋体" w:eastAsia="仿宋_GB2312"/>
          <w:sz w:val="30"/>
          <w:szCs w:val="30"/>
        </w:rPr>
        <w:t>TPR3M</w:t>
      </w:r>
      <w:r>
        <w:rPr>
          <w:rFonts w:hint="eastAsia" w:ascii="仿宋_GB2312" w:hAnsi="宋体" w:eastAsia="仿宋_GB2312"/>
          <w:sz w:val="30"/>
          <w:szCs w:val="30"/>
        </w:rPr>
        <w:t>、</w:t>
      </w:r>
      <w:r>
        <w:rPr>
          <w:rFonts w:ascii="仿宋_GB2312" w:hAnsi="宋体" w:eastAsia="仿宋_GB2312"/>
          <w:sz w:val="30"/>
          <w:szCs w:val="30"/>
        </w:rPr>
        <w:t>TPR6M</w:t>
      </w:r>
      <w:r>
        <w:rPr>
          <w:rFonts w:hint="eastAsia" w:ascii="仿宋_GB2312" w:hAnsi="宋体" w:eastAsia="仿宋_GB2312"/>
          <w:sz w:val="30"/>
          <w:szCs w:val="30"/>
        </w:rPr>
        <w:t>、</w:t>
      </w:r>
      <w:r>
        <w:rPr>
          <w:rFonts w:ascii="仿宋_GB2312" w:hAnsi="宋体" w:eastAsia="仿宋_GB2312"/>
          <w:sz w:val="30"/>
          <w:szCs w:val="30"/>
        </w:rPr>
        <w:t>TPR9M</w:t>
      </w:r>
      <w:r>
        <w:rPr>
          <w:rFonts w:hint="eastAsia" w:ascii="仿宋_GB2312" w:hAnsi="宋体" w:eastAsia="仿宋_GB2312"/>
          <w:sz w:val="30"/>
          <w:szCs w:val="30"/>
        </w:rPr>
        <w:t>、</w:t>
      </w:r>
      <w:r>
        <w:rPr>
          <w:rFonts w:ascii="仿宋_GB2312" w:hAnsi="宋体" w:eastAsia="仿宋_GB2312"/>
          <w:sz w:val="30"/>
          <w:szCs w:val="30"/>
        </w:rPr>
        <w:t>TPR12M</w:t>
      </w:r>
      <w:r>
        <w:rPr>
          <w:rFonts w:hint="eastAsia" w:ascii="仿宋_GB2312" w:hAnsi="宋体" w:eastAsia="仿宋_GB2312"/>
          <w:sz w:val="30"/>
          <w:szCs w:val="30"/>
        </w:rPr>
        <w:t>。其中，</w:t>
      </w:r>
      <w:r>
        <w:rPr>
          <w:rFonts w:ascii="仿宋_GB2312" w:hAnsi="宋体" w:eastAsia="仿宋_GB2312"/>
          <w:sz w:val="30"/>
          <w:szCs w:val="30"/>
        </w:rPr>
        <w:t>TPR001</w:t>
      </w:r>
      <w:r>
        <w:rPr>
          <w:rFonts w:hint="eastAsia" w:ascii="仿宋_GB2312" w:hAnsi="宋体" w:eastAsia="仿宋_GB2312"/>
          <w:sz w:val="30"/>
          <w:szCs w:val="30"/>
        </w:rPr>
        <w:t>为隔夜三方回购的加权平均利率；</w:t>
      </w:r>
      <w:r>
        <w:rPr>
          <w:rFonts w:ascii="仿宋_GB2312" w:hAnsi="宋体" w:eastAsia="仿宋_GB2312"/>
          <w:sz w:val="30"/>
          <w:szCs w:val="30"/>
        </w:rPr>
        <w:t>TPR007</w:t>
      </w:r>
      <w:r>
        <w:rPr>
          <w:rFonts w:hint="eastAsia" w:ascii="仿宋_GB2312" w:hAnsi="宋体" w:eastAsia="仿宋_GB2312"/>
          <w:sz w:val="30"/>
          <w:szCs w:val="30"/>
        </w:rPr>
        <w:t>为</w:t>
      </w:r>
      <w:r>
        <w:rPr>
          <w:rFonts w:ascii="仿宋_GB2312" w:hAnsi="宋体" w:eastAsia="仿宋_GB2312"/>
          <w:sz w:val="30"/>
          <w:szCs w:val="30"/>
        </w:rPr>
        <w:t>2-7</w:t>
      </w:r>
      <w:r>
        <w:rPr>
          <w:rFonts w:hint="eastAsia" w:ascii="仿宋_GB2312" w:hAnsi="宋体" w:eastAsia="仿宋_GB2312"/>
          <w:sz w:val="30"/>
          <w:szCs w:val="30"/>
        </w:rPr>
        <w:t>天的回购加权平均利率；</w:t>
      </w:r>
      <w:r>
        <w:rPr>
          <w:rFonts w:ascii="仿宋_GB2312" w:hAnsi="宋体" w:eastAsia="仿宋_GB2312"/>
          <w:sz w:val="30"/>
          <w:szCs w:val="30"/>
        </w:rPr>
        <w:t>TPR014</w:t>
      </w:r>
      <w:r>
        <w:rPr>
          <w:rFonts w:hint="eastAsia" w:ascii="仿宋_GB2312" w:hAnsi="宋体" w:eastAsia="仿宋_GB2312"/>
          <w:sz w:val="30"/>
          <w:szCs w:val="30"/>
        </w:rPr>
        <w:t>为</w:t>
      </w:r>
      <w:r>
        <w:rPr>
          <w:rFonts w:ascii="仿宋_GB2312" w:hAnsi="宋体" w:eastAsia="仿宋_GB2312"/>
          <w:sz w:val="30"/>
          <w:szCs w:val="30"/>
        </w:rPr>
        <w:t>8-14</w:t>
      </w:r>
      <w:r>
        <w:rPr>
          <w:rFonts w:hint="eastAsia" w:ascii="仿宋_GB2312" w:hAnsi="宋体" w:eastAsia="仿宋_GB2312"/>
          <w:sz w:val="30"/>
          <w:szCs w:val="30"/>
        </w:rPr>
        <w:t>天的加权平均利率，</w:t>
      </w:r>
      <w:r>
        <w:rPr>
          <w:rFonts w:ascii="仿宋_GB2312" w:hAnsi="宋体" w:eastAsia="仿宋_GB2312"/>
          <w:sz w:val="30"/>
          <w:szCs w:val="30"/>
        </w:rPr>
        <w:t>TPR021</w:t>
      </w:r>
      <w:r>
        <w:rPr>
          <w:rFonts w:hint="eastAsia" w:ascii="仿宋_GB2312" w:hAnsi="宋体" w:eastAsia="仿宋_GB2312"/>
          <w:sz w:val="30"/>
          <w:szCs w:val="30"/>
        </w:rPr>
        <w:t>为</w:t>
      </w:r>
      <w:r>
        <w:rPr>
          <w:rFonts w:ascii="仿宋_GB2312" w:hAnsi="宋体" w:eastAsia="仿宋_GB2312"/>
          <w:sz w:val="30"/>
          <w:szCs w:val="30"/>
        </w:rPr>
        <w:t>15-21</w:t>
      </w:r>
      <w:r>
        <w:rPr>
          <w:rFonts w:hint="eastAsia" w:ascii="仿宋_GB2312" w:hAnsi="宋体" w:eastAsia="仿宋_GB2312"/>
          <w:sz w:val="30"/>
          <w:szCs w:val="30"/>
        </w:rPr>
        <w:t>天的加权平均利率，</w:t>
      </w:r>
      <w:r>
        <w:rPr>
          <w:rFonts w:ascii="仿宋_GB2312" w:hAnsi="宋体" w:eastAsia="仿宋_GB2312"/>
          <w:sz w:val="30"/>
          <w:szCs w:val="30"/>
        </w:rPr>
        <w:t>TPR1M</w:t>
      </w:r>
      <w:r>
        <w:rPr>
          <w:rFonts w:hint="eastAsia" w:ascii="仿宋_GB2312" w:hAnsi="宋体" w:eastAsia="仿宋_GB2312"/>
          <w:sz w:val="30"/>
          <w:szCs w:val="30"/>
        </w:rPr>
        <w:t>为期限大于</w:t>
      </w:r>
      <w:r>
        <w:rPr>
          <w:rFonts w:ascii="仿宋_GB2312" w:hAnsi="宋体" w:eastAsia="仿宋_GB2312"/>
          <w:sz w:val="30"/>
          <w:szCs w:val="30"/>
        </w:rPr>
        <w:t>21</w:t>
      </w:r>
      <w:r>
        <w:rPr>
          <w:rFonts w:hint="eastAsia" w:ascii="仿宋_GB2312" w:hAnsi="宋体" w:eastAsia="仿宋_GB2312"/>
          <w:sz w:val="30"/>
          <w:szCs w:val="30"/>
        </w:rPr>
        <w:t>天、小于等于</w:t>
      </w:r>
      <w:r>
        <w:rPr>
          <w:rFonts w:ascii="仿宋_GB2312" w:hAnsi="宋体" w:eastAsia="仿宋_GB2312"/>
          <w:sz w:val="30"/>
          <w:szCs w:val="30"/>
        </w:rPr>
        <w:t>1</w:t>
      </w:r>
      <w:r>
        <w:rPr>
          <w:rFonts w:hint="eastAsia" w:ascii="仿宋_GB2312" w:hAnsi="宋体" w:eastAsia="仿宋_GB2312"/>
          <w:sz w:val="30"/>
          <w:szCs w:val="30"/>
        </w:rPr>
        <w:t>个月的加权平均利率。</w:t>
      </w:r>
    </w:p>
    <w:p w14:paraId="767A9A4F">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三方回购的成交统计行情包括回购期限、昨日收盘利率、昨日加权平均利率、</w:t>
      </w:r>
      <w:r>
        <w:rPr>
          <w:rFonts w:hint="eastAsia" w:ascii="仿宋_GB2312" w:hAnsi="宋体" w:eastAsia="仿宋_GB2312"/>
          <w:sz w:val="30"/>
          <w:szCs w:val="30"/>
          <w:highlight w:val="none"/>
        </w:rPr>
        <w:t>当日开盘利率、当日最高利率、当日最低利率</w:t>
      </w:r>
      <w:r>
        <w:rPr>
          <w:rFonts w:hint="eastAsia" w:ascii="仿宋_GB2312" w:hAnsi="宋体" w:eastAsia="仿宋_GB2312"/>
          <w:sz w:val="30"/>
          <w:szCs w:val="30"/>
        </w:rPr>
        <w:t>、当日最新利率、</w:t>
      </w:r>
      <w:r>
        <w:rPr>
          <w:rFonts w:hint="eastAsia" w:ascii="仿宋_GB2312" w:hAnsi="宋体" w:eastAsia="仿宋_GB2312"/>
          <w:sz w:val="30"/>
          <w:szCs w:val="30"/>
          <w:highlight w:val="none"/>
        </w:rPr>
        <w:t>当日收盘利率</w:t>
      </w:r>
      <w:r>
        <w:rPr>
          <w:rFonts w:hint="eastAsia" w:ascii="仿宋_GB2312" w:hAnsi="宋体" w:eastAsia="仿宋_GB2312"/>
          <w:sz w:val="30"/>
          <w:szCs w:val="30"/>
        </w:rPr>
        <w:t>、当日加权平均利率、当日累计成交金额、当日累计成交笔数等信息</w:t>
      </w:r>
      <w:r>
        <w:rPr>
          <w:rFonts w:hint="eastAsia" w:ascii="仿宋_GB2312" w:hAnsi="Calibri" w:eastAsia="仿宋_GB2312"/>
          <w:sz w:val="30"/>
          <w:szCs w:val="30"/>
        </w:rPr>
        <w:t>。具体如下：</w:t>
      </w:r>
    </w:p>
    <w:tbl>
      <w:tblPr>
        <w:tblStyle w:val="43"/>
        <w:tblW w:w="7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3560"/>
        <w:gridCol w:w="3917"/>
      </w:tblGrid>
      <w:tr w14:paraId="5758F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560" w:type="dxa"/>
            <w:shd w:val="clear" w:color="auto" w:fill="FFFFFF"/>
            <w:vAlign w:val="center"/>
          </w:tcPr>
          <w:p w14:paraId="082C62CA">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3917" w:type="dxa"/>
            <w:shd w:val="clear" w:color="auto" w:fill="FFFFFF"/>
            <w:vAlign w:val="center"/>
          </w:tcPr>
          <w:p w14:paraId="4E7869C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3BEEC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7F8701E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交易日期</w:t>
            </w:r>
          </w:p>
        </w:tc>
        <w:tc>
          <w:tcPr>
            <w:tcW w:w="3917" w:type="dxa"/>
            <w:shd w:val="clear" w:color="auto" w:fill="FFFFFF"/>
            <w:vAlign w:val="center"/>
          </w:tcPr>
          <w:p w14:paraId="0E159BFA">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w:t>
            </w:r>
          </w:p>
        </w:tc>
      </w:tr>
      <w:tr w14:paraId="7CC52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2BD5CCB3">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最新成交时间</w:t>
            </w:r>
          </w:p>
        </w:tc>
        <w:tc>
          <w:tcPr>
            <w:tcW w:w="3917" w:type="dxa"/>
            <w:shd w:val="clear" w:color="auto" w:fill="FFFFFF"/>
            <w:vAlign w:val="center"/>
          </w:tcPr>
          <w:p w14:paraId="6B3BD773">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时分秒</w:t>
            </w:r>
          </w:p>
        </w:tc>
      </w:tr>
      <w:tr w14:paraId="47D07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vAlign w:val="center"/>
          </w:tcPr>
          <w:p w14:paraId="1AFFE4ED">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期限</w:t>
            </w:r>
          </w:p>
        </w:tc>
        <w:tc>
          <w:tcPr>
            <w:tcW w:w="3917" w:type="dxa"/>
            <w:shd w:val="clear" w:color="auto" w:fill="FFFFFF"/>
            <w:vAlign w:val="center"/>
          </w:tcPr>
          <w:p w14:paraId="2170C45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三方回购约定期限，单位：天</w:t>
            </w:r>
          </w:p>
        </w:tc>
      </w:tr>
      <w:tr w14:paraId="6B337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160CDC0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昨日收盘利率</w:t>
            </w:r>
          </w:p>
        </w:tc>
        <w:tc>
          <w:tcPr>
            <w:tcW w:w="3917" w:type="dxa"/>
            <w:shd w:val="clear" w:color="auto" w:fill="FFFFFF"/>
            <w:vAlign w:val="center"/>
          </w:tcPr>
          <w:p w14:paraId="77339F5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43FF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47FC862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昨日加权平均利率</w:t>
            </w:r>
          </w:p>
        </w:tc>
        <w:tc>
          <w:tcPr>
            <w:tcW w:w="3917" w:type="dxa"/>
            <w:shd w:val="clear" w:color="auto" w:fill="FFFFFF"/>
            <w:vAlign w:val="center"/>
          </w:tcPr>
          <w:p w14:paraId="0376C076">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725F6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4D3BCA36">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当日开盘利率</w:t>
            </w:r>
          </w:p>
        </w:tc>
        <w:tc>
          <w:tcPr>
            <w:tcW w:w="3917" w:type="dxa"/>
            <w:shd w:val="clear" w:color="auto" w:fill="FFFFFF"/>
            <w:vAlign w:val="center"/>
          </w:tcPr>
          <w:p w14:paraId="0A1BFC6E">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百分数%（</w:t>
            </w:r>
            <w:r>
              <w:rPr>
                <w:rFonts w:ascii="仿宋_GB2312" w:eastAsia="仿宋_GB2312"/>
                <w:bCs/>
                <w:iCs/>
                <w:kern w:val="0"/>
                <w:sz w:val="24"/>
                <w:szCs w:val="24"/>
                <w:highlight w:val="none"/>
              </w:rPr>
              <w:t>3</w:t>
            </w:r>
            <w:r>
              <w:rPr>
                <w:rFonts w:hint="eastAsia" w:ascii="仿宋_GB2312" w:eastAsia="仿宋_GB2312"/>
                <w:bCs/>
                <w:iCs/>
                <w:kern w:val="0"/>
                <w:sz w:val="24"/>
                <w:szCs w:val="24"/>
                <w:highlight w:val="none"/>
              </w:rPr>
              <w:t>位小数）</w:t>
            </w:r>
          </w:p>
        </w:tc>
      </w:tr>
      <w:tr w14:paraId="34AED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6C9DAA96">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当日收盘利率</w:t>
            </w:r>
          </w:p>
        </w:tc>
        <w:tc>
          <w:tcPr>
            <w:tcW w:w="3917" w:type="dxa"/>
            <w:shd w:val="clear" w:color="auto" w:fill="FFFFFF"/>
            <w:vAlign w:val="center"/>
          </w:tcPr>
          <w:p w14:paraId="3B5FCCBB">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百分数%（</w:t>
            </w:r>
            <w:r>
              <w:rPr>
                <w:rFonts w:ascii="仿宋_GB2312" w:eastAsia="仿宋_GB2312"/>
                <w:bCs/>
                <w:iCs/>
                <w:kern w:val="0"/>
                <w:sz w:val="24"/>
                <w:szCs w:val="24"/>
                <w:highlight w:val="none"/>
              </w:rPr>
              <w:t>3</w:t>
            </w:r>
            <w:r>
              <w:rPr>
                <w:rFonts w:hint="eastAsia" w:ascii="仿宋_GB2312" w:eastAsia="仿宋_GB2312"/>
                <w:bCs/>
                <w:iCs/>
                <w:kern w:val="0"/>
                <w:sz w:val="24"/>
                <w:szCs w:val="24"/>
                <w:highlight w:val="none"/>
              </w:rPr>
              <w:t>位小数）</w:t>
            </w:r>
          </w:p>
        </w:tc>
      </w:tr>
      <w:tr w14:paraId="20AA0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5D42B6AE">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当日最高利率</w:t>
            </w:r>
          </w:p>
        </w:tc>
        <w:tc>
          <w:tcPr>
            <w:tcW w:w="3917" w:type="dxa"/>
            <w:shd w:val="clear" w:color="auto" w:fill="FFFFFF"/>
            <w:vAlign w:val="center"/>
          </w:tcPr>
          <w:p w14:paraId="342721C1">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百分数%（</w:t>
            </w:r>
            <w:r>
              <w:rPr>
                <w:rFonts w:ascii="仿宋_GB2312" w:eastAsia="仿宋_GB2312"/>
                <w:bCs/>
                <w:iCs/>
                <w:kern w:val="0"/>
                <w:sz w:val="24"/>
                <w:szCs w:val="24"/>
                <w:highlight w:val="none"/>
              </w:rPr>
              <w:t>3</w:t>
            </w:r>
            <w:r>
              <w:rPr>
                <w:rFonts w:hint="eastAsia" w:ascii="仿宋_GB2312" w:eastAsia="仿宋_GB2312"/>
                <w:bCs/>
                <w:iCs/>
                <w:kern w:val="0"/>
                <w:sz w:val="24"/>
                <w:szCs w:val="24"/>
                <w:highlight w:val="none"/>
              </w:rPr>
              <w:t>位小数）</w:t>
            </w:r>
          </w:p>
        </w:tc>
      </w:tr>
      <w:tr w14:paraId="38B72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61348F90">
            <w:pPr>
              <w:tabs>
                <w:tab w:val="left" w:pos="900"/>
                <w:tab w:val="left" w:pos="1320"/>
              </w:tabs>
              <w:spacing w:after="93" w:afterLines="30"/>
              <w:jc w:val="left"/>
              <w:rPr>
                <w:rFonts w:ascii="仿宋_GB2312" w:eastAsia="仿宋_GB2312"/>
                <w:b/>
                <w:bCs/>
                <w:iCs/>
                <w:kern w:val="0"/>
                <w:sz w:val="24"/>
                <w:szCs w:val="24"/>
                <w:highlight w:val="none"/>
              </w:rPr>
            </w:pPr>
            <w:r>
              <w:rPr>
                <w:rFonts w:hint="eastAsia" w:ascii="仿宋_GB2312" w:eastAsia="仿宋_GB2312"/>
                <w:b/>
                <w:bCs/>
                <w:iCs/>
                <w:kern w:val="0"/>
                <w:sz w:val="24"/>
                <w:szCs w:val="24"/>
                <w:highlight w:val="none"/>
              </w:rPr>
              <w:t>当日最低利率</w:t>
            </w:r>
          </w:p>
        </w:tc>
        <w:tc>
          <w:tcPr>
            <w:tcW w:w="3917" w:type="dxa"/>
            <w:shd w:val="clear" w:color="auto" w:fill="FFFFFF"/>
          </w:tcPr>
          <w:p w14:paraId="41A7A8DE">
            <w:pPr>
              <w:tabs>
                <w:tab w:val="left" w:pos="900"/>
                <w:tab w:val="left" w:pos="1320"/>
              </w:tabs>
              <w:spacing w:after="93" w:afterLines="30"/>
              <w:jc w:val="left"/>
              <w:rPr>
                <w:rFonts w:ascii="仿宋_GB2312" w:eastAsia="仿宋_GB2312"/>
                <w:bCs/>
                <w:iCs/>
                <w:kern w:val="0"/>
                <w:sz w:val="24"/>
                <w:szCs w:val="24"/>
                <w:highlight w:val="none"/>
              </w:rPr>
            </w:pPr>
            <w:r>
              <w:rPr>
                <w:rFonts w:hint="eastAsia" w:ascii="仿宋_GB2312" w:eastAsia="仿宋_GB2312"/>
                <w:bCs/>
                <w:iCs/>
                <w:kern w:val="0"/>
                <w:sz w:val="24"/>
                <w:szCs w:val="24"/>
                <w:highlight w:val="none"/>
              </w:rPr>
              <w:t>百分数%（</w:t>
            </w:r>
            <w:r>
              <w:rPr>
                <w:rFonts w:ascii="仿宋_GB2312" w:eastAsia="仿宋_GB2312"/>
                <w:bCs/>
                <w:iCs/>
                <w:kern w:val="0"/>
                <w:sz w:val="24"/>
                <w:szCs w:val="24"/>
                <w:highlight w:val="none"/>
              </w:rPr>
              <w:t>3</w:t>
            </w:r>
            <w:r>
              <w:rPr>
                <w:rFonts w:hint="eastAsia" w:ascii="仿宋_GB2312" w:eastAsia="仿宋_GB2312"/>
                <w:bCs/>
                <w:iCs/>
                <w:kern w:val="0"/>
                <w:sz w:val="24"/>
                <w:szCs w:val="24"/>
                <w:highlight w:val="none"/>
              </w:rPr>
              <w:t>位小数）</w:t>
            </w:r>
          </w:p>
        </w:tc>
      </w:tr>
      <w:tr w14:paraId="593C6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61A6B0F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当日最新利率</w:t>
            </w:r>
          </w:p>
        </w:tc>
        <w:tc>
          <w:tcPr>
            <w:tcW w:w="3917" w:type="dxa"/>
            <w:shd w:val="clear" w:color="auto" w:fill="FFFFFF"/>
          </w:tcPr>
          <w:p w14:paraId="4F0DAD9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0AA1C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3DB2ADC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当日加权平均利率</w:t>
            </w:r>
          </w:p>
        </w:tc>
        <w:tc>
          <w:tcPr>
            <w:tcW w:w="3917" w:type="dxa"/>
            <w:shd w:val="clear" w:color="auto" w:fill="FFFFFF"/>
          </w:tcPr>
          <w:p w14:paraId="028A4FCE">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57351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2ECADE8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当日累计成交金额</w:t>
            </w:r>
          </w:p>
        </w:tc>
        <w:tc>
          <w:tcPr>
            <w:tcW w:w="3917" w:type="dxa"/>
            <w:shd w:val="clear" w:color="auto" w:fill="FFFFFF"/>
            <w:vAlign w:val="center"/>
          </w:tcPr>
          <w:p w14:paraId="298241D3">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r w14:paraId="5BA60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0" w:type="dxa"/>
            <w:shd w:val="clear" w:color="auto" w:fill="FFFFFF"/>
          </w:tcPr>
          <w:p w14:paraId="1B01E36A">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当日累计成交笔数</w:t>
            </w:r>
          </w:p>
        </w:tc>
        <w:tc>
          <w:tcPr>
            <w:tcW w:w="3917" w:type="dxa"/>
            <w:shd w:val="clear" w:color="auto" w:fill="FFFFFF"/>
            <w:vAlign w:val="center"/>
          </w:tcPr>
          <w:p w14:paraId="65F0190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单位：笔</w:t>
            </w:r>
          </w:p>
        </w:tc>
      </w:tr>
    </w:tbl>
    <w:p w14:paraId="7EB73583">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（5）国债预发行</w:t>
      </w:r>
    </w:p>
    <w:p w14:paraId="5F258628">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对于国债预发行，本所实时发布债券投资者通过匹配成交方式达成的成交统计行情。国债预发行的成交统计行情按预发行代码进行成交统计，通过价格招标发行的，价格单位为人民币元（三位小数）；通过利率招标发行的，价格单位为百分数</w:t>
      </w:r>
      <w:r>
        <w:rPr>
          <w:rFonts w:ascii="仿宋_GB2312" w:hAnsi="宋体" w:eastAsia="仿宋_GB2312"/>
          <w:sz w:val="30"/>
          <w:szCs w:val="30"/>
        </w:rPr>
        <w:t>%（</w:t>
      </w:r>
      <w:r>
        <w:rPr>
          <w:rFonts w:hint="eastAsia" w:ascii="仿宋_GB2312" w:hAnsi="宋体" w:eastAsia="仿宋_GB2312"/>
          <w:sz w:val="30"/>
          <w:szCs w:val="30"/>
        </w:rPr>
        <w:t>三</w:t>
      </w:r>
      <w:r>
        <w:rPr>
          <w:rFonts w:ascii="仿宋_GB2312" w:hAnsi="宋体" w:eastAsia="仿宋_GB2312"/>
          <w:sz w:val="30"/>
          <w:szCs w:val="30"/>
        </w:rPr>
        <w:t>位小数）。</w:t>
      </w:r>
    </w:p>
    <w:p w14:paraId="5CB5625C">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国债预发行的成交统计行情包括昨日收盘价、昨日加权平均价、当日开盘价、当日最高价、当日最低价、当日最新价、当日收盘价、当日加权平均价、当日累计成交数量、当日累计成交金额、当日累计成交笔数等信息。具体如下：</w:t>
      </w:r>
    </w:p>
    <w:tbl>
      <w:tblPr>
        <w:tblStyle w:val="43"/>
        <w:tblW w:w="7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2749"/>
        <w:gridCol w:w="4728"/>
      </w:tblGrid>
      <w:tr w14:paraId="5C30F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31" w:hRule="atLeast"/>
          <w:jc w:val="center"/>
        </w:trPr>
        <w:tc>
          <w:tcPr>
            <w:tcW w:w="2749" w:type="dxa"/>
            <w:shd w:val="clear" w:color="auto" w:fill="FFFFFF"/>
            <w:vAlign w:val="center"/>
          </w:tcPr>
          <w:p w14:paraId="31BBB87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要素名称</w:t>
            </w:r>
          </w:p>
        </w:tc>
        <w:tc>
          <w:tcPr>
            <w:tcW w:w="4728" w:type="dxa"/>
            <w:shd w:val="clear" w:color="auto" w:fill="FFFFFF"/>
            <w:vAlign w:val="center"/>
          </w:tcPr>
          <w:p w14:paraId="0335BB10">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要素说明</w:t>
            </w:r>
          </w:p>
        </w:tc>
      </w:tr>
      <w:tr w14:paraId="37739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4345F8B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证券代码</w:t>
            </w:r>
          </w:p>
        </w:tc>
        <w:tc>
          <w:tcPr>
            <w:tcW w:w="4728" w:type="dxa"/>
            <w:shd w:val="clear" w:color="auto" w:fill="FFFFFF"/>
            <w:vAlign w:val="center"/>
          </w:tcPr>
          <w:p w14:paraId="39466E9B">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预发行交易代码</w:t>
            </w:r>
          </w:p>
        </w:tc>
      </w:tr>
      <w:tr w14:paraId="16E5C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0C33DA9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证券简称</w:t>
            </w:r>
          </w:p>
        </w:tc>
        <w:tc>
          <w:tcPr>
            <w:tcW w:w="4728" w:type="dxa"/>
            <w:shd w:val="clear" w:color="auto" w:fill="FFFFFF"/>
            <w:vAlign w:val="center"/>
          </w:tcPr>
          <w:p w14:paraId="65F6E06D">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预发行交易简称</w:t>
            </w:r>
          </w:p>
        </w:tc>
      </w:tr>
      <w:tr w14:paraId="7E4F9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1C12EB48">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交易日期</w:t>
            </w:r>
          </w:p>
        </w:tc>
        <w:tc>
          <w:tcPr>
            <w:tcW w:w="4728" w:type="dxa"/>
            <w:shd w:val="clear" w:color="auto" w:fill="FFFFFF"/>
            <w:vAlign w:val="center"/>
          </w:tcPr>
          <w:p w14:paraId="4733D8B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年月日</w:t>
            </w:r>
          </w:p>
        </w:tc>
      </w:tr>
      <w:tr w14:paraId="1FEEF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1B240C71">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交易时间</w:t>
            </w:r>
          </w:p>
        </w:tc>
        <w:tc>
          <w:tcPr>
            <w:tcW w:w="4728" w:type="dxa"/>
            <w:shd w:val="clear" w:color="auto" w:fill="FFFFFF"/>
            <w:vAlign w:val="center"/>
          </w:tcPr>
          <w:p w14:paraId="4E60A4FC">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54EB2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37E090A9">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最新成交时间</w:t>
            </w:r>
          </w:p>
        </w:tc>
        <w:tc>
          <w:tcPr>
            <w:tcW w:w="4728" w:type="dxa"/>
            <w:shd w:val="clear" w:color="auto" w:fill="FFFFFF"/>
            <w:vAlign w:val="center"/>
          </w:tcPr>
          <w:p w14:paraId="386E1ADF">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时分秒</w:t>
            </w:r>
          </w:p>
        </w:tc>
      </w:tr>
      <w:tr w14:paraId="17C87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75B5796E">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昨日收盘价</w:t>
            </w:r>
          </w:p>
        </w:tc>
        <w:tc>
          <w:tcPr>
            <w:tcW w:w="4728" w:type="dxa"/>
            <w:shd w:val="clear" w:color="auto" w:fill="FFFFFF"/>
            <w:vAlign w:val="center"/>
          </w:tcPr>
          <w:p w14:paraId="700DAA82">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r>
              <w:rPr>
                <w:rFonts w:ascii="仿宋_GB2312" w:eastAsia="仿宋_GB2312"/>
                <w:bCs/>
                <w:iCs/>
                <w:kern w:val="0"/>
                <w:sz w:val="24"/>
                <w:szCs w:val="24"/>
              </w:rPr>
              <w:t xml:space="preserve"> </w:t>
            </w: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13FB2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251D824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昨日加权平均价</w:t>
            </w:r>
          </w:p>
        </w:tc>
        <w:tc>
          <w:tcPr>
            <w:tcW w:w="4728" w:type="dxa"/>
            <w:shd w:val="clear" w:color="auto" w:fill="FFFFFF"/>
            <w:vAlign w:val="center"/>
          </w:tcPr>
          <w:p w14:paraId="6447D715">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r>
              <w:rPr>
                <w:rFonts w:ascii="仿宋_GB2312" w:eastAsia="仿宋_GB2312"/>
                <w:bCs/>
                <w:iCs/>
                <w:kern w:val="0"/>
                <w:sz w:val="24"/>
                <w:szCs w:val="24"/>
              </w:rPr>
              <w:t xml:space="preserve"> </w:t>
            </w: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0DCE0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45B8298F">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当日开盘价</w:t>
            </w:r>
          </w:p>
        </w:tc>
        <w:tc>
          <w:tcPr>
            <w:tcW w:w="4728" w:type="dxa"/>
            <w:shd w:val="clear" w:color="auto" w:fill="FFFFFF"/>
            <w:vAlign w:val="center"/>
          </w:tcPr>
          <w:p w14:paraId="642C2FE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r>
              <w:rPr>
                <w:rFonts w:ascii="仿宋_GB2312" w:eastAsia="仿宋_GB2312"/>
                <w:bCs/>
                <w:iCs/>
                <w:kern w:val="0"/>
                <w:sz w:val="24"/>
                <w:szCs w:val="24"/>
              </w:rPr>
              <w:t xml:space="preserve"> </w:t>
            </w: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69B82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25F8361B">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当日收盘价</w:t>
            </w:r>
          </w:p>
        </w:tc>
        <w:tc>
          <w:tcPr>
            <w:tcW w:w="4728" w:type="dxa"/>
            <w:shd w:val="clear" w:color="auto" w:fill="FFFFFF"/>
            <w:vAlign w:val="center"/>
          </w:tcPr>
          <w:p w14:paraId="7E14690C">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r>
              <w:rPr>
                <w:rFonts w:ascii="仿宋_GB2312" w:eastAsia="仿宋_GB2312"/>
                <w:bCs/>
                <w:iCs/>
                <w:kern w:val="0"/>
                <w:sz w:val="24"/>
                <w:szCs w:val="24"/>
              </w:rPr>
              <w:t xml:space="preserve"> </w:t>
            </w: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3071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157A19E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当日最高价</w:t>
            </w:r>
          </w:p>
        </w:tc>
        <w:tc>
          <w:tcPr>
            <w:tcW w:w="4728" w:type="dxa"/>
            <w:shd w:val="clear" w:color="auto" w:fill="FFFFFF"/>
            <w:vAlign w:val="center"/>
          </w:tcPr>
          <w:p w14:paraId="1ABA92B7">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r>
              <w:rPr>
                <w:rFonts w:ascii="仿宋_GB2312" w:eastAsia="仿宋_GB2312"/>
                <w:bCs/>
                <w:iCs/>
                <w:kern w:val="0"/>
                <w:sz w:val="24"/>
                <w:szCs w:val="24"/>
              </w:rPr>
              <w:t xml:space="preserve"> </w:t>
            </w: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055EF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5ACEF29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当日最低价</w:t>
            </w:r>
          </w:p>
        </w:tc>
        <w:tc>
          <w:tcPr>
            <w:tcW w:w="4728" w:type="dxa"/>
            <w:shd w:val="clear" w:color="auto" w:fill="FFFFFF"/>
            <w:vAlign w:val="center"/>
          </w:tcPr>
          <w:p w14:paraId="3C12DBF8">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r>
              <w:rPr>
                <w:rFonts w:ascii="仿宋_GB2312" w:eastAsia="仿宋_GB2312"/>
                <w:bCs/>
                <w:iCs/>
                <w:kern w:val="0"/>
                <w:sz w:val="24"/>
                <w:szCs w:val="24"/>
              </w:rPr>
              <w:t xml:space="preserve"> </w:t>
            </w: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35840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4361266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当日最新价</w:t>
            </w:r>
          </w:p>
        </w:tc>
        <w:tc>
          <w:tcPr>
            <w:tcW w:w="4728" w:type="dxa"/>
            <w:shd w:val="clear" w:color="auto" w:fill="FFFFFF"/>
            <w:vAlign w:val="center"/>
          </w:tcPr>
          <w:p w14:paraId="325F7169">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r>
              <w:rPr>
                <w:rFonts w:ascii="仿宋_GB2312" w:eastAsia="仿宋_GB2312"/>
                <w:bCs/>
                <w:iCs/>
                <w:kern w:val="0"/>
                <w:sz w:val="24"/>
                <w:szCs w:val="24"/>
              </w:rPr>
              <w:t xml:space="preserve"> </w:t>
            </w: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73DCA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37541A63">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当日加权平均价</w:t>
            </w:r>
          </w:p>
        </w:tc>
        <w:tc>
          <w:tcPr>
            <w:tcW w:w="4728" w:type="dxa"/>
            <w:shd w:val="clear" w:color="auto" w:fill="FFFFFF"/>
            <w:vAlign w:val="center"/>
          </w:tcPr>
          <w:p w14:paraId="1C58079F">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w:t>
            </w:r>
            <w:r>
              <w:rPr>
                <w:rFonts w:ascii="仿宋_GB2312" w:eastAsia="仿宋_GB2312"/>
                <w:bCs/>
                <w:iCs/>
                <w:kern w:val="0"/>
                <w:sz w:val="24"/>
                <w:szCs w:val="24"/>
              </w:rPr>
              <w:t>3</w:t>
            </w:r>
            <w:r>
              <w:rPr>
                <w:rFonts w:hint="eastAsia" w:ascii="仿宋_GB2312" w:eastAsia="仿宋_GB2312"/>
                <w:bCs/>
                <w:iCs/>
                <w:kern w:val="0"/>
                <w:sz w:val="24"/>
                <w:szCs w:val="24"/>
              </w:rPr>
              <w:t>位小数）/</w:t>
            </w:r>
            <w:r>
              <w:rPr>
                <w:rFonts w:ascii="仿宋_GB2312" w:eastAsia="仿宋_GB2312"/>
                <w:bCs/>
                <w:iCs/>
                <w:kern w:val="0"/>
                <w:sz w:val="24"/>
                <w:szCs w:val="24"/>
              </w:rPr>
              <w:t xml:space="preserve"> </w:t>
            </w:r>
            <w:r>
              <w:rPr>
                <w:rFonts w:hint="eastAsia" w:ascii="仿宋_GB2312" w:eastAsia="仿宋_GB2312"/>
                <w:bCs/>
                <w:iCs/>
                <w:kern w:val="0"/>
                <w:sz w:val="24"/>
                <w:szCs w:val="24"/>
              </w:rPr>
              <w:t>百分数%（</w:t>
            </w:r>
            <w:r>
              <w:rPr>
                <w:rFonts w:ascii="仿宋_GB2312" w:eastAsia="仿宋_GB2312"/>
                <w:bCs/>
                <w:iCs/>
                <w:kern w:val="0"/>
                <w:sz w:val="24"/>
                <w:szCs w:val="24"/>
              </w:rPr>
              <w:t>3</w:t>
            </w:r>
            <w:r>
              <w:rPr>
                <w:rFonts w:hint="eastAsia" w:ascii="仿宋_GB2312" w:eastAsia="仿宋_GB2312"/>
                <w:bCs/>
                <w:iCs/>
                <w:kern w:val="0"/>
                <w:sz w:val="24"/>
                <w:szCs w:val="24"/>
              </w:rPr>
              <w:t>位小数）</w:t>
            </w:r>
          </w:p>
        </w:tc>
      </w:tr>
      <w:tr w14:paraId="20D30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6BD0C397">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当日累计成交数量</w:t>
            </w:r>
          </w:p>
        </w:tc>
        <w:tc>
          <w:tcPr>
            <w:tcW w:w="4728" w:type="dxa"/>
            <w:shd w:val="clear" w:color="auto" w:fill="FFFFFF"/>
            <w:vAlign w:val="center"/>
          </w:tcPr>
          <w:p w14:paraId="717E5BAA">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单位：千元面额（整数）</w:t>
            </w:r>
          </w:p>
        </w:tc>
      </w:tr>
      <w:tr w14:paraId="6442A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20060C04">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当日累计成交金额</w:t>
            </w:r>
          </w:p>
        </w:tc>
        <w:tc>
          <w:tcPr>
            <w:tcW w:w="4728" w:type="dxa"/>
            <w:shd w:val="clear" w:color="auto" w:fill="FFFFFF"/>
            <w:vAlign w:val="center"/>
          </w:tcPr>
          <w:p w14:paraId="7EEEE140">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单位：元（2位小数）</w:t>
            </w:r>
          </w:p>
        </w:tc>
      </w:tr>
      <w:tr w14:paraId="72941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jc w:val="center"/>
        </w:trPr>
        <w:tc>
          <w:tcPr>
            <w:tcW w:w="2749" w:type="dxa"/>
            <w:shd w:val="clear" w:color="auto" w:fill="FFFFFF"/>
            <w:vAlign w:val="center"/>
          </w:tcPr>
          <w:p w14:paraId="7009CAB5">
            <w:pPr>
              <w:tabs>
                <w:tab w:val="left" w:pos="900"/>
                <w:tab w:val="left" w:pos="1320"/>
              </w:tabs>
              <w:spacing w:after="93" w:afterLines="30"/>
              <w:jc w:val="left"/>
              <w:rPr>
                <w:rFonts w:ascii="仿宋_GB2312" w:eastAsia="仿宋_GB2312"/>
                <w:b/>
                <w:bCs/>
                <w:iCs/>
                <w:kern w:val="0"/>
                <w:sz w:val="24"/>
                <w:szCs w:val="24"/>
              </w:rPr>
            </w:pPr>
            <w:r>
              <w:rPr>
                <w:rFonts w:hint="eastAsia" w:ascii="仿宋_GB2312" w:eastAsia="仿宋_GB2312"/>
                <w:b/>
                <w:bCs/>
                <w:iCs/>
                <w:kern w:val="0"/>
                <w:sz w:val="24"/>
                <w:szCs w:val="24"/>
              </w:rPr>
              <w:t>当日累计成交笔数</w:t>
            </w:r>
          </w:p>
        </w:tc>
        <w:tc>
          <w:tcPr>
            <w:tcW w:w="4728" w:type="dxa"/>
            <w:shd w:val="clear" w:color="auto" w:fill="FFFFFF"/>
            <w:vAlign w:val="center"/>
          </w:tcPr>
          <w:p w14:paraId="773FC775">
            <w:pPr>
              <w:tabs>
                <w:tab w:val="left" w:pos="900"/>
                <w:tab w:val="left" w:pos="1320"/>
              </w:tabs>
              <w:spacing w:after="93" w:afterLines="30"/>
              <w:jc w:val="left"/>
              <w:rPr>
                <w:rFonts w:ascii="仿宋_GB2312" w:eastAsia="仿宋_GB2312"/>
                <w:bCs/>
                <w:iCs/>
                <w:kern w:val="0"/>
                <w:sz w:val="24"/>
                <w:szCs w:val="24"/>
              </w:rPr>
            </w:pPr>
            <w:r>
              <w:rPr>
                <w:rFonts w:hint="eastAsia" w:ascii="仿宋_GB2312" w:eastAsia="仿宋_GB2312"/>
                <w:bCs/>
                <w:iCs/>
                <w:kern w:val="0"/>
                <w:sz w:val="24"/>
                <w:szCs w:val="24"/>
              </w:rPr>
              <w:t>单位：笔</w:t>
            </w:r>
          </w:p>
        </w:tc>
      </w:tr>
    </w:tbl>
    <w:p w14:paraId="2D20B417">
      <w:pPr>
        <w:numPr>
          <w:ilvl w:val="2"/>
          <w:numId w:val="4"/>
        </w:numPr>
        <w:spacing w:line="600" w:lineRule="exact"/>
        <w:ind w:left="0" w:firstLine="0"/>
        <w:outlineLvl w:val="2"/>
        <w:rPr>
          <w:rFonts w:ascii="仿宋_GB2312" w:eastAsia="仿宋_GB2312"/>
          <w:b/>
          <w:sz w:val="30"/>
          <w:szCs w:val="30"/>
        </w:rPr>
      </w:pPr>
      <w:bookmarkStart w:id="2749" w:name="_Toc47467050"/>
      <w:r>
        <w:rPr>
          <w:rFonts w:hint="eastAsia" w:ascii="仿宋_GB2312" w:eastAsia="仿宋_GB2312"/>
          <w:b/>
          <w:sz w:val="30"/>
          <w:szCs w:val="30"/>
        </w:rPr>
        <w:t>开盘价、收盘价</w:t>
      </w:r>
      <w:bookmarkEnd w:id="2749"/>
    </w:p>
    <w:p w14:paraId="03341F15">
      <w:pPr>
        <w:spacing w:line="600" w:lineRule="exact"/>
        <w:ind w:firstLine="600"/>
        <w:rPr>
          <w:rFonts w:ascii="Calibri" w:eastAsia="仿宋_GB2312"/>
          <w:sz w:val="30"/>
          <w:szCs w:val="30"/>
        </w:rPr>
      </w:pPr>
      <w:r>
        <w:rPr>
          <w:rFonts w:hint="eastAsia" w:ascii="Calibri" w:eastAsia="仿宋_GB2312"/>
          <w:sz w:val="30"/>
          <w:szCs w:val="30"/>
        </w:rPr>
        <w:t>本所实时发布债券现券交易和通用回购交易的开盘价和收盘价。</w:t>
      </w:r>
    </w:p>
    <w:p w14:paraId="5C832C24">
      <w:pPr>
        <w:spacing w:line="600" w:lineRule="exact"/>
        <w:ind w:firstLine="600"/>
        <w:rPr>
          <w:rFonts w:ascii="Calibri" w:eastAsia="仿宋_GB2312"/>
          <w:sz w:val="30"/>
          <w:szCs w:val="30"/>
        </w:rPr>
      </w:pPr>
      <w:r>
        <w:rPr>
          <w:rFonts w:hint="eastAsia" w:ascii="Calibri" w:eastAsia="仿宋_GB2312"/>
          <w:sz w:val="30"/>
          <w:szCs w:val="30"/>
        </w:rPr>
        <w:t>开盘价为当日第一笔成交价格。收盘价为当日最后一笔交易（含）前一小时内的成交量加权平均价。当日无成交的，以前收盘价为当日收盘价。</w:t>
      </w:r>
    </w:p>
    <w:p w14:paraId="31C55195">
      <w:pPr>
        <w:spacing w:line="600" w:lineRule="exact"/>
        <w:ind w:firstLine="600"/>
        <w:rPr>
          <w:rFonts w:ascii="Calibri" w:eastAsia="仿宋_GB2312"/>
          <w:sz w:val="30"/>
          <w:szCs w:val="30"/>
        </w:rPr>
      </w:pPr>
      <w:r>
        <w:rPr>
          <w:rFonts w:hint="eastAsia" w:ascii="Calibri" w:eastAsia="仿宋_GB2312"/>
          <w:sz w:val="30"/>
          <w:szCs w:val="30"/>
        </w:rPr>
        <w:t>匹配成交方式下及非匹配成交方式下的开盘价和收盘价单独计算，分别通过新债券交易系统和</w:t>
      </w:r>
      <w:r>
        <w:rPr>
          <w:rFonts w:hint="eastAsia" w:ascii="Calibri" w:eastAsia="仿宋_GB2312"/>
          <w:sz w:val="30"/>
          <w:szCs w:val="30"/>
          <w:lang w:eastAsia="zh-CN"/>
        </w:rPr>
        <w:t>新固定收益系统</w:t>
      </w:r>
      <w:r>
        <w:rPr>
          <w:rFonts w:hint="eastAsia" w:ascii="Calibri" w:eastAsia="仿宋_GB2312"/>
          <w:sz w:val="30"/>
          <w:szCs w:val="30"/>
        </w:rPr>
        <w:t>进行发布。</w:t>
      </w:r>
      <w:r>
        <w:rPr>
          <w:rFonts w:hint="eastAsia" w:ascii="仿宋_GB2312" w:eastAsia="仿宋_GB2312"/>
          <w:b/>
          <w:color w:val="000000"/>
          <w:sz w:val="30"/>
          <w:szCs w:val="30"/>
        </w:rPr>
        <w:t>《债券交易规则》第一百一十八条关于使用</w:t>
      </w:r>
      <w:r>
        <w:rPr>
          <w:rFonts w:hint="eastAsia" w:ascii="Calibri" w:eastAsia="仿宋_GB2312"/>
          <w:b/>
          <w:sz w:val="30"/>
          <w:szCs w:val="30"/>
        </w:rPr>
        <w:t>各类交易方式达成的成交数据计算开盘价和收盘价的规定</w:t>
      </w:r>
      <w:r>
        <w:rPr>
          <w:rFonts w:hint="eastAsia" w:ascii="仿宋_GB2312" w:eastAsia="仿宋_GB2312"/>
          <w:b/>
          <w:color w:val="000000"/>
          <w:sz w:val="30"/>
          <w:szCs w:val="30"/>
        </w:rPr>
        <w:t>暂缓实施，可转债的收盘价另行规定</w:t>
      </w:r>
      <w:r>
        <w:rPr>
          <w:rFonts w:hint="eastAsia" w:ascii="仿宋_GB2312" w:eastAsia="仿宋_GB2312"/>
          <w:color w:val="000000"/>
          <w:sz w:val="30"/>
          <w:szCs w:val="30"/>
        </w:rPr>
        <w:t>。</w:t>
      </w:r>
    </w:p>
    <w:p w14:paraId="1D888ABF">
      <w:pPr>
        <w:spacing w:line="600" w:lineRule="exact"/>
        <w:ind w:firstLine="600" w:firstLineChars="200"/>
        <w:rPr>
          <w:rFonts w:ascii="仿宋_GB2312" w:hAnsi="Calibri" w:eastAsia="仿宋_GB2312"/>
          <w:color w:val="000000"/>
          <w:sz w:val="30"/>
          <w:szCs w:val="30"/>
        </w:rPr>
      </w:pPr>
      <w:r>
        <w:rPr>
          <w:rFonts w:hint="eastAsia" w:ascii="Calibri" w:eastAsia="仿宋_GB2312"/>
          <w:sz w:val="30"/>
          <w:szCs w:val="30"/>
        </w:rPr>
        <w:t>根据市场发展需要，本所可以调整开盘价及收盘价计算方法</w:t>
      </w:r>
      <w:r>
        <w:rPr>
          <w:rFonts w:hint="eastAsia" w:ascii="仿宋_GB2312" w:hAnsi="宋体" w:eastAsia="仿宋_GB2312"/>
          <w:sz w:val="30"/>
          <w:szCs w:val="30"/>
        </w:rPr>
        <w:t>。</w:t>
      </w:r>
    </w:p>
    <w:p w14:paraId="2BE3712D">
      <w:pPr>
        <w:numPr>
          <w:ilvl w:val="1"/>
          <w:numId w:val="4"/>
        </w:numPr>
        <w:spacing w:line="600" w:lineRule="exact"/>
        <w:ind w:left="0" w:firstLine="0"/>
        <w:outlineLvl w:val="1"/>
        <w:rPr>
          <w:rFonts w:ascii="仿宋_GB2312" w:eastAsia="仿宋_GB2312"/>
          <w:b/>
          <w:sz w:val="30"/>
          <w:szCs w:val="30"/>
        </w:rPr>
      </w:pPr>
      <w:bookmarkStart w:id="2750" w:name="_Toc2043370667"/>
      <w:bookmarkStart w:id="2751" w:name="_Toc56166115"/>
      <w:bookmarkStart w:id="2752" w:name="_Toc56166304"/>
      <w:bookmarkStart w:id="2753" w:name="_Toc976115996"/>
      <w:bookmarkStart w:id="2754" w:name="_Toc151137066"/>
      <w:bookmarkStart w:id="2755" w:name="_Toc339767973"/>
      <w:bookmarkStart w:id="2756" w:name="_Toc47467051"/>
      <w:bookmarkStart w:id="2757" w:name="_Toc1721068934"/>
      <w:bookmarkStart w:id="2758" w:name="_Toc74077704"/>
      <w:bookmarkStart w:id="2759" w:name="_Toc1996963531"/>
      <w:r>
        <w:rPr>
          <w:rFonts w:hint="eastAsia" w:ascii="仿宋_GB2312" w:eastAsia="仿宋_GB2312"/>
          <w:b/>
          <w:sz w:val="30"/>
          <w:szCs w:val="30"/>
        </w:rPr>
        <w:t>参考数据</w:t>
      </w:r>
      <w:bookmarkEnd w:id="2750"/>
      <w:bookmarkEnd w:id="2751"/>
      <w:bookmarkEnd w:id="2752"/>
      <w:bookmarkEnd w:id="2753"/>
      <w:bookmarkEnd w:id="2754"/>
      <w:bookmarkEnd w:id="2755"/>
      <w:bookmarkEnd w:id="2756"/>
      <w:bookmarkEnd w:id="2757"/>
      <w:bookmarkEnd w:id="2758"/>
      <w:bookmarkEnd w:id="2759"/>
    </w:p>
    <w:p w14:paraId="7B9F2593">
      <w:pPr>
        <w:spacing w:line="60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本所对外发布的参考数据包括产品的基础信息、与产品相关的非交易基础信息、交易参与人信息、交易员信息、做市商及做市品种信息等。</w:t>
      </w:r>
    </w:p>
    <w:p w14:paraId="06CF1E01">
      <w:pPr>
        <w:spacing w:line="600" w:lineRule="exact"/>
        <w:ind w:firstLine="600" w:firstLineChars="200"/>
        <w:jc w:val="left"/>
        <w:rPr>
          <w:rFonts w:ascii="仿宋_GB2312" w:hAnsi="Calibri" w:eastAsia="仿宋_GB2312"/>
          <w:kern w:val="0"/>
          <w:sz w:val="30"/>
          <w:szCs w:val="30"/>
        </w:rPr>
      </w:pPr>
      <w:r>
        <w:rPr>
          <w:rFonts w:hint="eastAsia" w:ascii="仿宋_GB2312" w:hAnsi="Calibri" w:eastAsia="仿宋_GB2312"/>
          <w:kern w:val="0"/>
          <w:sz w:val="30"/>
          <w:szCs w:val="30"/>
        </w:rPr>
        <w:t>参考数据在交易日闭市后对外发送，交易日内不更新。</w:t>
      </w:r>
    </w:p>
    <w:p w14:paraId="723BE983">
      <w:pPr>
        <w:numPr>
          <w:ilvl w:val="2"/>
          <w:numId w:val="4"/>
        </w:numPr>
        <w:spacing w:line="600" w:lineRule="exact"/>
        <w:ind w:left="0" w:firstLine="0"/>
        <w:outlineLvl w:val="2"/>
        <w:rPr>
          <w:rFonts w:ascii="仿宋_GB2312" w:eastAsia="仿宋_GB2312"/>
          <w:b/>
          <w:sz w:val="30"/>
          <w:szCs w:val="30"/>
        </w:rPr>
      </w:pPr>
      <w:bookmarkStart w:id="2760" w:name="_Toc47375555"/>
      <w:bookmarkEnd w:id="2760"/>
      <w:bookmarkStart w:id="2761" w:name="_Toc47427234"/>
      <w:bookmarkEnd w:id="2761"/>
      <w:bookmarkStart w:id="2762" w:name="_Toc47458483"/>
      <w:bookmarkEnd w:id="2762"/>
      <w:bookmarkStart w:id="2763" w:name="_Toc47427209"/>
      <w:bookmarkEnd w:id="2763"/>
      <w:bookmarkStart w:id="2764" w:name="_Toc47428489"/>
      <w:bookmarkEnd w:id="2764"/>
      <w:bookmarkStart w:id="2765" w:name="_Toc47428521"/>
      <w:bookmarkEnd w:id="2765"/>
      <w:bookmarkStart w:id="2766" w:name="_Toc47427176"/>
      <w:bookmarkEnd w:id="2766"/>
      <w:bookmarkStart w:id="2767" w:name="_Toc47427229"/>
      <w:bookmarkEnd w:id="2767"/>
      <w:bookmarkStart w:id="2768" w:name="_Toc47375554"/>
      <w:bookmarkEnd w:id="2768"/>
      <w:bookmarkStart w:id="2769" w:name="_Toc47375565"/>
      <w:bookmarkEnd w:id="2769"/>
      <w:bookmarkStart w:id="2770" w:name="_Toc47467120"/>
      <w:bookmarkEnd w:id="2770"/>
      <w:bookmarkStart w:id="2771" w:name="_Toc47466012"/>
      <w:bookmarkEnd w:id="2771"/>
      <w:bookmarkStart w:id="2772" w:name="_Toc47467089"/>
      <w:bookmarkEnd w:id="2772"/>
      <w:bookmarkStart w:id="2773" w:name="_Toc47428533"/>
      <w:bookmarkEnd w:id="2773"/>
      <w:bookmarkStart w:id="2774" w:name="_Toc47375504"/>
      <w:bookmarkEnd w:id="2774"/>
      <w:bookmarkStart w:id="2775" w:name="_Toc47458503"/>
      <w:bookmarkEnd w:id="2775"/>
      <w:bookmarkStart w:id="2776" w:name="_Toc47428504"/>
      <w:bookmarkEnd w:id="2776"/>
      <w:bookmarkStart w:id="2777" w:name="_Toc47458472"/>
      <w:bookmarkEnd w:id="2777"/>
      <w:bookmarkStart w:id="2778" w:name="_Toc47375564"/>
      <w:bookmarkEnd w:id="2778"/>
      <w:bookmarkStart w:id="2779" w:name="_Toc47467088"/>
      <w:bookmarkEnd w:id="2779"/>
      <w:bookmarkStart w:id="2780" w:name="_Toc47467129"/>
      <w:bookmarkEnd w:id="2780"/>
      <w:bookmarkStart w:id="2781" w:name="_Toc47375491"/>
      <w:bookmarkEnd w:id="2781"/>
      <w:bookmarkStart w:id="2782" w:name="_Toc47375562"/>
      <w:bookmarkEnd w:id="2782"/>
      <w:bookmarkStart w:id="2783" w:name="_Toc47467102"/>
      <w:bookmarkEnd w:id="2783"/>
      <w:bookmarkStart w:id="2784" w:name="_Toc47458490"/>
      <w:bookmarkEnd w:id="2784"/>
      <w:bookmarkStart w:id="2785" w:name="_Toc47466020"/>
      <w:bookmarkEnd w:id="2785"/>
      <w:bookmarkStart w:id="2786" w:name="_Toc47458552"/>
      <w:bookmarkEnd w:id="2786"/>
      <w:bookmarkStart w:id="2787" w:name="_Toc47428468"/>
      <w:bookmarkEnd w:id="2787"/>
      <w:bookmarkStart w:id="2788" w:name="_Toc47428475"/>
      <w:bookmarkEnd w:id="2788"/>
      <w:bookmarkStart w:id="2789" w:name="_Toc47428487"/>
      <w:bookmarkEnd w:id="2789"/>
      <w:bookmarkStart w:id="2790" w:name="_Toc47458507"/>
      <w:bookmarkEnd w:id="2790"/>
      <w:bookmarkStart w:id="2791" w:name="_Toc47467157"/>
      <w:bookmarkEnd w:id="2791"/>
      <w:bookmarkStart w:id="2792" w:name="_Toc47375494"/>
      <w:bookmarkEnd w:id="2792"/>
      <w:bookmarkStart w:id="2793" w:name="_Toc47466013"/>
      <w:bookmarkEnd w:id="2793"/>
      <w:bookmarkStart w:id="2794" w:name="_Toc47465965"/>
      <w:bookmarkEnd w:id="2794"/>
      <w:bookmarkStart w:id="2795" w:name="_Toc47467092"/>
      <w:bookmarkEnd w:id="2795"/>
      <w:bookmarkStart w:id="2796" w:name="_Toc47465959"/>
      <w:bookmarkEnd w:id="2796"/>
      <w:bookmarkStart w:id="2797" w:name="_Toc47375522"/>
      <w:bookmarkEnd w:id="2797"/>
      <w:bookmarkStart w:id="2798" w:name="_Toc47428501"/>
      <w:bookmarkEnd w:id="2798"/>
      <w:bookmarkStart w:id="2799" w:name="_Toc47428465"/>
      <w:bookmarkEnd w:id="2799"/>
      <w:bookmarkStart w:id="2800" w:name="_Toc47427202"/>
      <w:bookmarkEnd w:id="2800"/>
      <w:bookmarkStart w:id="2801" w:name="_Toc47467158"/>
      <w:bookmarkEnd w:id="2801"/>
      <w:bookmarkStart w:id="2802" w:name="_Toc47375561"/>
      <w:bookmarkEnd w:id="2802"/>
      <w:bookmarkStart w:id="2803" w:name="_Toc47375509"/>
      <w:bookmarkEnd w:id="2803"/>
      <w:bookmarkStart w:id="2804" w:name="_Toc47466010"/>
      <w:bookmarkEnd w:id="2804"/>
      <w:bookmarkStart w:id="2805" w:name="_Toc47428442"/>
      <w:bookmarkEnd w:id="2805"/>
      <w:bookmarkStart w:id="2806" w:name="_Toc47465958"/>
      <w:bookmarkEnd w:id="2806"/>
      <w:bookmarkStart w:id="2807" w:name="_Toc47375575"/>
      <w:bookmarkEnd w:id="2807"/>
      <w:bookmarkStart w:id="2808" w:name="_Toc47458520"/>
      <w:bookmarkEnd w:id="2808"/>
      <w:bookmarkStart w:id="2809" w:name="_Toc47458479"/>
      <w:bookmarkEnd w:id="2809"/>
      <w:bookmarkStart w:id="2810" w:name="_Toc47467149"/>
      <w:bookmarkEnd w:id="2810"/>
      <w:bookmarkStart w:id="2811" w:name="_Toc47465960"/>
      <w:bookmarkEnd w:id="2811"/>
      <w:bookmarkStart w:id="2812" w:name="_Toc47375498"/>
      <w:bookmarkEnd w:id="2812"/>
      <w:bookmarkStart w:id="2813" w:name="_Toc47427220"/>
      <w:bookmarkEnd w:id="2813"/>
      <w:bookmarkStart w:id="2814" w:name="_Toc44666379"/>
      <w:bookmarkEnd w:id="2814"/>
      <w:bookmarkStart w:id="2815" w:name="_Toc47466042"/>
      <w:bookmarkEnd w:id="2815"/>
      <w:bookmarkStart w:id="2816" w:name="_Toc47467125"/>
      <w:bookmarkEnd w:id="2816"/>
      <w:bookmarkStart w:id="2817" w:name="_Toc47467093"/>
      <w:bookmarkEnd w:id="2817"/>
      <w:bookmarkStart w:id="2818" w:name="_Toc47466021"/>
      <w:bookmarkEnd w:id="2818"/>
      <w:bookmarkStart w:id="2819" w:name="_Toc47375487"/>
      <w:bookmarkEnd w:id="2819"/>
      <w:bookmarkStart w:id="2820" w:name="_Toc47428517"/>
      <w:bookmarkEnd w:id="2820"/>
      <w:bookmarkStart w:id="2821" w:name="_Toc47428450"/>
      <w:bookmarkEnd w:id="2821"/>
      <w:bookmarkStart w:id="2822" w:name="_Toc44661490"/>
      <w:bookmarkEnd w:id="2822"/>
      <w:bookmarkStart w:id="2823" w:name="_Toc47375550"/>
      <w:bookmarkEnd w:id="2823"/>
      <w:bookmarkStart w:id="2824" w:name="_Toc47427162"/>
      <w:bookmarkEnd w:id="2824"/>
      <w:bookmarkStart w:id="2825" w:name="_Toc47465956"/>
      <w:bookmarkEnd w:id="2825"/>
      <w:bookmarkStart w:id="2826" w:name="_Toc47428445"/>
      <w:bookmarkEnd w:id="2826"/>
      <w:bookmarkStart w:id="2827" w:name="_Toc47375527"/>
      <w:bookmarkEnd w:id="2827"/>
      <w:bookmarkStart w:id="2828" w:name="_Toc47467132"/>
      <w:bookmarkEnd w:id="2828"/>
      <w:bookmarkStart w:id="2829" w:name="_Toc47427181"/>
      <w:bookmarkEnd w:id="2829"/>
      <w:bookmarkStart w:id="2830" w:name="_Toc47458445"/>
      <w:bookmarkEnd w:id="2830"/>
      <w:bookmarkStart w:id="2831" w:name="_Toc47465947"/>
      <w:bookmarkEnd w:id="2831"/>
      <w:bookmarkStart w:id="2832" w:name="_Toc47467091"/>
      <w:bookmarkEnd w:id="2832"/>
      <w:bookmarkStart w:id="2833" w:name="_Toc47428459"/>
      <w:bookmarkEnd w:id="2833"/>
      <w:bookmarkStart w:id="2834" w:name="_Toc47375530"/>
      <w:bookmarkEnd w:id="2834"/>
      <w:bookmarkStart w:id="2835" w:name="_Toc47428499"/>
      <w:bookmarkEnd w:id="2835"/>
      <w:bookmarkStart w:id="2836" w:name="_Toc47427205"/>
      <w:bookmarkEnd w:id="2836"/>
      <w:bookmarkStart w:id="2837" w:name="_Toc47466016"/>
      <w:bookmarkEnd w:id="2837"/>
      <w:bookmarkStart w:id="2838" w:name="_Toc47467105"/>
      <w:bookmarkEnd w:id="2838"/>
      <w:bookmarkStart w:id="2839" w:name="_Toc47427189"/>
      <w:bookmarkEnd w:id="2839"/>
      <w:bookmarkStart w:id="2840" w:name="_Toc47427237"/>
      <w:bookmarkEnd w:id="2840"/>
      <w:bookmarkStart w:id="2841" w:name="_Toc47458489"/>
      <w:bookmarkEnd w:id="2841"/>
      <w:bookmarkStart w:id="2842" w:name="_Toc47427190"/>
      <w:bookmarkEnd w:id="2842"/>
      <w:bookmarkStart w:id="2843" w:name="_Toc47458478"/>
      <w:bookmarkEnd w:id="2843"/>
      <w:bookmarkStart w:id="2844" w:name="_Toc47466040"/>
      <w:bookmarkEnd w:id="2844"/>
      <w:bookmarkStart w:id="2845" w:name="_Toc47428520"/>
      <w:bookmarkEnd w:id="2845"/>
      <w:bookmarkStart w:id="2846" w:name="_Toc47428425"/>
      <w:bookmarkEnd w:id="2846"/>
      <w:bookmarkStart w:id="2847" w:name="_Toc47375505"/>
      <w:bookmarkEnd w:id="2847"/>
      <w:bookmarkStart w:id="2848" w:name="_Toc47467160"/>
      <w:bookmarkEnd w:id="2848"/>
      <w:bookmarkStart w:id="2849" w:name="_Toc47467113"/>
      <w:bookmarkEnd w:id="2849"/>
      <w:bookmarkStart w:id="2850" w:name="_Toc47466002"/>
      <w:bookmarkEnd w:id="2850"/>
      <w:bookmarkStart w:id="2851" w:name="_Toc47458529"/>
      <w:bookmarkEnd w:id="2851"/>
      <w:bookmarkStart w:id="2852" w:name="_Toc47458508"/>
      <w:bookmarkEnd w:id="2852"/>
      <w:bookmarkStart w:id="2853" w:name="_Toc47458530"/>
      <w:bookmarkEnd w:id="2853"/>
      <w:bookmarkStart w:id="2854" w:name="_Toc47428516"/>
      <w:bookmarkEnd w:id="2854"/>
      <w:bookmarkStart w:id="2855" w:name="_Toc47375577"/>
      <w:bookmarkEnd w:id="2855"/>
      <w:bookmarkStart w:id="2856" w:name="_Toc47428486"/>
      <w:bookmarkEnd w:id="2856"/>
      <w:bookmarkStart w:id="2857" w:name="_Toc47428528"/>
      <w:bookmarkEnd w:id="2857"/>
      <w:bookmarkStart w:id="2858" w:name="_Toc47428464"/>
      <w:bookmarkEnd w:id="2858"/>
      <w:bookmarkStart w:id="2859" w:name="_Toc47458454"/>
      <w:bookmarkEnd w:id="2859"/>
      <w:bookmarkStart w:id="2860" w:name="_Toc47467117"/>
      <w:bookmarkEnd w:id="2860"/>
      <w:bookmarkStart w:id="2861" w:name="_Toc47466038"/>
      <w:bookmarkEnd w:id="2861"/>
      <w:bookmarkStart w:id="2862" w:name="_Toc47375525"/>
      <w:bookmarkEnd w:id="2862"/>
      <w:bookmarkStart w:id="2863" w:name="_Toc47458463"/>
      <w:bookmarkEnd w:id="2863"/>
      <w:bookmarkStart w:id="2864" w:name="_Toc47375497"/>
      <w:bookmarkEnd w:id="2864"/>
      <w:bookmarkStart w:id="2865" w:name="_Toc47427195"/>
      <w:bookmarkEnd w:id="2865"/>
      <w:bookmarkStart w:id="2866" w:name="_Toc47427204"/>
      <w:bookmarkEnd w:id="2866"/>
      <w:bookmarkStart w:id="2867" w:name="_Toc47375576"/>
      <w:bookmarkEnd w:id="2867"/>
      <w:bookmarkStart w:id="2868" w:name="_Toc47458486"/>
      <w:bookmarkEnd w:id="2868"/>
      <w:bookmarkStart w:id="2869" w:name="_Toc47465974"/>
      <w:bookmarkEnd w:id="2869"/>
      <w:bookmarkStart w:id="2870" w:name="_Toc47427254"/>
      <w:bookmarkEnd w:id="2870"/>
      <w:bookmarkStart w:id="2871" w:name="_Toc47375560"/>
      <w:bookmarkEnd w:id="2871"/>
      <w:bookmarkStart w:id="2872" w:name="_Toc47427232"/>
      <w:bookmarkEnd w:id="2872"/>
      <w:bookmarkStart w:id="2873" w:name="_Toc47465966"/>
      <w:bookmarkEnd w:id="2873"/>
      <w:bookmarkStart w:id="2874" w:name="_Toc47465953"/>
      <w:bookmarkEnd w:id="2874"/>
      <w:bookmarkStart w:id="2875" w:name="_Toc47466049"/>
      <w:bookmarkEnd w:id="2875"/>
      <w:bookmarkStart w:id="2876" w:name="_Toc47465945"/>
      <w:bookmarkEnd w:id="2876"/>
      <w:bookmarkStart w:id="2877" w:name="_Toc47467090"/>
      <w:bookmarkEnd w:id="2877"/>
      <w:bookmarkStart w:id="2878" w:name="_Toc47466048"/>
      <w:bookmarkEnd w:id="2878"/>
      <w:bookmarkStart w:id="2879" w:name="_Toc47375580"/>
      <w:bookmarkEnd w:id="2879"/>
      <w:bookmarkStart w:id="2880" w:name="_Toc47427177"/>
      <w:bookmarkEnd w:id="2880"/>
      <w:bookmarkStart w:id="2881" w:name="_Toc47465983"/>
      <w:bookmarkEnd w:id="2881"/>
      <w:bookmarkStart w:id="2882" w:name="_Toc47428530"/>
      <w:bookmarkEnd w:id="2882"/>
      <w:bookmarkStart w:id="2883" w:name="_Toc47375570"/>
      <w:bookmarkEnd w:id="2883"/>
      <w:bookmarkStart w:id="2884" w:name="_Toc47467085"/>
      <w:bookmarkEnd w:id="2884"/>
      <w:bookmarkStart w:id="2885" w:name="_Toc44661494"/>
      <w:bookmarkEnd w:id="2885"/>
      <w:bookmarkStart w:id="2886" w:name="_Toc47375569"/>
      <w:bookmarkEnd w:id="2886"/>
      <w:bookmarkStart w:id="2887" w:name="_Toc47467114"/>
      <w:bookmarkEnd w:id="2887"/>
      <w:bookmarkStart w:id="2888" w:name="_Toc47428481"/>
      <w:bookmarkEnd w:id="2888"/>
      <w:bookmarkStart w:id="2889" w:name="_Toc47458514"/>
      <w:bookmarkEnd w:id="2889"/>
      <w:bookmarkStart w:id="2890" w:name="_Toc47428503"/>
      <w:bookmarkEnd w:id="2890"/>
      <w:bookmarkStart w:id="2891" w:name="_Toc47467139"/>
      <w:bookmarkEnd w:id="2891"/>
      <w:bookmarkStart w:id="2892" w:name="_Toc47428433"/>
      <w:bookmarkEnd w:id="2892"/>
      <w:bookmarkStart w:id="2893" w:name="_Toc47428458"/>
      <w:bookmarkEnd w:id="2893"/>
      <w:bookmarkStart w:id="2894" w:name="_Toc47458537"/>
      <w:bookmarkEnd w:id="2894"/>
      <w:bookmarkStart w:id="2895" w:name="_Toc47467056"/>
      <w:bookmarkEnd w:id="2895"/>
      <w:bookmarkStart w:id="2896" w:name="_Toc47427251"/>
      <w:bookmarkEnd w:id="2896"/>
      <w:bookmarkStart w:id="2897" w:name="_Toc47465975"/>
      <w:bookmarkEnd w:id="2897"/>
      <w:bookmarkStart w:id="2898" w:name="_Toc47465976"/>
      <w:bookmarkEnd w:id="2898"/>
      <w:bookmarkStart w:id="2899" w:name="_Toc47467106"/>
      <w:bookmarkEnd w:id="2899"/>
      <w:bookmarkStart w:id="2900" w:name="_Toc47458541"/>
      <w:bookmarkEnd w:id="2900"/>
      <w:bookmarkStart w:id="2901" w:name="_Toc47427263"/>
      <w:bookmarkEnd w:id="2901"/>
      <w:bookmarkStart w:id="2902" w:name="_Toc47375536"/>
      <w:bookmarkEnd w:id="2902"/>
      <w:bookmarkStart w:id="2903" w:name="_Toc47427231"/>
      <w:bookmarkEnd w:id="2903"/>
      <w:bookmarkStart w:id="2904" w:name="_Toc47427226"/>
      <w:bookmarkEnd w:id="2904"/>
      <w:bookmarkStart w:id="2905" w:name="_Toc47428462"/>
      <w:bookmarkEnd w:id="2905"/>
      <w:bookmarkStart w:id="2906" w:name="_Toc47465964"/>
      <w:bookmarkEnd w:id="2906"/>
      <w:bookmarkStart w:id="2907" w:name="_Toc47375588"/>
      <w:bookmarkEnd w:id="2907"/>
      <w:bookmarkStart w:id="2908" w:name="_Toc47428470"/>
      <w:bookmarkEnd w:id="2908"/>
      <w:bookmarkStart w:id="2909" w:name="_Toc47458502"/>
      <w:bookmarkEnd w:id="2909"/>
      <w:bookmarkStart w:id="2910" w:name="_Toc47465995"/>
      <w:bookmarkEnd w:id="2910"/>
      <w:bookmarkStart w:id="2911" w:name="_Toc44604378"/>
      <w:bookmarkEnd w:id="2911"/>
      <w:bookmarkStart w:id="2912" w:name="_Toc47375557"/>
      <w:bookmarkEnd w:id="2912"/>
      <w:bookmarkStart w:id="2913" w:name="_Toc47428474"/>
      <w:bookmarkEnd w:id="2913"/>
      <w:bookmarkStart w:id="2914" w:name="_Toc47458525"/>
      <w:bookmarkEnd w:id="2914"/>
      <w:bookmarkStart w:id="2915" w:name="_Toc47428488"/>
      <w:bookmarkEnd w:id="2915"/>
      <w:bookmarkStart w:id="2916" w:name="_Toc47465988"/>
      <w:bookmarkEnd w:id="2916"/>
      <w:bookmarkStart w:id="2917" w:name="_Toc47428534"/>
      <w:bookmarkEnd w:id="2917"/>
      <w:bookmarkStart w:id="2918" w:name="_Toc47427249"/>
      <w:bookmarkEnd w:id="2918"/>
      <w:bookmarkStart w:id="2919" w:name="_Toc44688500"/>
      <w:bookmarkEnd w:id="2919"/>
      <w:bookmarkStart w:id="2920" w:name="_Toc47427260"/>
      <w:bookmarkEnd w:id="2920"/>
      <w:bookmarkStart w:id="2921" w:name="_Toc44666418"/>
      <w:bookmarkEnd w:id="2921"/>
      <w:bookmarkStart w:id="2922" w:name="_Toc47467077"/>
      <w:bookmarkEnd w:id="2922"/>
      <w:bookmarkStart w:id="2923" w:name="_Toc47375594"/>
      <w:bookmarkEnd w:id="2923"/>
      <w:bookmarkStart w:id="2924" w:name="_Toc47467112"/>
      <w:bookmarkEnd w:id="2924"/>
      <w:bookmarkStart w:id="2925" w:name="_Toc47467134"/>
      <w:bookmarkEnd w:id="2925"/>
      <w:bookmarkStart w:id="2926" w:name="_Toc47375520"/>
      <w:bookmarkEnd w:id="2926"/>
      <w:bookmarkStart w:id="2927" w:name="_Toc47428452"/>
      <w:bookmarkEnd w:id="2927"/>
      <w:bookmarkStart w:id="2928" w:name="_Toc47428495"/>
      <w:bookmarkEnd w:id="2928"/>
      <w:bookmarkStart w:id="2929" w:name="_Toc47427225"/>
      <w:bookmarkEnd w:id="2929"/>
      <w:bookmarkStart w:id="2930" w:name="_Toc47428526"/>
      <w:bookmarkEnd w:id="2930"/>
      <w:bookmarkStart w:id="2931" w:name="_Toc47467094"/>
      <w:bookmarkEnd w:id="2931"/>
      <w:bookmarkStart w:id="2932" w:name="_Toc47465939"/>
      <w:bookmarkEnd w:id="2932"/>
      <w:bookmarkStart w:id="2933" w:name="_Toc47466008"/>
      <w:bookmarkEnd w:id="2933"/>
      <w:bookmarkStart w:id="2934" w:name="_Toc47458470"/>
      <w:bookmarkEnd w:id="2934"/>
      <w:bookmarkStart w:id="2935" w:name="_Toc47427161"/>
      <w:bookmarkEnd w:id="2935"/>
      <w:bookmarkStart w:id="2936" w:name="_Toc47458464"/>
      <w:bookmarkEnd w:id="2936"/>
      <w:bookmarkStart w:id="2937" w:name="_Toc47465973"/>
      <w:bookmarkEnd w:id="2937"/>
      <w:bookmarkStart w:id="2938" w:name="_Toc47375517"/>
      <w:bookmarkEnd w:id="2938"/>
      <w:bookmarkStart w:id="2939" w:name="_Toc47458516"/>
      <w:bookmarkEnd w:id="2939"/>
      <w:bookmarkStart w:id="2940" w:name="_Toc47466025"/>
      <w:bookmarkEnd w:id="2940"/>
      <w:bookmarkStart w:id="2941" w:name="_Toc47465954"/>
      <w:bookmarkEnd w:id="2941"/>
      <w:bookmarkStart w:id="2942" w:name="_Toc47428428"/>
      <w:bookmarkEnd w:id="2942"/>
      <w:bookmarkStart w:id="2943" w:name="_Toc47428439"/>
      <w:bookmarkEnd w:id="2943"/>
      <w:bookmarkStart w:id="2944" w:name="_Toc47375574"/>
      <w:bookmarkEnd w:id="2944"/>
      <w:bookmarkStart w:id="2945" w:name="_Toc47375532"/>
      <w:bookmarkEnd w:id="2945"/>
      <w:bookmarkStart w:id="2946" w:name="_Toc47375506"/>
      <w:bookmarkEnd w:id="2946"/>
      <w:bookmarkStart w:id="2947" w:name="_Toc47375533"/>
      <w:bookmarkEnd w:id="2947"/>
      <w:bookmarkStart w:id="2948" w:name="_Toc47427253"/>
      <w:bookmarkEnd w:id="2948"/>
      <w:bookmarkStart w:id="2949" w:name="_Toc47375541"/>
      <w:bookmarkEnd w:id="2949"/>
      <w:bookmarkStart w:id="2950" w:name="_Toc47428469"/>
      <w:bookmarkEnd w:id="2950"/>
      <w:bookmarkStart w:id="2951" w:name="_Toc47466044"/>
      <w:bookmarkEnd w:id="2951"/>
      <w:bookmarkStart w:id="2952" w:name="_Toc47427179"/>
      <w:bookmarkEnd w:id="2952"/>
      <w:bookmarkStart w:id="2953" w:name="_Toc47428448"/>
      <w:bookmarkEnd w:id="2953"/>
      <w:bookmarkStart w:id="2954" w:name="_Toc47375540"/>
      <w:bookmarkEnd w:id="2954"/>
      <w:bookmarkStart w:id="2955" w:name="_Toc47375563"/>
      <w:bookmarkEnd w:id="2955"/>
      <w:bookmarkStart w:id="2956" w:name="_Toc47467059"/>
      <w:bookmarkEnd w:id="2956"/>
      <w:bookmarkStart w:id="2957" w:name="_Toc47466018"/>
      <w:bookmarkEnd w:id="2957"/>
      <w:bookmarkStart w:id="2958" w:name="_Toc47427228"/>
      <w:bookmarkEnd w:id="2958"/>
      <w:bookmarkStart w:id="2959" w:name="_Toc47458526"/>
      <w:bookmarkEnd w:id="2959"/>
      <w:bookmarkStart w:id="2960" w:name="_Toc47466029"/>
      <w:bookmarkEnd w:id="2960"/>
      <w:bookmarkStart w:id="2961" w:name="_Toc47458531"/>
      <w:bookmarkEnd w:id="2961"/>
      <w:bookmarkStart w:id="2962" w:name="_Toc47458545"/>
      <w:bookmarkEnd w:id="2962"/>
      <w:bookmarkStart w:id="2963" w:name="_Toc47427182"/>
      <w:bookmarkEnd w:id="2963"/>
      <w:bookmarkStart w:id="2964" w:name="_Toc47467052"/>
      <w:bookmarkEnd w:id="2964"/>
      <w:bookmarkStart w:id="2965" w:name="_Toc47458485"/>
      <w:bookmarkEnd w:id="2965"/>
      <w:bookmarkStart w:id="2966" w:name="_Toc47428455"/>
      <w:bookmarkEnd w:id="2966"/>
      <w:bookmarkStart w:id="2967" w:name="_Toc47375553"/>
      <w:bookmarkEnd w:id="2967"/>
      <w:bookmarkStart w:id="2968" w:name="_Toc47465997"/>
      <w:bookmarkEnd w:id="2968"/>
      <w:bookmarkStart w:id="2969" w:name="_Toc47375568"/>
      <w:bookmarkEnd w:id="2969"/>
      <w:bookmarkStart w:id="2970" w:name="_Toc47427256"/>
      <w:bookmarkEnd w:id="2970"/>
      <w:bookmarkStart w:id="2971" w:name="_Toc47465970"/>
      <w:bookmarkEnd w:id="2971"/>
      <w:bookmarkStart w:id="2972" w:name="_Toc47465971"/>
      <w:bookmarkEnd w:id="2972"/>
      <w:bookmarkStart w:id="2973" w:name="_Toc47458467"/>
      <w:bookmarkEnd w:id="2973"/>
      <w:bookmarkStart w:id="2974" w:name="_Toc47375558"/>
      <w:bookmarkEnd w:id="2974"/>
      <w:bookmarkStart w:id="2975" w:name="_Toc47427244"/>
      <w:bookmarkEnd w:id="2975"/>
      <w:bookmarkStart w:id="2976" w:name="_Toc47466046"/>
      <w:bookmarkEnd w:id="2976"/>
      <w:bookmarkStart w:id="2977" w:name="_Toc47467141"/>
      <w:bookmarkEnd w:id="2977"/>
      <w:bookmarkStart w:id="2978" w:name="_Toc47427248"/>
      <w:bookmarkEnd w:id="2978"/>
      <w:bookmarkStart w:id="2979" w:name="_Toc47428519"/>
      <w:bookmarkEnd w:id="2979"/>
      <w:bookmarkStart w:id="2980" w:name="_Toc47458468"/>
      <w:bookmarkEnd w:id="2980"/>
      <w:bookmarkStart w:id="2981" w:name="_Toc47428447"/>
      <w:bookmarkEnd w:id="2981"/>
      <w:bookmarkStart w:id="2982" w:name="_Toc47427213"/>
      <w:bookmarkEnd w:id="2982"/>
      <w:bookmarkStart w:id="2983" w:name="_Toc47375586"/>
      <w:bookmarkEnd w:id="2983"/>
      <w:bookmarkStart w:id="2984" w:name="_Toc47427212"/>
      <w:bookmarkEnd w:id="2984"/>
      <w:bookmarkStart w:id="2985" w:name="_Toc47465940"/>
      <w:bookmarkEnd w:id="2985"/>
      <w:bookmarkStart w:id="2986" w:name="_Toc47467066"/>
      <w:bookmarkEnd w:id="2986"/>
      <w:bookmarkStart w:id="2987" w:name="_Toc47467131"/>
      <w:bookmarkEnd w:id="2987"/>
      <w:bookmarkStart w:id="2988" w:name="_Toc47427215"/>
      <w:bookmarkEnd w:id="2988"/>
      <w:bookmarkStart w:id="2989" w:name="_Toc44666377"/>
      <w:bookmarkEnd w:id="2989"/>
      <w:bookmarkStart w:id="2990" w:name="_Toc47427171"/>
      <w:bookmarkEnd w:id="2990"/>
      <w:bookmarkStart w:id="2991" w:name="_Toc47467144"/>
      <w:bookmarkEnd w:id="2991"/>
      <w:bookmarkStart w:id="2992" w:name="_Toc47375519"/>
      <w:bookmarkEnd w:id="2992"/>
      <w:bookmarkStart w:id="2993" w:name="_Toc47375572"/>
      <w:bookmarkEnd w:id="2993"/>
      <w:bookmarkStart w:id="2994" w:name="_Toc47458481"/>
      <w:bookmarkEnd w:id="2994"/>
      <w:bookmarkStart w:id="2995" w:name="_Toc47467071"/>
      <w:bookmarkEnd w:id="2995"/>
      <w:bookmarkStart w:id="2996" w:name="_Toc47458448"/>
      <w:bookmarkEnd w:id="2996"/>
      <w:bookmarkStart w:id="2997" w:name="_Toc47466014"/>
      <w:bookmarkEnd w:id="2997"/>
      <w:bookmarkStart w:id="2998" w:name="_Toc47458461"/>
      <w:bookmarkEnd w:id="2998"/>
      <w:bookmarkStart w:id="2999" w:name="_Toc47427217"/>
      <w:bookmarkEnd w:id="2999"/>
      <w:bookmarkStart w:id="3000" w:name="_Toc47467073"/>
      <w:bookmarkEnd w:id="3000"/>
      <w:bookmarkStart w:id="3001" w:name="_Toc47428506"/>
      <w:bookmarkEnd w:id="3001"/>
      <w:bookmarkStart w:id="3002" w:name="_Toc47427167"/>
      <w:bookmarkEnd w:id="3002"/>
      <w:bookmarkStart w:id="3003" w:name="_Toc47428467"/>
      <w:bookmarkEnd w:id="3003"/>
      <w:bookmarkStart w:id="3004" w:name="_Toc47375499"/>
      <w:bookmarkEnd w:id="3004"/>
      <w:bookmarkStart w:id="3005" w:name="_Toc47467076"/>
      <w:bookmarkEnd w:id="3005"/>
      <w:bookmarkStart w:id="3006" w:name="_Toc47467064"/>
      <w:bookmarkEnd w:id="3006"/>
      <w:bookmarkStart w:id="3007" w:name="_Toc47467143"/>
      <w:bookmarkEnd w:id="3007"/>
      <w:bookmarkStart w:id="3008" w:name="_Toc47427265"/>
      <w:bookmarkEnd w:id="3008"/>
      <w:bookmarkStart w:id="3009" w:name="_Toc47467069"/>
      <w:bookmarkEnd w:id="3009"/>
      <w:bookmarkStart w:id="3010" w:name="_Toc47465949"/>
      <w:bookmarkEnd w:id="3010"/>
      <w:bookmarkStart w:id="3011" w:name="_Toc47427259"/>
      <w:bookmarkEnd w:id="3011"/>
      <w:bookmarkStart w:id="3012" w:name="_Toc47467095"/>
      <w:bookmarkEnd w:id="3012"/>
      <w:bookmarkStart w:id="3013" w:name="_Toc47467103"/>
      <w:bookmarkEnd w:id="3013"/>
      <w:bookmarkStart w:id="3014" w:name="_Toc47428524"/>
      <w:bookmarkEnd w:id="3014"/>
      <w:bookmarkStart w:id="3015" w:name="_Toc47458506"/>
      <w:bookmarkEnd w:id="3015"/>
      <w:bookmarkStart w:id="3016" w:name="_Toc47375523"/>
      <w:bookmarkEnd w:id="3016"/>
      <w:bookmarkStart w:id="3017" w:name="_Toc47467153"/>
      <w:bookmarkEnd w:id="3017"/>
      <w:bookmarkStart w:id="3018" w:name="_Toc47375507"/>
      <w:bookmarkEnd w:id="3018"/>
      <w:bookmarkStart w:id="3019" w:name="_Toc47427227"/>
      <w:bookmarkEnd w:id="3019"/>
      <w:bookmarkStart w:id="3020" w:name="_Toc47467084"/>
      <w:bookmarkEnd w:id="3020"/>
      <w:bookmarkStart w:id="3021" w:name="_Toc47427262"/>
      <w:bookmarkEnd w:id="3021"/>
      <w:bookmarkStart w:id="3022" w:name="_Toc47458450"/>
      <w:bookmarkEnd w:id="3022"/>
      <w:bookmarkStart w:id="3023" w:name="_Toc47427163"/>
      <w:bookmarkEnd w:id="3023"/>
      <w:bookmarkStart w:id="3024" w:name="_Toc47375592"/>
      <w:bookmarkEnd w:id="3024"/>
      <w:bookmarkStart w:id="3025" w:name="_Toc47467068"/>
      <w:bookmarkEnd w:id="3025"/>
      <w:bookmarkStart w:id="3026" w:name="_Toc47428479"/>
      <w:bookmarkEnd w:id="3026"/>
      <w:bookmarkStart w:id="3027" w:name="_Toc47467124"/>
      <w:bookmarkEnd w:id="3027"/>
      <w:bookmarkStart w:id="3028" w:name="_Toc47428427"/>
      <w:bookmarkEnd w:id="3028"/>
      <w:bookmarkStart w:id="3029" w:name="_Toc47467063"/>
      <w:bookmarkEnd w:id="3029"/>
      <w:bookmarkStart w:id="3030" w:name="_Toc47458488"/>
      <w:bookmarkEnd w:id="3030"/>
      <w:bookmarkStart w:id="3031" w:name="_Toc47427207"/>
      <w:bookmarkEnd w:id="3031"/>
      <w:bookmarkStart w:id="3032" w:name="_Toc47458499"/>
      <w:bookmarkEnd w:id="3032"/>
      <w:bookmarkStart w:id="3033" w:name="_Toc47467118"/>
      <w:bookmarkEnd w:id="3033"/>
      <w:bookmarkStart w:id="3034" w:name="_Toc47467150"/>
      <w:bookmarkEnd w:id="3034"/>
      <w:bookmarkStart w:id="3035" w:name="_Toc47375582"/>
      <w:bookmarkEnd w:id="3035"/>
      <w:bookmarkStart w:id="3036" w:name="_Toc47465963"/>
      <w:bookmarkEnd w:id="3036"/>
      <w:bookmarkStart w:id="3037" w:name="_Toc47467142"/>
      <w:bookmarkEnd w:id="3037"/>
      <w:bookmarkStart w:id="3038" w:name="_Toc47375587"/>
      <w:bookmarkEnd w:id="3038"/>
      <w:bookmarkStart w:id="3039" w:name="_Toc47428466"/>
      <w:bookmarkEnd w:id="3039"/>
      <w:bookmarkStart w:id="3040" w:name="_Toc47375488"/>
      <w:bookmarkEnd w:id="3040"/>
      <w:bookmarkStart w:id="3041" w:name="_Toc47467115"/>
      <w:bookmarkEnd w:id="3041"/>
      <w:bookmarkStart w:id="3042" w:name="_Toc47458480"/>
      <w:bookmarkEnd w:id="3042"/>
      <w:bookmarkStart w:id="3043" w:name="_Toc47428426"/>
      <w:bookmarkEnd w:id="3043"/>
      <w:bookmarkStart w:id="3044" w:name="_Toc47458473"/>
      <w:bookmarkEnd w:id="3044"/>
      <w:bookmarkStart w:id="3045" w:name="_Toc47375501"/>
      <w:bookmarkEnd w:id="3045"/>
      <w:bookmarkStart w:id="3046" w:name="_Toc47467074"/>
      <w:bookmarkEnd w:id="3046"/>
      <w:bookmarkStart w:id="3047" w:name="_Toc47428478"/>
      <w:bookmarkEnd w:id="3047"/>
      <w:bookmarkStart w:id="3048" w:name="_Toc47375537"/>
      <w:bookmarkEnd w:id="3048"/>
      <w:bookmarkStart w:id="3049" w:name="_Toc47427173"/>
      <w:bookmarkEnd w:id="3049"/>
      <w:bookmarkStart w:id="3050" w:name="_Toc47466000"/>
      <w:bookmarkEnd w:id="3050"/>
      <w:bookmarkStart w:id="3051" w:name="_Toc47458492"/>
      <w:bookmarkEnd w:id="3051"/>
      <w:bookmarkStart w:id="3052" w:name="_Toc47375510"/>
      <w:bookmarkEnd w:id="3052"/>
      <w:bookmarkStart w:id="3053" w:name="_Toc47458549"/>
      <w:bookmarkEnd w:id="3053"/>
      <w:bookmarkStart w:id="3054" w:name="_Toc47458497"/>
      <w:bookmarkEnd w:id="3054"/>
      <w:bookmarkStart w:id="3055" w:name="_Toc47428436"/>
      <w:bookmarkEnd w:id="3055"/>
      <w:bookmarkStart w:id="3056" w:name="_Toc47375493"/>
      <w:bookmarkEnd w:id="3056"/>
      <w:bookmarkStart w:id="3057" w:name="_Toc47458543"/>
      <w:bookmarkEnd w:id="3057"/>
      <w:bookmarkStart w:id="3058" w:name="_Toc47428483"/>
      <w:bookmarkEnd w:id="3058"/>
      <w:bookmarkStart w:id="3059" w:name="_Toc47458533"/>
      <w:bookmarkEnd w:id="3059"/>
      <w:bookmarkStart w:id="3060" w:name="_Toc47458544"/>
      <w:bookmarkEnd w:id="3060"/>
      <w:bookmarkStart w:id="3061" w:name="_Toc47427200"/>
      <w:bookmarkEnd w:id="3061"/>
      <w:bookmarkStart w:id="3062" w:name="_Toc47467156"/>
      <w:bookmarkEnd w:id="3062"/>
      <w:bookmarkStart w:id="3063" w:name="_Toc47427250"/>
      <w:bookmarkEnd w:id="3063"/>
      <w:bookmarkStart w:id="3064" w:name="_Toc47465978"/>
      <w:bookmarkEnd w:id="3064"/>
      <w:bookmarkStart w:id="3065" w:name="_Toc47428441"/>
      <w:bookmarkEnd w:id="3065"/>
      <w:bookmarkStart w:id="3066" w:name="_Toc47467137"/>
      <w:bookmarkEnd w:id="3066"/>
      <w:bookmarkStart w:id="3067" w:name="_Toc47375512"/>
      <w:bookmarkEnd w:id="3067"/>
      <w:bookmarkStart w:id="3068" w:name="_Toc47458484"/>
      <w:bookmarkEnd w:id="3068"/>
      <w:bookmarkStart w:id="3069" w:name="_Toc47467097"/>
      <w:bookmarkEnd w:id="3069"/>
      <w:bookmarkStart w:id="3070" w:name="_Toc47428513"/>
      <w:bookmarkEnd w:id="3070"/>
      <w:bookmarkStart w:id="3071" w:name="_Toc47458527"/>
      <w:bookmarkEnd w:id="3071"/>
      <w:bookmarkStart w:id="3072" w:name="_Toc47465957"/>
      <w:bookmarkEnd w:id="3072"/>
      <w:bookmarkStart w:id="3073" w:name="_Toc47428429"/>
      <w:bookmarkEnd w:id="3073"/>
      <w:bookmarkStart w:id="3074" w:name="_Toc47467054"/>
      <w:bookmarkEnd w:id="3074"/>
      <w:bookmarkStart w:id="3075" w:name="_Toc47458528"/>
      <w:bookmarkEnd w:id="3075"/>
      <w:bookmarkStart w:id="3076" w:name="_Toc47375524"/>
      <w:bookmarkEnd w:id="3076"/>
      <w:bookmarkStart w:id="3077" w:name="_Toc47465951"/>
      <w:bookmarkEnd w:id="3077"/>
      <w:bookmarkStart w:id="3078" w:name="_Toc47458548"/>
      <w:bookmarkEnd w:id="3078"/>
      <w:bookmarkStart w:id="3079" w:name="_Toc47427168"/>
      <w:bookmarkEnd w:id="3079"/>
      <w:bookmarkStart w:id="3080" w:name="_Toc47467145"/>
      <w:bookmarkEnd w:id="3080"/>
      <w:bookmarkStart w:id="3081" w:name="_Toc47465986"/>
      <w:bookmarkEnd w:id="3081"/>
      <w:bookmarkStart w:id="3082" w:name="_Toc47375538"/>
      <w:bookmarkEnd w:id="3082"/>
      <w:bookmarkStart w:id="3083" w:name="_Toc47466006"/>
      <w:bookmarkEnd w:id="3083"/>
      <w:bookmarkStart w:id="3084" w:name="_Toc47458505"/>
      <w:bookmarkEnd w:id="3084"/>
      <w:bookmarkStart w:id="3085" w:name="_Toc47428532"/>
      <w:bookmarkEnd w:id="3085"/>
      <w:bookmarkStart w:id="3086" w:name="_Toc47427214"/>
      <w:bookmarkEnd w:id="3086"/>
      <w:bookmarkStart w:id="3087" w:name="_Toc47375589"/>
      <w:bookmarkEnd w:id="3087"/>
      <w:bookmarkStart w:id="3088" w:name="_Toc47375513"/>
      <w:bookmarkEnd w:id="3088"/>
      <w:bookmarkStart w:id="3089" w:name="_Toc47465950"/>
      <w:bookmarkEnd w:id="3089"/>
      <w:bookmarkStart w:id="3090" w:name="_Toc47467104"/>
      <w:bookmarkEnd w:id="3090"/>
      <w:bookmarkStart w:id="3091" w:name="_Toc47458474"/>
      <w:bookmarkEnd w:id="3091"/>
      <w:bookmarkStart w:id="3092" w:name="_Toc47467065"/>
      <w:bookmarkEnd w:id="3092"/>
      <w:bookmarkStart w:id="3093" w:name="_Toc47466033"/>
      <w:bookmarkEnd w:id="3093"/>
      <w:bookmarkStart w:id="3094" w:name="_Toc47428477"/>
      <w:bookmarkEnd w:id="3094"/>
      <w:bookmarkStart w:id="3095" w:name="_Toc47375584"/>
      <w:bookmarkEnd w:id="3095"/>
      <w:bookmarkStart w:id="3096" w:name="_Toc47458542"/>
      <w:bookmarkEnd w:id="3096"/>
      <w:bookmarkStart w:id="3097" w:name="_Toc47427160"/>
      <w:bookmarkEnd w:id="3097"/>
      <w:bookmarkStart w:id="3098" w:name="_Toc47375518"/>
      <w:bookmarkEnd w:id="3098"/>
      <w:bookmarkStart w:id="3099" w:name="_Toc47428527"/>
      <w:bookmarkEnd w:id="3099"/>
      <w:bookmarkStart w:id="3100" w:name="_Toc47428490"/>
      <w:bookmarkEnd w:id="3100"/>
      <w:bookmarkStart w:id="3101" w:name="_Toc47427219"/>
      <w:bookmarkEnd w:id="3101"/>
      <w:bookmarkStart w:id="3102" w:name="_Toc47427157"/>
      <w:bookmarkEnd w:id="3102"/>
      <w:bookmarkStart w:id="3103" w:name="_Toc47428424"/>
      <w:bookmarkEnd w:id="3103"/>
      <w:bookmarkStart w:id="3104" w:name="_Toc47465977"/>
      <w:bookmarkEnd w:id="3104"/>
      <w:bookmarkStart w:id="3105" w:name="_Toc47427252"/>
      <w:bookmarkEnd w:id="3105"/>
      <w:bookmarkStart w:id="3106" w:name="_Toc47375590"/>
      <w:bookmarkEnd w:id="3106"/>
      <w:bookmarkStart w:id="3107" w:name="_Toc47465943"/>
      <w:bookmarkEnd w:id="3107"/>
      <w:bookmarkStart w:id="3108" w:name="_Toc47466007"/>
      <w:bookmarkEnd w:id="3108"/>
      <w:bookmarkStart w:id="3109" w:name="_Toc47467096"/>
      <w:bookmarkEnd w:id="3109"/>
      <w:bookmarkStart w:id="3110" w:name="_Toc47427240"/>
      <w:bookmarkEnd w:id="3110"/>
      <w:bookmarkStart w:id="3111" w:name="_Toc47466026"/>
      <w:bookmarkEnd w:id="3111"/>
      <w:bookmarkStart w:id="3112" w:name="_Toc47458513"/>
      <w:bookmarkEnd w:id="3112"/>
      <w:bookmarkStart w:id="3113" w:name="_Toc47375531"/>
      <w:bookmarkEnd w:id="3113"/>
      <w:bookmarkStart w:id="3114" w:name="_Toc47467055"/>
      <w:bookmarkEnd w:id="3114"/>
      <w:bookmarkStart w:id="3115" w:name="_Toc44661492"/>
      <w:bookmarkEnd w:id="3115"/>
      <w:bookmarkStart w:id="3116" w:name="_Toc47458553"/>
      <w:bookmarkEnd w:id="3116"/>
      <w:bookmarkStart w:id="3117" w:name="_Toc47458491"/>
      <w:bookmarkEnd w:id="3117"/>
      <w:bookmarkStart w:id="3118" w:name="_Toc47458538"/>
      <w:bookmarkEnd w:id="3118"/>
      <w:bookmarkStart w:id="3119" w:name="_Toc47458532"/>
      <w:bookmarkEnd w:id="3119"/>
      <w:bookmarkStart w:id="3120" w:name="_Toc47467161"/>
      <w:bookmarkEnd w:id="3120"/>
      <w:bookmarkStart w:id="3121" w:name="_Toc47458551"/>
      <w:bookmarkEnd w:id="3121"/>
      <w:bookmarkStart w:id="3122" w:name="_Toc47427175"/>
      <w:bookmarkEnd w:id="3122"/>
      <w:bookmarkStart w:id="3123" w:name="_Toc47458446"/>
      <w:bookmarkEnd w:id="3123"/>
      <w:bookmarkStart w:id="3124" w:name="_Toc47427266"/>
      <w:bookmarkEnd w:id="3124"/>
      <w:bookmarkStart w:id="3125" w:name="_Toc47375549"/>
      <w:bookmarkEnd w:id="3125"/>
      <w:bookmarkStart w:id="3126" w:name="_Toc47467079"/>
      <w:bookmarkEnd w:id="3126"/>
      <w:bookmarkStart w:id="3127" w:name="_Toc47375539"/>
      <w:bookmarkEnd w:id="3127"/>
      <w:bookmarkStart w:id="3128" w:name="_Toc47375556"/>
      <w:bookmarkEnd w:id="3128"/>
      <w:bookmarkStart w:id="3129" w:name="_Toc47466030"/>
      <w:bookmarkEnd w:id="3129"/>
      <w:bookmarkStart w:id="3130" w:name="_Toc47466009"/>
      <w:bookmarkEnd w:id="3130"/>
      <w:bookmarkStart w:id="3131" w:name="_Toc47467109"/>
      <w:bookmarkEnd w:id="3131"/>
      <w:bookmarkStart w:id="3132" w:name="_Toc47458535"/>
      <w:bookmarkEnd w:id="3132"/>
      <w:bookmarkStart w:id="3133" w:name="_Toc47428512"/>
      <w:bookmarkEnd w:id="3133"/>
      <w:bookmarkStart w:id="3134" w:name="_Toc47458487"/>
      <w:bookmarkEnd w:id="3134"/>
      <w:bookmarkStart w:id="3135" w:name="_Toc47427267"/>
      <w:bookmarkEnd w:id="3135"/>
      <w:bookmarkStart w:id="3136" w:name="_Toc47466034"/>
      <w:bookmarkEnd w:id="3136"/>
      <w:bookmarkStart w:id="3137" w:name="_Toc47467133"/>
      <w:bookmarkEnd w:id="3137"/>
      <w:bookmarkStart w:id="3138" w:name="_Toc47427192"/>
      <w:bookmarkEnd w:id="3138"/>
      <w:bookmarkStart w:id="3139" w:name="_Toc47465967"/>
      <w:bookmarkEnd w:id="3139"/>
      <w:bookmarkStart w:id="3140" w:name="_Toc47428430"/>
      <w:bookmarkEnd w:id="3140"/>
      <w:bookmarkStart w:id="3141" w:name="_Toc47465944"/>
      <w:bookmarkEnd w:id="3141"/>
      <w:bookmarkStart w:id="3142" w:name="_Toc47465996"/>
      <w:bookmarkEnd w:id="3142"/>
      <w:bookmarkStart w:id="3143" w:name="_Toc47465979"/>
      <w:bookmarkEnd w:id="3143"/>
      <w:bookmarkStart w:id="3144" w:name="_Toc47428493"/>
      <w:bookmarkEnd w:id="3144"/>
      <w:bookmarkStart w:id="3145" w:name="_Toc47375492"/>
      <w:bookmarkEnd w:id="3145"/>
      <w:bookmarkStart w:id="3146" w:name="_Toc47465994"/>
      <w:bookmarkEnd w:id="3146"/>
      <w:bookmarkStart w:id="3147" w:name="_Toc47375508"/>
      <w:bookmarkEnd w:id="3147"/>
      <w:bookmarkStart w:id="3148" w:name="_Toc47467135"/>
      <w:bookmarkEnd w:id="3148"/>
      <w:bookmarkStart w:id="3149" w:name="_Toc47458534"/>
      <w:bookmarkEnd w:id="3149"/>
      <w:bookmarkStart w:id="3150" w:name="_Toc47465952"/>
      <w:bookmarkEnd w:id="3150"/>
      <w:bookmarkStart w:id="3151" w:name="_Toc47465946"/>
      <w:bookmarkEnd w:id="3151"/>
      <w:bookmarkStart w:id="3152" w:name="_Toc44666378"/>
      <w:bookmarkEnd w:id="3152"/>
      <w:bookmarkStart w:id="3153" w:name="_Toc47428507"/>
      <w:bookmarkEnd w:id="3153"/>
      <w:bookmarkStart w:id="3154" w:name="_Toc47427158"/>
      <w:bookmarkEnd w:id="3154"/>
      <w:bookmarkStart w:id="3155" w:name="_Toc47427203"/>
      <w:bookmarkEnd w:id="3155"/>
      <w:bookmarkStart w:id="3156" w:name="_Toc47458452"/>
      <w:bookmarkEnd w:id="3156"/>
      <w:bookmarkStart w:id="3157" w:name="_Toc47427257"/>
      <w:bookmarkEnd w:id="3157"/>
      <w:bookmarkStart w:id="3158" w:name="_Toc47467058"/>
      <w:bookmarkEnd w:id="3158"/>
      <w:bookmarkStart w:id="3159" w:name="_Toc47375515"/>
      <w:bookmarkEnd w:id="3159"/>
      <w:bookmarkStart w:id="3160" w:name="_Toc47428518"/>
      <w:bookmarkEnd w:id="3160"/>
      <w:bookmarkStart w:id="3161" w:name="_Toc47467080"/>
      <w:bookmarkEnd w:id="3161"/>
      <w:bookmarkStart w:id="3162" w:name="_Toc47375544"/>
      <w:bookmarkEnd w:id="3162"/>
      <w:bookmarkStart w:id="3163" w:name="_Toc47427186"/>
      <w:bookmarkEnd w:id="3163"/>
      <w:bookmarkStart w:id="3164" w:name="_Toc47466036"/>
      <w:bookmarkEnd w:id="3164"/>
      <w:bookmarkStart w:id="3165" w:name="_Toc47427185"/>
      <w:bookmarkEnd w:id="3165"/>
      <w:bookmarkStart w:id="3166" w:name="_Toc47467107"/>
      <w:bookmarkEnd w:id="3166"/>
      <w:bookmarkStart w:id="3167" w:name="_Toc47458495"/>
      <w:bookmarkEnd w:id="3167"/>
      <w:bookmarkStart w:id="3168" w:name="_Toc47466028"/>
      <w:bookmarkEnd w:id="3168"/>
      <w:bookmarkStart w:id="3169" w:name="_Toc47428535"/>
      <w:bookmarkEnd w:id="3169"/>
      <w:bookmarkStart w:id="3170" w:name="_Toc47375591"/>
      <w:bookmarkEnd w:id="3170"/>
      <w:bookmarkStart w:id="3171" w:name="_Toc47458540"/>
      <w:bookmarkEnd w:id="3171"/>
      <w:bookmarkStart w:id="3172" w:name="_Toc47467072"/>
      <w:bookmarkEnd w:id="3172"/>
      <w:bookmarkStart w:id="3173" w:name="_Toc47467152"/>
      <w:bookmarkEnd w:id="3173"/>
      <w:bookmarkStart w:id="3174" w:name="_Toc47427193"/>
      <w:bookmarkEnd w:id="3174"/>
      <w:bookmarkStart w:id="3175" w:name="_Toc47428476"/>
      <w:bookmarkEnd w:id="3175"/>
      <w:bookmarkStart w:id="3176" w:name="_Toc47375521"/>
      <w:bookmarkEnd w:id="3176"/>
      <w:bookmarkStart w:id="3177" w:name="_Toc47467099"/>
      <w:bookmarkEnd w:id="3177"/>
      <w:bookmarkStart w:id="3178" w:name="_Toc47458498"/>
      <w:bookmarkEnd w:id="3178"/>
      <w:bookmarkStart w:id="3179" w:name="_Toc47427255"/>
      <w:bookmarkEnd w:id="3179"/>
      <w:bookmarkStart w:id="3180" w:name="_Toc47375595"/>
      <w:bookmarkEnd w:id="3180"/>
      <w:bookmarkStart w:id="3181" w:name="_Toc47427218"/>
      <w:bookmarkEnd w:id="3181"/>
      <w:bookmarkStart w:id="3182" w:name="_Toc47375496"/>
      <w:bookmarkEnd w:id="3182"/>
      <w:bookmarkStart w:id="3183" w:name="_Toc47467108"/>
      <w:bookmarkEnd w:id="3183"/>
      <w:bookmarkStart w:id="3184" w:name="_Toc47428491"/>
      <w:bookmarkEnd w:id="3184"/>
      <w:bookmarkStart w:id="3185" w:name="_Toc47427224"/>
      <w:bookmarkEnd w:id="3185"/>
      <w:bookmarkStart w:id="3186" w:name="_Toc47458511"/>
      <w:bookmarkEnd w:id="3186"/>
      <w:bookmarkStart w:id="3187" w:name="_Toc47458494"/>
      <w:bookmarkEnd w:id="3187"/>
      <w:bookmarkStart w:id="3188" w:name="_Toc47458475"/>
      <w:bookmarkEnd w:id="3188"/>
      <w:bookmarkStart w:id="3189" w:name="_Toc47427221"/>
      <w:bookmarkEnd w:id="3189"/>
      <w:bookmarkStart w:id="3190" w:name="_Toc47458458"/>
      <w:bookmarkEnd w:id="3190"/>
      <w:bookmarkStart w:id="3191" w:name="_Toc47428531"/>
      <w:bookmarkEnd w:id="3191"/>
      <w:bookmarkStart w:id="3192" w:name="_Toc47458501"/>
      <w:bookmarkEnd w:id="3192"/>
      <w:bookmarkStart w:id="3193" w:name="_Toc47458547"/>
      <w:bookmarkEnd w:id="3193"/>
      <w:bookmarkStart w:id="3194" w:name="_Toc47427238"/>
      <w:bookmarkEnd w:id="3194"/>
      <w:bookmarkStart w:id="3195" w:name="_Toc47427166"/>
      <w:bookmarkEnd w:id="3195"/>
      <w:bookmarkStart w:id="3196" w:name="_Toc47458447"/>
      <w:bookmarkEnd w:id="3196"/>
      <w:bookmarkStart w:id="3197" w:name="_Toc47375514"/>
      <w:bookmarkEnd w:id="3197"/>
      <w:bookmarkStart w:id="3198" w:name="_Toc47375542"/>
      <w:bookmarkEnd w:id="3198"/>
      <w:bookmarkStart w:id="3199" w:name="_Toc47458512"/>
      <w:bookmarkEnd w:id="3199"/>
      <w:bookmarkStart w:id="3200" w:name="_Toc47467123"/>
      <w:bookmarkEnd w:id="3200"/>
      <w:bookmarkStart w:id="3201" w:name="_Toc47467130"/>
      <w:bookmarkEnd w:id="3201"/>
      <w:bookmarkStart w:id="3202" w:name="_Toc47465989"/>
      <w:bookmarkEnd w:id="3202"/>
      <w:bookmarkStart w:id="3203" w:name="_Toc47458521"/>
      <w:bookmarkEnd w:id="3203"/>
      <w:bookmarkStart w:id="3204" w:name="_Toc47375535"/>
      <w:bookmarkEnd w:id="3204"/>
      <w:bookmarkStart w:id="3205" w:name="_Toc47466019"/>
      <w:bookmarkEnd w:id="3205"/>
      <w:bookmarkStart w:id="3206" w:name="_Toc47428463"/>
      <w:bookmarkEnd w:id="3206"/>
      <w:bookmarkStart w:id="3207" w:name="_Toc47467061"/>
      <w:bookmarkEnd w:id="3207"/>
      <w:bookmarkStart w:id="3208" w:name="_Toc47458522"/>
      <w:bookmarkEnd w:id="3208"/>
      <w:bookmarkStart w:id="3209" w:name="_Toc47427211"/>
      <w:bookmarkEnd w:id="3209"/>
      <w:bookmarkStart w:id="3210" w:name="_Toc47458471"/>
      <w:bookmarkEnd w:id="3210"/>
      <w:bookmarkStart w:id="3211" w:name="_Toc47428456"/>
      <w:bookmarkEnd w:id="3211"/>
      <w:bookmarkStart w:id="3212" w:name="_Toc47427245"/>
      <w:bookmarkEnd w:id="3212"/>
      <w:bookmarkStart w:id="3213" w:name="_Toc47465993"/>
      <w:bookmarkEnd w:id="3213"/>
      <w:bookmarkStart w:id="3214" w:name="_Toc47458518"/>
      <w:bookmarkEnd w:id="3214"/>
      <w:bookmarkStart w:id="3215" w:name="_Toc44666417"/>
      <w:bookmarkEnd w:id="3215"/>
      <w:bookmarkStart w:id="3216" w:name="_Toc47458554"/>
      <w:bookmarkEnd w:id="3216"/>
      <w:bookmarkStart w:id="3217" w:name="_Toc47427180"/>
      <w:bookmarkEnd w:id="3217"/>
      <w:bookmarkStart w:id="3218" w:name="_Toc47427223"/>
      <w:bookmarkEnd w:id="3218"/>
      <w:bookmarkStart w:id="3219" w:name="_Toc47375598"/>
      <w:bookmarkEnd w:id="3219"/>
      <w:bookmarkStart w:id="3220" w:name="_Toc47427268"/>
      <w:bookmarkEnd w:id="3220"/>
      <w:bookmarkStart w:id="3221" w:name="_Toc47428444"/>
      <w:bookmarkEnd w:id="3221"/>
      <w:bookmarkStart w:id="3222" w:name="_Toc47427210"/>
      <w:bookmarkEnd w:id="3222"/>
      <w:bookmarkStart w:id="3223" w:name="_Toc47458444"/>
      <w:bookmarkEnd w:id="3223"/>
      <w:bookmarkStart w:id="3224" w:name="_Toc47465987"/>
      <w:bookmarkEnd w:id="3224"/>
      <w:bookmarkStart w:id="3225" w:name="_Toc47467128"/>
      <w:bookmarkEnd w:id="3225"/>
      <w:bookmarkStart w:id="3226" w:name="_Toc47466039"/>
      <w:bookmarkEnd w:id="3226"/>
      <w:bookmarkStart w:id="3227" w:name="_Toc47375500"/>
      <w:bookmarkEnd w:id="3227"/>
      <w:bookmarkStart w:id="3228" w:name="_Toc47427172"/>
      <w:bookmarkEnd w:id="3228"/>
      <w:bookmarkStart w:id="3229" w:name="_Toc47428492"/>
      <w:bookmarkEnd w:id="3229"/>
      <w:bookmarkStart w:id="3230" w:name="_Toc47467083"/>
      <w:bookmarkEnd w:id="3230"/>
      <w:bookmarkStart w:id="3231" w:name="_Toc47467154"/>
      <w:bookmarkEnd w:id="3231"/>
      <w:bookmarkStart w:id="3232" w:name="_Toc47427258"/>
      <w:bookmarkEnd w:id="3232"/>
      <w:bookmarkStart w:id="3233" w:name="_Toc47427239"/>
      <w:bookmarkEnd w:id="3233"/>
      <w:bookmarkStart w:id="3234" w:name="_Toc47466031"/>
      <w:bookmarkEnd w:id="3234"/>
      <w:bookmarkStart w:id="3235" w:name="_Toc47428431"/>
      <w:bookmarkEnd w:id="3235"/>
      <w:bookmarkStart w:id="3236" w:name="_Toc47465962"/>
      <w:bookmarkEnd w:id="3236"/>
      <w:bookmarkStart w:id="3237" w:name="_Toc47375583"/>
      <w:bookmarkEnd w:id="3237"/>
      <w:bookmarkStart w:id="3238" w:name="_Toc47465969"/>
      <w:bookmarkEnd w:id="3238"/>
      <w:bookmarkStart w:id="3239" w:name="_Toc47467159"/>
      <w:bookmarkEnd w:id="3239"/>
      <w:bookmarkStart w:id="3240" w:name="_Toc47375593"/>
      <w:bookmarkEnd w:id="3240"/>
      <w:bookmarkStart w:id="3241" w:name="_Toc47466011"/>
      <w:bookmarkEnd w:id="3241"/>
      <w:bookmarkStart w:id="3242" w:name="_Toc47428435"/>
      <w:bookmarkEnd w:id="3242"/>
      <w:bookmarkStart w:id="3243" w:name="_Toc47458536"/>
      <w:bookmarkEnd w:id="3243"/>
      <w:bookmarkStart w:id="3244" w:name="_Toc47465990"/>
      <w:bookmarkEnd w:id="3244"/>
      <w:bookmarkStart w:id="3245" w:name="_Toc47427184"/>
      <w:bookmarkEnd w:id="3245"/>
      <w:bookmarkStart w:id="3246" w:name="_Toc47465981"/>
      <w:bookmarkEnd w:id="3246"/>
      <w:bookmarkStart w:id="3247" w:name="_Toc47458515"/>
      <w:bookmarkEnd w:id="3247"/>
      <w:bookmarkStart w:id="3248" w:name="_Toc44688501"/>
      <w:bookmarkEnd w:id="3248"/>
      <w:bookmarkStart w:id="3249" w:name="_Toc47458460"/>
      <w:bookmarkEnd w:id="3249"/>
      <w:bookmarkStart w:id="3250" w:name="_Toc47375578"/>
      <w:bookmarkEnd w:id="3250"/>
      <w:bookmarkStart w:id="3251" w:name="_Toc47466037"/>
      <w:bookmarkEnd w:id="3251"/>
      <w:bookmarkStart w:id="3252" w:name="_Toc47458466"/>
      <w:bookmarkEnd w:id="3252"/>
      <w:bookmarkStart w:id="3253" w:name="_Toc47375502"/>
      <w:bookmarkEnd w:id="3253"/>
      <w:bookmarkStart w:id="3254" w:name="_Toc47428443"/>
      <w:bookmarkEnd w:id="3254"/>
      <w:bookmarkStart w:id="3255" w:name="_Toc47467111"/>
      <w:bookmarkEnd w:id="3255"/>
      <w:bookmarkStart w:id="3256" w:name="_Toc47375559"/>
      <w:bookmarkEnd w:id="3256"/>
      <w:bookmarkStart w:id="3257" w:name="_Toc47466032"/>
      <w:bookmarkEnd w:id="3257"/>
      <w:bookmarkStart w:id="3258" w:name="_Toc47467101"/>
      <w:bookmarkEnd w:id="3258"/>
      <w:bookmarkStart w:id="3259" w:name="_Toc47465999"/>
      <w:bookmarkEnd w:id="3259"/>
      <w:bookmarkStart w:id="3260" w:name="_Toc47465982"/>
      <w:bookmarkEnd w:id="3260"/>
      <w:bookmarkStart w:id="3261" w:name="_Toc47458482"/>
      <w:bookmarkEnd w:id="3261"/>
      <w:bookmarkStart w:id="3262" w:name="_Toc47428525"/>
      <w:bookmarkEnd w:id="3262"/>
      <w:bookmarkStart w:id="3263" w:name="_Toc47375545"/>
      <w:bookmarkEnd w:id="3263"/>
      <w:bookmarkStart w:id="3264" w:name="_Toc47427174"/>
      <w:bookmarkEnd w:id="3264"/>
      <w:bookmarkStart w:id="3265" w:name="_Toc47375552"/>
      <w:bookmarkEnd w:id="3265"/>
      <w:bookmarkStart w:id="3266" w:name="_Toc47375503"/>
      <w:bookmarkEnd w:id="3266"/>
      <w:bookmarkStart w:id="3267" w:name="_Toc47375573"/>
      <w:bookmarkEnd w:id="3267"/>
      <w:bookmarkStart w:id="3268" w:name="_Toc47467116"/>
      <w:bookmarkEnd w:id="3268"/>
      <w:bookmarkStart w:id="3269" w:name="_Toc47458510"/>
      <w:bookmarkEnd w:id="3269"/>
      <w:bookmarkStart w:id="3270" w:name="_Toc47428502"/>
      <w:bookmarkEnd w:id="3270"/>
      <w:bookmarkStart w:id="3271" w:name="_Toc47375597"/>
      <w:bookmarkEnd w:id="3271"/>
      <w:bookmarkStart w:id="3272" w:name="_Toc47465980"/>
      <w:bookmarkEnd w:id="3272"/>
      <w:bookmarkStart w:id="3273" w:name="_Toc47428438"/>
      <w:bookmarkEnd w:id="3273"/>
      <w:bookmarkStart w:id="3274" w:name="_Toc47427261"/>
      <w:bookmarkEnd w:id="3274"/>
      <w:bookmarkStart w:id="3275" w:name="_Toc47465961"/>
      <w:bookmarkEnd w:id="3275"/>
      <w:bookmarkStart w:id="3276" w:name="_Toc47427197"/>
      <w:bookmarkEnd w:id="3276"/>
      <w:bookmarkStart w:id="3277" w:name="_Toc47467147"/>
      <w:bookmarkEnd w:id="3277"/>
      <w:bookmarkStart w:id="3278" w:name="_Toc47467146"/>
      <w:bookmarkEnd w:id="3278"/>
      <w:bookmarkStart w:id="3279" w:name="_Toc47427247"/>
      <w:bookmarkEnd w:id="3279"/>
      <w:bookmarkStart w:id="3280" w:name="_Toc47458453"/>
      <w:bookmarkEnd w:id="3280"/>
      <w:bookmarkStart w:id="3281" w:name="_Toc47428482"/>
      <w:bookmarkEnd w:id="3281"/>
      <w:bookmarkStart w:id="3282" w:name="_Toc47458462"/>
      <w:bookmarkEnd w:id="3282"/>
      <w:bookmarkStart w:id="3283" w:name="_Toc47465955"/>
      <w:bookmarkEnd w:id="3283"/>
      <w:bookmarkStart w:id="3284" w:name="_Toc47465972"/>
      <w:bookmarkEnd w:id="3284"/>
      <w:bookmarkStart w:id="3285" w:name="_Toc47375567"/>
      <w:bookmarkEnd w:id="3285"/>
      <w:bookmarkStart w:id="3286" w:name="_Toc47375495"/>
      <w:bookmarkEnd w:id="3286"/>
      <w:bookmarkStart w:id="3287" w:name="_Toc47458539"/>
      <w:bookmarkEnd w:id="3287"/>
      <w:bookmarkStart w:id="3288" w:name="_Toc47427235"/>
      <w:bookmarkEnd w:id="3288"/>
      <w:bookmarkStart w:id="3289" w:name="_Toc47428457"/>
      <w:bookmarkEnd w:id="3289"/>
      <w:bookmarkStart w:id="3290" w:name="_Toc47466003"/>
      <w:bookmarkEnd w:id="3290"/>
      <w:bookmarkStart w:id="3291" w:name="_Toc47428508"/>
      <w:bookmarkEnd w:id="3291"/>
      <w:bookmarkStart w:id="3292" w:name="_Toc47458457"/>
      <w:bookmarkEnd w:id="3292"/>
      <w:bookmarkStart w:id="3293" w:name="_Toc47465942"/>
      <w:bookmarkEnd w:id="3293"/>
      <w:bookmarkStart w:id="3294" w:name="_Toc47375548"/>
      <w:bookmarkEnd w:id="3294"/>
      <w:bookmarkStart w:id="3295" w:name="_Toc47428522"/>
      <w:bookmarkEnd w:id="3295"/>
      <w:bookmarkStart w:id="3296" w:name="_Toc47467062"/>
      <w:bookmarkEnd w:id="3296"/>
      <w:bookmarkStart w:id="3297" w:name="_Toc47458455"/>
      <w:bookmarkEnd w:id="3297"/>
      <w:bookmarkStart w:id="3298" w:name="_Toc47465968"/>
      <w:bookmarkEnd w:id="3298"/>
      <w:bookmarkStart w:id="3299" w:name="_Toc47466045"/>
      <w:bookmarkEnd w:id="3299"/>
      <w:bookmarkStart w:id="3300" w:name="_Toc47428473"/>
      <w:bookmarkEnd w:id="3300"/>
      <w:bookmarkStart w:id="3301" w:name="_Toc47465948"/>
      <w:bookmarkEnd w:id="3301"/>
      <w:bookmarkStart w:id="3302" w:name="_Toc47467162"/>
      <w:bookmarkEnd w:id="3302"/>
      <w:bookmarkStart w:id="3303" w:name="_Toc47467121"/>
      <w:bookmarkEnd w:id="3303"/>
      <w:bookmarkStart w:id="3304" w:name="_Toc47375534"/>
      <w:bookmarkEnd w:id="3304"/>
      <w:bookmarkStart w:id="3305" w:name="_Toc47428529"/>
      <w:bookmarkEnd w:id="3305"/>
      <w:bookmarkStart w:id="3306" w:name="_Toc47428453"/>
      <w:bookmarkEnd w:id="3306"/>
      <w:bookmarkStart w:id="3307" w:name="_Toc47467098"/>
      <w:bookmarkEnd w:id="3307"/>
      <w:bookmarkStart w:id="3308" w:name="_Toc47467086"/>
      <w:bookmarkEnd w:id="3308"/>
      <w:bookmarkStart w:id="3309" w:name="_Toc47427191"/>
      <w:bookmarkEnd w:id="3309"/>
      <w:bookmarkStart w:id="3310" w:name="_Toc47467163"/>
      <w:bookmarkEnd w:id="3310"/>
      <w:bookmarkStart w:id="3311" w:name="_Toc47466043"/>
      <w:bookmarkEnd w:id="3311"/>
      <w:bookmarkStart w:id="3312" w:name="_Toc47427198"/>
      <w:bookmarkEnd w:id="3312"/>
      <w:bookmarkStart w:id="3313" w:name="_Toc47466024"/>
      <w:bookmarkEnd w:id="3313"/>
      <w:bookmarkStart w:id="3314" w:name="_Toc47428494"/>
      <w:bookmarkEnd w:id="3314"/>
      <w:bookmarkStart w:id="3315" w:name="_Toc47428471"/>
      <w:bookmarkEnd w:id="3315"/>
      <w:bookmarkStart w:id="3316" w:name="_Toc47428449"/>
      <w:bookmarkEnd w:id="3316"/>
      <w:bookmarkStart w:id="3317" w:name="_Toc47458465"/>
      <w:bookmarkEnd w:id="3317"/>
      <w:bookmarkStart w:id="3318" w:name="_Toc47466022"/>
      <w:bookmarkEnd w:id="3318"/>
      <w:bookmarkStart w:id="3319" w:name="_Toc47427188"/>
      <w:bookmarkEnd w:id="3319"/>
      <w:bookmarkStart w:id="3320" w:name="_Toc47427246"/>
      <w:bookmarkEnd w:id="3320"/>
      <w:bookmarkStart w:id="3321" w:name="_Toc44666375"/>
      <w:bookmarkEnd w:id="3321"/>
      <w:bookmarkStart w:id="3322" w:name="_Toc47458500"/>
      <w:bookmarkEnd w:id="3322"/>
      <w:bookmarkStart w:id="3323" w:name="_Toc47467140"/>
      <w:bookmarkEnd w:id="3323"/>
      <w:bookmarkStart w:id="3324" w:name="_Toc47428485"/>
      <w:bookmarkEnd w:id="3324"/>
      <w:bookmarkStart w:id="3325" w:name="_Toc47427216"/>
      <w:bookmarkEnd w:id="3325"/>
      <w:bookmarkStart w:id="3326" w:name="_Toc47458504"/>
      <w:bookmarkEnd w:id="3326"/>
      <w:bookmarkStart w:id="3327" w:name="_Toc47375571"/>
      <w:bookmarkEnd w:id="3327"/>
      <w:bookmarkStart w:id="3328" w:name="_Toc47467078"/>
      <w:bookmarkEnd w:id="3328"/>
      <w:bookmarkStart w:id="3329" w:name="_Toc47465985"/>
      <w:bookmarkEnd w:id="3329"/>
      <w:bookmarkStart w:id="3330" w:name="_Toc47427241"/>
      <w:bookmarkEnd w:id="3330"/>
      <w:bookmarkStart w:id="3331" w:name="_Toc47427230"/>
      <w:bookmarkEnd w:id="3331"/>
      <w:bookmarkStart w:id="3332" w:name="_Toc47428515"/>
      <w:bookmarkEnd w:id="3332"/>
      <w:bookmarkStart w:id="3333" w:name="_Toc47467070"/>
      <w:bookmarkEnd w:id="3333"/>
      <w:bookmarkStart w:id="3334" w:name="_Toc47465991"/>
      <w:bookmarkEnd w:id="3334"/>
      <w:bookmarkStart w:id="3335" w:name="_Toc47427159"/>
      <w:bookmarkEnd w:id="3335"/>
      <w:bookmarkStart w:id="3336" w:name="_Toc47467122"/>
      <w:bookmarkEnd w:id="3336"/>
      <w:bookmarkStart w:id="3337" w:name="_Toc47375529"/>
      <w:bookmarkEnd w:id="3337"/>
      <w:bookmarkStart w:id="3338" w:name="_Toc47375596"/>
      <w:bookmarkEnd w:id="3338"/>
      <w:bookmarkStart w:id="3339" w:name="_Toc47466041"/>
      <w:bookmarkEnd w:id="3339"/>
      <w:bookmarkStart w:id="3340" w:name="_Toc47466023"/>
      <w:bookmarkEnd w:id="3340"/>
      <w:bookmarkStart w:id="3341" w:name="_Toc47428497"/>
      <w:bookmarkEnd w:id="3341"/>
      <w:bookmarkStart w:id="3342" w:name="_Toc47428461"/>
      <w:bookmarkEnd w:id="3342"/>
      <w:bookmarkStart w:id="3343" w:name="_Toc47427236"/>
      <w:bookmarkEnd w:id="3343"/>
      <w:bookmarkStart w:id="3344" w:name="_Toc47466047"/>
      <w:bookmarkEnd w:id="3344"/>
      <w:bookmarkStart w:id="3345" w:name="_Toc47428446"/>
      <w:bookmarkEnd w:id="3345"/>
      <w:bookmarkStart w:id="3346" w:name="_Toc47467087"/>
      <w:bookmarkEnd w:id="3346"/>
      <w:bookmarkStart w:id="3347" w:name="_Toc47428480"/>
      <w:bookmarkEnd w:id="3347"/>
      <w:bookmarkStart w:id="3348" w:name="_Toc47458550"/>
      <w:bookmarkEnd w:id="3348"/>
      <w:bookmarkStart w:id="3349" w:name="_Toc47428510"/>
      <w:bookmarkEnd w:id="3349"/>
      <w:bookmarkStart w:id="3350" w:name="_Toc47375543"/>
      <w:bookmarkEnd w:id="3350"/>
      <w:bookmarkStart w:id="3351" w:name="_Toc47428498"/>
      <w:bookmarkEnd w:id="3351"/>
      <w:bookmarkStart w:id="3352" w:name="_Toc47375489"/>
      <w:bookmarkEnd w:id="3352"/>
      <w:bookmarkStart w:id="3353" w:name="_Toc44688502"/>
      <w:bookmarkEnd w:id="3353"/>
      <w:bookmarkStart w:id="3354" w:name="_Toc47375526"/>
      <w:bookmarkEnd w:id="3354"/>
      <w:bookmarkStart w:id="3355" w:name="_Toc47427178"/>
      <w:bookmarkEnd w:id="3355"/>
      <w:bookmarkStart w:id="3356" w:name="_Toc47375516"/>
      <w:bookmarkEnd w:id="3356"/>
      <w:bookmarkStart w:id="3357" w:name="_Toc47375579"/>
      <w:bookmarkEnd w:id="3357"/>
      <w:bookmarkStart w:id="3358" w:name="_Toc47458523"/>
      <w:bookmarkEnd w:id="3358"/>
      <w:bookmarkStart w:id="3359" w:name="_Toc47428496"/>
      <w:bookmarkEnd w:id="3359"/>
      <w:bookmarkStart w:id="3360" w:name="_Toc47466017"/>
      <w:bookmarkEnd w:id="3360"/>
      <w:bookmarkStart w:id="3361" w:name="_Toc47467127"/>
      <w:bookmarkEnd w:id="3361"/>
      <w:bookmarkStart w:id="3362" w:name="_Toc47427206"/>
      <w:bookmarkEnd w:id="3362"/>
      <w:bookmarkStart w:id="3363" w:name="_Toc47458519"/>
      <w:bookmarkEnd w:id="3363"/>
      <w:bookmarkStart w:id="3364" w:name="_Toc47428440"/>
      <w:bookmarkEnd w:id="3364"/>
      <w:bookmarkStart w:id="3365" w:name="_Toc47467060"/>
      <w:bookmarkEnd w:id="3365"/>
      <w:bookmarkStart w:id="3366" w:name="_Toc47428432"/>
      <w:bookmarkEnd w:id="3366"/>
      <w:bookmarkStart w:id="3367" w:name="_Toc47458476"/>
      <w:bookmarkEnd w:id="3367"/>
      <w:bookmarkStart w:id="3368" w:name="_Toc47427196"/>
      <w:bookmarkEnd w:id="3368"/>
      <w:bookmarkStart w:id="3369" w:name="_Toc47427170"/>
      <w:bookmarkEnd w:id="3369"/>
      <w:bookmarkStart w:id="3370" w:name="_Toc47467110"/>
      <w:bookmarkEnd w:id="3370"/>
      <w:bookmarkStart w:id="3371" w:name="_Toc47466004"/>
      <w:bookmarkEnd w:id="3371"/>
      <w:bookmarkStart w:id="3372" w:name="_Toc47465992"/>
      <w:bookmarkEnd w:id="3372"/>
      <w:bookmarkStart w:id="3373" w:name="_Toc47427169"/>
      <w:bookmarkEnd w:id="3373"/>
      <w:bookmarkStart w:id="3374" w:name="_Toc47375490"/>
      <w:bookmarkEnd w:id="3374"/>
      <w:bookmarkStart w:id="3375" w:name="_Toc47427243"/>
      <w:bookmarkEnd w:id="3375"/>
      <w:bookmarkStart w:id="3376" w:name="_Toc47428509"/>
      <w:bookmarkEnd w:id="3376"/>
      <w:bookmarkStart w:id="3377" w:name="_Toc47428505"/>
      <w:bookmarkEnd w:id="3377"/>
      <w:bookmarkStart w:id="3378" w:name="_Toc47375511"/>
      <w:bookmarkEnd w:id="3378"/>
      <w:bookmarkStart w:id="3379" w:name="_Toc47428511"/>
      <w:bookmarkEnd w:id="3379"/>
      <w:bookmarkStart w:id="3380" w:name="_Toc47467138"/>
      <w:bookmarkEnd w:id="3380"/>
      <w:bookmarkStart w:id="3381" w:name="_Toc47375551"/>
      <w:bookmarkEnd w:id="3381"/>
      <w:bookmarkStart w:id="3382" w:name="_Toc47427165"/>
      <w:bookmarkEnd w:id="3382"/>
      <w:bookmarkStart w:id="3383" w:name="_Toc47427187"/>
      <w:bookmarkEnd w:id="3383"/>
      <w:bookmarkStart w:id="3384" w:name="_Toc47467053"/>
      <w:bookmarkEnd w:id="3384"/>
      <w:bookmarkStart w:id="3385" w:name="_Toc47428523"/>
      <w:bookmarkEnd w:id="3385"/>
      <w:bookmarkStart w:id="3386" w:name="_Toc47466005"/>
      <w:bookmarkEnd w:id="3386"/>
      <w:bookmarkStart w:id="3387" w:name="_Toc44666416"/>
      <w:bookmarkEnd w:id="3387"/>
      <w:bookmarkStart w:id="3388" w:name="_Toc47427201"/>
      <w:bookmarkEnd w:id="3388"/>
      <w:bookmarkStart w:id="3389" w:name="_Toc47465941"/>
      <w:bookmarkEnd w:id="3389"/>
      <w:bookmarkStart w:id="3390" w:name="_Toc47458451"/>
      <w:bookmarkEnd w:id="3390"/>
      <w:bookmarkStart w:id="3391" w:name="_Toc47458456"/>
      <w:bookmarkEnd w:id="3391"/>
      <w:bookmarkStart w:id="3392" w:name="_Toc47458493"/>
      <w:bookmarkEnd w:id="3392"/>
      <w:bookmarkStart w:id="3393" w:name="_Toc47466050"/>
      <w:bookmarkEnd w:id="3393"/>
      <w:bookmarkStart w:id="3394" w:name="_Toc44604465"/>
      <w:bookmarkEnd w:id="3394"/>
      <w:bookmarkStart w:id="3395" w:name="_Toc47458443"/>
      <w:bookmarkEnd w:id="3395"/>
      <w:bookmarkStart w:id="3396" w:name="_Toc47428454"/>
      <w:bookmarkEnd w:id="3396"/>
      <w:bookmarkStart w:id="3397" w:name="_Toc47375585"/>
      <w:bookmarkEnd w:id="3397"/>
      <w:bookmarkStart w:id="3398" w:name="_Toc47467151"/>
      <w:bookmarkEnd w:id="3398"/>
      <w:bookmarkStart w:id="3399" w:name="_Toc47428437"/>
      <w:bookmarkEnd w:id="3399"/>
      <w:bookmarkStart w:id="3400" w:name="_Toc47467136"/>
      <w:bookmarkEnd w:id="3400"/>
      <w:bookmarkStart w:id="3401" w:name="_Toc47375566"/>
      <w:bookmarkEnd w:id="3401"/>
      <w:bookmarkStart w:id="3402" w:name="_Toc47465998"/>
      <w:bookmarkEnd w:id="3402"/>
      <w:bookmarkStart w:id="3403" w:name="_Toc47467148"/>
      <w:bookmarkEnd w:id="3403"/>
      <w:bookmarkStart w:id="3404" w:name="_Toc47467082"/>
      <w:bookmarkEnd w:id="3404"/>
      <w:bookmarkStart w:id="3405" w:name="_Toc47375528"/>
      <w:bookmarkEnd w:id="3405"/>
      <w:bookmarkStart w:id="3406" w:name="_Toc47428484"/>
      <w:bookmarkEnd w:id="3406"/>
      <w:bookmarkStart w:id="3407" w:name="_Toc47458469"/>
      <w:bookmarkEnd w:id="3407"/>
      <w:bookmarkStart w:id="3408" w:name="_Toc47375581"/>
      <w:bookmarkEnd w:id="3408"/>
      <w:bookmarkStart w:id="3409" w:name="_Toc47458524"/>
      <w:bookmarkEnd w:id="3409"/>
      <w:bookmarkStart w:id="3410" w:name="_Toc47466035"/>
      <w:bookmarkEnd w:id="3410"/>
      <w:bookmarkStart w:id="3411" w:name="_Toc47428472"/>
      <w:bookmarkEnd w:id="3411"/>
      <w:bookmarkStart w:id="3412" w:name="_Toc47458449"/>
      <w:bookmarkEnd w:id="3412"/>
      <w:bookmarkStart w:id="3413" w:name="_Toc47467067"/>
      <w:bookmarkEnd w:id="3413"/>
      <w:bookmarkStart w:id="3414" w:name="_Toc47375547"/>
      <w:bookmarkEnd w:id="3414"/>
      <w:bookmarkStart w:id="3415" w:name="_Toc47427233"/>
      <w:bookmarkEnd w:id="3415"/>
      <w:bookmarkStart w:id="3416" w:name="_Toc44661493"/>
      <w:bookmarkEnd w:id="3416"/>
      <w:bookmarkStart w:id="3417" w:name="_Toc47427199"/>
      <w:bookmarkEnd w:id="3417"/>
      <w:bookmarkStart w:id="3418" w:name="_Toc47458459"/>
      <w:bookmarkEnd w:id="3418"/>
      <w:bookmarkStart w:id="3419" w:name="_Toc47427164"/>
      <w:bookmarkEnd w:id="3419"/>
      <w:bookmarkStart w:id="3420" w:name="_Toc47428460"/>
      <w:bookmarkEnd w:id="3420"/>
      <w:bookmarkStart w:id="3421" w:name="_Toc47428500"/>
      <w:bookmarkEnd w:id="3421"/>
      <w:bookmarkStart w:id="3422" w:name="_Toc47427208"/>
      <w:bookmarkEnd w:id="3422"/>
      <w:bookmarkStart w:id="3423" w:name="_Toc47428514"/>
      <w:bookmarkEnd w:id="3423"/>
      <w:bookmarkStart w:id="3424" w:name="_Toc47428434"/>
      <w:bookmarkEnd w:id="3424"/>
      <w:bookmarkStart w:id="3425" w:name="_Toc47467155"/>
      <w:bookmarkEnd w:id="3425"/>
      <w:bookmarkStart w:id="3426" w:name="_Toc47458496"/>
      <w:bookmarkEnd w:id="3426"/>
      <w:bookmarkStart w:id="3427" w:name="_Toc47466001"/>
      <w:bookmarkEnd w:id="3427"/>
      <w:bookmarkStart w:id="3428" w:name="_Toc47467126"/>
      <w:bookmarkEnd w:id="3428"/>
      <w:bookmarkStart w:id="3429" w:name="_Toc47467081"/>
      <w:bookmarkEnd w:id="3429"/>
      <w:bookmarkStart w:id="3430" w:name="_Toc47465984"/>
      <w:bookmarkEnd w:id="3430"/>
      <w:bookmarkStart w:id="3431" w:name="_Toc47467100"/>
      <w:bookmarkEnd w:id="3431"/>
      <w:bookmarkStart w:id="3432" w:name="_Toc47467119"/>
      <w:bookmarkEnd w:id="3432"/>
      <w:bookmarkStart w:id="3433" w:name="_Toc47458546"/>
      <w:bookmarkEnd w:id="3433"/>
      <w:bookmarkStart w:id="3434" w:name="_Toc47467075"/>
      <w:bookmarkEnd w:id="3434"/>
      <w:bookmarkStart w:id="3435" w:name="_Toc47375546"/>
      <w:bookmarkEnd w:id="3435"/>
      <w:bookmarkStart w:id="3436" w:name="_Toc47427222"/>
      <w:bookmarkEnd w:id="3436"/>
      <w:bookmarkStart w:id="3437" w:name="_Toc47428451"/>
      <w:bookmarkEnd w:id="3437"/>
      <w:bookmarkStart w:id="3438" w:name="_Toc47458477"/>
      <w:bookmarkEnd w:id="3438"/>
      <w:bookmarkStart w:id="3439" w:name="_Toc47467057"/>
      <w:bookmarkEnd w:id="3439"/>
      <w:bookmarkStart w:id="3440" w:name="_Toc47458517"/>
      <w:bookmarkEnd w:id="3440"/>
      <w:bookmarkStart w:id="3441" w:name="_Toc47427242"/>
      <w:bookmarkEnd w:id="3441"/>
      <w:bookmarkStart w:id="3442" w:name="_Toc47427194"/>
      <w:bookmarkEnd w:id="3442"/>
      <w:bookmarkStart w:id="3443" w:name="_Toc47466015"/>
      <w:bookmarkEnd w:id="3443"/>
      <w:bookmarkStart w:id="3444" w:name="_Toc47427264"/>
      <w:bookmarkEnd w:id="3444"/>
      <w:bookmarkStart w:id="3445" w:name="_Toc47458509"/>
      <w:bookmarkEnd w:id="3445"/>
      <w:bookmarkStart w:id="3446" w:name="_Toc47427183"/>
      <w:bookmarkEnd w:id="3446"/>
      <w:bookmarkStart w:id="3447" w:name="_Toc47466027"/>
      <w:bookmarkEnd w:id="3447"/>
      <w:bookmarkStart w:id="3448" w:name="_Toc47467164"/>
      <w:r>
        <w:rPr>
          <w:rFonts w:hint="eastAsia" w:ascii="仿宋_GB2312" w:eastAsia="仿宋_GB2312"/>
          <w:b/>
          <w:sz w:val="30"/>
          <w:szCs w:val="30"/>
        </w:rPr>
        <w:t>基础信息</w:t>
      </w:r>
      <w:bookmarkEnd w:id="3448"/>
    </w:p>
    <w:p w14:paraId="5FD89A58">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债券基础信息主要为债券现券的基础信息，可分为债券基本属性、含权属性、交易属性、回购属性几大类。</w:t>
      </w:r>
    </w:p>
    <w:p w14:paraId="034CAFA4">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（1）基本属性</w:t>
      </w:r>
    </w:p>
    <w:p w14:paraId="4633FB34">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基本属性主要包括债券代码、债券简称、债券名称、债券类型、债券子类型、利率类型、票面利率、付息频率、基准利率（若有）、浮动利差（若有）、发行期限、剩余期限、数量、发行方式、起息日、到期日、发行人、主体评级、债项评级、评级机构、是否上市、发行量、上市量、特殊债券类型（若有）、结构化分档（若为</w:t>
      </w:r>
      <w:r>
        <w:rPr>
          <w:rFonts w:ascii="仿宋_GB2312" w:hAnsi="宋体" w:eastAsia="仿宋_GB2312"/>
          <w:sz w:val="30"/>
          <w:szCs w:val="30"/>
        </w:rPr>
        <w:t>ABS）、</w:t>
      </w:r>
      <w:r>
        <w:rPr>
          <w:rFonts w:hint="eastAsia" w:ascii="仿宋_GB2312" w:hAnsi="宋体" w:eastAsia="仿宋_GB2312"/>
          <w:sz w:val="30"/>
          <w:szCs w:val="30"/>
          <w:lang w:eastAsia="zh-CN"/>
        </w:rPr>
        <w:t>计价方式</w:t>
      </w:r>
      <w:r>
        <w:rPr>
          <w:rFonts w:ascii="仿宋_GB2312" w:hAnsi="宋体" w:eastAsia="仿宋_GB2312"/>
          <w:sz w:val="30"/>
          <w:szCs w:val="30"/>
        </w:rPr>
        <w:t>、价格类型、计息基准等。</w:t>
      </w:r>
    </w:p>
    <w:p w14:paraId="5C1CF4F8">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（2）含权属性</w:t>
      </w:r>
    </w:p>
    <w:p w14:paraId="57024176">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含权属性主要包括含权类型、含权条款等信息。</w:t>
      </w:r>
    </w:p>
    <w:p w14:paraId="41110EE1">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（3）交易属性</w:t>
      </w:r>
    </w:p>
    <w:p w14:paraId="21DFB47C">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交易属性主要包括交易方式、结算方式、投资者适当性要求、是否提供特定债券转让、上市日、摘牌日、停牌日（若有）、复牌日（若有）等信息。</w:t>
      </w:r>
    </w:p>
    <w:p w14:paraId="6E31686A">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（4）回购属性</w:t>
      </w:r>
    </w:p>
    <w:p w14:paraId="7F7CA8F9">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回购属性主要包括通用回购折算率、三方回购折算率、三方回购所属篮子等信息。</w:t>
      </w:r>
    </w:p>
    <w:p w14:paraId="7E6DE07F">
      <w:pPr>
        <w:numPr>
          <w:ilvl w:val="2"/>
          <w:numId w:val="4"/>
        </w:numPr>
        <w:spacing w:line="600" w:lineRule="exact"/>
        <w:ind w:left="0" w:firstLine="0"/>
        <w:outlineLvl w:val="2"/>
        <w:rPr>
          <w:rFonts w:ascii="仿宋_GB2312" w:eastAsia="仿宋_GB2312"/>
          <w:b/>
          <w:sz w:val="30"/>
          <w:szCs w:val="30"/>
        </w:rPr>
      </w:pPr>
      <w:bookmarkStart w:id="3449" w:name="_Toc47467165"/>
      <w:r>
        <w:rPr>
          <w:rFonts w:hint="eastAsia" w:ascii="仿宋_GB2312" w:eastAsia="仿宋_GB2312"/>
          <w:b/>
          <w:sz w:val="30"/>
          <w:szCs w:val="30"/>
        </w:rPr>
        <w:t>非交易基础信息</w:t>
      </w:r>
      <w:bookmarkEnd w:id="3449"/>
    </w:p>
    <w:p w14:paraId="0141EBE0">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非交易基础信息主要包括债券回售、债券转股、债券换股等债券非交易服务的基础信息。</w:t>
      </w:r>
    </w:p>
    <w:p w14:paraId="0B6D217F">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债券回售信息主要包括回售起始日、回售终止日、回售价格、资金发放日、回售可撤销起始日、回售可撤销终止日、转售权利等信息。</w:t>
      </w:r>
    </w:p>
    <w:p w14:paraId="48EB8404">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债券转股信息主要包括转股类型、正股代码（若有）、正股简称（若有）、转股价格、转股起始日、转股终止日等信息。</w:t>
      </w:r>
    </w:p>
    <w:p w14:paraId="2D3F7842">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债券换股信息主要包括换股类型、正股代码、正股简称、换股价格、换股起始日、换股终止日等信息。</w:t>
      </w:r>
    </w:p>
    <w:p w14:paraId="341635D8">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（1）债券交易参与人信息</w:t>
      </w:r>
    </w:p>
    <w:p w14:paraId="31B4DD20">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债券交易参与人信息主要包括债券交易参与人全称、债券交易参与人简称、债券交易参与人编号等信息。</w:t>
      </w:r>
    </w:p>
    <w:p w14:paraId="23258A06">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（2）交易员信息</w:t>
      </w:r>
    </w:p>
    <w:p w14:paraId="18AD4087">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交易员信息主要包括交易员姓名、交易员</w:t>
      </w:r>
      <w:r>
        <w:rPr>
          <w:rFonts w:hint="eastAsia" w:ascii="仿宋_GB2312" w:hAnsi="宋体" w:eastAsia="仿宋_GB2312"/>
          <w:sz w:val="30"/>
          <w:szCs w:val="30"/>
          <w:lang w:eastAsia="zh-CN"/>
        </w:rPr>
        <w:t>一债通账户</w:t>
      </w:r>
      <w:r>
        <w:rPr>
          <w:rFonts w:hint="eastAsia" w:ascii="仿宋_GB2312" w:hAnsi="宋体" w:eastAsia="仿宋_GB2312"/>
          <w:sz w:val="30"/>
          <w:szCs w:val="30"/>
        </w:rPr>
        <w:t>、所属的债券交易参与人简称、联系电话</w:t>
      </w:r>
      <w:r>
        <w:rPr>
          <w:rFonts w:ascii="仿宋_GB2312" w:hAnsi="宋体" w:eastAsia="仿宋_GB2312"/>
          <w:sz w:val="30"/>
          <w:szCs w:val="30"/>
        </w:rPr>
        <w:t>等信息。</w:t>
      </w:r>
    </w:p>
    <w:p w14:paraId="3F42590C">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（3）做市商及做市品种信息</w:t>
      </w:r>
    </w:p>
    <w:p w14:paraId="09881F98">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做市商及做市品种信息主要包括当前正处于做市期间的债券及对应主做市商及一般做市商信息，如做市券种代码、做市券种简称、做市起始日期、做市终止日期、对应做市商名称、做市商类型。</w:t>
      </w:r>
    </w:p>
    <w:p w14:paraId="2CE2BC08">
      <w:pPr>
        <w:numPr>
          <w:ilvl w:val="1"/>
          <w:numId w:val="4"/>
        </w:numPr>
        <w:spacing w:line="600" w:lineRule="exact"/>
        <w:ind w:left="0" w:firstLine="0"/>
        <w:outlineLvl w:val="1"/>
        <w:rPr>
          <w:rFonts w:ascii="仿宋_GB2312" w:eastAsia="仿宋_GB2312"/>
          <w:b/>
          <w:sz w:val="30"/>
          <w:szCs w:val="30"/>
        </w:rPr>
      </w:pPr>
      <w:bookmarkStart w:id="3450" w:name="_Toc44688507"/>
      <w:bookmarkEnd w:id="3450"/>
      <w:bookmarkStart w:id="3451" w:name="_Toc44688505"/>
      <w:bookmarkEnd w:id="3451"/>
      <w:bookmarkStart w:id="3452" w:name="_Toc44666383"/>
      <w:bookmarkEnd w:id="3452"/>
      <w:bookmarkStart w:id="3453" w:name="_Toc44666421"/>
      <w:bookmarkEnd w:id="3453"/>
      <w:bookmarkStart w:id="3454" w:name="_Toc44666425"/>
      <w:bookmarkEnd w:id="3454"/>
      <w:bookmarkStart w:id="3455" w:name="_Toc44666424"/>
      <w:bookmarkEnd w:id="3455"/>
      <w:bookmarkStart w:id="3456" w:name="_Toc44688506"/>
      <w:bookmarkEnd w:id="3456"/>
      <w:bookmarkStart w:id="3457" w:name="_Toc44666423"/>
      <w:bookmarkEnd w:id="3457"/>
      <w:bookmarkStart w:id="3458" w:name="_Toc44688508"/>
      <w:bookmarkEnd w:id="3458"/>
      <w:bookmarkStart w:id="3459" w:name="_Toc44666422"/>
      <w:bookmarkEnd w:id="3459"/>
      <w:bookmarkStart w:id="3460" w:name="_Toc44666386"/>
      <w:bookmarkEnd w:id="3460"/>
      <w:bookmarkStart w:id="3461" w:name="_Toc44666382"/>
      <w:bookmarkEnd w:id="3461"/>
      <w:bookmarkStart w:id="3462" w:name="_Toc44666385"/>
      <w:bookmarkEnd w:id="3462"/>
      <w:bookmarkStart w:id="3463" w:name="_Toc44666384"/>
      <w:bookmarkEnd w:id="3463"/>
      <w:bookmarkStart w:id="3464" w:name="_Toc44688509"/>
      <w:bookmarkEnd w:id="3464"/>
      <w:bookmarkStart w:id="3465" w:name="_Toc47467166"/>
      <w:bookmarkStart w:id="3466" w:name="_Toc56166305"/>
      <w:bookmarkStart w:id="3467" w:name="_Toc802800234"/>
      <w:bookmarkStart w:id="3468" w:name="_Toc56166116"/>
      <w:bookmarkStart w:id="3469" w:name="_Toc616688556"/>
      <w:bookmarkStart w:id="3470" w:name="_Toc1448184846"/>
      <w:bookmarkStart w:id="3471" w:name="_Toc1346040154"/>
      <w:bookmarkStart w:id="3472" w:name="_Toc430593757"/>
      <w:bookmarkStart w:id="3473" w:name="_Toc151137067"/>
      <w:bookmarkStart w:id="3474" w:name="_Toc65287471"/>
      <w:r>
        <w:rPr>
          <w:rFonts w:hint="eastAsia" w:ascii="仿宋_GB2312" w:eastAsia="仿宋_GB2312"/>
          <w:b/>
          <w:sz w:val="30"/>
          <w:szCs w:val="30"/>
        </w:rPr>
        <w:t>交易信息权属</w:t>
      </w:r>
      <w:bookmarkEnd w:id="3465"/>
      <w:bookmarkEnd w:id="3466"/>
      <w:bookmarkEnd w:id="3467"/>
      <w:bookmarkEnd w:id="3468"/>
      <w:bookmarkEnd w:id="3469"/>
      <w:bookmarkEnd w:id="3470"/>
      <w:bookmarkEnd w:id="3471"/>
      <w:bookmarkEnd w:id="3472"/>
      <w:bookmarkEnd w:id="3473"/>
      <w:bookmarkEnd w:id="3474"/>
    </w:p>
    <w:p w14:paraId="5D8E5711">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本所债券市场产生的交易信息归本所所有。未经本所书面许可，任何单位或个人不得发布、使用、传播或经营本所债券市场产生的交易信息。经本所许可使用信息的机构和个人，未经本所同意，不得将信息提供给其他机构和个人使用或者传播。</w:t>
      </w:r>
    </w:p>
    <w:p w14:paraId="4E780DFB">
      <w:pPr>
        <w:numPr>
          <w:ilvl w:val="1"/>
          <w:numId w:val="4"/>
        </w:numPr>
        <w:spacing w:line="600" w:lineRule="exact"/>
        <w:ind w:left="0" w:firstLine="0"/>
        <w:outlineLvl w:val="1"/>
        <w:rPr>
          <w:rFonts w:ascii="仿宋_GB2312" w:eastAsia="仿宋_GB2312"/>
          <w:b/>
          <w:sz w:val="30"/>
          <w:szCs w:val="30"/>
        </w:rPr>
      </w:pPr>
      <w:bookmarkStart w:id="3475" w:name="_Toc47427277"/>
      <w:bookmarkEnd w:id="3475"/>
      <w:bookmarkStart w:id="3476" w:name="_Toc47372890"/>
      <w:bookmarkEnd w:id="3476"/>
      <w:bookmarkStart w:id="3477" w:name="_Toc47372901"/>
      <w:bookmarkEnd w:id="3477"/>
      <w:bookmarkStart w:id="3478" w:name="_Toc47458575"/>
      <w:bookmarkEnd w:id="3478"/>
      <w:bookmarkStart w:id="3479" w:name="_Toc47458568"/>
      <w:bookmarkEnd w:id="3479"/>
      <w:bookmarkStart w:id="3480" w:name="_Toc47374438"/>
      <w:bookmarkEnd w:id="3480"/>
      <w:bookmarkStart w:id="3481" w:name="_Toc47467185"/>
      <w:bookmarkEnd w:id="3481"/>
      <w:bookmarkStart w:id="3482" w:name="_Toc47374398"/>
      <w:bookmarkEnd w:id="3482"/>
      <w:bookmarkStart w:id="3483" w:name="_Toc47374420"/>
      <w:bookmarkEnd w:id="3483"/>
      <w:bookmarkStart w:id="3484" w:name="_Toc47458558"/>
      <w:bookmarkEnd w:id="3484"/>
      <w:bookmarkStart w:id="3485" w:name="_Toc47467187"/>
      <w:bookmarkEnd w:id="3485"/>
      <w:bookmarkStart w:id="3486" w:name="_Toc47467179"/>
      <w:bookmarkEnd w:id="3486"/>
      <w:bookmarkStart w:id="3487" w:name="_Toc47374437"/>
      <w:bookmarkEnd w:id="3487"/>
      <w:bookmarkStart w:id="3488" w:name="_Toc47374432"/>
      <w:bookmarkEnd w:id="3488"/>
      <w:bookmarkStart w:id="3489" w:name="_Toc47467172"/>
      <w:bookmarkEnd w:id="3489"/>
      <w:bookmarkStart w:id="3490" w:name="_Toc47374428"/>
      <w:bookmarkEnd w:id="3490"/>
      <w:bookmarkStart w:id="3491" w:name="_Toc47467170"/>
      <w:bookmarkEnd w:id="3491"/>
      <w:bookmarkStart w:id="3492" w:name="_Toc47427273"/>
      <w:bookmarkEnd w:id="3492"/>
      <w:bookmarkStart w:id="3493" w:name="_Toc41571869"/>
      <w:bookmarkEnd w:id="3493"/>
      <w:bookmarkStart w:id="3494" w:name="_Toc47374401"/>
      <w:bookmarkEnd w:id="3494"/>
      <w:bookmarkStart w:id="3495" w:name="_Toc47458570"/>
      <w:bookmarkEnd w:id="3495"/>
      <w:bookmarkStart w:id="3496" w:name="_Toc47374952"/>
      <w:bookmarkEnd w:id="3496"/>
      <w:bookmarkStart w:id="3497" w:name="_Toc47467168"/>
      <w:bookmarkEnd w:id="3497"/>
      <w:bookmarkStart w:id="3498" w:name="_Toc41572352"/>
      <w:bookmarkEnd w:id="3498"/>
      <w:bookmarkStart w:id="3499" w:name="_Toc47466054"/>
      <w:bookmarkEnd w:id="3499"/>
      <w:bookmarkStart w:id="3500" w:name="_Toc47375616"/>
      <w:bookmarkEnd w:id="3500"/>
      <w:bookmarkStart w:id="3501" w:name="_Toc47466059"/>
      <w:bookmarkEnd w:id="3501"/>
      <w:bookmarkStart w:id="3502" w:name="_Toc47374386"/>
      <w:bookmarkEnd w:id="3502"/>
      <w:bookmarkStart w:id="3503" w:name="_Toc47374426"/>
      <w:bookmarkEnd w:id="3503"/>
      <w:bookmarkStart w:id="3504" w:name="_Toc47428551"/>
      <w:bookmarkEnd w:id="3504"/>
      <w:bookmarkStart w:id="3505" w:name="_Toc47467173"/>
      <w:bookmarkEnd w:id="3505"/>
      <w:bookmarkStart w:id="3506" w:name="_Toc47467171"/>
      <w:bookmarkEnd w:id="3506"/>
      <w:bookmarkStart w:id="3507" w:name="_Toc41572210"/>
      <w:bookmarkEnd w:id="3507"/>
      <w:bookmarkStart w:id="3508" w:name="_Toc47374436"/>
      <w:bookmarkEnd w:id="3508"/>
      <w:bookmarkStart w:id="3509" w:name="_Toc47374427"/>
      <w:bookmarkEnd w:id="3509"/>
      <w:bookmarkStart w:id="3510" w:name="_Toc47374423"/>
      <w:bookmarkEnd w:id="3510"/>
      <w:bookmarkStart w:id="3511" w:name="_Toc47374963"/>
      <w:bookmarkEnd w:id="3511"/>
      <w:bookmarkStart w:id="3512" w:name="_Toc47375603"/>
      <w:bookmarkEnd w:id="3512"/>
      <w:bookmarkStart w:id="3513" w:name="_Toc47374431"/>
      <w:bookmarkEnd w:id="3513"/>
      <w:bookmarkStart w:id="3514" w:name="_Toc47458577"/>
      <w:bookmarkEnd w:id="3514"/>
      <w:bookmarkStart w:id="3515" w:name="_Toc41571885"/>
      <w:bookmarkEnd w:id="3515"/>
      <w:bookmarkStart w:id="3516" w:name="_Toc47466062"/>
      <w:bookmarkEnd w:id="3516"/>
      <w:bookmarkStart w:id="3517" w:name="_Toc47372905"/>
      <w:bookmarkEnd w:id="3517"/>
      <w:bookmarkStart w:id="3518" w:name="_Toc47458573"/>
      <w:bookmarkEnd w:id="3518"/>
      <w:bookmarkStart w:id="3519" w:name="_Toc47458562"/>
      <w:bookmarkEnd w:id="3519"/>
      <w:bookmarkStart w:id="3520" w:name="_Toc47372900"/>
      <w:bookmarkEnd w:id="3520"/>
      <w:bookmarkStart w:id="3521" w:name="_Toc47428557"/>
      <w:bookmarkEnd w:id="3521"/>
      <w:bookmarkStart w:id="3522" w:name="_Toc47428558"/>
      <w:bookmarkEnd w:id="3522"/>
      <w:bookmarkStart w:id="3523" w:name="_Toc47374964"/>
      <w:bookmarkEnd w:id="3523"/>
      <w:bookmarkStart w:id="3524" w:name="_Toc47374961"/>
      <w:bookmarkEnd w:id="3524"/>
      <w:bookmarkStart w:id="3525" w:name="_Toc47467180"/>
      <w:bookmarkEnd w:id="3525"/>
      <w:bookmarkStart w:id="3526" w:name="_Toc47458564"/>
      <w:bookmarkEnd w:id="3526"/>
      <w:bookmarkStart w:id="3527" w:name="_Toc47427288"/>
      <w:bookmarkEnd w:id="3527"/>
      <w:bookmarkStart w:id="3528" w:name="_Toc47374429"/>
      <w:bookmarkEnd w:id="3528"/>
      <w:bookmarkStart w:id="3529" w:name="_Toc47374395"/>
      <w:bookmarkEnd w:id="3529"/>
      <w:bookmarkStart w:id="3530" w:name="_Toc47375622"/>
      <w:bookmarkEnd w:id="3530"/>
      <w:bookmarkStart w:id="3531" w:name="_Toc47428545"/>
      <w:bookmarkEnd w:id="3531"/>
      <w:bookmarkStart w:id="3532" w:name="_Toc47467184"/>
      <w:bookmarkEnd w:id="3532"/>
      <w:bookmarkStart w:id="3533" w:name="_Toc47374959"/>
      <w:bookmarkEnd w:id="3533"/>
      <w:bookmarkStart w:id="3534" w:name="_Toc47458566"/>
      <w:bookmarkEnd w:id="3534"/>
      <w:bookmarkStart w:id="3535" w:name="_Toc47374945"/>
      <w:bookmarkEnd w:id="3535"/>
      <w:bookmarkStart w:id="3536" w:name="_Toc47428555"/>
      <w:bookmarkEnd w:id="3536"/>
      <w:bookmarkStart w:id="3537" w:name="_Toc47375621"/>
      <w:bookmarkEnd w:id="3537"/>
      <w:bookmarkStart w:id="3538" w:name="_Toc47427289"/>
      <w:bookmarkEnd w:id="3538"/>
      <w:bookmarkStart w:id="3539" w:name="_Toc47374392"/>
      <w:bookmarkEnd w:id="3539"/>
      <w:bookmarkStart w:id="3540" w:name="_Toc47427275"/>
      <w:bookmarkEnd w:id="3540"/>
      <w:bookmarkStart w:id="3541" w:name="_Toc47374393"/>
      <w:bookmarkEnd w:id="3541"/>
      <w:bookmarkStart w:id="3542" w:name="_Toc47374419"/>
      <w:bookmarkEnd w:id="3542"/>
      <w:bookmarkStart w:id="3543" w:name="_Toc47458565"/>
      <w:bookmarkEnd w:id="3543"/>
      <w:bookmarkStart w:id="3544" w:name="_Toc47428554"/>
      <w:bookmarkEnd w:id="3544"/>
      <w:bookmarkStart w:id="3545" w:name="_Toc47458576"/>
      <w:bookmarkEnd w:id="3545"/>
      <w:bookmarkStart w:id="3546" w:name="_Toc47372897"/>
      <w:bookmarkEnd w:id="3546"/>
      <w:bookmarkStart w:id="3547" w:name="_Toc47428559"/>
      <w:bookmarkEnd w:id="3547"/>
      <w:bookmarkStart w:id="3548" w:name="_Toc47374949"/>
      <w:bookmarkEnd w:id="3548"/>
      <w:bookmarkStart w:id="3549" w:name="_Toc47466070"/>
      <w:bookmarkEnd w:id="3549"/>
      <w:bookmarkStart w:id="3550" w:name="_Toc47466071"/>
      <w:bookmarkEnd w:id="3550"/>
      <w:bookmarkStart w:id="3551" w:name="_Toc47374947"/>
      <w:bookmarkEnd w:id="3551"/>
      <w:bookmarkStart w:id="3552" w:name="_Toc47428540"/>
      <w:bookmarkEnd w:id="3552"/>
      <w:bookmarkStart w:id="3553" w:name="_Toc47374948"/>
      <w:bookmarkEnd w:id="3553"/>
      <w:bookmarkStart w:id="3554" w:name="_Toc47458571"/>
      <w:bookmarkEnd w:id="3554"/>
      <w:bookmarkStart w:id="3555" w:name="_Toc47374957"/>
      <w:bookmarkEnd w:id="3555"/>
      <w:bookmarkStart w:id="3556" w:name="_Toc47372906"/>
      <w:bookmarkEnd w:id="3556"/>
      <w:bookmarkStart w:id="3557" w:name="_Toc47375605"/>
      <w:bookmarkEnd w:id="3557"/>
      <w:bookmarkStart w:id="3558" w:name="_Toc47375619"/>
      <w:bookmarkEnd w:id="3558"/>
      <w:bookmarkStart w:id="3559" w:name="_Toc47375607"/>
      <w:bookmarkEnd w:id="3559"/>
      <w:bookmarkStart w:id="3560" w:name="_Toc47372894"/>
      <w:bookmarkEnd w:id="3560"/>
      <w:bookmarkStart w:id="3561" w:name="_Toc47372895"/>
      <w:bookmarkEnd w:id="3561"/>
      <w:bookmarkStart w:id="3562" w:name="_Toc47427272"/>
      <w:bookmarkEnd w:id="3562"/>
      <w:bookmarkStart w:id="3563" w:name="_Toc47374421"/>
      <w:bookmarkEnd w:id="3563"/>
      <w:bookmarkStart w:id="3564" w:name="_Toc47428550"/>
      <w:bookmarkEnd w:id="3564"/>
      <w:bookmarkStart w:id="3565" w:name="_Toc47467175"/>
      <w:bookmarkEnd w:id="3565"/>
      <w:bookmarkStart w:id="3566" w:name="_Toc47467181"/>
      <w:bookmarkEnd w:id="3566"/>
      <w:bookmarkStart w:id="3567" w:name="_Toc47458578"/>
      <w:bookmarkEnd w:id="3567"/>
      <w:bookmarkStart w:id="3568" w:name="_Toc47466066"/>
      <w:bookmarkEnd w:id="3568"/>
      <w:bookmarkStart w:id="3569" w:name="_Toc47372898"/>
      <w:bookmarkEnd w:id="3569"/>
      <w:bookmarkStart w:id="3570" w:name="_Toc47467183"/>
      <w:bookmarkEnd w:id="3570"/>
      <w:bookmarkStart w:id="3571" w:name="_Toc47374384"/>
      <w:bookmarkEnd w:id="3571"/>
      <w:bookmarkStart w:id="3572" w:name="_Toc47375606"/>
      <w:bookmarkEnd w:id="3572"/>
      <w:bookmarkStart w:id="3573" w:name="_Toc47374396"/>
      <w:bookmarkEnd w:id="3573"/>
      <w:bookmarkStart w:id="3574" w:name="_Toc47466069"/>
      <w:bookmarkEnd w:id="3574"/>
      <w:bookmarkStart w:id="3575" w:name="_Toc47458574"/>
      <w:bookmarkEnd w:id="3575"/>
      <w:bookmarkStart w:id="3576" w:name="_Toc47374435"/>
      <w:bookmarkEnd w:id="3576"/>
      <w:bookmarkStart w:id="3577" w:name="_Toc47467176"/>
      <w:bookmarkEnd w:id="3577"/>
      <w:bookmarkStart w:id="3578" w:name="_Toc47372908"/>
      <w:bookmarkEnd w:id="3578"/>
      <w:bookmarkStart w:id="3579" w:name="_Toc47372891"/>
      <w:bookmarkEnd w:id="3579"/>
      <w:bookmarkStart w:id="3580" w:name="_Toc47458563"/>
      <w:bookmarkEnd w:id="3580"/>
      <w:bookmarkStart w:id="3581" w:name="_Toc47375614"/>
      <w:bookmarkEnd w:id="3581"/>
      <w:bookmarkStart w:id="3582" w:name="_Toc47466060"/>
      <w:bookmarkEnd w:id="3582"/>
      <w:bookmarkStart w:id="3583" w:name="_Toc47374953"/>
      <w:bookmarkEnd w:id="3583"/>
      <w:bookmarkStart w:id="3584" w:name="_Toc47374391"/>
      <w:bookmarkEnd w:id="3584"/>
      <w:bookmarkStart w:id="3585" w:name="_Toc47375611"/>
      <w:bookmarkEnd w:id="3585"/>
      <w:bookmarkStart w:id="3586" w:name="_Toc47428544"/>
      <w:bookmarkEnd w:id="3586"/>
      <w:bookmarkStart w:id="3587" w:name="_Toc47372888"/>
      <w:bookmarkEnd w:id="3587"/>
      <w:bookmarkStart w:id="3588" w:name="_Toc47427285"/>
      <w:bookmarkEnd w:id="3588"/>
      <w:bookmarkStart w:id="3589" w:name="_Toc47427283"/>
      <w:bookmarkEnd w:id="3589"/>
      <w:bookmarkStart w:id="3590" w:name="_Toc47374399"/>
      <w:bookmarkEnd w:id="3590"/>
      <w:bookmarkStart w:id="3591" w:name="_Toc47467167"/>
      <w:bookmarkEnd w:id="3591"/>
      <w:bookmarkStart w:id="3592" w:name="_Toc47374434"/>
      <w:bookmarkEnd w:id="3592"/>
      <w:bookmarkStart w:id="3593" w:name="_Toc47374439"/>
      <w:bookmarkEnd w:id="3593"/>
      <w:bookmarkStart w:id="3594" w:name="_Toc47374382"/>
      <w:bookmarkEnd w:id="3594"/>
      <w:bookmarkStart w:id="3595" w:name="_Toc47427291"/>
      <w:bookmarkEnd w:id="3595"/>
      <w:bookmarkStart w:id="3596" w:name="_Toc47374960"/>
      <w:bookmarkEnd w:id="3596"/>
      <w:bookmarkStart w:id="3597" w:name="_Toc47374402"/>
      <w:bookmarkEnd w:id="3597"/>
      <w:bookmarkStart w:id="3598" w:name="_Toc47466058"/>
      <w:bookmarkEnd w:id="3598"/>
      <w:bookmarkStart w:id="3599" w:name="_Toc47428539"/>
      <w:bookmarkEnd w:id="3599"/>
      <w:bookmarkStart w:id="3600" w:name="_Toc41571819"/>
      <w:bookmarkEnd w:id="3600"/>
      <w:bookmarkStart w:id="3601" w:name="_Toc47375612"/>
      <w:bookmarkEnd w:id="3601"/>
      <w:bookmarkStart w:id="3602" w:name="_Toc47428556"/>
      <w:bookmarkEnd w:id="3602"/>
      <w:bookmarkStart w:id="3603" w:name="_Toc47375602"/>
      <w:bookmarkEnd w:id="3603"/>
      <w:bookmarkStart w:id="3604" w:name="_Toc47374950"/>
      <w:bookmarkEnd w:id="3604"/>
      <w:bookmarkStart w:id="3605" w:name="_Toc47466063"/>
      <w:bookmarkEnd w:id="3605"/>
      <w:bookmarkStart w:id="3606" w:name="_Toc47427280"/>
      <w:bookmarkEnd w:id="3606"/>
      <w:bookmarkStart w:id="3607" w:name="_Toc47374433"/>
      <w:bookmarkEnd w:id="3607"/>
      <w:bookmarkStart w:id="3608" w:name="_Toc47458560"/>
      <w:bookmarkEnd w:id="3608"/>
      <w:bookmarkStart w:id="3609" w:name="_Toc47428547"/>
      <w:bookmarkEnd w:id="3609"/>
      <w:bookmarkStart w:id="3610" w:name="_Toc47467182"/>
      <w:bookmarkEnd w:id="3610"/>
      <w:bookmarkStart w:id="3611" w:name="_Toc47374400"/>
      <w:bookmarkEnd w:id="3611"/>
      <w:bookmarkStart w:id="3612" w:name="_Toc47374946"/>
      <w:bookmarkEnd w:id="3612"/>
      <w:bookmarkStart w:id="3613" w:name="_Toc47428549"/>
      <w:bookmarkEnd w:id="3613"/>
      <w:bookmarkStart w:id="3614" w:name="_Toc47467169"/>
      <w:bookmarkEnd w:id="3614"/>
      <w:bookmarkStart w:id="3615" w:name="_Toc47427278"/>
      <w:bookmarkEnd w:id="3615"/>
      <w:bookmarkStart w:id="3616" w:name="_Toc47466072"/>
      <w:bookmarkEnd w:id="3616"/>
      <w:bookmarkStart w:id="3617" w:name="_Toc47458569"/>
      <w:bookmarkEnd w:id="3617"/>
      <w:bookmarkStart w:id="3618" w:name="_Toc47427286"/>
      <w:bookmarkEnd w:id="3618"/>
      <w:bookmarkStart w:id="3619" w:name="_Toc47467174"/>
      <w:bookmarkEnd w:id="3619"/>
      <w:bookmarkStart w:id="3620" w:name="_Toc47458561"/>
      <w:bookmarkEnd w:id="3620"/>
      <w:bookmarkStart w:id="3621" w:name="_Toc47374430"/>
      <w:bookmarkEnd w:id="3621"/>
      <w:bookmarkStart w:id="3622" w:name="_Toc47427281"/>
      <w:bookmarkEnd w:id="3622"/>
      <w:bookmarkStart w:id="3623" w:name="_Toc47428548"/>
      <w:bookmarkEnd w:id="3623"/>
      <w:bookmarkStart w:id="3624" w:name="_Toc47427292"/>
      <w:bookmarkEnd w:id="3624"/>
      <w:bookmarkStart w:id="3625" w:name="_Toc47428541"/>
      <w:bookmarkEnd w:id="3625"/>
      <w:bookmarkStart w:id="3626" w:name="_Toc47466068"/>
      <w:bookmarkEnd w:id="3626"/>
      <w:bookmarkStart w:id="3627" w:name="_Toc47427279"/>
      <w:bookmarkEnd w:id="3627"/>
      <w:bookmarkStart w:id="3628" w:name="_Toc47372889"/>
      <w:bookmarkEnd w:id="3628"/>
      <w:bookmarkStart w:id="3629" w:name="_Toc47375604"/>
      <w:bookmarkEnd w:id="3629"/>
      <w:bookmarkStart w:id="3630" w:name="_Toc47375610"/>
      <w:bookmarkEnd w:id="3630"/>
      <w:bookmarkStart w:id="3631" w:name="_Toc47374397"/>
      <w:bookmarkEnd w:id="3631"/>
      <w:bookmarkStart w:id="3632" w:name="_Toc47374422"/>
      <w:bookmarkEnd w:id="3632"/>
      <w:bookmarkStart w:id="3633" w:name="_Toc47372893"/>
      <w:bookmarkEnd w:id="3633"/>
      <w:bookmarkStart w:id="3634" w:name="_Toc47428546"/>
      <w:bookmarkEnd w:id="3634"/>
      <w:bookmarkStart w:id="3635" w:name="_Toc47466067"/>
      <w:bookmarkEnd w:id="3635"/>
      <w:bookmarkStart w:id="3636" w:name="_Toc47428553"/>
      <w:bookmarkEnd w:id="3636"/>
      <w:bookmarkStart w:id="3637" w:name="_Toc47374962"/>
      <w:bookmarkEnd w:id="3637"/>
      <w:bookmarkStart w:id="3638" w:name="_Toc47428542"/>
      <w:bookmarkEnd w:id="3638"/>
      <w:bookmarkStart w:id="3639" w:name="_Toc41572226"/>
      <w:bookmarkEnd w:id="3639"/>
      <w:bookmarkStart w:id="3640" w:name="_Toc47372903"/>
      <w:bookmarkEnd w:id="3640"/>
      <w:bookmarkStart w:id="3641" w:name="_Toc47374425"/>
      <w:bookmarkEnd w:id="3641"/>
      <w:bookmarkStart w:id="3642" w:name="_Toc47427284"/>
      <w:bookmarkEnd w:id="3642"/>
      <w:bookmarkStart w:id="3643" w:name="_Toc47427287"/>
      <w:bookmarkEnd w:id="3643"/>
      <w:bookmarkStart w:id="3644" w:name="_Toc47374424"/>
      <w:bookmarkEnd w:id="3644"/>
      <w:bookmarkStart w:id="3645" w:name="_Toc47372904"/>
      <w:bookmarkEnd w:id="3645"/>
      <w:bookmarkStart w:id="3646" w:name="_Toc47375608"/>
      <w:bookmarkEnd w:id="3646"/>
      <w:bookmarkStart w:id="3647" w:name="_Toc47374385"/>
      <w:bookmarkEnd w:id="3647"/>
      <w:bookmarkStart w:id="3648" w:name="_Toc47428552"/>
      <w:bookmarkEnd w:id="3648"/>
      <w:bookmarkStart w:id="3649" w:name="_Toc47466056"/>
      <w:bookmarkEnd w:id="3649"/>
      <w:bookmarkStart w:id="3650" w:name="_Toc47466055"/>
      <w:bookmarkEnd w:id="3650"/>
      <w:bookmarkStart w:id="3651" w:name="_Toc47372892"/>
      <w:bookmarkEnd w:id="3651"/>
      <w:bookmarkStart w:id="3652" w:name="_Toc47374958"/>
      <w:bookmarkEnd w:id="3652"/>
      <w:bookmarkStart w:id="3653" w:name="_Toc47466061"/>
      <w:bookmarkEnd w:id="3653"/>
      <w:bookmarkStart w:id="3654" w:name="_Toc47466065"/>
      <w:bookmarkEnd w:id="3654"/>
      <w:bookmarkStart w:id="3655" w:name="_Toc47374394"/>
      <w:bookmarkEnd w:id="3655"/>
      <w:bookmarkStart w:id="3656" w:name="_Toc47374956"/>
      <w:bookmarkEnd w:id="3656"/>
      <w:bookmarkStart w:id="3657" w:name="_Toc47466064"/>
      <w:bookmarkEnd w:id="3657"/>
      <w:bookmarkStart w:id="3658" w:name="_Toc47427290"/>
      <w:bookmarkEnd w:id="3658"/>
      <w:bookmarkStart w:id="3659" w:name="_Toc47467178"/>
      <w:bookmarkEnd w:id="3659"/>
      <w:bookmarkStart w:id="3660" w:name="_Toc47375620"/>
      <w:bookmarkEnd w:id="3660"/>
      <w:bookmarkStart w:id="3661" w:name="_Toc47466073"/>
      <w:bookmarkEnd w:id="3661"/>
      <w:bookmarkStart w:id="3662" w:name="_Toc47372899"/>
      <w:bookmarkEnd w:id="3662"/>
      <w:bookmarkStart w:id="3663" w:name="_Toc47374388"/>
      <w:bookmarkEnd w:id="3663"/>
      <w:bookmarkStart w:id="3664" w:name="_Toc47467177"/>
      <w:bookmarkEnd w:id="3664"/>
      <w:bookmarkStart w:id="3665" w:name="_Toc47427274"/>
      <w:bookmarkEnd w:id="3665"/>
      <w:bookmarkStart w:id="3666" w:name="_Toc47375618"/>
      <w:bookmarkEnd w:id="3666"/>
      <w:bookmarkStart w:id="3667" w:name="_Toc47374383"/>
      <w:bookmarkEnd w:id="3667"/>
      <w:bookmarkStart w:id="3668" w:name="_Toc47374951"/>
      <w:bookmarkEnd w:id="3668"/>
      <w:bookmarkStart w:id="3669" w:name="_Toc47427282"/>
      <w:bookmarkEnd w:id="3669"/>
      <w:bookmarkStart w:id="3670" w:name="_Toc47466057"/>
      <w:bookmarkEnd w:id="3670"/>
      <w:bookmarkStart w:id="3671" w:name="_Toc47375609"/>
      <w:bookmarkEnd w:id="3671"/>
      <w:bookmarkStart w:id="3672" w:name="_Toc47466074"/>
      <w:bookmarkEnd w:id="3672"/>
      <w:bookmarkStart w:id="3673" w:name="_Toc47372907"/>
      <w:bookmarkEnd w:id="3673"/>
      <w:bookmarkStart w:id="3674" w:name="_Toc47374954"/>
      <w:bookmarkEnd w:id="3674"/>
      <w:bookmarkStart w:id="3675" w:name="_Toc47375617"/>
      <w:bookmarkEnd w:id="3675"/>
      <w:bookmarkStart w:id="3676" w:name="_Toc47427276"/>
      <w:bookmarkEnd w:id="3676"/>
      <w:bookmarkStart w:id="3677" w:name="_Toc47375615"/>
      <w:bookmarkEnd w:id="3677"/>
      <w:bookmarkStart w:id="3678" w:name="_Toc47374965"/>
      <w:bookmarkEnd w:id="3678"/>
      <w:bookmarkStart w:id="3679" w:name="_Toc47374955"/>
      <w:bookmarkEnd w:id="3679"/>
      <w:bookmarkStart w:id="3680" w:name="_Toc47372902"/>
      <w:bookmarkEnd w:id="3680"/>
      <w:bookmarkStart w:id="3681" w:name="_Toc47458567"/>
      <w:bookmarkEnd w:id="3681"/>
      <w:bookmarkStart w:id="3682" w:name="_Toc47374389"/>
      <w:bookmarkEnd w:id="3682"/>
      <w:bookmarkStart w:id="3683" w:name="_Toc47458572"/>
      <w:bookmarkEnd w:id="3683"/>
      <w:bookmarkStart w:id="3684" w:name="_Toc47372896"/>
      <w:bookmarkEnd w:id="3684"/>
      <w:bookmarkStart w:id="3685" w:name="_Toc47374390"/>
      <w:bookmarkEnd w:id="3685"/>
      <w:bookmarkStart w:id="3686" w:name="_Toc47374387"/>
      <w:bookmarkEnd w:id="3686"/>
      <w:bookmarkStart w:id="3687" w:name="_Toc47458559"/>
      <w:bookmarkEnd w:id="3687"/>
      <w:bookmarkStart w:id="3688" w:name="_Toc41572336"/>
      <w:bookmarkEnd w:id="3688"/>
      <w:bookmarkStart w:id="3689" w:name="_Toc47375613"/>
      <w:bookmarkEnd w:id="3689"/>
      <w:bookmarkStart w:id="3690" w:name="_Toc47428543"/>
      <w:bookmarkEnd w:id="3690"/>
      <w:bookmarkStart w:id="3691" w:name="_Toc47467186"/>
      <w:bookmarkEnd w:id="3691"/>
      <w:bookmarkStart w:id="3692" w:name="_Toc1321757340"/>
      <w:bookmarkStart w:id="3693" w:name="_Toc884979929"/>
      <w:bookmarkStart w:id="3694" w:name="_Toc1465302246"/>
      <w:bookmarkStart w:id="3695" w:name="_Toc614515079"/>
      <w:bookmarkStart w:id="3696" w:name="_Toc54378203"/>
      <w:bookmarkStart w:id="3697" w:name="_Toc56166306"/>
      <w:bookmarkStart w:id="3698" w:name="_Toc56166117"/>
      <w:bookmarkStart w:id="3699" w:name="_Toc151137068"/>
      <w:bookmarkStart w:id="3700" w:name="_Toc47467188"/>
      <w:bookmarkStart w:id="3701" w:name="_Toc1027462502"/>
      <w:r>
        <w:rPr>
          <w:rFonts w:hint="eastAsia" w:ascii="仿宋_GB2312" w:eastAsia="仿宋_GB2312"/>
          <w:b/>
          <w:sz w:val="30"/>
          <w:szCs w:val="30"/>
        </w:rPr>
        <w:t>债券指数及其他</w:t>
      </w:r>
      <w:bookmarkEnd w:id="3692"/>
      <w:bookmarkEnd w:id="3693"/>
      <w:bookmarkEnd w:id="3694"/>
      <w:bookmarkEnd w:id="3695"/>
      <w:bookmarkEnd w:id="3696"/>
      <w:bookmarkEnd w:id="3697"/>
      <w:bookmarkEnd w:id="3698"/>
      <w:bookmarkEnd w:id="3699"/>
      <w:bookmarkEnd w:id="3700"/>
      <w:bookmarkEnd w:id="3701"/>
    </w:p>
    <w:p w14:paraId="5932B4B5">
      <w:pPr>
        <w:numPr>
          <w:ilvl w:val="2"/>
          <w:numId w:val="4"/>
        </w:numPr>
        <w:spacing w:line="600" w:lineRule="exact"/>
        <w:ind w:left="0" w:firstLine="0"/>
        <w:outlineLvl w:val="2"/>
        <w:rPr>
          <w:rFonts w:ascii="仿宋_GB2312" w:eastAsia="仿宋_GB2312"/>
          <w:b/>
          <w:sz w:val="30"/>
          <w:szCs w:val="30"/>
        </w:rPr>
      </w:pPr>
      <w:bookmarkStart w:id="3702" w:name="_Toc47467189"/>
      <w:r>
        <w:rPr>
          <w:rFonts w:hint="eastAsia" w:ascii="仿宋_GB2312" w:eastAsia="仿宋_GB2312"/>
          <w:b/>
          <w:sz w:val="30"/>
          <w:szCs w:val="30"/>
        </w:rPr>
        <w:t>债券指数</w:t>
      </w:r>
      <w:bookmarkEnd w:id="3702"/>
    </w:p>
    <w:p w14:paraId="4D1875C4">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本所或本所授权机构可编制各类债券指数，以反映债券交易总体价格或某类债券价格的变动和走势，并随即时行情发布。</w:t>
      </w:r>
    </w:p>
    <w:p w14:paraId="2D8E2CC0">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债券指数的编制遵循公开透明原则。债券指数设置和编制的具体方法由本所另行规定。目前本所公布的债券指数包括上证国债指数、上证企债指数、上证公司债指数、上证企债</w:t>
      </w:r>
      <w:r>
        <w:rPr>
          <w:rFonts w:ascii="仿宋_GB2312" w:hAnsi="宋体" w:eastAsia="仿宋_GB2312"/>
          <w:sz w:val="30"/>
          <w:szCs w:val="30"/>
        </w:rPr>
        <w:t>30指数等。</w:t>
      </w:r>
    </w:p>
    <w:p w14:paraId="4B5DF4C2">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（1）上证国债指数</w:t>
      </w:r>
    </w:p>
    <w:p w14:paraId="2FB6F077">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上证国债指数以本所上市的所有固定利率国债为样本，</w:t>
      </w:r>
      <w:r>
        <w:rPr>
          <w:rFonts w:ascii="仿宋_GB2312" w:hAnsi="宋体" w:eastAsia="仿宋_GB2312"/>
          <w:sz w:val="30"/>
          <w:szCs w:val="30"/>
        </w:rPr>
        <w:t>按照国债发行量加权而成，用来反映上交所上市国债的整体表现。指数于2003年1月2日起对外发布,该指数基日为2002年12月31日,基点为100点，指数代码为000012，指数简称为国债指数。</w:t>
      </w:r>
    </w:p>
    <w:p w14:paraId="7B12E2B0">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（2）上证企债指数</w:t>
      </w:r>
    </w:p>
    <w:p w14:paraId="1D48D838">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上证企债指数由在沪深交易所上市的企业债中满足一定条件、具有代表性的企业债券组成，于</w:t>
      </w:r>
      <w:r>
        <w:rPr>
          <w:rFonts w:ascii="仿宋_GB2312" w:hAnsi="宋体" w:eastAsia="仿宋_GB2312"/>
          <w:sz w:val="30"/>
          <w:szCs w:val="30"/>
        </w:rPr>
        <w:t>2003年6月9日正式发布，以反映沪深企债市场的整体表现。指数基日为2002年12月31日，基点为100点，指数代码为000013，指数简称企债指数。</w:t>
      </w:r>
    </w:p>
    <w:p w14:paraId="5B69CB50">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上证企债</w:t>
      </w:r>
      <w:r>
        <w:rPr>
          <w:rFonts w:ascii="仿宋_GB2312" w:hAnsi="宋体" w:eastAsia="仿宋_GB2312"/>
          <w:sz w:val="30"/>
          <w:szCs w:val="30"/>
        </w:rPr>
        <w:t>30指数从上海证券交易所市场挑选30只质地好、规模大、流动性强的企业债券组成样本，为债券投资者提供新的投资标的。该指数基日为2008年12月31日，基点为100点，指数代码为000061，指数简称为沪企债30。</w:t>
      </w:r>
    </w:p>
    <w:p w14:paraId="3AF24975">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（3）上证公司债指数</w:t>
      </w:r>
    </w:p>
    <w:p w14:paraId="7F7D5078">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上证公司债指数的样本是由在沪市交易的公司债券组成，上证所和中证指数公司每日实时计算并向市场发布，为债券投资者提供新的业绩评价基准和分析工具。该指数基日为</w:t>
      </w:r>
      <w:r>
        <w:rPr>
          <w:rFonts w:ascii="仿宋_GB2312" w:hAnsi="宋体" w:eastAsia="仿宋_GB2312"/>
          <w:sz w:val="30"/>
          <w:szCs w:val="30"/>
        </w:rPr>
        <w:t>2007年12月31日，基点为100点，指数代码为000022，指数简称为沪公司债。</w:t>
      </w:r>
    </w:p>
    <w:p w14:paraId="254C7DF6">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上证信用债100指数的样本由上海证券交易所市场剩余期限1年以上、信用等级AA及以上、发行量8亿元及以上的信用债券组成。</w:t>
      </w:r>
    </w:p>
    <w:p w14:paraId="7A316905">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上证公司债AAA指数、AA+、AA指数属于上证公司债细分指数系列，分别以上海证券交易所上市的公司债券为样本空间，选取信用级别为AAA、AA+、AA的公司债券组成样本。</w:t>
      </w:r>
    </w:p>
    <w:p w14:paraId="1EEF29F1">
      <w:pPr>
        <w:numPr>
          <w:ilvl w:val="2"/>
          <w:numId w:val="4"/>
        </w:numPr>
        <w:spacing w:line="600" w:lineRule="exact"/>
        <w:ind w:left="0" w:firstLine="0"/>
        <w:outlineLvl w:val="2"/>
        <w:rPr>
          <w:rFonts w:ascii="仿宋_GB2312" w:eastAsia="仿宋_GB2312"/>
          <w:b/>
          <w:sz w:val="30"/>
          <w:szCs w:val="30"/>
        </w:rPr>
      </w:pPr>
      <w:bookmarkStart w:id="3703" w:name="_Toc47467190"/>
      <w:r>
        <w:rPr>
          <w:rFonts w:hint="eastAsia" w:ascii="仿宋_GB2312" w:eastAsia="仿宋_GB2312"/>
          <w:b/>
          <w:sz w:val="30"/>
          <w:szCs w:val="30"/>
        </w:rPr>
        <w:t>债券估值及收益率曲线</w:t>
      </w:r>
      <w:bookmarkEnd w:id="3703"/>
    </w:p>
    <w:p w14:paraId="12A8698E">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本所或本所授权机构编制债券估值、债券收益率曲线等信息并发布。债券指数、债券估值及债券收益率曲线信息按照本所或本所授权机构的相关规则发送。</w:t>
      </w:r>
    </w:p>
    <w:p w14:paraId="1AECD6B7">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（1）债券估值</w:t>
      </w:r>
    </w:p>
    <w:p w14:paraId="172A8850">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对于本所挂牌上市债券，本所与中证指数公司为其提供公允价值。中证指数公司具体负责对本所上市的国债公司债等债券进行估值。债券估值原理是基于债券所对应的即期收益率曲线，对未来的现金流进行贴现，并汇总求和。</w:t>
      </w:r>
    </w:p>
    <w:p w14:paraId="308D5603">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对于交易活跃、流动性好的债券，估值主要依据当日的交易数据。</w:t>
      </w:r>
    </w:p>
    <w:p w14:paraId="5C854731">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除了每日计算发布全市场的债券估值之外，中证指数公司同时提供针对违约债券和信用风险缓释工具等特殊品种的估值，并发布中证隐含违约率、中证隐含评级、中证债券合同现金流量特征测试（“SPPI”）和中证债券预期信用损失（“ECL”）等其他数据产品。</w:t>
      </w:r>
    </w:p>
    <w:p w14:paraId="6FDCC827">
      <w:pPr>
        <w:spacing w:line="600" w:lineRule="exact"/>
        <w:ind w:firstLine="601" w:firstLineChars="200"/>
        <w:outlineLvl w:val="3"/>
        <w:rPr>
          <w:rFonts w:ascii="仿宋_GB2312" w:eastAsia="仿宋_GB2312"/>
          <w:b/>
          <w:sz w:val="30"/>
          <w:szCs w:val="30"/>
        </w:rPr>
      </w:pPr>
      <w:r>
        <w:rPr>
          <w:rFonts w:hint="eastAsia" w:ascii="仿宋_GB2312" w:eastAsia="仿宋_GB2312"/>
          <w:b/>
          <w:sz w:val="30"/>
          <w:szCs w:val="30"/>
        </w:rPr>
        <w:t>（2）债券收益率曲线</w:t>
      </w:r>
    </w:p>
    <w:p w14:paraId="055F1F64">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本所债券收益率曲线系列包括国债收益率曲线、公司债</w:t>
      </w:r>
      <w:r>
        <w:rPr>
          <w:rFonts w:ascii="仿宋_GB2312" w:hAnsi="宋体" w:eastAsia="仿宋_GB2312"/>
          <w:sz w:val="30"/>
          <w:szCs w:val="30"/>
        </w:rPr>
        <w:t>收益率曲线</w:t>
      </w:r>
      <w:r>
        <w:rPr>
          <w:rFonts w:hint="eastAsia" w:ascii="仿宋_GB2312" w:hAnsi="宋体" w:eastAsia="仿宋_GB2312"/>
          <w:sz w:val="30"/>
          <w:szCs w:val="30"/>
        </w:rPr>
        <w:t>系列</w:t>
      </w:r>
      <w:r>
        <w:rPr>
          <w:rFonts w:ascii="仿宋_GB2312" w:hAnsi="宋体" w:eastAsia="仿宋_GB2312"/>
          <w:sz w:val="30"/>
          <w:szCs w:val="30"/>
        </w:rPr>
        <w:t>、</w:t>
      </w:r>
      <w:r>
        <w:rPr>
          <w:rFonts w:hint="eastAsia" w:ascii="仿宋_GB2312" w:hAnsi="宋体" w:eastAsia="仿宋_GB2312"/>
          <w:sz w:val="30"/>
          <w:szCs w:val="30"/>
        </w:rPr>
        <w:t>企业债收益率曲线系列等，是由中证指数公司每日计算发布。收益率曲线采用三次样条函数法，根据当日市场中真实有效的报价和成交数据进行拟合所得，并分别计算了即期收益率、到期收益率、远期收益率三条曲线，用以从不同角度刻画市场利率的走势，为债券投资者判断市场趋势提供参考。</w:t>
      </w:r>
    </w:p>
    <w:p w14:paraId="486C876E">
      <w:pPr>
        <w:numPr>
          <w:ilvl w:val="2"/>
          <w:numId w:val="4"/>
        </w:numPr>
        <w:spacing w:line="600" w:lineRule="exact"/>
        <w:ind w:left="0" w:firstLine="0"/>
        <w:outlineLvl w:val="2"/>
        <w:rPr>
          <w:rFonts w:ascii="仿宋_GB2312" w:eastAsia="仿宋_GB2312"/>
          <w:b/>
          <w:sz w:val="30"/>
          <w:szCs w:val="30"/>
        </w:rPr>
      </w:pPr>
      <w:bookmarkStart w:id="3704" w:name="_Toc47467191"/>
      <w:r>
        <w:rPr>
          <w:rFonts w:hint="eastAsia" w:ascii="仿宋_GB2312" w:eastAsia="仿宋_GB2312"/>
          <w:b/>
          <w:sz w:val="30"/>
          <w:szCs w:val="30"/>
        </w:rPr>
        <w:t>特定债券行情展示</w:t>
      </w:r>
      <w:bookmarkEnd w:id="3704"/>
    </w:p>
    <w:p w14:paraId="654AE703">
      <w:pPr>
        <w:spacing w:line="600" w:lineRule="exact"/>
        <w:ind w:firstLine="600" w:firstLineChars="200"/>
        <w:rPr>
          <w:rFonts w:ascii="仿宋_GB2312" w:hAnsi="宋体" w:eastAsia="仿宋_GB2312"/>
          <w:sz w:val="30"/>
          <w:szCs w:val="30"/>
        </w:rPr>
      </w:pPr>
      <w:r>
        <w:rPr>
          <w:rFonts w:hint="eastAsia" w:ascii="仿宋_GB2312" w:hAnsi="宋体" w:eastAsia="仿宋_GB2312"/>
          <w:sz w:val="30"/>
          <w:szCs w:val="30"/>
        </w:rPr>
        <w:t>特定债券所有交易方式下的</w:t>
      </w:r>
      <w:r>
        <w:rPr>
          <w:rFonts w:hint="eastAsia" w:ascii="仿宋_GB2312" w:hAnsi="宋体" w:eastAsia="仿宋_GB2312"/>
          <w:sz w:val="30"/>
          <w:szCs w:val="30"/>
          <w:highlight w:val="none"/>
        </w:rPr>
        <w:t>转让</w:t>
      </w:r>
      <w:r>
        <w:rPr>
          <w:rFonts w:hint="eastAsia" w:ascii="仿宋_GB2312" w:hAnsi="宋体" w:eastAsia="仿宋_GB2312"/>
          <w:sz w:val="30"/>
          <w:szCs w:val="30"/>
        </w:rPr>
        <w:t>行情在</w:t>
      </w:r>
      <w:r>
        <w:rPr>
          <w:rFonts w:hint="eastAsia" w:ascii="仿宋_GB2312" w:hAnsi="仿宋" w:eastAsia="仿宋_GB2312"/>
          <w:sz w:val="30"/>
          <w:szCs w:val="30"/>
          <w:lang w:eastAsia="zh-CN"/>
        </w:rPr>
        <w:t>一债通</w:t>
      </w:r>
      <w:r>
        <w:rPr>
          <w:rFonts w:hint="eastAsia" w:ascii="仿宋_GB2312" w:hAnsi="宋体" w:eastAsia="仿宋_GB2312"/>
          <w:sz w:val="30"/>
          <w:szCs w:val="30"/>
          <w:lang w:eastAsia="zh-CN"/>
        </w:rPr>
        <w:t>内</w:t>
      </w:r>
      <w:r>
        <w:rPr>
          <w:rFonts w:hint="eastAsia" w:ascii="仿宋_GB2312" w:hAnsi="宋体" w:eastAsia="仿宋_GB2312"/>
          <w:sz w:val="30"/>
          <w:szCs w:val="30"/>
        </w:rPr>
        <w:t>展示，不对公众公开，不纳入交易系统对行情信息商发送的行情数据内。</w:t>
      </w:r>
    </w:p>
    <w:p w14:paraId="74FC16A6">
      <w:pPr>
        <w:numPr>
          <w:ilvl w:val="0"/>
          <w:numId w:val="4"/>
        </w:numPr>
        <w:outlineLvl w:val="0"/>
        <w:rPr>
          <w:b/>
          <w:sz w:val="36"/>
        </w:rPr>
      </w:pPr>
      <w:bookmarkStart w:id="3705" w:name="_Toc97819711"/>
      <w:bookmarkEnd w:id="3705"/>
      <w:bookmarkStart w:id="3706" w:name="_Toc97819725"/>
      <w:bookmarkEnd w:id="3706"/>
      <w:bookmarkStart w:id="3707" w:name="_Toc97819728"/>
      <w:bookmarkEnd w:id="3707"/>
      <w:bookmarkStart w:id="3708" w:name="_Toc97819695"/>
      <w:bookmarkEnd w:id="3708"/>
      <w:bookmarkStart w:id="3709" w:name="_Toc97819723"/>
      <w:bookmarkEnd w:id="3709"/>
      <w:bookmarkStart w:id="3710" w:name="_Toc97819710"/>
      <w:bookmarkEnd w:id="3710"/>
      <w:bookmarkStart w:id="3711" w:name="_Toc97819729"/>
      <w:bookmarkEnd w:id="3711"/>
      <w:bookmarkStart w:id="3712" w:name="_Toc97819720"/>
      <w:bookmarkEnd w:id="3712"/>
      <w:bookmarkStart w:id="3713" w:name="_Toc97819724"/>
      <w:bookmarkEnd w:id="3713"/>
      <w:bookmarkStart w:id="3714" w:name="_Toc97819702"/>
      <w:bookmarkEnd w:id="3714"/>
      <w:bookmarkStart w:id="3715" w:name="_Toc97819708"/>
      <w:bookmarkEnd w:id="3715"/>
      <w:bookmarkStart w:id="3716" w:name="_Toc97819731"/>
      <w:bookmarkEnd w:id="3716"/>
      <w:bookmarkStart w:id="3717" w:name="_Toc97819716"/>
      <w:bookmarkEnd w:id="3717"/>
      <w:bookmarkStart w:id="3718" w:name="_Toc97819730"/>
      <w:bookmarkEnd w:id="3718"/>
      <w:bookmarkStart w:id="3719" w:name="_Toc97819733"/>
      <w:bookmarkEnd w:id="3719"/>
      <w:bookmarkStart w:id="3720" w:name="_Toc97819732"/>
      <w:bookmarkEnd w:id="3720"/>
      <w:bookmarkStart w:id="3721" w:name="_Toc97819697"/>
      <w:bookmarkEnd w:id="3721"/>
      <w:bookmarkStart w:id="3722" w:name="_Toc97819703"/>
      <w:bookmarkEnd w:id="3722"/>
      <w:bookmarkStart w:id="3723" w:name="_Toc97819736"/>
      <w:bookmarkEnd w:id="3723"/>
      <w:bookmarkStart w:id="3724" w:name="_Toc97819709"/>
      <w:bookmarkEnd w:id="3724"/>
      <w:bookmarkStart w:id="3725" w:name="_Toc97819735"/>
      <w:bookmarkEnd w:id="3725"/>
      <w:bookmarkStart w:id="3726" w:name="_Toc45008340"/>
      <w:bookmarkEnd w:id="3726"/>
      <w:bookmarkStart w:id="3727" w:name="_Toc97819721"/>
      <w:bookmarkEnd w:id="3727"/>
      <w:bookmarkStart w:id="3728" w:name="_Toc97819707"/>
      <w:bookmarkEnd w:id="3728"/>
      <w:bookmarkStart w:id="3729" w:name="_Toc97819741"/>
      <w:bookmarkEnd w:id="3729"/>
      <w:bookmarkStart w:id="3730" w:name="_Toc97819739"/>
      <w:bookmarkEnd w:id="3730"/>
      <w:bookmarkStart w:id="3731" w:name="_Toc97819712"/>
      <w:bookmarkEnd w:id="3731"/>
      <w:bookmarkStart w:id="3732" w:name="_Toc97819701"/>
      <w:bookmarkEnd w:id="3732"/>
      <w:bookmarkStart w:id="3733" w:name="_Toc97819694"/>
      <w:bookmarkEnd w:id="3733"/>
      <w:bookmarkStart w:id="3734" w:name="_Toc97819726"/>
      <w:bookmarkEnd w:id="3734"/>
      <w:bookmarkStart w:id="3735" w:name="_Toc97819698"/>
      <w:bookmarkEnd w:id="3735"/>
      <w:bookmarkStart w:id="3736" w:name="_Toc97819740"/>
      <w:bookmarkEnd w:id="3736"/>
      <w:bookmarkStart w:id="3737" w:name="_Toc45008356"/>
      <w:bookmarkEnd w:id="3737"/>
      <w:bookmarkStart w:id="3738" w:name="_Toc97819737"/>
      <w:bookmarkEnd w:id="3738"/>
      <w:bookmarkStart w:id="3739" w:name="_Toc97819719"/>
      <w:bookmarkEnd w:id="3739"/>
      <w:bookmarkStart w:id="3740" w:name="_Toc97819714"/>
      <w:bookmarkEnd w:id="3740"/>
      <w:bookmarkStart w:id="3741" w:name="_Toc97819693"/>
      <w:bookmarkEnd w:id="3741"/>
      <w:bookmarkStart w:id="3742" w:name="_Toc97819692"/>
      <w:bookmarkEnd w:id="3742"/>
      <w:bookmarkStart w:id="3743" w:name="_Toc97819690"/>
      <w:bookmarkEnd w:id="3743"/>
      <w:bookmarkStart w:id="3744" w:name="_Toc97819696"/>
      <w:bookmarkEnd w:id="3744"/>
      <w:bookmarkStart w:id="3745" w:name="_Toc97819691"/>
      <w:bookmarkEnd w:id="3745"/>
      <w:bookmarkStart w:id="3746" w:name="_Toc97819717"/>
      <w:bookmarkEnd w:id="3746"/>
      <w:bookmarkStart w:id="3747" w:name="_Toc97819699"/>
      <w:bookmarkEnd w:id="3747"/>
      <w:bookmarkStart w:id="3748" w:name="_Toc97819734"/>
      <w:bookmarkEnd w:id="3748"/>
      <w:bookmarkStart w:id="3749" w:name="_Toc47540303"/>
      <w:bookmarkEnd w:id="3749"/>
      <w:bookmarkStart w:id="3750" w:name="_Toc97819713"/>
      <w:bookmarkEnd w:id="3750"/>
      <w:bookmarkStart w:id="3751" w:name="_Toc97819715"/>
      <w:bookmarkEnd w:id="3751"/>
      <w:bookmarkStart w:id="3752" w:name="_Toc97819727"/>
      <w:bookmarkEnd w:id="3752"/>
      <w:bookmarkStart w:id="3753" w:name="_Toc47466473"/>
      <w:bookmarkEnd w:id="3753"/>
      <w:bookmarkStart w:id="3754" w:name="_Toc97819704"/>
      <w:bookmarkEnd w:id="3754"/>
      <w:bookmarkStart w:id="3755" w:name="_Toc97819718"/>
      <w:bookmarkEnd w:id="3755"/>
      <w:bookmarkStart w:id="3756" w:name="_Toc97819706"/>
      <w:bookmarkEnd w:id="3756"/>
      <w:bookmarkStart w:id="3757" w:name="_Toc97819700"/>
      <w:bookmarkEnd w:id="3757"/>
      <w:bookmarkStart w:id="3758" w:name="_Toc97819705"/>
      <w:bookmarkEnd w:id="3758"/>
      <w:bookmarkStart w:id="3759" w:name="_Toc97819738"/>
      <w:bookmarkEnd w:id="3759"/>
      <w:bookmarkStart w:id="3760" w:name="_Toc97819722"/>
      <w:bookmarkEnd w:id="3760"/>
      <w:bookmarkStart w:id="3761" w:name="_Toc34763161"/>
      <w:bookmarkStart w:id="3762" w:name="_Toc24460014"/>
      <w:bookmarkStart w:id="3763" w:name="_Toc16497861"/>
      <w:bookmarkStart w:id="3764" w:name="_Toc19542133"/>
      <w:bookmarkStart w:id="3765" w:name="_Toc56166314"/>
      <w:bookmarkStart w:id="3766" w:name="_Toc56166125"/>
      <w:bookmarkStart w:id="3767" w:name="_Toc34763186"/>
      <w:bookmarkStart w:id="3768" w:name="_Toc24460039"/>
      <w:r>
        <w:rPr>
          <w:b/>
          <w:sz w:val="36"/>
        </w:rPr>
        <w:br w:type="page"/>
      </w:r>
      <w:bookmarkStart w:id="3769" w:name="_Toc553614558"/>
      <w:bookmarkStart w:id="3770" w:name="_Toc406274684"/>
      <w:bookmarkStart w:id="3771" w:name="_Toc514663322"/>
      <w:bookmarkStart w:id="3772" w:name="_Toc151137069"/>
      <w:bookmarkStart w:id="3773" w:name="_Toc677014700"/>
      <w:bookmarkStart w:id="3774" w:name="_Toc1303470731"/>
      <w:bookmarkStart w:id="3775" w:name="_Toc1864256752"/>
      <w:r>
        <w:rPr>
          <w:rFonts w:hint="eastAsia" w:ascii="黑体" w:hAnsi="黑体" w:eastAsia="黑体" w:cs="黑体"/>
          <w:b/>
          <w:sz w:val="36"/>
        </w:rPr>
        <w:t>交易行为监督</w:t>
      </w:r>
      <w:bookmarkEnd w:id="3761"/>
      <w:bookmarkEnd w:id="3762"/>
      <w:bookmarkEnd w:id="3763"/>
      <w:bookmarkEnd w:id="3764"/>
      <w:bookmarkEnd w:id="3765"/>
      <w:bookmarkEnd w:id="3766"/>
      <w:bookmarkEnd w:id="3769"/>
      <w:bookmarkEnd w:id="3770"/>
      <w:bookmarkEnd w:id="3771"/>
      <w:bookmarkEnd w:id="3772"/>
      <w:bookmarkEnd w:id="3773"/>
      <w:bookmarkEnd w:id="3774"/>
      <w:bookmarkEnd w:id="3775"/>
    </w:p>
    <w:p w14:paraId="543C1EB0">
      <w:pPr>
        <w:numPr>
          <w:ilvl w:val="1"/>
          <w:numId w:val="4"/>
        </w:numPr>
        <w:spacing w:line="600" w:lineRule="exact"/>
        <w:ind w:left="0" w:firstLine="0"/>
        <w:outlineLvl w:val="1"/>
        <w:rPr>
          <w:rFonts w:ascii="仿宋_GB2312" w:eastAsia="仿宋_GB2312"/>
          <w:b/>
          <w:sz w:val="30"/>
          <w:szCs w:val="30"/>
        </w:rPr>
      </w:pPr>
      <w:bookmarkStart w:id="3776" w:name="_Toc151137070"/>
      <w:bookmarkStart w:id="3777" w:name="_Toc1433957831"/>
      <w:bookmarkStart w:id="3778" w:name="_Toc1456174657"/>
      <w:bookmarkStart w:id="3779" w:name="_Toc1378723275"/>
      <w:bookmarkStart w:id="3780" w:name="_Toc1472478552"/>
      <w:bookmarkStart w:id="3781" w:name="_Toc1081117219"/>
      <w:bookmarkStart w:id="3782" w:name="_Toc56166315"/>
      <w:bookmarkStart w:id="3783" w:name="_Toc56166126"/>
      <w:bookmarkStart w:id="3784" w:name="_Toc1768731397"/>
      <w:r>
        <w:rPr>
          <w:rFonts w:hint="eastAsia" w:ascii="仿宋_GB2312" w:eastAsia="仿宋_GB2312"/>
          <w:b/>
          <w:sz w:val="30"/>
          <w:szCs w:val="30"/>
        </w:rPr>
        <w:t>交易异常行为监督</w:t>
      </w:r>
      <w:bookmarkEnd w:id="3776"/>
      <w:bookmarkEnd w:id="3777"/>
      <w:bookmarkEnd w:id="3778"/>
      <w:bookmarkEnd w:id="3779"/>
      <w:bookmarkEnd w:id="3780"/>
      <w:bookmarkEnd w:id="3781"/>
      <w:bookmarkEnd w:id="3782"/>
      <w:bookmarkEnd w:id="3783"/>
      <w:bookmarkEnd w:id="3784"/>
    </w:p>
    <w:p w14:paraId="45B9BE90">
      <w:pPr>
        <w:spacing w:line="600" w:lineRule="exact"/>
        <w:ind w:firstLine="600" w:firstLineChars="200"/>
        <w:rPr>
          <w:rFonts w:ascii="仿宋_GB2312" w:eastAsia="仿宋_GB2312"/>
          <w:b/>
          <w:sz w:val="30"/>
          <w:szCs w:val="30"/>
        </w:rPr>
      </w:pPr>
      <w:r>
        <w:rPr>
          <w:rFonts w:hint="eastAsia" w:ascii="仿宋_GB2312" w:eastAsia="仿宋_GB2312"/>
          <w:color w:val="000000"/>
          <w:sz w:val="30"/>
          <w:szCs w:val="30"/>
        </w:rPr>
        <w:t>本所对债券交易进行实时监控，及时发现和处理异常交易行为。</w:t>
      </w:r>
    </w:p>
    <w:p w14:paraId="53CDE5F3">
      <w:pPr>
        <w:numPr>
          <w:ilvl w:val="2"/>
          <w:numId w:val="4"/>
        </w:numPr>
        <w:spacing w:line="600" w:lineRule="exact"/>
        <w:ind w:left="0" w:firstLine="0"/>
        <w:outlineLvl w:val="2"/>
        <w:rPr>
          <w:rFonts w:ascii="仿宋_GB2312" w:hAnsi="Cambria" w:eastAsia="仿宋_GB2312"/>
          <w:b/>
          <w:sz w:val="30"/>
          <w:szCs w:val="30"/>
        </w:rPr>
      </w:pPr>
      <w:r>
        <w:rPr>
          <w:rFonts w:hint="eastAsia" w:ascii="仿宋_GB2312" w:hAnsi="Cambria" w:eastAsia="仿宋_GB2312"/>
          <w:b/>
          <w:bCs/>
          <w:sz w:val="30"/>
          <w:szCs w:val="30"/>
        </w:rPr>
        <w:t>异常</w:t>
      </w:r>
      <w:r>
        <w:rPr>
          <w:rFonts w:hint="eastAsia" w:ascii="仿宋_GB2312" w:eastAsia="仿宋_GB2312"/>
          <w:b/>
          <w:sz w:val="30"/>
          <w:szCs w:val="30"/>
        </w:rPr>
        <w:t>交易</w:t>
      </w:r>
      <w:r>
        <w:rPr>
          <w:rFonts w:hint="eastAsia" w:ascii="仿宋_GB2312" w:hAnsi="Cambria" w:eastAsia="仿宋_GB2312"/>
          <w:b/>
          <w:bCs/>
          <w:sz w:val="30"/>
          <w:szCs w:val="30"/>
        </w:rPr>
        <w:t>行为类型</w:t>
      </w:r>
    </w:p>
    <w:p w14:paraId="6201486B">
      <w:pPr>
        <w:spacing w:line="600" w:lineRule="exact"/>
        <w:ind w:firstLine="600" w:firstLineChars="200"/>
        <w:rPr>
          <w:rFonts w:ascii="仿宋_GB2312" w:hAnsi="Cambria" w:eastAsia="仿宋_GB2312"/>
          <w:b/>
          <w:sz w:val="30"/>
          <w:szCs w:val="30"/>
        </w:rPr>
      </w:pPr>
      <w:r>
        <w:rPr>
          <w:rFonts w:hint="eastAsia" w:ascii="仿宋_GB2312" w:eastAsia="仿宋_GB2312"/>
          <w:color w:val="000000"/>
          <w:sz w:val="30"/>
          <w:szCs w:val="30"/>
        </w:rPr>
        <w:t>本所对下列可能影响债券交易价格或者债券交易量的异常交易行为予以重点监控</w:t>
      </w:r>
      <w:r>
        <w:rPr>
          <w:rFonts w:hint="eastAsia" w:ascii="仿宋_GB2312" w:hAnsi="Cambria" w:eastAsia="仿宋_GB2312"/>
          <w:bCs/>
          <w:sz w:val="30"/>
          <w:szCs w:val="30"/>
        </w:rPr>
        <w:t>：</w:t>
      </w:r>
    </w:p>
    <w:p w14:paraId="5F56AA7A">
      <w:pPr>
        <w:pStyle w:val="90"/>
        <w:numPr>
          <w:ilvl w:val="0"/>
          <w:numId w:val="22"/>
        </w:numPr>
        <w:ind w:left="0" w:firstLine="420" w:firstLineChars="0"/>
        <w:rPr>
          <w:rFonts w:hAnsi="Times New Roman"/>
          <w:sz w:val="30"/>
          <w:szCs w:val="30"/>
        </w:rPr>
      </w:pPr>
      <w:r>
        <w:rPr>
          <w:rFonts w:hint="eastAsia" w:hAnsi="Times New Roman"/>
          <w:sz w:val="30"/>
          <w:szCs w:val="30"/>
        </w:rPr>
        <w:t>虚假申报，即不以成交为目的，通过大量申报并撤销等行为，以引诱、误导或者影响其他债券投资者正常交易决策的；</w:t>
      </w:r>
    </w:p>
    <w:p w14:paraId="1534B780">
      <w:pPr>
        <w:pStyle w:val="90"/>
        <w:numPr>
          <w:ilvl w:val="0"/>
          <w:numId w:val="22"/>
        </w:numPr>
        <w:ind w:left="0" w:firstLine="420" w:firstLineChars="0"/>
        <w:rPr>
          <w:rFonts w:hAnsi="Times New Roman"/>
          <w:sz w:val="30"/>
          <w:szCs w:val="30"/>
        </w:rPr>
      </w:pPr>
      <w:r>
        <w:rPr>
          <w:rFonts w:hint="eastAsia" w:hAnsi="Times New Roman"/>
          <w:sz w:val="30"/>
          <w:szCs w:val="30"/>
        </w:rPr>
        <w:t>拉抬打压，即大笔申报、连续申报、密集申报或者以明显偏离债券最新成交价的价格申报成交，期间债券交易价格明显上涨（下跌）；</w:t>
      </w:r>
    </w:p>
    <w:p w14:paraId="0BB5679D">
      <w:pPr>
        <w:pStyle w:val="90"/>
        <w:numPr>
          <w:ilvl w:val="0"/>
          <w:numId w:val="22"/>
        </w:numPr>
        <w:ind w:left="0" w:firstLine="420" w:firstLineChars="0"/>
        <w:rPr>
          <w:rFonts w:hAnsi="Times New Roman"/>
          <w:sz w:val="30"/>
          <w:szCs w:val="30"/>
        </w:rPr>
      </w:pPr>
      <w:r>
        <w:rPr>
          <w:rFonts w:hint="eastAsia" w:hAnsi="Times New Roman"/>
          <w:sz w:val="30"/>
          <w:szCs w:val="30"/>
        </w:rPr>
        <w:t>报价严重偏离市场合理价格，以引诱或者误导其他债券投资者交易决策的；</w:t>
      </w:r>
    </w:p>
    <w:p w14:paraId="29B8433F">
      <w:pPr>
        <w:pStyle w:val="90"/>
        <w:numPr>
          <w:ilvl w:val="0"/>
          <w:numId w:val="22"/>
        </w:numPr>
        <w:ind w:left="0" w:firstLine="420" w:firstLineChars="0"/>
        <w:rPr>
          <w:rFonts w:hAnsi="Times New Roman"/>
          <w:sz w:val="30"/>
          <w:szCs w:val="30"/>
        </w:rPr>
      </w:pPr>
      <w:r>
        <w:rPr>
          <w:rFonts w:hint="eastAsia" w:hAnsi="Times New Roman"/>
          <w:sz w:val="30"/>
          <w:szCs w:val="30"/>
        </w:rPr>
        <w:t>自买自卖或者互为对手方交易，即在单个账户、自己实际控制的账户之间或者关联账户之间大量或者频繁进行债券交易，影响债券交易价格或者交易量；</w:t>
      </w:r>
    </w:p>
    <w:p w14:paraId="1CFEDF3E">
      <w:pPr>
        <w:pStyle w:val="90"/>
        <w:numPr>
          <w:ilvl w:val="0"/>
          <w:numId w:val="22"/>
        </w:numPr>
        <w:ind w:left="0" w:firstLine="420" w:firstLineChars="0"/>
        <w:rPr>
          <w:rFonts w:hAnsi="Times New Roman"/>
          <w:sz w:val="30"/>
          <w:szCs w:val="30"/>
        </w:rPr>
      </w:pPr>
      <w:r>
        <w:rPr>
          <w:rFonts w:hint="eastAsia" w:hAnsi="Times New Roman"/>
          <w:sz w:val="30"/>
          <w:szCs w:val="30"/>
        </w:rPr>
        <w:t>通过计算机程序自动生成或下达交易指令进行程序化交易，影响本所系统安全或正常交易秩序的；</w:t>
      </w:r>
    </w:p>
    <w:p w14:paraId="332ADF18">
      <w:pPr>
        <w:pStyle w:val="90"/>
        <w:numPr>
          <w:ilvl w:val="0"/>
          <w:numId w:val="22"/>
        </w:numPr>
        <w:ind w:left="0" w:firstLine="420" w:firstLineChars="0"/>
        <w:rPr>
          <w:rFonts w:hAnsi="Times New Roman"/>
          <w:sz w:val="30"/>
          <w:szCs w:val="30"/>
        </w:rPr>
      </w:pPr>
      <w:r>
        <w:rPr>
          <w:rFonts w:hint="eastAsia" w:hAnsi="Times New Roman"/>
          <w:sz w:val="30"/>
          <w:szCs w:val="30"/>
        </w:rPr>
        <w:t>在债券价格敏感期内，通过异常申报，影响相关证券或其衍生品的交易价格、结算价格或者参考价值的；</w:t>
      </w:r>
    </w:p>
    <w:p w14:paraId="29B7C975">
      <w:pPr>
        <w:pStyle w:val="90"/>
        <w:numPr>
          <w:ilvl w:val="0"/>
          <w:numId w:val="22"/>
        </w:numPr>
        <w:ind w:left="0" w:firstLine="420" w:firstLineChars="0"/>
        <w:rPr>
          <w:rFonts w:hAnsi="Times New Roman"/>
          <w:sz w:val="30"/>
          <w:szCs w:val="30"/>
        </w:rPr>
      </w:pPr>
      <w:r>
        <w:rPr>
          <w:rFonts w:hint="eastAsia" w:hAnsi="Times New Roman"/>
          <w:sz w:val="30"/>
          <w:szCs w:val="30"/>
        </w:rPr>
        <w:t>交易价格明显偏离合理价值，涉嫌通过债券交易进行利益输送的；</w:t>
      </w:r>
    </w:p>
    <w:p w14:paraId="57664446">
      <w:pPr>
        <w:pStyle w:val="90"/>
        <w:numPr>
          <w:ilvl w:val="0"/>
          <w:numId w:val="22"/>
        </w:numPr>
        <w:ind w:left="0" w:firstLine="420" w:firstLineChars="0"/>
        <w:rPr>
          <w:rFonts w:hAnsi="Times New Roman"/>
          <w:sz w:val="30"/>
          <w:szCs w:val="30"/>
        </w:rPr>
      </w:pPr>
      <w:r>
        <w:rPr>
          <w:rFonts w:hint="eastAsia" w:hAnsi="Times New Roman"/>
          <w:sz w:val="30"/>
          <w:szCs w:val="30"/>
        </w:rPr>
        <w:t>涉嫌操纵市场、内幕交易、利用未公开信息进行交易等违法违规行为的；</w:t>
      </w:r>
    </w:p>
    <w:p w14:paraId="3806A544">
      <w:pPr>
        <w:pStyle w:val="90"/>
        <w:numPr>
          <w:ilvl w:val="0"/>
          <w:numId w:val="22"/>
        </w:numPr>
        <w:ind w:left="0" w:firstLine="420" w:firstLineChars="0"/>
        <w:rPr>
          <w:rFonts w:hAnsi="Times New Roman"/>
          <w:sz w:val="30"/>
          <w:szCs w:val="30"/>
        </w:rPr>
      </w:pPr>
      <w:r>
        <w:rPr>
          <w:rFonts w:hint="eastAsia" w:hAnsi="Times New Roman"/>
          <w:sz w:val="30"/>
          <w:szCs w:val="30"/>
        </w:rPr>
        <w:t>利用其他相关市场的交易影响债券交易，或利用债券市场交易影响其他相关市场交易的；</w:t>
      </w:r>
    </w:p>
    <w:p w14:paraId="288FB2E9">
      <w:pPr>
        <w:pStyle w:val="90"/>
        <w:numPr>
          <w:ilvl w:val="0"/>
          <w:numId w:val="22"/>
        </w:numPr>
        <w:ind w:left="0" w:firstLine="420" w:firstLineChars="0"/>
        <w:rPr>
          <w:rFonts w:hAnsi="Times New Roman"/>
          <w:sz w:val="30"/>
          <w:szCs w:val="30"/>
        </w:rPr>
      </w:pPr>
      <w:r>
        <w:rPr>
          <w:rFonts w:hint="eastAsia" w:hAnsi="Times New Roman"/>
          <w:sz w:val="30"/>
          <w:szCs w:val="30"/>
        </w:rPr>
        <w:t>中国证监会</w:t>
      </w:r>
      <w:r>
        <w:rPr>
          <w:rFonts w:hint="eastAsia" w:hAnsi="Times New Roman"/>
          <w:bCs/>
          <w:sz w:val="30"/>
          <w:szCs w:val="30"/>
        </w:rPr>
        <w:t>或者本所认为需要重点监控的其他情形。</w:t>
      </w:r>
    </w:p>
    <w:p w14:paraId="49491B3F">
      <w:pPr>
        <w:spacing w:line="600" w:lineRule="exact"/>
        <w:ind w:firstLine="600" w:firstLineChars="200"/>
        <w:jc w:val="left"/>
        <w:rPr>
          <w:rFonts w:ascii="仿宋_GB2312" w:hAnsi="Cambria" w:eastAsia="仿宋_GB2312"/>
          <w:bCs/>
          <w:sz w:val="30"/>
          <w:szCs w:val="30"/>
        </w:rPr>
      </w:pPr>
      <w:r>
        <w:rPr>
          <w:rFonts w:hint="eastAsia" w:ascii="仿宋_GB2312" w:hAnsi="Cambria" w:eastAsia="仿宋_GB2312"/>
          <w:bCs/>
          <w:sz w:val="30"/>
          <w:szCs w:val="30"/>
        </w:rPr>
        <w:t>本所对债券投资者以本人名义开立或者由同一债券投资者实际控制的单个或者多个证券账户以及其他涉嫌关联的证券账户（组）进行合并监控。</w:t>
      </w:r>
    </w:p>
    <w:p w14:paraId="0904B447">
      <w:pPr>
        <w:spacing w:line="600" w:lineRule="exact"/>
        <w:ind w:firstLine="600" w:firstLineChars="200"/>
        <w:rPr>
          <w:rFonts w:ascii="仿宋_GB2312" w:hAnsi="Calibri" w:eastAsia="仿宋_GB2312"/>
          <w:b/>
          <w:bCs/>
          <w:sz w:val="30"/>
          <w:szCs w:val="30"/>
        </w:rPr>
      </w:pPr>
      <w:r>
        <w:rPr>
          <w:rFonts w:hint="eastAsia" w:ascii="仿宋_GB2312" w:hAnsi="Cambria" w:eastAsia="仿宋_GB2312"/>
          <w:bCs/>
          <w:sz w:val="30"/>
          <w:szCs w:val="30"/>
        </w:rPr>
        <w:t>债券投资者出现上述所列债券异常交易行为之一，本所可采取非现场检查和现场检查措施，要求相关债券交易参与人提供其开户资料、授权委托书（如有）、资金存取凭证、资金账户情况、相关交易情况等资料；如异常交易涉及经纪客户的，本所可以直接要求会员或者经纪客户提供有关材料，说明相关情况。</w:t>
      </w:r>
    </w:p>
    <w:p w14:paraId="315EA30F">
      <w:pPr>
        <w:numPr>
          <w:ilvl w:val="2"/>
          <w:numId w:val="4"/>
        </w:numPr>
        <w:spacing w:line="600" w:lineRule="exact"/>
        <w:ind w:left="0" w:firstLine="0"/>
        <w:outlineLvl w:val="2"/>
        <w:rPr>
          <w:rFonts w:ascii="仿宋_GB2312" w:hAnsi="Cambria" w:eastAsia="仿宋_GB2312"/>
          <w:b/>
          <w:sz w:val="30"/>
          <w:szCs w:val="30"/>
        </w:rPr>
      </w:pPr>
      <w:r>
        <w:rPr>
          <w:rFonts w:hint="eastAsia" w:ascii="仿宋_GB2312" w:hAnsi="Cambria" w:eastAsia="仿宋_GB2312"/>
          <w:b/>
          <w:bCs/>
          <w:sz w:val="30"/>
          <w:szCs w:val="30"/>
        </w:rPr>
        <w:t>会员</w:t>
      </w:r>
      <w:r>
        <w:rPr>
          <w:rFonts w:hint="eastAsia" w:ascii="仿宋_GB2312" w:eastAsia="仿宋_GB2312"/>
          <w:b/>
          <w:sz w:val="30"/>
          <w:szCs w:val="30"/>
        </w:rPr>
        <w:t>实时</w:t>
      </w:r>
      <w:r>
        <w:rPr>
          <w:rFonts w:hint="eastAsia" w:ascii="仿宋_GB2312" w:hAnsi="Cambria" w:eastAsia="仿宋_GB2312"/>
          <w:b/>
          <w:bCs/>
          <w:sz w:val="30"/>
          <w:szCs w:val="30"/>
        </w:rPr>
        <w:t>监控</w:t>
      </w:r>
    </w:p>
    <w:p w14:paraId="0951910F">
      <w:pPr>
        <w:spacing w:line="600" w:lineRule="exact"/>
        <w:ind w:firstLine="600" w:firstLineChars="200"/>
        <w:rPr>
          <w:rFonts w:ascii="仿宋_GB2312" w:hAnsi="Cambria" w:eastAsia="仿宋_GB2312"/>
          <w:b/>
          <w:sz w:val="30"/>
          <w:szCs w:val="30"/>
        </w:rPr>
      </w:pPr>
      <w:r>
        <w:rPr>
          <w:rFonts w:hint="eastAsia" w:ascii="仿宋_GB2312" w:hAnsi="Cambria" w:eastAsia="仿宋_GB2312"/>
          <w:bCs/>
          <w:sz w:val="30"/>
          <w:szCs w:val="30"/>
        </w:rPr>
        <w:t>会员及其营业部应当对其经纪客户的债券交易行为进行实时监控，发现经纪客户存在异常交易行为的，应当及时予以提醒和制止，并及时向本所报告。</w:t>
      </w:r>
    </w:p>
    <w:p w14:paraId="21B64E17">
      <w:pPr>
        <w:numPr>
          <w:ilvl w:val="2"/>
          <w:numId w:val="4"/>
        </w:numPr>
        <w:spacing w:line="600" w:lineRule="exact"/>
        <w:ind w:left="0" w:firstLine="0"/>
        <w:outlineLvl w:val="2"/>
        <w:rPr>
          <w:rFonts w:ascii="仿宋_GB2312" w:hAnsi="Cambria" w:eastAsia="仿宋_GB2312"/>
          <w:b/>
          <w:sz w:val="30"/>
          <w:szCs w:val="30"/>
        </w:rPr>
      </w:pPr>
      <w:r>
        <w:rPr>
          <w:rFonts w:hint="eastAsia" w:ascii="仿宋_GB2312" w:hAnsi="Cambria" w:eastAsia="仿宋_GB2312"/>
          <w:b/>
          <w:bCs/>
          <w:sz w:val="30"/>
          <w:szCs w:val="30"/>
        </w:rPr>
        <w:t>债券投资者配合</w:t>
      </w:r>
    </w:p>
    <w:p w14:paraId="56889629">
      <w:pPr>
        <w:spacing w:line="600" w:lineRule="exact"/>
        <w:ind w:firstLine="600" w:firstLineChars="200"/>
        <w:rPr>
          <w:rFonts w:ascii="仿宋_GB2312" w:hAnsi="Cambria" w:eastAsia="仿宋_GB2312"/>
          <w:b/>
          <w:sz w:val="30"/>
          <w:szCs w:val="30"/>
        </w:rPr>
      </w:pPr>
      <w:r>
        <w:rPr>
          <w:rFonts w:hint="eastAsia" w:ascii="仿宋_GB2312" w:hAnsi="Cambria" w:eastAsia="仿宋_GB2312"/>
          <w:bCs/>
          <w:sz w:val="30"/>
          <w:szCs w:val="30"/>
        </w:rPr>
        <w:t>债券投资者应当配合本所进行相关调查，及时、真实、准确、完整地提供有关文件和资料。</w:t>
      </w:r>
    </w:p>
    <w:p w14:paraId="1FA2220E">
      <w:pPr>
        <w:numPr>
          <w:ilvl w:val="1"/>
          <w:numId w:val="4"/>
        </w:numPr>
        <w:spacing w:line="600" w:lineRule="exact"/>
        <w:ind w:left="0" w:firstLine="0"/>
        <w:outlineLvl w:val="1"/>
        <w:rPr>
          <w:rFonts w:ascii="仿宋_GB2312" w:eastAsia="仿宋_GB2312"/>
          <w:b/>
          <w:sz w:val="30"/>
          <w:szCs w:val="30"/>
        </w:rPr>
      </w:pPr>
      <w:bookmarkStart w:id="3785" w:name="_Toc151137071"/>
      <w:bookmarkStart w:id="3786" w:name="_Toc6371821"/>
      <w:bookmarkStart w:id="3787" w:name="_Toc56166127"/>
      <w:bookmarkStart w:id="3788" w:name="_Toc2084057344"/>
      <w:bookmarkStart w:id="3789" w:name="_Toc56166316"/>
      <w:bookmarkStart w:id="3790" w:name="_Toc479033365"/>
      <w:bookmarkStart w:id="3791" w:name="_Toc514866395"/>
      <w:bookmarkStart w:id="3792" w:name="_Toc1259273810"/>
      <w:bookmarkStart w:id="3793" w:name="_Toc434712997"/>
      <w:r>
        <w:rPr>
          <w:rFonts w:hint="eastAsia" w:ascii="仿宋_GB2312" w:eastAsia="仿宋_GB2312"/>
          <w:b/>
          <w:sz w:val="30"/>
          <w:szCs w:val="30"/>
        </w:rPr>
        <w:t>价格偏离报告</w:t>
      </w:r>
      <w:bookmarkEnd w:id="3785"/>
      <w:bookmarkEnd w:id="3786"/>
      <w:bookmarkEnd w:id="3787"/>
      <w:bookmarkEnd w:id="3788"/>
      <w:bookmarkEnd w:id="3789"/>
      <w:bookmarkEnd w:id="3790"/>
      <w:bookmarkEnd w:id="3791"/>
      <w:bookmarkEnd w:id="3792"/>
      <w:bookmarkEnd w:id="3793"/>
    </w:p>
    <w:p w14:paraId="27C4417E">
      <w:pPr>
        <w:numPr>
          <w:ilvl w:val="2"/>
          <w:numId w:val="4"/>
        </w:numPr>
        <w:spacing w:line="600" w:lineRule="exact"/>
        <w:ind w:left="0" w:firstLine="0"/>
        <w:outlineLvl w:val="2"/>
        <w:rPr>
          <w:rFonts w:ascii="Calibri" w:hAnsi="Calibri" w:eastAsia="仿宋_GB2312"/>
          <w:b/>
          <w:bCs/>
          <w:sz w:val="30"/>
          <w:szCs w:val="30"/>
        </w:rPr>
      </w:pPr>
      <w:r>
        <w:rPr>
          <w:rFonts w:hint="eastAsia" w:ascii="Calibri" w:hAnsi="Calibri" w:eastAsia="仿宋_GB2312"/>
          <w:b/>
          <w:bCs/>
          <w:sz w:val="30"/>
          <w:szCs w:val="30"/>
        </w:rPr>
        <w:t>价格比较基准</w:t>
      </w:r>
    </w:p>
    <w:p w14:paraId="552B78BE">
      <w:pPr>
        <w:spacing w:line="600" w:lineRule="exact"/>
        <w:ind w:firstLine="600" w:firstLineChars="200"/>
        <w:rPr>
          <w:rFonts w:ascii="Calibri" w:hAnsi="Calibri" w:eastAsia="仿宋_GB2312"/>
          <w:bCs/>
          <w:sz w:val="30"/>
          <w:szCs w:val="30"/>
        </w:rPr>
      </w:pPr>
      <w:r>
        <w:rPr>
          <w:rFonts w:hint="eastAsia" w:ascii="Calibri" w:hAnsi="Calibri" w:eastAsia="仿宋_GB2312"/>
          <w:bCs/>
          <w:sz w:val="30"/>
          <w:szCs w:val="30"/>
        </w:rPr>
        <w:t>债券交易参与人应当主动建立多指标、差异化的债券现券交易价格比较基准体系，相关比较基准包括但不限于中债估值、中证估值及本所认可的其他公允指标，本所另有规定的除外。</w:t>
      </w:r>
    </w:p>
    <w:p w14:paraId="52D1086A">
      <w:pPr>
        <w:numPr>
          <w:ilvl w:val="2"/>
          <w:numId w:val="4"/>
        </w:numPr>
        <w:spacing w:line="600" w:lineRule="exact"/>
        <w:ind w:left="0" w:firstLine="0"/>
        <w:outlineLvl w:val="2"/>
        <w:rPr>
          <w:rFonts w:ascii="仿宋_GB2312" w:hAnsi="Cambria" w:eastAsia="仿宋_GB2312"/>
          <w:sz w:val="30"/>
          <w:szCs w:val="30"/>
        </w:rPr>
      </w:pPr>
      <w:r>
        <w:rPr>
          <w:rFonts w:hint="eastAsia" w:ascii="仿宋_GB2312" w:hAnsi="Cambria" w:eastAsia="仿宋_GB2312"/>
          <w:b/>
          <w:bCs/>
          <w:sz w:val="30"/>
          <w:szCs w:val="30"/>
        </w:rPr>
        <w:t>报告流程</w:t>
      </w:r>
    </w:p>
    <w:p w14:paraId="65C1917D">
      <w:pPr>
        <w:spacing w:line="600" w:lineRule="exact"/>
        <w:ind w:firstLine="600" w:firstLineChars="200"/>
        <w:rPr>
          <w:rFonts w:ascii="Calibri" w:hAnsi="Calibri" w:eastAsia="仿宋_GB2312"/>
          <w:bCs/>
          <w:sz w:val="30"/>
          <w:szCs w:val="30"/>
        </w:rPr>
      </w:pPr>
      <w:r>
        <w:rPr>
          <w:rFonts w:hint="eastAsia" w:ascii="Calibri" w:hAnsi="Calibri" w:eastAsia="仿宋_GB2312"/>
          <w:bCs/>
          <w:sz w:val="30"/>
          <w:szCs w:val="30"/>
        </w:rPr>
        <w:t>债券现券交易价格（净价）偏离交易当日日终相关比较基准超过</w:t>
      </w:r>
      <w:r>
        <w:rPr>
          <w:rFonts w:hint="eastAsia" w:ascii="仿宋_GB2312" w:hAnsi="Calibri" w:eastAsia="仿宋_GB2312"/>
          <w:bCs/>
          <w:sz w:val="30"/>
          <w:szCs w:val="30"/>
        </w:rPr>
        <w:t>2%（</w:t>
      </w:r>
      <w:r>
        <w:rPr>
          <w:rFonts w:hint="eastAsia" w:ascii="Calibri" w:hAnsi="Calibri" w:eastAsia="仿宋_GB2312"/>
          <w:bCs/>
          <w:sz w:val="30"/>
          <w:szCs w:val="30"/>
        </w:rPr>
        <w:t>含）的，交易双方的债券交易参与人应不晚于收盘后次一交易日向本所报告该笔交易。</w:t>
      </w:r>
    </w:p>
    <w:p w14:paraId="0864BEA3">
      <w:pPr>
        <w:spacing w:line="600" w:lineRule="exact"/>
        <w:ind w:firstLine="600" w:firstLineChars="200"/>
        <w:rPr>
          <w:rFonts w:ascii="Calibri" w:hAnsi="Calibri" w:eastAsia="仿宋_GB2312"/>
          <w:bCs/>
          <w:sz w:val="30"/>
          <w:szCs w:val="30"/>
        </w:rPr>
      </w:pPr>
      <w:r>
        <w:rPr>
          <w:rFonts w:hint="eastAsia" w:ascii="Calibri" w:hAnsi="Calibri" w:eastAsia="仿宋_GB2312"/>
          <w:bCs/>
          <w:sz w:val="30"/>
          <w:szCs w:val="30"/>
        </w:rPr>
        <w:t>若涉及价格偏离的交易一方或双方为经纪客户的，会员应当及时向相关经纪客户了解情况并按前款规定向本所报告该笔交易。</w:t>
      </w:r>
    </w:p>
    <w:p w14:paraId="4EE63C35">
      <w:pPr>
        <w:spacing w:line="600" w:lineRule="exact"/>
        <w:ind w:firstLine="600" w:firstLineChars="200"/>
        <w:rPr>
          <w:rFonts w:ascii="仿宋_GB2312" w:hAnsi="Cambria" w:eastAsia="仿宋_GB2312"/>
          <w:bCs/>
          <w:sz w:val="30"/>
          <w:szCs w:val="30"/>
        </w:rPr>
      </w:pPr>
      <w:r>
        <w:rPr>
          <w:rFonts w:hint="eastAsia" w:ascii="Calibri" w:hAnsi="Calibri" w:eastAsia="仿宋_GB2312"/>
          <w:bCs/>
          <w:sz w:val="30"/>
          <w:szCs w:val="30"/>
        </w:rPr>
        <w:t>债券交易参与人根据前款规定进行报告的，报告内容包括但不限于交易方的基本信息、交易要素、交易情况及价格偏离原因</w:t>
      </w:r>
      <w:r>
        <w:rPr>
          <w:rFonts w:hint="eastAsia" w:ascii="仿宋_GB2312" w:hAnsi="Cambria" w:eastAsia="仿宋_GB2312"/>
          <w:bCs/>
          <w:sz w:val="30"/>
          <w:szCs w:val="30"/>
        </w:rPr>
        <w:t>等。债券交易参与人应当将包含相关内容的债券交易情况说明表（详见附件</w:t>
      </w:r>
      <w:r>
        <w:rPr>
          <w:rFonts w:hint="eastAsia" w:ascii="仿宋_GB2312" w:hAnsi="Cambria" w:eastAsia="仿宋_GB2312"/>
          <w:bCs/>
          <w:sz w:val="30"/>
          <w:szCs w:val="30"/>
          <w:lang w:val="en-US" w:eastAsia="zh-CN"/>
        </w:rPr>
        <w:t>39</w:t>
      </w:r>
      <w:r>
        <w:rPr>
          <w:rFonts w:hint="eastAsia" w:ascii="仿宋_GB2312" w:hAnsi="Cambria" w:eastAsia="仿宋_GB2312"/>
          <w:bCs/>
          <w:sz w:val="30"/>
          <w:szCs w:val="30"/>
        </w:rPr>
        <w:t>）</w:t>
      </w:r>
      <w:r>
        <w:fldChar w:fldCharType="begin"/>
      </w:r>
      <w:r>
        <w:instrText xml:space="preserve"> HYPERLINK "mailto:扫描版发送至bondtrading@sse.com.cn" </w:instrText>
      </w:r>
      <w:r>
        <w:fldChar w:fldCharType="separate"/>
      </w:r>
      <w:r>
        <w:rPr>
          <w:rFonts w:hint="eastAsia" w:ascii="仿宋_GB2312" w:hAnsi="Cambria" w:eastAsia="仿宋_GB2312"/>
          <w:bCs/>
          <w:sz w:val="30"/>
          <w:szCs w:val="30"/>
        </w:rPr>
        <w:t>通过债券信息监控及分析平台（</w:t>
      </w:r>
      <w:r>
        <w:rPr>
          <w:rFonts w:ascii="仿宋_GB2312" w:hAnsi="Cambria" w:eastAsia="仿宋_GB2312"/>
          <w:bCs/>
          <w:sz w:val="30"/>
          <w:szCs w:val="30"/>
        </w:rPr>
        <w:t>https://ebp.sse.com.cn/bmp/</w:t>
      </w:r>
      <w:r>
        <w:rPr>
          <w:rFonts w:hint="eastAsia" w:ascii="仿宋_GB2312" w:hAnsi="Cambria" w:eastAsia="仿宋_GB2312"/>
          <w:bCs/>
          <w:sz w:val="30"/>
          <w:szCs w:val="30"/>
        </w:rPr>
        <w:t>）提交</w:t>
      </w:r>
      <w:r>
        <w:rPr>
          <w:rFonts w:hint="eastAsia" w:ascii="仿宋_GB2312" w:hAnsi="Cambria" w:eastAsia="仿宋_GB2312"/>
          <w:bCs/>
          <w:sz w:val="30"/>
          <w:szCs w:val="30"/>
        </w:rPr>
        <w:fldChar w:fldCharType="end"/>
      </w:r>
      <w:r>
        <w:rPr>
          <w:rFonts w:hint="eastAsia" w:ascii="仿宋_GB2312" w:hAnsi="Cambria" w:eastAsia="仿宋_GB2312"/>
          <w:bCs/>
          <w:sz w:val="30"/>
          <w:szCs w:val="30"/>
        </w:rPr>
        <w:t>。</w:t>
      </w:r>
    </w:p>
    <w:p w14:paraId="5D760C0C">
      <w:pPr>
        <w:numPr>
          <w:ilvl w:val="2"/>
          <w:numId w:val="4"/>
        </w:numPr>
        <w:spacing w:line="600" w:lineRule="exact"/>
        <w:outlineLvl w:val="2"/>
        <w:rPr>
          <w:rFonts w:ascii="仿宋_GB2312" w:hAnsi="Cambria" w:eastAsia="仿宋_GB2312"/>
          <w:b/>
          <w:sz w:val="30"/>
          <w:szCs w:val="30"/>
        </w:rPr>
      </w:pPr>
      <w:r>
        <w:rPr>
          <w:rFonts w:hint="eastAsia" w:ascii="仿宋_GB2312" w:hAnsi="Cambria" w:eastAsia="仿宋_GB2312"/>
          <w:b/>
          <w:sz w:val="30"/>
          <w:szCs w:val="30"/>
        </w:rPr>
        <w:t>债券信息监控及分析平台使用说明</w:t>
      </w:r>
    </w:p>
    <w:p w14:paraId="2DB5FE26">
      <w:pPr>
        <w:spacing w:line="600" w:lineRule="exact"/>
        <w:ind w:firstLine="600" w:firstLineChars="200"/>
        <w:rPr>
          <w:rFonts w:ascii="仿宋_GB2312" w:hAnsi="Cambria" w:eastAsia="仿宋_GB2312"/>
          <w:sz w:val="30"/>
          <w:szCs w:val="30"/>
        </w:rPr>
      </w:pPr>
      <w:r>
        <w:rPr>
          <w:rFonts w:hint="eastAsia" w:ascii="仿宋_GB2312" w:hAnsi="Cambria" w:eastAsia="仿宋_GB2312"/>
          <w:sz w:val="30"/>
          <w:szCs w:val="30"/>
        </w:rPr>
        <w:t>债券信息监控及分析平台需使用上证通行证账号登录。账号</w:t>
      </w:r>
      <w:r>
        <w:rPr>
          <w:rFonts w:ascii="仿宋_GB2312" w:hAnsi="Cambria" w:eastAsia="仿宋_GB2312"/>
          <w:sz w:val="30"/>
          <w:szCs w:val="30"/>
        </w:rPr>
        <w:t>注册地址为</w:t>
      </w:r>
      <w:r>
        <w:rPr>
          <w:rFonts w:hint="eastAsia" w:ascii="仿宋_GB2312" w:hAnsi="Cambria" w:eastAsia="仿宋_GB2312"/>
          <w:sz w:val="30"/>
          <w:szCs w:val="30"/>
        </w:rPr>
        <w:t>https://passport.sseinfo.com/auth/goLogin。完成</w:t>
      </w:r>
      <w:r>
        <w:rPr>
          <w:rFonts w:ascii="仿宋_GB2312" w:hAnsi="Cambria" w:eastAsia="仿宋_GB2312"/>
          <w:sz w:val="30"/>
          <w:szCs w:val="30"/>
        </w:rPr>
        <w:t>上证通行证</w:t>
      </w:r>
      <w:r>
        <w:rPr>
          <w:rFonts w:hint="eastAsia" w:ascii="仿宋_GB2312" w:hAnsi="Cambria" w:eastAsia="仿宋_GB2312"/>
          <w:sz w:val="30"/>
          <w:szCs w:val="30"/>
          <w:lang w:eastAsia="zh-CN"/>
        </w:rPr>
        <w:t>账</w:t>
      </w:r>
      <w:r>
        <w:rPr>
          <w:rFonts w:ascii="仿宋_GB2312" w:hAnsi="Cambria" w:eastAsia="仿宋_GB2312"/>
          <w:sz w:val="30"/>
          <w:szCs w:val="30"/>
        </w:rPr>
        <w:t>号注册后，</w:t>
      </w:r>
      <w:r>
        <w:rPr>
          <w:rFonts w:hint="eastAsia" w:ascii="仿宋_GB2312" w:hAnsi="Cambria" w:eastAsia="仿宋_GB2312"/>
          <w:sz w:val="30"/>
          <w:szCs w:val="30"/>
        </w:rPr>
        <w:t>需要将真实姓名、</w:t>
      </w:r>
      <w:r>
        <w:rPr>
          <w:rFonts w:ascii="仿宋_GB2312" w:hAnsi="Cambria" w:eastAsia="仿宋_GB2312"/>
          <w:sz w:val="30"/>
          <w:szCs w:val="30"/>
        </w:rPr>
        <w:t>注册使用的手机号、机构名称等注册</w:t>
      </w:r>
      <w:r>
        <w:rPr>
          <w:rFonts w:hint="eastAsia" w:ascii="仿宋_GB2312" w:hAnsi="Cambria" w:eastAsia="仿宋_GB2312"/>
          <w:sz w:val="30"/>
          <w:szCs w:val="30"/>
        </w:rPr>
        <w:t>信息</w:t>
      </w:r>
      <w:r>
        <w:rPr>
          <w:rFonts w:ascii="仿宋_GB2312" w:hAnsi="Cambria" w:eastAsia="仿宋_GB2312"/>
          <w:sz w:val="30"/>
          <w:szCs w:val="30"/>
        </w:rPr>
        <w:t>通过邮箱</w:t>
      </w:r>
      <w:r>
        <w:rPr>
          <w:rFonts w:hint="eastAsia" w:ascii="仿宋_GB2312" w:hAnsi="Cambria" w:eastAsia="仿宋_GB2312"/>
          <w:sz w:val="30"/>
          <w:szCs w:val="30"/>
        </w:rPr>
        <w:t>（bondtrading@sse.com.cn）提交至本所管理员处。</w:t>
      </w:r>
    </w:p>
    <w:p w14:paraId="5CC6147E">
      <w:pPr>
        <w:spacing w:line="600" w:lineRule="exact"/>
        <w:ind w:firstLine="600" w:firstLineChars="200"/>
        <w:rPr>
          <w:rFonts w:ascii="仿宋_GB2312" w:hAnsi="Cambria" w:eastAsia="仿宋_GB2312"/>
          <w:sz w:val="30"/>
          <w:szCs w:val="30"/>
        </w:rPr>
      </w:pPr>
      <w:r>
        <w:rPr>
          <w:rFonts w:hint="eastAsia" w:ascii="仿宋_GB2312" w:hAnsi="Cambria" w:eastAsia="仿宋_GB2312"/>
          <w:sz w:val="30"/>
          <w:szCs w:val="30"/>
        </w:rPr>
        <w:t>本所管理员给通行证开通相关角色权限之后，方可登录并使用债券信息监控及分析平台。</w:t>
      </w:r>
    </w:p>
    <w:p w14:paraId="134F1C33">
      <w:pPr>
        <w:numPr>
          <w:ilvl w:val="2"/>
          <w:numId w:val="4"/>
        </w:numPr>
        <w:spacing w:line="600" w:lineRule="exact"/>
        <w:ind w:left="0" w:firstLine="0"/>
        <w:outlineLvl w:val="2"/>
        <w:rPr>
          <w:rFonts w:ascii="仿宋_GB2312" w:hAnsi="Cambria" w:eastAsia="仿宋_GB2312"/>
          <w:b/>
          <w:sz w:val="30"/>
          <w:szCs w:val="30"/>
        </w:rPr>
      </w:pPr>
      <w:r>
        <w:rPr>
          <w:rFonts w:hint="eastAsia" w:ascii="仿宋_GB2312" w:hAnsi="Cambria" w:eastAsia="仿宋_GB2312"/>
          <w:b/>
          <w:bCs/>
          <w:sz w:val="30"/>
          <w:szCs w:val="30"/>
        </w:rPr>
        <w:t>除外情形</w:t>
      </w:r>
    </w:p>
    <w:p w14:paraId="794CECD0">
      <w:pPr>
        <w:spacing w:line="600" w:lineRule="exact"/>
        <w:ind w:firstLine="600" w:firstLineChars="200"/>
        <w:rPr>
          <w:rFonts w:ascii="仿宋_GB2312" w:hAnsi="Cambria" w:eastAsia="仿宋_GB2312"/>
          <w:sz w:val="30"/>
          <w:szCs w:val="30"/>
        </w:rPr>
      </w:pPr>
      <w:r>
        <w:rPr>
          <w:rFonts w:hint="eastAsia" w:ascii="仿宋_GB2312" w:hAnsi="Cambria" w:eastAsia="仿宋_GB2312"/>
          <w:bCs/>
          <w:sz w:val="30"/>
          <w:szCs w:val="30"/>
        </w:rPr>
        <w:t>采用匹配成交、竞买成交方式达成的债券交易，特定债券的转让以及本所认可的其他情形，无需提交价格偏离报告。</w:t>
      </w:r>
    </w:p>
    <w:p w14:paraId="705FAF40">
      <w:pPr>
        <w:numPr>
          <w:ilvl w:val="1"/>
          <w:numId w:val="4"/>
        </w:numPr>
        <w:spacing w:line="600" w:lineRule="exact"/>
        <w:ind w:left="0" w:firstLine="0"/>
        <w:outlineLvl w:val="1"/>
        <w:rPr>
          <w:rFonts w:ascii="仿宋_GB2312" w:eastAsia="仿宋_GB2312"/>
          <w:b/>
          <w:sz w:val="30"/>
          <w:szCs w:val="30"/>
        </w:rPr>
      </w:pPr>
      <w:bookmarkStart w:id="3794" w:name="_Toc1444765510"/>
      <w:bookmarkStart w:id="3795" w:name="_Toc1425647060"/>
      <w:bookmarkStart w:id="3796" w:name="_Toc56166128"/>
      <w:bookmarkStart w:id="3797" w:name="_Toc1671568200"/>
      <w:bookmarkStart w:id="3798" w:name="_Toc2111178325"/>
      <w:bookmarkStart w:id="3799" w:name="_Toc2042351740"/>
      <w:bookmarkStart w:id="3800" w:name="_Toc56166317"/>
      <w:bookmarkStart w:id="3801" w:name="_Toc827741417"/>
      <w:bookmarkStart w:id="3802" w:name="_Toc151137072"/>
      <w:r>
        <w:rPr>
          <w:rFonts w:hint="eastAsia" w:ascii="仿宋_GB2312" w:eastAsia="仿宋_GB2312"/>
          <w:b/>
          <w:sz w:val="30"/>
          <w:szCs w:val="30"/>
        </w:rPr>
        <w:t>日常工作措施、监管措施和纪律处分</w:t>
      </w:r>
      <w:bookmarkEnd w:id="3794"/>
      <w:bookmarkEnd w:id="3795"/>
      <w:bookmarkEnd w:id="3796"/>
      <w:bookmarkEnd w:id="3797"/>
      <w:bookmarkEnd w:id="3798"/>
      <w:bookmarkEnd w:id="3799"/>
      <w:bookmarkEnd w:id="3800"/>
      <w:bookmarkEnd w:id="3801"/>
      <w:bookmarkEnd w:id="3802"/>
    </w:p>
    <w:p w14:paraId="129472B7">
      <w:pPr>
        <w:numPr>
          <w:ilvl w:val="2"/>
          <w:numId w:val="4"/>
        </w:numPr>
        <w:spacing w:line="600" w:lineRule="exact"/>
        <w:ind w:left="0" w:firstLine="0"/>
        <w:outlineLvl w:val="2"/>
        <w:rPr>
          <w:rFonts w:ascii="仿宋_GB2312" w:hAnsi="Calibri" w:eastAsia="仿宋_GB2312"/>
          <w:b/>
          <w:sz w:val="30"/>
          <w:szCs w:val="30"/>
        </w:rPr>
      </w:pPr>
      <w:r>
        <w:rPr>
          <w:rFonts w:hint="eastAsia" w:ascii="仿宋_GB2312" w:eastAsia="仿宋_GB2312"/>
          <w:b/>
          <w:sz w:val="30"/>
          <w:szCs w:val="30"/>
        </w:rPr>
        <w:t>监管</w:t>
      </w:r>
      <w:r>
        <w:rPr>
          <w:rFonts w:hint="eastAsia" w:ascii="仿宋_GB2312" w:hAnsi="Calibri" w:eastAsia="仿宋_GB2312"/>
          <w:b/>
          <w:sz w:val="30"/>
          <w:szCs w:val="30"/>
        </w:rPr>
        <w:t>对象</w:t>
      </w:r>
    </w:p>
    <w:p w14:paraId="4BEED084">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债券交易参与人、债券做市商、其他债券投资者、为债券交易提供专业服务的机构及其相关人员等监管对象应当接受本所的自律监管。</w:t>
      </w:r>
    </w:p>
    <w:p w14:paraId="1EF4ACF4">
      <w:pPr>
        <w:spacing w:line="600" w:lineRule="exact"/>
        <w:ind w:firstLine="600" w:firstLineChars="200"/>
        <w:jc w:val="left"/>
        <w:rPr>
          <w:rFonts w:ascii="仿宋_GB2312" w:hAnsi="Calibri" w:eastAsia="仿宋_GB2312"/>
          <w:sz w:val="30"/>
          <w:szCs w:val="30"/>
        </w:rPr>
      </w:pPr>
      <w:r>
        <w:rPr>
          <w:rFonts w:hint="eastAsia" w:ascii="仿宋_GB2312" w:hAnsi="Cambria" w:eastAsia="仿宋_GB2312"/>
          <w:bCs/>
          <w:sz w:val="30"/>
          <w:szCs w:val="30"/>
        </w:rPr>
        <w:t>监管对象违反《债券交易规则》或者本所其他债券交易相关规定的，本所可以采取日常工作措施、监管措施及纪律处分措施。</w:t>
      </w:r>
    </w:p>
    <w:p w14:paraId="2C0D0564">
      <w:pPr>
        <w:numPr>
          <w:ilvl w:val="2"/>
          <w:numId w:val="4"/>
        </w:numPr>
        <w:spacing w:line="600" w:lineRule="exact"/>
        <w:ind w:left="0" w:firstLine="0"/>
        <w:outlineLvl w:val="2"/>
        <w:rPr>
          <w:rFonts w:ascii="仿宋_GB2312" w:hAnsi="Cambria" w:eastAsia="仿宋_GB2312"/>
          <w:b/>
          <w:bCs/>
          <w:sz w:val="30"/>
          <w:szCs w:val="30"/>
        </w:rPr>
      </w:pPr>
      <w:r>
        <w:rPr>
          <w:rFonts w:hint="eastAsia" w:ascii="仿宋_GB2312" w:hAnsi="Cambria" w:eastAsia="仿宋_GB2312"/>
          <w:b/>
          <w:bCs/>
          <w:sz w:val="30"/>
          <w:szCs w:val="30"/>
        </w:rPr>
        <w:t>日常工作措施</w:t>
      </w:r>
    </w:p>
    <w:p w14:paraId="65A7823D">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本所可以对监管对象单独或者合并采取下列日常工作措施，监管对象应当予以配合：</w:t>
      </w:r>
    </w:p>
    <w:p w14:paraId="30FA588D">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（1）</w:t>
      </w:r>
      <w:r>
        <w:rPr>
          <w:rFonts w:ascii="仿宋_GB2312" w:hAnsi="Cambria" w:eastAsia="仿宋_GB2312"/>
          <w:bCs/>
          <w:sz w:val="30"/>
          <w:szCs w:val="30"/>
        </w:rPr>
        <w:tab/>
      </w:r>
      <w:r>
        <w:rPr>
          <w:rFonts w:hint="eastAsia" w:ascii="仿宋_GB2312" w:hAnsi="Cambria" w:eastAsia="仿宋_GB2312"/>
          <w:bCs/>
          <w:sz w:val="30"/>
          <w:szCs w:val="30"/>
        </w:rPr>
        <w:t>要求对有关问题作出解释和说明；</w:t>
      </w:r>
    </w:p>
    <w:p w14:paraId="271A0C82">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（2）</w:t>
      </w:r>
      <w:r>
        <w:rPr>
          <w:rFonts w:ascii="仿宋_GB2312" w:hAnsi="Cambria" w:eastAsia="仿宋_GB2312"/>
          <w:bCs/>
          <w:sz w:val="30"/>
          <w:szCs w:val="30"/>
        </w:rPr>
        <w:tab/>
      </w:r>
      <w:r>
        <w:rPr>
          <w:rFonts w:hint="eastAsia" w:ascii="仿宋_GB2312" w:hAnsi="Cambria" w:eastAsia="仿宋_GB2312"/>
          <w:bCs/>
          <w:sz w:val="30"/>
          <w:szCs w:val="30"/>
        </w:rPr>
        <w:t>要求提供相关文件或资料；</w:t>
      </w:r>
    </w:p>
    <w:p w14:paraId="3DBA4E8C">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（3）</w:t>
      </w:r>
      <w:r>
        <w:rPr>
          <w:rFonts w:ascii="仿宋_GB2312" w:hAnsi="Cambria" w:eastAsia="仿宋_GB2312"/>
          <w:bCs/>
          <w:sz w:val="30"/>
          <w:szCs w:val="30"/>
        </w:rPr>
        <w:tab/>
      </w:r>
      <w:r>
        <w:rPr>
          <w:rFonts w:hint="eastAsia" w:ascii="仿宋_GB2312" w:hAnsi="Cambria" w:eastAsia="仿宋_GB2312"/>
          <w:bCs/>
          <w:sz w:val="30"/>
          <w:szCs w:val="30"/>
        </w:rPr>
        <w:t>约见有关人员；</w:t>
      </w:r>
    </w:p>
    <w:p w14:paraId="175C25B3">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（4）</w:t>
      </w:r>
      <w:r>
        <w:rPr>
          <w:rFonts w:ascii="仿宋_GB2312" w:hAnsi="Cambria" w:eastAsia="仿宋_GB2312"/>
          <w:bCs/>
          <w:sz w:val="30"/>
          <w:szCs w:val="30"/>
        </w:rPr>
        <w:tab/>
      </w:r>
      <w:r>
        <w:rPr>
          <w:rFonts w:hint="eastAsia" w:ascii="仿宋_GB2312" w:hAnsi="Cambria" w:eastAsia="仿宋_GB2312"/>
          <w:bCs/>
          <w:sz w:val="30"/>
          <w:szCs w:val="30"/>
        </w:rPr>
        <w:t>调阅、查看交易相关资料；</w:t>
      </w:r>
    </w:p>
    <w:p w14:paraId="5EFFB166">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（5）</w:t>
      </w:r>
      <w:r>
        <w:rPr>
          <w:rFonts w:ascii="仿宋_GB2312" w:hAnsi="Cambria" w:eastAsia="仿宋_GB2312"/>
          <w:bCs/>
          <w:sz w:val="30"/>
          <w:szCs w:val="30"/>
        </w:rPr>
        <w:tab/>
      </w:r>
      <w:r>
        <w:rPr>
          <w:rFonts w:hint="eastAsia" w:ascii="仿宋_GB2312" w:hAnsi="Cambria" w:eastAsia="仿宋_GB2312"/>
          <w:bCs/>
          <w:sz w:val="30"/>
          <w:szCs w:val="30"/>
        </w:rPr>
        <w:t>发出规范交易建议书；</w:t>
      </w:r>
    </w:p>
    <w:p w14:paraId="3296B7AC">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（6）</w:t>
      </w:r>
      <w:r>
        <w:rPr>
          <w:rFonts w:ascii="仿宋_GB2312" w:hAnsi="Cambria" w:eastAsia="仿宋_GB2312"/>
          <w:bCs/>
          <w:sz w:val="30"/>
          <w:szCs w:val="30"/>
        </w:rPr>
        <w:tab/>
      </w:r>
      <w:r>
        <w:rPr>
          <w:rFonts w:hint="eastAsia" w:ascii="仿宋_GB2312" w:hAnsi="Cambria" w:eastAsia="仿宋_GB2312"/>
          <w:bCs/>
          <w:sz w:val="30"/>
          <w:szCs w:val="30"/>
        </w:rPr>
        <w:t>向有关单位通报相关情况；</w:t>
      </w:r>
    </w:p>
    <w:p w14:paraId="61CB3B33">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（7）</w:t>
      </w:r>
      <w:r>
        <w:rPr>
          <w:rFonts w:ascii="仿宋_GB2312" w:hAnsi="Cambria" w:eastAsia="仿宋_GB2312"/>
          <w:bCs/>
          <w:sz w:val="30"/>
          <w:szCs w:val="30"/>
        </w:rPr>
        <w:tab/>
      </w:r>
      <w:r>
        <w:rPr>
          <w:rFonts w:hint="eastAsia" w:ascii="仿宋_GB2312" w:hAnsi="Cambria" w:eastAsia="仿宋_GB2312"/>
          <w:bCs/>
          <w:sz w:val="30"/>
          <w:szCs w:val="30"/>
        </w:rPr>
        <w:t>其他日常工作措施。</w:t>
      </w:r>
    </w:p>
    <w:p w14:paraId="396B3B9A">
      <w:pPr>
        <w:numPr>
          <w:ilvl w:val="2"/>
          <w:numId w:val="4"/>
        </w:numPr>
        <w:spacing w:line="600" w:lineRule="exact"/>
        <w:ind w:left="0" w:firstLine="0"/>
        <w:outlineLvl w:val="2"/>
        <w:rPr>
          <w:rFonts w:ascii="仿宋_GB2312" w:hAnsi="Cambria" w:eastAsia="仿宋_GB2312"/>
          <w:b/>
          <w:bCs/>
          <w:sz w:val="30"/>
          <w:szCs w:val="30"/>
        </w:rPr>
      </w:pPr>
      <w:r>
        <w:rPr>
          <w:rFonts w:hint="eastAsia" w:ascii="仿宋_GB2312" w:hAnsi="Cambria" w:eastAsia="仿宋_GB2312"/>
          <w:b/>
          <w:bCs/>
          <w:sz w:val="30"/>
          <w:szCs w:val="30"/>
        </w:rPr>
        <w:t>现场</w:t>
      </w:r>
      <w:r>
        <w:rPr>
          <w:rFonts w:hint="eastAsia" w:ascii="仿宋_GB2312" w:eastAsia="仿宋_GB2312"/>
          <w:b/>
          <w:sz w:val="30"/>
          <w:szCs w:val="30"/>
        </w:rPr>
        <w:t>检查</w:t>
      </w:r>
      <w:r>
        <w:rPr>
          <w:rFonts w:hint="eastAsia" w:ascii="仿宋_GB2312" w:hAnsi="Cambria" w:eastAsia="仿宋_GB2312"/>
          <w:b/>
          <w:bCs/>
          <w:sz w:val="30"/>
          <w:szCs w:val="30"/>
        </w:rPr>
        <w:t>和非现场检查</w:t>
      </w:r>
    </w:p>
    <w:p w14:paraId="366F656E">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本所可以根据需要对监管对象进行非现场检查和现场检查。相关监管对象应当配合本所进行相关检查，真实、准确、完整、及时地提供有关文件和资料，说明相关情况。</w:t>
      </w:r>
    </w:p>
    <w:p w14:paraId="787F5627">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前款所述现场检查，是指本所在监管对象从事本规则规定的债券交易、提供专业服务的场所以及其他相关场所，采取查阅、复制文件和资料、查看实物、谈话及询问等方式，对监管对象的债券交易、提供专业服务及相关业务开展的规范运作情况或者履职情况进行监督检查。</w:t>
      </w:r>
    </w:p>
    <w:p w14:paraId="5402C840">
      <w:pPr>
        <w:numPr>
          <w:ilvl w:val="2"/>
          <w:numId w:val="4"/>
        </w:numPr>
        <w:spacing w:line="600" w:lineRule="exact"/>
        <w:ind w:left="0" w:firstLine="0"/>
        <w:outlineLvl w:val="2"/>
        <w:rPr>
          <w:rFonts w:ascii="仿宋_GB2312" w:hAnsi="Cambria" w:eastAsia="仿宋_GB2312"/>
          <w:b/>
          <w:bCs/>
          <w:sz w:val="30"/>
          <w:szCs w:val="30"/>
        </w:rPr>
      </w:pPr>
      <w:r>
        <w:rPr>
          <w:rFonts w:hint="eastAsia" w:ascii="仿宋_GB2312" w:hAnsi="Cambria" w:eastAsia="仿宋_GB2312"/>
          <w:b/>
          <w:bCs/>
          <w:sz w:val="30"/>
          <w:szCs w:val="30"/>
        </w:rPr>
        <w:t>报请中国</w:t>
      </w:r>
      <w:r>
        <w:rPr>
          <w:rFonts w:hint="eastAsia" w:ascii="仿宋_GB2312" w:eastAsia="仿宋_GB2312"/>
          <w:b/>
          <w:sz w:val="30"/>
          <w:szCs w:val="30"/>
        </w:rPr>
        <w:t>证监会</w:t>
      </w:r>
      <w:r>
        <w:rPr>
          <w:rFonts w:hint="eastAsia" w:ascii="仿宋_GB2312" w:hAnsi="Cambria" w:eastAsia="仿宋_GB2312"/>
          <w:b/>
          <w:bCs/>
          <w:sz w:val="30"/>
          <w:szCs w:val="30"/>
        </w:rPr>
        <w:t>查处</w:t>
      </w:r>
    </w:p>
    <w:p w14:paraId="1CEA874A">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监管对象违反法律、行政法规、部门规章、规范性文件和本所相关业务规则规定或者严重扰乱市场交易秩序的，本所可以报请中国证监会冻结相关证券账户、资金账户，</w:t>
      </w:r>
      <w:r>
        <w:rPr>
          <w:rFonts w:hint="eastAsia" w:ascii="仿宋_GB2312" w:hAnsi="Cambria" w:eastAsia="仿宋_GB2312"/>
          <w:sz w:val="30"/>
          <w:szCs w:val="30"/>
        </w:rPr>
        <w:t>或者报请中国证监会查处</w:t>
      </w:r>
      <w:r>
        <w:rPr>
          <w:rFonts w:hint="eastAsia" w:ascii="仿宋_GB2312" w:hAnsi="Cambria" w:eastAsia="仿宋_GB2312"/>
          <w:bCs/>
          <w:sz w:val="30"/>
          <w:szCs w:val="30"/>
        </w:rPr>
        <w:t>。</w:t>
      </w:r>
    </w:p>
    <w:p w14:paraId="66C9B712">
      <w:pPr>
        <w:numPr>
          <w:ilvl w:val="2"/>
          <w:numId w:val="4"/>
        </w:numPr>
        <w:spacing w:line="600" w:lineRule="exact"/>
        <w:ind w:left="0" w:firstLine="0"/>
        <w:outlineLvl w:val="2"/>
        <w:rPr>
          <w:rFonts w:ascii="仿宋_GB2312" w:hAnsi="Cambria" w:eastAsia="仿宋_GB2312"/>
          <w:b/>
          <w:bCs/>
          <w:sz w:val="30"/>
          <w:szCs w:val="30"/>
        </w:rPr>
      </w:pPr>
      <w:r>
        <w:rPr>
          <w:rFonts w:hint="eastAsia" w:ascii="仿宋_GB2312" w:hAnsi="Cambria" w:eastAsia="仿宋_GB2312"/>
          <w:b/>
          <w:bCs/>
          <w:sz w:val="30"/>
          <w:szCs w:val="30"/>
        </w:rPr>
        <w:t>监管措施</w:t>
      </w:r>
    </w:p>
    <w:p w14:paraId="59F35364">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监管对象违反本所债券交易及相关业务规则规定的，本所可以视情节轻重对其采取下列监管措施：</w:t>
      </w:r>
    </w:p>
    <w:p w14:paraId="444BE6DC">
      <w:pPr>
        <w:numPr>
          <w:ilvl w:val="0"/>
          <w:numId w:val="23"/>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口头警示；</w:t>
      </w:r>
    </w:p>
    <w:p w14:paraId="1E38FF0E">
      <w:pPr>
        <w:numPr>
          <w:ilvl w:val="0"/>
          <w:numId w:val="23"/>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书面警示；</w:t>
      </w:r>
    </w:p>
    <w:p w14:paraId="2CB20DF4">
      <w:pPr>
        <w:numPr>
          <w:ilvl w:val="0"/>
          <w:numId w:val="23"/>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监管谈话；</w:t>
      </w:r>
    </w:p>
    <w:p w14:paraId="5902E8A3">
      <w:pPr>
        <w:numPr>
          <w:ilvl w:val="0"/>
          <w:numId w:val="23"/>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要求限期改正；</w:t>
      </w:r>
    </w:p>
    <w:p w14:paraId="7FBE8B50">
      <w:pPr>
        <w:numPr>
          <w:ilvl w:val="0"/>
          <w:numId w:val="23"/>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要求公开更正、澄清或说明；</w:t>
      </w:r>
    </w:p>
    <w:p w14:paraId="3AD3D0DE">
      <w:pPr>
        <w:numPr>
          <w:ilvl w:val="0"/>
          <w:numId w:val="23"/>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将账户列为重点监控账户；</w:t>
      </w:r>
    </w:p>
    <w:p w14:paraId="0AEA99E2">
      <w:pPr>
        <w:numPr>
          <w:ilvl w:val="0"/>
          <w:numId w:val="23"/>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要求提交合规交易承诺书；</w:t>
      </w:r>
    </w:p>
    <w:p w14:paraId="738243F9">
      <w:pPr>
        <w:numPr>
          <w:ilvl w:val="0"/>
          <w:numId w:val="23"/>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暂停证券账户交易；</w:t>
      </w:r>
    </w:p>
    <w:p w14:paraId="765356C6">
      <w:pPr>
        <w:numPr>
          <w:ilvl w:val="0"/>
          <w:numId w:val="23"/>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暂停受理或办理相关业务；</w:t>
      </w:r>
    </w:p>
    <w:p w14:paraId="6E7587D4">
      <w:pPr>
        <w:numPr>
          <w:ilvl w:val="0"/>
          <w:numId w:val="23"/>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向相关主管部门出具监管建议函；</w:t>
      </w:r>
    </w:p>
    <w:p w14:paraId="2C63E888">
      <w:pPr>
        <w:numPr>
          <w:ilvl w:val="0"/>
          <w:numId w:val="23"/>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本所规定的其他监管措施。</w:t>
      </w:r>
    </w:p>
    <w:p w14:paraId="6A1AF097">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监管对象被采取前款第（8）项规定的监管措施后，拒不配合本所监管的，在其改正前，本所可对其连续实施该监管措施。</w:t>
      </w:r>
    </w:p>
    <w:p w14:paraId="69434F6F">
      <w:pPr>
        <w:numPr>
          <w:ilvl w:val="2"/>
          <w:numId w:val="4"/>
        </w:numPr>
        <w:spacing w:line="600" w:lineRule="exact"/>
        <w:ind w:left="0" w:firstLine="0"/>
        <w:outlineLvl w:val="2"/>
        <w:rPr>
          <w:rFonts w:ascii="仿宋_GB2312" w:hAnsi="Cambria" w:eastAsia="仿宋_GB2312"/>
          <w:b/>
          <w:bCs/>
          <w:sz w:val="30"/>
          <w:szCs w:val="30"/>
        </w:rPr>
      </w:pPr>
      <w:r>
        <w:rPr>
          <w:rFonts w:hint="eastAsia" w:ascii="仿宋_GB2312" w:eastAsia="仿宋_GB2312"/>
          <w:b/>
          <w:sz w:val="30"/>
          <w:szCs w:val="30"/>
        </w:rPr>
        <w:t>纪律处分</w:t>
      </w:r>
    </w:p>
    <w:p w14:paraId="53CDE741">
      <w:pPr>
        <w:spacing w:line="600" w:lineRule="exact"/>
        <w:ind w:firstLine="601" w:firstLineChars="200"/>
        <w:outlineLvl w:val="3"/>
        <w:rPr>
          <w:rFonts w:ascii="仿宋_GB2312" w:hAnsi="Cambria" w:eastAsia="仿宋_GB2312"/>
          <w:b/>
          <w:bCs/>
          <w:sz w:val="30"/>
          <w:szCs w:val="30"/>
        </w:rPr>
      </w:pPr>
      <w:r>
        <w:rPr>
          <w:rFonts w:hint="eastAsia" w:ascii="仿宋_GB2312" w:hAnsi="Cambria" w:eastAsia="仿宋_GB2312"/>
          <w:b/>
          <w:bCs/>
          <w:sz w:val="30"/>
          <w:szCs w:val="30"/>
        </w:rPr>
        <w:t>（1）纪律处分类别</w:t>
      </w:r>
    </w:p>
    <w:p w14:paraId="6F475458">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监管对象违反本规则或本所其他相关业务规则规定的，本所可以视情节轻重对其实施下列纪律处分：</w:t>
      </w:r>
    </w:p>
    <w:p w14:paraId="0FB7D194">
      <w:pPr>
        <w:numPr>
          <w:ilvl w:val="0"/>
          <w:numId w:val="24"/>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通报批评；</w:t>
      </w:r>
    </w:p>
    <w:p w14:paraId="47C89436">
      <w:pPr>
        <w:numPr>
          <w:ilvl w:val="0"/>
          <w:numId w:val="24"/>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公开谴责；</w:t>
      </w:r>
    </w:p>
    <w:p w14:paraId="22AB4697">
      <w:pPr>
        <w:numPr>
          <w:ilvl w:val="0"/>
          <w:numId w:val="24"/>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暂停或者限制债券交易权限；</w:t>
      </w:r>
    </w:p>
    <w:p w14:paraId="7D2B012F">
      <w:pPr>
        <w:numPr>
          <w:ilvl w:val="0"/>
          <w:numId w:val="24"/>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终止其作为债券交易参与人；</w:t>
      </w:r>
    </w:p>
    <w:p w14:paraId="5DE1DE4A">
      <w:pPr>
        <w:numPr>
          <w:ilvl w:val="0"/>
          <w:numId w:val="24"/>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限制证券账户交易；</w:t>
      </w:r>
    </w:p>
    <w:p w14:paraId="48AFAC2D">
      <w:pPr>
        <w:numPr>
          <w:ilvl w:val="0"/>
          <w:numId w:val="24"/>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认定为不合格投资者；</w:t>
      </w:r>
    </w:p>
    <w:p w14:paraId="75494F78">
      <w:pPr>
        <w:numPr>
          <w:ilvl w:val="0"/>
          <w:numId w:val="24"/>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收取惩罚性违约金；</w:t>
      </w:r>
    </w:p>
    <w:p w14:paraId="55258C97">
      <w:pPr>
        <w:numPr>
          <w:ilvl w:val="0"/>
          <w:numId w:val="24"/>
        </w:numPr>
        <w:spacing w:line="600" w:lineRule="exact"/>
        <w:ind w:left="567" w:firstLine="13"/>
        <w:jc w:val="left"/>
        <w:rPr>
          <w:rFonts w:ascii="仿宋_GB2312" w:hAnsi="Cambria" w:eastAsia="仿宋_GB2312"/>
          <w:bCs/>
          <w:sz w:val="30"/>
          <w:szCs w:val="30"/>
        </w:rPr>
      </w:pPr>
      <w:r>
        <w:rPr>
          <w:rFonts w:hint="eastAsia" w:ascii="仿宋_GB2312" w:hAnsi="Cambria" w:eastAsia="仿宋_GB2312"/>
          <w:bCs/>
          <w:sz w:val="30"/>
          <w:szCs w:val="30"/>
        </w:rPr>
        <w:t>本所规定的其他纪律处分。</w:t>
      </w:r>
    </w:p>
    <w:p w14:paraId="6FBA56B5">
      <w:pPr>
        <w:spacing w:line="600" w:lineRule="exact"/>
        <w:ind w:firstLine="601" w:firstLineChars="200"/>
        <w:outlineLvl w:val="3"/>
        <w:rPr>
          <w:rFonts w:ascii="仿宋_GB2312" w:hAnsi="Cambria" w:eastAsia="仿宋_GB2312"/>
          <w:b/>
          <w:bCs/>
          <w:sz w:val="30"/>
          <w:szCs w:val="30"/>
        </w:rPr>
      </w:pPr>
      <w:bookmarkStart w:id="3803" w:name="_Toc56166318"/>
      <w:bookmarkStart w:id="3804" w:name="_Toc56166129"/>
      <w:r>
        <w:rPr>
          <w:rFonts w:hint="eastAsia" w:ascii="仿宋_GB2312" w:hAnsi="Cambria" w:eastAsia="仿宋_GB2312"/>
          <w:b/>
          <w:bCs/>
          <w:sz w:val="30"/>
          <w:szCs w:val="30"/>
        </w:rPr>
        <w:t>（2）</w:t>
      </w:r>
      <w:bookmarkEnd w:id="3803"/>
      <w:bookmarkEnd w:id="3804"/>
      <w:r>
        <w:rPr>
          <w:rFonts w:hint="eastAsia" w:ascii="仿宋_GB2312" w:hAnsi="Cambria" w:eastAsia="仿宋_GB2312"/>
          <w:b/>
          <w:bCs/>
          <w:sz w:val="30"/>
          <w:szCs w:val="30"/>
        </w:rPr>
        <w:t>纪律处分复核情形</w:t>
      </w:r>
    </w:p>
    <w:p w14:paraId="0F190161">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监管对象对上述纪律处分类别中的第3）、4）、5）、6）、7）项处分有异议的，可以在收到本所有关决定或者本所公告有关决定之日（以在先者为准）起15个交易日内向本所提交复核申请。复核期间相关处分不停止执行。</w:t>
      </w:r>
    </w:p>
    <w:p w14:paraId="2C10B465">
      <w:pPr>
        <w:spacing w:line="600" w:lineRule="exact"/>
        <w:ind w:firstLine="601" w:firstLineChars="200"/>
        <w:outlineLvl w:val="3"/>
        <w:rPr>
          <w:rFonts w:ascii="仿宋_GB2312" w:hAnsi="Cambria" w:eastAsia="仿宋_GB2312"/>
          <w:b/>
          <w:bCs/>
          <w:sz w:val="30"/>
          <w:szCs w:val="30"/>
        </w:rPr>
      </w:pPr>
      <w:r>
        <w:rPr>
          <w:rFonts w:hint="eastAsia" w:ascii="仿宋_GB2312" w:hAnsi="Cambria" w:eastAsia="仿宋_GB2312"/>
          <w:b/>
          <w:bCs/>
          <w:sz w:val="30"/>
          <w:szCs w:val="30"/>
        </w:rPr>
        <w:t>（3）复核材料</w:t>
      </w:r>
    </w:p>
    <w:p w14:paraId="5CA1CC7A">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申请人申请复核的，应当提交以下材料：</w:t>
      </w:r>
    </w:p>
    <w:p w14:paraId="478B55F7">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1）复核申请书，其中应明确复核的具体请求、事实和理由；</w:t>
      </w:r>
    </w:p>
    <w:p w14:paraId="16B5CF51">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2）申请人的身份证明材料，包括身份证件或者营业执照复印件等；</w:t>
      </w:r>
    </w:p>
    <w:p w14:paraId="6FA579ED">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3）本所要求的其他材料。</w:t>
      </w:r>
    </w:p>
    <w:p w14:paraId="7E0853CE">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前款第1）、2）项材料应由申请人签名，申请人为法人的，应当加盖公章并由法定代表人签名。</w:t>
      </w:r>
    </w:p>
    <w:p w14:paraId="1914C383">
      <w:pPr>
        <w:spacing w:line="600" w:lineRule="exact"/>
        <w:ind w:firstLine="601" w:firstLineChars="200"/>
        <w:outlineLvl w:val="3"/>
        <w:rPr>
          <w:rFonts w:ascii="仿宋_GB2312" w:hAnsi="Cambria" w:eastAsia="仿宋_GB2312"/>
          <w:b/>
          <w:bCs/>
          <w:sz w:val="30"/>
          <w:szCs w:val="30"/>
        </w:rPr>
      </w:pPr>
      <w:r>
        <w:rPr>
          <w:rFonts w:hint="eastAsia" w:ascii="仿宋_GB2312" w:hAnsi="Cambria" w:eastAsia="仿宋_GB2312"/>
          <w:b/>
          <w:bCs/>
          <w:sz w:val="30"/>
          <w:szCs w:val="30"/>
        </w:rPr>
        <w:t>（4）复核申请提交途径</w:t>
      </w:r>
    </w:p>
    <w:p w14:paraId="4B479433">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复核申请材料提交途径及复核工作小组联系方式在本所官网公布及更新，具体如下：</w:t>
      </w:r>
    </w:p>
    <w:p w14:paraId="02BFFAAC">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联系电话：</w:t>
      </w:r>
      <w:r>
        <w:rPr>
          <w:rFonts w:hint="eastAsia" w:ascii="仿宋_GB2312" w:hAnsi="Cambria" w:eastAsia="仿宋_GB2312"/>
          <w:bCs/>
          <w:sz w:val="30"/>
          <w:szCs w:val="30"/>
          <w:lang w:val="en-US" w:eastAsia="zh-CN"/>
        </w:rPr>
        <w:t>400-8888-400</w:t>
      </w:r>
      <w:r>
        <w:rPr>
          <w:rFonts w:hint="eastAsia" w:ascii="仿宋_GB2312" w:hAnsi="Cambria" w:eastAsia="仿宋_GB2312"/>
          <w:bCs/>
          <w:sz w:val="30"/>
          <w:szCs w:val="30"/>
        </w:rPr>
        <w:t>转法律事务部</w:t>
      </w:r>
    </w:p>
    <w:p w14:paraId="13E12D7E">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邮寄地址：上海市浦东新区杨高南路388号上海证券交易所法律事务部</w:t>
      </w:r>
    </w:p>
    <w:p w14:paraId="0E7D9B76">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邮政编码：</w:t>
      </w:r>
      <w:r>
        <w:rPr>
          <w:rFonts w:ascii="仿宋_GB2312" w:hAnsi="Cambria"/>
          <w:bCs/>
          <w:sz w:val="30"/>
          <w:szCs w:val="30"/>
        </w:rPr>
        <w:t>200127</w:t>
      </w:r>
    </w:p>
    <w:p w14:paraId="4452301B">
      <w:pPr>
        <w:spacing w:line="600" w:lineRule="exact"/>
        <w:ind w:firstLine="601" w:firstLineChars="200"/>
        <w:outlineLvl w:val="3"/>
        <w:rPr>
          <w:rFonts w:ascii="仿宋_GB2312" w:hAnsi="Cambria" w:eastAsia="仿宋_GB2312"/>
          <w:b/>
          <w:bCs/>
          <w:sz w:val="30"/>
          <w:szCs w:val="30"/>
        </w:rPr>
      </w:pPr>
      <w:r>
        <w:rPr>
          <w:rFonts w:hint="eastAsia" w:ascii="仿宋_GB2312" w:hAnsi="Cambria" w:eastAsia="仿宋_GB2312"/>
          <w:b/>
          <w:bCs/>
          <w:sz w:val="30"/>
          <w:szCs w:val="30"/>
        </w:rPr>
        <w:t>（5）复核审查</w:t>
      </w:r>
    </w:p>
    <w:p w14:paraId="2589C132">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本所收到复核申请材料后，在5个交易日内进行审查，作出是否受理的决定，并书面通知申请人。申请人未按规定提交复核申请材料的，本所不受理其复核申请。</w:t>
      </w:r>
    </w:p>
    <w:p w14:paraId="17ADCAB1">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本所受理复核申请后，按照《上海证券交易所复核实施办法》实施复核。</w:t>
      </w:r>
    </w:p>
    <w:p w14:paraId="157F0C64">
      <w:pPr>
        <w:numPr>
          <w:ilvl w:val="1"/>
          <w:numId w:val="4"/>
        </w:numPr>
        <w:spacing w:line="600" w:lineRule="exact"/>
        <w:ind w:left="0" w:firstLine="0"/>
        <w:outlineLvl w:val="1"/>
        <w:rPr>
          <w:rFonts w:ascii="仿宋_GB2312" w:eastAsia="仿宋_GB2312"/>
          <w:b/>
          <w:sz w:val="30"/>
          <w:szCs w:val="30"/>
        </w:rPr>
      </w:pPr>
      <w:bookmarkStart w:id="3805" w:name="_Toc1416566600"/>
      <w:bookmarkStart w:id="3806" w:name="_Toc194284567"/>
      <w:bookmarkStart w:id="3807" w:name="_Toc151137073"/>
      <w:bookmarkStart w:id="3808" w:name="_Toc2130728368"/>
      <w:bookmarkStart w:id="3809" w:name="_Toc1526566320"/>
      <w:bookmarkStart w:id="3810" w:name="_Toc2065760592"/>
      <w:bookmarkStart w:id="3811" w:name="_Toc421981611"/>
      <w:bookmarkStart w:id="3812" w:name="_Toc56166130"/>
      <w:bookmarkStart w:id="3813" w:name="_Toc56166319"/>
      <w:r>
        <w:rPr>
          <w:rFonts w:hint="eastAsia" w:ascii="仿宋_GB2312" w:eastAsia="仿宋_GB2312"/>
          <w:b/>
          <w:sz w:val="30"/>
          <w:szCs w:val="30"/>
        </w:rPr>
        <w:t>其他</w:t>
      </w:r>
      <w:bookmarkEnd w:id="3805"/>
      <w:bookmarkEnd w:id="3806"/>
      <w:bookmarkEnd w:id="3807"/>
      <w:bookmarkEnd w:id="3808"/>
      <w:bookmarkEnd w:id="3809"/>
      <w:bookmarkEnd w:id="3810"/>
      <w:bookmarkEnd w:id="3811"/>
    </w:p>
    <w:p w14:paraId="0C85F4E8">
      <w:pPr>
        <w:spacing w:line="600" w:lineRule="exact"/>
        <w:ind w:left="567"/>
        <w:rPr>
          <w:rFonts w:ascii="仿宋_GB2312" w:eastAsia="仿宋_GB2312"/>
          <w:b/>
          <w:sz w:val="30"/>
          <w:szCs w:val="30"/>
        </w:rPr>
      </w:pPr>
      <w:r>
        <w:rPr>
          <w:rFonts w:hint="eastAsia" w:ascii="仿宋_GB2312" w:eastAsia="仿宋_GB2312"/>
          <w:b/>
          <w:sz w:val="30"/>
          <w:szCs w:val="30"/>
        </w:rPr>
        <w:t>（1）诚信档案</w:t>
      </w:r>
      <w:bookmarkEnd w:id="3812"/>
      <w:bookmarkEnd w:id="3813"/>
    </w:p>
    <w:p w14:paraId="480FC199">
      <w:pPr>
        <w:spacing w:line="600" w:lineRule="exact"/>
        <w:ind w:firstLine="600" w:firstLineChars="200"/>
        <w:rPr>
          <w:rFonts w:ascii="仿宋_GB2312" w:hAnsi="Cambria" w:eastAsia="仿宋_GB2312"/>
          <w:bCs/>
          <w:sz w:val="30"/>
          <w:szCs w:val="30"/>
        </w:rPr>
      </w:pPr>
      <w:r>
        <w:rPr>
          <w:rFonts w:hint="eastAsia" w:ascii="仿宋_GB2312" w:hAnsi="Cambria" w:eastAsia="仿宋_GB2312"/>
          <w:bCs/>
          <w:sz w:val="30"/>
          <w:szCs w:val="30"/>
        </w:rPr>
        <w:t>监管对象出现下列情形之一的，本所可以将其记入诚信档案：</w:t>
      </w:r>
    </w:p>
    <w:p w14:paraId="50BB79F1">
      <w:pPr>
        <w:numPr>
          <w:ilvl w:val="0"/>
          <w:numId w:val="25"/>
        </w:numPr>
        <w:spacing w:line="600" w:lineRule="exact"/>
        <w:ind w:left="0" w:firstLine="600" w:firstLineChars="200"/>
        <w:jc w:val="left"/>
        <w:rPr>
          <w:rFonts w:ascii="仿宋_GB2312" w:hAnsi="Cambria" w:eastAsia="仿宋_GB2312"/>
          <w:bCs/>
          <w:sz w:val="30"/>
          <w:szCs w:val="30"/>
        </w:rPr>
      </w:pPr>
      <w:r>
        <w:rPr>
          <w:rFonts w:hint="eastAsia" w:ascii="仿宋_GB2312" w:hAnsi="Cambria" w:eastAsia="仿宋_GB2312"/>
          <w:bCs/>
          <w:sz w:val="30"/>
          <w:szCs w:val="30"/>
        </w:rPr>
        <w:t>屡次达成交易或者达成重大交易却不履行交收义务的，但交收开始前交易双方协商一致并经交易所认可后解除相关交易的</w:t>
      </w:r>
      <w:r>
        <w:rPr>
          <w:rFonts w:ascii="仿宋_GB2312" w:hAnsi="Cambria" w:eastAsia="仿宋_GB2312"/>
          <w:bCs/>
          <w:sz w:val="30"/>
          <w:szCs w:val="30"/>
        </w:rPr>
        <w:t>情形除外</w:t>
      </w:r>
      <w:r>
        <w:rPr>
          <w:rFonts w:hint="eastAsia" w:ascii="仿宋_GB2312" w:hAnsi="Cambria" w:eastAsia="仿宋_GB2312"/>
          <w:bCs/>
          <w:sz w:val="30"/>
          <w:szCs w:val="30"/>
        </w:rPr>
        <w:t>；</w:t>
      </w:r>
    </w:p>
    <w:p w14:paraId="0D93E50D">
      <w:pPr>
        <w:numPr>
          <w:ilvl w:val="0"/>
          <w:numId w:val="25"/>
        </w:numPr>
        <w:spacing w:line="600" w:lineRule="exact"/>
        <w:ind w:left="0" w:firstLine="600" w:firstLineChars="200"/>
        <w:jc w:val="left"/>
        <w:rPr>
          <w:rFonts w:ascii="仿宋_GB2312" w:hAnsi="Cambria" w:eastAsia="仿宋_GB2312"/>
          <w:bCs/>
          <w:sz w:val="30"/>
          <w:szCs w:val="30"/>
        </w:rPr>
      </w:pPr>
      <w:r>
        <w:rPr>
          <w:rFonts w:hint="eastAsia" w:ascii="仿宋_GB2312" w:hAnsi="Cambria" w:eastAsia="仿宋_GB2312"/>
          <w:bCs/>
          <w:sz w:val="30"/>
          <w:szCs w:val="30"/>
        </w:rPr>
        <w:t>被本所实施监管措施或者纪律处分的；</w:t>
      </w:r>
    </w:p>
    <w:p w14:paraId="0FCB40F3">
      <w:pPr>
        <w:numPr>
          <w:ilvl w:val="0"/>
          <w:numId w:val="25"/>
        </w:numPr>
        <w:spacing w:line="600" w:lineRule="exact"/>
        <w:ind w:left="0" w:firstLine="600" w:firstLineChars="200"/>
        <w:jc w:val="left"/>
        <w:rPr>
          <w:rFonts w:ascii="仿宋_GB2312" w:hAnsi="Cambria" w:eastAsia="仿宋_GB2312"/>
          <w:bCs/>
          <w:sz w:val="30"/>
          <w:szCs w:val="30"/>
        </w:rPr>
      </w:pPr>
      <w:r>
        <w:rPr>
          <w:rFonts w:hint="eastAsia" w:ascii="仿宋_GB2312" w:hAnsi="Cambria" w:eastAsia="仿宋_GB2312"/>
          <w:bCs/>
          <w:sz w:val="30"/>
          <w:szCs w:val="30"/>
        </w:rPr>
        <w:t>本所规定的其他情形。</w:t>
      </w:r>
    </w:p>
    <w:p w14:paraId="43D58E1D">
      <w:pPr>
        <w:spacing w:line="600" w:lineRule="exact"/>
        <w:ind w:firstLine="601" w:firstLineChars="200"/>
        <w:rPr>
          <w:rFonts w:ascii="仿宋_GB2312" w:eastAsia="仿宋_GB2312"/>
          <w:b/>
          <w:sz w:val="30"/>
          <w:szCs w:val="30"/>
        </w:rPr>
      </w:pPr>
      <w:bookmarkStart w:id="3814" w:name="_Toc56166320"/>
      <w:bookmarkStart w:id="3815" w:name="_Toc56166131"/>
      <w:bookmarkStart w:id="3816" w:name="_Toc59034623"/>
      <w:r>
        <w:rPr>
          <w:rFonts w:hint="eastAsia" w:ascii="仿宋_GB2312" w:eastAsia="仿宋_GB2312"/>
          <w:b/>
          <w:sz w:val="30"/>
          <w:szCs w:val="30"/>
        </w:rPr>
        <w:t>（2）争议解决</w:t>
      </w:r>
      <w:bookmarkEnd w:id="3814"/>
      <w:bookmarkEnd w:id="3815"/>
      <w:bookmarkEnd w:id="3816"/>
    </w:p>
    <w:p w14:paraId="691B7BDA">
      <w:pPr>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债券交易出现争议的，相关各方可以自行协商解决。无法通过协商解决的，可以按照相关法律法规规定或者约定提请调解、仲裁或者诉讼。</w:t>
      </w:r>
    </w:p>
    <w:p w14:paraId="5E1DEAF4">
      <w:pPr>
        <w:numPr>
          <w:ilvl w:val="0"/>
          <w:numId w:val="4"/>
        </w:numPr>
        <w:outlineLvl w:val="0"/>
        <w:rPr>
          <w:b/>
          <w:sz w:val="36"/>
        </w:rPr>
      </w:pPr>
      <w:bookmarkStart w:id="3817" w:name="_Toc56166321"/>
      <w:bookmarkStart w:id="3818" w:name="_Toc56166132"/>
      <w:bookmarkStart w:id="3819" w:name="_Toc24460025"/>
      <w:bookmarkStart w:id="3820" w:name="_Toc34763172"/>
      <w:r>
        <w:rPr>
          <w:b/>
          <w:sz w:val="36"/>
        </w:rPr>
        <w:br w:type="page"/>
      </w:r>
      <w:bookmarkStart w:id="3821" w:name="_Toc278378306"/>
      <w:bookmarkStart w:id="3822" w:name="_Toc49388207"/>
      <w:bookmarkStart w:id="3823" w:name="_Toc1330615171"/>
      <w:bookmarkStart w:id="3824" w:name="_Toc98471214"/>
      <w:bookmarkStart w:id="3825" w:name="_Toc1238882413"/>
      <w:bookmarkStart w:id="3826" w:name="_Toc151137074"/>
      <w:bookmarkStart w:id="3827" w:name="_Toc1538161392"/>
      <w:r>
        <w:rPr>
          <w:rFonts w:hint="eastAsia" w:ascii="黑体" w:hAnsi="黑体" w:eastAsia="黑体" w:cs="黑体"/>
          <w:b/>
          <w:sz w:val="36"/>
        </w:rPr>
        <w:t>应急交易及交易异常情况处理</w:t>
      </w:r>
      <w:bookmarkEnd w:id="3817"/>
      <w:bookmarkEnd w:id="3818"/>
      <w:bookmarkEnd w:id="3819"/>
      <w:bookmarkEnd w:id="3820"/>
      <w:bookmarkEnd w:id="3821"/>
      <w:bookmarkEnd w:id="3822"/>
      <w:bookmarkEnd w:id="3823"/>
      <w:bookmarkEnd w:id="3824"/>
      <w:bookmarkEnd w:id="3825"/>
      <w:bookmarkEnd w:id="3826"/>
      <w:bookmarkEnd w:id="3827"/>
    </w:p>
    <w:p w14:paraId="756A1B24">
      <w:pPr>
        <w:numPr>
          <w:ilvl w:val="1"/>
          <w:numId w:val="4"/>
        </w:numPr>
        <w:spacing w:line="600" w:lineRule="exact"/>
        <w:ind w:left="0" w:firstLine="0"/>
        <w:outlineLvl w:val="1"/>
        <w:rPr>
          <w:rFonts w:ascii="仿宋_GB2312" w:eastAsia="仿宋_GB2312"/>
          <w:b/>
          <w:sz w:val="30"/>
          <w:szCs w:val="30"/>
        </w:rPr>
      </w:pPr>
      <w:bookmarkStart w:id="3828" w:name="_Toc1316270071"/>
      <w:bookmarkStart w:id="3829" w:name="_Toc1034506777"/>
      <w:bookmarkStart w:id="3830" w:name="_Toc901397045"/>
      <w:bookmarkStart w:id="3831" w:name="_Toc452967734"/>
      <w:bookmarkStart w:id="3832" w:name="_Toc1730448809"/>
      <w:bookmarkStart w:id="3833" w:name="_Toc151137075"/>
      <w:bookmarkStart w:id="3834" w:name="_Toc762881845"/>
      <w:bookmarkStart w:id="3835" w:name="_Toc56166133"/>
      <w:bookmarkStart w:id="3836" w:name="_Toc56166322"/>
      <w:r>
        <w:rPr>
          <w:rFonts w:hint="eastAsia" w:ascii="仿宋_GB2312" w:eastAsia="仿宋_GB2312"/>
          <w:b/>
          <w:sz w:val="30"/>
          <w:szCs w:val="30"/>
        </w:rPr>
        <w:t>债券交易停复牌管理</w:t>
      </w:r>
      <w:bookmarkEnd w:id="3828"/>
      <w:bookmarkEnd w:id="3829"/>
      <w:bookmarkEnd w:id="3830"/>
      <w:bookmarkEnd w:id="3831"/>
      <w:bookmarkEnd w:id="3832"/>
      <w:bookmarkEnd w:id="3833"/>
      <w:bookmarkEnd w:id="3834"/>
    </w:p>
    <w:p w14:paraId="42276566">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停复牌</w:t>
      </w:r>
    </w:p>
    <w:p w14:paraId="163F99ED">
      <w:pPr>
        <w:spacing w:line="600" w:lineRule="exact"/>
        <w:ind w:firstLine="600" w:firstLineChars="200"/>
        <w:rPr>
          <w:rFonts w:ascii="仿宋_GB2312" w:eastAsia="仿宋_GB2312"/>
          <w:sz w:val="30"/>
          <w:szCs w:val="30"/>
        </w:rPr>
      </w:pPr>
      <w:r>
        <w:rPr>
          <w:rFonts w:hint="eastAsia" w:ascii="仿宋_GB2312" w:eastAsia="仿宋_GB2312"/>
          <w:sz w:val="30"/>
          <w:szCs w:val="30"/>
        </w:rPr>
        <w:t>为保证信息披露的及时与公平，本所可以根据中国证监会的要求、债券上市及挂牌转让规则以及本所其他规定、发行人的申请或者实际情况，决定债券停牌与复牌事项。</w:t>
      </w:r>
    </w:p>
    <w:p w14:paraId="3700B003">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债券交易中出现债券交易价格异常大幅波动，对相关债券合理定价产生重大不利影响，以及其他严重影响本所债券交易秩序情形的，本所可以视情况对相关债券实施停牌。</w:t>
      </w:r>
    </w:p>
    <w:p w14:paraId="4F2F1D39">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相关情形消除后，本所根据相关规则对债券予以复牌。</w:t>
      </w:r>
    </w:p>
    <w:p w14:paraId="6E9EDFFC">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停牌相关申报安排</w:t>
      </w:r>
    </w:p>
    <w:p w14:paraId="5B105C6D">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债券在交易时间内停牌后复牌的，停牌前的未成交申报可以继续参加当日该债券复牌后的交易。</w:t>
      </w:r>
    </w:p>
    <w:p w14:paraId="69E660BB">
      <w:pPr>
        <w:spacing w:line="600" w:lineRule="exact"/>
        <w:ind w:firstLine="600" w:firstLineChars="200"/>
        <w:rPr>
          <w:rFonts w:ascii="仿宋_GB2312" w:hAnsi="仿宋" w:eastAsia="仿宋_GB2312"/>
          <w:sz w:val="30"/>
          <w:szCs w:val="30"/>
        </w:rPr>
      </w:pPr>
      <w:r>
        <w:rPr>
          <w:rFonts w:hint="eastAsia" w:ascii="仿宋_GB2312" w:hAnsi="仿宋" w:eastAsia="仿宋_GB2312"/>
          <w:sz w:val="30"/>
          <w:szCs w:val="30"/>
        </w:rPr>
        <w:t>债券停牌期间，债券的匹配成交、点击成交、询价成交、协商成交等方式不接受交易申报。投资者可以在停牌期间撤销当日已申报未成交的申报。</w:t>
      </w:r>
    </w:p>
    <w:p w14:paraId="11BC3252">
      <w:pPr>
        <w:numPr>
          <w:ilvl w:val="2"/>
          <w:numId w:val="4"/>
        </w:numPr>
        <w:spacing w:line="600" w:lineRule="exact"/>
        <w:ind w:left="0" w:firstLine="0"/>
        <w:outlineLvl w:val="2"/>
        <w:rPr>
          <w:rFonts w:ascii="仿宋_GB2312" w:eastAsia="仿宋_GB2312"/>
          <w:b/>
          <w:sz w:val="30"/>
          <w:szCs w:val="30"/>
        </w:rPr>
      </w:pPr>
      <w:r>
        <w:rPr>
          <w:rFonts w:hint="eastAsia" w:ascii="仿宋_GB2312" w:eastAsia="仿宋_GB2312"/>
          <w:b/>
          <w:sz w:val="30"/>
          <w:szCs w:val="30"/>
        </w:rPr>
        <w:t>停牌行情展示</w:t>
      </w:r>
    </w:p>
    <w:p w14:paraId="20C049B4">
      <w:pPr>
        <w:spacing w:line="600" w:lineRule="exact"/>
        <w:ind w:firstLine="600" w:firstLineChars="200"/>
        <w:rPr>
          <w:rFonts w:ascii="仿宋_GB2312" w:eastAsia="仿宋_GB2312"/>
          <w:sz w:val="30"/>
          <w:szCs w:val="30"/>
        </w:rPr>
      </w:pPr>
      <w:r>
        <w:rPr>
          <w:rFonts w:hint="eastAsia" w:ascii="仿宋_GB2312" w:eastAsia="仿宋_GB2312"/>
          <w:color w:val="000000"/>
          <w:sz w:val="30"/>
          <w:szCs w:val="30"/>
        </w:rPr>
        <w:t>债券停牌期间，本所发布的行情中包括该债券的信息。</w:t>
      </w:r>
    </w:p>
    <w:p w14:paraId="7F6F63E9">
      <w:pPr>
        <w:numPr>
          <w:ilvl w:val="1"/>
          <w:numId w:val="4"/>
        </w:numPr>
        <w:spacing w:line="600" w:lineRule="exact"/>
        <w:ind w:left="0" w:firstLine="0"/>
        <w:outlineLvl w:val="1"/>
        <w:rPr>
          <w:rFonts w:ascii="仿宋_GB2312" w:eastAsia="仿宋_GB2312"/>
          <w:b/>
          <w:sz w:val="30"/>
          <w:szCs w:val="30"/>
        </w:rPr>
      </w:pPr>
      <w:bookmarkStart w:id="3837" w:name="_Toc151137076"/>
      <w:bookmarkStart w:id="3838" w:name="_Toc1174849593"/>
      <w:bookmarkStart w:id="3839" w:name="_Toc645251271"/>
      <w:bookmarkStart w:id="3840" w:name="_Toc1274624198"/>
      <w:bookmarkStart w:id="3841" w:name="_Toc477038192"/>
      <w:bookmarkStart w:id="3842" w:name="_Toc331418557"/>
      <w:bookmarkStart w:id="3843" w:name="_Toc729774362"/>
      <w:r>
        <w:rPr>
          <w:rFonts w:hint="eastAsia" w:ascii="仿宋_GB2312" w:eastAsia="仿宋_GB2312"/>
          <w:b/>
          <w:sz w:val="30"/>
          <w:szCs w:val="30"/>
        </w:rPr>
        <w:t>债券交易突发性事件</w:t>
      </w:r>
      <w:bookmarkEnd w:id="3835"/>
      <w:bookmarkEnd w:id="3836"/>
      <w:bookmarkEnd w:id="3837"/>
      <w:bookmarkEnd w:id="3838"/>
      <w:bookmarkEnd w:id="3839"/>
      <w:bookmarkEnd w:id="3840"/>
      <w:bookmarkEnd w:id="3841"/>
      <w:bookmarkEnd w:id="3842"/>
      <w:bookmarkEnd w:id="3843"/>
    </w:p>
    <w:p w14:paraId="7D8F697E">
      <w:pPr>
        <w:spacing w:line="600" w:lineRule="exact"/>
        <w:ind w:firstLine="600" w:firstLineChars="200"/>
        <w:rPr>
          <w:rFonts w:ascii="仿宋_GB2312" w:eastAsia="仿宋_GB2312"/>
          <w:sz w:val="30"/>
          <w:szCs w:val="30"/>
        </w:rPr>
      </w:pPr>
      <w:r>
        <w:rPr>
          <w:rFonts w:hint="eastAsia" w:ascii="仿宋_GB2312" w:eastAsia="仿宋_GB2312"/>
          <w:sz w:val="30"/>
          <w:szCs w:val="30"/>
        </w:rPr>
        <w:t>本所债券市场发生突发性事件的具体认定标准、处置程序等，按照《上海证券交易所交易异常情况处理实施细则（试行）》执行。</w:t>
      </w:r>
    </w:p>
    <w:p w14:paraId="66C2D071">
      <w:pPr>
        <w:numPr>
          <w:ilvl w:val="2"/>
          <w:numId w:val="4"/>
        </w:numPr>
        <w:spacing w:line="600" w:lineRule="exact"/>
        <w:ind w:left="0" w:firstLine="0"/>
        <w:outlineLvl w:val="2"/>
        <w:rPr>
          <w:rFonts w:ascii="仿宋_GB2312" w:eastAsia="仿宋_GB2312"/>
          <w:b/>
          <w:color w:val="000000"/>
          <w:sz w:val="30"/>
          <w:szCs w:val="30"/>
        </w:rPr>
      </w:pPr>
      <w:r>
        <w:rPr>
          <w:rFonts w:hint="eastAsia" w:ascii="仿宋_GB2312" w:eastAsia="仿宋_GB2312"/>
          <w:b/>
          <w:color w:val="000000"/>
          <w:sz w:val="30"/>
          <w:szCs w:val="30"/>
        </w:rPr>
        <w:t>突发事件类型及措施</w:t>
      </w:r>
    </w:p>
    <w:p w14:paraId="1CED8A9A">
      <w:pPr>
        <w:spacing w:line="60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因不可抗力、意外事件、技术故障、重大人为差错等突发性事件，影响本所债券交易正常进行或者导致债券交易结果出现重大异常的，本所为维护债券交易正常秩序和市场公平，可以采取下列处置措施：</w:t>
      </w:r>
    </w:p>
    <w:p w14:paraId="35B57089">
      <w:pPr>
        <w:widowControl/>
        <w:spacing w:line="600" w:lineRule="exact"/>
        <w:ind w:firstLine="600" w:firstLineChars="200"/>
        <w:jc w:val="left"/>
        <w:rPr>
          <w:rFonts w:ascii="仿宋_GB2312" w:eastAsia="仿宋_GB2312"/>
          <w:sz w:val="30"/>
          <w:szCs w:val="30"/>
        </w:rPr>
      </w:pPr>
      <w:r>
        <w:rPr>
          <w:rFonts w:hint="eastAsia" w:ascii="仿宋_GB2312" w:eastAsia="仿宋_GB2312"/>
          <w:sz w:val="30"/>
          <w:szCs w:val="30"/>
        </w:rPr>
        <w:t>（1）对部分债券交易品种采取技术性停牌措施；</w:t>
      </w:r>
    </w:p>
    <w:p w14:paraId="140EC65F">
      <w:pPr>
        <w:widowControl/>
        <w:spacing w:line="600" w:lineRule="exact"/>
        <w:ind w:firstLine="600" w:firstLineChars="200"/>
        <w:jc w:val="left"/>
        <w:rPr>
          <w:rFonts w:ascii="仿宋_GB2312" w:eastAsia="仿宋_GB2312"/>
          <w:sz w:val="30"/>
          <w:szCs w:val="30"/>
        </w:rPr>
      </w:pPr>
      <w:r>
        <w:rPr>
          <w:rFonts w:hint="eastAsia" w:ascii="仿宋_GB2312" w:eastAsia="仿宋_GB2312"/>
          <w:sz w:val="30"/>
          <w:szCs w:val="30"/>
        </w:rPr>
        <w:t>（</w:t>
      </w:r>
      <w:r>
        <w:rPr>
          <w:rFonts w:ascii="仿宋_GB2312" w:eastAsia="仿宋_GB2312"/>
          <w:sz w:val="30"/>
          <w:szCs w:val="30"/>
        </w:rPr>
        <w:t>2</w:t>
      </w:r>
      <w:r>
        <w:rPr>
          <w:rFonts w:hint="eastAsia" w:ascii="仿宋_GB2312" w:eastAsia="仿宋_GB2312"/>
          <w:sz w:val="30"/>
          <w:szCs w:val="30"/>
        </w:rPr>
        <w:t>）采取临时停市措施；</w:t>
      </w:r>
    </w:p>
    <w:p w14:paraId="719CD309">
      <w:pPr>
        <w:widowControl/>
        <w:spacing w:line="600" w:lineRule="exact"/>
        <w:ind w:firstLine="600" w:firstLineChars="200"/>
        <w:jc w:val="left"/>
        <w:rPr>
          <w:rFonts w:ascii="仿宋_GB2312" w:eastAsia="仿宋_GB2312"/>
          <w:sz w:val="30"/>
          <w:szCs w:val="30"/>
        </w:rPr>
      </w:pPr>
      <w:r>
        <w:rPr>
          <w:rFonts w:hint="eastAsia" w:ascii="仿宋_GB2312" w:eastAsia="仿宋_GB2312"/>
          <w:sz w:val="30"/>
          <w:szCs w:val="30"/>
        </w:rPr>
        <w:t>（</w:t>
      </w:r>
      <w:r>
        <w:rPr>
          <w:rFonts w:ascii="仿宋_GB2312" w:eastAsia="仿宋_GB2312"/>
          <w:sz w:val="30"/>
          <w:szCs w:val="30"/>
        </w:rPr>
        <w:t>3</w:t>
      </w:r>
      <w:r>
        <w:rPr>
          <w:rFonts w:hint="eastAsia" w:ascii="仿宋_GB2312" w:eastAsia="仿宋_GB2312"/>
          <w:sz w:val="30"/>
          <w:szCs w:val="30"/>
        </w:rPr>
        <w:t>）上述突发性事件导致债券交易结果出现重大异常，按交易结果进行交收将对债券交易正常秩序和市场公平造成重大影响的，可以采取取消交易、通知登记结算机构暂缓交收等措施；</w:t>
      </w:r>
    </w:p>
    <w:p w14:paraId="1B69398E">
      <w:pPr>
        <w:spacing w:line="60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（4）本所为处置突发性事件、维护债券交易正常秩序和市场公平采取的其他必要措施。</w:t>
      </w:r>
    </w:p>
    <w:p w14:paraId="23210C70">
      <w:pPr>
        <w:spacing w:line="60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突发性事件的具体认定标准、处置程序等，由本所另行规定。</w:t>
      </w:r>
    </w:p>
    <w:p w14:paraId="685A14D7">
      <w:pPr>
        <w:numPr>
          <w:ilvl w:val="2"/>
          <w:numId w:val="4"/>
        </w:numPr>
        <w:spacing w:line="600" w:lineRule="exact"/>
        <w:ind w:left="0" w:firstLine="0"/>
        <w:outlineLvl w:val="2"/>
        <w:rPr>
          <w:rFonts w:ascii="仿宋_GB2312" w:eastAsia="仿宋_GB2312" w:cs="宋体"/>
          <w:b/>
          <w:color w:val="000000"/>
          <w:kern w:val="0"/>
          <w:sz w:val="30"/>
          <w:szCs w:val="30"/>
        </w:rPr>
      </w:pPr>
      <w:r>
        <w:rPr>
          <w:rFonts w:hint="eastAsia" w:ascii="仿宋_GB2312" w:eastAsia="仿宋_GB2312"/>
          <w:b/>
          <w:sz w:val="30"/>
          <w:szCs w:val="30"/>
        </w:rPr>
        <w:t>不可抗力</w:t>
      </w:r>
    </w:p>
    <w:p w14:paraId="6E07D1B5">
      <w:pPr>
        <w:spacing w:line="600" w:lineRule="exact"/>
        <w:ind w:firstLine="600" w:firstLineChars="200"/>
        <w:rPr>
          <w:rFonts w:ascii="仿宋_GB2312" w:eastAsia="仿宋_GB2312" w:cs="宋体"/>
          <w:color w:val="000000"/>
          <w:kern w:val="0"/>
          <w:sz w:val="30"/>
          <w:szCs w:val="30"/>
        </w:rPr>
      </w:pPr>
      <w:r>
        <w:rPr>
          <w:rFonts w:hint="eastAsia" w:ascii="仿宋_GB2312" w:eastAsia="仿宋_GB2312" w:cs="宋体"/>
          <w:color w:val="000000"/>
          <w:kern w:val="0"/>
          <w:sz w:val="30"/>
          <w:szCs w:val="30"/>
        </w:rPr>
        <w:t>不可抗力是指本所市场所在地或全国其他</w:t>
      </w:r>
      <w:r>
        <w:rPr>
          <w:rFonts w:hint="eastAsia" w:ascii="仿宋_GB2312" w:hAnsi="Calibri" w:eastAsia="仿宋_GB2312"/>
          <w:sz w:val="30"/>
          <w:szCs w:val="30"/>
        </w:rPr>
        <w:t>部分区域出现或据灾情预警可能出现严重自然灾害、出现重大公</w:t>
      </w:r>
      <w:r>
        <w:rPr>
          <w:rFonts w:hint="eastAsia" w:ascii="仿宋_GB2312" w:eastAsia="仿宋_GB2312" w:cs="宋体"/>
          <w:color w:val="000000"/>
          <w:kern w:val="0"/>
          <w:sz w:val="30"/>
          <w:szCs w:val="30"/>
        </w:rPr>
        <w:t>共卫生事件或社会安全事件等情形。</w:t>
      </w:r>
    </w:p>
    <w:p w14:paraId="0278CEC9">
      <w:pPr>
        <w:numPr>
          <w:ilvl w:val="2"/>
          <w:numId w:val="4"/>
        </w:numPr>
        <w:spacing w:line="600" w:lineRule="exact"/>
        <w:ind w:left="0" w:firstLine="0"/>
        <w:outlineLvl w:val="2"/>
        <w:rPr>
          <w:rFonts w:ascii="仿宋_GB2312" w:eastAsia="仿宋_GB2312" w:cs="宋体"/>
          <w:b/>
          <w:bCs/>
          <w:color w:val="000000"/>
          <w:kern w:val="0"/>
          <w:sz w:val="30"/>
          <w:szCs w:val="30"/>
        </w:rPr>
      </w:pPr>
      <w:r>
        <w:rPr>
          <w:rFonts w:hint="eastAsia" w:ascii="仿宋_GB2312" w:eastAsia="仿宋_GB2312"/>
          <w:b/>
          <w:sz w:val="30"/>
          <w:szCs w:val="30"/>
        </w:rPr>
        <w:t>意外事件</w:t>
      </w:r>
    </w:p>
    <w:p w14:paraId="3BC120D3">
      <w:pPr>
        <w:spacing w:line="600" w:lineRule="exact"/>
        <w:ind w:firstLine="600" w:firstLineChars="200"/>
        <w:rPr>
          <w:rFonts w:ascii="仿宋_GB2312" w:eastAsia="仿宋_GB2312" w:cs="宋体"/>
          <w:bCs/>
          <w:color w:val="000000"/>
          <w:kern w:val="0"/>
          <w:sz w:val="30"/>
          <w:szCs w:val="30"/>
        </w:rPr>
      </w:pPr>
      <w:r>
        <w:rPr>
          <w:rFonts w:hint="eastAsia" w:ascii="仿宋_GB2312" w:eastAsia="仿宋_GB2312" w:cs="宋体"/>
          <w:bCs/>
          <w:color w:val="000000"/>
          <w:kern w:val="0"/>
          <w:sz w:val="30"/>
          <w:szCs w:val="30"/>
        </w:rPr>
        <w:t>意外事件是指本所市场所在地发生火灾或电力供应出现故障等情形。</w:t>
      </w:r>
    </w:p>
    <w:p w14:paraId="5C369019">
      <w:pPr>
        <w:numPr>
          <w:ilvl w:val="2"/>
          <w:numId w:val="4"/>
        </w:numPr>
        <w:spacing w:line="600" w:lineRule="exact"/>
        <w:ind w:left="0" w:firstLine="0"/>
        <w:outlineLvl w:val="2"/>
        <w:rPr>
          <w:rFonts w:ascii="仿宋_GB2312" w:hAnsi="Calibri" w:eastAsia="仿宋_GB2312"/>
          <w:b/>
          <w:sz w:val="30"/>
          <w:szCs w:val="30"/>
        </w:rPr>
      </w:pPr>
      <w:r>
        <w:rPr>
          <w:rFonts w:hint="eastAsia" w:ascii="仿宋_GB2312" w:eastAsia="仿宋_GB2312"/>
          <w:b/>
          <w:sz w:val="30"/>
          <w:szCs w:val="30"/>
        </w:rPr>
        <w:t>技术</w:t>
      </w:r>
      <w:r>
        <w:rPr>
          <w:rFonts w:hint="eastAsia" w:ascii="仿宋_GB2312" w:eastAsia="仿宋_GB2312" w:cs="宋体"/>
          <w:b/>
          <w:bCs/>
          <w:color w:val="000000"/>
          <w:kern w:val="0"/>
          <w:sz w:val="30"/>
          <w:szCs w:val="30"/>
        </w:rPr>
        <w:t>故障</w:t>
      </w:r>
    </w:p>
    <w:p w14:paraId="7A63AEF7">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技术故障是指：</w:t>
      </w:r>
    </w:p>
    <w:p w14:paraId="2981843B">
      <w:pPr>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（1）本所交易、通信系统中的网络、硬件设备、应用软件等无法正常运行；</w:t>
      </w:r>
    </w:p>
    <w:p w14:paraId="129AD0F5">
      <w:pPr>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（2）本所交易、通信系统在运行、主备系统切换、软硬件系统及相关程序升级、上线时出现意外；</w:t>
      </w:r>
    </w:p>
    <w:p w14:paraId="367147A8">
      <w:pPr>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（3）本所交易、通信系统被非法侵入或遭受其他人为破坏等情形。</w:t>
      </w:r>
    </w:p>
    <w:p w14:paraId="49965E90">
      <w:pPr>
        <w:numPr>
          <w:ilvl w:val="1"/>
          <w:numId w:val="4"/>
        </w:numPr>
        <w:spacing w:line="600" w:lineRule="exact"/>
        <w:ind w:left="0" w:firstLine="0"/>
        <w:outlineLvl w:val="1"/>
        <w:rPr>
          <w:rFonts w:ascii="仿宋_GB2312" w:eastAsia="仿宋_GB2312"/>
          <w:b/>
          <w:sz w:val="30"/>
          <w:szCs w:val="30"/>
        </w:rPr>
      </w:pPr>
      <w:bookmarkStart w:id="3844" w:name="_Toc56166323"/>
      <w:bookmarkStart w:id="3845" w:name="_Toc151137077"/>
      <w:bookmarkStart w:id="3846" w:name="_Toc82711724"/>
      <w:bookmarkStart w:id="3847" w:name="_Toc467846170"/>
      <w:bookmarkStart w:id="3848" w:name="_Toc975200393"/>
      <w:bookmarkStart w:id="3849" w:name="_Toc1159615250"/>
      <w:bookmarkStart w:id="3850" w:name="_Toc1985845585"/>
      <w:bookmarkStart w:id="3851" w:name="_Toc56166134"/>
      <w:bookmarkStart w:id="3852" w:name="_Toc799853941"/>
      <w:r>
        <w:rPr>
          <w:rFonts w:hint="eastAsia" w:ascii="仿宋_GB2312" w:eastAsia="仿宋_GB2312"/>
          <w:b/>
          <w:sz w:val="30"/>
          <w:szCs w:val="30"/>
        </w:rPr>
        <w:t>债券交易重大异常波动</w:t>
      </w:r>
      <w:bookmarkEnd w:id="3844"/>
      <w:bookmarkEnd w:id="3845"/>
      <w:bookmarkEnd w:id="3846"/>
      <w:bookmarkEnd w:id="3847"/>
      <w:bookmarkEnd w:id="3848"/>
      <w:bookmarkEnd w:id="3849"/>
      <w:bookmarkEnd w:id="3850"/>
      <w:bookmarkEnd w:id="3851"/>
      <w:bookmarkEnd w:id="3852"/>
    </w:p>
    <w:p w14:paraId="42423E19">
      <w:pPr>
        <w:spacing w:line="60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本所加强对债券交易的风险监测，债券交易出现重大异常波动的，本所可以视情况采取下列处置措施：</w:t>
      </w:r>
    </w:p>
    <w:p w14:paraId="48DBC6C0">
      <w:pPr>
        <w:spacing w:line="60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w:t>
      </w:r>
      <w:r>
        <w:rPr>
          <w:rFonts w:ascii="仿宋_GB2312" w:eastAsia="仿宋_GB2312"/>
          <w:color w:val="000000"/>
          <w:sz w:val="30"/>
          <w:szCs w:val="30"/>
        </w:rPr>
        <w:t>1</w:t>
      </w:r>
      <w:r>
        <w:rPr>
          <w:rFonts w:hint="eastAsia" w:ascii="仿宋_GB2312" w:eastAsia="仿宋_GB2312"/>
          <w:color w:val="000000"/>
          <w:sz w:val="30"/>
          <w:szCs w:val="30"/>
        </w:rPr>
        <w:t>）限制部分债券投资者的交易；</w:t>
      </w:r>
    </w:p>
    <w:p w14:paraId="0E5A9A9F">
      <w:pPr>
        <w:widowControl/>
        <w:spacing w:line="60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w:t>
      </w:r>
      <w:r>
        <w:rPr>
          <w:rFonts w:ascii="仿宋_GB2312" w:eastAsia="仿宋_GB2312"/>
          <w:color w:val="000000"/>
          <w:sz w:val="30"/>
          <w:szCs w:val="30"/>
        </w:rPr>
        <w:t>2</w:t>
      </w:r>
      <w:r>
        <w:rPr>
          <w:rFonts w:hint="eastAsia" w:ascii="仿宋_GB2312" w:eastAsia="仿宋_GB2312"/>
          <w:color w:val="000000"/>
          <w:sz w:val="30"/>
          <w:szCs w:val="30"/>
        </w:rPr>
        <w:t>）对部分债券交易品种采取强制停牌措施；</w:t>
      </w:r>
    </w:p>
    <w:p w14:paraId="0C357248">
      <w:pPr>
        <w:widowControl/>
        <w:spacing w:line="60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w:t>
      </w:r>
      <w:r>
        <w:rPr>
          <w:rFonts w:ascii="仿宋_GB2312" w:eastAsia="仿宋_GB2312"/>
          <w:color w:val="000000"/>
          <w:sz w:val="30"/>
          <w:szCs w:val="30"/>
        </w:rPr>
        <w:t>3</w:t>
      </w:r>
      <w:r>
        <w:rPr>
          <w:rFonts w:hint="eastAsia" w:ascii="仿宋_GB2312" w:eastAsia="仿宋_GB2312"/>
          <w:color w:val="000000"/>
          <w:sz w:val="30"/>
          <w:szCs w:val="30"/>
        </w:rPr>
        <w:t>）出现严重影响市场稳定情形的，采取临时停市措施；</w:t>
      </w:r>
    </w:p>
    <w:p w14:paraId="6759A805">
      <w:pPr>
        <w:spacing w:line="600" w:lineRule="exact"/>
        <w:ind w:firstLine="600" w:firstLineChars="200"/>
        <w:jc w:val="left"/>
        <w:rPr>
          <w:rFonts w:ascii="仿宋_GB2312" w:eastAsia="仿宋_GB2312" w:cs="宋体"/>
          <w:color w:val="000000"/>
          <w:kern w:val="0"/>
          <w:sz w:val="30"/>
          <w:szCs w:val="30"/>
        </w:rPr>
      </w:pPr>
      <w:r>
        <w:rPr>
          <w:rFonts w:hint="eastAsia" w:ascii="仿宋_GB2312" w:eastAsia="仿宋_GB2312"/>
          <w:color w:val="000000"/>
          <w:sz w:val="30"/>
          <w:szCs w:val="30"/>
        </w:rPr>
        <w:t>（</w:t>
      </w:r>
      <w:r>
        <w:rPr>
          <w:rFonts w:ascii="仿宋_GB2312" w:eastAsia="仿宋_GB2312"/>
          <w:color w:val="000000"/>
          <w:sz w:val="30"/>
          <w:szCs w:val="30"/>
        </w:rPr>
        <w:t>4</w:t>
      </w:r>
      <w:r>
        <w:rPr>
          <w:rFonts w:hint="eastAsia" w:ascii="仿宋_GB2312" w:eastAsia="仿宋_GB2312"/>
          <w:color w:val="000000"/>
          <w:sz w:val="30"/>
          <w:szCs w:val="30"/>
        </w:rPr>
        <w:t>）本所为处置重大异常波动、维护债券市场稳定采取的</w:t>
      </w:r>
      <w:r>
        <w:rPr>
          <w:rFonts w:hint="eastAsia" w:ascii="仿宋_GB2312" w:hAnsi="Calibri" w:eastAsia="仿宋_GB2312"/>
          <w:sz w:val="30"/>
          <w:szCs w:val="30"/>
        </w:rPr>
        <w:t>其他必要</w:t>
      </w:r>
      <w:r>
        <w:rPr>
          <w:rFonts w:hint="eastAsia" w:ascii="仿宋_GB2312" w:eastAsia="仿宋_GB2312" w:cs="宋体"/>
          <w:color w:val="000000"/>
          <w:kern w:val="0"/>
          <w:sz w:val="30"/>
          <w:szCs w:val="30"/>
        </w:rPr>
        <w:t>措施。</w:t>
      </w:r>
    </w:p>
    <w:p w14:paraId="3A7F0832">
      <w:pPr>
        <w:spacing w:line="600" w:lineRule="exact"/>
        <w:ind w:firstLine="600" w:firstLineChars="200"/>
        <w:jc w:val="left"/>
        <w:rPr>
          <w:rFonts w:ascii="仿宋_GB2312" w:eastAsia="仿宋_GB2312" w:cs="宋体"/>
          <w:color w:val="000000"/>
          <w:kern w:val="0"/>
          <w:sz w:val="30"/>
          <w:szCs w:val="30"/>
        </w:rPr>
      </w:pPr>
      <w:r>
        <w:rPr>
          <w:rFonts w:hint="eastAsia" w:ascii="仿宋_GB2312" w:eastAsia="仿宋_GB2312"/>
          <w:color w:val="000000"/>
          <w:sz w:val="30"/>
          <w:szCs w:val="30"/>
        </w:rPr>
        <w:t>重大异常波动的具体认定标准、处置程序等，由本所另行规定。</w:t>
      </w:r>
    </w:p>
    <w:p w14:paraId="5BA7D6C3">
      <w:pPr>
        <w:numPr>
          <w:ilvl w:val="1"/>
          <w:numId w:val="4"/>
        </w:numPr>
        <w:spacing w:line="600" w:lineRule="exact"/>
        <w:ind w:left="0" w:firstLine="0"/>
        <w:outlineLvl w:val="1"/>
        <w:rPr>
          <w:rFonts w:ascii="仿宋_GB2312" w:eastAsia="仿宋_GB2312"/>
          <w:b/>
          <w:sz w:val="30"/>
          <w:szCs w:val="30"/>
        </w:rPr>
      </w:pPr>
      <w:bookmarkStart w:id="3853" w:name="_Toc60331929"/>
      <w:bookmarkEnd w:id="3853"/>
      <w:bookmarkStart w:id="3854" w:name="_Toc60327170"/>
      <w:bookmarkEnd w:id="3854"/>
      <w:bookmarkStart w:id="3855" w:name="_Toc60327168"/>
      <w:bookmarkEnd w:id="3855"/>
      <w:bookmarkStart w:id="3856" w:name="_Toc60331927"/>
      <w:bookmarkEnd w:id="3856"/>
      <w:bookmarkStart w:id="3857" w:name="_Toc60331928"/>
      <w:bookmarkEnd w:id="3857"/>
      <w:bookmarkStart w:id="3858" w:name="_Toc60327169"/>
      <w:bookmarkEnd w:id="3858"/>
      <w:bookmarkStart w:id="3859" w:name="_Toc60331922"/>
      <w:bookmarkEnd w:id="3859"/>
      <w:bookmarkStart w:id="3860" w:name="_Toc60331925"/>
      <w:bookmarkEnd w:id="3860"/>
      <w:bookmarkStart w:id="3861" w:name="_Toc60327171"/>
      <w:bookmarkEnd w:id="3861"/>
      <w:bookmarkStart w:id="3862" w:name="_Toc60327166"/>
      <w:bookmarkEnd w:id="3862"/>
      <w:bookmarkStart w:id="3863" w:name="_Toc60327172"/>
      <w:bookmarkEnd w:id="3863"/>
      <w:bookmarkStart w:id="3864" w:name="_Toc60327167"/>
      <w:bookmarkEnd w:id="3864"/>
      <w:bookmarkStart w:id="3865" w:name="_Toc60331923"/>
      <w:bookmarkEnd w:id="3865"/>
      <w:bookmarkStart w:id="3866" w:name="_Toc60331924"/>
      <w:bookmarkEnd w:id="3866"/>
      <w:bookmarkStart w:id="3867" w:name="_Toc60327165"/>
      <w:bookmarkEnd w:id="3867"/>
      <w:bookmarkStart w:id="3868" w:name="_Toc60331926"/>
      <w:bookmarkEnd w:id="3868"/>
      <w:bookmarkStart w:id="3869" w:name="_Toc885467799"/>
      <w:bookmarkStart w:id="3870" w:name="_Toc1835971846"/>
      <w:bookmarkStart w:id="3871" w:name="_Toc436693474"/>
      <w:bookmarkStart w:id="3872" w:name="_Toc151137078"/>
      <w:bookmarkStart w:id="3873" w:name="_Toc2121708578"/>
      <w:bookmarkStart w:id="3874" w:name="_Toc44978522"/>
      <w:bookmarkStart w:id="3875" w:name="_Toc56166135"/>
      <w:bookmarkStart w:id="3876" w:name="_Toc56166324"/>
      <w:bookmarkStart w:id="3877" w:name="_Toc1874727744"/>
      <w:r>
        <w:rPr>
          <w:rFonts w:hint="eastAsia" w:ascii="仿宋_GB2312" w:eastAsia="仿宋_GB2312"/>
          <w:b/>
          <w:sz w:val="30"/>
          <w:szCs w:val="30"/>
        </w:rPr>
        <w:t>交易异常处置措施</w:t>
      </w:r>
      <w:bookmarkEnd w:id="3869"/>
      <w:bookmarkEnd w:id="3870"/>
      <w:bookmarkEnd w:id="3871"/>
      <w:bookmarkEnd w:id="3872"/>
      <w:bookmarkEnd w:id="3873"/>
      <w:bookmarkEnd w:id="3874"/>
      <w:bookmarkEnd w:id="3875"/>
      <w:bookmarkEnd w:id="3876"/>
      <w:bookmarkEnd w:id="3877"/>
    </w:p>
    <w:p w14:paraId="09420E03">
      <w:pPr>
        <w:numPr>
          <w:ilvl w:val="2"/>
          <w:numId w:val="4"/>
        </w:numPr>
        <w:spacing w:line="600" w:lineRule="exact"/>
        <w:ind w:left="0" w:firstLine="0"/>
        <w:outlineLvl w:val="2"/>
        <w:rPr>
          <w:rFonts w:ascii="仿宋_GB2312" w:hAnsi="Calibri" w:eastAsia="仿宋_GB2312"/>
          <w:b/>
          <w:sz w:val="30"/>
          <w:szCs w:val="30"/>
        </w:rPr>
      </w:pPr>
      <w:r>
        <w:rPr>
          <w:rFonts w:hint="eastAsia" w:ascii="仿宋_GB2312" w:eastAsia="仿宋_GB2312" w:cs="宋体"/>
          <w:b/>
          <w:color w:val="000000"/>
          <w:kern w:val="0"/>
          <w:sz w:val="30"/>
          <w:szCs w:val="30"/>
        </w:rPr>
        <w:t>向中国证监会报告</w:t>
      </w:r>
    </w:p>
    <w:p w14:paraId="7B813B87">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债券交易发生突发性事件、重大异常波动，本所将及时向中国证监会报告事件发生情况、事件产生或者可能产生的影响、采取的处置措施及其效果等。</w:t>
      </w:r>
    </w:p>
    <w:p w14:paraId="6DFEBFF4">
      <w:pPr>
        <w:widowControl/>
        <w:spacing w:line="600" w:lineRule="exact"/>
        <w:ind w:firstLine="600" w:firstLineChars="200"/>
        <w:jc w:val="left"/>
        <w:rPr>
          <w:rFonts w:ascii="仿宋_GB2312" w:hAnsi="Calibri" w:eastAsia="仿宋_GB2312"/>
          <w:sz w:val="30"/>
          <w:szCs w:val="30"/>
        </w:rPr>
      </w:pPr>
      <w:r>
        <w:rPr>
          <w:rFonts w:hint="eastAsia" w:ascii="仿宋_GB2312" w:hAnsi="Calibri" w:eastAsia="仿宋_GB2312"/>
          <w:sz w:val="30"/>
          <w:szCs w:val="30"/>
        </w:rPr>
        <w:t>本所处置突发性事件、重大异常波动所采取的措施将通过本所官网、上证债券信息网等渠道及时予以公告，但影响处置、市场秩序和市场稳定等的除外。</w:t>
      </w:r>
    </w:p>
    <w:p w14:paraId="3DAA159A">
      <w:pPr>
        <w:numPr>
          <w:ilvl w:val="2"/>
          <w:numId w:val="4"/>
        </w:numPr>
        <w:spacing w:line="600" w:lineRule="exact"/>
        <w:ind w:left="0" w:firstLine="0"/>
        <w:outlineLvl w:val="2"/>
        <w:rPr>
          <w:rFonts w:ascii="仿宋_GB2312" w:eastAsia="仿宋_GB2312" w:cs="宋体"/>
          <w:b/>
          <w:bCs/>
          <w:color w:val="000000"/>
          <w:kern w:val="0"/>
          <w:sz w:val="30"/>
          <w:szCs w:val="30"/>
        </w:rPr>
      </w:pPr>
      <w:r>
        <w:rPr>
          <w:rFonts w:hint="eastAsia" w:ascii="仿宋_GB2312" w:eastAsia="仿宋_GB2312" w:cs="宋体"/>
          <w:b/>
          <w:bCs/>
          <w:color w:val="000000"/>
          <w:kern w:val="0"/>
          <w:sz w:val="30"/>
          <w:szCs w:val="30"/>
        </w:rPr>
        <w:t>恢复交易</w:t>
      </w:r>
    </w:p>
    <w:p w14:paraId="6F41E1DE">
      <w:pPr>
        <w:spacing w:line="600" w:lineRule="exact"/>
        <w:ind w:firstLine="600" w:firstLineChars="200"/>
        <w:rPr>
          <w:rFonts w:ascii="仿宋_GB2312" w:eastAsia="仿宋_GB2312" w:cs="宋体"/>
          <w:bCs/>
          <w:color w:val="000000"/>
          <w:kern w:val="0"/>
          <w:sz w:val="30"/>
          <w:szCs w:val="30"/>
        </w:rPr>
      </w:pPr>
      <w:r>
        <w:rPr>
          <w:rFonts w:hint="eastAsia" w:ascii="仿宋_GB2312" w:eastAsia="仿宋_GB2312" w:cs="宋体"/>
          <w:bCs/>
          <w:color w:val="000000"/>
          <w:kern w:val="0"/>
          <w:sz w:val="30"/>
          <w:szCs w:val="30"/>
        </w:rPr>
        <w:t>停牌或者临时停市原因消除后，本所恢复债券交易。</w:t>
      </w:r>
    </w:p>
    <w:p w14:paraId="7328E8D0">
      <w:pPr>
        <w:numPr>
          <w:ilvl w:val="2"/>
          <w:numId w:val="4"/>
        </w:numPr>
        <w:spacing w:line="600" w:lineRule="exact"/>
        <w:ind w:left="0" w:firstLine="0"/>
        <w:outlineLvl w:val="2"/>
        <w:rPr>
          <w:rFonts w:ascii="仿宋_GB2312" w:hAnsi="Calibri" w:eastAsia="仿宋_GB2312"/>
          <w:b/>
          <w:sz w:val="30"/>
          <w:szCs w:val="30"/>
        </w:rPr>
      </w:pPr>
      <w:r>
        <w:rPr>
          <w:rFonts w:hint="eastAsia" w:ascii="仿宋_GB2312" w:eastAsia="仿宋_GB2312" w:cs="宋体"/>
          <w:b/>
          <w:color w:val="000000"/>
          <w:kern w:val="0"/>
          <w:sz w:val="30"/>
          <w:szCs w:val="30"/>
        </w:rPr>
        <w:t>申报有效</w:t>
      </w:r>
    </w:p>
    <w:p w14:paraId="6191614C">
      <w:pPr>
        <w:spacing w:line="600" w:lineRule="exact"/>
        <w:ind w:firstLine="600" w:firstLineChars="200"/>
        <w:rPr>
          <w:rFonts w:ascii="仿宋_GB2312" w:hAnsi="Calibri" w:eastAsia="仿宋_GB2312"/>
          <w:sz w:val="30"/>
          <w:szCs w:val="30"/>
        </w:rPr>
      </w:pPr>
      <w:r>
        <w:rPr>
          <w:rFonts w:hint="eastAsia" w:ascii="仿宋_GB2312" w:eastAsia="仿宋_GB2312" w:cs="宋体"/>
          <w:color w:val="000000"/>
          <w:kern w:val="0"/>
          <w:sz w:val="30"/>
          <w:szCs w:val="30"/>
        </w:rPr>
        <w:t>除</w:t>
      </w:r>
      <w:r>
        <w:rPr>
          <w:rFonts w:hint="eastAsia" w:ascii="仿宋_GB2312" w:hAnsi="Calibri" w:eastAsia="仿宋_GB2312"/>
          <w:sz w:val="30"/>
          <w:szCs w:val="30"/>
        </w:rPr>
        <w:t>本所认定的特殊情况外，停牌或者临时停市后当日恢复债券交易的，停牌或者临时停市前交易系统已经接受的申报有效。</w:t>
      </w:r>
    </w:p>
    <w:p w14:paraId="7B64EBC9">
      <w:pPr>
        <w:numPr>
          <w:ilvl w:val="2"/>
          <w:numId w:val="4"/>
        </w:numPr>
        <w:spacing w:line="600" w:lineRule="exact"/>
        <w:ind w:left="0" w:firstLine="0"/>
        <w:outlineLvl w:val="2"/>
        <w:rPr>
          <w:rFonts w:ascii="仿宋_GB2312" w:hAnsi="Calibri" w:eastAsia="仿宋_GB2312"/>
          <w:b/>
          <w:sz w:val="30"/>
          <w:szCs w:val="30"/>
        </w:rPr>
      </w:pPr>
      <w:r>
        <w:rPr>
          <w:rFonts w:hint="eastAsia" w:ascii="仿宋_GB2312" w:hAnsi="Calibri" w:eastAsia="仿宋_GB2312"/>
          <w:b/>
          <w:sz w:val="30"/>
          <w:szCs w:val="30"/>
        </w:rPr>
        <w:t>责任</w:t>
      </w:r>
      <w:r>
        <w:rPr>
          <w:rFonts w:hint="eastAsia" w:ascii="仿宋_GB2312" w:eastAsia="仿宋_GB2312"/>
          <w:b/>
          <w:sz w:val="30"/>
          <w:szCs w:val="30"/>
        </w:rPr>
        <w:t>免除</w:t>
      </w:r>
    </w:p>
    <w:p w14:paraId="508139C8">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本所处置突发性事件、重大异常波动采取措施造成的损失，本所不承担民事赔偿责任，但本所存在重大过错的情形除外。</w:t>
      </w:r>
    </w:p>
    <w:p w14:paraId="2AE5FC40">
      <w:pPr>
        <w:numPr>
          <w:ilvl w:val="2"/>
          <w:numId w:val="4"/>
        </w:numPr>
        <w:spacing w:line="600" w:lineRule="exact"/>
        <w:ind w:left="0" w:firstLine="0"/>
        <w:outlineLvl w:val="2"/>
        <w:rPr>
          <w:rFonts w:ascii="仿宋_GB2312" w:hAnsi="Calibri" w:eastAsia="仿宋_GB2312"/>
          <w:b/>
          <w:sz w:val="30"/>
          <w:szCs w:val="30"/>
        </w:rPr>
      </w:pPr>
      <w:r>
        <w:rPr>
          <w:rFonts w:hint="eastAsia" w:ascii="仿宋_GB2312" w:hAnsi="Calibri" w:eastAsia="仿宋_GB2312"/>
          <w:b/>
          <w:sz w:val="30"/>
          <w:szCs w:val="30"/>
        </w:rPr>
        <w:t>债券交易参与人异常情况</w:t>
      </w:r>
      <w:r>
        <w:rPr>
          <w:rFonts w:ascii="仿宋_GB2312" w:hAnsi="Calibri" w:eastAsia="仿宋_GB2312"/>
          <w:b/>
          <w:sz w:val="30"/>
          <w:szCs w:val="30"/>
        </w:rPr>
        <w:t>报告义务</w:t>
      </w:r>
    </w:p>
    <w:p w14:paraId="0831D929">
      <w:pPr>
        <w:spacing w:line="600" w:lineRule="exact"/>
        <w:ind w:firstLine="600" w:firstLineChars="200"/>
        <w:rPr>
          <w:rFonts w:ascii="仿宋_GB2312" w:hAnsi="Calibri" w:eastAsia="仿宋_GB2312"/>
          <w:sz w:val="30"/>
          <w:szCs w:val="30"/>
        </w:rPr>
      </w:pPr>
      <w:r>
        <w:rPr>
          <w:rFonts w:hint="eastAsia" w:ascii="仿宋_GB2312" w:eastAsia="仿宋_GB2312"/>
          <w:color w:val="000000"/>
          <w:sz w:val="30"/>
          <w:szCs w:val="30"/>
        </w:rPr>
        <w:t>债券交易参与人债券交易、技术系统运行出现异常情况的，应当</w:t>
      </w:r>
      <w:r>
        <w:rPr>
          <w:rFonts w:hint="eastAsia" w:ascii="仿宋_GB2312" w:hAnsi="Cambria" w:eastAsia="仿宋_GB2312"/>
          <w:bCs/>
          <w:sz w:val="30"/>
          <w:szCs w:val="30"/>
        </w:rPr>
        <w:t>于异常情况发生之日起</w:t>
      </w:r>
      <w:r>
        <w:rPr>
          <w:rFonts w:ascii="仿宋_GB2312" w:hAnsi="Cambria" w:eastAsia="仿宋_GB2312"/>
          <w:bCs/>
          <w:sz w:val="30"/>
          <w:szCs w:val="30"/>
        </w:rPr>
        <w:t>1</w:t>
      </w:r>
      <w:r>
        <w:rPr>
          <w:rFonts w:hint="eastAsia" w:ascii="仿宋_GB2312" w:hAnsi="Cambria" w:eastAsia="仿宋_GB2312"/>
          <w:bCs/>
          <w:sz w:val="30"/>
          <w:szCs w:val="30"/>
        </w:rPr>
        <w:t>个交易日内通过邮件</w:t>
      </w:r>
      <w:r>
        <w:rPr>
          <w:rFonts w:ascii="仿宋_GB2312" w:hAnsi="Cambria" w:eastAsia="仿宋_GB2312"/>
          <w:bCs/>
          <w:sz w:val="30"/>
          <w:szCs w:val="30"/>
        </w:rPr>
        <w:t>bondtrading@sse.com.cn</w:t>
      </w:r>
      <w:r>
        <w:rPr>
          <w:rFonts w:hint="eastAsia" w:ascii="仿宋_GB2312" w:hAnsi="Cambria" w:eastAsia="仿宋_GB2312"/>
          <w:bCs/>
          <w:sz w:val="30"/>
          <w:szCs w:val="30"/>
        </w:rPr>
        <w:t>及时向本所报告。</w:t>
      </w:r>
    </w:p>
    <w:p w14:paraId="3C3FD74F">
      <w:pPr>
        <w:numPr>
          <w:ilvl w:val="1"/>
          <w:numId w:val="4"/>
        </w:numPr>
        <w:spacing w:line="600" w:lineRule="exact"/>
        <w:ind w:left="0" w:firstLine="0"/>
        <w:outlineLvl w:val="1"/>
        <w:rPr>
          <w:rFonts w:ascii="仿宋_GB2312" w:eastAsia="仿宋_GB2312"/>
          <w:b/>
          <w:sz w:val="30"/>
          <w:szCs w:val="30"/>
        </w:rPr>
      </w:pPr>
      <w:bookmarkStart w:id="3878" w:name="_Toc447103697"/>
      <w:bookmarkStart w:id="3879" w:name="_Toc650009508"/>
      <w:bookmarkStart w:id="3880" w:name="_Toc56166136"/>
      <w:bookmarkStart w:id="3881" w:name="_Toc1512712485"/>
      <w:bookmarkStart w:id="3882" w:name="_Toc1482035901"/>
      <w:bookmarkStart w:id="3883" w:name="_Toc1394419031"/>
      <w:bookmarkStart w:id="3884" w:name="_Toc151137079"/>
      <w:bookmarkStart w:id="3885" w:name="_Toc56166325"/>
      <w:bookmarkStart w:id="3886" w:name="_Toc1379708608"/>
      <w:r>
        <w:rPr>
          <w:rFonts w:hint="eastAsia" w:ascii="仿宋_GB2312" w:eastAsia="仿宋_GB2312"/>
          <w:b/>
          <w:sz w:val="30"/>
          <w:szCs w:val="30"/>
        </w:rPr>
        <w:t>应急申报与成交</w:t>
      </w:r>
      <w:bookmarkEnd w:id="3878"/>
      <w:bookmarkEnd w:id="3879"/>
      <w:bookmarkEnd w:id="3880"/>
      <w:bookmarkEnd w:id="3881"/>
      <w:bookmarkEnd w:id="3882"/>
      <w:bookmarkEnd w:id="3883"/>
      <w:bookmarkEnd w:id="3884"/>
      <w:bookmarkEnd w:id="3885"/>
      <w:bookmarkEnd w:id="3886"/>
    </w:p>
    <w:p w14:paraId="5BB7ED12">
      <w:pPr>
        <w:spacing w:line="600" w:lineRule="exact"/>
        <w:ind w:firstLine="600" w:firstLineChars="200"/>
        <w:rPr>
          <w:rFonts w:ascii="仿宋_GB2312" w:hAnsi="Calibri" w:eastAsia="仿宋_GB2312"/>
          <w:sz w:val="30"/>
          <w:szCs w:val="30"/>
        </w:rPr>
      </w:pPr>
      <w:r>
        <w:rPr>
          <w:rFonts w:hint="eastAsia" w:ascii="仿宋_GB2312" w:eastAsia="仿宋_GB2312" w:cs="宋体"/>
          <w:color w:val="000000"/>
          <w:kern w:val="0"/>
          <w:sz w:val="30"/>
          <w:szCs w:val="30"/>
        </w:rPr>
        <w:t>债券交易参与人因技术故障等原因无法使用</w:t>
      </w:r>
      <w:r>
        <w:rPr>
          <w:rFonts w:hint="eastAsia" w:ascii="仿宋_GB2312" w:eastAsia="仿宋_GB2312" w:cs="宋体"/>
          <w:color w:val="000000"/>
          <w:kern w:val="0"/>
          <w:sz w:val="30"/>
          <w:szCs w:val="30"/>
          <w:lang w:eastAsia="zh-CN"/>
        </w:rPr>
        <w:t>新固定收益系统</w:t>
      </w:r>
      <w:r>
        <w:rPr>
          <w:rFonts w:hint="eastAsia" w:ascii="仿宋_GB2312" w:eastAsia="仿宋_GB2312" w:cs="宋体"/>
          <w:color w:val="000000"/>
          <w:kern w:val="0"/>
          <w:sz w:val="30"/>
          <w:szCs w:val="30"/>
        </w:rPr>
        <w:t>进行交易申报的，经审慎评估确需进行交易的，可以</w:t>
      </w:r>
      <w:r>
        <w:rPr>
          <w:rFonts w:hint="eastAsia" w:ascii="仿宋_GB2312" w:eastAsia="仿宋_GB2312" w:cs="宋体"/>
          <w:color w:val="000000"/>
          <w:kern w:val="0"/>
          <w:sz w:val="30"/>
          <w:szCs w:val="30"/>
          <w:lang w:eastAsia="zh-CN"/>
        </w:rPr>
        <w:t>将</w:t>
      </w:r>
      <w:r>
        <w:rPr>
          <w:rFonts w:hint="eastAsia" w:ascii="仿宋_GB2312" w:eastAsia="仿宋_GB2312" w:cs="宋体"/>
          <w:color w:val="000000"/>
          <w:kern w:val="0"/>
          <w:sz w:val="30"/>
          <w:szCs w:val="30"/>
        </w:rPr>
        <w:t>加盖公章的应急成交相关</w:t>
      </w:r>
      <w:r>
        <w:rPr>
          <w:rFonts w:hint="eastAsia" w:ascii="仿宋_GB2312" w:hAnsi="Calibri" w:eastAsia="仿宋_GB2312"/>
          <w:sz w:val="30"/>
          <w:szCs w:val="30"/>
        </w:rPr>
        <w:t>申报申请</w:t>
      </w:r>
      <w:r>
        <w:rPr>
          <w:rFonts w:hint="eastAsia" w:ascii="仿宋_GB2312" w:hAnsi="Calibri" w:eastAsia="仿宋_GB2312"/>
          <w:sz w:val="30"/>
          <w:szCs w:val="30"/>
          <w:lang w:eastAsia="zh-CN"/>
        </w:rPr>
        <w:t>发送至</w:t>
      </w:r>
      <w:r>
        <w:rPr>
          <w:rFonts w:hint="eastAsia" w:ascii="仿宋_GB2312" w:hAnsi="Calibri" w:eastAsia="仿宋_GB2312"/>
          <w:sz w:val="30"/>
          <w:szCs w:val="30"/>
          <w:lang w:val="en-US" w:eastAsia="zh-CN"/>
        </w:rPr>
        <w:t>bond@sse.com.cn</w:t>
      </w:r>
      <w:r>
        <w:rPr>
          <w:rFonts w:hint="eastAsia" w:ascii="仿宋_GB2312" w:hAnsi="Calibri" w:eastAsia="仿宋_GB2312"/>
          <w:sz w:val="30"/>
          <w:szCs w:val="30"/>
        </w:rPr>
        <w:t>。目前，应急成交仅支持采用协商成交交易方式的债券现券交易。</w:t>
      </w:r>
    </w:p>
    <w:p w14:paraId="1BD82FC6">
      <w:pPr>
        <w:spacing w:line="600" w:lineRule="exact"/>
        <w:ind w:firstLine="600" w:firstLineChars="200"/>
        <w:rPr>
          <w:rFonts w:ascii="仿宋_GB2312" w:hAnsi="Calibri"/>
          <w:sz w:val="30"/>
          <w:szCs w:val="30"/>
        </w:rPr>
      </w:pPr>
      <w:r>
        <w:rPr>
          <w:rFonts w:hint="eastAsia" w:ascii="仿宋_GB2312" w:hAnsi="Calibri" w:eastAsia="仿宋_GB2312"/>
          <w:sz w:val="30"/>
          <w:szCs w:val="30"/>
        </w:rPr>
        <w:t>本所根据债券交易参与人的应急成交申请进行相应操作，本所根据应急成交申请进行成交确认的，交易双方应当承认成交结果，履行清算交收义务。</w:t>
      </w:r>
    </w:p>
    <w:p w14:paraId="1FC4F2F6">
      <w:pPr>
        <w:numPr>
          <w:ilvl w:val="1"/>
          <w:numId w:val="4"/>
        </w:numPr>
        <w:spacing w:line="600" w:lineRule="exact"/>
        <w:ind w:left="0" w:firstLine="0"/>
        <w:outlineLvl w:val="1"/>
        <w:rPr>
          <w:rFonts w:ascii="仿宋_GB2312" w:eastAsia="仿宋_GB2312"/>
          <w:b/>
          <w:sz w:val="30"/>
          <w:szCs w:val="30"/>
        </w:rPr>
      </w:pPr>
      <w:bookmarkStart w:id="3887" w:name="_Toc151137080"/>
      <w:bookmarkStart w:id="3888" w:name="_Toc613198232"/>
      <w:bookmarkStart w:id="3889" w:name="_Toc1507856920"/>
      <w:bookmarkStart w:id="3890" w:name="_Toc541731461"/>
      <w:bookmarkStart w:id="3891" w:name="_Toc56166137"/>
      <w:bookmarkStart w:id="3892" w:name="_Toc146458590"/>
      <w:bookmarkStart w:id="3893" w:name="_Toc56166326"/>
      <w:bookmarkStart w:id="3894" w:name="_Toc1895212872"/>
      <w:bookmarkStart w:id="3895" w:name="_Toc2010318953"/>
      <w:r>
        <w:rPr>
          <w:rFonts w:hint="eastAsia" w:ascii="仿宋_GB2312" w:eastAsia="仿宋_GB2312"/>
          <w:b/>
          <w:sz w:val="30"/>
          <w:szCs w:val="30"/>
        </w:rPr>
        <w:t>交易解除</w:t>
      </w:r>
      <w:bookmarkEnd w:id="3887"/>
      <w:bookmarkEnd w:id="3888"/>
      <w:bookmarkEnd w:id="3889"/>
      <w:bookmarkEnd w:id="3890"/>
      <w:bookmarkEnd w:id="3891"/>
      <w:bookmarkEnd w:id="3892"/>
      <w:bookmarkEnd w:id="3893"/>
      <w:bookmarkEnd w:id="3894"/>
      <w:bookmarkEnd w:id="3895"/>
    </w:p>
    <w:p w14:paraId="2113EC76">
      <w:pPr>
        <w:spacing w:line="600" w:lineRule="exact"/>
        <w:ind w:firstLine="600" w:firstLineChars="200"/>
        <w:rPr>
          <w:rFonts w:ascii="仿宋_GB2312" w:hAnsi="Calibri" w:eastAsia="仿宋_GB2312"/>
          <w:sz w:val="30"/>
          <w:szCs w:val="30"/>
        </w:rPr>
      </w:pPr>
      <w:r>
        <w:rPr>
          <w:rFonts w:hint="eastAsia" w:ascii="仿宋_GB2312" w:hAnsi="Calibri" w:eastAsia="仿宋_GB2312"/>
          <w:sz w:val="30"/>
          <w:szCs w:val="30"/>
        </w:rPr>
        <w:t>债券交易采用竞买成交方式，或者采用其他交易方式并以多边净额结算方式结算的，经交易系统确认成交后不得解除交易或者改变交易结果，但《债券交易规则》第一百三十条规定的情形除外。</w:t>
      </w:r>
    </w:p>
    <w:p w14:paraId="2EEA32AB">
      <w:pPr>
        <w:spacing w:line="600" w:lineRule="exact"/>
        <w:ind w:firstLine="600" w:firstLineChars="200"/>
        <w:rPr>
          <w:rFonts w:ascii="仿宋_GB2312" w:hAnsi="Calibri" w:eastAsia="仿宋_GB2312"/>
          <w:b/>
          <w:bCs/>
          <w:sz w:val="28"/>
          <w:szCs w:val="22"/>
        </w:rPr>
      </w:pPr>
      <w:r>
        <w:rPr>
          <w:rFonts w:hint="eastAsia" w:ascii="仿宋_GB2312" w:eastAsia="仿宋_GB2312"/>
          <w:color w:val="000000"/>
          <w:sz w:val="30"/>
          <w:szCs w:val="30"/>
        </w:rPr>
        <w:t>采用点击成交、</w:t>
      </w:r>
      <w:r>
        <w:rPr>
          <w:rFonts w:hint="eastAsia" w:ascii="仿宋_GB2312" w:hAnsi="Calibri" w:eastAsia="仿宋_GB2312"/>
          <w:sz w:val="30"/>
          <w:szCs w:val="30"/>
        </w:rPr>
        <w:t>询价成交、协商成交交易方式达成交易，且采用逐笔全额结算方式结算的债券交易，出现因不可抗力、预期违约、延迟履行等情形导致交易目的无法实现或者交易不能继续履行的，在交收开始前，交易双方协商一致并经本所认可后，可以解除相关交易。</w:t>
      </w:r>
      <w:bookmarkEnd w:id="3767"/>
      <w:bookmarkEnd w:id="3768"/>
    </w:p>
    <w:p w14:paraId="7909B8F7">
      <w:pPr>
        <w:widowControl/>
        <w:jc w:val="left"/>
        <w:rPr>
          <w:rFonts w:ascii="仿宋_GB2312" w:hAnsi="黑体" w:eastAsia="仿宋_GB2312"/>
          <w:b/>
          <w:sz w:val="30"/>
          <w:szCs w:val="30"/>
        </w:rPr>
      </w:pPr>
      <w:r>
        <w:rPr>
          <w:rFonts w:ascii="仿宋_GB2312" w:hAnsi="黑体" w:eastAsia="仿宋_GB2312"/>
          <w:b/>
          <w:sz w:val="30"/>
          <w:szCs w:val="30"/>
        </w:rPr>
        <w:br w:type="page"/>
      </w:r>
    </w:p>
    <w:p w14:paraId="3411892E">
      <w:pPr>
        <w:widowControl/>
        <w:jc w:val="left"/>
        <w:outlineLvl w:val="1"/>
        <w:rPr>
          <w:rFonts w:ascii="仿宋_GB2312" w:hAnsi="黑体" w:eastAsia="仿宋_GB2312"/>
          <w:b/>
          <w:sz w:val="30"/>
          <w:szCs w:val="30"/>
        </w:rPr>
      </w:pPr>
      <w:bookmarkStart w:id="3896" w:name="_Toc980511441"/>
      <w:bookmarkStart w:id="3897" w:name="_Toc151137081"/>
      <w:bookmarkStart w:id="3898" w:name="_Toc651260136"/>
      <w:bookmarkStart w:id="3899" w:name="_Toc1773101350"/>
      <w:bookmarkStart w:id="3900" w:name="_Toc920583891"/>
      <w:bookmarkStart w:id="3901" w:name="_Toc1553566764"/>
      <w:bookmarkStart w:id="3902" w:name="_Toc1331539579"/>
      <w:r>
        <w:rPr>
          <w:rFonts w:hint="eastAsia" w:ascii="仿宋_GB2312" w:hAnsi="黑体" w:eastAsia="仿宋_GB2312"/>
          <w:b/>
          <w:sz w:val="30"/>
          <w:szCs w:val="30"/>
        </w:rPr>
        <w:t>附件</w:t>
      </w:r>
      <w:r>
        <w:rPr>
          <w:rFonts w:ascii="仿宋_GB2312" w:hAnsi="黑体" w:eastAsia="仿宋_GB2312"/>
          <w:b/>
          <w:sz w:val="30"/>
          <w:szCs w:val="30"/>
        </w:rPr>
        <w:t xml:space="preserve">1 </w:t>
      </w:r>
      <w:r>
        <w:rPr>
          <w:rFonts w:hint="eastAsia" w:ascii="仿宋_GB2312" w:hAnsi="黑体" w:eastAsia="仿宋_GB2312"/>
          <w:b/>
          <w:sz w:val="30"/>
          <w:szCs w:val="30"/>
        </w:rPr>
        <w:t>债券交易参与人申请表</w:t>
      </w:r>
      <w:bookmarkEnd w:id="3896"/>
      <w:bookmarkEnd w:id="3897"/>
      <w:bookmarkEnd w:id="3898"/>
      <w:bookmarkEnd w:id="3899"/>
      <w:bookmarkEnd w:id="3900"/>
      <w:bookmarkEnd w:id="3901"/>
      <w:bookmarkEnd w:id="3902"/>
    </w:p>
    <w:p w14:paraId="3FBB155D">
      <w:pPr>
        <w:spacing w:line="560" w:lineRule="exact"/>
        <w:ind w:firstLine="602"/>
        <w:rPr>
          <w:rFonts w:ascii="仿宋_GB2312" w:hAnsi="Calibri" w:eastAsia="仿宋_GB2312"/>
          <w:b/>
          <w:bCs/>
          <w:sz w:val="30"/>
          <w:szCs w:val="30"/>
        </w:rPr>
      </w:pPr>
    </w:p>
    <w:p w14:paraId="2AF6FE23">
      <w:pPr>
        <w:spacing w:line="560" w:lineRule="exact"/>
        <w:jc w:val="center"/>
        <w:rPr>
          <w:rFonts w:ascii="黑体" w:hAnsi="黑体" w:eastAsia="黑体" w:cs="黑体"/>
          <w:b/>
          <w:sz w:val="44"/>
          <w:szCs w:val="44"/>
        </w:rPr>
      </w:pPr>
      <w:r>
        <w:rPr>
          <w:rFonts w:hint="eastAsia" w:ascii="黑体" w:hAnsi="黑体" w:eastAsia="黑体" w:cs="黑体"/>
          <w:b/>
          <w:sz w:val="44"/>
          <w:szCs w:val="44"/>
        </w:rPr>
        <w:t>债券交易参与人申请表</w:t>
      </w:r>
      <w:bookmarkEnd w:id="2040"/>
      <w:bookmarkEnd w:id="2041"/>
    </w:p>
    <w:p w14:paraId="242BDB29">
      <w:pPr>
        <w:spacing w:line="560" w:lineRule="exact"/>
        <w:rPr>
          <w:rFonts w:ascii="仿宋_GB2312" w:hAnsi="Calibri" w:eastAsia="仿宋_GB2312"/>
          <w:sz w:val="30"/>
          <w:szCs w:val="30"/>
        </w:rPr>
      </w:pPr>
      <w:r>
        <w:rPr>
          <w:rFonts w:hint="eastAsia" w:ascii="仿宋_GB2312" w:hAnsi="Calibri" w:eastAsia="仿宋_GB2312"/>
          <w:sz w:val="30"/>
          <w:szCs w:val="30"/>
        </w:rPr>
        <w:t>上海证券交易所：</w:t>
      </w:r>
    </w:p>
    <w:p w14:paraId="3FEF8B87">
      <w:pPr>
        <w:spacing w:line="560" w:lineRule="exact"/>
        <w:ind w:firstLine="600"/>
        <w:rPr>
          <w:rFonts w:ascii="仿宋_GB2312" w:hAnsi="Calibri" w:eastAsia="仿宋_GB2312"/>
          <w:kern w:val="28"/>
          <w:sz w:val="30"/>
          <w:szCs w:val="30"/>
        </w:rPr>
      </w:pPr>
      <w:r>
        <w:rPr>
          <w:rFonts w:hint="eastAsia" w:ascii="仿宋_GB2312" w:hAnsi="Calibri" w:eastAsia="仿宋_GB2312"/>
          <w:sz w:val="30"/>
          <w:szCs w:val="30"/>
        </w:rPr>
        <w:t>经我公司研究决定，特向上交所申请成为债券交易参与人，现将有关事项申请如下：</w:t>
      </w:r>
    </w:p>
    <w:tbl>
      <w:tblPr>
        <w:tblStyle w:val="43"/>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0"/>
        <w:gridCol w:w="955"/>
        <w:gridCol w:w="746"/>
        <w:gridCol w:w="1277"/>
        <w:gridCol w:w="847"/>
        <w:gridCol w:w="1829"/>
        <w:gridCol w:w="1583"/>
      </w:tblGrid>
      <w:tr w14:paraId="5A243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5000" w:type="pct"/>
            <w:gridSpan w:val="7"/>
            <w:vAlign w:val="center"/>
          </w:tcPr>
          <w:p w14:paraId="777E1F8D">
            <w:pPr>
              <w:rPr>
                <w:rFonts w:ascii="仿宋_GB2312" w:hAnsi="Calibri" w:eastAsia="仿宋_GB2312"/>
                <w:sz w:val="24"/>
                <w:szCs w:val="30"/>
              </w:rPr>
            </w:pPr>
            <w:r>
              <w:rPr>
                <w:rFonts w:hint="eastAsia" w:ascii="仿宋_GB2312" w:hAnsi="Calibri" w:eastAsia="仿宋_GB2312"/>
                <w:sz w:val="24"/>
                <w:szCs w:val="30"/>
              </w:rPr>
              <w:t>机构名称：</w:t>
            </w:r>
          </w:p>
        </w:tc>
      </w:tr>
      <w:tr w14:paraId="4979B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2978" w:type="pct"/>
            <w:gridSpan w:val="5"/>
            <w:vAlign w:val="center"/>
          </w:tcPr>
          <w:p w14:paraId="1B38450C">
            <w:pPr>
              <w:rPr>
                <w:rFonts w:ascii="仿宋_GB2312" w:hAnsi="Calibri" w:eastAsia="仿宋_GB2312"/>
                <w:sz w:val="24"/>
                <w:szCs w:val="30"/>
              </w:rPr>
            </w:pPr>
            <w:r>
              <w:rPr>
                <w:rFonts w:hint="eastAsia" w:ascii="仿宋_GB2312" w:hAnsi="Calibri" w:eastAsia="仿宋_GB2312"/>
                <w:sz w:val="24"/>
                <w:szCs w:val="30"/>
              </w:rPr>
              <w:t>邮政地址：</w:t>
            </w:r>
          </w:p>
        </w:tc>
        <w:tc>
          <w:tcPr>
            <w:tcW w:w="2022" w:type="pct"/>
            <w:gridSpan w:val="2"/>
            <w:vAlign w:val="center"/>
          </w:tcPr>
          <w:p w14:paraId="37F72E42">
            <w:pPr>
              <w:rPr>
                <w:rFonts w:ascii="仿宋_GB2312" w:hAnsi="Calibri" w:eastAsia="仿宋_GB2312"/>
                <w:sz w:val="24"/>
                <w:szCs w:val="30"/>
              </w:rPr>
            </w:pPr>
            <w:r>
              <w:rPr>
                <w:rFonts w:hint="eastAsia" w:ascii="仿宋_GB2312" w:hAnsi="Calibri" w:eastAsia="仿宋_GB2312"/>
                <w:sz w:val="24"/>
                <w:szCs w:val="30"/>
              </w:rPr>
              <w:t>邮政编码：</w:t>
            </w:r>
          </w:p>
        </w:tc>
      </w:tr>
      <w:tr w14:paraId="498D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2978" w:type="pct"/>
            <w:gridSpan w:val="5"/>
            <w:vAlign w:val="center"/>
          </w:tcPr>
          <w:p w14:paraId="021FCE2D">
            <w:pPr>
              <w:rPr>
                <w:rFonts w:ascii="仿宋_GB2312" w:hAnsi="Calibri" w:eastAsia="仿宋_GB2312"/>
                <w:sz w:val="24"/>
                <w:szCs w:val="30"/>
              </w:rPr>
            </w:pPr>
            <w:r>
              <w:rPr>
                <w:rFonts w:hint="eastAsia" w:ascii="仿宋_GB2312" w:hAnsi="Calibri" w:eastAsia="仿宋_GB2312"/>
                <w:sz w:val="24"/>
                <w:szCs w:val="30"/>
              </w:rPr>
              <w:t>机构联系电话：</w:t>
            </w:r>
          </w:p>
        </w:tc>
        <w:tc>
          <w:tcPr>
            <w:tcW w:w="2022" w:type="pct"/>
            <w:gridSpan w:val="2"/>
            <w:vAlign w:val="center"/>
          </w:tcPr>
          <w:p w14:paraId="4F493DCD">
            <w:pPr>
              <w:rPr>
                <w:rFonts w:ascii="仿宋_GB2312" w:hAnsi="Calibri" w:eastAsia="仿宋_GB2312"/>
                <w:sz w:val="24"/>
                <w:szCs w:val="30"/>
              </w:rPr>
            </w:pPr>
            <w:r>
              <w:rPr>
                <w:rFonts w:hint="eastAsia" w:ascii="仿宋_GB2312" w:hAnsi="Calibri" w:eastAsia="仿宋_GB2312"/>
                <w:sz w:val="24"/>
                <w:szCs w:val="30"/>
              </w:rPr>
              <w:t>联系人：</w:t>
            </w:r>
          </w:p>
        </w:tc>
      </w:tr>
      <w:tr w14:paraId="673C1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2978" w:type="pct"/>
            <w:gridSpan w:val="5"/>
            <w:vAlign w:val="center"/>
          </w:tcPr>
          <w:p w14:paraId="46AD5892">
            <w:pPr>
              <w:rPr>
                <w:rFonts w:ascii="仿宋_GB2312" w:hAnsi="Calibri" w:eastAsia="仿宋_GB2312"/>
                <w:sz w:val="24"/>
                <w:szCs w:val="30"/>
              </w:rPr>
            </w:pPr>
            <w:r>
              <w:rPr>
                <w:rFonts w:hint="eastAsia" w:ascii="仿宋_GB2312" w:hAnsi="Calibri" w:eastAsia="仿宋_GB2312"/>
                <w:sz w:val="24"/>
                <w:szCs w:val="30"/>
              </w:rPr>
              <w:t>法定代表人：</w:t>
            </w:r>
          </w:p>
        </w:tc>
        <w:tc>
          <w:tcPr>
            <w:tcW w:w="2022" w:type="pct"/>
            <w:gridSpan w:val="2"/>
            <w:vAlign w:val="center"/>
          </w:tcPr>
          <w:p w14:paraId="5E0E63AB">
            <w:pPr>
              <w:rPr>
                <w:rFonts w:ascii="仿宋_GB2312" w:hAnsi="Calibri" w:eastAsia="仿宋_GB2312"/>
                <w:sz w:val="24"/>
                <w:szCs w:val="30"/>
              </w:rPr>
            </w:pPr>
            <w:r>
              <w:rPr>
                <w:rFonts w:hint="eastAsia" w:ascii="仿宋_GB2312" w:hAnsi="Calibri" w:eastAsia="仿宋_GB2312"/>
                <w:sz w:val="24"/>
                <w:szCs w:val="30"/>
              </w:rPr>
              <w:t>联系人电子邮箱：</w:t>
            </w:r>
          </w:p>
        </w:tc>
      </w:tr>
      <w:tr w14:paraId="3DCD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5000" w:type="pct"/>
            <w:gridSpan w:val="7"/>
            <w:vAlign w:val="center"/>
          </w:tcPr>
          <w:p w14:paraId="677A1FA6">
            <w:pPr>
              <w:rPr>
                <w:rFonts w:ascii="仿宋_GB2312" w:hAnsi="Calibri" w:eastAsia="仿宋_GB2312"/>
                <w:sz w:val="24"/>
                <w:szCs w:val="30"/>
              </w:rPr>
            </w:pPr>
            <w:r>
              <w:rPr>
                <w:rFonts w:hint="eastAsia" w:ascii="仿宋_GB2312" w:hAnsi="Calibri" w:eastAsia="仿宋_GB2312"/>
                <w:sz w:val="24"/>
                <w:szCs w:val="30"/>
              </w:rPr>
              <w:t>注册地址：</w:t>
            </w:r>
          </w:p>
        </w:tc>
      </w:tr>
      <w:tr w14:paraId="1960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5000" w:type="pct"/>
            <w:gridSpan w:val="7"/>
            <w:vAlign w:val="center"/>
          </w:tcPr>
          <w:p w14:paraId="291901AC">
            <w:pPr>
              <w:rPr>
                <w:rFonts w:ascii="仿宋_GB2312" w:hAnsi="Calibri" w:eastAsia="仿宋_GB2312"/>
                <w:sz w:val="24"/>
                <w:szCs w:val="30"/>
              </w:rPr>
            </w:pPr>
            <w:r>
              <w:rPr>
                <w:rFonts w:hint="eastAsia" w:ascii="仿宋_GB2312" w:hAnsi="Calibri" w:eastAsia="仿宋_GB2312"/>
                <w:sz w:val="24"/>
                <w:szCs w:val="30"/>
              </w:rPr>
              <w:t>统一社会信用代码：</w:t>
            </w:r>
          </w:p>
        </w:tc>
      </w:tr>
      <w:tr w14:paraId="436C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277" w:type="pct"/>
            <w:gridSpan w:val="2"/>
            <w:tcBorders>
              <w:bottom w:val="single" w:color="auto" w:sz="4" w:space="0"/>
            </w:tcBorders>
            <w:vAlign w:val="center"/>
          </w:tcPr>
          <w:p w14:paraId="76E6730C">
            <w:pPr>
              <w:rPr>
                <w:rFonts w:ascii="仿宋_GB2312" w:hAnsi="Calibri" w:eastAsia="仿宋_GB2312"/>
                <w:sz w:val="24"/>
                <w:szCs w:val="30"/>
              </w:rPr>
            </w:pPr>
            <w:r>
              <w:rPr>
                <w:rFonts w:hint="eastAsia" w:ascii="仿宋_GB2312" w:hAnsi="Calibri" w:eastAsia="仿宋_GB2312"/>
                <w:sz w:val="24"/>
                <w:szCs w:val="30"/>
              </w:rPr>
              <w:t>注册资本</w:t>
            </w:r>
          </w:p>
        </w:tc>
        <w:tc>
          <w:tcPr>
            <w:tcW w:w="3723" w:type="pct"/>
            <w:gridSpan w:val="5"/>
            <w:tcBorders>
              <w:bottom w:val="single" w:color="auto" w:sz="4" w:space="0"/>
            </w:tcBorders>
            <w:vAlign w:val="center"/>
          </w:tcPr>
          <w:p w14:paraId="57CBB370">
            <w:pPr>
              <w:ind w:firstLine="2160" w:firstLineChars="900"/>
              <w:rPr>
                <w:rFonts w:ascii="仿宋_GB2312" w:hAnsi="Calibri" w:eastAsia="仿宋_GB2312"/>
                <w:sz w:val="24"/>
                <w:szCs w:val="30"/>
              </w:rPr>
            </w:pPr>
            <w:r>
              <w:rPr>
                <w:rFonts w:hint="eastAsia" w:ascii="仿宋_GB2312" w:hAnsi="Calibri" w:eastAsia="仿宋_GB2312"/>
                <w:sz w:val="24"/>
                <w:szCs w:val="30"/>
              </w:rPr>
              <w:t>亿元</w:t>
            </w:r>
          </w:p>
        </w:tc>
      </w:tr>
      <w:tr w14:paraId="186E9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277" w:type="pct"/>
            <w:gridSpan w:val="2"/>
            <w:tcBorders>
              <w:bottom w:val="single" w:color="auto" w:sz="4" w:space="0"/>
            </w:tcBorders>
            <w:vAlign w:val="center"/>
          </w:tcPr>
          <w:p w14:paraId="1209FF96">
            <w:pPr>
              <w:rPr>
                <w:rFonts w:ascii="仿宋_GB2312" w:hAnsi="Calibri" w:eastAsia="仿宋_GB2312"/>
                <w:sz w:val="24"/>
                <w:szCs w:val="30"/>
              </w:rPr>
            </w:pPr>
            <w:r>
              <w:rPr>
                <w:rFonts w:hint="eastAsia" w:ascii="仿宋_GB2312" w:hAnsi="Calibri" w:eastAsia="仿宋_GB2312"/>
                <w:sz w:val="24"/>
                <w:szCs w:val="30"/>
              </w:rPr>
              <w:t>上一年度净资产规模</w:t>
            </w:r>
          </w:p>
        </w:tc>
        <w:tc>
          <w:tcPr>
            <w:tcW w:w="3723" w:type="pct"/>
            <w:gridSpan w:val="5"/>
            <w:tcBorders>
              <w:bottom w:val="single" w:color="auto" w:sz="4" w:space="0"/>
            </w:tcBorders>
            <w:vAlign w:val="center"/>
          </w:tcPr>
          <w:p w14:paraId="3BFF978F">
            <w:pPr>
              <w:rPr>
                <w:rFonts w:ascii="仿宋_GB2312" w:hAnsi="Calibri" w:eastAsia="仿宋_GB2312"/>
                <w:sz w:val="24"/>
                <w:szCs w:val="30"/>
              </w:rPr>
            </w:pPr>
            <w:r>
              <w:rPr>
                <w:rFonts w:ascii="仿宋_GB2312" w:hAnsi="Calibri" w:eastAsia="仿宋_GB2312"/>
                <w:sz w:val="24"/>
                <w:szCs w:val="30"/>
              </w:rPr>
              <w:t xml:space="preserve">                  </w:t>
            </w:r>
            <w:r>
              <w:rPr>
                <w:rFonts w:hint="eastAsia" w:ascii="仿宋_GB2312" w:hAnsi="Calibri" w:eastAsia="仿宋_GB2312"/>
                <w:sz w:val="24"/>
                <w:szCs w:val="30"/>
              </w:rPr>
              <w:t>亿元</w:t>
            </w:r>
          </w:p>
        </w:tc>
      </w:tr>
      <w:tr w14:paraId="71DD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277" w:type="pct"/>
            <w:gridSpan w:val="2"/>
            <w:tcBorders>
              <w:bottom w:val="single" w:color="auto" w:sz="4" w:space="0"/>
            </w:tcBorders>
            <w:vAlign w:val="center"/>
          </w:tcPr>
          <w:p w14:paraId="1AD1265C">
            <w:pPr>
              <w:rPr>
                <w:rFonts w:ascii="仿宋_GB2312" w:hAnsi="Calibri" w:eastAsia="仿宋_GB2312"/>
                <w:sz w:val="24"/>
                <w:szCs w:val="30"/>
              </w:rPr>
            </w:pPr>
            <w:r>
              <w:rPr>
                <w:rFonts w:hint="eastAsia" w:ascii="仿宋_GB2312" w:hAnsi="Calibri" w:eastAsia="仿宋_GB2312"/>
                <w:sz w:val="24"/>
                <w:szCs w:val="30"/>
              </w:rPr>
              <w:t>上一年度资产管理规模</w:t>
            </w:r>
          </w:p>
        </w:tc>
        <w:tc>
          <w:tcPr>
            <w:tcW w:w="3723" w:type="pct"/>
            <w:gridSpan w:val="5"/>
            <w:tcBorders>
              <w:bottom w:val="single" w:color="auto" w:sz="4" w:space="0"/>
            </w:tcBorders>
            <w:vAlign w:val="center"/>
          </w:tcPr>
          <w:p w14:paraId="6E8B90F4">
            <w:pPr>
              <w:ind w:firstLine="2160" w:firstLineChars="900"/>
              <w:rPr>
                <w:rFonts w:ascii="仿宋_GB2312" w:hAnsi="Calibri" w:eastAsia="仿宋_GB2312"/>
                <w:sz w:val="24"/>
                <w:szCs w:val="30"/>
              </w:rPr>
            </w:pPr>
            <w:r>
              <w:rPr>
                <w:rFonts w:hint="eastAsia" w:ascii="仿宋_GB2312" w:hAnsi="Calibri" w:eastAsia="仿宋_GB2312"/>
                <w:sz w:val="24"/>
                <w:szCs w:val="30"/>
              </w:rPr>
              <w:t>亿元</w:t>
            </w:r>
          </w:p>
        </w:tc>
      </w:tr>
      <w:tr w14:paraId="1899B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277" w:type="pct"/>
            <w:gridSpan w:val="2"/>
            <w:tcBorders>
              <w:bottom w:val="single" w:color="auto" w:sz="4" w:space="0"/>
            </w:tcBorders>
            <w:vAlign w:val="center"/>
          </w:tcPr>
          <w:p w14:paraId="2AE1F2CE">
            <w:pPr>
              <w:rPr>
                <w:rFonts w:ascii="仿宋_GB2312" w:hAnsi="Calibri" w:eastAsia="仿宋_GB2312"/>
                <w:sz w:val="24"/>
                <w:szCs w:val="30"/>
              </w:rPr>
            </w:pPr>
            <w:r>
              <w:rPr>
                <w:rFonts w:hint="eastAsia" w:ascii="仿宋_GB2312" w:hAnsi="Calibri" w:eastAsia="仿宋_GB2312"/>
                <w:sz w:val="24"/>
                <w:szCs w:val="30"/>
              </w:rPr>
              <w:t>上一年度债券交易规模</w:t>
            </w:r>
          </w:p>
        </w:tc>
        <w:tc>
          <w:tcPr>
            <w:tcW w:w="3723" w:type="pct"/>
            <w:gridSpan w:val="5"/>
            <w:tcBorders>
              <w:bottom w:val="single" w:color="auto" w:sz="4" w:space="0"/>
            </w:tcBorders>
            <w:vAlign w:val="center"/>
          </w:tcPr>
          <w:p w14:paraId="1BCF55F1">
            <w:pPr>
              <w:ind w:firstLine="2160" w:firstLineChars="900"/>
              <w:rPr>
                <w:rFonts w:ascii="仿宋_GB2312" w:hAnsi="Calibri" w:eastAsia="仿宋_GB2312"/>
                <w:sz w:val="24"/>
                <w:szCs w:val="30"/>
              </w:rPr>
            </w:pPr>
            <w:r>
              <w:rPr>
                <w:rFonts w:hint="eastAsia" w:ascii="仿宋_GB2312" w:hAnsi="Calibri" w:eastAsia="仿宋_GB2312"/>
                <w:sz w:val="24"/>
                <w:szCs w:val="30"/>
              </w:rPr>
              <w:t>亿元</w:t>
            </w:r>
          </w:p>
        </w:tc>
      </w:tr>
      <w:tr w14:paraId="12955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11" w:type="pct"/>
            <w:vMerge w:val="restart"/>
            <w:vAlign w:val="center"/>
          </w:tcPr>
          <w:p w14:paraId="0BCEBAAA">
            <w:pPr>
              <w:rPr>
                <w:rFonts w:ascii="仿宋_GB2312" w:hAnsi="Calibri" w:eastAsia="仿宋_GB2312"/>
                <w:sz w:val="24"/>
                <w:szCs w:val="30"/>
              </w:rPr>
            </w:pPr>
            <w:r>
              <w:rPr>
                <w:rFonts w:hint="eastAsia" w:ascii="仿宋_GB2312" w:hAnsi="Calibri" w:eastAsia="仿宋_GB2312"/>
                <w:sz w:val="24"/>
                <w:szCs w:val="30"/>
              </w:rPr>
              <w:t>经办人</w:t>
            </w:r>
          </w:p>
        </w:tc>
        <w:tc>
          <w:tcPr>
            <w:tcW w:w="1008" w:type="pct"/>
            <w:gridSpan w:val="2"/>
            <w:vAlign w:val="center"/>
          </w:tcPr>
          <w:p w14:paraId="7F8135B1">
            <w:pPr>
              <w:rPr>
                <w:rFonts w:ascii="仿宋_GB2312" w:hAnsi="Calibri" w:eastAsia="仿宋_GB2312"/>
                <w:sz w:val="24"/>
                <w:szCs w:val="30"/>
              </w:rPr>
            </w:pPr>
            <w:r>
              <w:rPr>
                <w:rFonts w:hint="eastAsia" w:ascii="仿宋_GB2312" w:hAnsi="Calibri" w:eastAsia="仿宋_GB2312"/>
                <w:sz w:val="24"/>
                <w:szCs w:val="30"/>
              </w:rPr>
              <w:t>姓名</w:t>
            </w:r>
          </w:p>
        </w:tc>
        <w:tc>
          <w:tcPr>
            <w:tcW w:w="757" w:type="pct"/>
            <w:vAlign w:val="center"/>
          </w:tcPr>
          <w:p w14:paraId="2A8C6CB8">
            <w:pPr>
              <w:rPr>
                <w:rFonts w:ascii="仿宋_GB2312" w:hAnsi="Calibri" w:eastAsia="仿宋_GB2312"/>
                <w:sz w:val="24"/>
                <w:szCs w:val="30"/>
              </w:rPr>
            </w:pPr>
          </w:p>
        </w:tc>
        <w:tc>
          <w:tcPr>
            <w:tcW w:w="1586" w:type="pct"/>
            <w:gridSpan w:val="2"/>
            <w:vAlign w:val="center"/>
          </w:tcPr>
          <w:p w14:paraId="4B0F4C76">
            <w:pPr>
              <w:rPr>
                <w:rFonts w:ascii="仿宋_GB2312" w:hAnsi="Calibri" w:eastAsia="仿宋_GB2312"/>
                <w:sz w:val="24"/>
                <w:szCs w:val="30"/>
              </w:rPr>
            </w:pPr>
            <w:r>
              <w:rPr>
                <w:rFonts w:hint="eastAsia" w:ascii="仿宋_GB2312" w:hAnsi="Calibri" w:eastAsia="仿宋_GB2312"/>
                <w:sz w:val="24"/>
                <w:szCs w:val="30"/>
              </w:rPr>
              <w:t>身份证号</w:t>
            </w:r>
          </w:p>
        </w:tc>
        <w:tc>
          <w:tcPr>
            <w:tcW w:w="938" w:type="pct"/>
            <w:vAlign w:val="center"/>
          </w:tcPr>
          <w:p w14:paraId="3B083FE9">
            <w:pPr>
              <w:ind w:firstLine="480"/>
              <w:rPr>
                <w:rFonts w:ascii="仿宋_GB2312" w:hAnsi="Calibri" w:eastAsia="仿宋_GB2312"/>
                <w:sz w:val="24"/>
                <w:szCs w:val="30"/>
              </w:rPr>
            </w:pPr>
          </w:p>
        </w:tc>
      </w:tr>
      <w:tr w14:paraId="02710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711" w:type="pct"/>
            <w:vMerge w:val="continue"/>
            <w:vAlign w:val="center"/>
          </w:tcPr>
          <w:p w14:paraId="3FD28C76">
            <w:pPr>
              <w:rPr>
                <w:rFonts w:ascii="仿宋_GB2312" w:hAnsi="Calibri" w:eastAsia="仿宋_GB2312"/>
                <w:sz w:val="24"/>
                <w:szCs w:val="30"/>
              </w:rPr>
            </w:pPr>
          </w:p>
        </w:tc>
        <w:tc>
          <w:tcPr>
            <w:tcW w:w="1008" w:type="pct"/>
            <w:gridSpan w:val="2"/>
            <w:vAlign w:val="center"/>
          </w:tcPr>
          <w:p w14:paraId="49B70A1F">
            <w:pPr>
              <w:rPr>
                <w:rFonts w:ascii="仿宋_GB2312" w:hAnsi="Calibri" w:eastAsia="仿宋_GB2312"/>
                <w:sz w:val="24"/>
                <w:szCs w:val="30"/>
              </w:rPr>
            </w:pPr>
            <w:r>
              <w:rPr>
                <w:rFonts w:hint="eastAsia" w:ascii="仿宋_GB2312" w:hAnsi="Calibri" w:eastAsia="仿宋_GB2312"/>
                <w:sz w:val="24"/>
                <w:szCs w:val="30"/>
              </w:rPr>
              <w:t>手机（重要）</w:t>
            </w:r>
          </w:p>
        </w:tc>
        <w:tc>
          <w:tcPr>
            <w:tcW w:w="757" w:type="pct"/>
            <w:vAlign w:val="center"/>
          </w:tcPr>
          <w:p w14:paraId="5611B6F0">
            <w:pPr>
              <w:rPr>
                <w:rFonts w:ascii="仿宋_GB2312" w:hAnsi="Calibri" w:eastAsia="仿宋_GB2312"/>
                <w:sz w:val="24"/>
                <w:szCs w:val="30"/>
              </w:rPr>
            </w:pPr>
          </w:p>
        </w:tc>
        <w:tc>
          <w:tcPr>
            <w:tcW w:w="1586" w:type="pct"/>
            <w:gridSpan w:val="2"/>
            <w:vAlign w:val="center"/>
          </w:tcPr>
          <w:p w14:paraId="6341C327">
            <w:pPr>
              <w:rPr>
                <w:rFonts w:ascii="仿宋_GB2312" w:hAnsi="Calibri" w:eastAsia="仿宋_GB2312"/>
                <w:sz w:val="24"/>
                <w:szCs w:val="30"/>
              </w:rPr>
            </w:pPr>
            <w:r>
              <w:rPr>
                <w:rFonts w:hint="eastAsia" w:ascii="仿宋_GB2312" w:hAnsi="Calibri" w:eastAsia="仿宋_GB2312"/>
                <w:sz w:val="24"/>
                <w:szCs w:val="30"/>
              </w:rPr>
              <w:t>固话（带区号）</w:t>
            </w:r>
          </w:p>
        </w:tc>
        <w:tc>
          <w:tcPr>
            <w:tcW w:w="938" w:type="pct"/>
            <w:vAlign w:val="center"/>
          </w:tcPr>
          <w:p w14:paraId="599ECC76">
            <w:pPr>
              <w:ind w:firstLine="480"/>
              <w:rPr>
                <w:rFonts w:ascii="仿宋_GB2312" w:hAnsi="Calibri" w:eastAsia="仿宋_GB2312"/>
                <w:sz w:val="24"/>
                <w:szCs w:val="30"/>
              </w:rPr>
            </w:pPr>
          </w:p>
        </w:tc>
      </w:tr>
      <w:tr w14:paraId="3A278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11" w:type="pct"/>
            <w:vMerge w:val="continue"/>
            <w:vAlign w:val="center"/>
          </w:tcPr>
          <w:p w14:paraId="33FC4D05">
            <w:pPr>
              <w:rPr>
                <w:rFonts w:ascii="仿宋_GB2312" w:hAnsi="Calibri" w:eastAsia="仿宋_GB2312"/>
                <w:sz w:val="24"/>
                <w:szCs w:val="30"/>
              </w:rPr>
            </w:pPr>
          </w:p>
        </w:tc>
        <w:tc>
          <w:tcPr>
            <w:tcW w:w="1008" w:type="pct"/>
            <w:gridSpan w:val="2"/>
            <w:vAlign w:val="center"/>
          </w:tcPr>
          <w:p w14:paraId="6B514779">
            <w:pPr>
              <w:rPr>
                <w:rFonts w:ascii="仿宋_GB2312" w:hAnsi="Calibri" w:eastAsia="仿宋_GB2312"/>
                <w:sz w:val="24"/>
                <w:szCs w:val="30"/>
              </w:rPr>
            </w:pPr>
            <w:r>
              <w:rPr>
                <w:rFonts w:hint="eastAsia" w:ascii="仿宋_GB2312" w:hAnsi="Calibri" w:eastAsia="仿宋_GB2312"/>
                <w:sz w:val="24"/>
                <w:szCs w:val="30"/>
              </w:rPr>
              <w:t>电子邮箱</w:t>
            </w:r>
          </w:p>
        </w:tc>
        <w:tc>
          <w:tcPr>
            <w:tcW w:w="757" w:type="pct"/>
            <w:vAlign w:val="center"/>
          </w:tcPr>
          <w:p w14:paraId="248889C7">
            <w:pPr>
              <w:rPr>
                <w:rFonts w:ascii="仿宋_GB2312" w:hAnsi="Calibri" w:eastAsia="仿宋_GB2312"/>
                <w:sz w:val="24"/>
                <w:szCs w:val="30"/>
              </w:rPr>
            </w:pPr>
          </w:p>
        </w:tc>
        <w:tc>
          <w:tcPr>
            <w:tcW w:w="1586" w:type="pct"/>
            <w:gridSpan w:val="2"/>
            <w:vAlign w:val="center"/>
          </w:tcPr>
          <w:p w14:paraId="2D7C5B1F">
            <w:pPr>
              <w:rPr>
                <w:rFonts w:ascii="仿宋_GB2312" w:hAnsi="Calibri" w:eastAsia="仿宋_GB2312"/>
                <w:sz w:val="24"/>
                <w:szCs w:val="30"/>
              </w:rPr>
            </w:pPr>
            <w:r>
              <w:rPr>
                <w:rFonts w:hint="eastAsia" w:ascii="仿宋_GB2312" w:hAnsi="Calibri" w:eastAsia="仿宋_GB2312"/>
                <w:sz w:val="24"/>
                <w:szCs w:val="30"/>
              </w:rPr>
              <w:t>传真</w:t>
            </w:r>
          </w:p>
        </w:tc>
        <w:tc>
          <w:tcPr>
            <w:tcW w:w="938" w:type="pct"/>
            <w:vAlign w:val="center"/>
          </w:tcPr>
          <w:p w14:paraId="56A4E3CD">
            <w:pPr>
              <w:ind w:firstLine="480"/>
              <w:rPr>
                <w:rFonts w:ascii="仿宋_GB2312" w:hAnsi="Calibri" w:eastAsia="仿宋_GB2312"/>
                <w:sz w:val="24"/>
                <w:szCs w:val="30"/>
              </w:rPr>
            </w:pPr>
          </w:p>
        </w:tc>
      </w:tr>
    </w:tbl>
    <w:p w14:paraId="0346CE3C">
      <w:pPr>
        <w:spacing w:line="560" w:lineRule="exact"/>
        <w:ind w:left="420" w:firstLine="600"/>
        <w:rPr>
          <w:rFonts w:ascii="仿宋_GB2312" w:hAnsi="Calibri" w:eastAsia="仿宋_GB2312"/>
          <w:kern w:val="28"/>
          <w:sz w:val="30"/>
          <w:szCs w:val="30"/>
        </w:rPr>
      </w:pPr>
    </w:p>
    <w:p w14:paraId="3BC6CFED">
      <w:pPr>
        <w:spacing w:line="560" w:lineRule="exact"/>
        <w:ind w:left="420" w:firstLine="600"/>
        <w:rPr>
          <w:rFonts w:ascii="仿宋_GB2312" w:hAnsi="Calibri" w:eastAsia="仿宋_GB2312"/>
          <w:sz w:val="30"/>
          <w:szCs w:val="30"/>
        </w:rPr>
      </w:pPr>
      <w:r>
        <w:rPr>
          <w:rFonts w:hint="eastAsia" w:ascii="仿宋_GB2312" w:hAnsi="Calibri" w:eastAsia="仿宋_GB2312"/>
          <w:sz w:val="30"/>
          <w:szCs w:val="30"/>
        </w:rPr>
        <w:t>我公司在此郑重承诺：</w:t>
      </w:r>
    </w:p>
    <w:p w14:paraId="66CEB2EC">
      <w:pPr>
        <w:spacing w:line="560" w:lineRule="exact"/>
        <w:ind w:firstLine="600"/>
        <w:rPr>
          <w:rFonts w:ascii="仿宋_GB2312" w:hAnsi="Calibri" w:eastAsia="仿宋_GB2312"/>
          <w:sz w:val="30"/>
          <w:szCs w:val="30"/>
        </w:rPr>
      </w:pPr>
      <w:r>
        <w:rPr>
          <w:rFonts w:hint="eastAsia" w:ascii="仿宋_GB2312" w:hAnsi="Calibri" w:eastAsia="仿宋_GB2312"/>
          <w:sz w:val="30"/>
          <w:szCs w:val="30"/>
        </w:rPr>
        <w:t>一、遵守法律、法规、规章及上交所相关业务规则，依法参与上交所债券业务。</w:t>
      </w:r>
    </w:p>
    <w:p w14:paraId="6A459BA2">
      <w:pPr>
        <w:spacing w:line="560" w:lineRule="exact"/>
        <w:ind w:firstLine="600"/>
        <w:rPr>
          <w:rFonts w:ascii="仿宋_GB2312" w:hAnsi="Calibri" w:eastAsia="仿宋_GB2312"/>
          <w:sz w:val="30"/>
          <w:szCs w:val="30"/>
        </w:rPr>
      </w:pPr>
      <w:r>
        <w:rPr>
          <w:rFonts w:hint="eastAsia" w:ascii="仿宋_GB2312" w:hAnsi="Calibri" w:eastAsia="仿宋_GB2312"/>
          <w:sz w:val="30"/>
          <w:szCs w:val="30"/>
        </w:rPr>
        <w:t>二、诚实守信，自觉遵守商业道德，维护上交所债券市场秩序。</w:t>
      </w:r>
    </w:p>
    <w:p w14:paraId="23CC28B9">
      <w:pPr>
        <w:spacing w:line="560" w:lineRule="exact"/>
        <w:ind w:firstLine="600"/>
        <w:rPr>
          <w:rFonts w:ascii="仿宋_GB2312" w:hAnsi="Calibri" w:eastAsia="仿宋_GB2312"/>
          <w:sz w:val="30"/>
          <w:szCs w:val="30"/>
        </w:rPr>
      </w:pPr>
      <w:r>
        <w:rPr>
          <w:rFonts w:hint="eastAsia" w:ascii="仿宋_GB2312" w:hAnsi="Calibri" w:eastAsia="仿宋_GB2312"/>
          <w:sz w:val="30"/>
          <w:szCs w:val="30"/>
        </w:rPr>
        <w:t>三、同意遵守上交所关于债券交易参与人的相关规定，接受上交所的自律管理和评价考核。</w:t>
      </w:r>
    </w:p>
    <w:p w14:paraId="53C9FD48">
      <w:pPr>
        <w:spacing w:line="560" w:lineRule="exact"/>
        <w:ind w:firstLine="600"/>
        <w:rPr>
          <w:rFonts w:ascii="仿宋_GB2312" w:hAnsi="Calibri" w:eastAsia="仿宋_GB2312"/>
          <w:sz w:val="30"/>
          <w:szCs w:val="30"/>
        </w:rPr>
      </w:pPr>
      <w:r>
        <w:rPr>
          <w:rFonts w:hint="eastAsia" w:ascii="仿宋_GB2312" w:hAnsi="Calibri" w:eastAsia="仿宋_GB2312"/>
          <w:sz w:val="30"/>
          <w:szCs w:val="30"/>
        </w:rPr>
        <w:t>四、如违反法律、法规、规章及上交所相关业务规则，接受上交所做出的监管措施，并对此承担一切法律责任。</w:t>
      </w:r>
    </w:p>
    <w:p w14:paraId="2A490F16">
      <w:pPr>
        <w:tabs>
          <w:tab w:val="left" w:pos="7020"/>
        </w:tabs>
        <w:spacing w:line="560" w:lineRule="exact"/>
        <w:ind w:firstLine="600"/>
        <w:rPr>
          <w:rFonts w:ascii="仿宋_GB2312" w:eastAsia="仿宋_GB2312"/>
          <w:sz w:val="30"/>
          <w:szCs w:val="30"/>
        </w:rPr>
      </w:pPr>
      <w:r>
        <w:rPr>
          <w:rFonts w:hint="eastAsia" w:ascii="仿宋_GB2312" w:eastAsia="仿宋_GB2312"/>
          <w:sz w:val="30"/>
          <w:szCs w:val="30"/>
        </w:rPr>
        <w:t>我公司保证向上交所提供的书面和电子申请资料真实、准确、完整与合法。</w:t>
      </w:r>
    </w:p>
    <w:p w14:paraId="4F236526">
      <w:pPr>
        <w:tabs>
          <w:tab w:val="left" w:pos="7020"/>
        </w:tabs>
        <w:spacing w:line="560" w:lineRule="exact"/>
        <w:ind w:left="420" w:firstLine="600"/>
        <w:rPr>
          <w:rFonts w:ascii="仿宋_GB2312" w:eastAsia="仿宋_GB2312"/>
          <w:sz w:val="30"/>
          <w:szCs w:val="30"/>
        </w:rPr>
      </w:pPr>
    </w:p>
    <w:p w14:paraId="64385922">
      <w:pPr>
        <w:tabs>
          <w:tab w:val="left" w:pos="7020"/>
        </w:tabs>
        <w:spacing w:line="560" w:lineRule="exact"/>
        <w:ind w:left="420" w:firstLine="600"/>
        <w:jc w:val="right"/>
        <w:rPr>
          <w:rFonts w:ascii="仿宋_GB2312" w:eastAsia="仿宋_GB2312"/>
          <w:sz w:val="30"/>
          <w:szCs w:val="30"/>
        </w:rPr>
      </w:pPr>
      <w:r>
        <w:rPr>
          <w:rFonts w:hint="eastAsia" w:ascii="仿宋_GB2312" w:eastAsia="仿宋_GB2312"/>
          <w:sz w:val="30"/>
          <w:szCs w:val="30"/>
        </w:rPr>
        <w:t>申请人：_____________________</w:t>
      </w:r>
      <w:r>
        <w:rPr>
          <w:rFonts w:ascii="仿宋_GB2312" w:eastAsia="仿宋_GB2312"/>
          <w:sz w:val="30"/>
          <w:szCs w:val="30"/>
        </w:rPr>
        <w:t xml:space="preserve">   </w:t>
      </w:r>
      <w:r>
        <w:rPr>
          <w:rFonts w:hint="eastAsia" w:ascii="仿宋_GB2312" w:eastAsia="仿宋_GB2312"/>
          <w:sz w:val="30"/>
          <w:szCs w:val="30"/>
        </w:rPr>
        <w:t>（加盖公章）</w:t>
      </w:r>
    </w:p>
    <w:p w14:paraId="5F54FC96">
      <w:pPr>
        <w:tabs>
          <w:tab w:val="left" w:pos="7020"/>
        </w:tabs>
        <w:spacing w:line="560" w:lineRule="exact"/>
        <w:ind w:left="420" w:firstLine="600"/>
        <w:jc w:val="right"/>
        <w:rPr>
          <w:rFonts w:ascii="仿宋_GB2312" w:eastAsia="仿宋_GB2312"/>
          <w:sz w:val="30"/>
          <w:szCs w:val="30"/>
        </w:rPr>
      </w:pPr>
    </w:p>
    <w:p w14:paraId="3306DBAA">
      <w:pPr>
        <w:tabs>
          <w:tab w:val="left" w:pos="7020"/>
        </w:tabs>
        <w:spacing w:line="560" w:lineRule="exact"/>
        <w:ind w:left="420" w:right="560" w:firstLine="600"/>
        <w:jc w:val="right"/>
        <w:rPr>
          <w:rFonts w:ascii="仿宋_GB2312" w:hAnsi="Calibri" w:eastAsia="仿宋_GB2312"/>
          <w:sz w:val="30"/>
          <w:szCs w:val="30"/>
        </w:rPr>
      </w:pPr>
      <w:r>
        <w:rPr>
          <w:rFonts w:ascii="仿宋_GB2312" w:eastAsia="仿宋_GB2312"/>
          <w:sz w:val="30"/>
          <w:szCs w:val="30"/>
        </w:rPr>
        <w:t xml:space="preserve">                                    </w:t>
      </w:r>
      <w:r>
        <w:rPr>
          <w:rFonts w:hint="eastAsia" w:ascii="仿宋_GB2312" w:eastAsia="仿宋_GB2312"/>
          <w:sz w:val="30"/>
          <w:szCs w:val="30"/>
        </w:rPr>
        <w:t>经办人（签字）：</w:t>
      </w:r>
      <w:r>
        <w:rPr>
          <w:rFonts w:hint="eastAsia" w:ascii="仿宋_GB2312" w:hAnsi="Calibri" w:eastAsia="仿宋_GB2312"/>
          <w:sz w:val="30"/>
          <w:szCs w:val="30"/>
        </w:rPr>
        <w:t xml:space="preserve">                                        联系电话：</w:t>
      </w:r>
    </w:p>
    <w:p w14:paraId="4BB8EE4A">
      <w:pPr>
        <w:tabs>
          <w:tab w:val="left" w:pos="7020"/>
        </w:tabs>
        <w:spacing w:line="560" w:lineRule="exact"/>
        <w:ind w:left="420" w:right="560" w:firstLine="600"/>
        <w:jc w:val="right"/>
        <w:rPr>
          <w:rFonts w:ascii="仿宋_GB2312" w:eastAsia="仿宋_GB2312"/>
          <w:sz w:val="30"/>
          <w:szCs w:val="30"/>
        </w:rPr>
      </w:pPr>
      <w:r>
        <w:rPr>
          <w:rFonts w:ascii="仿宋_GB2312" w:eastAsia="仿宋_GB2312"/>
          <w:sz w:val="30"/>
          <w:szCs w:val="30"/>
        </w:rPr>
        <w:t xml:space="preserve">                                  </w:t>
      </w:r>
      <w:r>
        <w:rPr>
          <w:rFonts w:hint="eastAsia" w:ascii="仿宋_GB2312" w:eastAsia="仿宋_GB2312"/>
          <w:sz w:val="30"/>
          <w:szCs w:val="30"/>
        </w:rPr>
        <w:t>申请日期：</w:t>
      </w:r>
      <w:bookmarkStart w:id="3903" w:name="_债券交易参与人业务联络人基本信息表"/>
      <w:bookmarkEnd w:id="3903"/>
      <w:bookmarkStart w:id="3904" w:name="_Toc24460046"/>
      <w:bookmarkStart w:id="3905" w:name="_Toc35006353"/>
    </w:p>
    <w:p w14:paraId="0962AAF2">
      <w:pPr>
        <w:tabs>
          <w:tab w:val="left" w:pos="7020"/>
        </w:tabs>
        <w:spacing w:line="560" w:lineRule="exact"/>
        <w:ind w:left="420" w:right="560" w:firstLine="600"/>
        <w:jc w:val="right"/>
        <w:rPr>
          <w:rFonts w:ascii="仿宋_GB2312" w:eastAsia="仿宋_GB2312"/>
          <w:sz w:val="30"/>
          <w:szCs w:val="30"/>
        </w:rPr>
      </w:pPr>
    </w:p>
    <w:p w14:paraId="250D0ADE">
      <w:pPr>
        <w:tabs>
          <w:tab w:val="left" w:pos="7020"/>
        </w:tabs>
        <w:spacing w:line="560" w:lineRule="exact"/>
        <w:ind w:left="420" w:right="560" w:firstLine="600"/>
        <w:jc w:val="right"/>
        <w:rPr>
          <w:rFonts w:ascii="仿宋_GB2312" w:eastAsia="仿宋_GB2312"/>
          <w:sz w:val="30"/>
          <w:szCs w:val="30"/>
        </w:rPr>
      </w:pPr>
    </w:p>
    <w:p w14:paraId="4E841735">
      <w:pPr>
        <w:outlineLvl w:val="1"/>
        <w:rPr>
          <w:rFonts w:ascii="仿宋_GB2312" w:hAnsi="黑体" w:eastAsia="仿宋_GB2312"/>
          <w:b/>
          <w:sz w:val="30"/>
          <w:szCs w:val="30"/>
        </w:rPr>
      </w:pPr>
      <w:r>
        <w:rPr>
          <w:rFonts w:ascii="仿宋_GB2312" w:hAnsi="黑体" w:eastAsia="仿宋_GB2312"/>
          <w:b/>
          <w:sz w:val="36"/>
          <w:szCs w:val="36"/>
        </w:rPr>
        <w:br w:type="page"/>
      </w:r>
      <w:bookmarkStart w:id="3906" w:name="_Toc1905768769"/>
      <w:bookmarkStart w:id="3907" w:name="_Toc1042270157"/>
      <w:bookmarkStart w:id="3908" w:name="_Toc1022076728"/>
      <w:bookmarkStart w:id="3909" w:name="_Toc151137082"/>
      <w:bookmarkStart w:id="3910" w:name="_Toc1616332574"/>
      <w:bookmarkStart w:id="3911" w:name="_Toc2014533280"/>
      <w:bookmarkStart w:id="3912" w:name="_Toc1946229655"/>
      <w:r>
        <w:rPr>
          <w:rFonts w:hint="eastAsia" w:ascii="仿宋_GB2312" w:hAnsi="黑体" w:eastAsia="仿宋_GB2312"/>
          <w:b/>
          <w:sz w:val="30"/>
          <w:szCs w:val="30"/>
        </w:rPr>
        <w:t>附件</w:t>
      </w:r>
      <w:r>
        <w:rPr>
          <w:rFonts w:ascii="仿宋_GB2312" w:hAnsi="黑体" w:eastAsia="仿宋_GB2312"/>
          <w:b/>
          <w:sz w:val="30"/>
          <w:szCs w:val="30"/>
        </w:rPr>
        <w:t xml:space="preserve">2 </w:t>
      </w:r>
      <w:r>
        <w:rPr>
          <w:rFonts w:hint="eastAsia" w:ascii="仿宋_GB2312" w:hAnsi="黑体" w:eastAsia="仿宋_GB2312"/>
          <w:b/>
          <w:sz w:val="30"/>
          <w:szCs w:val="30"/>
        </w:rPr>
        <w:t>会籍系统资格申请报告</w:t>
      </w:r>
      <w:bookmarkEnd w:id="3906"/>
      <w:bookmarkEnd w:id="3907"/>
      <w:bookmarkEnd w:id="3908"/>
      <w:bookmarkEnd w:id="3909"/>
      <w:bookmarkEnd w:id="3910"/>
      <w:bookmarkEnd w:id="3911"/>
      <w:bookmarkEnd w:id="3912"/>
    </w:p>
    <w:p w14:paraId="41A8D1D9">
      <w:pPr>
        <w:pStyle w:val="18"/>
        <w:ind w:firstLine="0" w:firstLineChars="0"/>
        <w:jc w:val="center"/>
        <w:rPr>
          <w:rFonts w:ascii="黑体" w:hAnsi="黑体" w:eastAsia="黑体"/>
          <w:b/>
          <w:sz w:val="44"/>
          <w:szCs w:val="44"/>
        </w:rPr>
      </w:pPr>
    </w:p>
    <w:p w14:paraId="1B0A0140">
      <w:pPr>
        <w:pStyle w:val="18"/>
        <w:ind w:firstLine="0" w:firstLineChars="0"/>
        <w:jc w:val="center"/>
        <w:rPr>
          <w:rFonts w:ascii="黑体" w:hAnsi="黑体" w:eastAsia="黑体"/>
          <w:b/>
          <w:sz w:val="44"/>
          <w:szCs w:val="44"/>
        </w:rPr>
      </w:pPr>
      <w:r>
        <w:rPr>
          <w:rFonts w:hint="eastAsia" w:ascii="黑体" w:hAnsi="黑体" w:eastAsia="黑体"/>
          <w:b/>
          <w:sz w:val="44"/>
          <w:szCs w:val="44"/>
        </w:rPr>
        <w:t>会籍系统资格申请报告</w:t>
      </w:r>
    </w:p>
    <w:p w14:paraId="42E8B332">
      <w:pPr>
        <w:spacing w:line="560" w:lineRule="exact"/>
        <w:ind w:left="420" w:firstLine="600"/>
        <w:rPr>
          <w:rFonts w:ascii="仿宋_GB2312" w:hAnsi="Calibri" w:eastAsia="仿宋_GB2312"/>
          <w:sz w:val="30"/>
          <w:szCs w:val="30"/>
        </w:rPr>
      </w:pPr>
      <w:r>
        <w:rPr>
          <w:rFonts w:hint="eastAsia" w:ascii="仿宋_GB2312" w:hAnsi="Calibri" w:eastAsia="仿宋_GB2312"/>
          <w:sz w:val="30"/>
          <w:szCs w:val="30"/>
        </w:rPr>
        <w:t>我公司在此郑重承诺：</w:t>
      </w:r>
    </w:p>
    <w:p w14:paraId="385474E6">
      <w:pPr>
        <w:spacing w:line="560" w:lineRule="exact"/>
        <w:ind w:firstLine="600"/>
        <w:rPr>
          <w:rFonts w:ascii="仿宋_GB2312" w:hAnsi="Calibri" w:eastAsia="仿宋_GB2312"/>
          <w:sz w:val="30"/>
          <w:szCs w:val="30"/>
        </w:rPr>
      </w:pPr>
      <w:r>
        <w:rPr>
          <w:rFonts w:hint="eastAsia" w:ascii="仿宋_GB2312" w:hAnsi="Calibri" w:eastAsia="仿宋_GB2312"/>
          <w:sz w:val="30"/>
          <w:szCs w:val="30"/>
        </w:rPr>
        <w:t>一、遵守法律、法规、规章及上交所相关业务规则，依法参与上交所债券业务。</w:t>
      </w:r>
    </w:p>
    <w:p w14:paraId="4CE64887">
      <w:pPr>
        <w:spacing w:line="560" w:lineRule="exact"/>
        <w:ind w:firstLine="600"/>
        <w:rPr>
          <w:rFonts w:ascii="仿宋_GB2312" w:hAnsi="Calibri" w:eastAsia="仿宋_GB2312"/>
          <w:sz w:val="30"/>
          <w:szCs w:val="30"/>
        </w:rPr>
      </w:pPr>
      <w:r>
        <w:rPr>
          <w:rFonts w:hint="eastAsia" w:ascii="仿宋_GB2312" w:hAnsi="Calibri" w:eastAsia="仿宋_GB2312"/>
          <w:sz w:val="30"/>
          <w:szCs w:val="30"/>
        </w:rPr>
        <w:t>二、诚实守信，自觉遵守商业道德，维护上交所债券市场秩序。</w:t>
      </w:r>
    </w:p>
    <w:p w14:paraId="0A471D11">
      <w:pPr>
        <w:spacing w:line="560" w:lineRule="exact"/>
        <w:ind w:firstLine="600"/>
        <w:rPr>
          <w:rFonts w:ascii="仿宋_GB2312" w:hAnsi="Calibri" w:eastAsia="仿宋_GB2312"/>
          <w:sz w:val="30"/>
          <w:szCs w:val="30"/>
        </w:rPr>
      </w:pPr>
      <w:r>
        <w:rPr>
          <w:rFonts w:hint="eastAsia" w:ascii="仿宋_GB2312" w:hAnsi="Calibri" w:eastAsia="仿宋_GB2312"/>
          <w:sz w:val="30"/>
          <w:szCs w:val="30"/>
        </w:rPr>
        <w:t>三、同意遵守上交所关于债券交易参与人的相关规定，接受上交所的自律管理和评价考核。</w:t>
      </w:r>
    </w:p>
    <w:p w14:paraId="12EAD3F1">
      <w:pPr>
        <w:spacing w:line="560" w:lineRule="exact"/>
        <w:ind w:firstLine="600"/>
        <w:rPr>
          <w:rFonts w:ascii="仿宋_GB2312" w:hAnsi="Calibri" w:eastAsia="仿宋_GB2312"/>
          <w:sz w:val="30"/>
          <w:szCs w:val="30"/>
        </w:rPr>
      </w:pPr>
      <w:r>
        <w:rPr>
          <w:rFonts w:hint="eastAsia" w:ascii="仿宋_GB2312" w:hAnsi="Calibri" w:eastAsia="仿宋_GB2312"/>
          <w:sz w:val="30"/>
          <w:szCs w:val="30"/>
        </w:rPr>
        <w:t>四、如违反法律、法规、规章及上交所相关业务规则，接受上交所做出的监管措施，并对此承担一切法律责任。</w:t>
      </w:r>
    </w:p>
    <w:p w14:paraId="5B8A2565">
      <w:pPr>
        <w:tabs>
          <w:tab w:val="left" w:pos="7020"/>
        </w:tabs>
        <w:spacing w:line="560" w:lineRule="exact"/>
        <w:ind w:firstLine="600"/>
        <w:rPr>
          <w:rFonts w:ascii="仿宋_GB2312" w:eastAsia="仿宋_GB2312"/>
          <w:sz w:val="30"/>
          <w:szCs w:val="30"/>
        </w:rPr>
      </w:pPr>
      <w:r>
        <w:rPr>
          <w:rFonts w:hint="eastAsia" w:ascii="仿宋_GB2312" w:eastAsia="仿宋_GB2312"/>
          <w:sz w:val="30"/>
          <w:szCs w:val="30"/>
        </w:rPr>
        <w:t>我公司保证向上交所提供的书面和电子申请资料真实、准确、完整与合法。</w:t>
      </w:r>
    </w:p>
    <w:p w14:paraId="34753E2E">
      <w:pPr>
        <w:tabs>
          <w:tab w:val="left" w:pos="7020"/>
        </w:tabs>
        <w:spacing w:line="560" w:lineRule="exact"/>
        <w:ind w:left="420" w:firstLine="600"/>
        <w:rPr>
          <w:rFonts w:ascii="仿宋_GB2312" w:eastAsia="仿宋_GB2312"/>
          <w:sz w:val="30"/>
          <w:szCs w:val="30"/>
        </w:rPr>
      </w:pPr>
    </w:p>
    <w:p w14:paraId="3CA3B401">
      <w:pPr>
        <w:tabs>
          <w:tab w:val="left" w:pos="7020"/>
        </w:tabs>
        <w:spacing w:line="560" w:lineRule="exact"/>
        <w:ind w:left="420" w:firstLine="600"/>
        <w:jc w:val="right"/>
        <w:rPr>
          <w:rFonts w:ascii="仿宋_GB2312" w:eastAsia="仿宋_GB2312"/>
          <w:sz w:val="30"/>
          <w:szCs w:val="30"/>
        </w:rPr>
      </w:pPr>
      <w:r>
        <w:rPr>
          <w:rFonts w:hint="eastAsia" w:ascii="仿宋_GB2312" w:eastAsia="仿宋_GB2312"/>
          <w:sz w:val="30"/>
          <w:szCs w:val="30"/>
        </w:rPr>
        <w:t>申请人：_____________________</w:t>
      </w:r>
      <w:r>
        <w:rPr>
          <w:rFonts w:ascii="仿宋_GB2312" w:eastAsia="仿宋_GB2312"/>
          <w:sz w:val="30"/>
          <w:szCs w:val="30"/>
        </w:rPr>
        <w:t xml:space="preserve">   </w:t>
      </w:r>
      <w:r>
        <w:rPr>
          <w:rFonts w:hint="eastAsia" w:ascii="仿宋_GB2312" w:eastAsia="仿宋_GB2312"/>
          <w:sz w:val="30"/>
          <w:szCs w:val="30"/>
        </w:rPr>
        <w:t>（加盖公章）</w:t>
      </w:r>
    </w:p>
    <w:p w14:paraId="1DF3FFD8">
      <w:pPr>
        <w:tabs>
          <w:tab w:val="left" w:pos="7020"/>
        </w:tabs>
        <w:spacing w:line="560" w:lineRule="exact"/>
        <w:ind w:left="420" w:firstLine="600"/>
        <w:jc w:val="right"/>
        <w:rPr>
          <w:rFonts w:ascii="仿宋_GB2312" w:eastAsia="仿宋_GB2312"/>
          <w:sz w:val="30"/>
          <w:szCs w:val="30"/>
        </w:rPr>
      </w:pPr>
    </w:p>
    <w:p w14:paraId="3FF25FAE">
      <w:pPr>
        <w:tabs>
          <w:tab w:val="left" w:pos="7020"/>
        </w:tabs>
        <w:spacing w:line="560" w:lineRule="exact"/>
        <w:ind w:left="420" w:right="560" w:firstLine="600"/>
        <w:jc w:val="right"/>
        <w:rPr>
          <w:rFonts w:ascii="仿宋_GB2312" w:hAnsi="Calibri" w:eastAsia="仿宋_GB2312"/>
          <w:sz w:val="30"/>
          <w:szCs w:val="30"/>
        </w:rPr>
      </w:pPr>
      <w:r>
        <w:rPr>
          <w:rFonts w:ascii="仿宋_GB2312" w:eastAsia="仿宋_GB2312"/>
          <w:sz w:val="30"/>
          <w:szCs w:val="30"/>
        </w:rPr>
        <w:t xml:space="preserve">                                    </w:t>
      </w:r>
      <w:r>
        <w:rPr>
          <w:rFonts w:hint="eastAsia" w:ascii="仿宋_GB2312" w:eastAsia="仿宋_GB2312"/>
          <w:sz w:val="30"/>
          <w:szCs w:val="30"/>
        </w:rPr>
        <w:t>经办人（签字）：</w:t>
      </w:r>
      <w:r>
        <w:rPr>
          <w:rFonts w:hint="eastAsia" w:ascii="仿宋_GB2312" w:hAnsi="Calibri" w:eastAsia="仿宋_GB2312"/>
          <w:sz w:val="30"/>
          <w:szCs w:val="30"/>
        </w:rPr>
        <w:t xml:space="preserve">                                        联系电话：</w:t>
      </w:r>
    </w:p>
    <w:p w14:paraId="1462C87B">
      <w:pPr>
        <w:tabs>
          <w:tab w:val="left" w:pos="7020"/>
        </w:tabs>
        <w:spacing w:line="560" w:lineRule="exact"/>
        <w:ind w:left="420" w:right="560" w:firstLine="600"/>
        <w:jc w:val="right"/>
        <w:rPr>
          <w:rFonts w:ascii="仿宋_GB2312" w:eastAsia="仿宋_GB2312"/>
          <w:sz w:val="30"/>
          <w:szCs w:val="30"/>
        </w:rPr>
      </w:pPr>
      <w:r>
        <w:rPr>
          <w:rFonts w:ascii="仿宋_GB2312" w:eastAsia="仿宋_GB2312"/>
          <w:sz w:val="30"/>
          <w:szCs w:val="30"/>
        </w:rPr>
        <w:t xml:space="preserve">                                  </w:t>
      </w:r>
      <w:r>
        <w:rPr>
          <w:rFonts w:hint="eastAsia" w:ascii="仿宋_GB2312" w:eastAsia="仿宋_GB2312"/>
          <w:sz w:val="30"/>
          <w:szCs w:val="30"/>
        </w:rPr>
        <w:t>申请日期：</w:t>
      </w:r>
    </w:p>
    <w:p w14:paraId="7353BC66">
      <w:pPr>
        <w:spacing w:line="560" w:lineRule="exact"/>
        <w:ind w:firstLine="600"/>
        <w:rPr>
          <w:rFonts w:ascii="仿宋_GB2312" w:eastAsia="仿宋_GB2312"/>
          <w:sz w:val="30"/>
          <w:szCs w:val="30"/>
        </w:rPr>
      </w:pPr>
    </w:p>
    <w:p w14:paraId="2F5DE1C0">
      <w:pPr>
        <w:outlineLvl w:val="1"/>
        <w:rPr>
          <w:rFonts w:ascii="仿宋_GB2312" w:hAnsi="黑体" w:eastAsia="仿宋_GB2312"/>
          <w:b/>
          <w:sz w:val="30"/>
          <w:szCs w:val="30"/>
        </w:rPr>
      </w:pPr>
      <w:r>
        <w:rPr>
          <w:rFonts w:ascii="仿宋_GB2312" w:hAnsi="黑体" w:eastAsia="仿宋_GB2312"/>
          <w:b/>
          <w:sz w:val="36"/>
          <w:szCs w:val="36"/>
        </w:rPr>
        <w:br w:type="page"/>
      </w:r>
      <w:bookmarkStart w:id="3913" w:name="_Toc623880450"/>
      <w:bookmarkStart w:id="3914" w:name="_Toc233510537"/>
      <w:bookmarkStart w:id="3915" w:name="_Toc470838503"/>
      <w:bookmarkStart w:id="3916" w:name="_Toc242910055"/>
      <w:bookmarkStart w:id="3917" w:name="_Toc1735658957"/>
      <w:bookmarkStart w:id="3918" w:name="_Toc2135378067"/>
      <w:bookmarkStart w:id="3919" w:name="_Toc151137083"/>
      <w:r>
        <w:rPr>
          <w:rFonts w:hint="eastAsia" w:ascii="仿宋_GB2312" w:hAnsi="黑体" w:eastAsia="仿宋_GB2312"/>
          <w:b/>
          <w:sz w:val="30"/>
          <w:szCs w:val="30"/>
        </w:rPr>
        <w:t>附件3 债券交易参与人业务联络人基本信息表</w:t>
      </w:r>
      <w:bookmarkEnd w:id="3913"/>
      <w:bookmarkEnd w:id="3914"/>
      <w:bookmarkEnd w:id="3915"/>
      <w:bookmarkEnd w:id="3916"/>
      <w:bookmarkEnd w:id="3917"/>
      <w:bookmarkEnd w:id="3918"/>
      <w:bookmarkEnd w:id="3919"/>
    </w:p>
    <w:p w14:paraId="13E1AFA4">
      <w:pPr>
        <w:spacing w:line="560" w:lineRule="exact"/>
        <w:rPr>
          <w:rFonts w:ascii="仿宋_GB2312" w:hAnsi="黑体" w:eastAsia="仿宋_GB2312"/>
          <w:sz w:val="30"/>
          <w:szCs w:val="30"/>
        </w:rPr>
      </w:pPr>
    </w:p>
    <w:p w14:paraId="7C40114A">
      <w:pPr>
        <w:spacing w:line="560" w:lineRule="exact"/>
        <w:jc w:val="center"/>
        <w:rPr>
          <w:rFonts w:ascii="黑体" w:hAnsi="黑体" w:eastAsia="黑体" w:cs="黑体"/>
          <w:b/>
          <w:sz w:val="44"/>
          <w:szCs w:val="44"/>
        </w:rPr>
      </w:pPr>
      <w:r>
        <w:rPr>
          <w:rFonts w:hint="eastAsia" w:ascii="黑体" w:hAnsi="黑体" w:eastAsia="黑体" w:cs="黑体"/>
          <w:b/>
          <w:sz w:val="44"/>
          <w:szCs w:val="44"/>
        </w:rPr>
        <w:t>债券交易参与人业务联络人基本信息表</w:t>
      </w:r>
      <w:bookmarkEnd w:id="3904"/>
      <w:bookmarkEnd w:id="3905"/>
    </w:p>
    <w:p w14:paraId="4CADCE22">
      <w:pPr>
        <w:spacing w:line="560" w:lineRule="exact"/>
        <w:ind w:firstLine="883"/>
        <w:jc w:val="center"/>
        <w:rPr>
          <w:rFonts w:ascii="黑体" w:hAnsi="黑体"/>
          <w:b/>
          <w:sz w:val="44"/>
          <w:szCs w:val="44"/>
        </w:rPr>
      </w:pP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992"/>
        <w:gridCol w:w="2126"/>
        <w:gridCol w:w="1276"/>
        <w:gridCol w:w="2600"/>
      </w:tblGrid>
      <w:tr w14:paraId="2AAFB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526" w:type="dxa"/>
            <w:tcBorders>
              <w:top w:val="single" w:color="auto" w:sz="4" w:space="0"/>
              <w:left w:val="single" w:color="auto" w:sz="4" w:space="0"/>
              <w:bottom w:val="single" w:color="auto" w:sz="4" w:space="0"/>
              <w:right w:val="single" w:color="auto" w:sz="4" w:space="0"/>
            </w:tcBorders>
            <w:vAlign w:val="center"/>
          </w:tcPr>
          <w:p w14:paraId="62A467B7">
            <w:pPr>
              <w:spacing w:line="560" w:lineRule="exact"/>
              <w:rPr>
                <w:rFonts w:ascii="仿宋_GB2312" w:eastAsia="仿宋_GB2312"/>
                <w:sz w:val="24"/>
                <w:szCs w:val="30"/>
              </w:rPr>
            </w:pPr>
            <w:r>
              <w:rPr>
                <w:rFonts w:hint="eastAsia" w:ascii="仿宋_GB2312" w:eastAsia="仿宋_GB2312"/>
                <w:sz w:val="24"/>
                <w:szCs w:val="30"/>
              </w:rPr>
              <w:t>公司名称</w:t>
            </w:r>
          </w:p>
        </w:tc>
        <w:tc>
          <w:tcPr>
            <w:tcW w:w="6994" w:type="dxa"/>
            <w:gridSpan w:val="4"/>
            <w:tcBorders>
              <w:top w:val="single" w:color="auto" w:sz="4" w:space="0"/>
              <w:left w:val="single" w:color="auto" w:sz="4" w:space="0"/>
              <w:bottom w:val="single" w:color="auto" w:sz="4" w:space="0"/>
              <w:right w:val="single" w:color="auto" w:sz="4" w:space="0"/>
            </w:tcBorders>
          </w:tcPr>
          <w:p w14:paraId="7A942B81">
            <w:pPr>
              <w:spacing w:line="560" w:lineRule="exact"/>
              <w:ind w:firstLine="480"/>
              <w:rPr>
                <w:rFonts w:ascii="仿宋_GB2312" w:eastAsia="仿宋_GB2312"/>
                <w:sz w:val="24"/>
                <w:szCs w:val="30"/>
              </w:rPr>
            </w:pPr>
          </w:p>
        </w:tc>
      </w:tr>
      <w:tr w14:paraId="64D9E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restart"/>
            <w:tcBorders>
              <w:top w:val="single" w:color="auto" w:sz="4" w:space="0"/>
              <w:left w:val="single" w:color="auto" w:sz="4" w:space="0"/>
              <w:bottom w:val="single" w:color="auto" w:sz="4" w:space="0"/>
              <w:right w:val="single" w:color="auto" w:sz="4" w:space="0"/>
            </w:tcBorders>
          </w:tcPr>
          <w:p w14:paraId="033A3183">
            <w:pPr>
              <w:spacing w:line="560" w:lineRule="exact"/>
              <w:rPr>
                <w:rFonts w:ascii="仿宋_GB2312" w:eastAsia="仿宋_GB2312"/>
                <w:sz w:val="24"/>
                <w:szCs w:val="30"/>
              </w:rPr>
            </w:pPr>
            <w:r>
              <w:rPr>
                <w:rFonts w:hint="eastAsia" w:ascii="仿宋_GB2312" w:eastAsia="仿宋_GB2312"/>
                <w:sz w:val="24"/>
                <w:szCs w:val="30"/>
              </w:rPr>
              <w:t>债券业务</w:t>
            </w:r>
          </w:p>
          <w:p w14:paraId="6C284359">
            <w:pPr>
              <w:spacing w:line="560" w:lineRule="exact"/>
              <w:rPr>
                <w:rFonts w:ascii="仿宋_GB2312" w:eastAsia="仿宋_GB2312"/>
                <w:sz w:val="24"/>
                <w:szCs w:val="30"/>
              </w:rPr>
            </w:pPr>
            <w:r>
              <w:rPr>
                <w:rFonts w:hint="eastAsia" w:ascii="仿宋_GB2312" w:eastAsia="仿宋_GB2312"/>
                <w:sz w:val="24"/>
                <w:szCs w:val="30"/>
              </w:rPr>
              <w:t>联络人</w:t>
            </w:r>
          </w:p>
        </w:tc>
        <w:tc>
          <w:tcPr>
            <w:tcW w:w="992" w:type="dxa"/>
            <w:tcBorders>
              <w:top w:val="single" w:color="auto" w:sz="4" w:space="0"/>
              <w:left w:val="single" w:color="auto" w:sz="4" w:space="0"/>
              <w:bottom w:val="single" w:color="auto" w:sz="4" w:space="0"/>
              <w:right w:val="single" w:color="auto" w:sz="4" w:space="0"/>
            </w:tcBorders>
          </w:tcPr>
          <w:p w14:paraId="0F56BC20">
            <w:pPr>
              <w:spacing w:line="560" w:lineRule="exact"/>
              <w:rPr>
                <w:rFonts w:ascii="仿宋_GB2312" w:eastAsia="仿宋_GB2312"/>
                <w:sz w:val="24"/>
                <w:szCs w:val="30"/>
              </w:rPr>
            </w:pPr>
            <w:r>
              <w:rPr>
                <w:rFonts w:hint="eastAsia" w:ascii="仿宋_GB2312" w:eastAsia="仿宋_GB2312"/>
                <w:sz w:val="24"/>
                <w:szCs w:val="30"/>
              </w:rPr>
              <w:t>姓名</w:t>
            </w:r>
          </w:p>
        </w:tc>
        <w:tc>
          <w:tcPr>
            <w:tcW w:w="6002" w:type="dxa"/>
            <w:gridSpan w:val="3"/>
            <w:tcBorders>
              <w:top w:val="single" w:color="auto" w:sz="4" w:space="0"/>
              <w:left w:val="single" w:color="auto" w:sz="4" w:space="0"/>
              <w:bottom w:val="single" w:color="auto" w:sz="4" w:space="0"/>
              <w:right w:val="single" w:color="auto" w:sz="4" w:space="0"/>
            </w:tcBorders>
          </w:tcPr>
          <w:p w14:paraId="05C046B9">
            <w:pPr>
              <w:spacing w:line="560" w:lineRule="exact"/>
              <w:rPr>
                <w:rFonts w:ascii="仿宋_GB2312" w:eastAsia="仿宋_GB2312"/>
                <w:sz w:val="24"/>
                <w:szCs w:val="30"/>
              </w:rPr>
            </w:pPr>
          </w:p>
        </w:tc>
      </w:tr>
      <w:tr w14:paraId="07C62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continue"/>
            <w:tcBorders>
              <w:top w:val="single" w:color="auto" w:sz="4" w:space="0"/>
              <w:left w:val="single" w:color="auto" w:sz="4" w:space="0"/>
              <w:bottom w:val="single" w:color="auto" w:sz="4" w:space="0"/>
              <w:right w:val="single" w:color="auto" w:sz="4" w:space="0"/>
            </w:tcBorders>
            <w:vAlign w:val="center"/>
          </w:tcPr>
          <w:p w14:paraId="19D4D603">
            <w:pPr>
              <w:spacing w:line="560" w:lineRule="exact"/>
              <w:rPr>
                <w:rFonts w:ascii="仿宋_GB2312" w:eastAsia="仿宋_GB2312"/>
                <w:sz w:val="24"/>
                <w:szCs w:val="30"/>
              </w:rPr>
            </w:pPr>
          </w:p>
        </w:tc>
        <w:tc>
          <w:tcPr>
            <w:tcW w:w="992" w:type="dxa"/>
            <w:tcBorders>
              <w:top w:val="single" w:color="auto" w:sz="4" w:space="0"/>
              <w:left w:val="single" w:color="auto" w:sz="4" w:space="0"/>
              <w:bottom w:val="single" w:color="auto" w:sz="4" w:space="0"/>
              <w:right w:val="single" w:color="auto" w:sz="4" w:space="0"/>
            </w:tcBorders>
          </w:tcPr>
          <w:p w14:paraId="2FEB353B">
            <w:pPr>
              <w:spacing w:line="560" w:lineRule="exact"/>
              <w:rPr>
                <w:rFonts w:ascii="仿宋_GB2312" w:eastAsia="仿宋_GB2312"/>
                <w:sz w:val="24"/>
                <w:szCs w:val="30"/>
              </w:rPr>
            </w:pPr>
            <w:r>
              <w:rPr>
                <w:rFonts w:hint="eastAsia" w:ascii="仿宋_GB2312" w:eastAsia="仿宋_GB2312"/>
                <w:sz w:val="24"/>
                <w:szCs w:val="30"/>
              </w:rPr>
              <w:t>部门</w:t>
            </w:r>
          </w:p>
        </w:tc>
        <w:tc>
          <w:tcPr>
            <w:tcW w:w="6002" w:type="dxa"/>
            <w:gridSpan w:val="3"/>
            <w:tcBorders>
              <w:top w:val="single" w:color="auto" w:sz="4" w:space="0"/>
              <w:left w:val="single" w:color="auto" w:sz="4" w:space="0"/>
              <w:bottom w:val="single" w:color="auto" w:sz="4" w:space="0"/>
              <w:right w:val="single" w:color="auto" w:sz="4" w:space="0"/>
            </w:tcBorders>
          </w:tcPr>
          <w:p w14:paraId="2343A8A9">
            <w:pPr>
              <w:spacing w:line="560" w:lineRule="exact"/>
              <w:rPr>
                <w:rFonts w:ascii="仿宋_GB2312" w:eastAsia="仿宋_GB2312"/>
                <w:sz w:val="24"/>
                <w:szCs w:val="30"/>
              </w:rPr>
            </w:pPr>
          </w:p>
        </w:tc>
      </w:tr>
      <w:tr w14:paraId="05BE1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continue"/>
            <w:tcBorders>
              <w:top w:val="single" w:color="auto" w:sz="4" w:space="0"/>
              <w:left w:val="single" w:color="auto" w:sz="4" w:space="0"/>
              <w:bottom w:val="single" w:color="auto" w:sz="4" w:space="0"/>
              <w:right w:val="single" w:color="auto" w:sz="4" w:space="0"/>
            </w:tcBorders>
            <w:vAlign w:val="center"/>
          </w:tcPr>
          <w:p w14:paraId="598454AC">
            <w:pPr>
              <w:spacing w:line="560" w:lineRule="exact"/>
              <w:rPr>
                <w:rFonts w:ascii="仿宋_GB2312" w:eastAsia="仿宋_GB2312"/>
                <w:sz w:val="24"/>
                <w:szCs w:val="30"/>
              </w:rPr>
            </w:pPr>
          </w:p>
        </w:tc>
        <w:tc>
          <w:tcPr>
            <w:tcW w:w="992" w:type="dxa"/>
            <w:tcBorders>
              <w:top w:val="single" w:color="auto" w:sz="4" w:space="0"/>
              <w:left w:val="single" w:color="auto" w:sz="4" w:space="0"/>
              <w:bottom w:val="single" w:color="auto" w:sz="4" w:space="0"/>
              <w:right w:val="single" w:color="auto" w:sz="4" w:space="0"/>
            </w:tcBorders>
          </w:tcPr>
          <w:p w14:paraId="3820442A">
            <w:pPr>
              <w:spacing w:line="560" w:lineRule="exact"/>
              <w:rPr>
                <w:rFonts w:ascii="仿宋_GB2312" w:eastAsia="仿宋_GB2312"/>
                <w:sz w:val="24"/>
                <w:szCs w:val="30"/>
              </w:rPr>
            </w:pPr>
            <w:r>
              <w:rPr>
                <w:rFonts w:hint="eastAsia" w:ascii="仿宋_GB2312" w:eastAsia="仿宋_GB2312"/>
                <w:sz w:val="24"/>
                <w:szCs w:val="30"/>
              </w:rPr>
              <w:t>手机</w:t>
            </w:r>
          </w:p>
        </w:tc>
        <w:tc>
          <w:tcPr>
            <w:tcW w:w="2126" w:type="dxa"/>
            <w:tcBorders>
              <w:top w:val="single" w:color="auto" w:sz="4" w:space="0"/>
              <w:left w:val="single" w:color="auto" w:sz="4" w:space="0"/>
              <w:bottom w:val="single" w:color="auto" w:sz="4" w:space="0"/>
              <w:right w:val="single" w:color="auto" w:sz="4" w:space="0"/>
            </w:tcBorders>
          </w:tcPr>
          <w:p w14:paraId="060DD305">
            <w:pPr>
              <w:spacing w:line="560" w:lineRule="exact"/>
              <w:rPr>
                <w:rFonts w:ascii="仿宋_GB2312" w:eastAsia="仿宋_GB2312"/>
                <w:sz w:val="24"/>
                <w:szCs w:val="30"/>
              </w:rPr>
            </w:pPr>
          </w:p>
        </w:tc>
        <w:tc>
          <w:tcPr>
            <w:tcW w:w="1276" w:type="dxa"/>
            <w:tcBorders>
              <w:top w:val="single" w:color="auto" w:sz="4" w:space="0"/>
              <w:left w:val="single" w:color="auto" w:sz="4" w:space="0"/>
              <w:bottom w:val="single" w:color="auto" w:sz="4" w:space="0"/>
              <w:right w:val="single" w:color="auto" w:sz="4" w:space="0"/>
            </w:tcBorders>
          </w:tcPr>
          <w:p w14:paraId="7F839B0E">
            <w:pPr>
              <w:spacing w:line="560" w:lineRule="exact"/>
              <w:rPr>
                <w:rFonts w:ascii="仿宋_GB2312" w:eastAsia="仿宋_GB2312"/>
                <w:sz w:val="24"/>
                <w:szCs w:val="30"/>
              </w:rPr>
            </w:pPr>
            <w:r>
              <w:rPr>
                <w:rFonts w:hint="eastAsia" w:ascii="仿宋_GB2312" w:eastAsia="仿宋_GB2312"/>
                <w:sz w:val="24"/>
                <w:szCs w:val="30"/>
              </w:rPr>
              <w:t>电子邮件</w:t>
            </w:r>
          </w:p>
        </w:tc>
        <w:tc>
          <w:tcPr>
            <w:tcW w:w="2600" w:type="dxa"/>
            <w:tcBorders>
              <w:top w:val="single" w:color="auto" w:sz="4" w:space="0"/>
              <w:left w:val="single" w:color="auto" w:sz="4" w:space="0"/>
              <w:bottom w:val="single" w:color="auto" w:sz="4" w:space="0"/>
              <w:right w:val="single" w:color="auto" w:sz="4" w:space="0"/>
            </w:tcBorders>
          </w:tcPr>
          <w:p w14:paraId="4B9311C7">
            <w:pPr>
              <w:spacing w:line="560" w:lineRule="exact"/>
              <w:rPr>
                <w:rFonts w:ascii="仿宋_GB2312" w:eastAsia="仿宋_GB2312"/>
                <w:sz w:val="24"/>
                <w:szCs w:val="30"/>
              </w:rPr>
            </w:pPr>
          </w:p>
        </w:tc>
      </w:tr>
      <w:tr w14:paraId="34BBB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restart"/>
            <w:tcBorders>
              <w:top w:val="single" w:color="auto" w:sz="4" w:space="0"/>
              <w:left w:val="single" w:color="auto" w:sz="4" w:space="0"/>
              <w:bottom w:val="single" w:color="auto" w:sz="4" w:space="0"/>
              <w:right w:val="single" w:color="auto" w:sz="4" w:space="0"/>
            </w:tcBorders>
          </w:tcPr>
          <w:p w14:paraId="338906BA">
            <w:pPr>
              <w:spacing w:line="560" w:lineRule="exact"/>
              <w:rPr>
                <w:rFonts w:ascii="仿宋_GB2312" w:eastAsia="仿宋_GB2312"/>
                <w:sz w:val="24"/>
                <w:szCs w:val="30"/>
              </w:rPr>
            </w:pPr>
            <w:r>
              <w:rPr>
                <w:rFonts w:hint="eastAsia" w:ascii="仿宋_GB2312" w:eastAsia="仿宋_GB2312"/>
                <w:sz w:val="24"/>
                <w:szCs w:val="30"/>
              </w:rPr>
              <w:t>债券业务</w:t>
            </w:r>
          </w:p>
          <w:p w14:paraId="5B52882D">
            <w:pPr>
              <w:spacing w:line="560" w:lineRule="exact"/>
              <w:rPr>
                <w:rFonts w:ascii="仿宋_GB2312" w:eastAsia="仿宋_GB2312"/>
                <w:sz w:val="24"/>
                <w:szCs w:val="30"/>
              </w:rPr>
            </w:pPr>
            <w:r>
              <w:rPr>
                <w:rFonts w:hint="eastAsia" w:ascii="仿宋_GB2312" w:eastAsia="仿宋_GB2312"/>
                <w:sz w:val="24"/>
                <w:szCs w:val="30"/>
              </w:rPr>
              <w:t>联络人</w:t>
            </w:r>
          </w:p>
        </w:tc>
        <w:tc>
          <w:tcPr>
            <w:tcW w:w="992" w:type="dxa"/>
            <w:tcBorders>
              <w:top w:val="single" w:color="auto" w:sz="4" w:space="0"/>
              <w:left w:val="single" w:color="auto" w:sz="4" w:space="0"/>
              <w:bottom w:val="single" w:color="auto" w:sz="4" w:space="0"/>
              <w:right w:val="single" w:color="auto" w:sz="4" w:space="0"/>
            </w:tcBorders>
          </w:tcPr>
          <w:p w14:paraId="1041CC0B">
            <w:pPr>
              <w:spacing w:line="560" w:lineRule="exact"/>
              <w:rPr>
                <w:rFonts w:ascii="仿宋_GB2312" w:eastAsia="仿宋_GB2312"/>
                <w:sz w:val="24"/>
                <w:szCs w:val="30"/>
              </w:rPr>
            </w:pPr>
            <w:r>
              <w:rPr>
                <w:rFonts w:hint="eastAsia" w:ascii="仿宋_GB2312" w:eastAsia="仿宋_GB2312"/>
                <w:sz w:val="24"/>
                <w:szCs w:val="30"/>
              </w:rPr>
              <w:t>姓名</w:t>
            </w:r>
          </w:p>
        </w:tc>
        <w:tc>
          <w:tcPr>
            <w:tcW w:w="6002" w:type="dxa"/>
            <w:gridSpan w:val="3"/>
            <w:tcBorders>
              <w:top w:val="single" w:color="auto" w:sz="4" w:space="0"/>
              <w:left w:val="single" w:color="auto" w:sz="4" w:space="0"/>
              <w:bottom w:val="single" w:color="auto" w:sz="4" w:space="0"/>
              <w:right w:val="single" w:color="auto" w:sz="4" w:space="0"/>
            </w:tcBorders>
          </w:tcPr>
          <w:p w14:paraId="057E698B">
            <w:pPr>
              <w:spacing w:line="560" w:lineRule="exact"/>
              <w:rPr>
                <w:rFonts w:ascii="仿宋_GB2312" w:eastAsia="仿宋_GB2312"/>
                <w:sz w:val="24"/>
                <w:szCs w:val="30"/>
              </w:rPr>
            </w:pPr>
          </w:p>
        </w:tc>
      </w:tr>
      <w:tr w14:paraId="477C0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continue"/>
            <w:tcBorders>
              <w:top w:val="single" w:color="auto" w:sz="4" w:space="0"/>
              <w:left w:val="single" w:color="auto" w:sz="4" w:space="0"/>
              <w:bottom w:val="single" w:color="auto" w:sz="4" w:space="0"/>
              <w:right w:val="single" w:color="auto" w:sz="4" w:space="0"/>
            </w:tcBorders>
            <w:vAlign w:val="center"/>
          </w:tcPr>
          <w:p w14:paraId="63811B35">
            <w:pPr>
              <w:spacing w:line="560" w:lineRule="exact"/>
              <w:rPr>
                <w:rFonts w:ascii="仿宋_GB2312" w:eastAsia="仿宋_GB2312"/>
                <w:sz w:val="24"/>
                <w:szCs w:val="30"/>
              </w:rPr>
            </w:pPr>
          </w:p>
        </w:tc>
        <w:tc>
          <w:tcPr>
            <w:tcW w:w="992" w:type="dxa"/>
            <w:tcBorders>
              <w:top w:val="single" w:color="auto" w:sz="4" w:space="0"/>
              <w:left w:val="single" w:color="auto" w:sz="4" w:space="0"/>
              <w:bottom w:val="single" w:color="auto" w:sz="4" w:space="0"/>
              <w:right w:val="single" w:color="auto" w:sz="4" w:space="0"/>
            </w:tcBorders>
          </w:tcPr>
          <w:p w14:paraId="4EB35663">
            <w:pPr>
              <w:spacing w:line="560" w:lineRule="exact"/>
              <w:rPr>
                <w:rFonts w:ascii="仿宋_GB2312" w:eastAsia="仿宋_GB2312"/>
                <w:sz w:val="24"/>
                <w:szCs w:val="30"/>
              </w:rPr>
            </w:pPr>
            <w:r>
              <w:rPr>
                <w:rFonts w:hint="eastAsia" w:ascii="仿宋_GB2312" w:eastAsia="仿宋_GB2312"/>
                <w:sz w:val="24"/>
                <w:szCs w:val="30"/>
              </w:rPr>
              <w:t>部门</w:t>
            </w:r>
          </w:p>
        </w:tc>
        <w:tc>
          <w:tcPr>
            <w:tcW w:w="6002" w:type="dxa"/>
            <w:gridSpan w:val="3"/>
            <w:tcBorders>
              <w:top w:val="single" w:color="auto" w:sz="4" w:space="0"/>
              <w:left w:val="single" w:color="auto" w:sz="4" w:space="0"/>
              <w:bottom w:val="single" w:color="auto" w:sz="4" w:space="0"/>
              <w:right w:val="single" w:color="auto" w:sz="4" w:space="0"/>
            </w:tcBorders>
          </w:tcPr>
          <w:p w14:paraId="6BA1C9A3">
            <w:pPr>
              <w:spacing w:line="560" w:lineRule="exact"/>
              <w:rPr>
                <w:rFonts w:ascii="仿宋_GB2312" w:eastAsia="仿宋_GB2312"/>
                <w:sz w:val="24"/>
                <w:szCs w:val="30"/>
              </w:rPr>
            </w:pPr>
          </w:p>
        </w:tc>
      </w:tr>
      <w:tr w14:paraId="4F875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continue"/>
            <w:tcBorders>
              <w:top w:val="single" w:color="auto" w:sz="4" w:space="0"/>
              <w:left w:val="single" w:color="auto" w:sz="4" w:space="0"/>
              <w:bottom w:val="single" w:color="auto" w:sz="4" w:space="0"/>
              <w:right w:val="single" w:color="auto" w:sz="4" w:space="0"/>
            </w:tcBorders>
            <w:vAlign w:val="center"/>
          </w:tcPr>
          <w:p w14:paraId="2F442D5C">
            <w:pPr>
              <w:spacing w:line="560" w:lineRule="exact"/>
              <w:rPr>
                <w:rFonts w:ascii="仿宋_GB2312" w:eastAsia="仿宋_GB2312"/>
                <w:sz w:val="24"/>
                <w:szCs w:val="30"/>
              </w:rPr>
            </w:pPr>
          </w:p>
        </w:tc>
        <w:tc>
          <w:tcPr>
            <w:tcW w:w="992" w:type="dxa"/>
            <w:tcBorders>
              <w:top w:val="single" w:color="auto" w:sz="4" w:space="0"/>
              <w:left w:val="single" w:color="auto" w:sz="4" w:space="0"/>
              <w:bottom w:val="single" w:color="auto" w:sz="4" w:space="0"/>
              <w:right w:val="single" w:color="auto" w:sz="4" w:space="0"/>
            </w:tcBorders>
          </w:tcPr>
          <w:p w14:paraId="01B81616">
            <w:pPr>
              <w:spacing w:line="560" w:lineRule="exact"/>
              <w:rPr>
                <w:rFonts w:ascii="仿宋_GB2312" w:eastAsia="仿宋_GB2312"/>
                <w:sz w:val="24"/>
                <w:szCs w:val="30"/>
              </w:rPr>
            </w:pPr>
            <w:r>
              <w:rPr>
                <w:rFonts w:hint="eastAsia" w:ascii="仿宋_GB2312" w:eastAsia="仿宋_GB2312"/>
                <w:sz w:val="24"/>
                <w:szCs w:val="30"/>
              </w:rPr>
              <w:t>手机</w:t>
            </w:r>
          </w:p>
        </w:tc>
        <w:tc>
          <w:tcPr>
            <w:tcW w:w="2126" w:type="dxa"/>
            <w:tcBorders>
              <w:top w:val="single" w:color="auto" w:sz="4" w:space="0"/>
              <w:left w:val="single" w:color="auto" w:sz="4" w:space="0"/>
              <w:bottom w:val="single" w:color="auto" w:sz="4" w:space="0"/>
              <w:right w:val="single" w:color="auto" w:sz="4" w:space="0"/>
            </w:tcBorders>
          </w:tcPr>
          <w:p w14:paraId="122785C2">
            <w:pPr>
              <w:spacing w:line="560" w:lineRule="exact"/>
              <w:rPr>
                <w:rFonts w:ascii="仿宋_GB2312" w:eastAsia="仿宋_GB2312"/>
                <w:sz w:val="24"/>
                <w:szCs w:val="30"/>
              </w:rPr>
            </w:pPr>
          </w:p>
        </w:tc>
        <w:tc>
          <w:tcPr>
            <w:tcW w:w="1276" w:type="dxa"/>
            <w:tcBorders>
              <w:top w:val="single" w:color="auto" w:sz="4" w:space="0"/>
              <w:left w:val="single" w:color="auto" w:sz="4" w:space="0"/>
              <w:bottom w:val="single" w:color="auto" w:sz="4" w:space="0"/>
              <w:right w:val="single" w:color="auto" w:sz="4" w:space="0"/>
            </w:tcBorders>
          </w:tcPr>
          <w:p w14:paraId="58EE28CD">
            <w:pPr>
              <w:spacing w:line="560" w:lineRule="exact"/>
              <w:rPr>
                <w:rFonts w:ascii="仿宋_GB2312" w:eastAsia="仿宋_GB2312"/>
                <w:sz w:val="24"/>
                <w:szCs w:val="30"/>
              </w:rPr>
            </w:pPr>
            <w:r>
              <w:rPr>
                <w:rFonts w:hint="eastAsia" w:ascii="仿宋_GB2312" w:eastAsia="仿宋_GB2312"/>
                <w:sz w:val="24"/>
                <w:szCs w:val="30"/>
              </w:rPr>
              <w:t>电子邮件</w:t>
            </w:r>
          </w:p>
        </w:tc>
        <w:tc>
          <w:tcPr>
            <w:tcW w:w="2600" w:type="dxa"/>
            <w:tcBorders>
              <w:top w:val="single" w:color="auto" w:sz="4" w:space="0"/>
              <w:left w:val="single" w:color="auto" w:sz="4" w:space="0"/>
              <w:bottom w:val="single" w:color="auto" w:sz="4" w:space="0"/>
              <w:right w:val="single" w:color="auto" w:sz="4" w:space="0"/>
            </w:tcBorders>
          </w:tcPr>
          <w:p w14:paraId="6A8EBF1C">
            <w:pPr>
              <w:spacing w:line="560" w:lineRule="exact"/>
              <w:rPr>
                <w:rFonts w:ascii="仿宋_GB2312" w:eastAsia="仿宋_GB2312"/>
                <w:sz w:val="24"/>
                <w:szCs w:val="30"/>
              </w:rPr>
            </w:pPr>
          </w:p>
        </w:tc>
      </w:tr>
      <w:tr w14:paraId="458AE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restart"/>
            <w:tcBorders>
              <w:top w:val="single" w:color="auto" w:sz="4" w:space="0"/>
              <w:left w:val="single" w:color="auto" w:sz="4" w:space="0"/>
              <w:right w:val="single" w:color="auto" w:sz="4" w:space="0"/>
            </w:tcBorders>
            <w:vAlign w:val="center"/>
          </w:tcPr>
          <w:p w14:paraId="595EBF9A">
            <w:pPr>
              <w:spacing w:line="560" w:lineRule="exact"/>
              <w:rPr>
                <w:rFonts w:ascii="仿宋_GB2312" w:eastAsia="仿宋_GB2312"/>
                <w:sz w:val="24"/>
                <w:szCs w:val="30"/>
              </w:rPr>
            </w:pPr>
            <w:r>
              <w:rPr>
                <w:rFonts w:hint="eastAsia" w:ascii="仿宋_GB2312" w:eastAsia="仿宋_GB2312"/>
                <w:sz w:val="24"/>
                <w:szCs w:val="30"/>
              </w:rPr>
              <w:t>债券业务</w:t>
            </w:r>
          </w:p>
          <w:p w14:paraId="6DB01BF4">
            <w:pPr>
              <w:spacing w:line="560" w:lineRule="exact"/>
              <w:rPr>
                <w:rFonts w:ascii="仿宋_GB2312" w:eastAsia="仿宋_GB2312"/>
                <w:sz w:val="24"/>
                <w:szCs w:val="30"/>
              </w:rPr>
            </w:pPr>
            <w:r>
              <w:rPr>
                <w:rFonts w:hint="eastAsia" w:ascii="仿宋_GB2312" w:eastAsia="仿宋_GB2312"/>
                <w:sz w:val="24"/>
                <w:szCs w:val="30"/>
              </w:rPr>
              <w:t>联络人</w:t>
            </w:r>
          </w:p>
        </w:tc>
        <w:tc>
          <w:tcPr>
            <w:tcW w:w="992" w:type="dxa"/>
            <w:tcBorders>
              <w:top w:val="single" w:color="auto" w:sz="4" w:space="0"/>
              <w:left w:val="single" w:color="auto" w:sz="4" w:space="0"/>
              <w:bottom w:val="single" w:color="auto" w:sz="4" w:space="0"/>
              <w:right w:val="single" w:color="auto" w:sz="4" w:space="0"/>
            </w:tcBorders>
          </w:tcPr>
          <w:p w14:paraId="56B9AF79">
            <w:pPr>
              <w:spacing w:line="560" w:lineRule="exact"/>
              <w:rPr>
                <w:rFonts w:ascii="仿宋_GB2312" w:eastAsia="仿宋_GB2312"/>
                <w:sz w:val="24"/>
                <w:szCs w:val="30"/>
              </w:rPr>
            </w:pPr>
            <w:r>
              <w:rPr>
                <w:rFonts w:hint="eastAsia" w:ascii="仿宋_GB2312" w:eastAsia="仿宋_GB2312"/>
                <w:sz w:val="24"/>
                <w:szCs w:val="30"/>
              </w:rPr>
              <w:t>姓名</w:t>
            </w:r>
          </w:p>
        </w:tc>
        <w:tc>
          <w:tcPr>
            <w:tcW w:w="6002" w:type="dxa"/>
            <w:gridSpan w:val="3"/>
            <w:tcBorders>
              <w:top w:val="single" w:color="auto" w:sz="4" w:space="0"/>
              <w:left w:val="single" w:color="auto" w:sz="4" w:space="0"/>
              <w:bottom w:val="single" w:color="auto" w:sz="4" w:space="0"/>
              <w:right w:val="single" w:color="auto" w:sz="4" w:space="0"/>
            </w:tcBorders>
          </w:tcPr>
          <w:p w14:paraId="41A1AC9D">
            <w:pPr>
              <w:spacing w:line="560" w:lineRule="exact"/>
              <w:rPr>
                <w:rFonts w:ascii="仿宋_GB2312" w:eastAsia="仿宋_GB2312"/>
                <w:sz w:val="24"/>
                <w:szCs w:val="30"/>
              </w:rPr>
            </w:pPr>
          </w:p>
        </w:tc>
      </w:tr>
      <w:tr w14:paraId="038E6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continue"/>
            <w:tcBorders>
              <w:left w:val="single" w:color="auto" w:sz="4" w:space="0"/>
              <w:right w:val="single" w:color="auto" w:sz="4" w:space="0"/>
            </w:tcBorders>
            <w:vAlign w:val="center"/>
          </w:tcPr>
          <w:p w14:paraId="1E12EC31">
            <w:pPr>
              <w:spacing w:line="560" w:lineRule="exact"/>
              <w:rPr>
                <w:rFonts w:ascii="仿宋_GB2312" w:eastAsia="仿宋_GB2312"/>
                <w:sz w:val="24"/>
                <w:szCs w:val="30"/>
              </w:rPr>
            </w:pPr>
          </w:p>
        </w:tc>
        <w:tc>
          <w:tcPr>
            <w:tcW w:w="992" w:type="dxa"/>
            <w:tcBorders>
              <w:top w:val="single" w:color="auto" w:sz="4" w:space="0"/>
              <w:left w:val="single" w:color="auto" w:sz="4" w:space="0"/>
              <w:bottom w:val="single" w:color="auto" w:sz="4" w:space="0"/>
              <w:right w:val="single" w:color="auto" w:sz="4" w:space="0"/>
            </w:tcBorders>
          </w:tcPr>
          <w:p w14:paraId="18AB107F">
            <w:pPr>
              <w:spacing w:line="560" w:lineRule="exact"/>
              <w:rPr>
                <w:rFonts w:ascii="仿宋_GB2312" w:eastAsia="仿宋_GB2312"/>
                <w:sz w:val="24"/>
                <w:szCs w:val="30"/>
              </w:rPr>
            </w:pPr>
            <w:r>
              <w:rPr>
                <w:rFonts w:hint="eastAsia" w:ascii="仿宋_GB2312" w:eastAsia="仿宋_GB2312"/>
                <w:sz w:val="24"/>
                <w:szCs w:val="30"/>
              </w:rPr>
              <w:t>部门</w:t>
            </w:r>
          </w:p>
        </w:tc>
        <w:tc>
          <w:tcPr>
            <w:tcW w:w="6002" w:type="dxa"/>
            <w:gridSpan w:val="3"/>
            <w:tcBorders>
              <w:top w:val="single" w:color="auto" w:sz="4" w:space="0"/>
              <w:left w:val="single" w:color="auto" w:sz="4" w:space="0"/>
              <w:bottom w:val="single" w:color="auto" w:sz="4" w:space="0"/>
              <w:right w:val="single" w:color="auto" w:sz="4" w:space="0"/>
            </w:tcBorders>
          </w:tcPr>
          <w:p w14:paraId="6B32AEBD">
            <w:pPr>
              <w:spacing w:line="560" w:lineRule="exact"/>
              <w:rPr>
                <w:rFonts w:ascii="仿宋_GB2312" w:eastAsia="仿宋_GB2312"/>
                <w:sz w:val="24"/>
                <w:szCs w:val="30"/>
              </w:rPr>
            </w:pPr>
          </w:p>
        </w:tc>
      </w:tr>
      <w:tr w14:paraId="34496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continue"/>
            <w:tcBorders>
              <w:left w:val="single" w:color="auto" w:sz="4" w:space="0"/>
              <w:bottom w:val="single" w:color="auto" w:sz="4" w:space="0"/>
              <w:right w:val="single" w:color="auto" w:sz="4" w:space="0"/>
            </w:tcBorders>
            <w:vAlign w:val="center"/>
          </w:tcPr>
          <w:p w14:paraId="7F2E6974">
            <w:pPr>
              <w:spacing w:line="560" w:lineRule="exact"/>
              <w:rPr>
                <w:rFonts w:ascii="仿宋_GB2312" w:eastAsia="仿宋_GB2312"/>
                <w:sz w:val="24"/>
                <w:szCs w:val="30"/>
              </w:rPr>
            </w:pPr>
          </w:p>
        </w:tc>
        <w:tc>
          <w:tcPr>
            <w:tcW w:w="992" w:type="dxa"/>
            <w:tcBorders>
              <w:top w:val="single" w:color="auto" w:sz="4" w:space="0"/>
              <w:left w:val="single" w:color="auto" w:sz="4" w:space="0"/>
              <w:bottom w:val="single" w:color="auto" w:sz="4" w:space="0"/>
              <w:right w:val="single" w:color="auto" w:sz="4" w:space="0"/>
            </w:tcBorders>
          </w:tcPr>
          <w:p w14:paraId="61FACE79">
            <w:pPr>
              <w:spacing w:line="560" w:lineRule="exact"/>
              <w:rPr>
                <w:rFonts w:ascii="仿宋_GB2312" w:eastAsia="仿宋_GB2312"/>
                <w:sz w:val="24"/>
                <w:szCs w:val="30"/>
              </w:rPr>
            </w:pPr>
            <w:r>
              <w:rPr>
                <w:rFonts w:hint="eastAsia" w:ascii="仿宋_GB2312" w:eastAsia="仿宋_GB2312"/>
                <w:sz w:val="24"/>
                <w:szCs w:val="30"/>
              </w:rPr>
              <w:t>手机</w:t>
            </w:r>
          </w:p>
        </w:tc>
        <w:tc>
          <w:tcPr>
            <w:tcW w:w="2126" w:type="dxa"/>
            <w:tcBorders>
              <w:top w:val="single" w:color="auto" w:sz="4" w:space="0"/>
              <w:left w:val="single" w:color="auto" w:sz="4" w:space="0"/>
              <w:bottom w:val="single" w:color="auto" w:sz="4" w:space="0"/>
              <w:right w:val="single" w:color="auto" w:sz="4" w:space="0"/>
            </w:tcBorders>
          </w:tcPr>
          <w:p w14:paraId="318DE675">
            <w:pPr>
              <w:spacing w:line="560" w:lineRule="exact"/>
              <w:rPr>
                <w:rFonts w:ascii="仿宋_GB2312" w:eastAsia="仿宋_GB2312"/>
                <w:sz w:val="24"/>
                <w:szCs w:val="30"/>
              </w:rPr>
            </w:pPr>
          </w:p>
        </w:tc>
        <w:tc>
          <w:tcPr>
            <w:tcW w:w="1276" w:type="dxa"/>
            <w:tcBorders>
              <w:top w:val="single" w:color="auto" w:sz="4" w:space="0"/>
              <w:left w:val="single" w:color="auto" w:sz="4" w:space="0"/>
              <w:bottom w:val="single" w:color="auto" w:sz="4" w:space="0"/>
              <w:right w:val="single" w:color="auto" w:sz="4" w:space="0"/>
            </w:tcBorders>
          </w:tcPr>
          <w:p w14:paraId="3D257B7C">
            <w:pPr>
              <w:spacing w:line="560" w:lineRule="exact"/>
              <w:rPr>
                <w:rFonts w:ascii="仿宋_GB2312" w:eastAsia="仿宋_GB2312"/>
                <w:sz w:val="24"/>
                <w:szCs w:val="30"/>
              </w:rPr>
            </w:pPr>
            <w:r>
              <w:rPr>
                <w:rFonts w:hint="eastAsia" w:ascii="仿宋_GB2312" w:eastAsia="仿宋_GB2312"/>
                <w:sz w:val="24"/>
                <w:szCs w:val="30"/>
              </w:rPr>
              <w:t>电子邮件</w:t>
            </w:r>
          </w:p>
        </w:tc>
        <w:tc>
          <w:tcPr>
            <w:tcW w:w="2600" w:type="dxa"/>
            <w:tcBorders>
              <w:top w:val="single" w:color="auto" w:sz="4" w:space="0"/>
              <w:left w:val="single" w:color="auto" w:sz="4" w:space="0"/>
              <w:bottom w:val="single" w:color="auto" w:sz="4" w:space="0"/>
              <w:right w:val="single" w:color="auto" w:sz="4" w:space="0"/>
            </w:tcBorders>
          </w:tcPr>
          <w:p w14:paraId="25054061">
            <w:pPr>
              <w:spacing w:line="560" w:lineRule="exact"/>
              <w:rPr>
                <w:rFonts w:ascii="仿宋_GB2312" w:eastAsia="仿宋_GB2312"/>
                <w:sz w:val="24"/>
                <w:szCs w:val="30"/>
              </w:rPr>
            </w:pPr>
          </w:p>
        </w:tc>
      </w:tr>
      <w:tr w14:paraId="3F56E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restart"/>
            <w:tcBorders>
              <w:top w:val="single" w:color="auto" w:sz="4" w:space="0"/>
              <w:left w:val="single" w:color="auto" w:sz="4" w:space="0"/>
              <w:right w:val="single" w:color="auto" w:sz="4" w:space="0"/>
            </w:tcBorders>
            <w:vAlign w:val="center"/>
          </w:tcPr>
          <w:p w14:paraId="40EDE208">
            <w:pPr>
              <w:spacing w:line="560" w:lineRule="exact"/>
              <w:rPr>
                <w:rFonts w:ascii="仿宋_GB2312" w:eastAsia="仿宋_GB2312"/>
                <w:sz w:val="24"/>
                <w:szCs w:val="30"/>
              </w:rPr>
            </w:pPr>
            <w:r>
              <w:rPr>
                <w:rFonts w:hint="eastAsia" w:ascii="仿宋_GB2312" w:eastAsia="仿宋_GB2312"/>
                <w:sz w:val="24"/>
                <w:szCs w:val="30"/>
              </w:rPr>
              <w:t>债券业务</w:t>
            </w:r>
          </w:p>
          <w:p w14:paraId="3081C2B6">
            <w:pPr>
              <w:spacing w:line="560" w:lineRule="exact"/>
              <w:rPr>
                <w:rFonts w:ascii="仿宋_GB2312" w:eastAsia="仿宋_GB2312"/>
                <w:sz w:val="24"/>
                <w:szCs w:val="30"/>
              </w:rPr>
            </w:pPr>
            <w:r>
              <w:rPr>
                <w:rFonts w:hint="eastAsia" w:ascii="仿宋_GB2312" w:eastAsia="仿宋_GB2312"/>
                <w:sz w:val="24"/>
                <w:szCs w:val="30"/>
              </w:rPr>
              <w:t>联络人</w:t>
            </w:r>
          </w:p>
        </w:tc>
        <w:tc>
          <w:tcPr>
            <w:tcW w:w="992" w:type="dxa"/>
            <w:tcBorders>
              <w:top w:val="single" w:color="auto" w:sz="4" w:space="0"/>
              <w:left w:val="single" w:color="auto" w:sz="4" w:space="0"/>
              <w:bottom w:val="single" w:color="auto" w:sz="4" w:space="0"/>
              <w:right w:val="single" w:color="auto" w:sz="4" w:space="0"/>
            </w:tcBorders>
          </w:tcPr>
          <w:p w14:paraId="7D59C062">
            <w:pPr>
              <w:spacing w:line="560" w:lineRule="exact"/>
              <w:rPr>
                <w:rFonts w:ascii="仿宋_GB2312" w:eastAsia="仿宋_GB2312"/>
                <w:sz w:val="24"/>
                <w:szCs w:val="30"/>
              </w:rPr>
            </w:pPr>
            <w:r>
              <w:rPr>
                <w:rFonts w:hint="eastAsia" w:ascii="仿宋_GB2312" w:eastAsia="仿宋_GB2312"/>
                <w:sz w:val="24"/>
                <w:szCs w:val="30"/>
              </w:rPr>
              <w:t>姓名</w:t>
            </w:r>
          </w:p>
        </w:tc>
        <w:tc>
          <w:tcPr>
            <w:tcW w:w="6002" w:type="dxa"/>
            <w:gridSpan w:val="3"/>
            <w:tcBorders>
              <w:top w:val="single" w:color="auto" w:sz="4" w:space="0"/>
              <w:left w:val="single" w:color="auto" w:sz="4" w:space="0"/>
              <w:bottom w:val="single" w:color="auto" w:sz="4" w:space="0"/>
              <w:right w:val="single" w:color="auto" w:sz="4" w:space="0"/>
            </w:tcBorders>
          </w:tcPr>
          <w:p w14:paraId="4BD8A6B0">
            <w:pPr>
              <w:spacing w:line="560" w:lineRule="exact"/>
              <w:rPr>
                <w:rFonts w:ascii="仿宋_GB2312" w:eastAsia="仿宋_GB2312"/>
                <w:sz w:val="24"/>
                <w:szCs w:val="30"/>
              </w:rPr>
            </w:pPr>
          </w:p>
        </w:tc>
      </w:tr>
      <w:tr w14:paraId="26CB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continue"/>
            <w:tcBorders>
              <w:left w:val="single" w:color="auto" w:sz="4" w:space="0"/>
              <w:right w:val="single" w:color="auto" w:sz="4" w:space="0"/>
            </w:tcBorders>
            <w:vAlign w:val="center"/>
          </w:tcPr>
          <w:p w14:paraId="2653C58C">
            <w:pPr>
              <w:spacing w:line="560" w:lineRule="exact"/>
              <w:rPr>
                <w:rFonts w:ascii="仿宋_GB2312" w:eastAsia="仿宋_GB2312"/>
                <w:sz w:val="24"/>
                <w:szCs w:val="30"/>
              </w:rPr>
            </w:pPr>
          </w:p>
        </w:tc>
        <w:tc>
          <w:tcPr>
            <w:tcW w:w="992" w:type="dxa"/>
            <w:tcBorders>
              <w:top w:val="single" w:color="auto" w:sz="4" w:space="0"/>
              <w:left w:val="single" w:color="auto" w:sz="4" w:space="0"/>
              <w:bottom w:val="single" w:color="auto" w:sz="4" w:space="0"/>
              <w:right w:val="single" w:color="auto" w:sz="4" w:space="0"/>
            </w:tcBorders>
          </w:tcPr>
          <w:p w14:paraId="45D5BD72">
            <w:pPr>
              <w:spacing w:line="560" w:lineRule="exact"/>
              <w:rPr>
                <w:rFonts w:ascii="仿宋_GB2312" w:eastAsia="仿宋_GB2312"/>
                <w:sz w:val="24"/>
                <w:szCs w:val="30"/>
              </w:rPr>
            </w:pPr>
            <w:r>
              <w:rPr>
                <w:rFonts w:hint="eastAsia" w:ascii="仿宋_GB2312" w:eastAsia="仿宋_GB2312"/>
                <w:sz w:val="24"/>
                <w:szCs w:val="30"/>
              </w:rPr>
              <w:t>部门</w:t>
            </w:r>
          </w:p>
        </w:tc>
        <w:tc>
          <w:tcPr>
            <w:tcW w:w="6002" w:type="dxa"/>
            <w:gridSpan w:val="3"/>
            <w:tcBorders>
              <w:top w:val="single" w:color="auto" w:sz="4" w:space="0"/>
              <w:left w:val="single" w:color="auto" w:sz="4" w:space="0"/>
              <w:bottom w:val="single" w:color="auto" w:sz="4" w:space="0"/>
              <w:right w:val="single" w:color="auto" w:sz="4" w:space="0"/>
            </w:tcBorders>
          </w:tcPr>
          <w:p w14:paraId="0F4C6BB8">
            <w:pPr>
              <w:spacing w:line="560" w:lineRule="exact"/>
              <w:rPr>
                <w:rFonts w:ascii="仿宋_GB2312" w:eastAsia="仿宋_GB2312"/>
                <w:sz w:val="24"/>
                <w:szCs w:val="30"/>
              </w:rPr>
            </w:pPr>
          </w:p>
        </w:tc>
      </w:tr>
      <w:tr w14:paraId="6319A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526" w:type="dxa"/>
            <w:vMerge w:val="continue"/>
            <w:tcBorders>
              <w:left w:val="single" w:color="auto" w:sz="4" w:space="0"/>
              <w:bottom w:val="single" w:color="auto" w:sz="4" w:space="0"/>
              <w:right w:val="single" w:color="auto" w:sz="4" w:space="0"/>
            </w:tcBorders>
            <w:vAlign w:val="center"/>
          </w:tcPr>
          <w:p w14:paraId="5A287398">
            <w:pPr>
              <w:spacing w:line="560" w:lineRule="exact"/>
              <w:rPr>
                <w:rFonts w:ascii="仿宋_GB2312" w:eastAsia="仿宋_GB2312"/>
                <w:sz w:val="24"/>
                <w:szCs w:val="30"/>
              </w:rPr>
            </w:pPr>
          </w:p>
        </w:tc>
        <w:tc>
          <w:tcPr>
            <w:tcW w:w="992" w:type="dxa"/>
            <w:tcBorders>
              <w:top w:val="single" w:color="auto" w:sz="4" w:space="0"/>
              <w:left w:val="single" w:color="auto" w:sz="4" w:space="0"/>
              <w:bottom w:val="single" w:color="auto" w:sz="4" w:space="0"/>
              <w:right w:val="single" w:color="auto" w:sz="4" w:space="0"/>
            </w:tcBorders>
          </w:tcPr>
          <w:p w14:paraId="5FE92D8E">
            <w:pPr>
              <w:spacing w:line="560" w:lineRule="exact"/>
              <w:rPr>
                <w:rFonts w:ascii="仿宋_GB2312" w:eastAsia="仿宋_GB2312"/>
                <w:sz w:val="24"/>
                <w:szCs w:val="30"/>
              </w:rPr>
            </w:pPr>
            <w:r>
              <w:rPr>
                <w:rFonts w:hint="eastAsia" w:ascii="仿宋_GB2312" w:eastAsia="仿宋_GB2312"/>
                <w:sz w:val="24"/>
                <w:szCs w:val="30"/>
              </w:rPr>
              <w:t>手机</w:t>
            </w:r>
          </w:p>
        </w:tc>
        <w:tc>
          <w:tcPr>
            <w:tcW w:w="2126" w:type="dxa"/>
            <w:tcBorders>
              <w:top w:val="single" w:color="auto" w:sz="4" w:space="0"/>
              <w:left w:val="single" w:color="auto" w:sz="4" w:space="0"/>
              <w:bottom w:val="single" w:color="auto" w:sz="4" w:space="0"/>
              <w:right w:val="single" w:color="auto" w:sz="4" w:space="0"/>
            </w:tcBorders>
          </w:tcPr>
          <w:p w14:paraId="4BA8E0BF">
            <w:pPr>
              <w:spacing w:line="560" w:lineRule="exact"/>
              <w:rPr>
                <w:rFonts w:ascii="仿宋_GB2312" w:eastAsia="仿宋_GB2312"/>
                <w:sz w:val="24"/>
                <w:szCs w:val="30"/>
              </w:rPr>
            </w:pPr>
          </w:p>
        </w:tc>
        <w:tc>
          <w:tcPr>
            <w:tcW w:w="1276" w:type="dxa"/>
            <w:tcBorders>
              <w:top w:val="single" w:color="auto" w:sz="4" w:space="0"/>
              <w:left w:val="single" w:color="auto" w:sz="4" w:space="0"/>
              <w:bottom w:val="single" w:color="auto" w:sz="4" w:space="0"/>
              <w:right w:val="single" w:color="auto" w:sz="4" w:space="0"/>
            </w:tcBorders>
          </w:tcPr>
          <w:p w14:paraId="106E2B63">
            <w:pPr>
              <w:spacing w:line="560" w:lineRule="exact"/>
              <w:rPr>
                <w:rFonts w:ascii="仿宋_GB2312" w:eastAsia="仿宋_GB2312"/>
                <w:sz w:val="24"/>
                <w:szCs w:val="30"/>
              </w:rPr>
            </w:pPr>
            <w:r>
              <w:rPr>
                <w:rFonts w:hint="eastAsia" w:ascii="仿宋_GB2312" w:eastAsia="仿宋_GB2312"/>
                <w:sz w:val="24"/>
                <w:szCs w:val="30"/>
              </w:rPr>
              <w:t>电子邮件</w:t>
            </w:r>
          </w:p>
        </w:tc>
        <w:tc>
          <w:tcPr>
            <w:tcW w:w="2600" w:type="dxa"/>
            <w:tcBorders>
              <w:top w:val="single" w:color="auto" w:sz="4" w:space="0"/>
              <w:left w:val="single" w:color="auto" w:sz="4" w:space="0"/>
              <w:bottom w:val="single" w:color="auto" w:sz="4" w:space="0"/>
              <w:right w:val="single" w:color="auto" w:sz="4" w:space="0"/>
            </w:tcBorders>
          </w:tcPr>
          <w:p w14:paraId="406B757E">
            <w:pPr>
              <w:spacing w:line="560" w:lineRule="exact"/>
              <w:rPr>
                <w:rFonts w:ascii="仿宋_GB2312" w:eastAsia="仿宋_GB2312"/>
                <w:sz w:val="24"/>
                <w:szCs w:val="30"/>
              </w:rPr>
            </w:pPr>
          </w:p>
        </w:tc>
      </w:tr>
    </w:tbl>
    <w:p w14:paraId="726F5B29">
      <w:pPr>
        <w:spacing w:line="560" w:lineRule="exact"/>
        <w:ind w:firstLine="600"/>
        <w:rPr>
          <w:rFonts w:ascii="仿宋_GB2312" w:hAnsi="黑体" w:eastAsia="仿宋_GB2312"/>
          <w:sz w:val="30"/>
          <w:szCs w:val="30"/>
        </w:rPr>
      </w:pPr>
      <w:r>
        <w:rPr>
          <w:rFonts w:hint="eastAsia" w:ascii="仿宋_GB2312" w:hAnsi="黑体" w:eastAsia="仿宋_GB2312"/>
          <w:sz w:val="30"/>
          <w:szCs w:val="30"/>
        </w:rPr>
        <w:t>备注：债券交易业务联络人需为本部门债券交易业务骨干。若联络人信息有变更的，须及时向本所报备。</w:t>
      </w:r>
    </w:p>
    <w:p w14:paraId="2498AD5A">
      <w:pPr>
        <w:spacing w:line="560" w:lineRule="exact"/>
        <w:ind w:firstLine="600"/>
        <w:rPr>
          <w:rFonts w:ascii="仿宋_GB2312" w:hAnsi="黑体" w:eastAsia="仿宋_GB2312"/>
          <w:sz w:val="30"/>
          <w:szCs w:val="30"/>
        </w:rPr>
      </w:pPr>
    </w:p>
    <w:p w14:paraId="2FE37430">
      <w:pPr>
        <w:spacing w:line="560" w:lineRule="exact"/>
        <w:ind w:firstLine="600"/>
        <w:jc w:val="center"/>
        <w:rPr>
          <w:rFonts w:ascii="仿宋_GB2312" w:hAnsi="黑体" w:eastAsia="仿宋_GB2312"/>
          <w:sz w:val="30"/>
          <w:szCs w:val="30"/>
        </w:rPr>
      </w:pPr>
      <w:r>
        <w:rPr>
          <w:rFonts w:ascii="仿宋_GB2312" w:hAnsi="黑体" w:eastAsia="仿宋_GB2312"/>
          <w:sz w:val="30"/>
          <w:szCs w:val="30"/>
        </w:rPr>
        <w:t xml:space="preserve">                       经办人</w:t>
      </w:r>
      <w:r>
        <w:rPr>
          <w:rFonts w:hint="eastAsia" w:ascii="仿宋_GB2312" w:hAnsi="黑体" w:eastAsia="仿宋_GB2312"/>
          <w:sz w:val="30"/>
          <w:szCs w:val="30"/>
        </w:rPr>
        <w:t>（</w:t>
      </w:r>
      <w:r>
        <w:rPr>
          <w:rFonts w:ascii="仿宋_GB2312" w:hAnsi="黑体" w:eastAsia="仿宋_GB2312"/>
          <w:sz w:val="30"/>
          <w:szCs w:val="30"/>
        </w:rPr>
        <w:t>签字</w:t>
      </w:r>
      <w:r>
        <w:rPr>
          <w:rFonts w:hint="eastAsia" w:ascii="仿宋_GB2312" w:hAnsi="黑体" w:eastAsia="仿宋_GB2312"/>
          <w:sz w:val="30"/>
          <w:szCs w:val="30"/>
        </w:rPr>
        <w:t>）</w:t>
      </w:r>
      <w:r>
        <w:rPr>
          <w:rFonts w:ascii="仿宋_GB2312" w:hAnsi="黑体" w:eastAsia="仿宋_GB2312"/>
          <w:sz w:val="30"/>
          <w:szCs w:val="30"/>
        </w:rPr>
        <w:t>：</w:t>
      </w:r>
    </w:p>
    <w:p w14:paraId="64013B64">
      <w:pPr>
        <w:spacing w:line="560" w:lineRule="exact"/>
        <w:ind w:firstLine="600"/>
        <w:jc w:val="center"/>
        <w:rPr>
          <w:rFonts w:ascii="仿宋_GB2312" w:hAnsi="黑体" w:eastAsia="仿宋_GB2312"/>
          <w:sz w:val="30"/>
          <w:szCs w:val="30"/>
        </w:rPr>
      </w:pPr>
      <w:r>
        <w:rPr>
          <w:rFonts w:ascii="仿宋_GB2312" w:hAnsi="黑体" w:eastAsia="仿宋_GB2312"/>
          <w:sz w:val="30"/>
          <w:szCs w:val="30"/>
        </w:rPr>
        <w:t xml:space="preserve">                   联系电话：</w:t>
      </w:r>
    </w:p>
    <w:p w14:paraId="0CFED3F4">
      <w:pPr>
        <w:pStyle w:val="92"/>
        <w:spacing w:line="560" w:lineRule="exact"/>
        <w:ind w:left="0" w:firstLine="600"/>
        <w:jc w:val="center"/>
        <w:rPr>
          <w:rFonts w:ascii="仿宋_GB2312" w:hAnsi="黑体" w:eastAsia="仿宋_GB2312"/>
          <w:sz w:val="30"/>
          <w:szCs w:val="30"/>
          <w:lang w:eastAsia="zh-CN"/>
        </w:rPr>
      </w:pPr>
      <w:r>
        <w:rPr>
          <w:rFonts w:ascii="仿宋_GB2312" w:hAnsi="黑体" w:eastAsia="仿宋_GB2312"/>
          <w:sz w:val="30"/>
          <w:szCs w:val="30"/>
          <w:lang w:eastAsia="zh-CN"/>
        </w:rPr>
        <w:t xml:space="preserve">                   申请日期：</w:t>
      </w:r>
      <w:bookmarkStart w:id="3920" w:name="_上海证券交易所债券市场交易单元申请表"/>
      <w:bookmarkEnd w:id="3920"/>
      <w:bookmarkStart w:id="3921" w:name="_Toc35006354"/>
      <w:r>
        <w:rPr>
          <w:rFonts w:ascii="仿宋_GB2312" w:hAnsi="黑体" w:eastAsia="仿宋_GB2312"/>
          <w:sz w:val="30"/>
          <w:szCs w:val="30"/>
          <w:lang w:eastAsia="zh-CN"/>
        </w:rPr>
        <w:t xml:space="preserve"> </w:t>
      </w:r>
      <w:bookmarkEnd w:id="3921"/>
    </w:p>
    <w:p w14:paraId="4FC4FF10">
      <w:pPr>
        <w:widowControl/>
        <w:jc w:val="left"/>
        <w:rPr>
          <w:rFonts w:ascii="仿宋_GB2312" w:hAnsi="黑体" w:eastAsia="仿宋_GB2312"/>
          <w:b/>
          <w:kern w:val="0"/>
          <w:sz w:val="36"/>
          <w:szCs w:val="36"/>
          <w:lang w:bidi="en-US"/>
        </w:rPr>
      </w:pPr>
      <w:r>
        <w:rPr>
          <w:rFonts w:ascii="仿宋_GB2312" w:hAnsi="黑体" w:eastAsia="仿宋_GB2312"/>
          <w:b/>
          <w:sz w:val="36"/>
          <w:szCs w:val="36"/>
        </w:rPr>
        <w:br w:type="page"/>
      </w:r>
    </w:p>
    <w:p w14:paraId="5C394753">
      <w:pPr>
        <w:widowControl/>
        <w:jc w:val="left"/>
        <w:outlineLvl w:val="1"/>
        <w:rPr>
          <w:rFonts w:ascii="仿宋_GB2312" w:hAnsi="黑体" w:eastAsia="仿宋_GB2312"/>
          <w:b/>
          <w:sz w:val="30"/>
          <w:szCs w:val="30"/>
        </w:rPr>
      </w:pPr>
      <w:bookmarkStart w:id="3922" w:name="_Toc2100473549"/>
      <w:bookmarkStart w:id="3923" w:name="_Toc151137084"/>
      <w:bookmarkStart w:id="3924" w:name="_Toc1274182556"/>
      <w:bookmarkStart w:id="3925" w:name="_Toc389815168"/>
      <w:bookmarkStart w:id="3926" w:name="_Toc1143818653"/>
      <w:bookmarkStart w:id="3927" w:name="_Toc1077872055"/>
      <w:bookmarkStart w:id="3928" w:name="_Toc190252285"/>
      <w:r>
        <w:rPr>
          <w:rFonts w:hint="eastAsia" w:ascii="仿宋_GB2312" w:hAnsi="黑体" w:eastAsia="仿宋_GB2312"/>
          <w:b/>
          <w:sz w:val="30"/>
          <w:szCs w:val="30"/>
        </w:rPr>
        <w:t>附件4 境外机构投资者信息报送表</w:t>
      </w:r>
      <w:bookmarkEnd w:id="3922"/>
      <w:bookmarkEnd w:id="3923"/>
      <w:bookmarkEnd w:id="3924"/>
      <w:bookmarkEnd w:id="3925"/>
      <w:bookmarkEnd w:id="3926"/>
      <w:bookmarkEnd w:id="3927"/>
      <w:bookmarkEnd w:id="3928"/>
    </w:p>
    <w:tbl>
      <w:tblPr>
        <w:tblStyle w:val="43"/>
        <w:tblW w:w="8222" w:type="dxa"/>
        <w:tblInd w:w="108" w:type="dxa"/>
        <w:tblLayout w:type="fixed"/>
        <w:tblCellMar>
          <w:top w:w="0" w:type="dxa"/>
          <w:left w:w="108" w:type="dxa"/>
          <w:bottom w:w="0" w:type="dxa"/>
          <w:right w:w="108" w:type="dxa"/>
        </w:tblCellMar>
      </w:tblPr>
      <w:tblGrid>
        <w:gridCol w:w="2025"/>
        <w:gridCol w:w="1311"/>
        <w:gridCol w:w="775"/>
        <w:gridCol w:w="962"/>
        <w:gridCol w:w="314"/>
        <w:gridCol w:w="850"/>
        <w:gridCol w:w="44"/>
        <w:gridCol w:w="807"/>
        <w:gridCol w:w="142"/>
        <w:gridCol w:w="992"/>
      </w:tblGrid>
      <w:tr w14:paraId="29D1D43F">
        <w:tblPrEx>
          <w:tblCellMar>
            <w:top w:w="0" w:type="dxa"/>
            <w:left w:w="108" w:type="dxa"/>
            <w:bottom w:w="0" w:type="dxa"/>
            <w:right w:w="108" w:type="dxa"/>
          </w:tblCellMar>
        </w:tblPrEx>
        <w:trPr>
          <w:trHeight w:val="350" w:hRule="atLeast"/>
        </w:trPr>
        <w:tc>
          <w:tcPr>
            <w:tcW w:w="8222" w:type="dxa"/>
            <w:gridSpan w:val="10"/>
            <w:noWrap/>
            <w:vAlign w:val="bottom"/>
          </w:tcPr>
          <w:p w14:paraId="54DFD5D7">
            <w:pPr>
              <w:widowControl/>
              <w:jc w:val="left"/>
              <w:rPr>
                <w:rFonts w:ascii="仿宋_GB2312" w:hAnsi="华文细黑" w:eastAsia="仿宋_GB2312" w:cs="华文细黑"/>
                <w:color w:val="000000"/>
                <w:sz w:val="30"/>
                <w:szCs w:val="30"/>
              </w:rPr>
            </w:pPr>
          </w:p>
          <w:p w14:paraId="6C823700">
            <w:pPr>
              <w:widowControl/>
              <w:jc w:val="center"/>
              <w:rPr>
                <w:rFonts w:ascii="黑体" w:hAnsi="黑体" w:eastAsia="黑体"/>
                <w:b/>
                <w:bCs/>
                <w:kern w:val="0"/>
                <w:sz w:val="28"/>
                <w:szCs w:val="28"/>
              </w:rPr>
            </w:pPr>
            <w:r>
              <w:rPr>
                <w:rFonts w:hint="eastAsia" w:ascii="黑体" w:hAnsi="黑体" w:eastAsia="黑体"/>
                <w:b/>
                <w:sz w:val="44"/>
                <w:szCs w:val="44"/>
              </w:rPr>
              <w:t>境外机构投资者信息报送表</w:t>
            </w:r>
          </w:p>
          <w:p w14:paraId="729A2CE1">
            <w:pPr>
              <w:pStyle w:val="39"/>
              <w:spacing w:before="0" w:beforeAutospacing="0" w:after="0" w:afterAutospacing="0" w:line="560" w:lineRule="exact"/>
              <w:contextualSpacing/>
              <w:jc w:val="center"/>
              <w:rPr>
                <w:rFonts w:ascii="Times New Roman" w:hAnsi="Times New Roman"/>
                <w:color w:val="000000"/>
                <w:sz w:val="22"/>
              </w:rPr>
            </w:pPr>
            <w:r>
              <w:rPr>
                <w:rFonts w:hint="eastAsia" w:ascii="Times New Roman" w:hAnsi="Times New Roman" w:eastAsiaTheme="minorEastAsia"/>
                <w:b/>
                <w:sz w:val="36"/>
                <w:szCs w:val="36"/>
              </w:rPr>
              <w:t>Information</w:t>
            </w:r>
            <w:r>
              <w:rPr>
                <w:rFonts w:ascii="Times New Roman" w:hAnsi="Times New Roman" w:eastAsiaTheme="minorEastAsia"/>
                <w:b/>
                <w:sz w:val="36"/>
                <w:szCs w:val="36"/>
              </w:rPr>
              <w:t xml:space="preserve"> Form</w:t>
            </w:r>
            <w:r>
              <w:rPr>
                <w:rFonts w:hint="eastAsia" w:ascii="Times New Roman" w:hAnsi="Times New Roman" w:eastAsiaTheme="minorEastAsia"/>
                <w:b/>
                <w:sz w:val="36"/>
                <w:szCs w:val="36"/>
              </w:rPr>
              <w:t xml:space="preserve"> For Foreign Institutional Investors</w:t>
            </w:r>
          </w:p>
        </w:tc>
      </w:tr>
      <w:tr w14:paraId="7A159C27">
        <w:tblPrEx>
          <w:tblCellMar>
            <w:top w:w="0" w:type="dxa"/>
            <w:left w:w="108" w:type="dxa"/>
            <w:bottom w:w="0" w:type="dxa"/>
            <w:right w:w="108" w:type="dxa"/>
          </w:tblCellMar>
        </w:tblPrEx>
        <w:trPr>
          <w:trHeight w:val="320" w:hRule="atLeast"/>
        </w:trPr>
        <w:tc>
          <w:tcPr>
            <w:tcW w:w="8222" w:type="dxa"/>
            <w:gridSpan w:val="10"/>
            <w:tcBorders>
              <w:bottom w:val="single" w:color="auto" w:sz="4" w:space="0"/>
            </w:tcBorders>
            <w:noWrap/>
            <w:vAlign w:val="bottom"/>
          </w:tcPr>
          <w:p w14:paraId="03CE71DE">
            <w:pPr>
              <w:pStyle w:val="92"/>
              <w:keepNext/>
              <w:keepLines/>
              <w:spacing w:before="340" w:after="330" w:line="578" w:lineRule="auto"/>
              <w:ind w:left="420" w:firstLine="0"/>
            </w:pPr>
          </w:p>
        </w:tc>
      </w:tr>
      <w:tr w14:paraId="284ACFFA">
        <w:tblPrEx>
          <w:tblCellMar>
            <w:top w:w="0" w:type="dxa"/>
            <w:left w:w="108" w:type="dxa"/>
            <w:bottom w:w="0" w:type="dxa"/>
            <w:right w:w="108" w:type="dxa"/>
          </w:tblCellMar>
        </w:tblPrEx>
        <w:trPr>
          <w:trHeight w:val="900" w:hRule="atLeast"/>
        </w:trPr>
        <w:tc>
          <w:tcPr>
            <w:tcW w:w="2025" w:type="dxa"/>
            <w:tcBorders>
              <w:top w:val="single" w:color="auto" w:sz="4" w:space="0"/>
              <w:left w:val="single" w:color="auto" w:sz="4" w:space="0"/>
              <w:bottom w:val="single" w:color="auto" w:sz="4" w:space="0"/>
              <w:right w:val="single" w:color="auto" w:sz="4" w:space="0"/>
            </w:tcBorders>
            <w:vAlign w:val="center"/>
          </w:tcPr>
          <w:p w14:paraId="29BD144F">
            <w:pPr>
              <w:jc w:val="left"/>
              <w:rPr>
                <w:rFonts w:eastAsiaTheme="minorEastAsia"/>
                <w:b/>
                <w:bCs/>
              </w:rPr>
            </w:pPr>
            <w:r>
              <w:rPr>
                <w:rFonts w:hint="eastAsia" w:eastAsiaTheme="minorEastAsia"/>
                <w:b/>
                <w:bCs/>
              </w:rPr>
              <w:t>申报类别</w:t>
            </w:r>
          </w:p>
        </w:tc>
        <w:tc>
          <w:tcPr>
            <w:tcW w:w="6197" w:type="dxa"/>
            <w:gridSpan w:val="9"/>
            <w:tcBorders>
              <w:top w:val="single" w:color="auto" w:sz="4" w:space="0"/>
              <w:left w:val="nil"/>
              <w:bottom w:val="single" w:color="auto" w:sz="4" w:space="0"/>
              <w:right w:val="single" w:color="auto" w:sz="4" w:space="0"/>
            </w:tcBorders>
            <w:vAlign w:val="center"/>
          </w:tcPr>
          <w:p w14:paraId="11D6D981">
            <w:pPr>
              <w:jc w:val="left"/>
              <w:rPr>
                <w:rFonts w:eastAsiaTheme="minorEastAsia"/>
                <w:b/>
                <w:bCs/>
              </w:rPr>
            </w:pPr>
            <w:r>
              <w:rPr>
                <w:rFonts w:hint="eastAsia" w:eastAsia="黑体"/>
                <w:b/>
                <w:bCs/>
              </w:rPr>
              <w:t>法人</w:t>
            </w:r>
            <w:r>
              <w:rPr>
                <w:rFonts w:hint="eastAsia" w:eastAsiaTheme="minorEastAsia"/>
                <w:b/>
                <w:bCs/>
              </w:rPr>
              <w:t>/</w:t>
            </w:r>
            <w:r>
              <w:rPr>
                <w:rFonts w:hint="eastAsia" w:eastAsia="黑体"/>
                <w:b/>
                <w:bCs/>
              </w:rPr>
              <w:t>非法人产品的资产管理人</w:t>
            </w:r>
          </w:p>
          <w:p w14:paraId="452CBDC5">
            <w:pPr>
              <w:jc w:val="left"/>
              <w:rPr>
                <w:rFonts w:eastAsiaTheme="minorEastAsia"/>
                <w:b/>
                <w:bCs/>
              </w:rPr>
            </w:pPr>
            <w:r>
              <w:rPr>
                <w:rFonts w:eastAsia="黑体"/>
              </w:rPr>
              <w:t>Incorporated Entity</w:t>
            </w:r>
            <w:r>
              <w:rPr>
                <w:rFonts w:hint="eastAsia" w:eastAsiaTheme="minorEastAsia"/>
              </w:rPr>
              <w:t>/</w:t>
            </w:r>
            <w:r>
              <w:rPr>
                <w:rFonts w:eastAsia="黑体"/>
              </w:rPr>
              <w:t>Asset Management Company of Unincorporated Fund Products</w:t>
            </w:r>
          </w:p>
        </w:tc>
      </w:tr>
      <w:tr w14:paraId="399E5253">
        <w:tblPrEx>
          <w:tblCellMar>
            <w:top w:w="0" w:type="dxa"/>
            <w:left w:w="108" w:type="dxa"/>
            <w:bottom w:w="0" w:type="dxa"/>
            <w:right w:w="108" w:type="dxa"/>
          </w:tblCellMar>
        </w:tblPrEx>
        <w:trPr>
          <w:trHeight w:val="900" w:hRule="atLeast"/>
        </w:trPr>
        <w:tc>
          <w:tcPr>
            <w:tcW w:w="2025" w:type="dxa"/>
            <w:tcBorders>
              <w:top w:val="single" w:color="auto" w:sz="4" w:space="0"/>
              <w:left w:val="single" w:color="auto" w:sz="4" w:space="0"/>
              <w:bottom w:val="single" w:color="auto" w:sz="4" w:space="0"/>
              <w:right w:val="single" w:color="auto" w:sz="4" w:space="0"/>
            </w:tcBorders>
            <w:vAlign w:val="center"/>
          </w:tcPr>
          <w:p w14:paraId="5E2ACF58">
            <w:pPr>
              <w:jc w:val="left"/>
              <w:rPr>
                <w:rFonts w:eastAsia="黑体"/>
                <w:b/>
                <w:bCs/>
              </w:rPr>
            </w:pPr>
            <w:r>
              <w:rPr>
                <w:rFonts w:hint="eastAsia" w:eastAsia="黑体"/>
                <w:b/>
                <w:bCs/>
              </w:rPr>
              <w:t>机构全称</w:t>
            </w:r>
          </w:p>
          <w:p w14:paraId="1504E009">
            <w:pPr>
              <w:jc w:val="left"/>
              <w:rPr>
                <w:rFonts w:eastAsia="黑体"/>
                <w:bCs/>
              </w:rPr>
            </w:pPr>
            <w:r>
              <w:rPr>
                <w:rFonts w:eastAsia="黑体"/>
              </w:rPr>
              <w:t>Full Name of Applicant Institution</w:t>
            </w:r>
          </w:p>
        </w:tc>
        <w:tc>
          <w:tcPr>
            <w:tcW w:w="6197" w:type="dxa"/>
            <w:gridSpan w:val="9"/>
            <w:tcBorders>
              <w:top w:val="single" w:color="auto" w:sz="4" w:space="0"/>
              <w:left w:val="nil"/>
              <w:bottom w:val="single" w:color="auto" w:sz="4" w:space="0"/>
              <w:right w:val="single" w:color="auto" w:sz="4" w:space="0"/>
            </w:tcBorders>
            <w:vAlign w:val="center"/>
          </w:tcPr>
          <w:p w14:paraId="1A163A4A">
            <w:pPr>
              <w:jc w:val="left"/>
              <w:rPr>
                <w:rFonts w:eastAsia="黑体"/>
                <w:b/>
                <w:bCs/>
              </w:rPr>
            </w:pPr>
          </w:p>
          <w:p w14:paraId="312B9638">
            <w:pPr>
              <w:jc w:val="left"/>
              <w:rPr>
                <w:rFonts w:eastAsia="黑体"/>
                <w:bCs/>
              </w:rPr>
            </w:pPr>
          </w:p>
        </w:tc>
      </w:tr>
      <w:tr w14:paraId="198BE698">
        <w:tblPrEx>
          <w:tblCellMar>
            <w:top w:w="0" w:type="dxa"/>
            <w:left w:w="108" w:type="dxa"/>
            <w:bottom w:w="0" w:type="dxa"/>
            <w:right w:w="108" w:type="dxa"/>
          </w:tblCellMar>
        </w:tblPrEx>
        <w:trPr>
          <w:trHeight w:val="600" w:hRule="atLeast"/>
        </w:trPr>
        <w:tc>
          <w:tcPr>
            <w:tcW w:w="2025" w:type="dxa"/>
            <w:tcBorders>
              <w:top w:val="nil"/>
              <w:left w:val="single" w:color="auto" w:sz="4" w:space="0"/>
              <w:bottom w:val="single" w:color="auto" w:sz="4" w:space="0"/>
              <w:right w:val="single" w:color="auto" w:sz="4" w:space="0"/>
            </w:tcBorders>
            <w:vAlign w:val="center"/>
          </w:tcPr>
          <w:p w14:paraId="422BE08C">
            <w:pPr>
              <w:jc w:val="left"/>
              <w:rPr>
                <w:rFonts w:eastAsia="黑体"/>
                <w:b/>
                <w:bCs/>
              </w:rPr>
            </w:pPr>
            <w:r>
              <w:rPr>
                <w:rFonts w:hint="eastAsia" w:eastAsia="黑体"/>
                <w:b/>
                <w:bCs/>
              </w:rPr>
              <w:t>机构类别</w:t>
            </w:r>
          </w:p>
          <w:p w14:paraId="12450F63">
            <w:pPr>
              <w:jc w:val="left"/>
              <w:rPr>
                <w:rFonts w:eastAsia="黑体"/>
                <w:bCs/>
              </w:rPr>
            </w:pPr>
            <w:r>
              <w:rPr>
                <w:rFonts w:eastAsia="黑体"/>
              </w:rPr>
              <w:t>Type of Institution</w:t>
            </w:r>
          </w:p>
        </w:tc>
        <w:tc>
          <w:tcPr>
            <w:tcW w:w="6197" w:type="dxa"/>
            <w:gridSpan w:val="9"/>
            <w:tcBorders>
              <w:top w:val="single" w:color="auto" w:sz="4" w:space="0"/>
              <w:left w:val="nil"/>
              <w:bottom w:val="single" w:color="auto" w:sz="4" w:space="0"/>
              <w:right w:val="single" w:color="auto" w:sz="4" w:space="0"/>
            </w:tcBorders>
            <w:vAlign w:val="center"/>
          </w:tcPr>
          <w:p w14:paraId="7EF5BB6A">
            <w:pPr>
              <w:jc w:val="left"/>
              <w:rPr>
                <w:rFonts w:eastAsiaTheme="minorEastAsia"/>
                <w:bCs/>
              </w:rPr>
            </w:pPr>
            <w:r>
              <w:rPr>
                <w:rFonts w:hint="eastAsia" w:eastAsia="黑体"/>
                <w:bCs/>
              </w:rPr>
              <w:t>□</w:t>
            </w:r>
            <w:r>
              <w:rPr>
                <w:rFonts w:hint="eastAsia" w:eastAsiaTheme="minorEastAsia"/>
                <w:bCs/>
              </w:rPr>
              <w:t>主权机构 Sovereign fund</w:t>
            </w:r>
          </w:p>
          <w:p w14:paraId="27C16604">
            <w:pPr>
              <w:jc w:val="left"/>
              <w:rPr>
                <w:rFonts w:eastAsiaTheme="minorEastAsia"/>
                <w:bCs/>
              </w:rPr>
            </w:pPr>
            <w:r>
              <w:rPr>
                <w:rFonts w:hint="eastAsia" w:eastAsia="黑体"/>
                <w:bCs/>
              </w:rPr>
              <w:t>□商业银行</w:t>
            </w:r>
            <w:r>
              <w:rPr>
                <w:rFonts w:hint="eastAsia" w:eastAsiaTheme="minorEastAsia"/>
                <w:bCs/>
              </w:rPr>
              <w:t xml:space="preserve"> </w:t>
            </w:r>
            <w:r>
              <w:rPr>
                <w:rFonts w:eastAsia="黑体"/>
                <w:bCs/>
              </w:rPr>
              <w:t>Commercial bank</w:t>
            </w:r>
          </w:p>
          <w:p w14:paraId="4376E806">
            <w:pPr>
              <w:jc w:val="left"/>
              <w:rPr>
                <w:rFonts w:eastAsiaTheme="minorEastAsia"/>
                <w:bCs/>
              </w:rPr>
            </w:pPr>
            <w:r>
              <w:rPr>
                <w:rFonts w:hint="eastAsia" w:eastAsia="黑体"/>
                <w:bCs/>
              </w:rPr>
              <w:t>□保险公司</w:t>
            </w:r>
            <w:r>
              <w:rPr>
                <w:rFonts w:hint="eastAsia" w:eastAsiaTheme="minorEastAsia"/>
                <w:bCs/>
              </w:rPr>
              <w:t xml:space="preserve"> </w:t>
            </w:r>
            <w:r>
              <w:rPr>
                <w:rFonts w:eastAsia="黑体"/>
                <w:bCs/>
              </w:rPr>
              <w:t>Insurance company</w:t>
            </w:r>
          </w:p>
          <w:p w14:paraId="5A788224">
            <w:pPr>
              <w:jc w:val="left"/>
              <w:rPr>
                <w:rFonts w:eastAsiaTheme="minorEastAsia"/>
                <w:bCs/>
              </w:rPr>
            </w:pPr>
            <w:r>
              <w:rPr>
                <w:rFonts w:hint="eastAsia" w:eastAsia="黑体"/>
                <w:bCs/>
              </w:rPr>
              <w:t>□证券公司</w:t>
            </w:r>
            <w:r>
              <w:rPr>
                <w:rFonts w:hint="eastAsia" w:eastAsiaTheme="minorEastAsia"/>
                <w:bCs/>
              </w:rPr>
              <w:t xml:space="preserve"> </w:t>
            </w:r>
            <w:r>
              <w:rPr>
                <w:rFonts w:eastAsia="黑体"/>
                <w:bCs/>
              </w:rPr>
              <w:t>Securities company</w:t>
            </w:r>
          </w:p>
          <w:p w14:paraId="6A92B64B">
            <w:pPr>
              <w:jc w:val="left"/>
              <w:rPr>
                <w:rFonts w:eastAsiaTheme="minorEastAsia"/>
                <w:bCs/>
              </w:rPr>
            </w:pPr>
            <w:r>
              <w:rPr>
                <w:rFonts w:hint="eastAsia" w:eastAsia="黑体"/>
                <w:bCs/>
              </w:rPr>
              <w:t>□基金管理</w:t>
            </w:r>
            <w:r>
              <w:rPr>
                <w:rFonts w:hint="eastAsia" w:eastAsiaTheme="minorEastAsia"/>
                <w:bCs/>
              </w:rPr>
              <w:t xml:space="preserve">公司 </w:t>
            </w:r>
            <w:r>
              <w:rPr>
                <w:rFonts w:eastAsia="黑体"/>
                <w:bCs/>
              </w:rPr>
              <w:t xml:space="preserve">Fund management </w:t>
            </w:r>
            <w:r>
              <w:rPr>
                <w:rFonts w:hint="eastAsia" w:eastAsiaTheme="minorEastAsia"/>
                <w:bCs/>
              </w:rPr>
              <w:t>company</w:t>
            </w:r>
          </w:p>
          <w:p w14:paraId="2C21410C">
            <w:pPr>
              <w:jc w:val="left"/>
              <w:rPr>
                <w:rFonts w:eastAsiaTheme="minorEastAsia"/>
                <w:bCs/>
              </w:rPr>
            </w:pPr>
            <w:r>
              <w:rPr>
                <w:rFonts w:hint="eastAsia" w:eastAsia="黑体"/>
                <w:bCs/>
              </w:rPr>
              <w:t>□</w:t>
            </w:r>
            <w:r>
              <w:rPr>
                <w:rFonts w:hint="eastAsia" w:eastAsiaTheme="minorEastAsia"/>
                <w:bCs/>
              </w:rPr>
              <w:t>期货公司 Futures company</w:t>
            </w:r>
          </w:p>
          <w:p w14:paraId="72AA5134">
            <w:pPr>
              <w:jc w:val="left"/>
              <w:rPr>
                <w:rFonts w:eastAsiaTheme="minorEastAsia"/>
                <w:bCs/>
              </w:rPr>
            </w:pPr>
            <w:r>
              <w:rPr>
                <w:rFonts w:hint="eastAsia" w:eastAsia="黑体"/>
                <w:bCs/>
              </w:rPr>
              <w:t>□</w:t>
            </w:r>
            <w:r>
              <w:rPr>
                <w:rFonts w:hint="eastAsia" w:eastAsiaTheme="minorEastAsia"/>
                <w:bCs/>
              </w:rPr>
              <w:t>信托公司 Trust company</w:t>
            </w:r>
          </w:p>
          <w:p w14:paraId="2B41E31E">
            <w:pPr>
              <w:jc w:val="left"/>
              <w:rPr>
                <w:rFonts w:eastAsiaTheme="minorEastAsia"/>
                <w:bCs/>
              </w:rPr>
            </w:pPr>
            <w:r>
              <w:rPr>
                <w:rFonts w:hint="eastAsia" w:eastAsia="黑体"/>
                <w:bCs/>
              </w:rPr>
              <w:t>□</w:t>
            </w:r>
            <w:r>
              <w:rPr>
                <w:rFonts w:hint="eastAsia" w:eastAsiaTheme="minorEastAsia"/>
                <w:bCs/>
              </w:rPr>
              <w:t>养老基金 Pension fund</w:t>
            </w:r>
          </w:p>
          <w:p w14:paraId="25EDAA92">
            <w:pPr>
              <w:jc w:val="left"/>
              <w:rPr>
                <w:rFonts w:eastAsiaTheme="minorEastAsia"/>
                <w:bCs/>
              </w:rPr>
            </w:pPr>
            <w:r>
              <w:rPr>
                <w:rFonts w:hint="eastAsia" w:eastAsia="黑体"/>
                <w:bCs/>
              </w:rPr>
              <w:t>□</w:t>
            </w:r>
            <w:r>
              <w:rPr>
                <w:rFonts w:hint="eastAsia" w:eastAsiaTheme="minorEastAsia"/>
                <w:bCs/>
              </w:rPr>
              <w:t>慈善基金 Charitable fundation</w:t>
            </w:r>
          </w:p>
          <w:p w14:paraId="7D1D4A82">
            <w:pPr>
              <w:jc w:val="left"/>
              <w:rPr>
                <w:rFonts w:eastAsiaTheme="minorEastAsia"/>
                <w:bCs/>
              </w:rPr>
            </w:pPr>
            <w:r>
              <w:rPr>
                <w:rFonts w:hint="eastAsia" w:eastAsia="黑体"/>
                <w:bCs/>
              </w:rPr>
              <w:t>□</w:t>
            </w:r>
            <w:r>
              <w:rPr>
                <w:rFonts w:hint="eastAsia" w:eastAsiaTheme="minorEastAsia"/>
                <w:bCs/>
              </w:rPr>
              <w:t>捐赠基金 Endowment fund</w:t>
            </w:r>
          </w:p>
          <w:p w14:paraId="547DB694">
            <w:pPr>
              <w:jc w:val="left"/>
              <w:rPr>
                <w:rFonts w:eastAsiaTheme="minorEastAsia"/>
                <w:bCs/>
              </w:rPr>
            </w:pPr>
            <w:r>
              <w:rPr>
                <w:rFonts w:hint="eastAsia" w:eastAsia="黑体"/>
                <w:bCs/>
              </w:rPr>
              <w:t>□其他机构（请说明）</w:t>
            </w:r>
            <w:r>
              <w:rPr>
                <w:rFonts w:hint="eastAsia" w:eastAsiaTheme="minorEastAsia"/>
                <w:bCs/>
              </w:rPr>
              <w:t xml:space="preserve"> </w:t>
            </w:r>
            <w:r>
              <w:rPr>
                <w:rFonts w:eastAsia="黑体"/>
                <w:bCs/>
              </w:rPr>
              <w:t>Other</w:t>
            </w:r>
            <w:r>
              <w:rPr>
                <w:rFonts w:hint="eastAsia" w:eastAsia="黑体"/>
                <w:bCs/>
              </w:rPr>
              <w:t>（</w:t>
            </w:r>
            <w:r>
              <w:rPr>
                <w:rFonts w:eastAsia="黑体"/>
                <w:bCs/>
              </w:rPr>
              <w:t>please specify</w:t>
            </w:r>
            <w:r>
              <w:rPr>
                <w:rFonts w:hint="eastAsia" w:eastAsiaTheme="minorEastAsia"/>
                <w:bCs/>
              </w:rPr>
              <w:t>）</w:t>
            </w:r>
          </w:p>
        </w:tc>
      </w:tr>
      <w:tr w14:paraId="50355302">
        <w:tblPrEx>
          <w:tblCellMar>
            <w:top w:w="0" w:type="dxa"/>
            <w:left w:w="108" w:type="dxa"/>
            <w:bottom w:w="0" w:type="dxa"/>
            <w:right w:w="108" w:type="dxa"/>
          </w:tblCellMar>
        </w:tblPrEx>
        <w:trPr>
          <w:trHeight w:val="620" w:hRule="atLeast"/>
        </w:trPr>
        <w:tc>
          <w:tcPr>
            <w:tcW w:w="2025" w:type="dxa"/>
            <w:tcBorders>
              <w:top w:val="nil"/>
              <w:left w:val="single" w:color="auto" w:sz="4" w:space="0"/>
              <w:bottom w:val="single" w:color="auto" w:sz="4" w:space="0"/>
              <w:right w:val="single" w:color="auto" w:sz="4" w:space="0"/>
            </w:tcBorders>
            <w:vAlign w:val="center"/>
          </w:tcPr>
          <w:p w14:paraId="57B1EB08">
            <w:pPr>
              <w:jc w:val="left"/>
              <w:rPr>
                <w:rFonts w:eastAsiaTheme="minorEastAsia"/>
                <w:b/>
                <w:bCs/>
              </w:rPr>
            </w:pPr>
            <w:r>
              <w:rPr>
                <w:rFonts w:hint="eastAsia" w:eastAsiaTheme="minorEastAsia"/>
                <w:b/>
                <w:bCs/>
              </w:rPr>
              <w:t>所在国家/地区</w:t>
            </w:r>
          </w:p>
          <w:p w14:paraId="5D4922C1">
            <w:pPr>
              <w:jc w:val="left"/>
              <w:rPr>
                <w:rFonts w:eastAsiaTheme="minorEastAsia"/>
                <w:bCs/>
              </w:rPr>
            </w:pPr>
            <w:r>
              <w:rPr>
                <w:rFonts w:eastAsiaTheme="minorEastAsia"/>
                <w:bCs/>
              </w:rPr>
              <w:t>Country/Region</w:t>
            </w:r>
          </w:p>
        </w:tc>
        <w:tc>
          <w:tcPr>
            <w:tcW w:w="6197" w:type="dxa"/>
            <w:gridSpan w:val="9"/>
            <w:tcBorders>
              <w:top w:val="single" w:color="auto" w:sz="4" w:space="0"/>
              <w:left w:val="nil"/>
              <w:bottom w:val="single" w:color="auto" w:sz="4" w:space="0"/>
              <w:right w:val="single" w:color="auto" w:sz="4" w:space="0"/>
            </w:tcBorders>
            <w:vAlign w:val="center"/>
          </w:tcPr>
          <w:p w14:paraId="437FA21D">
            <w:pPr>
              <w:ind w:left="210" w:hanging="210" w:hangingChars="100"/>
              <w:jc w:val="left"/>
              <w:rPr>
                <w:rFonts w:eastAsiaTheme="minorEastAsia"/>
                <w:bCs/>
              </w:rPr>
            </w:pPr>
          </w:p>
        </w:tc>
      </w:tr>
      <w:tr w14:paraId="75E05193">
        <w:tblPrEx>
          <w:tblCellMar>
            <w:top w:w="0" w:type="dxa"/>
            <w:left w:w="108" w:type="dxa"/>
            <w:bottom w:w="0" w:type="dxa"/>
            <w:right w:w="108" w:type="dxa"/>
          </w:tblCellMar>
        </w:tblPrEx>
        <w:trPr>
          <w:trHeight w:val="620" w:hRule="atLeast"/>
        </w:trPr>
        <w:tc>
          <w:tcPr>
            <w:tcW w:w="2025" w:type="dxa"/>
            <w:tcBorders>
              <w:top w:val="nil"/>
              <w:left w:val="single" w:color="auto" w:sz="4" w:space="0"/>
              <w:bottom w:val="single" w:color="auto" w:sz="4" w:space="0"/>
              <w:right w:val="single" w:color="auto" w:sz="4" w:space="0"/>
            </w:tcBorders>
            <w:vAlign w:val="center"/>
          </w:tcPr>
          <w:p w14:paraId="637FF0DF">
            <w:pPr>
              <w:jc w:val="left"/>
              <w:rPr>
                <w:rFonts w:eastAsiaTheme="minorEastAsia"/>
                <w:b/>
                <w:bCs/>
              </w:rPr>
            </w:pPr>
            <w:r>
              <w:rPr>
                <w:rFonts w:hint="eastAsia" w:eastAsiaTheme="minorEastAsia"/>
                <w:b/>
                <w:bCs/>
              </w:rPr>
              <w:t>证券帐户</w:t>
            </w:r>
          </w:p>
          <w:p w14:paraId="0D9B4E72">
            <w:pPr>
              <w:jc w:val="left"/>
              <w:rPr>
                <w:rFonts w:eastAsiaTheme="minorEastAsia"/>
                <w:bCs/>
              </w:rPr>
            </w:pPr>
            <w:r>
              <w:rPr>
                <w:rFonts w:hint="eastAsia" w:eastAsiaTheme="minorEastAsia"/>
                <w:bCs/>
              </w:rPr>
              <w:t>Security Account（s）</w:t>
            </w:r>
          </w:p>
        </w:tc>
        <w:tc>
          <w:tcPr>
            <w:tcW w:w="6197" w:type="dxa"/>
            <w:gridSpan w:val="9"/>
            <w:tcBorders>
              <w:top w:val="single" w:color="auto" w:sz="4" w:space="0"/>
              <w:left w:val="nil"/>
              <w:bottom w:val="single" w:color="auto" w:sz="4" w:space="0"/>
              <w:right w:val="single" w:color="auto" w:sz="4" w:space="0"/>
            </w:tcBorders>
            <w:vAlign w:val="center"/>
          </w:tcPr>
          <w:p w14:paraId="749F95C6">
            <w:pPr>
              <w:ind w:left="210" w:hanging="210" w:hangingChars="100"/>
              <w:jc w:val="left"/>
              <w:rPr>
                <w:rFonts w:eastAsiaTheme="minorEastAsia"/>
                <w:bCs/>
              </w:rPr>
            </w:pPr>
            <w:r>
              <w:rPr>
                <w:rFonts w:hint="eastAsia" w:eastAsiaTheme="minorEastAsia"/>
                <w:bCs/>
              </w:rPr>
              <w:t>（可填多项）</w:t>
            </w:r>
          </w:p>
          <w:p w14:paraId="5F7B0FBB">
            <w:pPr>
              <w:ind w:left="210" w:leftChars="50" w:hanging="105" w:hangingChars="50"/>
              <w:jc w:val="left"/>
              <w:rPr>
                <w:rFonts w:eastAsiaTheme="minorEastAsia"/>
                <w:bCs/>
              </w:rPr>
            </w:pPr>
          </w:p>
        </w:tc>
      </w:tr>
      <w:tr w14:paraId="4FE89943">
        <w:tblPrEx>
          <w:tblCellMar>
            <w:top w:w="0" w:type="dxa"/>
            <w:left w:w="108" w:type="dxa"/>
            <w:bottom w:w="0" w:type="dxa"/>
            <w:right w:w="108" w:type="dxa"/>
          </w:tblCellMar>
        </w:tblPrEx>
        <w:trPr>
          <w:trHeight w:val="620" w:hRule="atLeast"/>
        </w:trPr>
        <w:tc>
          <w:tcPr>
            <w:tcW w:w="2025" w:type="dxa"/>
            <w:tcBorders>
              <w:top w:val="nil"/>
              <w:left w:val="single" w:color="auto" w:sz="4" w:space="0"/>
              <w:bottom w:val="single" w:color="auto" w:sz="4" w:space="0"/>
              <w:right w:val="single" w:color="auto" w:sz="4" w:space="0"/>
            </w:tcBorders>
            <w:vAlign w:val="center"/>
          </w:tcPr>
          <w:p w14:paraId="065B5372">
            <w:pPr>
              <w:jc w:val="left"/>
              <w:rPr>
                <w:rFonts w:eastAsiaTheme="minorEastAsia"/>
                <w:b/>
                <w:bCs/>
              </w:rPr>
            </w:pPr>
            <w:r>
              <w:rPr>
                <w:rFonts w:hint="eastAsia" w:eastAsiaTheme="minorEastAsia"/>
                <w:b/>
                <w:bCs/>
              </w:rPr>
              <w:t>账户名称</w:t>
            </w:r>
          </w:p>
          <w:p w14:paraId="283D1EA5">
            <w:pPr>
              <w:jc w:val="left"/>
              <w:rPr>
                <w:rFonts w:eastAsiaTheme="minorEastAsia"/>
                <w:b/>
                <w:bCs/>
              </w:rPr>
            </w:pPr>
            <w:r>
              <w:rPr>
                <w:rFonts w:hint="eastAsia" w:eastAsiaTheme="minorEastAsia"/>
                <w:bCs/>
              </w:rPr>
              <w:t>Account Name（s）</w:t>
            </w:r>
          </w:p>
        </w:tc>
        <w:tc>
          <w:tcPr>
            <w:tcW w:w="6197" w:type="dxa"/>
            <w:gridSpan w:val="9"/>
            <w:tcBorders>
              <w:top w:val="single" w:color="auto" w:sz="4" w:space="0"/>
              <w:left w:val="nil"/>
              <w:bottom w:val="single" w:color="auto" w:sz="4" w:space="0"/>
              <w:right w:val="single" w:color="auto" w:sz="4" w:space="0"/>
            </w:tcBorders>
            <w:vAlign w:val="center"/>
          </w:tcPr>
          <w:p w14:paraId="516B39E7">
            <w:pPr>
              <w:ind w:left="210" w:hanging="210" w:hangingChars="100"/>
              <w:jc w:val="left"/>
              <w:rPr>
                <w:rFonts w:eastAsiaTheme="minorEastAsia"/>
                <w:bCs/>
              </w:rPr>
            </w:pPr>
            <w:r>
              <w:rPr>
                <w:rFonts w:hint="eastAsia" w:eastAsiaTheme="minorEastAsia"/>
                <w:bCs/>
              </w:rPr>
              <w:t>（可填多项）</w:t>
            </w:r>
          </w:p>
          <w:p w14:paraId="081D8CDF">
            <w:pPr>
              <w:ind w:left="210" w:leftChars="50" w:hanging="105" w:hangingChars="50"/>
              <w:jc w:val="left"/>
              <w:rPr>
                <w:rFonts w:eastAsia="黑体"/>
                <w:bCs/>
              </w:rPr>
            </w:pPr>
          </w:p>
        </w:tc>
      </w:tr>
      <w:tr w14:paraId="2DCD98B6">
        <w:tblPrEx>
          <w:tblCellMar>
            <w:top w:w="0" w:type="dxa"/>
            <w:left w:w="108" w:type="dxa"/>
            <w:bottom w:w="0" w:type="dxa"/>
            <w:right w:w="108" w:type="dxa"/>
          </w:tblCellMar>
        </w:tblPrEx>
        <w:trPr>
          <w:trHeight w:val="620" w:hRule="atLeast"/>
        </w:trPr>
        <w:tc>
          <w:tcPr>
            <w:tcW w:w="2025" w:type="dxa"/>
            <w:vMerge w:val="restart"/>
            <w:tcBorders>
              <w:top w:val="nil"/>
              <w:left w:val="single" w:color="auto" w:sz="4" w:space="0"/>
              <w:bottom w:val="single" w:color="auto" w:sz="4" w:space="0"/>
              <w:right w:val="single" w:color="auto" w:sz="4" w:space="0"/>
            </w:tcBorders>
            <w:vAlign w:val="center"/>
          </w:tcPr>
          <w:p w14:paraId="27C6486D">
            <w:pPr>
              <w:jc w:val="left"/>
              <w:rPr>
                <w:rFonts w:eastAsiaTheme="minorEastAsia"/>
                <w:bCs/>
              </w:rPr>
            </w:pPr>
            <w:r>
              <w:rPr>
                <w:rFonts w:hint="eastAsia" w:eastAsiaTheme="minorEastAsia"/>
                <w:b/>
                <w:bCs/>
              </w:rPr>
              <w:t>报送</w:t>
            </w:r>
            <w:r>
              <w:rPr>
                <w:rFonts w:hint="eastAsia" w:eastAsia="黑体"/>
                <w:b/>
                <w:bCs/>
              </w:rPr>
              <w:t>内容</w:t>
            </w:r>
          </w:p>
          <w:p w14:paraId="71114D08">
            <w:pPr>
              <w:jc w:val="left"/>
              <w:rPr>
                <w:rFonts w:eastAsia="黑体"/>
                <w:b/>
                <w:bCs/>
              </w:rPr>
            </w:pPr>
            <w:r>
              <w:rPr>
                <w:rFonts w:eastAsia="黑体"/>
                <w:bCs/>
              </w:rPr>
              <w:t>Contents</w:t>
            </w:r>
          </w:p>
        </w:tc>
        <w:tc>
          <w:tcPr>
            <w:tcW w:w="6197" w:type="dxa"/>
            <w:gridSpan w:val="9"/>
            <w:tcBorders>
              <w:top w:val="single" w:color="auto" w:sz="4" w:space="0"/>
              <w:left w:val="nil"/>
              <w:bottom w:val="single" w:color="auto" w:sz="4" w:space="0"/>
              <w:right w:val="single" w:color="auto" w:sz="4" w:space="0"/>
            </w:tcBorders>
            <w:vAlign w:val="center"/>
          </w:tcPr>
          <w:p w14:paraId="16135E9F">
            <w:pPr>
              <w:ind w:left="210" w:hanging="210" w:hangingChars="100"/>
              <w:jc w:val="left"/>
              <w:rPr>
                <w:rFonts w:eastAsia="黑体"/>
              </w:rPr>
            </w:pPr>
            <w:r>
              <w:rPr>
                <w:rFonts w:hint="eastAsia" w:eastAsia="黑体"/>
                <w:bCs/>
              </w:rPr>
              <w:t>□</w:t>
            </w:r>
            <w:r>
              <w:rPr>
                <w:rFonts w:hint="eastAsia" w:eastAsiaTheme="minorEastAsia"/>
                <w:bCs/>
              </w:rPr>
              <w:t>初始报送</w:t>
            </w:r>
            <w:r>
              <w:rPr>
                <w:rFonts w:hint="eastAsia" w:eastAsiaTheme="minorEastAsia"/>
              </w:rPr>
              <w:t xml:space="preserve"> </w:t>
            </w:r>
            <w:r>
              <w:rPr>
                <w:rFonts w:eastAsiaTheme="minorEastAsia"/>
              </w:rPr>
              <w:t>Initial</w:t>
            </w:r>
            <w:r>
              <w:rPr>
                <w:rFonts w:hint="eastAsia" w:eastAsiaTheme="minorEastAsia"/>
              </w:rPr>
              <w:t xml:space="preserve"> registration</w:t>
            </w:r>
            <w:r>
              <w:rPr>
                <w:rFonts w:eastAsia="黑体"/>
              </w:rPr>
              <w:t xml:space="preserve">              </w:t>
            </w:r>
          </w:p>
          <w:p w14:paraId="70FD0F66">
            <w:pPr>
              <w:ind w:left="210" w:hanging="210" w:hangingChars="100"/>
              <w:jc w:val="left"/>
              <w:rPr>
                <w:rFonts w:eastAsia="黑体"/>
                <w:bCs/>
              </w:rPr>
            </w:pPr>
            <w:r>
              <w:rPr>
                <w:rFonts w:hint="eastAsia" w:eastAsia="黑体"/>
              </w:rPr>
              <w:t>□</w:t>
            </w:r>
            <w:r>
              <w:rPr>
                <w:rFonts w:hint="eastAsia" w:eastAsiaTheme="minorEastAsia"/>
              </w:rPr>
              <w:t>信息变更</w:t>
            </w:r>
            <w:r>
              <w:rPr>
                <w:rFonts w:eastAsia="黑体"/>
              </w:rPr>
              <w:t xml:space="preserve"> </w:t>
            </w:r>
            <w:r>
              <w:rPr>
                <w:rFonts w:hint="eastAsia" w:eastAsiaTheme="minorEastAsia"/>
              </w:rPr>
              <w:t>Information u</w:t>
            </w:r>
            <w:r>
              <w:rPr>
                <w:rFonts w:eastAsia="黑体"/>
              </w:rPr>
              <w:t>pdate</w:t>
            </w:r>
          </w:p>
        </w:tc>
      </w:tr>
      <w:tr w14:paraId="1865F210">
        <w:tblPrEx>
          <w:tblCellMar>
            <w:top w:w="0" w:type="dxa"/>
            <w:left w:w="108" w:type="dxa"/>
            <w:bottom w:w="0" w:type="dxa"/>
            <w:right w:w="108" w:type="dxa"/>
          </w:tblCellMar>
        </w:tblPrEx>
        <w:trPr>
          <w:trHeight w:val="310" w:hRule="atLeast"/>
        </w:trPr>
        <w:tc>
          <w:tcPr>
            <w:tcW w:w="2025" w:type="dxa"/>
            <w:vMerge w:val="continue"/>
            <w:tcBorders>
              <w:top w:val="nil"/>
              <w:left w:val="single" w:color="auto" w:sz="4" w:space="0"/>
              <w:bottom w:val="single" w:color="auto" w:sz="4" w:space="0"/>
              <w:right w:val="single" w:color="auto" w:sz="4" w:space="0"/>
            </w:tcBorders>
            <w:vAlign w:val="center"/>
          </w:tcPr>
          <w:p w14:paraId="1E1F8F89">
            <w:pPr>
              <w:jc w:val="left"/>
              <w:rPr>
                <w:rFonts w:eastAsia="黑体"/>
                <w:b/>
                <w:bCs/>
              </w:rPr>
            </w:pPr>
          </w:p>
        </w:tc>
        <w:tc>
          <w:tcPr>
            <w:tcW w:w="6197" w:type="dxa"/>
            <w:gridSpan w:val="9"/>
            <w:tcBorders>
              <w:top w:val="single" w:color="auto" w:sz="4" w:space="0"/>
              <w:left w:val="nil"/>
              <w:bottom w:val="single" w:color="auto" w:sz="4" w:space="0"/>
              <w:right w:val="single" w:color="auto" w:sz="4" w:space="0"/>
            </w:tcBorders>
            <w:vAlign w:val="center"/>
          </w:tcPr>
          <w:p w14:paraId="6D5428A9">
            <w:pPr>
              <w:ind w:left="211" w:hanging="211" w:hangingChars="100"/>
              <w:jc w:val="left"/>
              <w:rPr>
                <w:rFonts w:eastAsiaTheme="minorEastAsia"/>
                <w:b/>
                <w:bCs/>
              </w:rPr>
            </w:pPr>
            <w:r>
              <w:rPr>
                <w:rFonts w:hint="eastAsia" w:eastAsia="黑体"/>
                <w:b/>
                <w:bCs/>
              </w:rPr>
              <w:t>变更事项</w:t>
            </w:r>
            <w:r>
              <w:rPr>
                <w:rFonts w:hint="eastAsia" w:eastAsiaTheme="minorEastAsia"/>
                <w:b/>
                <w:bCs/>
              </w:rPr>
              <w:t xml:space="preserve">                （</w:t>
            </w:r>
            <w:r>
              <w:rPr>
                <w:rFonts w:hint="eastAsia" w:eastAsia="黑体"/>
                <w:b/>
                <w:bCs/>
              </w:rPr>
              <w:t>可添加多项</w:t>
            </w:r>
            <w:r>
              <w:rPr>
                <w:rFonts w:hint="eastAsia" w:eastAsiaTheme="minorEastAsia"/>
                <w:b/>
                <w:bCs/>
              </w:rPr>
              <w:t>）</w:t>
            </w:r>
          </w:p>
          <w:p w14:paraId="43842036">
            <w:pPr>
              <w:ind w:left="210" w:hanging="210" w:hangingChars="100"/>
              <w:jc w:val="left"/>
              <w:rPr>
                <w:rFonts w:eastAsiaTheme="minorEastAsia"/>
                <w:bCs/>
              </w:rPr>
            </w:pPr>
            <w:r>
              <w:rPr>
                <w:rFonts w:eastAsia="黑体"/>
              </w:rPr>
              <w:t>Update Item</w:t>
            </w:r>
            <w:r>
              <w:rPr>
                <w:rFonts w:hint="eastAsia" w:eastAsiaTheme="minorEastAsia"/>
              </w:rPr>
              <w:t>（</w:t>
            </w:r>
            <w:r>
              <w:rPr>
                <w:rFonts w:eastAsia="黑体"/>
              </w:rPr>
              <w:t>s</w:t>
            </w:r>
            <w:r>
              <w:rPr>
                <w:rFonts w:hint="eastAsia" w:eastAsiaTheme="minorEastAsia"/>
              </w:rPr>
              <w:t>）</w:t>
            </w:r>
            <w:r>
              <w:rPr>
                <w:rFonts w:eastAsia="黑体"/>
              </w:rPr>
              <w:t xml:space="preserve">: </w:t>
            </w:r>
            <w:r>
              <w:rPr>
                <w:rFonts w:hint="eastAsia" w:eastAsiaTheme="minorEastAsia"/>
              </w:rPr>
              <w:t xml:space="preserve">             </w:t>
            </w:r>
          </w:p>
        </w:tc>
      </w:tr>
      <w:tr w14:paraId="3178F6F4">
        <w:tblPrEx>
          <w:tblCellMar>
            <w:top w:w="0" w:type="dxa"/>
            <w:left w:w="108" w:type="dxa"/>
            <w:bottom w:w="0" w:type="dxa"/>
            <w:right w:w="108" w:type="dxa"/>
          </w:tblCellMar>
        </w:tblPrEx>
        <w:trPr>
          <w:trHeight w:val="600" w:hRule="atLeast"/>
        </w:trPr>
        <w:tc>
          <w:tcPr>
            <w:tcW w:w="2025" w:type="dxa"/>
            <w:vMerge w:val="restart"/>
            <w:tcBorders>
              <w:top w:val="nil"/>
              <w:left w:val="single" w:color="auto" w:sz="4" w:space="0"/>
              <w:bottom w:val="single" w:color="000000" w:sz="4" w:space="0"/>
              <w:right w:val="single" w:color="auto" w:sz="4" w:space="0"/>
            </w:tcBorders>
            <w:vAlign w:val="center"/>
          </w:tcPr>
          <w:p w14:paraId="6951B9DE">
            <w:pPr>
              <w:jc w:val="left"/>
              <w:rPr>
                <w:rFonts w:eastAsiaTheme="minorEastAsia"/>
                <w:b/>
                <w:bCs/>
              </w:rPr>
            </w:pPr>
            <w:r>
              <w:rPr>
                <w:rFonts w:hint="eastAsia" w:eastAsia="黑体"/>
                <w:b/>
                <w:bCs/>
              </w:rPr>
              <w:t>法人</w:t>
            </w:r>
            <w:r>
              <w:rPr>
                <w:rFonts w:eastAsia="黑体"/>
                <w:b/>
                <w:bCs/>
              </w:rPr>
              <w:t>/</w:t>
            </w:r>
            <w:r>
              <w:rPr>
                <w:rFonts w:hint="eastAsia" w:eastAsia="黑体"/>
                <w:b/>
                <w:bCs/>
              </w:rPr>
              <w:t>管理人</w:t>
            </w:r>
          </w:p>
          <w:p w14:paraId="67B543E2">
            <w:pPr>
              <w:jc w:val="left"/>
              <w:rPr>
                <w:rFonts w:eastAsia="黑体"/>
                <w:b/>
                <w:bCs/>
              </w:rPr>
            </w:pPr>
            <w:r>
              <w:rPr>
                <w:rFonts w:hint="eastAsia" w:eastAsia="黑体"/>
                <w:b/>
                <w:bCs/>
              </w:rPr>
              <w:t>等联系方式</w:t>
            </w:r>
          </w:p>
          <w:p w14:paraId="04C8D1D7">
            <w:pPr>
              <w:jc w:val="left"/>
              <w:rPr>
                <w:rFonts w:eastAsia="黑体"/>
                <w:bCs/>
              </w:rPr>
            </w:pPr>
            <w:r>
              <w:rPr>
                <w:rFonts w:eastAsia="黑体"/>
                <w:bCs/>
              </w:rPr>
              <w:t>Contact of Incorporated Entity / Asset Management Company</w:t>
            </w:r>
          </w:p>
        </w:tc>
        <w:tc>
          <w:tcPr>
            <w:tcW w:w="1311" w:type="dxa"/>
            <w:tcBorders>
              <w:top w:val="nil"/>
              <w:left w:val="nil"/>
              <w:bottom w:val="single" w:color="auto" w:sz="4" w:space="0"/>
              <w:right w:val="single" w:color="auto" w:sz="4" w:space="0"/>
            </w:tcBorders>
            <w:vAlign w:val="center"/>
          </w:tcPr>
          <w:p w14:paraId="1212A15C">
            <w:pPr>
              <w:jc w:val="left"/>
              <w:rPr>
                <w:rFonts w:eastAsia="黑体"/>
                <w:b/>
                <w:bCs/>
              </w:rPr>
            </w:pPr>
            <w:r>
              <w:rPr>
                <w:rFonts w:hint="eastAsia" w:eastAsia="黑体"/>
                <w:b/>
                <w:bCs/>
              </w:rPr>
              <w:t>部门名称</w:t>
            </w:r>
          </w:p>
          <w:p w14:paraId="1AC6AF32">
            <w:pPr>
              <w:jc w:val="left"/>
              <w:rPr>
                <w:rFonts w:eastAsia="黑体"/>
                <w:bCs/>
              </w:rPr>
            </w:pPr>
            <w:r>
              <w:rPr>
                <w:rFonts w:eastAsia="黑体"/>
                <w:bCs/>
              </w:rPr>
              <w:t>Department Name</w:t>
            </w:r>
          </w:p>
        </w:tc>
        <w:tc>
          <w:tcPr>
            <w:tcW w:w="4886" w:type="dxa"/>
            <w:gridSpan w:val="8"/>
            <w:tcBorders>
              <w:top w:val="single" w:color="auto" w:sz="4" w:space="0"/>
              <w:left w:val="nil"/>
              <w:bottom w:val="single" w:color="auto" w:sz="4" w:space="0"/>
              <w:right w:val="single" w:color="000000" w:sz="4" w:space="0"/>
            </w:tcBorders>
            <w:vAlign w:val="center"/>
          </w:tcPr>
          <w:p w14:paraId="3F30E94B">
            <w:pPr>
              <w:ind w:left="210" w:hanging="210" w:hangingChars="100"/>
              <w:jc w:val="left"/>
              <w:rPr>
                <w:rFonts w:eastAsia="黑体"/>
                <w:bCs/>
              </w:rPr>
            </w:pPr>
          </w:p>
        </w:tc>
      </w:tr>
      <w:tr w14:paraId="7D1DE989">
        <w:tblPrEx>
          <w:tblCellMar>
            <w:top w:w="0" w:type="dxa"/>
            <w:left w:w="108" w:type="dxa"/>
            <w:bottom w:w="0" w:type="dxa"/>
            <w:right w:w="108" w:type="dxa"/>
          </w:tblCellMar>
        </w:tblPrEx>
        <w:trPr>
          <w:trHeight w:val="1500" w:hRule="atLeast"/>
        </w:trPr>
        <w:tc>
          <w:tcPr>
            <w:tcW w:w="2025" w:type="dxa"/>
            <w:vMerge w:val="continue"/>
            <w:tcBorders>
              <w:top w:val="nil"/>
              <w:left w:val="single" w:color="auto" w:sz="4" w:space="0"/>
              <w:bottom w:val="single" w:color="000000" w:sz="4" w:space="0"/>
              <w:right w:val="single" w:color="auto" w:sz="4" w:space="0"/>
            </w:tcBorders>
            <w:vAlign w:val="center"/>
          </w:tcPr>
          <w:p w14:paraId="514AD771">
            <w:pPr>
              <w:keepNext/>
              <w:keepLines/>
              <w:spacing w:before="340" w:after="330" w:line="578" w:lineRule="auto"/>
              <w:ind w:left="210" w:hanging="210" w:hangingChars="100"/>
              <w:jc w:val="left"/>
              <w:rPr>
                <w:rFonts w:eastAsia="黑体"/>
              </w:rPr>
            </w:pPr>
          </w:p>
        </w:tc>
        <w:tc>
          <w:tcPr>
            <w:tcW w:w="1311" w:type="dxa"/>
            <w:tcBorders>
              <w:top w:val="nil"/>
              <w:left w:val="nil"/>
              <w:bottom w:val="single" w:color="auto" w:sz="4" w:space="0"/>
              <w:right w:val="single" w:color="auto" w:sz="4" w:space="0"/>
            </w:tcBorders>
            <w:vAlign w:val="center"/>
          </w:tcPr>
          <w:p w14:paraId="5741C1D3">
            <w:pPr>
              <w:jc w:val="left"/>
              <w:rPr>
                <w:rFonts w:eastAsia="黑体"/>
                <w:b/>
                <w:bCs/>
              </w:rPr>
            </w:pPr>
            <w:r>
              <w:rPr>
                <w:rFonts w:hint="eastAsia" w:eastAsia="黑体"/>
                <w:b/>
                <w:bCs/>
              </w:rPr>
              <w:t>负责人职务</w:t>
            </w:r>
          </w:p>
          <w:p w14:paraId="309C36F9">
            <w:pPr>
              <w:tabs>
                <w:tab w:val="center" w:pos="4153"/>
                <w:tab w:val="right" w:pos="8306"/>
              </w:tabs>
              <w:snapToGrid w:val="0"/>
              <w:jc w:val="left"/>
              <w:rPr>
                <w:rFonts w:eastAsiaTheme="minorEastAsia"/>
                <w:bCs/>
              </w:rPr>
            </w:pPr>
            <w:r>
              <w:rPr>
                <w:rFonts w:eastAsia="黑体"/>
                <w:bCs/>
              </w:rPr>
              <w:t xml:space="preserve">Title of </w:t>
            </w:r>
            <w:r>
              <w:rPr>
                <w:rFonts w:hint="eastAsia" w:eastAsiaTheme="minorEastAsia"/>
                <w:bCs/>
              </w:rPr>
              <w:t>P</w:t>
            </w:r>
            <w:r>
              <w:rPr>
                <w:rFonts w:eastAsia="黑体"/>
                <w:bCs/>
              </w:rPr>
              <w:t>erson</w:t>
            </w:r>
            <w:r>
              <w:rPr>
                <w:rFonts w:hint="eastAsia" w:eastAsiaTheme="minorEastAsia"/>
                <w:bCs/>
              </w:rPr>
              <w:t xml:space="preserve"> in Charge</w:t>
            </w:r>
          </w:p>
        </w:tc>
        <w:tc>
          <w:tcPr>
            <w:tcW w:w="775" w:type="dxa"/>
            <w:tcBorders>
              <w:top w:val="nil"/>
              <w:left w:val="nil"/>
              <w:bottom w:val="single" w:color="auto" w:sz="4" w:space="0"/>
              <w:right w:val="single" w:color="auto" w:sz="4" w:space="0"/>
            </w:tcBorders>
            <w:vAlign w:val="center"/>
          </w:tcPr>
          <w:p w14:paraId="31160CB9">
            <w:pPr>
              <w:ind w:left="210" w:hanging="210" w:hangingChars="100"/>
              <w:jc w:val="center"/>
              <w:rPr>
                <w:rFonts w:eastAsia="黑体"/>
                <w:bCs/>
              </w:rPr>
            </w:pPr>
            <w:r>
              <w:rPr>
                <w:rFonts w:hint="eastAsia" w:eastAsia="黑体"/>
                <w:bCs/>
              </w:rPr>
              <w:t>　</w:t>
            </w:r>
          </w:p>
        </w:tc>
        <w:tc>
          <w:tcPr>
            <w:tcW w:w="1276" w:type="dxa"/>
            <w:gridSpan w:val="2"/>
            <w:tcBorders>
              <w:top w:val="nil"/>
              <w:left w:val="nil"/>
              <w:bottom w:val="single" w:color="auto" w:sz="4" w:space="0"/>
              <w:right w:val="single" w:color="auto" w:sz="4" w:space="0"/>
            </w:tcBorders>
            <w:vAlign w:val="center"/>
          </w:tcPr>
          <w:p w14:paraId="0A2F9A5C">
            <w:pPr>
              <w:jc w:val="left"/>
              <w:rPr>
                <w:rFonts w:eastAsia="黑体"/>
                <w:b/>
                <w:bCs/>
              </w:rPr>
            </w:pPr>
            <w:r>
              <w:rPr>
                <w:rFonts w:hint="eastAsia" w:eastAsia="黑体"/>
                <w:b/>
                <w:bCs/>
              </w:rPr>
              <w:t>负责人姓名</w:t>
            </w:r>
          </w:p>
          <w:p w14:paraId="610C5829">
            <w:pPr>
              <w:tabs>
                <w:tab w:val="center" w:pos="4153"/>
                <w:tab w:val="right" w:pos="8306"/>
              </w:tabs>
              <w:snapToGrid w:val="0"/>
              <w:jc w:val="left"/>
              <w:rPr>
                <w:rFonts w:eastAsiaTheme="minorEastAsia"/>
                <w:bCs/>
              </w:rPr>
            </w:pPr>
            <w:r>
              <w:rPr>
                <w:rFonts w:eastAsia="黑体"/>
                <w:bCs/>
              </w:rPr>
              <w:t xml:space="preserve">Name of </w:t>
            </w:r>
            <w:r>
              <w:rPr>
                <w:rFonts w:hint="eastAsia" w:eastAsiaTheme="minorEastAsia"/>
                <w:bCs/>
              </w:rPr>
              <w:t>P</w:t>
            </w:r>
            <w:r>
              <w:rPr>
                <w:rFonts w:eastAsia="黑体"/>
                <w:bCs/>
              </w:rPr>
              <w:t>erson</w:t>
            </w:r>
            <w:r>
              <w:rPr>
                <w:rFonts w:hint="eastAsia" w:eastAsiaTheme="minorEastAsia"/>
                <w:bCs/>
              </w:rPr>
              <w:t xml:space="preserve"> in Charge</w:t>
            </w:r>
          </w:p>
        </w:tc>
        <w:tc>
          <w:tcPr>
            <w:tcW w:w="894" w:type="dxa"/>
            <w:gridSpan w:val="2"/>
            <w:tcBorders>
              <w:top w:val="nil"/>
              <w:left w:val="nil"/>
              <w:bottom w:val="single" w:color="auto" w:sz="4" w:space="0"/>
              <w:right w:val="single" w:color="auto" w:sz="4" w:space="0"/>
            </w:tcBorders>
            <w:noWrap/>
            <w:vAlign w:val="bottom"/>
          </w:tcPr>
          <w:p w14:paraId="7A89D418">
            <w:pPr>
              <w:ind w:left="200" w:hanging="200" w:hangingChars="100"/>
              <w:jc w:val="center"/>
              <w:rPr>
                <w:sz w:val="20"/>
                <w:szCs w:val="20"/>
              </w:rPr>
            </w:pPr>
            <w:r>
              <w:rPr>
                <w:rFonts w:hint="eastAsia"/>
                <w:sz w:val="20"/>
                <w:szCs w:val="20"/>
              </w:rPr>
              <w:t>　</w:t>
            </w:r>
          </w:p>
        </w:tc>
        <w:tc>
          <w:tcPr>
            <w:tcW w:w="807" w:type="dxa"/>
            <w:tcBorders>
              <w:top w:val="nil"/>
              <w:left w:val="nil"/>
              <w:bottom w:val="single" w:color="auto" w:sz="4" w:space="0"/>
              <w:right w:val="single" w:color="auto" w:sz="4" w:space="0"/>
            </w:tcBorders>
            <w:vAlign w:val="center"/>
          </w:tcPr>
          <w:p w14:paraId="4780BFD4">
            <w:pPr>
              <w:jc w:val="left"/>
              <w:rPr>
                <w:rFonts w:eastAsia="黑体"/>
                <w:b/>
                <w:bCs/>
              </w:rPr>
            </w:pPr>
            <w:r>
              <w:rPr>
                <w:rFonts w:hint="eastAsia" w:eastAsia="黑体"/>
                <w:b/>
                <w:bCs/>
              </w:rPr>
              <w:t>联系电话</w:t>
            </w:r>
          </w:p>
          <w:p w14:paraId="6C7166B1">
            <w:pPr>
              <w:jc w:val="left"/>
              <w:rPr>
                <w:rFonts w:eastAsia="黑体"/>
                <w:b/>
                <w:bCs/>
              </w:rPr>
            </w:pPr>
            <w:r>
              <w:rPr>
                <w:rFonts w:eastAsia="黑体"/>
                <w:bCs/>
              </w:rPr>
              <w:t>Tel</w:t>
            </w:r>
            <w:r>
              <w:rPr>
                <w:rFonts w:eastAsia="黑体"/>
                <w:b/>
                <w:bCs/>
              </w:rPr>
              <w:t>.</w:t>
            </w:r>
          </w:p>
        </w:tc>
        <w:tc>
          <w:tcPr>
            <w:tcW w:w="1134" w:type="dxa"/>
            <w:gridSpan w:val="2"/>
            <w:tcBorders>
              <w:top w:val="nil"/>
              <w:left w:val="nil"/>
              <w:bottom w:val="single" w:color="auto" w:sz="4" w:space="0"/>
              <w:right w:val="single" w:color="auto" w:sz="4" w:space="0"/>
            </w:tcBorders>
            <w:vAlign w:val="center"/>
          </w:tcPr>
          <w:p w14:paraId="184073D7">
            <w:pPr>
              <w:ind w:left="210" w:hanging="210" w:hangingChars="100"/>
              <w:jc w:val="center"/>
              <w:rPr>
                <w:rFonts w:eastAsia="黑体"/>
                <w:bCs/>
              </w:rPr>
            </w:pPr>
            <w:r>
              <w:rPr>
                <w:rFonts w:hint="eastAsia" w:eastAsia="黑体"/>
                <w:bCs/>
              </w:rPr>
              <w:t>　</w:t>
            </w:r>
          </w:p>
        </w:tc>
      </w:tr>
      <w:tr w14:paraId="092A5BD5">
        <w:tblPrEx>
          <w:tblCellMar>
            <w:top w:w="0" w:type="dxa"/>
            <w:left w:w="108" w:type="dxa"/>
            <w:bottom w:w="0" w:type="dxa"/>
            <w:right w:w="108" w:type="dxa"/>
          </w:tblCellMar>
        </w:tblPrEx>
        <w:trPr>
          <w:trHeight w:val="620" w:hRule="atLeast"/>
        </w:trPr>
        <w:tc>
          <w:tcPr>
            <w:tcW w:w="2025" w:type="dxa"/>
            <w:vMerge w:val="continue"/>
            <w:tcBorders>
              <w:top w:val="nil"/>
              <w:left w:val="single" w:color="auto" w:sz="4" w:space="0"/>
              <w:bottom w:val="single" w:color="000000" w:sz="4" w:space="0"/>
              <w:right w:val="single" w:color="auto" w:sz="4" w:space="0"/>
            </w:tcBorders>
            <w:vAlign w:val="center"/>
          </w:tcPr>
          <w:p w14:paraId="50BE1554">
            <w:pPr>
              <w:keepNext/>
              <w:keepLines/>
              <w:spacing w:before="340" w:after="330" w:line="578" w:lineRule="auto"/>
              <w:ind w:left="210" w:hanging="210" w:hangingChars="100"/>
              <w:jc w:val="left"/>
              <w:rPr>
                <w:rFonts w:eastAsia="黑体"/>
              </w:rPr>
            </w:pPr>
          </w:p>
        </w:tc>
        <w:tc>
          <w:tcPr>
            <w:tcW w:w="1311" w:type="dxa"/>
            <w:tcBorders>
              <w:top w:val="nil"/>
              <w:left w:val="nil"/>
              <w:bottom w:val="single" w:color="auto" w:sz="4" w:space="0"/>
              <w:right w:val="single" w:color="auto" w:sz="4" w:space="0"/>
            </w:tcBorders>
            <w:vAlign w:val="center"/>
          </w:tcPr>
          <w:p w14:paraId="3559BB44">
            <w:pPr>
              <w:jc w:val="left"/>
              <w:rPr>
                <w:rFonts w:eastAsia="黑体"/>
                <w:b/>
                <w:bCs/>
              </w:rPr>
            </w:pPr>
            <w:r>
              <w:rPr>
                <w:rFonts w:hint="eastAsia" w:eastAsia="黑体"/>
                <w:b/>
                <w:bCs/>
              </w:rPr>
              <w:t>经办人职务</w:t>
            </w:r>
          </w:p>
          <w:p w14:paraId="0E754651">
            <w:pPr>
              <w:tabs>
                <w:tab w:val="center" w:pos="4153"/>
                <w:tab w:val="right" w:pos="8306"/>
              </w:tabs>
              <w:snapToGrid w:val="0"/>
              <w:jc w:val="left"/>
              <w:rPr>
                <w:rFonts w:eastAsiaTheme="minorEastAsia"/>
              </w:rPr>
            </w:pPr>
            <w:r>
              <w:rPr>
                <w:rFonts w:eastAsia="黑体"/>
                <w:bCs/>
              </w:rPr>
              <w:t xml:space="preserve">Title of </w:t>
            </w:r>
            <w:r>
              <w:rPr>
                <w:rFonts w:hint="eastAsia" w:eastAsiaTheme="minorEastAsia"/>
                <w:bCs/>
              </w:rPr>
              <w:t>Handling Person</w:t>
            </w:r>
          </w:p>
        </w:tc>
        <w:tc>
          <w:tcPr>
            <w:tcW w:w="775" w:type="dxa"/>
            <w:tcBorders>
              <w:top w:val="nil"/>
              <w:left w:val="nil"/>
              <w:bottom w:val="single" w:color="auto" w:sz="4" w:space="0"/>
              <w:right w:val="single" w:color="auto" w:sz="4" w:space="0"/>
            </w:tcBorders>
            <w:vAlign w:val="center"/>
          </w:tcPr>
          <w:p w14:paraId="17F955C2">
            <w:pPr>
              <w:ind w:left="210" w:hanging="210" w:hangingChars="100"/>
              <w:jc w:val="center"/>
              <w:rPr>
                <w:rFonts w:eastAsia="黑体"/>
                <w:bCs/>
              </w:rPr>
            </w:pPr>
            <w:r>
              <w:rPr>
                <w:rFonts w:hint="eastAsia" w:eastAsia="黑体"/>
                <w:bCs/>
              </w:rPr>
              <w:t>　</w:t>
            </w:r>
          </w:p>
        </w:tc>
        <w:tc>
          <w:tcPr>
            <w:tcW w:w="1276" w:type="dxa"/>
            <w:gridSpan w:val="2"/>
            <w:tcBorders>
              <w:top w:val="nil"/>
              <w:left w:val="nil"/>
              <w:bottom w:val="single" w:color="auto" w:sz="4" w:space="0"/>
              <w:right w:val="single" w:color="auto" w:sz="4" w:space="0"/>
            </w:tcBorders>
            <w:vAlign w:val="center"/>
          </w:tcPr>
          <w:p w14:paraId="65D06AF2">
            <w:pPr>
              <w:jc w:val="left"/>
              <w:rPr>
                <w:rFonts w:eastAsia="黑体"/>
                <w:b/>
                <w:bCs/>
              </w:rPr>
            </w:pPr>
            <w:r>
              <w:rPr>
                <w:rFonts w:hint="eastAsia" w:eastAsia="黑体"/>
                <w:b/>
                <w:bCs/>
              </w:rPr>
              <w:t>经办人姓名</w:t>
            </w:r>
          </w:p>
          <w:p w14:paraId="7A71A419">
            <w:pPr>
              <w:tabs>
                <w:tab w:val="center" w:pos="4153"/>
                <w:tab w:val="right" w:pos="8306"/>
              </w:tabs>
              <w:snapToGrid w:val="0"/>
              <w:jc w:val="left"/>
              <w:rPr>
                <w:rFonts w:eastAsiaTheme="minorEastAsia"/>
                <w:bCs/>
              </w:rPr>
            </w:pPr>
            <w:r>
              <w:rPr>
                <w:rFonts w:eastAsia="黑体"/>
                <w:bCs/>
              </w:rPr>
              <w:t xml:space="preserve">Name of </w:t>
            </w:r>
            <w:r>
              <w:rPr>
                <w:rFonts w:hint="eastAsia" w:eastAsiaTheme="minorEastAsia"/>
                <w:bCs/>
              </w:rPr>
              <w:t>Handling Person</w:t>
            </w:r>
          </w:p>
        </w:tc>
        <w:tc>
          <w:tcPr>
            <w:tcW w:w="894" w:type="dxa"/>
            <w:gridSpan w:val="2"/>
            <w:tcBorders>
              <w:top w:val="nil"/>
              <w:left w:val="nil"/>
              <w:bottom w:val="single" w:color="auto" w:sz="4" w:space="0"/>
              <w:right w:val="single" w:color="auto" w:sz="4" w:space="0"/>
            </w:tcBorders>
            <w:noWrap/>
            <w:vAlign w:val="bottom"/>
          </w:tcPr>
          <w:p w14:paraId="10455A69">
            <w:pPr>
              <w:rPr>
                <w:rFonts w:eastAsiaTheme="minorEastAsia"/>
                <w:sz w:val="20"/>
                <w:szCs w:val="20"/>
              </w:rPr>
            </w:pPr>
          </w:p>
        </w:tc>
        <w:tc>
          <w:tcPr>
            <w:tcW w:w="807" w:type="dxa"/>
            <w:tcBorders>
              <w:top w:val="nil"/>
              <w:left w:val="nil"/>
              <w:bottom w:val="single" w:color="auto" w:sz="4" w:space="0"/>
              <w:right w:val="single" w:color="auto" w:sz="4" w:space="0"/>
            </w:tcBorders>
            <w:vAlign w:val="center"/>
          </w:tcPr>
          <w:p w14:paraId="1D12394A">
            <w:pPr>
              <w:jc w:val="left"/>
              <w:rPr>
                <w:rFonts w:eastAsia="黑体"/>
                <w:b/>
                <w:bCs/>
              </w:rPr>
            </w:pPr>
            <w:r>
              <w:rPr>
                <w:rFonts w:hint="eastAsia" w:eastAsia="黑体"/>
                <w:b/>
                <w:bCs/>
              </w:rPr>
              <w:t>联系电话</w:t>
            </w:r>
          </w:p>
          <w:p w14:paraId="7EC665DF">
            <w:pPr>
              <w:jc w:val="left"/>
              <w:rPr>
                <w:rFonts w:eastAsia="黑体"/>
                <w:bCs/>
              </w:rPr>
            </w:pPr>
            <w:r>
              <w:rPr>
                <w:rFonts w:eastAsia="黑体"/>
                <w:bCs/>
              </w:rPr>
              <w:t>Tel.</w:t>
            </w:r>
          </w:p>
        </w:tc>
        <w:tc>
          <w:tcPr>
            <w:tcW w:w="1134" w:type="dxa"/>
            <w:gridSpan w:val="2"/>
            <w:tcBorders>
              <w:top w:val="nil"/>
              <w:left w:val="nil"/>
              <w:bottom w:val="single" w:color="auto" w:sz="4" w:space="0"/>
              <w:right w:val="single" w:color="auto" w:sz="4" w:space="0"/>
            </w:tcBorders>
            <w:vAlign w:val="center"/>
          </w:tcPr>
          <w:p w14:paraId="4EBC35A7">
            <w:pPr>
              <w:ind w:left="200" w:hanging="200" w:hangingChars="100"/>
              <w:jc w:val="center"/>
              <w:rPr>
                <w:sz w:val="20"/>
                <w:szCs w:val="20"/>
              </w:rPr>
            </w:pPr>
            <w:r>
              <w:rPr>
                <w:rFonts w:hint="eastAsia"/>
                <w:sz w:val="20"/>
                <w:szCs w:val="20"/>
              </w:rPr>
              <w:t>　</w:t>
            </w:r>
          </w:p>
        </w:tc>
      </w:tr>
      <w:tr w14:paraId="5411E8B2">
        <w:tblPrEx>
          <w:tblCellMar>
            <w:top w:w="0" w:type="dxa"/>
            <w:left w:w="108" w:type="dxa"/>
            <w:bottom w:w="0" w:type="dxa"/>
            <w:right w:w="108" w:type="dxa"/>
          </w:tblCellMar>
        </w:tblPrEx>
        <w:trPr>
          <w:trHeight w:val="310" w:hRule="atLeast"/>
        </w:trPr>
        <w:tc>
          <w:tcPr>
            <w:tcW w:w="2025" w:type="dxa"/>
            <w:vMerge w:val="continue"/>
            <w:tcBorders>
              <w:top w:val="nil"/>
              <w:left w:val="single" w:color="auto" w:sz="4" w:space="0"/>
              <w:bottom w:val="single" w:color="000000" w:sz="4" w:space="0"/>
              <w:right w:val="single" w:color="auto" w:sz="4" w:space="0"/>
            </w:tcBorders>
            <w:vAlign w:val="center"/>
          </w:tcPr>
          <w:p w14:paraId="3575E22F">
            <w:pPr>
              <w:keepNext/>
              <w:keepLines/>
              <w:spacing w:before="340" w:after="330" w:line="578" w:lineRule="auto"/>
              <w:ind w:left="210" w:hanging="210" w:hangingChars="100"/>
              <w:jc w:val="left"/>
              <w:rPr>
                <w:rFonts w:eastAsia="黑体"/>
              </w:rPr>
            </w:pPr>
          </w:p>
        </w:tc>
        <w:tc>
          <w:tcPr>
            <w:tcW w:w="1311" w:type="dxa"/>
            <w:tcBorders>
              <w:top w:val="nil"/>
              <w:left w:val="nil"/>
              <w:bottom w:val="single" w:color="auto" w:sz="4" w:space="0"/>
              <w:right w:val="single" w:color="auto" w:sz="4" w:space="0"/>
            </w:tcBorders>
            <w:vAlign w:val="center"/>
          </w:tcPr>
          <w:p w14:paraId="5835E2BC">
            <w:pPr>
              <w:jc w:val="left"/>
              <w:rPr>
                <w:rFonts w:eastAsia="黑体"/>
                <w:b/>
                <w:bCs/>
              </w:rPr>
            </w:pPr>
            <w:r>
              <w:rPr>
                <w:rFonts w:hint="eastAsia" w:eastAsia="黑体"/>
                <w:b/>
                <w:bCs/>
              </w:rPr>
              <w:t>传真</w:t>
            </w:r>
          </w:p>
          <w:p w14:paraId="04234C9E">
            <w:pPr>
              <w:jc w:val="left"/>
              <w:rPr>
                <w:rFonts w:eastAsia="黑体"/>
                <w:bCs/>
              </w:rPr>
            </w:pPr>
            <w:r>
              <w:rPr>
                <w:rFonts w:eastAsia="黑体"/>
                <w:bCs/>
              </w:rPr>
              <w:t>Fax</w:t>
            </w:r>
          </w:p>
        </w:tc>
        <w:tc>
          <w:tcPr>
            <w:tcW w:w="2051" w:type="dxa"/>
            <w:gridSpan w:val="3"/>
            <w:tcBorders>
              <w:top w:val="single" w:color="auto" w:sz="4" w:space="0"/>
              <w:left w:val="nil"/>
              <w:bottom w:val="single" w:color="auto" w:sz="4" w:space="0"/>
              <w:right w:val="single" w:color="auto" w:sz="4" w:space="0"/>
            </w:tcBorders>
            <w:vAlign w:val="center"/>
          </w:tcPr>
          <w:p w14:paraId="3E3187CA">
            <w:pPr>
              <w:ind w:left="210" w:hanging="210" w:hangingChars="100"/>
              <w:jc w:val="left"/>
              <w:rPr>
                <w:rFonts w:eastAsiaTheme="minorEastAsia"/>
                <w:bCs/>
              </w:rPr>
            </w:pPr>
          </w:p>
        </w:tc>
        <w:tc>
          <w:tcPr>
            <w:tcW w:w="894" w:type="dxa"/>
            <w:gridSpan w:val="2"/>
            <w:tcBorders>
              <w:top w:val="nil"/>
              <w:left w:val="nil"/>
              <w:bottom w:val="single" w:color="auto" w:sz="4" w:space="0"/>
              <w:right w:val="single" w:color="auto" w:sz="4" w:space="0"/>
            </w:tcBorders>
            <w:vAlign w:val="center"/>
          </w:tcPr>
          <w:p w14:paraId="6EDA088D">
            <w:pPr>
              <w:jc w:val="left"/>
              <w:rPr>
                <w:rFonts w:eastAsia="黑体"/>
                <w:b/>
                <w:bCs/>
              </w:rPr>
            </w:pPr>
            <w:r>
              <w:rPr>
                <w:rFonts w:hint="eastAsia" w:eastAsia="黑体"/>
                <w:b/>
                <w:bCs/>
              </w:rPr>
              <w:t>邮件</w:t>
            </w:r>
          </w:p>
          <w:p w14:paraId="4C0DEC07">
            <w:pPr>
              <w:jc w:val="left"/>
              <w:rPr>
                <w:rFonts w:eastAsia="黑体"/>
                <w:bCs/>
              </w:rPr>
            </w:pPr>
            <w:r>
              <w:rPr>
                <w:rFonts w:eastAsia="黑体"/>
                <w:bCs/>
              </w:rPr>
              <w:t>Email</w:t>
            </w:r>
          </w:p>
        </w:tc>
        <w:tc>
          <w:tcPr>
            <w:tcW w:w="1941" w:type="dxa"/>
            <w:gridSpan w:val="3"/>
            <w:tcBorders>
              <w:top w:val="single" w:color="auto" w:sz="4" w:space="0"/>
              <w:left w:val="nil"/>
              <w:bottom w:val="single" w:color="auto" w:sz="4" w:space="0"/>
              <w:right w:val="single" w:color="auto" w:sz="4" w:space="0"/>
            </w:tcBorders>
            <w:vAlign w:val="center"/>
          </w:tcPr>
          <w:p w14:paraId="608EE722">
            <w:pPr>
              <w:ind w:left="210" w:hanging="210" w:hangingChars="100"/>
              <w:jc w:val="left"/>
              <w:rPr>
                <w:rFonts w:eastAsia="黑体"/>
                <w:bCs/>
              </w:rPr>
            </w:pPr>
            <w:r>
              <w:rPr>
                <w:rFonts w:hint="eastAsia" w:eastAsia="黑体"/>
                <w:bCs/>
              </w:rPr>
              <w:t>　</w:t>
            </w:r>
          </w:p>
        </w:tc>
      </w:tr>
      <w:tr w14:paraId="070D38B2">
        <w:tblPrEx>
          <w:tblCellMar>
            <w:top w:w="0" w:type="dxa"/>
            <w:left w:w="108" w:type="dxa"/>
            <w:bottom w:w="0" w:type="dxa"/>
            <w:right w:w="108" w:type="dxa"/>
          </w:tblCellMar>
        </w:tblPrEx>
        <w:trPr>
          <w:trHeight w:val="600" w:hRule="atLeast"/>
        </w:trPr>
        <w:tc>
          <w:tcPr>
            <w:tcW w:w="2025" w:type="dxa"/>
            <w:vMerge w:val="continue"/>
            <w:tcBorders>
              <w:top w:val="nil"/>
              <w:left w:val="single" w:color="auto" w:sz="4" w:space="0"/>
              <w:bottom w:val="single" w:color="000000" w:sz="4" w:space="0"/>
              <w:right w:val="single" w:color="auto" w:sz="4" w:space="0"/>
            </w:tcBorders>
            <w:vAlign w:val="center"/>
          </w:tcPr>
          <w:p w14:paraId="49DB201F">
            <w:pPr>
              <w:keepNext/>
              <w:keepLines/>
              <w:spacing w:before="340" w:after="330" w:line="578" w:lineRule="auto"/>
              <w:ind w:left="210" w:hanging="210" w:hangingChars="100"/>
              <w:jc w:val="left"/>
              <w:rPr>
                <w:rFonts w:eastAsia="黑体"/>
              </w:rPr>
            </w:pPr>
          </w:p>
        </w:tc>
        <w:tc>
          <w:tcPr>
            <w:tcW w:w="1311" w:type="dxa"/>
            <w:tcBorders>
              <w:top w:val="nil"/>
              <w:left w:val="nil"/>
              <w:bottom w:val="single" w:color="auto" w:sz="4" w:space="0"/>
              <w:right w:val="single" w:color="auto" w:sz="4" w:space="0"/>
            </w:tcBorders>
            <w:vAlign w:val="center"/>
          </w:tcPr>
          <w:p w14:paraId="1415090F">
            <w:pPr>
              <w:jc w:val="left"/>
              <w:rPr>
                <w:rFonts w:eastAsia="黑体"/>
                <w:b/>
                <w:bCs/>
              </w:rPr>
            </w:pPr>
            <w:r>
              <w:rPr>
                <w:rFonts w:hint="eastAsia" w:eastAsia="黑体"/>
                <w:b/>
                <w:bCs/>
              </w:rPr>
              <w:t>详细地址</w:t>
            </w:r>
          </w:p>
          <w:p w14:paraId="425F8BB7">
            <w:pPr>
              <w:jc w:val="left"/>
              <w:rPr>
                <w:rFonts w:eastAsia="黑体"/>
                <w:bCs/>
              </w:rPr>
            </w:pPr>
            <w:r>
              <w:rPr>
                <w:rFonts w:eastAsia="黑体"/>
                <w:bCs/>
              </w:rPr>
              <w:t>Address</w:t>
            </w:r>
          </w:p>
        </w:tc>
        <w:tc>
          <w:tcPr>
            <w:tcW w:w="4886" w:type="dxa"/>
            <w:gridSpan w:val="8"/>
            <w:tcBorders>
              <w:top w:val="single" w:color="auto" w:sz="4" w:space="0"/>
              <w:left w:val="nil"/>
              <w:bottom w:val="single" w:color="auto" w:sz="4" w:space="0"/>
              <w:right w:val="single" w:color="000000" w:sz="4" w:space="0"/>
            </w:tcBorders>
            <w:vAlign w:val="center"/>
          </w:tcPr>
          <w:p w14:paraId="55AEFEA5">
            <w:pPr>
              <w:ind w:left="210" w:hanging="210" w:hangingChars="100"/>
              <w:jc w:val="left"/>
              <w:rPr>
                <w:rFonts w:eastAsia="黑体"/>
                <w:bCs/>
              </w:rPr>
            </w:pPr>
            <w:r>
              <w:rPr>
                <w:rFonts w:hint="eastAsia" w:eastAsia="黑体"/>
                <w:bCs/>
              </w:rPr>
              <w:t>　</w:t>
            </w:r>
          </w:p>
        </w:tc>
      </w:tr>
      <w:tr w14:paraId="3EF87203">
        <w:tblPrEx>
          <w:tblCellMar>
            <w:top w:w="0" w:type="dxa"/>
            <w:left w:w="108" w:type="dxa"/>
            <w:bottom w:w="0" w:type="dxa"/>
            <w:right w:w="108" w:type="dxa"/>
          </w:tblCellMar>
        </w:tblPrEx>
        <w:trPr>
          <w:trHeight w:val="600" w:hRule="atLeast"/>
        </w:trPr>
        <w:tc>
          <w:tcPr>
            <w:tcW w:w="2025" w:type="dxa"/>
            <w:vMerge w:val="restart"/>
            <w:tcBorders>
              <w:top w:val="nil"/>
              <w:left w:val="single" w:color="auto" w:sz="4" w:space="0"/>
              <w:bottom w:val="single" w:color="000000" w:sz="4" w:space="0"/>
              <w:right w:val="single" w:color="auto" w:sz="4" w:space="0"/>
            </w:tcBorders>
            <w:vAlign w:val="center"/>
          </w:tcPr>
          <w:p w14:paraId="00EE8F35">
            <w:pPr>
              <w:snapToGrid w:val="0"/>
              <w:jc w:val="left"/>
              <w:rPr>
                <w:rFonts w:eastAsia="黑体"/>
                <w:b/>
                <w:bCs/>
              </w:rPr>
            </w:pPr>
            <w:r>
              <w:rPr>
                <w:rFonts w:hint="eastAsia" w:eastAsia="黑体"/>
                <w:b/>
                <w:bCs/>
              </w:rPr>
              <w:t>托管人联系方式</w:t>
            </w:r>
          </w:p>
          <w:p w14:paraId="3989F1A5">
            <w:pPr>
              <w:snapToGrid w:val="0"/>
              <w:jc w:val="left"/>
              <w:rPr>
                <w:rFonts w:eastAsia="黑体"/>
                <w:bCs/>
              </w:rPr>
            </w:pPr>
            <w:r>
              <w:rPr>
                <w:rFonts w:eastAsia="黑体"/>
                <w:bCs/>
              </w:rPr>
              <w:t xml:space="preserve">Contact of </w:t>
            </w:r>
            <w:r>
              <w:rPr>
                <w:rFonts w:hint="eastAsia" w:eastAsiaTheme="minorEastAsia"/>
                <w:bCs/>
              </w:rPr>
              <w:t xml:space="preserve">Main </w:t>
            </w:r>
            <w:r>
              <w:rPr>
                <w:rFonts w:eastAsia="黑体"/>
                <w:bCs/>
              </w:rPr>
              <w:t>Custodian</w:t>
            </w:r>
          </w:p>
        </w:tc>
        <w:tc>
          <w:tcPr>
            <w:tcW w:w="1311" w:type="dxa"/>
            <w:tcBorders>
              <w:top w:val="nil"/>
              <w:left w:val="nil"/>
              <w:bottom w:val="single" w:color="auto" w:sz="4" w:space="0"/>
              <w:right w:val="single" w:color="auto" w:sz="4" w:space="0"/>
            </w:tcBorders>
            <w:vAlign w:val="center"/>
          </w:tcPr>
          <w:p w14:paraId="25FC186A">
            <w:pPr>
              <w:snapToGrid w:val="0"/>
              <w:jc w:val="left"/>
              <w:rPr>
                <w:rFonts w:eastAsia="黑体"/>
                <w:b/>
                <w:bCs/>
              </w:rPr>
            </w:pPr>
            <w:r>
              <w:rPr>
                <w:rFonts w:hint="eastAsia" w:eastAsiaTheme="minorEastAsia"/>
                <w:b/>
                <w:bCs/>
              </w:rPr>
              <w:t>机构</w:t>
            </w:r>
            <w:r>
              <w:rPr>
                <w:rFonts w:hint="eastAsia" w:eastAsia="黑体"/>
                <w:b/>
                <w:bCs/>
              </w:rPr>
              <w:t>名称</w:t>
            </w:r>
          </w:p>
          <w:p w14:paraId="38BCCDC3">
            <w:pPr>
              <w:snapToGrid w:val="0"/>
              <w:jc w:val="left"/>
              <w:rPr>
                <w:rFonts w:eastAsia="黑体"/>
                <w:bCs/>
              </w:rPr>
            </w:pPr>
            <w:r>
              <w:rPr>
                <w:rFonts w:eastAsia="黑体"/>
                <w:bCs/>
              </w:rPr>
              <w:t>Company Name</w:t>
            </w:r>
          </w:p>
        </w:tc>
        <w:tc>
          <w:tcPr>
            <w:tcW w:w="4886" w:type="dxa"/>
            <w:gridSpan w:val="8"/>
            <w:tcBorders>
              <w:top w:val="single" w:color="auto" w:sz="4" w:space="0"/>
              <w:left w:val="nil"/>
              <w:bottom w:val="single" w:color="auto" w:sz="4" w:space="0"/>
              <w:right w:val="single" w:color="000000" w:sz="4" w:space="0"/>
            </w:tcBorders>
            <w:vAlign w:val="center"/>
          </w:tcPr>
          <w:p w14:paraId="1BB25731">
            <w:pPr>
              <w:snapToGrid w:val="0"/>
              <w:jc w:val="left"/>
              <w:rPr>
                <w:rFonts w:eastAsia="黑体"/>
                <w:b/>
                <w:bCs/>
              </w:rPr>
            </w:pPr>
          </w:p>
        </w:tc>
      </w:tr>
      <w:tr w14:paraId="2184EF09">
        <w:tblPrEx>
          <w:tblCellMar>
            <w:top w:w="0" w:type="dxa"/>
            <w:left w:w="108" w:type="dxa"/>
            <w:bottom w:w="0" w:type="dxa"/>
            <w:right w:w="108" w:type="dxa"/>
          </w:tblCellMar>
        </w:tblPrEx>
        <w:trPr>
          <w:trHeight w:val="600" w:hRule="atLeast"/>
        </w:trPr>
        <w:tc>
          <w:tcPr>
            <w:tcW w:w="2025" w:type="dxa"/>
            <w:vMerge w:val="continue"/>
            <w:tcBorders>
              <w:top w:val="nil"/>
              <w:left w:val="single" w:color="auto" w:sz="4" w:space="0"/>
              <w:bottom w:val="single" w:color="000000" w:sz="4" w:space="0"/>
              <w:right w:val="single" w:color="auto" w:sz="4" w:space="0"/>
            </w:tcBorders>
            <w:vAlign w:val="center"/>
          </w:tcPr>
          <w:p w14:paraId="60339540">
            <w:pPr>
              <w:jc w:val="left"/>
              <w:rPr>
                <w:rFonts w:eastAsia="黑体"/>
                <w:b/>
                <w:bCs/>
              </w:rPr>
            </w:pPr>
          </w:p>
        </w:tc>
        <w:tc>
          <w:tcPr>
            <w:tcW w:w="1311" w:type="dxa"/>
            <w:tcBorders>
              <w:top w:val="nil"/>
              <w:left w:val="nil"/>
              <w:bottom w:val="single" w:color="auto" w:sz="4" w:space="0"/>
              <w:right w:val="single" w:color="auto" w:sz="4" w:space="0"/>
            </w:tcBorders>
            <w:vAlign w:val="center"/>
          </w:tcPr>
          <w:p w14:paraId="65ED3DE6">
            <w:pPr>
              <w:jc w:val="left"/>
              <w:rPr>
                <w:rFonts w:eastAsia="黑体"/>
                <w:b/>
                <w:bCs/>
              </w:rPr>
            </w:pPr>
            <w:r>
              <w:rPr>
                <w:rFonts w:hint="eastAsia" w:eastAsia="黑体"/>
                <w:b/>
                <w:bCs/>
              </w:rPr>
              <w:t>部门名称</w:t>
            </w:r>
          </w:p>
          <w:p w14:paraId="6AE2FDCE">
            <w:pPr>
              <w:jc w:val="left"/>
              <w:rPr>
                <w:rFonts w:eastAsia="黑体"/>
                <w:bCs/>
              </w:rPr>
            </w:pPr>
            <w:r>
              <w:rPr>
                <w:rFonts w:eastAsia="黑体"/>
                <w:bCs/>
              </w:rPr>
              <w:t>Department Name</w:t>
            </w:r>
          </w:p>
        </w:tc>
        <w:tc>
          <w:tcPr>
            <w:tcW w:w="4886" w:type="dxa"/>
            <w:gridSpan w:val="8"/>
            <w:tcBorders>
              <w:top w:val="single" w:color="auto" w:sz="4" w:space="0"/>
              <w:left w:val="nil"/>
              <w:bottom w:val="single" w:color="auto" w:sz="4" w:space="0"/>
              <w:right w:val="single" w:color="000000" w:sz="4" w:space="0"/>
            </w:tcBorders>
            <w:vAlign w:val="center"/>
          </w:tcPr>
          <w:p w14:paraId="625DDA3D">
            <w:pPr>
              <w:rPr>
                <w:rFonts w:eastAsia="黑体"/>
                <w:b/>
                <w:bCs/>
              </w:rPr>
            </w:pPr>
            <w:r>
              <w:rPr>
                <w:rFonts w:hint="eastAsia" w:eastAsia="黑体"/>
                <w:b/>
                <w:bCs/>
              </w:rPr>
              <w:t>　</w:t>
            </w:r>
          </w:p>
        </w:tc>
      </w:tr>
      <w:tr w14:paraId="675E1661">
        <w:tblPrEx>
          <w:tblCellMar>
            <w:top w:w="0" w:type="dxa"/>
            <w:left w:w="108" w:type="dxa"/>
            <w:bottom w:w="0" w:type="dxa"/>
            <w:right w:w="108" w:type="dxa"/>
          </w:tblCellMar>
        </w:tblPrEx>
        <w:trPr>
          <w:trHeight w:val="930" w:hRule="atLeast"/>
        </w:trPr>
        <w:tc>
          <w:tcPr>
            <w:tcW w:w="2025" w:type="dxa"/>
            <w:vMerge w:val="continue"/>
            <w:tcBorders>
              <w:top w:val="nil"/>
              <w:left w:val="single" w:color="auto" w:sz="4" w:space="0"/>
              <w:bottom w:val="single" w:color="000000" w:sz="4" w:space="0"/>
              <w:right w:val="single" w:color="auto" w:sz="4" w:space="0"/>
            </w:tcBorders>
            <w:vAlign w:val="center"/>
          </w:tcPr>
          <w:p w14:paraId="4939250C">
            <w:pPr>
              <w:keepNext/>
              <w:keepLines/>
              <w:spacing w:before="340" w:after="330" w:line="578" w:lineRule="auto"/>
              <w:jc w:val="left"/>
              <w:rPr>
                <w:rFonts w:eastAsia="黑体"/>
                <w:b/>
                <w:bCs/>
              </w:rPr>
            </w:pPr>
          </w:p>
        </w:tc>
        <w:tc>
          <w:tcPr>
            <w:tcW w:w="1311" w:type="dxa"/>
            <w:tcBorders>
              <w:top w:val="nil"/>
              <w:left w:val="nil"/>
              <w:bottom w:val="single" w:color="auto" w:sz="4" w:space="0"/>
              <w:right w:val="single" w:color="auto" w:sz="4" w:space="0"/>
            </w:tcBorders>
            <w:vAlign w:val="center"/>
          </w:tcPr>
          <w:p w14:paraId="278A3E10">
            <w:pPr>
              <w:jc w:val="left"/>
              <w:rPr>
                <w:rFonts w:eastAsia="黑体"/>
                <w:b/>
                <w:bCs/>
              </w:rPr>
            </w:pPr>
            <w:r>
              <w:rPr>
                <w:rFonts w:hint="eastAsia" w:eastAsia="黑体"/>
                <w:b/>
                <w:bCs/>
              </w:rPr>
              <w:t>负责人职务</w:t>
            </w:r>
          </w:p>
          <w:p w14:paraId="05D10009">
            <w:pPr>
              <w:tabs>
                <w:tab w:val="center" w:pos="4153"/>
                <w:tab w:val="right" w:pos="8306"/>
              </w:tabs>
              <w:snapToGrid w:val="0"/>
              <w:jc w:val="left"/>
              <w:rPr>
                <w:rFonts w:eastAsiaTheme="minorEastAsia"/>
                <w:bCs/>
              </w:rPr>
            </w:pPr>
            <w:r>
              <w:rPr>
                <w:rFonts w:eastAsia="黑体"/>
                <w:bCs/>
              </w:rPr>
              <w:t>Title of Person</w:t>
            </w:r>
            <w:r>
              <w:rPr>
                <w:rFonts w:hint="eastAsia" w:eastAsiaTheme="minorEastAsia"/>
                <w:bCs/>
              </w:rPr>
              <w:t xml:space="preserve"> in Charge</w:t>
            </w:r>
          </w:p>
        </w:tc>
        <w:tc>
          <w:tcPr>
            <w:tcW w:w="775" w:type="dxa"/>
            <w:tcBorders>
              <w:top w:val="nil"/>
              <w:left w:val="nil"/>
              <w:bottom w:val="single" w:color="auto" w:sz="4" w:space="0"/>
              <w:right w:val="single" w:color="auto" w:sz="4" w:space="0"/>
            </w:tcBorders>
            <w:vAlign w:val="center"/>
          </w:tcPr>
          <w:p w14:paraId="1FEB7BCF">
            <w:pPr>
              <w:jc w:val="center"/>
              <w:rPr>
                <w:rFonts w:eastAsia="黑体"/>
                <w:b/>
                <w:bCs/>
              </w:rPr>
            </w:pPr>
          </w:p>
        </w:tc>
        <w:tc>
          <w:tcPr>
            <w:tcW w:w="1276" w:type="dxa"/>
            <w:gridSpan w:val="2"/>
            <w:tcBorders>
              <w:top w:val="nil"/>
              <w:left w:val="nil"/>
              <w:bottom w:val="single" w:color="auto" w:sz="4" w:space="0"/>
              <w:right w:val="single" w:color="auto" w:sz="4" w:space="0"/>
            </w:tcBorders>
            <w:vAlign w:val="center"/>
          </w:tcPr>
          <w:p w14:paraId="3A31F601">
            <w:pPr>
              <w:jc w:val="left"/>
              <w:rPr>
                <w:rFonts w:eastAsia="黑体"/>
                <w:b/>
                <w:bCs/>
              </w:rPr>
            </w:pPr>
            <w:r>
              <w:rPr>
                <w:rFonts w:hint="eastAsia" w:eastAsia="黑体"/>
                <w:b/>
                <w:bCs/>
              </w:rPr>
              <w:t>负责人姓名</w:t>
            </w:r>
          </w:p>
          <w:p w14:paraId="1F3EA021">
            <w:pPr>
              <w:jc w:val="left"/>
              <w:rPr>
                <w:rFonts w:eastAsiaTheme="minorEastAsia"/>
                <w:bCs/>
              </w:rPr>
            </w:pPr>
            <w:r>
              <w:rPr>
                <w:rFonts w:eastAsia="黑体"/>
                <w:bCs/>
              </w:rPr>
              <w:t>Name</w:t>
            </w:r>
            <w:r>
              <w:rPr>
                <w:rFonts w:hint="eastAsia" w:eastAsiaTheme="minorEastAsia"/>
                <w:bCs/>
              </w:rPr>
              <w:t xml:space="preserve"> of Person in Charge</w:t>
            </w:r>
          </w:p>
        </w:tc>
        <w:tc>
          <w:tcPr>
            <w:tcW w:w="850" w:type="dxa"/>
            <w:tcBorders>
              <w:top w:val="nil"/>
              <w:left w:val="nil"/>
              <w:bottom w:val="single" w:color="auto" w:sz="4" w:space="0"/>
              <w:right w:val="single" w:color="auto" w:sz="4" w:space="0"/>
            </w:tcBorders>
            <w:noWrap/>
            <w:vAlign w:val="bottom"/>
          </w:tcPr>
          <w:p w14:paraId="455CC2E5">
            <w:pPr>
              <w:jc w:val="left"/>
              <w:rPr>
                <w:rFonts w:eastAsia="黑体"/>
                <w:b/>
                <w:bCs/>
              </w:rPr>
            </w:pPr>
          </w:p>
        </w:tc>
        <w:tc>
          <w:tcPr>
            <w:tcW w:w="993" w:type="dxa"/>
            <w:gridSpan w:val="3"/>
            <w:tcBorders>
              <w:top w:val="nil"/>
              <w:left w:val="nil"/>
              <w:bottom w:val="single" w:color="auto" w:sz="4" w:space="0"/>
              <w:right w:val="single" w:color="auto" w:sz="4" w:space="0"/>
            </w:tcBorders>
            <w:vAlign w:val="center"/>
          </w:tcPr>
          <w:p w14:paraId="631E427E">
            <w:pPr>
              <w:jc w:val="left"/>
              <w:rPr>
                <w:rFonts w:eastAsia="黑体"/>
                <w:b/>
                <w:bCs/>
              </w:rPr>
            </w:pPr>
            <w:r>
              <w:rPr>
                <w:rFonts w:hint="eastAsia" w:eastAsia="黑体"/>
                <w:b/>
                <w:bCs/>
              </w:rPr>
              <w:t>联系电话</w:t>
            </w:r>
          </w:p>
          <w:p w14:paraId="0CF03228">
            <w:pPr>
              <w:jc w:val="left"/>
              <w:rPr>
                <w:rFonts w:eastAsia="黑体"/>
                <w:bCs/>
              </w:rPr>
            </w:pPr>
            <w:r>
              <w:rPr>
                <w:rFonts w:eastAsia="黑体"/>
                <w:bCs/>
              </w:rPr>
              <w:t>Tel.</w:t>
            </w:r>
          </w:p>
        </w:tc>
        <w:tc>
          <w:tcPr>
            <w:tcW w:w="992" w:type="dxa"/>
            <w:tcBorders>
              <w:top w:val="nil"/>
              <w:left w:val="nil"/>
              <w:bottom w:val="single" w:color="auto" w:sz="4" w:space="0"/>
              <w:right w:val="single" w:color="auto" w:sz="4" w:space="0"/>
            </w:tcBorders>
            <w:vAlign w:val="center"/>
          </w:tcPr>
          <w:p w14:paraId="23AAA211">
            <w:pPr>
              <w:jc w:val="center"/>
              <w:rPr>
                <w:rFonts w:eastAsia="黑体"/>
                <w:b/>
                <w:bCs/>
              </w:rPr>
            </w:pPr>
          </w:p>
        </w:tc>
      </w:tr>
      <w:tr w14:paraId="35FA3F16">
        <w:tblPrEx>
          <w:tblCellMar>
            <w:top w:w="0" w:type="dxa"/>
            <w:left w:w="108" w:type="dxa"/>
            <w:bottom w:w="0" w:type="dxa"/>
            <w:right w:w="108" w:type="dxa"/>
          </w:tblCellMar>
        </w:tblPrEx>
        <w:trPr>
          <w:trHeight w:val="620" w:hRule="atLeast"/>
        </w:trPr>
        <w:tc>
          <w:tcPr>
            <w:tcW w:w="2025" w:type="dxa"/>
            <w:vMerge w:val="continue"/>
            <w:tcBorders>
              <w:top w:val="nil"/>
              <w:left w:val="single" w:color="auto" w:sz="4" w:space="0"/>
              <w:bottom w:val="single" w:color="000000" w:sz="4" w:space="0"/>
              <w:right w:val="single" w:color="auto" w:sz="4" w:space="0"/>
            </w:tcBorders>
            <w:vAlign w:val="center"/>
          </w:tcPr>
          <w:p w14:paraId="6DD4B4A6">
            <w:pPr>
              <w:keepNext/>
              <w:keepLines/>
              <w:spacing w:before="340" w:after="330" w:line="578" w:lineRule="auto"/>
              <w:jc w:val="left"/>
              <w:rPr>
                <w:rFonts w:eastAsia="黑体"/>
                <w:b/>
                <w:bCs/>
              </w:rPr>
            </w:pPr>
          </w:p>
        </w:tc>
        <w:tc>
          <w:tcPr>
            <w:tcW w:w="1311" w:type="dxa"/>
            <w:tcBorders>
              <w:top w:val="nil"/>
              <w:left w:val="nil"/>
              <w:bottom w:val="single" w:color="auto" w:sz="4" w:space="0"/>
              <w:right w:val="single" w:color="auto" w:sz="4" w:space="0"/>
            </w:tcBorders>
            <w:vAlign w:val="center"/>
          </w:tcPr>
          <w:p w14:paraId="3AB9AA91">
            <w:pPr>
              <w:tabs>
                <w:tab w:val="center" w:pos="4153"/>
                <w:tab w:val="right" w:pos="8306"/>
              </w:tabs>
              <w:snapToGrid w:val="0"/>
              <w:jc w:val="left"/>
              <w:rPr>
                <w:rFonts w:eastAsiaTheme="minorEastAsia"/>
                <w:b/>
                <w:bCs/>
              </w:rPr>
            </w:pPr>
            <w:r>
              <w:rPr>
                <w:rFonts w:hint="eastAsia" w:eastAsia="黑体"/>
                <w:b/>
                <w:bCs/>
              </w:rPr>
              <w:t>经办人职务</w:t>
            </w:r>
            <w:r>
              <w:rPr>
                <w:rFonts w:eastAsia="黑体"/>
                <w:bCs/>
              </w:rPr>
              <w:t xml:space="preserve">Title of </w:t>
            </w:r>
            <w:r>
              <w:rPr>
                <w:rFonts w:hint="eastAsia" w:eastAsiaTheme="minorEastAsia"/>
                <w:bCs/>
              </w:rPr>
              <w:t>Handling Person</w:t>
            </w:r>
          </w:p>
        </w:tc>
        <w:tc>
          <w:tcPr>
            <w:tcW w:w="775" w:type="dxa"/>
            <w:tcBorders>
              <w:top w:val="nil"/>
              <w:left w:val="nil"/>
              <w:bottom w:val="single" w:color="auto" w:sz="4" w:space="0"/>
              <w:right w:val="single" w:color="auto" w:sz="4" w:space="0"/>
            </w:tcBorders>
            <w:vAlign w:val="center"/>
          </w:tcPr>
          <w:p w14:paraId="041C5985">
            <w:pPr>
              <w:jc w:val="center"/>
              <w:rPr>
                <w:rFonts w:eastAsia="黑体"/>
                <w:b/>
                <w:bCs/>
              </w:rPr>
            </w:pPr>
            <w:r>
              <w:rPr>
                <w:rFonts w:hint="eastAsia" w:eastAsia="黑体"/>
                <w:b/>
                <w:bCs/>
              </w:rPr>
              <w:t>　</w:t>
            </w:r>
          </w:p>
        </w:tc>
        <w:tc>
          <w:tcPr>
            <w:tcW w:w="1276" w:type="dxa"/>
            <w:gridSpan w:val="2"/>
            <w:tcBorders>
              <w:top w:val="nil"/>
              <w:left w:val="nil"/>
              <w:bottom w:val="single" w:color="auto" w:sz="4" w:space="0"/>
              <w:right w:val="single" w:color="auto" w:sz="4" w:space="0"/>
            </w:tcBorders>
            <w:vAlign w:val="center"/>
          </w:tcPr>
          <w:p w14:paraId="50ADB6F5">
            <w:pPr>
              <w:jc w:val="left"/>
              <w:rPr>
                <w:rFonts w:eastAsia="黑体"/>
                <w:b/>
                <w:bCs/>
              </w:rPr>
            </w:pPr>
            <w:r>
              <w:rPr>
                <w:rFonts w:hint="eastAsia" w:eastAsia="黑体"/>
                <w:b/>
                <w:bCs/>
              </w:rPr>
              <w:t>经办人姓名</w:t>
            </w:r>
          </w:p>
          <w:p w14:paraId="1240BCAF">
            <w:pPr>
              <w:tabs>
                <w:tab w:val="center" w:pos="4153"/>
                <w:tab w:val="right" w:pos="8306"/>
              </w:tabs>
              <w:snapToGrid w:val="0"/>
              <w:jc w:val="left"/>
              <w:rPr>
                <w:rFonts w:eastAsiaTheme="minorEastAsia"/>
                <w:bCs/>
              </w:rPr>
            </w:pPr>
            <w:r>
              <w:rPr>
                <w:rFonts w:eastAsia="黑体"/>
                <w:bCs/>
              </w:rPr>
              <w:t xml:space="preserve">Name of </w:t>
            </w:r>
            <w:r>
              <w:rPr>
                <w:rFonts w:hint="eastAsia" w:eastAsiaTheme="minorEastAsia"/>
                <w:bCs/>
              </w:rPr>
              <w:t>Handling Person</w:t>
            </w:r>
          </w:p>
        </w:tc>
        <w:tc>
          <w:tcPr>
            <w:tcW w:w="850" w:type="dxa"/>
            <w:tcBorders>
              <w:top w:val="nil"/>
              <w:left w:val="nil"/>
              <w:bottom w:val="single" w:color="auto" w:sz="4" w:space="0"/>
              <w:right w:val="single" w:color="auto" w:sz="4" w:space="0"/>
            </w:tcBorders>
            <w:noWrap/>
            <w:vAlign w:val="bottom"/>
          </w:tcPr>
          <w:p w14:paraId="3FEF321A">
            <w:pPr>
              <w:jc w:val="left"/>
              <w:rPr>
                <w:rFonts w:eastAsia="黑体"/>
                <w:b/>
                <w:bCs/>
              </w:rPr>
            </w:pPr>
          </w:p>
        </w:tc>
        <w:tc>
          <w:tcPr>
            <w:tcW w:w="993" w:type="dxa"/>
            <w:gridSpan w:val="3"/>
            <w:tcBorders>
              <w:top w:val="nil"/>
              <w:left w:val="nil"/>
              <w:bottom w:val="single" w:color="auto" w:sz="4" w:space="0"/>
              <w:right w:val="single" w:color="auto" w:sz="4" w:space="0"/>
            </w:tcBorders>
            <w:vAlign w:val="center"/>
          </w:tcPr>
          <w:p w14:paraId="594AFA40">
            <w:pPr>
              <w:jc w:val="left"/>
              <w:rPr>
                <w:rFonts w:eastAsia="黑体"/>
                <w:b/>
                <w:bCs/>
              </w:rPr>
            </w:pPr>
            <w:r>
              <w:rPr>
                <w:rFonts w:hint="eastAsia" w:eastAsia="黑体"/>
                <w:b/>
                <w:bCs/>
              </w:rPr>
              <w:t>联系电话</w:t>
            </w:r>
          </w:p>
          <w:p w14:paraId="46122337">
            <w:pPr>
              <w:jc w:val="left"/>
              <w:rPr>
                <w:rFonts w:eastAsia="黑体"/>
                <w:bCs/>
              </w:rPr>
            </w:pPr>
            <w:r>
              <w:rPr>
                <w:rFonts w:eastAsia="黑体"/>
                <w:bCs/>
              </w:rPr>
              <w:t>Tel.</w:t>
            </w:r>
          </w:p>
        </w:tc>
        <w:tc>
          <w:tcPr>
            <w:tcW w:w="992" w:type="dxa"/>
            <w:tcBorders>
              <w:top w:val="nil"/>
              <w:left w:val="nil"/>
              <w:bottom w:val="single" w:color="auto" w:sz="4" w:space="0"/>
              <w:right w:val="single" w:color="auto" w:sz="4" w:space="0"/>
            </w:tcBorders>
            <w:vAlign w:val="center"/>
          </w:tcPr>
          <w:p w14:paraId="04835D6E">
            <w:pPr>
              <w:rPr>
                <w:rFonts w:eastAsia="黑体"/>
                <w:b/>
                <w:bCs/>
              </w:rPr>
            </w:pPr>
          </w:p>
        </w:tc>
      </w:tr>
      <w:tr w14:paraId="2F22B7C3">
        <w:tblPrEx>
          <w:tblCellMar>
            <w:top w:w="0" w:type="dxa"/>
            <w:left w:w="108" w:type="dxa"/>
            <w:bottom w:w="0" w:type="dxa"/>
            <w:right w:w="108" w:type="dxa"/>
          </w:tblCellMar>
        </w:tblPrEx>
        <w:trPr>
          <w:trHeight w:val="310" w:hRule="atLeast"/>
        </w:trPr>
        <w:tc>
          <w:tcPr>
            <w:tcW w:w="2025" w:type="dxa"/>
            <w:vMerge w:val="continue"/>
            <w:tcBorders>
              <w:top w:val="nil"/>
              <w:left w:val="single" w:color="auto" w:sz="4" w:space="0"/>
              <w:bottom w:val="single" w:color="000000" w:sz="4" w:space="0"/>
              <w:right w:val="single" w:color="auto" w:sz="4" w:space="0"/>
            </w:tcBorders>
            <w:vAlign w:val="center"/>
          </w:tcPr>
          <w:p w14:paraId="733EE4B8">
            <w:pPr>
              <w:keepNext/>
              <w:keepLines/>
              <w:spacing w:before="340" w:after="330" w:line="578" w:lineRule="auto"/>
              <w:jc w:val="left"/>
              <w:rPr>
                <w:rFonts w:eastAsia="黑体"/>
                <w:b/>
                <w:bCs/>
              </w:rPr>
            </w:pPr>
          </w:p>
        </w:tc>
        <w:tc>
          <w:tcPr>
            <w:tcW w:w="1311" w:type="dxa"/>
            <w:tcBorders>
              <w:top w:val="nil"/>
              <w:left w:val="nil"/>
              <w:bottom w:val="single" w:color="auto" w:sz="4" w:space="0"/>
              <w:right w:val="single" w:color="auto" w:sz="4" w:space="0"/>
            </w:tcBorders>
            <w:vAlign w:val="center"/>
          </w:tcPr>
          <w:p w14:paraId="0C80C11E">
            <w:pPr>
              <w:rPr>
                <w:rFonts w:eastAsia="黑体"/>
                <w:b/>
                <w:bCs/>
              </w:rPr>
            </w:pPr>
            <w:r>
              <w:rPr>
                <w:rFonts w:hint="eastAsia" w:eastAsia="黑体"/>
                <w:b/>
                <w:bCs/>
              </w:rPr>
              <w:t>传真</w:t>
            </w:r>
          </w:p>
          <w:p w14:paraId="0915406A">
            <w:pPr>
              <w:rPr>
                <w:rFonts w:eastAsia="黑体"/>
                <w:bCs/>
              </w:rPr>
            </w:pPr>
            <w:r>
              <w:rPr>
                <w:rFonts w:eastAsia="黑体"/>
                <w:bCs/>
              </w:rPr>
              <w:t>Fax</w:t>
            </w:r>
          </w:p>
        </w:tc>
        <w:tc>
          <w:tcPr>
            <w:tcW w:w="2051" w:type="dxa"/>
            <w:gridSpan w:val="3"/>
            <w:tcBorders>
              <w:top w:val="single" w:color="auto" w:sz="4" w:space="0"/>
              <w:left w:val="nil"/>
              <w:bottom w:val="single" w:color="auto" w:sz="4" w:space="0"/>
              <w:right w:val="single" w:color="auto" w:sz="4" w:space="0"/>
            </w:tcBorders>
            <w:vAlign w:val="center"/>
          </w:tcPr>
          <w:p w14:paraId="1296CC11">
            <w:pPr>
              <w:jc w:val="left"/>
              <w:rPr>
                <w:rFonts w:eastAsia="黑体"/>
                <w:b/>
                <w:bCs/>
              </w:rPr>
            </w:pPr>
            <w:r>
              <w:rPr>
                <w:rFonts w:hint="eastAsia" w:eastAsia="黑体"/>
                <w:b/>
                <w:bCs/>
              </w:rPr>
              <w:t>　</w:t>
            </w:r>
          </w:p>
        </w:tc>
        <w:tc>
          <w:tcPr>
            <w:tcW w:w="850" w:type="dxa"/>
            <w:tcBorders>
              <w:top w:val="nil"/>
              <w:left w:val="nil"/>
              <w:bottom w:val="single" w:color="auto" w:sz="4" w:space="0"/>
              <w:right w:val="single" w:color="auto" w:sz="4" w:space="0"/>
            </w:tcBorders>
            <w:vAlign w:val="center"/>
          </w:tcPr>
          <w:p w14:paraId="5831FC1B">
            <w:pPr>
              <w:jc w:val="left"/>
              <w:rPr>
                <w:rFonts w:eastAsia="黑体"/>
                <w:b/>
                <w:bCs/>
              </w:rPr>
            </w:pPr>
            <w:r>
              <w:rPr>
                <w:rFonts w:hint="eastAsia" w:eastAsia="黑体"/>
                <w:b/>
                <w:bCs/>
              </w:rPr>
              <w:t>邮件</w:t>
            </w:r>
            <w:r>
              <w:rPr>
                <w:rFonts w:eastAsia="黑体"/>
                <w:bCs/>
              </w:rPr>
              <w:t>Email</w:t>
            </w:r>
          </w:p>
        </w:tc>
        <w:tc>
          <w:tcPr>
            <w:tcW w:w="1985" w:type="dxa"/>
            <w:gridSpan w:val="4"/>
            <w:tcBorders>
              <w:top w:val="single" w:color="auto" w:sz="4" w:space="0"/>
              <w:left w:val="nil"/>
              <w:bottom w:val="single" w:color="auto" w:sz="4" w:space="0"/>
              <w:right w:val="single" w:color="auto" w:sz="4" w:space="0"/>
            </w:tcBorders>
            <w:vAlign w:val="center"/>
          </w:tcPr>
          <w:p w14:paraId="77D44710">
            <w:pPr>
              <w:jc w:val="left"/>
              <w:rPr>
                <w:rFonts w:eastAsia="黑体"/>
                <w:b/>
                <w:bCs/>
              </w:rPr>
            </w:pPr>
          </w:p>
        </w:tc>
      </w:tr>
      <w:tr w14:paraId="18171C1B">
        <w:tblPrEx>
          <w:tblCellMar>
            <w:top w:w="0" w:type="dxa"/>
            <w:left w:w="108" w:type="dxa"/>
            <w:bottom w:w="0" w:type="dxa"/>
            <w:right w:w="108" w:type="dxa"/>
          </w:tblCellMar>
        </w:tblPrEx>
        <w:trPr>
          <w:trHeight w:val="600" w:hRule="atLeast"/>
        </w:trPr>
        <w:tc>
          <w:tcPr>
            <w:tcW w:w="2025" w:type="dxa"/>
            <w:vMerge w:val="continue"/>
            <w:tcBorders>
              <w:top w:val="nil"/>
              <w:left w:val="single" w:color="auto" w:sz="4" w:space="0"/>
              <w:bottom w:val="single" w:color="000000" w:sz="4" w:space="0"/>
              <w:right w:val="single" w:color="auto" w:sz="4" w:space="0"/>
            </w:tcBorders>
            <w:vAlign w:val="center"/>
          </w:tcPr>
          <w:p w14:paraId="601CA901">
            <w:pPr>
              <w:keepNext/>
              <w:keepLines/>
              <w:spacing w:before="340" w:after="330" w:line="578" w:lineRule="auto"/>
              <w:jc w:val="left"/>
              <w:rPr>
                <w:rFonts w:eastAsia="黑体"/>
                <w:b/>
                <w:bCs/>
              </w:rPr>
            </w:pPr>
          </w:p>
        </w:tc>
        <w:tc>
          <w:tcPr>
            <w:tcW w:w="1311" w:type="dxa"/>
            <w:tcBorders>
              <w:top w:val="nil"/>
              <w:left w:val="nil"/>
              <w:bottom w:val="single" w:color="auto" w:sz="4" w:space="0"/>
              <w:right w:val="single" w:color="auto" w:sz="4" w:space="0"/>
            </w:tcBorders>
            <w:vAlign w:val="center"/>
          </w:tcPr>
          <w:p w14:paraId="54B9E8E0">
            <w:pPr>
              <w:jc w:val="left"/>
              <w:rPr>
                <w:rFonts w:eastAsia="黑体"/>
                <w:b/>
                <w:bCs/>
              </w:rPr>
            </w:pPr>
            <w:r>
              <w:rPr>
                <w:rFonts w:hint="eastAsia" w:eastAsia="黑体"/>
                <w:b/>
                <w:bCs/>
              </w:rPr>
              <w:t>详细地址</w:t>
            </w:r>
          </w:p>
          <w:p w14:paraId="180A30AF">
            <w:pPr>
              <w:jc w:val="left"/>
              <w:rPr>
                <w:rFonts w:eastAsia="黑体"/>
                <w:bCs/>
              </w:rPr>
            </w:pPr>
            <w:r>
              <w:rPr>
                <w:rFonts w:eastAsia="黑体"/>
                <w:bCs/>
              </w:rPr>
              <w:t>Address</w:t>
            </w:r>
          </w:p>
          <w:p w14:paraId="39915883">
            <w:pPr>
              <w:jc w:val="center"/>
              <w:rPr>
                <w:rFonts w:eastAsia="黑体"/>
                <w:b/>
                <w:bCs/>
              </w:rPr>
            </w:pPr>
          </w:p>
        </w:tc>
        <w:tc>
          <w:tcPr>
            <w:tcW w:w="4886" w:type="dxa"/>
            <w:gridSpan w:val="8"/>
            <w:tcBorders>
              <w:top w:val="single" w:color="auto" w:sz="4" w:space="0"/>
              <w:left w:val="nil"/>
              <w:bottom w:val="single" w:color="auto" w:sz="4" w:space="0"/>
              <w:right w:val="single" w:color="000000" w:sz="4" w:space="0"/>
            </w:tcBorders>
            <w:vAlign w:val="center"/>
          </w:tcPr>
          <w:p w14:paraId="112E1ACC">
            <w:pPr>
              <w:jc w:val="left"/>
              <w:rPr>
                <w:rFonts w:eastAsia="黑体"/>
                <w:b/>
                <w:bCs/>
              </w:rPr>
            </w:pPr>
          </w:p>
        </w:tc>
      </w:tr>
      <w:tr w14:paraId="571EA496">
        <w:tblPrEx>
          <w:tblCellMar>
            <w:top w:w="0" w:type="dxa"/>
            <w:left w:w="108" w:type="dxa"/>
            <w:bottom w:w="0" w:type="dxa"/>
            <w:right w:w="108" w:type="dxa"/>
          </w:tblCellMar>
        </w:tblPrEx>
        <w:trPr>
          <w:trHeight w:val="600" w:hRule="atLeast"/>
        </w:trPr>
        <w:tc>
          <w:tcPr>
            <w:tcW w:w="2025" w:type="dxa"/>
            <w:vMerge w:val="restart"/>
            <w:tcBorders>
              <w:top w:val="nil"/>
              <w:left w:val="single" w:color="auto" w:sz="4" w:space="0"/>
              <w:bottom w:val="single" w:color="000000" w:sz="4" w:space="0"/>
              <w:right w:val="single" w:color="auto" w:sz="4" w:space="0"/>
            </w:tcBorders>
            <w:vAlign w:val="center"/>
          </w:tcPr>
          <w:p w14:paraId="05EA3F97">
            <w:pPr>
              <w:snapToGrid w:val="0"/>
              <w:jc w:val="left"/>
              <w:rPr>
                <w:rFonts w:eastAsiaTheme="minorEastAsia"/>
                <w:b/>
                <w:bCs/>
              </w:rPr>
            </w:pPr>
            <w:r>
              <w:rPr>
                <w:rFonts w:hint="eastAsia" w:eastAsiaTheme="minorEastAsia"/>
                <w:b/>
                <w:bCs/>
              </w:rPr>
              <w:t>交易参与</w:t>
            </w:r>
            <w:r>
              <w:rPr>
                <w:rFonts w:hint="eastAsia" w:eastAsia="黑体"/>
                <w:b/>
                <w:bCs/>
              </w:rPr>
              <w:t>人</w:t>
            </w:r>
          </w:p>
          <w:p w14:paraId="0B63A1EA">
            <w:pPr>
              <w:snapToGrid w:val="0"/>
              <w:jc w:val="left"/>
              <w:rPr>
                <w:rFonts w:eastAsia="黑体"/>
                <w:b/>
                <w:bCs/>
              </w:rPr>
            </w:pPr>
            <w:r>
              <w:rPr>
                <w:rFonts w:hint="eastAsia" w:eastAsia="黑体"/>
                <w:b/>
                <w:bCs/>
              </w:rPr>
              <w:t>联系方式</w:t>
            </w:r>
          </w:p>
          <w:p w14:paraId="0CFE5148">
            <w:pPr>
              <w:snapToGrid w:val="0"/>
              <w:jc w:val="left"/>
              <w:rPr>
                <w:rFonts w:eastAsiaTheme="minorEastAsia"/>
                <w:bCs/>
              </w:rPr>
            </w:pPr>
            <w:r>
              <w:rPr>
                <w:rFonts w:eastAsia="黑体"/>
                <w:bCs/>
              </w:rPr>
              <w:t xml:space="preserve">Contact of </w:t>
            </w:r>
            <w:r>
              <w:rPr>
                <w:rFonts w:hint="eastAsia" w:eastAsiaTheme="minorEastAsia"/>
                <w:bCs/>
              </w:rPr>
              <w:t>Trading Participant</w:t>
            </w:r>
          </w:p>
        </w:tc>
        <w:tc>
          <w:tcPr>
            <w:tcW w:w="1311" w:type="dxa"/>
            <w:tcBorders>
              <w:top w:val="nil"/>
              <w:left w:val="nil"/>
              <w:bottom w:val="single" w:color="auto" w:sz="4" w:space="0"/>
              <w:right w:val="single" w:color="auto" w:sz="4" w:space="0"/>
            </w:tcBorders>
            <w:vAlign w:val="center"/>
          </w:tcPr>
          <w:p w14:paraId="77339B9F">
            <w:pPr>
              <w:snapToGrid w:val="0"/>
              <w:jc w:val="left"/>
              <w:rPr>
                <w:rFonts w:eastAsia="黑体"/>
                <w:b/>
                <w:bCs/>
              </w:rPr>
            </w:pPr>
            <w:r>
              <w:rPr>
                <w:rFonts w:hint="eastAsia" w:eastAsiaTheme="minorEastAsia"/>
                <w:b/>
                <w:bCs/>
              </w:rPr>
              <w:t>机构</w:t>
            </w:r>
            <w:r>
              <w:rPr>
                <w:rFonts w:hint="eastAsia" w:eastAsia="黑体"/>
                <w:b/>
                <w:bCs/>
              </w:rPr>
              <w:t>名称</w:t>
            </w:r>
          </w:p>
          <w:p w14:paraId="664E02C8">
            <w:pPr>
              <w:snapToGrid w:val="0"/>
              <w:jc w:val="left"/>
              <w:rPr>
                <w:rFonts w:eastAsia="黑体"/>
                <w:bCs/>
              </w:rPr>
            </w:pPr>
            <w:r>
              <w:rPr>
                <w:rFonts w:eastAsia="黑体"/>
                <w:bCs/>
              </w:rPr>
              <w:t>Company Name</w:t>
            </w:r>
          </w:p>
        </w:tc>
        <w:tc>
          <w:tcPr>
            <w:tcW w:w="4886" w:type="dxa"/>
            <w:gridSpan w:val="8"/>
            <w:tcBorders>
              <w:top w:val="single" w:color="auto" w:sz="4" w:space="0"/>
              <w:left w:val="nil"/>
              <w:bottom w:val="single" w:color="auto" w:sz="4" w:space="0"/>
              <w:right w:val="single" w:color="000000" w:sz="4" w:space="0"/>
            </w:tcBorders>
            <w:vAlign w:val="center"/>
          </w:tcPr>
          <w:p w14:paraId="597F42F0">
            <w:pPr>
              <w:snapToGrid w:val="0"/>
              <w:jc w:val="left"/>
              <w:rPr>
                <w:rFonts w:eastAsia="黑体"/>
                <w:b/>
                <w:bCs/>
              </w:rPr>
            </w:pPr>
          </w:p>
        </w:tc>
      </w:tr>
      <w:tr w14:paraId="79D93FD0">
        <w:tblPrEx>
          <w:tblCellMar>
            <w:top w:w="0" w:type="dxa"/>
            <w:left w:w="108" w:type="dxa"/>
            <w:bottom w:w="0" w:type="dxa"/>
            <w:right w:w="108" w:type="dxa"/>
          </w:tblCellMar>
        </w:tblPrEx>
        <w:trPr>
          <w:trHeight w:val="600" w:hRule="atLeast"/>
        </w:trPr>
        <w:tc>
          <w:tcPr>
            <w:tcW w:w="2025" w:type="dxa"/>
            <w:vMerge w:val="continue"/>
            <w:tcBorders>
              <w:top w:val="nil"/>
              <w:left w:val="single" w:color="auto" w:sz="4" w:space="0"/>
              <w:bottom w:val="single" w:color="000000" w:sz="4" w:space="0"/>
              <w:right w:val="single" w:color="auto" w:sz="4" w:space="0"/>
            </w:tcBorders>
            <w:vAlign w:val="center"/>
          </w:tcPr>
          <w:p w14:paraId="09367200">
            <w:pPr>
              <w:jc w:val="left"/>
              <w:rPr>
                <w:rFonts w:eastAsia="黑体"/>
                <w:b/>
                <w:bCs/>
              </w:rPr>
            </w:pPr>
          </w:p>
        </w:tc>
        <w:tc>
          <w:tcPr>
            <w:tcW w:w="1311" w:type="dxa"/>
            <w:tcBorders>
              <w:top w:val="nil"/>
              <w:left w:val="nil"/>
              <w:bottom w:val="single" w:color="auto" w:sz="4" w:space="0"/>
              <w:right w:val="single" w:color="auto" w:sz="4" w:space="0"/>
            </w:tcBorders>
            <w:vAlign w:val="center"/>
          </w:tcPr>
          <w:p w14:paraId="0FBE2985">
            <w:pPr>
              <w:jc w:val="left"/>
              <w:rPr>
                <w:rFonts w:eastAsia="黑体"/>
                <w:b/>
                <w:bCs/>
              </w:rPr>
            </w:pPr>
            <w:r>
              <w:rPr>
                <w:rFonts w:hint="eastAsia" w:eastAsia="黑体"/>
                <w:b/>
                <w:bCs/>
              </w:rPr>
              <w:t>部门名称</w:t>
            </w:r>
          </w:p>
          <w:p w14:paraId="0D67BA47">
            <w:pPr>
              <w:jc w:val="left"/>
              <w:rPr>
                <w:rFonts w:eastAsia="黑体"/>
                <w:bCs/>
              </w:rPr>
            </w:pPr>
            <w:r>
              <w:rPr>
                <w:rFonts w:eastAsia="黑体"/>
                <w:bCs/>
              </w:rPr>
              <w:t>Department Name</w:t>
            </w:r>
          </w:p>
        </w:tc>
        <w:tc>
          <w:tcPr>
            <w:tcW w:w="4886" w:type="dxa"/>
            <w:gridSpan w:val="8"/>
            <w:tcBorders>
              <w:top w:val="single" w:color="auto" w:sz="4" w:space="0"/>
              <w:left w:val="nil"/>
              <w:bottom w:val="single" w:color="auto" w:sz="4" w:space="0"/>
              <w:right w:val="single" w:color="000000" w:sz="4" w:space="0"/>
            </w:tcBorders>
            <w:vAlign w:val="center"/>
          </w:tcPr>
          <w:p w14:paraId="2B637502">
            <w:pPr>
              <w:rPr>
                <w:rFonts w:eastAsia="黑体"/>
                <w:b/>
                <w:bCs/>
              </w:rPr>
            </w:pPr>
            <w:r>
              <w:rPr>
                <w:rFonts w:hint="eastAsia" w:eastAsia="黑体"/>
                <w:b/>
                <w:bCs/>
              </w:rPr>
              <w:t>　</w:t>
            </w:r>
          </w:p>
        </w:tc>
      </w:tr>
      <w:tr w14:paraId="28B0475C">
        <w:tblPrEx>
          <w:tblCellMar>
            <w:top w:w="0" w:type="dxa"/>
            <w:left w:w="108" w:type="dxa"/>
            <w:bottom w:w="0" w:type="dxa"/>
            <w:right w:w="108" w:type="dxa"/>
          </w:tblCellMar>
        </w:tblPrEx>
        <w:trPr>
          <w:trHeight w:val="930" w:hRule="atLeast"/>
        </w:trPr>
        <w:tc>
          <w:tcPr>
            <w:tcW w:w="2025" w:type="dxa"/>
            <w:vMerge w:val="continue"/>
            <w:tcBorders>
              <w:top w:val="nil"/>
              <w:left w:val="single" w:color="auto" w:sz="4" w:space="0"/>
              <w:bottom w:val="single" w:color="000000" w:sz="4" w:space="0"/>
              <w:right w:val="single" w:color="auto" w:sz="4" w:space="0"/>
            </w:tcBorders>
            <w:vAlign w:val="center"/>
          </w:tcPr>
          <w:p w14:paraId="147D1EEC">
            <w:pPr>
              <w:keepNext/>
              <w:keepLines/>
              <w:spacing w:before="340" w:after="330" w:line="578" w:lineRule="auto"/>
              <w:jc w:val="left"/>
              <w:rPr>
                <w:rFonts w:eastAsia="黑体"/>
                <w:b/>
                <w:bCs/>
              </w:rPr>
            </w:pPr>
          </w:p>
        </w:tc>
        <w:tc>
          <w:tcPr>
            <w:tcW w:w="1311" w:type="dxa"/>
            <w:tcBorders>
              <w:top w:val="nil"/>
              <w:left w:val="nil"/>
              <w:bottom w:val="single" w:color="auto" w:sz="4" w:space="0"/>
              <w:right w:val="single" w:color="auto" w:sz="4" w:space="0"/>
            </w:tcBorders>
            <w:vAlign w:val="center"/>
          </w:tcPr>
          <w:p w14:paraId="1E535CEF">
            <w:pPr>
              <w:jc w:val="left"/>
              <w:rPr>
                <w:rFonts w:eastAsia="黑体"/>
                <w:b/>
                <w:bCs/>
              </w:rPr>
            </w:pPr>
            <w:r>
              <w:rPr>
                <w:rFonts w:hint="eastAsia" w:eastAsia="黑体"/>
                <w:b/>
                <w:bCs/>
              </w:rPr>
              <w:t>负责人职务</w:t>
            </w:r>
          </w:p>
          <w:p w14:paraId="7CE8A321">
            <w:pPr>
              <w:tabs>
                <w:tab w:val="center" w:pos="4153"/>
                <w:tab w:val="right" w:pos="8306"/>
              </w:tabs>
              <w:snapToGrid w:val="0"/>
              <w:jc w:val="left"/>
              <w:rPr>
                <w:rFonts w:eastAsiaTheme="minorEastAsia"/>
                <w:bCs/>
              </w:rPr>
            </w:pPr>
            <w:r>
              <w:rPr>
                <w:rFonts w:eastAsia="黑体"/>
                <w:bCs/>
              </w:rPr>
              <w:t>Title of Person</w:t>
            </w:r>
            <w:r>
              <w:rPr>
                <w:rFonts w:hint="eastAsia" w:eastAsiaTheme="minorEastAsia"/>
                <w:bCs/>
              </w:rPr>
              <w:t xml:space="preserve"> in Charge</w:t>
            </w:r>
          </w:p>
        </w:tc>
        <w:tc>
          <w:tcPr>
            <w:tcW w:w="775" w:type="dxa"/>
            <w:tcBorders>
              <w:top w:val="nil"/>
              <w:left w:val="nil"/>
              <w:bottom w:val="single" w:color="auto" w:sz="4" w:space="0"/>
              <w:right w:val="single" w:color="auto" w:sz="4" w:space="0"/>
            </w:tcBorders>
            <w:vAlign w:val="center"/>
          </w:tcPr>
          <w:p w14:paraId="7B9D8C8B">
            <w:pPr>
              <w:jc w:val="center"/>
              <w:rPr>
                <w:rFonts w:eastAsia="黑体"/>
                <w:b/>
                <w:bCs/>
              </w:rPr>
            </w:pPr>
          </w:p>
        </w:tc>
        <w:tc>
          <w:tcPr>
            <w:tcW w:w="1276" w:type="dxa"/>
            <w:gridSpan w:val="2"/>
            <w:tcBorders>
              <w:top w:val="nil"/>
              <w:left w:val="nil"/>
              <w:bottom w:val="single" w:color="auto" w:sz="4" w:space="0"/>
              <w:right w:val="single" w:color="auto" w:sz="4" w:space="0"/>
            </w:tcBorders>
            <w:vAlign w:val="center"/>
          </w:tcPr>
          <w:p w14:paraId="6FCCA7E4">
            <w:pPr>
              <w:jc w:val="left"/>
              <w:rPr>
                <w:rFonts w:eastAsia="黑体"/>
                <w:b/>
                <w:bCs/>
              </w:rPr>
            </w:pPr>
            <w:r>
              <w:rPr>
                <w:rFonts w:hint="eastAsia" w:eastAsia="黑体"/>
                <w:b/>
                <w:bCs/>
              </w:rPr>
              <w:t>负责人姓名</w:t>
            </w:r>
          </w:p>
          <w:p w14:paraId="5FCE2452">
            <w:pPr>
              <w:tabs>
                <w:tab w:val="center" w:pos="4153"/>
                <w:tab w:val="right" w:pos="8306"/>
              </w:tabs>
              <w:snapToGrid w:val="0"/>
              <w:jc w:val="left"/>
              <w:rPr>
                <w:rFonts w:eastAsiaTheme="minorEastAsia"/>
                <w:bCs/>
              </w:rPr>
            </w:pPr>
            <w:r>
              <w:rPr>
                <w:rFonts w:eastAsia="黑体"/>
                <w:bCs/>
              </w:rPr>
              <w:t>Name</w:t>
            </w:r>
            <w:r>
              <w:rPr>
                <w:rFonts w:hint="eastAsia" w:eastAsiaTheme="minorEastAsia"/>
                <w:bCs/>
              </w:rPr>
              <w:t xml:space="preserve"> of Person in Charge</w:t>
            </w:r>
          </w:p>
        </w:tc>
        <w:tc>
          <w:tcPr>
            <w:tcW w:w="850" w:type="dxa"/>
            <w:tcBorders>
              <w:top w:val="nil"/>
              <w:left w:val="nil"/>
              <w:bottom w:val="single" w:color="auto" w:sz="4" w:space="0"/>
              <w:right w:val="single" w:color="auto" w:sz="4" w:space="0"/>
            </w:tcBorders>
            <w:noWrap/>
            <w:vAlign w:val="bottom"/>
          </w:tcPr>
          <w:p w14:paraId="1292248C">
            <w:pPr>
              <w:jc w:val="left"/>
              <w:rPr>
                <w:rFonts w:eastAsia="黑体"/>
                <w:b/>
                <w:bCs/>
              </w:rPr>
            </w:pPr>
          </w:p>
        </w:tc>
        <w:tc>
          <w:tcPr>
            <w:tcW w:w="993" w:type="dxa"/>
            <w:gridSpan w:val="3"/>
            <w:tcBorders>
              <w:top w:val="nil"/>
              <w:left w:val="nil"/>
              <w:bottom w:val="single" w:color="auto" w:sz="4" w:space="0"/>
              <w:right w:val="single" w:color="auto" w:sz="4" w:space="0"/>
            </w:tcBorders>
            <w:vAlign w:val="center"/>
          </w:tcPr>
          <w:p w14:paraId="4B5034A2">
            <w:pPr>
              <w:jc w:val="left"/>
              <w:rPr>
                <w:rFonts w:eastAsia="黑体"/>
                <w:b/>
                <w:bCs/>
              </w:rPr>
            </w:pPr>
            <w:r>
              <w:rPr>
                <w:rFonts w:hint="eastAsia" w:eastAsia="黑体"/>
                <w:b/>
                <w:bCs/>
              </w:rPr>
              <w:t>联系电话</w:t>
            </w:r>
          </w:p>
          <w:p w14:paraId="624AF2CA">
            <w:pPr>
              <w:jc w:val="left"/>
              <w:rPr>
                <w:rFonts w:eastAsia="黑体"/>
                <w:bCs/>
              </w:rPr>
            </w:pPr>
            <w:r>
              <w:rPr>
                <w:rFonts w:eastAsia="黑体"/>
                <w:bCs/>
              </w:rPr>
              <w:t>Tel.</w:t>
            </w:r>
          </w:p>
        </w:tc>
        <w:tc>
          <w:tcPr>
            <w:tcW w:w="992" w:type="dxa"/>
            <w:tcBorders>
              <w:top w:val="nil"/>
              <w:left w:val="nil"/>
              <w:bottom w:val="single" w:color="auto" w:sz="4" w:space="0"/>
              <w:right w:val="single" w:color="auto" w:sz="4" w:space="0"/>
            </w:tcBorders>
            <w:vAlign w:val="center"/>
          </w:tcPr>
          <w:p w14:paraId="7472DA85">
            <w:pPr>
              <w:jc w:val="center"/>
              <w:rPr>
                <w:rFonts w:eastAsia="黑体"/>
                <w:b/>
                <w:bCs/>
              </w:rPr>
            </w:pPr>
          </w:p>
        </w:tc>
      </w:tr>
      <w:tr w14:paraId="19E36B4C">
        <w:tblPrEx>
          <w:tblCellMar>
            <w:top w:w="0" w:type="dxa"/>
            <w:left w:w="108" w:type="dxa"/>
            <w:bottom w:w="0" w:type="dxa"/>
            <w:right w:w="108" w:type="dxa"/>
          </w:tblCellMar>
        </w:tblPrEx>
        <w:trPr>
          <w:trHeight w:val="620" w:hRule="atLeast"/>
        </w:trPr>
        <w:tc>
          <w:tcPr>
            <w:tcW w:w="2025" w:type="dxa"/>
            <w:vMerge w:val="continue"/>
            <w:tcBorders>
              <w:top w:val="nil"/>
              <w:left w:val="single" w:color="auto" w:sz="4" w:space="0"/>
              <w:bottom w:val="single" w:color="000000" w:sz="4" w:space="0"/>
              <w:right w:val="single" w:color="auto" w:sz="4" w:space="0"/>
            </w:tcBorders>
            <w:vAlign w:val="center"/>
          </w:tcPr>
          <w:p w14:paraId="1DFCD329">
            <w:pPr>
              <w:keepNext/>
              <w:keepLines/>
              <w:spacing w:before="340" w:after="330" w:line="578" w:lineRule="auto"/>
              <w:jc w:val="left"/>
              <w:rPr>
                <w:rFonts w:eastAsia="黑体"/>
                <w:b/>
                <w:bCs/>
              </w:rPr>
            </w:pPr>
          </w:p>
        </w:tc>
        <w:tc>
          <w:tcPr>
            <w:tcW w:w="1311" w:type="dxa"/>
            <w:tcBorders>
              <w:top w:val="nil"/>
              <w:left w:val="nil"/>
              <w:bottom w:val="single" w:color="auto" w:sz="4" w:space="0"/>
              <w:right w:val="single" w:color="auto" w:sz="4" w:space="0"/>
            </w:tcBorders>
            <w:vAlign w:val="center"/>
          </w:tcPr>
          <w:p w14:paraId="3FA9A4E5">
            <w:pPr>
              <w:jc w:val="left"/>
              <w:rPr>
                <w:rFonts w:eastAsiaTheme="minorEastAsia"/>
                <w:b/>
                <w:bCs/>
              </w:rPr>
            </w:pPr>
            <w:r>
              <w:rPr>
                <w:rFonts w:hint="eastAsia" w:eastAsia="黑体"/>
                <w:b/>
                <w:bCs/>
              </w:rPr>
              <w:t>经办人职务</w:t>
            </w:r>
            <w:r>
              <w:rPr>
                <w:rFonts w:eastAsia="黑体"/>
                <w:bCs/>
              </w:rPr>
              <w:t xml:space="preserve">Title of </w:t>
            </w:r>
            <w:r>
              <w:rPr>
                <w:rFonts w:hint="eastAsia" w:eastAsiaTheme="minorEastAsia"/>
                <w:bCs/>
              </w:rPr>
              <w:t>Handling Person</w:t>
            </w:r>
          </w:p>
        </w:tc>
        <w:tc>
          <w:tcPr>
            <w:tcW w:w="775" w:type="dxa"/>
            <w:tcBorders>
              <w:top w:val="nil"/>
              <w:left w:val="nil"/>
              <w:bottom w:val="single" w:color="auto" w:sz="4" w:space="0"/>
              <w:right w:val="single" w:color="auto" w:sz="4" w:space="0"/>
            </w:tcBorders>
            <w:vAlign w:val="center"/>
          </w:tcPr>
          <w:p w14:paraId="3B7C9CFA">
            <w:pPr>
              <w:jc w:val="center"/>
              <w:rPr>
                <w:rFonts w:eastAsia="黑体"/>
                <w:b/>
                <w:bCs/>
              </w:rPr>
            </w:pPr>
            <w:r>
              <w:rPr>
                <w:rFonts w:hint="eastAsia" w:eastAsia="黑体"/>
                <w:b/>
                <w:bCs/>
              </w:rPr>
              <w:t>　</w:t>
            </w:r>
          </w:p>
        </w:tc>
        <w:tc>
          <w:tcPr>
            <w:tcW w:w="1276" w:type="dxa"/>
            <w:gridSpan w:val="2"/>
            <w:tcBorders>
              <w:top w:val="nil"/>
              <w:left w:val="nil"/>
              <w:bottom w:val="single" w:color="auto" w:sz="4" w:space="0"/>
              <w:right w:val="single" w:color="auto" w:sz="4" w:space="0"/>
            </w:tcBorders>
            <w:vAlign w:val="center"/>
          </w:tcPr>
          <w:p w14:paraId="6FAD6F6A">
            <w:pPr>
              <w:jc w:val="left"/>
              <w:rPr>
                <w:rFonts w:eastAsia="黑体"/>
                <w:b/>
                <w:bCs/>
              </w:rPr>
            </w:pPr>
            <w:r>
              <w:rPr>
                <w:rFonts w:hint="eastAsia" w:eastAsia="黑体"/>
                <w:b/>
                <w:bCs/>
              </w:rPr>
              <w:t>经办人姓名</w:t>
            </w:r>
          </w:p>
          <w:p w14:paraId="3046EBEB">
            <w:pPr>
              <w:jc w:val="left"/>
              <w:rPr>
                <w:rFonts w:eastAsiaTheme="minorEastAsia"/>
                <w:bCs/>
              </w:rPr>
            </w:pPr>
            <w:r>
              <w:rPr>
                <w:rFonts w:eastAsia="黑体"/>
                <w:bCs/>
              </w:rPr>
              <w:t xml:space="preserve">Name of </w:t>
            </w:r>
            <w:r>
              <w:rPr>
                <w:rFonts w:hint="eastAsia" w:eastAsiaTheme="minorEastAsia"/>
                <w:bCs/>
              </w:rPr>
              <w:t>Handling Person</w:t>
            </w:r>
          </w:p>
        </w:tc>
        <w:tc>
          <w:tcPr>
            <w:tcW w:w="850" w:type="dxa"/>
            <w:tcBorders>
              <w:top w:val="nil"/>
              <w:left w:val="nil"/>
              <w:bottom w:val="single" w:color="auto" w:sz="4" w:space="0"/>
              <w:right w:val="single" w:color="auto" w:sz="4" w:space="0"/>
            </w:tcBorders>
            <w:noWrap/>
            <w:vAlign w:val="bottom"/>
          </w:tcPr>
          <w:p w14:paraId="50E3C88D">
            <w:pPr>
              <w:jc w:val="left"/>
              <w:rPr>
                <w:rFonts w:eastAsia="黑体"/>
                <w:b/>
                <w:bCs/>
              </w:rPr>
            </w:pPr>
          </w:p>
        </w:tc>
        <w:tc>
          <w:tcPr>
            <w:tcW w:w="993" w:type="dxa"/>
            <w:gridSpan w:val="3"/>
            <w:tcBorders>
              <w:top w:val="nil"/>
              <w:left w:val="nil"/>
              <w:bottom w:val="single" w:color="auto" w:sz="4" w:space="0"/>
              <w:right w:val="single" w:color="auto" w:sz="4" w:space="0"/>
            </w:tcBorders>
            <w:vAlign w:val="center"/>
          </w:tcPr>
          <w:p w14:paraId="278A64E5">
            <w:pPr>
              <w:jc w:val="left"/>
              <w:rPr>
                <w:rFonts w:eastAsia="黑体"/>
                <w:b/>
                <w:bCs/>
              </w:rPr>
            </w:pPr>
            <w:r>
              <w:rPr>
                <w:rFonts w:hint="eastAsia" w:eastAsia="黑体"/>
                <w:b/>
                <w:bCs/>
              </w:rPr>
              <w:t>联系电话</w:t>
            </w:r>
          </w:p>
          <w:p w14:paraId="02C71841">
            <w:pPr>
              <w:jc w:val="left"/>
              <w:rPr>
                <w:rFonts w:eastAsia="黑体"/>
                <w:bCs/>
              </w:rPr>
            </w:pPr>
            <w:r>
              <w:rPr>
                <w:rFonts w:eastAsia="黑体"/>
                <w:bCs/>
              </w:rPr>
              <w:t>Tel.</w:t>
            </w:r>
          </w:p>
        </w:tc>
        <w:tc>
          <w:tcPr>
            <w:tcW w:w="992" w:type="dxa"/>
            <w:tcBorders>
              <w:top w:val="nil"/>
              <w:left w:val="nil"/>
              <w:bottom w:val="single" w:color="auto" w:sz="4" w:space="0"/>
              <w:right w:val="single" w:color="auto" w:sz="4" w:space="0"/>
            </w:tcBorders>
            <w:vAlign w:val="center"/>
          </w:tcPr>
          <w:p w14:paraId="25A03CF1">
            <w:pPr>
              <w:rPr>
                <w:rFonts w:eastAsia="黑体"/>
                <w:b/>
                <w:bCs/>
              </w:rPr>
            </w:pPr>
          </w:p>
        </w:tc>
      </w:tr>
      <w:tr w14:paraId="583BEBDE">
        <w:tblPrEx>
          <w:tblCellMar>
            <w:top w:w="0" w:type="dxa"/>
            <w:left w:w="108" w:type="dxa"/>
            <w:bottom w:w="0" w:type="dxa"/>
            <w:right w:w="108" w:type="dxa"/>
          </w:tblCellMar>
        </w:tblPrEx>
        <w:trPr>
          <w:trHeight w:val="310" w:hRule="atLeast"/>
        </w:trPr>
        <w:tc>
          <w:tcPr>
            <w:tcW w:w="2025" w:type="dxa"/>
            <w:vMerge w:val="continue"/>
            <w:tcBorders>
              <w:top w:val="nil"/>
              <w:left w:val="single" w:color="auto" w:sz="4" w:space="0"/>
              <w:bottom w:val="single" w:color="000000" w:sz="4" w:space="0"/>
              <w:right w:val="single" w:color="auto" w:sz="4" w:space="0"/>
            </w:tcBorders>
            <w:vAlign w:val="center"/>
          </w:tcPr>
          <w:p w14:paraId="56649EE2">
            <w:pPr>
              <w:keepNext/>
              <w:keepLines/>
              <w:spacing w:before="340" w:after="330" w:line="578" w:lineRule="auto"/>
              <w:jc w:val="left"/>
              <w:rPr>
                <w:rFonts w:eastAsia="黑体"/>
                <w:b/>
                <w:bCs/>
              </w:rPr>
            </w:pPr>
          </w:p>
        </w:tc>
        <w:tc>
          <w:tcPr>
            <w:tcW w:w="1311" w:type="dxa"/>
            <w:tcBorders>
              <w:top w:val="nil"/>
              <w:left w:val="nil"/>
              <w:bottom w:val="single" w:color="auto" w:sz="4" w:space="0"/>
              <w:right w:val="single" w:color="auto" w:sz="4" w:space="0"/>
            </w:tcBorders>
            <w:vAlign w:val="center"/>
          </w:tcPr>
          <w:p w14:paraId="2C2EAF0E">
            <w:pPr>
              <w:rPr>
                <w:rFonts w:eastAsia="黑体"/>
                <w:b/>
                <w:bCs/>
              </w:rPr>
            </w:pPr>
            <w:r>
              <w:rPr>
                <w:rFonts w:hint="eastAsia" w:eastAsia="黑体"/>
                <w:b/>
                <w:bCs/>
              </w:rPr>
              <w:t>传真</w:t>
            </w:r>
          </w:p>
          <w:p w14:paraId="713EC4EB">
            <w:pPr>
              <w:rPr>
                <w:rFonts w:eastAsia="黑体"/>
                <w:bCs/>
              </w:rPr>
            </w:pPr>
            <w:r>
              <w:rPr>
                <w:rFonts w:eastAsia="黑体"/>
                <w:bCs/>
              </w:rPr>
              <w:t>Fax</w:t>
            </w:r>
          </w:p>
        </w:tc>
        <w:tc>
          <w:tcPr>
            <w:tcW w:w="2051" w:type="dxa"/>
            <w:gridSpan w:val="3"/>
            <w:tcBorders>
              <w:top w:val="single" w:color="auto" w:sz="4" w:space="0"/>
              <w:left w:val="nil"/>
              <w:bottom w:val="single" w:color="auto" w:sz="4" w:space="0"/>
              <w:right w:val="single" w:color="auto" w:sz="4" w:space="0"/>
            </w:tcBorders>
            <w:vAlign w:val="center"/>
          </w:tcPr>
          <w:p w14:paraId="4D6F9D85">
            <w:pPr>
              <w:jc w:val="left"/>
              <w:rPr>
                <w:rFonts w:eastAsia="黑体"/>
                <w:b/>
                <w:bCs/>
              </w:rPr>
            </w:pPr>
            <w:r>
              <w:rPr>
                <w:rFonts w:hint="eastAsia" w:eastAsia="黑体"/>
                <w:b/>
                <w:bCs/>
              </w:rPr>
              <w:t>　</w:t>
            </w:r>
          </w:p>
        </w:tc>
        <w:tc>
          <w:tcPr>
            <w:tcW w:w="850" w:type="dxa"/>
            <w:tcBorders>
              <w:top w:val="nil"/>
              <w:left w:val="nil"/>
              <w:bottom w:val="single" w:color="auto" w:sz="4" w:space="0"/>
              <w:right w:val="single" w:color="auto" w:sz="4" w:space="0"/>
            </w:tcBorders>
            <w:vAlign w:val="center"/>
          </w:tcPr>
          <w:p w14:paraId="2040CAAE">
            <w:pPr>
              <w:jc w:val="left"/>
              <w:rPr>
                <w:rFonts w:eastAsia="黑体"/>
                <w:b/>
                <w:bCs/>
              </w:rPr>
            </w:pPr>
            <w:r>
              <w:rPr>
                <w:rFonts w:hint="eastAsia" w:eastAsia="黑体"/>
                <w:b/>
                <w:bCs/>
              </w:rPr>
              <w:t>邮件</w:t>
            </w:r>
            <w:r>
              <w:rPr>
                <w:rFonts w:eastAsia="黑体"/>
                <w:bCs/>
              </w:rPr>
              <w:t>Email</w:t>
            </w:r>
          </w:p>
        </w:tc>
        <w:tc>
          <w:tcPr>
            <w:tcW w:w="1985" w:type="dxa"/>
            <w:gridSpan w:val="4"/>
            <w:tcBorders>
              <w:top w:val="single" w:color="auto" w:sz="4" w:space="0"/>
              <w:left w:val="nil"/>
              <w:bottom w:val="single" w:color="auto" w:sz="4" w:space="0"/>
              <w:right w:val="single" w:color="auto" w:sz="4" w:space="0"/>
            </w:tcBorders>
            <w:vAlign w:val="center"/>
          </w:tcPr>
          <w:p w14:paraId="7C258CB7">
            <w:pPr>
              <w:jc w:val="left"/>
              <w:rPr>
                <w:rFonts w:eastAsia="黑体"/>
                <w:b/>
                <w:bCs/>
              </w:rPr>
            </w:pPr>
          </w:p>
        </w:tc>
      </w:tr>
      <w:tr w14:paraId="7BB0BCC4">
        <w:tblPrEx>
          <w:tblCellMar>
            <w:top w:w="0" w:type="dxa"/>
            <w:left w:w="108" w:type="dxa"/>
            <w:bottom w:w="0" w:type="dxa"/>
            <w:right w:w="108" w:type="dxa"/>
          </w:tblCellMar>
        </w:tblPrEx>
        <w:trPr>
          <w:trHeight w:val="600" w:hRule="atLeast"/>
        </w:trPr>
        <w:tc>
          <w:tcPr>
            <w:tcW w:w="2025" w:type="dxa"/>
            <w:vMerge w:val="continue"/>
            <w:tcBorders>
              <w:top w:val="nil"/>
              <w:left w:val="single" w:color="auto" w:sz="4" w:space="0"/>
              <w:bottom w:val="single" w:color="000000" w:sz="4" w:space="0"/>
              <w:right w:val="single" w:color="auto" w:sz="4" w:space="0"/>
            </w:tcBorders>
            <w:vAlign w:val="center"/>
          </w:tcPr>
          <w:p w14:paraId="5BF33AFC">
            <w:pPr>
              <w:keepNext/>
              <w:keepLines/>
              <w:spacing w:before="340" w:after="330" w:line="578" w:lineRule="auto"/>
              <w:jc w:val="left"/>
              <w:rPr>
                <w:rFonts w:eastAsia="黑体"/>
                <w:b/>
                <w:bCs/>
              </w:rPr>
            </w:pPr>
          </w:p>
        </w:tc>
        <w:tc>
          <w:tcPr>
            <w:tcW w:w="1311" w:type="dxa"/>
            <w:tcBorders>
              <w:top w:val="nil"/>
              <w:left w:val="nil"/>
              <w:bottom w:val="single" w:color="auto" w:sz="4" w:space="0"/>
              <w:right w:val="single" w:color="auto" w:sz="4" w:space="0"/>
            </w:tcBorders>
            <w:vAlign w:val="center"/>
          </w:tcPr>
          <w:p w14:paraId="5AA29178">
            <w:pPr>
              <w:jc w:val="left"/>
              <w:rPr>
                <w:rFonts w:eastAsia="黑体"/>
                <w:b/>
                <w:bCs/>
              </w:rPr>
            </w:pPr>
            <w:r>
              <w:rPr>
                <w:rFonts w:hint="eastAsia" w:eastAsia="黑体"/>
                <w:b/>
                <w:bCs/>
              </w:rPr>
              <w:t>详细地址</w:t>
            </w:r>
          </w:p>
          <w:p w14:paraId="363744B0">
            <w:pPr>
              <w:jc w:val="left"/>
              <w:rPr>
                <w:rFonts w:eastAsia="黑体"/>
                <w:bCs/>
              </w:rPr>
            </w:pPr>
            <w:r>
              <w:rPr>
                <w:rFonts w:eastAsia="黑体"/>
                <w:bCs/>
              </w:rPr>
              <w:t>Address</w:t>
            </w:r>
          </w:p>
          <w:p w14:paraId="6B6FD567">
            <w:pPr>
              <w:jc w:val="center"/>
              <w:rPr>
                <w:rFonts w:eastAsia="黑体"/>
                <w:b/>
                <w:bCs/>
              </w:rPr>
            </w:pPr>
          </w:p>
        </w:tc>
        <w:tc>
          <w:tcPr>
            <w:tcW w:w="4886" w:type="dxa"/>
            <w:gridSpan w:val="8"/>
            <w:tcBorders>
              <w:top w:val="single" w:color="auto" w:sz="4" w:space="0"/>
              <w:left w:val="nil"/>
              <w:bottom w:val="single" w:color="auto" w:sz="4" w:space="0"/>
              <w:right w:val="single" w:color="000000" w:sz="4" w:space="0"/>
            </w:tcBorders>
            <w:vAlign w:val="center"/>
          </w:tcPr>
          <w:p w14:paraId="22CA5E80">
            <w:pPr>
              <w:jc w:val="left"/>
              <w:rPr>
                <w:rFonts w:eastAsia="黑体"/>
                <w:b/>
                <w:bCs/>
              </w:rPr>
            </w:pPr>
          </w:p>
        </w:tc>
      </w:tr>
      <w:tr w14:paraId="1F43EFA7">
        <w:tblPrEx>
          <w:tblCellMar>
            <w:top w:w="0" w:type="dxa"/>
            <w:left w:w="108" w:type="dxa"/>
            <w:bottom w:w="0" w:type="dxa"/>
            <w:right w:w="108" w:type="dxa"/>
          </w:tblCellMar>
        </w:tblPrEx>
        <w:trPr>
          <w:trHeight w:val="620" w:hRule="atLeast"/>
        </w:trPr>
        <w:tc>
          <w:tcPr>
            <w:tcW w:w="2025" w:type="dxa"/>
            <w:tcBorders>
              <w:top w:val="nil"/>
              <w:left w:val="single" w:color="auto" w:sz="4" w:space="0"/>
              <w:bottom w:val="single" w:color="auto" w:sz="4" w:space="0"/>
              <w:right w:val="single" w:color="auto" w:sz="4" w:space="0"/>
            </w:tcBorders>
            <w:vAlign w:val="center"/>
          </w:tcPr>
          <w:p w14:paraId="26BEAA02">
            <w:pPr>
              <w:jc w:val="left"/>
              <w:rPr>
                <w:rFonts w:eastAsia="黑体"/>
                <w:b/>
                <w:bCs/>
              </w:rPr>
            </w:pPr>
            <w:r>
              <w:rPr>
                <w:rFonts w:hint="eastAsia" w:eastAsiaTheme="minorEastAsia"/>
                <w:b/>
                <w:bCs/>
              </w:rPr>
              <w:t>报送</w:t>
            </w:r>
            <w:r>
              <w:rPr>
                <w:rFonts w:hint="eastAsia" w:eastAsia="黑体"/>
                <w:b/>
                <w:bCs/>
              </w:rPr>
              <w:t>机构</w:t>
            </w:r>
          </w:p>
          <w:p w14:paraId="05AF3CBA">
            <w:pPr>
              <w:jc w:val="left"/>
              <w:rPr>
                <w:rFonts w:eastAsia="黑体"/>
                <w:bCs/>
              </w:rPr>
            </w:pPr>
            <w:r>
              <w:rPr>
                <w:rFonts w:eastAsia="黑体"/>
                <w:bCs/>
              </w:rPr>
              <w:t>Name of Submitting Institution</w:t>
            </w:r>
          </w:p>
        </w:tc>
        <w:tc>
          <w:tcPr>
            <w:tcW w:w="6197" w:type="dxa"/>
            <w:gridSpan w:val="9"/>
            <w:tcBorders>
              <w:top w:val="single" w:color="auto" w:sz="4" w:space="0"/>
              <w:left w:val="nil"/>
              <w:bottom w:val="single" w:color="auto" w:sz="4" w:space="0"/>
              <w:right w:val="single" w:color="000000" w:sz="4" w:space="0"/>
            </w:tcBorders>
            <w:vAlign w:val="center"/>
          </w:tcPr>
          <w:p w14:paraId="5145BEA7">
            <w:pPr>
              <w:jc w:val="left"/>
              <w:rPr>
                <w:rFonts w:eastAsia="黑体"/>
                <w:b/>
                <w:bCs/>
              </w:rPr>
            </w:pPr>
            <w:r>
              <w:rPr>
                <w:rFonts w:hint="eastAsia" w:eastAsia="黑体"/>
                <w:b/>
                <w:bCs/>
              </w:rPr>
              <w:t>　</w:t>
            </w:r>
          </w:p>
        </w:tc>
      </w:tr>
      <w:tr w14:paraId="6402DF78">
        <w:tblPrEx>
          <w:tblCellMar>
            <w:top w:w="0" w:type="dxa"/>
            <w:left w:w="108" w:type="dxa"/>
            <w:bottom w:w="0" w:type="dxa"/>
            <w:right w:w="108" w:type="dxa"/>
          </w:tblCellMar>
        </w:tblPrEx>
        <w:trPr>
          <w:trHeight w:val="620" w:hRule="atLeast"/>
        </w:trPr>
        <w:tc>
          <w:tcPr>
            <w:tcW w:w="2025" w:type="dxa"/>
            <w:tcBorders>
              <w:top w:val="nil"/>
              <w:left w:val="single" w:color="auto" w:sz="4" w:space="0"/>
              <w:bottom w:val="single" w:color="auto" w:sz="4" w:space="0"/>
              <w:right w:val="single" w:color="auto" w:sz="4" w:space="0"/>
            </w:tcBorders>
            <w:noWrap/>
            <w:vAlign w:val="bottom"/>
          </w:tcPr>
          <w:p w14:paraId="0AEE2D7D">
            <w:pPr>
              <w:jc w:val="left"/>
              <w:rPr>
                <w:rFonts w:eastAsia="黑体"/>
                <w:b/>
                <w:bCs/>
              </w:rPr>
            </w:pPr>
            <w:r>
              <w:rPr>
                <w:rFonts w:hint="eastAsia" w:eastAsia="黑体"/>
                <w:b/>
                <w:bCs/>
              </w:rPr>
              <w:t>提交人及联系方式</w:t>
            </w:r>
          </w:p>
          <w:p w14:paraId="560FA60E">
            <w:pPr>
              <w:jc w:val="left"/>
              <w:rPr>
                <w:rFonts w:eastAsia="黑体"/>
                <w:bCs/>
              </w:rPr>
            </w:pPr>
            <w:r>
              <w:rPr>
                <w:rFonts w:eastAsia="黑体"/>
                <w:bCs/>
              </w:rPr>
              <w:t>Name and Contact of Submitter</w:t>
            </w:r>
          </w:p>
        </w:tc>
        <w:tc>
          <w:tcPr>
            <w:tcW w:w="3048" w:type="dxa"/>
            <w:gridSpan w:val="3"/>
            <w:tcBorders>
              <w:top w:val="single" w:color="auto" w:sz="4" w:space="0"/>
              <w:left w:val="nil"/>
              <w:bottom w:val="single" w:color="auto" w:sz="4" w:space="0"/>
              <w:right w:val="single" w:color="000000" w:sz="4" w:space="0"/>
            </w:tcBorders>
            <w:noWrap/>
            <w:vAlign w:val="bottom"/>
          </w:tcPr>
          <w:p w14:paraId="1C0C85AB">
            <w:pPr>
              <w:jc w:val="left"/>
              <w:rPr>
                <w:rFonts w:eastAsia="黑体"/>
                <w:b/>
                <w:bCs/>
              </w:rPr>
            </w:pPr>
            <w:r>
              <w:rPr>
                <w:rFonts w:hint="eastAsia" w:eastAsia="黑体"/>
                <w:b/>
                <w:bCs/>
              </w:rPr>
              <w:t>　</w:t>
            </w:r>
          </w:p>
        </w:tc>
        <w:tc>
          <w:tcPr>
            <w:tcW w:w="1208" w:type="dxa"/>
            <w:gridSpan w:val="3"/>
            <w:tcBorders>
              <w:top w:val="nil"/>
              <w:left w:val="nil"/>
              <w:bottom w:val="single" w:color="auto" w:sz="4" w:space="0"/>
              <w:right w:val="single" w:color="auto" w:sz="4" w:space="0"/>
            </w:tcBorders>
            <w:vAlign w:val="center"/>
          </w:tcPr>
          <w:p w14:paraId="60D454B5">
            <w:pPr>
              <w:jc w:val="left"/>
              <w:rPr>
                <w:rFonts w:eastAsia="黑体"/>
                <w:b/>
                <w:bCs/>
              </w:rPr>
            </w:pPr>
            <w:r>
              <w:rPr>
                <w:rFonts w:hint="eastAsia" w:eastAsiaTheme="minorEastAsia"/>
                <w:b/>
                <w:bCs/>
              </w:rPr>
              <w:t>报送</w:t>
            </w:r>
            <w:r>
              <w:rPr>
                <w:rFonts w:hint="eastAsia" w:eastAsia="黑体"/>
                <w:b/>
                <w:bCs/>
              </w:rPr>
              <w:t>日期</w:t>
            </w:r>
          </w:p>
          <w:p w14:paraId="246A4F6B">
            <w:pPr>
              <w:jc w:val="left"/>
              <w:rPr>
                <w:rFonts w:eastAsia="黑体"/>
                <w:bCs/>
              </w:rPr>
            </w:pPr>
            <w:r>
              <w:rPr>
                <w:rFonts w:hint="eastAsia" w:eastAsiaTheme="minorEastAsia"/>
                <w:bCs/>
              </w:rPr>
              <w:t>Submission</w:t>
            </w:r>
            <w:r>
              <w:rPr>
                <w:rFonts w:eastAsia="黑体"/>
                <w:bCs/>
              </w:rPr>
              <w:t xml:space="preserve"> Date</w:t>
            </w:r>
          </w:p>
        </w:tc>
        <w:tc>
          <w:tcPr>
            <w:tcW w:w="1941" w:type="dxa"/>
            <w:gridSpan w:val="3"/>
            <w:tcBorders>
              <w:top w:val="single" w:color="auto" w:sz="4" w:space="0"/>
              <w:left w:val="nil"/>
              <w:bottom w:val="single" w:color="auto" w:sz="4" w:space="0"/>
              <w:right w:val="single" w:color="000000" w:sz="4" w:space="0"/>
            </w:tcBorders>
            <w:vAlign w:val="center"/>
          </w:tcPr>
          <w:p w14:paraId="1DB61E4D">
            <w:pPr>
              <w:jc w:val="left"/>
              <w:rPr>
                <w:rFonts w:eastAsia="黑体"/>
                <w:b/>
                <w:bCs/>
              </w:rPr>
            </w:pPr>
            <w:r>
              <w:rPr>
                <w:rFonts w:hint="eastAsia" w:eastAsia="黑体"/>
                <w:b/>
                <w:bCs/>
              </w:rPr>
              <w:t>年月日</w:t>
            </w:r>
          </w:p>
          <w:p w14:paraId="14B41CCB">
            <w:pPr>
              <w:jc w:val="left"/>
              <w:rPr>
                <w:rFonts w:eastAsia="黑体"/>
                <w:b/>
                <w:bCs/>
              </w:rPr>
            </w:pPr>
            <w:r>
              <w:rPr>
                <w:rFonts w:eastAsia="黑体"/>
                <w:bCs/>
              </w:rPr>
              <w:t>Year/Month/Date</w:t>
            </w:r>
          </w:p>
        </w:tc>
      </w:tr>
    </w:tbl>
    <w:p w14:paraId="7FB2FE19">
      <w:pPr>
        <w:pStyle w:val="92"/>
        <w:spacing w:line="560" w:lineRule="exact"/>
        <w:ind w:left="0" w:firstLine="0"/>
        <w:rPr>
          <w:rFonts w:ascii="仿宋_GB2312" w:hAnsi="黑体" w:eastAsia="仿宋_GB2312"/>
          <w:b/>
          <w:sz w:val="36"/>
          <w:szCs w:val="36"/>
          <w:lang w:eastAsia="zh-CN"/>
        </w:rPr>
      </w:pPr>
      <w:r>
        <w:rPr>
          <w:rFonts w:hint="eastAsia" w:eastAsia="黑体"/>
          <w:b/>
        </w:rPr>
        <w:t>盖章</w:t>
      </w:r>
      <w:r>
        <w:rPr>
          <w:rFonts w:eastAsia="黑体"/>
          <w:b/>
        </w:rPr>
        <w:t>/</w:t>
      </w:r>
      <w:r>
        <w:rPr>
          <w:rFonts w:hint="eastAsia" w:eastAsia="黑体"/>
          <w:b/>
        </w:rPr>
        <w:t>签字</w:t>
      </w:r>
      <w:r>
        <w:rPr>
          <w:rFonts w:hint="eastAsia" w:eastAsia="黑体"/>
          <w:b/>
          <w:lang w:eastAsia="zh-CN"/>
        </w:rPr>
        <w:t>（</w:t>
      </w:r>
      <w:r>
        <w:rPr>
          <w:rFonts w:eastAsia="黑体"/>
          <w:b/>
        </w:rPr>
        <w:t>Official Seal/Signature</w:t>
      </w:r>
      <w:r>
        <w:rPr>
          <w:rFonts w:hint="eastAsia" w:eastAsia="黑体"/>
          <w:b/>
          <w:lang w:eastAsia="zh-CN"/>
        </w:rPr>
        <w:t>）</w:t>
      </w:r>
      <w:r>
        <w:rPr>
          <w:rFonts w:eastAsia="黑体"/>
          <w:b/>
        </w:rPr>
        <w:t>:</w:t>
      </w:r>
    </w:p>
    <w:p w14:paraId="0E42FF74">
      <w:pPr>
        <w:pStyle w:val="92"/>
        <w:spacing w:line="560" w:lineRule="exact"/>
        <w:ind w:left="0" w:firstLine="0"/>
        <w:rPr>
          <w:rFonts w:ascii="仿宋_GB2312" w:hAnsi="黑体" w:eastAsia="仿宋_GB2312"/>
          <w:b/>
          <w:sz w:val="36"/>
          <w:szCs w:val="36"/>
          <w:lang w:eastAsia="zh-CN"/>
        </w:rPr>
      </w:pPr>
    </w:p>
    <w:p w14:paraId="6C2D48AB">
      <w:pPr>
        <w:outlineLvl w:val="1"/>
        <w:rPr>
          <w:rFonts w:hAnsi="黑体"/>
          <w:b/>
          <w:sz w:val="30"/>
          <w:szCs w:val="30"/>
        </w:rPr>
      </w:pPr>
      <w:r>
        <w:rPr>
          <w:b/>
          <w:sz w:val="30"/>
          <w:szCs w:val="30"/>
        </w:rPr>
        <w:br w:type="page"/>
      </w:r>
      <w:bookmarkStart w:id="3929" w:name="_Toc483507284"/>
      <w:bookmarkStart w:id="3930" w:name="_Toc1910016656"/>
      <w:bookmarkStart w:id="3931" w:name="_Toc151137085"/>
      <w:bookmarkStart w:id="3932" w:name="_Toc1705755776"/>
      <w:bookmarkStart w:id="3933" w:name="_Toc1838645015"/>
      <w:bookmarkStart w:id="3934" w:name="_Toc850844716"/>
      <w:bookmarkStart w:id="3935" w:name="_Toc710376400"/>
      <w:r>
        <w:rPr>
          <w:rFonts w:hint="eastAsia" w:ascii="仿宋_GB2312" w:hAnsi="黑体" w:eastAsia="仿宋_GB2312"/>
          <w:b/>
          <w:sz w:val="30"/>
          <w:szCs w:val="30"/>
        </w:rPr>
        <w:t>附件5 资金前端控制设置流程说明</w:t>
      </w:r>
      <w:bookmarkEnd w:id="3929"/>
      <w:bookmarkEnd w:id="3930"/>
      <w:bookmarkEnd w:id="3931"/>
      <w:bookmarkEnd w:id="3932"/>
      <w:bookmarkEnd w:id="3933"/>
      <w:bookmarkEnd w:id="3934"/>
      <w:bookmarkEnd w:id="3935"/>
    </w:p>
    <w:p w14:paraId="4E58613F">
      <w:pPr>
        <w:pStyle w:val="90"/>
        <w:adjustRightInd w:val="0"/>
        <w:snapToGrid w:val="0"/>
        <w:spacing w:line="600" w:lineRule="exact"/>
        <w:ind w:firstLine="883"/>
        <w:jc w:val="center"/>
        <w:rPr>
          <w:rFonts w:ascii="黑体" w:hAnsi="黑体" w:eastAsia="黑体"/>
          <w:b/>
          <w:sz w:val="44"/>
          <w:szCs w:val="44"/>
        </w:rPr>
      </w:pPr>
    </w:p>
    <w:p w14:paraId="58305F8F">
      <w:pPr>
        <w:pStyle w:val="90"/>
        <w:adjustRightInd w:val="0"/>
        <w:snapToGrid w:val="0"/>
        <w:spacing w:line="600" w:lineRule="exact"/>
        <w:ind w:firstLine="883"/>
        <w:jc w:val="center"/>
        <w:rPr>
          <w:rFonts w:ascii="黑体" w:hAnsi="黑体" w:eastAsia="黑体"/>
          <w:b/>
          <w:sz w:val="44"/>
          <w:szCs w:val="44"/>
        </w:rPr>
      </w:pPr>
      <w:r>
        <w:rPr>
          <w:rFonts w:hint="eastAsia" w:ascii="黑体" w:hAnsi="黑体" w:eastAsia="黑体"/>
          <w:b/>
          <w:sz w:val="44"/>
          <w:szCs w:val="44"/>
        </w:rPr>
        <w:t>资金前端控制设置流程说明</w:t>
      </w:r>
    </w:p>
    <w:p w14:paraId="1B9FBFAA">
      <w:pPr>
        <w:pStyle w:val="90"/>
        <w:adjustRightInd w:val="0"/>
        <w:snapToGrid w:val="0"/>
        <w:spacing w:line="600" w:lineRule="exact"/>
        <w:ind w:firstLine="602"/>
        <w:rPr>
          <w:rFonts w:hAnsi="Times New Roman"/>
          <w:b/>
          <w:sz w:val="30"/>
          <w:szCs w:val="30"/>
        </w:rPr>
      </w:pPr>
    </w:p>
    <w:p w14:paraId="7B720D56">
      <w:pPr>
        <w:pStyle w:val="90"/>
        <w:spacing w:line="600" w:lineRule="exact"/>
        <w:ind w:firstLine="602"/>
        <w:rPr>
          <w:rFonts w:hAnsi="Times New Roman"/>
          <w:sz w:val="30"/>
          <w:szCs w:val="30"/>
        </w:rPr>
      </w:pPr>
      <w:bookmarkStart w:id="3936" w:name="_Toc513119170"/>
      <w:bookmarkStart w:id="3937" w:name="_Toc510065092"/>
      <w:r>
        <w:rPr>
          <w:rFonts w:hint="eastAsia" w:hAnsi="Times New Roman"/>
          <w:b/>
          <w:sz w:val="30"/>
          <w:szCs w:val="30"/>
        </w:rPr>
        <w:t>一、最高额度申报</w:t>
      </w:r>
      <w:bookmarkEnd w:id="3936"/>
      <w:bookmarkEnd w:id="3937"/>
    </w:p>
    <w:p w14:paraId="5973FCF3">
      <w:pPr>
        <w:pStyle w:val="90"/>
        <w:spacing w:line="600" w:lineRule="exact"/>
        <w:ind w:firstLine="600"/>
        <w:rPr>
          <w:rFonts w:hAnsi="Times New Roman"/>
          <w:sz w:val="30"/>
          <w:szCs w:val="30"/>
        </w:rPr>
      </w:pPr>
      <w:r>
        <w:rPr>
          <w:rFonts w:hint="eastAsia" w:hAnsi="Times New Roman"/>
          <w:sz w:val="30"/>
          <w:szCs w:val="30"/>
        </w:rPr>
        <w:t>债券交易参与人通过结算参与人向</w:t>
      </w:r>
      <w:r>
        <w:rPr>
          <w:rFonts w:hint="eastAsia" w:hAnsi="Calibri"/>
          <w:kern w:val="2"/>
          <w:sz w:val="30"/>
          <w:szCs w:val="30"/>
        </w:rPr>
        <w:t>登记结算机构</w:t>
      </w:r>
      <w:r>
        <w:rPr>
          <w:rFonts w:hint="eastAsia" w:hAnsi="Times New Roman"/>
          <w:sz w:val="30"/>
          <w:szCs w:val="30"/>
        </w:rPr>
        <w:t>进行最高额度申报。申报方式由《中国证券登记结算有限责任公司上海分公司证券交易资金前端风险控制业务指南》具体规定。最高额度的常规申报于次一交易日生效。</w:t>
      </w:r>
    </w:p>
    <w:p w14:paraId="44693B1F">
      <w:pPr>
        <w:pStyle w:val="90"/>
        <w:spacing w:line="600" w:lineRule="exact"/>
        <w:ind w:firstLine="600"/>
        <w:rPr>
          <w:rFonts w:hAnsi="Times New Roman"/>
          <w:sz w:val="30"/>
          <w:szCs w:val="30"/>
        </w:rPr>
      </w:pPr>
      <w:r>
        <w:rPr>
          <w:rFonts w:hint="eastAsia" w:hAnsi="Times New Roman"/>
          <w:sz w:val="30"/>
          <w:szCs w:val="30"/>
        </w:rPr>
        <w:t>债券交易参与人可以按前述方式对最高额度进行盘中紧急调整。紧急调整后的最高额度实时生效，并持续有效。</w:t>
      </w:r>
    </w:p>
    <w:p w14:paraId="661CE736">
      <w:pPr>
        <w:pStyle w:val="90"/>
        <w:spacing w:line="600" w:lineRule="exact"/>
        <w:ind w:firstLine="602"/>
        <w:rPr>
          <w:rFonts w:hAnsi="Times New Roman"/>
          <w:sz w:val="30"/>
          <w:szCs w:val="30"/>
        </w:rPr>
      </w:pPr>
      <w:bookmarkStart w:id="3938" w:name="_Toc510065093"/>
      <w:bookmarkStart w:id="3939" w:name="_Toc513119171"/>
      <w:r>
        <w:rPr>
          <w:rFonts w:hint="eastAsia" w:hAnsi="Times New Roman"/>
          <w:b/>
          <w:sz w:val="30"/>
          <w:szCs w:val="30"/>
        </w:rPr>
        <w:t>二、自设额度申报</w:t>
      </w:r>
      <w:bookmarkEnd w:id="3938"/>
      <w:bookmarkEnd w:id="3939"/>
    </w:p>
    <w:p w14:paraId="701EF5D0">
      <w:pPr>
        <w:pStyle w:val="90"/>
        <w:spacing w:line="600" w:lineRule="exact"/>
        <w:ind w:firstLine="600"/>
        <w:rPr>
          <w:rFonts w:hAnsi="Times New Roman"/>
          <w:sz w:val="30"/>
          <w:szCs w:val="30"/>
        </w:rPr>
      </w:pPr>
      <w:r>
        <w:rPr>
          <w:rFonts w:hint="eastAsia" w:hAnsi="Times New Roman"/>
          <w:sz w:val="30"/>
          <w:szCs w:val="30"/>
        </w:rPr>
        <w:t>债券交易参与人应当根据自身业务和风控需要，及时向本所申报关联交易单元自设额度。债券交易参与人可通过常规申报或应急申报两种方式向本所申报自设额度。</w:t>
      </w:r>
    </w:p>
    <w:p w14:paraId="265A4E1B">
      <w:pPr>
        <w:pStyle w:val="90"/>
        <w:spacing w:line="600" w:lineRule="exact"/>
        <w:ind w:firstLine="602"/>
        <w:rPr>
          <w:rFonts w:hAnsi="Times New Roman"/>
          <w:b/>
          <w:sz w:val="30"/>
          <w:szCs w:val="30"/>
        </w:rPr>
      </w:pPr>
      <w:r>
        <w:rPr>
          <w:rFonts w:hint="eastAsia" w:hAnsi="Times New Roman"/>
          <w:b/>
          <w:sz w:val="30"/>
          <w:szCs w:val="30"/>
        </w:rPr>
        <w:t>（一）自设额度常规申报</w:t>
      </w:r>
    </w:p>
    <w:p w14:paraId="570E65AE">
      <w:pPr>
        <w:pStyle w:val="90"/>
        <w:spacing w:line="600" w:lineRule="exact"/>
        <w:ind w:firstLine="600"/>
        <w:rPr>
          <w:rFonts w:hAnsi="Times New Roman"/>
          <w:sz w:val="30"/>
          <w:szCs w:val="30"/>
        </w:rPr>
      </w:pPr>
      <w:r>
        <w:rPr>
          <w:rFonts w:hAnsi="Times New Roman"/>
          <w:sz w:val="30"/>
          <w:szCs w:val="30"/>
        </w:rPr>
        <w:t xml:space="preserve">1. </w:t>
      </w:r>
      <w:r>
        <w:rPr>
          <w:rFonts w:hint="eastAsia" w:hAnsi="Times New Roman"/>
          <w:sz w:val="30"/>
          <w:szCs w:val="30"/>
        </w:rPr>
        <w:t>申报方式</w:t>
      </w:r>
    </w:p>
    <w:p w14:paraId="1D9CFECE">
      <w:pPr>
        <w:pStyle w:val="90"/>
        <w:spacing w:line="600" w:lineRule="exact"/>
        <w:ind w:firstLine="600"/>
        <w:rPr>
          <w:rFonts w:hAnsi="Times New Roman"/>
          <w:sz w:val="30"/>
          <w:szCs w:val="30"/>
        </w:rPr>
      </w:pPr>
      <w:r>
        <w:rPr>
          <w:rFonts w:hint="eastAsia" w:hAnsi="Times New Roman"/>
          <w:sz w:val="30"/>
          <w:szCs w:val="30"/>
        </w:rPr>
        <w:t>债券交易参与人可通过本所会员专区“业务办理—资金前端控制业务办理-全天控制自设额度申报”进行自设额度的常规申报，申报时间为每个交易日的9:00至16:30。交易参与人可以在申报时间段内重复申报，本所以最后一次申报为准。16:30后，本所会员专区不再接受自设额度的相关申报。</w:t>
      </w:r>
    </w:p>
    <w:p w14:paraId="24DDDE0F">
      <w:pPr>
        <w:pStyle w:val="90"/>
        <w:spacing w:line="600" w:lineRule="exact"/>
        <w:ind w:firstLine="600"/>
        <w:rPr>
          <w:rFonts w:hAnsi="Times New Roman"/>
          <w:sz w:val="30"/>
          <w:szCs w:val="30"/>
        </w:rPr>
      </w:pPr>
      <w:r>
        <w:rPr>
          <w:rFonts w:hint="eastAsia" w:hAnsi="Times New Roman"/>
          <w:sz w:val="30"/>
          <w:szCs w:val="30"/>
        </w:rPr>
        <w:t>债券交易参与人申报设定关联交易单元的自设额度的具体操作流程参见本所《上海证券交易所会员管理业务指南第4号——会籍业务网上办理》“全天控制自设额度申报”章节。</w:t>
      </w:r>
    </w:p>
    <w:p w14:paraId="4B863851">
      <w:pPr>
        <w:pStyle w:val="90"/>
        <w:spacing w:line="600" w:lineRule="exact"/>
        <w:ind w:firstLine="600"/>
        <w:rPr>
          <w:rFonts w:hAnsi="Times New Roman"/>
          <w:sz w:val="30"/>
          <w:szCs w:val="30"/>
        </w:rPr>
      </w:pPr>
      <w:r>
        <w:rPr>
          <w:rFonts w:hint="eastAsia" w:hAnsi="Times New Roman"/>
          <w:sz w:val="30"/>
          <w:szCs w:val="30"/>
        </w:rPr>
        <w:t>债券交易参与人未申报的，自设额度将被设置为对应关联交易单元的最高额度。</w:t>
      </w:r>
    </w:p>
    <w:p w14:paraId="21E1A664">
      <w:pPr>
        <w:pStyle w:val="90"/>
        <w:spacing w:line="600" w:lineRule="exact"/>
        <w:ind w:firstLine="600"/>
        <w:rPr>
          <w:rFonts w:hAnsi="Times New Roman"/>
          <w:sz w:val="30"/>
          <w:szCs w:val="30"/>
        </w:rPr>
      </w:pPr>
      <w:r>
        <w:rPr>
          <w:rFonts w:hAnsi="Times New Roman"/>
          <w:sz w:val="30"/>
          <w:szCs w:val="30"/>
        </w:rPr>
        <w:t xml:space="preserve">2. </w:t>
      </w:r>
      <w:r>
        <w:rPr>
          <w:rFonts w:hint="eastAsia" w:hAnsi="Times New Roman"/>
          <w:sz w:val="30"/>
          <w:szCs w:val="30"/>
        </w:rPr>
        <w:t>生效时间</w:t>
      </w:r>
    </w:p>
    <w:p w14:paraId="06A88099">
      <w:pPr>
        <w:pStyle w:val="90"/>
        <w:spacing w:line="600" w:lineRule="exact"/>
        <w:ind w:firstLine="600"/>
        <w:rPr>
          <w:rFonts w:hAnsi="Times New Roman"/>
          <w:sz w:val="30"/>
          <w:szCs w:val="30"/>
        </w:rPr>
      </w:pPr>
      <w:r>
        <w:rPr>
          <w:rFonts w:hint="eastAsia" w:hAnsi="Times New Roman"/>
          <w:sz w:val="30"/>
          <w:szCs w:val="30"/>
        </w:rPr>
        <w:t>符合要求的自设额度将于次一交易日起持续有效。</w:t>
      </w:r>
    </w:p>
    <w:p w14:paraId="3DD38D2F">
      <w:pPr>
        <w:pStyle w:val="90"/>
        <w:spacing w:line="600" w:lineRule="exact"/>
        <w:ind w:firstLine="600"/>
        <w:rPr>
          <w:rFonts w:hAnsi="Times New Roman"/>
          <w:sz w:val="30"/>
          <w:szCs w:val="30"/>
        </w:rPr>
      </w:pPr>
      <w:r>
        <w:rPr>
          <w:rFonts w:hAnsi="Times New Roman"/>
          <w:sz w:val="30"/>
          <w:szCs w:val="30"/>
        </w:rPr>
        <w:t xml:space="preserve">3. </w:t>
      </w:r>
      <w:r>
        <w:rPr>
          <w:rFonts w:hint="eastAsia" w:hAnsi="Times New Roman"/>
          <w:sz w:val="30"/>
          <w:szCs w:val="30"/>
        </w:rPr>
        <w:t>申报校验</w:t>
      </w:r>
    </w:p>
    <w:p w14:paraId="7396C2D8">
      <w:pPr>
        <w:pStyle w:val="90"/>
        <w:spacing w:line="600" w:lineRule="exact"/>
        <w:ind w:firstLine="600"/>
        <w:rPr>
          <w:rFonts w:hAnsi="Times New Roman"/>
          <w:sz w:val="30"/>
          <w:szCs w:val="30"/>
        </w:rPr>
      </w:pPr>
      <w:r>
        <w:rPr>
          <w:rFonts w:hint="eastAsia" w:hAnsi="Times New Roman"/>
          <w:sz w:val="30"/>
          <w:szCs w:val="30"/>
        </w:rPr>
        <w:t>申报的自设额度不得高于对应的最高额度，若申报的自设额度超过其生效日对应的关联交易单元最高额度，该自设额度申报无效，下一交易日本所将按最近一次生效的自设额度进行前端控制。</w:t>
      </w:r>
    </w:p>
    <w:p w14:paraId="265B05AD">
      <w:pPr>
        <w:pStyle w:val="90"/>
        <w:spacing w:line="600" w:lineRule="exact"/>
        <w:ind w:firstLine="600"/>
        <w:rPr>
          <w:rFonts w:hAnsi="Times New Roman"/>
          <w:sz w:val="30"/>
          <w:szCs w:val="30"/>
        </w:rPr>
      </w:pPr>
      <w:r>
        <w:rPr>
          <w:rFonts w:hint="eastAsia" w:hAnsi="Times New Roman"/>
          <w:sz w:val="30"/>
          <w:szCs w:val="30"/>
        </w:rPr>
        <w:t>本所技术系统对债券交易参与人申报的自设额度进行提示。当申报的自设额度超过申报日最高额度（非紧急调整）的70%或100%，或申报的自设额度低于对应关联交易单元前20交易日全天净买入申报金额最高值时，本所将进行预警提示，债券交易参与人确认无误后可再提交申报。</w:t>
      </w:r>
    </w:p>
    <w:p w14:paraId="57B303F2">
      <w:pPr>
        <w:pStyle w:val="90"/>
        <w:spacing w:line="600" w:lineRule="exact"/>
        <w:ind w:firstLine="602"/>
        <w:rPr>
          <w:rFonts w:hAnsi="Times New Roman"/>
          <w:b/>
          <w:sz w:val="30"/>
          <w:szCs w:val="30"/>
        </w:rPr>
      </w:pPr>
      <w:r>
        <w:rPr>
          <w:rFonts w:hint="eastAsia" w:hAnsi="Times New Roman"/>
          <w:b/>
          <w:sz w:val="30"/>
          <w:szCs w:val="30"/>
        </w:rPr>
        <w:t>（二）自设额度应急申报</w:t>
      </w:r>
    </w:p>
    <w:p w14:paraId="1BE99907">
      <w:pPr>
        <w:pStyle w:val="90"/>
        <w:spacing w:line="600" w:lineRule="exact"/>
        <w:ind w:firstLine="600"/>
        <w:rPr>
          <w:rFonts w:hAnsi="Times New Roman"/>
          <w:sz w:val="30"/>
          <w:szCs w:val="30"/>
        </w:rPr>
      </w:pPr>
      <w:r>
        <w:rPr>
          <w:rFonts w:hint="eastAsia" w:hAnsi="Times New Roman"/>
          <w:sz w:val="30"/>
          <w:szCs w:val="30"/>
        </w:rPr>
        <w:t>1.申报方式</w:t>
      </w:r>
    </w:p>
    <w:p w14:paraId="1E7E877D">
      <w:pPr>
        <w:pStyle w:val="90"/>
        <w:spacing w:line="600" w:lineRule="exact"/>
        <w:ind w:firstLine="600"/>
        <w:rPr>
          <w:rFonts w:hAnsi="Times New Roman"/>
          <w:sz w:val="30"/>
          <w:szCs w:val="30"/>
        </w:rPr>
      </w:pPr>
      <w:r>
        <w:rPr>
          <w:rFonts w:hint="eastAsia" w:hAnsi="Times New Roman"/>
          <w:sz w:val="30"/>
          <w:szCs w:val="30"/>
        </w:rPr>
        <w:t>债券交易参与人因业务原因，需要在盘中进行自设额度应急调整的，可以在本所交易时间内通过特定交易单元以交易申报的方式向本所竞价</w:t>
      </w:r>
      <w:r>
        <w:rPr>
          <w:rFonts w:hAnsi="Times New Roman"/>
          <w:sz w:val="30"/>
          <w:szCs w:val="30"/>
        </w:rPr>
        <w:t>撮合平台</w:t>
      </w:r>
      <w:r>
        <w:rPr>
          <w:rFonts w:hint="eastAsia" w:hAnsi="Times New Roman"/>
          <w:sz w:val="30"/>
          <w:szCs w:val="30"/>
        </w:rPr>
        <w:t>提交。自设额度应急调整的申报代码为799970，申报自设额度的单位为百万元。</w:t>
      </w:r>
    </w:p>
    <w:p w14:paraId="796FDD0E">
      <w:pPr>
        <w:pStyle w:val="90"/>
        <w:spacing w:line="600" w:lineRule="exact"/>
        <w:ind w:firstLine="600"/>
        <w:rPr>
          <w:rFonts w:hAnsi="Times New Roman"/>
          <w:sz w:val="30"/>
          <w:szCs w:val="30"/>
        </w:rPr>
      </w:pPr>
      <w:r>
        <w:rPr>
          <w:rFonts w:hAnsi="Times New Roman"/>
          <w:sz w:val="30"/>
          <w:szCs w:val="30"/>
        </w:rPr>
        <w:t xml:space="preserve">2. </w:t>
      </w:r>
      <w:r>
        <w:rPr>
          <w:rFonts w:hint="eastAsia" w:hAnsi="Times New Roman"/>
          <w:sz w:val="30"/>
          <w:szCs w:val="30"/>
        </w:rPr>
        <w:t>生效时间</w:t>
      </w:r>
    </w:p>
    <w:p w14:paraId="51394C56">
      <w:pPr>
        <w:pStyle w:val="90"/>
        <w:spacing w:line="600" w:lineRule="exact"/>
        <w:ind w:firstLine="600"/>
        <w:rPr>
          <w:rFonts w:hAnsi="Times New Roman"/>
          <w:sz w:val="30"/>
          <w:szCs w:val="30"/>
        </w:rPr>
      </w:pPr>
      <w:r>
        <w:rPr>
          <w:rFonts w:hint="eastAsia" w:hAnsi="Times New Roman"/>
          <w:sz w:val="30"/>
          <w:szCs w:val="30"/>
        </w:rPr>
        <w:t>符合要求的自设额度应急申报经本所技术系统接受并进行相应设置后，实时生效，但仅当日有效。债券交易参与人应根据需要，通过自设额度的常规申报实现自设额度调整的持续有效。</w:t>
      </w:r>
    </w:p>
    <w:p w14:paraId="0E48D8E6">
      <w:pPr>
        <w:pStyle w:val="90"/>
        <w:spacing w:line="600" w:lineRule="exact"/>
        <w:ind w:firstLine="600"/>
        <w:rPr>
          <w:rFonts w:hAnsi="Times New Roman"/>
          <w:sz w:val="30"/>
          <w:szCs w:val="30"/>
        </w:rPr>
      </w:pPr>
      <w:r>
        <w:rPr>
          <w:rFonts w:hint="eastAsia" w:hAnsi="Times New Roman"/>
          <w:sz w:val="30"/>
          <w:szCs w:val="30"/>
        </w:rPr>
        <w:t>3.申报校验</w:t>
      </w:r>
    </w:p>
    <w:p w14:paraId="19FAB814">
      <w:pPr>
        <w:pStyle w:val="90"/>
        <w:spacing w:line="600" w:lineRule="exact"/>
        <w:ind w:firstLine="600"/>
        <w:rPr>
          <w:rFonts w:hAnsi="Times New Roman"/>
          <w:sz w:val="30"/>
          <w:szCs w:val="30"/>
        </w:rPr>
      </w:pPr>
      <w:r>
        <w:rPr>
          <w:rFonts w:hint="eastAsia" w:hAnsi="Times New Roman"/>
          <w:sz w:val="30"/>
          <w:szCs w:val="30"/>
        </w:rPr>
        <w:t>应急申报的自设额度不得高于该控制类别的最高额度，超过最高额度的应急申报将做无效处理。</w:t>
      </w:r>
    </w:p>
    <w:p w14:paraId="7A7E4BDA">
      <w:pPr>
        <w:pStyle w:val="90"/>
        <w:spacing w:line="600" w:lineRule="exact"/>
        <w:ind w:firstLine="600"/>
        <w:rPr>
          <w:rFonts w:hAnsi="Times New Roman"/>
          <w:sz w:val="30"/>
          <w:szCs w:val="30"/>
        </w:rPr>
      </w:pPr>
      <w:r>
        <w:rPr>
          <w:rFonts w:hint="eastAsia" w:hAnsi="Times New Roman"/>
          <w:sz w:val="30"/>
          <w:szCs w:val="30"/>
        </w:rPr>
        <w:t>其中，控制类别是指交易单元对应产品或业务的属性类别，分为“自营”、“经纪”、“资管”、“机构业务”四种。</w:t>
      </w:r>
    </w:p>
    <w:p w14:paraId="62BA7034">
      <w:pPr>
        <w:pStyle w:val="90"/>
        <w:spacing w:line="600" w:lineRule="exact"/>
        <w:ind w:firstLine="602"/>
        <w:rPr>
          <w:rFonts w:hAnsi="Times New Roman"/>
          <w:b/>
          <w:sz w:val="30"/>
          <w:szCs w:val="30"/>
        </w:rPr>
      </w:pPr>
      <w:r>
        <w:rPr>
          <w:rFonts w:hint="eastAsia" w:hAnsi="Times New Roman"/>
          <w:b/>
          <w:sz w:val="30"/>
          <w:szCs w:val="30"/>
        </w:rPr>
        <w:t>（三）额度调整相关说明</w:t>
      </w:r>
    </w:p>
    <w:p w14:paraId="2B815899">
      <w:pPr>
        <w:pStyle w:val="90"/>
        <w:spacing w:line="600" w:lineRule="exact"/>
        <w:ind w:firstLine="600"/>
        <w:rPr>
          <w:rFonts w:hAnsi="Times New Roman"/>
          <w:sz w:val="30"/>
          <w:szCs w:val="30"/>
        </w:rPr>
      </w:pPr>
      <w:r>
        <w:rPr>
          <w:rFonts w:hint="eastAsia" w:hAnsi="Times New Roman"/>
          <w:sz w:val="30"/>
          <w:szCs w:val="30"/>
        </w:rPr>
        <w:t>最高额度调整时，债券交易参与人应当根据最高额度调整的具体情形及时评估、调整自设额度，对未及时调整自设额度的：</w:t>
      </w:r>
    </w:p>
    <w:p w14:paraId="298DA930">
      <w:pPr>
        <w:pStyle w:val="90"/>
        <w:spacing w:line="600" w:lineRule="exact"/>
        <w:ind w:firstLine="600"/>
        <w:rPr>
          <w:rFonts w:hAnsi="Times New Roman"/>
          <w:sz w:val="30"/>
          <w:szCs w:val="30"/>
        </w:rPr>
      </w:pPr>
      <w:r>
        <w:rPr>
          <w:rFonts w:hAnsi="Times New Roman"/>
          <w:sz w:val="30"/>
          <w:szCs w:val="30"/>
        </w:rPr>
        <w:t xml:space="preserve">1. </w:t>
      </w:r>
      <w:r>
        <w:rPr>
          <w:rFonts w:hint="eastAsia" w:hAnsi="Times New Roman"/>
          <w:sz w:val="30"/>
          <w:szCs w:val="30"/>
        </w:rPr>
        <w:t>最高额度常规调整导致调整后的最高额度低于该关联交易单元自设额度，则下一交易日最高额度调整生效时，自设额度将被设置为生效后的最高额度。其中，关联交易单元是指相同机构名下且控制类别相同的一组交易单元。</w:t>
      </w:r>
    </w:p>
    <w:p w14:paraId="0851A8C0">
      <w:pPr>
        <w:pStyle w:val="90"/>
        <w:spacing w:line="600" w:lineRule="exact"/>
        <w:ind w:firstLine="600"/>
        <w:rPr>
          <w:rFonts w:hAnsi="Times New Roman"/>
          <w:sz w:val="30"/>
          <w:szCs w:val="30"/>
        </w:rPr>
      </w:pPr>
      <w:r>
        <w:rPr>
          <w:rFonts w:hAnsi="Times New Roman"/>
          <w:sz w:val="30"/>
          <w:szCs w:val="30"/>
        </w:rPr>
        <w:t xml:space="preserve">2. </w:t>
      </w:r>
      <w:r>
        <w:rPr>
          <w:rFonts w:hint="eastAsia" w:hAnsi="Times New Roman"/>
          <w:sz w:val="30"/>
          <w:szCs w:val="30"/>
        </w:rPr>
        <w:t>最高额度盘中紧急调整导致调整后的最高额度低于该关联交易单元自设额度，则最高额度紧急调整生效时，自设额度将被设置为紧急调整生效后的最高额度。</w:t>
      </w:r>
    </w:p>
    <w:p w14:paraId="538EA843">
      <w:pPr>
        <w:pStyle w:val="90"/>
        <w:spacing w:line="600" w:lineRule="exact"/>
        <w:ind w:firstLine="600"/>
        <w:rPr>
          <w:rFonts w:hAnsi="Times New Roman"/>
          <w:sz w:val="30"/>
          <w:szCs w:val="30"/>
        </w:rPr>
      </w:pPr>
      <w:r>
        <w:rPr>
          <w:rFonts w:hAnsi="Times New Roman"/>
          <w:sz w:val="30"/>
          <w:szCs w:val="30"/>
        </w:rPr>
        <w:t xml:space="preserve">3. </w:t>
      </w:r>
      <w:r>
        <w:rPr>
          <w:rFonts w:hint="eastAsia" w:hAnsi="Times New Roman"/>
          <w:sz w:val="30"/>
          <w:szCs w:val="30"/>
        </w:rPr>
        <w:t>关联交易单元最高额度盘中紧急调整导致调整后的最高额度低于该关联交易单元当前全天净买入申报金额的，最高额度盘中紧急调整有效，同时，本所对该关联交易单元的申报开始实施前端控制。</w:t>
      </w:r>
    </w:p>
    <w:p w14:paraId="6FA63A5A">
      <w:pPr>
        <w:pStyle w:val="90"/>
        <w:spacing w:line="600" w:lineRule="exact"/>
        <w:ind w:firstLine="600"/>
        <w:rPr>
          <w:rFonts w:hAnsi="Times New Roman"/>
          <w:sz w:val="30"/>
          <w:szCs w:val="30"/>
        </w:rPr>
      </w:pPr>
      <w:bookmarkStart w:id="3940" w:name="_Toc513119172"/>
      <w:r>
        <w:rPr>
          <w:rFonts w:hint="eastAsia" w:hAnsi="Times New Roman"/>
          <w:sz w:val="30"/>
          <w:szCs w:val="30"/>
        </w:rPr>
        <w:t>三、特定交易单元</w:t>
      </w:r>
      <w:bookmarkEnd w:id="3940"/>
    </w:p>
    <w:p w14:paraId="3F911224">
      <w:pPr>
        <w:pStyle w:val="90"/>
        <w:spacing w:line="600" w:lineRule="exact"/>
        <w:ind w:firstLine="600"/>
        <w:rPr>
          <w:rFonts w:hAnsi="Times New Roman"/>
          <w:sz w:val="30"/>
          <w:szCs w:val="30"/>
        </w:rPr>
      </w:pPr>
      <w:r>
        <w:rPr>
          <w:rFonts w:hint="eastAsia" w:hAnsi="Times New Roman"/>
          <w:sz w:val="30"/>
          <w:szCs w:val="30"/>
        </w:rPr>
        <w:t>债券交易参与人应当为每种控制类别指定一个特定交易单元，以用于该控制类别的自设额度盘中应急申报。</w:t>
      </w:r>
    </w:p>
    <w:p w14:paraId="28FA978D">
      <w:pPr>
        <w:pStyle w:val="90"/>
        <w:spacing w:line="600" w:lineRule="exact"/>
        <w:ind w:firstLine="600"/>
        <w:rPr>
          <w:rFonts w:hAnsi="Times New Roman"/>
          <w:sz w:val="30"/>
          <w:szCs w:val="30"/>
        </w:rPr>
      </w:pPr>
      <w:r>
        <w:rPr>
          <w:rFonts w:hint="eastAsia" w:hAnsi="Times New Roman"/>
          <w:sz w:val="30"/>
          <w:szCs w:val="30"/>
        </w:rPr>
        <w:t>每个关联交易单元只可指定该关联交易单元中的一个交易单元作为特定交易单元。本所只接受关联交易单元对应的特定交易单元提交的自设额度应急申报。</w:t>
      </w:r>
    </w:p>
    <w:p w14:paraId="361D3963">
      <w:pPr>
        <w:pStyle w:val="90"/>
        <w:spacing w:line="600" w:lineRule="exact"/>
        <w:ind w:firstLine="600"/>
        <w:rPr>
          <w:rFonts w:hAnsi="Times New Roman"/>
          <w:sz w:val="30"/>
          <w:szCs w:val="30"/>
        </w:rPr>
      </w:pPr>
      <w:r>
        <w:rPr>
          <w:rFonts w:hint="eastAsia" w:hAnsi="Times New Roman"/>
          <w:sz w:val="30"/>
          <w:szCs w:val="30"/>
        </w:rPr>
        <w:t>停用、注销及正在办理租用或退租等业务的交易单元不得指定为特定交易单元。</w:t>
      </w:r>
    </w:p>
    <w:p w14:paraId="2AFB4C28">
      <w:pPr>
        <w:pStyle w:val="90"/>
        <w:spacing w:line="600" w:lineRule="exact"/>
        <w:ind w:firstLine="600"/>
        <w:rPr>
          <w:rFonts w:hAnsi="Times New Roman"/>
          <w:sz w:val="30"/>
          <w:szCs w:val="30"/>
        </w:rPr>
      </w:pPr>
      <w:r>
        <w:rPr>
          <w:rFonts w:hint="eastAsia" w:hAnsi="Times New Roman"/>
          <w:sz w:val="30"/>
          <w:szCs w:val="30"/>
        </w:rPr>
        <w:t>特定交易单元不可办理注销、停用、退租或租用等业务。交易参与人应先完成特定交易单元的更改，方可办理上述业务。</w:t>
      </w:r>
    </w:p>
    <w:p w14:paraId="7C04C7FE">
      <w:pPr>
        <w:pStyle w:val="90"/>
        <w:spacing w:line="600" w:lineRule="exact"/>
        <w:ind w:firstLine="602"/>
        <w:rPr>
          <w:rFonts w:hAnsi="Times New Roman"/>
          <w:b/>
          <w:sz w:val="30"/>
          <w:szCs w:val="30"/>
        </w:rPr>
      </w:pPr>
      <w:r>
        <w:rPr>
          <w:rFonts w:hint="eastAsia" w:hAnsi="Times New Roman"/>
          <w:b/>
          <w:sz w:val="30"/>
          <w:szCs w:val="30"/>
        </w:rPr>
        <w:t>（一）特定交易单元的指定</w:t>
      </w:r>
    </w:p>
    <w:p w14:paraId="62E06E8C">
      <w:pPr>
        <w:pStyle w:val="90"/>
        <w:spacing w:line="600" w:lineRule="exact"/>
        <w:ind w:firstLine="600"/>
        <w:rPr>
          <w:rFonts w:hAnsi="Times New Roman"/>
          <w:sz w:val="30"/>
          <w:szCs w:val="30"/>
        </w:rPr>
      </w:pPr>
      <w:r>
        <w:rPr>
          <w:rFonts w:hint="eastAsia" w:hAnsi="Times New Roman"/>
          <w:sz w:val="30"/>
          <w:szCs w:val="30"/>
        </w:rPr>
        <w:t>债券交易参与人可于每个交易日9:00至16:30通过本所会员专区“业务办理—资金前端控制业务办理—全天控制自设额度设置特定交易单元”栏目进行指定。当日16:30之后，本所不接受特定交易单元的相关申报。</w:t>
      </w:r>
    </w:p>
    <w:p w14:paraId="0120CA7F">
      <w:pPr>
        <w:pStyle w:val="90"/>
        <w:spacing w:line="600" w:lineRule="exact"/>
        <w:ind w:firstLine="600"/>
        <w:rPr>
          <w:rFonts w:hAnsi="Times New Roman"/>
          <w:sz w:val="30"/>
          <w:szCs w:val="30"/>
        </w:rPr>
      </w:pPr>
      <w:r>
        <w:rPr>
          <w:rFonts w:hint="eastAsia" w:hAnsi="Times New Roman"/>
          <w:sz w:val="30"/>
          <w:szCs w:val="30"/>
        </w:rPr>
        <w:t>特定交易单元的指定于下一交易日生效。</w:t>
      </w:r>
    </w:p>
    <w:p w14:paraId="1F7C5AC3">
      <w:pPr>
        <w:pStyle w:val="90"/>
        <w:spacing w:line="600" w:lineRule="exact"/>
        <w:ind w:firstLine="600"/>
        <w:rPr>
          <w:rFonts w:hAnsi="Times New Roman"/>
          <w:sz w:val="30"/>
          <w:szCs w:val="30"/>
        </w:rPr>
      </w:pPr>
      <w:r>
        <w:rPr>
          <w:rFonts w:hint="eastAsia" w:hAnsi="Times New Roman"/>
          <w:sz w:val="30"/>
          <w:szCs w:val="30"/>
        </w:rPr>
        <w:t>债券交易参与人可在上述时间段内重复指定，以最后一次指定为准。</w:t>
      </w:r>
    </w:p>
    <w:p w14:paraId="17D48EA4">
      <w:pPr>
        <w:pStyle w:val="90"/>
        <w:spacing w:line="600" w:lineRule="exact"/>
        <w:ind w:firstLine="602"/>
        <w:rPr>
          <w:rFonts w:hAnsi="Times New Roman"/>
          <w:b/>
          <w:sz w:val="30"/>
          <w:szCs w:val="30"/>
        </w:rPr>
      </w:pPr>
      <w:r>
        <w:rPr>
          <w:rFonts w:hint="eastAsia" w:hAnsi="Times New Roman"/>
          <w:b/>
          <w:sz w:val="30"/>
          <w:szCs w:val="30"/>
        </w:rPr>
        <w:t>（二）</w:t>
      </w:r>
      <w:r>
        <w:rPr>
          <w:rFonts w:hAnsi="Times New Roman"/>
          <w:b/>
          <w:sz w:val="30"/>
          <w:szCs w:val="30"/>
        </w:rPr>
        <w:t xml:space="preserve"> </w:t>
      </w:r>
      <w:r>
        <w:rPr>
          <w:rFonts w:hint="eastAsia" w:hAnsi="Times New Roman"/>
          <w:b/>
          <w:sz w:val="30"/>
          <w:szCs w:val="30"/>
        </w:rPr>
        <w:t>特定交易单元的撤销</w:t>
      </w:r>
    </w:p>
    <w:p w14:paraId="077EB3D1">
      <w:pPr>
        <w:pStyle w:val="90"/>
        <w:spacing w:line="600" w:lineRule="exact"/>
        <w:ind w:firstLine="600"/>
        <w:rPr>
          <w:rFonts w:hAnsi="Times New Roman"/>
          <w:sz w:val="30"/>
          <w:szCs w:val="30"/>
        </w:rPr>
      </w:pPr>
      <w:r>
        <w:rPr>
          <w:rFonts w:hint="eastAsia" w:hAnsi="Times New Roman"/>
          <w:sz w:val="30"/>
          <w:szCs w:val="30"/>
        </w:rPr>
        <w:t>当关联交易单元中仅有一个交易单元时，才可申报撤销该关联交易单元对应的特定交易单元。</w:t>
      </w:r>
    </w:p>
    <w:p w14:paraId="04461BE1">
      <w:pPr>
        <w:pStyle w:val="90"/>
        <w:spacing w:line="600" w:lineRule="exact"/>
        <w:ind w:firstLine="600"/>
        <w:rPr>
          <w:rFonts w:hAnsi="Times New Roman"/>
          <w:sz w:val="30"/>
          <w:szCs w:val="30"/>
        </w:rPr>
      </w:pPr>
      <w:r>
        <w:rPr>
          <w:rFonts w:hint="eastAsia" w:hAnsi="Times New Roman"/>
          <w:sz w:val="30"/>
          <w:szCs w:val="30"/>
        </w:rPr>
        <w:t>债券交易参与人可于每个交易日9:00至16:30通过本所会员专区“业务办理—资金前端控制业务办理—全天控制自设额度设置特定交易单元撤销”申报撤销特定交易单元。</w:t>
      </w:r>
    </w:p>
    <w:p w14:paraId="3110765D">
      <w:pPr>
        <w:pStyle w:val="90"/>
        <w:adjustRightInd w:val="0"/>
        <w:snapToGrid w:val="0"/>
        <w:spacing w:line="600" w:lineRule="exact"/>
        <w:ind w:firstLine="600"/>
        <w:rPr>
          <w:rFonts w:hAnsi="Times New Roman"/>
          <w:sz w:val="30"/>
          <w:szCs w:val="30"/>
        </w:rPr>
      </w:pPr>
    </w:p>
    <w:p w14:paraId="68C481B1">
      <w:pPr>
        <w:pStyle w:val="90"/>
        <w:adjustRightInd w:val="0"/>
        <w:snapToGrid w:val="0"/>
        <w:spacing w:line="600" w:lineRule="exact"/>
        <w:ind w:firstLine="0" w:firstLineChars="0"/>
        <w:rPr>
          <w:rFonts w:hAnsi="Times New Roman"/>
          <w:sz w:val="30"/>
          <w:szCs w:val="30"/>
        </w:rPr>
      </w:pPr>
    </w:p>
    <w:p w14:paraId="3E302F71">
      <w:pPr>
        <w:spacing w:line="560" w:lineRule="exact"/>
        <w:ind w:firstLine="600"/>
        <w:rPr>
          <w:rFonts w:ascii="仿宋_GB2312" w:eastAsia="仿宋_GB2312"/>
          <w:sz w:val="30"/>
          <w:szCs w:val="30"/>
        </w:rPr>
      </w:pPr>
    </w:p>
    <w:p w14:paraId="141C8912">
      <w:pPr>
        <w:spacing w:line="600" w:lineRule="exact"/>
        <w:outlineLvl w:val="1"/>
        <w:rPr>
          <w:rFonts w:ascii="仿宋_GB2312" w:eastAsia="仿宋_GB2312"/>
          <w:b/>
          <w:sz w:val="30"/>
          <w:szCs w:val="30"/>
        </w:rPr>
      </w:pPr>
      <w:r>
        <w:rPr>
          <w:rFonts w:ascii="仿宋_GB2312" w:hAnsi="黑体" w:eastAsia="仿宋_GB2312"/>
          <w:b/>
          <w:sz w:val="36"/>
          <w:szCs w:val="36"/>
        </w:rPr>
        <w:br w:type="page"/>
      </w:r>
      <w:bookmarkStart w:id="3941" w:name="_Toc392070255"/>
      <w:bookmarkStart w:id="3942" w:name="_Toc1795875568"/>
      <w:bookmarkStart w:id="3943" w:name="_Toc1148594991"/>
      <w:bookmarkStart w:id="3944" w:name="_Toc875785514"/>
      <w:bookmarkStart w:id="3945" w:name="_Toc151137086"/>
      <w:bookmarkStart w:id="3946" w:name="_Toc2009973028"/>
      <w:bookmarkStart w:id="3947" w:name="_Toc670382920"/>
      <w:r>
        <w:rPr>
          <w:rFonts w:hint="eastAsia" w:ascii="仿宋_GB2312" w:hAnsi="黑体" w:eastAsia="仿宋_GB2312"/>
          <w:b/>
          <w:sz w:val="30"/>
          <w:szCs w:val="30"/>
        </w:rPr>
        <w:t>附件6-1 竞买预约提示</w:t>
      </w:r>
      <w:bookmarkEnd w:id="3941"/>
      <w:bookmarkEnd w:id="3942"/>
      <w:bookmarkEnd w:id="3943"/>
      <w:bookmarkEnd w:id="3944"/>
      <w:bookmarkEnd w:id="3945"/>
      <w:bookmarkEnd w:id="3946"/>
      <w:bookmarkEnd w:id="3947"/>
    </w:p>
    <w:p w14:paraId="7D83176D">
      <w:pPr>
        <w:rPr>
          <w:rFonts w:ascii="仿宋_GB2312" w:eastAsia="仿宋_GB2312"/>
          <w:b/>
          <w:sz w:val="30"/>
          <w:szCs w:val="30"/>
        </w:rPr>
      </w:pPr>
      <w:r>
        <w:rPr>
          <w:rFonts w:hint="eastAsia" w:ascii="仿宋_GB2312" w:eastAsia="仿宋_GB2312"/>
          <w:b/>
          <w:sz w:val="30"/>
          <w:szCs w:val="30"/>
        </w:rPr>
        <w:t>示例一：</w:t>
      </w:r>
    </w:p>
    <w:p w14:paraId="29E44042">
      <w:pPr>
        <w:jc w:val="center"/>
        <w:rPr>
          <w:rFonts w:ascii="黑体" w:hAnsi="黑体" w:eastAsia="黑体" w:cs="黑体"/>
          <w:b/>
          <w:sz w:val="44"/>
          <w:szCs w:val="44"/>
        </w:rPr>
      </w:pPr>
      <w:r>
        <w:rPr>
          <w:rFonts w:hint="eastAsia" w:ascii="黑体" w:hAnsi="黑体" w:eastAsia="黑体" w:cs="黑体"/>
          <w:b/>
          <w:sz w:val="44"/>
          <w:szCs w:val="44"/>
        </w:rPr>
        <w:t>关于组织开展{债券简称}（{债券代码}）竞买的提示（预约编号{YYYYMMDD}XXX号）</w:t>
      </w:r>
    </w:p>
    <w:p w14:paraId="74BDCBA2">
      <w:pPr>
        <w:ind w:left="420" w:leftChars="200" w:firstLine="420"/>
      </w:pP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9"/>
        <w:gridCol w:w="6593"/>
      </w:tblGrid>
      <w:tr w14:paraId="14B86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tcPr>
          <w:p w14:paraId="33538117">
            <w:pPr>
              <w:pStyle w:val="12"/>
              <w:ind w:firstLine="0" w:firstLineChars="0"/>
              <w:jc w:val="left"/>
              <w:rPr>
                <w:rFonts w:ascii="宋体" w:hAnsi="宋体"/>
                <w:lang w:eastAsia="en-US" w:bidi="en-US"/>
              </w:rPr>
            </w:pPr>
            <w:r>
              <w:rPr>
                <w:rFonts w:hint="eastAsia" w:ascii="宋体" w:hAnsi="宋体"/>
                <w:lang w:eastAsia="en-US" w:bidi="en-US"/>
              </w:rPr>
              <w:t>竞买预约发布日</w:t>
            </w:r>
          </w:p>
        </w:tc>
        <w:tc>
          <w:tcPr>
            <w:tcW w:w="6593" w:type="dxa"/>
          </w:tcPr>
          <w:p w14:paraId="073022AC">
            <w:pPr>
              <w:pStyle w:val="12"/>
              <w:ind w:firstLine="0" w:firstLineChars="0"/>
              <w:jc w:val="left"/>
              <w:rPr>
                <w:rFonts w:ascii="宋体" w:hAnsi="宋体"/>
                <w:lang w:eastAsia="en-US" w:bidi="en-US"/>
              </w:rPr>
            </w:pPr>
            <w:r>
              <w:rPr>
                <w:rFonts w:ascii="宋体" w:hAnsi="宋体" w:cs="宋体"/>
                <w:szCs w:val="21"/>
                <w:lang w:eastAsia="en-US" w:bidi="en-US"/>
              </w:rPr>
              <w:t>{YYYY}</w:t>
            </w:r>
            <w:r>
              <w:rPr>
                <w:rFonts w:hint="eastAsia" w:ascii="宋体" w:hAnsi="宋体" w:cs="宋体"/>
                <w:szCs w:val="21"/>
                <w:lang w:eastAsia="en-US" w:bidi="en-US"/>
              </w:rPr>
              <w:t>年</w:t>
            </w:r>
            <w:r>
              <w:rPr>
                <w:rFonts w:ascii="宋体" w:hAnsi="宋体" w:cs="宋体"/>
                <w:szCs w:val="21"/>
                <w:lang w:eastAsia="en-US" w:bidi="en-US"/>
              </w:rPr>
              <w:t>{MM}</w:t>
            </w:r>
            <w:r>
              <w:rPr>
                <w:rFonts w:hint="eastAsia" w:ascii="宋体" w:hAnsi="宋体" w:cs="宋体"/>
                <w:szCs w:val="21"/>
                <w:lang w:eastAsia="en-US" w:bidi="en-US"/>
              </w:rPr>
              <w:t>月</w:t>
            </w:r>
            <w:r>
              <w:rPr>
                <w:rFonts w:ascii="宋体" w:hAnsi="宋体" w:cs="宋体"/>
                <w:szCs w:val="21"/>
                <w:lang w:eastAsia="en-US" w:bidi="en-US"/>
              </w:rPr>
              <w:t>{DD}</w:t>
            </w:r>
            <w:r>
              <w:rPr>
                <w:rFonts w:hint="eastAsia" w:ascii="宋体" w:hAnsi="宋体" w:cs="宋体"/>
                <w:szCs w:val="21"/>
                <w:lang w:eastAsia="en-US" w:bidi="en-US"/>
              </w:rPr>
              <w:t>日</w:t>
            </w:r>
          </w:p>
        </w:tc>
      </w:tr>
      <w:tr w14:paraId="2108B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tcPr>
          <w:p w14:paraId="74875E14">
            <w:pPr>
              <w:pStyle w:val="12"/>
              <w:ind w:firstLine="0" w:firstLineChars="0"/>
              <w:jc w:val="left"/>
              <w:rPr>
                <w:rFonts w:ascii="宋体" w:hAnsi="宋体"/>
                <w:lang w:eastAsia="en-US" w:bidi="en-US"/>
              </w:rPr>
            </w:pPr>
            <w:r>
              <w:rPr>
                <w:rFonts w:hint="eastAsia" w:ascii="宋体" w:hAnsi="宋体"/>
                <w:lang w:eastAsia="en-US" w:bidi="en-US"/>
              </w:rPr>
              <w:t>债券简称</w:t>
            </w:r>
          </w:p>
        </w:tc>
        <w:tc>
          <w:tcPr>
            <w:tcW w:w="6593" w:type="dxa"/>
          </w:tcPr>
          <w:p w14:paraId="66845E09">
            <w:pPr>
              <w:pStyle w:val="12"/>
              <w:ind w:firstLine="0" w:firstLineChars="0"/>
              <w:jc w:val="left"/>
              <w:rPr>
                <w:rFonts w:ascii="宋体" w:hAnsi="宋体" w:cs="宋体"/>
                <w:szCs w:val="21"/>
                <w:lang w:eastAsia="en-US" w:bidi="en-US"/>
              </w:rPr>
            </w:pPr>
          </w:p>
        </w:tc>
      </w:tr>
      <w:tr w14:paraId="1763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tcPr>
          <w:p w14:paraId="30292692">
            <w:pPr>
              <w:pStyle w:val="12"/>
              <w:ind w:firstLine="0" w:firstLineChars="0"/>
              <w:jc w:val="left"/>
              <w:rPr>
                <w:rFonts w:ascii="宋体" w:hAnsi="宋体"/>
                <w:lang w:eastAsia="en-US" w:bidi="en-US"/>
              </w:rPr>
            </w:pPr>
            <w:r>
              <w:rPr>
                <w:rFonts w:hint="eastAsia" w:ascii="宋体" w:hAnsi="宋体"/>
                <w:lang w:eastAsia="en-US" w:bidi="en-US"/>
              </w:rPr>
              <w:t>债券代码</w:t>
            </w:r>
          </w:p>
        </w:tc>
        <w:tc>
          <w:tcPr>
            <w:tcW w:w="6593" w:type="dxa"/>
          </w:tcPr>
          <w:p w14:paraId="0D6CD8DA">
            <w:pPr>
              <w:pStyle w:val="12"/>
              <w:ind w:firstLine="0" w:firstLineChars="0"/>
              <w:jc w:val="left"/>
              <w:rPr>
                <w:rFonts w:ascii="宋体" w:hAnsi="宋体" w:cs="宋体"/>
                <w:szCs w:val="21"/>
                <w:lang w:eastAsia="en-US" w:bidi="en-US"/>
              </w:rPr>
            </w:pPr>
          </w:p>
        </w:tc>
      </w:tr>
      <w:tr w14:paraId="76F44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tcPr>
          <w:p w14:paraId="3B754E8A">
            <w:pPr>
              <w:pStyle w:val="12"/>
              <w:ind w:firstLine="0" w:firstLineChars="0"/>
              <w:jc w:val="left"/>
              <w:rPr>
                <w:rFonts w:ascii="宋体" w:hAnsi="宋体"/>
                <w:lang w:eastAsia="en-US" w:bidi="en-US"/>
              </w:rPr>
            </w:pPr>
            <w:r>
              <w:rPr>
                <w:rFonts w:hint="eastAsia" w:ascii="宋体" w:hAnsi="宋体"/>
                <w:lang w:eastAsia="en-US" w:bidi="en-US"/>
              </w:rPr>
              <w:t>竞买预约编号</w:t>
            </w:r>
          </w:p>
        </w:tc>
        <w:tc>
          <w:tcPr>
            <w:tcW w:w="6593" w:type="dxa"/>
          </w:tcPr>
          <w:p w14:paraId="3C85593D">
            <w:pPr>
              <w:pStyle w:val="12"/>
              <w:ind w:firstLine="0" w:firstLineChars="0"/>
              <w:jc w:val="left"/>
              <w:rPr>
                <w:rFonts w:ascii="宋体" w:hAnsi="宋体"/>
                <w:lang w:eastAsia="en-US" w:bidi="en-US"/>
              </w:rPr>
            </w:pPr>
            <w:r>
              <w:rPr>
                <w:rFonts w:ascii="宋体" w:hAnsi="宋体" w:cs="宋体"/>
                <w:szCs w:val="21"/>
                <w:lang w:eastAsia="en-US" w:bidi="en-US"/>
              </w:rPr>
              <w:t>{YYYY</w:t>
            </w:r>
            <w:r>
              <w:rPr>
                <w:rFonts w:hint="eastAsia" w:ascii="宋体" w:hAnsi="宋体" w:cs="宋体"/>
                <w:szCs w:val="21"/>
                <w:lang w:eastAsia="en-US" w:bidi="en-US"/>
              </w:rPr>
              <w:t>MMDD</w:t>
            </w:r>
            <w:r>
              <w:rPr>
                <w:rFonts w:ascii="宋体" w:hAnsi="宋体" w:cs="宋体"/>
                <w:szCs w:val="21"/>
                <w:lang w:eastAsia="en-US" w:bidi="en-US"/>
              </w:rPr>
              <w:t>}</w:t>
            </w:r>
            <w:r>
              <w:rPr>
                <w:rFonts w:hint="eastAsia" w:ascii="宋体" w:hAnsi="宋体" w:cs="宋体"/>
                <w:szCs w:val="21"/>
                <w:lang w:eastAsia="en-US" w:bidi="en-US"/>
              </w:rPr>
              <w:t>XXX号</w:t>
            </w:r>
          </w:p>
        </w:tc>
      </w:tr>
      <w:tr w14:paraId="562C1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tcPr>
          <w:p w14:paraId="289BF169">
            <w:pPr>
              <w:pStyle w:val="12"/>
              <w:ind w:firstLine="0" w:firstLineChars="0"/>
              <w:jc w:val="left"/>
              <w:rPr>
                <w:rFonts w:ascii="宋体" w:hAnsi="宋体"/>
                <w:lang w:eastAsia="en-US" w:bidi="en-US"/>
              </w:rPr>
            </w:pPr>
            <w:r>
              <w:rPr>
                <w:rFonts w:hint="eastAsia" w:ascii="宋体" w:hAnsi="宋体"/>
                <w:lang w:eastAsia="en-US" w:bidi="en-US"/>
              </w:rPr>
              <w:t>竞买方式</w:t>
            </w:r>
          </w:p>
        </w:tc>
        <w:tc>
          <w:tcPr>
            <w:tcW w:w="6593" w:type="dxa"/>
          </w:tcPr>
          <w:p w14:paraId="7EDC3D1E">
            <w:pPr>
              <w:pStyle w:val="12"/>
              <w:ind w:firstLine="0" w:firstLineChars="0"/>
              <w:jc w:val="left"/>
              <w:rPr>
                <w:rFonts w:ascii="宋体" w:hAnsi="宋体"/>
                <w:lang w:eastAsia="en-US" w:bidi="en-US"/>
              </w:rPr>
            </w:pPr>
            <w:r>
              <w:rPr>
                <w:rFonts w:hint="eastAsia" w:ascii="宋体" w:hAnsi="宋体"/>
                <w:lang w:eastAsia="en-US" w:bidi="en-US"/>
              </w:rPr>
              <w:t>单一主体中标/单一价格中标/多重价格中标</w:t>
            </w:r>
          </w:p>
        </w:tc>
      </w:tr>
      <w:tr w14:paraId="2203B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tcPr>
          <w:p w14:paraId="0BD56D15">
            <w:pPr>
              <w:pStyle w:val="12"/>
              <w:ind w:firstLine="0" w:firstLineChars="0"/>
              <w:jc w:val="left"/>
              <w:rPr>
                <w:rFonts w:ascii="宋体" w:hAnsi="宋体"/>
                <w:lang w:eastAsia="en-US" w:bidi="en-US"/>
              </w:rPr>
            </w:pPr>
            <w:r>
              <w:rPr>
                <w:rFonts w:hint="eastAsia" w:ascii="宋体" w:hAnsi="宋体"/>
                <w:lang w:eastAsia="en-US" w:bidi="en-US"/>
              </w:rPr>
              <w:t>底价（元）</w:t>
            </w:r>
          </w:p>
        </w:tc>
        <w:tc>
          <w:tcPr>
            <w:tcW w:w="6593" w:type="dxa"/>
          </w:tcPr>
          <w:p w14:paraId="2EE63542">
            <w:pPr>
              <w:pStyle w:val="12"/>
              <w:ind w:firstLine="0" w:firstLineChars="0"/>
              <w:jc w:val="left"/>
              <w:rPr>
                <w:rFonts w:ascii="宋体" w:hAnsi="宋体"/>
                <w:lang w:eastAsia="en-US" w:bidi="en-US"/>
              </w:rPr>
            </w:pPr>
            <w:r>
              <w:rPr>
                <w:rFonts w:hint="eastAsia" w:ascii="宋体" w:hAnsi="宋体"/>
                <w:lang w:eastAsia="en-US" w:bidi="en-US"/>
              </w:rPr>
              <w:t>XX.XXX</w:t>
            </w:r>
          </w:p>
        </w:tc>
      </w:tr>
      <w:tr w14:paraId="06DAB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29" w:type="dxa"/>
          </w:tcPr>
          <w:p w14:paraId="7802DA38">
            <w:pPr>
              <w:pStyle w:val="12"/>
              <w:ind w:firstLine="0" w:firstLineChars="0"/>
              <w:jc w:val="left"/>
              <w:rPr>
                <w:rFonts w:ascii="宋体" w:hAnsi="宋体"/>
                <w:lang w:eastAsia="en-US" w:bidi="en-US"/>
              </w:rPr>
            </w:pPr>
            <w:r>
              <w:rPr>
                <w:rFonts w:hint="eastAsia" w:ascii="宋体" w:hAnsi="宋体"/>
                <w:lang w:eastAsia="en-US" w:bidi="en-US"/>
              </w:rPr>
              <w:t>竞买数量（千元面额）</w:t>
            </w:r>
          </w:p>
        </w:tc>
        <w:tc>
          <w:tcPr>
            <w:tcW w:w="6593" w:type="dxa"/>
          </w:tcPr>
          <w:p w14:paraId="177BE548">
            <w:pPr>
              <w:pStyle w:val="12"/>
              <w:ind w:firstLine="0" w:firstLineChars="0"/>
              <w:jc w:val="left"/>
              <w:rPr>
                <w:rFonts w:ascii="宋体" w:hAnsi="宋体"/>
                <w:lang w:eastAsia="en-US" w:bidi="en-US"/>
              </w:rPr>
            </w:pPr>
            <w:r>
              <w:rPr>
                <w:rFonts w:hint="eastAsia" w:ascii="宋体" w:hAnsi="宋体"/>
                <w:lang w:eastAsia="en-US" w:bidi="en-US"/>
              </w:rPr>
              <w:t>XXXX</w:t>
            </w:r>
          </w:p>
        </w:tc>
      </w:tr>
      <w:tr w14:paraId="3192E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tcPr>
          <w:p w14:paraId="37BB0DC8">
            <w:pPr>
              <w:pStyle w:val="12"/>
              <w:ind w:firstLine="0" w:firstLineChars="0"/>
              <w:jc w:val="left"/>
              <w:rPr>
                <w:rFonts w:ascii="宋体" w:hAnsi="宋体"/>
                <w:lang w:eastAsia="en-US" w:bidi="en-US"/>
              </w:rPr>
            </w:pPr>
            <w:r>
              <w:rPr>
                <w:rFonts w:hint="eastAsia" w:ascii="宋体" w:hAnsi="宋体"/>
                <w:lang w:eastAsia="en-US" w:bidi="en-US"/>
              </w:rPr>
              <w:t>发起方</w:t>
            </w:r>
          </w:p>
        </w:tc>
        <w:tc>
          <w:tcPr>
            <w:tcW w:w="6593" w:type="dxa"/>
          </w:tcPr>
          <w:p w14:paraId="5CA8BC10">
            <w:pPr>
              <w:pStyle w:val="12"/>
              <w:ind w:firstLine="0" w:firstLineChars="0"/>
              <w:jc w:val="left"/>
              <w:rPr>
                <w:rFonts w:ascii="宋体" w:hAnsi="宋体"/>
                <w:lang w:eastAsia="en-US" w:bidi="en-US"/>
              </w:rPr>
            </w:pPr>
            <w:r>
              <w:rPr>
                <w:rFonts w:hint="eastAsia" w:ascii="宋体" w:hAnsi="宋体"/>
                <w:lang w:eastAsia="en-US" w:bidi="en-US"/>
              </w:rPr>
              <w:t>交易参与人简称，可为匿名</w:t>
            </w:r>
          </w:p>
        </w:tc>
      </w:tr>
      <w:tr w14:paraId="65587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tcPr>
          <w:p w14:paraId="54D65FEC">
            <w:pPr>
              <w:pStyle w:val="12"/>
              <w:ind w:firstLine="0" w:firstLineChars="0"/>
              <w:jc w:val="left"/>
              <w:rPr>
                <w:rFonts w:ascii="宋体" w:hAnsi="宋体"/>
                <w:lang w:eastAsia="en-US" w:bidi="en-US"/>
              </w:rPr>
            </w:pPr>
            <w:r>
              <w:rPr>
                <w:rFonts w:hint="eastAsia" w:ascii="宋体" w:hAnsi="宋体"/>
                <w:lang w:eastAsia="en-US" w:bidi="en-US"/>
              </w:rPr>
              <w:t>竞买日</w:t>
            </w:r>
          </w:p>
        </w:tc>
        <w:tc>
          <w:tcPr>
            <w:tcW w:w="6593" w:type="dxa"/>
          </w:tcPr>
          <w:p w14:paraId="551E6476">
            <w:pPr>
              <w:pStyle w:val="12"/>
              <w:ind w:firstLine="0" w:firstLineChars="0"/>
              <w:jc w:val="left"/>
              <w:rPr>
                <w:rFonts w:ascii="宋体" w:hAnsi="宋体"/>
                <w:lang w:eastAsia="en-US" w:bidi="en-US"/>
              </w:rPr>
            </w:pPr>
            <w:r>
              <w:rPr>
                <w:rFonts w:ascii="宋体" w:hAnsi="宋体" w:cs="宋体"/>
                <w:szCs w:val="21"/>
                <w:lang w:eastAsia="en-US" w:bidi="en-US"/>
              </w:rPr>
              <w:t>{YYYY}</w:t>
            </w:r>
            <w:r>
              <w:rPr>
                <w:rFonts w:hint="eastAsia" w:ascii="宋体" w:hAnsi="宋体" w:cs="宋体"/>
                <w:szCs w:val="21"/>
                <w:lang w:eastAsia="en-US" w:bidi="en-US"/>
              </w:rPr>
              <w:t>年</w:t>
            </w:r>
            <w:r>
              <w:rPr>
                <w:rFonts w:ascii="宋体" w:hAnsi="宋体" w:cs="宋体"/>
                <w:szCs w:val="21"/>
                <w:lang w:eastAsia="en-US" w:bidi="en-US"/>
              </w:rPr>
              <w:t>{MM}</w:t>
            </w:r>
            <w:r>
              <w:rPr>
                <w:rFonts w:hint="eastAsia" w:ascii="宋体" w:hAnsi="宋体" w:cs="宋体"/>
                <w:szCs w:val="21"/>
                <w:lang w:eastAsia="en-US" w:bidi="en-US"/>
              </w:rPr>
              <w:t>月</w:t>
            </w:r>
            <w:r>
              <w:rPr>
                <w:rFonts w:ascii="宋体" w:hAnsi="宋体" w:cs="宋体"/>
                <w:szCs w:val="21"/>
                <w:lang w:eastAsia="en-US" w:bidi="en-US"/>
              </w:rPr>
              <w:t>{DD}</w:t>
            </w:r>
            <w:r>
              <w:rPr>
                <w:rFonts w:hint="eastAsia" w:ascii="宋体" w:hAnsi="宋体" w:cs="宋体"/>
                <w:szCs w:val="21"/>
                <w:lang w:eastAsia="en-US" w:bidi="en-US"/>
              </w:rPr>
              <w:t>日</w:t>
            </w:r>
          </w:p>
        </w:tc>
      </w:tr>
      <w:tr w14:paraId="2D4D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tcPr>
          <w:p w14:paraId="24856FCF">
            <w:pPr>
              <w:pStyle w:val="12"/>
              <w:ind w:firstLine="0" w:firstLineChars="0"/>
              <w:jc w:val="left"/>
              <w:rPr>
                <w:rFonts w:ascii="宋体" w:hAnsi="宋体"/>
                <w:lang w:eastAsia="en-US" w:bidi="en-US"/>
              </w:rPr>
            </w:pPr>
            <w:r>
              <w:rPr>
                <w:rFonts w:hint="eastAsia" w:ascii="宋体" w:hAnsi="宋体"/>
                <w:lang w:eastAsia="en-US" w:bidi="en-US"/>
              </w:rPr>
              <w:t>竞买时间</w:t>
            </w:r>
          </w:p>
        </w:tc>
        <w:tc>
          <w:tcPr>
            <w:tcW w:w="6593" w:type="dxa"/>
          </w:tcPr>
          <w:p w14:paraId="071877CC">
            <w:pPr>
              <w:pStyle w:val="12"/>
              <w:ind w:firstLine="0" w:firstLineChars="0"/>
              <w:jc w:val="left"/>
              <w:rPr>
                <w:rFonts w:ascii="宋体" w:hAnsi="宋体"/>
                <w:lang w:eastAsia="en-US" w:bidi="en-US"/>
              </w:rPr>
            </w:pPr>
            <w:r>
              <w:rPr>
                <w:rFonts w:hint="eastAsia" w:ascii="宋体" w:hAnsi="宋体"/>
                <w:lang w:eastAsia="en-US" w:bidi="en-US"/>
              </w:rPr>
              <w:t>10:00-11:30</w:t>
            </w:r>
          </w:p>
        </w:tc>
      </w:tr>
      <w:tr w14:paraId="46B1A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9" w:type="dxa"/>
          </w:tcPr>
          <w:p w14:paraId="72D6B298">
            <w:pPr>
              <w:pStyle w:val="12"/>
              <w:ind w:firstLine="0" w:firstLineChars="0"/>
              <w:jc w:val="left"/>
              <w:rPr>
                <w:rFonts w:ascii="宋体" w:hAnsi="宋体"/>
                <w:lang w:eastAsia="en-US" w:bidi="en-US"/>
              </w:rPr>
            </w:pPr>
            <w:r>
              <w:rPr>
                <w:rFonts w:hint="eastAsia" w:ascii="宋体" w:hAnsi="宋体"/>
                <w:lang w:eastAsia="en-US" w:bidi="en-US"/>
              </w:rPr>
              <w:t>相关提示</w:t>
            </w:r>
          </w:p>
        </w:tc>
        <w:tc>
          <w:tcPr>
            <w:tcW w:w="6593" w:type="dxa"/>
          </w:tcPr>
          <w:p w14:paraId="7F516EB6">
            <w:pPr>
              <w:pStyle w:val="12"/>
              <w:ind w:firstLine="0" w:firstLineChars="0"/>
              <w:jc w:val="left"/>
              <w:rPr>
                <w:rFonts w:ascii="宋体" w:hAnsi="宋体"/>
                <w:lang w:eastAsia="en-US" w:bidi="en-US"/>
              </w:rPr>
            </w:pPr>
            <w:r>
              <w:rPr>
                <w:rFonts w:hint="eastAsia" w:ascii="宋体" w:hAnsi="宋体"/>
                <w:lang w:eastAsia="en-US" w:bidi="en-US"/>
              </w:rPr>
              <w:t>本提示展示信息仅为发起方意向信息，关于本次债券竞买的具体信息以竞买日当天实际申报信息为准。</w:t>
            </w:r>
          </w:p>
        </w:tc>
      </w:tr>
    </w:tbl>
    <w:p w14:paraId="235E1A0F">
      <w:pPr>
        <w:spacing w:line="600" w:lineRule="exact"/>
        <w:ind w:firstLine="600"/>
        <w:jc w:val="right"/>
        <w:rPr>
          <w:rFonts w:ascii="仿宋_GB2312" w:eastAsia="仿宋_GB2312"/>
          <w:sz w:val="30"/>
          <w:szCs w:val="30"/>
        </w:rPr>
      </w:pPr>
    </w:p>
    <w:p w14:paraId="00B70F2D">
      <w:pPr>
        <w:spacing w:line="600" w:lineRule="exact"/>
        <w:outlineLvl w:val="1"/>
        <w:rPr>
          <w:rFonts w:ascii="宋体" w:hAnsi="宋体" w:eastAsia="仿宋_GB2312"/>
        </w:rPr>
      </w:pPr>
      <w:bookmarkStart w:id="3948" w:name="_Toc574257962"/>
      <w:bookmarkStart w:id="3949" w:name="_Toc151137087"/>
      <w:bookmarkStart w:id="3950" w:name="_Toc191817191"/>
      <w:bookmarkStart w:id="3951" w:name="_Toc1789904047"/>
      <w:bookmarkStart w:id="3952" w:name="_Toc893582044"/>
      <w:bookmarkStart w:id="3953" w:name="_Toc859530143"/>
      <w:bookmarkStart w:id="3954" w:name="_Toc751208520"/>
      <w:r>
        <w:rPr>
          <w:rFonts w:hint="eastAsia" w:ascii="仿宋_GB2312" w:eastAsia="仿宋_GB2312"/>
          <w:b/>
          <w:sz w:val="30"/>
          <w:szCs w:val="30"/>
        </w:rPr>
        <w:t>附件6-2 竞买预约撤销提示</w:t>
      </w:r>
      <w:bookmarkEnd w:id="3948"/>
      <w:bookmarkEnd w:id="3949"/>
      <w:bookmarkEnd w:id="3950"/>
      <w:bookmarkEnd w:id="3951"/>
      <w:bookmarkEnd w:id="3952"/>
      <w:bookmarkEnd w:id="3953"/>
      <w:bookmarkEnd w:id="3954"/>
    </w:p>
    <w:p w14:paraId="0804DA2F">
      <w:pPr>
        <w:rPr>
          <w:rFonts w:ascii="仿宋_GB2312" w:eastAsia="仿宋_GB2312"/>
          <w:b/>
          <w:sz w:val="30"/>
          <w:szCs w:val="30"/>
        </w:rPr>
      </w:pPr>
      <w:r>
        <w:rPr>
          <w:rFonts w:hint="eastAsia" w:ascii="仿宋_GB2312" w:eastAsia="仿宋_GB2312"/>
          <w:b/>
          <w:sz w:val="30"/>
          <w:szCs w:val="30"/>
        </w:rPr>
        <w:t>示例二：</w:t>
      </w:r>
    </w:p>
    <w:p w14:paraId="3C4D6F18">
      <w:pPr>
        <w:jc w:val="center"/>
        <w:rPr>
          <w:rFonts w:ascii="黑体" w:hAnsi="黑体" w:eastAsia="黑体" w:cs="黑体"/>
          <w:b/>
          <w:sz w:val="44"/>
          <w:szCs w:val="44"/>
        </w:rPr>
      </w:pPr>
      <w:r>
        <w:rPr>
          <w:rFonts w:hint="eastAsia" w:ascii="黑体" w:hAnsi="黑体" w:eastAsia="黑体" w:cs="黑体"/>
          <w:b/>
          <w:sz w:val="44"/>
          <w:szCs w:val="44"/>
        </w:rPr>
        <w:t>{债券简称}（{债券代码}）（预约编号{YYYYM</w:t>
      </w:r>
      <w:r>
        <w:rPr>
          <w:rFonts w:hint="eastAsia" w:ascii="黑体" w:hAnsi="黑体" w:eastAsia="黑体" w:cs="黑体"/>
          <w:b/>
          <w:sz w:val="44"/>
          <w:szCs w:val="44"/>
          <w:lang w:val="en-US" w:eastAsia="zh-CN"/>
        </w:rPr>
        <w:t>M</w:t>
      </w:r>
      <w:r>
        <w:rPr>
          <w:rFonts w:hint="eastAsia" w:ascii="黑体" w:hAnsi="黑体" w:eastAsia="黑体" w:cs="黑体"/>
          <w:b/>
          <w:sz w:val="44"/>
          <w:szCs w:val="44"/>
        </w:rPr>
        <w:t>DD}XXX号）竞买预约撤销的提示</w:t>
      </w:r>
    </w:p>
    <w:p w14:paraId="7ABA076A">
      <w:pPr>
        <w:ind w:left="420" w:leftChars="200" w:firstLine="420"/>
        <w:jc w:val="right"/>
      </w:pP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6542"/>
      </w:tblGrid>
      <w:tr w14:paraId="36191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38F156F1">
            <w:pPr>
              <w:pStyle w:val="12"/>
              <w:ind w:firstLine="0" w:firstLineChars="0"/>
              <w:jc w:val="left"/>
              <w:rPr>
                <w:rFonts w:ascii="宋体" w:hAnsi="宋体"/>
                <w:lang w:eastAsia="en-US" w:bidi="en-US"/>
              </w:rPr>
            </w:pPr>
            <w:r>
              <w:rPr>
                <w:rFonts w:hint="eastAsia" w:ascii="宋体" w:hAnsi="宋体"/>
                <w:lang w:eastAsia="en-US" w:bidi="en-US"/>
              </w:rPr>
              <w:t>竞买预约发布日</w:t>
            </w:r>
          </w:p>
        </w:tc>
        <w:tc>
          <w:tcPr>
            <w:tcW w:w="6542" w:type="dxa"/>
          </w:tcPr>
          <w:p w14:paraId="73399000">
            <w:pPr>
              <w:pStyle w:val="12"/>
              <w:ind w:firstLine="0" w:firstLineChars="0"/>
              <w:jc w:val="left"/>
              <w:rPr>
                <w:rFonts w:ascii="宋体" w:hAnsi="宋体"/>
                <w:lang w:eastAsia="en-US" w:bidi="en-US"/>
              </w:rPr>
            </w:pPr>
            <w:r>
              <w:rPr>
                <w:rFonts w:ascii="宋体" w:hAnsi="宋体" w:cs="宋体"/>
                <w:szCs w:val="21"/>
                <w:lang w:eastAsia="en-US" w:bidi="en-US"/>
              </w:rPr>
              <w:t>{YYYY}</w:t>
            </w:r>
            <w:r>
              <w:rPr>
                <w:rFonts w:hint="eastAsia" w:ascii="宋体" w:hAnsi="宋体" w:cs="宋体"/>
                <w:szCs w:val="21"/>
                <w:lang w:eastAsia="en-US" w:bidi="en-US"/>
              </w:rPr>
              <w:t>年</w:t>
            </w:r>
            <w:r>
              <w:rPr>
                <w:rFonts w:ascii="宋体" w:hAnsi="宋体" w:cs="宋体"/>
                <w:szCs w:val="21"/>
                <w:lang w:eastAsia="en-US" w:bidi="en-US"/>
              </w:rPr>
              <w:t>{MM}</w:t>
            </w:r>
            <w:r>
              <w:rPr>
                <w:rFonts w:hint="eastAsia" w:ascii="宋体" w:hAnsi="宋体" w:cs="宋体"/>
                <w:szCs w:val="21"/>
                <w:lang w:eastAsia="en-US" w:bidi="en-US"/>
              </w:rPr>
              <w:t>月</w:t>
            </w:r>
            <w:r>
              <w:rPr>
                <w:rFonts w:ascii="宋体" w:hAnsi="宋体" w:cs="宋体"/>
                <w:szCs w:val="21"/>
                <w:lang w:eastAsia="en-US" w:bidi="en-US"/>
              </w:rPr>
              <w:t>{DD}</w:t>
            </w:r>
            <w:r>
              <w:rPr>
                <w:rFonts w:hint="eastAsia" w:ascii="宋体" w:hAnsi="宋体" w:cs="宋体"/>
                <w:szCs w:val="21"/>
                <w:lang w:eastAsia="en-US" w:bidi="en-US"/>
              </w:rPr>
              <w:t>日</w:t>
            </w:r>
          </w:p>
        </w:tc>
      </w:tr>
      <w:tr w14:paraId="0384E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18B84C46">
            <w:pPr>
              <w:pStyle w:val="12"/>
              <w:ind w:firstLine="0" w:firstLineChars="0"/>
              <w:jc w:val="left"/>
              <w:rPr>
                <w:rFonts w:ascii="宋体" w:hAnsi="宋体"/>
                <w:lang w:eastAsia="en-US" w:bidi="en-US"/>
              </w:rPr>
            </w:pPr>
            <w:r>
              <w:rPr>
                <w:rFonts w:hint="eastAsia" w:ascii="宋体" w:hAnsi="宋体"/>
                <w:lang w:eastAsia="en-US" w:bidi="en-US"/>
              </w:rPr>
              <w:t>债券简称</w:t>
            </w:r>
          </w:p>
        </w:tc>
        <w:tc>
          <w:tcPr>
            <w:tcW w:w="6542" w:type="dxa"/>
          </w:tcPr>
          <w:p w14:paraId="6CE9C5ED">
            <w:pPr>
              <w:pStyle w:val="12"/>
              <w:ind w:firstLine="0" w:firstLineChars="0"/>
              <w:jc w:val="left"/>
              <w:rPr>
                <w:rFonts w:ascii="宋体" w:hAnsi="宋体" w:cs="宋体"/>
                <w:szCs w:val="21"/>
                <w:lang w:eastAsia="en-US" w:bidi="en-US"/>
              </w:rPr>
            </w:pPr>
          </w:p>
        </w:tc>
      </w:tr>
      <w:tr w14:paraId="424B3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1923620C">
            <w:pPr>
              <w:pStyle w:val="12"/>
              <w:ind w:firstLine="0" w:firstLineChars="0"/>
              <w:jc w:val="left"/>
              <w:rPr>
                <w:rFonts w:ascii="宋体" w:hAnsi="宋体"/>
                <w:lang w:eastAsia="en-US" w:bidi="en-US"/>
              </w:rPr>
            </w:pPr>
            <w:r>
              <w:rPr>
                <w:rFonts w:hint="eastAsia" w:ascii="宋体" w:hAnsi="宋体"/>
                <w:lang w:eastAsia="en-US" w:bidi="en-US"/>
              </w:rPr>
              <w:t>债券代码</w:t>
            </w:r>
          </w:p>
        </w:tc>
        <w:tc>
          <w:tcPr>
            <w:tcW w:w="6542" w:type="dxa"/>
          </w:tcPr>
          <w:p w14:paraId="46761EC3">
            <w:pPr>
              <w:pStyle w:val="12"/>
              <w:ind w:firstLine="0" w:firstLineChars="0"/>
              <w:jc w:val="left"/>
              <w:rPr>
                <w:rFonts w:ascii="宋体" w:hAnsi="宋体" w:cs="宋体"/>
                <w:szCs w:val="21"/>
                <w:lang w:eastAsia="en-US" w:bidi="en-US"/>
              </w:rPr>
            </w:pPr>
          </w:p>
        </w:tc>
      </w:tr>
      <w:tr w14:paraId="403FF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49DBE390">
            <w:pPr>
              <w:pStyle w:val="12"/>
              <w:ind w:firstLine="0" w:firstLineChars="0"/>
              <w:jc w:val="left"/>
              <w:rPr>
                <w:rFonts w:ascii="宋体" w:hAnsi="宋体"/>
                <w:lang w:eastAsia="en-US" w:bidi="en-US"/>
              </w:rPr>
            </w:pPr>
            <w:r>
              <w:rPr>
                <w:rFonts w:hint="eastAsia" w:ascii="宋体" w:hAnsi="宋体"/>
                <w:lang w:eastAsia="en-US" w:bidi="en-US"/>
              </w:rPr>
              <w:t>竞买预约编号</w:t>
            </w:r>
          </w:p>
        </w:tc>
        <w:tc>
          <w:tcPr>
            <w:tcW w:w="6542" w:type="dxa"/>
          </w:tcPr>
          <w:p w14:paraId="6626AD11">
            <w:pPr>
              <w:pStyle w:val="12"/>
              <w:ind w:firstLine="0" w:firstLineChars="0"/>
              <w:jc w:val="left"/>
              <w:rPr>
                <w:rFonts w:ascii="宋体" w:hAnsi="宋体"/>
                <w:lang w:eastAsia="en-US" w:bidi="en-US"/>
              </w:rPr>
            </w:pPr>
            <w:r>
              <w:rPr>
                <w:rFonts w:ascii="宋体" w:hAnsi="宋体" w:cs="宋体"/>
                <w:szCs w:val="21"/>
                <w:lang w:eastAsia="en-US" w:bidi="en-US"/>
              </w:rPr>
              <w:t>{YYYY</w:t>
            </w:r>
            <w:r>
              <w:rPr>
                <w:rFonts w:hint="eastAsia" w:ascii="宋体" w:hAnsi="宋体" w:cs="宋体"/>
                <w:szCs w:val="21"/>
                <w:lang w:eastAsia="en-US" w:bidi="en-US"/>
              </w:rPr>
              <w:t>MMDD</w:t>
            </w:r>
            <w:r>
              <w:rPr>
                <w:rFonts w:ascii="宋体" w:hAnsi="宋体" w:cs="宋体"/>
                <w:szCs w:val="21"/>
                <w:lang w:eastAsia="en-US" w:bidi="en-US"/>
              </w:rPr>
              <w:t>}</w:t>
            </w:r>
            <w:r>
              <w:rPr>
                <w:rFonts w:hint="eastAsia" w:ascii="宋体" w:hAnsi="宋体" w:cs="宋体"/>
                <w:szCs w:val="21"/>
                <w:lang w:eastAsia="en-US" w:bidi="en-US"/>
              </w:rPr>
              <w:t>XXX号</w:t>
            </w:r>
          </w:p>
        </w:tc>
      </w:tr>
      <w:tr w14:paraId="56A58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438FE446">
            <w:pPr>
              <w:pStyle w:val="12"/>
              <w:ind w:firstLine="0" w:firstLineChars="0"/>
              <w:jc w:val="left"/>
              <w:rPr>
                <w:rFonts w:ascii="宋体" w:hAnsi="宋体"/>
                <w:lang w:eastAsia="en-US" w:bidi="en-US"/>
              </w:rPr>
            </w:pPr>
            <w:r>
              <w:rPr>
                <w:rFonts w:hint="eastAsia" w:ascii="宋体" w:hAnsi="宋体"/>
                <w:lang w:eastAsia="en-US" w:bidi="en-US"/>
              </w:rPr>
              <w:t>发起方</w:t>
            </w:r>
          </w:p>
        </w:tc>
        <w:tc>
          <w:tcPr>
            <w:tcW w:w="6542" w:type="dxa"/>
          </w:tcPr>
          <w:p w14:paraId="3F94346D">
            <w:pPr>
              <w:pStyle w:val="12"/>
              <w:ind w:firstLine="0" w:firstLineChars="0"/>
              <w:jc w:val="left"/>
              <w:rPr>
                <w:rFonts w:ascii="宋体" w:hAnsi="宋体"/>
                <w:lang w:eastAsia="en-US" w:bidi="en-US"/>
              </w:rPr>
            </w:pPr>
            <w:r>
              <w:rPr>
                <w:rFonts w:hint="eastAsia" w:ascii="宋体" w:hAnsi="宋体"/>
                <w:lang w:eastAsia="en-US" w:bidi="en-US"/>
              </w:rPr>
              <w:t>交易参与人简称，可为匿名</w:t>
            </w:r>
          </w:p>
        </w:tc>
      </w:tr>
      <w:tr w14:paraId="05372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18335CAE">
            <w:pPr>
              <w:pStyle w:val="12"/>
              <w:ind w:firstLine="0" w:firstLineChars="0"/>
              <w:jc w:val="left"/>
              <w:rPr>
                <w:rFonts w:ascii="宋体" w:hAnsi="宋体"/>
                <w:lang w:eastAsia="en-US" w:bidi="en-US"/>
              </w:rPr>
            </w:pPr>
            <w:r>
              <w:rPr>
                <w:rFonts w:hint="eastAsia" w:ascii="宋体" w:hAnsi="宋体"/>
                <w:lang w:eastAsia="en-US" w:bidi="en-US"/>
              </w:rPr>
              <w:t>竞买日</w:t>
            </w:r>
          </w:p>
        </w:tc>
        <w:tc>
          <w:tcPr>
            <w:tcW w:w="6542" w:type="dxa"/>
          </w:tcPr>
          <w:p w14:paraId="633C367F">
            <w:pPr>
              <w:pStyle w:val="12"/>
              <w:ind w:firstLine="0" w:firstLineChars="0"/>
              <w:jc w:val="left"/>
              <w:rPr>
                <w:rFonts w:ascii="宋体" w:hAnsi="宋体"/>
                <w:lang w:eastAsia="en-US" w:bidi="en-US"/>
              </w:rPr>
            </w:pPr>
            <w:r>
              <w:rPr>
                <w:rFonts w:ascii="宋体" w:hAnsi="宋体" w:cs="宋体"/>
                <w:szCs w:val="21"/>
                <w:lang w:eastAsia="en-US" w:bidi="en-US"/>
              </w:rPr>
              <w:t>{YYYY}</w:t>
            </w:r>
            <w:r>
              <w:rPr>
                <w:rFonts w:hint="eastAsia" w:ascii="宋体" w:hAnsi="宋体" w:cs="宋体"/>
                <w:szCs w:val="21"/>
                <w:lang w:eastAsia="en-US" w:bidi="en-US"/>
              </w:rPr>
              <w:t>年</w:t>
            </w:r>
            <w:r>
              <w:rPr>
                <w:rFonts w:ascii="宋体" w:hAnsi="宋体" w:cs="宋体"/>
                <w:szCs w:val="21"/>
                <w:lang w:eastAsia="en-US" w:bidi="en-US"/>
              </w:rPr>
              <w:t>{MM}</w:t>
            </w:r>
            <w:r>
              <w:rPr>
                <w:rFonts w:hint="eastAsia" w:ascii="宋体" w:hAnsi="宋体" w:cs="宋体"/>
                <w:szCs w:val="21"/>
                <w:lang w:eastAsia="en-US" w:bidi="en-US"/>
              </w:rPr>
              <w:t>月</w:t>
            </w:r>
            <w:r>
              <w:rPr>
                <w:rFonts w:ascii="宋体" w:hAnsi="宋体" w:cs="宋体"/>
                <w:szCs w:val="21"/>
                <w:lang w:eastAsia="en-US" w:bidi="en-US"/>
              </w:rPr>
              <w:t>{DD}</w:t>
            </w:r>
            <w:r>
              <w:rPr>
                <w:rFonts w:hint="eastAsia" w:ascii="宋体" w:hAnsi="宋体" w:cs="宋体"/>
                <w:szCs w:val="21"/>
                <w:lang w:eastAsia="en-US" w:bidi="en-US"/>
              </w:rPr>
              <w:t>日</w:t>
            </w:r>
          </w:p>
        </w:tc>
      </w:tr>
      <w:tr w14:paraId="1171D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20FE12D3">
            <w:pPr>
              <w:pStyle w:val="12"/>
              <w:ind w:firstLine="0" w:firstLineChars="0"/>
              <w:jc w:val="left"/>
              <w:rPr>
                <w:rFonts w:ascii="宋体" w:hAnsi="宋体"/>
                <w:lang w:eastAsia="en-US" w:bidi="en-US"/>
              </w:rPr>
            </w:pPr>
            <w:r>
              <w:rPr>
                <w:rFonts w:hint="eastAsia" w:ascii="宋体" w:hAnsi="宋体"/>
                <w:lang w:eastAsia="en-US" w:bidi="en-US"/>
              </w:rPr>
              <w:t>相关提示</w:t>
            </w:r>
          </w:p>
        </w:tc>
        <w:tc>
          <w:tcPr>
            <w:tcW w:w="6542" w:type="dxa"/>
          </w:tcPr>
          <w:p w14:paraId="25BEF709">
            <w:pPr>
              <w:pStyle w:val="12"/>
              <w:ind w:firstLine="0" w:firstLineChars="0"/>
              <w:jc w:val="left"/>
              <w:rPr>
                <w:rFonts w:ascii="宋体" w:hAnsi="宋体"/>
                <w:lang w:eastAsia="en-US" w:bidi="en-US"/>
              </w:rPr>
            </w:pPr>
            <w:r>
              <w:rPr>
                <w:rFonts w:hint="eastAsia" w:ascii="宋体" w:hAnsi="宋体"/>
                <w:lang w:eastAsia="en-US" w:bidi="en-US"/>
              </w:rPr>
              <w:t>由于发起方意向变更，现撤销此次竞买预约。</w:t>
            </w:r>
          </w:p>
        </w:tc>
      </w:tr>
    </w:tbl>
    <w:p w14:paraId="248476C9">
      <w:pPr>
        <w:pStyle w:val="12"/>
        <w:ind w:firstLine="0" w:firstLineChars="0"/>
        <w:rPr>
          <w:rFonts w:ascii="宋体" w:hAnsi="宋体"/>
        </w:rPr>
      </w:pPr>
    </w:p>
    <w:p w14:paraId="6C561555">
      <w:pPr>
        <w:widowControl/>
        <w:jc w:val="left"/>
        <w:outlineLvl w:val="1"/>
        <w:rPr>
          <w:rFonts w:ascii="仿宋_GB2312" w:hAnsi="黑体" w:eastAsia="仿宋_GB2312"/>
          <w:b/>
          <w:sz w:val="30"/>
          <w:szCs w:val="30"/>
        </w:rPr>
      </w:pPr>
      <w:bookmarkStart w:id="3955" w:name="_Toc1800057358"/>
      <w:bookmarkStart w:id="3956" w:name="_Toc812587636"/>
      <w:bookmarkStart w:id="3957" w:name="_Toc1190716358"/>
      <w:bookmarkStart w:id="3958" w:name="_Toc1678667193"/>
      <w:bookmarkStart w:id="3959" w:name="_Toc1591889243"/>
      <w:bookmarkStart w:id="3960" w:name="_Toc151137088"/>
      <w:bookmarkStart w:id="3961" w:name="_Toc1474146970"/>
      <w:r>
        <w:rPr>
          <w:rFonts w:hint="eastAsia" w:ascii="仿宋_GB2312" w:hAnsi="黑体" w:eastAsia="仿宋_GB2312"/>
          <w:b/>
          <w:sz w:val="30"/>
          <w:szCs w:val="30"/>
        </w:rPr>
        <w:t>附件6-3 竞买取消提示</w:t>
      </w:r>
      <w:bookmarkEnd w:id="3955"/>
      <w:bookmarkEnd w:id="3956"/>
      <w:bookmarkEnd w:id="3957"/>
      <w:bookmarkEnd w:id="3958"/>
      <w:bookmarkEnd w:id="3959"/>
      <w:bookmarkEnd w:id="3960"/>
      <w:bookmarkEnd w:id="3961"/>
    </w:p>
    <w:p w14:paraId="2BA597DE">
      <w:pPr>
        <w:rPr>
          <w:rFonts w:ascii="仿宋_GB2312" w:eastAsia="仿宋_GB2312"/>
          <w:b/>
          <w:sz w:val="30"/>
          <w:szCs w:val="30"/>
        </w:rPr>
      </w:pPr>
      <w:r>
        <w:rPr>
          <w:rFonts w:hint="eastAsia" w:ascii="仿宋_GB2312" w:eastAsia="仿宋_GB2312"/>
          <w:b/>
          <w:sz w:val="30"/>
          <w:szCs w:val="30"/>
        </w:rPr>
        <w:t>示例三：</w:t>
      </w:r>
    </w:p>
    <w:p w14:paraId="6337C04D">
      <w:pPr>
        <w:jc w:val="center"/>
        <w:rPr>
          <w:rFonts w:ascii="黑体" w:hAnsi="黑体" w:eastAsia="黑体" w:cs="黑体"/>
          <w:b/>
          <w:sz w:val="44"/>
          <w:szCs w:val="44"/>
        </w:rPr>
      </w:pPr>
      <w:r>
        <w:rPr>
          <w:rFonts w:hint="eastAsia" w:ascii="黑体" w:hAnsi="黑体" w:eastAsia="黑体" w:cs="黑体"/>
          <w:b/>
          <w:sz w:val="44"/>
          <w:szCs w:val="44"/>
        </w:rPr>
        <w:t>{债券简称}（{债券代码}）（预约编号{YYYYMMDD}XXX号）竞买取消的提示</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6542"/>
      </w:tblGrid>
      <w:tr w14:paraId="129F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41ED8E94">
            <w:pPr>
              <w:pStyle w:val="12"/>
              <w:ind w:firstLine="0" w:firstLineChars="0"/>
              <w:jc w:val="left"/>
              <w:rPr>
                <w:rFonts w:ascii="宋体" w:hAnsi="宋体"/>
                <w:lang w:eastAsia="en-US" w:bidi="en-US"/>
              </w:rPr>
            </w:pPr>
            <w:r>
              <w:rPr>
                <w:rFonts w:hint="eastAsia" w:ascii="宋体" w:hAnsi="宋体"/>
                <w:lang w:eastAsia="en-US" w:bidi="en-US"/>
              </w:rPr>
              <w:t>竞买预约发布日</w:t>
            </w:r>
          </w:p>
        </w:tc>
        <w:tc>
          <w:tcPr>
            <w:tcW w:w="6542" w:type="dxa"/>
          </w:tcPr>
          <w:p w14:paraId="1F1E5E25">
            <w:pPr>
              <w:pStyle w:val="12"/>
              <w:ind w:firstLine="0" w:firstLineChars="0"/>
              <w:jc w:val="left"/>
              <w:rPr>
                <w:rFonts w:ascii="宋体" w:hAnsi="宋体"/>
                <w:lang w:eastAsia="en-US" w:bidi="en-US"/>
              </w:rPr>
            </w:pPr>
            <w:r>
              <w:rPr>
                <w:rFonts w:ascii="宋体" w:hAnsi="宋体" w:cs="宋体"/>
                <w:szCs w:val="21"/>
                <w:lang w:eastAsia="en-US" w:bidi="en-US"/>
              </w:rPr>
              <w:t>{YYYY}</w:t>
            </w:r>
            <w:r>
              <w:rPr>
                <w:rFonts w:hint="eastAsia" w:ascii="宋体" w:hAnsi="宋体" w:cs="宋体"/>
                <w:szCs w:val="21"/>
                <w:lang w:eastAsia="en-US" w:bidi="en-US"/>
              </w:rPr>
              <w:t>年</w:t>
            </w:r>
            <w:r>
              <w:rPr>
                <w:rFonts w:ascii="宋体" w:hAnsi="宋体" w:cs="宋体"/>
                <w:szCs w:val="21"/>
                <w:lang w:eastAsia="en-US" w:bidi="en-US"/>
              </w:rPr>
              <w:t>{MM}</w:t>
            </w:r>
            <w:r>
              <w:rPr>
                <w:rFonts w:hint="eastAsia" w:ascii="宋体" w:hAnsi="宋体" w:cs="宋体"/>
                <w:szCs w:val="21"/>
                <w:lang w:eastAsia="en-US" w:bidi="en-US"/>
              </w:rPr>
              <w:t>月</w:t>
            </w:r>
            <w:r>
              <w:rPr>
                <w:rFonts w:ascii="宋体" w:hAnsi="宋体" w:cs="宋体"/>
                <w:szCs w:val="21"/>
                <w:lang w:eastAsia="en-US" w:bidi="en-US"/>
              </w:rPr>
              <w:t>{DD}</w:t>
            </w:r>
            <w:r>
              <w:rPr>
                <w:rFonts w:hint="eastAsia" w:ascii="宋体" w:hAnsi="宋体" w:cs="宋体"/>
                <w:szCs w:val="21"/>
                <w:lang w:eastAsia="en-US" w:bidi="en-US"/>
              </w:rPr>
              <w:t>日</w:t>
            </w:r>
          </w:p>
        </w:tc>
      </w:tr>
      <w:tr w14:paraId="1BD3F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020D2463">
            <w:pPr>
              <w:pStyle w:val="12"/>
              <w:ind w:firstLine="0" w:firstLineChars="0"/>
              <w:jc w:val="left"/>
              <w:rPr>
                <w:rFonts w:ascii="宋体" w:hAnsi="宋体"/>
                <w:lang w:eastAsia="en-US" w:bidi="en-US"/>
              </w:rPr>
            </w:pPr>
            <w:r>
              <w:rPr>
                <w:rFonts w:hint="eastAsia" w:ascii="宋体" w:hAnsi="宋体"/>
                <w:lang w:eastAsia="en-US" w:bidi="en-US"/>
              </w:rPr>
              <w:t>债券简称</w:t>
            </w:r>
          </w:p>
        </w:tc>
        <w:tc>
          <w:tcPr>
            <w:tcW w:w="6542" w:type="dxa"/>
          </w:tcPr>
          <w:p w14:paraId="371879E0">
            <w:pPr>
              <w:pStyle w:val="12"/>
              <w:ind w:firstLine="0" w:firstLineChars="0"/>
              <w:jc w:val="left"/>
              <w:rPr>
                <w:rFonts w:ascii="宋体" w:hAnsi="宋体" w:cs="宋体"/>
                <w:szCs w:val="21"/>
                <w:lang w:eastAsia="en-US" w:bidi="en-US"/>
              </w:rPr>
            </w:pPr>
          </w:p>
        </w:tc>
      </w:tr>
      <w:tr w14:paraId="0A14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359D7418">
            <w:pPr>
              <w:pStyle w:val="12"/>
              <w:ind w:firstLine="0" w:firstLineChars="0"/>
              <w:jc w:val="left"/>
              <w:rPr>
                <w:rFonts w:ascii="宋体" w:hAnsi="宋体"/>
                <w:lang w:eastAsia="en-US" w:bidi="en-US"/>
              </w:rPr>
            </w:pPr>
            <w:r>
              <w:rPr>
                <w:rFonts w:hint="eastAsia" w:ascii="宋体" w:hAnsi="宋体"/>
                <w:lang w:eastAsia="en-US" w:bidi="en-US"/>
              </w:rPr>
              <w:t>债券代码</w:t>
            </w:r>
          </w:p>
        </w:tc>
        <w:tc>
          <w:tcPr>
            <w:tcW w:w="6542" w:type="dxa"/>
          </w:tcPr>
          <w:p w14:paraId="1B29332D">
            <w:pPr>
              <w:pStyle w:val="12"/>
              <w:ind w:firstLine="0" w:firstLineChars="0"/>
              <w:jc w:val="left"/>
              <w:rPr>
                <w:rFonts w:ascii="宋体" w:hAnsi="宋体" w:cs="宋体"/>
                <w:szCs w:val="21"/>
                <w:lang w:eastAsia="en-US" w:bidi="en-US"/>
              </w:rPr>
            </w:pPr>
          </w:p>
        </w:tc>
      </w:tr>
      <w:tr w14:paraId="46D4B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49542980">
            <w:pPr>
              <w:pStyle w:val="12"/>
              <w:ind w:firstLine="0" w:firstLineChars="0"/>
              <w:jc w:val="left"/>
              <w:rPr>
                <w:rFonts w:ascii="宋体" w:hAnsi="宋体"/>
                <w:lang w:eastAsia="en-US" w:bidi="en-US"/>
              </w:rPr>
            </w:pPr>
            <w:r>
              <w:rPr>
                <w:rFonts w:hint="eastAsia" w:ascii="宋体" w:hAnsi="宋体"/>
                <w:lang w:eastAsia="en-US" w:bidi="en-US"/>
              </w:rPr>
              <w:t>竞买预约编号</w:t>
            </w:r>
          </w:p>
        </w:tc>
        <w:tc>
          <w:tcPr>
            <w:tcW w:w="6542" w:type="dxa"/>
          </w:tcPr>
          <w:p w14:paraId="2A84908D">
            <w:pPr>
              <w:pStyle w:val="12"/>
              <w:ind w:firstLine="0" w:firstLineChars="0"/>
              <w:jc w:val="left"/>
              <w:rPr>
                <w:rFonts w:ascii="宋体" w:hAnsi="宋体"/>
                <w:lang w:eastAsia="en-US" w:bidi="en-US"/>
              </w:rPr>
            </w:pPr>
            <w:r>
              <w:rPr>
                <w:rFonts w:ascii="宋体" w:hAnsi="宋体" w:cs="宋体"/>
                <w:szCs w:val="21"/>
                <w:lang w:eastAsia="en-US" w:bidi="en-US"/>
              </w:rPr>
              <w:t>{YYYY</w:t>
            </w:r>
            <w:r>
              <w:rPr>
                <w:rFonts w:hint="eastAsia" w:ascii="宋体" w:hAnsi="宋体" w:cs="宋体"/>
                <w:szCs w:val="21"/>
                <w:lang w:eastAsia="en-US" w:bidi="en-US"/>
              </w:rPr>
              <w:t>MMDD</w:t>
            </w:r>
            <w:r>
              <w:rPr>
                <w:rFonts w:ascii="宋体" w:hAnsi="宋体" w:cs="宋体"/>
                <w:szCs w:val="21"/>
                <w:lang w:eastAsia="en-US" w:bidi="en-US"/>
              </w:rPr>
              <w:t>}</w:t>
            </w:r>
            <w:r>
              <w:rPr>
                <w:rFonts w:hint="eastAsia" w:ascii="宋体" w:hAnsi="宋体" w:cs="宋体"/>
                <w:szCs w:val="21"/>
                <w:lang w:eastAsia="en-US" w:bidi="en-US"/>
              </w:rPr>
              <w:t>XXX号</w:t>
            </w:r>
          </w:p>
        </w:tc>
      </w:tr>
      <w:tr w14:paraId="741A3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3DFD733D">
            <w:pPr>
              <w:pStyle w:val="12"/>
              <w:ind w:firstLine="0" w:firstLineChars="0"/>
              <w:jc w:val="left"/>
              <w:rPr>
                <w:rFonts w:ascii="宋体" w:hAnsi="宋体"/>
                <w:lang w:eastAsia="en-US" w:bidi="en-US"/>
              </w:rPr>
            </w:pPr>
            <w:r>
              <w:rPr>
                <w:rFonts w:hint="eastAsia" w:ascii="宋体" w:hAnsi="宋体"/>
                <w:lang w:eastAsia="en-US" w:bidi="en-US"/>
              </w:rPr>
              <w:t>发起方</w:t>
            </w:r>
          </w:p>
        </w:tc>
        <w:tc>
          <w:tcPr>
            <w:tcW w:w="6542" w:type="dxa"/>
          </w:tcPr>
          <w:p w14:paraId="72CE5F80">
            <w:pPr>
              <w:pStyle w:val="12"/>
              <w:ind w:firstLine="0" w:firstLineChars="0"/>
              <w:jc w:val="left"/>
              <w:rPr>
                <w:rFonts w:ascii="宋体" w:hAnsi="宋体"/>
                <w:lang w:eastAsia="en-US" w:bidi="en-US"/>
              </w:rPr>
            </w:pPr>
            <w:r>
              <w:rPr>
                <w:rFonts w:hint="eastAsia" w:ascii="宋体" w:hAnsi="宋体"/>
                <w:lang w:eastAsia="en-US" w:bidi="en-US"/>
              </w:rPr>
              <w:t>交易参与人简称，可为匿名</w:t>
            </w:r>
          </w:p>
        </w:tc>
      </w:tr>
      <w:tr w14:paraId="18F61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63A3C022">
            <w:pPr>
              <w:pStyle w:val="12"/>
              <w:ind w:firstLine="0" w:firstLineChars="0"/>
              <w:jc w:val="left"/>
              <w:rPr>
                <w:rFonts w:ascii="宋体" w:hAnsi="宋体"/>
                <w:lang w:eastAsia="en-US" w:bidi="en-US"/>
              </w:rPr>
            </w:pPr>
            <w:r>
              <w:rPr>
                <w:rFonts w:hint="eastAsia" w:ascii="宋体" w:hAnsi="宋体"/>
                <w:lang w:eastAsia="en-US" w:bidi="en-US"/>
              </w:rPr>
              <w:t>竞买日</w:t>
            </w:r>
          </w:p>
        </w:tc>
        <w:tc>
          <w:tcPr>
            <w:tcW w:w="6542" w:type="dxa"/>
          </w:tcPr>
          <w:p w14:paraId="0A4C39F8">
            <w:pPr>
              <w:pStyle w:val="12"/>
              <w:ind w:firstLine="0" w:firstLineChars="0"/>
              <w:jc w:val="left"/>
              <w:rPr>
                <w:rFonts w:ascii="宋体" w:hAnsi="宋体"/>
                <w:lang w:eastAsia="en-US" w:bidi="en-US"/>
              </w:rPr>
            </w:pPr>
            <w:r>
              <w:rPr>
                <w:rFonts w:ascii="宋体" w:hAnsi="宋体" w:cs="宋体"/>
                <w:szCs w:val="21"/>
                <w:lang w:eastAsia="en-US" w:bidi="en-US"/>
              </w:rPr>
              <w:t>{YYYY}</w:t>
            </w:r>
            <w:r>
              <w:rPr>
                <w:rFonts w:hint="eastAsia" w:ascii="宋体" w:hAnsi="宋体" w:cs="宋体"/>
                <w:szCs w:val="21"/>
                <w:lang w:eastAsia="en-US" w:bidi="en-US"/>
              </w:rPr>
              <w:t>年</w:t>
            </w:r>
            <w:r>
              <w:rPr>
                <w:rFonts w:ascii="宋体" w:hAnsi="宋体" w:cs="宋体"/>
                <w:szCs w:val="21"/>
                <w:lang w:eastAsia="en-US" w:bidi="en-US"/>
              </w:rPr>
              <w:t>{MM}</w:t>
            </w:r>
            <w:r>
              <w:rPr>
                <w:rFonts w:hint="eastAsia" w:ascii="宋体" w:hAnsi="宋体" w:cs="宋体"/>
                <w:szCs w:val="21"/>
                <w:lang w:eastAsia="en-US" w:bidi="en-US"/>
              </w:rPr>
              <w:t>月</w:t>
            </w:r>
            <w:r>
              <w:rPr>
                <w:rFonts w:ascii="宋体" w:hAnsi="宋体" w:cs="宋体"/>
                <w:szCs w:val="21"/>
                <w:lang w:eastAsia="en-US" w:bidi="en-US"/>
              </w:rPr>
              <w:t>{DD}</w:t>
            </w:r>
            <w:r>
              <w:rPr>
                <w:rFonts w:hint="eastAsia" w:ascii="宋体" w:hAnsi="宋体" w:cs="宋体"/>
                <w:szCs w:val="21"/>
                <w:lang w:eastAsia="en-US" w:bidi="en-US"/>
              </w:rPr>
              <w:t>日</w:t>
            </w:r>
          </w:p>
        </w:tc>
      </w:tr>
      <w:tr w14:paraId="7BB5D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34B04D5D">
            <w:pPr>
              <w:pStyle w:val="12"/>
              <w:ind w:firstLine="0" w:firstLineChars="0"/>
              <w:jc w:val="left"/>
              <w:rPr>
                <w:rFonts w:ascii="宋体" w:hAnsi="宋体"/>
                <w:lang w:eastAsia="en-US" w:bidi="en-US"/>
              </w:rPr>
            </w:pPr>
            <w:r>
              <w:rPr>
                <w:rFonts w:hint="eastAsia" w:ascii="宋体" w:hAnsi="宋体"/>
                <w:lang w:eastAsia="en-US" w:bidi="en-US"/>
              </w:rPr>
              <w:t>相关提示</w:t>
            </w:r>
          </w:p>
        </w:tc>
        <w:tc>
          <w:tcPr>
            <w:tcW w:w="6542" w:type="dxa"/>
          </w:tcPr>
          <w:p w14:paraId="5D8F5E3D">
            <w:pPr>
              <w:pStyle w:val="12"/>
              <w:ind w:firstLine="0" w:firstLineChars="0"/>
              <w:jc w:val="left"/>
              <w:rPr>
                <w:rFonts w:ascii="宋体" w:hAnsi="宋体"/>
                <w:lang w:eastAsia="en-US" w:bidi="en-US"/>
              </w:rPr>
            </w:pPr>
            <w:r>
              <w:rPr>
                <w:rFonts w:hint="eastAsia" w:ascii="宋体" w:hAnsi="宋体"/>
                <w:lang w:eastAsia="en-US" w:bidi="en-US"/>
              </w:rPr>
              <w:t>由于发起方意向变更，现取消此次竞买预约。</w:t>
            </w:r>
          </w:p>
        </w:tc>
      </w:tr>
    </w:tbl>
    <w:p w14:paraId="4816E68D">
      <w:pPr>
        <w:spacing w:line="600" w:lineRule="exact"/>
        <w:jc w:val="left"/>
        <w:rPr>
          <w:rFonts w:ascii="黑体" w:hAnsi="黑体" w:eastAsia="黑体"/>
          <w:b/>
          <w:sz w:val="44"/>
          <w:szCs w:val="44"/>
        </w:rPr>
      </w:pPr>
    </w:p>
    <w:p w14:paraId="51857F7D">
      <w:pPr>
        <w:widowControl/>
        <w:jc w:val="left"/>
        <w:outlineLvl w:val="1"/>
        <w:rPr>
          <w:rFonts w:ascii="仿宋_GB2312" w:hAnsi="黑体" w:eastAsia="仿宋_GB2312"/>
          <w:b/>
          <w:sz w:val="30"/>
          <w:szCs w:val="30"/>
        </w:rPr>
      </w:pPr>
      <w:bookmarkStart w:id="3962" w:name="_Toc601704926"/>
      <w:bookmarkStart w:id="3963" w:name="_Toc151137089"/>
      <w:bookmarkStart w:id="3964" w:name="_Toc562402491"/>
      <w:bookmarkStart w:id="3965" w:name="_Toc1745425462"/>
      <w:bookmarkStart w:id="3966" w:name="_Toc393053319"/>
      <w:bookmarkStart w:id="3967" w:name="_Toc901093510"/>
      <w:bookmarkStart w:id="3968" w:name="_Toc1024330866"/>
      <w:r>
        <w:rPr>
          <w:rFonts w:hint="eastAsia" w:ascii="仿宋_GB2312" w:hAnsi="黑体" w:eastAsia="仿宋_GB2312"/>
          <w:b/>
          <w:sz w:val="30"/>
          <w:szCs w:val="30"/>
        </w:rPr>
        <w:t>附件6-4 竞买结果提示</w:t>
      </w:r>
      <w:bookmarkEnd w:id="3962"/>
      <w:bookmarkEnd w:id="3963"/>
      <w:bookmarkEnd w:id="3964"/>
      <w:bookmarkEnd w:id="3965"/>
      <w:bookmarkEnd w:id="3966"/>
      <w:bookmarkEnd w:id="3967"/>
      <w:bookmarkEnd w:id="3968"/>
    </w:p>
    <w:p w14:paraId="0913C459">
      <w:pPr>
        <w:spacing w:line="600" w:lineRule="exact"/>
        <w:jc w:val="left"/>
        <w:rPr>
          <w:rFonts w:ascii="仿宋_GB2312" w:eastAsia="仿宋_GB2312"/>
          <w:b/>
          <w:sz w:val="30"/>
          <w:szCs w:val="30"/>
        </w:rPr>
      </w:pPr>
      <w:r>
        <w:rPr>
          <w:rFonts w:hint="eastAsia" w:ascii="仿宋_GB2312" w:eastAsia="仿宋_GB2312"/>
          <w:b/>
          <w:sz w:val="30"/>
          <w:szCs w:val="30"/>
        </w:rPr>
        <w:t>示例四：</w:t>
      </w:r>
    </w:p>
    <w:p w14:paraId="1105BEE6">
      <w:pPr>
        <w:jc w:val="center"/>
        <w:rPr>
          <w:rFonts w:ascii="黑体" w:hAnsi="黑体" w:eastAsia="黑体" w:cs="黑体"/>
          <w:b/>
          <w:sz w:val="44"/>
          <w:szCs w:val="44"/>
        </w:rPr>
      </w:pPr>
      <w:r>
        <w:rPr>
          <w:rFonts w:hint="eastAsia" w:ascii="黑体" w:hAnsi="黑体" w:eastAsia="黑体" w:cs="黑体"/>
          <w:b/>
          <w:sz w:val="44"/>
          <w:szCs w:val="44"/>
        </w:rPr>
        <w:t>{债券简称}（{债券代码}）（预约编号{YYYYMMDD}XXX号）竞买结果的提示</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6429"/>
      </w:tblGrid>
      <w:tr w14:paraId="30A0E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3096B91F">
            <w:pPr>
              <w:pStyle w:val="12"/>
              <w:ind w:firstLine="0" w:firstLineChars="0"/>
              <w:jc w:val="left"/>
              <w:rPr>
                <w:rFonts w:ascii="宋体" w:hAnsi="宋体"/>
                <w:lang w:eastAsia="en-US" w:bidi="en-US"/>
              </w:rPr>
            </w:pPr>
            <w:r>
              <w:rPr>
                <w:rFonts w:hint="eastAsia" w:ascii="宋体" w:hAnsi="宋体"/>
                <w:lang w:eastAsia="en-US" w:bidi="en-US"/>
              </w:rPr>
              <w:t>债券简称</w:t>
            </w:r>
          </w:p>
        </w:tc>
        <w:tc>
          <w:tcPr>
            <w:tcW w:w="6429" w:type="dxa"/>
          </w:tcPr>
          <w:p w14:paraId="1979231C">
            <w:pPr>
              <w:pStyle w:val="12"/>
              <w:ind w:firstLine="0" w:firstLineChars="0"/>
              <w:jc w:val="left"/>
              <w:rPr>
                <w:rFonts w:ascii="宋体" w:hAnsi="宋体" w:cs="宋体"/>
                <w:szCs w:val="21"/>
                <w:lang w:eastAsia="en-US" w:bidi="en-US"/>
              </w:rPr>
            </w:pPr>
          </w:p>
        </w:tc>
      </w:tr>
      <w:tr w14:paraId="47C03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5CF5406D">
            <w:pPr>
              <w:pStyle w:val="12"/>
              <w:ind w:firstLine="0" w:firstLineChars="0"/>
              <w:jc w:val="left"/>
              <w:rPr>
                <w:rFonts w:ascii="宋体" w:hAnsi="宋体"/>
                <w:lang w:eastAsia="en-US" w:bidi="en-US"/>
              </w:rPr>
            </w:pPr>
            <w:r>
              <w:rPr>
                <w:rFonts w:hint="eastAsia" w:ascii="宋体" w:hAnsi="宋体"/>
                <w:lang w:eastAsia="en-US" w:bidi="en-US"/>
              </w:rPr>
              <w:t>债券代码</w:t>
            </w:r>
          </w:p>
        </w:tc>
        <w:tc>
          <w:tcPr>
            <w:tcW w:w="6429" w:type="dxa"/>
          </w:tcPr>
          <w:p w14:paraId="524821D9">
            <w:pPr>
              <w:pStyle w:val="12"/>
              <w:ind w:firstLine="0" w:firstLineChars="0"/>
              <w:jc w:val="left"/>
              <w:rPr>
                <w:rFonts w:ascii="宋体" w:hAnsi="宋体" w:cs="宋体"/>
                <w:szCs w:val="21"/>
                <w:lang w:eastAsia="en-US" w:bidi="en-US"/>
              </w:rPr>
            </w:pPr>
          </w:p>
        </w:tc>
      </w:tr>
      <w:tr w14:paraId="5B4A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553DB0F5">
            <w:pPr>
              <w:pStyle w:val="12"/>
              <w:ind w:firstLine="0" w:firstLineChars="0"/>
              <w:jc w:val="left"/>
              <w:rPr>
                <w:rFonts w:ascii="宋体" w:hAnsi="宋体"/>
                <w:lang w:eastAsia="en-US" w:bidi="en-US"/>
              </w:rPr>
            </w:pPr>
            <w:r>
              <w:rPr>
                <w:rFonts w:hint="eastAsia" w:ascii="宋体" w:hAnsi="宋体"/>
                <w:lang w:eastAsia="en-US" w:bidi="en-US"/>
              </w:rPr>
              <w:t>竞买预约编号</w:t>
            </w:r>
          </w:p>
        </w:tc>
        <w:tc>
          <w:tcPr>
            <w:tcW w:w="6429" w:type="dxa"/>
          </w:tcPr>
          <w:p w14:paraId="3CC52F38">
            <w:pPr>
              <w:pStyle w:val="12"/>
              <w:ind w:firstLine="0" w:firstLineChars="0"/>
              <w:jc w:val="left"/>
              <w:rPr>
                <w:rFonts w:ascii="宋体" w:hAnsi="宋体"/>
                <w:lang w:eastAsia="en-US" w:bidi="en-US"/>
              </w:rPr>
            </w:pPr>
            <w:r>
              <w:rPr>
                <w:rFonts w:ascii="宋体" w:hAnsi="宋体" w:cs="宋体"/>
                <w:szCs w:val="21"/>
                <w:lang w:eastAsia="en-US" w:bidi="en-US"/>
              </w:rPr>
              <w:t>{YYYY</w:t>
            </w:r>
            <w:r>
              <w:rPr>
                <w:rFonts w:hint="eastAsia" w:ascii="宋体" w:hAnsi="宋体" w:cs="宋体"/>
                <w:szCs w:val="21"/>
                <w:lang w:eastAsia="en-US" w:bidi="en-US"/>
              </w:rPr>
              <w:t>MMDD</w:t>
            </w:r>
            <w:r>
              <w:rPr>
                <w:rFonts w:ascii="宋体" w:hAnsi="宋体" w:cs="宋体"/>
                <w:szCs w:val="21"/>
                <w:lang w:eastAsia="en-US" w:bidi="en-US"/>
              </w:rPr>
              <w:t>}</w:t>
            </w:r>
            <w:r>
              <w:rPr>
                <w:rFonts w:hint="eastAsia" w:ascii="宋体" w:hAnsi="宋体" w:cs="宋体"/>
                <w:szCs w:val="21"/>
                <w:lang w:eastAsia="en-US" w:bidi="en-US"/>
              </w:rPr>
              <w:t>XXX号</w:t>
            </w:r>
          </w:p>
        </w:tc>
      </w:tr>
      <w:tr w14:paraId="1DB1E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62C9FFC0">
            <w:pPr>
              <w:pStyle w:val="12"/>
              <w:ind w:firstLine="0" w:firstLineChars="0"/>
              <w:jc w:val="left"/>
              <w:rPr>
                <w:rFonts w:ascii="宋体" w:hAnsi="宋体"/>
                <w:lang w:eastAsia="en-US" w:bidi="en-US"/>
              </w:rPr>
            </w:pPr>
            <w:r>
              <w:rPr>
                <w:rFonts w:hint="eastAsia" w:ascii="宋体" w:hAnsi="宋体"/>
                <w:lang w:eastAsia="en-US" w:bidi="en-US"/>
              </w:rPr>
              <w:t>竞买方式</w:t>
            </w:r>
          </w:p>
        </w:tc>
        <w:tc>
          <w:tcPr>
            <w:tcW w:w="6429" w:type="dxa"/>
          </w:tcPr>
          <w:p w14:paraId="1C72679E">
            <w:pPr>
              <w:pStyle w:val="12"/>
              <w:ind w:firstLine="0" w:firstLineChars="0"/>
              <w:jc w:val="left"/>
              <w:rPr>
                <w:rFonts w:ascii="宋体" w:hAnsi="宋体"/>
                <w:lang w:eastAsia="en-US" w:bidi="en-US"/>
              </w:rPr>
            </w:pPr>
            <w:r>
              <w:rPr>
                <w:rFonts w:hint="eastAsia" w:ascii="宋体" w:hAnsi="宋体"/>
                <w:lang w:eastAsia="en-US" w:bidi="en-US"/>
              </w:rPr>
              <w:t>单一主体中标</w:t>
            </w:r>
          </w:p>
        </w:tc>
      </w:tr>
      <w:tr w14:paraId="381DF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6D15902E">
            <w:pPr>
              <w:pStyle w:val="12"/>
              <w:ind w:firstLine="0" w:firstLineChars="0"/>
              <w:jc w:val="left"/>
              <w:rPr>
                <w:rFonts w:ascii="宋体" w:hAnsi="宋体"/>
                <w:lang w:eastAsia="en-US" w:bidi="en-US"/>
              </w:rPr>
            </w:pPr>
            <w:r>
              <w:rPr>
                <w:rFonts w:hint="eastAsia" w:ascii="宋体" w:hAnsi="宋体"/>
                <w:lang w:eastAsia="en-US" w:bidi="en-US"/>
              </w:rPr>
              <w:t>底价（元）</w:t>
            </w:r>
          </w:p>
        </w:tc>
        <w:tc>
          <w:tcPr>
            <w:tcW w:w="6429" w:type="dxa"/>
          </w:tcPr>
          <w:p w14:paraId="0DF8397A">
            <w:pPr>
              <w:pStyle w:val="12"/>
              <w:ind w:firstLine="0" w:firstLineChars="0"/>
              <w:jc w:val="left"/>
              <w:rPr>
                <w:rFonts w:ascii="宋体" w:hAnsi="宋体"/>
                <w:lang w:eastAsia="en-US" w:bidi="en-US"/>
              </w:rPr>
            </w:pPr>
            <w:r>
              <w:rPr>
                <w:rFonts w:hint="eastAsia" w:ascii="宋体" w:hAnsi="宋体"/>
                <w:lang w:eastAsia="en-US" w:bidi="en-US"/>
              </w:rPr>
              <w:t>XX.XXX</w:t>
            </w:r>
          </w:p>
        </w:tc>
      </w:tr>
      <w:tr w14:paraId="46662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2F3E5CF2">
            <w:pPr>
              <w:pStyle w:val="12"/>
              <w:ind w:firstLine="0" w:firstLineChars="0"/>
              <w:jc w:val="left"/>
              <w:rPr>
                <w:rFonts w:ascii="宋体" w:hAnsi="宋体"/>
                <w:lang w:eastAsia="en-US" w:bidi="en-US"/>
              </w:rPr>
            </w:pPr>
            <w:r>
              <w:rPr>
                <w:rFonts w:hint="eastAsia" w:ascii="宋体" w:hAnsi="宋体"/>
                <w:lang w:eastAsia="en-US" w:bidi="en-US"/>
              </w:rPr>
              <w:t>竞买数量（千元面额）</w:t>
            </w:r>
          </w:p>
        </w:tc>
        <w:tc>
          <w:tcPr>
            <w:tcW w:w="6429" w:type="dxa"/>
          </w:tcPr>
          <w:p w14:paraId="077EE838">
            <w:pPr>
              <w:pStyle w:val="12"/>
              <w:ind w:firstLine="0" w:firstLineChars="0"/>
              <w:jc w:val="left"/>
              <w:rPr>
                <w:rFonts w:ascii="宋体" w:hAnsi="宋体"/>
                <w:lang w:eastAsia="en-US" w:bidi="en-US"/>
              </w:rPr>
            </w:pPr>
            <w:r>
              <w:rPr>
                <w:rFonts w:hint="eastAsia" w:ascii="宋体" w:hAnsi="宋体"/>
                <w:lang w:eastAsia="en-US" w:bidi="en-US"/>
              </w:rPr>
              <w:t>XXXX</w:t>
            </w:r>
          </w:p>
        </w:tc>
      </w:tr>
      <w:tr w14:paraId="150F2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778E5C0C">
            <w:pPr>
              <w:pStyle w:val="12"/>
              <w:ind w:firstLine="0" w:firstLineChars="0"/>
              <w:jc w:val="left"/>
              <w:rPr>
                <w:rFonts w:ascii="宋体" w:hAnsi="宋体"/>
                <w:lang w:eastAsia="en-US" w:bidi="en-US"/>
              </w:rPr>
            </w:pPr>
            <w:r>
              <w:rPr>
                <w:rFonts w:hint="eastAsia" w:ascii="宋体" w:hAnsi="宋体"/>
                <w:lang w:eastAsia="en-US" w:bidi="en-US"/>
              </w:rPr>
              <w:t>发起方</w:t>
            </w:r>
          </w:p>
        </w:tc>
        <w:tc>
          <w:tcPr>
            <w:tcW w:w="6429" w:type="dxa"/>
          </w:tcPr>
          <w:p w14:paraId="36AB8ECC">
            <w:pPr>
              <w:pStyle w:val="12"/>
              <w:ind w:firstLine="0" w:firstLineChars="0"/>
              <w:jc w:val="left"/>
              <w:rPr>
                <w:rFonts w:ascii="宋体" w:hAnsi="宋体"/>
                <w:lang w:eastAsia="en-US" w:bidi="en-US"/>
              </w:rPr>
            </w:pPr>
            <w:r>
              <w:rPr>
                <w:rFonts w:hint="eastAsia" w:ascii="宋体" w:hAnsi="宋体"/>
                <w:lang w:eastAsia="en-US" w:bidi="en-US"/>
              </w:rPr>
              <w:t>交易参与人简称，可为匿名</w:t>
            </w:r>
          </w:p>
        </w:tc>
      </w:tr>
      <w:tr w14:paraId="6527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6E552743">
            <w:pPr>
              <w:pStyle w:val="12"/>
              <w:ind w:firstLine="0" w:firstLineChars="0"/>
              <w:jc w:val="left"/>
              <w:rPr>
                <w:rFonts w:ascii="宋体" w:hAnsi="宋体"/>
                <w:lang w:eastAsia="en-US" w:bidi="en-US"/>
              </w:rPr>
            </w:pPr>
            <w:r>
              <w:rPr>
                <w:rFonts w:hint="eastAsia" w:ascii="宋体" w:hAnsi="宋体"/>
                <w:lang w:eastAsia="en-US" w:bidi="en-US"/>
              </w:rPr>
              <w:t>竞买日</w:t>
            </w:r>
          </w:p>
        </w:tc>
        <w:tc>
          <w:tcPr>
            <w:tcW w:w="6429" w:type="dxa"/>
          </w:tcPr>
          <w:p w14:paraId="7C9CD1AA">
            <w:pPr>
              <w:pStyle w:val="12"/>
              <w:ind w:firstLine="0" w:firstLineChars="0"/>
              <w:jc w:val="left"/>
              <w:rPr>
                <w:rFonts w:ascii="宋体" w:hAnsi="宋体"/>
                <w:lang w:eastAsia="en-US" w:bidi="en-US"/>
              </w:rPr>
            </w:pPr>
            <w:r>
              <w:rPr>
                <w:rFonts w:ascii="宋体" w:hAnsi="宋体" w:cs="宋体"/>
                <w:szCs w:val="21"/>
                <w:lang w:eastAsia="en-US" w:bidi="en-US"/>
              </w:rPr>
              <w:t>{YYYY}</w:t>
            </w:r>
            <w:r>
              <w:rPr>
                <w:rFonts w:hint="eastAsia" w:ascii="宋体" w:hAnsi="宋体" w:cs="宋体"/>
                <w:szCs w:val="21"/>
                <w:lang w:eastAsia="en-US" w:bidi="en-US"/>
              </w:rPr>
              <w:t>年</w:t>
            </w:r>
            <w:r>
              <w:rPr>
                <w:rFonts w:ascii="宋体" w:hAnsi="宋体" w:cs="宋体"/>
                <w:szCs w:val="21"/>
                <w:lang w:eastAsia="en-US" w:bidi="en-US"/>
              </w:rPr>
              <w:t>{MM}</w:t>
            </w:r>
            <w:r>
              <w:rPr>
                <w:rFonts w:hint="eastAsia" w:ascii="宋体" w:hAnsi="宋体" w:cs="宋体"/>
                <w:szCs w:val="21"/>
                <w:lang w:eastAsia="en-US" w:bidi="en-US"/>
              </w:rPr>
              <w:t>月</w:t>
            </w:r>
            <w:r>
              <w:rPr>
                <w:rFonts w:ascii="宋体" w:hAnsi="宋体" w:cs="宋体"/>
                <w:szCs w:val="21"/>
                <w:lang w:eastAsia="en-US" w:bidi="en-US"/>
              </w:rPr>
              <w:t>{DD}</w:t>
            </w:r>
            <w:r>
              <w:rPr>
                <w:rFonts w:hint="eastAsia" w:ascii="宋体" w:hAnsi="宋体" w:cs="宋体"/>
                <w:szCs w:val="21"/>
                <w:lang w:eastAsia="en-US" w:bidi="en-US"/>
              </w:rPr>
              <w:t>日</w:t>
            </w:r>
          </w:p>
        </w:tc>
      </w:tr>
      <w:tr w14:paraId="414C7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7B77CA0B">
            <w:pPr>
              <w:pStyle w:val="12"/>
              <w:ind w:firstLine="0" w:firstLineChars="0"/>
              <w:jc w:val="left"/>
              <w:rPr>
                <w:rFonts w:ascii="宋体" w:hAnsi="宋体"/>
                <w:lang w:eastAsia="en-US" w:bidi="en-US"/>
              </w:rPr>
            </w:pPr>
            <w:r>
              <w:rPr>
                <w:rFonts w:hint="eastAsia" w:ascii="宋体" w:hAnsi="宋体"/>
                <w:lang w:eastAsia="en-US" w:bidi="en-US"/>
              </w:rPr>
              <w:t>结算方式</w:t>
            </w:r>
          </w:p>
        </w:tc>
        <w:tc>
          <w:tcPr>
            <w:tcW w:w="6429" w:type="dxa"/>
          </w:tcPr>
          <w:p w14:paraId="77766332">
            <w:pPr>
              <w:pStyle w:val="12"/>
              <w:ind w:firstLine="0" w:firstLineChars="0"/>
              <w:jc w:val="left"/>
              <w:rPr>
                <w:rFonts w:ascii="宋体" w:hAnsi="宋体"/>
                <w:lang w:eastAsia="en-US" w:bidi="en-US"/>
              </w:rPr>
            </w:pPr>
            <w:r>
              <w:rPr>
                <w:rFonts w:hint="eastAsia" w:ascii="宋体" w:hAnsi="宋体"/>
                <w:lang w:eastAsia="en-US" w:bidi="en-US"/>
              </w:rPr>
              <w:t>多边净额/逐笔全额（分别</w:t>
            </w:r>
            <w:r>
              <w:rPr>
                <w:rFonts w:ascii="宋体" w:hAnsi="宋体"/>
                <w:lang w:eastAsia="en-US" w:bidi="en-US"/>
              </w:rPr>
              <w:t>对应净额结算</w:t>
            </w:r>
            <w:r>
              <w:rPr>
                <w:rFonts w:hint="eastAsia" w:ascii="宋体" w:hAnsi="宋体"/>
                <w:lang w:eastAsia="en-US" w:bidi="en-US"/>
              </w:rPr>
              <w:t>/RTGS）</w:t>
            </w:r>
          </w:p>
        </w:tc>
      </w:tr>
      <w:tr w14:paraId="714E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019E7FD3">
            <w:pPr>
              <w:pStyle w:val="12"/>
              <w:ind w:firstLine="0" w:firstLineChars="0"/>
              <w:jc w:val="left"/>
              <w:rPr>
                <w:rFonts w:ascii="宋体" w:hAnsi="宋体"/>
                <w:lang w:eastAsia="en-US" w:bidi="en-US"/>
              </w:rPr>
            </w:pPr>
            <w:r>
              <w:rPr>
                <w:rFonts w:hint="eastAsia" w:ascii="宋体" w:hAnsi="宋体"/>
                <w:lang w:eastAsia="en-US" w:bidi="en-US"/>
              </w:rPr>
              <w:t>结算速度</w:t>
            </w:r>
          </w:p>
        </w:tc>
        <w:tc>
          <w:tcPr>
            <w:tcW w:w="6429" w:type="dxa"/>
          </w:tcPr>
          <w:p w14:paraId="4EB8F236">
            <w:pPr>
              <w:pStyle w:val="12"/>
              <w:ind w:firstLine="0" w:firstLineChars="0"/>
              <w:jc w:val="left"/>
              <w:rPr>
                <w:rFonts w:ascii="宋体" w:hAnsi="宋体"/>
                <w:lang w:eastAsia="en-US" w:bidi="en-US"/>
              </w:rPr>
            </w:pPr>
            <w:r>
              <w:rPr>
                <w:rFonts w:hint="eastAsia" w:ascii="宋体" w:hAnsi="宋体"/>
                <w:lang w:eastAsia="en-US" w:bidi="en-US"/>
              </w:rPr>
              <w:t>T+0/T+1</w:t>
            </w:r>
            <w:r>
              <w:rPr>
                <w:rFonts w:ascii="宋体" w:hAnsi="宋体"/>
                <w:lang w:eastAsia="en-US" w:bidi="en-US"/>
              </w:rPr>
              <w:t xml:space="preserve"> </w:t>
            </w:r>
            <w:r>
              <w:rPr>
                <w:rFonts w:hint="eastAsia" w:ascii="宋体" w:hAnsi="宋体"/>
                <w:lang w:eastAsia="en-US" w:bidi="en-US"/>
              </w:rPr>
              <w:t>（</w:t>
            </w:r>
            <w:r>
              <w:rPr>
                <w:rFonts w:ascii="宋体" w:hAnsi="宋体"/>
                <w:lang w:eastAsia="en-US" w:bidi="en-US"/>
              </w:rPr>
              <w:t>净额结算显示</w:t>
            </w:r>
            <w:r>
              <w:rPr>
                <w:rFonts w:hint="eastAsia" w:ascii="宋体" w:hAnsi="宋体"/>
                <w:lang w:eastAsia="en-US" w:bidi="en-US"/>
              </w:rPr>
              <w:t>T+1，</w:t>
            </w:r>
            <w:r>
              <w:rPr>
                <w:rFonts w:ascii="宋体" w:hAnsi="宋体"/>
                <w:lang w:eastAsia="en-US" w:bidi="en-US"/>
              </w:rPr>
              <w:t>逐笔全额显示</w:t>
            </w:r>
            <w:r>
              <w:rPr>
                <w:rFonts w:hint="eastAsia" w:ascii="宋体" w:hAnsi="宋体"/>
                <w:lang w:eastAsia="en-US" w:bidi="en-US"/>
              </w:rPr>
              <w:t>T+0）</w:t>
            </w:r>
          </w:p>
        </w:tc>
      </w:tr>
      <w:tr w14:paraId="37248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660EC6F0">
            <w:pPr>
              <w:pStyle w:val="12"/>
              <w:ind w:firstLine="0" w:firstLineChars="0"/>
              <w:jc w:val="left"/>
              <w:rPr>
                <w:rFonts w:ascii="宋体" w:hAnsi="宋体"/>
                <w:lang w:eastAsia="en-US" w:bidi="en-US"/>
              </w:rPr>
            </w:pPr>
            <w:r>
              <w:rPr>
                <w:rFonts w:hint="eastAsia" w:ascii="宋体" w:hAnsi="宋体"/>
                <w:lang w:eastAsia="en-US" w:bidi="en-US"/>
              </w:rPr>
              <w:t>中标方</w:t>
            </w:r>
          </w:p>
        </w:tc>
        <w:tc>
          <w:tcPr>
            <w:tcW w:w="6429" w:type="dxa"/>
          </w:tcPr>
          <w:p w14:paraId="2FF786CD">
            <w:pPr>
              <w:pStyle w:val="12"/>
              <w:ind w:firstLine="0" w:firstLineChars="0"/>
              <w:jc w:val="left"/>
              <w:rPr>
                <w:rFonts w:ascii="宋体" w:hAnsi="宋体"/>
                <w:lang w:eastAsia="en-US" w:bidi="en-US"/>
              </w:rPr>
            </w:pPr>
            <w:r>
              <w:rPr>
                <w:rFonts w:hint="eastAsia" w:ascii="宋体" w:hAnsi="宋体"/>
                <w:lang w:eastAsia="en-US" w:bidi="en-US"/>
              </w:rPr>
              <w:t>交易参与人简称，可为匿名</w:t>
            </w:r>
          </w:p>
        </w:tc>
      </w:tr>
      <w:tr w14:paraId="558A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2BBD4924">
            <w:pPr>
              <w:pStyle w:val="12"/>
              <w:ind w:firstLine="0" w:firstLineChars="0"/>
              <w:jc w:val="left"/>
              <w:rPr>
                <w:rFonts w:ascii="宋体" w:hAnsi="宋体"/>
                <w:lang w:eastAsia="en-US" w:bidi="en-US"/>
              </w:rPr>
            </w:pPr>
            <w:r>
              <w:rPr>
                <w:rFonts w:hint="eastAsia" w:ascii="宋体" w:hAnsi="宋体"/>
                <w:lang w:eastAsia="en-US" w:bidi="en-US"/>
              </w:rPr>
              <w:t>中标价格（元）</w:t>
            </w:r>
          </w:p>
        </w:tc>
        <w:tc>
          <w:tcPr>
            <w:tcW w:w="6429" w:type="dxa"/>
          </w:tcPr>
          <w:p w14:paraId="5D4F5B39">
            <w:pPr>
              <w:pStyle w:val="12"/>
              <w:ind w:firstLine="0" w:firstLineChars="0"/>
              <w:jc w:val="left"/>
              <w:rPr>
                <w:rFonts w:ascii="宋体" w:hAnsi="宋体"/>
                <w:lang w:eastAsia="en-US" w:bidi="en-US"/>
              </w:rPr>
            </w:pPr>
            <w:r>
              <w:rPr>
                <w:rFonts w:hint="eastAsia" w:ascii="宋体" w:hAnsi="宋体" w:cs="宋体"/>
                <w:szCs w:val="21"/>
                <w:lang w:eastAsia="en-US" w:bidi="en-US"/>
              </w:rPr>
              <w:t>XX.XXX</w:t>
            </w:r>
          </w:p>
        </w:tc>
      </w:tr>
      <w:tr w14:paraId="2ED2A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0AE628A1">
            <w:pPr>
              <w:pStyle w:val="12"/>
              <w:ind w:firstLine="0" w:firstLineChars="0"/>
              <w:jc w:val="left"/>
              <w:rPr>
                <w:rFonts w:ascii="宋体" w:hAnsi="宋体"/>
                <w:lang w:eastAsia="en-US" w:bidi="en-US"/>
              </w:rPr>
            </w:pPr>
            <w:r>
              <w:rPr>
                <w:rFonts w:hint="eastAsia" w:ascii="宋体" w:hAnsi="宋体"/>
                <w:lang w:eastAsia="en-US" w:bidi="en-US"/>
              </w:rPr>
              <w:t>中标数量（千元面额）</w:t>
            </w:r>
          </w:p>
        </w:tc>
        <w:tc>
          <w:tcPr>
            <w:tcW w:w="6429" w:type="dxa"/>
          </w:tcPr>
          <w:p w14:paraId="48E8110B">
            <w:pPr>
              <w:pStyle w:val="12"/>
              <w:ind w:firstLine="0" w:firstLineChars="0"/>
              <w:jc w:val="left"/>
              <w:rPr>
                <w:rFonts w:ascii="宋体" w:hAnsi="宋体"/>
                <w:lang w:eastAsia="en-US" w:bidi="en-US"/>
              </w:rPr>
            </w:pPr>
            <w:r>
              <w:rPr>
                <w:rFonts w:hint="eastAsia" w:ascii="宋体" w:hAnsi="宋体"/>
                <w:lang w:eastAsia="en-US" w:bidi="en-US"/>
              </w:rPr>
              <w:t>XXXX</w:t>
            </w:r>
          </w:p>
        </w:tc>
      </w:tr>
    </w:tbl>
    <w:p w14:paraId="40F0BE2B">
      <w:pPr>
        <w:ind w:firstLine="600" w:firstLineChars="200"/>
        <w:jc w:val="right"/>
        <w:rPr>
          <w:rFonts w:ascii="仿宋_GB2312" w:hAnsi="仿宋" w:eastAsia="仿宋_GB2312"/>
          <w:sz w:val="30"/>
          <w:szCs w:val="30"/>
        </w:rPr>
      </w:pPr>
    </w:p>
    <w:p w14:paraId="3FE34DEC">
      <w:pPr>
        <w:spacing w:line="600" w:lineRule="exact"/>
        <w:ind w:firstLine="480"/>
        <w:rPr>
          <w:rFonts w:ascii="宋体" w:hAnsi="宋体"/>
          <w:sz w:val="24"/>
          <w:szCs w:val="24"/>
        </w:rPr>
      </w:pPr>
    </w:p>
    <w:p w14:paraId="6E6C30F7">
      <w:pPr>
        <w:widowControl/>
        <w:jc w:val="left"/>
        <w:outlineLvl w:val="1"/>
        <w:rPr>
          <w:rFonts w:ascii="黑体" w:hAnsi="黑体"/>
          <w:b/>
          <w:sz w:val="44"/>
          <w:szCs w:val="44"/>
        </w:rPr>
      </w:pPr>
      <w:r>
        <w:rPr>
          <w:rFonts w:ascii="黑体" w:hAnsi="黑体"/>
          <w:b/>
          <w:sz w:val="44"/>
          <w:szCs w:val="44"/>
        </w:rPr>
        <w:br w:type="page"/>
      </w:r>
      <w:bookmarkStart w:id="3969" w:name="_Toc151137090"/>
      <w:bookmarkStart w:id="3970" w:name="_Toc592382684"/>
      <w:bookmarkStart w:id="3971" w:name="_Toc1381061948"/>
      <w:bookmarkStart w:id="3972" w:name="_Toc219162137"/>
      <w:bookmarkStart w:id="3973" w:name="_Toc1829713231"/>
      <w:bookmarkStart w:id="3974" w:name="_Toc976245196"/>
      <w:bookmarkStart w:id="3975" w:name="_Toc67792459"/>
      <w:r>
        <w:rPr>
          <w:rFonts w:hint="eastAsia" w:ascii="仿宋_GB2312" w:hAnsi="黑体" w:eastAsia="仿宋_GB2312"/>
          <w:b/>
          <w:sz w:val="30"/>
          <w:szCs w:val="30"/>
        </w:rPr>
        <w:t>附件7 做市交易业务技术测试和专项检查申请</w:t>
      </w:r>
      <w:r>
        <w:rPr>
          <w:rFonts w:hint="eastAsia" w:ascii="仿宋_GB2312" w:eastAsia="仿宋_GB2312"/>
          <w:b/>
          <w:sz w:val="30"/>
          <w:szCs w:val="30"/>
        </w:rPr>
        <w:t>书</w:t>
      </w:r>
      <w:bookmarkEnd w:id="3969"/>
      <w:bookmarkEnd w:id="3970"/>
      <w:bookmarkEnd w:id="3971"/>
      <w:bookmarkEnd w:id="3972"/>
      <w:bookmarkEnd w:id="3973"/>
      <w:bookmarkEnd w:id="3974"/>
      <w:bookmarkEnd w:id="3975"/>
    </w:p>
    <w:p w14:paraId="2F043802">
      <w:pPr>
        <w:jc w:val="center"/>
        <w:rPr>
          <w:rFonts w:ascii="黑体" w:hAnsi="黑体" w:eastAsia="黑体"/>
          <w:b/>
          <w:sz w:val="44"/>
          <w:szCs w:val="44"/>
        </w:rPr>
      </w:pPr>
    </w:p>
    <w:p w14:paraId="1D8E134F">
      <w:pPr>
        <w:jc w:val="center"/>
        <w:rPr>
          <w:rFonts w:ascii="黑体" w:hAnsi="黑体" w:eastAsia="黑体"/>
          <w:b/>
          <w:sz w:val="44"/>
          <w:szCs w:val="44"/>
        </w:rPr>
      </w:pPr>
      <w:r>
        <w:rPr>
          <w:rFonts w:ascii="黑体" w:hAnsi="黑体" w:eastAsia="黑体"/>
          <w:b/>
          <w:sz w:val="44"/>
          <w:szCs w:val="44"/>
        </w:rPr>
        <w:t>XX公司关于申请上海证券交易所</w:t>
      </w:r>
      <w:r>
        <w:rPr>
          <w:rFonts w:hint="eastAsia" w:ascii="黑体" w:hAnsi="黑体" w:eastAsia="黑体"/>
          <w:b/>
          <w:sz w:val="44"/>
          <w:szCs w:val="44"/>
        </w:rPr>
        <w:t>债券做市交易业务技术测试和专项检查的函</w:t>
      </w:r>
    </w:p>
    <w:p w14:paraId="1FA12302">
      <w:pPr>
        <w:rPr>
          <w:rFonts w:ascii="仿宋_GB2312" w:eastAsia="仿宋_GB2312"/>
          <w:szCs w:val="28"/>
        </w:rPr>
      </w:pPr>
    </w:p>
    <w:p w14:paraId="21B27BCF">
      <w:pPr>
        <w:rPr>
          <w:rFonts w:ascii="仿宋_GB2312" w:eastAsia="仿宋_GB2312"/>
          <w:sz w:val="32"/>
          <w:szCs w:val="44"/>
        </w:rPr>
      </w:pPr>
      <w:r>
        <w:rPr>
          <w:rFonts w:hint="eastAsia" w:ascii="仿宋_GB2312" w:eastAsia="仿宋_GB2312"/>
          <w:sz w:val="32"/>
          <w:szCs w:val="44"/>
        </w:rPr>
        <w:t>上海证券交易所：</w:t>
      </w:r>
    </w:p>
    <w:p w14:paraId="6968AA96">
      <w:pPr>
        <w:ind w:firstLine="640" w:firstLineChars="200"/>
        <w:rPr>
          <w:rFonts w:ascii="仿宋_GB2312" w:eastAsia="仿宋_GB2312"/>
          <w:sz w:val="32"/>
          <w:szCs w:val="44"/>
        </w:rPr>
      </w:pPr>
      <w:r>
        <w:rPr>
          <w:rFonts w:hint="eastAsia" w:ascii="仿宋_GB2312" w:eastAsia="仿宋_GB2312"/>
          <w:sz w:val="32"/>
          <w:szCs w:val="44"/>
        </w:rPr>
        <w:t>根据《上海证券交易所债券交易规则》《上海证券交易所债券交易规则适用指引第3号——债券做市业务》等相关规定，我司向贵所申请债券做市交易业务技术测试和专项检查。我司符合开展债券做市交易业务的基本条件，并已做好相关准备工作，特向贵所申请债券做市交易业务技术测试和专项检查。</w:t>
      </w:r>
    </w:p>
    <w:p w14:paraId="3726E7FA">
      <w:pPr>
        <w:ind w:firstLine="640" w:firstLineChars="200"/>
        <w:rPr>
          <w:rFonts w:ascii="仿宋_GB2312" w:eastAsia="仿宋_GB2312"/>
          <w:sz w:val="32"/>
          <w:szCs w:val="44"/>
        </w:rPr>
      </w:pPr>
      <w:r>
        <w:rPr>
          <w:rFonts w:hint="eastAsia" w:ascii="仿宋_GB2312" w:eastAsia="仿宋_GB2312"/>
          <w:sz w:val="32"/>
          <w:szCs w:val="44"/>
        </w:rPr>
        <w:t>我司承诺提交的申请材料内容真实、准确、完整，如存在虚假记载、误导性陈述或重大遗漏，将承担相关法律责任。</w:t>
      </w:r>
    </w:p>
    <w:p w14:paraId="5F82B245">
      <w:pPr>
        <w:ind w:firstLine="640" w:firstLineChars="200"/>
        <w:rPr>
          <w:rFonts w:ascii="仿宋_GB2312" w:eastAsia="仿宋_GB2312"/>
          <w:sz w:val="32"/>
          <w:szCs w:val="44"/>
        </w:rPr>
      </w:pPr>
      <w:r>
        <w:rPr>
          <w:rFonts w:hint="eastAsia" w:ascii="仿宋_GB2312" w:eastAsia="仿宋_GB2312"/>
          <w:sz w:val="32"/>
          <w:szCs w:val="44"/>
        </w:rPr>
        <w:t>特此致函。</w:t>
      </w:r>
    </w:p>
    <w:p w14:paraId="39E63FA6">
      <w:pPr>
        <w:ind w:firstLine="640" w:firstLineChars="200"/>
        <w:rPr>
          <w:rFonts w:ascii="仿宋_GB2312" w:eastAsia="仿宋_GB2312"/>
          <w:sz w:val="32"/>
          <w:szCs w:val="44"/>
        </w:rPr>
      </w:pPr>
    </w:p>
    <w:p w14:paraId="4DA5D90C">
      <w:pPr>
        <w:ind w:firstLine="640" w:firstLineChars="200"/>
        <w:jc w:val="right"/>
        <w:rPr>
          <w:rFonts w:ascii="仿宋_GB2312" w:eastAsia="仿宋_GB2312"/>
          <w:sz w:val="32"/>
          <w:szCs w:val="44"/>
        </w:rPr>
      </w:pPr>
      <w:r>
        <w:rPr>
          <w:rFonts w:hint="eastAsia" w:ascii="仿宋_GB2312" w:eastAsia="仿宋_GB2312"/>
          <w:sz w:val="32"/>
          <w:szCs w:val="44"/>
        </w:rPr>
        <w:t>XX公司（盖章）</w:t>
      </w:r>
    </w:p>
    <w:p w14:paraId="668833D7">
      <w:pPr>
        <w:ind w:firstLine="640" w:firstLineChars="200"/>
        <w:jc w:val="right"/>
        <w:rPr>
          <w:rFonts w:ascii="仿宋_GB2312" w:eastAsia="仿宋_GB2312"/>
          <w:sz w:val="32"/>
          <w:szCs w:val="44"/>
        </w:rPr>
      </w:pPr>
      <w:r>
        <w:rPr>
          <w:rFonts w:hint="eastAsia" w:ascii="仿宋_GB2312" w:eastAsia="仿宋_GB2312"/>
          <w:sz w:val="32"/>
          <w:szCs w:val="44"/>
        </w:rPr>
        <w:t>XX年XX月XX日</w:t>
      </w:r>
    </w:p>
    <w:p w14:paraId="3DBEAE72">
      <w:pPr>
        <w:widowControl/>
        <w:jc w:val="left"/>
        <w:rPr>
          <w:rFonts w:ascii="黑体" w:hAnsi="黑体" w:eastAsia="黑体"/>
          <w:b/>
          <w:sz w:val="36"/>
          <w:szCs w:val="36"/>
        </w:rPr>
      </w:pPr>
    </w:p>
    <w:p w14:paraId="1DC8C663">
      <w:pPr>
        <w:widowControl/>
        <w:jc w:val="left"/>
        <w:rPr>
          <w:rFonts w:ascii="黑体" w:hAnsi="黑体"/>
          <w:b/>
          <w:sz w:val="44"/>
          <w:szCs w:val="44"/>
        </w:rPr>
      </w:pPr>
      <w:r>
        <w:rPr>
          <w:rFonts w:ascii="黑体" w:hAnsi="黑体"/>
          <w:b/>
          <w:sz w:val="44"/>
          <w:szCs w:val="44"/>
        </w:rPr>
        <w:br w:type="page"/>
      </w:r>
    </w:p>
    <w:p w14:paraId="32B02404">
      <w:pPr>
        <w:widowControl/>
        <w:jc w:val="left"/>
        <w:outlineLvl w:val="1"/>
        <w:rPr>
          <w:rFonts w:ascii="仿宋_GB2312" w:hAnsi="黑体" w:eastAsia="仿宋_GB2312"/>
          <w:b/>
          <w:sz w:val="30"/>
          <w:szCs w:val="30"/>
        </w:rPr>
      </w:pPr>
      <w:bookmarkStart w:id="3976" w:name="_Toc1728415410"/>
      <w:bookmarkStart w:id="3977" w:name="_Toc1830767904"/>
      <w:bookmarkStart w:id="3978" w:name="_Toc1354130410"/>
      <w:bookmarkStart w:id="3979" w:name="_Toc88643358"/>
      <w:bookmarkStart w:id="3980" w:name="_Toc151137091"/>
      <w:bookmarkStart w:id="3981" w:name="_Toc395554747"/>
      <w:bookmarkStart w:id="3982" w:name="_Toc280398176"/>
      <w:r>
        <w:rPr>
          <w:rFonts w:hint="eastAsia" w:ascii="仿宋_GB2312" w:hAnsi="黑体" w:eastAsia="仿宋_GB2312"/>
          <w:b/>
          <w:sz w:val="30"/>
          <w:szCs w:val="30"/>
        </w:rPr>
        <w:t>附件8 做市交易业务实施方案与管理制度必备要点</w:t>
      </w:r>
      <w:bookmarkEnd w:id="3976"/>
      <w:bookmarkEnd w:id="3977"/>
      <w:bookmarkEnd w:id="3978"/>
      <w:bookmarkEnd w:id="3979"/>
      <w:bookmarkEnd w:id="3980"/>
      <w:bookmarkEnd w:id="3981"/>
      <w:bookmarkEnd w:id="3982"/>
    </w:p>
    <w:tbl>
      <w:tblPr>
        <w:tblStyle w:val="43"/>
        <w:tblW w:w="55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2409"/>
        <w:gridCol w:w="6202"/>
      </w:tblGrid>
      <w:tr w14:paraId="7D66D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2F5A1C16">
            <w:pPr>
              <w:widowControl/>
              <w:spacing w:line="360" w:lineRule="auto"/>
              <w:jc w:val="center"/>
              <w:rPr>
                <w:rFonts w:eastAsia="仿宋_GB2312"/>
                <w:sz w:val="24"/>
                <w:szCs w:val="28"/>
              </w:rPr>
            </w:pPr>
          </w:p>
        </w:tc>
        <w:tc>
          <w:tcPr>
            <w:tcW w:w="1278" w:type="pct"/>
            <w:tcBorders>
              <w:top w:val="single" w:color="auto" w:sz="4" w:space="0"/>
              <w:left w:val="single" w:color="auto" w:sz="4" w:space="0"/>
              <w:bottom w:val="single" w:color="auto" w:sz="4" w:space="0"/>
              <w:right w:val="single" w:color="auto" w:sz="4" w:space="0"/>
            </w:tcBorders>
            <w:vAlign w:val="center"/>
          </w:tcPr>
          <w:p w14:paraId="28BA90F1">
            <w:pPr>
              <w:widowControl/>
              <w:spacing w:line="360" w:lineRule="auto"/>
              <w:jc w:val="center"/>
              <w:rPr>
                <w:rFonts w:eastAsia="仿宋_GB2312"/>
                <w:sz w:val="24"/>
                <w:szCs w:val="28"/>
              </w:rPr>
            </w:pPr>
            <w:r>
              <w:rPr>
                <w:rFonts w:hint="eastAsia" w:eastAsia="仿宋_GB2312"/>
                <w:sz w:val="24"/>
                <w:szCs w:val="28"/>
              </w:rPr>
              <w:t>必备章节</w:t>
            </w:r>
          </w:p>
        </w:tc>
        <w:tc>
          <w:tcPr>
            <w:tcW w:w="3290" w:type="pct"/>
            <w:tcBorders>
              <w:top w:val="single" w:color="auto" w:sz="4" w:space="0"/>
              <w:left w:val="single" w:color="auto" w:sz="4" w:space="0"/>
              <w:bottom w:val="single" w:color="auto" w:sz="4" w:space="0"/>
              <w:right w:val="single" w:color="auto" w:sz="4" w:space="0"/>
            </w:tcBorders>
            <w:vAlign w:val="center"/>
          </w:tcPr>
          <w:p w14:paraId="72276635">
            <w:pPr>
              <w:widowControl/>
              <w:spacing w:line="360" w:lineRule="auto"/>
              <w:jc w:val="center"/>
              <w:rPr>
                <w:rFonts w:eastAsia="仿宋_GB2312"/>
                <w:sz w:val="24"/>
                <w:szCs w:val="28"/>
              </w:rPr>
            </w:pPr>
            <w:r>
              <w:rPr>
                <w:rFonts w:hint="eastAsia" w:eastAsia="仿宋_GB2312"/>
                <w:sz w:val="24"/>
                <w:szCs w:val="28"/>
              </w:rPr>
              <w:t>内容参考</w:t>
            </w:r>
          </w:p>
        </w:tc>
      </w:tr>
      <w:tr w14:paraId="0E120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Borders>
              <w:top w:val="single" w:color="auto" w:sz="4" w:space="0"/>
              <w:left w:val="single" w:color="auto" w:sz="4" w:space="0"/>
              <w:bottom w:val="single" w:color="auto" w:sz="4" w:space="0"/>
              <w:right w:val="single" w:color="auto" w:sz="4" w:space="0"/>
            </w:tcBorders>
            <w:vAlign w:val="center"/>
          </w:tcPr>
          <w:p w14:paraId="6D83D02E">
            <w:pPr>
              <w:widowControl/>
              <w:spacing w:line="360" w:lineRule="auto"/>
              <w:jc w:val="center"/>
              <w:rPr>
                <w:rFonts w:eastAsia="仿宋_GB2312"/>
                <w:b/>
                <w:sz w:val="24"/>
                <w:szCs w:val="28"/>
              </w:rPr>
            </w:pPr>
            <w:r>
              <w:rPr>
                <w:rFonts w:hint="eastAsia" w:eastAsia="仿宋_GB2312"/>
                <w:b/>
                <w:sz w:val="24"/>
                <w:szCs w:val="28"/>
              </w:rPr>
              <w:t>债券做市交易业务实施方案</w:t>
            </w:r>
          </w:p>
        </w:tc>
      </w:tr>
      <w:tr w14:paraId="6D4B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30C9010D">
            <w:pPr>
              <w:widowControl/>
              <w:spacing w:line="360" w:lineRule="auto"/>
              <w:jc w:val="center"/>
              <w:rPr>
                <w:rFonts w:eastAsia="仿宋_GB2312"/>
                <w:sz w:val="24"/>
                <w:szCs w:val="28"/>
              </w:rPr>
            </w:pPr>
            <w:r>
              <w:rPr>
                <w:rFonts w:eastAsia="仿宋_GB2312"/>
                <w:sz w:val="24"/>
                <w:szCs w:val="28"/>
              </w:rPr>
              <w:t>1</w:t>
            </w:r>
          </w:p>
        </w:tc>
        <w:tc>
          <w:tcPr>
            <w:tcW w:w="1278" w:type="pct"/>
            <w:tcBorders>
              <w:top w:val="single" w:color="auto" w:sz="4" w:space="0"/>
              <w:left w:val="single" w:color="auto" w:sz="4" w:space="0"/>
              <w:bottom w:val="single" w:color="auto" w:sz="4" w:space="0"/>
              <w:right w:val="single" w:color="auto" w:sz="4" w:space="0"/>
            </w:tcBorders>
            <w:vAlign w:val="center"/>
          </w:tcPr>
          <w:p w14:paraId="147395CD">
            <w:pPr>
              <w:widowControl/>
              <w:spacing w:line="360" w:lineRule="auto"/>
              <w:jc w:val="center"/>
              <w:rPr>
                <w:rFonts w:eastAsia="仿宋_GB2312"/>
                <w:sz w:val="24"/>
                <w:szCs w:val="28"/>
              </w:rPr>
            </w:pPr>
            <w:r>
              <w:rPr>
                <w:rFonts w:hint="eastAsia" w:eastAsia="仿宋_GB2312"/>
                <w:sz w:val="24"/>
                <w:szCs w:val="28"/>
              </w:rPr>
              <w:t>做市交易业务总体设想</w:t>
            </w:r>
          </w:p>
        </w:tc>
        <w:tc>
          <w:tcPr>
            <w:tcW w:w="3290" w:type="pct"/>
            <w:tcBorders>
              <w:top w:val="single" w:color="auto" w:sz="4" w:space="0"/>
              <w:left w:val="single" w:color="auto" w:sz="4" w:space="0"/>
              <w:bottom w:val="single" w:color="auto" w:sz="4" w:space="0"/>
              <w:right w:val="single" w:color="auto" w:sz="4" w:space="0"/>
            </w:tcBorders>
            <w:vAlign w:val="center"/>
          </w:tcPr>
          <w:p w14:paraId="77792B16">
            <w:pPr>
              <w:widowControl/>
              <w:spacing w:line="360" w:lineRule="auto"/>
              <w:rPr>
                <w:rFonts w:eastAsia="仿宋_GB2312"/>
                <w:sz w:val="24"/>
                <w:szCs w:val="28"/>
              </w:rPr>
            </w:pPr>
            <w:r>
              <w:rPr>
                <w:rFonts w:hint="eastAsia" w:eastAsia="仿宋_GB2312"/>
                <w:sz w:val="24"/>
                <w:szCs w:val="28"/>
              </w:rPr>
              <w:t>内容应包括但不限于做市情况概述（含其他市场做市交易业务开展情况），债券做市交易业务计划（资金、人员、岗位设置、职责等），债券做市交易业务发展规划。</w:t>
            </w:r>
          </w:p>
        </w:tc>
      </w:tr>
      <w:tr w14:paraId="05DA2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4E1120C1">
            <w:pPr>
              <w:widowControl/>
              <w:spacing w:line="360" w:lineRule="auto"/>
              <w:jc w:val="center"/>
              <w:rPr>
                <w:rFonts w:eastAsia="仿宋_GB2312"/>
                <w:sz w:val="24"/>
                <w:szCs w:val="28"/>
              </w:rPr>
            </w:pPr>
            <w:r>
              <w:rPr>
                <w:rFonts w:eastAsia="仿宋_GB2312"/>
                <w:sz w:val="24"/>
                <w:szCs w:val="28"/>
              </w:rPr>
              <w:t>2</w:t>
            </w:r>
          </w:p>
        </w:tc>
        <w:tc>
          <w:tcPr>
            <w:tcW w:w="1278" w:type="pct"/>
            <w:tcBorders>
              <w:top w:val="single" w:color="auto" w:sz="4" w:space="0"/>
              <w:left w:val="single" w:color="auto" w:sz="4" w:space="0"/>
              <w:bottom w:val="single" w:color="auto" w:sz="4" w:space="0"/>
              <w:right w:val="single" w:color="auto" w:sz="4" w:space="0"/>
            </w:tcBorders>
            <w:vAlign w:val="center"/>
          </w:tcPr>
          <w:p w14:paraId="62818F42">
            <w:pPr>
              <w:widowControl/>
              <w:spacing w:line="360" w:lineRule="auto"/>
              <w:jc w:val="center"/>
              <w:rPr>
                <w:rFonts w:eastAsia="仿宋_GB2312"/>
                <w:sz w:val="24"/>
                <w:szCs w:val="28"/>
              </w:rPr>
            </w:pPr>
            <w:r>
              <w:rPr>
                <w:rFonts w:hint="eastAsia" w:eastAsia="仿宋_GB2312"/>
                <w:sz w:val="24"/>
                <w:szCs w:val="28"/>
              </w:rPr>
              <w:t>做市策略</w:t>
            </w:r>
          </w:p>
        </w:tc>
        <w:tc>
          <w:tcPr>
            <w:tcW w:w="3290" w:type="pct"/>
            <w:tcBorders>
              <w:top w:val="single" w:color="auto" w:sz="4" w:space="0"/>
              <w:left w:val="single" w:color="auto" w:sz="4" w:space="0"/>
              <w:bottom w:val="single" w:color="auto" w:sz="4" w:space="0"/>
              <w:right w:val="single" w:color="auto" w:sz="4" w:space="0"/>
            </w:tcBorders>
            <w:vAlign w:val="center"/>
          </w:tcPr>
          <w:p w14:paraId="11429F64">
            <w:pPr>
              <w:widowControl/>
              <w:spacing w:line="360" w:lineRule="auto"/>
              <w:rPr>
                <w:rFonts w:eastAsia="仿宋_GB2312"/>
                <w:sz w:val="24"/>
                <w:szCs w:val="28"/>
              </w:rPr>
            </w:pPr>
            <w:r>
              <w:rPr>
                <w:rFonts w:hint="eastAsia" w:eastAsia="仿宋_GB2312"/>
                <w:sz w:val="24"/>
                <w:szCs w:val="28"/>
              </w:rPr>
              <w:t>内容应包括但不限于与做市策略相关的定价策略、报价策略、存货管理策略及</w:t>
            </w:r>
            <w:r>
              <w:rPr>
                <w:rFonts w:eastAsia="仿宋_GB2312"/>
                <w:sz w:val="24"/>
                <w:szCs w:val="28"/>
              </w:rPr>
              <w:t>压力测试</w:t>
            </w:r>
            <w:r>
              <w:rPr>
                <w:rFonts w:hint="eastAsia" w:eastAsia="仿宋_GB2312"/>
                <w:sz w:val="24"/>
                <w:szCs w:val="28"/>
              </w:rPr>
              <w:t>。</w:t>
            </w:r>
          </w:p>
        </w:tc>
      </w:tr>
      <w:tr w14:paraId="74343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6BB08C30">
            <w:pPr>
              <w:widowControl/>
              <w:spacing w:line="360" w:lineRule="auto"/>
              <w:jc w:val="center"/>
              <w:rPr>
                <w:rFonts w:eastAsia="仿宋_GB2312"/>
                <w:sz w:val="24"/>
                <w:szCs w:val="28"/>
              </w:rPr>
            </w:pPr>
            <w:r>
              <w:rPr>
                <w:rFonts w:eastAsia="仿宋_GB2312"/>
                <w:sz w:val="24"/>
                <w:szCs w:val="28"/>
              </w:rPr>
              <w:t>3</w:t>
            </w:r>
          </w:p>
        </w:tc>
        <w:tc>
          <w:tcPr>
            <w:tcW w:w="1278" w:type="pct"/>
            <w:tcBorders>
              <w:top w:val="single" w:color="auto" w:sz="4" w:space="0"/>
              <w:left w:val="single" w:color="auto" w:sz="4" w:space="0"/>
              <w:bottom w:val="single" w:color="auto" w:sz="4" w:space="0"/>
              <w:right w:val="single" w:color="auto" w:sz="4" w:space="0"/>
            </w:tcBorders>
            <w:vAlign w:val="center"/>
          </w:tcPr>
          <w:p w14:paraId="7E83E83E">
            <w:pPr>
              <w:widowControl/>
              <w:spacing w:line="360" w:lineRule="auto"/>
              <w:jc w:val="center"/>
              <w:rPr>
                <w:rFonts w:eastAsia="仿宋_GB2312"/>
                <w:sz w:val="24"/>
                <w:szCs w:val="28"/>
              </w:rPr>
            </w:pPr>
            <w:r>
              <w:rPr>
                <w:rFonts w:hint="eastAsia" w:eastAsia="仿宋_GB2312"/>
                <w:sz w:val="24"/>
                <w:szCs w:val="28"/>
              </w:rPr>
              <w:t>基本功能</w:t>
            </w:r>
          </w:p>
        </w:tc>
        <w:tc>
          <w:tcPr>
            <w:tcW w:w="3290" w:type="pct"/>
            <w:tcBorders>
              <w:top w:val="single" w:color="auto" w:sz="4" w:space="0"/>
              <w:left w:val="single" w:color="auto" w:sz="4" w:space="0"/>
              <w:bottom w:val="single" w:color="auto" w:sz="4" w:space="0"/>
              <w:right w:val="single" w:color="auto" w:sz="4" w:space="0"/>
            </w:tcBorders>
            <w:vAlign w:val="center"/>
          </w:tcPr>
          <w:p w14:paraId="44F32A8F">
            <w:pPr>
              <w:widowControl/>
              <w:spacing w:line="360" w:lineRule="auto"/>
              <w:rPr>
                <w:rFonts w:eastAsia="仿宋_GB2312"/>
                <w:sz w:val="24"/>
                <w:szCs w:val="28"/>
              </w:rPr>
            </w:pPr>
            <w:r>
              <w:rPr>
                <w:rFonts w:hint="eastAsia" w:eastAsia="仿宋_GB2312"/>
                <w:sz w:val="24"/>
                <w:szCs w:val="28"/>
              </w:rPr>
              <w:t>内容应包括但不限于交易系统能够实现行情揭示、做市交易等功能。</w:t>
            </w:r>
          </w:p>
        </w:tc>
      </w:tr>
      <w:tr w14:paraId="58D0B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4FD80AF9">
            <w:pPr>
              <w:widowControl/>
              <w:spacing w:line="360" w:lineRule="auto"/>
              <w:jc w:val="center"/>
              <w:rPr>
                <w:rFonts w:eastAsia="仿宋_GB2312"/>
                <w:sz w:val="24"/>
                <w:szCs w:val="28"/>
              </w:rPr>
            </w:pPr>
            <w:r>
              <w:rPr>
                <w:rFonts w:hint="eastAsia" w:eastAsia="仿宋_GB2312"/>
                <w:sz w:val="24"/>
                <w:szCs w:val="28"/>
              </w:rPr>
              <w:t>4</w:t>
            </w:r>
          </w:p>
        </w:tc>
        <w:tc>
          <w:tcPr>
            <w:tcW w:w="1278" w:type="pct"/>
            <w:tcBorders>
              <w:top w:val="single" w:color="auto" w:sz="4" w:space="0"/>
              <w:left w:val="single" w:color="auto" w:sz="4" w:space="0"/>
              <w:bottom w:val="single" w:color="auto" w:sz="4" w:space="0"/>
              <w:right w:val="single" w:color="auto" w:sz="4" w:space="0"/>
            </w:tcBorders>
            <w:vAlign w:val="center"/>
          </w:tcPr>
          <w:p w14:paraId="491C9760">
            <w:pPr>
              <w:widowControl/>
              <w:spacing w:line="360" w:lineRule="auto"/>
              <w:jc w:val="center"/>
              <w:rPr>
                <w:rFonts w:eastAsia="仿宋_GB2312"/>
                <w:sz w:val="24"/>
                <w:szCs w:val="28"/>
              </w:rPr>
            </w:pPr>
            <w:r>
              <w:rPr>
                <w:rFonts w:hint="eastAsia" w:eastAsia="仿宋_GB2312"/>
                <w:sz w:val="24"/>
                <w:szCs w:val="28"/>
              </w:rPr>
              <w:t>应急预案</w:t>
            </w:r>
          </w:p>
        </w:tc>
        <w:tc>
          <w:tcPr>
            <w:tcW w:w="3290" w:type="pct"/>
            <w:tcBorders>
              <w:top w:val="single" w:color="auto" w:sz="4" w:space="0"/>
              <w:left w:val="single" w:color="auto" w:sz="4" w:space="0"/>
              <w:bottom w:val="single" w:color="auto" w:sz="4" w:space="0"/>
              <w:right w:val="single" w:color="auto" w:sz="4" w:space="0"/>
            </w:tcBorders>
            <w:vAlign w:val="center"/>
          </w:tcPr>
          <w:p w14:paraId="688E2575">
            <w:pPr>
              <w:widowControl/>
              <w:spacing w:line="360" w:lineRule="auto"/>
              <w:rPr>
                <w:rFonts w:eastAsia="仿宋_GB2312"/>
                <w:sz w:val="24"/>
                <w:szCs w:val="28"/>
              </w:rPr>
            </w:pPr>
            <w:r>
              <w:rPr>
                <w:rFonts w:hint="eastAsia" w:eastAsia="仿宋_GB2312"/>
                <w:sz w:val="24"/>
                <w:szCs w:val="28"/>
              </w:rPr>
              <w:t>内容应包括但不限于突发事件的情形，应急处理方式及流程。</w:t>
            </w:r>
          </w:p>
        </w:tc>
      </w:tr>
      <w:tr w14:paraId="5E4F5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Borders>
              <w:top w:val="single" w:color="auto" w:sz="4" w:space="0"/>
              <w:left w:val="single" w:color="auto" w:sz="4" w:space="0"/>
              <w:bottom w:val="single" w:color="auto" w:sz="4" w:space="0"/>
              <w:right w:val="single" w:color="auto" w:sz="4" w:space="0"/>
            </w:tcBorders>
            <w:vAlign w:val="center"/>
          </w:tcPr>
          <w:p w14:paraId="1B4302B3">
            <w:pPr>
              <w:widowControl/>
              <w:spacing w:line="360" w:lineRule="auto"/>
              <w:jc w:val="center"/>
              <w:rPr>
                <w:rFonts w:eastAsia="仿宋_GB2312"/>
                <w:b/>
                <w:sz w:val="24"/>
                <w:szCs w:val="28"/>
              </w:rPr>
            </w:pPr>
            <w:r>
              <w:rPr>
                <w:rFonts w:hint="eastAsia" w:eastAsia="仿宋_GB2312"/>
                <w:b/>
                <w:sz w:val="24"/>
                <w:szCs w:val="28"/>
              </w:rPr>
              <w:t>债券做市交易业务内部管理制度</w:t>
            </w:r>
          </w:p>
        </w:tc>
      </w:tr>
      <w:tr w14:paraId="50C9F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371330C3">
            <w:pPr>
              <w:widowControl/>
              <w:spacing w:line="360" w:lineRule="auto"/>
              <w:jc w:val="center"/>
              <w:rPr>
                <w:rFonts w:eastAsia="仿宋_GB2312"/>
                <w:sz w:val="24"/>
                <w:szCs w:val="28"/>
              </w:rPr>
            </w:pPr>
            <w:r>
              <w:rPr>
                <w:rFonts w:eastAsia="仿宋_GB2312"/>
                <w:sz w:val="24"/>
                <w:szCs w:val="28"/>
              </w:rPr>
              <w:t>1</w:t>
            </w:r>
          </w:p>
        </w:tc>
        <w:tc>
          <w:tcPr>
            <w:tcW w:w="1278" w:type="pct"/>
            <w:tcBorders>
              <w:top w:val="single" w:color="auto" w:sz="4" w:space="0"/>
              <w:left w:val="single" w:color="auto" w:sz="4" w:space="0"/>
              <w:bottom w:val="single" w:color="auto" w:sz="4" w:space="0"/>
              <w:right w:val="single" w:color="auto" w:sz="4" w:space="0"/>
            </w:tcBorders>
            <w:vAlign w:val="center"/>
          </w:tcPr>
          <w:p w14:paraId="03EF6C0A">
            <w:pPr>
              <w:widowControl/>
              <w:spacing w:line="360" w:lineRule="auto"/>
              <w:jc w:val="center"/>
              <w:rPr>
                <w:rFonts w:eastAsia="仿宋_GB2312"/>
                <w:sz w:val="24"/>
                <w:szCs w:val="28"/>
              </w:rPr>
            </w:pPr>
            <w:r>
              <w:rPr>
                <w:rFonts w:hint="eastAsia" w:eastAsia="仿宋_GB2312"/>
                <w:sz w:val="24"/>
                <w:szCs w:val="28"/>
              </w:rPr>
              <w:t>业务运行管理</w:t>
            </w:r>
          </w:p>
        </w:tc>
        <w:tc>
          <w:tcPr>
            <w:tcW w:w="3290" w:type="pct"/>
            <w:tcBorders>
              <w:top w:val="single" w:color="auto" w:sz="4" w:space="0"/>
              <w:left w:val="single" w:color="auto" w:sz="4" w:space="0"/>
              <w:bottom w:val="single" w:color="auto" w:sz="4" w:space="0"/>
              <w:right w:val="single" w:color="auto" w:sz="4" w:space="0"/>
            </w:tcBorders>
            <w:vAlign w:val="center"/>
          </w:tcPr>
          <w:p w14:paraId="65D92578">
            <w:pPr>
              <w:widowControl/>
              <w:spacing w:line="360" w:lineRule="auto"/>
              <w:rPr>
                <w:rFonts w:eastAsia="仿宋_GB2312"/>
                <w:sz w:val="24"/>
                <w:szCs w:val="28"/>
              </w:rPr>
            </w:pPr>
            <w:r>
              <w:rPr>
                <w:rFonts w:hint="eastAsia" w:eastAsia="仿宋_GB2312"/>
                <w:sz w:val="24"/>
                <w:szCs w:val="28"/>
              </w:rPr>
              <w:t>内容应包括但不限于做市交易业务运行相关流程及管理。</w:t>
            </w:r>
          </w:p>
        </w:tc>
      </w:tr>
      <w:tr w14:paraId="70CE6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54CB46B6">
            <w:pPr>
              <w:widowControl/>
              <w:spacing w:line="360" w:lineRule="auto"/>
              <w:jc w:val="center"/>
              <w:rPr>
                <w:rFonts w:eastAsia="仿宋_GB2312"/>
                <w:sz w:val="24"/>
                <w:szCs w:val="28"/>
              </w:rPr>
            </w:pPr>
            <w:r>
              <w:rPr>
                <w:rFonts w:eastAsia="仿宋_GB2312"/>
                <w:sz w:val="24"/>
                <w:szCs w:val="28"/>
              </w:rPr>
              <w:t>2</w:t>
            </w:r>
          </w:p>
        </w:tc>
        <w:tc>
          <w:tcPr>
            <w:tcW w:w="1278" w:type="pct"/>
            <w:tcBorders>
              <w:top w:val="single" w:color="auto" w:sz="4" w:space="0"/>
              <w:left w:val="single" w:color="auto" w:sz="4" w:space="0"/>
              <w:bottom w:val="single" w:color="auto" w:sz="4" w:space="0"/>
              <w:right w:val="single" w:color="auto" w:sz="4" w:space="0"/>
            </w:tcBorders>
            <w:vAlign w:val="center"/>
          </w:tcPr>
          <w:p w14:paraId="47C99BBD">
            <w:pPr>
              <w:widowControl/>
              <w:spacing w:line="360" w:lineRule="auto"/>
              <w:jc w:val="center"/>
              <w:rPr>
                <w:rFonts w:eastAsia="仿宋_GB2312"/>
                <w:sz w:val="24"/>
                <w:szCs w:val="28"/>
              </w:rPr>
            </w:pPr>
            <w:r>
              <w:rPr>
                <w:rFonts w:hint="eastAsia" w:eastAsia="仿宋_GB2312"/>
                <w:sz w:val="24"/>
                <w:szCs w:val="28"/>
              </w:rPr>
              <w:t>合规与内部控制</w:t>
            </w:r>
          </w:p>
        </w:tc>
        <w:tc>
          <w:tcPr>
            <w:tcW w:w="3290" w:type="pct"/>
            <w:tcBorders>
              <w:top w:val="single" w:color="auto" w:sz="4" w:space="0"/>
              <w:left w:val="single" w:color="auto" w:sz="4" w:space="0"/>
              <w:bottom w:val="single" w:color="auto" w:sz="4" w:space="0"/>
              <w:right w:val="single" w:color="auto" w:sz="4" w:space="0"/>
            </w:tcBorders>
            <w:vAlign w:val="center"/>
          </w:tcPr>
          <w:p w14:paraId="51C25CA4">
            <w:pPr>
              <w:widowControl/>
              <w:spacing w:line="360" w:lineRule="auto"/>
              <w:rPr>
                <w:rFonts w:eastAsia="仿宋_GB2312"/>
                <w:sz w:val="24"/>
                <w:szCs w:val="28"/>
              </w:rPr>
            </w:pPr>
            <w:r>
              <w:rPr>
                <w:rFonts w:hint="eastAsia" w:eastAsia="仿宋_GB2312"/>
                <w:sz w:val="24"/>
                <w:szCs w:val="28"/>
              </w:rPr>
              <w:t>内容应包括但不限于业务合规审查机制、授权管理机制、投资决策流程。</w:t>
            </w:r>
          </w:p>
        </w:tc>
      </w:tr>
      <w:tr w14:paraId="04241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1E16D33F">
            <w:pPr>
              <w:widowControl/>
              <w:spacing w:line="360" w:lineRule="auto"/>
              <w:jc w:val="center"/>
              <w:rPr>
                <w:rFonts w:eastAsia="仿宋_GB2312"/>
                <w:sz w:val="24"/>
                <w:szCs w:val="28"/>
              </w:rPr>
            </w:pPr>
            <w:r>
              <w:rPr>
                <w:rFonts w:eastAsia="仿宋_GB2312"/>
                <w:sz w:val="24"/>
                <w:szCs w:val="28"/>
              </w:rPr>
              <w:t>3</w:t>
            </w:r>
          </w:p>
        </w:tc>
        <w:tc>
          <w:tcPr>
            <w:tcW w:w="1278" w:type="pct"/>
            <w:tcBorders>
              <w:top w:val="single" w:color="auto" w:sz="4" w:space="0"/>
              <w:left w:val="single" w:color="auto" w:sz="4" w:space="0"/>
              <w:bottom w:val="single" w:color="auto" w:sz="4" w:space="0"/>
              <w:right w:val="single" w:color="auto" w:sz="4" w:space="0"/>
            </w:tcBorders>
            <w:vAlign w:val="center"/>
          </w:tcPr>
          <w:p w14:paraId="7E47C525">
            <w:pPr>
              <w:widowControl/>
              <w:spacing w:line="360" w:lineRule="auto"/>
              <w:jc w:val="center"/>
              <w:rPr>
                <w:rFonts w:eastAsia="仿宋_GB2312"/>
                <w:sz w:val="24"/>
                <w:szCs w:val="28"/>
              </w:rPr>
            </w:pPr>
            <w:r>
              <w:rPr>
                <w:rFonts w:hint="eastAsia" w:eastAsia="仿宋_GB2312"/>
                <w:sz w:val="24"/>
                <w:szCs w:val="28"/>
              </w:rPr>
              <w:t>责任人及其职责管理</w:t>
            </w:r>
          </w:p>
        </w:tc>
        <w:tc>
          <w:tcPr>
            <w:tcW w:w="3290" w:type="pct"/>
            <w:tcBorders>
              <w:top w:val="single" w:color="auto" w:sz="4" w:space="0"/>
              <w:left w:val="single" w:color="auto" w:sz="4" w:space="0"/>
              <w:bottom w:val="single" w:color="auto" w:sz="4" w:space="0"/>
              <w:right w:val="single" w:color="auto" w:sz="4" w:space="0"/>
            </w:tcBorders>
            <w:vAlign w:val="center"/>
          </w:tcPr>
          <w:p w14:paraId="66B26A57">
            <w:pPr>
              <w:widowControl/>
              <w:spacing w:line="360" w:lineRule="auto"/>
              <w:rPr>
                <w:rFonts w:eastAsia="仿宋_GB2312"/>
                <w:sz w:val="24"/>
                <w:szCs w:val="28"/>
              </w:rPr>
            </w:pPr>
            <w:r>
              <w:rPr>
                <w:rFonts w:hint="eastAsia" w:eastAsia="仿宋_GB2312"/>
                <w:sz w:val="24"/>
                <w:szCs w:val="28"/>
              </w:rPr>
              <w:t>内容应包括做市交易业务部门及相关部门的岗位人员及其职责管理。</w:t>
            </w:r>
          </w:p>
        </w:tc>
      </w:tr>
      <w:tr w14:paraId="03DDD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Borders>
              <w:top w:val="single" w:color="auto" w:sz="4" w:space="0"/>
              <w:left w:val="single" w:color="auto" w:sz="4" w:space="0"/>
              <w:bottom w:val="single" w:color="auto" w:sz="4" w:space="0"/>
              <w:right w:val="single" w:color="auto" w:sz="4" w:space="0"/>
            </w:tcBorders>
            <w:vAlign w:val="center"/>
          </w:tcPr>
          <w:p w14:paraId="65775089">
            <w:pPr>
              <w:widowControl/>
              <w:spacing w:line="360" w:lineRule="auto"/>
              <w:jc w:val="center"/>
              <w:rPr>
                <w:rFonts w:eastAsia="仿宋_GB2312"/>
                <w:b/>
                <w:sz w:val="24"/>
                <w:szCs w:val="28"/>
              </w:rPr>
            </w:pPr>
            <w:r>
              <w:rPr>
                <w:rFonts w:hint="eastAsia" w:eastAsia="仿宋_GB2312"/>
                <w:b/>
                <w:sz w:val="24"/>
                <w:szCs w:val="28"/>
              </w:rPr>
              <w:t>债券做市交易业务风险控制制度</w:t>
            </w:r>
          </w:p>
        </w:tc>
      </w:tr>
      <w:tr w14:paraId="22479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6F345FF1">
            <w:pPr>
              <w:widowControl/>
              <w:spacing w:line="360" w:lineRule="auto"/>
              <w:jc w:val="center"/>
              <w:rPr>
                <w:rFonts w:eastAsia="仿宋_GB2312"/>
                <w:sz w:val="24"/>
                <w:szCs w:val="28"/>
              </w:rPr>
            </w:pPr>
            <w:r>
              <w:rPr>
                <w:rFonts w:eastAsia="仿宋_GB2312"/>
                <w:sz w:val="24"/>
                <w:szCs w:val="28"/>
              </w:rPr>
              <w:t>1</w:t>
            </w:r>
          </w:p>
        </w:tc>
        <w:tc>
          <w:tcPr>
            <w:tcW w:w="1278" w:type="pct"/>
            <w:tcBorders>
              <w:top w:val="single" w:color="auto" w:sz="4" w:space="0"/>
              <w:left w:val="single" w:color="auto" w:sz="4" w:space="0"/>
              <w:bottom w:val="single" w:color="auto" w:sz="4" w:space="0"/>
              <w:right w:val="single" w:color="auto" w:sz="4" w:space="0"/>
            </w:tcBorders>
            <w:vAlign w:val="center"/>
          </w:tcPr>
          <w:p w14:paraId="76F5E41E">
            <w:pPr>
              <w:widowControl/>
              <w:spacing w:line="360" w:lineRule="auto"/>
              <w:jc w:val="center"/>
              <w:rPr>
                <w:rFonts w:eastAsia="仿宋_GB2312"/>
                <w:sz w:val="24"/>
                <w:szCs w:val="28"/>
              </w:rPr>
            </w:pPr>
            <w:r>
              <w:rPr>
                <w:rFonts w:hint="eastAsia" w:eastAsia="仿宋_GB2312"/>
                <w:sz w:val="24"/>
                <w:szCs w:val="28"/>
              </w:rPr>
              <w:t>风控管理概述</w:t>
            </w:r>
          </w:p>
        </w:tc>
        <w:tc>
          <w:tcPr>
            <w:tcW w:w="3290" w:type="pct"/>
            <w:tcBorders>
              <w:top w:val="single" w:color="auto" w:sz="4" w:space="0"/>
              <w:left w:val="single" w:color="auto" w:sz="4" w:space="0"/>
              <w:bottom w:val="single" w:color="auto" w:sz="4" w:space="0"/>
              <w:right w:val="single" w:color="auto" w:sz="4" w:space="0"/>
            </w:tcBorders>
            <w:vAlign w:val="center"/>
          </w:tcPr>
          <w:p w14:paraId="20846D5B">
            <w:pPr>
              <w:widowControl/>
              <w:spacing w:line="360" w:lineRule="auto"/>
              <w:rPr>
                <w:rFonts w:eastAsia="仿宋_GB2312"/>
                <w:sz w:val="24"/>
                <w:szCs w:val="28"/>
              </w:rPr>
            </w:pPr>
            <w:r>
              <w:rPr>
                <w:rFonts w:hint="eastAsia" w:eastAsia="仿宋_GB2312"/>
                <w:sz w:val="24"/>
                <w:szCs w:val="28"/>
              </w:rPr>
              <w:t>内容应包含风控目标与原则、体系与分工、风险识别与评估、风控措施等</w:t>
            </w:r>
            <w:r>
              <w:rPr>
                <w:rFonts w:eastAsia="仿宋_GB2312"/>
                <w:sz w:val="24"/>
                <w:szCs w:val="28"/>
              </w:rPr>
              <w:t>。</w:t>
            </w:r>
          </w:p>
        </w:tc>
      </w:tr>
      <w:tr w14:paraId="507EB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664F304C">
            <w:pPr>
              <w:widowControl/>
              <w:spacing w:line="360" w:lineRule="auto"/>
              <w:jc w:val="center"/>
              <w:rPr>
                <w:rFonts w:eastAsia="仿宋_GB2312"/>
                <w:sz w:val="24"/>
                <w:szCs w:val="28"/>
              </w:rPr>
            </w:pPr>
            <w:r>
              <w:rPr>
                <w:rFonts w:eastAsia="仿宋_GB2312"/>
                <w:sz w:val="24"/>
                <w:szCs w:val="28"/>
              </w:rPr>
              <w:t>2</w:t>
            </w:r>
          </w:p>
        </w:tc>
        <w:tc>
          <w:tcPr>
            <w:tcW w:w="1278" w:type="pct"/>
            <w:tcBorders>
              <w:top w:val="single" w:color="auto" w:sz="4" w:space="0"/>
              <w:left w:val="single" w:color="auto" w:sz="4" w:space="0"/>
              <w:bottom w:val="single" w:color="auto" w:sz="4" w:space="0"/>
              <w:right w:val="single" w:color="auto" w:sz="4" w:space="0"/>
            </w:tcBorders>
            <w:vAlign w:val="center"/>
          </w:tcPr>
          <w:p w14:paraId="4D5A5F7F">
            <w:pPr>
              <w:widowControl/>
              <w:spacing w:line="360" w:lineRule="auto"/>
              <w:jc w:val="center"/>
              <w:rPr>
                <w:rFonts w:eastAsia="仿宋_GB2312"/>
                <w:sz w:val="24"/>
                <w:szCs w:val="28"/>
              </w:rPr>
            </w:pPr>
            <w:r>
              <w:rPr>
                <w:rFonts w:hint="eastAsia" w:eastAsia="仿宋_GB2312"/>
                <w:sz w:val="24"/>
                <w:szCs w:val="28"/>
              </w:rPr>
              <w:t>风控体系架构</w:t>
            </w:r>
          </w:p>
        </w:tc>
        <w:tc>
          <w:tcPr>
            <w:tcW w:w="3290" w:type="pct"/>
            <w:tcBorders>
              <w:top w:val="single" w:color="auto" w:sz="4" w:space="0"/>
              <w:left w:val="single" w:color="auto" w:sz="4" w:space="0"/>
              <w:bottom w:val="single" w:color="auto" w:sz="4" w:space="0"/>
              <w:right w:val="single" w:color="auto" w:sz="4" w:space="0"/>
            </w:tcBorders>
            <w:vAlign w:val="center"/>
          </w:tcPr>
          <w:p w14:paraId="71062403">
            <w:pPr>
              <w:widowControl/>
              <w:spacing w:line="360" w:lineRule="auto"/>
              <w:rPr>
                <w:rFonts w:eastAsia="仿宋_GB2312"/>
                <w:sz w:val="24"/>
                <w:szCs w:val="28"/>
              </w:rPr>
            </w:pPr>
            <w:r>
              <w:rPr>
                <w:rFonts w:hint="eastAsia" w:eastAsia="仿宋_GB2312"/>
                <w:sz w:val="24"/>
                <w:szCs w:val="28"/>
              </w:rPr>
              <w:t>内容应包括但不限于风控职责与风控措施。</w:t>
            </w:r>
          </w:p>
        </w:tc>
      </w:tr>
      <w:tr w14:paraId="2E15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303157DB">
            <w:pPr>
              <w:widowControl/>
              <w:spacing w:line="360" w:lineRule="auto"/>
              <w:jc w:val="center"/>
              <w:rPr>
                <w:rFonts w:eastAsia="仿宋_GB2312"/>
                <w:sz w:val="24"/>
                <w:szCs w:val="28"/>
              </w:rPr>
            </w:pPr>
            <w:r>
              <w:rPr>
                <w:rFonts w:eastAsia="仿宋_GB2312"/>
                <w:sz w:val="24"/>
                <w:szCs w:val="28"/>
              </w:rPr>
              <w:t>3</w:t>
            </w:r>
          </w:p>
        </w:tc>
        <w:tc>
          <w:tcPr>
            <w:tcW w:w="1278" w:type="pct"/>
            <w:tcBorders>
              <w:top w:val="single" w:color="auto" w:sz="4" w:space="0"/>
              <w:left w:val="single" w:color="auto" w:sz="4" w:space="0"/>
              <w:bottom w:val="single" w:color="auto" w:sz="4" w:space="0"/>
              <w:right w:val="single" w:color="auto" w:sz="4" w:space="0"/>
            </w:tcBorders>
            <w:vAlign w:val="center"/>
          </w:tcPr>
          <w:p w14:paraId="38DC6280">
            <w:pPr>
              <w:widowControl/>
              <w:spacing w:line="360" w:lineRule="auto"/>
              <w:jc w:val="center"/>
              <w:rPr>
                <w:rFonts w:eastAsia="仿宋_GB2312"/>
                <w:sz w:val="24"/>
                <w:szCs w:val="28"/>
              </w:rPr>
            </w:pPr>
            <w:r>
              <w:rPr>
                <w:rFonts w:hint="eastAsia" w:eastAsia="仿宋_GB2312"/>
                <w:sz w:val="24"/>
                <w:szCs w:val="28"/>
              </w:rPr>
              <w:t>风险管理</w:t>
            </w:r>
          </w:p>
        </w:tc>
        <w:tc>
          <w:tcPr>
            <w:tcW w:w="3290" w:type="pct"/>
            <w:tcBorders>
              <w:top w:val="single" w:color="auto" w:sz="4" w:space="0"/>
              <w:left w:val="single" w:color="auto" w:sz="4" w:space="0"/>
              <w:bottom w:val="single" w:color="auto" w:sz="4" w:space="0"/>
              <w:right w:val="single" w:color="auto" w:sz="4" w:space="0"/>
            </w:tcBorders>
            <w:vAlign w:val="center"/>
          </w:tcPr>
          <w:p w14:paraId="41793B87">
            <w:pPr>
              <w:widowControl/>
              <w:spacing w:line="360" w:lineRule="auto"/>
              <w:rPr>
                <w:rFonts w:eastAsia="仿宋_GB2312"/>
                <w:sz w:val="24"/>
                <w:szCs w:val="28"/>
              </w:rPr>
            </w:pPr>
            <w:r>
              <w:rPr>
                <w:rFonts w:hint="eastAsia" w:eastAsia="仿宋_GB2312"/>
                <w:sz w:val="24"/>
                <w:szCs w:val="28"/>
              </w:rPr>
              <w:t>内容应包括但不限于存货风险、操作风险</w:t>
            </w:r>
            <w:r>
              <w:rPr>
                <w:rFonts w:eastAsia="仿宋_GB2312"/>
                <w:sz w:val="24"/>
                <w:szCs w:val="28"/>
              </w:rPr>
              <w:t>、市场风险、流动性风险</w:t>
            </w:r>
            <w:r>
              <w:rPr>
                <w:rFonts w:hint="eastAsia" w:eastAsia="仿宋_GB2312"/>
                <w:sz w:val="24"/>
                <w:szCs w:val="28"/>
              </w:rPr>
              <w:t>管理。</w:t>
            </w:r>
          </w:p>
        </w:tc>
      </w:tr>
      <w:tr w14:paraId="50C2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7C7EA74F">
            <w:pPr>
              <w:widowControl/>
              <w:spacing w:line="360" w:lineRule="auto"/>
              <w:jc w:val="center"/>
              <w:rPr>
                <w:rFonts w:eastAsia="仿宋_GB2312"/>
                <w:sz w:val="24"/>
                <w:szCs w:val="28"/>
              </w:rPr>
            </w:pPr>
            <w:r>
              <w:rPr>
                <w:rFonts w:eastAsia="仿宋_GB2312"/>
                <w:sz w:val="24"/>
                <w:szCs w:val="28"/>
              </w:rPr>
              <w:t>4</w:t>
            </w:r>
          </w:p>
        </w:tc>
        <w:tc>
          <w:tcPr>
            <w:tcW w:w="1278" w:type="pct"/>
            <w:tcBorders>
              <w:top w:val="single" w:color="auto" w:sz="4" w:space="0"/>
              <w:left w:val="single" w:color="auto" w:sz="4" w:space="0"/>
              <w:bottom w:val="single" w:color="auto" w:sz="4" w:space="0"/>
              <w:right w:val="single" w:color="auto" w:sz="4" w:space="0"/>
            </w:tcBorders>
            <w:vAlign w:val="center"/>
          </w:tcPr>
          <w:p w14:paraId="0414DC3C">
            <w:pPr>
              <w:widowControl/>
              <w:spacing w:line="360" w:lineRule="auto"/>
              <w:jc w:val="center"/>
              <w:rPr>
                <w:rFonts w:eastAsia="仿宋_GB2312"/>
                <w:sz w:val="24"/>
                <w:szCs w:val="28"/>
              </w:rPr>
            </w:pPr>
            <w:r>
              <w:rPr>
                <w:rFonts w:hint="eastAsia" w:eastAsia="仿宋_GB2312"/>
                <w:sz w:val="24"/>
                <w:szCs w:val="28"/>
              </w:rPr>
              <w:t>异常交易监控机制</w:t>
            </w:r>
          </w:p>
        </w:tc>
        <w:tc>
          <w:tcPr>
            <w:tcW w:w="3290" w:type="pct"/>
            <w:tcBorders>
              <w:top w:val="single" w:color="auto" w:sz="4" w:space="0"/>
              <w:left w:val="single" w:color="auto" w:sz="4" w:space="0"/>
              <w:bottom w:val="single" w:color="auto" w:sz="4" w:space="0"/>
              <w:right w:val="single" w:color="auto" w:sz="4" w:space="0"/>
            </w:tcBorders>
            <w:vAlign w:val="center"/>
          </w:tcPr>
          <w:p w14:paraId="4F74D4F6">
            <w:pPr>
              <w:widowControl/>
              <w:spacing w:line="360" w:lineRule="auto"/>
              <w:rPr>
                <w:rFonts w:eastAsia="仿宋_GB2312"/>
                <w:sz w:val="24"/>
                <w:szCs w:val="28"/>
              </w:rPr>
            </w:pPr>
            <w:r>
              <w:rPr>
                <w:rFonts w:hint="eastAsia" w:eastAsia="仿宋_GB2312"/>
                <w:sz w:val="24"/>
                <w:szCs w:val="28"/>
              </w:rPr>
              <w:t>内容应包括但不限于异常交易的监控及应对方式，债券异常波动处理措施。</w:t>
            </w:r>
          </w:p>
        </w:tc>
      </w:tr>
      <w:tr w14:paraId="45AD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3"/>
            <w:tcBorders>
              <w:top w:val="single" w:color="auto" w:sz="4" w:space="0"/>
              <w:left w:val="single" w:color="auto" w:sz="4" w:space="0"/>
              <w:bottom w:val="single" w:color="auto" w:sz="4" w:space="0"/>
              <w:right w:val="single" w:color="auto" w:sz="4" w:space="0"/>
            </w:tcBorders>
            <w:vAlign w:val="center"/>
          </w:tcPr>
          <w:p w14:paraId="124FE946">
            <w:pPr>
              <w:widowControl/>
              <w:spacing w:line="360" w:lineRule="auto"/>
              <w:jc w:val="center"/>
              <w:rPr>
                <w:rFonts w:eastAsia="仿宋_GB2312"/>
                <w:sz w:val="24"/>
                <w:szCs w:val="28"/>
              </w:rPr>
            </w:pPr>
            <w:r>
              <w:rPr>
                <w:rFonts w:hint="eastAsia" w:eastAsia="仿宋_GB2312"/>
                <w:b/>
                <w:sz w:val="24"/>
                <w:szCs w:val="28"/>
              </w:rPr>
              <w:t>债券做市交易业务应急风险处置制度</w:t>
            </w:r>
          </w:p>
        </w:tc>
      </w:tr>
      <w:tr w14:paraId="415F5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7E541642">
            <w:pPr>
              <w:widowControl/>
              <w:spacing w:line="360" w:lineRule="auto"/>
              <w:jc w:val="center"/>
              <w:rPr>
                <w:rFonts w:eastAsia="仿宋_GB2312"/>
                <w:sz w:val="24"/>
                <w:szCs w:val="28"/>
              </w:rPr>
            </w:pPr>
            <w:r>
              <w:rPr>
                <w:rFonts w:hint="eastAsia" w:eastAsia="仿宋_GB2312"/>
                <w:sz w:val="24"/>
                <w:szCs w:val="28"/>
              </w:rPr>
              <w:t>1</w:t>
            </w:r>
          </w:p>
        </w:tc>
        <w:tc>
          <w:tcPr>
            <w:tcW w:w="1278" w:type="pct"/>
            <w:tcBorders>
              <w:top w:val="single" w:color="auto" w:sz="4" w:space="0"/>
              <w:left w:val="single" w:color="auto" w:sz="4" w:space="0"/>
              <w:bottom w:val="single" w:color="auto" w:sz="4" w:space="0"/>
              <w:right w:val="single" w:color="auto" w:sz="4" w:space="0"/>
            </w:tcBorders>
            <w:vAlign w:val="center"/>
          </w:tcPr>
          <w:p w14:paraId="6F67B867">
            <w:pPr>
              <w:widowControl/>
              <w:spacing w:line="360" w:lineRule="auto"/>
              <w:jc w:val="center"/>
              <w:rPr>
                <w:rFonts w:eastAsia="仿宋_GB2312"/>
                <w:sz w:val="24"/>
                <w:szCs w:val="28"/>
              </w:rPr>
            </w:pPr>
            <w:r>
              <w:rPr>
                <w:rFonts w:hint="eastAsia" w:eastAsia="仿宋_GB2312"/>
                <w:sz w:val="24"/>
                <w:szCs w:val="28"/>
              </w:rPr>
              <w:t>应急处置人员安排</w:t>
            </w:r>
          </w:p>
        </w:tc>
        <w:tc>
          <w:tcPr>
            <w:tcW w:w="3290" w:type="pct"/>
            <w:tcBorders>
              <w:top w:val="single" w:color="auto" w:sz="4" w:space="0"/>
              <w:left w:val="single" w:color="auto" w:sz="4" w:space="0"/>
              <w:bottom w:val="single" w:color="auto" w:sz="4" w:space="0"/>
              <w:right w:val="single" w:color="auto" w:sz="4" w:space="0"/>
            </w:tcBorders>
            <w:vAlign w:val="center"/>
          </w:tcPr>
          <w:p w14:paraId="3A4E37ED">
            <w:pPr>
              <w:widowControl/>
              <w:spacing w:line="360" w:lineRule="auto"/>
              <w:rPr>
                <w:rFonts w:eastAsia="仿宋_GB2312"/>
                <w:sz w:val="24"/>
                <w:szCs w:val="28"/>
              </w:rPr>
            </w:pPr>
            <w:r>
              <w:rPr>
                <w:rFonts w:hint="eastAsia" w:eastAsia="仿宋_GB2312"/>
                <w:sz w:val="24"/>
                <w:szCs w:val="28"/>
              </w:rPr>
              <w:t>内容应包括但不限于应急处置工作成员、职责等。</w:t>
            </w:r>
          </w:p>
        </w:tc>
      </w:tr>
      <w:tr w14:paraId="509E8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277502C7">
            <w:pPr>
              <w:widowControl/>
              <w:spacing w:line="360" w:lineRule="auto"/>
              <w:jc w:val="center"/>
              <w:rPr>
                <w:rFonts w:eastAsia="仿宋_GB2312"/>
                <w:sz w:val="24"/>
                <w:szCs w:val="28"/>
              </w:rPr>
            </w:pPr>
            <w:r>
              <w:rPr>
                <w:rFonts w:hint="eastAsia" w:eastAsia="仿宋_GB2312"/>
                <w:sz w:val="24"/>
                <w:szCs w:val="28"/>
              </w:rPr>
              <w:t>2</w:t>
            </w:r>
          </w:p>
        </w:tc>
        <w:tc>
          <w:tcPr>
            <w:tcW w:w="1278" w:type="pct"/>
            <w:tcBorders>
              <w:top w:val="single" w:color="auto" w:sz="4" w:space="0"/>
              <w:left w:val="single" w:color="auto" w:sz="4" w:space="0"/>
              <w:bottom w:val="single" w:color="auto" w:sz="4" w:space="0"/>
              <w:right w:val="single" w:color="auto" w:sz="4" w:space="0"/>
            </w:tcBorders>
            <w:vAlign w:val="center"/>
          </w:tcPr>
          <w:p w14:paraId="6328F606">
            <w:pPr>
              <w:widowControl/>
              <w:spacing w:line="360" w:lineRule="auto"/>
              <w:jc w:val="center"/>
              <w:rPr>
                <w:rFonts w:eastAsia="仿宋_GB2312"/>
                <w:sz w:val="24"/>
                <w:szCs w:val="28"/>
              </w:rPr>
            </w:pPr>
            <w:r>
              <w:rPr>
                <w:rFonts w:hint="eastAsia" w:eastAsia="仿宋_GB2312"/>
                <w:sz w:val="24"/>
                <w:szCs w:val="28"/>
              </w:rPr>
              <w:t>突发事件</w:t>
            </w:r>
          </w:p>
        </w:tc>
        <w:tc>
          <w:tcPr>
            <w:tcW w:w="3290" w:type="pct"/>
            <w:tcBorders>
              <w:top w:val="single" w:color="auto" w:sz="4" w:space="0"/>
              <w:left w:val="single" w:color="auto" w:sz="4" w:space="0"/>
              <w:bottom w:val="single" w:color="auto" w:sz="4" w:space="0"/>
              <w:right w:val="single" w:color="auto" w:sz="4" w:space="0"/>
            </w:tcBorders>
            <w:vAlign w:val="center"/>
          </w:tcPr>
          <w:p w14:paraId="1CA4564C">
            <w:pPr>
              <w:widowControl/>
              <w:spacing w:line="360" w:lineRule="auto"/>
              <w:rPr>
                <w:rFonts w:eastAsia="仿宋_GB2312"/>
                <w:sz w:val="24"/>
                <w:szCs w:val="28"/>
              </w:rPr>
            </w:pPr>
            <w:r>
              <w:rPr>
                <w:rFonts w:hint="eastAsia" w:eastAsia="仿宋_GB2312"/>
                <w:sz w:val="24"/>
                <w:szCs w:val="28"/>
              </w:rPr>
              <w:t>内容应包括但不限于突发事件的等级分类、突发事件的场景及量化指标。</w:t>
            </w:r>
          </w:p>
        </w:tc>
      </w:tr>
      <w:tr w14:paraId="6586B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tcBorders>
              <w:top w:val="single" w:color="auto" w:sz="4" w:space="0"/>
              <w:left w:val="single" w:color="auto" w:sz="4" w:space="0"/>
              <w:bottom w:val="single" w:color="auto" w:sz="4" w:space="0"/>
              <w:right w:val="single" w:color="auto" w:sz="4" w:space="0"/>
            </w:tcBorders>
            <w:vAlign w:val="center"/>
          </w:tcPr>
          <w:p w14:paraId="1790D32E">
            <w:pPr>
              <w:widowControl/>
              <w:spacing w:line="360" w:lineRule="auto"/>
              <w:jc w:val="center"/>
              <w:rPr>
                <w:rFonts w:eastAsia="仿宋_GB2312"/>
                <w:sz w:val="24"/>
                <w:szCs w:val="28"/>
              </w:rPr>
            </w:pPr>
            <w:r>
              <w:rPr>
                <w:rFonts w:hint="eastAsia" w:eastAsia="仿宋_GB2312"/>
                <w:sz w:val="24"/>
                <w:szCs w:val="28"/>
              </w:rPr>
              <w:t>3</w:t>
            </w:r>
          </w:p>
        </w:tc>
        <w:tc>
          <w:tcPr>
            <w:tcW w:w="1278" w:type="pct"/>
            <w:tcBorders>
              <w:top w:val="single" w:color="auto" w:sz="4" w:space="0"/>
              <w:left w:val="single" w:color="auto" w:sz="4" w:space="0"/>
              <w:bottom w:val="single" w:color="auto" w:sz="4" w:space="0"/>
              <w:right w:val="single" w:color="auto" w:sz="4" w:space="0"/>
            </w:tcBorders>
            <w:vAlign w:val="center"/>
          </w:tcPr>
          <w:p w14:paraId="35F529A3">
            <w:pPr>
              <w:widowControl/>
              <w:spacing w:line="360" w:lineRule="auto"/>
              <w:jc w:val="center"/>
              <w:rPr>
                <w:rFonts w:eastAsia="仿宋_GB2312"/>
                <w:sz w:val="24"/>
                <w:szCs w:val="28"/>
              </w:rPr>
            </w:pPr>
            <w:r>
              <w:rPr>
                <w:rFonts w:hint="eastAsia" w:eastAsia="仿宋_GB2312"/>
                <w:sz w:val="24"/>
                <w:szCs w:val="28"/>
              </w:rPr>
              <w:t>应急处置决策措施</w:t>
            </w:r>
          </w:p>
        </w:tc>
        <w:tc>
          <w:tcPr>
            <w:tcW w:w="3290" w:type="pct"/>
            <w:tcBorders>
              <w:top w:val="single" w:color="auto" w:sz="4" w:space="0"/>
              <w:left w:val="single" w:color="auto" w:sz="4" w:space="0"/>
              <w:bottom w:val="single" w:color="auto" w:sz="4" w:space="0"/>
              <w:right w:val="single" w:color="auto" w:sz="4" w:space="0"/>
            </w:tcBorders>
            <w:vAlign w:val="center"/>
          </w:tcPr>
          <w:p w14:paraId="1359CB80">
            <w:pPr>
              <w:widowControl/>
              <w:spacing w:line="360" w:lineRule="auto"/>
              <w:rPr>
                <w:rFonts w:eastAsia="仿宋_GB2312"/>
                <w:sz w:val="24"/>
                <w:szCs w:val="28"/>
              </w:rPr>
            </w:pPr>
            <w:r>
              <w:rPr>
                <w:rFonts w:hint="eastAsia" w:eastAsia="仿宋_GB2312"/>
                <w:sz w:val="24"/>
                <w:szCs w:val="28"/>
              </w:rPr>
              <w:t>内容应包括但不限于各类突发事件场景的预防措施、突发事件预警及响应机制、应急处置的决策与实施机制。</w:t>
            </w:r>
          </w:p>
        </w:tc>
      </w:tr>
    </w:tbl>
    <w:p w14:paraId="0F9D42AB">
      <w:pPr>
        <w:widowControl/>
        <w:jc w:val="left"/>
        <w:rPr>
          <w:rFonts w:ascii="仿宋_GB2312" w:eastAsia="仿宋_GB2312"/>
          <w:b/>
          <w:sz w:val="30"/>
          <w:szCs w:val="30"/>
        </w:rPr>
      </w:pPr>
    </w:p>
    <w:p w14:paraId="21DE8488">
      <w:pPr>
        <w:widowControl/>
        <w:jc w:val="left"/>
        <w:rPr>
          <w:rFonts w:ascii="仿宋_GB2312" w:eastAsia="仿宋_GB2312"/>
          <w:b/>
          <w:sz w:val="30"/>
          <w:szCs w:val="30"/>
        </w:rPr>
      </w:pPr>
      <w:r>
        <w:rPr>
          <w:rFonts w:ascii="仿宋_GB2312" w:eastAsia="仿宋_GB2312"/>
          <w:b/>
          <w:sz w:val="30"/>
          <w:szCs w:val="30"/>
        </w:rPr>
        <w:br w:type="page"/>
      </w:r>
    </w:p>
    <w:p w14:paraId="41017388">
      <w:pPr>
        <w:widowControl/>
        <w:jc w:val="left"/>
        <w:outlineLvl w:val="1"/>
        <w:rPr>
          <w:rFonts w:ascii="仿宋_GB2312" w:hAnsi="黑体" w:eastAsia="仿宋_GB2312"/>
          <w:b/>
          <w:sz w:val="30"/>
          <w:szCs w:val="30"/>
        </w:rPr>
      </w:pPr>
      <w:bookmarkStart w:id="3983" w:name="_Toc1530746930"/>
      <w:bookmarkStart w:id="3984" w:name="_Toc280310204"/>
      <w:bookmarkStart w:id="3985" w:name="_Toc1462609309"/>
      <w:bookmarkStart w:id="3986" w:name="_Toc1838469358"/>
      <w:bookmarkStart w:id="3987" w:name="_Toc1781925558"/>
      <w:bookmarkStart w:id="3988" w:name="_Toc1671419130"/>
      <w:bookmarkStart w:id="3989" w:name="_Toc151137092"/>
      <w:r>
        <w:rPr>
          <w:rFonts w:hint="eastAsia" w:ascii="仿宋_GB2312" w:hAnsi="黑体" w:eastAsia="仿宋_GB2312"/>
          <w:b/>
          <w:sz w:val="30"/>
          <w:szCs w:val="30"/>
        </w:rPr>
        <w:t>附件9 债券做市交易业务人员情况表</w:t>
      </w:r>
      <w:bookmarkEnd w:id="3983"/>
      <w:bookmarkEnd w:id="3984"/>
      <w:bookmarkEnd w:id="3985"/>
      <w:bookmarkEnd w:id="3986"/>
      <w:bookmarkEnd w:id="3987"/>
      <w:bookmarkEnd w:id="3988"/>
      <w:bookmarkEnd w:id="3989"/>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9"/>
        <w:gridCol w:w="1183"/>
        <w:gridCol w:w="1559"/>
        <w:gridCol w:w="422"/>
        <w:gridCol w:w="1279"/>
        <w:gridCol w:w="138"/>
        <w:gridCol w:w="2320"/>
      </w:tblGrid>
      <w:tr w14:paraId="05F99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619" w:type="dxa"/>
            <w:tcBorders>
              <w:top w:val="single" w:color="auto" w:sz="4" w:space="0"/>
              <w:left w:val="single" w:color="auto" w:sz="4" w:space="0"/>
              <w:bottom w:val="single" w:color="auto" w:sz="4" w:space="0"/>
              <w:right w:val="single" w:color="auto" w:sz="4" w:space="0"/>
            </w:tcBorders>
            <w:vAlign w:val="center"/>
          </w:tcPr>
          <w:p w14:paraId="5004BDA9">
            <w:pPr>
              <w:spacing w:line="600" w:lineRule="exact"/>
              <w:jc w:val="center"/>
              <w:rPr>
                <w:rFonts w:ascii="仿宋_GB2312" w:hAnsi="仿宋" w:eastAsia="仿宋_GB2312"/>
                <w:sz w:val="20"/>
                <w:szCs w:val="20"/>
              </w:rPr>
            </w:pPr>
            <w:r>
              <w:rPr>
                <w:rFonts w:hint="eastAsia" w:ascii="仿宋_GB2312" w:hAnsi="仿宋" w:eastAsia="仿宋_GB2312"/>
                <w:sz w:val="20"/>
                <w:szCs w:val="20"/>
              </w:rPr>
              <w:t>公司名称</w:t>
            </w:r>
          </w:p>
        </w:tc>
        <w:tc>
          <w:tcPr>
            <w:tcW w:w="6901" w:type="dxa"/>
            <w:gridSpan w:val="6"/>
            <w:tcBorders>
              <w:top w:val="single" w:color="auto" w:sz="4" w:space="0"/>
              <w:left w:val="single" w:color="auto" w:sz="4" w:space="0"/>
              <w:right w:val="single" w:color="auto" w:sz="4" w:space="0"/>
            </w:tcBorders>
            <w:vAlign w:val="center"/>
          </w:tcPr>
          <w:p w14:paraId="26A2D325">
            <w:pPr>
              <w:spacing w:line="600" w:lineRule="exact"/>
              <w:rPr>
                <w:rFonts w:ascii="仿宋_GB2312" w:hAnsi="仿宋" w:eastAsia="仿宋_GB2312"/>
                <w:b/>
                <w:bCs/>
                <w:sz w:val="20"/>
                <w:szCs w:val="20"/>
              </w:rPr>
            </w:pPr>
          </w:p>
        </w:tc>
      </w:tr>
      <w:tr w14:paraId="180E9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vMerge w:val="restart"/>
            <w:tcBorders>
              <w:top w:val="single" w:color="auto" w:sz="4" w:space="0"/>
              <w:left w:val="single" w:color="auto" w:sz="4" w:space="0"/>
              <w:bottom w:val="single" w:color="auto" w:sz="4" w:space="0"/>
              <w:right w:val="single" w:color="auto" w:sz="4" w:space="0"/>
            </w:tcBorders>
            <w:vAlign w:val="center"/>
          </w:tcPr>
          <w:p w14:paraId="4645AB68">
            <w:pPr>
              <w:spacing w:line="600" w:lineRule="exact"/>
              <w:jc w:val="center"/>
              <w:rPr>
                <w:rFonts w:ascii="仿宋_GB2312" w:hAnsi="仿宋" w:eastAsia="仿宋_GB2312"/>
                <w:sz w:val="20"/>
                <w:szCs w:val="20"/>
              </w:rPr>
            </w:pPr>
            <w:r>
              <w:rPr>
                <w:rFonts w:hint="eastAsia" w:ascii="仿宋_GB2312" w:hAnsi="仿宋" w:eastAsia="仿宋_GB2312"/>
                <w:sz w:val="20"/>
                <w:szCs w:val="20"/>
              </w:rPr>
              <w:t>做市业务负责人</w:t>
            </w:r>
          </w:p>
        </w:tc>
        <w:tc>
          <w:tcPr>
            <w:tcW w:w="1183" w:type="dxa"/>
            <w:tcBorders>
              <w:top w:val="single" w:color="auto" w:sz="4" w:space="0"/>
              <w:left w:val="single" w:color="auto" w:sz="4" w:space="0"/>
              <w:bottom w:val="single" w:color="auto" w:sz="4" w:space="0"/>
              <w:right w:val="single" w:color="auto" w:sz="4" w:space="0"/>
            </w:tcBorders>
            <w:vAlign w:val="center"/>
          </w:tcPr>
          <w:p w14:paraId="1480AA55">
            <w:pPr>
              <w:spacing w:line="600" w:lineRule="exact"/>
              <w:rPr>
                <w:rFonts w:ascii="仿宋_GB2312" w:hAnsi="仿宋" w:eastAsia="仿宋_GB2312"/>
                <w:sz w:val="20"/>
                <w:szCs w:val="20"/>
              </w:rPr>
            </w:pPr>
            <w:r>
              <w:rPr>
                <w:rFonts w:hint="eastAsia" w:ascii="仿宋_GB2312" w:hAnsi="仿宋" w:eastAsia="仿宋_GB2312"/>
                <w:sz w:val="20"/>
                <w:szCs w:val="20"/>
              </w:rPr>
              <w:t>姓名</w:t>
            </w:r>
          </w:p>
        </w:tc>
        <w:tc>
          <w:tcPr>
            <w:tcW w:w="5718" w:type="dxa"/>
            <w:gridSpan w:val="5"/>
            <w:tcBorders>
              <w:top w:val="single" w:color="auto" w:sz="4" w:space="0"/>
              <w:left w:val="single" w:color="auto" w:sz="4" w:space="0"/>
              <w:bottom w:val="single" w:color="auto" w:sz="4" w:space="0"/>
              <w:right w:val="single" w:color="auto" w:sz="4" w:space="0"/>
            </w:tcBorders>
            <w:vAlign w:val="center"/>
          </w:tcPr>
          <w:p w14:paraId="0439C60B">
            <w:pPr>
              <w:spacing w:line="600" w:lineRule="exact"/>
              <w:rPr>
                <w:rFonts w:ascii="仿宋_GB2312" w:hAnsi="仿宋" w:eastAsia="仿宋_GB2312"/>
                <w:b/>
                <w:bCs/>
                <w:sz w:val="20"/>
                <w:szCs w:val="20"/>
              </w:rPr>
            </w:pPr>
          </w:p>
        </w:tc>
      </w:tr>
      <w:tr w14:paraId="4943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vMerge w:val="continue"/>
            <w:tcBorders>
              <w:top w:val="single" w:color="auto" w:sz="4" w:space="0"/>
              <w:left w:val="single" w:color="auto" w:sz="4" w:space="0"/>
              <w:bottom w:val="single" w:color="auto" w:sz="4" w:space="0"/>
              <w:right w:val="single" w:color="auto" w:sz="4" w:space="0"/>
            </w:tcBorders>
            <w:vAlign w:val="center"/>
          </w:tcPr>
          <w:p w14:paraId="74D47ED2">
            <w:pPr>
              <w:widowControl/>
              <w:spacing w:line="600" w:lineRule="exact"/>
              <w:jc w:val="center"/>
              <w:rPr>
                <w:rFonts w:ascii="仿宋_GB2312" w:hAnsi="仿宋" w:eastAsia="仿宋_GB2312"/>
                <w:b/>
                <w:bCs/>
                <w:sz w:val="20"/>
                <w:szCs w:val="20"/>
              </w:rPr>
            </w:pPr>
          </w:p>
        </w:tc>
        <w:tc>
          <w:tcPr>
            <w:tcW w:w="1183" w:type="dxa"/>
            <w:tcBorders>
              <w:top w:val="single" w:color="auto" w:sz="4" w:space="0"/>
              <w:left w:val="single" w:color="auto" w:sz="4" w:space="0"/>
              <w:bottom w:val="single" w:color="auto" w:sz="4" w:space="0"/>
              <w:right w:val="single" w:color="auto" w:sz="4" w:space="0"/>
            </w:tcBorders>
            <w:vAlign w:val="center"/>
          </w:tcPr>
          <w:p w14:paraId="25FDF788">
            <w:pPr>
              <w:spacing w:line="600" w:lineRule="exact"/>
              <w:rPr>
                <w:rFonts w:ascii="仿宋_GB2312" w:hAnsi="仿宋" w:eastAsia="仿宋_GB2312"/>
                <w:sz w:val="20"/>
                <w:szCs w:val="20"/>
              </w:rPr>
            </w:pPr>
            <w:r>
              <w:rPr>
                <w:rFonts w:hint="eastAsia" w:ascii="仿宋_GB2312" w:hAnsi="仿宋" w:eastAsia="仿宋_GB2312"/>
                <w:sz w:val="20"/>
                <w:szCs w:val="20"/>
              </w:rPr>
              <w:t>部门</w:t>
            </w:r>
          </w:p>
        </w:tc>
        <w:tc>
          <w:tcPr>
            <w:tcW w:w="5718" w:type="dxa"/>
            <w:gridSpan w:val="5"/>
            <w:tcBorders>
              <w:top w:val="single" w:color="auto" w:sz="4" w:space="0"/>
              <w:left w:val="single" w:color="auto" w:sz="4" w:space="0"/>
              <w:bottom w:val="single" w:color="auto" w:sz="4" w:space="0"/>
              <w:right w:val="single" w:color="auto" w:sz="4" w:space="0"/>
            </w:tcBorders>
            <w:vAlign w:val="center"/>
          </w:tcPr>
          <w:p w14:paraId="35501526">
            <w:pPr>
              <w:spacing w:line="600" w:lineRule="exact"/>
              <w:rPr>
                <w:rFonts w:ascii="仿宋_GB2312" w:hAnsi="仿宋" w:eastAsia="仿宋_GB2312"/>
                <w:b/>
                <w:bCs/>
                <w:sz w:val="20"/>
                <w:szCs w:val="20"/>
              </w:rPr>
            </w:pPr>
          </w:p>
        </w:tc>
      </w:tr>
      <w:tr w14:paraId="2790B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trPr>
        <w:tc>
          <w:tcPr>
            <w:tcW w:w="1619" w:type="dxa"/>
            <w:vMerge w:val="continue"/>
            <w:tcBorders>
              <w:top w:val="single" w:color="auto" w:sz="4" w:space="0"/>
              <w:left w:val="single" w:color="auto" w:sz="4" w:space="0"/>
              <w:bottom w:val="single" w:color="auto" w:sz="4" w:space="0"/>
              <w:right w:val="single" w:color="auto" w:sz="4" w:space="0"/>
            </w:tcBorders>
            <w:vAlign w:val="center"/>
          </w:tcPr>
          <w:p w14:paraId="4978F15F">
            <w:pPr>
              <w:widowControl/>
              <w:spacing w:line="600" w:lineRule="exact"/>
              <w:jc w:val="center"/>
              <w:rPr>
                <w:rFonts w:ascii="仿宋_GB2312" w:hAnsi="仿宋" w:eastAsia="仿宋_GB2312"/>
                <w:b/>
                <w:bCs/>
                <w:sz w:val="20"/>
                <w:szCs w:val="20"/>
              </w:rPr>
            </w:pPr>
          </w:p>
        </w:tc>
        <w:tc>
          <w:tcPr>
            <w:tcW w:w="1183" w:type="dxa"/>
            <w:tcBorders>
              <w:top w:val="single" w:color="auto" w:sz="4" w:space="0"/>
              <w:left w:val="single" w:color="auto" w:sz="4" w:space="0"/>
              <w:bottom w:val="single" w:color="auto" w:sz="4" w:space="0"/>
              <w:right w:val="single" w:color="auto" w:sz="4" w:space="0"/>
            </w:tcBorders>
            <w:vAlign w:val="center"/>
          </w:tcPr>
          <w:p w14:paraId="7C5EDA7C">
            <w:pPr>
              <w:spacing w:line="600" w:lineRule="exact"/>
              <w:rPr>
                <w:rFonts w:ascii="仿宋_GB2312" w:hAnsi="仿宋" w:eastAsia="仿宋_GB2312"/>
                <w:sz w:val="20"/>
                <w:szCs w:val="20"/>
              </w:rPr>
            </w:pPr>
            <w:r>
              <w:rPr>
                <w:rFonts w:hint="eastAsia" w:ascii="仿宋_GB2312" w:hAnsi="仿宋" w:eastAsia="仿宋_GB2312"/>
                <w:sz w:val="20"/>
                <w:szCs w:val="20"/>
              </w:rPr>
              <w:t>电话</w:t>
            </w:r>
          </w:p>
        </w:tc>
        <w:tc>
          <w:tcPr>
            <w:tcW w:w="1981" w:type="dxa"/>
            <w:gridSpan w:val="2"/>
            <w:tcBorders>
              <w:top w:val="single" w:color="auto" w:sz="4" w:space="0"/>
              <w:left w:val="single" w:color="auto" w:sz="4" w:space="0"/>
              <w:bottom w:val="single" w:color="auto" w:sz="4" w:space="0"/>
              <w:right w:val="single" w:color="auto" w:sz="4" w:space="0"/>
            </w:tcBorders>
            <w:vAlign w:val="center"/>
          </w:tcPr>
          <w:p w14:paraId="1D3C9BC5">
            <w:pPr>
              <w:spacing w:line="600" w:lineRule="exact"/>
              <w:rPr>
                <w:rFonts w:ascii="仿宋_GB2312" w:hAnsi="仿宋" w:eastAsia="仿宋_GB2312"/>
                <w:b/>
                <w:bCs/>
                <w:sz w:val="20"/>
                <w:szCs w:val="20"/>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1F528295">
            <w:pPr>
              <w:spacing w:line="600" w:lineRule="exact"/>
              <w:rPr>
                <w:rFonts w:ascii="仿宋_GB2312" w:hAnsi="仿宋" w:eastAsia="仿宋_GB2312"/>
                <w:sz w:val="20"/>
                <w:szCs w:val="20"/>
              </w:rPr>
            </w:pPr>
            <w:r>
              <w:rPr>
                <w:rFonts w:hint="eastAsia" w:ascii="仿宋_GB2312" w:hAnsi="仿宋" w:eastAsia="仿宋_GB2312"/>
                <w:sz w:val="20"/>
                <w:szCs w:val="20"/>
              </w:rPr>
              <w:t>邮件地址</w:t>
            </w:r>
          </w:p>
        </w:tc>
        <w:tc>
          <w:tcPr>
            <w:tcW w:w="2320" w:type="dxa"/>
            <w:tcBorders>
              <w:top w:val="single" w:color="auto" w:sz="4" w:space="0"/>
              <w:left w:val="single" w:color="auto" w:sz="4" w:space="0"/>
              <w:bottom w:val="single" w:color="auto" w:sz="4" w:space="0"/>
              <w:right w:val="single" w:color="auto" w:sz="4" w:space="0"/>
            </w:tcBorders>
            <w:vAlign w:val="center"/>
          </w:tcPr>
          <w:p w14:paraId="19B675BF">
            <w:pPr>
              <w:spacing w:line="600" w:lineRule="exact"/>
              <w:rPr>
                <w:rFonts w:ascii="仿宋_GB2312" w:hAnsi="仿宋" w:eastAsia="仿宋_GB2312"/>
                <w:b/>
                <w:bCs/>
                <w:sz w:val="20"/>
                <w:szCs w:val="20"/>
              </w:rPr>
            </w:pPr>
          </w:p>
        </w:tc>
      </w:tr>
      <w:tr w14:paraId="5C632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vMerge w:val="restart"/>
            <w:tcBorders>
              <w:top w:val="single" w:color="auto" w:sz="4" w:space="0"/>
              <w:left w:val="single" w:color="auto" w:sz="4" w:space="0"/>
              <w:bottom w:val="single" w:color="auto" w:sz="4" w:space="0"/>
              <w:right w:val="single" w:color="auto" w:sz="4" w:space="0"/>
            </w:tcBorders>
            <w:vAlign w:val="center"/>
          </w:tcPr>
          <w:p w14:paraId="36FC8535">
            <w:pPr>
              <w:spacing w:line="600" w:lineRule="exact"/>
              <w:jc w:val="center"/>
              <w:rPr>
                <w:rFonts w:ascii="仿宋_GB2312" w:hAnsi="仿宋" w:eastAsia="仿宋_GB2312"/>
                <w:sz w:val="20"/>
                <w:szCs w:val="20"/>
              </w:rPr>
            </w:pPr>
            <w:r>
              <w:rPr>
                <w:rFonts w:hint="eastAsia" w:ascii="仿宋_GB2312" w:hAnsi="仿宋" w:eastAsia="仿宋_GB2312"/>
                <w:sz w:val="20"/>
                <w:szCs w:val="20"/>
              </w:rPr>
              <w:t>做市业务联络人</w:t>
            </w:r>
          </w:p>
        </w:tc>
        <w:tc>
          <w:tcPr>
            <w:tcW w:w="1183" w:type="dxa"/>
            <w:tcBorders>
              <w:top w:val="single" w:color="auto" w:sz="4" w:space="0"/>
              <w:left w:val="single" w:color="auto" w:sz="4" w:space="0"/>
              <w:bottom w:val="single" w:color="auto" w:sz="4" w:space="0"/>
              <w:right w:val="single" w:color="auto" w:sz="4" w:space="0"/>
            </w:tcBorders>
            <w:vAlign w:val="center"/>
          </w:tcPr>
          <w:p w14:paraId="3EF94729">
            <w:pPr>
              <w:spacing w:line="600" w:lineRule="exact"/>
              <w:rPr>
                <w:rFonts w:ascii="仿宋_GB2312" w:hAnsi="仿宋" w:eastAsia="仿宋_GB2312"/>
                <w:sz w:val="20"/>
                <w:szCs w:val="20"/>
              </w:rPr>
            </w:pPr>
            <w:r>
              <w:rPr>
                <w:rFonts w:hint="eastAsia" w:ascii="仿宋_GB2312" w:hAnsi="仿宋" w:eastAsia="仿宋_GB2312"/>
                <w:sz w:val="20"/>
                <w:szCs w:val="20"/>
              </w:rPr>
              <w:t>姓名</w:t>
            </w:r>
          </w:p>
        </w:tc>
        <w:tc>
          <w:tcPr>
            <w:tcW w:w="5718" w:type="dxa"/>
            <w:gridSpan w:val="5"/>
            <w:tcBorders>
              <w:top w:val="single" w:color="auto" w:sz="4" w:space="0"/>
              <w:left w:val="single" w:color="auto" w:sz="4" w:space="0"/>
              <w:bottom w:val="single" w:color="auto" w:sz="4" w:space="0"/>
              <w:right w:val="single" w:color="auto" w:sz="4" w:space="0"/>
            </w:tcBorders>
            <w:vAlign w:val="center"/>
          </w:tcPr>
          <w:p w14:paraId="700994A5">
            <w:pPr>
              <w:spacing w:line="600" w:lineRule="exact"/>
              <w:rPr>
                <w:rFonts w:ascii="仿宋_GB2312" w:hAnsi="仿宋" w:eastAsia="仿宋_GB2312"/>
                <w:b/>
                <w:bCs/>
                <w:sz w:val="20"/>
                <w:szCs w:val="20"/>
              </w:rPr>
            </w:pPr>
          </w:p>
        </w:tc>
      </w:tr>
      <w:tr w14:paraId="2BA1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vMerge w:val="continue"/>
            <w:tcBorders>
              <w:top w:val="single" w:color="auto" w:sz="4" w:space="0"/>
              <w:left w:val="single" w:color="auto" w:sz="4" w:space="0"/>
              <w:bottom w:val="single" w:color="auto" w:sz="4" w:space="0"/>
              <w:right w:val="single" w:color="auto" w:sz="4" w:space="0"/>
            </w:tcBorders>
            <w:vAlign w:val="center"/>
          </w:tcPr>
          <w:p w14:paraId="0BB9B025">
            <w:pPr>
              <w:widowControl/>
              <w:spacing w:line="600" w:lineRule="exact"/>
              <w:jc w:val="left"/>
              <w:rPr>
                <w:rFonts w:ascii="仿宋_GB2312" w:hAnsi="仿宋" w:eastAsia="仿宋_GB2312"/>
                <w:b/>
                <w:bCs/>
                <w:sz w:val="20"/>
                <w:szCs w:val="20"/>
              </w:rPr>
            </w:pPr>
          </w:p>
        </w:tc>
        <w:tc>
          <w:tcPr>
            <w:tcW w:w="1183" w:type="dxa"/>
            <w:tcBorders>
              <w:top w:val="single" w:color="auto" w:sz="4" w:space="0"/>
              <w:left w:val="single" w:color="auto" w:sz="4" w:space="0"/>
              <w:bottom w:val="single" w:color="auto" w:sz="4" w:space="0"/>
              <w:right w:val="single" w:color="auto" w:sz="4" w:space="0"/>
            </w:tcBorders>
            <w:vAlign w:val="center"/>
          </w:tcPr>
          <w:p w14:paraId="3A309F4E">
            <w:pPr>
              <w:spacing w:line="600" w:lineRule="exact"/>
              <w:rPr>
                <w:rFonts w:ascii="仿宋_GB2312" w:hAnsi="仿宋" w:eastAsia="仿宋_GB2312"/>
                <w:sz w:val="20"/>
                <w:szCs w:val="20"/>
              </w:rPr>
            </w:pPr>
            <w:r>
              <w:rPr>
                <w:rFonts w:hint="eastAsia" w:ascii="仿宋_GB2312" w:hAnsi="仿宋" w:eastAsia="仿宋_GB2312"/>
                <w:sz w:val="20"/>
                <w:szCs w:val="20"/>
              </w:rPr>
              <w:t>部门</w:t>
            </w:r>
          </w:p>
        </w:tc>
        <w:tc>
          <w:tcPr>
            <w:tcW w:w="5718" w:type="dxa"/>
            <w:gridSpan w:val="5"/>
            <w:tcBorders>
              <w:top w:val="single" w:color="auto" w:sz="4" w:space="0"/>
              <w:left w:val="single" w:color="auto" w:sz="4" w:space="0"/>
              <w:bottom w:val="single" w:color="auto" w:sz="4" w:space="0"/>
              <w:right w:val="single" w:color="auto" w:sz="4" w:space="0"/>
            </w:tcBorders>
            <w:vAlign w:val="center"/>
          </w:tcPr>
          <w:p w14:paraId="33A724AD">
            <w:pPr>
              <w:spacing w:line="600" w:lineRule="exact"/>
              <w:rPr>
                <w:rFonts w:ascii="仿宋_GB2312" w:hAnsi="仿宋" w:eastAsia="仿宋_GB2312"/>
                <w:b/>
                <w:bCs/>
                <w:sz w:val="20"/>
                <w:szCs w:val="20"/>
              </w:rPr>
            </w:pPr>
          </w:p>
        </w:tc>
      </w:tr>
      <w:tr w14:paraId="39678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vMerge w:val="continue"/>
            <w:tcBorders>
              <w:top w:val="single" w:color="auto" w:sz="4" w:space="0"/>
              <w:left w:val="single" w:color="auto" w:sz="4" w:space="0"/>
              <w:bottom w:val="single" w:color="auto" w:sz="4" w:space="0"/>
              <w:right w:val="single" w:color="auto" w:sz="4" w:space="0"/>
            </w:tcBorders>
            <w:vAlign w:val="center"/>
          </w:tcPr>
          <w:p w14:paraId="5F7D03CA">
            <w:pPr>
              <w:widowControl/>
              <w:spacing w:line="600" w:lineRule="exact"/>
              <w:jc w:val="left"/>
              <w:rPr>
                <w:rFonts w:ascii="仿宋_GB2312" w:hAnsi="仿宋" w:eastAsia="仿宋_GB2312"/>
                <w:b/>
                <w:bCs/>
                <w:sz w:val="20"/>
                <w:szCs w:val="20"/>
              </w:rPr>
            </w:pPr>
          </w:p>
        </w:tc>
        <w:tc>
          <w:tcPr>
            <w:tcW w:w="1183" w:type="dxa"/>
            <w:tcBorders>
              <w:top w:val="single" w:color="auto" w:sz="4" w:space="0"/>
              <w:left w:val="single" w:color="auto" w:sz="4" w:space="0"/>
              <w:bottom w:val="single" w:color="auto" w:sz="4" w:space="0"/>
              <w:right w:val="single" w:color="auto" w:sz="4" w:space="0"/>
            </w:tcBorders>
            <w:vAlign w:val="center"/>
          </w:tcPr>
          <w:p w14:paraId="2D455478">
            <w:pPr>
              <w:spacing w:line="600" w:lineRule="exact"/>
              <w:rPr>
                <w:rFonts w:ascii="仿宋_GB2312" w:hAnsi="仿宋" w:eastAsia="仿宋_GB2312"/>
                <w:sz w:val="20"/>
                <w:szCs w:val="20"/>
              </w:rPr>
            </w:pPr>
            <w:r>
              <w:rPr>
                <w:rFonts w:hint="eastAsia" w:ascii="仿宋_GB2312" w:hAnsi="仿宋" w:eastAsia="仿宋_GB2312"/>
                <w:sz w:val="20"/>
                <w:szCs w:val="20"/>
              </w:rPr>
              <w:t>电话</w:t>
            </w:r>
          </w:p>
        </w:tc>
        <w:tc>
          <w:tcPr>
            <w:tcW w:w="1981" w:type="dxa"/>
            <w:gridSpan w:val="2"/>
            <w:tcBorders>
              <w:top w:val="single" w:color="auto" w:sz="4" w:space="0"/>
              <w:left w:val="single" w:color="auto" w:sz="4" w:space="0"/>
              <w:bottom w:val="single" w:color="auto" w:sz="4" w:space="0"/>
              <w:right w:val="single" w:color="auto" w:sz="4" w:space="0"/>
            </w:tcBorders>
            <w:vAlign w:val="center"/>
          </w:tcPr>
          <w:p w14:paraId="6B42BA38">
            <w:pPr>
              <w:spacing w:line="600" w:lineRule="exact"/>
              <w:rPr>
                <w:rFonts w:ascii="仿宋_GB2312" w:hAnsi="仿宋" w:eastAsia="仿宋_GB2312"/>
                <w:b/>
                <w:bCs/>
                <w:sz w:val="20"/>
                <w:szCs w:val="20"/>
              </w:rPr>
            </w:pP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664070DC">
            <w:pPr>
              <w:spacing w:line="600" w:lineRule="exact"/>
              <w:rPr>
                <w:rFonts w:ascii="仿宋_GB2312" w:hAnsi="仿宋" w:eastAsia="仿宋_GB2312"/>
                <w:sz w:val="20"/>
                <w:szCs w:val="20"/>
              </w:rPr>
            </w:pPr>
            <w:r>
              <w:rPr>
                <w:rFonts w:hint="eastAsia" w:ascii="仿宋_GB2312" w:hAnsi="仿宋" w:eastAsia="仿宋_GB2312"/>
                <w:sz w:val="20"/>
                <w:szCs w:val="20"/>
              </w:rPr>
              <w:t>邮件地址</w:t>
            </w:r>
          </w:p>
        </w:tc>
        <w:tc>
          <w:tcPr>
            <w:tcW w:w="2320" w:type="dxa"/>
            <w:tcBorders>
              <w:top w:val="single" w:color="auto" w:sz="4" w:space="0"/>
              <w:left w:val="single" w:color="auto" w:sz="4" w:space="0"/>
              <w:bottom w:val="single" w:color="auto" w:sz="4" w:space="0"/>
              <w:right w:val="single" w:color="auto" w:sz="4" w:space="0"/>
            </w:tcBorders>
            <w:vAlign w:val="center"/>
          </w:tcPr>
          <w:p w14:paraId="5E13D5CF">
            <w:pPr>
              <w:spacing w:line="600" w:lineRule="exact"/>
              <w:rPr>
                <w:rFonts w:ascii="仿宋_GB2312" w:hAnsi="仿宋" w:eastAsia="仿宋_GB2312"/>
                <w:b/>
                <w:bCs/>
                <w:sz w:val="20"/>
                <w:szCs w:val="20"/>
              </w:rPr>
            </w:pPr>
          </w:p>
        </w:tc>
      </w:tr>
      <w:tr w14:paraId="6237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trPr>
        <w:tc>
          <w:tcPr>
            <w:tcW w:w="8520" w:type="dxa"/>
            <w:gridSpan w:val="7"/>
            <w:tcBorders>
              <w:top w:val="single" w:color="auto" w:sz="4" w:space="0"/>
              <w:left w:val="single" w:color="auto" w:sz="4" w:space="0"/>
              <w:bottom w:val="single" w:color="auto" w:sz="4" w:space="0"/>
              <w:right w:val="single" w:color="auto" w:sz="4" w:space="0"/>
            </w:tcBorders>
            <w:shd w:val="clear" w:color="auto" w:fill="F2F2F2"/>
            <w:vAlign w:val="center"/>
          </w:tcPr>
          <w:p w14:paraId="0D07D74D">
            <w:pPr>
              <w:spacing w:line="600" w:lineRule="exact"/>
              <w:rPr>
                <w:rFonts w:ascii="仿宋_GB2312" w:hAnsi="仿宋" w:eastAsia="仿宋_GB2312"/>
                <w:b/>
                <w:sz w:val="20"/>
                <w:szCs w:val="20"/>
              </w:rPr>
            </w:pPr>
            <w:r>
              <w:rPr>
                <w:rFonts w:hint="eastAsia" w:ascii="仿宋_GB2312" w:hAnsi="仿宋" w:eastAsia="仿宋_GB2312"/>
                <w:b/>
                <w:sz w:val="20"/>
                <w:szCs w:val="20"/>
              </w:rPr>
              <w:t>部门与岗位设置</w:t>
            </w:r>
          </w:p>
        </w:tc>
      </w:tr>
      <w:tr w14:paraId="1018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8520" w:type="dxa"/>
            <w:gridSpan w:val="7"/>
            <w:tcBorders>
              <w:top w:val="single" w:color="auto" w:sz="4" w:space="0"/>
              <w:left w:val="single" w:color="auto" w:sz="4" w:space="0"/>
              <w:bottom w:val="single" w:color="auto" w:sz="4" w:space="0"/>
              <w:right w:val="single" w:color="auto" w:sz="4" w:space="0"/>
            </w:tcBorders>
            <w:vAlign w:val="center"/>
          </w:tcPr>
          <w:p w14:paraId="717D501C">
            <w:pPr>
              <w:spacing w:line="600" w:lineRule="exact"/>
              <w:rPr>
                <w:rFonts w:ascii="仿宋_GB2312" w:hAnsi="仿宋" w:eastAsia="仿宋_GB2312"/>
                <w:sz w:val="20"/>
                <w:szCs w:val="20"/>
              </w:rPr>
            </w:pPr>
            <w:r>
              <w:rPr>
                <w:rFonts w:hint="eastAsia" w:ascii="仿宋_GB2312" w:hAnsi="仿宋" w:eastAsia="仿宋_GB2312"/>
                <w:sz w:val="20"/>
                <w:szCs w:val="20"/>
              </w:rPr>
              <w:t>（部门名称1）工作职责包括：</w:t>
            </w:r>
          </w:p>
          <w:p w14:paraId="5EAE4D08">
            <w:pPr>
              <w:spacing w:line="600" w:lineRule="exact"/>
              <w:rPr>
                <w:rFonts w:ascii="仿宋_GB2312" w:hAnsi="仿宋" w:eastAsia="仿宋_GB2312"/>
                <w:sz w:val="20"/>
                <w:szCs w:val="20"/>
              </w:rPr>
            </w:pPr>
            <w:r>
              <w:rPr>
                <w:rFonts w:hint="eastAsia" w:ascii="仿宋_GB2312" w:hAnsi="仿宋" w:eastAsia="仿宋_GB2312"/>
                <w:sz w:val="20"/>
                <w:szCs w:val="20"/>
              </w:rPr>
              <w:t>（1）</w:t>
            </w:r>
          </w:p>
          <w:p w14:paraId="3CF17184">
            <w:pPr>
              <w:spacing w:line="600" w:lineRule="exact"/>
              <w:rPr>
                <w:rFonts w:ascii="仿宋_GB2312" w:hAnsi="仿宋" w:eastAsia="仿宋_GB2312"/>
                <w:sz w:val="20"/>
                <w:szCs w:val="20"/>
              </w:rPr>
            </w:pPr>
            <w:r>
              <w:rPr>
                <w:rFonts w:hint="eastAsia" w:ascii="仿宋_GB2312" w:hAnsi="仿宋" w:eastAsia="仿宋_GB2312"/>
                <w:sz w:val="20"/>
                <w:szCs w:val="20"/>
              </w:rPr>
              <w:t>（2）</w:t>
            </w:r>
          </w:p>
        </w:tc>
      </w:tr>
      <w:tr w14:paraId="49F02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tcBorders>
              <w:top w:val="single" w:color="auto" w:sz="4" w:space="0"/>
              <w:left w:val="single" w:color="auto" w:sz="4" w:space="0"/>
              <w:bottom w:val="single" w:color="auto" w:sz="4" w:space="0"/>
              <w:right w:val="single" w:color="auto" w:sz="4" w:space="0"/>
            </w:tcBorders>
            <w:vAlign w:val="center"/>
          </w:tcPr>
          <w:p w14:paraId="326AAE87">
            <w:pPr>
              <w:widowControl/>
              <w:spacing w:line="600" w:lineRule="exact"/>
              <w:rPr>
                <w:rFonts w:ascii="仿宋_GB2312" w:hAnsi="仿宋" w:eastAsia="仿宋_GB2312"/>
                <w:sz w:val="20"/>
                <w:szCs w:val="20"/>
              </w:rPr>
            </w:pPr>
            <w:r>
              <w:rPr>
                <w:rFonts w:hint="eastAsia" w:ascii="仿宋_GB2312" w:hAnsi="仿宋" w:eastAsia="仿宋_GB2312"/>
                <w:sz w:val="20"/>
                <w:szCs w:val="20"/>
              </w:rPr>
              <w:t>岗位</w:t>
            </w:r>
          </w:p>
        </w:tc>
        <w:tc>
          <w:tcPr>
            <w:tcW w:w="1183" w:type="dxa"/>
            <w:tcBorders>
              <w:top w:val="single" w:color="auto" w:sz="4" w:space="0"/>
              <w:left w:val="single" w:color="auto" w:sz="4" w:space="0"/>
              <w:bottom w:val="single" w:color="auto" w:sz="4" w:space="0"/>
              <w:right w:val="single" w:color="auto" w:sz="4" w:space="0"/>
            </w:tcBorders>
            <w:vAlign w:val="center"/>
          </w:tcPr>
          <w:p w14:paraId="402B34C5">
            <w:pPr>
              <w:spacing w:line="600" w:lineRule="exact"/>
              <w:rPr>
                <w:rFonts w:ascii="仿宋_GB2312" w:hAnsi="仿宋" w:eastAsia="仿宋_GB2312"/>
                <w:sz w:val="20"/>
                <w:szCs w:val="20"/>
              </w:rPr>
            </w:pPr>
            <w:r>
              <w:rPr>
                <w:rFonts w:hint="eastAsia" w:ascii="仿宋_GB2312" w:hAnsi="仿宋" w:eastAsia="仿宋_GB2312"/>
                <w:sz w:val="20"/>
                <w:szCs w:val="20"/>
              </w:rPr>
              <w:t>人员姓名</w:t>
            </w:r>
          </w:p>
        </w:tc>
        <w:tc>
          <w:tcPr>
            <w:tcW w:w="1559" w:type="dxa"/>
            <w:tcBorders>
              <w:top w:val="single" w:color="auto" w:sz="4" w:space="0"/>
              <w:left w:val="single" w:color="auto" w:sz="4" w:space="0"/>
              <w:bottom w:val="single" w:color="auto" w:sz="4" w:space="0"/>
              <w:right w:val="single" w:color="auto" w:sz="4" w:space="0"/>
            </w:tcBorders>
            <w:vAlign w:val="center"/>
          </w:tcPr>
          <w:p w14:paraId="335BEE0C">
            <w:pPr>
              <w:spacing w:line="600" w:lineRule="exact"/>
              <w:rPr>
                <w:rFonts w:ascii="仿宋_GB2312" w:hAnsi="仿宋" w:eastAsia="仿宋_GB2312"/>
                <w:sz w:val="20"/>
                <w:szCs w:val="20"/>
              </w:rPr>
            </w:pPr>
            <w:r>
              <w:rPr>
                <w:rFonts w:hint="eastAsia" w:ascii="仿宋_GB2312" w:hAnsi="仿宋" w:eastAsia="仿宋_GB2312"/>
                <w:sz w:val="20"/>
                <w:szCs w:val="20"/>
              </w:rPr>
              <w:t>职责描述（标明人员为主岗或备岗）</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0FDDFEB0">
            <w:pPr>
              <w:spacing w:line="600" w:lineRule="exact"/>
              <w:rPr>
                <w:rFonts w:ascii="仿宋_GB2312" w:hAnsi="仿宋" w:eastAsia="仿宋_GB2312"/>
                <w:sz w:val="20"/>
                <w:szCs w:val="20"/>
              </w:rPr>
            </w:pPr>
            <w:r>
              <w:rPr>
                <w:rFonts w:hint="eastAsia" w:ascii="仿宋_GB2312" w:hAnsi="仿宋" w:eastAsia="仿宋_GB2312"/>
                <w:sz w:val="20"/>
                <w:szCs w:val="20"/>
              </w:rPr>
              <w:t>联系方式</w:t>
            </w:r>
          </w:p>
        </w:tc>
        <w:tc>
          <w:tcPr>
            <w:tcW w:w="2458" w:type="dxa"/>
            <w:gridSpan w:val="2"/>
            <w:tcBorders>
              <w:top w:val="single" w:color="auto" w:sz="4" w:space="0"/>
              <w:left w:val="single" w:color="auto" w:sz="4" w:space="0"/>
              <w:bottom w:val="single" w:color="auto" w:sz="4" w:space="0"/>
              <w:right w:val="single" w:color="auto" w:sz="4" w:space="0"/>
            </w:tcBorders>
            <w:vAlign w:val="center"/>
          </w:tcPr>
          <w:p w14:paraId="5A015018">
            <w:pPr>
              <w:spacing w:line="600" w:lineRule="exact"/>
              <w:rPr>
                <w:rFonts w:ascii="仿宋_GB2312" w:hAnsi="仿宋" w:eastAsia="仿宋_GB2312"/>
                <w:sz w:val="20"/>
                <w:szCs w:val="20"/>
              </w:rPr>
            </w:pPr>
            <w:r>
              <w:rPr>
                <w:rFonts w:hint="eastAsia" w:ascii="仿宋_GB2312" w:hAnsi="仿宋" w:eastAsia="仿宋_GB2312"/>
                <w:sz w:val="20"/>
                <w:szCs w:val="20"/>
              </w:rPr>
              <w:t>工作履历</w:t>
            </w:r>
          </w:p>
        </w:tc>
      </w:tr>
      <w:tr w14:paraId="728DC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tcBorders>
              <w:top w:val="single" w:color="auto" w:sz="4" w:space="0"/>
              <w:left w:val="single" w:color="auto" w:sz="4" w:space="0"/>
              <w:bottom w:val="single" w:color="auto" w:sz="4" w:space="0"/>
              <w:right w:val="single" w:color="auto" w:sz="4" w:space="0"/>
            </w:tcBorders>
            <w:vAlign w:val="center"/>
          </w:tcPr>
          <w:p w14:paraId="4B26CA8B">
            <w:pPr>
              <w:widowControl/>
              <w:spacing w:line="600" w:lineRule="exact"/>
              <w:rPr>
                <w:rFonts w:ascii="仿宋_GB2312" w:hAnsi="仿宋" w:eastAsia="仿宋_GB2312"/>
                <w:i/>
                <w:sz w:val="20"/>
                <w:szCs w:val="20"/>
              </w:rPr>
            </w:pPr>
            <w:r>
              <w:rPr>
                <w:rFonts w:hint="eastAsia" w:ascii="仿宋_GB2312" w:hAnsi="仿宋" w:eastAsia="仿宋_GB2312"/>
                <w:i/>
                <w:sz w:val="20"/>
                <w:szCs w:val="20"/>
              </w:rPr>
              <w:t>（部门负责人）</w:t>
            </w:r>
          </w:p>
        </w:tc>
        <w:tc>
          <w:tcPr>
            <w:tcW w:w="1183" w:type="dxa"/>
            <w:tcBorders>
              <w:top w:val="single" w:color="auto" w:sz="4" w:space="0"/>
              <w:left w:val="single" w:color="auto" w:sz="4" w:space="0"/>
              <w:bottom w:val="single" w:color="auto" w:sz="4" w:space="0"/>
              <w:right w:val="single" w:color="auto" w:sz="4" w:space="0"/>
            </w:tcBorders>
            <w:vAlign w:val="center"/>
          </w:tcPr>
          <w:p w14:paraId="0737EC91">
            <w:pPr>
              <w:spacing w:line="600" w:lineRule="exact"/>
              <w:rPr>
                <w:rFonts w:ascii="仿宋_GB2312" w:hAnsi="仿宋" w:eastAsia="仿宋_GB2312"/>
                <w:b/>
                <w:bCs/>
                <w:sz w:val="20"/>
                <w:szCs w:val="20"/>
              </w:rPr>
            </w:pPr>
          </w:p>
        </w:tc>
        <w:tc>
          <w:tcPr>
            <w:tcW w:w="1559" w:type="dxa"/>
            <w:tcBorders>
              <w:top w:val="single" w:color="auto" w:sz="4" w:space="0"/>
              <w:left w:val="single" w:color="auto" w:sz="4" w:space="0"/>
              <w:bottom w:val="single" w:color="auto" w:sz="4" w:space="0"/>
              <w:right w:val="single" w:color="auto" w:sz="4" w:space="0"/>
            </w:tcBorders>
            <w:vAlign w:val="center"/>
          </w:tcPr>
          <w:p w14:paraId="0ABD6F6D">
            <w:pPr>
              <w:spacing w:line="600" w:lineRule="exact"/>
              <w:rPr>
                <w:rFonts w:ascii="仿宋_GB2312" w:hAnsi="仿宋" w:eastAsia="仿宋_GB2312"/>
                <w:b/>
                <w:bCs/>
                <w:sz w:val="20"/>
                <w:szCs w:val="20"/>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4A209732">
            <w:pPr>
              <w:spacing w:line="600" w:lineRule="exact"/>
              <w:rPr>
                <w:rFonts w:ascii="仿宋_GB2312" w:hAnsi="仿宋" w:eastAsia="仿宋_GB2312"/>
                <w:i/>
                <w:sz w:val="20"/>
                <w:szCs w:val="20"/>
              </w:rPr>
            </w:pPr>
            <w:r>
              <w:rPr>
                <w:rFonts w:hint="eastAsia" w:ascii="仿宋_GB2312" w:hAnsi="仿宋" w:eastAsia="仿宋_GB2312"/>
                <w:i/>
                <w:sz w:val="20"/>
                <w:szCs w:val="20"/>
              </w:rPr>
              <w:t>（座机）</w:t>
            </w:r>
          </w:p>
          <w:p w14:paraId="312D4FD3">
            <w:pPr>
              <w:spacing w:line="600" w:lineRule="exact"/>
              <w:rPr>
                <w:rFonts w:ascii="仿宋_GB2312" w:hAnsi="仿宋" w:eastAsia="仿宋_GB2312"/>
                <w:i/>
                <w:sz w:val="20"/>
                <w:szCs w:val="20"/>
              </w:rPr>
            </w:pPr>
            <w:r>
              <w:rPr>
                <w:rFonts w:hint="eastAsia" w:ascii="仿宋_GB2312" w:hAnsi="仿宋" w:eastAsia="仿宋_GB2312"/>
                <w:i/>
                <w:sz w:val="20"/>
                <w:szCs w:val="20"/>
              </w:rPr>
              <w:t>（手机）</w:t>
            </w:r>
          </w:p>
          <w:p w14:paraId="6D6F7A1C">
            <w:pPr>
              <w:spacing w:line="600" w:lineRule="exact"/>
              <w:rPr>
                <w:rFonts w:ascii="仿宋_GB2312" w:hAnsi="仿宋" w:eastAsia="仿宋_GB2312"/>
                <w:sz w:val="20"/>
                <w:szCs w:val="20"/>
              </w:rPr>
            </w:pPr>
            <w:r>
              <w:rPr>
                <w:rFonts w:hint="eastAsia" w:ascii="仿宋_GB2312" w:hAnsi="仿宋" w:eastAsia="仿宋_GB2312"/>
                <w:i/>
                <w:sz w:val="20"/>
                <w:szCs w:val="20"/>
              </w:rPr>
              <w:t>（邮件）</w:t>
            </w:r>
          </w:p>
        </w:tc>
        <w:tc>
          <w:tcPr>
            <w:tcW w:w="2458" w:type="dxa"/>
            <w:gridSpan w:val="2"/>
            <w:tcBorders>
              <w:top w:val="single" w:color="auto" w:sz="4" w:space="0"/>
              <w:left w:val="single" w:color="auto" w:sz="4" w:space="0"/>
              <w:bottom w:val="single" w:color="auto" w:sz="4" w:space="0"/>
              <w:right w:val="single" w:color="auto" w:sz="4" w:space="0"/>
            </w:tcBorders>
            <w:vAlign w:val="center"/>
          </w:tcPr>
          <w:p w14:paraId="59BB304A">
            <w:pPr>
              <w:rPr>
                <w:rFonts w:ascii="仿宋_GB2312" w:hAnsi="仿宋" w:eastAsia="仿宋_GB2312"/>
                <w:i/>
                <w:sz w:val="20"/>
                <w:szCs w:val="20"/>
              </w:rPr>
            </w:pPr>
          </w:p>
          <w:p w14:paraId="41E5832D">
            <w:pPr>
              <w:spacing w:line="600" w:lineRule="exact"/>
              <w:rPr>
                <w:rFonts w:ascii="仿宋_GB2312" w:hAnsi="仿宋" w:eastAsia="仿宋_GB2312"/>
                <w:i/>
                <w:sz w:val="20"/>
                <w:szCs w:val="20"/>
              </w:rPr>
            </w:pPr>
            <w:r>
              <w:rPr>
                <w:rFonts w:hint="eastAsia" w:ascii="仿宋_GB2312" w:hAnsi="仿宋" w:eastAsia="仿宋_GB2312"/>
                <w:i/>
                <w:sz w:val="20"/>
                <w:szCs w:val="20"/>
              </w:rPr>
              <w:t>工作履历：</w:t>
            </w:r>
          </w:p>
          <w:p w14:paraId="30093A31">
            <w:pPr>
              <w:rPr>
                <w:rFonts w:ascii="仿宋_GB2312" w:hAnsi="仿宋" w:eastAsia="仿宋_GB2312"/>
                <w:i/>
                <w:sz w:val="20"/>
                <w:szCs w:val="20"/>
              </w:rPr>
            </w:pPr>
            <w:r>
              <w:rPr>
                <w:rFonts w:hint="eastAsia" w:ascii="仿宋_GB2312" w:hAnsi="仿宋" w:eastAsia="仿宋_GB2312"/>
                <w:i/>
                <w:sz w:val="20"/>
                <w:szCs w:val="20"/>
              </w:rPr>
              <w:t>（年份-单位-职责）</w:t>
            </w:r>
          </w:p>
        </w:tc>
      </w:tr>
      <w:tr w14:paraId="15E54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trPr>
        <w:tc>
          <w:tcPr>
            <w:tcW w:w="1619" w:type="dxa"/>
            <w:tcBorders>
              <w:top w:val="single" w:color="auto" w:sz="4" w:space="0"/>
              <w:left w:val="single" w:color="auto" w:sz="4" w:space="0"/>
              <w:bottom w:val="single" w:color="auto" w:sz="4" w:space="0"/>
              <w:right w:val="single" w:color="auto" w:sz="4" w:space="0"/>
            </w:tcBorders>
            <w:vAlign w:val="center"/>
          </w:tcPr>
          <w:p w14:paraId="699E1D46">
            <w:pPr>
              <w:widowControl/>
              <w:spacing w:line="600" w:lineRule="exact"/>
              <w:rPr>
                <w:rFonts w:ascii="仿宋_GB2312" w:hAnsi="仿宋" w:eastAsia="仿宋_GB2312"/>
                <w:b/>
                <w:bCs/>
                <w:sz w:val="20"/>
                <w:szCs w:val="20"/>
              </w:rPr>
            </w:pPr>
          </w:p>
        </w:tc>
        <w:tc>
          <w:tcPr>
            <w:tcW w:w="1183" w:type="dxa"/>
            <w:tcBorders>
              <w:top w:val="single" w:color="auto" w:sz="4" w:space="0"/>
              <w:left w:val="single" w:color="auto" w:sz="4" w:space="0"/>
              <w:bottom w:val="single" w:color="auto" w:sz="4" w:space="0"/>
              <w:right w:val="single" w:color="auto" w:sz="4" w:space="0"/>
            </w:tcBorders>
            <w:vAlign w:val="center"/>
          </w:tcPr>
          <w:p w14:paraId="0A4CC49A">
            <w:pPr>
              <w:spacing w:line="600" w:lineRule="exact"/>
              <w:rPr>
                <w:rFonts w:ascii="仿宋_GB2312" w:hAnsi="仿宋" w:eastAsia="仿宋_GB2312"/>
                <w:b/>
                <w:bCs/>
                <w:sz w:val="20"/>
                <w:szCs w:val="20"/>
              </w:rPr>
            </w:pPr>
          </w:p>
        </w:tc>
        <w:tc>
          <w:tcPr>
            <w:tcW w:w="1559" w:type="dxa"/>
            <w:tcBorders>
              <w:top w:val="single" w:color="auto" w:sz="4" w:space="0"/>
              <w:left w:val="single" w:color="auto" w:sz="4" w:space="0"/>
              <w:bottom w:val="single" w:color="auto" w:sz="4" w:space="0"/>
              <w:right w:val="single" w:color="auto" w:sz="4" w:space="0"/>
            </w:tcBorders>
            <w:vAlign w:val="center"/>
          </w:tcPr>
          <w:p w14:paraId="3A142E38">
            <w:pPr>
              <w:spacing w:line="600" w:lineRule="exact"/>
              <w:rPr>
                <w:rFonts w:ascii="仿宋_GB2312" w:hAnsi="仿宋" w:eastAsia="仿宋_GB2312"/>
                <w:b/>
                <w:bCs/>
                <w:sz w:val="20"/>
                <w:szCs w:val="20"/>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362F873F">
            <w:pPr>
              <w:spacing w:line="600" w:lineRule="exact"/>
              <w:rPr>
                <w:rFonts w:ascii="仿宋_GB2312" w:hAnsi="仿宋" w:eastAsia="仿宋_GB2312"/>
                <w:b/>
                <w:bCs/>
                <w:sz w:val="20"/>
                <w:szCs w:val="20"/>
              </w:rPr>
            </w:pPr>
          </w:p>
        </w:tc>
        <w:tc>
          <w:tcPr>
            <w:tcW w:w="2458" w:type="dxa"/>
            <w:gridSpan w:val="2"/>
            <w:tcBorders>
              <w:top w:val="single" w:color="auto" w:sz="4" w:space="0"/>
              <w:left w:val="single" w:color="auto" w:sz="4" w:space="0"/>
              <w:bottom w:val="single" w:color="auto" w:sz="4" w:space="0"/>
              <w:right w:val="single" w:color="auto" w:sz="4" w:space="0"/>
            </w:tcBorders>
            <w:vAlign w:val="center"/>
          </w:tcPr>
          <w:p w14:paraId="72364619">
            <w:pPr>
              <w:spacing w:line="600" w:lineRule="exact"/>
              <w:rPr>
                <w:rFonts w:ascii="仿宋_GB2312" w:hAnsi="仿宋" w:eastAsia="仿宋_GB2312"/>
                <w:b/>
                <w:bCs/>
                <w:sz w:val="20"/>
                <w:szCs w:val="20"/>
              </w:rPr>
            </w:pPr>
          </w:p>
        </w:tc>
      </w:tr>
      <w:tr w14:paraId="34F09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tcBorders>
              <w:top w:val="single" w:color="auto" w:sz="4" w:space="0"/>
              <w:left w:val="single" w:color="auto" w:sz="4" w:space="0"/>
              <w:bottom w:val="single" w:color="auto" w:sz="4" w:space="0"/>
              <w:right w:val="single" w:color="auto" w:sz="4" w:space="0"/>
            </w:tcBorders>
            <w:vAlign w:val="center"/>
          </w:tcPr>
          <w:p w14:paraId="4C0FDF9A">
            <w:pPr>
              <w:widowControl/>
              <w:spacing w:line="600" w:lineRule="exact"/>
              <w:rPr>
                <w:rFonts w:ascii="仿宋_GB2312" w:hAnsi="仿宋" w:eastAsia="仿宋_GB2312"/>
                <w:b/>
                <w:bCs/>
                <w:sz w:val="20"/>
                <w:szCs w:val="20"/>
              </w:rPr>
            </w:pPr>
          </w:p>
        </w:tc>
        <w:tc>
          <w:tcPr>
            <w:tcW w:w="1183" w:type="dxa"/>
            <w:tcBorders>
              <w:top w:val="single" w:color="auto" w:sz="4" w:space="0"/>
              <w:left w:val="single" w:color="auto" w:sz="4" w:space="0"/>
              <w:bottom w:val="single" w:color="auto" w:sz="4" w:space="0"/>
              <w:right w:val="single" w:color="auto" w:sz="4" w:space="0"/>
            </w:tcBorders>
            <w:vAlign w:val="center"/>
          </w:tcPr>
          <w:p w14:paraId="51071A0A">
            <w:pPr>
              <w:spacing w:line="600" w:lineRule="exact"/>
              <w:rPr>
                <w:rFonts w:ascii="仿宋_GB2312" w:hAnsi="仿宋" w:eastAsia="仿宋_GB2312"/>
                <w:b/>
                <w:bCs/>
                <w:sz w:val="20"/>
                <w:szCs w:val="20"/>
              </w:rPr>
            </w:pPr>
          </w:p>
        </w:tc>
        <w:tc>
          <w:tcPr>
            <w:tcW w:w="1559" w:type="dxa"/>
            <w:tcBorders>
              <w:top w:val="single" w:color="auto" w:sz="4" w:space="0"/>
              <w:left w:val="single" w:color="auto" w:sz="4" w:space="0"/>
              <w:bottom w:val="single" w:color="auto" w:sz="4" w:space="0"/>
              <w:right w:val="single" w:color="auto" w:sz="4" w:space="0"/>
            </w:tcBorders>
            <w:vAlign w:val="center"/>
          </w:tcPr>
          <w:p w14:paraId="6A289BD7">
            <w:pPr>
              <w:spacing w:line="600" w:lineRule="exact"/>
              <w:rPr>
                <w:rFonts w:ascii="仿宋_GB2312" w:hAnsi="仿宋" w:eastAsia="仿宋_GB2312"/>
                <w:b/>
                <w:bCs/>
                <w:sz w:val="20"/>
                <w:szCs w:val="20"/>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18021584">
            <w:pPr>
              <w:spacing w:line="600" w:lineRule="exact"/>
              <w:rPr>
                <w:rFonts w:ascii="仿宋_GB2312" w:hAnsi="仿宋" w:eastAsia="仿宋_GB2312"/>
                <w:b/>
                <w:bCs/>
                <w:sz w:val="20"/>
                <w:szCs w:val="20"/>
              </w:rPr>
            </w:pPr>
          </w:p>
        </w:tc>
        <w:tc>
          <w:tcPr>
            <w:tcW w:w="2458" w:type="dxa"/>
            <w:gridSpan w:val="2"/>
            <w:tcBorders>
              <w:top w:val="single" w:color="auto" w:sz="4" w:space="0"/>
              <w:left w:val="single" w:color="auto" w:sz="4" w:space="0"/>
              <w:bottom w:val="single" w:color="auto" w:sz="4" w:space="0"/>
              <w:right w:val="single" w:color="auto" w:sz="4" w:space="0"/>
            </w:tcBorders>
            <w:vAlign w:val="center"/>
          </w:tcPr>
          <w:p w14:paraId="15651222">
            <w:pPr>
              <w:spacing w:line="600" w:lineRule="exact"/>
              <w:rPr>
                <w:rFonts w:ascii="仿宋_GB2312" w:hAnsi="仿宋" w:eastAsia="仿宋_GB2312"/>
                <w:b/>
                <w:bCs/>
                <w:sz w:val="20"/>
                <w:szCs w:val="20"/>
              </w:rPr>
            </w:pPr>
          </w:p>
        </w:tc>
      </w:tr>
      <w:tr w14:paraId="02A49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8520" w:type="dxa"/>
            <w:gridSpan w:val="7"/>
            <w:tcBorders>
              <w:top w:val="single" w:color="auto" w:sz="4" w:space="0"/>
              <w:left w:val="single" w:color="auto" w:sz="4" w:space="0"/>
              <w:bottom w:val="single" w:color="auto" w:sz="4" w:space="0"/>
              <w:right w:val="single" w:color="auto" w:sz="4" w:space="0"/>
            </w:tcBorders>
            <w:vAlign w:val="center"/>
          </w:tcPr>
          <w:p w14:paraId="1C4C62EA">
            <w:pPr>
              <w:spacing w:line="600" w:lineRule="exact"/>
              <w:rPr>
                <w:rFonts w:ascii="仿宋_GB2312" w:hAnsi="仿宋" w:eastAsia="仿宋_GB2312"/>
                <w:sz w:val="20"/>
                <w:szCs w:val="20"/>
              </w:rPr>
            </w:pPr>
            <w:r>
              <w:rPr>
                <w:rFonts w:hint="eastAsia" w:ascii="仿宋_GB2312" w:hAnsi="仿宋" w:eastAsia="仿宋_GB2312"/>
                <w:sz w:val="20"/>
                <w:szCs w:val="20"/>
              </w:rPr>
              <w:t>（部门名称2）工作职责包括：</w:t>
            </w:r>
          </w:p>
          <w:p w14:paraId="1DE52699">
            <w:pPr>
              <w:spacing w:line="600" w:lineRule="exact"/>
              <w:rPr>
                <w:rFonts w:ascii="仿宋_GB2312" w:hAnsi="仿宋" w:eastAsia="仿宋_GB2312"/>
                <w:sz w:val="20"/>
                <w:szCs w:val="20"/>
              </w:rPr>
            </w:pPr>
            <w:r>
              <w:rPr>
                <w:rFonts w:hint="eastAsia" w:ascii="仿宋_GB2312" w:hAnsi="仿宋" w:eastAsia="仿宋_GB2312"/>
                <w:sz w:val="20"/>
                <w:szCs w:val="20"/>
              </w:rPr>
              <w:t>（1）</w:t>
            </w:r>
          </w:p>
          <w:p w14:paraId="0F96B667">
            <w:pPr>
              <w:spacing w:line="600" w:lineRule="exact"/>
              <w:rPr>
                <w:rFonts w:ascii="仿宋_GB2312" w:hAnsi="仿宋" w:eastAsia="仿宋_GB2312"/>
                <w:sz w:val="20"/>
                <w:szCs w:val="20"/>
              </w:rPr>
            </w:pPr>
            <w:r>
              <w:rPr>
                <w:rFonts w:hint="eastAsia" w:ascii="仿宋_GB2312" w:hAnsi="仿宋" w:eastAsia="仿宋_GB2312"/>
                <w:sz w:val="20"/>
                <w:szCs w:val="20"/>
              </w:rPr>
              <w:t>（2）</w:t>
            </w:r>
          </w:p>
        </w:tc>
      </w:tr>
      <w:tr w14:paraId="637D6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tcBorders>
              <w:top w:val="single" w:color="auto" w:sz="4" w:space="0"/>
              <w:left w:val="single" w:color="auto" w:sz="4" w:space="0"/>
              <w:bottom w:val="single" w:color="auto" w:sz="4" w:space="0"/>
              <w:right w:val="single" w:color="auto" w:sz="4" w:space="0"/>
            </w:tcBorders>
            <w:vAlign w:val="center"/>
          </w:tcPr>
          <w:p w14:paraId="0DDCD9B4">
            <w:pPr>
              <w:widowControl/>
              <w:spacing w:line="600" w:lineRule="exact"/>
              <w:rPr>
                <w:rFonts w:ascii="仿宋_GB2312" w:hAnsi="仿宋" w:eastAsia="仿宋_GB2312"/>
                <w:sz w:val="20"/>
                <w:szCs w:val="20"/>
              </w:rPr>
            </w:pPr>
            <w:r>
              <w:rPr>
                <w:rFonts w:hint="eastAsia" w:ascii="仿宋_GB2312" w:hAnsi="仿宋" w:eastAsia="仿宋_GB2312"/>
                <w:sz w:val="20"/>
                <w:szCs w:val="20"/>
              </w:rPr>
              <w:t>岗位</w:t>
            </w:r>
          </w:p>
        </w:tc>
        <w:tc>
          <w:tcPr>
            <w:tcW w:w="1183" w:type="dxa"/>
            <w:tcBorders>
              <w:top w:val="single" w:color="auto" w:sz="4" w:space="0"/>
              <w:left w:val="single" w:color="auto" w:sz="4" w:space="0"/>
              <w:bottom w:val="single" w:color="auto" w:sz="4" w:space="0"/>
              <w:right w:val="single" w:color="auto" w:sz="4" w:space="0"/>
            </w:tcBorders>
            <w:vAlign w:val="center"/>
          </w:tcPr>
          <w:p w14:paraId="5358F2C2">
            <w:pPr>
              <w:spacing w:line="600" w:lineRule="exact"/>
              <w:rPr>
                <w:rFonts w:ascii="仿宋_GB2312" w:hAnsi="仿宋" w:eastAsia="仿宋_GB2312"/>
                <w:sz w:val="20"/>
                <w:szCs w:val="20"/>
              </w:rPr>
            </w:pPr>
            <w:r>
              <w:rPr>
                <w:rFonts w:hint="eastAsia" w:ascii="仿宋_GB2312" w:hAnsi="仿宋" w:eastAsia="仿宋_GB2312"/>
                <w:sz w:val="20"/>
                <w:szCs w:val="20"/>
              </w:rPr>
              <w:t>人员姓名</w:t>
            </w:r>
          </w:p>
        </w:tc>
        <w:tc>
          <w:tcPr>
            <w:tcW w:w="1559" w:type="dxa"/>
            <w:tcBorders>
              <w:top w:val="single" w:color="auto" w:sz="4" w:space="0"/>
              <w:left w:val="single" w:color="auto" w:sz="4" w:space="0"/>
              <w:bottom w:val="single" w:color="auto" w:sz="4" w:space="0"/>
              <w:right w:val="single" w:color="auto" w:sz="4" w:space="0"/>
            </w:tcBorders>
            <w:vAlign w:val="center"/>
          </w:tcPr>
          <w:p w14:paraId="51D79613">
            <w:pPr>
              <w:spacing w:line="600" w:lineRule="exact"/>
              <w:rPr>
                <w:rFonts w:ascii="仿宋_GB2312" w:hAnsi="仿宋" w:eastAsia="仿宋_GB2312"/>
                <w:sz w:val="20"/>
                <w:szCs w:val="20"/>
              </w:rPr>
            </w:pPr>
            <w:r>
              <w:rPr>
                <w:rFonts w:hint="eastAsia" w:ascii="仿宋_GB2312" w:hAnsi="仿宋" w:eastAsia="仿宋_GB2312"/>
                <w:sz w:val="20"/>
                <w:szCs w:val="20"/>
              </w:rPr>
              <w:t>职责描述</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3F3B6133">
            <w:pPr>
              <w:spacing w:line="600" w:lineRule="exact"/>
              <w:rPr>
                <w:rFonts w:ascii="仿宋_GB2312" w:hAnsi="仿宋" w:eastAsia="仿宋_GB2312"/>
                <w:sz w:val="20"/>
                <w:szCs w:val="20"/>
              </w:rPr>
            </w:pPr>
            <w:r>
              <w:rPr>
                <w:rFonts w:hint="eastAsia" w:ascii="仿宋_GB2312" w:hAnsi="仿宋" w:eastAsia="仿宋_GB2312"/>
                <w:sz w:val="20"/>
                <w:szCs w:val="20"/>
              </w:rPr>
              <w:t>联系方式</w:t>
            </w:r>
          </w:p>
        </w:tc>
        <w:tc>
          <w:tcPr>
            <w:tcW w:w="2458" w:type="dxa"/>
            <w:gridSpan w:val="2"/>
            <w:tcBorders>
              <w:top w:val="single" w:color="auto" w:sz="4" w:space="0"/>
              <w:left w:val="single" w:color="auto" w:sz="4" w:space="0"/>
              <w:bottom w:val="single" w:color="auto" w:sz="4" w:space="0"/>
              <w:right w:val="single" w:color="auto" w:sz="4" w:space="0"/>
            </w:tcBorders>
            <w:vAlign w:val="center"/>
          </w:tcPr>
          <w:p w14:paraId="435C1C23">
            <w:pPr>
              <w:spacing w:line="600" w:lineRule="exact"/>
              <w:rPr>
                <w:rFonts w:ascii="仿宋_GB2312" w:hAnsi="仿宋" w:eastAsia="仿宋_GB2312"/>
                <w:sz w:val="20"/>
                <w:szCs w:val="20"/>
              </w:rPr>
            </w:pPr>
            <w:r>
              <w:rPr>
                <w:rFonts w:hint="eastAsia" w:ascii="仿宋_GB2312" w:hAnsi="仿宋" w:eastAsia="仿宋_GB2312"/>
                <w:sz w:val="20"/>
                <w:szCs w:val="20"/>
              </w:rPr>
              <w:t>工作履历</w:t>
            </w:r>
          </w:p>
        </w:tc>
      </w:tr>
      <w:tr w14:paraId="324D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trPr>
        <w:tc>
          <w:tcPr>
            <w:tcW w:w="1619" w:type="dxa"/>
            <w:tcBorders>
              <w:top w:val="single" w:color="auto" w:sz="4" w:space="0"/>
              <w:left w:val="single" w:color="auto" w:sz="4" w:space="0"/>
              <w:bottom w:val="single" w:color="auto" w:sz="4" w:space="0"/>
              <w:right w:val="single" w:color="auto" w:sz="4" w:space="0"/>
            </w:tcBorders>
            <w:vAlign w:val="center"/>
          </w:tcPr>
          <w:p w14:paraId="7F563B99">
            <w:pPr>
              <w:widowControl/>
              <w:spacing w:line="600" w:lineRule="exact"/>
              <w:rPr>
                <w:rFonts w:ascii="仿宋_GB2312" w:hAnsi="仿宋" w:eastAsia="仿宋_GB2312"/>
                <w:b/>
                <w:bCs/>
                <w:sz w:val="20"/>
                <w:szCs w:val="20"/>
              </w:rPr>
            </w:pPr>
          </w:p>
        </w:tc>
        <w:tc>
          <w:tcPr>
            <w:tcW w:w="1183" w:type="dxa"/>
            <w:tcBorders>
              <w:top w:val="single" w:color="auto" w:sz="4" w:space="0"/>
              <w:left w:val="single" w:color="auto" w:sz="4" w:space="0"/>
              <w:bottom w:val="single" w:color="auto" w:sz="4" w:space="0"/>
              <w:right w:val="single" w:color="auto" w:sz="4" w:space="0"/>
            </w:tcBorders>
            <w:vAlign w:val="center"/>
          </w:tcPr>
          <w:p w14:paraId="172B2B7F">
            <w:pPr>
              <w:spacing w:line="600" w:lineRule="exact"/>
              <w:rPr>
                <w:rFonts w:ascii="仿宋_GB2312" w:hAnsi="仿宋" w:eastAsia="仿宋_GB2312"/>
                <w:b/>
                <w:bCs/>
                <w:sz w:val="20"/>
                <w:szCs w:val="20"/>
              </w:rPr>
            </w:pPr>
          </w:p>
        </w:tc>
        <w:tc>
          <w:tcPr>
            <w:tcW w:w="1559" w:type="dxa"/>
            <w:tcBorders>
              <w:top w:val="single" w:color="auto" w:sz="4" w:space="0"/>
              <w:left w:val="single" w:color="auto" w:sz="4" w:space="0"/>
              <w:bottom w:val="single" w:color="auto" w:sz="4" w:space="0"/>
              <w:right w:val="single" w:color="auto" w:sz="4" w:space="0"/>
            </w:tcBorders>
            <w:vAlign w:val="center"/>
          </w:tcPr>
          <w:p w14:paraId="5B08054A">
            <w:pPr>
              <w:spacing w:line="600" w:lineRule="exact"/>
              <w:rPr>
                <w:rFonts w:ascii="仿宋_GB2312" w:hAnsi="仿宋" w:eastAsia="仿宋_GB2312"/>
                <w:b/>
                <w:bCs/>
                <w:sz w:val="20"/>
                <w:szCs w:val="20"/>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12746A35">
            <w:pPr>
              <w:spacing w:line="600" w:lineRule="exact"/>
              <w:rPr>
                <w:rFonts w:ascii="仿宋_GB2312" w:hAnsi="仿宋" w:eastAsia="仿宋_GB2312"/>
                <w:b/>
                <w:bCs/>
                <w:sz w:val="20"/>
                <w:szCs w:val="20"/>
              </w:rPr>
            </w:pPr>
          </w:p>
        </w:tc>
        <w:tc>
          <w:tcPr>
            <w:tcW w:w="2458" w:type="dxa"/>
            <w:gridSpan w:val="2"/>
            <w:tcBorders>
              <w:top w:val="single" w:color="auto" w:sz="4" w:space="0"/>
              <w:left w:val="single" w:color="auto" w:sz="4" w:space="0"/>
              <w:bottom w:val="single" w:color="auto" w:sz="4" w:space="0"/>
              <w:right w:val="single" w:color="auto" w:sz="4" w:space="0"/>
            </w:tcBorders>
            <w:vAlign w:val="center"/>
          </w:tcPr>
          <w:p w14:paraId="7A2FA694">
            <w:pPr>
              <w:spacing w:line="600" w:lineRule="exact"/>
              <w:rPr>
                <w:rFonts w:ascii="仿宋_GB2312" w:hAnsi="仿宋" w:eastAsia="仿宋_GB2312"/>
                <w:b/>
                <w:bCs/>
                <w:sz w:val="20"/>
                <w:szCs w:val="20"/>
              </w:rPr>
            </w:pPr>
          </w:p>
        </w:tc>
      </w:tr>
      <w:tr w14:paraId="06553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tcBorders>
              <w:top w:val="single" w:color="auto" w:sz="4" w:space="0"/>
              <w:left w:val="single" w:color="auto" w:sz="4" w:space="0"/>
              <w:bottom w:val="single" w:color="auto" w:sz="4" w:space="0"/>
              <w:right w:val="single" w:color="auto" w:sz="4" w:space="0"/>
            </w:tcBorders>
            <w:vAlign w:val="center"/>
          </w:tcPr>
          <w:p w14:paraId="21F3CC19">
            <w:pPr>
              <w:widowControl/>
              <w:spacing w:line="600" w:lineRule="exact"/>
              <w:rPr>
                <w:rFonts w:ascii="仿宋_GB2312" w:hAnsi="仿宋" w:eastAsia="仿宋_GB2312"/>
                <w:b/>
                <w:bCs/>
                <w:sz w:val="20"/>
                <w:szCs w:val="20"/>
              </w:rPr>
            </w:pPr>
          </w:p>
        </w:tc>
        <w:tc>
          <w:tcPr>
            <w:tcW w:w="1183" w:type="dxa"/>
            <w:tcBorders>
              <w:top w:val="single" w:color="auto" w:sz="4" w:space="0"/>
              <w:left w:val="single" w:color="auto" w:sz="4" w:space="0"/>
              <w:bottom w:val="single" w:color="auto" w:sz="4" w:space="0"/>
              <w:right w:val="single" w:color="auto" w:sz="4" w:space="0"/>
            </w:tcBorders>
            <w:vAlign w:val="center"/>
          </w:tcPr>
          <w:p w14:paraId="76C0740C">
            <w:pPr>
              <w:spacing w:line="600" w:lineRule="exact"/>
              <w:rPr>
                <w:rFonts w:ascii="仿宋_GB2312" w:hAnsi="仿宋" w:eastAsia="仿宋_GB2312"/>
                <w:b/>
                <w:bCs/>
                <w:sz w:val="20"/>
                <w:szCs w:val="20"/>
              </w:rPr>
            </w:pPr>
          </w:p>
        </w:tc>
        <w:tc>
          <w:tcPr>
            <w:tcW w:w="1559" w:type="dxa"/>
            <w:tcBorders>
              <w:top w:val="single" w:color="auto" w:sz="4" w:space="0"/>
              <w:left w:val="single" w:color="auto" w:sz="4" w:space="0"/>
              <w:bottom w:val="single" w:color="auto" w:sz="4" w:space="0"/>
              <w:right w:val="single" w:color="auto" w:sz="4" w:space="0"/>
            </w:tcBorders>
            <w:vAlign w:val="center"/>
          </w:tcPr>
          <w:p w14:paraId="641F4318">
            <w:pPr>
              <w:spacing w:line="600" w:lineRule="exact"/>
              <w:rPr>
                <w:rFonts w:ascii="仿宋_GB2312" w:hAnsi="仿宋" w:eastAsia="仿宋_GB2312"/>
                <w:b/>
                <w:bCs/>
                <w:sz w:val="20"/>
                <w:szCs w:val="20"/>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7AB35149">
            <w:pPr>
              <w:spacing w:line="600" w:lineRule="exact"/>
              <w:rPr>
                <w:rFonts w:ascii="仿宋_GB2312" w:hAnsi="仿宋" w:eastAsia="仿宋_GB2312"/>
                <w:b/>
                <w:bCs/>
                <w:sz w:val="20"/>
                <w:szCs w:val="20"/>
              </w:rPr>
            </w:pPr>
          </w:p>
        </w:tc>
        <w:tc>
          <w:tcPr>
            <w:tcW w:w="2458" w:type="dxa"/>
            <w:gridSpan w:val="2"/>
            <w:tcBorders>
              <w:top w:val="single" w:color="auto" w:sz="4" w:space="0"/>
              <w:left w:val="single" w:color="auto" w:sz="4" w:space="0"/>
              <w:bottom w:val="single" w:color="auto" w:sz="4" w:space="0"/>
              <w:right w:val="single" w:color="auto" w:sz="4" w:space="0"/>
            </w:tcBorders>
            <w:vAlign w:val="center"/>
          </w:tcPr>
          <w:p w14:paraId="66CF257C">
            <w:pPr>
              <w:spacing w:line="600" w:lineRule="exact"/>
              <w:rPr>
                <w:rFonts w:ascii="仿宋_GB2312" w:hAnsi="仿宋" w:eastAsia="仿宋_GB2312"/>
                <w:b/>
                <w:bCs/>
                <w:sz w:val="20"/>
                <w:szCs w:val="20"/>
              </w:rPr>
            </w:pPr>
          </w:p>
        </w:tc>
      </w:tr>
      <w:tr w14:paraId="6301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8520" w:type="dxa"/>
            <w:gridSpan w:val="7"/>
            <w:tcBorders>
              <w:top w:val="single" w:color="auto" w:sz="4" w:space="0"/>
              <w:left w:val="single" w:color="auto" w:sz="4" w:space="0"/>
              <w:bottom w:val="single" w:color="auto" w:sz="4" w:space="0"/>
              <w:right w:val="single" w:color="auto" w:sz="4" w:space="0"/>
            </w:tcBorders>
            <w:vAlign w:val="center"/>
          </w:tcPr>
          <w:p w14:paraId="7EB9E319">
            <w:pPr>
              <w:spacing w:line="600" w:lineRule="exact"/>
              <w:rPr>
                <w:rFonts w:ascii="仿宋_GB2312" w:hAnsi="仿宋" w:eastAsia="仿宋_GB2312"/>
                <w:sz w:val="20"/>
                <w:szCs w:val="20"/>
              </w:rPr>
            </w:pPr>
            <w:r>
              <w:rPr>
                <w:rFonts w:hint="eastAsia" w:ascii="仿宋_GB2312" w:hAnsi="仿宋" w:eastAsia="仿宋_GB2312"/>
                <w:sz w:val="20"/>
                <w:szCs w:val="20"/>
              </w:rPr>
              <w:t>（部门名称3）工作职责包括：</w:t>
            </w:r>
          </w:p>
          <w:p w14:paraId="6EAC30E0">
            <w:pPr>
              <w:spacing w:line="600" w:lineRule="exact"/>
              <w:rPr>
                <w:rFonts w:ascii="仿宋_GB2312" w:hAnsi="仿宋" w:eastAsia="仿宋_GB2312"/>
                <w:sz w:val="20"/>
                <w:szCs w:val="20"/>
              </w:rPr>
            </w:pPr>
            <w:r>
              <w:rPr>
                <w:rFonts w:hint="eastAsia" w:ascii="仿宋_GB2312" w:hAnsi="仿宋" w:eastAsia="仿宋_GB2312"/>
                <w:sz w:val="20"/>
                <w:szCs w:val="20"/>
              </w:rPr>
              <w:t>（1）</w:t>
            </w:r>
          </w:p>
          <w:p w14:paraId="555292A5">
            <w:pPr>
              <w:spacing w:line="600" w:lineRule="exact"/>
              <w:rPr>
                <w:rFonts w:ascii="仿宋_GB2312" w:hAnsi="仿宋" w:eastAsia="仿宋_GB2312"/>
                <w:sz w:val="20"/>
                <w:szCs w:val="20"/>
              </w:rPr>
            </w:pPr>
            <w:r>
              <w:rPr>
                <w:rFonts w:hint="eastAsia" w:ascii="仿宋_GB2312" w:hAnsi="仿宋" w:eastAsia="仿宋_GB2312"/>
                <w:sz w:val="20"/>
                <w:szCs w:val="20"/>
              </w:rPr>
              <w:t>（2）</w:t>
            </w:r>
          </w:p>
        </w:tc>
      </w:tr>
      <w:tr w14:paraId="3CF4A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tcBorders>
              <w:top w:val="single" w:color="auto" w:sz="4" w:space="0"/>
              <w:left w:val="single" w:color="auto" w:sz="4" w:space="0"/>
              <w:bottom w:val="single" w:color="auto" w:sz="4" w:space="0"/>
              <w:right w:val="single" w:color="auto" w:sz="4" w:space="0"/>
            </w:tcBorders>
            <w:vAlign w:val="center"/>
          </w:tcPr>
          <w:p w14:paraId="057734BD">
            <w:pPr>
              <w:widowControl/>
              <w:spacing w:line="600" w:lineRule="exact"/>
              <w:rPr>
                <w:rFonts w:ascii="仿宋_GB2312" w:hAnsi="仿宋" w:eastAsia="仿宋_GB2312"/>
                <w:sz w:val="20"/>
                <w:szCs w:val="20"/>
              </w:rPr>
            </w:pPr>
            <w:r>
              <w:rPr>
                <w:rFonts w:hint="eastAsia" w:ascii="仿宋_GB2312" w:hAnsi="仿宋" w:eastAsia="仿宋_GB2312"/>
                <w:sz w:val="20"/>
                <w:szCs w:val="20"/>
              </w:rPr>
              <w:t>岗位</w:t>
            </w:r>
          </w:p>
        </w:tc>
        <w:tc>
          <w:tcPr>
            <w:tcW w:w="1183" w:type="dxa"/>
            <w:tcBorders>
              <w:top w:val="single" w:color="auto" w:sz="4" w:space="0"/>
              <w:left w:val="single" w:color="auto" w:sz="4" w:space="0"/>
              <w:bottom w:val="single" w:color="auto" w:sz="4" w:space="0"/>
              <w:right w:val="single" w:color="auto" w:sz="4" w:space="0"/>
            </w:tcBorders>
            <w:vAlign w:val="center"/>
          </w:tcPr>
          <w:p w14:paraId="7743C80B">
            <w:pPr>
              <w:spacing w:line="600" w:lineRule="exact"/>
              <w:rPr>
                <w:rFonts w:ascii="仿宋_GB2312" w:hAnsi="仿宋" w:eastAsia="仿宋_GB2312"/>
                <w:sz w:val="20"/>
                <w:szCs w:val="20"/>
              </w:rPr>
            </w:pPr>
            <w:r>
              <w:rPr>
                <w:rFonts w:hint="eastAsia" w:ascii="仿宋_GB2312" w:hAnsi="仿宋" w:eastAsia="仿宋_GB2312"/>
                <w:sz w:val="20"/>
                <w:szCs w:val="20"/>
              </w:rPr>
              <w:t>人员姓名</w:t>
            </w:r>
          </w:p>
        </w:tc>
        <w:tc>
          <w:tcPr>
            <w:tcW w:w="1559" w:type="dxa"/>
            <w:tcBorders>
              <w:top w:val="single" w:color="auto" w:sz="4" w:space="0"/>
              <w:left w:val="single" w:color="auto" w:sz="4" w:space="0"/>
              <w:bottom w:val="single" w:color="auto" w:sz="4" w:space="0"/>
              <w:right w:val="single" w:color="auto" w:sz="4" w:space="0"/>
            </w:tcBorders>
            <w:vAlign w:val="center"/>
          </w:tcPr>
          <w:p w14:paraId="359D54FF">
            <w:pPr>
              <w:spacing w:line="600" w:lineRule="exact"/>
              <w:rPr>
                <w:rFonts w:ascii="仿宋_GB2312" w:hAnsi="仿宋" w:eastAsia="仿宋_GB2312"/>
                <w:sz w:val="20"/>
                <w:szCs w:val="20"/>
              </w:rPr>
            </w:pPr>
            <w:r>
              <w:rPr>
                <w:rFonts w:hint="eastAsia" w:ascii="仿宋_GB2312" w:hAnsi="仿宋" w:eastAsia="仿宋_GB2312"/>
                <w:sz w:val="20"/>
                <w:szCs w:val="20"/>
              </w:rPr>
              <w:t>职责描述</w:t>
            </w: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122B667F">
            <w:pPr>
              <w:spacing w:line="600" w:lineRule="exact"/>
              <w:rPr>
                <w:rFonts w:ascii="仿宋_GB2312" w:hAnsi="仿宋" w:eastAsia="仿宋_GB2312"/>
                <w:sz w:val="20"/>
                <w:szCs w:val="20"/>
              </w:rPr>
            </w:pPr>
            <w:r>
              <w:rPr>
                <w:rFonts w:hint="eastAsia" w:ascii="仿宋_GB2312" w:hAnsi="仿宋" w:eastAsia="仿宋_GB2312"/>
                <w:sz w:val="20"/>
                <w:szCs w:val="20"/>
              </w:rPr>
              <w:t>联系方式</w:t>
            </w:r>
          </w:p>
        </w:tc>
        <w:tc>
          <w:tcPr>
            <w:tcW w:w="2458" w:type="dxa"/>
            <w:gridSpan w:val="2"/>
            <w:tcBorders>
              <w:top w:val="single" w:color="auto" w:sz="4" w:space="0"/>
              <w:left w:val="single" w:color="auto" w:sz="4" w:space="0"/>
              <w:bottom w:val="single" w:color="auto" w:sz="4" w:space="0"/>
              <w:right w:val="single" w:color="auto" w:sz="4" w:space="0"/>
            </w:tcBorders>
            <w:vAlign w:val="center"/>
          </w:tcPr>
          <w:p w14:paraId="08B278B8">
            <w:pPr>
              <w:spacing w:line="600" w:lineRule="exact"/>
              <w:rPr>
                <w:rFonts w:ascii="仿宋_GB2312" w:hAnsi="仿宋" w:eastAsia="仿宋_GB2312"/>
                <w:sz w:val="20"/>
                <w:szCs w:val="20"/>
              </w:rPr>
            </w:pPr>
            <w:r>
              <w:rPr>
                <w:rFonts w:hint="eastAsia" w:ascii="仿宋_GB2312" w:hAnsi="仿宋" w:eastAsia="仿宋_GB2312"/>
                <w:sz w:val="20"/>
                <w:szCs w:val="20"/>
              </w:rPr>
              <w:t>工作履历</w:t>
            </w:r>
          </w:p>
        </w:tc>
      </w:tr>
      <w:tr w14:paraId="50A5B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5" w:hRule="atLeast"/>
        </w:trPr>
        <w:tc>
          <w:tcPr>
            <w:tcW w:w="1619" w:type="dxa"/>
            <w:tcBorders>
              <w:top w:val="single" w:color="auto" w:sz="4" w:space="0"/>
              <w:left w:val="single" w:color="auto" w:sz="4" w:space="0"/>
              <w:bottom w:val="single" w:color="auto" w:sz="4" w:space="0"/>
              <w:right w:val="single" w:color="auto" w:sz="4" w:space="0"/>
            </w:tcBorders>
            <w:vAlign w:val="center"/>
          </w:tcPr>
          <w:p w14:paraId="30858E63">
            <w:pPr>
              <w:widowControl/>
              <w:spacing w:line="600" w:lineRule="exact"/>
              <w:rPr>
                <w:rFonts w:ascii="仿宋_GB2312" w:hAnsi="仿宋" w:eastAsia="仿宋_GB2312"/>
                <w:b/>
                <w:bCs/>
                <w:sz w:val="20"/>
                <w:szCs w:val="20"/>
              </w:rPr>
            </w:pPr>
          </w:p>
        </w:tc>
        <w:tc>
          <w:tcPr>
            <w:tcW w:w="1183" w:type="dxa"/>
            <w:tcBorders>
              <w:top w:val="single" w:color="auto" w:sz="4" w:space="0"/>
              <w:left w:val="single" w:color="auto" w:sz="4" w:space="0"/>
              <w:bottom w:val="single" w:color="auto" w:sz="4" w:space="0"/>
              <w:right w:val="single" w:color="auto" w:sz="4" w:space="0"/>
            </w:tcBorders>
            <w:vAlign w:val="center"/>
          </w:tcPr>
          <w:p w14:paraId="324B7E63">
            <w:pPr>
              <w:spacing w:line="600" w:lineRule="exact"/>
              <w:rPr>
                <w:rFonts w:ascii="仿宋_GB2312" w:hAnsi="仿宋" w:eastAsia="仿宋_GB2312"/>
                <w:b/>
                <w:bCs/>
                <w:sz w:val="20"/>
                <w:szCs w:val="20"/>
              </w:rPr>
            </w:pPr>
          </w:p>
        </w:tc>
        <w:tc>
          <w:tcPr>
            <w:tcW w:w="1559" w:type="dxa"/>
            <w:tcBorders>
              <w:top w:val="single" w:color="auto" w:sz="4" w:space="0"/>
              <w:left w:val="single" w:color="auto" w:sz="4" w:space="0"/>
              <w:bottom w:val="single" w:color="auto" w:sz="4" w:space="0"/>
              <w:right w:val="single" w:color="auto" w:sz="4" w:space="0"/>
            </w:tcBorders>
            <w:vAlign w:val="center"/>
          </w:tcPr>
          <w:p w14:paraId="699A4400">
            <w:pPr>
              <w:spacing w:line="600" w:lineRule="exact"/>
              <w:rPr>
                <w:rFonts w:ascii="仿宋_GB2312" w:hAnsi="仿宋" w:eastAsia="仿宋_GB2312"/>
                <w:b/>
                <w:bCs/>
                <w:sz w:val="20"/>
                <w:szCs w:val="20"/>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3AB96AC9">
            <w:pPr>
              <w:spacing w:line="600" w:lineRule="exact"/>
              <w:rPr>
                <w:rFonts w:ascii="仿宋_GB2312" w:hAnsi="仿宋" w:eastAsia="仿宋_GB2312"/>
                <w:b/>
                <w:bCs/>
                <w:sz w:val="20"/>
                <w:szCs w:val="20"/>
              </w:rPr>
            </w:pPr>
          </w:p>
        </w:tc>
        <w:tc>
          <w:tcPr>
            <w:tcW w:w="2458" w:type="dxa"/>
            <w:gridSpan w:val="2"/>
            <w:tcBorders>
              <w:top w:val="single" w:color="auto" w:sz="4" w:space="0"/>
              <w:left w:val="single" w:color="auto" w:sz="4" w:space="0"/>
              <w:bottom w:val="single" w:color="auto" w:sz="4" w:space="0"/>
              <w:right w:val="single" w:color="auto" w:sz="4" w:space="0"/>
            </w:tcBorders>
            <w:vAlign w:val="center"/>
          </w:tcPr>
          <w:p w14:paraId="1F2AFCF7">
            <w:pPr>
              <w:spacing w:line="600" w:lineRule="exact"/>
              <w:rPr>
                <w:rFonts w:ascii="仿宋_GB2312" w:hAnsi="仿宋" w:eastAsia="仿宋_GB2312"/>
                <w:b/>
                <w:bCs/>
                <w:sz w:val="20"/>
                <w:szCs w:val="20"/>
              </w:rPr>
            </w:pPr>
          </w:p>
        </w:tc>
      </w:tr>
      <w:tr w14:paraId="7A220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619" w:type="dxa"/>
            <w:tcBorders>
              <w:top w:val="single" w:color="auto" w:sz="4" w:space="0"/>
              <w:left w:val="single" w:color="auto" w:sz="4" w:space="0"/>
              <w:bottom w:val="single" w:color="auto" w:sz="4" w:space="0"/>
              <w:right w:val="single" w:color="auto" w:sz="4" w:space="0"/>
            </w:tcBorders>
            <w:vAlign w:val="center"/>
          </w:tcPr>
          <w:p w14:paraId="5A5A41CA">
            <w:pPr>
              <w:widowControl/>
              <w:spacing w:line="600" w:lineRule="exact"/>
              <w:rPr>
                <w:rFonts w:ascii="仿宋_GB2312" w:hAnsi="仿宋" w:eastAsia="仿宋_GB2312"/>
                <w:b/>
                <w:bCs/>
                <w:sz w:val="20"/>
                <w:szCs w:val="20"/>
              </w:rPr>
            </w:pPr>
          </w:p>
        </w:tc>
        <w:tc>
          <w:tcPr>
            <w:tcW w:w="1183" w:type="dxa"/>
            <w:tcBorders>
              <w:top w:val="single" w:color="auto" w:sz="4" w:space="0"/>
              <w:left w:val="single" w:color="auto" w:sz="4" w:space="0"/>
              <w:bottom w:val="single" w:color="auto" w:sz="4" w:space="0"/>
              <w:right w:val="single" w:color="auto" w:sz="4" w:space="0"/>
            </w:tcBorders>
            <w:vAlign w:val="center"/>
          </w:tcPr>
          <w:p w14:paraId="3FE7B31C">
            <w:pPr>
              <w:spacing w:line="600" w:lineRule="exact"/>
              <w:rPr>
                <w:rFonts w:ascii="仿宋_GB2312" w:hAnsi="仿宋" w:eastAsia="仿宋_GB2312"/>
                <w:b/>
                <w:bCs/>
                <w:sz w:val="20"/>
                <w:szCs w:val="20"/>
              </w:rPr>
            </w:pPr>
          </w:p>
        </w:tc>
        <w:tc>
          <w:tcPr>
            <w:tcW w:w="1559" w:type="dxa"/>
            <w:tcBorders>
              <w:top w:val="single" w:color="auto" w:sz="4" w:space="0"/>
              <w:left w:val="single" w:color="auto" w:sz="4" w:space="0"/>
              <w:bottom w:val="single" w:color="auto" w:sz="4" w:space="0"/>
              <w:right w:val="single" w:color="auto" w:sz="4" w:space="0"/>
            </w:tcBorders>
            <w:vAlign w:val="center"/>
          </w:tcPr>
          <w:p w14:paraId="04F2DD69">
            <w:pPr>
              <w:spacing w:line="600" w:lineRule="exact"/>
              <w:rPr>
                <w:rFonts w:ascii="仿宋_GB2312" w:hAnsi="仿宋" w:eastAsia="仿宋_GB2312"/>
                <w:b/>
                <w:bCs/>
                <w:sz w:val="20"/>
                <w:szCs w:val="20"/>
              </w:rPr>
            </w:pPr>
          </w:p>
        </w:tc>
        <w:tc>
          <w:tcPr>
            <w:tcW w:w="1701" w:type="dxa"/>
            <w:gridSpan w:val="2"/>
            <w:tcBorders>
              <w:top w:val="single" w:color="auto" w:sz="4" w:space="0"/>
              <w:left w:val="single" w:color="auto" w:sz="4" w:space="0"/>
              <w:bottom w:val="single" w:color="auto" w:sz="4" w:space="0"/>
              <w:right w:val="single" w:color="auto" w:sz="4" w:space="0"/>
            </w:tcBorders>
            <w:vAlign w:val="center"/>
          </w:tcPr>
          <w:p w14:paraId="133CBFD9">
            <w:pPr>
              <w:spacing w:line="600" w:lineRule="exact"/>
              <w:rPr>
                <w:rFonts w:ascii="仿宋_GB2312" w:hAnsi="仿宋" w:eastAsia="仿宋_GB2312"/>
                <w:b/>
                <w:bCs/>
                <w:sz w:val="20"/>
                <w:szCs w:val="20"/>
              </w:rPr>
            </w:pPr>
          </w:p>
        </w:tc>
        <w:tc>
          <w:tcPr>
            <w:tcW w:w="2458" w:type="dxa"/>
            <w:gridSpan w:val="2"/>
            <w:tcBorders>
              <w:top w:val="single" w:color="auto" w:sz="4" w:space="0"/>
              <w:left w:val="single" w:color="auto" w:sz="4" w:space="0"/>
              <w:bottom w:val="single" w:color="auto" w:sz="4" w:space="0"/>
              <w:right w:val="single" w:color="auto" w:sz="4" w:space="0"/>
            </w:tcBorders>
            <w:vAlign w:val="center"/>
          </w:tcPr>
          <w:p w14:paraId="59E78985">
            <w:pPr>
              <w:spacing w:line="600" w:lineRule="exact"/>
              <w:rPr>
                <w:rFonts w:ascii="仿宋_GB2312" w:hAnsi="仿宋" w:eastAsia="仿宋_GB2312"/>
                <w:b/>
                <w:bCs/>
                <w:sz w:val="20"/>
                <w:szCs w:val="20"/>
              </w:rPr>
            </w:pPr>
          </w:p>
        </w:tc>
      </w:tr>
    </w:tbl>
    <w:p w14:paraId="5AF013A6">
      <w:pPr>
        <w:widowControl/>
        <w:spacing w:line="600" w:lineRule="exact"/>
        <w:jc w:val="left"/>
        <w:rPr>
          <w:rFonts w:ascii="仿宋_GB2312" w:hAnsi="仿宋" w:eastAsia="仿宋_GB2312"/>
          <w:sz w:val="20"/>
          <w:szCs w:val="20"/>
        </w:rPr>
      </w:pPr>
      <w:r>
        <w:rPr>
          <w:rFonts w:hint="eastAsia" w:ascii="仿宋_GB2312" w:hAnsi="仿宋" w:eastAsia="仿宋_GB2312"/>
          <w:sz w:val="20"/>
          <w:szCs w:val="20"/>
        </w:rPr>
        <w:t>备注：做市部门人员包括做市部门负责人、交易岗（包括备岗）、风险控制岗、技术支持岗、</w:t>
      </w:r>
      <w:r>
        <w:rPr>
          <w:rFonts w:ascii="仿宋_GB2312" w:hAnsi="仿宋" w:eastAsia="仿宋_GB2312"/>
          <w:sz w:val="20"/>
          <w:szCs w:val="20"/>
        </w:rPr>
        <w:t>应急处置岗</w:t>
      </w:r>
      <w:r>
        <w:rPr>
          <w:rFonts w:hint="eastAsia" w:ascii="仿宋_GB2312" w:hAnsi="仿宋" w:eastAsia="仿宋_GB2312"/>
          <w:sz w:val="20"/>
          <w:szCs w:val="20"/>
        </w:rPr>
        <w:t>。</w:t>
      </w:r>
    </w:p>
    <w:p w14:paraId="1DD8239A">
      <w:pPr>
        <w:widowControl/>
        <w:spacing w:line="600" w:lineRule="exact"/>
        <w:jc w:val="left"/>
        <w:rPr>
          <w:rFonts w:ascii="仿宋_GB2312" w:hAnsi="仿宋" w:eastAsia="仿宋_GB2312"/>
          <w:sz w:val="20"/>
          <w:szCs w:val="20"/>
        </w:rPr>
      </w:pPr>
    </w:p>
    <w:p w14:paraId="139B5210">
      <w:pPr>
        <w:widowControl/>
        <w:spacing w:line="600" w:lineRule="exact"/>
        <w:jc w:val="right"/>
        <w:rPr>
          <w:rFonts w:ascii="仿宋_GB2312" w:hAnsi="黑体" w:eastAsia="仿宋_GB2312"/>
          <w:kern w:val="44"/>
          <w:szCs w:val="36"/>
        </w:rPr>
      </w:pPr>
      <w:r>
        <w:rPr>
          <w:rFonts w:hint="eastAsia" w:ascii="仿宋_GB2312" w:hAnsi="黑体" w:eastAsia="仿宋_GB2312"/>
          <w:kern w:val="44"/>
          <w:szCs w:val="36"/>
        </w:rPr>
        <w:t>年   月   日</w:t>
      </w:r>
    </w:p>
    <w:p w14:paraId="5C1C42FD">
      <w:pPr>
        <w:widowControl/>
        <w:spacing w:line="600" w:lineRule="exact"/>
        <w:jc w:val="right"/>
        <w:rPr>
          <w:rFonts w:ascii="仿宋_GB2312" w:hAnsi="黑体" w:eastAsia="仿宋_GB2312"/>
          <w:kern w:val="44"/>
          <w:szCs w:val="36"/>
        </w:rPr>
      </w:pPr>
      <w:r>
        <w:rPr>
          <w:rFonts w:hint="eastAsia" w:ascii="仿宋_GB2312" w:hAnsi="黑体" w:eastAsia="仿宋_GB2312"/>
          <w:kern w:val="44"/>
          <w:szCs w:val="36"/>
        </w:rPr>
        <w:t>（加盖单位公章）</w:t>
      </w:r>
    </w:p>
    <w:p w14:paraId="0EAF5D34">
      <w:pPr>
        <w:widowControl/>
        <w:jc w:val="left"/>
        <w:rPr>
          <w:rFonts w:ascii="仿宋_GB2312" w:eastAsia="仿宋_GB2312"/>
          <w:b/>
          <w:sz w:val="30"/>
          <w:szCs w:val="30"/>
        </w:rPr>
      </w:pPr>
      <w:r>
        <w:rPr>
          <w:rFonts w:ascii="仿宋_GB2312" w:eastAsia="仿宋_GB2312"/>
          <w:b/>
          <w:sz w:val="30"/>
          <w:szCs w:val="30"/>
        </w:rPr>
        <w:br w:type="page"/>
      </w:r>
    </w:p>
    <w:p w14:paraId="22265C31">
      <w:pPr>
        <w:widowControl/>
        <w:jc w:val="left"/>
        <w:outlineLvl w:val="1"/>
        <w:rPr>
          <w:rFonts w:ascii="仿宋_GB2312" w:eastAsia="仿宋_GB2312"/>
          <w:b/>
          <w:sz w:val="30"/>
          <w:szCs w:val="30"/>
        </w:rPr>
      </w:pPr>
      <w:bookmarkStart w:id="3990" w:name="_Toc140654372"/>
      <w:bookmarkStart w:id="3991" w:name="_Toc605597794"/>
      <w:bookmarkStart w:id="3992" w:name="_Toc151137093"/>
      <w:bookmarkStart w:id="3993" w:name="_Toc898534518"/>
      <w:bookmarkStart w:id="3994" w:name="_Toc521896596"/>
      <w:bookmarkStart w:id="3995" w:name="_Toc2088479447"/>
      <w:bookmarkStart w:id="3996" w:name="_Toc1191503782"/>
      <w:r>
        <w:rPr>
          <w:rFonts w:hint="eastAsia" w:ascii="仿宋_GB2312" w:hAnsi="黑体" w:eastAsia="仿宋_GB2312"/>
          <w:b/>
          <w:sz w:val="30"/>
          <w:szCs w:val="30"/>
        </w:rPr>
        <w:t>附件10 上海证券交易所债券做市交易业务检查工作底稿</w:t>
      </w:r>
      <w:bookmarkEnd w:id="3990"/>
      <w:bookmarkEnd w:id="3991"/>
      <w:bookmarkEnd w:id="3992"/>
      <w:bookmarkEnd w:id="3993"/>
      <w:bookmarkEnd w:id="3994"/>
      <w:bookmarkEnd w:id="3995"/>
      <w:bookmarkEnd w:id="3996"/>
    </w:p>
    <w:p w14:paraId="4C8A950C">
      <w:pPr>
        <w:rPr>
          <w:rFonts w:ascii="黑体" w:hAnsi="华文细黑" w:eastAsia="黑体"/>
          <w:b/>
          <w:sz w:val="28"/>
          <w:szCs w:val="28"/>
        </w:rPr>
      </w:pPr>
      <w:r>
        <w:rPr>
          <w:rFonts w:hint="eastAsia" w:ascii="黑体" w:hAnsi="华文细黑" w:eastAsia="黑体"/>
          <w:b/>
          <w:sz w:val="28"/>
          <w:szCs w:val="28"/>
        </w:rPr>
        <w:t>一</w:t>
      </w:r>
      <w:r>
        <w:rPr>
          <w:rFonts w:ascii="黑体" w:hAnsi="华文细黑" w:eastAsia="黑体"/>
          <w:b/>
          <w:sz w:val="28"/>
          <w:szCs w:val="28"/>
        </w:rPr>
        <w:t>、</w:t>
      </w:r>
      <w:r>
        <w:rPr>
          <w:rFonts w:hint="eastAsia" w:ascii="黑体" w:hAnsi="华文细黑" w:eastAsia="黑体"/>
          <w:b/>
          <w:sz w:val="28"/>
          <w:szCs w:val="28"/>
        </w:rPr>
        <w:t>基础文件</w:t>
      </w:r>
    </w:p>
    <w:p w14:paraId="20CE0490"/>
    <w:tbl>
      <w:tblPr>
        <w:tblStyle w:val="43"/>
        <w:tblpPr w:leftFromText="180" w:rightFromText="180" w:vertAnchor="page" w:horzAnchor="margin" w:tblpY="2893"/>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681"/>
        <w:gridCol w:w="6631"/>
      </w:tblGrid>
      <w:tr w14:paraId="06ED8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3498EC4">
            <w:pPr>
              <w:pStyle w:val="100"/>
              <w:rPr>
                <w:rFonts w:hAnsi="仿宋"/>
                <w:b/>
                <w:bCs/>
                <w:sz w:val="20"/>
                <w:szCs w:val="20"/>
              </w:rPr>
            </w:pPr>
            <w:bookmarkStart w:id="3997" w:name="_Hlk107782041"/>
            <w:r>
              <w:rPr>
                <w:rFonts w:hint="eastAsia" w:hAnsi="仿宋"/>
                <w:b/>
                <w:bCs/>
                <w:sz w:val="20"/>
                <w:szCs w:val="20"/>
              </w:rPr>
              <w:t>检查项目</w:t>
            </w:r>
          </w:p>
        </w:tc>
        <w:tc>
          <w:tcPr>
            <w:tcW w:w="681" w:type="dxa"/>
            <w:tcBorders>
              <w:top w:val="single" w:color="auto" w:sz="4" w:space="0"/>
              <w:left w:val="single" w:color="auto" w:sz="4" w:space="0"/>
              <w:bottom w:val="single" w:color="auto" w:sz="4" w:space="0"/>
              <w:right w:val="single" w:color="auto" w:sz="4" w:space="0"/>
            </w:tcBorders>
            <w:vAlign w:val="center"/>
          </w:tcPr>
          <w:p w14:paraId="425E9F7A">
            <w:pPr>
              <w:pStyle w:val="100"/>
              <w:rPr>
                <w:rFonts w:hAnsi="仿宋"/>
                <w:b/>
                <w:bCs/>
                <w:sz w:val="20"/>
                <w:szCs w:val="20"/>
              </w:rPr>
            </w:pPr>
            <w:r>
              <w:rPr>
                <w:rFonts w:hint="eastAsia" w:hAnsi="仿宋"/>
                <w:b/>
                <w:bCs/>
                <w:sz w:val="20"/>
                <w:szCs w:val="20"/>
              </w:rPr>
              <w:t>编号</w:t>
            </w:r>
          </w:p>
        </w:tc>
        <w:tc>
          <w:tcPr>
            <w:tcW w:w="6631" w:type="dxa"/>
            <w:tcBorders>
              <w:top w:val="single" w:color="auto" w:sz="4" w:space="0"/>
              <w:left w:val="single" w:color="auto" w:sz="4" w:space="0"/>
              <w:bottom w:val="single" w:color="auto" w:sz="4" w:space="0"/>
              <w:right w:val="single" w:color="auto" w:sz="4" w:space="0"/>
            </w:tcBorders>
            <w:vAlign w:val="center"/>
          </w:tcPr>
          <w:p w14:paraId="2F6C75EC">
            <w:pPr>
              <w:pStyle w:val="100"/>
              <w:rPr>
                <w:rFonts w:hAnsi="仿宋"/>
                <w:b/>
                <w:bCs/>
                <w:sz w:val="20"/>
                <w:szCs w:val="20"/>
              </w:rPr>
            </w:pPr>
            <w:r>
              <w:rPr>
                <w:rFonts w:hint="eastAsia" w:hAnsi="仿宋"/>
                <w:b/>
                <w:bCs/>
                <w:sz w:val="20"/>
                <w:szCs w:val="20"/>
              </w:rPr>
              <w:t>检查内容</w:t>
            </w:r>
          </w:p>
        </w:tc>
      </w:tr>
      <w:tr w14:paraId="1E82D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restart"/>
            <w:tcBorders>
              <w:top w:val="single" w:color="auto" w:sz="4" w:space="0"/>
              <w:left w:val="single" w:color="auto" w:sz="4" w:space="0"/>
              <w:right w:val="single" w:color="auto" w:sz="4" w:space="0"/>
            </w:tcBorders>
            <w:vAlign w:val="center"/>
          </w:tcPr>
          <w:p w14:paraId="165D62FE">
            <w:pPr>
              <w:pStyle w:val="100"/>
              <w:rPr>
                <w:rFonts w:hAnsi="仿宋"/>
                <w:b/>
                <w:bCs/>
                <w:sz w:val="20"/>
                <w:szCs w:val="20"/>
              </w:rPr>
            </w:pPr>
            <w:r>
              <w:rPr>
                <w:rFonts w:hint="eastAsia" w:hAnsi="仿宋"/>
                <w:b/>
                <w:bCs/>
                <w:sz w:val="20"/>
                <w:szCs w:val="20"/>
              </w:rPr>
              <w:t>组织架构</w:t>
            </w:r>
          </w:p>
        </w:tc>
        <w:tc>
          <w:tcPr>
            <w:tcW w:w="681" w:type="dxa"/>
            <w:tcBorders>
              <w:top w:val="single" w:color="auto" w:sz="4" w:space="0"/>
              <w:left w:val="single" w:color="auto" w:sz="4" w:space="0"/>
              <w:bottom w:val="single" w:color="auto" w:sz="4" w:space="0"/>
              <w:right w:val="single" w:color="auto" w:sz="4" w:space="0"/>
            </w:tcBorders>
            <w:vAlign w:val="center"/>
          </w:tcPr>
          <w:p w14:paraId="72AC2CD0">
            <w:pPr>
              <w:pStyle w:val="100"/>
              <w:rPr>
                <w:rFonts w:hAnsi="仿宋"/>
                <w:sz w:val="20"/>
                <w:szCs w:val="20"/>
              </w:rPr>
            </w:pPr>
            <w:r>
              <w:rPr>
                <w:rFonts w:hAnsi="仿宋"/>
                <w:sz w:val="20"/>
                <w:szCs w:val="20"/>
              </w:rPr>
              <w:t>1</w:t>
            </w:r>
          </w:p>
        </w:tc>
        <w:tc>
          <w:tcPr>
            <w:tcW w:w="6631" w:type="dxa"/>
            <w:tcBorders>
              <w:top w:val="single" w:color="auto" w:sz="4" w:space="0"/>
              <w:left w:val="single" w:color="auto" w:sz="4" w:space="0"/>
              <w:bottom w:val="single" w:color="auto" w:sz="4" w:space="0"/>
              <w:right w:val="single" w:color="auto" w:sz="4" w:space="0"/>
            </w:tcBorders>
            <w:vAlign w:val="center"/>
          </w:tcPr>
          <w:p w14:paraId="369C2D76">
            <w:pPr>
              <w:pStyle w:val="100"/>
              <w:rPr>
                <w:rFonts w:hAnsi="仿宋"/>
                <w:sz w:val="20"/>
                <w:szCs w:val="20"/>
              </w:rPr>
            </w:pPr>
            <w:r>
              <w:rPr>
                <w:rFonts w:hint="eastAsia" w:hAnsi="仿宋"/>
                <w:sz w:val="20"/>
                <w:szCs w:val="20"/>
              </w:rPr>
              <w:t>设立包括交易岗、风险控制岗、技术运维岗等岗位，并建立备岗制度</w:t>
            </w:r>
          </w:p>
        </w:tc>
      </w:tr>
      <w:tr w14:paraId="673B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Borders>
              <w:left w:val="single" w:color="auto" w:sz="4" w:space="0"/>
              <w:right w:val="single" w:color="auto" w:sz="4" w:space="0"/>
            </w:tcBorders>
            <w:vAlign w:val="center"/>
          </w:tcPr>
          <w:p w14:paraId="09A63973">
            <w:pPr>
              <w:pStyle w:val="100"/>
              <w:rPr>
                <w:rFonts w:hAnsi="仿宋"/>
                <w:b/>
                <w:bCs/>
                <w:sz w:val="20"/>
                <w:szCs w:val="20"/>
              </w:rPr>
            </w:pPr>
          </w:p>
        </w:tc>
        <w:tc>
          <w:tcPr>
            <w:tcW w:w="681" w:type="dxa"/>
            <w:tcBorders>
              <w:top w:val="single" w:color="auto" w:sz="4" w:space="0"/>
              <w:left w:val="single" w:color="auto" w:sz="4" w:space="0"/>
              <w:bottom w:val="single" w:color="auto" w:sz="4" w:space="0"/>
              <w:right w:val="single" w:color="auto" w:sz="4" w:space="0"/>
            </w:tcBorders>
            <w:vAlign w:val="center"/>
          </w:tcPr>
          <w:p w14:paraId="7FBFF483">
            <w:pPr>
              <w:pStyle w:val="100"/>
              <w:rPr>
                <w:rFonts w:hAnsi="仿宋"/>
                <w:sz w:val="20"/>
                <w:szCs w:val="20"/>
              </w:rPr>
            </w:pPr>
            <w:r>
              <w:rPr>
                <w:rFonts w:hAnsi="仿宋"/>
                <w:sz w:val="20"/>
                <w:szCs w:val="20"/>
              </w:rPr>
              <w:t>2</w:t>
            </w:r>
          </w:p>
        </w:tc>
        <w:tc>
          <w:tcPr>
            <w:tcW w:w="6631" w:type="dxa"/>
            <w:tcBorders>
              <w:top w:val="single" w:color="auto" w:sz="4" w:space="0"/>
              <w:left w:val="single" w:color="auto" w:sz="4" w:space="0"/>
              <w:bottom w:val="single" w:color="auto" w:sz="4" w:space="0"/>
              <w:right w:val="single" w:color="auto" w:sz="4" w:space="0"/>
            </w:tcBorders>
            <w:vAlign w:val="center"/>
          </w:tcPr>
          <w:p w14:paraId="1AB4377D">
            <w:pPr>
              <w:pStyle w:val="100"/>
              <w:rPr>
                <w:rFonts w:hAnsi="仿宋"/>
                <w:sz w:val="20"/>
                <w:szCs w:val="20"/>
              </w:rPr>
            </w:pPr>
            <w:r>
              <w:rPr>
                <w:rFonts w:hint="eastAsia" w:hAnsi="仿宋"/>
                <w:sz w:val="20"/>
                <w:szCs w:val="20"/>
              </w:rPr>
              <w:t>明确业务部门与风控、合规、结算等相关部门职能和责任</w:t>
            </w:r>
          </w:p>
        </w:tc>
      </w:tr>
      <w:tr w14:paraId="29111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Merge w:val="continue"/>
            <w:tcBorders>
              <w:left w:val="single" w:color="auto" w:sz="4" w:space="0"/>
              <w:right w:val="single" w:color="auto" w:sz="4" w:space="0"/>
            </w:tcBorders>
            <w:vAlign w:val="center"/>
          </w:tcPr>
          <w:p w14:paraId="5D298647">
            <w:pPr>
              <w:pStyle w:val="100"/>
              <w:rPr>
                <w:rFonts w:hAnsi="仿宋"/>
                <w:b/>
                <w:bCs/>
                <w:sz w:val="20"/>
                <w:szCs w:val="20"/>
              </w:rPr>
            </w:pPr>
          </w:p>
        </w:tc>
        <w:tc>
          <w:tcPr>
            <w:tcW w:w="681" w:type="dxa"/>
            <w:tcBorders>
              <w:top w:val="single" w:color="auto" w:sz="4" w:space="0"/>
              <w:left w:val="single" w:color="auto" w:sz="4" w:space="0"/>
              <w:bottom w:val="single" w:color="auto" w:sz="4" w:space="0"/>
              <w:right w:val="single" w:color="auto" w:sz="4" w:space="0"/>
            </w:tcBorders>
            <w:vAlign w:val="center"/>
          </w:tcPr>
          <w:p w14:paraId="70D2A5BB">
            <w:pPr>
              <w:pStyle w:val="100"/>
              <w:rPr>
                <w:rFonts w:hAnsi="仿宋"/>
                <w:sz w:val="20"/>
                <w:szCs w:val="20"/>
              </w:rPr>
            </w:pPr>
            <w:r>
              <w:rPr>
                <w:rFonts w:hAnsi="仿宋"/>
                <w:sz w:val="20"/>
                <w:szCs w:val="20"/>
              </w:rPr>
              <w:t>3</w:t>
            </w:r>
          </w:p>
        </w:tc>
        <w:tc>
          <w:tcPr>
            <w:tcW w:w="6631" w:type="dxa"/>
            <w:tcBorders>
              <w:top w:val="single" w:color="auto" w:sz="4" w:space="0"/>
              <w:left w:val="single" w:color="auto" w:sz="4" w:space="0"/>
              <w:bottom w:val="single" w:color="auto" w:sz="4" w:space="0"/>
              <w:right w:val="single" w:color="auto" w:sz="4" w:space="0"/>
            </w:tcBorders>
            <w:vAlign w:val="center"/>
          </w:tcPr>
          <w:p w14:paraId="3F10CFE8">
            <w:pPr>
              <w:pStyle w:val="100"/>
              <w:rPr>
                <w:rFonts w:hAnsi="仿宋"/>
                <w:sz w:val="20"/>
                <w:szCs w:val="20"/>
              </w:rPr>
            </w:pPr>
            <w:r>
              <w:rPr>
                <w:rFonts w:hint="eastAsia" w:hAnsi="仿宋"/>
                <w:sz w:val="20"/>
                <w:szCs w:val="20"/>
              </w:rPr>
              <w:t>团队成员具备相应专业背景和工作经历</w:t>
            </w:r>
          </w:p>
        </w:tc>
      </w:tr>
      <w:tr w14:paraId="0776A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188" w:type="dxa"/>
            <w:vMerge w:val="restart"/>
            <w:tcBorders>
              <w:top w:val="single" w:color="auto" w:sz="4" w:space="0"/>
              <w:left w:val="single" w:color="auto" w:sz="4" w:space="0"/>
              <w:right w:val="single" w:color="auto" w:sz="4" w:space="0"/>
            </w:tcBorders>
            <w:vAlign w:val="center"/>
          </w:tcPr>
          <w:p w14:paraId="0DBD047C">
            <w:pPr>
              <w:pStyle w:val="100"/>
              <w:rPr>
                <w:rFonts w:hAnsi="仿宋"/>
                <w:b/>
                <w:bCs/>
                <w:sz w:val="20"/>
                <w:szCs w:val="20"/>
              </w:rPr>
            </w:pPr>
            <w:r>
              <w:rPr>
                <w:rFonts w:hint="eastAsia" w:hAnsi="仿宋"/>
                <w:b/>
                <w:bCs/>
                <w:sz w:val="20"/>
                <w:szCs w:val="20"/>
              </w:rPr>
              <w:t>制度与管理办法</w:t>
            </w:r>
          </w:p>
          <w:p w14:paraId="29F07C3C">
            <w:pPr>
              <w:pStyle w:val="100"/>
              <w:rPr>
                <w:rFonts w:hAnsi="仿宋"/>
                <w:b/>
                <w:bCs/>
                <w:sz w:val="20"/>
                <w:szCs w:val="20"/>
              </w:rPr>
            </w:pPr>
          </w:p>
        </w:tc>
        <w:tc>
          <w:tcPr>
            <w:tcW w:w="681" w:type="dxa"/>
            <w:tcBorders>
              <w:top w:val="single" w:color="auto" w:sz="4" w:space="0"/>
              <w:left w:val="single" w:color="auto" w:sz="4" w:space="0"/>
              <w:bottom w:val="single" w:color="auto" w:sz="4" w:space="0"/>
              <w:right w:val="single" w:color="auto" w:sz="4" w:space="0"/>
            </w:tcBorders>
            <w:vAlign w:val="center"/>
          </w:tcPr>
          <w:p w14:paraId="44801946">
            <w:pPr>
              <w:pStyle w:val="100"/>
              <w:rPr>
                <w:rFonts w:hAnsi="仿宋"/>
                <w:sz w:val="20"/>
                <w:szCs w:val="20"/>
              </w:rPr>
            </w:pPr>
            <w:r>
              <w:rPr>
                <w:rFonts w:hAnsi="仿宋"/>
                <w:sz w:val="20"/>
                <w:szCs w:val="20"/>
              </w:rPr>
              <w:t>4</w:t>
            </w:r>
          </w:p>
        </w:tc>
        <w:tc>
          <w:tcPr>
            <w:tcW w:w="6631" w:type="dxa"/>
            <w:tcBorders>
              <w:top w:val="single" w:color="auto" w:sz="4" w:space="0"/>
              <w:left w:val="single" w:color="auto" w:sz="4" w:space="0"/>
              <w:bottom w:val="single" w:color="auto" w:sz="4" w:space="0"/>
              <w:right w:val="single" w:color="auto" w:sz="4" w:space="0"/>
            </w:tcBorders>
            <w:vAlign w:val="center"/>
          </w:tcPr>
          <w:p w14:paraId="534EB695">
            <w:pPr>
              <w:pStyle w:val="100"/>
              <w:rPr>
                <w:rFonts w:hAnsi="仿宋"/>
                <w:sz w:val="20"/>
                <w:szCs w:val="20"/>
              </w:rPr>
            </w:pPr>
            <w:r>
              <w:rPr>
                <w:rFonts w:hint="eastAsia" w:hAnsi="仿宋"/>
                <w:sz w:val="20"/>
                <w:szCs w:val="20"/>
              </w:rPr>
              <w:t>制定了债券做市业务方案</w:t>
            </w:r>
            <w:r>
              <w:rPr>
                <w:rFonts w:hAnsi="仿宋"/>
                <w:sz w:val="20"/>
                <w:szCs w:val="20"/>
              </w:rPr>
              <w:t xml:space="preserve">, </w:t>
            </w:r>
            <w:r>
              <w:rPr>
                <w:rFonts w:hint="eastAsia" w:hAnsi="仿宋"/>
                <w:sz w:val="20"/>
                <w:szCs w:val="20"/>
              </w:rPr>
              <w:t>包括机构组织架构、业务决策、系统建设、风险报告和压力测试等</w:t>
            </w:r>
          </w:p>
        </w:tc>
      </w:tr>
      <w:tr w14:paraId="05E9A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Borders>
              <w:left w:val="single" w:color="auto" w:sz="4" w:space="0"/>
              <w:right w:val="single" w:color="auto" w:sz="4" w:space="0"/>
            </w:tcBorders>
            <w:vAlign w:val="center"/>
          </w:tcPr>
          <w:p w14:paraId="760E057E">
            <w:pPr>
              <w:pStyle w:val="100"/>
              <w:rPr>
                <w:rFonts w:hAnsi="仿宋"/>
                <w:sz w:val="20"/>
                <w:szCs w:val="20"/>
              </w:rPr>
            </w:pPr>
          </w:p>
        </w:tc>
        <w:tc>
          <w:tcPr>
            <w:tcW w:w="681" w:type="dxa"/>
            <w:tcBorders>
              <w:top w:val="single" w:color="auto" w:sz="4" w:space="0"/>
              <w:left w:val="single" w:color="auto" w:sz="4" w:space="0"/>
              <w:bottom w:val="single" w:color="auto" w:sz="4" w:space="0"/>
              <w:right w:val="single" w:color="auto" w:sz="4" w:space="0"/>
            </w:tcBorders>
            <w:vAlign w:val="center"/>
          </w:tcPr>
          <w:p w14:paraId="7DF9EB75">
            <w:pPr>
              <w:pStyle w:val="100"/>
              <w:rPr>
                <w:rFonts w:hAnsi="仿宋"/>
                <w:sz w:val="20"/>
                <w:szCs w:val="20"/>
              </w:rPr>
            </w:pPr>
            <w:r>
              <w:rPr>
                <w:rFonts w:hAnsi="仿宋"/>
                <w:sz w:val="20"/>
                <w:szCs w:val="20"/>
              </w:rPr>
              <w:t>5</w:t>
            </w:r>
          </w:p>
        </w:tc>
        <w:tc>
          <w:tcPr>
            <w:tcW w:w="6631" w:type="dxa"/>
            <w:tcBorders>
              <w:top w:val="single" w:color="auto" w:sz="4" w:space="0"/>
              <w:left w:val="single" w:color="auto" w:sz="4" w:space="0"/>
              <w:bottom w:val="single" w:color="auto" w:sz="4" w:space="0"/>
              <w:right w:val="single" w:color="auto" w:sz="4" w:space="0"/>
            </w:tcBorders>
            <w:vAlign w:val="center"/>
          </w:tcPr>
          <w:p w14:paraId="566A38C6">
            <w:pPr>
              <w:pStyle w:val="100"/>
              <w:rPr>
                <w:rFonts w:hAnsi="仿宋"/>
                <w:sz w:val="20"/>
                <w:szCs w:val="20"/>
              </w:rPr>
            </w:pPr>
            <w:r>
              <w:rPr>
                <w:rFonts w:hint="eastAsia" w:hAnsi="仿宋"/>
                <w:sz w:val="20"/>
                <w:szCs w:val="20"/>
              </w:rPr>
              <w:t>制定了业务相关内部管理办法，包括权限管理、内部报告等</w:t>
            </w:r>
          </w:p>
        </w:tc>
      </w:tr>
      <w:tr w14:paraId="2A44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Borders>
              <w:left w:val="single" w:color="auto" w:sz="4" w:space="0"/>
              <w:right w:val="single" w:color="auto" w:sz="4" w:space="0"/>
            </w:tcBorders>
            <w:vAlign w:val="center"/>
          </w:tcPr>
          <w:p w14:paraId="4550C8B0">
            <w:pPr>
              <w:pStyle w:val="100"/>
              <w:rPr>
                <w:rFonts w:hAnsi="仿宋"/>
                <w:sz w:val="20"/>
                <w:szCs w:val="20"/>
              </w:rPr>
            </w:pPr>
          </w:p>
        </w:tc>
        <w:tc>
          <w:tcPr>
            <w:tcW w:w="681" w:type="dxa"/>
            <w:tcBorders>
              <w:top w:val="single" w:color="auto" w:sz="4" w:space="0"/>
              <w:left w:val="single" w:color="auto" w:sz="4" w:space="0"/>
              <w:bottom w:val="single" w:color="auto" w:sz="4" w:space="0"/>
              <w:right w:val="single" w:color="auto" w:sz="4" w:space="0"/>
            </w:tcBorders>
            <w:vAlign w:val="center"/>
          </w:tcPr>
          <w:p w14:paraId="03FC2505">
            <w:pPr>
              <w:pStyle w:val="100"/>
              <w:rPr>
                <w:rFonts w:hAnsi="仿宋"/>
                <w:sz w:val="20"/>
                <w:szCs w:val="20"/>
              </w:rPr>
            </w:pPr>
            <w:r>
              <w:rPr>
                <w:rFonts w:hAnsi="仿宋"/>
                <w:sz w:val="20"/>
                <w:szCs w:val="20"/>
              </w:rPr>
              <w:t>6</w:t>
            </w:r>
          </w:p>
        </w:tc>
        <w:tc>
          <w:tcPr>
            <w:tcW w:w="6631" w:type="dxa"/>
            <w:tcBorders>
              <w:top w:val="single" w:color="auto" w:sz="4" w:space="0"/>
              <w:left w:val="single" w:color="auto" w:sz="4" w:space="0"/>
              <w:bottom w:val="single" w:color="auto" w:sz="4" w:space="0"/>
              <w:right w:val="single" w:color="auto" w:sz="4" w:space="0"/>
            </w:tcBorders>
            <w:vAlign w:val="center"/>
          </w:tcPr>
          <w:p w14:paraId="4C902623">
            <w:pPr>
              <w:pStyle w:val="100"/>
              <w:rPr>
                <w:rFonts w:hAnsi="仿宋"/>
                <w:sz w:val="20"/>
                <w:szCs w:val="20"/>
              </w:rPr>
            </w:pPr>
            <w:r>
              <w:rPr>
                <w:rFonts w:hint="eastAsia" w:hAnsi="仿宋"/>
                <w:sz w:val="20"/>
                <w:szCs w:val="20"/>
              </w:rPr>
              <w:t>制定了相关业务流程，包括决策流程、操作规范、流程控制管理等</w:t>
            </w:r>
          </w:p>
        </w:tc>
      </w:tr>
      <w:tr w14:paraId="7FA4C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Merge w:val="continue"/>
            <w:tcBorders>
              <w:left w:val="single" w:color="auto" w:sz="4" w:space="0"/>
              <w:bottom w:val="single" w:color="auto" w:sz="4" w:space="0"/>
              <w:right w:val="single" w:color="auto" w:sz="4" w:space="0"/>
            </w:tcBorders>
            <w:vAlign w:val="center"/>
          </w:tcPr>
          <w:p w14:paraId="575F48CF">
            <w:pPr>
              <w:pStyle w:val="100"/>
              <w:rPr>
                <w:rFonts w:hAnsi="仿宋"/>
                <w:sz w:val="20"/>
                <w:szCs w:val="20"/>
              </w:rPr>
            </w:pPr>
          </w:p>
        </w:tc>
        <w:tc>
          <w:tcPr>
            <w:tcW w:w="681" w:type="dxa"/>
            <w:tcBorders>
              <w:top w:val="single" w:color="auto" w:sz="4" w:space="0"/>
              <w:left w:val="single" w:color="auto" w:sz="4" w:space="0"/>
              <w:bottom w:val="single" w:color="auto" w:sz="4" w:space="0"/>
              <w:right w:val="single" w:color="auto" w:sz="4" w:space="0"/>
            </w:tcBorders>
            <w:vAlign w:val="center"/>
          </w:tcPr>
          <w:p w14:paraId="29907A2F">
            <w:pPr>
              <w:pStyle w:val="100"/>
              <w:rPr>
                <w:rFonts w:hAnsi="仿宋"/>
                <w:sz w:val="20"/>
                <w:szCs w:val="20"/>
              </w:rPr>
            </w:pPr>
            <w:r>
              <w:rPr>
                <w:rFonts w:hint="eastAsia" w:hAnsi="仿宋"/>
                <w:sz w:val="20"/>
                <w:szCs w:val="20"/>
              </w:rPr>
              <w:t>7</w:t>
            </w:r>
          </w:p>
        </w:tc>
        <w:tc>
          <w:tcPr>
            <w:tcW w:w="6631" w:type="dxa"/>
            <w:tcBorders>
              <w:top w:val="single" w:color="auto" w:sz="4" w:space="0"/>
              <w:left w:val="single" w:color="auto" w:sz="4" w:space="0"/>
              <w:bottom w:val="single" w:color="auto" w:sz="4" w:space="0"/>
              <w:right w:val="single" w:color="auto" w:sz="4" w:space="0"/>
            </w:tcBorders>
            <w:vAlign w:val="center"/>
          </w:tcPr>
          <w:p w14:paraId="0710671F">
            <w:pPr>
              <w:pStyle w:val="100"/>
              <w:rPr>
                <w:rFonts w:hAnsi="仿宋"/>
                <w:sz w:val="20"/>
                <w:szCs w:val="20"/>
              </w:rPr>
            </w:pPr>
            <w:r>
              <w:rPr>
                <w:rFonts w:hint="eastAsia" w:hAnsi="仿宋"/>
                <w:sz w:val="20"/>
                <w:szCs w:val="20"/>
              </w:rPr>
              <w:t>制定了应急风险处置制度，包括应急处置人员安排、突发事件场景、预防措施、突发事件预警及响应机制、应急处置决策与实施机制等</w:t>
            </w:r>
          </w:p>
        </w:tc>
      </w:tr>
      <w:bookmarkEnd w:id="3997"/>
    </w:tbl>
    <w:p w14:paraId="2DEA67CF">
      <w:pPr>
        <w:rPr>
          <w:rFonts w:ascii="黑体" w:hAnsi="华文细黑" w:eastAsia="黑体"/>
          <w:b/>
          <w:sz w:val="28"/>
          <w:szCs w:val="28"/>
        </w:rPr>
      </w:pPr>
      <w:r>
        <w:rPr>
          <w:rFonts w:hint="eastAsia" w:ascii="黑体" w:hAnsi="华文细黑" w:eastAsia="黑体"/>
          <w:b/>
          <w:sz w:val="28"/>
          <w:szCs w:val="28"/>
        </w:rPr>
        <w:t>二、功能要求</w:t>
      </w:r>
    </w:p>
    <w:tbl>
      <w:tblPr>
        <w:tblStyle w:val="43"/>
        <w:tblW w:w="86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8"/>
        <w:gridCol w:w="665"/>
        <w:gridCol w:w="6809"/>
      </w:tblGrid>
      <w:tr w14:paraId="2D34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tcBorders>
              <w:top w:val="single" w:color="auto" w:sz="4" w:space="0"/>
              <w:left w:val="single" w:color="auto" w:sz="4" w:space="0"/>
              <w:bottom w:val="single" w:color="auto" w:sz="4" w:space="0"/>
              <w:right w:val="single" w:color="auto" w:sz="4" w:space="0"/>
            </w:tcBorders>
            <w:vAlign w:val="center"/>
          </w:tcPr>
          <w:p w14:paraId="66909AD6">
            <w:pPr>
              <w:rPr>
                <w:rFonts w:ascii="仿宋_GB2312" w:eastAsia="仿宋_GB2312"/>
                <w:b/>
              </w:rPr>
            </w:pPr>
            <w:bookmarkStart w:id="3998" w:name="_Hlk107782684"/>
            <w:r>
              <w:rPr>
                <w:rFonts w:hint="eastAsia" w:ascii="仿宋_GB2312" w:eastAsia="仿宋_GB2312"/>
                <w:b/>
              </w:rPr>
              <w:t>检查项目</w:t>
            </w:r>
          </w:p>
        </w:tc>
        <w:tc>
          <w:tcPr>
            <w:tcW w:w="665" w:type="dxa"/>
            <w:tcBorders>
              <w:top w:val="single" w:color="auto" w:sz="4" w:space="0"/>
              <w:left w:val="single" w:color="auto" w:sz="4" w:space="0"/>
              <w:bottom w:val="single" w:color="auto" w:sz="4" w:space="0"/>
              <w:right w:val="single" w:color="auto" w:sz="4" w:space="0"/>
            </w:tcBorders>
            <w:vAlign w:val="center"/>
          </w:tcPr>
          <w:p w14:paraId="2B4C693F">
            <w:pPr>
              <w:rPr>
                <w:rFonts w:ascii="仿宋_GB2312" w:eastAsia="仿宋_GB2312"/>
                <w:b/>
              </w:rPr>
            </w:pPr>
            <w:r>
              <w:rPr>
                <w:rFonts w:hint="eastAsia" w:ascii="仿宋_GB2312" w:eastAsia="仿宋_GB2312"/>
                <w:b/>
              </w:rPr>
              <w:t>编号</w:t>
            </w:r>
          </w:p>
        </w:tc>
        <w:tc>
          <w:tcPr>
            <w:tcW w:w="6809" w:type="dxa"/>
            <w:tcBorders>
              <w:top w:val="single" w:color="auto" w:sz="4" w:space="0"/>
              <w:left w:val="single" w:color="auto" w:sz="4" w:space="0"/>
              <w:bottom w:val="single" w:color="auto" w:sz="4" w:space="0"/>
              <w:right w:val="single" w:color="auto" w:sz="4" w:space="0"/>
            </w:tcBorders>
            <w:vAlign w:val="center"/>
          </w:tcPr>
          <w:p w14:paraId="40874719">
            <w:pPr>
              <w:rPr>
                <w:rFonts w:ascii="仿宋_GB2312" w:eastAsia="仿宋_GB2312"/>
                <w:b/>
              </w:rPr>
            </w:pPr>
            <w:r>
              <w:rPr>
                <w:rFonts w:hint="eastAsia" w:ascii="仿宋_GB2312" w:eastAsia="仿宋_GB2312"/>
                <w:b/>
              </w:rPr>
              <w:t>检查内容</w:t>
            </w:r>
          </w:p>
        </w:tc>
      </w:tr>
      <w:tr w14:paraId="31EBE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68" w:type="dxa"/>
            <w:vMerge w:val="restart"/>
            <w:tcBorders>
              <w:top w:val="single" w:color="auto" w:sz="4" w:space="0"/>
              <w:left w:val="single" w:color="auto" w:sz="4" w:space="0"/>
              <w:bottom w:val="single" w:color="auto" w:sz="4" w:space="0"/>
              <w:right w:val="single" w:color="auto" w:sz="4" w:space="0"/>
            </w:tcBorders>
            <w:vAlign w:val="center"/>
          </w:tcPr>
          <w:p w14:paraId="312C7803">
            <w:pPr>
              <w:pStyle w:val="100"/>
              <w:rPr>
                <w:rFonts w:hAnsi="仿宋"/>
                <w:b/>
                <w:bCs/>
                <w:sz w:val="20"/>
                <w:szCs w:val="20"/>
              </w:rPr>
            </w:pPr>
            <w:r>
              <w:rPr>
                <w:rFonts w:hint="eastAsia" w:hAnsi="仿宋"/>
                <w:b/>
                <w:bCs/>
                <w:sz w:val="20"/>
                <w:szCs w:val="20"/>
              </w:rPr>
              <w:t>交</w:t>
            </w:r>
            <w:r>
              <w:rPr>
                <w:rFonts w:hint="eastAsia" w:hAnsi="Times New Roman" w:cs="Times New Roman"/>
                <w:b/>
                <w:bCs/>
                <w:color w:val="auto"/>
                <w:kern w:val="2"/>
                <w:sz w:val="21"/>
                <w:szCs w:val="21"/>
              </w:rPr>
              <w:t>易设置</w:t>
            </w:r>
          </w:p>
        </w:tc>
        <w:tc>
          <w:tcPr>
            <w:tcW w:w="665" w:type="dxa"/>
            <w:tcBorders>
              <w:top w:val="single" w:color="auto" w:sz="4" w:space="0"/>
              <w:left w:val="single" w:color="auto" w:sz="4" w:space="0"/>
              <w:bottom w:val="single" w:color="auto" w:sz="4" w:space="0"/>
              <w:right w:val="single" w:color="auto" w:sz="4" w:space="0"/>
            </w:tcBorders>
            <w:vAlign w:val="center"/>
          </w:tcPr>
          <w:p w14:paraId="6B6A2E73">
            <w:pPr>
              <w:pStyle w:val="100"/>
              <w:rPr>
                <w:rFonts w:hAnsi="仿宋"/>
                <w:sz w:val="20"/>
                <w:szCs w:val="20"/>
              </w:rPr>
            </w:pPr>
            <w:r>
              <w:rPr>
                <w:rFonts w:hAnsi="仿宋"/>
                <w:sz w:val="20"/>
                <w:szCs w:val="20"/>
              </w:rPr>
              <w:t>1</w:t>
            </w:r>
          </w:p>
        </w:tc>
        <w:tc>
          <w:tcPr>
            <w:tcW w:w="6809" w:type="dxa"/>
            <w:tcBorders>
              <w:top w:val="single" w:color="auto" w:sz="4" w:space="0"/>
              <w:left w:val="single" w:color="auto" w:sz="4" w:space="0"/>
              <w:bottom w:val="single" w:color="auto" w:sz="4" w:space="0"/>
              <w:right w:val="single" w:color="auto" w:sz="4" w:space="0"/>
            </w:tcBorders>
            <w:vAlign w:val="center"/>
          </w:tcPr>
          <w:p w14:paraId="56628AB3">
            <w:pPr>
              <w:pStyle w:val="100"/>
              <w:rPr>
                <w:rFonts w:hAnsi="仿宋"/>
                <w:sz w:val="20"/>
                <w:szCs w:val="20"/>
              </w:rPr>
            </w:pPr>
            <w:r>
              <w:rPr>
                <w:rFonts w:hint="eastAsia" w:hAnsi="仿宋"/>
                <w:sz w:val="20"/>
                <w:szCs w:val="20"/>
              </w:rPr>
              <w:t>最小报价数量设置</w:t>
            </w:r>
          </w:p>
        </w:tc>
      </w:tr>
      <w:tr w14:paraId="1E8AD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168" w:type="dxa"/>
            <w:vMerge w:val="continue"/>
            <w:tcBorders>
              <w:top w:val="single" w:color="auto" w:sz="4" w:space="0"/>
              <w:left w:val="single" w:color="auto" w:sz="4" w:space="0"/>
              <w:bottom w:val="single" w:color="auto" w:sz="4" w:space="0"/>
              <w:right w:val="single" w:color="auto" w:sz="4" w:space="0"/>
            </w:tcBorders>
            <w:vAlign w:val="center"/>
          </w:tcPr>
          <w:p w14:paraId="5DE6A36B">
            <w:pPr>
              <w:pStyle w:val="100"/>
              <w:rPr>
                <w:rFonts w:hAnsi="仿宋"/>
                <w:sz w:val="20"/>
                <w:szCs w:val="20"/>
              </w:rPr>
            </w:pPr>
          </w:p>
        </w:tc>
        <w:tc>
          <w:tcPr>
            <w:tcW w:w="665" w:type="dxa"/>
            <w:tcBorders>
              <w:top w:val="single" w:color="auto" w:sz="4" w:space="0"/>
              <w:left w:val="single" w:color="auto" w:sz="4" w:space="0"/>
              <w:bottom w:val="single" w:color="auto" w:sz="4" w:space="0"/>
              <w:right w:val="single" w:color="auto" w:sz="4" w:space="0"/>
            </w:tcBorders>
            <w:vAlign w:val="center"/>
          </w:tcPr>
          <w:p w14:paraId="3FCD432F">
            <w:pPr>
              <w:pStyle w:val="100"/>
              <w:rPr>
                <w:rFonts w:hAnsi="仿宋"/>
                <w:sz w:val="20"/>
                <w:szCs w:val="20"/>
              </w:rPr>
            </w:pPr>
            <w:r>
              <w:rPr>
                <w:rFonts w:hAnsi="仿宋"/>
                <w:sz w:val="20"/>
                <w:szCs w:val="20"/>
              </w:rPr>
              <w:t>2</w:t>
            </w:r>
          </w:p>
        </w:tc>
        <w:tc>
          <w:tcPr>
            <w:tcW w:w="6809" w:type="dxa"/>
            <w:tcBorders>
              <w:top w:val="single" w:color="auto" w:sz="4" w:space="0"/>
              <w:left w:val="single" w:color="auto" w:sz="4" w:space="0"/>
              <w:bottom w:val="single" w:color="auto" w:sz="4" w:space="0"/>
              <w:right w:val="single" w:color="auto" w:sz="4" w:space="0"/>
            </w:tcBorders>
            <w:vAlign w:val="center"/>
          </w:tcPr>
          <w:p w14:paraId="2CD5F994">
            <w:pPr>
              <w:pStyle w:val="100"/>
              <w:rPr>
                <w:rFonts w:hAnsi="仿宋"/>
                <w:sz w:val="20"/>
                <w:szCs w:val="20"/>
              </w:rPr>
            </w:pPr>
            <w:r>
              <w:rPr>
                <w:rFonts w:hint="eastAsia" w:hAnsi="仿宋"/>
                <w:sz w:val="20"/>
                <w:szCs w:val="20"/>
              </w:rPr>
              <w:t>行情数据接收管理</w:t>
            </w:r>
          </w:p>
        </w:tc>
      </w:tr>
      <w:tr w14:paraId="71044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vMerge w:val="continue"/>
            <w:tcBorders>
              <w:top w:val="single" w:color="auto" w:sz="4" w:space="0"/>
              <w:left w:val="single" w:color="auto" w:sz="4" w:space="0"/>
              <w:bottom w:val="single" w:color="auto" w:sz="4" w:space="0"/>
              <w:right w:val="single" w:color="auto" w:sz="4" w:space="0"/>
            </w:tcBorders>
            <w:vAlign w:val="center"/>
          </w:tcPr>
          <w:p w14:paraId="19C0BC14">
            <w:pPr>
              <w:pStyle w:val="100"/>
              <w:rPr>
                <w:rFonts w:hAnsi="仿宋"/>
                <w:sz w:val="20"/>
                <w:szCs w:val="20"/>
              </w:rPr>
            </w:pPr>
          </w:p>
        </w:tc>
        <w:tc>
          <w:tcPr>
            <w:tcW w:w="665" w:type="dxa"/>
            <w:tcBorders>
              <w:top w:val="single" w:color="auto" w:sz="4" w:space="0"/>
              <w:left w:val="single" w:color="auto" w:sz="4" w:space="0"/>
              <w:bottom w:val="single" w:color="auto" w:sz="4" w:space="0"/>
              <w:right w:val="single" w:color="auto" w:sz="4" w:space="0"/>
            </w:tcBorders>
            <w:vAlign w:val="center"/>
          </w:tcPr>
          <w:p w14:paraId="656819A9">
            <w:pPr>
              <w:pStyle w:val="100"/>
              <w:rPr>
                <w:rFonts w:hAnsi="仿宋"/>
                <w:sz w:val="20"/>
                <w:szCs w:val="20"/>
              </w:rPr>
            </w:pPr>
            <w:r>
              <w:rPr>
                <w:rFonts w:hAnsi="仿宋"/>
                <w:sz w:val="20"/>
                <w:szCs w:val="20"/>
              </w:rPr>
              <w:t>3</w:t>
            </w:r>
          </w:p>
        </w:tc>
        <w:tc>
          <w:tcPr>
            <w:tcW w:w="6809" w:type="dxa"/>
            <w:tcBorders>
              <w:top w:val="single" w:color="auto" w:sz="4" w:space="0"/>
              <w:left w:val="single" w:color="auto" w:sz="4" w:space="0"/>
              <w:bottom w:val="single" w:color="auto" w:sz="4" w:space="0"/>
              <w:right w:val="single" w:color="auto" w:sz="4" w:space="0"/>
            </w:tcBorders>
            <w:vAlign w:val="center"/>
          </w:tcPr>
          <w:p w14:paraId="4732DBD2">
            <w:pPr>
              <w:pStyle w:val="100"/>
              <w:rPr>
                <w:rFonts w:hAnsi="仿宋"/>
                <w:sz w:val="20"/>
                <w:szCs w:val="20"/>
              </w:rPr>
            </w:pPr>
            <w:r>
              <w:rPr>
                <w:rFonts w:hint="eastAsia" w:hAnsi="仿宋"/>
                <w:sz w:val="20"/>
                <w:szCs w:val="20"/>
              </w:rPr>
              <w:t>持仓管理、订单管理、报价参数管理</w:t>
            </w:r>
          </w:p>
        </w:tc>
      </w:tr>
      <w:tr w14:paraId="2D38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 w:type="dxa"/>
            <w:vMerge w:val="continue"/>
            <w:tcBorders>
              <w:top w:val="single" w:color="auto" w:sz="4" w:space="0"/>
              <w:left w:val="single" w:color="auto" w:sz="4" w:space="0"/>
              <w:bottom w:val="single" w:color="auto" w:sz="4" w:space="0"/>
              <w:right w:val="single" w:color="auto" w:sz="4" w:space="0"/>
            </w:tcBorders>
            <w:vAlign w:val="center"/>
          </w:tcPr>
          <w:p w14:paraId="04FECCD7">
            <w:pPr>
              <w:pStyle w:val="100"/>
              <w:rPr>
                <w:rFonts w:hAnsi="仿宋"/>
                <w:sz w:val="20"/>
                <w:szCs w:val="20"/>
              </w:rPr>
            </w:pPr>
          </w:p>
        </w:tc>
        <w:tc>
          <w:tcPr>
            <w:tcW w:w="665" w:type="dxa"/>
            <w:tcBorders>
              <w:top w:val="single" w:color="auto" w:sz="4" w:space="0"/>
              <w:left w:val="single" w:color="auto" w:sz="4" w:space="0"/>
              <w:bottom w:val="single" w:color="auto" w:sz="4" w:space="0"/>
              <w:right w:val="single" w:color="auto" w:sz="4" w:space="0"/>
            </w:tcBorders>
            <w:vAlign w:val="center"/>
          </w:tcPr>
          <w:p w14:paraId="21CC2B58">
            <w:pPr>
              <w:pStyle w:val="100"/>
              <w:rPr>
                <w:rFonts w:hAnsi="仿宋"/>
                <w:sz w:val="20"/>
                <w:szCs w:val="20"/>
              </w:rPr>
            </w:pPr>
            <w:r>
              <w:rPr>
                <w:rFonts w:hAnsi="仿宋"/>
                <w:sz w:val="20"/>
                <w:szCs w:val="20"/>
              </w:rPr>
              <w:t>4</w:t>
            </w:r>
          </w:p>
        </w:tc>
        <w:tc>
          <w:tcPr>
            <w:tcW w:w="6809" w:type="dxa"/>
            <w:tcBorders>
              <w:top w:val="single" w:color="auto" w:sz="4" w:space="0"/>
              <w:left w:val="single" w:color="auto" w:sz="4" w:space="0"/>
              <w:bottom w:val="single" w:color="auto" w:sz="4" w:space="0"/>
              <w:right w:val="single" w:color="auto" w:sz="4" w:space="0"/>
            </w:tcBorders>
          </w:tcPr>
          <w:p w14:paraId="41E20E7D">
            <w:pPr>
              <w:pStyle w:val="100"/>
              <w:rPr>
                <w:rFonts w:hAnsi="仿宋"/>
                <w:sz w:val="20"/>
                <w:szCs w:val="20"/>
              </w:rPr>
            </w:pPr>
            <w:r>
              <w:rPr>
                <w:rFonts w:hint="eastAsia" w:hAnsi="仿宋"/>
                <w:sz w:val="20"/>
                <w:szCs w:val="20"/>
              </w:rPr>
              <w:t>支持做市相关基本交易指令以及前端控制</w:t>
            </w:r>
          </w:p>
        </w:tc>
      </w:tr>
      <w:bookmarkEnd w:id="3998"/>
    </w:tbl>
    <w:p w14:paraId="56838060"/>
    <w:p w14:paraId="3F678D63">
      <w:pPr>
        <w:rPr>
          <w:rFonts w:ascii="黑体" w:hAnsi="华文细黑" w:eastAsia="黑体"/>
          <w:b/>
          <w:sz w:val="28"/>
          <w:szCs w:val="28"/>
        </w:rPr>
      </w:pPr>
      <w:r>
        <w:rPr>
          <w:rFonts w:hint="eastAsia" w:ascii="黑体" w:hAnsi="华文细黑" w:eastAsia="黑体"/>
          <w:b/>
          <w:sz w:val="28"/>
          <w:szCs w:val="28"/>
        </w:rPr>
        <w:t>三、风险管理与控制体系</w:t>
      </w:r>
    </w:p>
    <w:tbl>
      <w:tblPr>
        <w:tblStyle w:val="43"/>
        <w:tblpPr w:leftFromText="180" w:rightFromText="180" w:vertAnchor="text" w:horzAnchor="margin" w:tblpY="158"/>
        <w:tblW w:w="864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92"/>
        <w:gridCol w:w="678"/>
        <w:gridCol w:w="6772"/>
      </w:tblGrid>
      <w:tr w14:paraId="29B92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92" w:type="dxa"/>
            <w:tcBorders>
              <w:top w:val="single" w:color="000000" w:sz="4" w:space="0"/>
              <w:left w:val="single" w:color="000000" w:sz="4" w:space="0"/>
              <w:bottom w:val="single" w:color="000000" w:sz="4" w:space="0"/>
              <w:right w:val="single" w:color="000000" w:sz="4" w:space="0"/>
            </w:tcBorders>
            <w:vAlign w:val="center"/>
          </w:tcPr>
          <w:p w14:paraId="40AF7E98">
            <w:pPr>
              <w:pStyle w:val="100"/>
              <w:rPr>
                <w:rFonts w:hAnsi="仿宋"/>
                <w:b/>
                <w:bCs/>
                <w:sz w:val="20"/>
                <w:szCs w:val="20"/>
              </w:rPr>
            </w:pPr>
            <w:bookmarkStart w:id="3999" w:name="_Hlk107783130"/>
            <w:r>
              <w:rPr>
                <w:rFonts w:hint="eastAsia" w:hAnsi="仿宋"/>
                <w:b/>
                <w:bCs/>
                <w:sz w:val="20"/>
                <w:szCs w:val="20"/>
              </w:rPr>
              <w:t>检查项目</w:t>
            </w:r>
          </w:p>
        </w:tc>
        <w:tc>
          <w:tcPr>
            <w:tcW w:w="678" w:type="dxa"/>
            <w:tcBorders>
              <w:top w:val="single" w:color="000000" w:sz="4" w:space="0"/>
              <w:left w:val="single" w:color="000000" w:sz="4" w:space="0"/>
              <w:bottom w:val="single" w:color="000000" w:sz="4" w:space="0"/>
              <w:right w:val="single" w:color="000000" w:sz="4" w:space="0"/>
            </w:tcBorders>
            <w:vAlign w:val="center"/>
          </w:tcPr>
          <w:p w14:paraId="5DF53C76">
            <w:pPr>
              <w:rPr>
                <w:rFonts w:ascii="仿宋_GB2312" w:hAnsi="仿宋" w:eastAsia="仿宋_GB2312" w:cs="仿宋_GB2312"/>
                <w:b/>
                <w:bCs/>
                <w:color w:val="000000"/>
                <w:kern w:val="0"/>
                <w:sz w:val="20"/>
                <w:szCs w:val="20"/>
              </w:rPr>
            </w:pPr>
            <w:r>
              <w:rPr>
                <w:rFonts w:hint="eastAsia" w:ascii="仿宋_GB2312" w:hAnsi="仿宋" w:eastAsia="仿宋_GB2312" w:cs="仿宋_GB2312"/>
                <w:b/>
                <w:bCs/>
                <w:color w:val="000000"/>
                <w:kern w:val="0"/>
                <w:sz w:val="20"/>
                <w:szCs w:val="20"/>
              </w:rPr>
              <w:t>编号</w:t>
            </w:r>
          </w:p>
        </w:tc>
        <w:tc>
          <w:tcPr>
            <w:tcW w:w="6772" w:type="dxa"/>
            <w:tcBorders>
              <w:top w:val="single" w:color="000000" w:sz="4" w:space="0"/>
              <w:left w:val="single" w:color="000000" w:sz="4" w:space="0"/>
              <w:bottom w:val="single" w:color="000000" w:sz="4" w:space="0"/>
              <w:right w:val="single" w:color="000000" w:sz="4" w:space="0"/>
            </w:tcBorders>
            <w:vAlign w:val="center"/>
          </w:tcPr>
          <w:p w14:paraId="6FE49BA7">
            <w:pPr>
              <w:rPr>
                <w:rFonts w:ascii="仿宋_GB2312" w:hAnsi="仿宋" w:eastAsia="仿宋_GB2312" w:cs="仿宋_GB2312"/>
                <w:b/>
                <w:bCs/>
                <w:color w:val="000000"/>
                <w:kern w:val="0"/>
                <w:sz w:val="20"/>
                <w:szCs w:val="20"/>
              </w:rPr>
            </w:pPr>
            <w:r>
              <w:rPr>
                <w:rFonts w:hint="eastAsia" w:ascii="仿宋_GB2312" w:hAnsi="仿宋" w:eastAsia="仿宋_GB2312" w:cs="仿宋_GB2312"/>
                <w:b/>
                <w:bCs/>
                <w:color w:val="000000"/>
                <w:kern w:val="0"/>
                <w:sz w:val="20"/>
                <w:szCs w:val="20"/>
              </w:rPr>
              <w:t>检查内容</w:t>
            </w:r>
          </w:p>
        </w:tc>
      </w:tr>
      <w:tr w14:paraId="28270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92" w:type="dxa"/>
            <w:vMerge w:val="restart"/>
            <w:tcBorders>
              <w:top w:val="single" w:color="000000" w:sz="4" w:space="0"/>
              <w:left w:val="single" w:color="000000" w:sz="4" w:space="0"/>
              <w:bottom w:val="single" w:color="000000" w:sz="4" w:space="0"/>
              <w:right w:val="single" w:color="000000" w:sz="4" w:space="0"/>
            </w:tcBorders>
            <w:vAlign w:val="center"/>
          </w:tcPr>
          <w:p w14:paraId="3E24BD57">
            <w:pPr>
              <w:pStyle w:val="100"/>
              <w:rPr>
                <w:rFonts w:hAnsi="仿宋"/>
                <w:b/>
                <w:bCs/>
                <w:sz w:val="20"/>
                <w:szCs w:val="20"/>
              </w:rPr>
            </w:pPr>
            <w:r>
              <w:rPr>
                <w:rFonts w:hint="eastAsia" w:hAnsi="仿宋"/>
                <w:b/>
                <w:bCs/>
                <w:sz w:val="20"/>
                <w:szCs w:val="20"/>
              </w:rPr>
              <w:t>风险管理与处置</w:t>
            </w:r>
          </w:p>
        </w:tc>
        <w:tc>
          <w:tcPr>
            <w:tcW w:w="678" w:type="dxa"/>
            <w:tcBorders>
              <w:top w:val="single" w:color="000000" w:sz="4" w:space="0"/>
              <w:left w:val="single" w:color="000000" w:sz="4" w:space="0"/>
              <w:bottom w:val="single" w:color="000000" w:sz="4" w:space="0"/>
              <w:right w:val="single" w:color="000000" w:sz="4" w:space="0"/>
            </w:tcBorders>
            <w:vAlign w:val="center"/>
          </w:tcPr>
          <w:p w14:paraId="63B7BC4D">
            <w:pPr>
              <w:pStyle w:val="100"/>
              <w:rPr>
                <w:rFonts w:hAnsi="仿宋"/>
                <w:sz w:val="20"/>
                <w:szCs w:val="20"/>
              </w:rPr>
            </w:pPr>
            <w:r>
              <w:rPr>
                <w:rFonts w:hAnsi="仿宋"/>
                <w:sz w:val="20"/>
                <w:szCs w:val="20"/>
              </w:rPr>
              <w:t>1</w:t>
            </w:r>
          </w:p>
        </w:tc>
        <w:tc>
          <w:tcPr>
            <w:tcW w:w="6772" w:type="dxa"/>
            <w:tcBorders>
              <w:top w:val="single" w:color="000000" w:sz="4" w:space="0"/>
              <w:left w:val="single" w:color="000000" w:sz="4" w:space="0"/>
              <w:bottom w:val="single" w:color="000000" w:sz="4" w:space="0"/>
              <w:right w:val="single" w:color="000000" w:sz="4" w:space="0"/>
            </w:tcBorders>
            <w:vAlign w:val="center"/>
          </w:tcPr>
          <w:p w14:paraId="26453FAC">
            <w:pPr>
              <w:pStyle w:val="100"/>
              <w:rPr>
                <w:rFonts w:hAnsi="仿宋"/>
                <w:sz w:val="20"/>
                <w:szCs w:val="20"/>
              </w:rPr>
            </w:pPr>
            <w:r>
              <w:rPr>
                <w:rFonts w:hint="eastAsia" w:hAnsi="仿宋"/>
                <w:sz w:val="20"/>
                <w:szCs w:val="20"/>
              </w:rPr>
              <w:t>风控体系架构</w:t>
            </w:r>
          </w:p>
        </w:tc>
      </w:tr>
      <w:tr w14:paraId="547A4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92" w:type="dxa"/>
            <w:vMerge w:val="continue"/>
            <w:tcBorders>
              <w:top w:val="single" w:color="000000" w:sz="4" w:space="0"/>
              <w:left w:val="single" w:color="000000" w:sz="4" w:space="0"/>
              <w:bottom w:val="single" w:color="000000" w:sz="4" w:space="0"/>
              <w:right w:val="single" w:color="000000" w:sz="4" w:space="0"/>
            </w:tcBorders>
            <w:vAlign w:val="center"/>
          </w:tcPr>
          <w:p w14:paraId="47E146FF">
            <w:pPr>
              <w:pStyle w:val="100"/>
              <w:rPr>
                <w:rFonts w:hAnsi="仿宋"/>
                <w:sz w:val="20"/>
                <w:szCs w:val="20"/>
              </w:rPr>
            </w:pPr>
          </w:p>
        </w:tc>
        <w:tc>
          <w:tcPr>
            <w:tcW w:w="678" w:type="dxa"/>
            <w:tcBorders>
              <w:top w:val="single" w:color="000000" w:sz="4" w:space="0"/>
              <w:left w:val="single" w:color="000000" w:sz="4" w:space="0"/>
              <w:bottom w:val="single" w:color="000000" w:sz="4" w:space="0"/>
              <w:right w:val="single" w:color="000000" w:sz="4" w:space="0"/>
            </w:tcBorders>
            <w:vAlign w:val="center"/>
          </w:tcPr>
          <w:p w14:paraId="769680A5">
            <w:pPr>
              <w:pStyle w:val="100"/>
              <w:rPr>
                <w:rFonts w:hAnsi="仿宋"/>
                <w:sz w:val="20"/>
                <w:szCs w:val="20"/>
              </w:rPr>
            </w:pPr>
            <w:r>
              <w:rPr>
                <w:rFonts w:hAnsi="仿宋"/>
                <w:sz w:val="20"/>
                <w:szCs w:val="20"/>
              </w:rPr>
              <w:t>2</w:t>
            </w:r>
          </w:p>
        </w:tc>
        <w:tc>
          <w:tcPr>
            <w:tcW w:w="6772" w:type="dxa"/>
            <w:tcBorders>
              <w:top w:val="single" w:color="000000" w:sz="4" w:space="0"/>
              <w:left w:val="single" w:color="000000" w:sz="4" w:space="0"/>
              <w:bottom w:val="single" w:color="000000" w:sz="4" w:space="0"/>
              <w:right w:val="single" w:color="000000" w:sz="4" w:space="0"/>
            </w:tcBorders>
            <w:vAlign w:val="center"/>
          </w:tcPr>
          <w:p w14:paraId="05660C65">
            <w:pPr>
              <w:pStyle w:val="100"/>
              <w:rPr>
                <w:rFonts w:hAnsi="仿宋"/>
                <w:sz w:val="20"/>
                <w:szCs w:val="20"/>
              </w:rPr>
            </w:pPr>
            <w:r>
              <w:rPr>
                <w:rFonts w:hint="eastAsia" w:hAnsi="仿宋"/>
                <w:sz w:val="20"/>
                <w:szCs w:val="20"/>
              </w:rPr>
              <w:t>操作风险</w:t>
            </w:r>
            <w:r>
              <w:rPr>
                <w:rFonts w:hAnsi="仿宋"/>
                <w:sz w:val="20"/>
                <w:szCs w:val="20"/>
              </w:rPr>
              <w:t>、</w:t>
            </w:r>
            <w:r>
              <w:rPr>
                <w:rFonts w:hint="eastAsia" w:hAnsi="仿宋"/>
                <w:sz w:val="20"/>
                <w:szCs w:val="20"/>
              </w:rPr>
              <w:t>市场风险</w:t>
            </w:r>
            <w:r>
              <w:rPr>
                <w:rFonts w:hAnsi="仿宋"/>
                <w:sz w:val="20"/>
                <w:szCs w:val="20"/>
              </w:rPr>
              <w:t>、</w:t>
            </w:r>
            <w:r>
              <w:rPr>
                <w:rFonts w:hint="eastAsia" w:hAnsi="仿宋"/>
                <w:sz w:val="20"/>
                <w:szCs w:val="20"/>
              </w:rPr>
              <w:t>流动性风险管理</w:t>
            </w:r>
          </w:p>
        </w:tc>
      </w:tr>
      <w:tr w14:paraId="69BF2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192" w:type="dxa"/>
            <w:vMerge w:val="continue"/>
            <w:tcBorders>
              <w:top w:val="single" w:color="000000" w:sz="4" w:space="0"/>
              <w:left w:val="single" w:color="000000" w:sz="4" w:space="0"/>
              <w:bottom w:val="single" w:color="000000" w:sz="4" w:space="0"/>
              <w:right w:val="single" w:color="000000" w:sz="4" w:space="0"/>
            </w:tcBorders>
            <w:vAlign w:val="center"/>
          </w:tcPr>
          <w:p w14:paraId="5007757C">
            <w:pPr>
              <w:pStyle w:val="100"/>
              <w:rPr>
                <w:rFonts w:hAnsi="仿宋"/>
                <w:sz w:val="20"/>
                <w:szCs w:val="20"/>
              </w:rPr>
            </w:pPr>
          </w:p>
        </w:tc>
        <w:tc>
          <w:tcPr>
            <w:tcW w:w="678" w:type="dxa"/>
            <w:tcBorders>
              <w:top w:val="single" w:color="000000" w:sz="4" w:space="0"/>
              <w:left w:val="single" w:color="000000" w:sz="4" w:space="0"/>
              <w:bottom w:val="single" w:color="000000" w:sz="4" w:space="0"/>
              <w:right w:val="single" w:color="000000" w:sz="4" w:space="0"/>
            </w:tcBorders>
            <w:vAlign w:val="center"/>
          </w:tcPr>
          <w:p w14:paraId="505FB834">
            <w:pPr>
              <w:pStyle w:val="100"/>
              <w:rPr>
                <w:rFonts w:hAnsi="仿宋"/>
                <w:sz w:val="20"/>
                <w:szCs w:val="20"/>
              </w:rPr>
            </w:pPr>
            <w:r>
              <w:rPr>
                <w:rFonts w:hAnsi="仿宋"/>
                <w:sz w:val="20"/>
                <w:szCs w:val="20"/>
              </w:rPr>
              <w:t>3</w:t>
            </w:r>
          </w:p>
        </w:tc>
        <w:tc>
          <w:tcPr>
            <w:tcW w:w="6772" w:type="dxa"/>
            <w:tcBorders>
              <w:top w:val="single" w:color="000000" w:sz="4" w:space="0"/>
              <w:left w:val="single" w:color="000000" w:sz="4" w:space="0"/>
              <w:bottom w:val="single" w:color="000000" w:sz="4" w:space="0"/>
              <w:right w:val="single" w:color="000000" w:sz="4" w:space="0"/>
            </w:tcBorders>
            <w:vAlign w:val="center"/>
          </w:tcPr>
          <w:p w14:paraId="05702100">
            <w:pPr>
              <w:pStyle w:val="100"/>
              <w:rPr>
                <w:rFonts w:hAnsi="仿宋"/>
                <w:sz w:val="20"/>
                <w:szCs w:val="20"/>
              </w:rPr>
            </w:pPr>
            <w:r>
              <w:rPr>
                <w:rFonts w:hint="eastAsia" w:hAnsi="仿宋"/>
                <w:sz w:val="20"/>
                <w:szCs w:val="20"/>
              </w:rPr>
              <w:t>异常交易的监控及应对</w:t>
            </w:r>
          </w:p>
        </w:tc>
      </w:tr>
      <w:bookmarkEnd w:id="3999"/>
    </w:tbl>
    <w:p w14:paraId="2A83AC2C">
      <w:pPr>
        <w:spacing w:line="288" w:lineRule="auto"/>
        <w:jc w:val="left"/>
        <w:rPr>
          <w:rFonts w:ascii="黑体" w:hAnsi="华文细黑" w:eastAsia="黑体"/>
          <w:b/>
          <w:sz w:val="28"/>
          <w:szCs w:val="28"/>
        </w:rPr>
      </w:pPr>
    </w:p>
    <w:p w14:paraId="120967FB">
      <w:pPr>
        <w:spacing w:line="288" w:lineRule="auto"/>
        <w:jc w:val="left"/>
        <w:rPr>
          <w:rFonts w:ascii="黑体" w:hAnsi="华文细黑" w:eastAsia="黑体"/>
          <w:b/>
          <w:sz w:val="28"/>
          <w:szCs w:val="28"/>
        </w:rPr>
      </w:pPr>
      <w:r>
        <w:rPr>
          <w:rFonts w:hint="eastAsia" w:ascii="黑体" w:hAnsi="华文细黑" w:eastAsia="黑体"/>
          <w:b/>
          <w:sz w:val="28"/>
          <w:szCs w:val="28"/>
        </w:rPr>
        <w:t>四、技术系统</w:t>
      </w:r>
    </w:p>
    <w:tbl>
      <w:tblPr>
        <w:tblStyle w:val="43"/>
        <w:tblW w:w="864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53"/>
        <w:gridCol w:w="656"/>
        <w:gridCol w:w="6833"/>
      </w:tblGrid>
      <w:tr w14:paraId="2DF8F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53" w:type="dxa"/>
            <w:tcBorders>
              <w:top w:val="single" w:color="000000" w:sz="4" w:space="0"/>
              <w:left w:val="single" w:color="000000" w:sz="4" w:space="0"/>
              <w:bottom w:val="single" w:color="000000" w:sz="4" w:space="0"/>
              <w:right w:val="single" w:color="000000" w:sz="4" w:space="0"/>
            </w:tcBorders>
            <w:vAlign w:val="center"/>
          </w:tcPr>
          <w:p w14:paraId="621F325C">
            <w:pPr>
              <w:pStyle w:val="100"/>
              <w:jc w:val="both"/>
              <w:rPr>
                <w:rFonts w:hAnsi="仿宋"/>
                <w:b/>
                <w:kern w:val="2"/>
                <w:sz w:val="20"/>
                <w:szCs w:val="20"/>
              </w:rPr>
            </w:pPr>
            <w:bookmarkStart w:id="4000" w:name="_Hlk107783635"/>
            <w:r>
              <w:rPr>
                <w:rFonts w:hint="eastAsia" w:hAnsi="仿宋"/>
                <w:b/>
                <w:sz w:val="20"/>
                <w:szCs w:val="20"/>
              </w:rPr>
              <w:t>检查项目</w:t>
            </w:r>
          </w:p>
        </w:tc>
        <w:tc>
          <w:tcPr>
            <w:tcW w:w="656" w:type="dxa"/>
            <w:tcBorders>
              <w:top w:val="single" w:color="000000" w:sz="4" w:space="0"/>
              <w:left w:val="single" w:color="000000" w:sz="4" w:space="0"/>
              <w:bottom w:val="single" w:color="000000" w:sz="4" w:space="0"/>
              <w:right w:val="single" w:color="000000" w:sz="4" w:space="0"/>
            </w:tcBorders>
            <w:vAlign w:val="center"/>
          </w:tcPr>
          <w:p w14:paraId="39DFC63B">
            <w:pPr>
              <w:pStyle w:val="100"/>
              <w:jc w:val="both"/>
              <w:rPr>
                <w:rFonts w:hAnsi="仿宋"/>
                <w:b/>
                <w:kern w:val="2"/>
                <w:sz w:val="20"/>
                <w:szCs w:val="20"/>
              </w:rPr>
            </w:pPr>
            <w:r>
              <w:rPr>
                <w:rFonts w:hint="eastAsia" w:hAnsi="仿宋"/>
                <w:b/>
                <w:sz w:val="20"/>
                <w:szCs w:val="20"/>
              </w:rPr>
              <w:t>编号</w:t>
            </w:r>
          </w:p>
        </w:tc>
        <w:tc>
          <w:tcPr>
            <w:tcW w:w="6833" w:type="dxa"/>
            <w:tcBorders>
              <w:top w:val="single" w:color="000000" w:sz="4" w:space="0"/>
              <w:left w:val="single" w:color="000000" w:sz="4" w:space="0"/>
              <w:bottom w:val="single" w:color="000000" w:sz="4" w:space="0"/>
              <w:right w:val="single" w:color="000000" w:sz="4" w:space="0"/>
            </w:tcBorders>
            <w:vAlign w:val="center"/>
          </w:tcPr>
          <w:p w14:paraId="131A3A8C">
            <w:pPr>
              <w:pStyle w:val="100"/>
              <w:jc w:val="both"/>
              <w:rPr>
                <w:rFonts w:hAnsi="仿宋"/>
                <w:b/>
                <w:kern w:val="2"/>
                <w:sz w:val="20"/>
                <w:szCs w:val="20"/>
              </w:rPr>
            </w:pPr>
            <w:r>
              <w:rPr>
                <w:rFonts w:hint="eastAsia" w:hAnsi="仿宋"/>
                <w:b/>
                <w:sz w:val="20"/>
                <w:szCs w:val="20"/>
              </w:rPr>
              <w:t>检查内容</w:t>
            </w:r>
          </w:p>
        </w:tc>
      </w:tr>
      <w:tr w14:paraId="4D2F6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53" w:type="dxa"/>
            <w:vMerge w:val="restart"/>
            <w:tcBorders>
              <w:top w:val="single" w:color="000000" w:sz="4" w:space="0"/>
              <w:left w:val="single" w:color="000000" w:sz="4" w:space="0"/>
              <w:right w:val="single" w:color="000000" w:sz="4" w:space="0"/>
            </w:tcBorders>
            <w:vAlign w:val="center"/>
          </w:tcPr>
          <w:p w14:paraId="4CC39F6D">
            <w:pPr>
              <w:pStyle w:val="100"/>
              <w:rPr>
                <w:rFonts w:hAnsi="仿宋"/>
                <w:b/>
                <w:kern w:val="2"/>
                <w:sz w:val="20"/>
                <w:szCs w:val="20"/>
              </w:rPr>
            </w:pPr>
            <w:r>
              <w:rPr>
                <w:rFonts w:hint="eastAsia" w:hAnsi="仿宋"/>
                <w:b/>
                <w:sz w:val="20"/>
                <w:szCs w:val="20"/>
              </w:rPr>
              <w:t>技术系统</w:t>
            </w:r>
          </w:p>
          <w:p w14:paraId="6B96CE90">
            <w:pPr>
              <w:pStyle w:val="100"/>
              <w:rPr>
                <w:rFonts w:hAnsi="仿宋"/>
                <w:b/>
                <w:kern w:val="2"/>
                <w:sz w:val="20"/>
                <w:szCs w:val="20"/>
              </w:rPr>
            </w:pPr>
            <w:r>
              <w:rPr>
                <w:rFonts w:hint="eastAsia" w:hAnsi="仿宋"/>
                <w:b/>
                <w:sz w:val="20"/>
                <w:szCs w:val="20"/>
              </w:rPr>
              <w:t>（新债券交易系统/</w:t>
            </w:r>
            <w:r>
              <w:rPr>
                <w:rFonts w:hint="eastAsia" w:hAnsi="仿宋"/>
                <w:b/>
                <w:sz w:val="20"/>
                <w:szCs w:val="20"/>
                <w:lang w:eastAsia="zh-CN"/>
              </w:rPr>
              <w:t>新固定收益系统</w:t>
            </w:r>
            <w:r>
              <w:rPr>
                <w:rFonts w:hAnsi="仿宋"/>
                <w:b/>
                <w:sz w:val="20"/>
                <w:szCs w:val="20"/>
              </w:rPr>
              <w:t>/</w:t>
            </w:r>
            <w:r>
              <w:rPr>
                <w:rFonts w:hint="eastAsia" w:hAnsi="仿宋"/>
                <w:b/>
                <w:sz w:val="20"/>
                <w:szCs w:val="20"/>
              </w:rPr>
              <w:t>自动报价）</w:t>
            </w:r>
          </w:p>
        </w:tc>
        <w:tc>
          <w:tcPr>
            <w:tcW w:w="656" w:type="dxa"/>
            <w:tcBorders>
              <w:top w:val="single" w:color="000000" w:sz="4" w:space="0"/>
              <w:left w:val="single" w:color="000000" w:sz="4" w:space="0"/>
              <w:bottom w:val="single" w:color="000000" w:sz="4" w:space="0"/>
              <w:right w:val="single" w:color="000000" w:sz="4" w:space="0"/>
            </w:tcBorders>
            <w:vAlign w:val="center"/>
          </w:tcPr>
          <w:p w14:paraId="6FFE1C8B">
            <w:pPr>
              <w:pStyle w:val="100"/>
              <w:rPr>
                <w:rFonts w:hAnsi="仿宋"/>
                <w:kern w:val="2"/>
                <w:sz w:val="20"/>
                <w:szCs w:val="20"/>
              </w:rPr>
            </w:pPr>
            <w:r>
              <w:rPr>
                <w:rFonts w:hAnsi="仿宋"/>
                <w:sz w:val="20"/>
                <w:szCs w:val="20"/>
              </w:rPr>
              <w:t>1</w:t>
            </w:r>
          </w:p>
        </w:tc>
        <w:tc>
          <w:tcPr>
            <w:tcW w:w="6833" w:type="dxa"/>
            <w:tcBorders>
              <w:top w:val="single" w:color="000000" w:sz="4" w:space="0"/>
              <w:left w:val="single" w:color="000000" w:sz="4" w:space="0"/>
              <w:bottom w:val="single" w:color="000000" w:sz="4" w:space="0"/>
              <w:right w:val="single" w:color="000000" w:sz="4" w:space="0"/>
            </w:tcBorders>
            <w:vAlign w:val="center"/>
          </w:tcPr>
          <w:p w14:paraId="48FE5890">
            <w:pPr>
              <w:pStyle w:val="100"/>
              <w:rPr>
                <w:rFonts w:hAnsi="仿宋"/>
                <w:kern w:val="2"/>
                <w:sz w:val="20"/>
                <w:szCs w:val="20"/>
              </w:rPr>
            </w:pPr>
            <w:r>
              <w:rPr>
                <w:rFonts w:hint="eastAsia" w:hAnsi="仿宋"/>
                <w:sz w:val="20"/>
                <w:szCs w:val="20"/>
              </w:rPr>
              <w:t>系统建设方案</w:t>
            </w:r>
          </w:p>
        </w:tc>
      </w:tr>
      <w:tr w14:paraId="40985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53" w:type="dxa"/>
            <w:vMerge w:val="continue"/>
            <w:tcBorders>
              <w:left w:val="single" w:color="000000" w:sz="4" w:space="0"/>
              <w:right w:val="single" w:color="000000" w:sz="4" w:space="0"/>
            </w:tcBorders>
            <w:vAlign w:val="center"/>
          </w:tcPr>
          <w:p w14:paraId="7E979732">
            <w:pPr>
              <w:pStyle w:val="100"/>
              <w:jc w:val="both"/>
              <w:rPr>
                <w:rFonts w:hAnsi="仿宋"/>
                <w:b/>
                <w:kern w:val="2"/>
                <w:sz w:val="20"/>
                <w:szCs w:val="20"/>
              </w:rPr>
            </w:pPr>
          </w:p>
        </w:tc>
        <w:tc>
          <w:tcPr>
            <w:tcW w:w="656" w:type="dxa"/>
            <w:tcBorders>
              <w:top w:val="single" w:color="000000" w:sz="4" w:space="0"/>
              <w:left w:val="single" w:color="000000" w:sz="4" w:space="0"/>
              <w:bottom w:val="single" w:color="000000" w:sz="4" w:space="0"/>
              <w:right w:val="single" w:color="000000" w:sz="4" w:space="0"/>
            </w:tcBorders>
            <w:vAlign w:val="center"/>
          </w:tcPr>
          <w:p w14:paraId="54930887">
            <w:pPr>
              <w:pStyle w:val="100"/>
              <w:rPr>
                <w:rFonts w:hAnsi="仿宋"/>
                <w:kern w:val="2"/>
                <w:sz w:val="20"/>
                <w:szCs w:val="20"/>
              </w:rPr>
            </w:pPr>
            <w:r>
              <w:rPr>
                <w:rFonts w:hAnsi="仿宋"/>
                <w:sz w:val="20"/>
                <w:szCs w:val="20"/>
              </w:rPr>
              <w:t>2</w:t>
            </w:r>
          </w:p>
        </w:tc>
        <w:tc>
          <w:tcPr>
            <w:tcW w:w="6833" w:type="dxa"/>
            <w:tcBorders>
              <w:top w:val="single" w:color="000000" w:sz="4" w:space="0"/>
              <w:left w:val="single" w:color="000000" w:sz="4" w:space="0"/>
              <w:bottom w:val="single" w:color="000000" w:sz="4" w:space="0"/>
              <w:right w:val="single" w:color="000000" w:sz="4" w:space="0"/>
            </w:tcBorders>
            <w:vAlign w:val="center"/>
          </w:tcPr>
          <w:p w14:paraId="7971E963">
            <w:pPr>
              <w:pStyle w:val="100"/>
              <w:rPr>
                <w:rFonts w:hAnsi="仿宋"/>
                <w:kern w:val="2"/>
                <w:sz w:val="20"/>
                <w:szCs w:val="20"/>
              </w:rPr>
            </w:pPr>
            <w:r>
              <w:rPr>
                <w:rFonts w:hint="eastAsia" w:hAnsi="仿宋"/>
                <w:sz w:val="20"/>
                <w:szCs w:val="20"/>
              </w:rPr>
              <w:t>系统交付物（包括需求规格说明书、技术方案、程序清单、用户手册等）</w:t>
            </w:r>
          </w:p>
        </w:tc>
      </w:tr>
      <w:tr w14:paraId="29B2D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153" w:type="dxa"/>
            <w:vMerge w:val="continue"/>
            <w:tcBorders>
              <w:left w:val="single" w:color="000000" w:sz="4" w:space="0"/>
              <w:right w:val="single" w:color="000000" w:sz="4" w:space="0"/>
            </w:tcBorders>
            <w:vAlign w:val="center"/>
          </w:tcPr>
          <w:p w14:paraId="7A7012F4">
            <w:pPr>
              <w:pStyle w:val="100"/>
              <w:jc w:val="both"/>
              <w:rPr>
                <w:rFonts w:hAnsi="仿宋"/>
                <w:b/>
                <w:kern w:val="2"/>
                <w:sz w:val="20"/>
                <w:szCs w:val="20"/>
              </w:rPr>
            </w:pPr>
          </w:p>
        </w:tc>
        <w:tc>
          <w:tcPr>
            <w:tcW w:w="656" w:type="dxa"/>
            <w:tcBorders>
              <w:top w:val="single" w:color="000000" w:sz="4" w:space="0"/>
              <w:left w:val="single" w:color="000000" w:sz="4" w:space="0"/>
              <w:bottom w:val="single" w:color="000000" w:sz="4" w:space="0"/>
              <w:right w:val="single" w:color="000000" w:sz="4" w:space="0"/>
            </w:tcBorders>
            <w:vAlign w:val="center"/>
          </w:tcPr>
          <w:p w14:paraId="2814DC03">
            <w:pPr>
              <w:pStyle w:val="100"/>
              <w:rPr>
                <w:rFonts w:hAnsi="仿宋"/>
                <w:kern w:val="2"/>
                <w:sz w:val="20"/>
                <w:szCs w:val="20"/>
              </w:rPr>
            </w:pPr>
            <w:r>
              <w:rPr>
                <w:rFonts w:hAnsi="仿宋"/>
                <w:sz w:val="20"/>
                <w:szCs w:val="20"/>
              </w:rPr>
              <w:t>3</w:t>
            </w:r>
          </w:p>
        </w:tc>
        <w:tc>
          <w:tcPr>
            <w:tcW w:w="6833" w:type="dxa"/>
            <w:tcBorders>
              <w:top w:val="single" w:color="000000" w:sz="4" w:space="0"/>
              <w:left w:val="single" w:color="000000" w:sz="4" w:space="0"/>
              <w:bottom w:val="single" w:color="000000" w:sz="4" w:space="0"/>
              <w:right w:val="single" w:color="000000" w:sz="4" w:space="0"/>
            </w:tcBorders>
            <w:vAlign w:val="center"/>
          </w:tcPr>
          <w:p w14:paraId="46C1F2F2">
            <w:pPr>
              <w:pStyle w:val="100"/>
              <w:rPr>
                <w:rFonts w:hAnsi="仿宋"/>
                <w:kern w:val="2"/>
                <w:sz w:val="20"/>
                <w:szCs w:val="20"/>
              </w:rPr>
            </w:pPr>
            <w:r>
              <w:rPr>
                <w:rFonts w:hint="eastAsia" w:hAnsi="仿宋"/>
                <w:sz w:val="20"/>
                <w:szCs w:val="20"/>
              </w:rPr>
              <w:t>系统配置和部署情况（包括硬件、软件、网络情况等）</w:t>
            </w:r>
          </w:p>
        </w:tc>
      </w:tr>
      <w:tr w14:paraId="42E9A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53" w:type="dxa"/>
            <w:vMerge w:val="continue"/>
            <w:tcBorders>
              <w:left w:val="single" w:color="000000" w:sz="4" w:space="0"/>
              <w:right w:val="single" w:color="000000" w:sz="4" w:space="0"/>
            </w:tcBorders>
            <w:vAlign w:val="center"/>
          </w:tcPr>
          <w:p w14:paraId="1D61ED6A">
            <w:pPr>
              <w:pStyle w:val="100"/>
              <w:jc w:val="both"/>
              <w:rPr>
                <w:rFonts w:hAnsi="仿宋"/>
                <w:b/>
                <w:kern w:val="2"/>
                <w:sz w:val="20"/>
                <w:szCs w:val="20"/>
              </w:rPr>
            </w:pPr>
          </w:p>
        </w:tc>
        <w:tc>
          <w:tcPr>
            <w:tcW w:w="656" w:type="dxa"/>
            <w:tcBorders>
              <w:top w:val="single" w:color="000000" w:sz="4" w:space="0"/>
              <w:left w:val="single" w:color="000000" w:sz="4" w:space="0"/>
              <w:bottom w:val="single" w:color="000000" w:sz="4" w:space="0"/>
              <w:right w:val="single" w:color="000000" w:sz="4" w:space="0"/>
            </w:tcBorders>
            <w:vAlign w:val="center"/>
          </w:tcPr>
          <w:p w14:paraId="1328C3CC">
            <w:pPr>
              <w:pStyle w:val="100"/>
              <w:rPr>
                <w:rFonts w:hAnsi="仿宋"/>
                <w:kern w:val="2"/>
                <w:sz w:val="20"/>
                <w:szCs w:val="20"/>
              </w:rPr>
            </w:pPr>
            <w:r>
              <w:rPr>
                <w:rFonts w:hAnsi="仿宋"/>
                <w:sz w:val="20"/>
                <w:szCs w:val="20"/>
              </w:rPr>
              <w:t>4</w:t>
            </w:r>
          </w:p>
        </w:tc>
        <w:tc>
          <w:tcPr>
            <w:tcW w:w="6833" w:type="dxa"/>
            <w:tcBorders>
              <w:top w:val="single" w:color="000000" w:sz="4" w:space="0"/>
              <w:left w:val="single" w:color="000000" w:sz="4" w:space="0"/>
              <w:bottom w:val="single" w:color="000000" w:sz="4" w:space="0"/>
              <w:right w:val="single" w:color="000000" w:sz="4" w:space="0"/>
            </w:tcBorders>
            <w:vAlign w:val="center"/>
          </w:tcPr>
          <w:p w14:paraId="331E31FD">
            <w:pPr>
              <w:pStyle w:val="100"/>
              <w:rPr>
                <w:rFonts w:hAnsi="仿宋"/>
                <w:kern w:val="2"/>
                <w:sz w:val="20"/>
                <w:szCs w:val="20"/>
              </w:rPr>
            </w:pPr>
            <w:r>
              <w:rPr>
                <w:rFonts w:hint="eastAsia" w:hAnsi="仿宋"/>
                <w:sz w:val="20"/>
                <w:szCs w:val="20"/>
              </w:rPr>
              <w:t>系统测试情况（包括功能测试、性能测试等）</w:t>
            </w:r>
          </w:p>
        </w:tc>
      </w:tr>
      <w:tr w14:paraId="75467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53" w:type="dxa"/>
            <w:vMerge w:val="continue"/>
            <w:tcBorders>
              <w:left w:val="single" w:color="000000" w:sz="4" w:space="0"/>
              <w:right w:val="single" w:color="000000" w:sz="4" w:space="0"/>
            </w:tcBorders>
            <w:vAlign w:val="center"/>
          </w:tcPr>
          <w:p w14:paraId="5FC3EA1D">
            <w:pPr>
              <w:pStyle w:val="100"/>
              <w:jc w:val="both"/>
              <w:rPr>
                <w:rFonts w:hAnsi="仿宋"/>
                <w:b/>
                <w:kern w:val="2"/>
                <w:sz w:val="20"/>
                <w:szCs w:val="20"/>
              </w:rPr>
            </w:pPr>
          </w:p>
        </w:tc>
        <w:tc>
          <w:tcPr>
            <w:tcW w:w="656" w:type="dxa"/>
            <w:tcBorders>
              <w:top w:val="single" w:color="000000" w:sz="4" w:space="0"/>
              <w:left w:val="single" w:color="000000" w:sz="4" w:space="0"/>
              <w:bottom w:val="single" w:color="000000" w:sz="4" w:space="0"/>
              <w:right w:val="single" w:color="000000" w:sz="4" w:space="0"/>
            </w:tcBorders>
            <w:vAlign w:val="center"/>
          </w:tcPr>
          <w:p w14:paraId="4E9E5463">
            <w:pPr>
              <w:pStyle w:val="100"/>
              <w:rPr>
                <w:rFonts w:hAnsi="仿宋"/>
                <w:kern w:val="2"/>
                <w:sz w:val="20"/>
                <w:szCs w:val="20"/>
              </w:rPr>
            </w:pPr>
            <w:r>
              <w:rPr>
                <w:rFonts w:hAnsi="仿宋"/>
                <w:sz w:val="20"/>
                <w:szCs w:val="20"/>
              </w:rPr>
              <w:t>5</w:t>
            </w:r>
          </w:p>
        </w:tc>
        <w:tc>
          <w:tcPr>
            <w:tcW w:w="6833" w:type="dxa"/>
            <w:tcBorders>
              <w:top w:val="single" w:color="000000" w:sz="4" w:space="0"/>
              <w:left w:val="single" w:color="000000" w:sz="4" w:space="0"/>
              <w:bottom w:val="single" w:color="000000" w:sz="4" w:space="0"/>
              <w:right w:val="single" w:color="000000" w:sz="4" w:space="0"/>
            </w:tcBorders>
            <w:vAlign w:val="center"/>
          </w:tcPr>
          <w:p w14:paraId="1E1DE115">
            <w:pPr>
              <w:pStyle w:val="100"/>
              <w:rPr>
                <w:rFonts w:hAnsi="仿宋"/>
                <w:kern w:val="2"/>
                <w:sz w:val="20"/>
                <w:szCs w:val="20"/>
              </w:rPr>
            </w:pPr>
            <w:r>
              <w:rPr>
                <w:rFonts w:hint="eastAsia" w:hAnsi="仿宋"/>
                <w:sz w:val="20"/>
                <w:szCs w:val="20"/>
              </w:rPr>
              <w:t>运维团队情况（包括人员配备等）</w:t>
            </w:r>
          </w:p>
        </w:tc>
      </w:tr>
      <w:tr w14:paraId="5D938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1153" w:type="dxa"/>
            <w:vMerge w:val="continue"/>
            <w:tcBorders>
              <w:left w:val="single" w:color="000000" w:sz="4" w:space="0"/>
              <w:right w:val="single" w:color="000000" w:sz="4" w:space="0"/>
            </w:tcBorders>
            <w:vAlign w:val="center"/>
          </w:tcPr>
          <w:p w14:paraId="72DF0C30">
            <w:pPr>
              <w:pStyle w:val="100"/>
              <w:jc w:val="both"/>
              <w:rPr>
                <w:rFonts w:hAnsi="仿宋"/>
                <w:b/>
                <w:kern w:val="2"/>
                <w:sz w:val="20"/>
                <w:szCs w:val="20"/>
              </w:rPr>
            </w:pPr>
          </w:p>
        </w:tc>
        <w:tc>
          <w:tcPr>
            <w:tcW w:w="656" w:type="dxa"/>
            <w:tcBorders>
              <w:top w:val="single" w:color="000000" w:sz="4" w:space="0"/>
              <w:left w:val="single" w:color="000000" w:sz="4" w:space="0"/>
              <w:bottom w:val="single" w:color="000000" w:sz="4" w:space="0"/>
              <w:right w:val="single" w:color="000000" w:sz="4" w:space="0"/>
            </w:tcBorders>
            <w:vAlign w:val="center"/>
          </w:tcPr>
          <w:p w14:paraId="45759495">
            <w:pPr>
              <w:pStyle w:val="100"/>
              <w:rPr>
                <w:rFonts w:hAnsi="仿宋"/>
                <w:kern w:val="2"/>
                <w:sz w:val="20"/>
                <w:szCs w:val="20"/>
              </w:rPr>
            </w:pPr>
            <w:r>
              <w:rPr>
                <w:rFonts w:hAnsi="仿宋"/>
                <w:sz w:val="20"/>
                <w:szCs w:val="20"/>
              </w:rPr>
              <w:t>6</w:t>
            </w:r>
          </w:p>
        </w:tc>
        <w:tc>
          <w:tcPr>
            <w:tcW w:w="6833" w:type="dxa"/>
            <w:tcBorders>
              <w:top w:val="single" w:color="000000" w:sz="4" w:space="0"/>
              <w:left w:val="single" w:color="000000" w:sz="4" w:space="0"/>
              <w:bottom w:val="single" w:color="000000" w:sz="4" w:space="0"/>
              <w:right w:val="single" w:color="000000" w:sz="4" w:space="0"/>
            </w:tcBorders>
            <w:vAlign w:val="center"/>
          </w:tcPr>
          <w:p w14:paraId="4E3F432E">
            <w:pPr>
              <w:pStyle w:val="100"/>
              <w:rPr>
                <w:rFonts w:hAnsi="仿宋"/>
                <w:kern w:val="2"/>
                <w:sz w:val="20"/>
                <w:szCs w:val="20"/>
              </w:rPr>
            </w:pPr>
            <w:r>
              <w:rPr>
                <w:rFonts w:hint="eastAsia" w:hAnsi="仿宋"/>
                <w:sz w:val="20"/>
                <w:szCs w:val="20"/>
              </w:rPr>
              <w:t>运维流程情况</w:t>
            </w:r>
          </w:p>
        </w:tc>
      </w:tr>
      <w:tr w14:paraId="5EAA6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0" w:hRule="atLeast"/>
        </w:trPr>
        <w:tc>
          <w:tcPr>
            <w:tcW w:w="1153" w:type="dxa"/>
            <w:vMerge w:val="continue"/>
            <w:tcBorders>
              <w:left w:val="single" w:color="000000" w:sz="4" w:space="0"/>
              <w:right w:val="single" w:color="000000" w:sz="4" w:space="0"/>
            </w:tcBorders>
            <w:vAlign w:val="center"/>
          </w:tcPr>
          <w:p w14:paraId="136CE26F">
            <w:pPr>
              <w:pStyle w:val="100"/>
              <w:jc w:val="both"/>
              <w:rPr>
                <w:rFonts w:hAnsi="仿宋"/>
                <w:b/>
                <w:kern w:val="2"/>
                <w:sz w:val="20"/>
                <w:szCs w:val="20"/>
              </w:rPr>
            </w:pPr>
          </w:p>
        </w:tc>
        <w:tc>
          <w:tcPr>
            <w:tcW w:w="656" w:type="dxa"/>
            <w:tcBorders>
              <w:top w:val="single" w:color="000000" w:sz="4" w:space="0"/>
              <w:left w:val="single" w:color="000000" w:sz="4" w:space="0"/>
              <w:bottom w:val="single" w:color="000000" w:sz="4" w:space="0"/>
              <w:right w:val="single" w:color="000000" w:sz="4" w:space="0"/>
            </w:tcBorders>
            <w:vAlign w:val="center"/>
          </w:tcPr>
          <w:p w14:paraId="755D0886">
            <w:pPr>
              <w:pStyle w:val="100"/>
              <w:rPr>
                <w:rFonts w:hAnsi="仿宋"/>
                <w:kern w:val="2"/>
                <w:sz w:val="20"/>
                <w:szCs w:val="20"/>
              </w:rPr>
            </w:pPr>
            <w:r>
              <w:rPr>
                <w:rFonts w:hAnsi="仿宋"/>
                <w:sz w:val="20"/>
                <w:szCs w:val="20"/>
              </w:rPr>
              <w:t>7</w:t>
            </w:r>
          </w:p>
        </w:tc>
        <w:tc>
          <w:tcPr>
            <w:tcW w:w="6833" w:type="dxa"/>
            <w:tcBorders>
              <w:top w:val="single" w:color="000000" w:sz="4" w:space="0"/>
              <w:left w:val="single" w:color="000000" w:sz="4" w:space="0"/>
              <w:bottom w:val="single" w:color="000000" w:sz="4" w:space="0"/>
              <w:right w:val="single" w:color="000000" w:sz="4" w:space="0"/>
            </w:tcBorders>
            <w:vAlign w:val="center"/>
          </w:tcPr>
          <w:p w14:paraId="525C1C92">
            <w:pPr>
              <w:pStyle w:val="100"/>
              <w:rPr>
                <w:rFonts w:hAnsi="仿宋"/>
                <w:kern w:val="2"/>
                <w:sz w:val="20"/>
                <w:szCs w:val="20"/>
              </w:rPr>
            </w:pPr>
            <w:r>
              <w:rPr>
                <w:rFonts w:hint="eastAsia" w:hAnsi="仿宋"/>
                <w:sz w:val="20"/>
                <w:szCs w:val="20"/>
              </w:rPr>
              <w:t>有系统升级、变更的相关管理规范；</w:t>
            </w:r>
          </w:p>
        </w:tc>
      </w:tr>
      <w:bookmarkEnd w:id="4000"/>
    </w:tbl>
    <w:p w14:paraId="4244042E">
      <w:pPr>
        <w:widowControl/>
        <w:jc w:val="left"/>
        <w:rPr>
          <w:rFonts w:hAnsi="仿宋"/>
          <w:sz w:val="20"/>
          <w:szCs w:val="20"/>
        </w:rPr>
      </w:pPr>
    </w:p>
    <w:p w14:paraId="31B6F429">
      <w:pPr>
        <w:widowControl/>
        <w:jc w:val="left"/>
        <w:outlineLvl w:val="1"/>
        <w:rPr>
          <w:rFonts w:ascii="仿宋_GB2312" w:eastAsia="仿宋_GB2312"/>
          <w:b/>
          <w:sz w:val="30"/>
          <w:szCs w:val="30"/>
        </w:rPr>
      </w:pPr>
      <w:r>
        <w:rPr>
          <w:rFonts w:hAnsi="仿宋"/>
          <w:sz w:val="20"/>
          <w:szCs w:val="20"/>
        </w:rPr>
        <w:br w:type="page"/>
      </w:r>
      <w:bookmarkStart w:id="4001" w:name="_Toc34440746"/>
      <w:bookmarkStart w:id="4002" w:name="_Toc1732945999"/>
      <w:bookmarkStart w:id="4003" w:name="_Toc151137094"/>
      <w:bookmarkStart w:id="4004" w:name="_Toc973931826"/>
      <w:bookmarkStart w:id="4005" w:name="_Toc1625372697"/>
      <w:bookmarkStart w:id="4006" w:name="_Toc2071059393"/>
      <w:bookmarkStart w:id="4007" w:name="_Toc692104671"/>
      <w:r>
        <w:rPr>
          <w:rFonts w:hint="eastAsia" w:ascii="仿宋_GB2312" w:hAnsi="黑体" w:eastAsia="仿宋_GB2312"/>
          <w:b/>
          <w:sz w:val="30"/>
          <w:szCs w:val="30"/>
        </w:rPr>
        <w:t>附件11 债券基准做市业务方案</w:t>
      </w:r>
      <w:bookmarkEnd w:id="4001"/>
      <w:bookmarkEnd w:id="4002"/>
      <w:bookmarkEnd w:id="4003"/>
      <w:bookmarkEnd w:id="4004"/>
      <w:bookmarkEnd w:id="4005"/>
      <w:bookmarkEnd w:id="4006"/>
      <w:bookmarkEnd w:id="4007"/>
    </w:p>
    <w:p w14:paraId="6AE95E60">
      <w:pPr>
        <w:spacing w:line="600" w:lineRule="exact"/>
        <w:jc w:val="center"/>
        <w:rPr>
          <w:rFonts w:ascii="黑体" w:hAnsi="黑体"/>
          <w:b/>
          <w:sz w:val="44"/>
          <w:szCs w:val="44"/>
        </w:rPr>
      </w:pPr>
    </w:p>
    <w:p w14:paraId="32A23916">
      <w:pPr>
        <w:spacing w:line="600" w:lineRule="exact"/>
        <w:jc w:val="center"/>
        <w:rPr>
          <w:rFonts w:ascii="黑体" w:hAnsi="黑体" w:eastAsia="黑体" w:cs="黑体"/>
          <w:sz w:val="44"/>
          <w:szCs w:val="44"/>
        </w:rPr>
      </w:pPr>
      <w:r>
        <w:rPr>
          <w:rFonts w:hint="eastAsia" w:ascii="黑体" w:hAnsi="黑体" w:eastAsia="黑体" w:cs="黑体"/>
          <w:b/>
          <w:sz w:val="44"/>
          <w:szCs w:val="44"/>
        </w:rPr>
        <w:t>债券基准做市业务方案</w:t>
      </w:r>
    </w:p>
    <w:p w14:paraId="65B5E946">
      <w:pPr>
        <w:spacing w:line="600" w:lineRule="exact"/>
        <w:ind w:firstLine="880"/>
        <w:jc w:val="center"/>
        <w:rPr>
          <w:rFonts w:ascii="仿宋_GB2312" w:eastAsia="仿宋_GB2312"/>
          <w:kern w:val="28"/>
          <w:sz w:val="44"/>
          <w:szCs w:val="44"/>
        </w:rPr>
      </w:pPr>
    </w:p>
    <w:tbl>
      <w:tblPr>
        <w:tblStyle w:val="43"/>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0"/>
        <w:gridCol w:w="142"/>
        <w:gridCol w:w="709"/>
        <w:gridCol w:w="464"/>
        <w:gridCol w:w="47"/>
        <w:gridCol w:w="337"/>
        <w:gridCol w:w="913"/>
        <w:gridCol w:w="364"/>
        <w:gridCol w:w="1004"/>
        <w:gridCol w:w="415"/>
        <w:gridCol w:w="680"/>
        <w:gridCol w:w="579"/>
        <w:gridCol w:w="1583"/>
      </w:tblGrid>
      <w:tr w14:paraId="4844B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3315" w:type="pct"/>
            <w:gridSpan w:val="10"/>
            <w:vAlign w:val="center"/>
          </w:tcPr>
          <w:p w14:paraId="788BBEDD">
            <w:pPr>
              <w:rPr>
                <w:rFonts w:ascii="仿宋_GB2312" w:eastAsia="仿宋_GB2312"/>
                <w:sz w:val="24"/>
                <w:szCs w:val="24"/>
              </w:rPr>
            </w:pPr>
            <w:r>
              <w:rPr>
                <w:rFonts w:hint="eastAsia" w:ascii="仿宋_GB2312" w:eastAsia="仿宋_GB2312"/>
                <w:sz w:val="24"/>
                <w:szCs w:val="24"/>
              </w:rPr>
              <w:t>申请人全称：</w:t>
            </w:r>
          </w:p>
        </w:tc>
        <w:tc>
          <w:tcPr>
            <w:tcW w:w="1684" w:type="pct"/>
            <w:gridSpan w:val="3"/>
            <w:vAlign w:val="center"/>
          </w:tcPr>
          <w:p w14:paraId="35FB8963">
            <w:pPr>
              <w:rPr>
                <w:rFonts w:ascii="仿宋_GB2312" w:eastAsia="仿宋_GB2312"/>
                <w:sz w:val="24"/>
                <w:szCs w:val="24"/>
              </w:rPr>
            </w:pPr>
            <w:r>
              <w:rPr>
                <w:rFonts w:hint="eastAsia" w:ascii="仿宋_GB2312" w:eastAsia="仿宋_GB2312"/>
                <w:sz w:val="24"/>
                <w:szCs w:val="24"/>
              </w:rPr>
              <w:t>电话：</w:t>
            </w:r>
          </w:p>
        </w:tc>
      </w:tr>
      <w:tr w14:paraId="6DDA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3315" w:type="pct"/>
            <w:gridSpan w:val="10"/>
            <w:vAlign w:val="center"/>
          </w:tcPr>
          <w:p w14:paraId="7DF94A80">
            <w:pPr>
              <w:rPr>
                <w:rFonts w:ascii="仿宋_GB2312" w:eastAsia="仿宋_GB2312"/>
                <w:sz w:val="24"/>
                <w:szCs w:val="24"/>
              </w:rPr>
            </w:pPr>
            <w:r>
              <w:rPr>
                <w:rFonts w:hint="eastAsia" w:ascii="仿宋_GB2312" w:eastAsia="仿宋_GB2312"/>
                <w:sz w:val="24"/>
                <w:szCs w:val="24"/>
              </w:rPr>
              <w:t xml:space="preserve">公司地址： </w:t>
            </w:r>
          </w:p>
        </w:tc>
        <w:tc>
          <w:tcPr>
            <w:tcW w:w="1684" w:type="pct"/>
            <w:gridSpan w:val="3"/>
            <w:vAlign w:val="center"/>
          </w:tcPr>
          <w:p w14:paraId="2A8D8CA2">
            <w:pPr>
              <w:rPr>
                <w:rFonts w:ascii="仿宋_GB2312" w:eastAsia="仿宋_GB2312"/>
                <w:sz w:val="24"/>
                <w:szCs w:val="24"/>
              </w:rPr>
            </w:pPr>
            <w:r>
              <w:rPr>
                <w:rFonts w:hint="eastAsia" w:ascii="仿宋_GB2312" w:eastAsia="仿宋_GB2312"/>
                <w:sz w:val="24"/>
                <w:szCs w:val="24"/>
              </w:rPr>
              <w:t>传真：</w:t>
            </w:r>
          </w:p>
        </w:tc>
      </w:tr>
      <w:tr w14:paraId="7CB06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490" w:type="pct"/>
            <w:gridSpan w:val="4"/>
            <w:vAlign w:val="center"/>
          </w:tcPr>
          <w:p w14:paraId="14D9261D">
            <w:pPr>
              <w:rPr>
                <w:rFonts w:ascii="仿宋_GB2312" w:eastAsia="仿宋_GB2312"/>
                <w:sz w:val="24"/>
                <w:szCs w:val="24"/>
              </w:rPr>
            </w:pPr>
            <w:r>
              <w:rPr>
                <w:rFonts w:hint="eastAsia" w:ascii="仿宋_GB2312" w:eastAsia="仿宋_GB2312"/>
                <w:sz w:val="24"/>
                <w:szCs w:val="24"/>
              </w:rPr>
              <w:t>债券投资者类型</w:t>
            </w:r>
          </w:p>
        </w:tc>
        <w:tc>
          <w:tcPr>
            <w:tcW w:w="3509" w:type="pct"/>
            <w:gridSpan w:val="9"/>
            <w:vAlign w:val="center"/>
          </w:tcPr>
          <w:p w14:paraId="587818F7">
            <w:pPr>
              <w:rPr>
                <w:rFonts w:ascii="仿宋_GB2312" w:eastAsia="仿宋_GB2312"/>
                <w:sz w:val="24"/>
                <w:szCs w:val="24"/>
              </w:rPr>
            </w:pPr>
            <w:r>
              <w:rPr>
                <w:rFonts w:hint="eastAsia" w:ascii="仿宋_GB2312" w:eastAsia="仿宋_GB2312"/>
                <w:sz w:val="24"/>
                <w:szCs w:val="24"/>
              </w:rPr>
              <w:t>□证券公司</w:t>
            </w:r>
            <w:r>
              <w:rPr>
                <w:rFonts w:ascii="仿宋_GB2312" w:eastAsia="仿宋_GB2312"/>
                <w:sz w:val="24"/>
                <w:szCs w:val="24"/>
              </w:rPr>
              <w:t xml:space="preserve">  </w:t>
            </w:r>
            <w:r>
              <w:rPr>
                <w:rFonts w:hint="eastAsia" w:ascii="仿宋_GB2312" w:eastAsia="仿宋_GB2312"/>
                <w:sz w:val="24"/>
                <w:szCs w:val="24"/>
              </w:rPr>
              <w:t>□银行  □证券公司资产管理子公司</w:t>
            </w:r>
            <w:r>
              <w:rPr>
                <w:rFonts w:ascii="仿宋_GB2312" w:eastAsia="仿宋_GB2312"/>
                <w:sz w:val="24"/>
                <w:szCs w:val="24"/>
              </w:rPr>
              <w:t xml:space="preserve">  </w:t>
            </w:r>
          </w:p>
          <w:p w14:paraId="47B3BAD5">
            <w:pPr>
              <w:rPr>
                <w:rFonts w:ascii="仿宋_GB2312" w:eastAsia="仿宋_GB2312"/>
                <w:sz w:val="24"/>
                <w:szCs w:val="24"/>
              </w:rPr>
            </w:pPr>
            <w:r>
              <w:rPr>
                <w:rFonts w:hint="eastAsia" w:ascii="仿宋_GB2312" w:eastAsia="仿宋_GB2312"/>
                <w:sz w:val="24"/>
                <w:szCs w:val="24"/>
              </w:rPr>
              <w:t>□银行理财子公司</w:t>
            </w:r>
            <w:r>
              <w:rPr>
                <w:rFonts w:ascii="仿宋_GB2312" w:eastAsia="仿宋_GB2312"/>
                <w:sz w:val="24"/>
                <w:szCs w:val="24"/>
              </w:rPr>
              <w:t xml:space="preserve">  </w:t>
            </w:r>
            <w:r>
              <w:rPr>
                <w:rFonts w:hint="eastAsia" w:ascii="仿宋_GB2312" w:eastAsia="仿宋_GB2312"/>
                <w:sz w:val="24"/>
                <w:szCs w:val="24"/>
              </w:rPr>
              <w:t>□证券投资基金管理公司</w:t>
            </w:r>
            <w:r>
              <w:rPr>
                <w:rFonts w:ascii="仿宋_GB2312" w:eastAsia="仿宋_GB2312"/>
                <w:sz w:val="24"/>
                <w:szCs w:val="24"/>
              </w:rPr>
              <w:t xml:space="preserve">  </w:t>
            </w:r>
          </w:p>
          <w:p w14:paraId="635B89BC">
            <w:pPr>
              <w:rPr>
                <w:rFonts w:ascii="仿宋_GB2312" w:eastAsia="仿宋_GB2312"/>
                <w:sz w:val="24"/>
                <w:szCs w:val="24"/>
              </w:rPr>
            </w:pPr>
            <w:r>
              <w:rPr>
                <w:rFonts w:hint="eastAsia" w:ascii="仿宋_GB2312" w:eastAsia="仿宋_GB2312"/>
                <w:sz w:val="24"/>
                <w:szCs w:val="24"/>
              </w:rPr>
              <w:t>□保险公司 □保险资产管理公司</w:t>
            </w:r>
            <w:r>
              <w:rPr>
                <w:rFonts w:ascii="仿宋_GB2312" w:eastAsia="仿宋_GB2312"/>
                <w:sz w:val="24"/>
                <w:szCs w:val="24"/>
              </w:rPr>
              <w:t xml:space="preserve">  </w:t>
            </w:r>
            <w:r>
              <w:rPr>
                <w:rFonts w:hint="eastAsia" w:ascii="仿宋_GB2312" w:eastAsia="仿宋_GB2312"/>
                <w:sz w:val="24"/>
                <w:szCs w:val="24"/>
              </w:rPr>
              <w:t>□信托公司</w:t>
            </w:r>
            <w:r>
              <w:rPr>
                <w:rFonts w:ascii="仿宋_GB2312" w:eastAsia="仿宋_GB2312"/>
                <w:sz w:val="24"/>
                <w:szCs w:val="24"/>
              </w:rPr>
              <w:t xml:space="preserve">  </w:t>
            </w:r>
          </w:p>
          <w:p w14:paraId="642BC4EC">
            <w:pPr>
              <w:rPr>
                <w:rFonts w:ascii="仿宋_GB2312" w:eastAsia="仿宋_GB2312"/>
                <w:sz w:val="24"/>
                <w:szCs w:val="24"/>
              </w:rPr>
            </w:pPr>
            <w:r>
              <w:rPr>
                <w:rFonts w:hint="eastAsia" w:ascii="仿宋_GB2312" w:eastAsia="仿宋_GB2312"/>
                <w:sz w:val="24"/>
                <w:szCs w:val="24"/>
              </w:rPr>
              <w:t>□财务公司  □期货公司</w:t>
            </w:r>
            <w:r>
              <w:rPr>
                <w:rFonts w:ascii="仿宋_GB2312" w:eastAsia="仿宋_GB2312"/>
                <w:sz w:val="24"/>
                <w:szCs w:val="24"/>
              </w:rPr>
              <w:t xml:space="preserve">  </w:t>
            </w:r>
            <w:r>
              <w:rPr>
                <w:rFonts w:hint="eastAsia" w:ascii="仿宋_GB2312" w:eastAsia="仿宋_GB2312"/>
                <w:sz w:val="24"/>
                <w:szCs w:val="24"/>
              </w:rPr>
              <w:t>□其他机构</w:t>
            </w:r>
            <w:r>
              <w:rPr>
                <w:rFonts w:ascii="仿宋_GB2312" w:eastAsia="仿宋_GB2312"/>
                <w:sz w:val="24"/>
                <w:szCs w:val="24"/>
              </w:rPr>
              <w:t xml:space="preserve"> </w:t>
            </w:r>
          </w:p>
        </w:tc>
      </w:tr>
      <w:tr w14:paraId="4D287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490" w:type="pct"/>
            <w:gridSpan w:val="4"/>
            <w:tcBorders>
              <w:bottom w:val="single" w:color="auto" w:sz="4" w:space="0"/>
            </w:tcBorders>
            <w:vAlign w:val="center"/>
          </w:tcPr>
          <w:p w14:paraId="5785A51C">
            <w:pPr>
              <w:rPr>
                <w:rFonts w:ascii="仿宋_GB2312" w:eastAsia="仿宋_GB2312"/>
                <w:sz w:val="24"/>
                <w:szCs w:val="24"/>
              </w:rPr>
            </w:pPr>
            <w:r>
              <w:rPr>
                <w:rFonts w:hint="eastAsia" w:ascii="仿宋_GB2312" w:eastAsia="仿宋_GB2312"/>
                <w:sz w:val="24"/>
                <w:szCs w:val="24"/>
              </w:rPr>
              <w:t>最近一个会计年度注册资本（万元）</w:t>
            </w:r>
          </w:p>
        </w:tc>
        <w:tc>
          <w:tcPr>
            <w:tcW w:w="985" w:type="pct"/>
            <w:gridSpan w:val="4"/>
            <w:tcBorders>
              <w:bottom w:val="single" w:color="auto" w:sz="4" w:space="0"/>
            </w:tcBorders>
            <w:vAlign w:val="center"/>
          </w:tcPr>
          <w:p w14:paraId="191E5C3A">
            <w:pPr>
              <w:rPr>
                <w:rFonts w:ascii="仿宋_GB2312" w:eastAsia="仿宋_GB2312"/>
                <w:sz w:val="24"/>
                <w:szCs w:val="24"/>
              </w:rPr>
            </w:pPr>
          </w:p>
        </w:tc>
        <w:tc>
          <w:tcPr>
            <w:tcW w:w="1242" w:type="pct"/>
            <w:gridSpan w:val="3"/>
            <w:tcBorders>
              <w:bottom w:val="single" w:color="auto" w:sz="4" w:space="0"/>
            </w:tcBorders>
            <w:vAlign w:val="center"/>
          </w:tcPr>
          <w:p w14:paraId="1590CD40">
            <w:pPr>
              <w:rPr>
                <w:rFonts w:ascii="仿宋_GB2312" w:eastAsia="仿宋_GB2312"/>
                <w:sz w:val="24"/>
                <w:szCs w:val="24"/>
              </w:rPr>
            </w:pPr>
            <w:r>
              <w:rPr>
                <w:rFonts w:hint="eastAsia" w:ascii="仿宋_GB2312" w:eastAsia="仿宋_GB2312"/>
                <w:sz w:val="24"/>
                <w:szCs w:val="24"/>
              </w:rPr>
              <w:t>最近一个会计年度净资本（万元）</w:t>
            </w:r>
          </w:p>
        </w:tc>
        <w:tc>
          <w:tcPr>
            <w:tcW w:w="1281" w:type="pct"/>
            <w:gridSpan w:val="2"/>
            <w:tcBorders>
              <w:bottom w:val="single" w:color="auto" w:sz="4" w:space="0"/>
            </w:tcBorders>
            <w:vAlign w:val="center"/>
          </w:tcPr>
          <w:p w14:paraId="4E608D19">
            <w:pPr>
              <w:rPr>
                <w:rFonts w:ascii="仿宋_GB2312" w:eastAsia="仿宋_GB2312"/>
                <w:sz w:val="24"/>
                <w:szCs w:val="24"/>
              </w:rPr>
            </w:pPr>
          </w:p>
        </w:tc>
      </w:tr>
      <w:tr w14:paraId="5230B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490" w:type="pct"/>
            <w:gridSpan w:val="4"/>
            <w:vMerge w:val="restart"/>
            <w:vAlign w:val="center"/>
          </w:tcPr>
          <w:p w14:paraId="73F92C21">
            <w:pPr>
              <w:rPr>
                <w:rFonts w:ascii="仿宋_GB2312" w:eastAsia="仿宋_GB2312"/>
                <w:sz w:val="24"/>
                <w:szCs w:val="24"/>
              </w:rPr>
            </w:pPr>
            <w:r>
              <w:rPr>
                <w:rFonts w:hint="eastAsia" w:ascii="仿宋_GB2312" w:eastAsia="仿宋_GB2312"/>
                <w:sz w:val="24"/>
                <w:szCs w:val="24"/>
              </w:rPr>
              <w:t>最近2年交易所市场债券现券年交易量（亿元）</w:t>
            </w:r>
          </w:p>
        </w:tc>
        <w:tc>
          <w:tcPr>
            <w:tcW w:w="985" w:type="pct"/>
            <w:gridSpan w:val="4"/>
            <w:tcBorders>
              <w:bottom w:val="single" w:color="auto" w:sz="4" w:space="0"/>
            </w:tcBorders>
            <w:vAlign w:val="center"/>
          </w:tcPr>
          <w:p w14:paraId="7CBFD973">
            <w:pPr>
              <w:rPr>
                <w:rFonts w:ascii="仿宋_GB2312" w:eastAsia="仿宋_GB2312"/>
                <w:sz w:val="24"/>
                <w:szCs w:val="24"/>
              </w:rPr>
            </w:pPr>
            <w:r>
              <w:rPr>
                <w:rFonts w:hint="eastAsia" w:ascii="仿宋_GB2312" w:eastAsia="仿宋_GB2312"/>
                <w:sz w:val="24"/>
                <w:szCs w:val="24"/>
              </w:rPr>
              <w:t>去年</w:t>
            </w:r>
            <w:r>
              <w:rPr>
                <w:rFonts w:ascii="仿宋_GB2312" w:eastAsia="仿宋_GB2312"/>
                <w:sz w:val="24"/>
                <w:szCs w:val="24"/>
              </w:rPr>
              <w:t>:</w:t>
            </w:r>
          </w:p>
        </w:tc>
        <w:tc>
          <w:tcPr>
            <w:tcW w:w="1242" w:type="pct"/>
            <w:gridSpan w:val="3"/>
            <w:vMerge w:val="restart"/>
            <w:vAlign w:val="center"/>
          </w:tcPr>
          <w:p w14:paraId="548711F0">
            <w:pPr>
              <w:rPr>
                <w:rFonts w:ascii="仿宋_GB2312" w:eastAsia="仿宋_GB2312"/>
                <w:sz w:val="24"/>
                <w:szCs w:val="24"/>
              </w:rPr>
            </w:pPr>
            <w:r>
              <w:rPr>
                <w:rFonts w:hint="eastAsia" w:ascii="仿宋_GB2312" w:eastAsia="仿宋_GB2312"/>
                <w:sz w:val="24"/>
                <w:szCs w:val="24"/>
              </w:rPr>
              <w:t>最近2年交易所市场债券现券年日均持仓量（亿元）</w:t>
            </w:r>
          </w:p>
        </w:tc>
        <w:tc>
          <w:tcPr>
            <w:tcW w:w="1281" w:type="pct"/>
            <w:gridSpan w:val="2"/>
            <w:vAlign w:val="center"/>
          </w:tcPr>
          <w:p w14:paraId="603116CD">
            <w:pPr>
              <w:rPr>
                <w:rFonts w:ascii="仿宋_GB2312" w:eastAsia="仿宋_GB2312"/>
                <w:sz w:val="24"/>
                <w:szCs w:val="24"/>
              </w:rPr>
            </w:pPr>
            <w:r>
              <w:rPr>
                <w:rFonts w:hint="eastAsia" w:ascii="仿宋_GB2312" w:eastAsia="仿宋_GB2312"/>
                <w:sz w:val="24"/>
                <w:szCs w:val="24"/>
              </w:rPr>
              <w:t>去年</w:t>
            </w:r>
            <w:r>
              <w:rPr>
                <w:rFonts w:ascii="仿宋_GB2312" w:eastAsia="仿宋_GB2312"/>
                <w:sz w:val="24"/>
                <w:szCs w:val="24"/>
              </w:rPr>
              <w:t>:</w:t>
            </w:r>
          </w:p>
        </w:tc>
      </w:tr>
      <w:tr w14:paraId="6FF74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90" w:type="pct"/>
            <w:gridSpan w:val="4"/>
            <w:vMerge w:val="continue"/>
            <w:tcBorders>
              <w:bottom w:val="single" w:color="auto" w:sz="4" w:space="0"/>
            </w:tcBorders>
            <w:vAlign w:val="center"/>
          </w:tcPr>
          <w:p w14:paraId="2FE28CEE">
            <w:pPr>
              <w:rPr>
                <w:rFonts w:ascii="仿宋_GB2312" w:eastAsia="仿宋_GB2312"/>
                <w:sz w:val="24"/>
                <w:szCs w:val="24"/>
              </w:rPr>
            </w:pPr>
          </w:p>
        </w:tc>
        <w:tc>
          <w:tcPr>
            <w:tcW w:w="985" w:type="pct"/>
            <w:gridSpan w:val="4"/>
            <w:tcBorders>
              <w:bottom w:val="single" w:color="auto" w:sz="4" w:space="0"/>
            </w:tcBorders>
            <w:vAlign w:val="center"/>
          </w:tcPr>
          <w:p w14:paraId="6F0843BE">
            <w:pPr>
              <w:rPr>
                <w:rFonts w:ascii="仿宋_GB2312" w:eastAsia="仿宋_GB2312"/>
                <w:sz w:val="24"/>
                <w:szCs w:val="24"/>
              </w:rPr>
            </w:pPr>
            <w:r>
              <w:rPr>
                <w:rFonts w:hint="eastAsia" w:ascii="仿宋_GB2312" w:eastAsia="仿宋_GB2312"/>
                <w:sz w:val="24"/>
                <w:szCs w:val="24"/>
              </w:rPr>
              <w:t>前年</w:t>
            </w:r>
            <w:r>
              <w:rPr>
                <w:rFonts w:ascii="仿宋_GB2312" w:eastAsia="仿宋_GB2312"/>
                <w:sz w:val="24"/>
                <w:szCs w:val="24"/>
              </w:rPr>
              <w:t>:</w:t>
            </w:r>
          </w:p>
        </w:tc>
        <w:tc>
          <w:tcPr>
            <w:tcW w:w="1242" w:type="pct"/>
            <w:gridSpan w:val="3"/>
            <w:vMerge w:val="continue"/>
            <w:tcBorders>
              <w:bottom w:val="single" w:color="auto" w:sz="4" w:space="0"/>
            </w:tcBorders>
            <w:vAlign w:val="center"/>
          </w:tcPr>
          <w:p w14:paraId="493A7303">
            <w:pPr>
              <w:rPr>
                <w:rFonts w:ascii="仿宋_GB2312" w:eastAsia="仿宋_GB2312"/>
                <w:sz w:val="24"/>
                <w:szCs w:val="24"/>
              </w:rPr>
            </w:pPr>
          </w:p>
        </w:tc>
        <w:tc>
          <w:tcPr>
            <w:tcW w:w="1281" w:type="pct"/>
            <w:gridSpan w:val="2"/>
            <w:tcBorders>
              <w:bottom w:val="single" w:color="auto" w:sz="4" w:space="0"/>
            </w:tcBorders>
            <w:vAlign w:val="center"/>
          </w:tcPr>
          <w:p w14:paraId="6F28F3EA">
            <w:pPr>
              <w:rPr>
                <w:rFonts w:ascii="仿宋_GB2312" w:eastAsia="仿宋_GB2312"/>
                <w:sz w:val="24"/>
                <w:szCs w:val="24"/>
              </w:rPr>
            </w:pPr>
            <w:r>
              <w:rPr>
                <w:rFonts w:hint="eastAsia" w:ascii="仿宋_GB2312" w:eastAsia="仿宋_GB2312"/>
                <w:sz w:val="24"/>
                <w:szCs w:val="24"/>
              </w:rPr>
              <w:t>前年</w:t>
            </w:r>
            <w:r>
              <w:rPr>
                <w:rFonts w:ascii="仿宋_GB2312" w:eastAsia="仿宋_GB2312"/>
                <w:sz w:val="24"/>
                <w:szCs w:val="24"/>
              </w:rPr>
              <w:t>:</w:t>
            </w:r>
          </w:p>
        </w:tc>
      </w:tr>
      <w:tr w14:paraId="34551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490" w:type="pct"/>
            <w:gridSpan w:val="4"/>
            <w:vMerge w:val="restart"/>
            <w:vAlign w:val="center"/>
          </w:tcPr>
          <w:p w14:paraId="29D4C3C4">
            <w:pPr>
              <w:rPr>
                <w:rFonts w:ascii="仿宋_GB2312" w:eastAsia="仿宋_GB2312"/>
                <w:sz w:val="24"/>
                <w:szCs w:val="24"/>
              </w:rPr>
            </w:pPr>
            <w:r>
              <w:rPr>
                <w:rFonts w:hint="eastAsia" w:ascii="仿宋_GB2312" w:eastAsia="仿宋_GB2312"/>
                <w:sz w:val="24"/>
                <w:szCs w:val="24"/>
              </w:rPr>
              <w:t>最近2年银行间市场债券现券年交易量（亿元）</w:t>
            </w:r>
          </w:p>
        </w:tc>
        <w:tc>
          <w:tcPr>
            <w:tcW w:w="985" w:type="pct"/>
            <w:gridSpan w:val="4"/>
            <w:tcBorders>
              <w:bottom w:val="single" w:color="auto" w:sz="4" w:space="0"/>
            </w:tcBorders>
            <w:vAlign w:val="center"/>
          </w:tcPr>
          <w:p w14:paraId="32805764">
            <w:pPr>
              <w:rPr>
                <w:rFonts w:ascii="仿宋_GB2312" w:eastAsia="仿宋_GB2312"/>
                <w:sz w:val="24"/>
                <w:szCs w:val="24"/>
              </w:rPr>
            </w:pPr>
            <w:r>
              <w:rPr>
                <w:rFonts w:hint="eastAsia" w:ascii="仿宋_GB2312" w:eastAsia="仿宋_GB2312"/>
                <w:sz w:val="24"/>
                <w:szCs w:val="24"/>
              </w:rPr>
              <w:t>去年</w:t>
            </w:r>
            <w:r>
              <w:rPr>
                <w:rFonts w:ascii="仿宋_GB2312" w:eastAsia="仿宋_GB2312"/>
                <w:sz w:val="24"/>
                <w:szCs w:val="24"/>
              </w:rPr>
              <w:t>:</w:t>
            </w:r>
          </w:p>
        </w:tc>
        <w:tc>
          <w:tcPr>
            <w:tcW w:w="1242" w:type="pct"/>
            <w:gridSpan w:val="3"/>
            <w:vMerge w:val="restart"/>
            <w:vAlign w:val="center"/>
          </w:tcPr>
          <w:p w14:paraId="4EFC6DCB">
            <w:pPr>
              <w:rPr>
                <w:rFonts w:ascii="仿宋_GB2312" w:eastAsia="仿宋_GB2312"/>
                <w:sz w:val="24"/>
                <w:szCs w:val="24"/>
              </w:rPr>
            </w:pPr>
            <w:r>
              <w:rPr>
                <w:rFonts w:hint="eastAsia" w:ascii="仿宋_GB2312" w:eastAsia="仿宋_GB2312"/>
                <w:sz w:val="24"/>
                <w:szCs w:val="24"/>
              </w:rPr>
              <w:t>最近2年银行间市场债券现券年日均持仓量（亿元）</w:t>
            </w:r>
          </w:p>
        </w:tc>
        <w:tc>
          <w:tcPr>
            <w:tcW w:w="1281" w:type="pct"/>
            <w:gridSpan w:val="2"/>
            <w:vAlign w:val="center"/>
          </w:tcPr>
          <w:p w14:paraId="4C44296C">
            <w:pPr>
              <w:rPr>
                <w:rFonts w:ascii="仿宋_GB2312" w:eastAsia="仿宋_GB2312"/>
                <w:sz w:val="24"/>
                <w:szCs w:val="24"/>
              </w:rPr>
            </w:pPr>
            <w:r>
              <w:rPr>
                <w:rFonts w:hint="eastAsia" w:ascii="仿宋_GB2312" w:eastAsia="仿宋_GB2312"/>
                <w:sz w:val="24"/>
                <w:szCs w:val="24"/>
              </w:rPr>
              <w:t>去年</w:t>
            </w:r>
            <w:r>
              <w:rPr>
                <w:rFonts w:ascii="仿宋_GB2312" w:eastAsia="仿宋_GB2312"/>
                <w:sz w:val="24"/>
                <w:szCs w:val="24"/>
              </w:rPr>
              <w:t>:</w:t>
            </w:r>
          </w:p>
        </w:tc>
      </w:tr>
      <w:tr w14:paraId="1616A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90" w:type="pct"/>
            <w:gridSpan w:val="4"/>
            <w:vMerge w:val="continue"/>
            <w:tcBorders>
              <w:bottom w:val="single" w:color="auto" w:sz="4" w:space="0"/>
            </w:tcBorders>
            <w:vAlign w:val="center"/>
          </w:tcPr>
          <w:p w14:paraId="06CAFB74">
            <w:pPr>
              <w:rPr>
                <w:rFonts w:ascii="仿宋_GB2312" w:eastAsia="仿宋_GB2312"/>
                <w:sz w:val="24"/>
                <w:szCs w:val="24"/>
              </w:rPr>
            </w:pPr>
          </w:p>
        </w:tc>
        <w:tc>
          <w:tcPr>
            <w:tcW w:w="985" w:type="pct"/>
            <w:gridSpan w:val="4"/>
            <w:tcBorders>
              <w:bottom w:val="single" w:color="auto" w:sz="4" w:space="0"/>
            </w:tcBorders>
            <w:vAlign w:val="center"/>
          </w:tcPr>
          <w:p w14:paraId="2E88A60B">
            <w:pPr>
              <w:rPr>
                <w:rFonts w:ascii="仿宋_GB2312" w:eastAsia="仿宋_GB2312"/>
                <w:sz w:val="24"/>
                <w:szCs w:val="24"/>
              </w:rPr>
            </w:pPr>
            <w:r>
              <w:rPr>
                <w:rFonts w:hint="eastAsia" w:ascii="仿宋_GB2312" w:eastAsia="仿宋_GB2312"/>
                <w:sz w:val="24"/>
                <w:szCs w:val="24"/>
              </w:rPr>
              <w:t>前年</w:t>
            </w:r>
            <w:r>
              <w:rPr>
                <w:rFonts w:ascii="仿宋_GB2312" w:eastAsia="仿宋_GB2312"/>
                <w:sz w:val="24"/>
                <w:szCs w:val="24"/>
              </w:rPr>
              <w:t>:</w:t>
            </w:r>
          </w:p>
        </w:tc>
        <w:tc>
          <w:tcPr>
            <w:tcW w:w="1242" w:type="pct"/>
            <w:gridSpan w:val="3"/>
            <w:vMerge w:val="continue"/>
            <w:tcBorders>
              <w:bottom w:val="single" w:color="auto" w:sz="4" w:space="0"/>
            </w:tcBorders>
            <w:vAlign w:val="center"/>
          </w:tcPr>
          <w:p w14:paraId="16A246C8">
            <w:pPr>
              <w:rPr>
                <w:rFonts w:ascii="仿宋_GB2312" w:eastAsia="仿宋_GB2312"/>
                <w:sz w:val="24"/>
                <w:szCs w:val="24"/>
              </w:rPr>
            </w:pPr>
          </w:p>
        </w:tc>
        <w:tc>
          <w:tcPr>
            <w:tcW w:w="1281" w:type="pct"/>
            <w:gridSpan w:val="2"/>
            <w:tcBorders>
              <w:bottom w:val="single" w:color="auto" w:sz="4" w:space="0"/>
            </w:tcBorders>
            <w:vAlign w:val="center"/>
          </w:tcPr>
          <w:p w14:paraId="7910A099">
            <w:pPr>
              <w:rPr>
                <w:rFonts w:ascii="仿宋_GB2312" w:eastAsia="仿宋_GB2312"/>
                <w:sz w:val="24"/>
                <w:szCs w:val="24"/>
              </w:rPr>
            </w:pPr>
            <w:r>
              <w:rPr>
                <w:rFonts w:hint="eastAsia" w:ascii="仿宋_GB2312" w:eastAsia="仿宋_GB2312"/>
                <w:sz w:val="24"/>
                <w:szCs w:val="24"/>
              </w:rPr>
              <w:t>前年</w:t>
            </w:r>
            <w:r>
              <w:rPr>
                <w:rFonts w:ascii="仿宋_GB2312" w:eastAsia="仿宋_GB2312"/>
                <w:sz w:val="24"/>
                <w:szCs w:val="24"/>
              </w:rPr>
              <w:t>:</w:t>
            </w:r>
          </w:p>
        </w:tc>
      </w:tr>
      <w:tr w14:paraId="6EE51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711" w:type="pct"/>
            <w:tcBorders>
              <w:bottom w:val="single" w:color="auto" w:sz="4" w:space="0"/>
            </w:tcBorders>
            <w:vAlign w:val="center"/>
          </w:tcPr>
          <w:p w14:paraId="72846DA2">
            <w:pPr>
              <w:rPr>
                <w:rFonts w:ascii="仿宋_GB2312" w:eastAsia="仿宋_GB2312"/>
                <w:sz w:val="24"/>
                <w:szCs w:val="24"/>
              </w:rPr>
            </w:pPr>
            <w:r>
              <w:rPr>
                <w:rFonts w:hint="eastAsia" w:ascii="仿宋_GB2312" w:eastAsia="仿宋_GB2312"/>
                <w:sz w:val="24"/>
                <w:szCs w:val="24"/>
              </w:rPr>
              <w:t>证券或资金违约情况说明</w:t>
            </w:r>
          </w:p>
        </w:tc>
        <w:tc>
          <w:tcPr>
            <w:tcW w:w="4288" w:type="pct"/>
            <w:gridSpan w:val="12"/>
            <w:tcBorders>
              <w:bottom w:val="single" w:color="auto" w:sz="4" w:space="0"/>
            </w:tcBorders>
            <w:vAlign w:val="center"/>
          </w:tcPr>
          <w:p w14:paraId="34D07BF5">
            <w:pPr>
              <w:rPr>
                <w:rFonts w:ascii="仿宋_GB2312" w:eastAsia="仿宋_GB2312"/>
                <w:sz w:val="24"/>
                <w:szCs w:val="24"/>
              </w:rPr>
            </w:pPr>
            <w:r>
              <w:rPr>
                <w:rFonts w:hint="eastAsia" w:ascii="仿宋_GB2312" w:eastAsia="仿宋_GB2312"/>
                <w:sz w:val="24"/>
                <w:szCs w:val="24"/>
              </w:rPr>
              <w:t>近两年是否发生过监管机构关注的证券或资金交收违约事件（包括交易所及银行间债券市场）。如有，请说明相关情况。</w:t>
            </w:r>
          </w:p>
        </w:tc>
      </w:tr>
      <w:tr w14:paraId="09A29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711" w:type="pct"/>
            <w:tcBorders>
              <w:bottom w:val="single" w:color="auto" w:sz="4" w:space="0"/>
            </w:tcBorders>
            <w:vAlign w:val="center"/>
          </w:tcPr>
          <w:p w14:paraId="54782FD8">
            <w:pPr>
              <w:rPr>
                <w:rFonts w:ascii="仿宋_GB2312" w:eastAsia="仿宋_GB2312"/>
                <w:sz w:val="24"/>
                <w:szCs w:val="24"/>
              </w:rPr>
            </w:pPr>
            <w:r>
              <w:rPr>
                <w:rFonts w:hint="eastAsia" w:ascii="仿宋_GB2312" w:eastAsia="仿宋_GB2312"/>
                <w:sz w:val="24"/>
                <w:szCs w:val="24"/>
              </w:rPr>
              <w:t>合规情况说明</w:t>
            </w:r>
          </w:p>
        </w:tc>
        <w:tc>
          <w:tcPr>
            <w:tcW w:w="4288" w:type="pct"/>
            <w:gridSpan w:val="12"/>
            <w:tcBorders>
              <w:bottom w:val="single" w:color="auto" w:sz="4" w:space="0"/>
            </w:tcBorders>
            <w:vAlign w:val="center"/>
          </w:tcPr>
          <w:p w14:paraId="6BEF5112">
            <w:pPr>
              <w:rPr>
                <w:rFonts w:ascii="仿宋_GB2312" w:eastAsia="仿宋_GB2312"/>
                <w:sz w:val="24"/>
                <w:szCs w:val="24"/>
              </w:rPr>
            </w:pPr>
            <w:r>
              <w:rPr>
                <w:rFonts w:hint="eastAsia" w:ascii="仿宋_GB2312" w:eastAsia="仿宋_GB2312"/>
                <w:sz w:val="24"/>
                <w:szCs w:val="24"/>
              </w:rPr>
              <w:t>近两年</w:t>
            </w:r>
            <w:r>
              <w:rPr>
                <w:rFonts w:ascii="仿宋_GB2312" w:eastAsia="仿宋_GB2312"/>
                <w:sz w:val="24"/>
                <w:szCs w:val="24"/>
              </w:rPr>
              <w:t>是否</w:t>
            </w:r>
            <w:r>
              <w:rPr>
                <w:rFonts w:hint="eastAsia" w:ascii="仿宋_GB2312" w:eastAsia="仿宋_GB2312"/>
                <w:sz w:val="24"/>
                <w:szCs w:val="24"/>
              </w:rPr>
              <w:t>因为违法或重大违规受到处罚（包括交易所及银行间债券市场）。</w:t>
            </w:r>
            <w:r>
              <w:rPr>
                <w:rFonts w:ascii="仿宋_GB2312" w:eastAsia="仿宋_GB2312"/>
                <w:sz w:val="24"/>
                <w:szCs w:val="24"/>
              </w:rPr>
              <w:t>如有，</w:t>
            </w:r>
            <w:r>
              <w:rPr>
                <w:rFonts w:hint="eastAsia" w:ascii="仿宋_GB2312" w:eastAsia="仿宋_GB2312"/>
                <w:sz w:val="24"/>
                <w:szCs w:val="24"/>
              </w:rPr>
              <w:t>请</w:t>
            </w:r>
            <w:r>
              <w:rPr>
                <w:rFonts w:ascii="仿宋_GB2312" w:eastAsia="仿宋_GB2312"/>
                <w:sz w:val="24"/>
                <w:szCs w:val="24"/>
              </w:rPr>
              <w:t>说明相关情况。</w:t>
            </w:r>
          </w:p>
        </w:tc>
      </w:tr>
      <w:tr w14:paraId="1F7AF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11" w:type="pct"/>
            <w:vAlign w:val="center"/>
          </w:tcPr>
          <w:p w14:paraId="18D1AFDA">
            <w:pPr>
              <w:rPr>
                <w:rFonts w:ascii="仿宋_GB2312" w:eastAsia="仿宋_GB2312"/>
                <w:sz w:val="24"/>
                <w:szCs w:val="24"/>
              </w:rPr>
            </w:pPr>
            <w:r>
              <w:rPr>
                <w:rFonts w:hint="eastAsia" w:ascii="仿宋_GB2312" w:eastAsia="仿宋_GB2312"/>
                <w:sz w:val="24"/>
                <w:szCs w:val="24"/>
              </w:rPr>
              <w:t>做市业务负责人</w:t>
            </w:r>
          </w:p>
        </w:tc>
        <w:tc>
          <w:tcPr>
            <w:tcW w:w="504" w:type="pct"/>
            <w:gridSpan w:val="2"/>
            <w:vAlign w:val="center"/>
          </w:tcPr>
          <w:p w14:paraId="16F8EF76">
            <w:pPr>
              <w:rPr>
                <w:rFonts w:ascii="仿宋_GB2312" w:eastAsia="仿宋_GB2312"/>
                <w:sz w:val="24"/>
                <w:szCs w:val="24"/>
              </w:rPr>
            </w:pPr>
            <w:r>
              <w:rPr>
                <w:rFonts w:hint="eastAsia" w:ascii="仿宋_GB2312" w:eastAsia="仿宋_GB2312"/>
                <w:sz w:val="24"/>
                <w:szCs w:val="24"/>
              </w:rPr>
              <w:t>部门</w:t>
            </w:r>
          </w:p>
        </w:tc>
        <w:tc>
          <w:tcPr>
            <w:tcW w:w="503" w:type="pct"/>
            <w:gridSpan w:val="3"/>
            <w:vAlign w:val="center"/>
          </w:tcPr>
          <w:p w14:paraId="5B2F793B">
            <w:pPr>
              <w:rPr>
                <w:rFonts w:ascii="仿宋_GB2312" w:eastAsia="仿宋_GB2312"/>
                <w:sz w:val="24"/>
                <w:szCs w:val="24"/>
              </w:rPr>
            </w:pPr>
            <w:r>
              <w:rPr>
                <w:rFonts w:hint="eastAsia" w:ascii="仿宋_GB2312" w:eastAsia="仿宋_GB2312"/>
                <w:sz w:val="24"/>
                <w:szCs w:val="24"/>
              </w:rPr>
              <w:t>职务</w:t>
            </w:r>
          </w:p>
        </w:tc>
        <w:tc>
          <w:tcPr>
            <w:tcW w:w="756" w:type="pct"/>
            <w:gridSpan w:val="2"/>
            <w:vAlign w:val="center"/>
          </w:tcPr>
          <w:p w14:paraId="6685634C">
            <w:pPr>
              <w:rPr>
                <w:rFonts w:ascii="仿宋_GB2312" w:eastAsia="仿宋_GB2312"/>
                <w:sz w:val="24"/>
                <w:szCs w:val="24"/>
              </w:rPr>
            </w:pPr>
            <w:r>
              <w:rPr>
                <w:rFonts w:hint="eastAsia" w:ascii="仿宋_GB2312" w:eastAsia="仿宋_GB2312"/>
                <w:sz w:val="24"/>
                <w:szCs w:val="24"/>
              </w:rPr>
              <w:t>电话</w:t>
            </w:r>
          </w:p>
        </w:tc>
        <w:tc>
          <w:tcPr>
            <w:tcW w:w="839" w:type="pct"/>
            <w:gridSpan w:val="2"/>
            <w:vAlign w:val="center"/>
          </w:tcPr>
          <w:p w14:paraId="71C81D42">
            <w:pPr>
              <w:ind w:firstLine="26" w:firstLineChars="11"/>
              <w:rPr>
                <w:rFonts w:ascii="仿宋_GB2312" w:eastAsia="仿宋_GB2312"/>
                <w:sz w:val="24"/>
                <w:szCs w:val="24"/>
              </w:rPr>
            </w:pPr>
            <w:r>
              <w:rPr>
                <w:rFonts w:hint="eastAsia" w:ascii="仿宋_GB2312" w:eastAsia="仿宋_GB2312"/>
                <w:sz w:val="24"/>
                <w:szCs w:val="24"/>
              </w:rPr>
              <w:t>手机</w:t>
            </w:r>
          </w:p>
        </w:tc>
        <w:tc>
          <w:tcPr>
            <w:tcW w:w="746" w:type="pct"/>
            <w:gridSpan w:val="2"/>
            <w:vAlign w:val="center"/>
          </w:tcPr>
          <w:p w14:paraId="1B7D401A">
            <w:pPr>
              <w:ind w:firstLine="26" w:firstLineChars="11"/>
              <w:rPr>
                <w:rFonts w:ascii="仿宋_GB2312" w:eastAsia="仿宋_GB2312"/>
                <w:sz w:val="24"/>
                <w:szCs w:val="24"/>
              </w:rPr>
            </w:pPr>
            <w:r>
              <w:rPr>
                <w:rFonts w:hint="eastAsia" w:ascii="仿宋_GB2312" w:eastAsia="仿宋_GB2312"/>
                <w:sz w:val="24"/>
                <w:szCs w:val="24"/>
              </w:rPr>
              <w:t>传真</w:t>
            </w:r>
          </w:p>
        </w:tc>
        <w:tc>
          <w:tcPr>
            <w:tcW w:w="938" w:type="pct"/>
            <w:vAlign w:val="center"/>
          </w:tcPr>
          <w:p w14:paraId="5E541D2F">
            <w:pPr>
              <w:ind w:firstLine="26" w:firstLineChars="11"/>
              <w:rPr>
                <w:rFonts w:ascii="仿宋_GB2312" w:eastAsia="仿宋_GB2312"/>
                <w:sz w:val="24"/>
                <w:szCs w:val="24"/>
              </w:rPr>
            </w:pPr>
            <w:r>
              <w:rPr>
                <w:rFonts w:ascii="仿宋_GB2312" w:eastAsia="仿宋_GB2312"/>
                <w:sz w:val="24"/>
                <w:szCs w:val="24"/>
              </w:rPr>
              <w:t>E-mail</w:t>
            </w:r>
          </w:p>
        </w:tc>
      </w:tr>
      <w:tr w14:paraId="08B31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711" w:type="pct"/>
            <w:vAlign w:val="center"/>
          </w:tcPr>
          <w:p w14:paraId="0A5BB3AF">
            <w:pPr>
              <w:rPr>
                <w:rFonts w:ascii="仿宋_GB2312" w:eastAsia="仿宋_GB2312"/>
                <w:sz w:val="24"/>
                <w:szCs w:val="24"/>
              </w:rPr>
            </w:pPr>
          </w:p>
        </w:tc>
        <w:tc>
          <w:tcPr>
            <w:tcW w:w="504" w:type="pct"/>
            <w:gridSpan w:val="2"/>
            <w:vAlign w:val="center"/>
          </w:tcPr>
          <w:p w14:paraId="7438BEF9">
            <w:pPr>
              <w:rPr>
                <w:rFonts w:ascii="仿宋_GB2312" w:eastAsia="仿宋_GB2312"/>
                <w:sz w:val="24"/>
                <w:szCs w:val="24"/>
              </w:rPr>
            </w:pPr>
          </w:p>
        </w:tc>
        <w:tc>
          <w:tcPr>
            <w:tcW w:w="503" w:type="pct"/>
            <w:gridSpan w:val="3"/>
            <w:vAlign w:val="center"/>
          </w:tcPr>
          <w:p w14:paraId="08E0ABC7">
            <w:pPr>
              <w:rPr>
                <w:rFonts w:ascii="仿宋_GB2312" w:eastAsia="仿宋_GB2312"/>
                <w:sz w:val="24"/>
                <w:szCs w:val="24"/>
              </w:rPr>
            </w:pPr>
          </w:p>
        </w:tc>
        <w:tc>
          <w:tcPr>
            <w:tcW w:w="756" w:type="pct"/>
            <w:gridSpan w:val="2"/>
            <w:vAlign w:val="center"/>
          </w:tcPr>
          <w:p w14:paraId="689C6014">
            <w:pPr>
              <w:rPr>
                <w:rFonts w:ascii="仿宋_GB2312" w:eastAsia="仿宋_GB2312"/>
                <w:sz w:val="24"/>
                <w:szCs w:val="24"/>
              </w:rPr>
            </w:pPr>
          </w:p>
        </w:tc>
        <w:tc>
          <w:tcPr>
            <w:tcW w:w="839" w:type="pct"/>
            <w:gridSpan w:val="2"/>
            <w:vAlign w:val="center"/>
          </w:tcPr>
          <w:p w14:paraId="709015CA">
            <w:pPr>
              <w:rPr>
                <w:rFonts w:ascii="仿宋_GB2312" w:eastAsia="仿宋_GB2312"/>
                <w:sz w:val="24"/>
                <w:szCs w:val="24"/>
              </w:rPr>
            </w:pPr>
          </w:p>
        </w:tc>
        <w:tc>
          <w:tcPr>
            <w:tcW w:w="746" w:type="pct"/>
            <w:gridSpan w:val="2"/>
            <w:vAlign w:val="center"/>
          </w:tcPr>
          <w:p w14:paraId="7014C0C3">
            <w:pPr>
              <w:rPr>
                <w:rFonts w:ascii="仿宋_GB2312" w:eastAsia="仿宋_GB2312"/>
                <w:sz w:val="24"/>
                <w:szCs w:val="24"/>
              </w:rPr>
            </w:pPr>
          </w:p>
        </w:tc>
        <w:tc>
          <w:tcPr>
            <w:tcW w:w="938" w:type="pct"/>
            <w:vAlign w:val="center"/>
          </w:tcPr>
          <w:p w14:paraId="2C3FB372">
            <w:pPr>
              <w:rPr>
                <w:rFonts w:ascii="仿宋_GB2312" w:eastAsia="仿宋_GB2312"/>
                <w:sz w:val="24"/>
                <w:szCs w:val="24"/>
              </w:rPr>
            </w:pPr>
          </w:p>
        </w:tc>
      </w:tr>
      <w:tr w14:paraId="1D4CB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11" w:type="pct"/>
            <w:vAlign w:val="center"/>
          </w:tcPr>
          <w:p w14:paraId="37DB0558">
            <w:pPr>
              <w:rPr>
                <w:rFonts w:ascii="仿宋_GB2312" w:eastAsia="仿宋_GB2312"/>
                <w:sz w:val="24"/>
                <w:szCs w:val="24"/>
              </w:rPr>
            </w:pPr>
            <w:r>
              <w:rPr>
                <w:rFonts w:hint="eastAsia" w:ascii="仿宋_GB2312" w:eastAsia="仿宋_GB2312"/>
                <w:sz w:val="24"/>
                <w:szCs w:val="24"/>
              </w:rPr>
              <w:t>做市业务联络人</w:t>
            </w:r>
          </w:p>
        </w:tc>
        <w:tc>
          <w:tcPr>
            <w:tcW w:w="504" w:type="pct"/>
            <w:gridSpan w:val="2"/>
            <w:vAlign w:val="center"/>
          </w:tcPr>
          <w:p w14:paraId="08261975">
            <w:pPr>
              <w:rPr>
                <w:rFonts w:ascii="仿宋_GB2312" w:eastAsia="仿宋_GB2312"/>
                <w:sz w:val="24"/>
                <w:szCs w:val="24"/>
              </w:rPr>
            </w:pPr>
            <w:r>
              <w:rPr>
                <w:rFonts w:hint="eastAsia" w:ascii="仿宋_GB2312" w:eastAsia="仿宋_GB2312"/>
                <w:sz w:val="24"/>
                <w:szCs w:val="24"/>
              </w:rPr>
              <w:t>部门</w:t>
            </w:r>
          </w:p>
        </w:tc>
        <w:tc>
          <w:tcPr>
            <w:tcW w:w="503" w:type="pct"/>
            <w:gridSpan w:val="3"/>
            <w:vAlign w:val="center"/>
          </w:tcPr>
          <w:p w14:paraId="5D2D96AD">
            <w:pPr>
              <w:rPr>
                <w:rFonts w:ascii="仿宋_GB2312" w:eastAsia="仿宋_GB2312"/>
                <w:sz w:val="24"/>
                <w:szCs w:val="24"/>
              </w:rPr>
            </w:pPr>
            <w:r>
              <w:rPr>
                <w:rFonts w:hint="eastAsia" w:ascii="仿宋_GB2312" w:eastAsia="仿宋_GB2312"/>
                <w:sz w:val="24"/>
                <w:szCs w:val="24"/>
              </w:rPr>
              <w:t>职务</w:t>
            </w:r>
          </w:p>
        </w:tc>
        <w:tc>
          <w:tcPr>
            <w:tcW w:w="756" w:type="pct"/>
            <w:gridSpan w:val="2"/>
            <w:vAlign w:val="center"/>
          </w:tcPr>
          <w:p w14:paraId="5296B2C0">
            <w:pPr>
              <w:rPr>
                <w:rFonts w:ascii="仿宋_GB2312" w:eastAsia="仿宋_GB2312"/>
                <w:sz w:val="24"/>
                <w:szCs w:val="24"/>
              </w:rPr>
            </w:pPr>
            <w:r>
              <w:rPr>
                <w:rFonts w:hint="eastAsia" w:ascii="仿宋_GB2312" w:eastAsia="仿宋_GB2312"/>
                <w:sz w:val="24"/>
                <w:szCs w:val="24"/>
              </w:rPr>
              <w:t>电话</w:t>
            </w:r>
          </w:p>
        </w:tc>
        <w:tc>
          <w:tcPr>
            <w:tcW w:w="839" w:type="pct"/>
            <w:gridSpan w:val="2"/>
            <w:vAlign w:val="center"/>
          </w:tcPr>
          <w:p w14:paraId="25DC1C44">
            <w:pPr>
              <w:rPr>
                <w:rFonts w:ascii="仿宋_GB2312" w:eastAsia="仿宋_GB2312"/>
                <w:sz w:val="24"/>
                <w:szCs w:val="24"/>
              </w:rPr>
            </w:pPr>
            <w:r>
              <w:rPr>
                <w:rFonts w:hint="eastAsia" w:ascii="仿宋_GB2312" w:eastAsia="仿宋_GB2312"/>
                <w:sz w:val="24"/>
                <w:szCs w:val="24"/>
              </w:rPr>
              <w:t>手机</w:t>
            </w:r>
          </w:p>
        </w:tc>
        <w:tc>
          <w:tcPr>
            <w:tcW w:w="746" w:type="pct"/>
            <w:gridSpan w:val="2"/>
            <w:vAlign w:val="center"/>
          </w:tcPr>
          <w:p w14:paraId="713DC9EB">
            <w:pPr>
              <w:rPr>
                <w:rFonts w:ascii="仿宋_GB2312" w:eastAsia="仿宋_GB2312"/>
                <w:sz w:val="24"/>
                <w:szCs w:val="24"/>
              </w:rPr>
            </w:pPr>
            <w:r>
              <w:rPr>
                <w:rFonts w:hint="eastAsia" w:ascii="仿宋_GB2312" w:eastAsia="仿宋_GB2312"/>
                <w:sz w:val="24"/>
                <w:szCs w:val="24"/>
              </w:rPr>
              <w:t>传真</w:t>
            </w:r>
          </w:p>
        </w:tc>
        <w:tc>
          <w:tcPr>
            <w:tcW w:w="938" w:type="pct"/>
            <w:vAlign w:val="center"/>
          </w:tcPr>
          <w:p w14:paraId="3A625638">
            <w:pPr>
              <w:rPr>
                <w:rFonts w:ascii="仿宋_GB2312" w:eastAsia="仿宋_GB2312"/>
                <w:sz w:val="24"/>
                <w:szCs w:val="24"/>
              </w:rPr>
            </w:pPr>
            <w:r>
              <w:rPr>
                <w:rFonts w:ascii="仿宋_GB2312" w:eastAsia="仿宋_GB2312"/>
                <w:sz w:val="24"/>
                <w:szCs w:val="24"/>
              </w:rPr>
              <w:t>E-mail</w:t>
            </w:r>
          </w:p>
        </w:tc>
      </w:tr>
      <w:tr w14:paraId="4FC92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11" w:type="pct"/>
            <w:vAlign w:val="center"/>
          </w:tcPr>
          <w:p w14:paraId="2783DD11">
            <w:pPr>
              <w:ind w:firstLine="480"/>
              <w:rPr>
                <w:rFonts w:ascii="仿宋_GB2312" w:eastAsia="仿宋_GB2312"/>
                <w:sz w:val="24"/>
                <w:szCs w:val="24"/>
              </w:rPr>
            </w:pPr>
          </w:p>
        </w:tc>
        <w:tc>
          <w:tcPr>
            <w:tcW w:w="504" w:type="pct"/>
            <w:gridSpan w:val="2"/>
            <w:vAlign w:val="center"/>
          </w:tcPr>
          <w:p w14:paraId="044FFEE8">
            <w:pPr>
              <w:ind w:firstLine="480"/>
              <w:rPr>
                <w:rFonts w:ascii="仿宋_GB2312" w:eastAsia="仿宋_GB2312"/>
                <w:sz w:val="24"/>
                <w:szCs w:val="24"/>
              </w:rPr>
            </w:pPr>
          </w:p>
        </w:tc>
        <w:tc>
          <w:tcPr>
            <w:tcW w:w="503" w:type="pct"/>
            <w:gridSpan w:val="3"/>
            <w:vAlign w:val="center"/>
          </w:tcPr>
          <w:p w14:paraId="140E5DEB">
            <w:pPr>
              <w:ind w:firstLine="480"/>
              <w:rPr>
                <w:rFonts w:ascii="仿宋_GB2312" w:eastAsia="仿宋_GB2312"/>
                <w:sz w:val="24"/>
                <w:szCs w:val="24"/>
              </w:rPr>
            </w:pPr>
          </w:p>
        </w:tc>
        <w:tc>
          <w:tcPr>
            <w:tcW w:w="756" w:type="pct"/>
            <w:gridSpan w:val="2"/>
            <w:vAlign w:val="center"/>
          </w:tcPr>
          <w:p w14:paraId="14FFCE30">
            <w:pPr>
              <w:ind w:firstLine="480"/>
              <w:rPr>
                <w:rFonts w:ascii="仿宋_GB2312" w:eastAsia="仿宋_GB2312"/>
                <w:sz w:val="24"/>
                <w:szCs w:val="24"/>
              </w:rPr>
            </w:pPr>
          </w:p>
        </w:tc>
        <w:tc>
          <w:tcPr>
            <w:tcW w:w="839" w:type="pct"/>
            <w:gridSpan w:val="2"/>
            <w:vAlign w:val="center"/>
          </w:tcPr>
          <w:p w14:paraId="736F861B">
            <w:pPr>
              <w:ind w:firstLine="480"/>
              <w:rPr>
                <w:rFonts w:ascii="仿宋_GB2312" w:eastAsia="仿宋_GB2312"/>
                <w:sz w:val="24"/>
                <w:szCs w:val="24"/>
              </w:rPr>
            </w:pPr>
          </w:p>
        </w:tc>
        <w:tc>
          <w:tcPr>
            <w:tcW w:w="746" w:type="pct"/>
            <w:gridSpan w:val="2"/>
            <w:vAlign w:val="center"/>
          </w:tcPr>
          <w:p w14:paraId="55F94713">
            <w:pPr>
              <w:ind w:firstLine="480"/>
              <w:rPr>
                <w:rFonts w:ascii="仿宋_GB2312" w:eastAsia="仿宋_GB2312"/>
                <w:sz w:val="24"/>
                <w:szCs w:val="24"/>
              </w:rPr>
            </w:pPr>
          </w:p>
        </w:tc>
        <w:tc>
          <w:tcPr>
            <w:tcW w:w="938" w:type="pct"/>
            <w:vAlign w:val="center"/>
          </w:tcPr>
          <w:p w14:paraId="3463470A">
            <w:pPr>
              <w:ind w:firstLine="480"/>
              <w:rPr>
                <w:rFonts w:ascii="仿宋_GB2312" w:eastAsia="仿宋_GB2312"/>
                <w:sz w:val="24"/>
                <w:szCs w:val="24"/>
              </w:rPr>
            </w:pPr>
          </w:p>
        </w:tc>
      </w:tr>
      <w:tr w14:paraId="32AA6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000" w:type="pct"/>
            <w:gridSpan w:val="13"/>
            <w:tcBorders>
              <w:top w:val="single" w:color="auto" w:sz="4" w:space="0"/>
              <w:left w:val="single" w:color="auto" w:sz="4" w:space="0"/>
              <w:bottom w:val="single" w:color="auto" w:sz="4" w:space="0"/>
              <w:right w:val="single" w:color="auto" w:sz="4" w:space="0"/>
            </w:tcBorders>
            <w:shd w:val="clear" w:color="auto" w:fill="F2F2F2"/>
            <w:vAlign w:val="center"/>
          </w:tcPr>
          <w:p w14:paraId="269B2C30">
            <w:pPr>
              <w:rPr>
                <w:rFonts w:ascii="仿宋_GB2312" w:eastAsia="仿宋_GB2312"/>
                <w:sz w:val="24"/>
                <w:szCs w:val="24"/>
              </w:rPr>
            </w:pPr>
            <w:r>
              <w:rPr>
                <w:rFonts w:hint="eastAsia" w:ascii="仿宋_GB2312" w:eastAsia="仿宋_GB2312"/>
                <w:sz w:val="24"/>
                <w:szCs w:val="24"/>
              </w:rPr>
              <w:t>本机构基本情况（包括但不限于</w:t>
            </w:r>
            <w:r>
              <w:rPr>
                <w:rFonts w:ascii="仿宋_GB2312" w:eastAsia="仿宋_GB2312"/>
                <w:sz w:val="24"/>
                <w:szCs w:val="24"/>
              </w:rPr>
              <w:t>公司及做市相关部门基本情况</w:t>
            </w:r>
            <w:r>
              <w:rPr>
                <w:rFonts w:hint="eastAsia" w:ascii="仿宋_GB2312" w:eastAsia="仿宋_GB2312"/>
                <w:sz w:val="24"/>
                <w:szCs w:val="24"/>
              </w:rPr>
              <w:t>、</w:t>
            </w:r>
            <w:r>
              <w:rPr>
                <w:rFonts w:ascii="仿宋_GB2312" w:eastAsia="仿宋_GB2312"/>
                <w:sz w:val="24"/>
                <w:szCs w:val="24"/>
              </w:rPr>
              <w:t>公司治理机制、金融市场投资交易经验）</w:t>
            </w:r>
          </w:p>
          <w:p w14:paraId="7AFB0241">
            <w:pPr>
              <w:rPr>
                <w:rFonts w:ascii="仿宋_GB2312" w:eastAsia="仿宋_GB2312"/>
                <w:sz w:val="24"/>
                <w:szCs w:val="24"/>
              </w:rPr>
            </w:pPr>
          </w:p>
          <w:p w14:paraId="2C3E561D">
            <w:pPr>
              <w:rPr>
                <w:rFonts w:ascii="仿宋_GB2312" w:eastAsia="仿宋_GB2312"/>
                <w:sz w:val="24"/>
                <w:szCs w:val="24"/>
              </w:rPr>
            </w:pPr>
          </w:p>
        </w:tc>
      </w:tr>
      <w:tr w14:paraId="34DEC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6" w:hRule="atLeast"/>
          <w:jc w:val="center"/>
        </w:trPr>
        <w:tc>
          <w:tcPr>
            <w:tcW w:w="5000" w:type="pct"/>
            <w:gridSpan w:val="13"/>
            <w:tcBorders>
              <w:top w:val="single" w:color="auto" w:sz="4" w:space="0"/>
              <w:left w:val="single" w:color="auto" w:sz="4" w:space="0"/>
              <w:bottom w:val="single" w:color="auto" w:sz="4" w:space="0"/>
              <w:right w:val="single" w:color="auto" w:sz="4" w:space="0"/>
            </w:tcBorders>
            <w:shd w:val="clear" w:color="auto" w:fill="F2F2F2"/>
          </w:tcPr>
          <w:p w14:paraId="1BE1266D">
            <w:pPr>
              <w:rPr>
                <w:rFonts w:ascii="仿宋_GB2312" w:eastAsia="仿宋_GB2312"/>
                <w:sz w:val="24"/>
                <w:szCs w:val="24"/>
              </w:rPr>
            </w:pPr>
            <w:r>
              <w:rPr>
                <w:rFonts w:hint="eastAsia" w:ascii="仿宋_GB2312" w:eastAsia="仿宋_GB2312"/>
                <w:sz w:val="24"/>
                <w:szCs w:val="24"/>
              </w:rPr>
              <w:t>业务</w:t>
            </w:r>
            <w:r>
              <w:rPr>
                <w:rFonts w:ascii="仿宋_GB2312" w:eastAsia="仿宋_GB2312"/>
                <w:sz w:val="24"/>
                <w:szCs w:val="24"/>
              </w:rPr>
              <w:t>开展情况</w:t>
            </w:r>
          </w:p>
          <w:p w14:paraId="64AE8ADC">
            <w:pPr>
              <w:rPr>
                <w:rFonts w:ascii="仿宋_GB2312" w:eastAsia="仿宋_GB2312"/>
                <w:sz w:val="24"/>
                <w:szCs w:val="24"/>
              </w:rPr>
            </w:pPr>
            <w:r>
              <w:rPr>
                <w:rFonts w:hint="eastAsia" w:ascii="仿宋_GB2312" w:eastAsia="仿宋_GB2312"/>
                <w:sz w:val="24"/>
                <w:szCs w:val="24"/>
              </w:rPr>
              <w:t>（包括但不限于</w:t>
            </w:r>
            <w:r>
              <w:rPr>
                <w:rFonts w:ascii="仿宋_GB2312" w:eastAsia="仿宋_GB2312"/>
                <w:sz w:val="24"/>
                <w:szCs w:val="24"/>
              </w:rPr>
              <w:t>近两年</w:t>
            </w:r>
            <w:r>
              <w:rPr>
                <w:rFonts w:hint="eastAsia" w:ascii="仿宋_GB2312" w:eastAsia="仿宋_GB2312"/>
                <w:sz w:val="24"/>
                <w:szCs w:val="24"/>
              </w:rPr>
              <w:t>交易所</w:t>
            </w:r>
            <w:r>
              <w:rPr>
                <w:rFonts w:ascii="仿宋_GB2312" w:eastAsia="仿宋_GB2312"/>
                <w:sz w:val="24"/>
                <w:szCs w:val="24"/>
              </w:rPr>
              <w:t>债券市场交易情况、</w:t>
            </w:r>
            <w:r>
              <w:rPr>
                <w:rFonts w:hint="eastAsia" w:ascii="仿宋_GB2312" w:eastAsia="仿宋_GB2312"/>
                <w:sz w:val="24"/>
                <w:szCs w:val="24"/>
              </w:rPr>
              <w:t>其他</w:t>
            </w:r>
            <w:r>
              <w:rPr>
                <w:rFonts w:ascii="仿宋_GB2312" w:eastAsia="仿宋_GB2312"/>
                <w:sz w:val="24"/>
                <w:szCs w:val="24"/>
              </w:rPr>
              <w:t>相关做市业务</w:t>
            </w:r>
            <w:r>
              <w:rPr>
                <w:rFonts w:hint="eastAsia" w:ascii="仿宋_GB2312" w:eastAsia="仿宋_GB2312"/>
                <w:sz w:val="24"/>
                <w:szCs w:val="24"/>
              </w:rPr>
              <w:t>开展</w:t>
            </w:r>
            <w:r>
              <w:rPr>
                <w:rFonts w:ascii="仿宋_GB2312" w:eastAsia="仿宋_GB2312"/>
                <w:sz w:val="24"/>
                <w:szCs w:val="24"/>
              </w:rPr>
              <w:t>情况</w:t>
            </w:r>
            <w:r>
              <w:rPr>
                <w:rFonts w:hint="eastAsia" w:ascii="仿宋_GB2312" w:eastAsia="仿宋_GB2312"/>
                <w:sz w:val="24"/>
                <w:szCs w:val="24"/>
              </w:rPr>
              <w:t>）</w:t>
            </w:r>
          </w:p>
          <w:p w14:paraId="2D237A27">
            <w:pPr>
              <w:rPr>
                <w:rFonts w:ascii="仿宋_GB2312" w:eastAsia="仿宋_GB2312"/>
                <w:sz w:val="24"/>
                <w:szCs w:val="24"/>
              </w:rPr>
            </w:pPr>
          </w:p>
        </w:tc>
      </w:tr>
      <w:tr w14:paraId="4FD83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4" w:hRule="atLeast"/>
          <w:jc w:val="center"/>
        </w:trPr>
        <w:tc>
          <w:tcPr>
            <w:tcW w:w="5000" w:type="pct"/>
            <w:gridSpan w:val="13"/>
            <w:tcBorders>
              <w:top w:val="single" w:color="auto" w:sz="4" w:space="0"/>
              <w:left w:val="single" w:color="auto" w:sz="4" w:space="0"/>
              <w:bottom w:val="single" w:color="auto" w:sz="4" w:space="0"/>
              <w:right w:val="single" w:color="auto" w:sz="4" w:space="0"/>
            </w:tcBorders>
            <w:shd w:val="clear" w:color="auto" w:fill="F2F2F2"/>
          </w:tcPr>
          <w:p w14:paraId="7478092F">
            <w:pPr>
              <w:rPr>
                <w:rFonts w:ascii="仿宋_GB2312" w:eastAsia="仿宋_GB2312"/>
                <w:sz w:val="24"/>
                <w:szCs w:val="24"/>
              </w:rPr>
            </w:pPr>
            <w:r>
              <w:rPr>
                <w:rFonts w:hint="eastAsia" w:ascii="仿宋_GB2312" w:eastAsia="仿宋_GB2312"/>
                <w:sz w:val="24"/>
                <w:szCs w:val="24"/>
              </w:rPr>
              <w:t>内部管理办法</w:t>
            </w:r>
          </w:p>
          <w:p w14:paraId="7FA23A59">
            <w:pPr>
              <w:rPr>
                <w:rFonts w:ascii="仿宋_GB2312" w:eastAsia="仿宋_GB2312"/>
                <w:sz w:val="24"/>
                <w:szCs w:val="24"/>
              </w:rPr>
            </w:pPr>
            <w:r>
              <w:rPr>
                <w:rFonts w:hint="eastAsia" w:ascii="仿宋_GB2312" w:eastAsia="仿宋_GB2312"/>
                <w:sz w:val="24"/>
                <w:szCs w:val="24"/>
              </w:rPr>
              <w:t>（包括但不限于做市内部管理制度、</w:t>
            </w:r>
            <w:r>
              <w:rPr>
                <w:rFonts w:ascii="仿宋_GB2312" w:eastAsia="仿宋_GB2312"/>
                <w:sz w:val="24"/>
                <w:szCs w:val="24"/>
              </w:rPr>
              <w:t>操作流程</w:t>
            </w:r>
            <w:r>
              <w:rPr>
                <w:rFonts w:hint="eastAsia" w:ascii="仿宋_GB2312" w:eastAsia="仿宋_GB2312"/>
                <w:sz w:val="24"/>
                <w:szCs w:val="24"/>
              </w:rPr>
              <w:t>及</w:t>
            </w:r>
            <w:r>
              <w:rPr>
                <w:rFonts w:ascii="仿宋_GB2312" w:eastAsia="仿宋_GB2312"/>
                <w:sz w:val="24"/>
                <w:szCs w:val="24"/>
              </w:rPr>
              <w:t>权限管理</w:t>
            </w:r>
            <w:r>
              <w:rPr>
                <w:rFonts w:hint="eastAsia" w:ascii="仿宋_GB2312" w:eastAsia="仿宋_GB2312"/>
                <w:sz w:val="24"/>
                <w:szCs w:val="24"/>
              </w:rPr>
              <w:t>）</w:t>
            </w:r>
          </w:p>
        </w:tc>
      </w:tr>
      <w:tr w14:paraId="42F8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jc w:val="center"/>
        </w:trPr>
        <w:tc>
          <w:tcPr>
            <w:tcW w:w="5000" w:type="pct"/>
            <w:gridSpan w:val="13"/>
            <w:tcBorders>
              <w:top w:val="single" w:color="auto" w:sz="4" w:space="0"/>
              <w:left w:val="single" w:color="auto" w:sz="4" w:space="0"/>
              <w:bottom w:val="single" w:color="auto" w:sz="4" w:space="0"/>
              <w:right w:val="single" w:color="auto" w:sz="4" w:space="0"/>
            </w:tcBorders>
            <w:shd w:val="clear" w:color="auto" w:fill="F2F2F2"/>
          </w:tcPr>
          <w:p w14:paraId="482C20FC">
            <w:pPr>
              <w:rPr>
                <w:rFonts w:ascii="仿宋_GB2312" w:eastAsia="仿宋_GB2312"/>
                <w:sz w:val="24"/>
                <w:szCs w:val="24"/>
              </w:rPr>
            </w:pPr>
            <w:r>
              <w:rPr>
                <w:rFonts w:hint="eastAsia" w:ascii="仿宋_GB2312" w:eastAsia="仿宋_GB2312"/>
                <w:sz w:val="24"/>
                <w:szCs w:val="24"/>
              </w:rPr>
              <w:t>信息技术情况</w:t>
            </w:r>
          </w:p>
          <w:p w14:paraId="520F9850">
            <w:pPr>
              <w:rPr>
                <w:rFonts w:ascii="仿宋_GB2312" w:eastAsia="仿宋_GB2312"/>
                <w:sz w:val="24"/>
                <w:szCs w:val="24"/>
              </w:rPr>
            </w:pPr>
            <w:r>
              <w:rPr>
                <w:rFonts w:hint="eastAsia" w:ascii="仿宋_GB2312" w:eastAsia="仿宋_GB2312"/>
                <w:sz w:val="24"/>
                <w:szCs w:val="24"/>
              </w:rPr>
              <w:t>（</w:t>
            </w:r>
            <w:r>
              <w:rPr>
                <w:rFonts w:ascii="仿宋_GB2312" w:eastAsia="仿宋_GB2312"/>
                <w:sz w:val="24"/>
                <w:szCs w:val="24"/>
              </w:rPr>
              <w:t>包括但不限于做市业务相关的信息技术</w:t>
            </w:r>
            <w:r>
              <w:rPr>
                <w:rFonts w:hint="eastAsia" w:ascii="仿宋_GB2312" w:eastAsia="仿宋_GB2312"/>
                <w:sz w:val="24"/>
                <w:szCs w:val="24"/>
              </w:rPr>
              <w:t>设施、</w:t>
            </w:r>
            <w:r>
              <w:rPr>
                <w:rFonts w:ascii="仿宋_GB2312" w:eastAsia="仿宋_GB2312"/>
                <w:sz w:val="24"/>
                <w:szCs w:val="24"/>
              </w:rPr>
              <w:t>支持人员信息系统</w:t>
            </w:r>
            <w:r>
              <w:rPr>
                <w:rFonts w:hint="eastAsia" w:ascii="仿宋_GB2312" w:eastAsia="仿宋_GB2312"/>
                <w:sz w:val="24"/>
                <w:szCs w:val="24"/>
              </w:rPr>
              <w:t>管理制度</w:t>
            </w:r>
            <w:r>
              <w:rPr>
                <w:rFonts w:ascii="仿宋_GB2312" w:eastAsia="仿宋_GB2312"/>
                <w:sz w:val="24"/>
                <w:szCs w:val="24"/>
              </w:rPr>
              <w:t>等情况说明。</w:t>
            </w:r>
            <w:r>
              <w:rPr>
                <w:rFonts w:hint="eastAsia" w:ascii="仿宋_GB2312" w:eastAsia="仿宋_GB2312"/>
                <w:sz w:val="24"/>
                <w:szCs w:val="24"/>
              </w:rPr>
              <w:t>拟开展程序化</w:t>
            </w:r>
            <w:r>
              <w:rPr>
                <w:rFonts w:ascii="仿宋_GB2312" w:eastAsia="仿宋_GB2312"/>
                <w:sz w:val="24"/>
                <w:szCs w:val="24"/>
              </w:rPr>
              <w:t>交易的，应就报价策略、风控措施、应急预案等事项作出说明</w:t>
            </w:r>
            <w:r>
              <w:rPr>
                <w:rFonts w:hint="eastAsia" w:ascii="仿宋_GB2312" w:eastAsia="仿宋_GB2312"/>
                <w:sz w:val="24"/>
                <w:szCs w:val="24"/>
              </w:rPr>
              <w:t>）</w:t>
            </w:r>
          </w:p>
          <w:p w14:paraId="543E5A7D">
            <w:pPr>
              <w:rPr>
                <w:rFonts w:ascii="仿宋_GB2312" w:eastAsia="仿宋_GB2312"/>
                <w:sz w:val="24"/>
                <w:szCs w:val="24"/>
              </w:rPr>
            </w:pPr>
          </w:p>
        </w:tc>
      </w:tr>
      <w:tr w14:paraId="29C8A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000" w:type="pct"/>
            <w:gridSpan w:val="13"/>
            <w:tcBorders>
              <w:top w:val="single" w:color="auto" w:sz="4" w:space="0"/>
              <w:left w:val="single" w:color="auto" w:sz="4" w:space="0"/>
              <w:bottom w:val="single" w:color="auto" w:sz="4" w:space="0"/>
              <w:right w:val="single" w:color="auto" w:sz="4" w:space="0"/>
            </w:tcBorders>
            <w:shd w:val="clear" w:color="auto" w:fill="F2F2F2"/>
            <w:vAlign w:val="center"/>
          </w:tcPr>
          <w:p w14:paraId="0BAFA932">
            <w:pPr>
              <w:rPr>
                <w:rFonts w:ascii="仿宋_GB2312" w:eastAsia="仿宋_GB2312"/>
                <w:sz w:val="24"/>
                <w:szCs w:val="24"/>
              </w:rPr>
            </w:pPr>
            <w:r>
              <w:rPr>
                <w:rFonts w:hint="eastAsia" w:ascii="仿宋_GB2312" w:eastAsia="仿宋_GB2312"/>
                <w:sz w:val="24"/>
                <w:szCs w:val="24"/>
              </w:rPr>
              <w:t>做市相关部门与岗位设置</w:t>
            </w:r>
          </w:p>
          <w:p w14:paraId="26A850A2">
            <w:pPr>
              <w:rPr>
                <w:rFonts w:ascii="仿宋_GB2312" w:eastAsia="仿宋_GB2312"/>
                <w:sz w:val="24"/>
                <w:szCs w:val="24"/>
              </w:rPr>
            </w:pPr>
            <w:r>
              <w:rPr>
                <w:rFonts w:hint="eastAsia" w:ascii="仿宋_GB2312" w:eastAsia="仿宋_GB2312"/>
                <w:sz w:val="24"/>
                <w:szCs w:val="24"/>
              </w:rPr>
              <w:t>（工作履历一栏中，做市部门负责人、交易岗、操作岗</w:t>
            </w:r>
            <w:r>
              <w:rPr>
                <w:rFonts w:ascii="仿宋_GB2312" w:eastAsia="仿宋_GB2312"/>
                <w:sz w:val="24"/>
                <w:szCs w:val="24"/>
              </w:rPr>
              <w:t>、</w:t>
            </w:r>
            <w:r>
              <w:rPr>
                <w:rFonts w:hint="eastAsia" w:ascii="仿宋_GB2312" w:eastAsia="仿宋_GB2312"/>
                <w:sz w:val="24"/>
                <w:szCs w:val="24"/>
              </w:rPr>
              <w:t>合规岗</w:t>
            </w:r>
            <w:r>
              <w:rPr>
                <w:rFonts w:ascii="仿宋_GB2312" w:eastAsia="仿宋_GB2312"/>
                <w:sz w:val="24"/>
                <w:szCs w:val="24"/>
              </w:rPr>
              <w:t>、</w:t>
            </w:r>
            <w:r>
              <w:rPr>
                <w:rFonts w:hint="eastAsia" w:ascii="仿宋_GB2312" w:eastAsia="仿宋_GB2312"/>
                <w:sz w:val="24"/>
                <w:szCs w:val="24"/>
              </w:rPr>
              <w:t>风险控制岗必须详细填写工作履历）</w:t>
            </w:r>
          </w:p>
        </w:tc>
      </w:tr>
      <w:tr w14:paraId="5906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000" w:type="pct"/>
            <w:gridSpan w:val="13"/>
            <w:tcBorders>
              <w:top w:val="single" w:color="auto" w:sz="4" w:space="0"/>
              <w:left w:val="single" w:color="auto" w:sz="4" w:space="0"/>
              <w:bottom w:val="single" w:color="auto" w:sz="4" w:space="0"/>
              <w:right w:val="single" w:color="auto" w:sz="4" w:space="0"/>
            </w:tcBorders>
            <w:vAlign w:val="center"/>
          </w:tcPr>
          <w:p w14:paraId="01EFA467">
            <w:pPr>
              <w:rPr>
                <w:rFonts w:ascii="仿宋_GB2312" w:eastAsia="仿宋_GB2312"/>
                <w:sz w:val="24"/>
                <w:szCs w:val="24"/>
              </w:rPr>
            </w:pPr>
            <w:r>
              <w:rPr>
                <w:rFonts w:hint="eastAsia" w:ascii="仿宋_GB2312" w:eastAsia="仿宋_GB2312"/>
                <w:sz w:val="24"/>
                <w:szCs w:val="24"/>
              </w:rPr>
              <w:t>（部门名称</w:t>
            </w:r>
            <w:r>
              <w:rPr>
                <w:rFonts w:ascii="仿宋_GB2312" w:eastAsia="仿宋_GB2312"/>
                <w:sz w:val="24"/>
                <w:szCs w:val="24"/>
              </w:rPr>
              <w:t>1）工作职责包括：</w:t>
            </w:r>
          </w:p>
          <w:p w14:paraId="08E04F73">
            <w:pPr>
              <w:rPr>
                <w:rFonts w:ascii="仿宋_GB2312" w:eastAsia="仿宋_GB2312"/>
                <w:sz w:val="24"/>
                <w:szCs w:val="24"/>
              </w:rPr>
            </w:pPr>
            <w:r>
              <w:rPr>
                <w:rFonts w:hint="eastAsia" w:ascii="仿宋_GB2312" w:eastAsia="仿宋_GB2312"/>
                <w:sz w:val="24"/>
                <w:szCs w:val="24"/>
              </w:rPr>
              <w:t>（</w:t>
            </w:r>
            <w:r>
              <w:rPr>
                <w:rFonts w:ascii="仿宋_GB2312" w:eastAsia="仿宋_GB2312"/>
                <w:sz w:val="24"/>
                <w:szCs w:val="24"/>
              </w:rPr>
              <w:t>1）</w:t>
            </w:r>
          </w:p>
          <w:p w14:paraId="08D3E126">
            <w:pPr>
              <w:rPr>
                <w:rFonts w:ascii="仿宋_GB2312" w:eastAsia="仿宋_GB2312"/>
                <w:sz w:val="24"/>
                <w:szCs w:val="24"/>
              </w:rPr>
            </w:pPr>
            <w:r>
              <w:rPr>
                <w:rFonts w:hint="eastAsia" w:ascii="仿宋_GB2312" w:eastAsia="仿宋_GB2312"/>
                <w:sz w:val="24"/>
                <w:szCs w:val="24"/>
              </w:rPr>
              <w:t>（</w:t>
            </w:r>
            <w:r>
              <w:rPr>
                <w:rFonts w:ascii="仿宋_GB2312" w:eastAsia="仿宋_GB2312"/>
                <w:sz w:val="24"/>
                <w:szCs w:val="24"/>
              </w:rPr>
              <w:t>2）</w:t>
            </w:r>
          </w:p>
        </w:tc>
      </w:tr>
      <w:tr w14:paraId="0D45F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95" w:type="pct"/>
            <w:gridSpan w:val="2"/>
            <w:tcBorders>
              <w:top w:val="single" w:color="auto" w:sz="4" w:space="0"/>
              <w:left w:val="single" w:color="auto" w:sz="4" w:space="0"/>
              <w:bottom w:val="single" w:color="auto" w:sz="4" w:space="0"/>
              <w:right w:val="single" w:color="auto" w:sz="4" w:space="0"/>
            </w:tcBorders>
            <w:vAlign w:val="center"/>
          </w:tcPr>
          <w:p w14:paraId="7122293B">
            <w:pPr>
              <w:rPr>
                <w:rFonts w:ascii="仿宋_GB2312" w:eastAsia="仿宋_GB2312"/>
                <w:sz w:val="24"/>
                <w:szCs w:val="24"/>
              </w:rPr>
            </w:pPr>
            <w:r>
              <w:rPr>
                <w:rFonts w:hint="eastAsia" w:ascii="仿宋_GB2312" w:eastAsia="仿宋_GB2312"/>
                <w:sz w:val="24"/>
                <w:szCs w:val="24"/>
              </w:rPr>
              <w:t>岗位</w:t>
            </w:r>
          </w:p>
        </w:tc>
        <w:tc>
          <w:tcPr>
            <w:tcW w:w="723" w:type="pct"/>
            <w:gridSpan w:val="3"/>
            <w:tcBorders>
              <w:top w:val="single" w:color="auto" w:sz="4" w:space="0"/>
              <w:left w:val="single" w:color="auto" w:sz="4" w:space="0"/>
              <w:bottom w:val="single" w:color="auto" w:sz="4" w:space="0"/>
              <w:right w:val="single" w:color="auto" w:sz="4" w:space="0"/>
            </w:tcBorders>
            <w:vAlign w:val="center"/>
          </w:tcPr>
          <w:p w14:paraId="05A0DC33">
            <w:pPr>
              <w:rPr>
                <w:rFonts w:ascii="仿宋_GB2312" w:eastAsia="仿宋_GB2312"/>
                <w:sz w:val="24"/>
                <w:szCs w:val="24"/>
              </w:rPr>
            </w:pPr>
            <w:r>
              <w:rPr>
                <w:rFonts w:hint="eastAsia" w:ascii="仿宋_GB2312" w:eastAsia="仿宋_GB2312"/>
                <w:sz w:val="24"/>
                <w:szCs w:val="24"/>
              </w:rPr>
              <w:t>人员姓名</w:t>
            </w:r>
          </w:p>
        </w:tc>
        <w:tc>
          <w:tcPr>
            <w:tcW w:w="741" w:type="pct"/>
            <w:gridSpan w:val="2"/>
            <w:tcBorders>
              <w:top w:val="single" w:color="auto" w:sz="4" w:space="0"/>
              <w:left w:val="single" w:color="auto" w:sz="4" w:space="0"/>
              <w:bottom w:val="single" w:color="auto" w:sz="4" w:space="0"/>
              <w:right w:val="single" w:color="auto" w:sz="4" w:space="0"/>
            </w:tcBorders>
            <w:vAlign w:val="center"/>
          </w:tcPr>
          <w:p w14:paraId="3515D84A">
            <w:pPr>
              <w:rPr>
                <w:rFonts w:ascii="仿宋_GB2312" w:eastAsia="仿宋_GB2312"/>
                <w:sz w:val="24"/>
                <w:szCs w:val="24"/>
              </w:rPr>
            </w:pPr>
            <w:r>
              <w:rPr>
                <w:rFonts w:hint="eastAsia" w:ascii="仿宋_GB2312" w:eastAsia="仿宋_GB2312"/>
                <w:sz w:val="24"/>
                <w:szCs w:val="24"/>
              </w:rPr>
              <w:t>职责描述</w:t>
            </w:r>
          </w:p>
        </w:tc>
        <w:tc>
          <w:tcPr>
            <w:tcW w:w="810" w:type="pct"/>
            <w:gridSpan w:val="2"/>
            <w:tcBorders>
              <w:top w:val="single" w:color="auto" w:sz="4" w:space="0"/>
              <w:left w:val="single" w:color="auto" w:sz="4" w:space="0"/>
              <w:bottom w:val="single" w:color="auto" w:sz="4" w:space="0"/>
              <w:right w:val="single" w:color="auto" w:sz="4" w:space="0"/>
            </w:tcBorders>
            <w:vAlign w:val="center"/>
          </w:tcPr>
          <w:p w14:paraId="585C75C1">
            <w:pPr>
              <w:rPr>
                <w:rFonts w:ascii="仿宋_GB2312" w:eastAsia="仿宋_GB2312"/>
                <w:sz w:val="24"/>
                <w:szCs w:val="24"/>
              </w:rPr>
            </w:pPr>
            <w:r>
              <w:rPr>
                <w:rFonts w:hint="eastAsia" w:ascii="仿宋_GB2312" w:eastAsia="仿宋_GB2312"/>
                <w:sz w:val="24"/>
                <w:szCs w:val="24"/>
              </w:rPr>
              <w:t>联系方式</w:t>
            </w:r>
          </w:p>
        </w:tc>
        <w:tc>
          <w:tcPr>
            <w:tcW w:w="1929" w:type="pct"/>
            <w:gridSpan w:val="4"/>
            <w:tcBorders>
              <w:top w:val="single" w:color="auto" w:sz="4" w:space="0"/>
              <w:left w:val="single" w:color="auto" w:sz="4" w:space="0"/>
              <w:bottom w:val="single" w:color="auto" w:sz="4" w:space="0"/>
              <w:right w:val="single" w:color="auto" w:sz="4" w:space="0"/>
            </w:tcBorders>
            <w:vAlign w:val="center"/>
          </w:tcPr>
          <w:p w14:paraId="09FB1994">
            <w:pPr>
              <w:rPr>
                <w:rFonts w:ascii="仿宋_GB2312" w:eastAsia="仿宋_GB2312"/>
                <w:sz w:val="24"/>
                <w:szCs w:val="24"/>
              </w:rPr>
            </w:pPr>
            <w:r>
              <w:rPr>
                <w:rFonts w:hint="eastAsia" w:ascii="仿宋_GB2312" w:eastAsia="仿宋_GB2312"/>
                <w:sz w:val="24"/>
                <w:szCs w:val="24"/>
              </w:rPr>
              <w:t>工作履历</w:t>
            </w:r>
          </w:p>
        </w:tc>
      </w:tr>
      <w:tr w14:paraId="77D6C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95" w:type="pct"/>
            <w:gridSpan w:val="2"/>
            <w:tcBorders>
              <w:top w:val="single" w:color="auto" w:sz="4" w:space="0"/>
              <w:left w:val="single" w:color="auto" w:sz="4" w:space="0"/>
              <w:bottom w:val="single" w:color="auto" w:sz="4" w:space="0"/>
              <w:right w:val="single" w:color="auto" w:sz="4" w:space="0"/>
            </w:tcBorders>
            <w:vAlign w:val="center"/>
          </w:tcPr>
          <w:p w14:paraId="5E453CE1">
            <w:pPr>
              <w:rPr>
                <w:rFonts w:ascii="仿宋_GB2312" w:eastAsia="仿宋_GB2312"/>
                <w:sz w:val="24"/>
                <w:szCs w:val="24"/>
              </w:rPr>
            </w:pPr>
            <w:r>
              <w:rPr>
                <w:rFonts w:hint="eastAsia" w:ascii="仿宋_GB2312" w:eastAsia="仿宋_GB2312"/>
                <w:sz w:val="24"/>
                <w:szCs w:val="24"/>
              </w:rPr>
              <w:t>（部门负责人）</w:t>
            </w:r>
          </w:p>
        </w:tc>
        <w:tc>
          <w:tcPr>
            <w:tcW w:w="723" w:type="pct"/>
            <w:gridSpan w:val="3"/>
            <w:tcBorders>
              <w:top w:val="single" w:color="auto" w:sz="4" w:space="0"/>
              <w:left w:val="single" w:color="auto" w:sz="4" w:space="0"/>
              <w:bottom w:val="single" w:color="auto" w:sz="4" w:space="0"/>
              <w:right w:val="single" w:color="auto" w:sz="4" w:space="0"/>
            </w:tcBorders>
            <w:vAlign w:val="center"/>
          </w:tcPr>
          <w:p w14:paraId="386468BF">
            <w:pPr>
              <w:rPr>
                <w:rFonts w:ascii="仿宋_GB2312" w:eastAsia="仿宋_GB2312"/>
                <w:sz w:val="24"/>
                <w:szCs w:val="24"/>
              </w:rPr>
            </w:pPr>
          </w:p>
        </w:tc>
        <w:tc>
          <w:tcPr>
            <w:tcW w:w="741" w:type="pct"/>
            <w:gridSpan w:val="2"/>
            <w:tcBorders>
              <w:top w:val="single" w:color="auto" w:sz="4" w:space="0"/>
              <w:left w:val="single" w:color="auto" w:sz="4" w:space="0"/>
              <w:bottom w:val="single" w:color="auto" w:sz="4" w:space="0"/>
              <w:right w:val="single" w:color="auto" w:sz="4" w:space="0"/>
            </w:tcBorders>
            <w:vAlign w:val="center"/>
          </w:tcPr>
          <w:p w14:paraId="0A6A59E9">
            <w:pPr>
              <w:rPr>
                <w:rFonts w:ascii="仿宋_GB2312" w:eastAsia="仿宋_GB2312"/>
                <w:sz w:val="24"/>
                <w:szCs w:val="24"/>
              </w:rPr>
            </w:pPr>
          </w:p>
        </w:tc>
        <w:tc>
          <w:tcPr>
            <w:tcW w:w="810" w:type="pct"/>
            <w:gridSpan w:val="2"/>
            <w:tcBorders>
              <w:top w:val="single" w:color="auto" w:sz="4" w:space="0"/>
              <w:left w:val="single" w:color="auto" w:sz="4" w:space="0"/>
              <w:bottom w:val="single" w:color="auto" w:sz="4" w:space="0"/>
              <w:right w:val="single" w:color="auto" w:sz="4" w:space="0"/>
            </w:tcBorders>
            <w:vAlign w:val="center"/>
          </w:tcPr>
          <w:p w14:paraId="7A286AE0">
            <w:pPr>
              <w:rPr>
                <w:rFonts w:ascii="仿宋_GB2312" w:eastAsia="仿宋_GB2312"/>
                <w:sz w:val="24"/>
                <w:szCs w:val="24"/>
              </w:rPr>
            </w:pPr>
            <w:r>
              <w:rPr>
                <w:rFonts w:hint="eastAsia" w:ascii="仿宋_GB2312" w:eastAsia="仿宋_GB2312"/>
                <w:sz w:val="24"/>
                <w:szCs w:val="24"/>
              </w:rPr>
              <w:t>（座机）</w:t>
            </w:r>
          </w:p>
          <w:p w14:paraId="4D476C34">
            <w:pPr>
              <w:rPr>
                <w:rFonts w:ascii="仿宋_GB2312" w:eastAsia="仿宋_GB2312"/>
                <w:sz w:val="24"/>
                <w:szCs w:val="24"/>
              </w:rPr>
            </w:pPr>
            <w:r>
              <w:rPr>
                <w:rFonts w:hint="eastAsia" w:ascii="仿宋_GB2312" w:eastAsia="仿宋_GB2312"/>
                <w:sz w:val="24"/>
                <w:szCs w:val="24"/>
              </w:rPr>
              <w:t>（手机）</w:t>
            </w:r>
          </w:p>
          <w:p w14:paraId="17055D85">
            <w:pPr>
              <w:rPr>
                <w:rFonts w:ascii="仿宋_GB2312" w:eastAsia="仿宋_GB2312"/>
                <w:sz w:val="24"/>
                <w:szCs w:val="24"/>
              </w:rPr>
            </w:pPr>
            <w:r>
              <w:rPr>
                <w:rFonts w:hint="eastAsia" w:ascii="仿宋_GB2312" w:eastAsia="仿宋_GB2312"/>
                <w:sz w:val="24"/>
                <w:szCs w:val="24"/>
              </w:rPr>
              <w:t>（邮件）</w:t>
            </w:r>
          </w:p>
        </w:tc>
        <w:tc>
          <w:tcPr>
            <w:tcW w:w="1929" w:type="pct"/>
            <w:gridSpan w:val="4"/>
            <w:tcBorders>
              <w:top w:val="single" w:color="auto" w:sz="4" w:space="0"/>
              <w:left w:val="single" w:color="auto" w:sz="4" w:space="0"/>
              <w:bottom w:val="single" w:color="auto" w:sz="4" w:space="0"/>
              <w:right w:val="single" w:color="auto" w:sz="4" w:space="0"/>
            </w:tcBorders>
            <w:vAlign w:val="center"/>
          </w:tcPr>
          <w:p w14:paraId="39276F93">
            <w:pPr>
              <w:rPr>
                <w:rFonts w:ascii="仿宋_GB2312" w:eastAsia="仿宋_GB2312"/>
                <w:sz w:val="24"/>
                <w:szCs w:val="24"/>
              </w:rPr>
            </w:pPr>
            <w:r>
              <w:rPr>
                <w:rFonts w:hint="eastAsia" w:ascii="仿宋_GB2312" w:eastAsia="仿宋_GB2312"/>
                <w:sz w:val="24"/>
                <w:szCs w:val="24"/>
              </w:rPr>
              <w:t>（年份</w:t>
            </w:r>
            <w:r>
              <w:rPr>
                <w:rFonts w:ascii="仿宋_GB2312" w:eastAsia="仿宋_GB2312"/>
                <w:sz w:val="24"/>
                <w:szCs w:val="24"/>
              </w:rPr>
              <w:t>-单位-职责）</w:t>
            </w:r>
          </w:p>
        </w:tc>
      </w:tr>
      <w:tr w14:paraId="3044E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95" w:type="pct"/>
            <w:gridSpan w:val="2"/>
            <w:tcBorders>
              <w:top w:val="single" w:color="auto" w:sz="4" w:space="0"/>
              <w:left w:val="single" w:color="auto" w:sz="4" w:space="0"/>
              <w:bottom w:val="single" w:color="auto" w:sz="4" w:space="0"/>
              <w:right w:val="single" w:color="auto" w:sz="4" w:space="0"/>
            </w:tcBorders>
            <w:vAlign w:val="center"/>
          </w:tcPr>
          <w:p w14:paraId="7FC6228C">
            <w:pPr>
              <w:rPr>
                <w:rFonts w:ascii="仿宋_GB2312" w:eastAsia="仿宋_GB2312"/>
                <w:sz w:val="24"/>
                <w:szCs w:val="24"/>
              </w:rPr>
            </w:pPr>
          </w:p>
        </w:tc>
        <w:tc>
          <w:tcPr>
            <w:tcW w:w="723" w:type="pct"/>
            <w:gridSpan w:val="3"/>
            <w:tcBorders>
              <w:top w:val="single" w:color="auto" w:sz="4" w:space="0"/>
              <w:left w:val="single" w:color="auto" w:sz="4" w:space="0"/>
              <w:bottom w:val="single" w:color="auto" w:sz="4" w:space="0"/>
              <w:right w:val="single" w:color="auto" w:sz="4" w:space="0"/>
            </w:tcBorders>
            <w:vAlign w:val="center"/>
          </w:tcPr>
          <w:p w14:paraId="3081429E">
            <w:pPr>
              <w:rPr>
                <w:rFonts w:ascii="仿宋_GB2312" w:eastAsia="仿宋_GB2312"/>
                <w:sz w:val="24"/>
                <w:szCs w:val="24"/>
              </w:rPr>
            </w:pPr>
          </w:p>
        </w:tc>
        <w:tc>
          <w:tcPr>
            <w:tcW w:w="741" w:type="pct"/>
            <w:gridSpan w:val="2"/>
            <w:tcBorders>
              <w:top w:val="single" w:color="auto" w:sz="4" w:space="0"/>
              <w:left w:val="single" w:color="auto" w:sz="4" w:space="0"/>
              <w:bottom w:val="single" w:color="auto" w:sz="4" w:space="0"/>
              <w:right w:val="single" w:color="auto" w:sz="4" w:space="0"/>
            </w:tcBorders>
            <w:vAlign w:val="center"/>
          </w:tcPr>
          <w:p w14:paraId="1282225A">
            <w:pPr>
              <w:rPr>
                <w:rFonts w:ascii="仿宋_GB2312" w:eastAsia="仿宋_GB2312"/>
                <w:sz w:val="24"/>
                <w:szCs w:val="24"/>
              </w:rPr>
            </w:pPr>
          </w:p>
        </w:tc>
        <w:tc>
          <w:tcPr>
            <w:tcW w:w="810" w:type="pct"/>
            <w:gridSpan w:val="2"/>
            <w:tcBorders>
              <w:top w:val="single" w:color="auto" w:sz="4" w:space="0"/>
              <w:left w:val="single" w:color="auto" w:sz="4" w:space="0"/>
              <w:bottom w:val="single" w:color="auto" w:sz="4" w:space="0"/>
              <w:right w:val="single" w:color="auto" w:sz="4" w:space="0"/>
            </w:tcBorders>
            <w:vAlign w:val="center"/>
          </w:tcPr>
          <w:p w14:paraId="05E191B9">
            <w:pPr>
              <w:rPr>
                <w:rFonts w:ascii="仿宋_GB2312" w:eastAsia="仿宋_GB2312"/>
                <w:sz w:val="24"/>
                <w:szCs w:val="24"/>
              </w:rPr>
            </w:pPr>
          </w:p>
        </w:tc>
        <w:tc>
          <w:tcPr>
            <w:tcW w:w="1929" w:type="pct"/>
            <w:gridSpan w:val="4"/>
            <w:tcBorders>
              <w:top w:val="single" w:color="auto" w:sz="4" w:space="0"/>
              <w:left w:val="single" w:color="auto" w:sz="4" w:space="0"/>
              <w:bottom w:val="single" w:color="auto" w:sz="4" w:space="0"/>
              <w:right w:val="single" w:color="auto" w:sz="4" w:space="0"/>
            </w:tcBorders>
            <w:vAlign w:val="center"/>
          </w:tcPr>
          <w:p w14:paraId="249763A3">
            <w:pPr>
              <w:rPr>
                <w:rFonts w:ascii="仿宋_GB2312" w:eastAsia="仿宋_GB2312"/>
                <w:sz w:val="24"/>
                <w:szCs w:val="24"/>
              </w:rPr>
            </w:pPr>
          </w:p>
        </w:tc>
      </w:tr>
      <w:tr w14:paraId="1250E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95" w:type="pct"/>
            <w:gridSpan w:val="2"/>
            <w:tcBorders>
              <w:top w:val="single" w:color="auto" w:sz="4" w:space="0"/>
              <w:left w:val="single" w:color="auto" w:sz="4" w:space="0"/>
              <w:bottom w:val="single" w:color="auto" w:sz="4" w:space="0"/>
              <w:right w:val="single" w:color="auto" w:sz="4" w:space="0"/>
            </w:tcBorders>
            <w:vAlign w:val="center"/>
          </w:tcPr>
          <w:p w14:paraId="6AF1B11E">
            <w:pPr>
              <w:rPr>
                <w:rFonts w:ascii="仿宋_GB2312" w:eastAsia="仿宋_GB2312"/>
                <w:sz w:val="24"/>
                <w:szCs w:val="24"/>
              </w:rPr>
            </w:pPr>
          </w:p>
        </w:tc>
        <w:tc>
          <w:tcPr>
            <w:tcW w:w="723" w:type="pct"/>
            <w:gridSpan w:val="3"/>
            <w:tcBorders>
              <w:top w:val="single" w:color="auto" w:sz="4" w:space="0"/>
              <w:left w:val="single" w:color="auto" w:sz="4" w:space="0"/>
              <w:bottom w:val="single" w:color="auto" w:sz="4" w:space="0"/>
              <w:right w:val="single" w:color="auto" w:sz="4" w:space="0"/>
            </w:tcBorders>
            <w:vAlign w:val="center"/>
          </w:tcPr>
          <w:p w14:paraId="08C79879">
            <w:pPr>
              <w:rPr>
                <w:rFonts w:ascii="仿宋_GB2312" w:eastAsia="仿宋_GB2312"/>
                <w:sz w:val="24"/>
                <w:szCs w:val="24"/>
              </w:rPr>
            </w:pPr>
          </w:p>
        </w:tc>
        <w:tc>
          <w:tcPr>
            <w:tcW w:w="741" w:type="pct"/>
            <w:gridSpan w:val="2"/>
            <w:tcBorders>
              <w:top w:val="single" w:color="auto" w:sz="4" w:space="0"/>
              <w:left w:val="single" w:color="auto" w:sz="4" w:space="0"/>
              <w:bottom w:val="single" w:color="auto" w:sz="4" w:space="0"/>
              <w:right w:val="single" w:color="auto" w:sz="4" w:space="0"/>
            </w:tcBorders>
            <w:vAlign w:val="center"/>
          </w:tcPr>
          <w:p w14:paraId="6623E310">
            <w:pPr>
              <w:rPr>
                <w:rFonts w:ascii="仿宋_GB2312" w:eastAsia="仿宋_GB2312"/>
                <w:sz w:val="24"/>
                <w:szCs w:val="24"/>
              </w:rPr>
            </w:pPr>
          </w:p>
        </w:tc>
        <w:tc>
          <w:tcPr>
            <w:tcW w:w="810" w:type="pct"/>
            <w:gridSpan w:val="2"/>
            <w:tcBorders>
              <w:top w:val="single" w:color="auto" w:sz="4" w:space="0"/>
              <w:left w:val="single" w:color="auto" w:sz="4" w:space="0"/>
              <w:bottom w:val="single" w:color="auto" w:sz="4" w:space="0"/>
              <w:right w:val="single" w:color="auto" w:sz="4" w:space="0"/>
            </w:tcBorders>
            <w:vAlign w:val="center"/>
          </w:tcPr>
          <w:p w14:paraId="22154BB1">
            <w:pPr>
              <w:rPr>
                <w:rFonts w:ascii="仿宋_GB2312" w:eastAsia="仿宋_GB2312"/>
                <w:sz w:val="24"/>
                <w:szCs w:val="24"/>
              </w:rPr>
            </w:pPr>
          </w:p>
        </w:tc>
        <w:tc>
          <w:tcPr>
            <w:tcW w:w="1929" w:type="pct"/>
            <w:gridSpan w:val="4"/>
            <w:tcBorders>
              <w:top w:val="single" w:color="auto" w:sz="4" w:space="0"/>
              <w:left w:val="single" w:color="auto" w:sz="4" w:space="0"/>
              <w:bottom w:val="single" w:color="auto" w:sz="4" w:space="0"/>
              <w:right w:val="single" w:color="auto" w:sz="4" w:space="0"/>
            </w:tcBorders>
            <w:vAlign w:val="center"/>
          </w:tcPr>
          <w:p w14:paraId="58B26CC1">
            <w:pPr>
              <w:rPr>
                <w:rFonts w:ascii="仿宋_GB2312" w:eastAsia="仿宋_GB2312"/>
                <w:sz w:val="24"/>
                <w:szCs w:val="24"/>
              </w:rPr>
            </w:pPr>
          </w:p>
        </w:tc>
      </w:tr>
      <w:tr w14:paraId="53FD9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000" w:type="pct"/>
            <w:gridSpan w:val="13"/>
            <w:tcBorders>
              <w:top w:val="single" w:color="auto" w:sz="4" w:space="0"/>
              <w:left w:val="single" w:color="auto" w:sz="4" w:space="0"/>
              <w:bottom w:val="single" w:color="auto" w:sz="4" w:space="0"/>
              <w:right w:val="single" w:color="auto" w:sz="4" w:space="0"/>
            </w:tcBorders>
            <w:vAlign w:val="center"/>
          </w:tcPr>
          <w:p w14:paraId="306FBEBD">
            <w:pPr>
              <w:rPr>
                <w:rFonts w:ascii="仿宋_GB2312" w:eastAsia="仿宋_GB2312"/>
                <w:sz w:val="24"/>
                <w:szCs w:val="24"/>
              </w:rPr>
            </w:pPr>
            <w:r>
              <w:rPr>
                <w:rFonts w:hint="eastAsia" w:ascii="仿宋_GB2312" w:eastAsia="仿宋_GB2312"/>
                <w:sz w:val="24"/>
                <w:szCs w:val="24"/>
              </w:rPr>
              <w:t>（部门名称</w:t>
            </w:r>
            <w:r>
              <w:rPr>
                <w:rFonts w:ascii="仿宋_GB2312" w:eastAsia="仿宋_GB2312"/>
                <w:sz w:val="24"/>
                <w:szCs w:val="24"/>
              </w:rPr>
              <w:t>2）工作职责包括：</w:t>
            </w:r>
          </w:p>
          <w:p w14:paraId="30B98321">
            <w:pPr>
              <w:rPr>
                <w:rFonts w:ascii="仿宋_GB2312" w:eastAsia="仿宋_GB2312"/>
                <w:sz w:val="24"/>
                <w:szCs w:val="24"/>
              </w:rPr>
            </w:pPr>
            <w:r>
              <w:rPr>
                <w:rFonts w:hint="eastAsia" w:ascii="仿宋_GB2312" w:eastAsia="仿宋_GB2312"/>
                <w:sz w:val="24"/>
                <w:szCs w:val="24"/>
              </w:rPr>
              <w:t>（</w:t>
            </w:r>
            <w:r>
              <w:rPr>
                <w:rFonts w:ascii="仿宋_GB2312" w:eastAsia="仿宋_GB2312"/>
                <w:sz w:val="24"/>
                <w:szCs w:val="24"/>
              </w:rPr>
              <w:t>1）</w:t>
            </w:r>
          </w:p>
          <w:p w14:paraId="449DE786">
            <w:pPr>
              <w:rPr>
                <w:rFonts w:ascii="仿宋_GB2312" w:eastAsia="仿宋_GB2312"/>
                <w:sz w:val="24"/>
                <w:szCs w:val="24"/>
              </w:rPr>
            </w:pPr>
            <w:r>
              <w:rPr>
                <w:rFonts w:hint="eastAsia" w:ascii="仿宋_GB2312" w:eastAsia="仿宋_GB2312"/>
                <w:sz w:val="24"/>
                <w:szCs w:val="24"/>
              </w:rPr>
              <w:t>（</w:t>
            </w:r>
            <w:r>
              <w:rPr>
                <w:rFonts w:ascii="仿宋_GB2312" w:eastAsia="仿宋_GB2312"/>
                <w:sz w:val="24"/>
                <w:szCs w:val="24"/>
              </w:rPr>
              <w:t>2）</w:t>
            </w:r>
          </w:p>
        </w:tc>
      </w:tr>
      <w:tr w14:paraId="2AFBB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95" w:type="pct"/>
            <w:gridSpan w:val="2"/>
            <w:tcBorders>
              <w:top w:val="single" w:color="auto" w:sz="4" w:space="0"/>
              <w:left w:val="single" w:color="auto" w:sz="4" w:space="0"/>
              <w:bottom w:val="single" w:color="auto" w:sz="4" w:space="0"/>
              <w:right w:val="single" w:color="auto" w:sz="4" w:space="0"/>
            </w:tcBorders>
            <w:vAlign w:val="center"/>
          </w:tcPr>
          <w:p w14:paraId="4BFE6433">
            <w:pPr>
              <w:rPr>
                <w:rFonts w:ascii="仿宋_GB2312" w:eastAsia="仿宋_GB2312"/>
                <w:sz w:val="24"/>
                <w:szCs w:val="24"/>
              </w:rPr>
            </w:pPr>
            <w:r>
              <w:rPr>
                <w:rFonts w:hint="eastAsia" w:ascii="仿宋_GB2312" w:eastAsia="仿宋_GB2312"/>
                <w:sz w:val="24"/>
                <w:szCs w:val="24"/>
              </w:rPr>
              <w:t>岗位</w:t>
            </w:r>
          </w:p>
        </w:tc>
        <w:tc>
          <w:tcPr>
            <w:tcW w:w="723" w:type="pct"/>
            <w:gridSpan w:val="3"/>
            <w:tcBorders>
              <w:top w:val="single" w:color="auto" w:sz="4" w:space="0"/>
              <w:left w:val="single" w:color="auto" w:sz="4" w:space="0"/>
              <w:bottom w:val="single" w:color="auto" w:sz="4" w:space="0"/>
              <w:right w:val="single" w:color="auto" w:sz="4" w:space="0"/>
            </w:tcBorders>
            <w:vAlign w:val="center"/>
          </w:tcPr>
          <w:p w14:paraId="41BD91F8">
            <w:pPr>
              <w:rPr>
                <w:rFonts w:ascii="仿宋_GB2312" w:eastAsia="仿宋_GB2312"/>
                <w:sz w:val="24"/>
                <w:szCs w:val="24"/>
              </w:rPr>
            </w:pPr>
            <w:r>
              <w:rPr>
                <w:rFonts w:hint="eastAsia" w:ascii="仿宋_GB2312" w:eastAsia="仿宋_GB2312"/>
                <w:sz w:val="24"/>
                <w:szCs w:val="24"/>
              </w:rPr>
              <w:t>人员姓名</w:t>
            </w:r>
          </w:p>
        </w:tc>
        <w:tc>
          <w:tcPr>
            <w:tcW w:w="741" w:type="pct"/>
            <w:gridSpan w:val="2"/>
            <w:tcBorders>
              <w:top w:val="single" w:color="auto" w:sz="4" w:space="0"/>
              <w:left w:val="single" w:color="auto" w:sz="4" w:space="0"/>
              <w:bottom w:val="single" w:color="auto" w:sz="4" w:space="0"/>
              <w:right w:val="single" w:color="auto" w:sz="4" w:space="0"/>
            </w:tcBorders>
            <w:vAlign w:val="center"/>
          </w:tcPr>
          <w:p w14:paraId="097FFC55">
            <w:pPr>
              <w:rPr>
                <w:rFonts w:ascii="仿宋_GB2312" w:eastAsia="仿宋_GB2312"/>
                <w:sz w:val="24"/>
                <w:szCs w:val="24"/>
              </w:rPr>
            </w:pPr>
            <w:r>
              <w:rPr>
                <w:rFonts w:hint="eastAsia" w:ascii="仿宋_GB2312" w:eastAsia="仿宋_GB2312"/>
                <w:sz w:val="24"/>
                <w:szCs w:val="24"/>
              </w:rPr>
              <w:t>职责描述</w:t>
            </w:r>
          </w:p>
        </w:tc>
        <w:tc>
          <w:tcPr>
            <w:tcW w:w="810" w:type="pct"/>
            <w:gridSpan w:val="2"/>
            <w:tcBorders>
              <w:top w:val="single" w:color="auto" w:sz="4" w:space="0"/>
              <w:left w:val="single" w:color="auto" w:sz="4" w:space="0"/>
              <w:bottom w:val="single" w:color="auto" w:sz="4" w:space="0"/>
              <w:right w:val="single" w:color="auto" w:sz="4" w:space="0"/>
            </w:tcBorders>
            <w:vAlign w:val="center"/>
          </w:tcPr>
          <w:p w14:paraId="2E20B64C">
            <w:pPr>
              <w:rPr>
                <w:rFonts w:ascii="仿宋_GB2312" w:eastAsia="仿宋_GB2312"/>
                <w:sz w:val="24"/>
                <w:szCs w:val="24"/>
              </w:rPr>
            </w:pPr>
            <w:r>
              <w:rPr>
                <w:rFonts w:hint="eastAsia" w:ascii="仿宋_GB2312" w:eastAsia="仿宋_GB2312"/>
                <w:sz w:val="24"/>
                <w:szCs w:val="24"/>
              </w:rPr>
              <w:t>联系方式</w:t>
            </w:r>
          </w:p>
        </w:tc>
        <w:tc>
          <w:tcPr>
            <w:tcW w:w="1929" w:type="pct"/>
            <w:gridSpan w:val="4"/>
            <w:tcBorders>
              <w:top w:val="single" w:color="auto" w:sz="4" w:space="0"/>
              <w:left w:val="single" w:color="auto" w:sz="4" w:space="0"/>
              <w:bottom w:val="single" w:color="auto" w:sz="4" w:space="0"/>
              <w:right w:val="single" w:color="auto" w:sz="4" w:space="0"/>
            </w:tcBorders>
            <w:vAlign w:val="center"/>
          </w:tcPr>
          <w:p w14:paraId="601B5F3F">
            <w:pPr>
              <w:rPr>
                <w:rFonts w:ascii="仿宋_GB2312" w:eastAsia="仿宋_GB2312"/>
                <w:sz w:val="24"/>
                <w:szCs w:val="24"/>
              </w:rPr>
            </w:pPr>
            <w:r>
              <w:rPr>
                <w:rFonts w:hint="eastAsia" w:ascii="仿宋_GB2312" w:eastAsia="仿宋_GB2312"/>
                <w:sz w:val="24"/>
                <w:szCs w:val="24"/>
              </w:rPr>
              <w:t>工作履历</w:t>
            </w:r>
          </w:p>
        </w:tc>
      </w:tr>
      <w:tr w14:paraId="7D1D8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95" w:type="pct"/>
            <w:gridSpan w:val="2"/>
            <w:tcBorders>
              <w:top w:val="single" w:color="auto" w:sz="4" w:space="0"/>
              <w:left w:val="single" w:color="auto" w:sz="4" w:space="0"/>
              <w:bottom w:val="single" w:color="auto" w:sz="4" w:space="0"/>
              <w:right w:val="single" w:color="auto" w:sz="4" w:space="0"/>
            </w:tcBorders>
            <w:vAlign w:val="center"/>
          </w:tcPr>
          <w:p w14:paraId="151D3EF7">
            <w:pPr>
              <w:rPr>
                <w:rFonts w:ascii="仿宋_GB2312" w:eastAsia="仿宋_GB2312"/>
                <w:sz w:val="24"/>
                <w:szCs w:val="24"/>
              </w:rPr>
            </w:pPr>
          </w:p>
        </w:tc>
        <w:tc>
          <w:tcPr>
            <w:tcW w:w="723" w:type="pct"/>
            <w:gridSpan w:val="3"/>
            <w:tcBorders>
              <w:top w:val="single" w:color="auto" w:sz="4" w:space="0"/>
              <w:left w:val="single" w:color="auto" w:sz="4" w:space="0"/>
              <w:bottom w:val="single" w:color="auto" w:sz="4" w:space="0"/>
              <w:right w:val="single" w:color="auto" w:sz="4" w:space="0"/>
            </w:tcBorders>
            <w:vAlign w:val="center"/>
          </w:tcPr>
          <w:p w14:paraId="1BA3EF75">
            <w:pPr>
              <w:rPr>
                <w:rFonts w:ascii="仿宋_GB2312" w:eastAsia="仿宋_GB2312"/>
                <w:sz w:val="24"/>
                <w:szCs w:val="24"/>
              </w:rPr>
            </w:pPr>
          </w:p>
        </w:tc>
        <w:tc>
          <w:tcPr>
            <w:tcW w:w="741" w:type="pct"/>
            <w:gridSpan w:val="2"/>
            <w:tcBorders>
              <w:top w:val="single" w:color="auto" w:sz="4" w:space="0"/>
              <w:left w:val="single" w:color="auto" w:sz="4" w:space="0"/>
              <w:bottom w:val="single" w:color="auto" w:sz="4" w:space="0"/>
              <w:right w:val="single" w:color="auto" w:sz="4" w:space="0"/>
            </w:tcBorders>
            <w:vAlign w:val="center"/>
          </w:tcPr>
          <w:p w14:paraId="3D1CFB3A">
            <w:pPr>
              <w:rPr>
                <w:rFonts w:ascii="仿宋_GB2312" w:eastAsia="仿宋_GB2312"/>
                <w:sz w:val="24"/>
                <w:szCs w:val="24"/>
              </w:rPr>
            </w:pPr>
          </w:p>
        </w:tc>
        <w:tc>
          <w:tcPr>
            <w:tcW w:w="810" w:type="pct"/>
            <w:gridSpan w:val="2"/>
            <w:tcBorders>
              <w:top w:val="single" w:color="auto" w:sz="4" w:space="0"/>
              <w:left w:val="single" w:color="auto" w:sz="4" w:space="0"/>
              <w:bottom w:val="single" w:color="auto" w:sz="4" w:space="0"/>
              <w:right w:val="single" w:color="auto" w:sz="4" w:space="0"/>
            </w:tcBorders>
            <w:vAlign w:val="center"/>
          </w:tcPr>
          <w:p w14:paraId="18BFF43B">
            <w:pPr>
              <w:rPr>
                <w:rFonts w:ascii="仿宋_GB2312" w:eastAsia="仿宋_GB2312"/>
                <w:sz w:val="24"/>
                <w:szCs w:val="24"/>
              </w:rPr>
            </w:pPr>
          </w:p>
        </w:tc>
        <w:tc>
          <w:tcPr>
            <w:tcW w:w="1929" w:type="pct"/>
            <w:gridSpan w:val="4"/>
            <w:tcBorders>
              <w:top w:val="single" w:color="auto" w:sz="4" w:space="0"/>
              <w:left w:val="single" w:color="auto" w:sz="4" w:space="0"/>
              <w:bottom w:val="single" w:color="auto" w:sz="4" w:space="0"/>
              <w:right w:val="single" w:color="auto" w:sz="4" w:space="0"/>
            </w:tcBorders>
            <w:vAlign w:val="center"/>
          </w:tcPr>
          <w:p w14:paraId="6B09FFC9">
            <w:pPr>
              <w:rPr>
                <w:rFonts w:ascii="仿宋_GB2312" w:eastAsia="仿宋_GB2312"/>
                <w:sz w:val="24"/>
                <w:szCs w:val="24"/>
              </w:rPr>
            </w:pPr>
          </w:p>
        </w:tc>
      </w:tr>
      <w:tr w14:paraId="5E8E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95" w:type="pct"/>
            <w:gridSpan w:val="2"/>
            <w:tcBorders>
              <w:top w:val="single" w:color="auto" w:sz="4" w:space="0"/>
              <w:left w:val="single" w:color="auto" w:sz="4" w:space="0"/>
              <w:bottom w:val="single" w:color="auto" w:sz="4" w:space="0"/>
              <w:right w:val="single" w:color="auto" w:sz="4" w:space="0"/>
            </w:tcBorders>
            <w:vAlign w:val="center"/>
          </w:tcPr>
          <w:p w14:paraId="67F80C6D">
            <w:pPr>
              <w:rPr>
                <w:rFonts w:ascii="仿宋_GB2312" w:eastAsia="仿宋_GB2312"/>
                <w:sz w:val="24"/>
                <w:szCs w:val="24"/>
              </w:rPr>
            </w:pPr>
          </w:p>
        </w:tc>
        <w:tc>
          <w:tcPr>
            <w:tcW w:w="723" w:type="pct"/>
            <w:gridSpan w:val="3"/>
            <w:tcBorders>
              <w:top w:val="single" w:color="auto" w:sz="4" w:space="0"/>
              <w:left w:val="single" w:color="auto" w:sz="4" w:space="0"/>
              <w:bottom w:val="single" w:color="auto" w:sz="4" w:space="0"/>
              <w:right w:val="single" w:color="auto" w:sz="4" w:space="0"/>
            </w:tcBorders>
            <w:vAlign w:val="center"/>
          </w:tcPr>
          <w:p w14:paraId="6A17CA22">
            <w:pPr>
              <w:rPr>
                <w:rFonts w:ascii="仿宋_GB2312" w:eastAsia="仿宋_GB2312"/>
                <w:sz w:val="24"/>
                <w:szCs w:val="24"/>
              </w:rPr>
            </w:pPr>
          </w:p>
        </w:tc>
        <w:tc>
          <w:tcPr>
            <w:tcW w:w="741" w:type="pct"/>
            <w:gridSpan w:val="2"/>
            <w:tcBorders>
              <w:top w:val="single" w:color="auto" w:sz="4" w:space="0"/>
              <w:left w:val="single" w:color="auto" w:sz="4" w:space="0"/>
              <w:bottom w:val="single" w:color="auto" w:sz="4" w:space="0"/>
              <w:right w:val="single" w:color="auto" w:sz="4" w:space="0"/>
            </w:tcBorders>
            <w:vAlign w:val="center"/>
          </w:tcPr>
          <w:p w14:paraId="0307822F">
            <w:pPr>
              <w:rPr>
                <w:rFonts w:ascii="仿宋_GB2312" w:eastAsia="仿宋_GB2312"/>
                <w:sz w:val="24"/>
                <w:szCs w:val="24"/>
              </w:rPr>
            </w:pPr>
          </w:p>
        </w:tc>
        <w:tc>
          <w:tcPr>
            <w:tcW w:w="810" w:type="pct"/>
            <w:gridSpan w:val="2"/>
            <w:tcBorders>
              <w:top w:val="single" w:color="auto" w:sz="4" w:space="0"/>
              <w:left w:val="single" w:color="auto" w:sz="4" w:space="0"/>
              <w:bottom w:val="single" w:color="auto" w:sz="4" w:space="0"/>
              <w:right w:val="single" w:color="auto" w:sz="4" w:space="0"/>
            </w:tcBorders>
            <w:vAlign w:val="center"/>
          </w:tcPr>
          <w:p w14:paraId="3042C5B9">
            <w:pPr>
              <w:rPr>
                <w:rFonts w:ascii="仿宋_GB2312" w:eastAsia="仿宋_GB2312"/>
                <w:sz w:val="24"/>
                <w:szCs w:val="24"/>
              </w:rPr>
            </w:pPr>
          </w:p>
        </w:tc>
        <w:tc>
          <w:tcPr>
            <w:tcW w:w="1929" w:type="pct"/>
            <w:gridSpan w:val="4"/>
            <w:tcBorders>
              <w:top w:val="single" w:color="auto" w:sz="4" w:space="0"/>
              <w:left w:val="single" w:color="auto" w:sz="4" w:space="0"/>
              <w:bottom w:val="single" w:color="auto" w:sz="4" w:space="0"/>
              <w:right w:val="single" w:color="auto" w:sz="4" w:space="0"/>
            </w:tcBorders>
            <w:vAlign w:val="center"/>
          </w:tcPr>
          <w:p w14:paraId="27A8143A">
            <w:pPr>
              <w:rPr>
                <w:rFonts w:ascii="仿宋_GB2312" w:eastAsia="仿宋_GB2312"/>
                <w:sz w:val="24"/>
                <w:szCs w:val="24"/>
              </w:rPr>
            </w:pPr>
          </w:p>
        </w:tc>
      </w:tr>
      <w:tr w14:paraId="08DF5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000" w:type="pct"/>
            <w:gridSpan w:val="13"/>
            <w:tcBorders>
              <w:top w:val="single" w:color="auto" w:sz="4" w:space="0"/>
              <w:left w:val="single" w:color="auto" w:sz="4" w:space="0"/>
              <w:bottom w:val="single" w:color="auto" w:sz="4" w:space="0"/>
              <w:right w:val="single" w:color="auto" w:sz="4" w:space="0"/>
            </w:tcBorders>
            <w:vAlign w:val="center"/>
          </w:tcPr>
          <w:p w14:paraId="11D0A728">
            <w:pPr>
              <w:rPr>
                <w:rFonts w:ascii="仿宋_GB2312" w:eastAsia="仿宋_GB2312"/>
                <w:sz w:val="24"/>
                <w:szCs w:val="24"/>
              </w:rPr>
            </w:pPr>
            <w:r>
              <w:rPr>
                <w:rFonts w:hint="eastAsia" w:ascii="仿宋_GB2312" w:eastAsia="仿宋_GB2312"/>
                <w:sz w:val="24"/>
                <w:szCs w:val="24"/>
              </w:rPr>
              <w:t>（部门名称</w:t>
            </w:r>
            <w:r>
              <w:rPr>
                <w:rFonts w:ascii="仿宋_GB2312" w:eastAsia="仿宋_GB2312"/>
                <w:sz w:val="24"/>
                <w:szCs w:val="24"/>
              </w:rPr>
              <w:t>3）工作职责包括：</w:t>
            </w:r>
          </w:p>
          <w:p w14:paraId="383493EA">
            <w:pPr>
              <w:rPr>
                <w:rFonts w:ascii="仿宋_GB2312" w:eastAsia="仿宋_GB2312"/>
                <w:sz w:val="24"/>
                <w:szCs w:val="24"/>
              </w:rPr>
            </w:pPr>
            <w:r>
              <w:rPr>
                <w:rFonts w:hint="eastAsia" w:ascii="仿宋_GB2312" w:eastAsia="仿宋_GB2312"/>
                <w:sz w:val="24"/>
                <w:szCs w:val="24"/>
              </w:rPr>
              <w:t>（</w:t>
            </w:r>
            <w:r>
              <w:rPr>
                <w:rFonts w:ascii="仿宋_GB2312" w:eastAsia="仿宋_GB2312"/>
                <w:sz w:val="24"/>
                <w:szCs w:val="24"/>
              </w:rPr>
              <w:t>1）</w:t>
            </w:r>
          </w:p>
          <w:p w14:paraId="76F09615">
            <w:pPr>
              <w:rPr>
                <w:rFonts w:ascii="仿宋_GB2312" w:eastAsia="仿宋_GB2312"/>
                <w:sz w:val="24"/>
                <w:szCs w:val="24"/>
              </w:rPr>
            </w:pPr>
            <w:r>
              <w:rPr>
                <w:rFonts w:hint="eastAsia" w:ascii="仿宋_GB2312" w:eastAsia="仿宋_GB2312"/>
                <w:sz w:val="24"/>
                <w:szCs w:val="24"/>
              </w:rPr>
              <w:t>（</w:t>
            </w:r>
            <w:r>
              <w:rPr>
                <w:rFonts w:ascii="仿宋_GB2312" w:eastAsia="仿宋_GB2312"/>
                <w:sz w:val="24"/>
                <w:szCs w:val="24"/>
              </w:rPr>
              <w:t>2）</w:t>
            </w:r>
          </w:p>
        </w:tc>
      </w:tr>
      <w:tr w14:paraId="66005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95" w:type="pct"/>
            <w:gridSpan w:val="2"/>
            <w:tcBorders>
              <w:top w:val="single" w:color="auto" w:sz="4" w:space="0"/>
              <w:left w:val="single" w:color="auto" w:sz="4" w:space="0"/>
              <w:bottom w:val="single" w:color="auto" w:sz="4" w:space="0"/>
              <w:right w:val="single" w:color="auto" w:sz="4" w:space="0"/>
            </w:tcBorders>
            <w:vAlign w:val="center"/>
          </w:tcPr>
          <w:p w14:paraId="63E649EF">
            <w:pPr>
              <w:rPr>
                <w:rFonts w:ascii="仿宋_GB2312" w:eastAsia="仿宋_GB2312"/>
                <w:sz w:val="24"/>
                <w:szCs w:val="24"/>
              </w:rPr>
            </w:pPr>
            <w:r>
              <w:rPr>
                <w:rFonts w:hint="eastAsia" w:ascii="仿宋_GB2312" w:eastAsia="仿宋_GB2312"/>
                <w:sz w:val="24"/>
                <w:szCs w:val="24"/>
              </w:rPr>
              <w:t>岗位</w:t>
            </w:r>
          </w:p>
        </w:tc>
        <w:tc>
          <w:tcPr>
            <w:tcW w:w="723" w:type="pct"/>
            <w:gridSpan w:val="3"/>
            <w:tcBorders>
              <w:top w:val="single" w:color="auto" w:sz="4" w:space="0"/>
              <w:left w:val="single" w:color="auto" w:sz="4" w:space="0"/>
              <w:bottom w:val="single" w:color="auto" w:sz="4" w:space="0"/>
              <w:right w:val="single" w:color="auto" w:sz="4" w:space="0"/>
            </w:tcBorders>
            <w:vAlign w:val="center"/>
          </w:tcPr>
          <w:p w14:paraId="020FF3EC">
            <w:pPr>
              <w:rPr>
                <w:rFonts w:ascii="仿宋_GB2312" w:eastAsia="仿宋_GB2312"/>
                <w:sz w:val="24"/>
                <w:szCs w:val="24"/>
              </w:rPr>
            </w:pPr>
            <w:r>
              <w:rPr>
                <w:rFonts w:hint="eastAsia" w:ascii="仿宋_GB2312" w:eastAsia="仿宋_GB2312"/>
                <w:sz w:val="24"/>
                <w:szCs w:val="24"/>
              </w:rPr>
              <w:t>人员姓名</w:t>
            </w:r>
          </w:p>
        </w:tc>
        <w:tc>
          <w:tcPr>
            <w:tcW w:w="741" w:type="pct"/>
            <w:gridSpan w:val="2"/>
            <w:tcBorders>
              <w:top w:val="single" w:color="auto" w:sz="4" w:space="0"/>
              <w:left w:val="single" w:color="auto" w:sz="4" w:space="0"/>
              <w:bottom w:val="single" w:color="auto" w:sz="4" w:space="0"/>
              <w:right w:val="single" w:color="auto" w:sz="4" w:space="0"/>
            </w:tcBorders>
            <w:vAlign w:val="center"/>
          </w:tcPr>
          <w:p w14:paraId="73453DE4">
            <w:pPr>
              <w:rPr>
                <w:rFonts w:ascii="仿宋_GB2312" w:eastAsia="仿宋_GB2312"/>
                <w:sz w:val="24"/>
                <w:szCs w:val="24"/>
              </w:rPr>
            </w:pPr>
            <w:r>
              <w:rPr>
                <w:rFonts w:hint="eastAsia" w:ascii="仿宋_GB2312" w:eastAsia="仿宋_GB2312"/>
                <w:sz w:val="24"/>
                <w:szCs w:val="24"/>
              </w:rPr>
              <w:t>职责描述</w:t>
            </w:r>
          </w:p>
        </w:tc>
        <w:tc>
          <w:tcPr>
            <w:tcW w:w="810" w:type="pct"/>
            <w:gridSpan w:val="2"/>
            <w:tcBorders>
              <w:top w:val="single" w:color="auto" w:sz="4" w:space="0"/>
              <w:left w:val="single" w:color="auto" w:sz="4" w:space="0"/>
              <w:bottom w:val="single" w:color="auto" w:sz="4" w:space="0"/>
              <w:right w:val="single" w:color="auto" w:sz="4" w:space="0"/>
            </w:tcBorders>
            <w:vAlign w:val="center"/>
          </w:tcPr>
          <w:p w14:paraId="224E1315">
            <w:pPr>
              <w:rPr>
                <w:rFonts w:ascii="仿宋_GB2312" w:eastAsia="仿宋_GB2312"/>
                <w:sz w:val="24"/>
                <w:szCs w:val="24"/>
              </w:rPr>
            </w:pPr>
            <w:r>
              <w:rPr>
                <w:rFonts w:hint="eastAsia" w:ascii="仿宋_GB2312" w:eastAsia="仿宋_GB2312"/>
                <w:sz w:val="24"/>
                <w:szCs w:val="24"/>
              </w:rPr>
              <w:t>联系方式</w:t>
            </w:r>
          </w:p>
        </w:tc>
        <w:tc>
          <w:tcPr>
            <w:tcW w:w="1929" w:type="pct"/>
            <w:gridSpan w:val="4"/>
            <w:tcBorders>
              <w:top w:val="single" w:color="auto" w:sz="4" w:space="0"/>
              <w:left w:val="single" w:color="auto" w:sz="4" w:space="0"/>
              <w:bottom w:val="single" w:color="auto" w:sz="4" w:space="0"/>
              <w:right w:val="single" w:color="auto" w:sz="4" w:space="0"/>
            </w:tcBorders>
            <w:vAlign w:val="center"/>
          </w:tcPr>
          <w:p w14:paraId="00666D8E">
            <w:pPr>
              <w:rPr>
                <w:rFonts w:ascii="仿宋_GB2312" w:eastAsia="仿宋_GB2312"/>
                <w:sz w:val="24"/>
                <w:szCs w:val="24"/>
              </w:rPr>
            </w:pPr>
            <w:r>
              <w:rPr>
                <w:rFonts w:hint="eastAsia" w:ascii="仿宋_GB2312" w:eastAsia="仿宋_GB2312"/>
                <w:sz w:val="24"/>
                <w:szCs w:val="24"/>
              </w:rPr>
              <w:t>工作履历</w:t>
            </w:r>
          </w:p>
        </w:tc>
      </w:tr>
      <w:tr w14:paraId="6D8B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95" w:type="pct"/>
            <w:gridSpan w:val="2"/>
            <w:tcBorders>
              <w:top w:val="single" w:color="auto" w:sz="4" w:space="0"/>
              <w:left w:val="single" w:color="auto" w:sz="4" w:space="0"/>
              <w:bottom w:val="single" w:color="auto" w:sz="4" w:space="0"/>
              <w:right w:val="single" w:color="auto" w:sz="4" w:space="0"/>
            </w:tcBorders>
            <w:vAlign w:val="center"/>
          </w:tcPr>
          <w:p w14:paraId="6A2F19B1">
            <w:pPr>
              <w:rPr>
                <w:rFonts w:ascii="仿宋_GB2312" w:eastAsia="仿宋_GB2312"/>
                <w:sz w:val="24"/>
                <w:szCs w:val="24"/>
              </w:rPr>
            </w:pPr>
          </w:p>
        </w:tc>
        <w:tc>
          <w:tcPr>
            <w:tcW w:w="723" w:type="pct"/>
            <w:gridSpan w:val="3"/>
            <w:tcBorders>
              <w:top w:val="single" w:color="auto" w:sz="4" w:space="0"/>
              <w:left w:val="single" w:color="auto" w:sz="4" w:space="0"/>
              <w:bottom w:val="single" w:color="auto" w:sz="4" w:space="0"/>
              <w:right w:val="single" w:color="auto" w:sz="4" w:space="0"/>
            </w:tcBorders>
            <w:vAlign w:val="center"/>
          </w:tcPr>
          <w:p w14:paraId="46E66ECC">
            <w:pPr>
              <w:rPr>
                <w:rFonts w:ascii="仿宋_GB2312" w:eastAsia="仿宋_GB2312"/>
                <w:sz w:val="24"/>
                <w:szCs w:val="24"/>
              </w:rPr>
            </w:pPr>
          </w:p>
        </w:tc>
        <w:tc>
          <w:tcPr>
            <w:tcW w:w="741" w:type="pct"/>
            <w:gridSpan w:val="2"/>
            <w:tcBorders>
              <w:top w:val="single" w:color="auto" w:sz="4" w:space="0"/>
              <w:left w:val="single" w:color="auto" w:sz="4" w:space="0"/>
              <w:bottom w:val="single" w:color="auto" w:sz="4" w:space="0"/>
              <w:right w:val="single" w:color="auto" w:sz="4" w:space="0"/>
            </w:tcBorders>
            <w:vAlign w:val="center"/>
          </w:tcPr>
          <w:p w14:paraId="5A60C496">
            <w:pPr>
              <w:rPr>
                <w:rFonts w:ascii="仿宋_GB2312" w:eastAsia="仿宋_GB2312"/>
                <w:sz w:val="24"/>
                <w:szCs w:val="24"/>
              </w:rPr>
            </w:pPr>
          </w:p>
        </w:tc>
        <w:tc>
          <w:tcPr>
            <w:tcW w:w="810" w:type="pct"/>
            <w:gridSpan w:val="2"/>
            <w:tcBorders>
              <w:top w:val="single" w:color="auto" w:sz="4" w:space="0"/>
              <w:left w:val="single" w:color="auto" w:sz="4" w:space="0"/>
              <w:bottom w:val="single" w:color="auto" w:sz="4" w:space="0"/>
              <w:right w:val="single" w:color="auto" w:sz="4" w:space="0"/>
            </w:tcBorders>
            <w:vAlign w:val="center"/>
          </w:tcPr>
          <w:p w14:paraId="11C323B5">
            <w:pPr>
              <w:rPr>
                <w:rFonts w:ascii="仿宋_GB2312" w:eastAsia="仿宋_GB2312"/>
                <w:sz w:val="24"/>
                <w:szCs w:val="24"/>
              </w:rPr>
            </w:pPr>
          </w:p>
        </w:tc>
        <w:tc>
          <w:tcPr>
            <w:tcW w:w="1929" w:type="pct"/>
            <w:gridSpan w:val="4"/>
            <w:tcBorders>
              <w:top w:val="single" w:color="auto" w:sz="4" w:space="0"/>
              <w:left w:val="single" w:color="auto" w:sz="4" w:space="0"/>
              <w:bottom w:val="single" w:color="auto" w:sz="4" w:space="0"/>
              <w:right w:val="single" w:color="auto" w:sz="4" w:space="0"/>
            </w:tcBorders>
            <w:vAlign w:val="center"/>
          </w:tcPr>
          <w:p w14:paraId="7C66635E">
            <w:pPr>
              <w:rPr>
                <w:rFonts w:ascii="仿宋_GB2312" w:eastAsia="仿宋_GB2312"/>
                <w:sz w:val="24"/>
                <w:szCs w:val="24"/>
              </w:rPr>
            </w:pPr>
          </w:p>
        </w:tc>
      </w:tr>
      <w:tr w14:paraId="70364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95" w:type="pct"/>
            <w:gridSpan w:val="2"/>
            <w:tcBorders>
              <w:top w:val="single" w:color="auto" w:sz="4" w:space="0"/>
              <w:left w:val="single" w:color="auto" w:sz="4" w:space="0"/>
              <w:bottom w:val="single" w:color="auto" w:sz="4" w:space="0"/>
              <w:right w:val="single" w:color="auto" w:sz="4" w:space="0"/>
            </w:tcBorders>
            <w:vAlign w:val="center"/>
          </w:tcPr>
          <w:p w14:paraId="6FC00469">
            <w:pPr>
              <w:widowControl/>
              <w:ind w:firstLine="480"/>
              <w:rPr>
                <w:rFonts w:ascii="仿宋_GB2312" w:hAnsi="仿宋" w:eastAsia="仿宋_GB2312"/>
                <w:sz w:val="24"/>
                <w:szCs w:val="24"/>
              </w:rPr>
            </w:pPr>
          </w:p>
        </w:tc>
        <w:tc>
          <w:tcPr>
            <w:tcW w:w="723" w:type="pct"/>
            <w:gridSpan w:val="3"/>
            <w:tcBorders>
              <w:top w:val="single" w:color="auto" w:sz="4" w:space="0"/>
              <w:left w:val="single" w:color="auto" w:sz="4" w:space="0"/>
              <w:bottom w:val="single" w:color="auto" w:sz="4" w:space="0"/>
              <w:right w:val="single" w:color="auto" w:sz="4" w:space="0"/>
            </w:tcBorders>
            <w:vAlign w:val="center"/>
          </w:tcPr>
          <w:p w14:paraId="4F49348B">
            <w:pPr>
              <w:ind w:firstLine="480"/>
              <w:rPr>
                <w:rFonts w:ascii="仿宋_GB2312" w:hAnsi="仿宋" w:eastAsia="仿宋_GB2312"/>
                <w:sz w:val="24"/>
                <w:szCs w:val="24"/>
              </w:rPr>
            </w:pPr>
          </w:p>
        </w:tc>
        <w:tc>
          <w:tcPr>
            <w:tcW w:w="741" w:type="pct"/>
            <w:gridSpan w:val="2"/>
            <w:tcBorders>
              <w:top w:val="single" w:color="auto" w:sz="4" w:space="0"/>
              <w:left w:val="single" w:color="auto" w:sz="4" w:space="0"/>
              <w:bottom w:val="single" w:color="auto" w:sz="4" w:space="0"/>
              <w:right w:val="single" w:color="auto" w:sz="4" w:space="0"/>
            </w:tcBorders>
            <w:vAlign w:val="center"/>
          </w:tcPr>
          <w:p w14:paraId="2B0DF519">
            <w:pPr>
              <w:ind w:firstLine="480"/>
              <w:rPr>
                <w:rFonts w:ascii="仿宋_GB2312" w:hAnsi="仿宋" w:eastAsia="仿宋_GB2312"/>
                <w:sz w:val="24"/>
                <w:szCs w:val="24"/>
              </w:rPr>
            </w:pPr>
          </w:p>
        </w:tc>
        <w:tc>
          <w:tcPr>
            <w:tcW w:w="810" w:type="pct"/>
            <w:gridSpan w:val="2"/>
            <w:tcBorders>
              <w:top w:val="single" w:color="auto" w:sz="4" w:space="0"/>
              <w:left w:val="single" w:color="auto" w:sz="4" w:space="0"/>
              <w:bottom w:val="single" w:color="auto" w:sz="4" w:space="0"/>
              <w:right w:val="single" w:color="auto" w:sz="4" w:space="0"/>
            </w:tcBorders>
            <w:vAlign w:val="center"/>
          </w:tcPr>
          <w:p w14:paraId="644817A0">
            <w:pPr>
              <w:ind w:firstLine="480"/>
              <w:rPr>
                <w:rFonts w:ascii="仿宋_GB2312" w:hAnsi="仿宋" w:eastAsia="仿宋_GB2312"/>
                <w:sz w:val="24"/>
                <w:szCs w:val="24"/>
              </w:rPr>
            </w:pPr>
          </w:p>
        </w:tc>
        <w:tc>
          <w:tcPr>
            <w:tcW w:w="1929" w:type="pct"/>
            <w:gridSpan w:val="4"/>
            <w:tcBorders>
              <w:top w:val="single" w:color="auto" w:sz="4" w:space="0"/>
              <w:left w:val="single" w:color="auto" w:sz="4" w:space="0"/>
              <w:bottom w:val="single" w:color="auto" w:sz="4" w:space="0"/>
              <w:right w:val="single" w:color="auto" w:sz="4" w:space="0"/>
            </w:tcBorders>
            <w:vAlign w:val="center"/>
          </w:tcPr>
          <w:p w14:paraId="63FFB3DE">
            <w:pPr>
              <w:ind w:firstLine="480"/>
              <w:rPr>
                <w:rFonts w:ascii="仿宋_GB2312" w:hAnsi="仿宋" w:eastAsia="仿宋_GB2312"/>
                <w:sz w:val="24"/>
                <w:szCs w:val="24"/>
              </w:rPr>
            </w:pPr>
          </w:p>
        </w:tc>
      </w:tr>
    </w:tbl>
    <w:p w14:paraId="527FEC99">
      <w:pPr>
        <w:spacing w:line="600" w:lineRule="exact"/>
        <w:ind w:firstLine="600" w:firstLineChars="200"/>
        <w:rPr>
          <w:rFonts w:ascii="仿宋_GB2312" w:eastAsia="仿宋_GB2312"/>
          <w:kern w:val="28"/>
          <w:sz w:val="30"/>
          <w:szCs w:val="30"/>
        </w:rPr>
      </w:pPr>
    </w:p>
    <w:p w14:paraId="0D481253">
      <w:pPr>
        <w:spacing w:line="600" w:lineRule="exact"/>
        <w:ind w:firstLine="600" w:firstLineChars="200"/>
        <w:rPr>
          <w:rFonts w:ascii="仿宋_GB2312" w:eastAsia="仿宋_GB2312"/>
          <w:sz w:val="30"/>
          <w:szCs w:val="30"/>
        </w:rPr>
      </w:pPr>
      <w:r>
        <w:rPr>
          <w:rFonts w:hint="eastAsia" w:ascii="仿宋_GB2312" w:eastAsia="仿宋_GB2312"/>
          <w:sz w:val="30"/>
          <w:szCs w:val="30"/>
        </w:rPr>
        <w:t>我公司在此郑重承诺：</w:t>
      </w:r>
    </w:p>
    <w:p w14:paraId="68CDCD93">
      <w:pPr>
        <w:spacing w:line="600" w:lineRule="exact"/>
        <w:ind w:firstLine="600" w:firstLineChars="200"/>
        <w:rPr>
          <w:rFonts w:ascii="仿宋_GB2312" w:eastAsia="仿宋_GB2312"/>
          <w:sz w:val="30"/>
          <w:szCs w:val="30"/>
        </w:rPr>
      </w:pPr>
      <w:r>
        <w:rPr>
          <w:rFonts w:hint="eastAsia" w:ascii="仿宋_GB2312" w:eastAsia="仿宋_GB2312"/>
          <w:sz w:val="30"/>
          <w:szCs w:val="30"/>
        </w:rPr>
        <w:t>一、遵守法律、法规、规章及上交所相关业务规则，依法参与上交所债券做市业务。</w:t>
      </w:r>
    </w:p>
    <w:p w14:paraId="3109C157">
      <w:pPr>
        <w:spacing w:line="600" w:lineRule="exact"/>
        <w:ind w:firstLine="600" w:firstLineChars="200"/>
        <w:rPr>
          <w:rFonts w:ascii="仿宋_GB2312" w:eastAsia="仿宋_GB2312"/>
          <w:sz w:val="30"/>
          <w:szCs w:val="30"/>
        </w:rPr>
      </w:pPr>
      <w:r>
        <w:rPr>
          <w:rFonts w:hint="eastAsia" w:ascii="仿宋_GB2312" w:eastAsia="仿宋_GB2312"/>
          <w:sz w:val="30"/>
          <w:szCs w:val="30"/>
        </w:rPr>
        <w:t>二、诚实守信，自觉遵守商业道德，维护上交所债券市场秩序。</w:t>
      </w:r>
    </w:p>
    <w:p w14:paraId="1C890056">
      <w:pPr>
        <w:spacing w:line="600" w:lineRule="exact"/>
        <w:ind w:firstLine="600" w:firstLineChars="200"/>
        <w:rPr>
          <w:rFonts w:ascii="仿宋_GB2312" w:eastAsia="仿宋_GB2312"/>
          <w:sz w:val="30"/>
          <w:szCs w:val="30"/>
        </w:rPr>
      </w:pPr>
      <w:r>
        <w:rPr>
          <w:rFonts w:hint="eastAsia" w:ascii="仿宋_GB2312" w:eastAsia="仿宋_GB2312"/>
          <w:sz w:val="30"/>
          <w:szCs w:val="30"/>
        </w:rPr>
        <w:t>三、同意遵守上交所关于债券做市的相关规定，接受上交所的自律管理和评价考核。</w:t>
      </w:r>
    </w:p>
    <w:p w14:paraId="5846D065">
      <w:pPr>
        <w:spacing w:line="600" w:lineRule="exact"/>
        <w:ind w:firstLine="600" w:firstLineChars="200"/>
        <w:rPr>
          <w:rFonts w:ascii="仿宋_GB2312" w:eastAsia="仿宋_GB2312"/>
          <w:sz w:val="30"/>
          <w:szCs w:val="30"/>
        </w:rPr>
      </w:pPr>
      <w:r>
        <w:rPr>
          <w:rFonts w:hint="eastAsia" w:ascii="仿宋_GB2312" w:eastAsia="仿宋_GB2312"/>
          <w:sz w:val="30"/>
          <w:szCs w:val="30"/>
        </w:rPr>
        <w:t>四、如违反法律、法规、规章及上交所相关业务规则，接受上交所做出的监管措施和纪律处分，并对此承担一切法律责任。</w:t>
      </w:r>
    </w:p>
    <w:p w14:paraId="6FD7C1C5">
      <w:pPr>
        <w:pStyle w:val="18"/>
        <w:rPr>
          <w:szCs w:val="30"/>
        </w:rPr>
      </w:pPr>
      <w:r>
        <w:rPr>
          <w:rFonts w:hint="eastAsia"/>
          <w:szCs w:val="30"/>
        </w:rPr>
        <w:t>我公司保证向上交所提供的书面和电子资料真实、准确、完整与合法。</w:t>
      </w:r>
    </w:p>
    <w:p w14:paraId="3068342E">
      <w:pPr>
        <w:pStyle w:val="18"/>
        <w:rPr>
          <w:szCs w:val="30"/>
        </w:rPr>
      </w:pPr>
    </w:p>
    <w:p w14:paraId="1F376BA9">
      <w:pPr>
        <w:pStyle w:val="18"/>
        <w:jc w:val="right"/>
        <w:rPr>
          <w:szCs w:val="30"/>
        </w:rPr>
      </w:pPr>
      <w:r>
        <w:rPr>
          <w:rFonts w:hint="eastAsia"/>
          <w:szCs w:val="30"/>
        </w:rPr>
        <w:t>申请人：_____________________</w:t>
      </w:r>
      <w:r>
        <w:rPr>
          <w:szCs w:val="30"/>
        </w:rPr>
        <w:t xml:space="preserve">   </w:t>
      </w:r>
      <w:r>
        <w:rPr>
          <w:rFonts w:hint="eastAsia"/>
          <w:szCs w:val="30"/>
        </w:rPr>
        <w:t>（加盖公章）</w:t>
      </w:r>
    </w:p>
    <w:p w14:paraId="76F67079">
      <w:pPr>
        <w:pStyle w:val="18"/>
        <w:jc w:val="right"/>
        <w:rPr>
          <w:szCs w:val="30"/>
        </w:rPr>
      </w:pPr>
    </w:p>
    <w:p w14:paraId="27E79FF4">
      <w:pPr>
        <w:pStyle w:val="18"/>
        <w:jc w:val="right"/>
        <w:rPr>
          <w:szCs w:val="30"/>
        </w:rPr>
      </w:pPr>
      <w:r>
        <w:rPr>
          <w:rFonts w:hint="eastAsia"/>
          <w:szCs w:val="30"/>
        </w:rPr>
        <w:t xml:space="preserve">                                    法定代表人或授权代表（签字）：</w:t>
      </w:r>
    </w:p>
    <w:p w14:paraId="252DF714">
      <w:pPr>
        <w:pStyle w:val="18"/>
        <w:jc w:val="right"/>
        <w:rPr>
          <w:szCs w:val="30"/>
        </w:rPr>
      </w:pPr>
      <w:r>
        <w:rPr>
          <w:rFonts w:hint="eastAsia"/>
          <w:szCs w:val="30"/>
        </w:rPr>
        <w:t xml:space="preserve">                                     申请日期：</w:t>
      </w:r>
    </w:p>
    <w:p w14:paraId="2D04C064">
      <w:pPr>
        <w:pStyle w:val="18"/>
        <w:jc w:val="right"/>
        <w:rPr>
          <w:szCs w:val="30"/>
        </w:rPr>
      </w:pPr>
      <w:r>
        <w:rPr>
          <w:rFonts w:hint="eastAsia"/>
          <w:szCs w:val="30"/>
        </w:rPr>
        <w:t xml:space="preserve">                                     联系电话：</w:t>
      </w:r>
    </w:p>
    <w:p w14:paraId="40F7D24F">
      <w:pPr>
        <w:widowControl/>
        <w:jc w:val="left"/>
        <w:outlineLvl w:val="1"/>
        <w:rPr>
          <w:rFonts w:ascii="仿宋_GB2312" w:hAnsi="仿宋" w:eastAsia="仿宋_GB2312"/>
          <w:sz w:val="30"/>
          <w:szCs w:val="30"/>
        </w:rPr>
      </w:pPr>
      <w:r>
        <w:rPr>
          <w:rFonts w:ascii="仿宋_GB2312" w:eastAsia="仿宋_GB2312"/>
          <w:b/>
          <w:sz w:val="30"/>
          <w:szCs w:val="30"/>
        </w:rPr>
        <w:br w:type="page"/>
      </w:r>
      <w:bookmarkStart w:id="4008" w:name="_Toc55318687"/>
      <w:bookmarkEnd w:id="4008"/>
      <w:bookmarkStart w:id="4009" w:name="_Toc1169749061"/>
      <w:bookmarkStart w:id="4010" w:name="_Toc381874512"/>
      <w:bookmarkStart w:id="4011" w:name="_Toc151137095"/>
      <w:bookmarkStart w:id="4012" w:name="_Toc1277866164"/>
      <w:bookmarkStart w:id="4013" w:name="_Toc1279138603"/>
      <w:bookmarkStart w:id="4014" w:name="_Toc1652071212"/>
      <w:bookmarkStart w:id="4015" w:name="_Toc1235895327"/>
      <w:r>
        <w:rPr>
          <w:rFonts w:hint="eastAsia" w:ascii="仿宋_GB2312" w:hAnsi="黑体" w:eastAsia="仿宋_GB2312"/>
          <w:b/>
          <w:sz w:val="30"/>
          <w:szCs w:val="30"/>
        </w:rPr>
        <w:t>附件12 债券一般做市商登记表</w:t>
      </w:r>
      <w:bookmarkEnd w:id="4009"/>
      <w:bookmarkEnd w:id="4010"/>
      <w:bookmarkEnd w:id="4011"/>
      <w:bookmarkEnd w:id="4012"/>
      <w:bookmarkEnd w:id="4013"/>
      <w:bookmarkEnd w:id="4014"/>
      <w:bookmarkEnd w:id="4015"/>
    </w:p>
    <w:p w14:paraId="68EC9041">
      <w:pPr>
        <w:spacing w:line="600" w:lineRule="exact"/>
        <w:jc w:val="center"/>
        <w:rPr>
          <w:rFonts w:ascii="黑体" w:hAnsi="黑体"/>
          <w:b/>
          <w:sz w:val="44"/>
          <w:szCs w:val="44"/>
        </w:rPr>
      </w:pPr>
    </w:p>
    <w:p w14:paraId="234EA5B0">
      <w:pPr>
        <w:spacing w:line="600" w:lineRule="exact"/>
        <w:jc w:val="center"/>
        <w:rPr>
          <w:rFonts w:ascii="黑体" w:hAnsi="黑体" w:eastAsia="黑体" w:cs="黑体"/>
          <w:sz w:val="30"/>
          <w:szCs w:val="30"/>
        </w:rPr>
      </w:pPr>
      <w:r>
        <w:rPr>
          <w:rFonts w:hint="eastAsia" w:ascii="黑体" w:hAnsi="黑体" w:eastAsia="黑体" w:cs="黑体"/>
          <w:b/>
          <w:sz w:val="44"/>
          <w:szCs w:val="44"/>
        </w:rPr>
        <w:t>债券一般做市商登记表</w:t>
      </w:r>
    </w:p>
    <w:p w14:paraId="32D11D38">
      <w:pPr>
        <w:spacing w:line="600" w:lineRule="exact"/>
        <w:ind w:firstLine="600" w:firstLineChars="200"/>
        <w:rPr>
          <w:rFonts w:ascii="仿宋_GB2312" w:eastAsia="仿宋_GB2312"/>
          <w:kern w:val="28"/>
          <w:sz w:val="30"/>
          <w:szCs w:val="30"/>
        </w:rPr>
      </w:pPr>
    </w:p>
    <w:tbl>
      <w:tblPr>
        <w:tblStyle w:val="43"/>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9"/>
        <w:gridCol w:w="849"/>
        <w:gridCol w:w="425"/>
        <w:gridCol w:w="425"/>
        <w:gridCol w:w="1276"/>
        <w:gridCol w:w="1421"/>
        <w:gridCol w:w="1259"/>
        <w:gridCol w:w="1583"/>
      </w:tblGrid>
      <w:tr w14:paraId="7F636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3316" w:type="pct"/>
            <w:gridSpan w:val="6"/>
            <w:vAlign w:val="center"/>
          </w:tcPr>
          <w:p w14:paraId="3147796E">
            <w:pPr>
              <w:rPr>
                <w:rFonts w:ascii="仿宋_GB2312" w:eastAsia="仿宋_GB2312"/>
                <w:sz w:val="24"/>
                <w:szCs w:val="24"/>
              </w:rPr>
            </w:pPr>
            <w:r>
              <w:rPr>
                <w:rFonts w:hint="eastAsia" w:ascii="仿宋_GB2312" w:eastAsia="仿宋_GB2312"/>
                <w:sz w:val="24"/>
                <w:szCs w:val="24"/>
              </w:rPr>
              <w:t>申请人全称：</w:t>
            </w:r>
          </w:p>
        </w:tc>
        <w:tc>
          <w:tcPr>
            <w:tcW w:w="1683" w:type="pct"/>
            <w:gridSpan w:val="2"/>
            <w:vAlign w:val="center"/>
          </w:tcPr>
          <w:p w14:paraId="662C8ECF">
            <w:pPr>
              <w:rPr>
                <w:rFonts w:ascii="仿宋_GB2312" w:eastAsia="仿宋_GB2312"/>
                <w:sz w:val="24"/>
                <w:szCs w:val="24"/>
              </w:rPr>
            </w:pPr>
            <w:r>
              <w:rPr>
                <w:rFonts w:hint="eastAsia" w:ascii="仿宋_GB2312" w:eastAsia="仿宋_GB2312"/>
                <w:sz w:val="24"/>
                <w:szCs w:val="24"/>
              </w:rPr>
              <w:t>电话：</w:t>
            </w:r>
          </w:p>
        </w:tc>
      </w:tr>
      <w:tr w14:paraId="1F0F1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3316" w:type="pct"/>
            <w:gridSpan w:val="6"/>
            <w:vAlign w:val="center"/>
          </w:tcPr>
          <w:p w14:paraId="21EFF2A9">
            <w:pPr>
              <w:rPr>
                <w:rFonts w:ascii="仿宋_GB2312" w:eastAsia="仿宋_GB2312"/>
                <w:sz w:val="24"/>
                <w:szCs w:val="24"/>
              </w:rPr>
            </w:pPr>
            <w:r>
              <w:rPr>
                <w:rFonts w:hint="eastAsia" w:ascii="仿宋_GB2312" w:eastAsia="仿宋_GB2312"/>
                <w:sz w:val="24"/>
                <w:szCs w:val="24"/>
              </w:rPr>
              <w:t xml:space="preserve">公司地址： </w:t>
            </w:r>
          </w:p>
        </w:tc>
        <w:tc>
          <w:tcPr>
            <w:tcW w:w="1683" w:type="pct"/>
            <w:gridSpan w:val="2"/>
            <w:vAlign w:val="center"/>
          </w:tcPr>
          <w:p w14:paraId="350E99E9">
            <w:pPr>
              <w:rPr>
                <w:rFonts w:ascii="仿宋_GB2312" w:eastAsia="仿宋_GB2312"/>
                <w:sz w:val="24"/>
                <w:szCs w:val="24"/>
              </w:rPr>
            </w:pPr>
            <w:r>
              <w:rPr>
                <w:rFonts w:hint="eastAsia" w:ascii="仿宋_GB2312" w:eastAsia="仿宋_GB2312"/>
                <w:sz w:val="24"/>
                <w:szCs w:val="24"/>
              </w:rPr>
              <w:t>传真：</w:t>
            </w:r>
          </w:p>
        </w:tc>
      </w:tr>
      <w:tr w14:paraId="2E94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466" w:type="pct"/>
            <w:gridSpan w:val="3"/>
            <w:vAlign w:val="center"/>
          </w:tcPr>
          <w:p w14:paraId="4A7139CC">
            <w:pPr>
              <w:rPr>
                <w:rFonts w:ascii="仿宋_GB2312" w:eastAsia="仿宋_GB2312"/>
                <w:sz w:val="24"/>
                <w:szCs w:val="24"/>
              </w:rPr>
            </w:pPr>
            <w:r>
              <w:rPr>
                <w:rFonts w:hint="eastAsia" w:ascii="仿宋_GB2312" w:eastAsia="仿宋_GB2312"/>
                <w:sz w:val="24"/>
                <w:szCs w:val="24"/>
              </w:rPr>
              <w:t>债券投资者类型</w:t>
            </w:r>
          </w:p>
        </w:tc>
        <w:tc>
          <w:tcPr>
            <w:tcW w:w="3533" w:type="pct"/>
            <w:gridSpan w:val="5"/>
            <w:vAlign w:val="center"/>
          </w:tcPr>
          <w:p w14:paraId="4CC04F4A">
            <w:pPr>
              <w:rPr>
                <w:rFonts w:ascii="仿宋_GB2312" w:eastAsia="仿宋_GB2312"/>
                <w:sz w:val="24"/>
                <w:szCs w:val="24"/>
              </w:rPr>
            </w:pPr>
            <w:r>
              <w:rPr>
                <w:rFonts w:hint="eastAsia" w:ascii="仿宋_GB2312" w:eastAsia="仿宋_GB2312"/>
                <w:sz w:val="24"/>
                <w:szCs w:val="24"/>
              </w:rPr>
              <w:t>□证券公司</w:t>
            </w:r>
            <w:r>
              <w:rPr>
                <w:rFonts w:ascii="仿宋_GB2312" w:eastAsia="仿宋_GB2312"/>
                <w:sz w:val="24"/>
                <w:szCs w:val="24"/>
              </w:rPr>
              <w:t xml:space="preserve">  </w:t>
            </w:r>
            <w:r>
              <w:rPr>
                <w:rFonts w:hint="eastAsia" w:ascii="仿宋_GB2312" w:eastAsia="仿宋_GB2312"/>
                <w:sz w:val="24"/>
                <w:szCs w:val="24"/>
              </w:rPr>
              <w:t>□银行  □证券公司资产管理子公司</w:t>
            </w:r>
            <w:r>
              <w:rPr>
                <w:rFonts w:ascii="仿宋_GB2312" w:eastAsia="仿宋_GB2312"/>
                <w:sz w:val="24"/>
                <w:szCs w:val="24"/>
              </w:rPr>
              <w:t xml:space="preserve">  </w:t>
            </w:r>
          </w:p>
          <w:p w14:paraId="741FF860">
            <w:pPr>
              <w:rPr>
                <w:rFonts w:ascii="仿宋_GB2312" w:eastAsia="仿宋_GB2312"/>
                <w:sz w:val="24"/>
                <w:szCs w:val="24"/>
              </w:rPr>
            </w:pPr>
            <w:r>
              <w:rPr>
                <w:rFonts w:hint="eastAsia" w:ascii="仿宋_GB2312" w:eastAsia="仿宋_GB2312"/>
                <w:sz w:val="24"/>
                <w:szCs w:val="24"/>
              </w:rPr>
              <w:t>□银行理财子公司</w:t>
            </w:r>
            <w:r>
              <w:rPr>
                <w:rFonts w:ascii="仿宋_GB2312" w:eastAsia="仿宋_GB2312"/>
                <w:sz w:val="24"/>
                <w:szCs w:val="24"/>
              </w:rPr>
              <w:t xml:space="preserve">  </w:t>
            </w:r>
            <w:r>
              <w:rPr>
                <w:rFonts w:hint="eastAsia" w:ascii="仿宋_GB2312" w:eastAsia="仿宋_GB2312"/>
                <w:sz w:val="24"/>
                <w:szCs w:val="24"/>
              </w:rPr>
              <w:t>□证券投资基金管理公司</w:t>
            </w:r>
            <w:r>
              <w:rPr>
                <w:rFonts w:ascii="仿宋_GB2312" w:eastAsia="仿宋_GB2312"/>
                <w:sz w:val="24"/>
                <w:szCs w:val="24"/>
              </w:rPr>
              <w:t xml:space="preserve">  </w:t>
            </w:r>
          </w:p>
          <w:p w14:paraId="27228C15">
            <w:pPr>
              <w:rPr>
                <w:rFonts w:ascii="仿宋_GB2312" w:eastAsia="仿宋_GB2312"/>
                <w:sz w:val="24"/>
                <w:szCs w:val="24"/>
              </w:rPr>
            </w:pPr>
            <w:r>
              <w:rPr>
                <w:rFonts w:hint="eastAsia" w:ascii="仿宋_GB2312" w:eastAsia="仿宋_GB2312"/>
                <w:sz w:val="24"/>
                <w:szCs w:val="24"/>
              </w:rPr>
              <w:t>□保险公司 □保险资产管理公司</w:t>
            </w:r>
            <w:r>
              <w:rPr>
                <w:rFonts w:ascii="仿宋_GB2312" w:eastAsia="仿宋_GB2312"/>
                <w:sz w:val="24"/>
                <w:szCs w:val="24"/>
              </w:rPr>
              <w:t xml:space="preserve">  </w:t>
            </w:r>
            <w:r>
              <w:rPr>
                <w:rFonts w:hint="eastAsia" w:ascii="仿宋_GB2312" w:eastAsia="仿宋_GB2312"/>
                <w:sz w:val="24"/>
                <w:szCs w:val="24"/>
              </w:rPr>
              <w:t>□信托公司</w:t>
            </w:r>
            <w:r>
              <w:rPr>
                <w:rFonts w:ascii="仿宋_GB2312" w:eastAsia="仿宋_GB2312"/>
                <w:sz w:val="24"/>
                <w:szCs w:val="24"/>
              </w:rPr>
              <w:t xml:space="preserve">  </w:t>
            </w:r>
          </w:p>
          <w:p w14:paraId="57956014">
            <w:pPr>
              <w:rPr>
                <w:rFonts w:ascii="仿宋_GB2312" w:eastAsia="仿宋_GB2312"/>
                <w:sz w:val="24"/>
                <w:szCs w:val="24"/>
              </w:rPr>
            </w:pPr>
            <w:r>
              <w:rPr>
                <w:rFonts w:hint="eastAsia" w:ascii="仿宋_GB2312" w:eastAsia="仿宋_GB2312"/>
                <w:sz w:val="24"/>
                <w:szCs w:val="24"/>
              </w:rPr>
              <w:t>□财务公司  □期货公司</w:t>
            </w:r>
            <w:r>
              <w:rPr>
                <w:rFonts w:ascii="仿宋_GB2312" w:eastAsia="仿宋_GB2312"/>
                <w:sz w:val="24"/>
                <w:szCs w:val="24"/>
              </w:rPr>
              <w:t xml:space="preserve">  </w:t>
            </w:r>
            <w:r>
              <w:rPr>
                <w:rFonts w:hint="eastAsia" w:ascii="仿宋_GB2312" w:eastAsia="仿宋_GB2312"/>
                <w:sz w:val="24"/>
                <w:szCs w:val="24"/>
              </w:rPr>
              <w:t>□其他机构</w:t>
            </w:r>
          </w:p>
        </w:tc>
      </w:tr>
      <w:tr w14:paraId="21EA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11" w:type="pct"/>
            <w:vAlign w:val="center"/>
          </w:tcPr>
          <w:p w14:paraId="5552326A">
            <w:pPr>
              <w:rPr>
                <w:rFonts w:ascii="仿宋_GB2312" w:eastAsia="仿宋_GB2312"/>
                <w:sz w:val="24"/>
                <w:szCs w:val="24"/>
              </w:rPr>
            </w:pPr>
            <w:r>
              <w:rPr>
                <w:rFonts w:hint="eastAsia" w:ascii="仿宋_GB2312" w:eastAsia="仿宋_GB2312"/>
                <w:sz w:val="24"/>
                <w:szCs w:val="24"/>
              </w:rPr>
              <w:t>做市业务负责人</w:t>
            </w:r>
          </w:p>
        </w:tc>
        <w:tc>
          <w:tcPr>
            <w:tcW w:w="503" w:type="pct"/>
            <w:vAlign w:val="center"/>
          </w:tcPr>
          <w:p w14:paraId="62BB41EC">
            <w:pPr>
              <w:rPr>
                <w:rFonts w:ascii="仿宋_GB2312" w:eastAsia="仿宋_GB2312"/>
                <w:sz w:val="24"/>
                <w:szCs w:val="24"/>
              </w:rPr>
            </w:pPr>
            <w:r>
              <w:rPr>
                <w:rFonts w:hint="eastAsia" w:ascii="仿宋_GB2312" w:eastAsia="仿宋_GB2312"/>
                <w:sz w:val="24"/>
                <w:szCs w:val="24"/>
              </w:rPr>
              <w:t>部门</w:t>
            </w:r>
          </w:p>
        </w:tc>
        <w:tc>
          <w:tcPr>
            <w:tcW w:w="504" w:type="pct"/>
            <w:gridSpan w:val="2"/>
            <w:vAlign w:val="center"/>
          </w:tcPr>
          <w:p w14:paraId="1BFA0E23">
            <w:pPr>
              <w:rPr>
                <w:rFonts w:ascii="仿宋_GB2312" w:eastAsia="仿宋_GB2312"/>
                <w:sz w:val="24"/>
                <w:szCs w:val="24"/>
              </w:rPr>
            </w:pPr>
            <w:r>
              <w:rPr>
                <w:rFonts w:hint="eastAsia" w:ascii="仿宋_GB2312" w:eastAsia="仿宋_GB2312"/>
                <w:sz w:val="24"/>
                <w:szCs w:val="24"/>
              </w:rPr>
              <w:t>职务</w:t>
            </w:r>
          </w:p>
        </w:tc>
        <w:tc>
          <w:tcPr>
            <w:tcW w:w="756" w:type="pct"/>
            <w:vAlign w:val="center"/>
          </w:tcPr>
          <w:p w14:paraId="257CC44F">
            <w:pPr>
              <w:rPr>
                <w:rFonts w:ascii="仿宋_GB2312" w:eastAsia="仿宋_GB2312"/>
                <w:sz w:val="24"/>
                <w:szCs w:val="24"/>
              </w:rPr>
            </w:pPr>
            <w:r>
              <w:rPr>
                <w:rFonts w:hint="eastAsia" w:ascii="仿宋_GB2312" w:eastAsia="仿宋_GB2312"/>
                <w:sz w:val="24"/>
                <w:szCs w:val="24"/>
              </w:rPr>
              <w:t>电话</w:t>
            </w:r>
          </w:p>
        </w:tc>
        <w:tc>
          <w:tcPr>
            <w:tcW w:w="839" w:type="pct"/>
            <w:vAlign w:val="center"/>
          </w:tcPr>
          <w:p w14:paraId="159F9D57">
            <w:pPr>
              <w:rPr>
                <w:rFonts w:ascii="仿宋_GB2312" w:eastAsia="仿宋_GB2312"/>
                <w:sz w:val="24"/>
                <w:szCs w:val="24"/>
              </w:rPr>
            </w:pPr>
            <w:r>
              <w:rPr>
                <w:rFonts w:hint="eastAsia" w:ascii="仿宋_GB2312" w:eastAsia="仿宋_GB2312"/>
                <w:sz w:val="24"/>
                <w:szCs w:val="24"/>
              </w:rPr>
              <w:t>手机</w:t>
            </w:r>
          </w:p>
        </w:tc>
        <w:tc>
          <w:tcPr>
            <w:tcW w:w="746" w:type="pct"/>
            <w:vAlign w:val="center"/>
          </w:tcPr>
          <w:p w14:paraId="5C70A1B7">
            <w:pPr>
              <w:rPr>
                <w:rFonts w:ascii="仿宋_GB2312" w:eastAsia="仿宋_GB2312"/>
                <w:sz w:val="24"/>
                <w:szCs w:val="24"/>
              </w:rPr>
            </w:pPr>
            <w:r>
              <w:rPr>
                <w:rFonts w:hint="eastAsia" w:ascii="仿宋_GB2312" w:eastAsia="仿宋_GB2312"/>
                <w:sz w:val="24"/>
                <w:szCs w:val="24"/>
              </w:rPr>
              <w:t>传真</w:t>
            </w:r>
          </w:p>
        </w:tc>
        <w:tc>
          <w:tcPr>
            <w:tcW w:w="937" w:type="pct"/>
            <w:vAlign w:val="center"/>
          </w:tcPr>
          <w:p w14:paraId="15D63D1D">
            <w:pPr>
              <w:rPr>
                <w:rFonts w:ascii="仿宋_GB2312" w:eastAsia="仿宋_GB2312"/>
                <w:sz w:val="24"/>
                <w:szCs w:val="24"/>
              </w:rPr>
            </w:pPr>
            <w:r>
              <w:rPr>
                <w:rFonts w:ascii="仿宋_GB2312" w:eastAsia="仿宋_GB2312"/>
                <w:sz w:val="24"/>
                <w:szCs w:val="24"/>
              </w:rPr>
              <w:t>E-mail</w:t>
            </w:r>
          </w:p>
        </w:tc>
      </w:tr>
      <w:tr w14:paraId="23DCD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711" w:type="pct"/>
            <w:vAlign w:val="center"/>
          </w:tcPr>
          <w:p w14:paraId="6737A928">
            <w:pPr>
              <w:rPr>
                <w:rFonts w:ascii="仿宋_GB2312" w:eastAsia="仿宋_GB2312"/>
                <w:sz w:val="24"/>
                <w:szCs w:val="24"/>
              </w:rPr>
            </w:pPr>
          </w:p>
        </w:tc>
        <w:tc>
          <w:tcPr>
            <w:tcW w:w="503" w:type="pct"/>
            <w:vAlign w:val="center"/>
          </w:tcPr>
          <w:p w14:paraId="32F19694">
            <w:pPr>
              <w:rPr>
                <w:rFonts w:ascii="仿宋_GB2312" w:eastAsia="仿宋_GB2312"/>
                <w:sz w:val="24"/>
                <w:szCs w:val="24"/>
              </w:rPr>
            </w:pPr>
          </w:p>
        </w:tc>
        <w:tc>
          <w:tcPr>
            <w:tcW w:w="504" w:type="pct"/>
            <w:gridSpan w:val="2"/>
            <w:vAlign w:val="center"/>
          </w:tcPr>
          <w:p w14:paraId="2AEF90B9">
            <w:pPr>
              <w:rPr>
                <w:rFonts w:ascii="仿宋_GB2312" w:eastAsia="仿宋_GB2312"/>
                <w:sz w:val="24"/>
                <w:szCs w:val="24"/>
              </w:rPr>
            </w:pPr>
          </w:p>
        </w:tc>
        <w:tc>
          <w:tcPr>
            <w:tcW w:w="756" w:type="pct"/>
            <w:vAlign w:val="center"/>
          </w:tcPr>
          <w:p w14:paraId="54C4C364">
            <w:pPr>
              <w:rPr>
                <w:rFonts w:ascii="仿宋_GB2312" w:eastAsia="仿宋_GB2312"/>
                <w:sz w:val="24"/>
                <w:szCs w:val="24"/>
              </w:rPr>
            </w:pPr>
          </w:p>
        </w:tc>
        <w:tc>
          <w:tcPr>
            <w:tcW w:w="839" w:type="pct"/>
            <w:vAlign w:val="center"/>
          </w:tcPr>
          <w:p w14:paraId="50527BCE">
            <w:pPr>
              <w:rPr>
                <w:rFonts w:ascii="仿宋_GB2312" w:eastAsia="仿宋_GB2312"/>
                <w:sz w:val="24"/>
                <w:szCs w:val="24"/>
              </w:rPr>
            </w:pPr>
          </w:p>
        </w:tc>
        <w:tc>
          <w:tcPr>
            <w:tcW w:w="746" w:type="pct"/>
            <w:vAlign w:val="center"/>
          </w:tcPr>
          <w:p w14:paraId="5D394C95">
            <w:pPr>
              <w:rPr>
                <w:rFonts w:ascii="仿宋_GB2312" w:eastAsia="仿宋_GB2312"/>
                <w:sz w:val="24"/>
                <w:szCs w:val="24"/>
              </w:rPr>
            </w:pPr>
          </w:p>
        </w:tc>
        <w:tc>
          <w:tcPr>
            <w:tcW w:w="937" w:type="pct"/>
            <w:vAlign w:val="center"/>
          </w:tcPr>
          <w:p w14:paraId="17B8B5D2">
            <w:pPr>
              <w:rPr>
                <w:rFonts w:ascii="仿宋_GB2312" w:eastAsia="仿宋_GB2312"/>
                <w:sz w:val="24"/>
                <w:szCs w:val="24"/>
              </w:rPr>
            </w:pPr>
          </w:p>
        </w:tc>
      </w:tr>
      <w:tr w14:paraId="3DE32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11" w:type="pct"/>
            <w:vAlign w:val="center"/>
          </w:tcPr>
          <w:p w14:paraId="495EF4DE">
            <w:pPr>
              <w:rPr>
                <w:rFonts w:ascii="仿宋_GB2312" w:eastAsia="仿宋_GB2312"/>
                <w:sz w:val="24"/>
                <w:szCs w:val="24"/>
              </w:rPr>
            </w:pPr>
            <w:r>
              <w:rPr>
                <w:rFonts w:hint="eastAsia" w:ascii="仿宋_GB2312" w:eastAsia="仿宋_GB2312"/>
                <w:sz w:val="24"/>
                <w:szCs w:val="24"/>
              </w:rPr>
              <w:t>做市业务联络人</w:t>
            </w:r>
          </w:p>
        </w:tc>
        <w:tc>
          <w:tcPr>
            <w:tcW w:w="503" w:type="pct"/>
            <w:vAlign w:val="center"/>
          </w:tcPr>
          <w:p w14:paraId="19EFE714">
            <w:pPr>
              <w:rPr>
                <w:rFonts w:ascii="仿宋_GB2312" w:eastAsia="仿宋_GB2312"/>
                <w:sz w:val="24"/>
                <w:szCs w:val="24"/>
              </w:rPr>
            </w:pPr>
            <w:r>
              <w:rPr>
                <w:rFonts w:hint="eastAsia" w:ascii="仿宋_GB2312" w:eastAsia="仿宋_GB2312"/>
                <w:sz w:val="24"/>
                <w:szCs w:val="24"/>
              </w:rPr>
              <w:t>部门</w:t>
            </w:r>
          </w:p>
        </w:tc>
        <w:tc>
          <w:tcPr>
            <w:tcW w:w="504" w:type="pct"/>
            <w:gridSpan w:val="2"/>
            <w:vAlign w:val="center"/>
          </w:tcPr>
          <w:p w14:paraId="01C10D92">
            <w:pPr>
              <w:rPr>
                <w:rFonts w:ascii="仿宋_GB2312" w:eastAsia="仿宋_GB2312"/>
                <w:sz w:val="24"/>
                <w:szCs w:val="24"/>
              </w:rPr>
            </w:pPr>
            <w:r>
              <w:rPr>
                <w:rFonts w:hint="eastAsia" w:ascii="仿宋_GB2312" w:eastAsia="仿宋_GB2312"/>
                <w:sz w:val="24"/>
                <w:szCs w:val="24"/>
              </w:rPr>
              <w:t>职务</w:t>
            </w:r>
          </w:p>
        </w:tc>
        <w:tc>
          <w:tcPr>
            <w:tcW w:w="756" w:type="pct"/>
            <w:vAlign w:val="center"/>
          </w:tcPr>
          <w:p w14:paraId="0A61E53F">
            <w:pPr>
              <w:rPr>
                <w:rFonts w:ascii="仿宋_GB2312" w:eastAsia="仿宋_GB2312"/>
                <w:sz w:val="24"/>
                <w:szCs w:val="24"/>
              </w:rPr>
            </w:pPr>
            <w:r>
              <w:rPr>
                <w:rFonts w:hint="eastAsia" w:ascii="仿宋_GB2312" w:eastAsia="仿宋_GB2312"/>
                <w:sz w:val="24"/>
                <w:szCs w:val="24"/>
              </w:rPr>
              <w:t>电话</w:t>
            </w:r>
          </w:p>
        </w:tc>
        <w:tc>
          <w:tcPr>
            <w:tcW w:w="839" w:type="pct"/>
            <w:vAlign w:val="center"/>
          </w:tcPr>
          <w:p w14:paraId="59C9FDED">
            <w:pPr>
              <w:rPr>
                <w:rFonts w:ascii="仿宋_GB2312" w:eastAsia="仿宋_GB2312"/>
                <w:sz w:val="24"/>
                <w:szCs w:val="24"/>
              </w:rPr>
            </w:pPr>
            <w:r>
              <w:rPr>
                <w:rFonts w:hint="eastAsia" w:ascii="仿宋_GB2312" w:eastAsia="仿宋_GB2312"/>
                <w:sz w:val="24"/>
                <w:szCs w:val="24"/>
              </w:rPr>
              <w:t>手机</w:t>
            </w:r>
          </w:p>
        </w:tc>
        <w:tc>
          <w:tcPr>
            <w:tcW w:w="746" w:type="pct"/>
            <w:vAlign w:val="center"/>
          </w:tcPr>
          <w:p w14:paraId="02B62CF9">
            <w:pPr>
              <w:rPr>
                <w:rFonts w:ascii="仿宋_GB2312" w:eastAsia="仿宋_GB2312"/>
                <w:sz w:val="24"/>
                <w:szCs w:val="24"/>
              </w:rPr>
            </w:pPr>
            <w:r>
              <w:rPr>
                <w:rFonts w:hint="eastAsia" w:ascii="仿宋_GB2312" w:eastAsia="仿宋_GB2312"/>
                <w:sz w:val="24"/>
                <w:szCs w:val="24"/>
              </w:rPr>
              <w:t>传真</w:t>
            </w:r>
          </w:p>
        </w:tc>
        <w:tc>
          <w:tcPr>
            <w:tcW w:w="937" w:type="pct"/>
            <w:vAlign w:val="center"/>
          </w:tcPr>
          <w:p w14:paraId="74FC5C3B">
            <w:pPr>
              <w:rPr>
                <w:rFonts w:ascii="仿宋_GB2312" w:eastAsia="仿宋_GB2312"/>
                <w:sz w:val="24"/>
                <w:szCs w:val="24"/>
              </w:rPr>
            </w:pPr>
            <w:r>
              <w:rPr>
                <w:rFonts w:ascii="仿宋_GB2312" w:eastAsia="仿宋_GB2312"/>
                <w:sz w:val="24"/>
                <w:szCs w:val="24"/>
              </w:rPr>
              <w:t>E-mail</w:t>
            </w:r>
          </w:p>
        </w:tc>
      </w:tr>
      <w:tr w14:paraId="38EE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11" w:type="pct"/>
            <w:vAlign w:val="center"/>
          </w:tcPr>
          <w:p w14:paraId="05E1F868">
            <w:pPr>
              <w:ind w:firstLine="480"/>
              <w:rPr>
                <w:rFonts w:ascii="仿宋_GB2312" w:eastAsia="仿宋_GB2312"/>
                <w:sz w:val="24"/>
                <w:szCs w:val="24"/>
              </w:rPr>
            </w:pPr>
          </w:p>
        </w:tc>
        <w:tc>
          <w:tcPr>
            <w:tcW w:w="503" w:type="pct"/>
            <w:vAlign w:val="center"/>
          </w:tcPr>
          <w:p w14:paraId="37D947E0">
            <w:pPr>
              <w:ind w:firstLine="480"/>
              <w:rPr>
                <w:rFonts w:ascii="仿宋_GB2312" w:eastAsia="仿宋_GB2312"/>
                <w:sz w:val="24"/>
                <w:szCs w:val="24"/>
              </w:rPr>
            </w:pPr>
          </w:p>
        </w:tc>
        <w:tc>
          <w:tcPr>
            <w:tcW w:w="504" w:type="pct"/>
            <w:gridSpan w:val="2"/>
            <w:vAlign w:val="center"/>
          </w:tcPr>
          <w:p w14:paraId="5E066CEB">
            <w:pPr>
              <w:ind w:firstLine="480"/>
              <w:rPr>
                <w:rFonts w:ascii="仿宋_GB2312" w:eastAsia="仿宋_GB2312"/>
                <w:sz w:val="24"/>
                <w:szCs w:val="24"/>
              </w:rPr>
            </w:pPr>
          </w:p>
        </w:tc>
        <w:tc>
          <w:tcPr>
            <w:tcW w:w="756" w:type="pct"/>
            <w:vAlign w:val="center"/>
          </w:tcPr>
          <w:p w14:paraId="24E0BE05">
            <w:pPr>
              <w:ind w:firstLine="480"/>
              <w:rPr>
                <w:rFonts w:ascii="仿宋_GB2312" w:eastAsia="仿宋_GB2312"/>
                <w:sz w:val="24"/>
                <w:szCs w:val="24"/>
              </w:rPr>
            </w:pPr>
          </w:p>
        </w:tc>
        <w:tc>
          <w:tcPr>
            <w:tcW w:w="839" w:type="pct"/>
            <w:vAlign w:val="center"/>
          </w:tcPr>
          <w:p w14:paraId="3CB74E03">
            <w:pPr>
              <w:ind w:firstLine="480"/>
              <w:rPr>
                <w:rFonts w:ascii="仿宋_GB2312" w:eastAsia="仿宋_GB2312"/>
                <w:sz w:val="24"/>
                <w:szCs w:val="24"/>
              </w:rPr>
            </w:pPr>
          </w:p>
        </w:tc>
        <w:tc>
          <w:tcPr>
            <w:tcW w:w="746" w:type="pct"/>
            <w:vAlign w:val="center"/>
          </w:tcPr>
          <w:p w14:paraId="40B0D898">
            <w:pPr>
              <w:ind w:firstLine="480"/>
              <w:rPr>
                <w:rFonts w:ascii="仿宋_GB2312" w:eastAsia="仿宋_GB2312"/>
                <w:sz w:val="24"/>
                <w:szCs w:val="24"/>
              </w:rPr>
            </w:pPr>
          </w:p>
        </w:tc>
        <w:tc>
          <w:tcPr>
            <w:tcW w:w="937" w:type="pct"/>
            <w:vAlign w:val="center"/>
          </w:tcPr>
          <w:p w14:paraId="46B35012">
            <w:pPr>
              <w:ind w:firstLine="480"/>
              <w:rPr>
                <w:rFonts w:ascii="仿宋_GB2312" w:eastAsia="仿宋_GB2312"/>
                <w:sz w:val="24"/>
                <w:szCs w:val="24"/>
              </w:rPr>
            </w:pPr>
          </w:p>
        </w:tc>
      </w:tr>
    </w:tbl>
    <w:p w14:paraId="0A93F8A5">
      <w:pPr>
        <w:spacing w:line="600" w:lineRule="exact"/>
        <w:ind w:firstLine="600" w:firstLineChars="200"/>
        <w:rPr>
          <w:rFonts w:ascii="仿宋_GB2312" w:eastAsia="仿宋_GB2312"/>
          <w:kern w:val="28"/>
          <w:sz w:val="30"/>
          <w:szCs w:val="30"/>
        </w:rPr>
      </w:pPr>
    </w:p>
    <w:p w14:paraId="4F1D24A0">
      <w:pPr>
        <w:spacing w:line="600" w:lineRule="exact"/>
        <w:ind w:firstLine="600" w:firstLineChars="200"/>
        <w:rPr>
          <w:rFonts w:ascii="仿宋_GB2312" w:eastAsia="仿宋_GB2312"/>
          <w:sz w:val="30"/>
          <w:szCs w:val="30"/>
        </w:rPr>
      </w:pPr>
      <w:r>
        <w:rPr>
          <w:rFonts w:hint="eastAsia" w:ascii="仿宋_GB2312" w:eastAsia="仿宋_GB2312"/>
          <w:sz w:val="30"/>
          <w:szCs w:val="30"/>
        </w:rPr>
        <w:t>我公司在此郑重承诺：</w:t>
      </w:r>
    </w:p>
    <w:p w14:paraId="5C8ED094">
      <w:pPr>
        <w:spacing w:line="600" w:lineRule="exact"/>
        <w:ind w:firstLine="600" w:firstLineChars="200"/>
        <w:rPr>
          <w:rFonts w:ascii="仿宋_GB2312" w:eastAsia="仿宋_GB2312"/>
          <w:sz w:val="30"/>
          <w:szCs w:val="30"/>
        </w:rPr>
      </w:pPr>
      <w:r>
        <w:rPr>
          <w:rFonts w:hint="eastAsia" w:ascii="仿宋_GB2312" w:eastAsia="仿宋_GB2312"/>
          <w:sz w:val="30"/>
          <w:szCs w:val="30"/>
        </w:rPr>
        <w:t>一、遵守法律、法规、规章及上交所相关业务规则，依法参与上交所债券做市业务。</w:t>
      </w:r>
    </w:p>
    <w:p w14:paraId="78F52084">
      <w:pPr>
        <w:spacing w:line="600" w:lineRule="exact"/>
        <w:ind w:firstLine="600" w:firstLineChars="200"/>
        <w:rPr>
          <w:rFonts w:ascii="仿宋_GB2312" w:eastAsia="仿宋_GB2312"/>
          <w:sz w:val="30"/>
          <w:szCs w:val="30"/>
        </w:rPr>
      </w:pPr>
      <w:r>
        <w:rPr>
          <w:rFonts w:hint="eastAsia" w:ascii="仿宋_GB2312" w:eastAsia="仿宋_GB2312"/>
          <w:sz w:val="30"/>
          <w:szCs w:val="30"/>
        </w:rPr>
        <w:t>二、诚实守信，自觉遵守商业道德，维护上交所债券市场秩序。</w:t>
      </w:r>
    </w:p>
    <w:p w14:paraId="1FB9C82C">
      <w:pPr>
        <w:spacing w:line="600" w:lineRule="exact"/>
        <w:ind w:firstLine="600" w:firstLineChars="200"/>
        <w:rPr>
          <w:rFonts w:ascii="仿宋_GB2312" w:eastAsia="仿宋_GB2312"/>
          <w:sz w:val="30"/>
          <w:szCs w:val="30"/>
        </w:rPr>
      </w:pPr>
      <w:r>
        <w:rPr>
          <w:rFonts w:hint="eastAsia" w:ascii="仿宋_GB2312" w:eastAsia="仿宋_GB2312"/>
          <w:sz w:val="30"/>
          <w:szCs w:val="30"/>
        </w:rPr>
        <w:t>三、同意遵守上交所关于债券做市的相关规定，接受上交所的自律管理和评价考核。</w:t>
      </w:r>
    </w:p>
    <w:p w14:paraId="69E197DA">
      <w:pPr>
        <w:spacing w:line="600" w:lineRule="exact"/>
        <w:ind w:firstLine="600" w:firstLineChars="200"/>
        <w:rPr>
          <w:rFonts w:ascii="仿宋_GB2312" w:eastAsia="仿宋_GB2312"/>
          <w:sz w:val="30"/>
          <w:szCs w:val="30"/>
        </w:rPr>
      </w:pPr>
      <w:r>
        <w:rPr>
          <w:rFonts w:hint="eastAsia" w:ascii="仿宋_GB2312" w:eastAsia="仿宋_GB2312"/>
          <w:sz w:val="30"/>
          <w:szCs w:val="30"/>
        </w:rPr>
        <w:t>四、如违反法律、法规、规章及上交所相关业务规则，接受上交所做出的监管措施和纪律处分，并对此承担一切法律责任。</w:t>
      </w:r>
    </w:p>
    <w:p w14:paraId="75072B34">
      <w:pPr>
        <w:pStyle w:val="18"/>
        <w:rPr>
          <w:szCs w:val="30"/>
        </w:rPr>
      </w:pPr>
      <w:r>
        <w:rPr>
          <w:rFonts w:hint="eastAsia"/>
          <w:szCs w:val="30"/>
        </w:rPr>
        <w:t>我公司保证向上交所提供的书面和电子资料真实、准确、完整与合法。</w:t>
      </w:r>
    </w:p>
    <w:p w14:paraId="479F1EB6">
      <w:pPr>
        <w:pStyle w:val="18"/>
        <w:jc w:val="right"/>
        <w:rPr>
          <w:szCs w:val="30"/>
        </w:rPr>
      </w:pPr>
      <w:r>
        <w:rPr>
          <w:rFonts w:hint="eastAsia"/>
          <w:szCs w:val="30"/>
        </w:rPr>
        <w:t>申请人：_____________________</w:t>
      </w:r>
      <w:r>
        <w:rPr>
          <w:szCs w:val="30"/>
        </w:rPr>
        <w:t xml:space="preserve">   </w:t>
      </w:r>
      <w:r>
        <w:rPr>
          <w:rFonts w:hint="eastAsia"/>
          <w:szCs w:val="30"/>
        </w:rPr>
        <w:t>（加盖公章）</w:t>
      </w:r>
    </w:p>
    <w:p w14:paraId="3BC5663D">
      <w:pPr>
        <w:pStyle w:val="18"/>
        <w:jc w:val="right"/>
        <w:rPr>
          <w:szCs w:val="30"/>
        </w:rPr>
      </w:pPr>
      <w:r>
        <w:rPr>
          <w:rFonts w:hint="eastAsia"/>
          <w:szCs w:val="30"/>
        </w:rPr>
        <w:t xml:space="preserve">                                     经办人（签字）：</w:t>
      </w:r>
    </w:p>
    <w:p w14:paraId="635CCAC6">
      <w:pPr>
        <w:pStyle w:val="18"/>
        <w:jc w:val="right"/>
        <w:rPr>
          <w:szCs w:val="30"/>
        </w:rPr>
      </w:pPr>
      <w:r>
        <w:rPr>
          <w:rFonts w:hint="eastAsia"/>
          <w:szCs w:val="30"/>
        </w:rPr>
        <w:t xml:space="preserve">                                     申请日期：</w:t>
      </w:r>
    </w:p>
    <w:p w14:paraId="5A8B7151">
      <w:pPr>
        <w:pStyle w:val="18"/>
        <w:jc w:val="right"/>
        <w:rPr>
          <w:szCs w:val="30"/>
        </w:rPr>
      </w:pPr>
      <w:r>
        <w:rPr>
          <w:rFonts w:hint="eastAsia"/>
          <w:szCs w:val="30"/>
        </w:rPr>
        <w:t xml:space="preserve">                                     联系电话：</w:t>
      </w:r>
    </w:p>
    <w:p w14:paraId="53704037">
      <w:pPr>
        <w:widowControl/>
        <w:jc w:val="left"/>
        <w:outlineLvl w:val="1"/>
        <w:rPr>
          <w:rFonts w:ascii="仿宋_GB2312" w:eastAsia="仿宋_GB2312"/>
          <w:b/>
          <w:sz w:val="30"/>
          <w:szCs w:val="30"/>
        </w:rPr>
      </w:pPr>
      <w:bookmarkStart w:id="4016" w:name="_Toc55318688"/>
      <w:bookmarkEnd w:id="4016"/>
      <w:r>
        <w:rPr>
          <w:rFonts w:ascii="仿宋_GB2312" w:eastAsia="仿宋_GB2312"/>
          <w:b/>
          <w:sz w:val="30"/>
          <w:szCs w:val="30"/>
        </w:rPr>
        <w:br w:type="page"/>
      </w:r>
      <w:bookmarkStart w:id="4017" w:name="_Toc766060350"/>
      <w:bookmarkStart w:id="4018" w:name="_Toc1166004256"/>
      <w:bookmarkStart w:id="4019" w:name="_Toc1532698882"/>
      <w:bookmarkStart w:id="4020" w:name="_Toc2131863134"/>
      <w:bookmarkStart w:id="4021" w:name="_Toc2130705310"/>
      <w:bookmarkStart w:id="4022" w:name="_Toc1752358602"/>
      <w:bookmarkStart w:id="4023" w:name="_Toc151137096"/>
      <w:r>
        <w:rPr>
          <w:rFonts w:hint="eastAsia" w:ascii="仿宋_GB2312" w:hAnsi="黑体" w:eastAsia="仿宋_GB2312"/>
          <w:b/>
          <w:sz w:val="30"/>
          <w:szCs w:val="30"/>
        </w:rPr>
        <w:t>附件13 债券做市账户登记表</w:t>
      </w:r>
      <w:bookmarkEnd w:id="4017"/>
      <w:bookmarkEnd w:id="4018"/>
      <w:bookmarkEnd w:id="4019"/>
      <w:bookmarkEnd w:id="4020"/>
      <w:bookmarkEnd w:id="4021"/>
      <w:bookmarkEnd w:id="4022"/>
      <w:bookmarkEnd w:id="4023"/>
    </w:p>
    <w:p w14:paraId="77BD7A0E">
      <w:pPr>
        <w:spacing w:line="600" w:lineRule="exact"/>
        <w:jc w:val="center"/>
        <w:rPr>
          <w:rFonts w:ascii="黑体" w:hAnsi="黑体" w:eastAsia="黑体" w:cs="黑体"/>
          <w:b/>
          <w:sz w:val="44"/>
          <w:szCs w:val="44"/>
        </w:rPr>
      </w:pPr>
    </w:p>
    <w:p w14:paraId="4C054876">
      <w:pPr>
        <w:spacing w:line="600" w:lineRule="exact"/>
        <w:jc w:val="center"/>
        <w:rPr>
          <w:rFonts w:ascii="黑体" w:hAnsi="黑体" w:eastAsia="黑体" w:cs="黑体"/>
          <w:b/>
          <w:sz w:val="44"/>
          <w:szCs w:val="44"/>
        </w:rPr>
      </w:pPr>
      <w:r>
        <w:rPr>
          <w:rFonts w:hint="eastAsia" w:ascii="黑体" w:hAnsi="黑体" w:eastAsia="黑体" w:cs="黑体"/>
          <w:b/>
          <w:sz w:val="44"/>
          <w:szCs w:val="44"/>
        </w:rPr>
        <w:t>债券做市账户登记表</w:t>
      </w:r>
    </w:p>
    <w:p w14:paraId="42763A9A">
      <w:pPr>
        <w:spacing w:line="600" w:lineRule="exact"/>
        <w:ind w:firstLine="600" w:firstLineChars="200"/>
        <w:rPr>
          <w:rFonts w:ascii="仿宋_GB2312" w:eastAsia="仿宋_GB2312"/>
          <w:sz w:val="30"/>
          <w:szCs w:val="30"/>
        </w:rPr>
      </w:pPr>
    </w:p>
    <w:tbl>
      <w:tblPr>
        <w:tblStyle w:val="43"/>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1"/>
        <w:gridCol w:w="952"/>
        <w:gridCol w:w="748"/>
        <w:gridCol w:w="1279"/>
        <w:gridCol w:w="1417"/>
        <w:gridCol w:w="680"/>
        <w:gridCol w:w="579"/>
        <w:gridCol w:w="1581"/>
      </w:tblGrid>
      <w:tr w14:paraId="28240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3317" w:type="pct"/>
            <w:gridSpan w:val="5"/>
            <w:vAlign w:val="center"/>
          </w:tcPr>
          <w:p w14:paraId="05B74284">
            <w:pPr>
              <w:rPr>
                <w:rFonts w:ascii="仿宋_GB2312" w:eastAsia="仿宋_GB2312"/>
                <w:sz w:val="24"/>
                <w:szCs w:val="24"/>
              </w:rPr>
            </w:pPr>
            <w:r>
              <w:rPr>
                <w:rFonts w:hint="eastAsia" w:ascii="仿宋_GB2312" w:eastAsia="仿宋_GB2312"/>
                <w:sz w:val="24"/>
                <w:szCs w:val="24"/>
              </w:rPr>
              <w:t>做市商全称：</w:t>
            </w:r>
          </w:p>
        </w:tc>
        <w:tc>
          <w:tcPr>
            <w:tcW w:w="1683" w:type="pct"/>
            <w:gridSpan w:val="3"/>
            <w:vAlign w:val="center"/>
          </w:tcPr>
          <w:p w14:paraId="00AA534D">
            <w:pPr>
              <w:rPr>
                <w:rFonts w:ascii="仿宋_GB2312" w:eastAsia="仿宋_GB2312"/>
                <w:sz w:val="24"/>
                <w:szCs w:val="24"/>
              </w:rPr>
            </w:pPr>
            <w:r>
              <w:rPr>
                <w:rFonts w:hint="eastAsia" w:ascii="仿宋_GB2312" w:eastAsia="仿宋_GB2312"/>
                <w:sz w:val="24"/>
                <w:szCs w:val="24"/>
              </w:rPr>
              <w:t>电话：</w:t>
            </w:r>
          </w:p>
        </w:tc>
      </w:tr>
      <w:tr w14:paraId="26A11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3317" w:type="pct"/>
            <w:gridSpan w:val="5"/>
            <w:vAlign w:val="center"/>
          </w:tcPr>
          <w:p w14:paraId="567AADB5">
            <w:pPr>
              <w:rPr>
                <w:rFonts w:ascii="仿宋_GB2312" w:eastAsia="仿宋_GB2312"/>
                <w:sz w:val="24"/>
                <w:szCs w:val="24"/>
              </w:rPr>
            </w:pPr>
            <w:r>
              <w:rPr>
                <w:rFonts w:hint="eastAsia" w:ascii="仿宋_GB2312" w:eastAsia="仿宋_GB2312"/>
                <w:sz w:val="24"/>
                <w:szCs w:val="24"/>
              </w:rPr>
              <w:t xml:space="preserve">公司地址： </w:t>
            </w:r>
          </w:p>
        </w:tc>
        <w:tc>
          <w:tcPr>
            <w:tcW w:w="1683" w:type="pct"/>
            <w:gridSpan w:val="3"/>
            <w:vAlign w:val="center"/>
          </w:tcPr>
          <w:p w14:paraId="3931CF48">
            <w:pPr>
              <w:rPr>
                <w:rFonts w:ascii="仿宋_GB2312" w:eastAsia="仿宋_GB2312"/>
                <w:sz w:val="24"/>
                <w:szCs w:val="24"/>
              </w:rPr>
            </w:pPr>
            <w:r>
              <w:rPr>
                <w:rFonts w:hint="eastAsia" w:ascii="仿宋_GB2312" w:eastAsia="仿宋_GB2312"/>
                <w:sz w:val="24"/>
                <w:szCs w:val="24"/>
              </w:rPr>
              <w:t>传真：</w:t>
            </w:r>
          </w:p>
        </w:tc>
      </w:tr>
      <w:tr w14:paraId="319E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276" w:type="pct"/>
            <w:gridSpan w:val="2"/>
            <w:vAlign w:val="center"/>
          </w:tcPr>
          <w:p w14:paraId="16BF33AF">
            <w:pPr>
              <w:rPr>
                <w:rFonts w:ascii="仿宋_GB2312" w:eastAsia="仿宋_GB2312"/>
                <w:sz w:val="24"/>
                <w:szCs w:val="24"/>
              </w:rPr>
            </w:pPr>
            <w:r>
              <w:rPr>
                <w:rFonts w:hint="eastAsia" w:ascii="仿宋_GB2312" w:eastAsia="仿宋_GB2312"/>
                <w:sz w:val="24"/>
                <w:szCs w:val="24"/>
              </w:rPr>
              <w:t>债券投资者类型</w:t>
            </w:r>
          </w:p>
        </w:tc>
        <w:tc>
          <w:tcPr>
            <w:tcW w:w="3724" w:type="pct"/>
            <w:gridSpan w:val="6"/>
            <w:vAlign w:val="center"/>
          </w:tcPr>
          <w:p w14:paraId="12DEA3C4">
            <w:pPr>
              <w:rPr>
                <w:rFonts w:ascii="仿宋_GB2312" w:eastAsia="仿宋_GB2312"/>
                <w:sz w:val="24"/>
                <w:szCs w:val="24"/>
              </w:rPr>
            </w:pPr>
            <w:r>
              <w:rPr>
                <w:rFonts w:hint="eastAsia" w:ascii="仿宋_GB2312" w:eastAsia="仿宋_GB2312"/>
                <w:sz w:val="24"/>
                <w:szCs w:val="24"/>
              </w:rPr>
              <w:t>□证券公司</w:t>
            </w:r>
            <w:r>
              <w:rPr>
                <w:rFonts w:ascii="仿宋_GB2312" w:eastAsia="仿宋_GB2312"/>
                <w:sz w:val="24"/>
                <w:szCs w:val="24"/>
              </w:rPr>
              <w:t xml:space="preserve">  </w:t>
            </w:r>
            <w:r>
              <w:rPr>
                <w:rFonts w:hint="eastAsia" w:ascii="仿宋_GB2312" w:eastAsia="仿宋_GB2312"/>
                <w:sz w:val="24"/>
                <w:szCs w:val="24"/>
              </w:rPr>
              <w:t>□银行  □证券公司资产管理子公司</w:t>
            </w:r>
            <w:r>
              <w:rPr>
                <w:rFonts w:ascii="仿宋_GB2312" w:eastAsia="仿宋_GB2312"/>
                <w:sz w:val="24"/>
                <w:szCs w:val="24"/>
              </w:rPr>
              <w:t xml:space="preserve">  </w:t>
            </w:r>
          </w:p>
          <w:p w14:paraId="32EFEAF4">
            <w:pPr>
              <w:rPr>
                <w:rFonts w:ascii="仿宋_GB2312" w:eastAsia="仿宋_GB2312"/>
                <w:sz w:val="24"/>
                <w:szCs w:val="24"/>
              </w:rPr>
            </w:pPr>
            <w:r>
              <w:rPr>
                <w:rFonts w:hint="eastAsia" w:ascii="仿宋_GB2312" w:eastAsia="仿宋_GB2312"/>
                <w:sz w:val="24"/>
                <w:szCs w:val="24"/>
              </w:rPr>
              <w:t>□银行理财子公司</w:t>
            </w:r>
            <w:r>
              <w:rPr>
                <w:rFonts w:ascii="仿宋_GB2312" w:eastAsia="仿宋_GB2312"/>
                <w:sz w:val="24"/>
                <w:szCs w:val="24"/>
              </w:rPr>
              <w:t xml:space="preserve">  </w:t>
            </w:r>
            <w:r>
              <w:rPr>
                <w:rFonts w:hint="eastAsia" w:ascii="仿宋_GB2312" w:eastAsia="仿宋_GB2312"/>
                <w:sz w:val="24"/>
                <w:szCs w:val="24"/>
              </w:rPr>
              <w:t>□证券投资基金管理公司</w:t>
            </w:r>
            <w:r>
              <w:rPr>
                <w:rFonts w:ascii="仿宋_GB2312" w:eastAsia="仿宋_GB2312"/>
                <w:sz w:val="24"/>
                <w:szCs w:val="24"/>
              </w:rPr>
              <w:t xml:space="preserve">  </w:t>
            </w:r>
          </w:p>
          <w:p w14:paraId="4DA76DF9">
            <w:pPr>
              <w:rPr>
                <w:rFonts w:ascii="仿宋_GB2312" w:eastAsia="仿宋_GB2312"/>
                <w:sz w:val="24"/>
                <w:szCs w:val="24"/>
              </w:rPr>
            </w:pPr>
            <w:r>
              <w:rPr>
                <w:rFonts w:hint="eastAsia" w:ascii="仿宋_GB2312" w:eastAsia="仿宋_GB2312"/>
                <w:sz w:val="24"/>
                <w:szCs w:val="24"/>
              </w:rPr>
              <w:t>□保险公司 □保险资产管理公司</w:t>
            </w:r>
            <w:r>
              <w:rPr>
                <w:rFonts w:ascii="仿宋_GB2312" w:eastAsia="仿宋_GB2312"/>
                <w:sz w:val="24"/>
                <w:szCs w:val="24"/>
              </w:rPr>
              <w:t xml:space="preserve">  </w:t>
            </w:r>
            <w:r>
              <w:rPr>
                <w:rFonts w:hint="eastAsia" w:ascii="仿宋_GB2312" w:eastAsia="仿宋_GB2312"/>
                <w:sz w:val="24"/>
                <w:szCs w:val="24"/>
              </w:rPr>
              <w:t>□信托公司</w:t>
            </w:r>
            <w:r>
              <w:rPr>
                <w:rFonts w:ascii="仿宋_GB2312" w:eastAsia="仿宋_GB2312"/>
                <w:sz w:val="24"/>
                <w:szCs w:val="24"/>
              </w:rPr>
              <w:t xml:space="preserve">  </w:t>
            </w:r>
          </w:p>
          <w:p w14:paraId="4E3F64FC">
            <w:pPr>
              <w:rPr>
                <w:rFonts w:ascii="仿宋_GB2312" w:eastAsia="仿宋_GB2312"/>
                <w:sz w:val="24"/>
                <w:szCs w:val="24"/>
              </w:rPr>
            </w:pPr>
            <w:r>
              <w:rPr>
                <w:rFonts w:hint="eastAsia" w:ascii="仿宋_GB2312" w:eastAsia="仿宋_GB2312"/>
                <w:sz w:val="24"/>
                <w:szCs w:val="24"/>
              </w:rPr>
              <w:t>□财务公司  □期货公司</w:t>
            </w:r>
            <w:r>
              <w:rPr>
                <w:rFonts w:ascii="仿宋_GB2312" w:eastAsia="仿宋_GB2312"/>
                <w:sz w:val="24"/>
                <w:szCs w:val="24"/>
              </w:rPr>
              <w:t xml:space="preserve"> </w:t>
            </w:r>
            <w:r>
              <w:rPr>
                <w:rFonts w:hint="eastAsia" w:ascii="仿宋_GB2312" w:eastAsia="仿宋_GB2312"/>
                <w:sz w:val="24"/>
                <w:szCs w:val="24"/>
              </w:rPr>
              <w:t>□其他机构</w:t>
            </w:r>
          </w:p>
        </w:tc>
      </w:tr>
      <w:tr w14:paraId="1CF6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276" w:type="pct"/>
            <w:gridSpan w:val="2"/>
            <w:tcBorders>
              <w:bottom w:val="single" w:color="auto" w:sz="4" w:space="0"/>
            </w:tcBorders>
            <w:vAlign w:val="center"/>
          </w:tcPr>
          <w:p w14:paraId="6940725A">
            <w:pPr>
              <w:rPr>
                <w:rFonts w:ascii="仿宋_GB2312" w:eastAsia="仿宋_GB2312"/>
                <w:sz w:val="24"/>
                <w:szCs w:val="24"/>
              </w:rPr>
            </w:pPr>
            <w:r>
              <w:rPr>
                <w:rFonts w:hint="eastAsia" w:ascii="仿宋_GB2312" w:eastAsia="仿宋_GB2312"/>
                <w:sz w:val="24"/>
                <w:szCs w:val="24"/>
              </w:rPr>
              <w:t>做市证券账户</w:t>
            </w:r>
          </w:p>
        </w:tc>
        <w:tc>
          <w:tcPr>
            <w:tcW w:w="1201" w:type="pct"/>
            <w:gridSpan w:val="2"/>
            <w:tcBorders>
              <w:bottom w:val="single" w:color="auto" w:sz="4" w:space="0"/>
            </w:tcBorders>
            <w:vAlign w:val="center"/>
          </w:tcPr>
          <w:p w14:paraId="51EC1144">
            <w:pPr>
              <w:rPr>
                <w:rFonts w:ascii="仿宋_GB2312" w:eastAsia="仿宋_GB2312"/>
                <w:sz w:val="24"/>
                <w:szCs w:val="24"/>
              </w:rPr>
            </w:pPr>
          </w:p>
        </w:tc>
        <w:tc>
          <w:tcPr>
            <w:tcW w:w="1243" w:type="pct"/>
            <w:gridSpan w:val="2"/>
            <w:tcBorders>
              <w:bottom w:val="single" w:color="auto" w:sz="4" w:space="0"/>
            </w:tcBorders>
            <w:vAlign w:val="center"/>
          </w:tcPr>
          <w:p w14:paraId="1B67D782">
            <w:pPr>
              <w:rPr>
                <w:rFonts w:ascii="仿宋_GB2312" w:eastAsia="仿宋_GB2312"/>
                <w:sz w:val="24"/>
                <w:szCs w:val="24"/>
              </w:rPr>
            </w:pPr>
            <w:r>
              <w:rPr>
                <w:rFonts w:hint="eastAsia" w:ascii="仿宋_GB2312" w:eastAsia="仿宋_GB2312"/>
                <w:sz w:val="24"/>
                <w:szCs w:val="24"/>
              </w:rPr>
              <w:t>做市证券账户名称</w:t>
            </w:r>
          </w:p>
        </w:tc>
        <w:tc>
          <w:tcPr>
            <w:tcW w:w="1280" w:type="pct"/>
            <w:gridSpan w:val="2"/>
            <w:tcBorders>
              <w:bottom w:val="single" w:color="auto" w:sz="4" w:space="0"/>
            </w:tcBorders>
            <w:vAlign w:val="center"/>
          </w:tcPr>
          <w:p w14:paraId="02EC4E22">
            <w:pPr>
              <w:rPr>
                <w:rFonts w:ascii="仿宋_GB2312" w:eastAsia="仿宋_GB2312"/>
                <w:sz w:val="24"/>
                <w:szCs w:val="24"/>
              </w:rPr>
            </w:pPr>
          </w:p>
        </w:tc>
      </w:tr>
      <w:tr w14:paraId="604F5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276" w:type="pct"/>
            <w:gridSpan w:val="2"/>
            <w:tcBorders>
              <w:bottom w:val="single" w:color="auto" w:sz="4" w:space="0"/>
            </w:tcBorders>
            <w:vAlign w:val="center"/>
          </w:tcPr>
          <w:p w14:paraId="3D64ED31">
            <w:pPr>
              <w:rPr>
                <w:rFonts w:ascii="仿宋_GB2312" w:eastAsia="仿宋_GB2312"/>
                <w:sz w:val="24"/>
                <w:szCs w:val="24"/>
              </w:rPr>
            </w:pPr>
            <w:r>
              <w:rPr>
                <w:rFonts w:hint="eastAsia" w:ascii="仿宋_GB2312" w:eastAsia="仿宋_GB2312"/>
                <w:sz w:val="24"/>
                <w:szCs w:val="24"/>
              </w:rPr>
              <w:t>做市交易单元</w:t>
            </w:r>
          </w:p>
        </w:tc>
        <w:tc>
          <w:tcPr>
            <w:tcW w:w="1201" w:type="pct"/>
            <w:gridSpan w:val="2"/>
            <w:tcBorders>
              <w:bottom w:val="single" w:color="auto" w:sz="4" w:space="0"/>
            </w:tcBorders>
            <w:vAlign w:val="center"/>
          </w:tcPr>
          <w:p w14:paraId="35399520">
            <w:pPr>
              <w:rPr>
                <w:rFonts w:ascii="仿宋_GB2312" w:eastAsia="仿宋_GB2312"/>
                <w:sz w:val="24"/>
                <w:szCs w:val="24"/>
              </w:rPr>
            </w:pPr>
          </w:p>
        </w:tc>
        <w:tc>
          <w:tcPr>
            <w:tcW w:w="2523" w:type="pct"/>
            <w:gridSpan w:val="4"/>
            <w:tcBorders>
              <w:bottom w:val="single" w:color="auto" w:sz="4" w:space="0"/>
            </w:tcBorders>
            <w:vAlign w:val="center"/>
          </w:tcPr>
          <w:p w14:paraId="50167075">
            <w:pPr>
              <w:rPr>
                <w:rFonts w:ascii="仿宋_GB2312" w:eastAsia="仿宋_GB2312"/>
                <w:sz w:val="24"/>
                <w:szCs w:val="24"/>
              </w:rPr>
            </w:pPr>
          </w:p>
        </w:tc>
      </w:tr>
      <w:tr w14:paraId="06645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12" w:type="pct"/>
            <w:vAlign w:val="center"/>
          </w:tcPr>
          <w:p w14:paraId="728A71CB">
            <w:pPr>
              <w:rPr>
                <w:rFonts w:ascii="仿宋_GB2312" w:eastAsia="仿宋_GB2312"/>
                <w:sz w:val="24"/>
                <w:szCs w:val="24"/>
              </w:rPr>
            </w:pPr>
            <w:r>
              <w:rPr>
                <w:rFonts w:hint="eastAsia" w:ascii="仿宋_GB2312" w:eastAsia="仿宋_GB2312"/>
                <w:sz w:val="24"/>
                <w:szCs w:val="24"/>
              </w:rPr>
              <w:t>做市业务负责人</w:t>
            </w:r>
          </w:p>
        </w:tc>
        <w:tc>
          <w:tcPr>
            <w:tcW w:w="564" w:type="pct"/>
            <w:vAlign w:val="center"/>
          </w:tcPr>
          <w:p w14:paraId="3D107BAE">
            <w:pPr>
              <w:rPr>
                <w:rFonts w:ascii="仿宋_GB2312" w:eastAsia="仿宋_GB2312"/>
                <w:sz w:val="24"/>
                <w:szCs w:val="24"/>
              </w:rPr>
            </w:pPr>
            <w:r>
              <w:rPr>
                <w:rFonts w:hint="eastAsia" w:ascii="仿宋_GB2312" w:eastAsia="仿宋_GB2312"/>
                <w:sz w:val="24"/>
                <w:szCs w:val="24"/>
              </w:rPr>
              <w:t>部门</w:t>
            </w:r>
          </w:p>
        </w:tc>
        <w:tc>
          <w:tcPr>
            <w:tcW w:w="443" w:type="pct"/>
            <w:vAlign w:val="center"/>
          </w:tcPr>
          <w:p w14:paraId="0CDCE840">
            <w:pPr>
              <w:rPr>
                <w:rFonts w:ascii="仿宋_GB2312" w:eastAsia="仿宋_GB2312"/>
                <w:sz w:val="24"/>
                <w:szCs w:val="24"/>
              </w:rPr>
            </w:pPr>
            <w:r>
              <w:rPr>
                <w:rFonts w:hint="eastAsia" w:ascii="仿宋_GB2312" w:eastAsia="仿宋_GB2312"/>
                <w:sz w:val="24"/>
                <w:szCs w:val="24"/>
              </w:rPr>
              <w:t>职务</w:t>
            </w:r>
          </w:p>
        </w:tc>
        <w:tc>
          <w:tcPr>
            <w:tcW w:w="758" w:type="pct"/>
            <w:vAlign w:val="center"/>
          </w:tcPr>
          <w:p w14:paraId="23C3C0C2">
            <w:pPr>
              <w:rPr>
                <w:rFonts w:ascii="仿宋_GB2312" w:eastAsia="仿宋_GB2312"/>
                <w:sz w:val="24"/>
                <w:szCs w:val="24"/>
              </w:rPr>
            </w:pPr>
            <w:r>
              <w:rPr>
                <w:rFonts w:hint="eastAsia" w:ascii="仿宋_GB2312" w:eastAsia="仿宋_GB2312"/>
                <w:sz w:val="24"/>
                <w:szCs w:val="24"/>
              </w:rPr>
              <w:t>电话</w:t>
            </w:r>
          </w:p>
        </w:tc>
        <w:tc>
          <w:tcPr>
            <w:tcW w:w="840" w:type="pct"/>
            <w:vAlign w:val="center"/>
          </w:tcPr>
          <w:p w14:paraId="542CC3A3">
            <w:pPr>
              <w:rPr>
                <w:rFonts w:ascii="仿宋_GB2312" w:eastAsia="仿宋_GB2312"/>
                <w:sz w:val="24"/>
                <w:szCs w:val="24"/>
              </w:rPr>
            </w:pPr>
            <w:r>
              <w:rPr>
                <w:rFonts w:hint="eastAsia" w:ascii="仿宋_GB2312" w:eastAsia="仿宋_GB2312"/>
                <w:sz w:val="24"/>
                <w:szCs w:val="24"/>
              </w:rPr>
              <w:t>手机</w:t>
            </w:r>
          </w:p>
        </w:tc>
        <w:tc>
          <w:tcPr>
            <w:tcW w:w="746" w:type="pct"/>
            <w:gridSpan w:val="2"/>
            <w:vAlign w:val="center"/>
          </w:tcPr>
          <w:p w14:paraId="31BDAD94">
            <w:pPr>
              <w:rPr>
                <w:rFonts w:ascii="仿宋_GB2312" w:eastAsia="仿宋_GB2312"/>
                <w:sz w:val="24"/>
                <w:szCs w:val="24"/>
              </w:rPr>
            </w:pPr>
            <w:r>
              <w:rPr>
                <w:rFonts w:hint="eastAsia" w:ascii="仿宋_GB2312" w:eastAsia="仿宋_GB2312"/>
                <w:sz w:val="24"/>
                <w:szCs w:val="24"/>
              </w:rPr>
              <w:t>传真</w:t>
            </w:r>
          </w:p>
        </w:tc>
        <w:tc>
          <w:tcPr>
            <w:tcW w:w="937" w:type="pct"/>
            <w:vAlign w:val="center"/>
          </w:tcPr>
          <w:p w14:paraId="695B7245">
            <w:pPr>
              <w:rPr>
                <w:rFonts w:ascii="仿宋_GB2312" w:eastAsia="仿宋_GB2312"/>
                <w:sz w:val="24"/>
                <w:szCs w:val="24"/>
              </w:rPr>
            </w:pPr>
            <w:r>
              <w:rPr>
                <w:rFonts w:ascii="仿宋_GB2312" w:eastAsia="仿宋_GB2312"/>
                <w:sz w:val="24"/>
                <w:szCs w:val="24"/>
              </w:rPr>
              <w:t>E-mail</w:t>
            </w:r>
          </w:p>
        </w:tc>
      </w:tr>
      <w:tr w14:paraId="64735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712" w:type="pct"/>
            <w:vAlign w:val="center"/>
          </w:tcPr>
          <w:p w14:paraId="34BE8140">
            <w:pPr>
              <w:rPr>
                <w:rFonts w:ascii="仿宋_GB2312" w:eastAsia="仿宋_GB2312"/>
                <w:sz w:val="24"/>
                <w:szCs w:val="24"/>
              </w:rPr>
            </w:pPr>
          </w:p>
        </w:tc>
        <w:tc>
          <w:tcPr>
            <w:tcW w:w="564" w:type="pct"/>
            <w:vAlign w:val="center"/>
          </w:tcPr>
          <w:p w14:paraId="25781E75">
            <w:pPr>
              <w:rPr>
                <w:rFonts w:ascii="仿宋_GB2312" w:eastAsia="仿宋_GB2312"/>
                <w:sz w:val="24"/>
                <w:szCs w:val="24"/>
              </w:rPr>
            </w:pPr>
          </w:p>
        </w:tc>
        <w:tc>
          <w:tcPr>
            <w:tcW w:w="443" w:type="pct"/>
            <w:vAlign w:val="center"/>
          </w:tcPr>
          <w:p w14:paraId="632A2620">
            <w:pPr>
              <w:rPr>
                <w:rFonts w:ascii="仿宋_GB2312" w:eastAsia="仿宋_GB2312"/>
                <w:sz w:val="24"/>
                <w:szCs w:val="24"/>
              </w:rPr>
            </w:pPr>
          </w:p>
        </w:tc>
        <w:tc>
          <w:tcPr>
            <w:tcW w:w="758" w:type="pct"/>
            <w:vAlign w:val="center"/>
          </w:tcPr>
          <w:p w14:paraId="2F0CF3F7">
            <w:pPr>
              <w:rPr>
                <w:rFonts w:ascii="仿宋_GB2312" w:eastAsia="仿宋_GB2312"/>
                <w:sz w:val="24"/>
                <w:szCs w:val="24"/>
              </w:rPr>
            </w:pPr>
          </w:p>
        </w:tc>
        <w:tc>
          <w:tcPr>
            <w:tcW w:w="840" w:type="pct"/>
            <w:vAlign w:val="center"/>
          </w:tcPr>
          <w:p w14:paraId="6F31C837">
            <w:pPr>
              <w:rPr>
                <w:rFonts w:ascii="仿宋_GB2312" w:eastAsia="仿宋_GB2312"/>
                <w:sz w:val="24"/>
                <w:szCs w:val="24"/>
              </w:rPr>
            </w:pPr>
          </w:p>
        </w:tc>
        <w:tc>
          <w:tcPr>
            <w:tcW w:w="746" w:type="pct"/>
            <w:gridSpan w:val="2"/>
            <w:vAlign w:val="center"/>
          </w:tcPr>
          <w:p w14:paraId="4C2482ED">
            <w:pPr>
              <w:rPr>
                <w:rFonts w:ascii="仿宋_GB2312" w:eastAsia="仿宋_GB2312"/>
                <w:sz w:val="24"/>
                <w:szCs w:val="24"/>
              </w:rPr>
            </w:pPr>
          </w:p>
        </w:tc>
        <w:tc>
          <w:tcPr>
            <w:tcW w:w="937" w:type="pct"/>
            <w:vAlign w:val="center"/>
          </w:tcPr>
          <w:p w14:paraId="2AAED8F4">
            <w:pPr>
              <w:rPr>
                <w:rFonts w:ascii="仿宋_GB2312" w:eastAsia="仿宋_GB2312"/>
                <w:sz w:val="24"/>
                <w:szCs w:val="24"/>
              </w:rPr>
            </w:pPr>
          </w:p>
        </w:tc>
      </w:tr>
      <w:tr w14:paraId="4F98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12" w:type="pct"/>
            <w:vAlign w:val="center"/>
          </w:tcPr>
          <w:p w14:paraId="45ED3695">
            <w:pPr>
              <w:rPr>
                <w:rFonts w:ascii="仿宋_GB2312" w:eastAsia="仿宋_GB2312"/>
                <w:sz w:val="24"/>
                <w:szCs w:val="24"/>
              </w:rPr>
            </w:pPr>
            <w:r>
              <w:rPr>
                <w:rFonts w:hint="eastAsia" w:ascii="仿宋_GB2312" w:eastAsia="仿宋_GB2312"/>
                <w:sz w:val="24"/>
                <w:szCs w:val="24"/>
              </w:rPr>
              <w:t>做市业务联络人</w:t>
            </w:r>
          </w:p>
        </w:tc>
        <w:tc>
          <w:tcPr>
            <w:tcW w:w="564" w:type="pct"/>
            <w:vAlign w:val="center"/>
          </w:tcPr>
          <w:p w14:paraId="340B20D3">
            <w:pPr>
              <w:rPr>
                <w:rFonts w:ascii="仿宋_GB2312" w:eastAsia="仿宋_GB2312"/>
                <w:sz w:val="24"/>
                <w:szCs w:val="24"/>
              </w:rPr>
            </w:pPr>
            <w:r>
              <w:rPr>
                <w:rFonts w:hint="eastAsia" w:ascii="仿宋_GB2312" w:eastAsia="仿宋_GB2312"/>
                <w:sz w:val="24"/>
                <w:szCs w:val="24"/>
              </w:rPr>
              <w:t>部门</w:t>
            </w:r>
          </w:p>
        </w:tc>
        <w:tc>
          <w:tcPr>
            <w:tcW w:w="443" w:type="pct"/>
            <w:vAlign w:val="center"/>
          </w:tcPr>
          <w:p w14:paraId="7C09C787">
            <w:pPr>
              <w:rPr>
                <w:rFonts w:ascii="仿宋_GB2312" w:eastAsia="仿宋_GB2312"/>
                <w:sz w:val="24"/>
                <w:szCs w:val="24"/>
              </w:rPr>
            </w:pPr>
            <w:r>
              <w:rPr>
                <w:rFonts w:hint="eastAsia" w:ascii="仿宋_GB2312" w:eastAsia="仿宋_GB2312"/>
                <w:sz w:val="24"/>
                <w:szCs w:val="24"/>
              </w:rPr>
              <w:t>职务</w:t>
            </w:r>
          </w:p>
        </w:tc>
        <w:tc>
          <w:tcPr>
            <w:tcW w:w="758" w:type="pct"/>
            <w:vAlign w:val="center"/>
          </w:tcPr>
          <w:p w14:paraId="5E978BE2">
            <w:pPr>
              <w:rPr>
                <w:rFonts w:ascii="仿宋_GB2312" w:eastAsia="仿宋_GB2312"/>
                <w:sz w:val="24"/>
                <w:szCs w:val="24"/>
              </w:rPr>
            </w:pPr>
            <w:r>
              <w:rPr>
                <w:rFonts w:hint="eastAsia" w:ascii="仿宋_GB2312" w:eastAsia="仿宋_GB2312"/>
                <w:sz w:val="24"/>
                <w:szCs w:val="24"/>
              </w:rPr>
              <w:t>电话</w:t>
            </w:r>
          </w:p>
        </w:tc>
        <w:tc>
          <w:tcPr>
            <w:tcW w:w="840" w:type="pct"/>
            <w:vAlign w:val="center"/>
          </w:tcPr>
          <w:p w14:paraId="02CB5361">
            <w:pPr>
              <w:rPr>
                <w:rFonts w:ascii="仿宋_GB2312" w:eastAsia="仿宋_GB2312"/>
                <w:sz w:val="24"/>
                <w:szCs w:val="24"/>
              </w:rPr>
            </w:pPr>
            <w:r>
              <w:rPr>
                <w:rFonts w:hint="eastAsia" w:ascii="仿宋_GB2312" w:eastAsia="仿宋_GB2312"/>
                <w:sz w:val="24"/>
                <w:szCs w:val="24"/>
              </w:rPr>
              <w:t>手机</w:t>
            </w:r>
          </w:p>
        </w:tc>
        <w:tc>
          <w:tcPr>
            <w:tcW w:w="746" w:type="pct"/>
            <w:gridSpan w:val="2"/>
            <w:vAlign w:val="center"/>
          </w:tcPr>
          <w:p w14:paraId="2387FE8E">
            <w:pPr>
              <w:rPr>
                <w:rFonts w:ascii="仿宋_GB2312" w:eastAsia="仿宋_GB2312"/>
                <w:sz w:val="24"/>
                <w:szCs w:val="24"/>
              </w:rPr>
            </w:pPr>
            <w:r>
              <w:rPr>
                <w:rFonts w:hint="eastAsia" w:ascii="仿宋_GB2312" w:eastAsia="仿宋_GB2312"/>
                <w:sz w:val="24"/>
                <w:szCs w:val="24"/>
              </w:rPr>
              <w:t>传真</w:t>
            </w:r>
          </w:p>
        </w:tc>
        <w:tc>
          <w:tcPr>
            <w:tcW w:w="937" w:type="pct"/>
            <w:vAlign w:val="center"/>
          </w:tcPr>
          <w:p w14:paraId="36B2FAC6">
            <w:pPr>
              <w:rPr>
                <w:rFonts w:ascii="仿宋_GB2312" w:eastAsia="仿宋_GB2312"/>
                <w:sz w:val="24"/>
                <w:szCs w:val="24"/>
              </w:rPr>
            </w:pPr>
            <w:r>
              <w:rPr>
                <w:rFonts w:ascii="仿宋_GB2312" w:eastAsia="仿宋_GB2312"/>
                <w:sz w:val="24"/>
                <w:szCs w:val="24"/>
              </w:rPr>
              <w:t>E-mail</w:t>
            </w:r>
          </w:p>
        </w:tc>
      </w:tr>
      <w:tr w14:paraId="0ECDD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12" w:type="pct"/>
            <w:vAlign w:val="center"/>
          </w:tcPr>
          <w:p w14:paraId="4894D820">
            <w:pPr>
              <w:rPr>
                <w:rFonts w:ascii="仿宋_GB2312" w:eastAsia="仿宋_GB2312"/>
                <w:sz w:val="24"/>
                <w:szCs w:val="24"/>
              </w:rPr>
            </w:pPr>
          </w:p>
        </w:tc>
        <w:tc>
          <w:tcPr>
            <w:tcW w:w="564" w:type="pct"/>
            <w:vAlign w:val="center"/>
          </w:tcPr>
          <w:p w14:paraId="54B662CA">
            <w:pPr>
              <w:rPr>
                <w:rFonts w:ascii="仿宋_GB2312" w:eastAsia="仿宋_GB2312"/>
                <w:sz w:val="24"/>
                <w:szCs w:val="24"/>
              </w:rPr>
            </w:pPr>
          </w:p>
        </w:tc>
        <w:tc>
          <w:tcPr>
            <w:tcW w:w="443" w:type="pct"/>
            <w:vAlign w:val="center"/>
          </w:tcPr>
          <w:p w14:paraId="743F30BC">
            <w:pPr>
              <w:rPr>
                <w:rFonts w:ascii="仿宋_GB2312" w:eastAsia="仿宋_GB2312"/>
                <w:sz w:val="24"/>
                <w:szCs w:val="24"/>
              </w:rPr>
            </w:pPr>
          </w:p>
        </w:tc>
        <w:tc>
          <w:tcPr>
            <w:tcW w:w="758" w:type="pct"/>
            <w:vAlign w:val="center"/>
          </w:tcPr>
          <w:p w14:paraId="123C2F7C">
            <w:pPr>
              <w:rPr>
                <w:rFonts w:ascii="仿宋_GB2312" w:eastAsia="仿宋_GB2312"/>
                <w:sz w:val="24"/>
                <w:szCs w:val="24"/>
              </w:rPr>
            </w:pPr>
          </w:p>
        </w:tc>
        <w:tc>
          <w:tcPr>
            <w:tcW w:w="840" w:type="pct"/>
            <w:vAlign w:val="center"/>
          </w:tcPr>
          <w:p w14:paraId="366EBC37">
            <w:pPr>
              <w:rPr>
                <w:rFonts w:ascii="仿宋_GB2312" w:eastAsia="仿宋_GB2312"/>
                <w:sz w:val="24"/>
                <w:szCs w:val="24"/>
              </w:rPr>
            </w:pPr>
          </w:p>
        </w:tc>
        <w:tc>
          <w:tcPr>
            <w:tcW w:w="746" w:type="pct"/>
            <w:gridSpan w:val="2"/>
            <w:vAlign w:val="center"/>
          </w:tcPr>
          <w:p w14:paraId="41E4BD03">
            <w:pPr>
              <w:rPr>
                <w:rFonts w:ascii="仿宋_GB2312" w:eastAsia="仿宋_GB2312"/>
                <w:sz w:val="24"/>
                <w:szCs w:val="24"/>
              </w:rPr>
            </w:pPr>
          </w:p>
        </w:tc>
        <w:tc>
          <w:tcPr>
            <w:tcW w:w="937" w:type="pct"/>
            <w:vAlign w:val="center"/>
          </w:tcPr>
          <w:p w14:paraId="44A66B30">
            <w:pPr>
              <w:rPr>
                <w:rFonts w:ascii="仿宋_GB2312" w:eastAsia="仿宋_GB2312"/>
                <w:sz w:val="24"/>
                <w:szCs w:val="24"/>
              </w:rPr>
            </w:pPr>
          </w:p>
        </w:tc>
      </w:tr>
    </w:tbl>
    <w:p w14:paraId="5555A311">
      <w:pPr>
        <w:pStyle w:val="18"/>
        <w:rPr>
          <w:szCs w:val="30"/>
        </w:rPr>
      </w:pPr>
    </w:p>
    <w:p w14:paraId="112467E9">
      <w:pPr>
        <w:pStyle w:val="18"/>
        <w:jc w:val="right"/>
        <w:rPr>
          <w:szCs w:val="30"/>
        </w:rPr>
      </w:pPr>
      <w:r>
        <w:rPr>
          <w:rFonts w:hint="eastAsia"/>
          <w:szCs w:val="30"/>
        </w:rPr>
        <w:t>做市商：_____________________</w:t>
      </w:r>
      <w:r>
        <w:rPr>
          <w:szCs w:val="30"/>
        </w:rPr>
        <w:t xml:space="preserve">   </w:t>
      </w:r>
      <w:r>
        <w:rPr>
          <w:rFonts w:hint="eastAsia"/>
          <w:szCs w:val="30"/>
        </w:rPr>
        <w:t>（加盖公章）</w:t>
      </w:r>
    </w:p>
    <w:p w14:paraId="6CCC71B4">
      <w:pPr>
        <w:pStyle w:val="18"/>
        <w:jc w:val="right"/>
        <w:rPr>
          <w:szCs w:val="30"/>
        </w:rPr>
      </w:pPr>
    </w:p>
    <w:p w14:paraId="57FE5C9B">
      <w:pPr>
        <w:pStyle w:val="18"/>
        <w:jc w:val="right"/>
        <w:rPr>
          <w:szCs w:val="30"/>
        </w:rPr>
      </w:pPr>
      <w:r>
        <w:rPr>
          <w:rFonts w:hint="eastAsia"/>
          <w:szCs w:val="30"/>
        </w:rPr>
        <w:t xml:space="preserve">                                     经办人（签字）：</w:t>
      </w:r>
    </w:p>
    <w:p w14:paraId="0A4F9F7A">
      <w:pPr>
        <w:pStyle w:val="18"/>
        <w:jc w:val="right"/>
        <w:rPr>
          <w:szCs w:val="30"/>
        </w:rPr>
      </w:pPr>
      <w:r>
        <w:rPr>
          <w:rFonts w:hint="eastAsia"/>
          <w:szCs w:val="30"/>
        </w:rPr>
        <w:t xml:space="preserve">                                     申请日期：</w:t>
      </w:r>
    </w:p>
    <w:p w14:paraId="27905B9B">
      <w:pPr>
        <w:pStyle w:val="18"/>
        <w:jc w:val="right"/>
        <w:rPr>
          <w:szCs w:val="30"/>
        </w:rPr>
      </w:pPr>
      <w:r>
        <w:rPr>
          <w:rFonts w:hint="eastAsia"/>
          <w:szCs w:val="30"/>
        </w:rPr>
        <w:t xml:space="preserve">                                     联系电话：</w:t>
      </w:r>
    </w:p>
    <w:p w14:paraId="6CB13936">
      <w:pPr>
        <w:spacing w:line="600" w:lineRule="exact"/>
        <w:ind w:firstLine="600" w:firstLineChars="200"/>
        <w:rPr>
          <w:rFonts w:ascii="仿宋_GB2312" w:hAnsi="微软雅黑" w:eastAsia="仿宋_GB2312"/>
          <w:sz w:val="30"/>
          <w:szCs w:val="30"/>
        </w:rPr>
      </w:pPr>
    </w:p>
    <w:p w14:paraId="00044A2E">
      <w:pPr>
        <w:widowControl/>
        <w:jc w:val="left"/>
        <w:outlineLvl w:val="1"/>
        <w:rPr>
          <w:rFonts w:ascii="仿宋_GB2312" w:hAnsi="仿宋" w:eastAsia="仿宋_GB2312"/>
          <w:sz w:val="30"/>
          <w:szCs w:val="30"/>
        </w:rPr>
      </w:pPr>
      <w:bookmarkStart w:id="4024" w:name="_Toc55318689"/>
      <w:bookmarkEnd w:id="4024"/>
      <w:r>
        <w:rPr>
          <w:rFonts w:ascii="仿宋_GB2312" w:eastAsia="仿宋_GB2312"/>
          <w:b/>
          <w:sz w:val="30"/>
          <w:szCs w:val="30"/>
        </w:rPr>
        <w:br w:type="page"/>
      </w:r>
      <w:bookmarkStart w:id="4025" w:name="_Toc1699450402"/>
      <w:bookmarkStart w:id="4026" w:name="_Toc151137097"/>
      <w:bookmarkStart w:id="4027" w:name="_Toc1950047822"/>
      <w:bookmarkStart w:id="4028" w:name="_Toc1966946412"/>
      <w:bookmarkStart w:id="4029" w:name="_Toc374208719"/>
      <w:bookmarkStart w:id="4030" w:name="_Toc1582425883"/>
      <w:bookmarkStart w:id="4031" w:name="_Toc265689957"/>
      <w:r>
        <w:rPr>
          <w:rFonts w:hint="eastAsia" w:ascii="仿宋_GB2312" w:hAnsi="黑体" w:eastAsia="仿宋_GB2312"/>
          <w:b/>
          <w:sz w:val="30"/>
          <w:szCs w:val="30"/>
        </w:rPr>
        <w:t>附件14 债券做市账户变更表</w:t>
      </w:r>
      <w:bookmarkEnd w:id="4025"/>
      <w:bookmarkEnd w:id="4026"/>
      <w:bookmarkEnd w:id="4027"/>
      <w:bookmarkEnd w:id="4028"/>
      <w:bookmarkEnd w:id="4029"/>
      <w:bookmarkEnd w:id="4030"/>
      <w:bookmarkEnd w:id="4031"/>
    </w:p>
    <w:p w14:paraId="1F45A29B">
      <w:pPr>
        <w:spacing w:line="600" w:lineRule="exact"/>
        <w:jc w:val="center"/>
        <w:rPr>
          <w:rFonts w:ascii="黑体" w:hAnsi="黑体"/>
          <w:b/>
          <w:sz w:val="44"/>
          <w:szCs w:val="44"/>
        </w:rPr>
      </w:pPr>
    </w:p>
    <w:p w14:paraId="68D25AB6">
      <w:pPr>
        <w:spacing w:line="600" w:lineRule="exact"/>
        <w:jc w:val="center"/>
        <w:rPr>
          <w:rFonts w:ascii="黑体" w:hAnsi="黑体" w:eastAsia="黑体" w:cs="黑体"/>
          <w:b/>
          <w:sz w:val="44"/>
          <w:szCs w:val="44"/>
        </w:rPr>
      </w:pPr>
      <w:r>
        <w:rPr>
          <w:rFonts w:hint="eastAsia" w:ascii="黑体" w:hAnsi="黑体" w:eastAsia="黑体" w:cs="黑体"/>
          <w:b/>
          <w:sz w:val="44"/>
          <w:szCs w:val="44"/>
        </w:rPr>
        <w:t>债券做市账户变更表</w:t>
      </w:r>
    </w:p>
    <w:p w14:paraId="73EDE34E">
      <w:pPr>
        <w:spacing w:line="600" w:lineRule="exact"/>
        <w:ind w:firstLine="600" w:firstLineChars="200"/>
        <w:rPr>
          <w:rFonts w:ascii="仿宋_GB2312" w:eastAsia="仿宋_GB2312"/>
          <w:sz w:val="30"/>
          <w:szCs w:val="30"/>
        </w:rPr>
      </w:pPr>
    </w:p>
    <w:tbl>
      <w:tblPr>
        <w:tblStyle w:val="43"/>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1"/>
        <w:gridCol w:w="952"/>
        <w:gridCol w:w="748"/>
        <w:gridCol w:w="1279"/>
        <w:gridCol w:w="1417"/>
        <w:gridCol w:w="680"/>
        <w:gridCol w:w="579"/>
        <w:gridCol w:w="1581"/>
      </w:tblGrid>
      <w:tr w14:paraId="54FA6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3317" w:type="pct"/>
            <w:gridSpan w:val="5"/>
            <w:vAlign w:val="center"/>
          </w:tcPr>
          <w:p w14:paraId="2A197419">
            <w:pPr>
              <w:rPr>
                <w:rFonts w:ascii="仿宋_GB2312" w:eastAsia="仿宋_GB2312"/>
                <w:sz w:val="24"/>
                <w:szCs w:val="24"/>
              </w:rPr>
            </w:pPr>
            <w:r>
              <w:rPr>
                <w:rFonts w:hint="eastAsia" w:ascii="仿宋_GB2312" w:eastAsia="仿宋_GB2312"/>
                <w:sz w:val="24"/>
                <w:szCs w:val="24"/>
              </w:rPr>
              <w:t>做市商全称：</w:t>
            </w:r>
          </w:p>
        </w:tc>
        <w:tc>
          <w:tcPr>
            <w:tcW w:w="1683" w:type="pct"/>
            <w:gridSpan w:val="3"/>
            <w:vAlign w:val="center"/>
          </w:tcPr>
          <w:p w14:paraId="7DFB5105">
            <w:pPr>
              <w:rPr>
                <w:rFonts w:ascii="仿宋_GB2312" w:eastAsia="仿宋_GB2312"/>
                <w:sz w:val="24"/>
                <w:szCs w:val="24"/>
              </w:rPr>
            </w:pPr>
            <w:r>
              <w:rPr>
                <w:rFonts w:hint="eastAsia" w:ascii="仿宋_GB2312" w:eastAsia="仿宋_GB2312"/>
                <w:sz w:val="24"/>
                <w:szCs w:val="24"/>
              </w:rPr>
              <w:t>电话：</w:t>
            </w:r>
          </w:p>
        </w:tc>
      </w:tr>
      <w:tr w14:paraId="22081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3317" w:type="pct"/>
            <w:gridSpan w:val="5"/>
            <w:vAlign w:val="center"/>
          </w:tcPr>
          <w:p w14:paraId="798CDD11">
            <w:pPr>
              <w:rPr>
                <w:rFonts w:ascii="仿宋_GB2312" w:eastAsia="仿宋_GB2312"/>
                <w:sz w:val="24"/>
                <w:szCs w:val="24"/>
              </w:rPr>
            </w:pPr>
            <w:r>
              <w:rPr>
                <w:rFonts w:hint="eastAsia" w:ascii="仿宋_GB2312" w:eastAsia="仿宋_GB2312"/>
                <w:sz w:val="24"/>
                <w:szCs w:val="24"/>
              </w:rPr>
              <w:t xml:space="preserve">公司地址： </w:t>
            </w:r>
          </w:p>
        </w:tc>
        <w:tc>
          <w:tcPr>
            <w:tcW w:w="1683" w:type="pct"/>
            <w:gridSpan w:val="3"/>
            <w:vAlign w:val="center"/>
          </w:tcPr>
          <w:p w14:paraId="038DB6C0">
            <w:pPr>
              <w:rPr>
                <w:rFonts w:ascii="仿宋_GB2312" w:eastAsia="仿宋_GB2312"/>
                <w:sz w:val="24"/>
                <w:szCs w:val="24"/>
              </w:rPr>
            </w:pPr>
            <w:r>
              <w:rPr>
                <w:rFonts w:hint="eastAsia" w:ascii="仿宋_GB2312" w:eastAsia="仿宋_GB2312"/>
                <w:sz w:val="24"/>
                <w:szCs w:val="24"/>
              </w:rPr>
              <w:t>传真：</w:t>
            </w:r>
          </w:p>
        </w:tc>
      </w:tr>
      <w:tr w14:paraId="4CBBE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276" w:type="pct"/>
            <w:gridSpan w:val="2"/>
            <w:vAlign w:val="center"/>
          </w:tcPr>
          <w:p w14:paraId="5B143B2A">
            <w:pPr>
              <w:rPr>
                <w:rFonts w:ascii="仿宋_GB2312" w:eastAsia="仿宋_GB2312"/>
                <w:sz w:val="24"/>
                <w:szCs w:val="24"/>
              </w:rPr>
            </w:pPr>
            <w:r>
              <w:rPr>
                <w:rFonts w:hint="eastAsia" w:ascii="仿宋_GB2312" w:eastAsia="仿宋_GB2312"/>
                <w:sz w:val="24"/>
                <w:szCs w:val="24"/>
              </w:rPr>
              <w:t>债券投资者类型</w:t>
            </w:r>
          </w:p>
        </w:tc>
        <w:tc>
          <w:tcPr>
            <w:tcW w:w="3724" w:type="pct"/>
            <w:gridSpan w:val="6"/>
            <w:vAlign w:val="center"/>
          </w:tcPr>
          <w:p w14:paraId="1FDF174E">
            <w:pPr>
              <w:rPr>
                <w:rFonts w:ascii="仿宋_GB2312" w:eastAsia="仿宋_GB2312"/>
                <w:sz w:val="24"/>
                <w:szCs w:val="24"/>
              </w:rPr>
            </w:pPr>
            <w:r>
              <w:rPr>
                <w:rFonts w:hint="eastAsia" w:ascii="仿宋_GB2312" w:eastAsia="仿宋_GB2312"/>
                <w:sz w:val="24"/>
                <w:szCs w:val="24"/>
              </w:rPr>
              <w:t>□证券公司</w:t>
            </w:r>
            <w:r>
              <w:rPr>
                <w:rFonts w:ascii="仿宋_GB2312" w:eastAsia="仿宋_GB2312"/>
                <w:sz w:val="24"/>
                <w:szCs w:val="24"/>
              </w:rPr>
              <w:t xml:space="preserve">  </w:t>
            </w:r>
            <w:r>
              <w:rPr>
                <w:rFonts w:hint="eastAsia" w:ascii="仿宋_GB2312" w:eastAsia="仿宋_GB2312"/>
                <w:sz w:val="24"/>
                <w:szCs w:val="24"/>
              </w:rPr>
              <w:t>□银行  □证券公司资产管理子公司</w:t>
            </w:r>
            <w:r>
              <w:rPr>
                <w:rFonts w:ascii="仿宋_GB2312" w:eastAsia="仿宋_GB2312"/>
                <w:sz w:val="24"/>
                <w:szCs w:val="24"/>
              </w:rPr>
              <w:t xml:space="preserve">  </w:t>
            </w:r>
          </w:p>
          <w:p w14:paraId="16500D6D">
            <w:pPr>
              <w:rPr>
                <w:rFonts w:ascii="仿宋_GB2312" w:eastAsia="仿宋_GB2312"/>
                <w:sz w:val="24"/>
                <w:szCs w:val="24"/>
              </w:rPr>
            </w:pPr>
            <w:r>
              <w:rPr>
                <w:rFonts w:hint="eastAsia" w:ascii="仿宋_GB2312" w:eastAsia="仿宋_GB2312"/>
                <w:sz w:val="24"/>
                <w:szCs w:val="24"/>
              </w:rPr>
              <w:t>□银行理财子公司</w:t>
            </w:r>
            <w:r>
              <w:rPr>
                <w:rFonts w:ascii="仿宋_GB2312" w:eastAsia="仿宋_GB2312"/>
                <w:sz w:val="24"/>
                <w:szCs w:val="24"/>
              </w:rPr>
              <w:t xml:space="preserve">  </w:t>
            </w:r>
            <w:r>
              <w:rPr>
                <w:rFonts w:hint="eastAsia" w:ascii="仿宋_GB2312" w:eastAsia="仿宋_GB2312"/>
                <w:sz w:val="24"/>
                <w:szCs w:val="24"/>
              </w:rPr>
              <w:t>□证券投资基金管理公司</w:t>
            </w:r>
            <w:r>
              <w:rPr>
                <w:rFonts w:ascii="仿宋_GB2312" w:eastAsia="仿宋_GB2312"/>
                <w:sz w:val="24"/>
                <w:szCs w:val="24"/>
              </w:rPr>
              <w:t xml:space="preserve">  </w:t>
            </w:r>
          </w:p>
          <w:p w14:paraId="37350321">
            <w:pPr>
              <w:rPr>
                <w:rFonts w:ascii="仿宋_GB2312" w:eastAsia="仿宋_GB2312"/>
                <w:sz w:val="24"/>
                <w:szCs w:val="24"/>
              </w:rPr>
            </w:pPr>
            <w:r>
              <w:rPr>
                <w:rFonts w:hint="eastAsia" w:ascii="仿宋_GB2312" w:eastAsia="仿宋_GB2312"/>
                <w:sz w:val="24"/>
                <w:szCs w:val="24"/>
              </w:rPr>
              <w:t>□保险公司 □保险资产管理公司</w:t>
            </w:r>
            <w:r>
              <w:rPr>
                <w:rFonts w:ascii="仿宋_GB2312" w:eastAsia="仿宋_GB2312"/>
                <w:sz w:val="24"/>
                <w:szCs w:val="24"/>
              </w:rPr>
              <w:t xml:space="preserve">  </w:t>
            </w:r>
            <w:r>
              <w:rPr>
                <w:rFonts w:hint="eastAsia" w:ascii="仿宋_GB2312" w:eastAsia="仿宋_GB2312"/>
                <w:sz w:val="24"/>
                <w:szCs w:val="24"/>
              </w:rPr>
              <w:t>□信托公司</w:t>
            </w:r>
            <w:r>
              <w:rPr>
                <w:rFonts w:ascii="仿宋_GB2312" w:eastAsia="仿宋_GB2312"/>
                <w:sz w:val="24"/>
                <w:szCs w:val="24"/>
              </w:rPr>
              <w:t xml:space="preserve">  </w:t>
            </w:r>
          </w:p>
          <w:p w14:paraId="6F643FD8">
            <w:pPr>
              <w:rPr>
                <w:rFonts w:ascii="仿宋_GB2312" w:eastAsia="仿宋_GB2312"/>
                <w:sz w:val="24"/>
                <w:szCs w:val="24"/>
              </w:rPr>
            </w:pPr>
            <w:r>
              <w:rPr>
                <w:rFonts w:hint="eastAsia" w:ascii="仿宋_GB2312" w:eastAsia="仿宋_GB2312"/>
                <w:sz w:val="24"/>
                <w:szCs w:val="24"/>
              </w:rPr>
              <w:t>□财务公司  □期货公司</w:t>
            </w:r>
            <w:r>
              <w:rPr>
                <w:rFonts w:ascii="仿宋_GB2312" w:eastAsia="仿宋_GB2312"/>
                <w:sz w:val="24"/>
                <w:szCs w:val="24"/>
              </w:rPr>
              <w:t xml:space="preserve">  </w:t>
            </w:r>
            <w:r>
              <w:rPr>
                <w:rFonts w:hint="eastAsia" w:ascii="仿宋_GB2312" w:eastAsia="仿宋_GB2312"/>
                <w:sz w:val="24"/>
                <w:szCs w:val="24"/>
              </w:rPr>
              <w:t>□其他机构</w:t>
            </w:r>
          </w:p>
        </w:tc>
      </w:tr>
      <w:tr w14:paraId="42BC3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5000" w:type="pct"/>
            <w:gridSpan w:val="8"/>
            <w:vAlign w:val="center"/>
          </w:tcPr>
          <w:p w14:paraId="749440FD">
            <w:pPr>
              <w:rPr>
                <w:rFonts w:ascii="仿宋_GB2312" w:eastAsia="仿宋_GB2312"/>
                <w:sz w:val="24"/>
                <w:szCs w:val="24"/>
              </w:rPr>
            </w:pPr>
            <w:r>
              <w:rPr>
                <w:rFonts w:hint="eastAsia" w:ascii="仿宋_GB2312" w:eastAsia="仿宋_GB2312"/>
                <w:sz w:val="24"/>
                <w:szCs w:val="24"/>
              </w:rPr>
              <w:t>变更前</w:t>
            </w:r>
          </w:p>
        </w:tc>
      </w:tr>
      <w:tr w14:paraId="3A362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276" w:type="pct"/>
            <w:gridSpan w:val="2"/>
            <w:tcBorders>
              <w:bottom w:val="single" w:color="auto" w:sz="4" w:space="0"/>
            </w:tcBorders>
            <w:vAlign w:val="center"/>
          </w:tcPr>
          <w:p w14:paraId="20245188">
            <w:pPr>
              <w:rPr>
                <w:rFonts w:ascii="仿宋_GB2312" w:eastAsia="仿宋_GB2312"/>
                <w:sz w:val="24"/>
                <w:szCs w:val="24"/>
              </w:rPr>
            </w:pPr>
            <w:r>
              <w:rPr>
                <w:rFonts w:hint="eastAsia" w:ascii="仿宋_GB2312" w:eastAsia="仿宋_GB2312"/>
                <w:sz w:val="24"/>
                <w:szCs w:val="24"/>
              </w:rPr>
              <w:t>做市证券账户</w:t>
            </w:r>
          </w:p>
        </w:tc>
        <w:tc>
          <w:tcPr>
            <w:tcW w:w="1201" w:type="pct"/>
            <w:gridSpan w:val="2"/>
            <w:tcBorders>
              <w:bottom w:val="single" w:color="auto" w:sz="4" w:space="0"/>
            </w:tcBorders>
            <w:vAlign w:val="center"/>
          </w:tcPr>
          <w:p w14:paraId="693F8187">
            <w:pPr>
              <w:rPr>
                <w:rFonts w:ascii="仿宋_GB2312" w:eastAsia="仿宋_GB2312"/>
                <w:sz w:val="24"/>
                <w:szCs w:val="24"/>
              </w:rPr>
            </w:pPr>
          </w:p>
        </w:tc>
        <w:tc>
          <w:tcPr>
            <w:tcW w:w="1243" w:type="pct"/>
            <w:gridSpan w:val="2"/>
            <w:tcBorders>
              <w:bottom w:val="single" w:color="auto" w:sz="4" w:space="0"/>
            </w:tcBorders>
            <w:vAlign w:val="center"/>
          </w:tcPr>
          <w:p w14:paraId="4851C313">
            <w:pPr>
              <w:rPr>
                <w:rFonts w:ascii="仿宋_GB2312" w:eastAsia="仿宋_GB2312"/>
                <w:sz w:val="24"/>
                <w:szCs w:val="24"/>
              </w:rPr>
            </w:pPr>
            <w:r>
              <w:rPr>
                <w:rFonts w:hint="eastAsia" w:ascii="仿宋_GB2312" w:eastAsia="仿宋_GB2312"/>
                <w:sz w:val="24"/>
                <w:szCs w:val="24"/>
              </w:rPr>
              <w:t>做市证券账户名称</w:t>
            </w:r>
          </w:p>
        </w:tc>
        <w:tc>
          <w:tcPr>
            <w:tcW w:w="1280" w:type="pct"/>
            <w:gridSpan w:val="2"/>
            <w:tcBorders>
              <w:bottom w:val="single" w:color="auto" w:sz="4" w:space="0"/>
            </w:tcBorders>
            <w:vAlign w:val="center"/>
          </w:tcPr>
          <w:p w14:paraId="52D03BF1">
            <w:pPr>
              <w:rPr>
                <w:rFonts w:ascii="仿宋_GB2312" w:eastAsia="仿宋_GB2312"/>
                <w:sz w:val="24"/>
                <w:szCs w:val="24"/>
              </w:rPr>
            </w:pPr>
          </w:p>
        </w:tc>
      </w:tr>
      <w:tr w14:paraId="76B3B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276" w:type="pct"/>
            <w:gridSpan w:val="2"/>
            <w:tcBorders>
              <w:bottom w:val="single" w:color="auto" w:sz="4" w:space="0"/>
            </w:tcBorders>
            <w:vAlign w:val="center"/>
          </w:tcPr>
          <w:p w14:paraId="0BBF2018">
            <w:pPr>
              <w:rPr>
                <w:rFonts w:ascii="仿宋_GB2312" w:eastAsia="仿宋_GB2312"/>
                <w:sz w:val="24"/>
                <w:szCs w:val="24"/>
              </w:rPr>
            </w:pPr>
            <w:r>
              <w:rPr>
                <w:rFonts w:hint="eastAsia" w:ascii="仿宋_GB2312" w:eastAsia="仿宋_GB2312"/>
                <w:sz w:val="24"/>
                <w:szCs w:val="24"/>
              </w:rPr>
              <w:t>做市交易单元</w:t>
            </w:r>
          </w:p>
        </w:tc>
        <w:tc>
          <w:tcPr>
            <w:tcW w:w="1201" w:type="pct"/>
            <w:gridSpan w:val="2"/>
            <w:tcBorders>
              <w:bottom w:val="single" w:color="auto" w:sz="4" w:space="0"/>
            </w:tcBorders>
            <w:vAlign w:val="center"/>
          </w:tcPr>
          <w:p w14:paraId="6ECD84CB">
            <w:pPr>
              <w:rPr>
                <w:rFonts w:ascii="仿宋_GB2312" w:eastAsia="仿宋_GB2312"/>
                <w:sz w:val="24"/>
                <w:szCs w:val="24"/>
              </w:rPr>
            </w:pPr>
          </w:p>
        </w:tc>
        <w:tc>
          <w:tcPr>
            <w:tcW w:w="2523" w:type="pct"/>
            <w:gridSpan w:val="4"/>
            <w:tcBorders>
              <w:bottom w:val="single" w:color="auto" w:sz="4" w:space="0"/>
            </w:tcBorders>
            <w:vAlign w:val="center"/>
          </w:tcPr>
          <w:p w14:paraId="641C3722">
            <w:pPr>
              <w:rPr>
                <w:rFonts w:ascii="仿宋_GB2312" w:eastAsia="仿宋_GB2312"/>
                <w:sz w:val="24"/>
                <w:szCs w:val="24"/>
              </w:rPr>
            </w:pPr>
          </w:p>
        </w:tc>
      </w:tr>
      <w:tr w14:paraId="2C3FA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5000" w:type="pct"/>
            <w:gridSpan w:val="8"/>
            <w:vAlign w:val="center"/>
          </w:tcPr>
          <w:p w14:paraId="54629E4F">
            <w:pPr>
              <w:rPr>
                <w:rFonts w:ascii="仿宋_GB2312" w:eastAsia="仿宋_GB2312"/>
                <w:sz w:val="24"/>
                <w:szCs w:val="24"/>
              </w:rPr>
            </w:pPr>
            <w:r>
              <w:rPr>
                <w:rFonts w:hint="eastAsia" w:ascii="仿宋_GB2312" w:eastAsia="仿宋_GB2312"/>
                <w:sz w:val="24"/>
                <w:szCs w:val="24"/>
              </w:rPr>
              <w:t>变更后</w:t>
            </w:r>
          </w:p>
        </w:tc>
      </w:tr>
      <w:tr w14:paraId="2DB02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276" w:type="pct"/>
            <w:gridSpan w:val="2"/>
            <w:tcBorders>
              <w:bottom w:val="single" w:color="auto" w:sz="4" w:space="0"/>
            </w:tcBorders>
            <w:vAlign w:val="center"/>
          </w:tcPr>
          <w:p w14:paraId="53BD1C7D">
            <w:pPr>
              <w:rPr>
                <w:rFonts w:ascii="仿宋_GB2312" w:eastAsia="仿宋_GB2312"/>
                <w:sz w:val="24"/>
                <w:szCs w:val="24"/>
              </w:rPr>
            </w:pPr>
            <w:r>
              <w:rPr>
                <w:rFonts w:hint="eastAsia" w:ascii="仿宋_GB2312" w:eastAsia="仿宋_GB2312"/>
                <w:sz w:val="24"/>
                <w:szCs w:val="24"/>
              </w:rPr>
              <w:t>做市证券账户</w:t>
            </w:r>
          </w:p>
        </w:tc>
        <w:tc>
          <w:tcPr>
            <w:tcW w:w="1201" w:type="pct"/>
            <w:gridSpan w:val="2"/>
            <w:tcBorders>
              <w:bottom w:val="single" w:color="auto" w:sz="4" w:space="0"/>
            </w:tcBorders>
            <w:vAlign w:val="center"/>
          </w:tcPr>
          <w:p w14:paraId="4B58AFA3">
            <w:pPr>
              <w:rPr>
                <w:rFonts w:ascii="仿宋_GB2312" w:eastAsia="仿宋_GB2312"/>
                <w:sz w:val="24"/>
                <w:szCs w:val="24"/>
              </w:rPr>
            </w:pPr>
          </w:p>
        </w:tc>
        <w:tc>
          <w:tcPr>
            <w:tcW w:w="1243" w:type="pct"/>
            <w:gridSpan w:val="2"/>
            <w:tcBorders>
              <w:bottom w:val="single" w:color="auto" w:sz="4" w:space="0"/>
            </w:tcBorders>
            <w:vAlign w:val="center"/>
          </w:tcPr>
          <w:p w14:paraId="38971E18">
            <w:pPr>
              <w:rPr>
                <w:rFonts w:ascii="仿宋_GB2312" w:eastAsia="仿宋_GB2312"/>
                <w:sz w:val="24"/>
                <w:szCs w:val="24"/>
              </w:rPr>
            </w:pPr>
            <w:r>
              <w:rPr>
                <w:rFonts w:hint="eastAsia" w:ascii="仿宋_GB2312" w:eastAsia="仿宋_GB2312"/>
                <w:sz w:val="24"/>
                <w:szCs w:val="24"/>
              </w:rPr>
              <w:t>做市证券账户名称</w:t>
            </w:r>
          </w:p>
        </w:tc>
        <w:tc>
          <w:tcPr>
            <w:tcW w:w="1280" w:type="pct"/>
            <w:gridSpan w:val="2"/>
            <w:tcBorders>
              <w:bottom w:val="single" w:color="auto" w:sz="4" w:space="0"/>
            </w:tcBorders>
            <w:vAlign w:val="center"/>
          </w:tcPr>
          <w:p w14:paraId="757582FF">
            <w:pPr>
              <w:rPr>
                <w:rFonts w:ascii="仿宋_GB2312" w:eastAsia="仿宋_GB2312"/>
                <w:sz w:val="24"/>
                <w:szCs w:val="24"/>
              </w:rPr>
            </w:pPr>
          </w:p>
        </w:tc>
      </w:tr>
      <w:tr w14:paraId="51C6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276" w:type="pct"/>
            <w:gridSpan w:val="2"/>
            <w:tcBorders>
              <w:bottom w:val="single" w:color="auto" w:sz="4" w:space="0"/>
            </w:tcBorders>
            <w:vAlign w:val="center"/>
          </w:tcPr>
          <w:p w14:paraId="5B9FC94F">
            <w:pPr>
              <w:rPr>
                <w:rFonts w:ascii="仿宋_GB2312" w:eastAsia="仿宋_GB2312"/>
                <w:sz w:val="24"/>
                <w:szCs w:val="24"/>
              </w:rPr>
            </w:pPr>
            <w:r>
              <w:rPr>
                <w:rFonts w:hint="eastAsia" w:ascii="仿宋_GB2312" w:eastAsia="仿宋_GB2312"/>
                <w:sz w:val="24"/>
                <w:szCs w:val="24"/>
              </w:rPr>
              <w:t>做市交易单元</w:t>
            </w:r>
          </w:p>
        </w:tc>
        <w:tc>
          <w:tcPr>
            <w:tcW w:w="1201" w:type="pct"/>
            <w:gridSpan w:val="2"/>
            <w:tcBorders>
              <w:bottom w:val="single" w:color="auto" w:sz="4" w:space="0"/>
            </w:tcBorders>
            <w:vAlign w:val="center"/>
          </w:tcPr>
          <w:p w14:paraId="536E8A44">
            <w:pPr>
              <w:rPr>
                <w:rFonts w:ascii="仿宋_GB2312" w:eastAsia="仿宋_GB2312"/>
                <w:sz w:val="24"/>
                <w:szCs w:val="24"/>
              </w:rPr>
            </w:pPr>
          </w:p>
        </w:tc>
        <w:tc>
          <w:tcPr>
            <w:tcW w:w="2523" w:type="pct"/>
            <w:gridSpan w:val="4"/>
            <w:tcBorders>
              <w:bottom w:val="single" w:color="auto" w:sz="4" w:space="0"/>
            </w:tcBorders>
            <w:vAlign w:val="center"/>
          </w:tcPr>
          <w:p w14:paraId="629E08B9">
            <w:pPr>
              <w:rPr>
                <w:rFonts w:ascii="仿宋_GB2312" w:eastAsia="仿宋_GB2312"/>
                <w:sz w:val="24"/>
                <w:szCs w:val="24"/>
              </w:rPr>
            </w:pPr>
          </w:p>
        </w:tc>
      </w:tr>
      <w:tr w14:paraId="2AF37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712" w:type="pct"/>
            <w:tcBorders>
              <w:bottom w:val="single" w:color="auto" w:sz="4" w:space="0"/>
            </w:tcBorders>
            <w:vAlign w:val="center"/>
          </w:tcPr>
          <w:p w14:paraId="287357E7">
            <w:pPr>
              <w:rPr>
                <w:rFonts w:ascii="仿宋_GB2312" w:eastAsia="仿宋_GB2312"/>
                <w:sz w:val="24"/>
                <w:szCs w:val="24"/>
              </w:rPr>
            </w:pPr>
            <w:r>
              <w:rPr>
                <w:rFonts w:hint="eastAsia" w:ascii="仿宋_GB2312" w:eastAsia="仿宋_GB2312"/>
                <w:sz w:val="24"/>
                <w:szCs w:val="24"/>
              </w:rPr>
              <w:t>变更原因说明</w:t>
            </w:r>
          </w:p>
        </w:tc>
        <w:tc>
          <w:tcPr>
            <w:tcW w:w="4288" w:type="pct"/>
            <w:gridSpan w:val="7"/>
            <w:tcBorders>
              <w:bottom w:val="single" w:color="auto" w:sz="4" w:space="0"/>
            </w:tcBorders>
            <w:vAlign w:val="center"/>
          </w:tcPr>
          <w:p w14:paraId="4F532ABF">
            <w:pPr>
              <w:rPr>
                <w:rFonts w:ascii="仿宋_GB2312" w:eastAsia="仿宋_GB2312"/>
                <w:sz w:val="24"/>
                <w:szCs w:val="24"/>
              </w:rPr>
            </w:pPr>
          </w:p>
        </w:tc>
      </w:tr>
      <w:tr w14:paraId="416E2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12" w:type="pct"/>
            <w:vAlign w:val="center"/>
          </w:tcPr>
          <w:p w14:paraId="0837AAE8">
            <w:pPr>
              <w:rPr>
                <w:rFonts w:ascii="仿宋_GB2312" w:eastAsia="仿宋_GB2312"/>
                <w:sz w:val="24"/>
                <w:szCs w:val="24"/>
              </w:rPr>
            </w:pPr>
            <w:r>
              <w:rPr>
                <w:rFonts w:hint="eastAsia" w:ascii="仿宋_GB2312" w:eastAsia="仿宋_GB2312"/>
                <w:sz w:val="24"/>
                <w:szCs w:val="24"/>
              </w:rPr>
              <w:t>做市业务负责人</w:t>
            </w:r>
          </w:p>
        </w:tc>
        <w:tc>
          <w:tcPr>
            <w:tcW w:w="564" w:type="pct"/>
            <w:vAlign w:val="center"/>
          </w:tcPr>
          <w:p w14:paraId="104F4150">
            <w:pPr>
              <w:rPr>
                <w:rFonts w:ascii="仿宋_GB2312" w:eastAsia="仿宋_GB2312"/>
                <w:sz w:val="24"/>
                <w:szCs w:val="24"/>
              </w:rPr>
            </w:pPr>
            <w:r>
              <w:rPr>
                <w:rFonts w:hint="eastAsia" w:ascii="仿宋_GB2312" w:eastAsia="仿宋_GB2312"/>
                <w:sz w:val="24"/>
                <w:szCs w:val="24"/>
              </w:rPr>
              <w:t>部门</w:t>
            </w:r>
          </w:p>
        </w:tc>
        <w:tc>
          <w:tcPr>
            <w:tcW w:w="443" w:type="pct"/>
            <w:vAlign w:val="center"/>
          </w:tcPr>
          <w:p w14:paraId="43137D9F">
            <w:pPr>
              <w:rPr>
                <w:rFonts w:ascii="仿宋_GB2312" w:eastAsia="仿宋_GB2312"/>
                <w:sz w:val="24"/>
                <w:szCs w:val="24"/>
              </w:rPr>
            </w:pPr>
            <w:r>
              <w:rPr>
                <w:rFonts w:hint="eastAsia" w:ascii="仿宋_GB2312" w:eastAsia="仿宋_GB2312"/>
                <w:sz w:val="24"/>
                <w:szCs w:val="24"/>
              </w:rPr>
              <w:t>职务</w:t>
            </w:r>
          </w:p>
        </w:tc>
        <w:tc>
          <w:tcPr>
            <w:tcW w:w="758" w:type="pct"/>
            <w:vAlign w:val="center"/>
          </w:tcPr>
          <w:p w14:paraId="547114E4">
            <w:pPr>
              <w:rPr>
                <w:rFonts w:ascii="仿宋_GB2312" w:eastAsia="仿宋_GB2312"/>
                <w:sz w:val="24"/>
                <w:szCs w:val="24"/>
              </w:rPr>
            </w:pPr>
            <w:r>
              <w:rPr>
                <w:rFonts w:hint="eastAsia" w:ascii="仿宋_GB2312" w:eastAsia="仿宋_GB2312"/>
                <w:sz w:val="24"/>
                <w:szCs w:val="24"/>
              </w:rPr>
              <w:t>电话</w:t>
            </w:r>
          </w:p>
        </w:tc>
        <w:tc>
          <w:tcPr>
            <w:tcW w:w="840" w:type="pct"/>
            <w:vAlign w:val="center"/>
          </w:tcPr>
          <w:p w14:paraId="024958E3">
            <w:pPr>
              <w:rPr>
                <w:rFonts w:ascii="仿宋_GB2312" w:eastAsia="仿宋_GB2312"/>
                <w:sz w:val="24"/>
                <w:szCs w:val="24"/>
              </w:rPr>
            </w:pPr>
            <w:r>
              <w:rPr>
                <w:rFonts w:hint="eastAsia" w:ascii="仿宋_GB2312" w:eastAsia="仿宋_GB2312"/>
                <w:sz w:val="24"/>
                <w:szCs w:val="24"/>
              </w:rPr>
              <w:t>手机</w:t>
            </w:r>
          </w:p>
        </w:tc>
        <w:tc>
          <w:tcPr>
            <w:tcW w:w="746" w:type="pct"/>
            <w:gridSpan w:val="2"/>
            <w:vAlign w:val="center"/>
          </w:tcPr>
          <w:p w14:paraId="5539CF4F">
            <w:pPr>
              <w:rPr>
                <w:rFonts w:ascii="仿宋_GB2312" w:eastAsia="仿宋_GB2312"/>
                <w:sz w:val="24"/>
                <w:szCs w:val="24"/>
              </w:rPr>
            </w:pPr>
            <w:r>
              <w:rPr>
                <w:rFonts w:hint="eastAsia" w:ascii="仿宋_GB2312" w:eastAsia="仿宋_GB2312"/>
                <w:sz w:val="24"/>
                <w:szCs w:val="24"/>
              </w:rPr>
              <w:t>传真</w:t>
            </w:r>
          </w:p>
        </w:tc>
        <w:tc>
          <w:tcPr>
            <w:tcW w:w="937" w:type="pct"/>
            <w:vAlign w:val="center"/>
          </w:tcPr>
          <w:p w14:paraId="4F102D6F">
            <w:pPr>
              <w:rPr>
                <w:rFonts w:ascii="仿宋_GB2312" w:eastAsia="仿宋_GB2312"/>
                <w:sz w:val="24"/>
                <w:szCs w:val="24"/>
              </w:rPr>
            </w:pPr>
            <w:r>
              <w:rPr>
                <w:rFonts w:ascii="仿宋_GB2312" w:eastAsia="仿宋_GB2312"/>
                <w:sz w:val="24"/>
                <w:szCs w:val="24"/>
              </w:rPr>
              <w:t>E-mail</w:t>
            </w:r>
          </w:p>
        </w:tc>
      </w:tr>
      <w:tr w14:paraId="4C521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712" w:type="pct"/>
            <w:vAlign w:val="center"/>
          </w:tcPr>
          <w:p w14:paraId="10AB716C">
            <w:pPr>
              <w:rPr>
                <w:rFonts w:ascii="仿宋_GB2312" w:eastAsia="仿宋_GB2312"/>
                <w:sz w:val="24"/>
                <w:szCs w:val="24"/>
              </w:rPr>
            </w:pPr>
          </w:p>
        </w:tc>
        <w:tc>
          <w:tcPr>
            <w:tcW w:w="564" w:type="pct"/>
            <w:vAlign w:val="center"/>
          </w:tcPr>
          <w:p w14:paraId="360A4222">
            <w:pPr>
              <w:rPr>
                <w:rFonts w:ascii="仿宋_GB2312" w:eastAsia="仿宋_GB2312"/>
                <w:sz w:val="24"/>
                <w:szCs w:val="24"/>
              </w:rPr>
            </w:pPr>
          </w:p>
        </w:tc>
        <w:tc>
          <w:tcPr>
            <w:tcW w:w="443" w:type="pct"/>
            <w:vAlign w:val="center"/>
          </w:tcPr>
          <w:p w14:paraId="42722504">
            <w:pPr>
              <w:rPr>
                <w:rFonts w:ascii="仿宋_GB2312" w:eastAsia="仿宋_GB2312"/>
                <w:sz w:val="24"/>
                <w:szCs w:val="24"/>
              </w:rPr>
            </w:pPr>
          </w:p>
        </w:tc>
        <w:tc>
          <w:tcPr>
            <w:tcW w:w="758" w:type="pct"/>
            <w:vAlign w:val="center"/>
          </w:tcPr>
          <w:p w14:paraId="5D923AFB">
            <w:pPr>
              <w:rPr>
                <w:rFonts w:ascii="仿宋_GB2312" w:eastAsia="仿宋_GB2312"/>
                <w:sz w:val="24"/>
                <w:szCs w:val="24"/>
              </w:rPr>
            </w:pPr>
          </w:p>
        </w:tc>
        <w:tc>
          <w:tcPr>
            <w:tcW w:w="840" w:type="pct"/>
            <w:vAlign w:val="center"/>
          </w:tcPr>
          <w:p w14:paraId="2D5EA7D1">
            <w:pPr>
              <w:rPr>
                <w:rFonts w:ascii="仿宋_GB2312" w:eastAsia="仿宋_GB2312"/>
                <w:sz w:val="24"/>
                <w:szCs w:val="24"/>
              </w:rPr>
            </w:pPr>
          </w:p>
        </w:tc>
        <w:tc>
          <w:tcPr>
            <w:tcW w:w="746" w:type="pct"/>
            <w:gridSpan w:val="2"/>
            <w:vAlign w:val="center"/>
          </w:tcPr>
          <w:p w14:paraId="301A1246">
            <w:pPr>
              <w:rPr>
                <w:rFonts w:ascii="仿宋_GB2312" w:eastAsia="仿宋_GB2312"/>
                <w:sz w:val="24"/>
                <w:szCs w:val="24"/>
              </w:rPr>
            </w:pPr>
          </w:p>
        </w:tc>
        <w:tc>
          <w:tcPr>
            <w:tcW w:w="937" w:type="pct"/>
            <w:vAlign w:val="center"/>
          </w:tcPr>
          <w:p w14:paraId="3C48171C">
            <w:pPr>
              <w:rPr>
                <w:rFonts w:ascii="仿宋_GB2312" w:eastAsia="仿宋_GB2312"/>
                <w:sz w:val="24"/>
                <w:szCs w:val="24"/>
              </w:rPr>
            </w:pPr>
          </w:p>
        </w:tc>
      </w:tr>
      <w:tr w14:paraId="6009E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12" w:type="pct"/>
            <w:vAlign w:val="center"/>
          </w:tcPr>
          <w:p w14:paraId="402482F6">
            <w:pPr>
              <w:rPr>
                <w:rFonts w:ascii="仿宋_GB2312" w:eastAsia="仿宋_GB2312"/>
                <w:sz w:val="24"/>
                <w:szCs w:val="24"/>
              </w:rPr>
            </w:pPr>
            <w:r>
              <w:rPr>
                <w:rFonts w:hint="eastAsia" w:ascii="仿宋_GB2312" w:eastAsia="仿宋_GB2312"/>
                <w:sz w:val="24"/>
                <w:szCs w:val="24"/>
              </w:rPr>
              <w:t>做市业务联络人</w:t>
            </w:r>
          </w:p>
        </w:tc>
        <w:tc>
          <w:tcPr>
            <w:tcW w:w="564" w:type="pct"/>
            <w:vAlign w:val="center"/>
          </w:tcPr>
          <w:p w14:paraId="326561FF">
            <w:pPr>
              <w:rPr>
                <w:rFonts w:ascii="仿宋_GB2312" w:eastAsia="仿宋_GB2312"/>
                <w:sz w:val="24"/>
                <w:szCs w:val="24"/>
              </w:rPr>
            </w:pPr>
            <w:r>
              <w:rPr>
                <w:rFonts w:hint="eastAsia" w:ascii="仿宋_GB2312" w:eastAsia="仿宋_GB2312"/>
                <w:sz w:val="24"/>
                <w:szCs w:val="24"/>
              </w:rPr>
              <w:t>部门</w:t>
            </w:r>
          </w:p>
        </w:tc>
        <w:tc>
          <w:tcPr>
            <w:tcW w:w="443" w:type="pct"/>
            <w:vAlign w:val="center"/>
          </w:tcPr>
          <w:p w14:paraId="014A0D19">
            <w:pPr>
              <w:rPr>
                <w:rFonts w:ascii="仿宋_GB2312" w:eastAsia="仿宋_GB2312"/>
                <w:sz w:val="24"/>
                <w:szCs w:val="24"/>
              </w:rPr>
            </w:pPr>
            <w:r>
              <w:rPr>
                <w:rFonts w:hint="eastAsia" w:ascii="仿宋_GB2312" w:eastAsia="仿宋_GB2312"/>
                <w:sz w:val="24"/>
                <w:szCs w:val="24"/>
              </w:rPr>
              <w:t>职务</w:t>
            </w:r>
          </w:p>
        </w:tc>
        <w:tc>
          <w:tcPr>
            <w:tcW w:w="758" w:type="pct"/>
            <w:vAlign w:val="center"/>
          </w:tcPr>
          <w:p w14:paraId="56125AA8">
            <w:pPr>
              <w:rPr>
                <w:rFonts w:ascii="仿宋_GB2312" w:eastAsia="仿宋_GB2312"/>
                <w:sz w:val="24"/>
                <w:szCs w:val="24"/>
              </w:rPr>
            </w:pPr>
            <w:r>
              <w:rPr>
                <w:rFonts w:hint="eastAsia" w:ascii="仿宋_GB2312" w:eastAsia="仿宋_GB2312"/>
                <w:sz w:val="24"/>
                <w:szCs w:val="24"/>
              </w:rPr>
              <w:t>电话</w:t>
            </w:r>
          </w:p>
        </w:tc>
        <w:tc>
          <w:tcPr>
            <w:tcW w:w="840" w:type="pct"/>
            <w:vAlign w:val="center"/>
          </w:tcPr>
          <w:p w14:paraId="41BA99D8">
            <w:pPr>
              <w:rPr>
                <w:rFonts w:ascii="仿宋_GB2312" w:eastAsia="仿宋_GB2312"/>
                <w:sz w:val="24"/>
                <w:szCs w:val="24"/>
              </w:rPr>
            </w:pPr>
            <w:r>
              <w:rPr>
                <w:rFonts w:hint="eastAsia" w:ascii="仿宋_GB2312" w:eastAsia="仿宋_GB2312"/>
                <w:sz w:val="24"/>
                <w:szCs w:val="24"/>
              </w:rPr>
              <w:t>手机</w:t>
            </w:r>
          </w:p>
        </w:tc>
        <w:tc>
          <w:tcPr>
            <w:tcW w:w="746" w:type="pct"/>
            <w:gridSpan w:val="2"/>
            <w:vAlign w:val="center"/>
          </w:tcPr>
          <w:p w14:paraId="0F2224C5">
            <w:pPr>
              <w:rPr>
                <w:rFonts w:ascii="仿宋_GB2312" w:eastAsia="仿宋_GB2312"/>
                <w:sz w:val="24"/>
                <w:szCs w:val="24"/>
              </w:rPr>
            </w:pPr>
            <w:r>
              <w:rPr>
                <w:rFonts w:hint="eastAsia" w:ascii="仿宋_GB2312" w:eastAsia="仿宋_GB2312"/>
                <w:sz w:val="24"/>
                <w:szCs w:val="24"/>
              </w:rPr>
              <w:t>传真</w:t>
            </w:r>
          </w:p>
        </w:tc>
        <w:tc>
          <w:tcPr>
            <w:tcW w:w="937" w:type="pct"/>
            <w:vAlign w:val="center"/>
          </w:tcPr>
          <w:p w14:paraId="116C841C">
            <w:pPr>
              <w:rPr>
                <w:rFonts w:ascii="仿宋_GB2312" w:eastAsia="仿宋_GB2312"/>
                <w:sz w:val="24"/>
                <w:szCs w:val="24"/>
              </w:rPr>
            </w:pPr>
            <w:r>
              <w:rPr>
                <w:rFonts w:ascii="仿宋_GB2312" w:eastAsia="仿宋_GB2312"/>
                <w:sz w:val="24"/>
                <w:szCs w:val="24"/>
              </w:rPr>
              <w:t>E-mail</w:t>
            </w:r>
          </w:p>
        </w:tc>
      </w:tr>
      <w:tr w14:paraId="3C5F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12" w:type="pct"/>
            <w:vAlign w:val="center"/>
          </w:tcPr>
          <w:p w14:paraId="71181C88">
            <w:pPr>
              <w:rPr>
                <w:rFonts w:ascii="仿宋_GB2312" w:eastAsia="仿宋_GB2312"/>
                <w:sz w:val="24"/>
                <w:szCs w:val="24"/>
              </w:rPr>
            </w:pPr>
          </w:p>
        </w:tc>
        <w:tc>
          <w:tcPr>
            <w:tcW w:w="564" w:type="pct"/>
            <w:vAlign w:val="center"/>
          </w:tcPr>
          <w:p w14:paraId="010962BF">
            <w:pPr>
              <w:rPr>
                <w:rFonts w:ascii="仿宋_GB2312" w:eastAsia="仿宋_GB2312"/>
                <w:sz w:val="24"/>
                <w:szCs w:val="24"/>
              </w:rPr>
            </w:pPr>
          </w:p>
        </w:tc>
        <w:tc>
          <w:tcPr>
            <w:tcW w:w="443" w:type="pct"/>
            <w:vAlign w:val="center"/>
          </w:tcPr>
          <w:p w14:paraId="3A1D143E">
            <w:pPr>
              <w:rPr>
                <w:rFonts w:ascii="仿宋_GB2312" w:eastAsia="仿宋_GB2312"/>
                <w:sz w:val="24"/>
                <w:szCs w:val="24"/>
              </w:rPr>
            </w:pPr>
          </w:p>
        </w:tc>
        <w:tc>
          <w:tcPr>
            <w:tcW w:w="758" w:type="pct"/>
            <w:vAlign w:val="center"/>
          </w:tcPr>
          <w:p w14:paraId="1A89C7FF">
            <w:pPr>
              <w:rPr>
                <w:rFonts w:ascii="仿宋_GB2312" w:eastAsia="仿宋_GB2312"/>
                <w:sz w:val="24"/>
                <w:szCs w:val="24"/>
              </w:rPr>
            </w:pPr>
          </w:p>
        </w:tc>
        <w:tc>
          <w:tcPr>
            <w:tcW w:w="840" w:type="pct"/>
            <w:vAlign w:val="center"/>
          </w:tcPr>
          <w:p w14:paraId="248EA5CF">
            <w:pPr>
              <w:rPr>
                <w:rFonts w:ascii="仿宋_GB2312" w:eastAsia="仿宋_GB2312"/>
                <w:sz w:val="24"/>
                <w:szCs w:val="24"/>
              </w:rPr>
            </w:pPr>
          </w:p>
        </w:tc>
        <w:tc>
          <w:tcPr>
            <w:tcW w:w="746" w:type="pct"/>
            <w:gridSpan w:val="2"/>
            <w:vAlign w:val="center"/>
          </w:tcPr>
          <w:p w14:paraId="09926890">
            <w:pPr>
              <w:rPr>
                <w:rFonts w:ascii="仿宋_GB2312" w:eastAsia="仿宋_GB2312"/>
                <w:sz w:val="24"/>
                <w:szCs w:val="24"/>
              </w:rPr>
            </w:pPr>
          </w:p>
        </w:tc>
        <w:tc>
          <w:tcPr>
            <w:tcW w:w="937" w:type="pct"/>
            <w:vAlign w:val="center"/>
          </w:tcPr>
          <w:p w14:paraId="3199ACF3">
            <w:pPr>
              <w:rPr>
                <w:rFonts w:ascii="仿宋_GB2312" w:eastAsia="仿宋_GB2312"/>
                <w:sz w:val="24"/>
                <w:szCs w:val="24"/>
              </w:rPr>
            </w:pPr>
          </w:p>
        </w:tc>
      </w:tr>
    </w:tbl>
    <w:p w14:paraId="17AAC0A2">
      <w:pPr>
        <w:spacing w:line="600" w:lineRule="exact"/>
        <w:ind w:firstLine="600" w:firstLineChars="200"/>
        <w:rPr>
          <w:rFonts w:ascii="仿宋_GB2312" w:eastAsia="仿宋_GB2312"/>
          <w:kern w:val="28"/>
          <w:sz w:val="30"/>
          <w:szCs w:val="30"/>
        </w:rPr>
      </w:pPr>
    </w:p>
    <w:p w14:paraId="16E86D8B">
      <w:pPr>
        <w:pStyle w:val="18"/>
        <w:jc w:val="right"/>
        <w:rPr>
          <w:szCs w:val="30"/>
        </w:rPr>
      </w:pPr>
      <w:r>
        <w:rPr>
          <w:rFonts w:hint="eastAsia"/>
          <w:szCs w:val="30"/>
        </w:rPr>
        <w:t>做市商：_____________________</w:t>
      </w:r>
      <w:r>
        <w:rPr>
          <w:szCs w:val="30"/>
        </w:rPr>
        <w:t xml:space="preserve">   </w:t>
      </w:r>
      <w:r>
        <w:rPr>
          <w:rFonts w:hint="eastAsia"/>
          <w:szCs w:val="30"/>
        </w:rPr>
        <w:t>（加盖公章）</w:t>
      </w:r>
    </w:p>
    <w:p w14:paraId="0F793436">
      <w:pPr>
        <w:pStyle w:val="18"/>
        <w:jc w:val="right"/>
        <w:rPr>
          <w:szCs w:val="30"/>
        </w:rPr>
      </w:pPr>
    </w:p>
    <w:p w14:paraId="3510C300">
      <w:pPr>
        <w:pStyle w:val="18"/>
        <w:jc w:val="right"/>
        <w:rPr>
          <w:szCs w:val="30"/>
        </w:rPr>
      </w:pPr>
      <w:r>
        <w:rPr>
          <w:rFonts w:hint="eastAsia"/>
          <w:szCs w:val="30"/>
        </w:rPr>
        <w:t xml:space="preserve">                                     经办人（签字）：</w:t>
      </w:r>
    </w:p>
    <w:p w14:paraId="1ED0B407">
      <w:pPr>
        <w:pStyle w:val="18"/>
        <w:jc w:val="right"/>
        <w:rPr>
          <w:szCs w:val="30"/>
        </w:rPr>
      </w:pPr>
      <w:r>
        <w:rPr>
          <w:rFonts w:hint="eastAsia"/>
          <w:szCs w:val="30"/>
        </w:rPr>
        <w:t xml:space="preserve">                                     申请日期：</w:t>
      </w:r>
    </w:p>
    <w:p w14:paraId="462FCFB5">
      <w:pPr>
        <w:pStyle w:val="18"/>
        <w:jc w:val="right"/>
        <w:rPr>
          <w:szCs w:val="30"/>
        </w:rPr>
      </w:pPr>
      <w:r>
        <w:rPr>
          <w:rFonts w:hint="eastAsia"/>
          <w:szCs w:val="30"/>
        </w:rPr>
        <w:t xml:space="preserve">                                     联系电话：</w:t>
      </w:r>
    </w:p>
    <w:p w14:paraId="45ABDA28">
      <w:pPr>
        <w:widowControl/>
        <w:jc w:val="left"/>
        <w:rPr>
          <w:rFonts w:ascii="仿宋_GB2312" w:eastAsia="仿宋_GB2312"/>
          <w:kern w:val="0"/>
          <w:sz w:val="30"/>
          <w:szCs w:val="30"/>
        </w:rPr>
      </w:pPr>
      <w:r>
        <w:rPr>
          <w:szCs w:val="30"/>
        </w:rPr>
        <w:br w:type="page"/>
      </w:r>
    </w:p>
    <w:p w14:paraId="58226241">
      <w:pPr>
        <w:widowControl/>
        <w:jc w:val="left"/>
        <w:outlineLvl w:val="1"/>
        <w:rPr>
          <w:rFonts w:ascii="仿宋_GB2312" w:hAnsi="黑体" w:eastAsia="仿宋_GB2312"/>
          <w:b/>
          <w:sz w:val="30"/>
          <w:szCs w:val="30"/>
        </w:rPr>
      </w:pPr>
      <w:bookmarkStart w:id="4032" w:name="_Toc1600342819"/>
      <w:bookmarkStart w:id="4033" w:name="_Toc2080666398"/>
      <w:bookmarkStart w:id="4034" w:name="_Toc1830059358"/>
      <w:bookmarkStart w:id="4035" w:name="_Toc1852583883"/>
      <w:bookmarkStart w:id="4036" w:name="_Toc102468978"/>
      <w:bookmarkStart w:id="4037" w:name="_Toc477695110"/>
      <w:bookmarkStart w:id="4038" w:name="_Toc151137098"/>
      <w:bookmarkStart w:id="4039" w:name="_Toc1717358683"/>
      <w:r>
        <w:rPr>
          <w:rFonts w:hint="eastAsia" w:ascii="仿宋_GB2312" w:hAnsi="黑体" w:eastAsia="仿宋_GB2312"/>
          <w:b/>
          <w:sz w:val="30"/>
          <w:szCs w:val="30"/>
        </w:rPr>
        <w:t>附件15 添加债券做市标的登记表</w:t>
      </w:r>
      <w:bookmarkEnd w:id="4032"/>
      <w:bookmarkEnd w:id="4033"/>
      <w:bookmarkEnd w:id="4034"/>
      <w:bookmarkEnd w:id="4035"/>
      <w:bookmarkEnd w:id="4036"/>
      <w:bookmarkEnd w:id="4037"/>
      <w:bookmarkEnd w:id="4038"/>
      <w:bookmarkEnd w:id="4039"/>
    </w:p>
    <w:p w14:paraId="156169CD">
      <w:pPr>
        <w:spacing w:line="600" w:lineRule="exact"/>
        <w:jc w:val="center"/>
        <w:rPr>
          <w:rFonts w:ascii="黑体" w:hAnsi="黑体"/>
          <w:b/>
          <w:sz w:val="44"/>
          <w:szCs w:val="44"/>
        </w:rPr>
      </w:pPr>
    </w:p>
    <w:p w14:paraId="7B9B7ECE">
      <w:pPr>
        <w:spacing w:line="600" w:lineRule="exact"/>
        <w:jc w:val="center"/>
        <w:rPr>
          <w:rFonts w:ascii="黑体" w:hAnsi="黑体" w:eastAsia="黑体" w:cs="黑体"/>
          <w:b/>
          <w:sz w:val="44"/>
          <w:szCs w:val="44"/>
        </w:rPr>
      </w:pPr>
      <w:r>
        <w:rPr>
          <w:rFonts w:hint="eastAsia" w:ascii="黑体" w:hAnsi="黑体" w:eastAsia="黑体" w:cs="黑体"/>
          <w:b/>
          <w:sz w:val="44"/>
          <w:szCs w:val="44"/>
        </w:rPr>
        <w:t>添加债券做市标的登记表</w:t>
      </w:r>
    </w:p>
    <w:p w14:paraId="699C17A9">
      <w:pPr>
        <w:spacing w:line="600" w:lineRule="exact"/>
        <w:ind w:firstLine="600" w:firstLineChars="200"/>
        <w:rPr>
          <w:rFonts w:ascii="仿宋_GB2312" w:eastAsia="仿宋_GB2312"/>
          <w:sz w:val="30"/>
          <w:szCs w:val="30"/>
        </w:rPr>
      </w:pPr>
    </w:p>
    <w:tbl>
      <w:tblPr>
        <w:tblStyle w:val="43"/>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8"/>
        <w:gridCol w:w="879"/>
        <w:gridCol w:w="1281"/>
        <w:gridCol w:w="319"/>
        <w:gridCol w:w="962"/>
        <w:gridCol w:w="638"/>
        <w:gridCol w:w="439"/>
        <w:gridCol w:w="204"/>
        <w:gridCol w:w="1281"/>
        <w:gridCol w:w="1276"/>
      </w:tblGrid>
      <w:tr w14:paraId="59AC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3364" w:type="pct"/>
            <w:gridSpan w:val="7"/>
            <w:vAlign w:val="center"/>
          </w:tcPr>
          <w:p w14:paraId="3136C52A">
            <w:pPr>
              <w:rPr>
                <w:rFonts w:ascii="仿宋_GB2312" w:eastAsia="仿宋_GB2312"/>
                <w:sz w:val="24"/>
                <w:szCs w:val="24"/>
              </w:rPr>
            </w:pPr>
            <w:r>
              <w:rPr>
                <w:rFonts w:hint="eastAsia" w:ascii="仿宋_GB2312" w:eastAsia="仿宋_GB2312"/>
                <w:sz w:val="24"/>
                <w:szCs w:val="24"/>
              </w:rPr>
              <w:t>做市商全称：</w:t>
            </w:r>
          </w:p>
        </w:tc>
        <w:tc>
          <w:tcPr>
            <w:tcW w:w="1636" w:type="pct"/>
            <w:gridSpan w:val="3"/>
            <w:vAlign w:val="center"/>
          </w:tcPr>
          <w:p w14:paraId="3382A488">
            <w:pPr>
              <w:rPr>
                <w:rFonts w:ascii="仿宋_GB2312" w:eastAsia="仿宋_GB2312"/>
                <w:sz w:val="24"/>
                <w:szCs w:val="24"/>
              </w:rPr>
            </w:pPr>
            <w:r>
              <w:rPr>
                <w:rFonts w:hint="eastAsia" w:ascii="仿宋_GB2312" w:eastAsia="仿宋_GB2312"/>
                <w:sz w:val="24"/>
                <w:szCs w:val="24"/>
              </w:rPr>
              <w:t>电话：</w:t>
            </w:r>
          </w:p>
        </w:tc>
      </w:tr>
      <w:tr w14:paraId="2F508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3364" w:type="pct"/>
            <w:gridSpan w:val="7"/>
            <w:vAlign w:val="center"/>
          </w:tcPr>
          <w:p w14:paraId="2945642D">
            <w:pPr>
              <w:rPr>
                <w:rFonts w:ascii="仿宋_GB2312" w:eastAsia="仿宋_GB2312"/>
                <w:sz w:val="24"/>
                <w:szCs w:val="24"/>
              </w:rPr>
            </w:pPr>
            <w:r>
              <w:rPr>
                <w:rFonts w:hint="eastAsia" w:ascii="仿宋_GB2312" w:eastAsia="仿宋_GB2312"/>
                <w:sz w:val="24"/>
                <w:szCs w:val="24"/>
              </w:rPr>
              <w:t xml:space="preserve">公司地址： </w:t>
            </w:r>
          </w:p>
        </w:tc>
        <w:tc>
          <w:tcPr>
            <w:tcW w:w="1636" w:type="pct"/>
            <w:gridSpan w:val="3"/>
            <w:vAlign w:val="center"/>
          </w:tcPr>
          <w:p w14:paraId="027F6570">
            <w:pPr>
              <w:rPr>
                <w:rFonts w:ascii="仿宋_GB2312" w:eastAsia="仿宋_GB2312"/>
                <w:sz w:val="24"/>
                <w:szCs w:val="24"/>
              </w:rPr>
            </w:pPr>
            <w:r>
              <w:rPr>
                <w:rFonts w:hint="eastAsia" w:ascii="仿宋_GB2312" w:eastAsia="仿宋_GB2312"/>
                <w:sz w:val="24"/>
                <w:szCs w:val="24"/>
              </w:rPr>
              <w:t>传真：</w:t>
            </w:r>
          </w:p>
        </w:tc>
      </w:tr>
      <w:tr w14:paraId="71EE2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208" w:type="pct"/>
            <w:gridSpan w:val="2"/>
            <w:vAlign w:val="center"/>
          </w:tcPr>
          <w:p w14:paraId="254098FA">
            <w:pPr>
              <w:rPr>
                <w:rFonts w:ascii="仿宋_GB2312" w:eastAsia="仿宋_GB2312"/>
                <w:sz w:val="24"/>
                <w:szCs w:val="24"/>
              </w:rPr>
            </w:pPr>
            <w:r>
              <w:rPr>
                <w:rFonts w:hint="eastAsia" w:ascii="仿宋_GB2312" w:eastAsia="仿宋_GB2312"/>
                <w:sz w:val="24"/>
                <w:szCs w:val="24"/>
              </w:rPr>
              <w:t>债券投资者类型</w:t>
            </w:r>
          </w:p>
        </w:tc>
        <w:tc>
          <w:tcPr>
            <w:tcW w:w="3792" w:type="pct"/>
            <w:gridSpan w:val="8"/>
            <w:vAlign w:val="center"/>
          </w:tcPr>
          <w:p w14:paraId="7568BC2F">
            <w:pPr>
              <w:rPr>
                <w:rFonts w:ascii="仿宋_GB2312" w:eastAsia="仿宋_GB2312"/>
                <w:sz w:val="24"/>
                <w:szCs w:val="24"/>
              </w:rPr>
            </w:pPr>
            <w:r>
              <w:rPr>
                <w:rFonts w:hint="eastAsia" w:ascii="仿宋_GB2312" w:eastAsia="仿宋_GB2312"/>
                <w:sz w:val="24"/>
                <w:szCs w:val="24"/>
              </w:rPr>
              <w:t>□证券公司</w:t>
            </w:r>
            <w:r>
              <w:rPr>
                <w:rFonts w:ascii="仿宋_GB2312" w:eastAsia="仿宋_GB2312"/>
                <w:sz w:val="24"/>
                <w:szCs w:val="24"/>
              </w:rPr>
              <w:t xml:space="preserve">  </w:t>
            </w:r>
            <w:r>
              <w:rPr>
                <w:rFonts w:hint="eastAsia" w:ascii="仿宋_GB2312" w:eastAsia="仿宋_GB2312"/>
                <w:sz w:val="24"/>
                <w:szCs w:val="24"/>
              </w:rPr>
              <w:t>□银行  □证券公司资产管理子公司</w:t>
            </w:r>
            <w:r>
              <w:rPr>
                <w:rFonts w:ascii="仿宋_GB2312" w:eastAsia="仿宋_GB2312"/>
                <w:sz w:val="24"/>
                <w:szCs w:val="24"/>
              </w:rPr>
              <w:t xml:space="preserve">  </w:t>
            </w:r>
          </w:p>
          <w:p w14:paraId="5B2FAC81">
            <w:pPr>
              <w:rPr>
                <w:rFonts w:ascii="仿宋_GB2312" w:eastAsia="仿宋_GB2312"/>
                <w:sz w:val="24"/>
                <w:szCs w:val="24"/>
              </w:rPr>
            </w:pPr>
            <w:r>
              <w:rPr>
                <w:rFonts w:hint="eastAsia" w:ascii="仿宋_GB2312" w:eastAsia="仿宋_GB2312"/>
                <w:sz w:val="24"/>
                <w:szCs w:val="24"/>
              </w:rPr>
              <w:t>□银行理财子公司</w:t>
            </w:r>
            <w:r>
              <w:rPr>
                <w:rFonts w:ascii="仿宋_GB2312" w:eastAsia="仿宋_GB2312"/>
                <w:sz w:val="24"/>
                <w:szCs w:val="24"/>
              </w:rPr>
              <w:t xml:space="preserve">  </w:t>
            </w:r>
            <w:r>
              <w:rPr>
                <w:rFonts w:hint="eastAsia" w:ascii="仿宋_GB2312" w:eastAsia="仿宋_GB2312"/>
                <w:sz w:val="24"/>
                <w:szCs w:val="24"/>
              </w:rPr>
              <w:t>□证券投资基金管理公司</w:t>
            </w:r>
            <w:r>
              <w:rPr>
                <w:rFonts w:ascii="仿宋_GB2312" w:eastAsia="仿宋_GB2312"/>
                <w:sz w:val="24"/>
                <w:szCs w:val="24"/>
              </w:rPr>
              <w:t xml:space="preserve">  </w:t>
            </w:r>
          </w:p>
          <w:p w14:paraId="1D810473">
            <w:pPr>
              <w:rPr>
                <w:rFonts w:ascii="仿宋_GB2312" w:eastAsia="仿宋_GB2312"/>
                <w:sz w:val="24"/>
                <w:szCs w:val="24"/>
              </w:rPr>
            </w:pPr>
            <w:r>
              <w:rPr>
                <w:rFonts w:hint="eastAsia" w:ascii="仿宋_GB2312" w:eastAsia="仿宋_GB2312"/>
                <w:sz w:val="24"/>
                <w:szCs w:val="24"/>
              </w:rPr>
              <w:t>□保险公司 □保险资产管理公司</w:t>
            </w:r>
            <w:r>
              <w:rPr>
                <w:rFonts w:ascii="仿宋_GB2312" w:eastAsia="仿宋_GB2312"/>
                <w:sz w:val="24"/>
                <w:szCs w:val="24"/>
              </w:rPr>
              <w:t xml:space="preserve">  </w:t>
            </w:r>
            <w:r>
              <w:rPr>
                <w:rFonts w:hint="eastAsia" w:ascii="仿宋_GB2312" w:eastAsia="仿宋_GB2312"/>
                <w:sz w:val="24"/>
                <w:szCs w:val="24"/>
              </w:rPr>
              <w:t>□信托公司</w:t>
            </w:r>
            <w:r>
              <w:rPr>
                <w:rFonts w:ascii="仿宋_GB2312" w:eastAsia="仿宋_GB2312"/>
                <w:sz w:val="24"/>
                <w:szCs w:val="24"/>
              </w:rPr>
              <w:t xml:space="preserve">  </w:t>
            </w:r>
          </w:p>
          <w:p w14:paraId="3E344881">
            <w:pPr>
              <w:rPr>
                <w:rFonts w:ascii="仿宋_GB2312" w:eastAsia="仿宋_GB2312"/>
                <w:sz w:val="24"/>
                <w:szCs w:val="24"/>
              </w:rPr>
            </w:pPr>
            <w:r>
              <w:rPr>
                <w:rFonts w:hint="eastAsia" w:ascii="仿宋_GB2312" w:eastAsia="仿宋_GB2312"/>
                <w:sz w:val="24"/>
                <w:szCs w:val="24"/>
              </w:rPr>
              <w:t>□财务公司  □期货公司</w:t>
            </w:r>
            <w:r>
              <w:rPr>
                <w:rFonts w:ascii="仿宋_GB2312" w:eastAsia="仿宋_GB2312"/>
                <w:sz w:val="24"/>
                <w:szCs w:val="24"/>
              </w:rPr>
              <w:t xml:space="preserve"> </w:t>
            </w:r>
            <w:r>
              <w:rPr>
                <w:rFonts w:hint="eastAsia" w:ascii="仿宋_GB2312" w:eastAsia="仿宋_GB2312"/>
                <w:sz w:val="24"/>
                <w:szCs w:val="24"/>
              </w:rPr>
              <w:t>□其他机构</w:t>
            </w:r>
          </w:p>
        </w:tc>
      </w:tr>
      <w:tr w14:paraId="1C921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687" w:type="pct"/>
            <w:vMerge w:val="restart"/>
            <w:vAlign w:val="center"/>
          </w:tcPr>
          <w:p w14:paraId="428CBE54">
            <w:pPr>
              <w:rPr>
                <w:rFonts w:ascii="仿宋_GB2312" w:eastAsia="仿宋_GB2312"/>
                <w:sz w:val="24"/>
                <w:szCs w:val="24"/>
              </w:rPr>
            </w:pPr>
            <w:r>
              <w:rPr>
                <w:rFonts w:hint="eastAsia" w:ascii="仿宋_GB2312" w:eastAsia="仿宋_GB2312"/>
                <w:sz w:val="24"/>
                <w:szCs w:val="24"/>
              </w:rPr>
              <w:t>添加做市标的1</w:t>
            </w:r>
          </w:p>
        </w:tc>
        <w:tc>
          <w:tcPr>
            <w:tcW w:w="521" w:type="pct"/>
            <w:vAlign w:val="center"/>
          </w:tcPr>
          <w:p w14:paraId="056FBD20">
            <w:pPr>
              <w:jc w:val="center"/>
              <w:rPr>
                <w:rFonts w:ascii="仿宋_GB2312" w:eastAsia="仿宋_GB2312"/>
                <w:sz w:val="24"/>
                <w:szCs w:val="24"/>
              </w:rPr>
            </w:pPr>
            <w:r>
              <w:rPr>
                <w:rFonts w:hint="eastAsia" w:ascii="仿宋_GB2312" w:eastAsia="仿宋_GB2312"/>
                <w:sz w:val="24"/>
                <w:szCs w:val="24"/>
              </w:rPr>
              <w:t>代码</w:t>
            </w:r>
          </w:p>
        </w:tc>
        <w:tc>
          <w:tcPr>
            <w:tcW w:w="759" w:type="pct"/>
            <w:vAlign w:val="center"/>
          </w:tcPr>
          <w:p w14:paraId="3E894B78">
            <w:pPr>
              <w:jc w:val="center"/>
              <w:rPr>
                <w:rFonts w:ascii="仿宋_GB2312" w:eastAsia="仿宋_GB2312"/>
                <w:sz w:val="24"/>
                <w:szCs w:val="24"/>
              </w:rPr>
            </w:pPr>
            <w:r>
              <w:rPr>
                <w:rFonts w:hint="eastAsia" w:ascii="仿宋_GB2312" w:eastAsia="仿宋_GB2312"/>
                <w:sz w:val="24"/>
                <w:szCs w:val="24"/>
              </w:rPr>
              <w:t>简称</w:t>
            </w:r>
          </w:p>
        </w:tc>
        <w:tc>
          <w:tcPr>
            <w:tcW w:w="759" w:type="pct"/>
            <w:gridSpan w:val="2"/>
            <w:vAlign w:val="center"/>
          </w:tcPr>
          <w:p w14:paraId="49579221">
            <w:pPr>
              <w:jc w:val="center"/>
              <w:rPr>
                <w:rFonts w:ascii="仿宋_GB2312" w:eastAsia="仿宋_GB2312"/>
                <w:sz w:val="24"/>
                <w:szCs w:val="24"/>
              </w:rPr>
            </w:pPr>
            <w:r>
              <w:rPr>
                <w:rFonts w:hint="eastAsia" w:ascii="仿宋_GB2312" w:eastAsia="仿宋_GB2312"/>
                <w:sz w:val="24"/>
                <w:szCs w:val="24"/>
              </w:rPr>
              <w:t>做市类型</w:t>
            </w:r>
          </w:p>
        </w:tc>
        <w:tc>
          <w:tcPr>
            <w:tcW w:w="759" w:type="pct"/>
            <w:gridSpan w:val="3"/>
            <w:vAlign w:val="center"/>
          </w:tcPr>
          <w:p w14:paraId="4720025B">
            <w:pPr>
              <w:jc w:val="center"/>
              <w:rPr>
                <w:rFonts w:ascii="仿宋_GB2312" w:eastAsia="仿宋_GB2312"/>
                <w:sz w:val="24"/>
                <w:szCs w:val="24"/>
              </w:rPr>
            </w:pPr>
            <w:r>
              <w:rPr>
                <w:rFonts w:hint="eastAsia" w:ascii="仿宋_GB2312" w:eastAsia="仿宋_GB2312"/>
                <w:sz w:val="24"/>
                <w:szCs w:val="24"/>
              </w:rPr>
              <w:t>做市账户</w:t>
            </w:r>
          </w:p>
        </w:tc>
        <w:tc>
          <w:tcPr>
            <w:tcW w:w="759" w:type="pct"/>
            <w:vAlign w:val="center"/>
          </w:tcPr>
          <w:p w14:paraId="59AB0773">
            <w:pPr>
              <w:jc w:val="center"/>
              <w:rPr>
                <w:rFonts w:hint="eastAsia" w:ascii="仿宋_GB2312" w:eastAsia="仿宋_GB2312"/>
                <w:sz w:val="24"/>
                <w:szCs w:val="24"/>
                <w:lang w:eastAsia="zh-CN"/>
              </w:rPr>
            </w:pPr>
            <w:r>
              <w:rPr>
                <w:rFonts w:hint="eastAsia" w:ascii="仿宋_GB2312" w:eastAsia="仿宋_GB2312"/>
                <w:sz w:val="24"/>
                <w:szCs w:val="24"/>
                <w:lang w:eastAsia="zh-CN"/>
              </w:rPr>
              <w:t>交易单元</w:t>
            </w:r>
          </w:p>
        </w:tc>
        <w:tc>
          <w:tcPr>
            <w:tcW w:w="756" w:type="pct"/>
            <w:vAlign w:val="center"/>
          </w:tcPr>
          <w:p w14:paraId="18B18C3C">
            <w:pPr>
              <w:jc w:val="center"/>
              <w:rPr>
                <w:rFonts w:ascii="仿宋_GB2312" w:eastAsia="仿宋_GB2312"/>
                <w:sz w:val="24"/>
                <w:szCs w:val="24"/>
              </w:rPr>
            </w:pPr>
            <w:r>
              <w:rPr>
                <w:rFonts w:hint="eastAsia" w:ascii="仿宋_GB2312" w:eastAsia="仿宋_GB2312"/>
                <w:sz w:val="24"/>
                <w:szCs w:val="24"/>
              </w:rPr>
              <w:t>生效日期</w:t>
            </w:r>
          </w:p>
        </w:tc>
      </w:tr>
      <w:tr w14:paraId="0E643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687" w:type="pct"/>
            <w:vMerge w:val="continue"/>
            <w:vAlign w:val="center"/>
          </w:tcPr>
          <w:p w14:paraId="527F43D8">
            <w:pPr>
              <w:rPr>
                <w:rFonts w:ascii="仿宋_GB2312" w:eastAsia="仿宋_GB2312"/>
                <w:sz w:val="24"/>
                <w:szCs w:val="24"/>
              </w:rPr>
            </w:pPr>
          </w:p>
        </w:tc>
        <w:tc>
          <w:tcPr>
            <w:tcW w:w="521" w:type="pct"/>
            <w:vAlign w:val="center"/>
          </w:tcPr>
          <w:p w14:paraId="4DF659C1">
            <w:pPr>
              <w:rPr>
                <w:rFonts w:ascii="仿宋_GB2312" w:eastAsia="仿宋_GB2312"/>
                <w:sz w:val="24"/>
                <w:szCs w:val="24"/>
              </w:rPr>
            </w:pPr>
          </w:p>
        </w:tc>
        <w:tc>
          <w:tcPr>
            <w:tcW w:w="759" w:type="pct"/>
            <w:vAlign w:val="center"/>
          </w:tcPr>
          <w:p w14:paraId="2B2D03BC">
            <w:pPr>
              <w:rPr>
                <w:rFonts w:ascii="仿宋_GB2312" w:eastAsia="仿宋_GB2312"/>
                <w:sz w:val="24"/>
                <w:szCs w:val="24"/>
              </w:rPr>
            </w:pPr>
          </w:p>
        </w:tc>
        <w:tc>
          <w:tcPr>
            <w:tcW w:w="759" w:type="pct"/>
            <w:gridSpan w:val="2"/>
            <w:vAlign w:val="center"/>
          </w:tcPr>
          <w:p w14:paraId="15F57814">
            <w:pPr>
              <w:rPr>
                <w:rFonts w:ascii="仿宋_GB2312" w:eastAsia="仿宋_GB2312"/>
                <w:sz w:val="24"/>
                <w:szCs w:val="24"/>
              </w:rPr>
            </w:pPr>
          </w:p>
        </w:tc>
        <w:tc>
          <w:tcPr>
            <w:tcW w:w="759" w:type="pct"/>
            <w:gridSpan w:val="3"/>
            <w:vAlign w:val="center"/>
          </w:tcPr>
          <w:p w14:paraId="138EC015">
            <w:pPr>
              <w:rPr>
                <w:rFonts w:ascii="仿宋_GB2312" w:eastAsia="仿宋_GB2312"/>
                <w:sz w:val="24"/>
                <w:szCs w:val="24"/>
              </w:rPr>
            </w:pPr>
          </w:p>
        </w:tc>
        <w:tc>
          <w:tcPr>
            <w:tcW w:w="759" w:type="pct"/>
            <w:vAlign w:val="center"/>
          </w:tcPr>
          <w:p w14:paraId="302E7BC7">
            <w:pPr>
              <w:rPr>
                <w:rFonts w:ascii="仿宋_GB2312" w:eastAsia="仿宋_GB2312"/>
                <w:sz w:val="24"/>
                <w:szCs w:val="24"/>
              </w:rPr>
            </w:pPr>
          </w:p>
        </w:tc>
        <w:tc>
          <w:tcPr>
            <w:tcW w:w="756" w:type="pct"/>
            <w:vAlign w:val="center"/>
          </w:tcPr>
          <w:p w14:paraId="4EB8EBC3">
            <w:pPr>
              <w:rPr>
                <w:rFonts w:ascii="仿宋_GB2312" w:eastAsia="仿宋_GB2312"/>
                <w:sz w:val="24"/>
                <w:szCs w:val="24"/>
              </w:rPr>
            </w:pPr>
          </w:p>
        </w:tc>
      </w:tr>
      <w:tr w14:paraId="6616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687" w:type="pct"/>
            <w:vMerge w:val="restart"/>
            <w:vAlign w:val="center"/>
          </w:tcPr>
          <w:p w14:paraId="09BFD6B4">
            <w:pPr>
              <w:rPr>
                <w:rFonts w:ascii="仿宋_GB2312" w:eastAsia="仿宋_GB2312"/>
                <w:sz w:val="24"/>
                <w:szCs w:val="24"/>
              </w:rPr>
            </w:pPr>
            <w:r>
              <w:rPr>
                <w:rFonts w:hint="eastAsia" w:ascii="仿宋_GB2312" w:eastAsia="仿宋_GB2312"/>
                <w:sz w:val="24"/>
                <w:szCs w:val="24"/>
              </w:rPr>
              <w:t>添加做市标的2</w:t>
            </w:r>
          </w:p>
        </w:tc>
        <w:tc>
          <w:tcPr>
            <w:tcW w:w="521" w:type="pct"/>
            <w:vAlign w:val="center"/>
          </w:tcPr>
          <w:p w14:paraId="36FBD6FC">
            <w:pPr>
              <w:rPr>
                <w:rFonts w:ascii="仿宋_GB2312" w:eastAsia="仿宋_GB2312"/>
                <w:sz w:val="24"/>
                <w:szCs w:val="24"/>
              </w:rPr>
            </w:pPr>
            <w:r>
              <w:rPr>
                <w:rFonts w:hint="eastAsia" w:ascii="仿宋_GB2312" w:eastAsia="仿宋_GB2312"/>
                <w:sz w:val="24"/>
                <w:szCs w:val="24"/>
              </w:rPr>
              <w:t>代码</w:t>
            </w:r>
          </w:p>
        </w:tc>
        <w:tc>
          <w:tcPr>
            <w:tcW w:w="759" w:type="pct"/>
            <w:vAlign w:val="center"/>
          </w:tcPr>
          <w:p w14:paraId="78A01B05">
            <w:pPr>
              <w:rPr>
                <w:rFonts w:ascii="仿宋_GB2312" w:eastAsia="仿宋_GB2312"/>
                <w:sz w:val="24"/>
                <w:szCs w:val="24"/>
              </w:rPr>
            </w:pPr>
            <w:r>
              <w:rPr>
                <w:rFonts w:hint="eastAsia" w:ascii="仿宋_GB2312" w:eastAsia="仿宋_GB2312"/>
                <w:sz w:val="24"/>
                <w:szCs w:val="24"/>
              </w:rPr>
              <w:t>简称</w:t>
            </w:r>
          </w:p>
        </w:tc>
        <w:tc>
          <w:tcPr>
            <w:tcW w:w="759" w:type="pct"/>
            <w:gridSpan w:val="2"/>
            <w:vAlign w:val="center"/>
          </w:tcPr>
          <w:p w14:paraId="111A991B">
            <w:pPr>
              <w:rPr>
                <w:rFonts w:ascii="仿宋_GB2312" w:eastAsia="仿宋_GB2312"/>
                <w:sz w:val="24"/>
                <w:szCs w:val="24"/>
              </w:rPr>
            </w:pPr>
            <w:r>
              <w:rPr>
                <w:rFonts w:hint="eastAsia" w:ascii="仿宋_GB2312" w:eastAsia="仿宋_GB2312"/>
                <w:sz w:val="24"/>
                <w:szCs w:val="24"/>
              </w:rPr>
              <w:t>做市类型</w:t>
            </w:r>
          </w:p>
        </w:tc>
        <w:tc>
          <w:tcPr>
            <w:tcW w:w="759" w:type="pct"/>
            <w:gridSpan w:val="3"/>
            <w:vAlign w:val="center"/>
          </w:tcPr>
          <w:p w14:paraId="1E10520B">
            <w:pPr>
              <w:rPr>
                <w:rFonts w:ascii="仿宋_GB2312" w:eastAsia="仿宋_GB2312"/>
                <w:sz w:val="24"/>
                <w:szCs w:val="24"/>
              </w:rPr>
            </w:pPr>
            <w:r>
              <w:rPr>
                <w:rFonts w:hint="eastAsia" w:ascii="仿宋_GB2312" w:eastAsia="仿宋_GB2312"/>
                <w:sz w:val="24"/>
                <w:szCs w:val="24"/>
              </w:rPr>
              <w:t>做市账户</w:t>
            </w:r>
          </w:p>
        </w:tc>
        <w:tc>
          <w:tcPr>
            <w:tcW w:w="759" w:type="pct"/>
            <w:vAlign w:val="center"/>
          </w:tcPr>
          <w:p w14:paraId="752AF69A">
            <w:pPr>
              <w:rPr>
                <w:rFonts w:hint="eastAsia" w:ascii="仿宋_GB2312" w:eastAsia="仿宋_GB2312"/>
                <w:sz w:val="24"/>
                <w:szCs w:val="24"/>
                <w:lang w:eastAsia="zh-CN"/>
              </w:rPr>
            </w:pPr>
            <w:r>
              <w:rPr>
                <w:rFonts w:hint="eastAsia" w:ascii="仿宋_GB2312" w:eastAsia="仿宋_GB2312"/>
                <w:sz w:val="24"/>
                <w:szCs w:val="24"/>
                <w:lang w:eastAsia="zh-CN"/>
              </w:rPr>
              <w:t>交易单元</w:t>
            </w:r>
          </w:p>
        </w:tc>
        <w:tc>
          <w:tcPr>
            <w:tcW w:w="756" w:type="pct"/>
            <w:vAlign w:val="center"/>
          </w:tcPr>
          <w:p w14:paraId="13436299">
            <w:pPr>
              <w:rPr>
                <w:rFonts w:ascii="仿宋_GB2312" w:eastAsia="仿宋_GB2312"/>
                <w:sz w:val="24"/>
                <w:szCs w:val="24"/>
              </w:rPr>
            </w:pPr>
            <w:r>
              <w:rPr>
                <w:rFonts w:hint="eastAsia" w:ascii="仿宋_GB2312" w:eastAsia="仿宋_GB2312"/>
                <w:sz w:val="24"/>
                <w:szCs w:val="24"/>
              </w:rPr>
              <w:t>生效日期</w:t>
            </w:r>
          </w:p>
        </w:tc>
      </w:tr>
      <w:tr w14:paraId="5E18F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687" w:type="pct"/>
            <w:vMerge w:val="continue"/>
            <w:vAlign w:val="center"/>
          </w:tcPr>
          <w:p w14:paraId="72D0A53B">
            <w:pPr>
              <w:rPr>
                <w:rFonts w:ascii="仿宋_GB2312" w:eastAsia="仿宋_GB2312"/>
                <w:sz w:val="24"/>
                <w:szCs w:val="24"/>
              </w:rPr>
            </w:pPr>
          </w:p>
        </w:tc>
        <w:tc>
          <w:tcPr>
            <w:tcW w:w="521" w:type="pct"/>
            <w:vAlign w:val="center"/>
          </w:tcPr>
          <w:p w14:paraId="57496189">
            <w:pPr>
              <w:rPr>
                <w:rFonts w:ascii="仿宋_GB2312" w:eastAsia="仿宋_GB2312"/>
                <w:sz w:val="24"/>
                <w:szCs w:val="24"/>
              </w:rPr>
            </w:pPr>
          </w:p>
        </w:tc>
        <w:tc>
          <w:tcPr>
            <w:tcW w:w="759" w:type="pct"/>
            <w:vAlign w:val="center"/>
          </w:tcPr>
          <w:p w14:paraId="502411A9">
            <w:pPr>
              <w:rPr>
                <w:rFonts w:ascii="仿宋_GB2312" w:eastAsia="仿宋_GB2312"/>
                <w:sz w:val="24"/>
                <w:szCs w:val="24"/>
              </w:rPr>
            </w:pPr>
          </w:p>
        </w:tc>
        <w:tc>
          <w:tcPr>
            <w:tcW w:w="759" w:type="pct"/>
            <w:gridSpan w:val="2"/>
            <w:vAlign w:val="center"/>
          </w:tcPr>
          <w:p w14:paraId="0EE5E1A5">
            <w:pPr>
              <w:rPr>
                <w:rFonts w:ascii="仿宋_GB2312" w:eastAsia="仿宋_GB2312"/>
                <w:sz w:val="24"/>
                <w:szCs w:val="24"/>
              </w:rPr>
            </w:pPr>
          </w:p>
        </w:tc>
        <w:tc>
          <w:tcPr>
            <w:tcW w:w="759" w:type="pct"/>
            <w:gridSpan w:val="3"/>
            <w:vAlign w:val="center"/>
          </w:tcPr>
          <w:p w14:paraId="2AC726F4">
            <w:pPr>
              <w:rPr>
                <w:rFonts w:ascii="仿宋_GB2312" w:eastAsia="仿宋_GB2312"/>
                <w:sz w:val="24"/>
                <w:szCs w:val="24"/>
              </w:rPr>
            </w:pPr>
          </w:p>
        </w:tc>
        <w:tc>
          <w:tcPr>
            <w:tcW w:w="759" w:type="pct"/>
            <w:vAlign w:val="center"/>
          </w:tcPr>
          <w:p w14:paraId="336199AE">
            <w:pPr>
              <w:rPr>
                <w:rFonts w:ascii="仿宋_GB2312" w:eastAsia="仿宋_GB2312"/>
                <w:sz w:val="24"/>
                <w:szCs w:val="24"/>
              </w:rPr>
            </w:pPr>
          </w:p>
        </w:tc>
        <w:tc>
          <w:tcPr>
            <w:tcW w:w="756" w:type="pct"/>
            <w:vAlign w:val="center"/>
          </w:tcPr>
          <w:p w14:paraId="504FBC6C">
            <w:pPr>
              <w:rPr>
                <w:rFonts w:ascii="仿宋_GB2312" w:eastAsia="仿宋_GB2312"/>
                <w:sz w:val="24"/>
                <w:szCs w:val="24"/>
              </w:rPr>
            </w:pPr>
          </w:p>
        </w:tc>
      </w:tr>
      <w:tr w14:paraId="3193A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208" w:type="pct"/>
            <w:gridSpan w:val="2"/>
            <w:vAlign w:val="center"/>
          </w:tcPr>
          <w:p w14:paraId="6C295126">
            <w:pPr>
              <w:jc w:val="center"/>
              <w:rPr>
                <w:rFonts w:ascii="仿宋_GB2312" w:eastAsia="仿宋_GB2312"/>
                <w:sz w:val="24"/>
                <w:szCs w:val="24"/>
              </w:rPr>
            </w:pPr>
            <w:r>
              <w:rPr>
                <w:rFonts w:hint="eastAsia" w:ascii="仿宋_GB2312" w:eastAsia="仿宋_GB2312"/>
                <w:sz w:val="24"/>
                <w:szCs w:val="24"/>
              </w:rPr>
              <w:t>做市业务负责人</w:t>
            </w:r>
          </w:p>
        </w:tc>
        <w:tc>
          <w:tcPr>
            <w:tcW w:w="948" w:type="pct"/>
            <w:gridSpan w:val="2"/>
            <w:vAlign w:val="center"/>
          </w:tcPr>
          <w:p w14:paraId="25437CC2">
            <w:pPr>
              <w:jc w:val="center"/>
              <w:rPr>
                <w:rFonts w:ascii="仿宋_GB2312" w:eastAsia="仿宋_GB2312"/>
                <w:sz w:val="24"/>
                <w:szCs w:val="24"/>
              </w:rPr>
            </w:pPr>
            <w:r>
              <w:rPr>
                <w:rFonts w:hint="eastAsia" w:ascii="仿宋_GB2312" w:eastAsia="仿宋_GB2312"/>
                <w:sz w:val="24"/>
                <w:szCs w:val="24"/>
              </w:rPr>
              <w:t>部门</w:t>
            </w:r>
          </w:p>
        </w:tc>
        <w:tc>
          <w:tcPr>
            <w:tcW w:w="948" w:type="pct"/>
            <w:gridSpan w:val="2"/>
            <w:vAlign w:val="center"/>
          </w:tcPr>
          <w:p w14:paraId="31E01A70">
            <w:pPr>
              <w:jc w:val="center"/>
              <w:rPr>
                <w:rFonts w:ascii="仿宋_GB2312" w:eastAsia="仿宋_GB2312"/>
                <w:sz w:val="24"/>
                <w:szCs w:val="24"/>
              </w:rPr>
            </w:pPr>
            <w:r>
              <w:rPr>
                <w:rFonts w:hint="eastAsia" w:ascii="仿宋_GB2312" w:eastAsia="仿宋_GB2312"/>
                <w:sz w:val="24"/>
                <w:szCs w:val="24"/>
              </w:rPr>
              <w:t>职务</w:t>
            </w:r>
          </w:p>
        </w:tc>
        <w:tc>
          <w:tcPr>
            <w:tcW w:w="1896" w:type="pct"/>
            <w:gridSpan w:val="4"/>
            <w:vAlign w:val="center"/>
          </w:tcPr>
          <w:p w14:paraId="37667375">
            <w:pPr>
              <w:jc w:val="center"/>
              <w:rPr>
                <w:rFonts w:ascii="仿宋_GB2312" w:eastAsia="仿宋_GB2312"/>
                <w:sz w:val="24"/>
                <w:szCs w:val="24"/>
              </w:rPr>
            </w:pPr>
            <w:r>
              <w:rPr>
                <w:rFonts w:hint="eastAsia" w:ascii="仿宋_GB2312" w:eastAsia="仿宋_GB2312"/>
                <w:sz w:val="24"/>
                <w:szCs w:val="24"/>
              </w:rPr>
              <w:t>手机</w:t>
            </w:r>
          </w:p>
        </w:tc>
      </w:tr>
      <w:tr w14:paraId="41562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208" w:type="pct"/>
            <w:gridSpan w:val="2"/>
            <w:vAlign w:val="center"/>
          </w:tcPr>
          <w:p w14:paraId="5F3EDAA0">
            <w:pPr>
              <w:jc w:val="center"/>
              <w:rPr>
                <w:rFonts w:ascii="仿宋_GB2312" w:eastAsia="仿宋_GB2312"/>
                <w:sz w:val="24"/>
                <w:szCs w:val="24"/>
              </w:rPr>
            </w:pPr>
          </w:p>
        </w:tc>
        <w:tc>
          <w:tcPr>
            <w:tcW w:w="948" w:type="pct"/>
            <w:gridSpan w:val="2"/>
            <w:vAlign w:val="center"/>
          </w:tcPr>
          <w:p w14:paraId="78700FBE">
            <w:pPr>
              <w:jc w:val="center"/>
              <w:rPr>
                <w:rFonts w:ascii="仿宋_GB2312" w:eastAsia="仿宋_GB2312"/>
                <w:sz w:val="24"/>
                <w:szCs w:val="24"/>
              </w:rPr>
            </w:pPr>
          </w:p>
        </w:tc>
        <w:tc>
          <w:tcPr>
            <w:tcW w:w="948" w:type="pct"/>
            <w:gridSpan w:val="2"/>
            <w:vAlign w:val="center"/>
          </w:tcPr>
          <w:p w14:paraId="3A831A65">
            <w:pPr>
              <w:jc w:val="center"/>
              <w:rPr>
                <w:rFonts w:ascii="仿宋_GB2312" w:eastAsia="仿宋_GB2312"/>
                <w:sz w:val="24"/>
                <w:szCs w:val="24"/>
              </w:rPr>
            </w:pPr>
          </w:p>
        </w:tc>
        <w:tc>
          <w:tcPr>
            <w:tcW w:w="1896" w:type="pct"/>
            <w:gridSpan w:val="4"/>
            <w:vAlign w:val="center"/>
          </w:tcPr>
          <w:p w14:paraId="0644A5EC">
            <w:pPr>
              <w:jc w:val="center"/>
              <w:rPr>
                <w:rFonts w:ascii="仿宋_GB2312" w:eastAsia="仿宋_GB2312"/>
                <w:sz w:val="24"/>
                <w:szCs w:val="24"/>
              </w:rPr>
            </w:pPr>
          </w:p>
        </w:tc>
      </w:tr>
      <w:tr w14:paraId="0BF77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208" w:type="pct"/>
            <w:gridSpan w:val="2"/>
            <w:vAlign w:val="center"/>
          </w:tcPr>
          <w:p w14:paraId="3F2165CF">
            <w:pPr>
              <w:jc w:val="center"/>
              <w:rPr>
                <w:rFonts w:ascii="仿宋_GB2312" w:eastAsia="仿宋_GB2312"/>
                <w:sz w:val="24"/>
                <w:szCs w:val="24"/>
              </w:rPr>
            </w:pPr>
            <w:r>
              <w:rPr>
                <w:rFonts w:hint="eastAsia" w:ascii="仿宋_GB2312" w:eastAsia="仿宋_GB2312"/>
                <w:sz w:val="24"/>
                <w:szCs w:val="24"/>
              </w:rPr>
              <w:t>做市业务联络人</w:t>
            </w:r>
          </w:p>
        </w:tc>
        <w:tc>
          <w:tcPr>
            <w:tcW w:w="948" w:type="pct"/>
            <w:gridSpan w:val="2"/>
            <w:vAlign w:val="center"/>
          </w:tcPr>
          <w:p w14:paraId="5171EB4B">
            <w:pPr>
              <w:jc w:val="center"/>
              <w:rPr>
                <w:rFonts w:ascii="仿宋_GB2312" w:eastAsia="仿宋_GB2312"/>
                <w:sz w:val="24"/>
                <w:szCs w:val="24"/>
              </w:rPr>
            </w:pPr>
            <w:r>
              <w:rPr>
                <w:rFonts w:hint="eastAsia" w:ascii="仿宋_GB2312" w:eastAsia="仿宋_GB2312"/>
                <w:sz w:val="24"/>
                <w:szCs w:val="24"/>
              </w:rPr>
              <w:t>部门</w:t>
            </w:r>
          </w:p>
        </w:tc>
        <w:tc>
          <w:tcPr>
            <w:tcW w:w="948" w:type="pct"/>
            <w:gridSpan w:val="2"/>
            <w:vAlign w:val="center"/>
          </w:tcPr>
          <w:p w14:paraId="0837FB0B">
            <w:pPr>
              <w:jc w:val="center"/>
              <w:rPr>
                <w:rFonts w:ascii="仿宋_GB2312" w:eastAsia="仿宋_GB2312"/>
                <w:sz w:val="24"/>
                <w:szCs w:val="24"/>
              </w:rPr>
            </w:pPr>
            <w:r>
              <w:rPr>
                <w:rFonts w:hint="eastAsia" w:ascii="仿宋_GB2312" w:eastAsia="仿宋_GB2312"/>
                <w:sz w:val="24"/>
                <w:szCs w:val="24"/>
              </w:rPr>
              <w:t>职务</w:t>
            </w:r>
          </w:p>
        </w:tc>
        <w:tc>
          <w:tcPr>
            <w:tcW w:w="1896" w:type="pct"/>
            <w:gridSpan w:val="4"/>
            <w:vAlign w:val="center"/>
          </w:tcPr>
          <w:p w14:paraId="747157A6">
            <w:pPr>
              <w:jc w:val="center"/>
              <w:rPr>
                <w:rFonts w:ascii="仿宋_GB2312" w:eastAsia="仿宋_GB2312"/>
                <w:sz w:val="24"/>
                <w:szCs w:val="24"/>
              </w:rPr>
            </w:pPr>
            <w:r>
              <w:rPr>
                <w:rFonts w:hint="eastAsia" w:ascii="仿宋_GB2312" w:eastAsia="仿宋_GB2312"/>
                <w:sz w:val="24"/>
                <w:szCs w:val="24"/>
              </w:rPr>
              <w:t>手机</w:t>
            </w:r>
          </w:p>
        </w:tc>
      </w:tr>
      <w:tr w14:paraId="1F1D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208" w:type="pct"/>
            <w:gridSpan w:val="2"/>
            <w:vAlign w:val="center"/>
          </w:tcPr>
          <w:p w14:paraId="21113C3F">
            <w:pPr>
              <w:jc w:val="center"/>
              <w:rPr>
                <w:rFonts w:ascii="仿宋_GB2312" w:eastAsia="仿宋_GB2312"/>
                <w:sz w:val="24"/>
                <w:szCs w:val="24"/>
              </w:rPr>
            </w:pPr>
          </w:p>
        </w:tc>
        <w:tc>
          <w:tcPr>
            <w:tcW w:w="948" w:type="pct"/>
            <w:gridSpan w:val="2"/>
            <w:vAlign w:val="center"/>
          </w:tcPr>
          <w:p w14:paraId="610DBF68">
            <w:pPr>
              <w:jc w:val="center"/>
              <w:rPr>
                <w:rFonts w:ascii="仿宋_GB2312" w:eastAsia="仿宋_GB2312"/>
                <w:sz w:val="24"/>
                <w:szCs w:val="24"/>
              </w:rPr>
            </w:pPr>
          </w:p>
        </w:tc>
        <w:tc>
          <w:tcPr>
            <w:tcW w:w="948" w:type="pct"/>
            <w:gridSpan w:val="2"/>
            <w:vAlign w:val="center"/>
          </w:tcPr>
          <w:p w14:paraId="5E95FE09">
            <w:pPr>
              <w:jc w:val="center"/>
              <w:rPr>
                <w:rFonts w:ascii="仿宋_GB2312" w:eastAsia="仿宋_GB2312"/>
                <w:sz w:val="24"/>
                <w:szCs w:val="24"/>
              </w:rPr>
            </w:pPr>
          </w:p>
        </w:tc>
        <w:tc>
          <w:tcPr>
            <w:tcW w:w="1896" w:type="pct"/>
            <w:gridSpan w:val="4"/>
            <w:vAlign w:val="center"/>
          </w:tcPr>
          <w:p w14:paraId="420137DA">
            <w:pPr>
              <w:jc w:val="center"/>
              <w:rPr>
                <w:rFonts w:ascii="仿宋_GB2312" w:eastAsia="仿宋_GB2312"/>
                <w:sz w:val="24"/>
                <w:szCs w:val="24"/>
              </w:rPr>
            </w:pPr>
          </w:p>
        </w:tc>
      </w:tr>
    </w:tbl>
    <w:p w14:paraId="7034469E">
      <w:pPr>
        <w:pStyle w:val="18"/>
        <w:jc w:val="right"/>
        <w:rPr>
          <w:szCs w:val="30"/>
        </w:rPr>
      </w:pPr>
      <w:r>
        <w:rPr>
          <w:rFonts w:hint="eastAsia"/>
          <w:szCs w:val="30"/>
        </w:rPr>
        <w:t>做市商：_____________________</w:t>
      </w:r>
      <w:r>
        <w:rPr>
          <w:szCs w:val="30"/>
        </w:rPr>
        <w:t xml:space="preserve">   </w:t>
      </w:r>
      <w:r>
        <w:rPr>
          <w:rFonts w:hint="eastAsia"/>
          <w:szCs w:val="30"/>
        </w:rPr>
        <w:t>（加盖部门章）</w:t>
      </w:r>
    </w:p>
    <w:p w14:paraId="6B8838E9">
      <w:pPr>
        <w:pStyle w:val="18"/>
        <w:jc w:val="right"/>
        <w:rPr>
          <w:szCs w:val="30"/>
        </w:rPr>
      </w:pPr>
    </w:p>
    <w:p w14:paraId="17DE63FA">
      <w:pPr>
        <w:pStyle w:val="18"/>
        <w:jc w:val="right"/>
        <w:rPr>
          <w:szCs w:val="30"/>
        </w:rPr>
      </w:pPr>
      <w:r>
        <w:rPr>
          <w:rFonts w:hint="eastAsia"/>
          <w:szCs w:val="30"/>
        </w:rPr>
        <w:t xml:space="preserve">                                   经办人（签字）：</w:t>
      </w:r>
    </w:p>
    <w:p w14:paraId="1BA4394D">
      <w:pPr>
        <w:pStyle w:val="18"/>
        <w:jc w:val="right"/>
        <w:rPr>
          <w:szCs w:val="30"/>
        </w:rPr>
      </w:pPr>
      <w:r>
        <w:rPr>
          <w:rFonts w:hint="eastAsia"/>
          <w:szCs w:val="30"/>
        </w:rPr>
        <w:t xml:space="preserve">                                     申请日期：                              </w:t>
      </w:r>
    </w:p>
    <w:p w14:paraId="1E832766">
      <w:pPr>
        <w:widowControl/>
        <w:jc w:val="left"/>
        <w:outlineLvl w:val="1"/>
        <w:rPr>
          <w:rFonts w:ascii="仿宋_GB2312" w:hAnsi="仿宋" w:eastAsia="仿宋_GB2312"/>
          <w:sz w:val="30"/>
          <w:szCs w:val="30"/>
        </w:rPr>
      </w:pPr>
      <w:r>
        <w:br w:type="page"/>
      </w:r>
      <w:bookmarkStart w:id="4040" w:name="_Toc151137099"/>
      <w:bookmarkStart w:id="4041" w:name="_Toc706972574"/>
      <w:bookmarkStart w:id="4042" w:name="_Toc102468979"/>
      <w:bookmarkStart w:id="4043" w:name="_Toc1070177200"/>
      <w:bookmarkStart w:id="4044" w:name="_Toc1220382459"/>
      <w:bookmarkStart w:id="4045" w:name="_Toc597736741"/>
      <w:bookmarkStart w:id="4046" w:name="_Toc1651040279"/>
      <w:bookmarkStart w:id="4047" w:name="_Toc1011841988"/>
      <w:r>
        <w:rPr>
          <w:rFonts w:hint="eastAsia" w:ascii="仿宋_GB2312" w:hAnsi="黑体" w:eastAsia="仿宋_GB2312"/>
          <w:b/>
          <w:sz w:val="30"/>
          <w:szCs w:val="30"/>
        </w:rPr>
        <w:t>附件16 取消债券做市标的登记表</w:t>
      </w:r>
      <w:bookmarkEnd w:id="4040"/>
      <w:bookmarkEnd w:id="4041"/>
      <w:bookmarkEnd w:id="4042"/>
      <w:bookmarkEnd w:id="4043"/>
      <w:bookmarkEnd w:id="4044"/>
      <w:bookmarkEnd w:id="4045"/>
      <w:bookmarkEnd w:id="4046"/>
      <w:bookmarkEnd w:id="4047"/>
    </w:p>
    <w:p w14:paraId="69276725">
      <w:pPr>
        <w:spacing w:line="600" w:lineRule="exact"/>
        <w:jc w:val="center"/>
        <w:rPr>
          <w:rFonts w:ascii="黑体" w:hAnsi="黑体" w:eastAsia="黑体" w:cs="黑体"/>
          <w:b/>
          <w:sz w:val="44"/>
          <w:szCs w:val="44"/>
        </w:rPr>
      </w:pPr>
    </w:p>
    <w:p w14:paraId="210CC689">
      <w:pPr>
        <w:spacing w:line="600" w:lineRule="exact"/>
        <w:jc w:val="center"/>
        <w:rPr>
          <w:rFonts w:ascii="黑体" w:hAnsi="黑体" w:eastAsia="黑体" w:cs="黑体"/>
          <w:b/>
          <w:sz w:val="44"/>
          <w:szCs w:val="44"/>
        </w:rPr>
      </w:pPr>
      <w:r>
        <w:rPr>
          <w:rFonts w:hint="eastAsia" w:ascii="黑体" w:hAnsi="黑体" w:eastAsia="黑体" w:cs="黑体"/>
          <w:b/>
          <w:sz w:val="44"/>
          <w:szCs w:val="44"/>
        </w:rPr>
        <w:t>取消债券做市标的登记表</w:t>
      </w:r>
    </w:p>
    <w:p w14:paraId="14B059EA">
      <w:pPr>
        <w:widowControl/>
        <w:jc w:val="left"/>
      </w:pPr>
    </w:p>
    <w:tbl>
      <w:tblPr>
        <w:tblStyle w:val="43"/>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1"/>
        <w:gridCol w:w="1281"/>
        <w:gridCol w:w="854"/>
        <w:gridCol w:w="427"/>
        <w:gridCol w:w="800"/>
        <w:gridCol w:w="481"/>
        <w:gridCol w:w="429"/>
        <w:gridCol w:w="852"/>
        <w:gridCol w:w="1282"/>
      </w:tblGrid>
      <w:tr w14:paraId="4439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3196" w:type="pct"/>
            <w:gridSpan w:val="5"/>
            <w:vAlign w:val="center"/>
          </w:tcPr>
          <w:p w14:paraId="13709DC0">
            <w:pPr>
              <w:rPr>
                <w:rFonts w:ascii="仿宋_GB2312" w:eastAsia="仿宋_GB2312"/>
                <w:sz w:val="24"/>
                <w:szCs w:val="24"/>
              </w:rPr>
            </w:pPr>
            <w:r>
              <w:rPr>
                <w:rFonts w:hint="eastAsia" w:ascii="仿宋_GB2312" w:eastAsia="仿宋_GB2312"/>
                <w:sz w:val="24"/>
                <w:szCs w:val="24"/>
              </w:rPr>
              <w:t>做市商全称：</w:t>
            </w:r>
          </w:p>
        </w:tc>
        <w:tc>
          <w:tcPr>
            <w:tcW w:w="1804" w:type="pct"/>
            <w:gridSpan w:val="4"/>
            <w:vAlign w:val="center"/>
          </w:tcPr>
          <w:p w14:paraId="4015F657">
            <w:pPr>
              <w:rPr>
                <w:rFonts w:ascii="仿宋_GB2312" w:eastAsia="仿宋_GB2312"/>
                <w:sz w:val="24"/>
                <w:szCs w:val="24"/>
              </w:rPr>
            </w:pPr>
            <w:r>
              <w:rPr>
                <w:rFonts w:hint="eastAsia" w:ascii="仿宋_GB2312" w:eastAsia="仿宋_GB2312"/>
                <w:sz w:val="24"/>
                <w:szCs w:val="24"/>
              </w:rPr>
              <w:t>电话：</w:t>
            </w:r>
          </w:p>
        </w:tc>
      </w:tr>
      <w:tr w14:paraId="76B4F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3196" w:type="pct"/>
            <w:gridSpan w:val="5"/>
            <w:vAlign w:val="center"/>
          </w:tcPr>
          <w:p w14:paraId="616DD59C">
            <w:pPr>
              <w:rPr>
                <w:rFonts w:ascii="仿宋_GB2312" w:eastAsia="仿宋_GB2312"/>
                <w:sz w:val="24"/>
                <w:szCs w:val="24"/>
              </w:rPr>
            </w:pPr>
            <w:r>
              <w:rPr>
                <w:rFonts w:hint="eastAsia" w:ascii="仿宋_GB2312" w:eastAsia="仿宋_GB2312"/>
                <w:sz w:val="24"/>
                <w:szCs w:val="24"/>
              </w:rPr>
              <w:t xml:space="preserve">公司地址： </w:t>
            </w:r>
          </w:p>
        </w:tc>
        <w:tc>
          <w:tcPr>
            <w:tcW w:w="1804" w:type="pct"/>
            <w:gridSpan w:val="4"/>
            <w:vAlign w:val="center"/>
          </w:tcPr>
          <w:p w14:paraId="01A9A9E6">
            <w:pPr>
              <w:rPr>
                <w:rFonts w:ascii="仿宋_GB2312" w:eastAsia="仿宋_GB2312"/>
                <w:sz w:val="24"/>
                <w:szCs w:val="24"/>
              </w:rPr>
            </w:pPr>
            <w:r>
              <w:rPr>
                <w:rFonts w:hint="eastAsia" w:ascii="仿宋_GB2312" w:eastAsia="仿宋_GB2312"/>
                <w:sz w:val="24"/>
                <w:szCs w:val="24"/>
              </w:rPr>
              <w:t>传真：</w:t>
            </w:r>
          </w:p>
        </w:tc>
      </w:tr>
      <w:tr w14:paraId="6715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204" w:type="pct"/>
            <w:vAlign w:val="center"/>
          </w:tcPr>
          <w:p w14:paraId="59379714">
            <w:pPr>
              <w:rPr>
                <w:rFonts w:ascii="仿宋_GB2312" w:eastAsia="仿宋_GB2312"/>
                <w:sz w:val="24"/>
                <w:szCs w:val="24"/>
              </w:rPr>
            </w:pPr>
            <w:r>
              <w:rPr>
                <w:rFonts w:hint="eastAsia" w:ascii="仿宋_GB2312" w:eastAsia="仿宋_GB2312"/>
                <w:sz w:val="24"/>
                <w:szCs w:val="24"/>
              </w:rPr>
              <w:t>债券投资者类型</w:t>
            </w:r>
          </w:p>
        </w:tc>
        <w:tc>
          <w:tcPr>
            <w:tcW w:w="3796" w:type="pct"/>
            <w:gridSpan w:val="8"/>
            <w:vAlign w:val="center"/>
          </w:tcPr>
          <w:p w14:paraId="0DD3A6FC">
            <w:pPr>
              <w:rPr>
                <w:rFonts w:ascii="仿宋_GB2312" w:eastAsia="仿宋_GB2312"/>
                <w:sz w:val="24"/>
                <w:szCs w:val="24"/>
              </w:rPr>
            </w:pPr>
            <w:r>
              <w:rPr>
                <w:rFonts w:hint="eastAsia" w:ascii="仿宋_GB2312" w:eastAsia="仿宋_GB2312"/>
                <w:sz w:val="24"/>
                <w:szCs w:val="24"/>
              </w:rPr>
              <w:t>□证券公司</w:t>
            </w:r>
            <w:r>
              <w:rPr>
                <w:rFonts w:ascii="仿宋_GB2312" w:eastAsia="仿宋_GB2312"/>
                <w:sz w:val="24"/>
                <w:szCs w:val="24"/>
              </w:rPr>
              <w:t xml:space="preserve">  </w:t>
            </w:r>
            <w:r>
              <w:rPr>
                <w:rFonts w:hint="eastAsia" w:ascii="仿宋_GB2312" w:eastAsia="仿宋_GB2312"/>
                <w:sz w:val="24"/>
                <w:szCs w:val="24"/>
              </w:rPr>
              <w:t>□银行  □证券公司资产管理子公司</w:t>
            </w:r>
            <w:r>
              <w:rPr>
                <w:rFonts w:ascii="仿宋_GB2312" w:eastAsia="仿宋_GB2312"/>
                <w:sz w:val="24"/>
                <w:szCs w:val="24"/>
              </w:rPr>
              <w:t xml:space="preserve">  </w:t>
            </w:r>
          </w:p>
          <w:p w14:paraId="2BDE1D4E">
            <w:pPr>
              <w:rPr>
                <w:rFonts w:ascii="仿宋_GB2312" w:eastAsia="仿宋_GB2312"/>
                <w:sz w:val="24"/>
                <w:szCs w:val="24"/>
              </w:rPr>
            </w:pPr>
            <w:r>
              <w:rPr>
                <w:rFonts w:hint="eastAsia" w:ascii="仿宋_GB2312" w:eastAsia="仿宋_GB2312"/>
                <w:sz w:val="24"/>
                <w:szCs w:val="24"/>
              </w:rPr>
              <w:t>□银行理财子公司</w:t>
            </w:r>
            <w:r>
              <w:rPr>
                <w:rFonts w:ascii="仿宋_GB2312" w:eastAsia="仿宋_GB2312"/>
                <w:sz w:val="24"/>
                <w:szCs w:val="24"/>
              </w:rPr>
              <w:t xml:space="preserve">  </w:t>
            </w:r>
            <w:r>
              <w:rPr>
                <w:rFonts w:hint="eastAsia" w:ascii="仿宋_GB2312" w:eastAsia="仿宋_GB2312"/>
                <w:sz w:val="24"/>
                <w:szCs w:val="24"/>
              </w:rPr>
              <w:t>□证券投资基金管理公司</w:t>
            </w:r>
            <w:r>
              <w:rPr>
                <w:rFonts w:ascii="仿宋_GB2312" w:eastAsia="仿宋_GB2312"/>
                <w:sz w:val="24"/>
                <w:szCs w:val="24"/>
              </w:rPr>
              <w:t xml:space="preserve">  </w:t>
            </w:r>
          </w:p>
          <w:p w14:paraId="6CA30DC9">
            <w:pPr>
              <w:rPr>
                <w:rFonts w:ascii="仿宋_GB2312" w:eastAsia="仿宋_GB2312"/>
                <w:sz w:val="24"/>
                <w:szCs w:val="24"/>
              </w:rPr>
            </w:pPr>
            <w:r>
              <w:rPr>
                <w:rFonts w:hint="eastAsia" w:ascii="仿宋_GB2312" w:eastAsia="仿宋_GB2312"/>
                <w:sz w:val="24"/>
                <w:szCs w:val="24"/>
              </w:rPr>
              <w:t>□保险公司 □保险资产管理公司</w:t>
            </w:r>
            <w:r>
              <w:rPr>
                <w:rFonts w:ascii="仿宋_GB2312" w:eastAsia="仿宋_GB2312"/>
                <w:sz w:val="24"/>
                <w:szCs w:val="24"/>
              </w:rPr>
              <w:t xml:space="preserve">  </w:t>
            </w:r>
            <w:r>
              <w:rPr>
                <w:rFonts w:hint="eastAsia" w:ascii="仿宋_GB2312" w:eastAsia="仿宋_GB2312"/>
                <w:sz w:val="24"/>
                <w:szCs w:val="24"/>
              </w:rPr>
              <w:t>□信托公司</w:t>
            </w:r>
            <w:r>
              <w:rPr>
                <w:rFonts w:ascii="仿宋_GB2312" w:eastAsia="仿宋_GB2312"/>
                <w:sz w:val="24"/>
                <w:szCs w:val="24"/>
              </w:rPr>
              <w:t xml:space="preserve">  </w:t>
            </w:r>
          </w:p>
          <w:p w14:paraId="3AE603DD">
            <w:pPr>
              <w:rPr>
                <w:rFonts w:ascii="仿宋_GB2312" w:eastAsia="仿宋_GB2312"/>
                <w:sz w:val="24"/>
                <w:szCs w:val="24"/>
              </w:rPr>
            </w:pPr>
            <w:r>
              <w:rPr>
                <w:rFonts w:hint="eastAsia" w:ascii="仿宋_GB2312" w:eastAsia="仿宋_GB2312"/>
                <w:sz w:val="24"/>
                <w:szCs w:val="24"/>
              </w:rPr>
              <w:t>□财务公司  □期货公司</w:t>
            </w:r>
            <w:r>
              <w:rPr>
                <w:rFonts w:ascii="仿宋_GB2312" w:eastAsia="仿宋_GB2312"/>
                <w:sz w:val="24"/>
                <w:szCs w:val="24"/>
              </w:rPr>
              <w:t xml:space="preserve"> </w:t>
            </w:r>
            <w:r>
              <w:rPr>
                <w:rFonts w:hint="eastAsia" w:ascii="仿宋_GB2312" w:eastAsia="仿宋_GB2312"/>
                <w:sz w:val="24"/>
                <w:szCs w:val="24"/>
              </w:rPr>
              <w:t>□其他机构</w:t>
            </w:r>
          </w:p>
        </w:tc>
      </w:tr>
      <w:tr w14:paraId="1FFAC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204" w:type="pct"/>
            <w:vMerge w:val="restart"/>
            <w:vAlign w:val="center"/>
          </w:tcPr>
          <w:p w14:paraId="611DCA18">
            <w:pPr>
              <w:rPr>
                <w:rFonts w:ascii="仿宋_GB2312" w:eastAsia="仿宋_GB2312"/>
                <w:sz w:val="24"/>
                <w:szCs w:val="24"/>
              </w:rPr>
            </w:pPr>
            <w:r>
              <w:rPr>
                <w:rFonts w:hint="eastAsia" w:ascii="仿宋_GB2312" w:eastAsia="仿宋_GB2312"/>
                <w:sz w:val="24"/>
                <w:szCs w:val="24"/>
              </w:rPr>
              <w:t>取消做市标的1</w:t>
            </w:r>
          </w:p>
        </w:tc>
        <w:tc>
          <w:tcPr>
            <w:tcW w:w="759" w:type="pct"/>
            <w:vAlign w:val="center"/>
          </w:tcPr>
          <w:p w14:paraId="37171E88">
            <w:pPr>
              <w:jc w:val="center"/>
              <w:rPr>
                <w:rFonts w:ascii="仿宋_GB2312" w:eastAsia="仿宋_GB2312"/>
                <w:sz w:val="24"/>
                <w:szCs w:val="24"/>
              </w:rPr>
            </w:pPr>
            <w:r>
              <w:rPr>
                <w:rFonts w:hint="eastAsia" w:ascii="仿宋_GB2312" w:eastAsia="仿宋_GB2312"/>
                <w:sz w:val="24"/>
                <w:szCs w:val="24"/>
              </w:rPr>
              <w:t>代码</w:t>
            </w:r>
          </w:p>
        </w:tc>
        <w:tc>
          <w:tcPr>
            <w:tcW w:w="759" w:type="pct"/>
            <w:gridSpan w:val="2"/>
            <w:vAlign w:val="center"/>
          </w:tcPr>
          <w:p w14:paraId="054382AC">
            <w:pPr>
              <w:jc w:val="center"/>
              <w:rPr>
                <w:rFonts w:ascii="仿宋_GB2312" w:eastAsia="仿宋_GB2312"/>
                <w:sz w:val="24"/>
                <w:szCs w:val="24"/>
              </w:rPr>
            </w:pPr>
            <w:r>
              <w:rPr>
                <w:rFonts w:hint="eastAsia" w:ascii="仿宋_GB2312" w:eastAsia="仿宋_GB2312"/>
                <w:sz w:val="24"/>
                <w:szCs w:val="24"/>
              </w:rPr>
              <w:t>简称</w:t>
            </w:r>
          </w:p>
        </w:tc>
        <w:tc>
          <w:tcPr>
            <w:tcW w:w="759" w:type="pct"/>
            <w:gridSpan w:val="2"/>
            <w:vAlign w:val="center"/>
          </w:tcPr>
          <w:p w14:paraId="19C2ADD4">
            <w:pPr>
              <w:jc w:val="center"/>
              <w:rPr>
                <w:rFonts w:ascii="仿宋_GB2312" w:eastAsia="仿宋_GB2312"/>
                <w:sz w:val="24"/>
                <w:szCs w:val="24"/>
              </w:rPr>
            </w:pPr>
            <w:r>
              <w:rPr>
                <w:rFonts w:hint="eastAsia" w:ascii="仿宋_GB2312" w:eastAsia="仿宋_GB2312"/>
                <w:sz w:val="24"/>
                <w:szCs w:val="24"/>
              </w:rPr>
              <w:t>做市类型</w:t>
            </w:r>
          </w:p>
        </w:tc>
        <w:tc>
          <w:tcPr>
            <w:tcW w:w="759" w:type="pct"/>
            <w:gridSpan w:val="2"/>
            <w:vAlign w:val="center"/>
          </w:tcPr>
          <w:p w14:paraId="1F10509E">
            <w:pPr>
              <w:jc w:val="center"/>
              <w:rPr>
                <w:rFonts w:ascii="仿宋_GB2312" w:eastAsia="仿宋_GB2312"/>
                <w:sz w:val="24"/>
                <w:szCs w:val="24"/>
              </w:rPr>
            </w:pPr>
            <w:r>
              <w:rPr>
                <w:rFonts w:hint="eastAsia" w:ascii="仿宋_GB2312" w:eastAsia="仿宋_GB2312"/>
                <w:sz w:val="24"/>
                <w:szCs w:val="24"/>
              </w:rPr>
              <w:t>起始日期</w:t>
            </w:r>
          </w:p>
        </w:tc>
        <w:tc>
          <w:tcPr>
            <w:tcW w:w="760" w:type="pct"/>
            <w:vAlign w:val="center"/>
          </w:tcPr>
          <w:p w14:paraId="1F1B4EC8">
            <w:pPr>
              <w:jc w:val="center"/>
              <w:rPr>
                <w:rFonts w:ascii="仿宋_GB2312" w:eastAsia="仿宋_GB2312"/>
                <w:sz w:val="24"/>
                <w:szCs w:val="24"/>
              </w:rPr>
            </w:pPr>
            <w:r>
              <w:rPr>
                <w:rFonts w:hint="eastAsia" w:ascii="仿宋_GB2312" w:eastAsia="仿宋_GB2312"/>
                <w:sz w:val="24"/>
                <w:szCs w:val="24"/>
              </w:rPr>
              <w:t>最终日期</w:t>
            </w:r>
          </w:p>
        </w:tc>
      </w:tr>
      <w:tr w14:paraId="18A72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204" w:type="pct"/>
            <w:vMerge w:val="continue"/>
            <w:vAlign w:val="center"/>
          </w:tcPr>
          <w:p w14:paraId="3AF77D2B">
            <w:pPr>
              <w:rPr>
                <w:rFonts w:ascii="仿宋_GB2312" w:eastAsia="仿宋_GB2312"/>
                <w:sz w:val="24"/>
                <w:szCs w:val="24"/>
              </w:rPr>
            </w:pPr>
          </w:p>
        </w:tc>
        <w:tc>
          <w:tcPr>
            <w:tcW w:w="759" w:type="pct"/>
            <w:vAlign w:val="center"/>
          </w:tcPr>
          <w:p w14:paraId="1DC94138">
            <w:pPr>
              <w:jc w:val="center"/>
              <w:rPr>
                <w:rFonts w:ascii="仿宋_GB2312" w:eastAsia="仿宋_GB2312"/>
                <w:sz w:val="24"/>
                <w:szCs w:val="24"/>
              </w:rPr>
            </w:pPr>
          </w:p>
        </w:tc>
        <w:tc>
          <w:tcPr>
            <w:tcW w:w="759" w:type="pct"/>
            <w:gridSpan w:val="2"/>
            <w:vAlign w:val="center"/>
          </w:tcPr>
          <w:p w14:paraId="4A26489C">
            <w:pPr>
              <w:jc w:val="center"/>
              <w:rPr>
                <w:rFonts w:ascii="仿宋_GB2312" w:eastAsia="仿宋_GB2312"/>
                <w:sz w:val="24"/>
                <w:szCs w:val="24"/>
              </w:rPr>
            </w:pPr>
          </w:p>
        </w:tc>
        <w:tc>
          <w:tcPr>
            <w:tcW w:w="759" w:type="pct"/>
            <w:gridSpan w:val="2"/>
            <w:vAlign w:val="center"/>
          </w:tcPr>
          <w:p w14:paraId="19DA87EB">
            <w:pPr>
              <w:jc w:val="center"/>
              <w:rPr>
                <w:rFonts w:ascii="仿宋_GB2312" w:eastAsia="仿宋_GB2312"/>
                <w:sz w:val="24"/>
                <w:szCs w:val="24"/>
              </w:rPr>
            </w:pPr>
          </w:p>
        </w:tc>
        <w:tc>
          <w:tcPr>
            <w:tcW w:w="759" w:type="pct"/>
            <w:gridSpan w:val="2"/>
            <w:vAlign w:val="center"/>
          </w:tcPr>
          <w:p w14:paraId="30D08D78">
            <w:pPr>
              <w:jc w:val="center"/>
              <w:rPr>
                <w:rFonts w:ascii="仿宋_GB2312" w:eastAsia="仿宋_GB2312"/>
                <w:sz w:val="24"/>
                <w:szCs w:val="24"/>
              </w:rPr>
            </w:pPr>
          </w:p>
        </w:tc>
        <w:tc>
          <w:tcPr>
            <w:tcW w:w="760" w:type="pct"/>
            <w:vAlign w:val="center"/>
          </w:tcPr>
          <w:p w14:paraId="57AEA4CF">
            <w:pPr>
              <w:jc w:val="center"/>
              <w:rPr>
                <w:rFonts w:ascii="仿宋_GB2312" w:eastAsia="仿宋_GB2312"/>
                <w:sz w:val="24"/>
                <w:szCs w:val="24"/>
              </w:rPr>
            </w:pPr>
          </w:p>
        </w:tc>
      </w:tr>
      <w:tr w14:paraId="3FC52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204" w:type="pct"/>
            <w:vAlign w:val="center"/>
          </w:tcPr>
          <w:p w14:paraId="286265BE">
            <w:pPr>
              <w:rPr>
                <w:rFonts w:ascii="仿宋_GB2312" w:eastAsia="仿宋_GB2312"/>
                <w:sz w:val="24"/>
                <w:szCs w:val="24"/>
              </w:rPr>
            </w:pPr>
            <w:r>
              <w:rPr>
                <w:rFonts w:hint="eastAsia" w:ascii="仿宋_GB2312" w:eastAsia="仿宋_GB2312"/>
                <w:sz w:val="24"/>
                <w:szCs w:val="24"/>
              </w:rPr>
              <w:t>具体原因说明</w:t>
            </w:r>
          </w:p>
        </w:tc>
        <w:tc>
          <w:tcPr>
            <w:tcW w:w="3796" w:type="pct"/>
            <w:gridSpan w:val="8"/>
            <w:vAlign w:val="center"/>
          </w:tcPr>
          <w:p w14:paraId="1EB674EE">
            <w:pPr>
              <w:jc w:val="center"/>
              <w:rPr>
                <w:rFonts w:ascii="仿宋_GB2312" w:eastAsia="仿宋_GB2312"/>
                <w:sz w:val="24"/>
                <w:szCs w:val="24"/>
              </w:rPr>
            </w:pPr>
          </w:p>
        </w:tc>
      </w:tr>
      <w:tr w14:paraId="05D2B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204" w:type="pct"/>
            <w:vMerge w:val="restart"/>
            <w:vAlign w:val="center"/>
          </w:tcPr>
          <w:p w14:paraId="278B7C67">
            <w:pPr>
              <w:rPr>
                <w:rFonts w:ascii="仿宋_GB2312" w:eastAsia="仿宋_GB2312"/>
                <w:sz w:val="24"/>
                <w:szCs w:val="24"/>
              </w:rPr>
            </w:pPr>
            <w:r>
              <w:rPr>
                <w:rFonts w:hint="eastAsia" w:ascii="仿宋_GB2312" w:eastAsia="仿宋_GB2312"/>
                <w:sz w:val="24"/>
                <w:szCs w:val="24"/>
              </w:rPr>
              <w:t>取消做市标的2</w:t>
            </w:r>
          </w:p>
        </w:tc>
        <w:tc>
          <w:tcPr>
            <w:tcW w:w="759" w:type="pct"/>
            <w:vAlign w:val="center"/>
          </w:tcPr>
          <w:p w14:paraId="5B694D30">
            <w:pPr>
              <w:jc w:val="center"/>
              <w:rPr>
                <w:rFonts w:ascii="仿宋_GB2312" w:eastAsia="仿宋_GB2312"/>
                <w:sz w:val="24"/>
                <w:szCs w:val="24"/>
              </w:rPr>
            </w:pPr>
            <w:r>
              <w:rPr>
                <w:rFonts w:hint="eastAsia" w:ascii="仿宋_GB2312" w:eastAsia="仿宋_GB2312"/>
                <w:sz w:val="24"/>
                <w:szCs w:val="24"/>
              </w:rPr>
              <w:t>代码</w:t>
            </w:r>
          </w:p>
        </w:tc>
        <w:tc>
          <w:tcPr>
            <w:tcW w:w="759" w:type="pct"/>
            <w:gridSpan w:val="2"/>
            <w:vAlign w:val="center"/>
          </w:tcPr>
          <w:p w14:paraId="07609A11">
            <w:pPr>
              <w:jc w:val="center"/>
              <w:rPr>
                <w:rFonts w:ascii="仿宋_GB2312" w:eastAsia="仿宋_GB2312"/>
                <w:sz w:val="24"/>
                <w:szCs w:val="24"/>
              </w:rPr>
            </w:pPr>
            <w:r>
              <w:rPr>
                <w:rFonts w:hint="eastAsia" w:ascii="仿宋_GB2312" w:eastAsia="仿宋_GB2312"/>
                <w:sz w:val="24"/>
                <w:szCs w:val="24"/>
              </w:rPr>
              <w:t>简称</w:t>
            </w:r>
          </w:p>
        </w:tc>
        <w:tc>
          <w:tcPr>
            <w:tcW w:w="759" w:type="pct"/>
            <w:gridSpan w:val="2"/>
            <w:vAlign w:val="center"/>
          </w:tcPr>
          <w:p w14:paraId="52315FCB">
            <w:pPr>
              <w:jc w:val="center"/>
              <w:rPr>
                <w:rFonts w:ascii="仿宋_GB2312" w:eastAsia="仿宋_GB2312"/>
                <w:sz w:val="24"/>
                <w:szCs w:val="24"/>
              </w:rPr>
            </w:pPr>
            <w:r>
              <w:rPr>
                <w:rFonts w:hint="eastAsia" w:ascii="仿宋_GB2312" w:eastAsia="仿宋_GB2312"/>
                <w:sz w:val="24"/>
                <w:szCs w:val="24"/>
              </w:rPr>
              <w:t>做市类型</w:t>
            </w:r>
          </w:p>
        </w:tc>
        <w:tc>
          <w:tcPr>
            <w:tcW w:w="759" w:type="pct"/>
            <w:gridSpan w:val="2"/>
            <w:vAlign w:val="center"/>
          </w:tcPr>
          <w:p w14:paraId="129CFA07">
            <w:pPr>
              <w:jc w:val="center"/>
              <w:rPr>
                <w:rFonts w:ascii="仿宋_GB2312" w:eastAsia="仿宋_GB2312"/>
                <w:sz w:val="24"/>
                <w:szCs w:val="24"/>
              </w:rPr>
            </w:pPr>
            <w:r>
              <w:rPr>
                <w:rFonts w:hint="eastAsia" w:ascii="仿宋_GB2312" w:eastAsia="仿宋_GB2312"/>
                <w:sz w:val="24"/>
                <w:szCs w:val="24"/>
              </w:rPr>
              <w:t>起始日期</w:t>
            </w:r>
          </w:p>
        </w:tc>
        <w:tc>
          <w:tcPr>
            <w:tcW w:w="760" w:type="pct"/>
            <w:vAlign w:val="center"/>
          </w:tcPr>
          <w:p w14:paraId="4078A4BE">
            <w:pPr>
              <w:jc w:val="center"/>
              <w:rPr>
                <w:rFonts w:ascii="仿宋_GB2312" w:eastAsia="仿宋_GB2312"/>
                <w:sz w:val="24"/>
                <w:szCs w:val="24"/>
              </w:rPr>
            </w:pPr>
            <w:r>
              <w:rPr>
                <w:rFonts w:hint="eastAsia" w:ascii="仿宋_GB2312" w:eastAsia="仿宋_GB2312"/>
                <w:sz w:val="24"/>
                <w:szCs w:val="24"/>
              </w:rPr>
              <w:t>最终日期</w:t>
            </w:r>
          </w:p>
        </w:tc>
      </w:tr>
      <w:tr w14:paraId="1CB14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204" w:type="pct"/>
            <w:vMerge w:val="continue"/>
            <w:vAlign w:val="center"/>
          </w:tcPr>
          <w:p w14:paraId="341DBA42">
            <w:pPr>
              <w:rPr>
                <w:rFonts w:ascii="仿宋_GB2312" w:eastAsia="仿宋_GB2312"/>
                <w:sz w:val="24"/>
                <w:szCs w:val="24"/>
              </w:rPr>
            </w:pPr>
          </w:p>
        </w:tc>
        <w:tc>
          <w:tcPr>
            <w:tcW w:w="759" w:type="pct"/>
            <w:vAlign w:val="center"/>
          </w:tcPr>
          <w:p w14:paraId="7AB6BCB5">
            <w:pPr>
              <w:jc w:val="center"/>
              <w:rPr>
                <w:rFonts w:ascii="仿宋_GB2312" w:eastAsia="仿宋_GB2312"/>
                <w:sz w:val="24"/>
                <w:szCs w:val="24"/>
              </w:rPr>
            </w:pPr>
          </w:p>
        </w:tc>
        <w:tc>
          <w:tcPr>
            <w:tcW w:w="759" w:type="pct"/>
            <w:gridSpan w:val="2"/>
            <w:vAlign w:val="center"/>
          </w:tcPr>
          <w:p w14:paraId="1F42B69A">
            <w:pPr>
              <w:jc w:val="center"/>
              <w:rPr>
                <w:rFonts w:ascii="仿宋_GB2312" w:eastAsia="仿宋_GB2312"/>
                <w:sz w:val="24"/>
                <w:szCs w:val="24"/>
              </w:rPr>
            </w:pPr>
          </w:p>
        </w:tc>
        <w:tc>
          <w:tcPr>
            <w:tcW w:w="759" w:type="pct"/>
            <w:gridSpan w:val="2"/>
            <w:vAlign w:val="center"/>
          </w:tcPr>
          <w:p w14:paraId="6DBA249A">
            <w:pPr>
              <w:jc w:val="center"/>
              <w:rPr>
                <w:rFonts w:ascii="仿宋_GB2312" w:eastAsia="仿宋_GB2312"/>
                <w:sz w:val="24"/>
                <w:szCs w:val="24"/>
              </w:rPr>
            </w:pPr>
          </w:p>
        </w:tc>
        <w:tc>
          <w:tcPr>
            <w:tcW w:w="759" w:type="pct"/>
            <w:gridSpan w:val="2"/>
            <w:vAlign w:val="center"/>
          </w:tcPr>
          <w:p w14:paraId="1D25E308">
            <w:pPr>
              <w:jc w:val="center"/>
              <w:rPr>
                <w:rFonts w:ascii="仿宋_GB2312" w:eastAsia="仿宋_GB2312"/>
                <w:sz w:val="24"/>
                <w:szCs w:val="24"/>
              </w:rPr>
            </w:pPr>
          </w:p>
        </w:tc>
        <w:tc>
          <w:tcPr>
            <w:tcW w:w="760" w:type="pct"/>
            <w:vAlign w:val="center"/>
          </w:tcPr>
          <w:p w14:paraId="70CEC286">
            <w:pPr>
              <w:jc w:val="center"/>
              <w:rPr>
                <w:rFonts w:ascii="仿宋_GB2312" w:eastAsia="仿宋_GB2312"/>
                <w:sz w:val="24"/>
                <w:szCs w:val="24"/>
              </w:rPr>
            </w:pPr>
          </w:p>
        </w:tc>
      </w:tr>
      <w:tr w14:paraId="79211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204" w:type="pct"/>
            <w:vAlign w:val="center"/>
          </w:tcPr>
          <w:p w14:paraId="28D4E371">
            <w:pPr>
              <w:rPr>
                <w:rFonts w:ascii="仿宋_GB2312" w:eastAsia="仿宋_GB2312"/>
                <w:sz w:val="24"/>
                <w:szCs w:val="24"/>
              </w:rPr>
            </w:pPr>
            <w:r>
              <w:rPr>
                <w:rFonts w:hint="eastAsia" w:ascii="仿宋_GB2312" w:eastAsia="仿宋_GB2312"/>
                <w:sz w:val="24"/>
                <w:szCs w:val="24"/>
              </w:rPr>
              <w:t>具体原因说明</w:t>
            </w:r>
          </w:p>
        </w:tc>
        <w:tc>
          <w:tcPr>
            <w:tcW w:w="3796" w:type="pct"/>
            <w:gridSpan w:val="8"/>
            <w:vAlign w:val="center"/>
          </w:tcPr>
          <w:p w14:paraId="3E516778">
            <w:pPr>
              <w:rPr>
                <w:rFonts w:ascii="仿宋_GB2312" w:eastAsia="仿宋_GB2312"/>
                <w:sz w:val="24"/>
                <w:szCs w:val="24"/>
              </w:rPr>
            </w:pPr>
          </w:p>
        </w:tc>
      </w:tr>
      <w:tr w14:paraId="26FAB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204" w:type="pct"/>
            <w:vAlign w:val="center"/>
          </w:tcPr>
          <w:p w14:paraId="79ED7E2F">
            <w:pPr>
              <w:jc w:val="center"/>
              <w:rPr>
                <w:rFonts w:ascii="仿宋_GB2312" w:eastAsia="仿宋_GB2312"/>
                <w:sz w:val="24"/>
                <w:szCs w:val="24"/>
              </w:rPr>
            </w:pPr>
            <w:r>
              <w:rPr>
                <w:rFonts w:hint="eastAsia" w:ascii="仿宋_GB2312" w:eastAsia="仿宋_GB2312"/>
                <w:sz w:val="24"/>
                <w:szCs w:val="24"/>
              </w:rPr>
              <w:t>做市业务负责人</w:t>
            </w:r>
          </w:p>
        </w:tc>
        <w:tc>
          <w:tcPr>
            <w:tcW w:w="1265" w:type="pct"/>
            <w:gridSpan w:val="2"/>
            <w:vAlign w:val="center"/>
          </w:tcPr>
          <w:p w14:paraId="66384135">
            <w:pPr>
              <w:jc w:val="center"/>
              <w:rPr>
                <w:rFonts w:ascii="仿宋_GB2312" w:eastAsia="仿宋_GB2312"/>
                <w:sz w:val="24"/>
                <w:szCs w:val="24"/>
              </w:rPr>
            </w:pPr>
            <w:r>
              <w:rPr>
                <w:rFonts w:hint="eastAsia" w:ascii="仿宋_GB2312" w:eastAsia="仿宋_GB2312"/>
                <w:sz w:val="24"/>
                <w:szCs w:val="24"/>
              </w:rPr>
              <w:t>部门</w:t>
            </w:r>
          </w:p>
        </w:tc>
        <w:tc>
          <w:tcPr>
            <w:tcW w:w="1266" w:type="pct"/>
            <w:gridSpan w:val="4"/>
            <w:vAlign w:val="center"/>
          </w:tcPr>
          <w:p w14:paraId="37CCD859">
            <w:pPr>
              <w:jc w:val="center"/>
              <w:rPr>
                <w:rFonts w:ascii="仿宋_GB2312" w:eastAsia="仿宋_GB2312"/>
                <w:sz w:val="24"/>
                <w:szCs w:val="24"/>
              </w:rPr>
            </w:pPr>
            <w:r>
              <w:rPr>
                <w:rFonts w:hint="eastAsia" w:ascii="仿宋_GB2312" w:eastAsia="仿宋_GB2312"/>
                <w:sz w:val="24"/>
                <w:szCs w:val="24"/>
              </w:rPr>
              <w:t>职务</w:t>
            </w:r>
          </w:p>
        </w:tc>
        <w:tc>
          <w:tcPr>
            <w:tcW w:w="1265" w:type="pct"/>
            <w:gridSpan w:val="2"/>
            <w:vAlign w:val="center"/>
          </w:tcPr>
          <w:p w14:paraId="2878B977">
            <w:pPr>
              <w:jc w:val="center"/>
              <w:rPr>
                <w:rFonts w:ascii="仿宋_GB2312" w:eastAsia="仿宋_GB2312"/>
                <w:sz w:val="24"/>
                <w:szCs w:val="24"/>
              </w:rPr>
            </w:pPr>
            <w:r>
              <w:rPr>
                <w:rFonts w:hint="eastAsia" w:ascii="仿宋_GB2312" w:eastAsia="仿宋_GB2312"/>
                <w:sz w:val="24"/>
                <w:szCs w:val="24"/>
              </w:rPr>
              <w:t>手机</w:t>
            </w:r>
          </w:p>
        </w:tc>
      </w:tr>
      <w:tr w14:paraId="3A0C5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204" w:type="pct"/>
            <w:vAlign w:val="center"/>
          </w:tcPr>
          <w:p w14:paraId="17B4A4E0">
            <w:pPr>
              <w:jc w:val="center"/>
              <w:rPr>
                <w:rFonts w:ascii="仿宋_GB2312" w:eastAsia="仿宋_GB2312"/>
                <w:sz w:val="24"/>
                <w:szCs w:val="24"/>
              </w:rPr>
            </w:pPr>
          </w:p>
        </w:tc>
        <w:tc>
          <w:tcPr>
            <w:tcW w:w="1265" w:type="pct"/>
            <w:gridSpan w:val="2"/>
            <w:vAlign w:val="center"/>
          </w:tcPr>
          <w:p w14:paraId="1456D260">
            <w:pPr>
              <w:jc w:val="center"/>
              <w:rPr>
                <w:rFonts w:ascii="仿宋_GB2312" w:eastAsia="仿宋_GB2312"/>
                <w:sz w:val="24"/>
                <w:szCs w:val="24"/>
              </w:rPr>
            </w:pPr>
          </w:p>
        </w:tc>
        <w:tc>
          <w:tcPr>
            <w:tcW w:w="1266" w:type="pct"/>
            <w:gridSpan w:val="4"/>
            <w:vAlign w:val="center"/>
          </w:tcPr>
          <w:p w14:paraId="00AD1048">
            <w:pPr>
              <w:jc w:val="center"/>
              <w:rPr>
                <w:rFonts w:ascii="仿宋_GB2312" w:eastAsia="仿宋_GB2312"/>
                <w:sz w:val="24"/>
                <w:szCs w:val="24"/>
              </w:rPr>
            </w:pPr>
          </w:p>
        </w:tc>
        <w:tc>
          <w:tcPr>
            <w:tcW w:w="1265" w:type="pct"/>
            <w:gridSpan w:val="2"/>
            <w:vAlign w:val="center"/>
          </w:tcPr>
          <w:p w14:paraId="717226B6">
            <w:pPr>
              <w:jc w:val="center"/>
              <w:rPr>
                <w:rFonts w:ascii="仿宋_GB2312" w:eastAsia="仿宋_GB2312"/>
                <w:sz w:val="24"/>
                <w:szCs w:val="24"/>
              </w:rPr>
            </w:pPr>
          </w:p>
        </w:tc>
      </w:tr>
      <w:tr w14:paraId="2FE3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204" w:type="pct"/>
            <w:vAlign w:val="center"/>
          </w:tcPr>
          <w:p w14:paraId="55A5D524">
            <w:pPr>
              <w:jc w:val="center"/>
              <w:rPr>
                <w:rFonts w:ascii="仿宋_GB2312" w:eastAsia="仿宋_GB2312"/>
                <w:sz w:val="24"/>
                <w:szCs w:val="24"/>
              </w:rPr>
            </w:pPr>
            <w:r>
              <w:rPr>
                <w:rFonts w:hint="eastAsia" w:ascii="仿宋_GB2312" w:eastAsia="仿宋_GB2312"/>
                <w:sz w:val="24"/>
                <w:szCs w:val="24"/>
              </w:rPr>
              <w:t>做市业务联络人</w:t>
            </w:r>
          </w:p>
        </w:tc>
        <w:tc>
          <w:tcPr>
            <w:tcW w:w="1265" w:type="pct"/>
            <w:gridSpan w:val="2"/>
            <w:vAlign w:val="center"/>
          </w:tcPr>
          <w:p w14:paraId="03089B4F">
            <w:pPr>
              <w:jc w:val="center"/>
              <w:rPr>
                <w:rFonts w:ascii="仿宋_GB2312" w:eastAsia="仿宋_GB2312"/>
                <w:sz w:val="24"/>
                <w:szCs w:val="24"/>
              </w:rPr>
            </w:pPr>
            <w:r>
              <w:rPr>
                <w:rFonts w:hint="eastAsia" w:ascii="仿宋_GB2312" w:eastAsia="仿宋_GB2312"/>
                <w:sz w:val="24"/>
                <w:szCs w:val="24"/>
              </w:rPr>
              <w:t>部门</w:t>
            </w:r>
          </w:p>
        </w:tc>
        <w:tc>
          <w:tcPr>
            <w:tcW w:w="1266" w:type="pct"/>
            <w:gridSpan w:val="4"/>
            <w:vAlign w:val="center"/>
          </w:tcPr>
          <w:p w14:paraId="113A36B0">
            <w:pPr>
              <w:jc w:val="center"/>
              <w:rPr>
                <w:rFonts w:ascii="仿宋_GB2312" w:eastAsia="仿宋_GB2312"/>
                <w:sz w:val="24"/>
                <w:szCs w:val="24"/>
              </w:rPr>
            </w:pPr>
            <w:r>
              <w:rPr>
                <w:rFonts w:hint="eastAsia" w:ascii="仿宋_GB2312" w:eastAsia="仿宋_GB2312"/>
                <w:sz w:val="24"/>
                <w:szCs w:val="24"/>
              </w:rPr>
              <w:t>职务</w:t>
            </w:r>
          </w:p>
        </w:tc>
        <w:tc>
          <w:tcPr>
            <w:tcW w:w="1265" w:type="pct"/>
            <w:gridSpan w:val="2"/>
            <w:vAlign w:val="center"/>
          </w:tcPr>
          <w:p w14:paraId="72FB9AA3">
            <w:pPr>
              <w:jc w:val="center"/>
              <w:rPr>
                <w:rFonts w:ascii="仿宋_GB2312" w:eastAsia="仿宋_GB2312"/>
                <w:sz w:val="24"/>
                <w:szCs w:val="24"/>
              </w:rPr>
            </w:pPr>
            <w:r>
              <w:rPr>
                <w:rFonts w:hint="eastAsia" w:ascii="仿宋_GB2312" w:eastAsia="仿宋_GB2312"/>
                <w:sz w:val="24"/>
                <w:szCs w:val="24"/>
              </w:rPr>
              <w:t>手机</w:t>
            </w:r>
          </w:p>
        </w:tc>
      </w:tr>
      <w:tr w14:paraId="28931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204" w:type="pct"/>
            <w:vAlign w:val="center"/>
          </w:tcPr>
          <w:p w14:paraId="367D30E9">
            <w:pPr>
              <w:jc w:val="center"/>
              <w:rPr>
                <w:rFonts w:ascii="仿宋_GB2312" w:eastAsia="仿宋_GB2312"/>
                <w:sz w:val="24"/>
                <w:szCs w:val="24"/>
              </w:rPr>
            </w:pPr>
          </w:p>
        </w:tc>
        <w:tc>
          <w:tcPr>
            <w:tcW w:w="1265" w:type="pct"/>
            <w:gridSpan w:val="2"/>
            <w:vAlign w:val="center"/>
          </w:tcPr>
          <w:p w14:paraId="51C3CDBF">
            <w:pPr>
              <w:jc w:val="center"/>
              <w:rPr>
                <w:rFonts w:ascii="仿宋_GB2312" w:eastAsia="仿宋_GB2312"/>
                <w:sz w:val="24"/>
                <w:szCs w:val="24"/>
              </w:rPr>
            </w:pPr>
          </w:p>
        </w:tc>
        <w:tc>
          <w:tcPr>
            <w:tcW w:w="1266" w:type="pct"/>
            <w:gridSpan w:val="4"/>
            <w:vAlign w:val="center"/>
          </w:tcPr>
          <w:p w14:paraId="34A325EC">
            <w:pPr>
              <w:jc w:val="center"/>
              <w:rPr>
                <w:rFonts w:ascii="仿宋_GB2312" w:eastAsia="仿宋_GB2312"/>
                <w:sz w:val="24"/>
                <w:szCs w:val="24"/>
              </w:rPr>
            </w:pPr>
          </w:p>
        </w:tc>
        <w:tc>
          <w:tcPr>
            <w:tcW w:w="1265" w:type="pct"/>
            <w:gridSpan w:val="2"/>
            <w:vAlign w:val="center"/>
          </w:tcPr>
          <w:p w14:paraId="5D62ABDF">
            <w:pPr>
              <w:jc w:val="center"/>
              <w:rPr>
                <w:rFonts w:ascii="仿宋_GB2312" w:eastAsia="仿宋_GB2312"/>
                <w:sz w:val="24"/>
                <w:szCs w:val="24"/>
              </w:rPr>
            </w:pPr>
          </w:p>
        </w:tc>
      </w:tr>
    </w:tbl>
    <w:p w14:paraId="342BD383">
      <w:pPr>
        <w:pStyle w:val="18"/>
        <w:jc w:val="right"/>
        <w:rPr>
          <w:szCs w:val="30"/>
        </w:rPr>
      </w:pPr>
      <w:r>
        <w:rPr>
          <w:rFonts w:hint="eastAsia"/>
          <w:szCs w:val="30"/>
        </w:rPr>
        <w:t>做市商：_____________________</w:t>
      </w:r>
      <w:r>
        <w:rPr>
          <w:szCs w:val="30"/>
        </w:rPr>
        <w:t xml:space="preserve">   </w:t>
      </w:r>
      <w:r>
        <w:rPr>
          <w:rFonts w:hint="eastAsia"/>
          <w:szCs w:val="30"/>
        </w:rPr>
        <w:t>（加盖部门章）</w:t>
      </w:r>
    </w:p>
    <w:p w14:paraId="0CBA2906">
      <w:pPr>
        <w:pStyle w:val="18"/>
        <w:jc w:val="right"/>
        <w:rPr>
          <w:szCs w:val="30"/>
        </w:rPr>
      </w:pPr>
      <w:r>
        <w:rPr>
          <w:rFonts w:hint="eastAsia"/>
          <w:szCs w:val="30"/>
        </w:rPr>
        <w:t xml:space="preserve">                                     经办人（签字）：</w:t>
      </w:r>
    </w:p>
    <w:p w14:paraId="24B399EC">
      <w:pPr>
        <w:pStyle w:val="18"/>
        <w:jc w:val="right"/>
        <w:rPr>
          <w:szCs w:val="30"/>
        </w:rPr>
      </w:pPr>
      <w:r>
        <w:rPr>
          <w:rFonts w:hint="eastAsia"/>
          <w:szCs w:val="30"/>
        </w:rPr>
        <w:t xml:space="preserve">                                     申请日期：</w:t>
      </w:r>
    </w:p>
    <w:p w14:paraId="70854A3E">
      <w:pPr>
        <w:widowControl/>
        <w:jc w:val="left"/>
        <w:rPr>
          <w:rFonts w:ascii="仿宋_GB2312" w:eastAsia="仿宋_GB2312"/>
          <w:kern w:val="0"/>
          <w:sz w:val="30"/>
          <w:szCs w:val="30"/>
        </w:rPr>
      </w:pPr>
      <w:r>
        <w:rPr>
          <w:szCs w:val="30"/>
        </w:rPr>
        <w:br w:type="page"/>
      </w:r>
    </w:p>
    <w:p w14:paraId="4F98158B">
      <w:pPr>
        <w:widowControl/>
        <w:jc w:val="left"/>
        <w:outlineLvl w:val="1"/>
        <w:rPr>
          <w:rFonts w:hint="eastAsia" w:ascii="仿宋_GB2312" w:hAnsi="黑体" w:eastAsia="仿宋_GB2312"/>
          <w:b/>
          <w:sz w:val="30"/>
          <w:szCs w:val="30"/>
        </w:rPr>
      </w:pPr>
      <w:bookmarkStart w:id="4048" w:name="_Toc66630076"/>
      <w:bookmarkStart w:id="4049" w:name="_Toc151137100"/>
      <w:bookmarkStart w:id="4050" w:name="_Toc738412966"/>
      <w:bookmarkStart w:id="4051" w:name="_Toc942704657"/>
      <w:bookmarkStart w:id="4052" w:name="_Toc225737448"/>
      <w:bookmarkStart w:id="4053" w:name="_Toc356178733"/>
      <w:bookmarkStart w:id="4054" w:name="_Toc90981823"/>
      <w:r>
        <w:rPr>
          <w:rFonts w:hint="eastAsia" w:ascii="仿宋_GB2312" w:hAnsi="黑体" w:eastAsia="仿宋_GB2312"/>
          <w:b/>
          <w:sz w:val="30"/>
          <w:szCs w:val="30"/>
        </w:rPr>
        <w:t>附件17 终止债券做市业务申请表</w:t>
      </w:r>
      <w:bookmarkEnd w:id="4048"/>
      <w:bookmarkEnd w:id="4049"/>
      <w:bookmarkEnd w:id="4050"/>
      <w:bookmarkEnd w:id="4051"/>
      <w:bookmarkEnd w:id="4052"/>
      <w:bookmarkEnd w:id="4053"/>
      <w:bookmarkEnd w:id="4054"/>
    </w:p>
    <w:p w14:paraId="0BB337AA">
      <w:pPr>
        <w:spacing w:line="600" w:lineRule="exact"/>
        <w:jc w:val="center"/>
        <w:rPr>
          <w:rFonts w:ascii="黑体" w:hAnsi="黑体" w:eastAsia="黑体" w:cs="黑体"/>
          <w:sz w:val="30"/>
          <w:szCs w:val="30"/>
        </w:rPr>
      </w:pPr>
      <w:r>
        <w:rPr>
          <w:rFonts w:hint="eastAsia" w:ascii="黑体" w:hAnsi="黑体" w:eastAsia="黑体" w:cs="黑体"/>
          <w:b/>
          <w:sz w:val="44"/>
          <w:szCs w:val="44"/>
        </w:rPr>
        <w:t>终止债券做市业务申请表</w:t>
      </w:r>
    </w:p>
    <w:tbl>
      <w:tblPr>
        <w:tblStyle w:val="43"/>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1"/>
        <w:gridCol w:w="849"/>
        <w:gridCol w:w="425"/>
        <w:gridCol w:w="425"/>
        <w:gridCol w:w="1276"/>
        <w:gridCol w:w="1421"/>
        <w:gridCol w:w="1259"/>
        <w:gridCol w:w="1581"/>
      </w:tblGrid>
      <w:tr w14:paraId="1F4C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3317" w:type="pct"/>
            <w:gridSpan w:val="6"/>
            <w:vAlign w:val="center"/>
          </w:tcPr>
          <w:p w14:paraId="779E03C7">
            <w:pPr>
              <w:rPr>
                <w:rFonts w:ascii="仿宋_GB2312" w:eastAsia="仿宋_GB2312"/>
                <w:sz w:val="24"/>
                <w:szCs w:val="24"/>
              </w:rPr>
            </w:pPr>
            <w:r>
              <w:rPr>
                <w:rFonts w:hint="eastAsia" w:ascii="仿宋_GB2312" w:eastAsia="仿宋_GB2312"/>
                <w:sz w:val="24"/>
                <w:szCs w:val="24"/>
              </w:rPr>
              <w:t>申请人全称：</w:t>
            </w:r>
          </w:p>
        </w:tc>
        <w:tc>
          <w:tcPr>
            <w:tcW w:w="1683" w:type="pct"/>
            <w:gridSpan w:val="2"/>
            <w:vAlign w:val="center"/>
          </w:tcPr>
          <w:p w14:paraId="79727B9E">
            <w:pPr>
              <w:rPr>
                <w:rFonts w:ascii="仿宋_GB2312" w:eastAsia="仿宋_GB2312"/>
                <w:sz w:val="24"/>
                <w:szCs w:val="24"/>
              </w:rPr>
            </w:pPr>
            <w:r>
              <w:rPr>
                <w:rFonts w:hint="eastAsia" w:ascii="仿宋_GB2312" w:eastAsia="仿宋_GB2312"/>
                <w:sz w:val="24"/>
                <w:szCs w:val="24"/>
              </w:rPr>
              <w:t>电话：</w:t>
            </w:r>
          </w:p>
        </w:tc>
      </w:tr>
      <w:tr w14:paraId="1D5C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3317" w:type="pct"/>
            <w:gridSpan w:val="6"/>
            <w:vAlign w:val="center"/>
          </w:tcPr>
          <w:p w14:paraId="1F6E1F9B">
            <w:pPr>
              <w:rPr>
                <w:rFonts w:ascii="仿宋_GB2312" w:eastAsia="仿宋_GB2312"/>
                <w:sz w:val="24"/>
                <w:szCs w:val="24"/>
              </w:rPr>
            </w:pPr>
            <w:r>
              <w:rPr>
                <w:rFonts w:hint="eastAsia" w:ascii="仿宋_GB2312" w:eastAsia="仿宋_GB2312"/>
                <w:sz w:val="24"/>
                <w:szCs w:val="24"/>
              </w:rPr>
              <w:t xml:space="preserve">公司地址： </w:t>
            </w:r>
          </w:p>
        </w:tc>
        <w:tc>
          <w:tcPr>
            <w:tcW w:w="1683" w:type="pct"/>
            <w:gridSpan w:val="2"/>
            <w:vAlign w:val="center"/>
          </w:tcPr>
          <w:p w14:paraId="01C172D8">
            <w:pPr>
              <w:rPr>
                <w:rFonts w:ascii="仿宋_GB2312" w:eastAsia="仿宋_GB2312"/>
                <w:sz w:val="24"/>
                <w:szCs w:val="24"/>
              </w:rPr>
            </w:pPr>
            <w:r>
              <w:rPr>
                <w:rFonts w:hint="eastAsia" w:ascii="仿宋_GB2312" w:eastAsia="仿宋_GB2312"/>
                <w:sz w:val="24"/>
                <w:szCs w:val="24"/>
              </w:rPr>
              <w:t>传真：</w:t>
            </w:r>
          </w:p>
        </w:tc>
      </w:tr>
      <w:tr w14:paraId="05135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3317" w:type="pct"/>
            <w:gridSpan w:val="6"/>
            <w:vAlign w:val="center"/>
          </w:tcPr>
          <w:p w14:paraId="1A0B717A">
            <w:pPr>
              <w:rPr>
                <w:rFonts w:ascii="仿宋_GB2312" w:eastAsia="仿宋_GB2312"/>
                <w:sz w:val="24"/>
                <w:szCs w:val="24"/>
              </w:rPr>
            </w:pPr>
            <w:r>
              <w:rPr>
                <w:rFonts w:hint="eastAsia" w:ascii="仿宋_GB2312" w:eastAsia="仿宋_GB2312"/>
                <w:sz w:val="24"/>
                <w:szCs w:val="24"/>
              </w:rPr>
              <w:t>原债券做市商类型：</w:t>
            </w:r>
          </w:p>
        </w:tc>
        <w:tc>
          <w:tcPr>
            <w:tcW w:w="1683" w:type="pct"/>
            <w:gridSpan w:val="2"/>
            <w:vAlign w:val="center"/>
          </w:tcPr>
          <w:p w14:paraId="43CCF68A">
            <w:pPr>
              <w:rPr>
                <w:rFonts w:ascii="仿宋_GB2312" w:eastAsia="仿宋_GB2312"/>
                <w:sz w:val="24"/>
                <w:szCs w:val="24"/>
              </w:rPr>
            </w:pPr>
            <w:r>
              <w:rPr>
                <w:rFonts w:hint="eastAsia" w:ascii="仿宋_GB2312" w:eastAsia="仿宋_GB2312"/>
                <w:sz w:val="24"/>
                <w:szCs w:val="24"/>
              </w:rPr>
              <w:t>终止生效日：</w:t>
            </w:r>
          </w:p>
        </w:tc>
      </w:tr>
      <w:tr w14:paraId="21DD9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467" w:type="pct"/>
            <w:gridSpan w:val="3"/>
            <w:vAlign w:val="center"/>
          </w:tcPr>
          <w:p w14:paraId="7A44BC3B">
            <w:pPr>
              <w:rPr>
                <w:rFonts w:ascii="仿宋_GB2312" w:eastAsia="仿宋_GB2312"/>
                <w:sz w:val="24"/>
                <w:szCs w:val="24"/>
              </w:rPr>
            </w:pPr>
            <w:r>
              <w:rPr>
                <w:rFonts w:hint="eastAsia" w:ascii="仿宋_GB2312" w:eastAsia="仿宋_GB2312"/>
                <w:sz w:val="24"/>
                <w:szCs w:val="24"/>
              </w:rPr>
              <w:t>债券投资者类型</w:t>
            </w:r>
          </w:p>
        </w:tc>
        <w:tc>
          <w:tcPr>
            <w:tcW w:w="3533" w:type="pct"/>
            <w:gridSpan w:val="5"/>
            <w:vAlign w:val="center"/>
          </w:tcPr>
          <w:p w14:paraId="47722EBB">
            <w:pPr>
              <w:rPr>
                <w:rFonts w:ascii="仿宋_GB2312" w:eastAsia="仿宋_GB2312"/>
                <w:sz w:val="24"/>
                <w:szCs w:val="24"/>
              </w:rPr>
            </w:pPr>
            <w:r>
              <w:rPr>
                <w:rFonts w:hint="eastAsia" w:ascii="仿宋_GB2312" w:eastAsia="仿宋_GB2312"/>
                <w:sz w:val="24"/>
                <w:szCs w:val="24"/>
              </w:rPr>
              <w:t>□证券公司</w:t>
            </w:r>
            <w:r>
              <w:rPr>
                <w:rFonts w:ascii="仿宋_GB2312" w:eastAsia="仿宋_GB2312"/>
                <w:sz w:val="24"/>
                <w:szCs w:val="24"/>
              </w:rPr>
              <w:t xml:space="preserve">  </w:t>
            </w:r>
            <w:r>
              <w:rPr>
                <w:rFonts w:hint="eastAsia" w:ascii="仿宋_GB2312" w:eastAsia="仿宋_GB2312"/>
                <w:sz w:val="24"/>
                <w:szCs w:val="24"/>
              </w:rPr>
              <w:t>□银行  □证券公司资产管理子公司</w:t>
            </w:r>
            <w:r>
              <w:rPr>
                <w:rFonts w:ascii="仿宋_GB2312" w:eastAsia="仿宋_GB2312"/>
                <w:sz w:val="24"/>
                <w:szCs w:val="24"/>
              </w:rPr>
              <w:t xml:space="preserve">  </w:t>
            </w:r>
          </w:p>
          <w:p w14:paraId="1172DC67">
            <w:pPr>
              <w:rPr>
                <w:rFonts w:ascii="仿宋_GB2312" w:eastAsia="仿宋_GB2312"/>
                <w:sz w:val="24"/>
                <w:szCs w:val="24"/>
              </w:rPr>
            </w:pPr>
            <w:r>
              <w:rPr>
                <w:rFonts w:hint="eastAsia" w:ascii="仿宋_GB2312" w:eastAsia="仿宋_GB2312"/>
                <w:sz w:val="24"/>
                <w:szCs w:val="24"/>
              </w:rPr>
              <w:t>□银行理财子公司</w:t>
            </w:r>
            <w:r>
              <w:rPr>
                <w:rFonts w:ascii="仿宋_GB2312" w:eastAsia="仿宋_GB2312"/>
                <w:sz w:val="24"/>
                <w:szCs w:val="24"/>
              </w:rPr>
              <w:t xml:space="preserve">  </w:t>
            </w:r>
            <w:r>
              <w:rPr>
                <w:rFonts w:hint="eastAsia" w:ascii="仿宋_GB2312" w:eastAsia="仿宋_GB2312"/>
                <w:sz w:val="24"/>
                <w:szCs w:val="24"/>
              </w:rPr>
              <w:t>□证券投资基金管理公司</w:t>
            </w:r>
            <w:r>
              <w:rPr>
                <w:rFonts w:ascii="仿宋_GB2312" w:eastAsia="仿宋_GB2312"/>
                <w:sz w:val="24"/>
                <w:szCs w:val="24"/>
              </w:rPr>
              <w:t xml:space="preserve">  </w:t>
            </w:r>
          </w:p>
          <w:p w14:paraId="6358BD49">
            <w:pPr>
              <w:rPr>
                <w:rFonts w:ascii="仿宋_GB2312" w:eastAsia="仿宋_GB2312"/>
                <w:sz w:val="24"/>
                <w:szCs w:val="24"/>
              </w:rPr>
            </w:pPr>
            <w:r>
              <w:rPr>
                <w:rFonts w:hint="eastAsia" w:ascii="仿宋_GB2312" w:eastAsia="仿宋_GB2312"/>
                <w:sz w:val="24"/>
                <w:szCs w:val="24"/>
              </w:rPr>
              <w:t>□保险公司 □保险资产管理公司</w:t>
            </w:r>
            <w:r>
              <w:rPr>
                <w:rFonts w:ascii="仿宋_GB2312" w:eastAsia="仿宋_GB2312"/>
                <w:sz w:val="24"/>
                <w:szCs w:val="24"/>
              </w:rPr>
              <w:t xml:space="preserve">  </w:t>
            </w:r>
            <w:r>
              <w:rPr>
                <w:rFonts w:hint="eastAsia" w:ascii="仿宋_GB2312" w:eastAsia="仿宋_GB2312"/>
                <w:sz w:val="24"/>
                <w:szCs w:val="24"/>
              </w:rPr>
              <w:t>□信托公司</w:t>
            </w:r>
            <w:r>
              <w:rPr>
                <w:rFonts w:ascii="仿宋_GB2312" w:eastAsia="仿宋_GB2312"/>
                <w:sz w:val="24"/>
                <w:szCs w:val="24"/>
              </w:rPr>
              <w:t xml:space="preserve">  </w:t>
            </w:r>
          </w:p>
          <w:p w14:paraId="7C2682F4">
            <w:pPr>
              <w:rPr>
                <w:rFonts w:ascii="仿宋_GB2312" w:eastAsia="仿宋_GB2312"/>
                <w:sz w:val="24"/>
                <w:szCs w:val="24"/>
              </w:rPr>
            </w:pPr>
            <w:r>
              <w:rPr>
                <w:rFonts w:hint="eastAsia" w:ascii="仿宋_GB2312" w:eastAsia="仿宋_GB2312"/>
                <w:sz w:val="24"/>
                <w:szCs w:val="24"/>
              </w:rPr>
              <w:t xml:space="preserve">□财务公司  □期货公司 </w:t>
            </w:r>
            <w:r>
              <w:rPr>
                <w:rFonts w:ascii="仿宋_GB2312" w:eastAsia="仿宋_GB2312"/>
                <w:sz w:val="24"/>
                <w:szCs w:val="24"/>
              </w:rPr>
              <w:t xml:space="preserve"> </w:t>
            </w:r>
            <w:r>
              <w:rPr>
                <w:rFonts w:hint="eastAsia" w:ascii="仿宋_GB2312" w:eastAsia="仿宋_GB2312"/>
                <w:sz w:val="24"/>
                <w:szCs w:val="24"/>
              </w:rPr>
              <w:t>□其他机构</w:t>
            </w:r>
          </w:p>
        </w:tc>
      </w:tr>
      <w:tr w14:paraId="07BE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12" w:type="pct"/>
            <w:vAlign w:val="center"/>
          </w:tcPr>
          <w:p w14:paraId="2D21C96D">
            <w:pPr>
              <w:rPr>
                <w:rFonts w:ascii="仿宋_GB2312" w:eastAsia="仿宋_GB2312"/>
                <w:sz w:val="24"/>
                <w:szCs w:val="24"/>
              </w:rPr>
            </w:pPr>
            <w:r>
              <w:rPr>
                <w:rFonts w:hint="eastAsia" w:ascii="仿宋_GB2312" w:eastAsia="仿宋_GB2312"/>
                <w:sz w:val="24"/>
                <w:szCs w:val="24"/>
              </w:rPr>
              <w:t>做市业务负责人</w:t>
            </w:r>
          </w:p>
        </w:tc>
        <w:tc>
          <w:tcPr>
            <w:tcW w:w="503" w:type="pct"/>
            <w:vAlign w:val="center"/>
          </w:tcPr>
          <w:p w14:paraId="74D2C5D9">
            <w:pPr>
              <w:rPr>
                <w:rFonts w:ascii="仿宋_GB2312" w:eastAsia="仿宋_GB2312"/>
                <w:sz w:val="24"/>
                <w:szCs w:val="24"/>
              </w:rPr>
            </w:pPr>
            <w:r>
              <w:rPr>
                <w:rFonts w:hint="eastAsia" w:ascii="仿宋_GB2312" w:eastAsia="仿宋_GB2312"/>
                <w:sz w:val="24"/>
                <w:szCs w:val="24"/>
              </w:rPr>
              <w:t>部门</w:t>
            </w:r>
          </w:p>
        </w:tc>
        <w:tc>
          <w:tcPr>
            <w:tcW w:w="504" w:type="pct"/>
            <w:gridSpan w:val="2"/>
            <w:vAlign w:val="center"/>
          </w:tcPr>
          <w:p w14:paraId="0509EFC0">
            <w:pPr>
              <w:rPr>
                <w:rFonts w:ascii="仿宋_GB2312" w:eastAsia="仿宋_GB2312"/>
                <w:sz w:val="24"/>
                <w:szCs w:val="24"/>
              </w:rPr>
            </w:pPr>
            <w:r>
              <w:rPr>
                <w:rFonts w:hint="eastAsia" w:ascii="仿宋_GB2312" w:eastAsia="仿宋_GB2312"/>
                <w:sz w:val="24"/>
                <w:szCs w:val="24"/>
              </w:rPr>
              <w:t>职务</w:t>
            </w:r>
          </w:p>
        </w:tc>
        <w:tc>
          <w:tcPr>
            <w:tcW w:w="756" w:type="pct"/>
            <w:vAlign w:val="center"/>
          </w:tcPr>
          <w:p w14:paraId="6D503751">
            <w:pPr>
              <w:rPr>
                <w:rFonts w:ascii="仿宋_GB2312" w:eastAsia="仿宋_GB2312"/>
                <w:sz w:val="24"/>
                <w:szCs w:val="24"/>
              </w:rPr>
            </w:pPr>
            <w:r>
              <w:rPr>
                <w:rFonts w:hint="eastAsia" w:ascii="仿宋_GB2312" w:eastAsia="仿宋_GB2312"/>
                <w:sz w:val="24"/>
                <w:szCs w:val="24"/>
              </w:rPr>
              <w:t>电话</w:t>
            </w:r>
          </w:p>
        </w:tc>
        <w:tc>
          <w:tcPr>
            <w:tcW w:w="842" w:type="pct"/>
            <w:vAlign w:val="center"/>
          </w:tcPr>
          <w:p w14:paraId="63BB1251">
            <w:pPr>
              <w:rPr>
                <w:rFonts w:ascii="仿宋_GB2312" w:eastAsia="仿宋_GB2312"/>
                <w:sz w:val="24"/>
                <w:szCs w:val="24"/>
              </w:rPr>
            </w:pPr>
            <w:r>
              <w:rPr>
                <w:rFonts w:hint="eastAsia" w:ascii="仿宋_GB2312" w:eastAsia="仿宋_GB2312"/>
                <w:sz w:val="24"/>
                <w:szCs w:val="24"/>
              </w:rPr>
              <w:t>手机</w:t>
            </w:r>
          </w:p>
        </w:tc>
        <w:tc>
          <w:tcPr>
            <w:tcW w:w="746" w:type="pct"/>
            <w:vAlign w:val="center"/>
          </w:tcPr>
          <w:p w14:paraId="38BCFA47">
            <w:pPr>
              <w:rPr>
                <w:rFonts w:ascii="仿宋_GB2312" w:eastAsia="仿宋_GB2312"/>
                <w:sz w:val="24"/>
                <w:szCs w:val="24"/>
              </w:rPr>
            </w:pPr>
            <w:r>
              <w:rPr>
                <w:rFonts w:hint="eastAsia" w:ascii="仿宋_GB2312" w:eastAsia="仿宋_GB2312"/>
                <w:sz w:val="24"/>
                <w:szCs w:val="24"/>
              </w:rPr>
              <w:t>传真</w:t>
            </w:r>
          </w:p>
        </w:tc>
        <w:tc>
          <w:tcPr>
            <w:tcW w:w="937" w:type="pct"/>
            <w:vAlign w:val="center"/>
          </w:tcPr>
          <w:p w14:paraId="71CAEDC9">
            <w:pPr>
              <w:rPr>
                <w:rFonts w:ascii="仿宋_GB2312" w:eastAsia="仿宋_GB2312"/>
                <w:sz w:val="24"/>
                <w:szCs w:val="24"/>
              </w:rPr>
            </w:pPr>
            <w:r>
              <w:rPr>
                <w:rFonts w:ascii="仿宋_GB2312" w:eastAsia="仿宋_GB2312"/>
                <w:sz w:val="24"/>
                <w:szCs w:val="24"/>
              </w:rPr>
              <w:t>E-mail</w:t>
            </w:r>
          </w:p>
        </w:tc>
      </w:tr>
      <w:tr w14:paraId="150F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712" w:type="pct"/>
            <w:vAlign w:val="center"/>
          </w:tcPr>
          <w:p w14:paraId="648DCA37">
            <w:pPr>
              <w:rPr>
                <w:rFonts w:ascii="仿宋_GB2312" w:eastAsia="仿宋_GB2312"/>
                <w:sz w:val="24"/>
                <w:szCs w:val="24"/>
              </w:rPr>
            </w:pPr>
          </w:p>
        </w:tc>
        <w:tc>
          <w:tcPr>
            <w:tcW w:w="503" w:type="pct"/>
            <w:vAlign w:val="center"/>
          </w:tcPr>
          <w:p w14:paraId="78F592DC">
            <w:pPr>
              <w:rPr>
                <w:rFonts w:ascii="仿宋_GB2312" w:eastAsia="仿宋_GB2312"/>
                <w:sz w:val="24"/>
                <w:szCs w:val="24"/>
              </w:rPr>
            </w:pPr>
          </w:p>
        </w:tc>
        <w:tc>
          <w:tcPr>
            <w:tcW w:w="504" w:type="pct"/>
            <w:gridSpan w:val="2"/>
            <w:vAlign w:val="center"/>
          </w:tcPr>
          <w:p w14:paraId="23E3F4D4">
            <w:pPr>
              <w:rPr>
                <w:rFonts w:ascii="仿宋_GB2312" w:eastAsia="仿宋_GB2312"/>
                <w:sz w:val="24"/>
                <w:szCs w:val="24"/>
              </w:rPr>
            </w:pPr>
          </w:p>
        </w:tc>
        <w:tc>
          <w:tcPr>
            <w:tcW w:w="756" w:type="pct"/>
            <w:vAlign w:val="center"/>
          </w:tcPr>
          <w:p w14:paraId="4CB27F11">
            <w:pPr>
              <w:rPr>
                <w:rFonts w:ascii="仿宋_GB2312" w:eastAsia="仿宋_GB2312"/>
                <w:sz w:val="24"/>
                <w:szCs w:val="24"/>
              </w:rPr>
            </w:pPr>
          </w:p>
        </w:tc>
        <w:tc>
          <w:tcPr>
            <w:tcW w:w="842" w:type="pct"/>
            <w:vAlign w:val="center"/>
          </w:tcPr>
          <w:p w14:paraId="2652C651">
            <w:pPr>
              <w:rPr>
                <w:rFonts w:ascii="仿宋_GB2312" w:eastAsia="仿宋_GB2312"/>
                <w:sz w:val="24"/>
                <w:szCs w:val="24"/>
              </w:rPr>
            </w:pPr>
          </w:p>
        </w:tc>
        <w:tc>
          <w:tcPr>
            <w:tcW w:w="746" w:type="pct"/>
            <w:vAlign w:val="center"/>
          </w:tcPr>
          <w:p w14:paraId="3A988F72">
            <w:pPr>
              <w:rPr>
                <w:rFonts w:ascii="仿宋_GB2312" w:eastAsia="仿宋_GB2312"/>
                <w:sz w:val="24"/>
                <w:szCs w:val="24"/>
              </w:rPr>
            </w:pPr>
          </w:p>
        </w:tc>
        <w:tc>
          <w:tcPr>
            <w:tcW w:w="937" w:type="pct"/>
            <w:vAlign w:val="center"/>
          </w:tcPr>
          <w:p w14:paraId="10DF241B">
            <w:pPr>
              <w:rPr>
                <w:rFonts w:ascii="仿宋_GB2312" w:eastAsia="仿宋_GB2312"/>
                <w:sz w:val="24"/>
                <w:szCs w:val="24"/>
              </w:rPr>
            </w:pPr>
          </w:p>
        </w:tc>
      </w:tr>
      <w:tr w14:paraId="32607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712" w:type="pct"/>
            <w:vAlign w:val="center"/>
          </w:tcPr>
          <w:p w14:paraId="582EB511">
            <w:pPr>
              <w:rPr>
                <w:rFonts w:ascii="仿宋_GB2312" w:eastAsia="仿宋_GB2312"/>
                <w:sz w:val="24"/>
                <w:szCs w:val="24"/>
              </w:rPr>
            </w:pPr>
            <w:r>
              <w:rPr>
                <w:rFonts w:hint="eastAsia" w:ascii="仿宋_GB2312" w:eastAsia="仿宋_GB2312"/>
                <w:sz w:val="24"/>
                <w:szCs w:val="24"/>
              </w:rPr>
              <w:t>做市业务联络人</w:t>
            </w:r>
          </w:p>
        </w:tc>
        <w:tc>
          <w:tcPr>
            <w:tcW w:w="503" w:type="pct"/>
            <w:vAlign w:val="center"/>
          </w:tcPr>
          <w:p w14:paraId="20FABBA1">
            <w:pPr>
              <w:rPr>
                <w:rFonts w:ascii="仿宋_GB2312" w:eastAsia="仿宋_GB2312"/>
                <w:sz w:val="24"/>
                <w:szCs w:val="24"/>
              </w:rPr>
            </w:pPr>
            <w:r>
              <w:rPr>
                <w:rFonts w:hint="eastAsia" w:ascii="仿宋_GB2312" w:eastAsia="仿宋_GB2312"/>
                <w:sz w:val="24"/>
                <w:szCs w:val="24"/>
              </w:rPr>
              <w:t>部门</w:t>
            </w:r>
          </w:p>
        </w:tc>
        <w:tc>
          <w:tcPr>
            <w:tcW w:w="504" w:type="pct"/>
            <w:gridSpan w:val="2"/>
            <w:vAlign w:val="center"/>
          </w:tcPr>
          <w:p w14:paraId="4ECE259A">
            <w:pPr>
              <w:rPr>
                <w:rFonts w:ascii="仿宋_GB2312" w:eastAsia="仿宋_GB2312"/>
                <w:sz w:val="24"/>
                <w:szCs w:val="24"/>
              </w:rPr>
            </w:pPr>
            <w:r>
              <w:rPr>
                <w:rFonts w:hint="eastAsia" w:ascii="仿宋_GB2312" w:eastAsia="仿宋_GB2312"/>
                <w:sz w:val="24"/>
                <w:szCs w:val="24"/>
              </w:rPr>
              <w:t>职务</w:t>
            </w:r>
          </w:p>
        </w:tc>
        <w:tc>
          <w:tcPr>
            <w:tcW w:w="756" w:type="pct"/>
            <w:vAlign w:val="center"/>
          </w:tcPr>
          <w:p w14:paraId="3504E4EB">
            <w:pPr>
              <w:rPr>
                <w:rFonts w:ascii="仿宋_GB2312" w:eastAsia="仿宋_GB2312"/>
                <w:sz w:val="24"/>
                <w:szCs w:val="24"/>
              </w:rPr>
            </w:pPr>
            <w:r>
              <w:rPr>
                <w:rFonts w:hint="eastAsia" w:ascii="仿宋_GB2312" w:eastAsia="仿宋_GB2312"/>
                <w:sz w:val="24"/>
                <w:szCs w:val="24"/>
              </w:rPr>
              <w:t>电话</w:t>
            </w:r>
          </w:p>
        </w:tc>
        <w:tc>
          <w:tcPr>
            <w:tcW w:w="842" w:type="pct"/>
            <w:vAlign w:val="center"/>
          </w:tcPr>
          <w:p w14:paraId="58102868">
            <w:pPr>
              <w:rPr>
                <w:rFonts w:ascii="仿宋_GB2312" w:eastAsia="仿宋_GB2312"/>
                <w:sz w:val="24"/>
                <w:szCs w:val="24"/>
              </w:rPr>
            </w:pPr>
            <w:r>
              <w:rPr>
                <w:rFonts w:hint="eastAsia" w:ascii="仿宋_GB2312" w:eastAsia="仿宋_GB2312"/>
                <w:sz w:val="24"/>
                <w:szCs w:val="24"/>
              </w:rPr>
              <w:t>手机</w:t>
            </w:r>
          </w:p>
        </w:tc>
        <w:tc>
          <w:tcPr>
            <w:tcW w:w="746" w:type="pct"/>
            <w:vAlign w:val="center"/>
          </w:tcPr>
          <w:p w14:paraId="141B4308">
            <w:pPr>
              <w:rPr>
                <w:rFonts w:ascii="仿宋_GB2312" w:eastAsia="仿宋_GB2312"/>
                <w:sz w:val="24"/>
                <w:szCs w:val="24"/>
              </w:rPr>
            </w:pPr>
            <w:r>
              <w:rPr>
                <w:rFonts w:hint="eastAsia" w:ascii="仿宋_GB2312" w:eastAsia="仿宋_GB2312"/>
                <w:sz w:val="24"/>
                <w:szCs w:val="24"/>
              </w:rPr>
              <w:t>传真</w:t>
            </w:r>
          </w:p>
        </w:tc>
        <w:tc>
          <w:tcPr>
            <w:tcW w:w="937" w:type="pct"/>
            <w:vAlign w:val="center"/>
          </w:tcPr>
          <w:p w14:paraId="02FEBCAE">
            <w:pPr>
              <w:rPr>
                <w:rFonts w:ascii="仿宋_GB2312" w:eastAsia="仿宋_GB2312"/>
                <w:sz w:val="24"/>
                <w:szCs w:val="24"/>
              </w:rPr>
            </w:pPr>
            <w:r>
              <w:rPr>
                <w:rFonts w:ascii="仿宋_GB2312" w:eastAsia="仿宋_GB2312"/>
                <w:sz w:val="24"/>
                <w:szCs w:val="24"/>
              </w:rPr>
              <w:t>E-mail</w:t>
            </w:r>
          </w:p>
        </w:tc>
      </w:tr>
      <w:tr w14:paraId="622AB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12" w:type="pct"/>
            <w:vAlign w:val="center"/>
          </w:tcPr>
          <w:p w14:paraId="17528691">
            <w:pPr>
              <w:ind w:firstLine="480"/>
              <w:rPr>
                <w:rFonts w:ascii="仿宋_GB2312" w:eastAsia="仿宋_GB2312"/>
                <w:sz w:val="24"/>
                <w:szCs w:val="24"/>
              </w:rPr>
            </w:pPr>
          </w:p>
        </w:tc>
        <w:tc>
          <w:tcPr>
            <w:tcW w:w="503" w:type="pct"/>
            <w:vAlign w:val="center"/>
          </w:tcPr>
          <w:p w14:paraId="46AAA7A3">
            <w:pPr>
              <w:ind w:firstLine="480"/>
              <w:rPr>
                <w:rFonts w:ascii="仿宋_GB2312" w:eastAsia="仿宋_GB2312"/>
                <w:sz w:val="24"/>
                <w:szCs w:val="24"/>
              </w:rPr>
            </w:pPr>
          </w:p>
        </w:tc>
        <w:tc>
          <w:tcPr>
            <w:tcW w:w="504" w:type="pct"/>
            <w:gridSpan w:val="2"/>
            <w:vAlign w:val="center"/>
          </w:tcPr>
          <w:p w14:paraId="62689328">
            <w:pPr>
              <w:ind w:firstLine="480"/>
              <w:rPr>
                <w:rFonts w:ascii="仿宋_GB2312" w:eastAsia="仿宋_GB2312"/>
                <w:sz w:val="24"/>
                <w:szCs w:val="24"/>
              </w:rPr>
            </w:pPr>
          </w:p>
        </w:tc>
        <w:tc>
          <w:tcPr>
            <w:tcW w:w="756" w:type="pct"/>
            <w:vAlign w:val="center"/>
          </w:tcPr>
          <w:p w14:paraId="6F179814">
            <w:pPr>
              <w:ind w:firstLine="480"/>
              <w:rPr>
                <w:rFonts w:ascii="仿宋_GB2312" w:eastAsia="仿宋_GB2312"/>
                <w:sz w:val="24"/>
                <w:szCs w:val="24"/>
              </w:rPr>
            </w:pPr>
          </w:p>
        </w:tc>
        <w:tc>
          <w:tcPr>
            <w:tcW w:w="842" w:type="pct"/>
            <w:vAlign w:val="center"/>
          </w:tcPr>
          <w:p w14:paraId="081CD9D2">
            <w:pPr>
              <w:ind w:firstLine="480"/>
              <w:rPr>
                <w:rFonts w:ascii="仿宋_GB2312" w:eastAsia="仿宋_GB2312"/>
                <w:sz w:val="24"/>
                <w:szCs w:val="24"/>
              </w:rPr>
            </w:pPr>
          </w:p>
        </w:tc>
        <w:tc>
          <w:tcPr>
            <w:tcW w:w="746" w:type="pct"/>
            <w:vAlign w:val="center"/>
          </w:tcPr>
          <w:p w14:paraId="36FBEBEA">
            <w:pPr>
              <w:ind w:firstLine="480"/>
              <w:rPr>
                <w:rFonts w:ascii="仿宋_GB2312" w:eastAsia="仿宋_GB2312"/>
                <w:sz w:val="24"/>
                <w:szCs w:val="24"/>
              </w:rPr>
            </w:pPr>
          </w:p>
        </w:tc>
        <w:tc>
          <w:tcPr>
            <w:tcW w:w="937" w:type="pct"/>
            <w:vAlign w:val="center"/>
          </w:tcPr>
          <w:p w14:paraId="19526B6C">
            <w:pPr>
              <w:ind w:firstLine="480"/>
              <w:rPr>
                <w:rFonts w:ascii="仿宋_GB2312" w:eastAsia="仿宋_GB2312"/>
                <w:sz w:val="24"/>
                <w:szCs w:val="24"/>
              </w:rPr>
            </w:pPr>
          </w:p>
        </w:tc>
      </w:tr>
    </w:tbl>
    <w:p w14:paraId="727DEEF9">
      <w:pPr>
        <w:pStyle w:val="18"/>
        <w:rPr>
          <w:szCs w:val="30"/>
        </w:rPr>
      </w:pPr>
      <w:r>
        <w:rPr>
          <w:rFonts w:hint="eastAsia"/>
          <w:szCs w:val="30"/>
        </w:rPr>
        <w:t>我公司保证向上交所提供的书面和电子资料真实、准确、完整与合法。</w:t>
      </w:r>
    </w:p>
    <w:p w14:paraId="20ABEB8E">
      <w:pPr>
        <w:pStyle w:val="18"/>
        <w:jc w:val="right"/>
        <w:rPr>
          <w:szCs w:val="30"/>
        </w:rPr>
      </w:pPr>
      <w:r>
        <w:rPr>
          <w:rFonts w:hint="eastAsia"/>
          <w:szCs w:val="30"/>
        </w:rPr>
        <w:t>申请人：_____________________</w:t>
      </w:r>
      <w:r>
        <w:rPr>
          <w:szCs w:val="30"/>
        </w:rPr>
        <w:t xml:space="preserve">   </w:t>
      </w:r>
      <w:r>
        <w:rPr>
          <w:rFonts w:hint="eastAsia"/>
          <w:szCs w:val="30"/>
        </w:rPr>
        <w:t>（加盖公章）</w:t>
      </w:r>
    </w:p>
    <w:p w14:paraId="66640E1A">
      <w:pPr>
        <w:pStyle w:val="18"/>
        <w:jc w:val="right"/>
        <w:rPr>
          <w:szCs w:val="30"/>
        </w:rPr>
      </w:pPr>
      <w:r>
        <w:rPr>
          <w:rFonts w:hint="eastAsia"/>
          <w:szCs w:val="30"/>
        </w:rPr>
        <w:t xml:space="preserve">                                     经办人（签字）：</w:t>
      </w:r>
    </w:p>
    <w:p w14:paraId="1A630AEB">
      <w:pPr>
        <w:pStyle w:val="18"/>
        <w:jc w:val="right"/>
        <w:rPr>
          <w:szCs w:val="30"/>
        </w:rPr>
      </w:pPr>
      <w:r>
        <w:rPr>
          <w:rFonts w:hint="eastAsia"/>
          <w:szCs w:val="30"/>
        </w:rPr>
        <w:t xml:space="preserve">                                     申请日期：</w:t>
      </w:r>
    </w:p>
    <w:p w14:paraId="728FA701">
      <w:pPr>
        <w:pStyle w:val="18"/>
        <w:widowControl/>
        <w:jc w:val="right"/>
        <w:rPr>
          <w:rFonts w:hint="eastAsia"/>
          <w:szCs w:val="30"/>
        </w:rPr>
      </w:pPr>
      <w:r>
        <w:rPr>
          <w:rFonts w:hint="eastAsia"/>
          <w:szCs w:val="30"/>
        </w:rPr>
        <w:t xml:space="preserve">                                     联系电话：</w:t>
      </w:r>
    </w:p>
    <w:p w14:paraId="3E66ABFE">
      <w:pPr>
        <w:rPr>
          <w:rFonts w:hint="eastAsia"/>
          <w:szCs w:val="30"/>
        </w:rPr>
      </w:pPr>
      <w:r>
        <w:rPr>
          <w:rFonts w:hint="eastAsia"/>
          <w:szCs w:val="30"/>
        </w:rPr>
        <w:br w:type="page"/>
      </w:r>
    </w:p>
    <w:p w14:paraId="607CF403">
      <w:pPr>
        <w:widowControl/>
        <w:jc w:val="left"/>
        <w:outlineLvl w:val="1"/>
        <w:rPr>
          <w:rFonts w:ascii="仿宋_GB2312" w:hAnsi="黑体" w:eastAsia="仿宋_GB2312"/>
          <w:b/>
          <w:sz w:val="30"/>
          <w:szCs w:val="30"/>
        </w:rPr>
      </w:pPr>
      <w:bookmarkStart w:id="4055" w:name="_Toc48742286"/>
      <w:bookmarkEnd w:id="4055"/>
      <w:bookmarkStart w:id="4056" w:name="_Toc48742285"/>
      <w:bookmarkEnd w:id="4056"/>
      <w:bookmarkStart w:id="4057" w:name="_Toc48742284"/>
      <w:bookmarkEnd w:id="4057"/>
      <w:bookmarkStart w:id="4058" w:name="_Toc55318690"/>
      <w:bookmarkEnd w:id="4058"/>
      <w:bookmarkStart w:id="4059" w:name="_Toc48742287"/>
      <w:bookmarkEnd w:id="4059"/>
      <w:bookmarkStart w:id="4060" w:name="_Toc1950173662"/>
      <w:bookmarkStart w:id="4061" w:name="_Toc1161274892"/>
      <w:bookmarkStart w:id="4062" w:name="_Toc1061298986"/>
      <w:bookmarkStart w:id="4063" w:name="_Toc1367140581"/>
      <w:bookmarkStart w:id="4064" w:name="_Toc151137101"/>
      <w:bookmarkStart w:id="4065" w:name="_Toc533976390"/>
      <w:bookmarkStart w:id="4066" w:name="_Toc1338606432"/>
      <w:r>
        <w:rPr>
          <w:rFonts w:hint="eastAsia" w:ascii="仿宋_GB2312" w:hAnsi="黑体" w:eastAsia="仿宋_GB2312"/>
          <w:b/>
          <w:sz w:val="30"/>
          <w:szCs w:val="30"/>
        </w:rPr>
        <w:t>附件18 三方回购投资者适当性备案表</w:t>
      </w:r>
      <w:bookmarkEnd w:id="4060"/>
      <w:bookmarkEnd w:id="4061"/>
      <w:bookmarkEnd w:id="4062"/>
      <w:bookmarkEnd w:id="4063"/>
      <w:bookmarkEnd w:id="4064"/>
      <w:bookmarkEnd w:id="4065"/>
      <w:bookmarkEnd w:id="4066"/>
    </w:p>
    <w:p w14:paraId="00A69ECD">
      <w:pPr>
        <w:spacing w:line="560" w:lineRule="exact"/>
        <w:ind w:right="150"/>
        <w:jc w:val="center"/>
        <w:rPr>
          <w:rFonts w:ascii="黑体" w:hAnsi="黑体" w:eastAsia="黑体" w:cs="黑体"/>
          <w:b/>
          <w:sz w:val="44"/>
          <w:szCs w:val="44"/>
        </w:rPr>
      </w:pPr>
      <w:r>
        <w:rPr>
          <w:rFonts w:hint="eastAsia" w:ascii="黑体" w:hAnsi="黑体" w:eastAsia="黑体" w:cs="黑体"/>
          <w:b/>
          <w:sz w:val="44"/>
          <w:szCs w:val="44"/>
        </w:rPr>
        <w:t>三方回购投资者适当性备案表</w:t>
      </w:r>
    </w:p>
    <w:p w14:paraId="76E644BD">
      <w:pPr>
        <w:spacing w:line="560" w:lineRule="exact"/>
        <w:ind w:right="150"/>
        <w:jc w:val="center"/>
        <w:rPr>
          <w:rFonts w:ascii="黑体" w:hAnsi="黑体" w:eastAsia="黑体" w:cs="黑体"/>
          <w:b/>
          <w:kern w:val="0"/>
          <w:sz w:val="44"/>
          <w:szCs w:val="44"/>
        </w:rPr>
      </w:pPr>
      <w:r>
        <w:rPr>
          <w:rFonts w:hint="eastAsia" w:ascii="黑体" w:hAnsi="黑体" w:eastAsia="黑体" w:cs="黑体"/>
          <w:b/>
          <w:sz w:val="44"/>
          <w:szCs w:val="44"/>
        </w:rPr>
        <w:t>（机构适用）</w:t>
      </w:r>
    </w:p>
    <w:p w14:paraId="4BBA78FA">
      <w:pPr>
        <w:spacing w:line="560" w:lineRule="exact"/>
        <w:jc w:val="left"/>
        <w:rPr>
          <w:rFonts w:eastAsia="仿宋_GB2312"/>
          <w:sz w:val="30"/>
          <w:szCs w:val="30"/>
        </w:rPr>
      </w:pPr>
      <w:r>
        <w:rPr>
          <w:rFonts w:hint="eastAsia" w:eastAsia="仿宋_GB2312"/>
          <w:sz w:val="30"/>
          <w:szCs w:val="30"/>
        </w:rPr>
        <w:t>上海证券交易所：</w:t>
      </w:r>
    </w:p>
    <w:p w14:paraId="27B44C6A">
      <w:pPr>
        <w:spacing w:line="560" w:lineRule="exact"/>
        <w:ind w:firstLine="600" w:firstLineChars="200"/>
        <w:jc w:val="left"/>
        <w:rPr>
          <w:rFonts w:eastAsia="仿宋_GB2312"/>
          <w:kern w:val="28"/>
          <w:sz w:val="30"/>
          <w:szCs w:val="30"/>
        </w:rPr>
      </w:pPr>
      <w:r>
        <w:rPr>
          <w:rFonts w:hint="eastAsia" w:eastAsia="仿宋_GB2312"/>
          <w:sz w:val="30"/>
          <w:szCs w:val="30"/>
        </w:rPr>
        <w:t>经我公司研究决定，特向上交所申请参与债券三方回购业务，现将有关事项申请如下：</w:t>
      </w:r>
    </w:p>
    <w:tbl>
      <w:tblPr>
        <w:tblStyle w:val="43"/>
        <w:tblW w:w="101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9"/>
        <w:gridCol w:w="564"/>
        <w:gridCol w:w="920"/>
        <w:gridCol w:w="1490"/>
        <w:gridCol w:w="854"/>
        <w:gridCol w:w="1417"/>
        <w:gridCol w:w="1619"/>
        <w:gridCol w:w="1494"/>
      </w:tblGrid>
      <w:tr w14:paraId="5730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994" w:type="dxa"/>
            <w:gridSpan w:val="6"/>
            <w:vAlign w:val="center"/>
          </w:tcPr>
          <w:p w14:paraId="1BB77EF9">
            <w:pPr>
              <w:spacing w:line="560" w:lineRule="exact"/>
              <w:rPr>
                <w:rFonts w:eastAsia="仿宋_GB2312"/>
                <w:sz w:val="24"/>
                <w:szCs w:val="28"/>
              </w:rPr>
            </w:pPr>
            <w:r>
              <w:rPr>
                <w:rFonts w:eastAsia="仿宋_GB2312"/>
                <w:sz w:val="24"/>
                <w:szCs w:val="28"/>
              </w:rPr>
              <w:t>申请人全称：</w:t>
            </w:r>
          </w:p>
        </w:tc>
        <w:tc>
          <w:tcPr>
            <w:tcW w:w="3113" w:type="dxa"/>
            <w:gridSpan w:val="2"/>
            <w:vAlign w:val="center"/>
          </w:tcPr>
          <w:p w14:paraId="35210674">
            <w:pPr>
              <w:spacing w:line="560" w:lineRule="exact"/>
              <w:rPr>
                <w:rFonts w:eastAsia="仿宋_GB2312"/>
                <w:sz w:val="24"/>
                <w:szCs w:val="28"/>
              </w:rPr>
            </w:pPr>
            <w:r>
              <w:rPr>
                <w:rFonts w:eastAsia="仿宋_GB2312"/>
                <w:sz w:val="24"/>
                <w:szCs w:val="28"/>
              </w:rPr>
              <w:t>电话：</w:t>
            </w:r>
          </w:p>
        </w:tc>
      </w:tr>
      <w:tr w14:paraId="4F4B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6994" w:type="dxa"/>
            <w:gridSpan w:val="6"/>
            <w:vAlign w:val="center"/>
          </w:tcPr>
          <w:p w14:paraId="145BAF3F">
            <w:pPr>
              <w:spacing w:line="560" w:lineRule="exact"/>
              <w:rPr>
                <w:rFonts w:eastAsia="仿宋_GB2312"/>
                <w:sz w:val="24"/>
                <w:szCs w:val="28"/>
              </w:rPr>
            </w:pPr>
            <w:r>
              <w:rPr>
                <w:rFonts w:eastAsia="仿宋_GB2312"/>
                <w:sz w:val="24"/>
                <w:szCs w:val="28"/>
              </w:rPr>
              <w:t xml:space="preserve">公司地址： </w:t>
            </w:r>
          </w:p>
        </w:tc>
        <w:tc>
          <w:tcPr>
            <w:tcW w:w="3113" w:type="dxa"/>
            <w:gridSpan w:val="2"/>
            <w:vAlign w:val="center"/>
          </w:tcPr>
          <w:p w14:paraId="190AC45F">
            <w:pPr>
              <w:spacing w:line="560" w:lineRule="exact"/>
              <w:rPr>
                <w:rFonts w:eastAsia="仿宋_GB2312"/>
                <w:sz w:val="24"/>
                <w:szCs w:val="28"/>
              </w:rPr>
            </w:pPr>
            <w:r>
              <w:rPr>
                <w:rFonts w:eastAsia="仿宋_GB2312"/>
                <w:sz w:val="24"/>
                <w:szCs w:val="28"/>
              </w:rPr>
              <w:t>传真：</w:t>
            </w:r>
          </w:p>
        </w:tc>
      </w:tr>
      <w:tr w14:paraId="0E957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2313" w:type="dxa"/>
            <w:gridSpan w:val="2"/>
            <w:vAlign w:val="center"/>
          </w:tcPr>
          <w:p w14:paraId="6DFE045D">
            <w:pPr>
              <w:pStyle w:val="17"/>
              <w:spacing w:after="0" w:line="560" w:lineRule="exact"/>
              <w:jc w:val="left"/>
              <w:rPr>
                <w:rFonts w:eastAsia="仿宋_GB2312"/>
                <w:sz w:val="24"/>
                <w:szCs w:val="28"/>
              </w:rPr>
            </w:pPr>
            <w:r>
              <w:rPr>
                <w:rFonts w:eastAsia="仿宋_GB2312"/>
                <w:sz w:val="24"/>
                <w:szCs w:val="28"/>
              </w:rPr>
              <w:t>投资者类型：</w:t>
            </w:r>
          </w:p>
        </w:tc>
        <w:tc>
          <w:tcPr>
            <w:tcW w:w="7794" w:type="dxa"/>
            <w:gridSpan w:val="6"/>
            <w:vAlign w:val="center"/>
          </w:tcPr>
          <w:p w14:paraId="3706E7FB">
            <w:pPr>
              <w:pStyle w:val="17"/>
              <w:spacing w:after="0" w:line="560" w:lineRule="exact"/>
              <w:jc w:val="left"/>
              <w:rPr>
                <w:rFonts w:eastAsia="仿宋_GB2312"/>
                <w:sz w:val="24"/>
                <w:szCs w:val="28"/>
              </w:rPr>
            </w:pPr>
            <w:r>
              <w:rPr>
                <w:rFonts w:eastAsia="仿宋_GB2312"/>
                <w:sz w:val="24"/>
                <w:szCs w:val="28"/>
              </w:rPr>
              <w:t>□</w:t>
            </w:r>
            <w:r>
              <w:rPr>
                <w:rFonts w:eastAsia="仿宋_GB2312"/>
                <w:sz w:val="24"/>
              </w:rPr>
              <w:t xml:space="preserve">证券公司  </w:t>
            </w:r>
            <w:r>
              <w:rPr>
                <w:rFonts w:eastAsia="仿宋_GB2312"/>
                <w:sz w:val="24"/>
                <w:szCs w:val="28"/>
              </w:rPr>
              <w:t>□</w:t>
            </w:r>
            <w:r>
              <w:rPr>
                <w:rFonts w:eastAsia="仿宋_GB2312"/>
                <w:sz w:val="24"/>
              </w:rPr>
              <w:t xml:space="preserve">期货公司  </w:t>
            </w:r>
            <w:r>
              <w:rPr>
                <w:rFonts w:eastAsia="仿宋_GB2312"/>
                <w:sz w:val="24"/>
                <w:szCs w:val="28"/>
              </w:rPr>
              <w:t>□</w:t>
            </w:r>
            <w:r>
              <w:rPr>
                <w:rFonts w:eastAsia="仿宋_GB2312"/>
                <w:sz w:val="24"/>
              </w:rPr>
              <w:t xml:space="preserve">基金管理公司及其子公司  </w:t>
            </w:r>
            <w:r>
              <w:rPr>
                <w:rFonts w:eastAsia="仿宋_GB2312"/>
                <w:sz w:val="24"/>
                <w:szCs w:val="28"/>
              </w:rPr>
              <w:t>□</w:t>
            </w:r>
            <w:r>
              <w:rPr>
                <w:rFonts w:eastAsia="仿宋_GB2312"/>
                <w:sz w:val="24"/>
              </w:rPr>
              <w:t xml:space="preserve">商业银行  </w:t>
            </w:r>
            <w:r>
              <w:rPr>
                <w:rFonts w:eastAsia="仿宋_GB2312"/>
                <w:sz w:val="24"/>
                <w:szCs w:val="28"/>
              </w:rPr>
              <w:t>□</w:t>
            </w:r>
            <w:r>
              <w:rPr>
                <w:rFonts w:eastAsia="仿宋_GB2312"/>
                <w:sz w:val="24"/>
              </w:rPr>
              <w:t xml:space="preserve">保险公司  </w:t>
            </w:r>
            <w:r>
              <w:rPr>
                <w:rFonts w:eastAsia="仿宋_GB2312"/>
                <w:sz w:val="24"/>
                <w:szCs w:val="28"/>
              </w:rPr>
              <w:t>□</w:t>
            </w:r>
            <w:r>
              <w:rPr>
                <w:rFonts w:eastAsia="仿宋_GB2312"/>
                <w:sz w:val="24"/>
              </w:rPr>
              <w:t xml:space="preserve">信托公司  </w:t>
            </w:r>
            <w:r>
              <w:rPr>
                <w:rFonts w:eastAsia="仿宋_GB2312"/>
                <w:sz w:val="24"/>
                <w:szCs w:val="28"/>
              </w:rPr>
              <w:t>□</w:t>
            </w:r>
            <w:r>
              <w:rPr>
                <w:rFonts w:eastAsia="仿宋_GB2312"/>
                <w:sz w:val="24"/>
              </w:rPr>
              <w:t xml:space="preserve">财务公司  </w:t>
            </w:r>
            <w:r>
              <w:rPr>
                <w:rFonts w:eastAsia="仿宋_GB2312"/>
                <w:sz w:val="24"/>
                <w:szCs w:val="28"/>
              </w:rPr>
              <w:t>□</w:t>
            </w:r>
            <w:r>
              <w:rPr>
                <w:rFonts w:eastAsia="仿宋_GB2312"/>
                <w:sz w:val="24"/>
              </w:rPr>
              <w:t xml:space="preserve">证券公司子公司  </w:t>
            </w:r>
            <w:r>
              <w:rPr>
                <w:rFonts w:eastAsia="仿宋_GB2312"/>
                <w:sz w:val="24"/>
                <w:szCs w:val="28"/>
              </w:rPr>
              <w:t>□</w:t>
            </w:r>
            <w:r>
              <w:rPr>
                <w:rFonts w:eastAsia="仿宋_GB2312"/>
                <w:sz w:val="24"/>
              </w:rPr>
              <w:t xml:space="preserve">期货公司子公司  </w:t>
            </w:r>
            <w:r>
              <w:rPr>
                <w:rFonts w:eastAsia="仿宋_GB2312"/>
                <w:sz w:val="24"/>
                <w:szCs w:val="28"/>
              </w:rPr>
              <w:t>□</w:t>
            </w:r>
            <w:r>
              <w:rPr>
                <w:rFonts w:eastAsia="仿宋_GB2312"/>
                <w:sz w:val="24"/>
              </w:rPr>
              <w:t xml:space="preserve">私募基金管理人  </w:t>
            </w:r>
            <w:r>
              <w:rPr>
                <w:rFonts w:eastAsia="仿宋_GB2312"/>
                <w:sz w:val="24"/>
                <w:szCs w:val="28"/>
              </w:rPr>
              <w:t>□</w:t>
            </w:r>
            <w:r>
              <w:rPr>
                <w:rFonts w:eastAsia="仿宋_GB2312"/>
                <w:sz w:val="24"/>
              </w:rPr>
              <w:t>其他金融机构</w:t>
            </w:r>
          </w:p>
        </w:tc>
      </w:tr>
      <w:tr w14:paraId="5BE0F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4723" w:type="dxa"/>
            <w:gridSpan w:val="4"/>
            <w:tcBorders>
              <w:bottom w:val="single" w:color="auto" w:sz="4" w:space="0"/>
            </w:tcBorders>
            <w:vAlign w:val="center"/>
          </w:tcPr>
          <w:p w14:paraId="6026FA46">
            <w:pPr>
              <w:spacing w:line="560" w:lineRule="exact"/>
              <w:rPr>
                <w:rFonts w:eastAsia="仿宋_GB2312"/>
                <w:sz w:val="24"/>
                <w:szCs w:val="28"/>
              </w:rPr>
            </w:pPr>
            <w:r>
              <w:rPr>
                <w:rFonts w:hint="eastAsia" w:eastAsia="仿宋_GB2312"/>
                <w:sz w:val="24"/>
                <w:szCs w:val="28"/>
                <w:lang w:eastAsia="zh-CN"/>
              </w:rPr>
              <w:t>新固定收益系统</w:t>
            </w:r>
            <w:r>
              <w:rPr>
                <w:rFonts w:eastAsia="仿宋_GB2312"/>
                <w:sz w:val="24"/>
                <w:szCs w:val="28"/>
              </w:rPr>
              <w:t>交易商代码：</w:t>
            </w:r>
          </w:p>
        </w:tc>
        <w:tc>
          <w:tcPr>
            <w:tcW w:w="5384" w:type="dxa"/>
            <w:gridSpan w:val="4"/>
            <w:tcBorders>
              <w:bottom w:val="single" w:color="auto" w:sz="4" w:space="0"/>
            </w:tcBorders>
            <w:vAlign w:val="center"/>
          </w:tcPr>
          <w:p w14:paraId="18B6CD4C">
            <w:pPr>
              <w:spacing w:line="560" w:lineRule="exact"/>
              <w:rPr>
                <w:rFonts w:eastAsia="仿宋_GB2312"/>
                <w:sz w:val="24"/>
                <w:szCs w:val="28"/>
              </w:rPr>
            </w:pPr>
            <w:r>
              <w:rPr>
                <w:rFonts w:hint="eastAsia" w:eastAsia="仿宋_GB2312"/>
                <w:sz w:val="24"/>
                <w:szCs w:val="28"/>
                <w:lang w:eastAsia="zh-CN"/>
              </w:rPr>
              <w:t>新固定收益系统</w:t>
            </w:r>
            <w:r>
              <w:rPr>
                <w:rFonts w:eastAsia="仿宋_GB2312"/>
                <w:sz w:val="24"/>
                <w:szCs w:val="28"/>
              </w:rPr>
              <w:t>交易商名称：</w:t>
            </w:r>
          </w:p>
        </w:tc>
      </w:tr>
      <w:tr w14:paraId="5BCFF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4723" w:type="dxa"/>
            <w:gridSpan w:val="4"/>
            <w:tcBorders>
              <w:bottom w:val="single" w:color="auto" w:sz="4" w:space="0"/>
            </w:tcBorders>
            <w:vAlign w:val="center"/>
          </w:tcPr>
          <w:p w14:paraId="271678E9">
            <w:pPr>
              <w:spacing w:line="560" w:lineRule="exact"/>
              <w:rPr>
                <w:rFonts w:eastAsia="仿宋_GB2312"/>
                <w:sz w:val="24"/>
                <w:szCs w:val="28"/>
              </w:rPr>
            </w:pPr>
            <w:r>
              <w:rPr>
                <w:rFonts w:eastAsia="仿宋_GB2312"/>
                <w:sz w:val="24"/>
                <w:szCs w:val="28"/>
              </w:rPr>
              <w:t>证券账户：</w:t>
            </w:r>
          </w:p>
        </w:tc>
        <w:tc>
          <w:tcPr>
            <w:tcW w:w="5384" w:type="dxa"/>
            <w:gridSpan w:val="4"/>
            <w:tcBorders>
              <w:bottom w:val="single" w:color="auto" w:sz="4" w:space="0"/>
            </w:tcBorders>
            <w:vAlign w:val="center"/>
          </w:tcPr>
          <w:p w14:paraId="51C32DCA">
            <w:pPr>
              <w:spacing w:line="560" w:lineRule="exact"/>
              <w:rPr>
                <w:rFonts w:eastAsia="仿宋_GB2312"/>
                <w:sz w:val="24"/>
                <w:szCs w:val="28"/>
              </w:rPr>
            </w:pPr>
            <w:r>
              <w:rPr>
                <w:rFonts w:eastAsia="仿宋_GB2312"/>
                <w:sz w:val="24"/>
                <w:szCs w:val="28"/>
              </w:rPr>
              <w:t>证券账户名称：</w:t>
            </w:r>
          </w:p>
        </w:tc>
      </w:tr>
      <w:tr w14:paraId="2053C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4723" w:type="dxa"/>
            <w:gridSpan w:val="4"/>
            <w:tcBorders>
              <w:bottom w:val="single" w:color="auto" w:sz="4" w:space="0"/>
            </w:tcBorders>
            <w:vAlign w:val="center"/>
          </w:tcPr>
          <w:p w14:paraId="67CA8E51">
            <w:pPr>
              <w:spacing w:line="560" w:lineRule="exact"/>
              <w:rPr>
                <w:rFonts w:eastAsia="仿宋_GB2312"/>
                <w:sz w:val="24"/>
                <w:szCs w:val="28"/>
              </w:rPr>
            </w:pPr>
            <w:r>
              <w:rPr>
                <w:rFonts w:eastAsia="仿宋_GB2312"/>
                <w:sz w:val="24"/>
                <w:szCs w:val="28"/>
              </w:rPr>
              <w:t>三方回购专用证券账户：</w:t>
            </w:r>
          </w:p>
        </w:tc>
        <w:tc>
          <w:tcPr>
            <w:tcW w:w="5384" w:type="dxa"/>
            <w:gridSpan w:val="4"/>
            <w:tcBorders>
              <w:bottom w:val="single" w:color="auto" w:sz="4" w:space="0"/>
            </w:tcBorders>
            <w:vAlign w:val="center"/>
          </w:tcPr>
          <w:p w14:paraId="16EEBFD9">
            <w:pPr>
              <w:spacing w:line="560" w:lineRule="exact"/>
              <w:rPr>
                <w:rFonts w:eastAsia="仿宋_GB2312"/>
                <w:sz w:val="24"/>
                <w:szCs w:val="28"/>
              </w:rPr>
            </w:pPr>
            <w:r>
              <w:rPr>
                <w:rFonts w:eastAsia="仿宋_GB2312"/>
                <w:sz w:val="24"/>
                <w:szCs w:val="28"/>
              </w:rPr>
              <w:t>三方回购专用证券账户名称：</w:t>
            </w:r>
          </w:p>
        </w:tc>
      </w:tr>
      <w:tr w14:paraId="6E0E1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4723" w:type="dxa"/>
            <w:gridSpan w:val="4"/>
            <w:tcBorders>
              <w:bottom w:val="single" w:color="auto" w:sz="4" w:space="0"/>
            </w:tcBorders>
            <w:vAlign w:val="center"/>
          </w:tcPr>
          <w:p w14:paraId="076CDF52">
            <w:pPr>
              <w:spacing w:line="560" w:lineRule="exact"/>
              <w:rPr>
                <w:rFonts w:eastAsia="仿宋_GB2312"/>
                <w:sz w:val="24"/>
                <w:szCs w:val="28"/>
              </w:rPr>
            </w:pPr>
            <w:r>
              <w:rPr>
                <w:rFonts w:eastAsia="仿宋_GB2312"/>
                <w:sz w:val="24"/>
                <w:szCs w:val="28"/>
              </w:rPr>
              <w:t>交易单元：</w:t>
            </w:r>
          </w:p>
        </w:tc>
        <w:tc>
          <w:tcPr>
            <w:tcW w:w="5384" w:type="dxa"/>
            <w:gridSpan w:val="4"/>
            <w:tcBorders>
              <w:bottom w:val="single" w:color="auto" w:sz="4" w:space="0"/>
            </w:tcBorders>
            <w:vAlign w:val="center"/>
          </w:tcPr>
          <w:p w14:paraId="211E2C8A">
            <w:pPr>
              <w:spacing w:line="560" w:lineRule="exact"/>
              <w:rPr>
                <w:rFonts w:eastAsia="仿宋_GB2312"/>
                <w:sz w:val="24"/>
                <w:szCs w:val="28"/>
              </w:rPr>
            </w:pPr>
          </w:p>
        </w:tc>
      </w:tr>
      <w:tr w14:paraId="1805C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0107" w:type="dxa"/>
            <w:gridSpan w:val="8"/>
            <w:tcBorders>
              <w:bottom w:val="single" w:color="auto" w:sz="4" w:space="0"/>
            </w:tcBorders>
            <w:vAlign w:val="center"/>
          </w:tcPr>
          <w:p w14:paraId="3636DD36">
            <w:pPr>
              <w:spacing w:line="560" w:lineRule="exact"/>
              <w:rPr>
                <w:rFonts w:eastAsia="仿宋_GB2312"/>
                <w:sz w:val="24"/>
                <w:szCs w:val="28"/>
              </w:rPr>
            </w:pPr>
            <w:r>
              <w:rPr>
                <w:rFonts w:eastAsia="仿宋_GB2312"/>
                <w:sz w:val="24"/>
                <w:szCs w:val="28"/>
              </w:rPr>
              <w:t>申请开通的交易权限 ：  □正回购  □逆回购</w:t>
            </w:r>
          </w:p>
        </w:tc>
      </w:tr>
      <w:tr w14:paraId="55DF9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749" w:type="dxa"/>
            <w:tcBorders>
              <w:bottom w:val="single" w:color="auto" w:sz="4" w:space="0"/>
            </w:tcBorders>
            <w:vAlign w:val="center"/>
          </w:tcPr>
          <w:p w14:paraId="71ED0E8A">
            <w:pPr>
              <w:spacing w:line="560" w:lineRule="exact"/>
              <w:rPr>
                <w:rFonts w:eastAsia="仿宋_GB2312"/>
                <w:sz w:val="24"/>
                <w:szCs w:val="28"/>
              </w:rPr>
            </w:pPr>
            <w:r>
              <w:rPr>
                <w:rFonts w:eastAsia="仿宋_GB2312"/>
                <w:sz w:val="24"/>
                <w:szCs w:val="28"/>
              </w:rPr>
              <w:t>杠杆运作限制</w:t>
            </w:r>
          </w:p>
        </w:tc>
        <w:tc>
          <w:tcPr>
            <w:tcW w:w="8358" w:type="dxa"/>
            <w:gridSpan w:val="7"/>
            <w:tcBorders>
              <w:bottom w:val="single" w:color="auto" w:sz="4" w:space="0"/>
            </w:tcBorders>
            <w:vAlign w:val="center"/>
          </w:tcPr>
          <w:p w14:paraId="3B66B59B">
            <w:pPr>
              <w:spacing w:line="560" w:lineRule="exact"/>
              <w:jc w:val="right"/>
              <w:rPr>
                <w:rFonts w:eastAsia="仿宋_GB2312"/>
                <w:sz w:val="24"/>
                <w:szCs w:val="28"/>
              </w:rPr>
            </w:pPr>
          </w:p>
        </w:tc>
      </w:tr>
      <w:tr w14:paraId="5F700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749" w:type="dxa"/>
            <w:tcBorders>
              <w:bottom w:val="single" w:color="auto" w:sz="4" w:space="0"/>
            </w:tcBorders>
            <w:vAlign w:val="center"/>
          </w:tcPr>
          <w:p w14:paraId="143DD199">
            <w:pPr>
              <w:spacing w:line="300" w:lineRule="auto"/>
              <w:rPr>
                <w:rFonts w:eastAsia="仿宋_GB2312"/>
                <w:sz w:val="24"/>
                <w:szCs w:val="28"/>
              </w:rPr>
            </w:pPr>
            <w:r>
              <w:rPr>
                <w:rFonts w:eastAsia="仿宋_GB2312"/>
                <w:sz w:val="24"/>
                <w:szCs w:val="28"/>
              </w:rPr>
              <w:t>回购违约情况说明</w:t>
            </w:r>
          </w:p>
        </w:tc>
        <w:tc>
          <w:tcPr>
            <w:tcW w:w="8358" w:type="dxa"/>
            <w:gridSpan w:val="7"/>
            <w:tcBorders>
              <w:bottom w:val="single" w:color="auto" w:sz="4" w:space="0"/>
            </w:tcBorders>
            <w:vAlign w:val="center"/>
          </w:tcPr>
          <w:p w14:paraId="09344402">
            <w:pPr>
              <w:spacing w:line="300" w:lineRule="auto"/>
              <w:ind w:right="482"/>
              <w:jc w:val="left"/>
              <w:rPr>
                <w:rFonts w:eastAsia="仿宋_GB2312"/>
                <w:color w:val="808080"/>
                <w:sz w:val="24"/>
                <w:szCs w:val="28"/>
              </w:rPr>
            </w:pPr>
            <w:r>
              <w:rPr>
                <w:rFonts w:eastAsia="仿宋_GB2312"/>
                <w:color w:val="808080"/>
                <w:sz w:val="24"/>
                <w:szCs w:val="28"/>
              </w:rPr>
              <w:t>近两年是否发生过监管机构关注的回购违约事件（包括交易所及银行间债券市场）。如有</w:t>
            </w:r>
            <w:r>
              <w:rPr>
                <w:rFonts w:hint="eastAsia" w:eastAsia="仿宋_GB2312"/>
                <w:color w:val="808080"/>
                <w:sz w:val="24"/>
                <w:szCs w:val="28"/>
              </w:rPr>
              <w:t>，</w:t>
            </w:r>
            <w:r>
              <w:rPr>
                <w:rFonts w:eastAsia="仿宋_GB2312"/>
                <w:color w:val="808080"/>
                <w:sz w:val="24"/>
                <w:szCs w:val="28"/>
              </w:rPr>
              <w:t>请说明</w:t>
            </w:r>
            <w:r>
              <w:rPr>
                <w:rFonts w:hint="eastAsia" w:eastAsia="仿宋_GB2312"/>
                <w:color w:val="808080"/>
                <w:sz w:val="24"/>
                <w:szCs w:val="28"/>
              </w:rPr>
              <w:t>相关情况</w:t>
            </w:r>
            <w:r>
              <w:rPr>
                <w:rFonts w:eastAsia="仿宋_GB2312"/>
                <w:color w:val="808080"/>
                <w:sz w:val="24"/>
                <w:szCs w:val="28"/>
              </w:rPr>
              <w:t>。</w:t>
            </w:r>
          </w:p>
        </w:tc>
      </w:tr>
      <w:tr w14:paraId="5C90B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749" w:type="dxa"/>
            <w:vAlign w:val="center"/>
          </w:tcPr>
          <w:p w14:paraId="0C2F9A72">
            <w:pPr>
              <w:spacing w:line="300" w:lineRule="auto"/>
              <w:rPr>
                <w:rFonts w:eastAsia="仿宋_GB2312"/>
                <w:sz w:val="24"/>
                <w:szCs w:val="28"/>
              </w:rPr>
            </w:pPr>
            <w:r>
              <w:rPr>
                <w:rFonts w:eastAsia="仿宋_GB2312"/>
                <w:sz w:val="24"/>
                <w:szCs w:val="28"/>
              </w:rPr>
              <w:t>三方回购业务负责人</w:t>
            </w:r>
          </w:p>
        </w:tc>
        <w:tc>
          <w:tcPr>
            <w:tcW w:w="1484" w:type="dxa"/>
            <w:gridSpan w:val="2"/>
            <w:vAlign w:val="center"/>
          </w:tcPr>
          <w:p w14:paraId="25B335CA">
            <w:pPr>
              <w:spacing w:line="560" w:lineRule="exact"/>
              <w:rPr>
                <w:rFonts w:eastAsia="仿宋_GB2312"/>
                <w:sz w:val="24"/>
                <w:szCs w:val="28"/>
              </w:rPr>
            </w:pPr>
            <w:r>
              <w:rPr>
                <w:rFonts w:eastAsia="仿宋_GB2312"/>
                <w:sz w:val="24"/>
                <w:szCs w:val="28"/>
              </w:rPr>
              <w:t>部门</w:t>
            </w:r>
          </w:p>
        </w:tc>
        <w:tc>
          <w:tcPr>
            <w:tcW w:w="1490" w:type="dxa"/>
            <w:vAlign w:val="center"/>
          </w:tcPr>
          <w:p w14:paraId="4CF29FDB">
            <w:pPr>
              <w:spacing w:line="560" w:lineRule="exact"/>
              <w:rPr>
                <w:rFonts w:eastAsia="仿宋_GB2312"/>
                <w:sz w:val="24"/>
                <w:szCs w:val="28"/>
              </w:rPr>
            </w:pPr>
            <w:r>
              <w:rPr>
                <w:rFonts w:eastAsia="仿宋_GB2312"/>
                <w:sz w:val="24"/>
                <w:szCs w:val="28"/>
              </w:rPr>
              <w:t>职务</w:t>
            </w:r>
          </w:p>
        </w:tc>
        <w:tc>
          <w:tcPr>
            <w:tcW w:w="854" w:type="dxa"/>
            <w:vAlign w:val="center"/>
          </w:tcPr>
          <w:p w14:paraId="60C2A5DE">
            <w:pPr>
              <w:spacing w:line="560" w:lineRule="exact"/>
              <w:rPr>
                <w:rFonts w:eastAsia="仿宋_GB2312"/>
                <w:sz w:val="24"/>
                <w:szCs w:val="28"/>
              </w:rPr>
            </w:pPr>
            <w:r>
              <w:rPr>
                <w:rFonts w:eastAsia="仿宋_GB2312"/>
                <w:sz w:val="24"/>
                <w:szCs w:val="28"/>
              </w:rPr>
              <w:t>电话</w:t>
            </w:r>
          </w:p>
        </w:tc>
        <w:tc>
          <w:tcPr>
            <w:tcW w:w="1417" w:type="dxa"/>
            <w:vAlign w:val="center"/>
          </w:tcPr>
          <w:p w14:paraId="15532463">
            <w:pPr>
              <w:spacing w:line="560" w:lineRule="exact"/>
              <w:rPr>
                <w:rFonts w:eastAsia="仿宋_GB2312"/>
                <w:sz w:val="24"/>
                <w:szCs w:val="28"/>
              </w:rPr>
            </w:pPr>
            <w:r>
              <w:rPr>
                <w:rFonts w:eastAsia="仿宋_GB2312"/>
                <w:sz w:val="24"/>
                <w:szCs w:val="28"/>
              </w:rPr>
              <w:t>手机</w:t>
            </w:r>
          </w:p>
        </w:tc>
        <w:tc>
          <w:tcPr>
            <w:tcW w:w="1619" w:type="dxa"/>
            <w:vAlign w:val="center"/>
          </w:tcPr>
          <w:p w14:paraId="46F747A4">
            <w:pPr>
              <w:spacing w:line="560" w:lineRule="exact"/>
              <w:rPr>
                <w:rFonts w:eastAsia="仿宋_GB2312"/>
                <w:sz w:val="24"/>
                <w:szCs w:val="28"/>
              </w:rPr>
            </w:pPr>
            <w:r>
              <w:rPr>
                <w:rFonts w:eastAsia="仿宋_GB2312"/>
                <w:sz w:val="24"/>
                <w:szCs w:val="28"/>
              </w:rPr>
              <w:t>传真</w:t>
            </w:r>
          </w:p>
        </w:tc>
        <w:tc>
          <w:tcPr>
            <w:tcW w:w="1494" w:type="dxa"/>
            <w:vAlign w:val="center"/>
          </w:tcPr>
          <w:p w14:paraId="609FB487">
            <w:pPr>
              <w:spacing w:line="560" w:lineRule="exact"/>
              <w:rPr>
                <w:rFonts w:eastAsia="仿宋_GB2312"/>
                <w:sz w:val="24"/>
                <w:szCs w:val="28"/>
              </w:rPr>
            </w:pPr>
            <w:r>
              <w:rPr>
                <w:rFonts w:eastAsia="仿宋_GB2312"/>
                <w:sz w:val="24"/>
                <w:szCs w:val="28"/>
              </w:rPr>
              <w:t>E-mail</w:t>
            </w:r>
          </w:p>
        </w:tc>
      </w:tr>
      <w:tr w14:paraId="156F4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749" w:type="dxa"/>
            <w:vAlign w:val="center"/>
          </w:tcPr>
          <w:p w14:paraId="7C99B288">
            <w:pPr>
              <w:spacing w:line="560" w:lineRule="exact"/>
              <w:rPr>
                <w:rFonts w:eastAsia="仿宋_GB2312"/>
                <w:sz w:val="24"/>
                <w:szCs w:val="28"/>
              </w:rPr>
            </w:pPr>
          </w:p>
        </w:tc>
        <w:tc>
          <w:tcPr>
            <w:tcW w:w="1484" w:type="dxa"/>
            <w:gridSpan w:val="2"/>
            <w:vAlign w:val="center"/>
          </w:tcPr>
          <w:p w14:paraId="7C0F6B7A">
            <w:pPr>
              <w:spacing w:line="560" w:lineRule="exact"/>
              <w:rPr>
                <w:rFonts w:eastAsia="仿宋_GB2312"/>
                <w:sz w:val="24"/>
                <w:szCs w:val="28"/>
              </w:rPr>
            </w:pPr>
          </w:p>
        </w:tc>
        <w:tc>
          <w:tcPr>
            <w:tcW w:w="1490" w:type="dxa"/>
            <w:vAlign w:val="center"/>
          </w:tcPr>
          <w:p w14:paraId="4B699DCB">
            <w:pPr>
              <w:spacing w:line="560" w:lineRule="exact"/>
              <w:rPr>
                <w:rFonts w:eastAsia="仿宋_GB2312"/>
                <w:sz w:val="24"/>
                <w:szCs w:val="28"/>
              </w:rPr>
            </w:pPr>
          </w:p>
        </w:tc>
        <w:tc>
          <w:tcPr>
            <w:tcW w:w="854" w:type="dxa"/>
            <w:vAlign w:val="center"/>
          </w:tcPr>
          <w:p w14:paraId="257EFB0E">
            <w:pPr>
              <w:spacing w:line="560" w:lineRule="exact"/>
              <w:rPr>
                <w:rFonts w:eastAsia="仿宋_GB2312"/>
                <w:sz w:val="24"/>
                <w:szCs w:val="28"/>
              </w:rPr>
            </w:pPr>
          </w:p>
        </w:tc>
        <w:tc>
          <w:tcPr>
            <w:tcW w:w="1417" w:type="dxa"/>
            <w:vAlign w:val="center"/>
          </w:tcPr>
          <w:p w14:paraId="2486A47E">
            <w:pPr>
              <w:spacing w:line="560" w:lineRule="exact"/>
              <w:rPr>
                <w:rFonts w:eastAsia="仿宋_GB2312"/>
                <w:sz w:val="24"/>
                <w:szCs w:val="28"/>
              </w:rPr>
            </w:pPr>
          </w:p>
        </w:tc>
        <w:tc>
          <w:tcPr>
            <w:tcW w:w="1619" w:type="dxa"/>
            <w:vAlign w:val="center"/>
          </w:tcPr>
          <w:p w14:paraId="7F3B01CE">
            <w:pPr>
              <w:spacing w:line="560" w:lineRule="exact"/>
              <w:rPr>
                <w:rFonts w:eastAsia="仿宋_GB2312"/>
                <w:sz w:val="24"/>
                <w:szCs w:val="28"/>
              </w:rPr>
            </w:pPr>
          </w:p>
        </w:tc>
        <w:tc>
          <w:tcPr>
            <w:tcW w:w="1494" w:type="dxa"/>
            <w:vAlign w:val="center"/>
          </w:tcPr>
          <w:p w14:paraId="33EC6EB1">
            <w:pPr>
              <w:spacing w:line="560" w:lineRule="exact"/>
              <w:rPr>
                <w:rFonts w:eastAsia="仿宋_GB2312"/>
                <w:sz w:val="24"/>
                <w:szCs w:val="28"/>
              </w:rPr>
            </w:pPr>
          </w:p>
        </w:tc>
      </w:tr>
      <w:tr w14:paraId="1BD1B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749" w:type="dxa"/>
            <w:vAlign w:val="center"/>
          </w:tcPr>
          <w:p w14:paraId="64BF1718">
            <w:pPr>
              <w:spacing w:line="300" w:lineRule="auto"/>
              <w:rPr>
                <w:rFonts w:eastAsia="仿宋_GB2312"/>
                <w:sz w:val="24"/>
                <w:szCs w:val="28"/>
              </w:rPr>
            </w:pPr>
            <w:r>
              <w:rPr>
                <w:rFonts w:eastAsia="仿宋_GB2312"/>
                <w:sz w:val="24"/>
                <w:szCs w:val="28"/>
              </w:rPr>
              <w:t>三方回购业务联络人</w:t>
            </w:r>
          </w:p>
        </w:tc>
        <w:tc>
          <w:tcPr>
            <w:tcW w:w="1484" w:type="dxa"/>
            <w:gridSpan w:val="2"/>
            <w:vAlign w:val="center"/>
          </w:tcPr>
          <w:p w14:paraId="7E1A2B26">
            <w:pPr>
              <w:spacing w:line="560" w:lineRule="exact"/>
              <w:rPr>
                <w:rFonts w:eastAsia="仿宋_GB2312"/>
                <w:sz w:val="24"/>
                <w:szCs w:val="28"/>
              </w:rPr>
            </w:pPr>
            <w:r>
              <w:rPr>
                <w:rFonts w:eastAsia="仿宋_GB2312"/>
                <w:sz w:val="24"/>
                <w:szCs w:val="28"/>
              </w:rPr>
              <w:t>部门</w:t>
            </w:r>
          </w:p>
        </w:tc>
        <w:tc>
          <w:tcPr>
            <w:tcW w:w="1490" w:type="dxa"/>
            <w:vAlign w:val="center"/>
          </w:tcPr>
          <w:p w14:paraId="5E6DB4DA">
            <w:pPr>
              <w:spacing w:line="560" w:lineRule="exact"/>
              <w:rPr>
                <w:rFonts w:eastAsia="仿宋_GB2312"/>
                <w:sz w:val="24"/>
                <w:szCs w:val="28"/>
              </w:rPr>
            </w:pPr>
            <w:r>
              <w:rPr>
                <w:rFonts w:eastAsia="仿宋_GB2312"/>
                <w:sz w:val="24"/>
                <w:szCs w:val="28"/>
              </w:rPr>
              <w:t>职务</w:t>
            </w:r>
          </w:p>
        </w:tc>
        <w:tc>
          <w:tcPr>
            <w:tcW w:w="854" w:type="dxa"/>
            <w:vAlign w:val="center"/>
          </w:tcPr>
          <w:p w14:paraId="40D2484A">
            <w:pPr>
              <w:spacing w:line="560" w:lineRule="exact"/>
              <w:rPr>
                <w:rFonts w:eastAsia="仿宋_GB2312"/>
                <w:sz w:val="24"/>
                <w:szCs w:val="28"/>
              </w:rPr>
            </w:pPr>
            <w:r>
              <w:rPr>
                <w:rFonts w:eastAsia="仿宋_GB2312"/>
                <w:sz w:val="24"/>
                <w:szCs w:val="28"/>
              </w:rPr>
              <w:t>电话</w:t>
            </w:r>
          </w:p>
        </w:tc>
        <w:tc>
          <w:tcPr>
            <w:tcW w:w="1417" w:type="dxa"/>
            <w:vAlign w:val="center"/>
          </w:tcPr>
          <w:p w14:paraId="154AD9B0">
            <w:pPr>
              <w:spacing w:line="560" w:lineRule="exact"/>
              <w:rPr>
                <w:rFonts w:eastAsia="仿宋_GB2312"/>
                <w:sz w:val="24"/>
                <w:szCs w:val="28"/>
              </w:rPr>
            </w:pPr>
            <w:r>
              <w:rPr>
                <w:rFonts w:eastAsia="仿宋_GB2312"/>
                <w:sz w:val="24"/>
                <w:szCs w:val="28"/>
              </w:rPr>
              <w:t>手机</w:t>
            </w:r>
          </w:p>
        </w:tc>
        <w:tc>
          <w:tcPr>
            <w:tcW w:w="1619" w:type="dxa"/>
            <w:vAlign w:val="center"/>
          </w:tcPr>
          <w:p w14:paraId="1E8E11CF">
            <w:pPr>
              <w:spacing w:line="560" w:lineRule="exact"/>
              <w:rPr>
                <w:rFonts w:eastAsia="仿宋_GB2312"/>
                <w:sz w:val="24"/>
                <w:szCs w:val="28"/>
              </w:rPr>
            </w:pPr>
            <w:r>
              <w:rPr>
                <w:rFonts w:eastAsia="仿宋_GB2312"/>
                <w:sz w:val="24"/>
                <w:szCs w:val="28"/>
              </w:rPr>
              <w:t>传真</w:t>
            </w:r>
          </w:p>
        </w:tc>
        <w:tc>
          <w:tcPr>
            <w:tcW w:w="1494" w:type="dxa"/>
            <w:vAlign w:val="center"/>
          </w:tcPr>
          <w:p w14:paraId="05EE2537">
            <w:pPr>
              <w:spacing w:line="560" w:lineRule="exact"/>
              <w:rPr>
                <w:rFonts w:eastAsia="仿宋_GB2312"/>
                <w:sz w:val="24"/>
                <w:szCs w:val="28"/>
              </w:rPr>
            </w:pPr>
            <w:r>
              <w:rPr>
                <w:rFonts w:eastAsia="仿宋_GB2312"/>
                <w:sz w:val="24"/>
                <w:szCs w:val="28"/>
              </w:rPr>
              <w:t>E-mail</w:t>
            </w:r>
          </w:p>
        </w:tc>
      </w:tr>
      <w:tr w14:paraId="29B3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1749" w:type="dxa"/>
            <w:vAlign w:val="center"/>
          </w:tcPr>
          <w:p w14:paraId="6C8AC1B6">
            <w:pPr>
              <w:spacing w:line="560" w:lineRule="exact"/>
              <w:rPr>
                <w:rFonts w:eastAsia="仿宋_GB2312"/>
                <w:sz w:val="24"/>
                <w:szCs w:val="28"/>
              </w:rPr>
            </w:pPr>
          </w:p>
        </w:tc>
        <w:tc>
          <w:tcPr>
            <w:tcW w:w="1484" w:type="dxa"/>
            <w:gridSpan w:val="2"/>
            <w:vAlign w:val="center"/>
          </w:tcPr>
          <w:p w14:paraId="7F34095B">
            <w:pPr>
              <w:spacing w:line="560" w:lineRule="exact"/>
              <w:rPr>
                <w:rFonts w:eastAsia="仿宋_GB2312"/>
                <w:sz w:val="24"/>
                <w:szCs w:val="28"/>
              </w:rPr>
            </w:pPr>
          </w:p>
        </w:tc>
        <w:tc>
          <w:tcPr>
            <w:tcW w:w="1490" w:type="dxa"/>
            <w:vAlign w:val="center"/>
          </w:tcPr>
          <w:p w14:paraId="48168463">
            <w:pPr>
              <w:spacing w:line="560" w:lineRule="exact"/>
              <w:rPr>
                <w:rFonts w:eastAsia="仿宋_GB2312"/>
                <w:sz w:val="24"/>
                <w:szCs w:val="28"/>
              </w:rPr>
            </w:pPr>
          </w:p>
        </w:tc>
        <w:tc>
          <w:tcPr>
            <w:tcW w:w="854" w:type="dxa"/>
            <w:vAlign w:val="center"/>
          </w:tcPr>
          <w:p w14:paraId="5CCAFC69">
            <w:pPr>
              <w:spacing w:line="560" w:lineRule="exact"/>
              <w:rPr>
                <w:rFonts w:eastAsia="仿宋_GB2312"/>
                <w:sz w:val="24"/>
                <w:szCs w:val="28"/>
              </w:rPr>
            </w:pPr>
          </w:p>
        </w:tc>
        <w:tc>
          <w:tcPr>
            <w:tcW w:w="1417" w:type="dxa"/>
            <w:vAlign w:val="center"/>
          </w:tcPr>
          <w:p w14:paraId="3E591D96">
            <w:pPr>
              <w:spacing w:line="560" w:lineRule="exact"/>
              <w:rPr>
                <w:rFonts w:eastAsia="仿宋_GB2312"/>
                <w:sz w:val="24"/>
                <w:szCs w:val="28"/>
              </w:rPr>
            </w:pPr>
          </w:p>
        </w:tc>
        <w:tc>
          <w:tcPr>
            <w:tcW w:w="1619" w:type="dxa"/>
            <w:vAlign w:val="center"/>
          </w:tcPr>
          <w:p w14:paraId="4CB91CF3">
            <w:pPr>
              <w:spacing w:line="560" w:lineRule="exact"/>
              <w:rPr>
                <w:rFonts w:eastAsia="仿宋_GB2312"/>
                <w:sz w:val="24"/>
                <w:szCs w:val="28"/>
              </w:rPr>
            </w:pPr>
          </w:p>
        </w:tc>
        <w:tc>
          <w:tcPr>
            <w:tcW w:w="1494" w:type="dxa"/>
            <w:vAlign w:val="center"/>
          </w:tcPr>
          <w:p w14:paraId="45196D8F">
            <w:pPr>
              <w:spacing w:line="560" w:lineRule="exact"/>
              <w:rPr>
                <w:rFonts w:eastAsia="仿宋_GB2312"/>
                <w:sz w:val="24"/>
                <w:szCs w:val="28"/>
              </w:rPr>
            </w:pPr>
          </w:p>
        </w:tc>
      </w:tr>
      <w:tr w14:paraId="7354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749" w:type="dxa"/>
            <w:tcBorders>
              <w:bottom w:val="single" w:color="auto" w:sz="4" w:space="0"/>
            </w:tcBorders>
            <w:vAlign w:val="center"/>
          </w:tcPr>
          <w:p w14:paraId="7C816277">
            <w:pPr>
              <w:spacing w:line="300" w:lineRule="auto"/>
              <w:rPr>
                <w:rFonts w:eastAsia="仿宋_GB2312"/>
                <w:sz w:val="24"/>
                <w:szCs w:val="28"/>
              </w:rPr>
            </w:pPr>
            <w:r>
              <w:rPr>
                <w:rFonts w:eastAsia="仿宋_GB2312"/>
                <w:sz w:val="24"/>
              </w:rPr>
              <w:t>最近一个会计年度总资产（亿元）</w:t>
            </w:r>
          </w:p>
        </w:tc>
        <w:tc>
          <w:tcPr>
            <w:tcW w:w="2974" w:type="dxa"/>
            <w:gridSpan w:val="3"/>
            <w:tcBorders>
              <w:bottom w:val="single" w:color="auto" w:sz="4" w:space="0"/>
            </w:tcBorders>
            <w:vAlign w:val="center"/>
          </w:tcPr>
          <w:p w14:paraId="6F2CA6B0">
            <w:pPr>
              <w:spacing w:line="560" w:lineRule="exact"/>
              <w:rPr>
                <w:rFonts w:eastAsia="仿宋_GB2312"/>
                <w:sz w:val="24"/>
                <w:szCs w:val="28"/>
              </w:rPr>
            </w:pPr>
          </w:p>
        </w:tc>
        <w:tc>
          <w:tcPr>
            <w:tcW w:w="2271" w:type="dxa"/>
            <w:gridSpan w:val="2"/>
            <w:tcBorders>
              <w:bottom w:val="single" w:color="auto" w:sz="4" w:space="0"/>
            </w:tcBorders>
            <w:vAlign w:val="center"/>
          </w:tcPr>
          <w:p w14:paraId="16F295F7">
            <w:pPr>
              <w:spacing w:line="300" w:lineRule="auto"/>
              <w:rPr>
                <w:rFonts w:eastAsia="仿宋_GB2312"/>
                <w:sz w:val="24"/>
                <w:szCs w:val="28"/>
              </w:rPr>
            </w:pPr>
            <w:r>
              <w:rPr>
                <w:rFonts w:eastAsia="仿宋_GB2312"/>
                <w:sz w:val="24"/>
              </w:rPr>
              <w:t>最近一个会计年度净资产（亿元）</w:t>
            </w:r>
          </w:p>
        </w:tc>
        <w:tc>
          <w:tcPr>
            <w:tcW w:w="3113" w:type="dxa"/>
            <w:gridSpan w:val="2"/>
            <w:tcBorders>
              <w:bottom w:val="single" w:color="auto" w:sz="4" w:space="0"/>
            </w:tcBorders>
            <w:vAlign w:val="center"/>
          </w:tcPr>
          <w:p w14:paraId="51AC07B7">
            <w:pPr>
              <w:spacing w:line="560" w:lineRule="exact"/>
              <w:rPr>
                <w:rFonts w:eastAsia="仿宋_GB2312"/>
                <w:sz w:val="24"/>
                <w:szCs w:val="28"/>
              </w:rPr>
            </w:pPr>
          </w:p>
        </w:tc>
      </w:tr>
    </w:tbl>
    <w:p w14:paraId="164F86E8">
      <w:pPr>
        <w:spacing w:line="560" w:lineRule="exact"/>
        <w:jc w:val="left"/>
        <w:rPr>
          <w:rFonts w:eastAsia="仿宋_GB2312"/>
          <w:sz w:val="24"/>
          <w:szCs w:val="28"/>
        </w:rPr>
      </w:pPr>
      <w:r>
        <w:rPr>
          <w:rFonts w:eastAsia="仿宋_GB2312"/>
          <w:kern w:val="28"/>
          <w:sz w:val="24"/>
        </w:rPr>
        <w:t>备注：1、</w:t>
      </w:r>
      <w:r>
        <w:rPr>
          <w:rFonts w:eastAsia="仿宋_GB2312"/>
          <w:sz w:val="24"/>
          <w:szCs w:val="28"/>
        </w:rPr>
        <w:t>杠杆运作限制、总资产、净资产</w:t>
      </w:r>
      <w:r>
        <w:rPr>
          <w:rFonts w:eastAsia="仿宋_GB2312"/>
          <w:sz w:val="24"/>
        </w:rPr>
        <w:t>仅正回购方必填</w:t>
      </w:r>
      <w:r>
        <w:rPr>
          <w:rFonts w:eastAsia="仿宋_GB2312"/>
          <w:sz w:val="24"/>
          <w:szCs w:val="28"/>
        </w:rPr>
        <w:t>。</w:t>
      </w:r>
    </w:p>
    <w:p w14:paraId="1A7A07FA">
      <w:pPr>
        <w:spacing w:line="560" w:lineRule="exact"/>
        <w:ind w:firstLine="720" w:firstLineChars="300"/>
        <w:jc w:val="left"/>
        <w:rPr>
          <w:rFonts w:eastAsia="仿宋_GB2312"/>
          <w:kern w:val="28"/>
          <w:sz w:val="24"/>
        </w:rPr>
      </w:pPr>
      <w:r>
        <w:rPr>
          <w:rFonts w:eastAsia="仿宋_GB2312"/>
          <w:sz w:val="24"/>
          <w:szCs w:val="28"/>
        </w:rPr>
        <w:t>2、已进行过备案开通逆回购权限的，再次备案申请开通正回购权限时，应保证普通证券账户及相关信息的前后一致性。反之亦然。</w:t>
      </w:r>
    </w:p>
    <w:p w14:paraId="6F5C8752">
      <w:pPr>
        <w:pStyle w:val="18"/>
        <w:spacing w:line="560" w:lineRule="exact"/>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我公司在此郑重承诺：</w:t>
      </w:r>
    </w:p>
    <w:p w14:paraId="7863E3AE">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一、遵守法律、法规、规章、上交所及中国结算相关业务规则，依法参与上交所债券三方回购业务。</w:t>
      </w:r>
    </w:p>
    <w:p w14:paraId="1A136654">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二、诚实守信，自觉遵守商业道德，维护上交所债券市场秩序。</w:t>
      </w:r>
    </w:p>
    <w:p w14:paraId="40C759A6">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三、同意遵守上交所、中国结算关于三方回购的相关规定，接受上交所、中国结算的自律管理。</w:t>
      </w:r>
    </w:p>
    <w:p w14:paraId="3ABF771E">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四、如违反法律、法规、规章、上交所及中国结算相关业务规则，接受上交所做出的包括但不限于取消三方回购投资者适当性备案等监管措施，并对此承担一切法律责任。</w:t>
      </w:r>
    </w:p>
    <w:p w14:paraId="7C068B7E">
      <w:pPr>
        <w:pStyle w:val="18"/>
        <w:spacing w:line="560" w:lineRule="exact"/>
        <w:jc w:val="left"/>
        <w:rPr>
          <w:rFonts w:hAnsi="仿宋_GB2312" w:cs="仿宋_GB2312"/>
          <w:szCs w:val="30"/>
        </w:rPr>
      </w:pPr>
      <w:r>
        <w:rPr>
          <w:rFonts w:hint="eastAsia" w:hAnsi="仿宋_GB2312" w:cs="仿宋_GB2312"/>
          <w:szCs w:val="30"/>
        </w:rPr>
        <w:t>我公司保证向上交所提供的书面和电子申请资料的真实、准确、完整与合法。</w:t>
      </w:r>
    </w:p>
    <w:p w14:paraId="5B965AB9">
      <w:pPr>
        <w:pStyle w:val="18"/>
        <w:spacing w:line="560" w:lineRule="exact"/>
        <w:jc w:val="right"/>
        <w:rPr>
          <w:rFonts w:hAnsi="仿宋_GB2312" w:cs="仿宋_GB2312"/>
          <w:szCs w:val="30"/>
        </w:rPr>
      </w:pPr>
      <w:r>
        <w:rPr>
          <w:rFonts w:hint="eastAsia" w:hAnsi="仿宋_GB2312" w:cs="仿宋_GB2312"/>
          <w:szCs w:val="30"/>
        </w:rPr>
        <w:t>申请人：</w:t>
      </w:r>
      <w:r>
        <w:rPr>
          <w:rFonts w:hAnsi="仿宋_GB2312" w:cs="仿宋_GB2312"/>
          <w:szCs w:val="30"/>
        </w:rPr>
        <w:t>_____________________</w:t>
      </w:r>
      <w:r>
        <w:rPr>
          <w:rFonts w:hint="eastAsia" w:hAnsi="仿宋_GB2312" w:cs="仿宋_GB2312"/>
          <w:szCs w:val="30"/>
        </w:rPr>
        <w:t>公司</w:t>
      </w:r>
      <w:r>
        <w:rPr>
          <w:rFonts w:hAnsi="仿宋_GB2312" w:cs="仿宋_GB2312"/>
          <w:szCs w:val="30"/>
        </w:rPr>
        <w:t xml:space="preserve">   </w:t>
      </w:r>
      <w:r>
        <w:rPr>
          <w:rFonts w:hint="eastAsia" w:hAnsi="仿宋_GB2312" w:cs="仿宋_GB2312"/>
          <w:szCs w:val="30"/>
        </w:rPr>
        <w:t>（加盖公章）</w:t>
      </w:r>
    </w:p>
    <w:p w14:paraId="7DAC7067">
      <w:pPr>
        <w:pStyle w:val="18"/>
        <w:spacing w:line="560" w:lineRule="exact"/>
        <w:ind w:right="560"/>
        <w:jc w:val="center"/>
        <w:rPr>
          <w:rFonts w:hAnsi="仿宋_GB2312" w:cs="仿宋_GB2312"/>
          <w:szCs w:val="30"/>
        </w:rPr>
      </w:pPr>
      <w:r>
        <w:rPr>
          <w:rFonts w:hAnsi="仿宋_GB2312" w:cs="仿宋_GB2312"/>
          <w:szCs w:val="30"/>
        </w:rPr>
        <w:t xml:space="preserve">                                  </w:t>
      </w:r>
      <w:r>
        <w:rPr>
          <w:rFonts w:hint="eastAsia" w:hAnsi="仿宋_GB2312" w:cs="仿宋_GB2312"/>
          <w:szCs w:val="30"/>
        </w:rPr>
        <w:t>经办人（签字）：</w:t>
      </w:r>
    </w:p>
    <w:p w14:paraId="02EBDDBD">
      <w:pPr>
        <w:pStyle w:val="18"/>
        <w:spacing w:line="560" w:lineRule="exact"/>
        <w:ind w:right="560"/>
        <w:jc w:val="center"/>
        <w:rPr>
          <w:rFonts w:hAnsi="仿宋_GB2312" w:cs="仿宋_GB2312"/>
          <w:szCs w:val="30"/>
        </w:rPr>
      </w:pPr>
      <w:r>
        <w:rPr>
          <w:rFonts w:hAnsi="仿宋_GB2312" w:cs="仿宋_GB2312"/>
          <w:szCs w:val="30"/>
        </w:rPr>
        <w:t xml:space="preserve">                                     </w:t>
      </w:r>
      <w:r>
        <w:rPr>
          <w:rFonts w:hint="eastAsia" w:hAnsi="仿宋_GB2312" w:cs="仿宋_GB2312"/>
          <w:szCs w:val="30"/>
        </w:rPr>
        <w:t>申请日期：</w:t>
      </w:r>
    </w:p>
    <w:p w14:paraId="6C522219">
      <w:pPr>
        <w:pStyle w:val="18"/>
        <w:spacing w:line="560" w:lineRule="exact"/>
        <w:ind w:right="560"/>
        <w:jc w:val="center"/>
        <w:rPr>
          <w:rFonts w:hAnsi="仿宋_GB2312" w:cs="仿宋_GB2312"/>
          <w:szCs w:val="30"/>
        </w:rPr>
      </w:pPr>
      <w:r>
        <w:rPr>
          <w:rFonts w:hAnsi="仿宋_GB2312" w:cs="仿宋_GB2312"/>
          <w:szCs w:val="30"/>
        </w:rPr>
        <w:t xml:space="preserve">                                     </w:t>
      </w:r>
      <w:r>
        <w:rPr>
          <w:rFonts w:hint="eastAsia" w:hAnsi="仿宋_GB2312" w:cs="仿宋_GB2312"/>
          <w:szCs w:val="30"/>
        </w:rPr>
        <w:t>联系电话：</w:t>
      </w:r>
    </w:p>
    <w:p w14:paraId="37FF001B">
      <w:pPr>
        <w:spacing w:line="560" w:lineRule="exact"/>
        <w:ind w:right="150"/>
        <w:jc w:val="center"/>
        <w:rPr>
          <w:rFonts w:ascii="黑体" w:hAnsi="黑体" w:eastAsia="黑体" w:cs="黑体"/>
          <w:b/>
          <w:sz w:val="44"/>
          <w:szCs w:val="44"/>
        </w:rPr>
      </w:pPr>
      <w:r>
        <w:rPr>
          <w:rFonts w:eastAsia="仿宋_GB2312"/>
        </w:rPr>
        <w:br w:type="page"/>
      </w:r>
      <w:r>
        <w:rPr>
          <w:rFonts w:hint="eastAsia" w:ascii="黑体" w:hAnsi="黑体" w:eastAsia="黑体" w:cs="黑体"/>
          <w:b/>
          <w:sz w:val="44"/>
          <w:szCs w:val="44"/>
        </w:rPr>
        <w:t>三方回购投资者适当性备案表</w:t>
      </w:r>
    </w:p>
    <w:p w14:paraId="4E46D447">
      <w:pPr>
        <w:spacing w:line="560" w:lineRule="exact"/>
        <w:ind w:right="150"/>
        <w:jc w:val="center"/>
        <w:rPr>
          <w:rFonts w:ascii="黑体" w:hAnsi="黑体" w:eastAsia="黑体" w:cs="黑体"/>
          <w:b/>
          <w:kern w:val="0"/>
          <w:sz w:val="44"/>
          <w:szCs w:val="44"/>
        </w:rPr>
      </w:pPr>
      <w:r>
        <w:rPr>
          <w:rFonts w:hint="eastAsia" w:ascii="黑体" w:hAnsi="黑体" w:eastAsia="黑体" w:cs="黑体"/>
          <w:b/>
          <w:sz w:val="44"/>
          <w:szCs w:val="44"/>
        </w:rPr>
        <w:t>（产品适用）</w:t>
      </w:r>
    </w:p>
    <w:p w14:paraId="11E4E688">
      <w:pPr>
        <w:spacing w:line="560" w:lineRule="exact"/>
        <w:jc w:val="left"/>
        <w:rPr>
          <w:rFonts w:eastAsia="仿宋_GB2312"/>
          <w:sz w:val="30"/>
          <w:szCs w:val="30"/>
        </w:rPr>
      </w:pPr>
      <w:r>
        <w:rPr>
          <w:rFonts w:hint="eastAsia" w:eastAsia="仿宋_GB2312"/>
          <w:sz w:val="30"/>
          <w:szCs w:val="30"/>
        </w:rPr>
        <w:t>上海证券交易所：</w:t>
      </w:r>
    </w:p>
    <w:p w14:paraId="5EED3EA6">
      <w:pPr>
        <w:spacing w:line="560" w:lineRule="exact"/>
        <w:ind w:firstLine="600" w:firstLineChars="200"/>
        <w:jc w:val="left"/>
        <w:rPr>
          <w:rFonts w:eastAsia="仿宋_GB2312"/>
          <w:sz w:val="30"/>
          <w:szCs w:val="30"/>
        </w:rPr>
      </w:pPr>
      <w:r>
        <w:rPr>
          <w:rFonts w:hint="eastAsia" w:eastAsia="仿宋_GB2312"/>
          <w:sz w:val="30"/>
          <w:szCs w:val="30"/>
        </w:rPr>
        <w:t>经我公司研究决定，特向上交所申请我公司管理的下述产品参与债券三方回购业务，现将有关事项申请如下：</w:t>
      </w:r>
    </w:p>
    <w:p w14:paraId="4C9288B4">
      <w:pPr>
        <w:spacing w:line="560" w:lineRule="exact"/>
        <w:ind w:firstLine="420"/>
        <w:rPr>
          <w:rFonts w:eastAsia="仿宋_GB2312"/>
          <w:kern w:val="28"/>
          <w:sz w:val="24"/>
        </w:rPr>
      </w:pPr>
    </w:p>
    <w:tbl>
      <w:tblPr>
        <w:tblStyle w:val="43"/>
        <w:tblW w:w="101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9"/>
        <w:gridCol w:w="1345"/>
        <w:gridCol w:w="1486"/>
        <w:gridCol w:w="854"/>
        <w:gridCol w:w="1417"/>
        <w:gridCol w:w="1619"/>
        <w:gridCol w:w="1497"/>
      </w:tblGrid>
      <w:tr w14:paraId="19726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991" w:type="dxa"/>
            <w:gridSpan w:val="5"/>
            <w:vAlign w:val="center"/>
          </w:tcPr>
          <w:p w14:paraId="1B90776E">
            <w:pPr>
              <w:spacing w:line="560" w:lineRule="exact"/>
              <w:rPr>
                <w:rFonts w:eastAsia="仿宋_GB2312"/>
                <w:sz w:val="24"/>
                <w:szCs w:val="28"/>
              </w:rPr>
            </w:pPr>
            <w:r>
              <w:rPr>
                <w:rFonts w:eastAsia="仿宋_GB2312"/>
                <w:sz w:val="24"/>
                <w:szCs w:val="28"/>
              </w:rPr>
              <w:t>产品全称：</w:t>
            </w:r>
          </w:p>
        </w:tc>
        <w:tc>
          <w:tcPr>
            <w:tcW w:w="3116" w:type="dxa"/>
            <w:gridSpan w:val="2"/>
            <w:vAlign w:val="center"/>
          </w:tcPr>
          <w:p w14:paraId="74E15E72">
            <w:pPr>
              <w:spacing w:line="560" w:lineRule="exact"/>
              <w:rPr>
                <w:rFonts w:eastAsia="仿宋_GB2312"/>
                <w:sz w:val="24"/>
                <w:szCs w:val="28"/>
              </w:rPr>
            </w:pPr>
            <w:r>
              <w:rPr>
                <w:rFonts w:eastAsia="仿宋_GB2312"/>
                <w:sz w:val="24"/>
                <w:szCs w:val="28"/>
              </w:rPr>
              <w:t>电话：</w:t>
            </w:r>
          </w:p>
        </w:tc>
      </w:tr>
      <w:tr w14:paraId="20965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6991" w:type="dxa"/>
            <w:gridSpan w:val="5"/>
            <w:vAlign w:val="center"/>
          </w:tcPr>
          <w:p w14:paraId="2EDB7C7B">
            <w:pPr>
              <w:spacing w:line="560" w:lineRule="exact"/>
              <w:rPr>
                <w:rFonts w:eastAsia="仿宋_GB2312"/>
                <w:sz w:val="24"/>
                <w:szCs w:val="28"/>
              </w:rPr>
            </w:pPr>
            <w:r>
              <w:rPr>
                <w:rFonts w:eastAsia="仿宋_GB2312"/>
                <w:sz w:val="24"/>
                <w:szCs w:val="28"/>
              </w:rPr>
              <w:t xml:space="preserve">产品管理人地址： </w:t>
            </w:r>
          </w:p>
        </w:tc>
        <w:tc>
          <w:tcPr>
            <w:tcW w:w="3116" w:type="dxa"/>
            <w:gridSpan w:val="2"/>
            <w:vAlign w:val="center"/>
          </w:tcPr>
          <w:p w14:paraId="576C10E0">
            <w:pPr>
              <w:spacing w:line="560" w:lineRule="exact"/>
              <w:rPr>
                <w:rFonts w:eastAsia="仿宋_GB2312"/>
                <w:sz w:val="24"/>
                <w:szCs w:val="28"/>
              </w:rPr>
            </w:pPr>
            <w:r>
              <w:rPr>
                <w:rFonts w:eastAsia="仿宋_GB2312"/>
                <w:sz w:val="24"/>
                <w:szCs w:val="28"/>
              </w:rPr>
              <w:t>传真：</w:t>
            </w:r>
          </w:p>
        </w:tc>
      </w:tr>
      <w:tr w14:paraId="34BC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2" w:hRule="atLeast"/>
          <w:jc w:val="center"/>
        </w:trPr>
        <w:tc>
          <w:tcPr>
            <w:tcW w:w="1889" w:type="dxa"/>
            <w:vAlign w:val="center"/>
          </w:tcPr>
          <w:p w14:paraId="746C2A6C">
            <w:pPr>
              <w:pStyle w:val="17"/>
              <w:spacing w:after="0" w:line="560" w:lineRule="exact"/>
              <w:jc w:val="left"/>
              <w:rPr>
                <w:rFonts w:eastAsia="仿宋_GB2312"/>
                <w:sz w:val="24"/>
                <w:szCs w:val="28"/>
              </w:rPr>
            </w:pPr>
            <w:r>
              <w:rPr>
                <w:rFonts w:eastAsia="仿宋_GB2312"/>
                <w:sz w:val="24"/>
                <w:szCs w:val="28"/>
              </w:rPr>
              <w:t xml:space="preserve">投资者类型： </w:t>
            </w:r>
          </w:p>
        </w:tc>
        <w:tc>
          <w:tcPr>
            <w:tcW w:w="8218" w:type="dxa"/>
            <w:gridSpan w:val="6"/>
            <w:vAlign w:val="center"/>
          </w:tcPr>
          <w:p w14:paraId="3060B6F7">
            <w:pPr>
              <w:pStyle w:val="17"/>
              <w:spacing w:after="0" w:line="560" w:lineRule="exact"/>
              <w:jc w:val="left"/>
              <w:rPr>
                <w:rFonts w:eastAsia="仿宋_GB2312"/>
                <w:sz w:val="24"/>
                <w:szCs w:val="28"/>
              </w:rPr>
            </w:pPr>
            <w:r>
              <w:rPr>
                <w:rFonts w:eastAsia="仿宋_GB2312"/>
                <w:sz w:val="24"/>
                <w:szCs w:val="28"/>
              </w:rPr>
              <w:t xml:space="preserve">□公募证券投资基金  □银行理财产品  □证券公司资产管理产品 </w:t>
            </w:r>
          </w:p>
          <w:p w14:paraId="7506D093">
            <w:pPr>
              <w:pStyle w:val="17"/>
              <w:spacing w:after="0" w:line="560" w:lineRule="exact"/>
              <w:jc w:val="left"/>
              <w:rPr>
                <w:rFonts w:eastAsia="仿宋_GB2312"/>
                <w:sz w:val="24"/>
                <w:szCs w:val="28"/>
              </w:rPr>
            </w:pPr>
            <w:r>
              <w:rPr>
                <w:rFonts w:eastAsia="仿宋_GB2312"/>
                <w:sz w:val="24"/>
                <w:szCs w:val="28"/>
              </w:rPr>
              <w:t xml:space="preserve">□基金管理公司及其子公司专户产品  □期货公司产品  □保险产品  </w:t>
            </w:r>
          </w:p>
          <w:p w14:paraId="2FD2163F">
            <w:pPr>
              <w:pStyle w:val="17"/>
              <w:spacing w:after="0" w:line="560" w:lineRule="exact"/>
              <w:jc w:val="left"/>
              <w:rPr>
                <w:rFonts w:eastAsia="仿宋_GB2312"/>
                <w:sz w:val="24"/>
                <w:szCs w:val="28"/>
              </w:rPr>
            </w:pPr>
            <w:r>
              <w:rPr>
                <w:rFonts w:eastAsia="仿宋_GB2312"/>
                <w:sz w:val="24"/>
                <w:szCs w:val="28"/>
              </w:rPr>
              <w:t>□信托产品  □经行业协会备案的私募基金  □其他产品</w:t>
            </w:r>
          </w:p>
        </w:tc>
      </w:tr>
      <w:tr w14:paraId="1E0FF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4720" w:type="dxa"/>
            <w:gridSpan w:val="3"/>
            <w:tcBorders>
              <w:bottom w:val="single" w:color="auto" w:sz="4" w:space="0"/>
            </w:tcBorders>
            <w:vAlign w:val="center"/>
          </w:tcPr>
          <w:p w14:paraId="3D9A5A2A">
            <w:pPr>
              <w:spacing w:line="560" w:lineRule="exact"/>
              <w:rPr>
                <w:rFonts w:eastAsia="仿宋_GB2312"/>
                <w:sz w:val="24"/>
                <w:szCs w:val="28"/>
              </w:rPr>
            </w:pPr>
            <w:r>
              <w:rPr>
                <w:rFonts w:hint="eastAsia" w:eastAsia="仿宋_GB2312"/>
                <w:sz w:val="24"/>
                <w:szCs w:val="28"/>
                <w:lang w:eastAsia="zh-CN"/>
              </w:rPr>
              <w:t>新固定收益系统</w:t>
            </w:r>
            <w:r>
              <w:rPr>
                <w:rFonts w:eastAsia="仿宋_GB2312"/>
                <w:sz w:val="24"/>
                <w:szCs w:val="28"/>
              </w:rPr>
              <w:t>交易商代码：</w:t>
            </w:r>
          </w:p>
        </w:tc>
        <w:tc>
          <w:tcPr>
            <w:tcW w:w="5387" w:type="dxa"/>
            <w:gridSpan w:val="4"/>
            <w:tcBorders>
              <w:bottom w:val="single" w:color="auto" w:sz="4" w:space="0"/>
            </w:tcBorders>
            <w:vAlign w:val="center"/>
          </w:tcPr>
          <w:p w14:paraId="5AF49932">
            <w:pPr>
              <w:spacing w:line="560" w:lineRule="exact"/>
              <w:rPr>
                <w:rFonts w:eastAsia="仿宋_GB2312"/>
                <w:sz w:val="24"/>
                <w:szCs w:val="28"/>
              </w:rPr>
            </w:pPr>
            <w:r>
              <w:rPr>
                <w:rFonts w:hint="eastAsia" w:eastAsia="仿宋_GB2312"/>
                <w:sz w:val="24"/>
                <w:szCs w:val="28"/>
                <w:lang w:eastAsia="zh-CN"/>
              </w:rPr>
              <w:t>新固定收益系统</w:t>
            </w:r>
            <w:r>
              <w:rPr>
                <w:rFonts w:hint="default" w:eastAsia="仿宋_GB2312"/>
                <w:sz w:val="24"/>
                <w:szCs w:val="28"/>
                <w:lang w:val="en-US"/>
              </w:rPr>
              <w:t>交易商名称</w:t>
            </w:r>
            <w:r>
              <w:rPr>
                <w:rFonts w:eastAsia="仿宋_GB2312"/>
                <w:sz w:val="24"/>
                <w:szCs w:val="28"/>
              </w:rPr>
              <w:t>：</w:t>
            </w:r>
          </w:p>
        </w:tc>
      </w:tr>
      <w:tr w14:paraId="22CCF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4720" w:type="dxa"/>
            <w:gridSpan w:val="3"/>
            <w:tcBorders>
              <w:bottom w:val="single" w:color="auto" w:sz="4" w:space="0"/>
            </w:tcBorders>
            <w:vAlign w:val="center"/>
          </w:tcPr>
          <w:p w14:paraId="650BF79A">
            <w:pPr>
              <w:spacing w:line="560" w:lineRule="exact"/>
              <w:rPr>
                <w:rFonts w:eastAsia="仿宋_GB2312"/>
                <w:sz w:val="24"/>
                <w:szCs w:val="28"/>
              </w:rPr>
            </w:pPr>
            <w:r>
              <w:rPr>
                <w:rFonts w:eastAsia="仿宋_GB2312"/>
                <w:sz w:val="24"/>
                <w:szCs w:val="28"/>
              </w:rPr>
              <w:t>证券账户：</w:t>
            </w:r>
          </w:p>
        </w:tc>
        <w:tc>
          <w:tcPr>
            <w:tcW w:w="5387" w:type="dxa"/>
            <w:gridSpan w:val="4"/>
            <w:tcBorders>
              <w:bottom w:val="single" w:color="auto" w:sz="4" w:space="0"/>
            </w:tcBorders>
            <w:vAlign w:val="center"/>
          </w:tcPr>
          <w:p w14:paraId="790AF704">
            <w:pPr>
              <w:spacing w:line="560" w:lineRule="exact"/>
              <w:rPr>
                <w:rFonts w:eastAsia="仿宋_GB2312"/>
                <w:sz w:val="24"/>
                <w:szCs w:val="28"/>
              </w:rPr>
            </w:pPr>
            <w:r>
              <w:rPr>
                <w:rFonts w:eastAsia="仿宋_GB2312"/>
                <w:sz w:val="24"/>
                <w:szCs w:val="28"/>
              </w:rPr>
              <w:t>证券账户名称：</w:t>
            </w:r>
          </w:p>
        </w:tc>
      </w:tr>
      <w:tr w14:paraId="0CB94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4720" w:type="dxa"/>
            <w:gridSpan w:val="3"/>
            <w:tcBorders>
              <w:bottom w:val="single" w:color="auto" w:sz="4" w:space="0"/>
            </w:tcBorders>
            <w:vAlign w:val="center"/>
          </w:tcPr>
          <w:p w14:paraId="54249A49">
            <w:pPr>
              <w:spacing w:line="560" w:lineRule="exact"/>
              <w:rPr>
                <w:rFonts w:eastAsia="仿宋_GB2312"/>
                <w:sz w:val="24"/>
                <w:szCs w:val="28"/>
              </w:rPr>
            </w:pPr>
            <w:r>
              <w:rPr>
                <w:rFonts w:eastAsia="仿宋_GB2312"/>
                <w:sz w:val="24"/>
                <w:szCs w:val="28"/>
              </w:rPr>
              <w:t>三方回购专用证券账户：</w:t>
            </w:r>
          </w:p>
        </w:tc>
        <w:tc>
          <w:tcPr>
            <w:tcW w:w="5387" w:type="dxa"/>
            <w:gridSpan w:val="4"/>
            <w:tcBorders>
              <w:bottom w:val="single" w:color="auto" w:sz="4" w:space="0"/>
            </w:tcBorders>
            <w:vAlign w:val="center"/>
          </w:tcPr>
          <w:p w14:paraId="67298209">
            <w:pPr>
              <w:spacing w:line="560" w:lineRule="exact"/>
              <w:rPr>
                <w:rFonts w:eastAsia="仿宋_GB2312"/>
                <w:sz w:val="24"/>
                <w:szCs w:val="28"/>
              </w:rPr>
            </w:pPr>
            <w:r>
              <w:rPr>
                <w:rFonts w:eastAsia="仿宋_GB2312"/>
                <w:sz w:val="24"/>
                <w:szCs w:val="28"/>
              </w:rPr>
              <w:t>三方回购专用证券账户名称：</w:t>
            </w:r>
          </w:p>
        </w:tc>
      </w:tr>
      <w:tr w14:paraId="3E453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4720" w:type="dxa"/>
            <w:gridSpan w:val="3"/>
            <w:tcBorders>
              <w:bottom w:val="single" w:color="auto" w:sz="4" w:space="0"/>
            </w:tcBorders>
            <w:vAlign w:val="center"/>
          </w:tcPr>
          <w:p w14:paraId="13BAD042">
            <w:pPr>
              <w:spacing w:line="560" w:lineRule="exact"/>
              <w:rPr>
                <w:rFonts w:eastAsia="仿宋_GB2312"/>
                <w:sz w:val="24"/>
                <w:szCs w:val="28"/>
              </w:rPr>
            </w:pPr>
            <w:r>
              <w:rPr>
                <w:rFonts w:eastAsia="仿宋_GB2312"/>
                <w:sz w:val="24"/>
                <w:szCs w:val="28"/>
              </w:rPr>
              <w:t>交易单元：</w:t>
            </w:r>
          </w:p>
        </w:tc>
        <w:tc>
          <w:tcPr>
            <w:tcW w:w="5387" w:type="dxa"/>
            <w:gridSpan w:val="4"/>
            <w:tcBorders>
              <w:bottom w:val="single" w:color="auto" w:sz="4" w:space="0"/>
            </w:tcBorders>
            <w:vAlign w:val="center"/>
          </w:tcPr>
          <w:p w14:paraId="7F7053FD">
            <w:pPr>
              <w:spacing w:line="560" w:lineRule="exact"/>
              <w:rPr>
                <w:rFonts w:eastAsia="仿宋_GB2312"/>
                <w:sz w:val="24"/>
                <w:szCs w:val="28"/>
              </w:rPr>
            </w:pPr>
          </w:p>
        </w:tc>
      </w:tr>
      <w:tr w14:paraId="54FB9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0107" w:type="dxa"/>
            <w:gridSpan w:val="7"/>
            <w:tcBorders>
              <w:bottom w:val="single" w:color="auto" w:sz="4" w:space="0"/>
            </w:tcBorders>
            <w:vAlign w:val="center"/>
          </w:tcPr>
          <w:p w14:paraId="0F795F93">
            <w:pPr>
              <w:spacing w:line="560" w:lineRule="exact"/>
              <w:rPr>
                <w:rFonts w:eastAsia="仿宋_GB2312"/>
                <w:sz w:val="24"/>
                <w:szCs w:val="28"/>
              </w:rPr>
            </w:pPr>
            <w:r>
              <w:rPr>
                <w:rFonts w:eastAsia="仿宋_GB2312"/>
                <w:sz w:val="24"/>
                <w:szCs w:val="28"/>
              </w:rPr>
              <w:t>产品委托人：</w:t>
            </w:r>
          </w:p>
        </w:tc>
      </w:tr>
      <w:tr w14:paraId="38753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4720" w:type="dxa"/>
            <w:gridSpan w:val="3"/>
            <w:tcBorders>
              <w:bottom w:val="single" w:color="auto" w:sz="4" w:space="0"/>
            </w:tcBorders>
            <w:vAlign w:val="center"/>
          </w:tcPr>
          <w:p w14:paraId="4EF53922">
            <w:pPr>
              <w:spacing w:line="560" w:lineRule="exact"/>
              <w:rPr>
                <w:rFonts w:eastAsia="仿宋_GB2312"/>
                <w:sz w:val="24"/>
                <w:szCs w:val="28"/>
              </w:rPr>
            </w:pPr>
            <w:r>
              <w:rPr>
                <w:rFonts w:eastAsia="仿宋_GB2312"/>
                <w:sz w:val="24"/>
                <w:szCs w:val="28"/>
              </w:rPr>
              <w:t>产品管理人：</w:t>
            </w:r>
          </w:p>
        </w:tc>
        <w:tc>
          <w:tcPr>
            <w:tcW w:w="5387" w:type="dxa"/>
            <w:gridSpan w:val="4"/>
            <w:tcBorders>
              <w:bottom w:val="single" w:color="auto" w:sz="4" w:space="0"/>
            </w:tcBorders>
            <w:vAlign w:val="center"/>
          </w:tcPr>
          <w:p w14:paraId="4F42A280">
            <w:pPr>
              <w:spacing w:line="560" w:lineRule="exact"/>
              <w:rPr>
                <w:rFonts w:eastAsia="仿宋_GB2312"/>
                <w:sz w:val="24"/>
                <w:szCs w:val="28"/>
              </w:rPr>
            </w:pPr>
            <w:r>
              <w:rPr>
                <w:rFonts w:eastAsia="仿宋_GB2312"/>
                <w:sz w:val="24"/>
                <w:szCs w:val="28"/>
              </w:rPr>
              <w:t>资产托管人：</w:t>
            </w:r>
          </w:p>
        </w:tc>
      </w:tr>
      <w:tr w14:paraId="13F47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0107" w:type="dxa"/>
            <w:gridSpan w:val="7"/>
            <w:tcBorders>
              <w:bottom w:val="single" w:color="auto" w:sz="4" w:space="0"/>
            </w:tcBorders>
            <w:vAlign w:val="center"/>
          </w:tcPr>
          <w:p w14:paraId="0F25B6C1">
            <w:pPr>
              <w:spacing w:line="560" w:lineRule="exact"/>
              <w:rPr>
                <w:rFonts w:eastAsia="仿宋_GB2312"/>
                <w:sz w:val="24"/>
                <w:szCs w:val="28"/>
              </w:rPr>
            </w:pPr>
            <w:r>
              <w:rPr>
                <w:rFonts w:eastAsia="仿宋_GB2312"/>
                <w:sz w:val="24"/>
                <w:szCs w:val="28"/>
              </w:rPr>
              <w:t>申请开通的交易权限 ：  □正回购  □逆回购</w:t>
            </w:r>
          </w:p>
        </w:tc>
      </w:tr>
      <w:tr w14:paraId="3A7D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889" w:type="dxa"/>
            <w:tcBorders>
              <w:bottom w:val="single" w:color="auto" w:sz="4" w:space="0"/>
            </w:tcBorders>
            <w:vAlign w:val="center"/>
          </w:tcPr>
          <w:p w14:paraId="5EE44A28">
            <w:pPr>
              <w:spacing w:line="560" w:lineRule="exact"/>
              <w:rPr>
                <w:rFonts w:eastAsia="仿宋_GB2312"/>
                <w:sz w:val="24"/>
                <w:szCs w:val="28"/>
              </w:rPr>
            </w:pPr>
            <w:r>
              <w:rPr>
                <w:rFonts w:eastAsia="仿宋_GB2312"/>
                <w:sz w:val="24"/>
                <w:szCs w:val="28"/>
              </w:rPr>
              <w:t>杠杆运作限制</w:t>
            </w:r>
          </w:p>
        </w:tc>
        <w:tc>
          <w:tcPr>
            <w:tcW w:w="8218" w:type="dxa"/>
            <w:gridSpan w:val="6"/>
            <w:tcBorders>
              <w:bottom w:val="single" w:color="auto" w:sz="4" w:space="0"/>
            </w:tcBorders>
            <w:vAlign w:val="center"/>
          </w:tcPr>
          <w:p w14:paraId="24951A9F">
            <w:pPr>
              <w:spacing w:line="560" w:lineRule="exact"/>
              <w:rPr>
                <w:rFonts w:eastAsia="仿宋_GB2312"/>
                <w:sz w:val="24"/>
                <w:szCs w:val="28"/>
              </w:rPr>
            </w:pPr>
          </w:p>
        </w:tc>
      </w:tr>
      <w:tr w14:paraId="13EB3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889" w:type="dxa"/>
            <w:tcBorders>
              <w:bottom w:val="single" w:color="auto" w:sz="4" w:space="0"/>
            </w:tcBorders>
            <w:vAlign w:val="center"/>
          </w:tcPr>
          <w:p w14:paraId="489CB67F">
            <w:pPr>
              <w:spacing w:line="560" w:lineRule="exact"/>
              <w:rPr>
                <w:rFonts w:eastAsia="仿宋_GB2312"/>
                <w:sz w:val="24"/>
                <w:szCs w:val="28"/>
              </w:rPr>
            </w:pPr>
            <w:r>
              <w:rPr>
                <w:rFonts w:eastAsia="仿宋_GB2312"/>
                <w:sz w:val="24"/>
                <w:szCs w:val="28"/>
              </w:rPr>
              <w:t>回购违约情况说明</w:t>
            </w:r>
          </w:p>
        </w:tc>
        <w:tc>
          <w:tcPr>
            <w:tcW w:w="8218" w:type="dxa"/>
            <w:gridSpan w:val="6"/>
            <w:tcBorders>
              <w:bottom w:val="single" w:color="auto" w:sz="4" w:space="0"/>
            </w:tcBorders>
            <w:vAlign w:val="center"/>
          </w:tcPr>
          <w:p w14:paraId="29B363E3">
            <w:pPr>
              <w:spacing w:line="560" w:lineRule="exact"/>
              <w:rPr>
                <w:rFonts w:eastAsia="仿宋_GB2312"/>
                <w:sz w:val="24"/>
                <w:szCs w:val="28"/>
              </w:rPr>
            </w:pPr>
            <w:r>
              <w:rPr>
                <w:rFonts w:eastAsia="仿宋_GB2312"/>
                <w:color w:val="808080"/>
                <w:sz w:val="24"/>
                <w:szCs w:val="28"/>
              </w:rPr>
              <w:t>近两年是否发生过监管机构关注的回购违约事件（包括交易所及银行间债券市场）。如有</w:t>
            </w:r>
            <w:r>
              <w:rPr>
                <w:rFonts w:hint="eastAsia" w:eastAsia="仿宋_GB2312"/>
                <w:color w:val="808080"/>
                <w:sz w:val="24"/>
                <w:szCs w:val="28"/>
              </w:rPr>
              <w:t>，</w:t>
            </w:r>
            <w:r>
              <w:rPr>
                <w:rFonts w:eastAsia="仿宋_GB2312"/>
                <w:color w:val="808080"/>
                <w:sz w:val="24"/>
                <w:szCs w:val="28"/>
              </w:rPr>
              <w:t>请说明</w:t>
            </w:r>
            <w:r>
              <w:rPr>
                <w:rFonts w:hint="eastAsia" w:eastAsia="仿宋_GB2312"/>
                <w:color w:val="808080"/>
                <w:sz w:val="24"/>
                <w:szCs w:val="28"/>
              </w:rPr>
              <w:t>相关情况</w:t>
            </w:r>
            <w:r>
              <w:rPr>
                <w:rFonts w:eastAsia="仿宋_GB2312"/>
                <w:color w:val="808080"/>
                <w:sz w:val="24"/>
                <w:szCs w:val="28"/>
              </w:rPr>
              <w:t>。</w:t>
            </w:r>
          </w:p>
        </w:tc>
      </w:tr>
      <w:tr w14:paraId="36C18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889" w:type="dxa"/>
            <w:vAlign w:val="center"/>
          </w:tcPr>
          <w:p w14:paraId="63F6ECDD">
            <w:pPr>
              <w:spacing w:line="560" w:lineRule="exact"/>
              <w:rPr>
                <w:rFonts w:eastAsia="仿宋_GB2312"/>
                <w:sz w:val="24"/>
                <w:szCs w:val="28"/>
              </w:rPr>
            </w:pPr>
            <w:r>
              <w:rPr>
                <w:rFonts w:eastAsia="仿宋_GB2312"/>
                <w:sz w:val="24"/>
                <w:szCs w:val="28"/>
              </w:rPr>
              <w:t>三方回购业务负责人</w:t>
            </w:r>
          </w:p>
        </w:tc>
        <w:tc>
          <w:tcPr>
            <w:tcW w:w="1345" w:type="dxa"/>
            <w:vAlign w:val="center"/>
          </w:tcPr>
          <w:p w14:paraId="7D90EA73">
            <w:pPr>
              <w:spacing w:line="560" w:lineRule="exact"/>
              <w:rPr>
                <w:rFonts w:eastAsia="仿宋_GB2312"/>
                <w:sz w:val="24"/>
                <w:szCs w:val="28"/>
              </w:rPr>
            </w:pPr>
            <w:r>
              <w:rPr>
                <w:rFonts w:eastAsia="仿宋_GB2312"/>
                <w:sz w:val="24"/>
                <w:szCs w:val="28"/>
              </w:rPr>
              <w:t>部门</w:t>
            </w:r>
          </w:p>
        </w:tc>
        <w:tc>
          <w:tcPr>
            <w:tcW w:w="1486" w:type="dxa"/>
            <w:vAlign w:val="center"/>
          </w:tcPr>
          <w:p w14:paraId="4E02FC8E">
            <w:pPr>
              <w:spacing w:line="560" w:lineRule="exact"/>
              <w:rPr>
                <w:rFonts w:eastAsia="仿宋_GB2312"/>
                <w:sz w:val="24"/>
                <w:szCs w:val="28"/>
              </w:rPr>
            </w:pPr>
            <w:r>
              <w:rPr>
                <w:rFonts w:eastAsia="仿宋_GB2312"/>
                <w:sz w:val="24"/>
                <w:szCs w:val="28"/>
              </w:rPr>
              <w:t>职务</w:t>
            </w:r>
          </w:p>
        </w:tc>
        <w:tc>
          <w:tcPr>
            <w:tcW w:w="854" w:type="dxa"/>
            <w:vAlign w:val="center"/>
          </w:tcPr>
          <w:p w14:paraId="08D9FF92">
            <w:pPr>
              <w:spacing w:line="560" w:lineRule="exact"/>
              <w:rPr>
                <w:rFonts w:eastAsia="仿宋_GB2312"/>
                <w:sz w:val="24"/>
                <w:szCs w:val="28"/>
              </w:rPr>
            </w:pPr>
            <w:r>
              <w:rPr>
                <w:rFonts w:eastAsia="仿宋_GB2312"/>
                <w:sz w:val="24"/>
                <w:szCs w:val="28"/>
              </w:rPr>
              <w:t>电话</w:t>
            </w:r>
          </w:p>
        </w:tc>
        <w:tc>
          <w:tcPr>
            <w:tcW w:w="1417" w:type="dxa"/>
            <w:vAlign w:val="center"/>
          </w:tcPr>
          <w:p w14:paraId="20C22612">
            <w:pPr>
              <w:spacing w:line="560" w:lineRule="exact"/>
              <w:rPr>
                <w:rFonts w:eastAsia="仿宋_GB2312"/>
                <w:sz w:val="24"/>
                <w:szCs w:val="28"/>
              </w:rPr>
            </w:pPr>
            <w:r>
              <w:rPr>
                <w:rFonts w:eastAsia="仿宋_GB2312"/>
                <w:sz w:val="24"/>
                <w:szCs w:val="28"/>
              </w:rPr>
              <w:t>手机</w:t>
            </w:r>
          </w:p>
        </w:tc>
        <w:tc>
          <w:tcPr>
            <w:tcW w:w="1619" w:type="dxa"/>
            <w:vAlign w:val="center"/>
          </w:tcPr>
          <w:p w14:paraId="75399475">
            <w:pPr>
              <w:spacing w:line="560" w:lineRule="exact"/>
              <w:rPr>
                <w:rFonts w:eastAsia="仿宋_GB2312"/>
                <w:sz w:val="24"/>
                <w:szCs w:val="28"/>
              </w:rPr>
            </w:pPr>
            <w:r>
              <w:rPr>
                <w:rFonts w:eastAsia="仿宋_GB2312"/>
                <w:sz w:val="24"/>
                <w:szCs w:val="28"/>
              </w:rPr>
              <w:t>传真</w:t>
            </w:r>
          </w:p>
        </w:tc>
        <w:tc>
          <w:tcPr>
            <w:tcW w:w="1497" w:type="dxa"/>
            <w:vAlign w:val="center"/>
          </w:tcPr>
          <w:p w14:paraId="1E4E1664">
            <w:pPr>
              <w:spacing w:line="560" w:lineRule="exact"/>
              <w:rPr>
                <w:rFonts w:eastAsia="仿宋_GB2312"/>
                <w:sz w:val="24"/>
                <w:szCs w:val="28"/>
              </w:rPr>
            </w:pPr>
            <w:r>
              <w:rPr>
                <w:rFonts w:eastAsia="仿宋_GB2312"/>
                <w:sz w:val="24"/>
                <w:szCs w:val="28"/>
              </w:rPr>
              <w:t>E-mail</w:t>
            </w:r>
          </w:p>
        </w:tc>
      </w:tr>
      <w:tr w14:paraId="3AF75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889" w:type="dxa"/>
            <w:vAlign w:val="center"/>
          </w:tcPr>
          <w:p w14:paraId="5C1C29BA">
            <w:pPr>
              <w:spacing w:line="560" w:lineRule="exact"/>
              <w:rPr>
                <w:rFonts w:eastAsia="仿宋_GB2312"/>
                <w:sz w:val="24"/>
                <w:szCs w:val="28"/>
              </w:rPr>
            </w:pPr>
          </w:p>
        </w:tc>
        <w:tc>
          <w:tcPr>
            <w:tcW w:w="1345" w:type="dxa"/>
            <w:vAlign w:val="center"/>
          </w:tcPr>
          <w:p w14:paraId="0CA70CEC">
            <w:pPr>
              <w:spacing w:line="560" w:lineRule="exact"/>
              <w:rPr>
                <w:rFonts w:eastAsia="仿宋_GB2312"/>
                <w:sz w:val="24"/>
                <w:szCs w:val="28"/>
              </w:rPr>
            </w:pPr>
          </w:p>
        </w:tc>
        <w:tc>
          <w:tcPr>
            <w:tcW w:w="1486" w:type="dxa"/>
            <w:vAlign w:val="center"/>
          </w:tcPr>
          <w:p w14:paraId="5673F908">
            <w:pPr>
              <w:spacing w:line="560" w:lineRule="exact"/>
              <w:rPr>
                <w:rFonts w:eastAsia="仿宋_GB2312"/>
                <w:sz w:val="24"/>
                <w:szCs w:val="28"/>
              </w:rPr>
            </w:pPr>
          </w:p>
        </w:tc>
        <w:tc>
          <w:tcPr>
            <w:tcW w:w="854" w:type="dxa"/>
            <w:vAlign w:val="center"/>
          </w:tcPr>
          <w:p w14:paraId="7DCCA7DB">
            <w:pPr>
              <w:spacing w:line="560" w:lineRule="exact"/>
              <w:rPr>
                <w:rFonts w:eastAsia="仿宋_GB2312"/>
                <w:sz w:val="24"/>
                <w:szCs w:val="28"/>
              </w:rPr>
            </w:pPr>
          </w:p>
        </w:tc>
        <w:tc>
          <w:tcPr>
            <w:tcW w:w="1417" w:type="dxa"/>
            <w:vAlign w:val="center"/>
          </w:tcPr>
          <w:p w14:paraId="3D476C13">
            <w:pPr>
              <w:spacing w:line="560" w:lineRule="exact"/>
              <w:rPr>
                <w:rFonts w:eastAsia="仿宋_GB2312"/>
                <w:sz w:val="24"/>
                <w:szCs w:val="28"/>
              </w:rPr>
            </w:pPr>
          </w:p>
        </w:tc>
        <w:tc>
          <w:tcPr>
            <w:tcW w:w="1619" w:type="dxa"/>
            <w:vAlign w:val="center"/>
          </w:tcPr>
          <w:p w14:paraId="4622D7F1">
            <w:pPr>
              <w:spacing w:line="560" w:lineRule="exact"/>
              <w:rPr>
                <w:rFonts w:eastAsia="仿宋_GB2312"/>
                <w:sz w:val="24"/>
                <w:szCs w:val="28"/>
              </w:rPr>
            </w:pPr>
          </w:p>
        </w:tc>
        <w:tc>
          <w:tcPr>
            <w:tcW w:w="1497" w:type="dxa"/>
            <w:vAlign w:val="center"/>
          </w:tcPr>
          <w:p w14:paraId="6AE13843">
            <w:pPr>
              <w:spacing w:line="560" w:lineRule="exact"/>
              <w:rPr>
                <w:rFonts w:eastAsia="仿宋_GB2312"/>
                <w:sz w:val="24"/>
                <w:szCs w:val="28"/>
              </w:rPr>
            </w:pPr>
          </w:p>
        </w:tc>
      </w:tr>
      <w:tr w14:paraId="7B5D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889" w:type="dxa"/>
            <w:vAlign w:val="center"/>
          </w:tcPr>
          <w:p w14:paraId="2A9B5829">
            <w:pPr>
              <w:spacing w:line="560" w:lineRule="exact"/>
              <w:rPr>
                <w:rFonts w:eastAsia="仿宋_GB2312"/>
                <w:sz w:val="24"/>
                <w:szCs w:val="28"/>
              </w:rPr>
            </w:pPr>
            <w:r>
              <w:rPr>
                <w:rFonts w:eastAsia="仿宋_GB2312"/>
                <w:sz w:val="24"/>
                <w:szCs w:val="28"/>
              </w:rPr>
              <w:t>三方回购业务联络人</w:t>
            </w:r>
          </w:p>
        </w:tc>
        <w:tc>
          <w:tcPr>
            <w:tcW w:w="1345" w:type="dxa"/>
            <w:vAlign w:val="center"/>
          </w:tcPr>
          <w:p w14:paraId="7A1CF7D0">
            <w:pPr>
              <w:spacing w:line="560" w:lineRule="exact"/>
              <w:rPr>
                <w:rFonts w:eastAsia="仿宋_GB2312"/>
                <w:sz w:val="24"/>
                <w:szCs w:val="28"/>
              </w:rPr>
            </w:pPr>
            <w:r>
              <w:rPr>
                <w:rFonts w:eastAsia="仿宋_GB2312"/>
                <w:sz w:val="24"/>
                <w:szCs w:val="28"/>
              </w:rPr>
              <w:t>部门</w:t>
            </w:r>
          </w:p>
        </w:tc>
        <w:tc>
          <w:tcPr>
            <w:tcW w:w="1486" w:type="dxa"/>
            <w:vAlign w:val="center"/>
          </w:tcPr>
          <w:p w14:paraId="5EC110D9">
            <w:pPr>
              <w:spacing w:line="560" w:lineRule="exact"/>
              <w:rPr>
                <w:rFonts w:eastAsia="仿宋_GB2312"/>
                <w:sz w:val="24"/>
                <w:szCs w:val="28"/>
              </w:rPr>
            </w:pPr>
            <w:r>
              <w:rPr>
                <w:rFonts w:eastAsia="仿宋_GB2312"/>
                <w:sz w:val="24"/>
                <w:szCs w:val="28"/>
              </w:rPr>
              <w:t>职务</w:t>
            </w:r>
          </w:p>
        </w:tc>
        <w:tc>
          <w:tcPr>
            <w:tcW w:w="854" w:type="dxa"/>
            <w:vAlign w:val="center"/>
          </w:tcPr>
          <w:p w14:paraId="6511EE9A">
            <w:pPr>
              <w:spacing w:line="560" w:lineRule="exact"/>
              <w:rPr>
                <w:rFonts w:eastAsia="仿宋_GB2312"/>
                <w:sz w:val="24"/>
                <w:szCs w:val="28"/>
              </w:rPr>
            </w:pPr>
            <w:r>
              <w:rPr>
                <w:rFonts w:eastAsia="仿宋_GB2312"/>
                <w:sz w:val="24"/>
                <w:szCs w:val="28"/>
              </w:rPr>
              <w:t>电话</w:t>
            </w:r>
          </w:p>
        </w:tc>
        <w:tc>
          <w:tcPr>
            <w:tcW w:w="1417" w:type="dxa"/>
            <w:vAlign w:val="center"/>
          </w:tcPr>
          <w:p w14:paraId="587F457C">
            <w:pPr>
              <w:spacing w:line="560" w:lineRule="exact"/>
              <w:rPr>
                <w:rFonts w:eastAsia="仿宋_GB2312"/>
                <w:sz w:val="24"/>
                <w:szCs w:val="28"/>
              </w:rPr>
            </w:pPr>
            <w:r>
              <w:rPr>
                <w:rFonts w:eastAsia="仿宋_GB2312"/>
                <w:sz w:val="24"/>
                <w:szCs w:val="28"/>
              </w:rPr>
              <w:t>手机</w:t>
            </w:r>
          </w:p>
        </w:tc>
        <w:tc>
          <w:tcPr>
            <w:tcW w:w="1619" w:type="dxa"/>
            <w:vAlign w:val="center"/>
          </w:tcPr>
          <w:p w14:paraId="3878B2D9">
            <w:pPr>
              <w:spacing w:line="560" w:lineRule="exact"/>
              <w:rPr>
                <w:rFonts w:eastAsia="仿宋_GB2312"/>
                <w:sz w:val="24"/>
                <w:szCs w:val="28"/>
              </w:rPr>
            </w:pPr>
            <w:r>
              <w:rPr>
                <w:rFonts w:eastAsia="仿宋_GB2312"/>
                <w:sz w:val="24"/>
                <w:szCs w:val="28"/>
              </w:rPr>
              <w:t>传真</w:t>
            </w:r>
          </w:p>
        </w:tc>
        <w:tc>
          <w:tcPr>
            <w:tcW w:w="1497" w:type="dxa"/>
            <w:vAlign w:val="center"/>
          </w:tcPr>
          <w:p w14:paraId="10C30EF8">
            <w:pPr>
              <w:spacing w:line="560" w:lineRule="exact"/>
              <w:rPr>
                <w:rFonts w:eastAsia="仿宋_GB2312"/>
                <w:sz w:val="24"/>
                <w:szCs w:val="28"/>
              </w:rPr>
            </w:pPr>
            <w:r>
              <w:rPr>
                <w:rFonts w:eastAsia="仿宋_GB2312"/>
                <w:sz w:val="24"/>
                <w:szCs w:val="28"/>
              </w:rPr>
              <w:t>E-mail</w:t>
            </w:r>
          </w:p>
        </w:tc>
      </w:tr>
      <w:tr w14:paraId="6023F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1889" w:type="dxa"/>
            <w:tcBorders>
              <w:bottom w:val="single" w:color="auto" w:sz="4" w:space="0"/>
            </w:tcBorders>
            <w:vAlign w:val="center"/>
          </w:tcPr>
          <w:p w14:paraId="3272E6FF">
            <w:pPr>
              <w:spacing w:line="560" w:lineRule="exact"/>
              <w:rPr>
                <w:rFonts w:eastAsia="仿宋_GB2312"/>
                <w:sz w:val="24"/>
                <w:szCs w:val="28"/>
              </w:rPr>
            </w:pPr>
          </w:p>
        </w:tc>
        <w:tc>
          <w:tcPr>
            <w:tcW w:w="1345" w:type="dxa"/>
            <w:tcBorders>
              <w:bottom w:val="single" w:color="auto" w:sz="4" w:space="0"/>
            </w:tcBorders>
            <w:vAlign w:val="center"/>
          </w:tcPr>
          <w:p w14:paraId="65E28BB7">
            <w:pPr>
              <w:spacing w:line="560" w:lineRule="exact"/>
              <w:rPr>
                <w:rFonts w:eastAsia="仿宋_GB2312"/>
                <w:sz w:val="24"/>
                <w:szCs w:val="28"/>
              </w:rPr>
            </w:pPr>
          </w:p>
        </w:tc>
        <w:tc>
          <w:tcPr>
            <w:tcW w:w="1486" w:type="dxa"/>
            <w:tcBorders>
              <w:bottom w:val="single" w:color="auto" w:sz="4" w:space="0"/>
            </w:tcBorders>
            <w:vAlign w:val="center"/>
          </w:tcPr>
          <w:p w14:paraId="1625131B">
            <w:pPr>
              <w:spacing w:line="560" w:lineRule="exact"/>
              <w:rPr>
                <w:rFonts w:eastAsia="仿宋_GB2312"/>
                <w:sz w:val="24"/>
                <w:szCs w:val="28"/>
              </w:rPr>
            </w:pPr>
          </w:p>
        </w:tc>
        <w:tc>
          <w:tcPr>
            <w:tcW w:w="854" w:type="dxa"/>
            <w:tcBorders>
              <w:bottom w:val="single" w:color="auto" w:sz="4" w:space="0"/>
            </w:tcBorders>
            <w:vAlign w:val="center"/>
          </w:tcPr>
          <w:p w14:paraId="48447B91">
            <w:pPr>
              <w:spacing w:line="560" w:lineRule="exact"/>
              <w:rPr>
                <w:rFonts w:eastAsia="仿宋_GB2312"/>
                <w:sz w:val="24"/>
                <w:szCs w:val="28"/>
              </w:rPr>
            </w:pPr>
          </w:p>
        </w:tc>
        <w:tc>
          <w:tcPr>
            <w:tcW w:w="1417" w:type="dxa"/>
            <w:tcBorders>
              <w:bottom w:val="single" w:color="auto" w:sz="4" w:space="0"/>
            </w:tcBorders>
            <w:vAlign w:val="center"/>
          </w:tcPr>
          <w:p w14:paraId="6F57F728">
            <w:pPr>
              <w:spacing w:line="560" w:lineRule="exact"/>
              <w:rPr>
                <w:rFonts w:eastAsia="仿宋_GB2312"/>
                <w:sz w:val="24"/>
                <w:szCs w:val="28"/>
              </w:rPr>
            </w:pPr>
          </w:p>
        </w:tc>
        <w:tc>
          <w:tcPr>
            <w:tcW w:w="1619" w:type="dxa"/>
            <w:tcBorders>
              <w:bottom w:val="single" w:color="auto" w:sz="4" w:space="0"/>
            </w:tcBorders>
            <w:vAlign w:val="center"/>
          </w:tcPr>
          <w:p w14:paraId="1EB9049A">
            <w:pPr>
              <w:spacing w:line="560" w:lineRule="exact"/>
              <w:rPr>
                <w:rFonts w:eastAsia="仿宋_GB2312"/>
                <w:sz w:val="24"/>
                <w:szCs w:val="28"/>
              </w:rPr>
            </w:pPr>
          </w:p>
        </w:tc>
        <w:tc>
          <w:tcPr>
            <w:tcW w:w="1497" w:type="dxa"/>
            <w:tcBorders>
              <w:bottom w:val="single" w:color="auto" w:sz="4" w:space="0"/>
            </w:tcBorders>
            <w:vAlign w:val="center"/>
          </w:tcPr>
          <w:p w14:paraId="7BDBD16F">
            <w:pPr>
              <w:spacing w:line="560" w:lineRule="exact"/>
              <w:rPr>
                <w:rFonts w:eastAsia="仿宋_GB2312"/>
                <w:sz w:val="24"/>
                <w:szCs w:val="28"/>
              </w:rPr>
            </w:pPr>
          </w:p>
        </w:tc>
      </w:tr>
      <w:tr w14:paraId="67FEF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889" w:type="dxa"/>
            <w:tcBorders>
              <w:top w:val="single" w:color="auto" w:sz="4" w:space="0"/>
              <w:left w:val="single" w:color="auto" w:sz="4" w:space="0"/>
              <w:bottom w:val="single" w:color="auto" w:sz="4" w:space="0"/>
              <w:right w:val="single" w:color="auto" w:sz="4" w:space="0"/>
            </w:tcBorders>
            <w:vAlign w:val="center"/>
          </w:tcPr>
          <w:p w14:paraId="04A2C097">
            <w:pPr>
              <w:spacing w:line="560" w:lineRule="exact"/>
              <w:rPr>
                <w:rFonts w:eastAsia="仿宋_GB2312"/>
                <w:sz w:val="24"/>
              </w:rPr>
            </w:pPr>
            <w:r>
              <w:rPr>
                <w:rFonts w:eastAsia="仿宋_GB2312"/>
                <w:sz w:val="24"/>
              </w:rPr>
              <w:t>最近第一个会计年度资产管理规模（亿元）</w:t>
            </w:r>
          </w:p>
        </w:tc>
        <w:tc>
          <w:tcPr>
            <w:tcW w:w="8218" w:type="dxa"/>
            <w:gridSpan w:val="6"/>
            <w:tcBorders>
              <w:top w:val="single" w:color="auto" w:sz="4" w:space="0"/>
              <w:left w:val="single" w:color="auto" w:sz="4" w:space="0"/>
              <w:bottom w:val="single" w:color="auto" w:sz="4" w:space="0"/>
              <w:right w:val="single" w:color="auto" w:sz="4" w:space="0"/>
            </w:tcBorders>
            <w:vAlign w:val="center"/>
          </w:tcPr>
          <w:p w14:paraId="1AD5CBDB">
            <w:pPr>
              <w:spacing w:line="560" w:lineRule="exact"/>
              <w:rPr>
                <w:rFonts w:eastAsia="仿宋_GB2312"/>
                <w:color w:val="A6A6A6"/>
                <w:sz w:val="24"/>
              </w:rPr>
            </w:pPr>
            <w:r>
              <w:rPr>
                <w:rFonts w:eastAsia="仿宋_GB2312"/>
                <w:color w:val="A6A6A6"/>
                <w:sz w:val="24"/>
              </w:rPr>
              <w:t>（公募基金填写管理人所管理的公募基金资产规模，理财产品填写管理人的总资产规模）</w:t>
            </w:r>
          </w:p>
        </w:tc>
      </w:tr>
    </w:tbl>
    <w:p w14:paraId="576656E1">
      <w:pPr>
        <w:spacing w:line="560" w:lineRule="exact"/>
        <w:jc w:val="left"/>
        <w:rPr>
          <w:rFonts w:eastAsia="仿宋_GB2312"/>
          <w:sz w:val="24"/>
        </w:rPr>
      </w:pPr>
      <w:r>
        <w:rPr>
          <w:rFonts w:eastAsia="仿宋_GB2312"/>
          <w:kern w:val="28"/>
          <w:sz w:val="24"/>
        </w:rPr>
        <w:t>备注：1、</w:t>
      </w:r>
      <w:r>
        <w:rPr>
          <w:rFonts w:hint="eastAsia" w:eastAsia="仿宋_GB2312"/>
          <w:kern w:val="28"/>
          <w:sz w:val="24"/>
        </w:rPr>
        <w:t>私募</w:t>
      </w:r>
      <w:r>
        <w:rPr>
          <w:rFonts w:eastAsia="仿宋_GB2312"/>
          <w:sz w:val="24"/>
          <w:szCs w:val="28"/>
        </w:rPr>
        <w:t>产品</w:t>
      </w:r>
      <w:r>
        <w:rPr>
          <w:rFonts w:hint="eastAsia" w:eastAsia="仿宋_GB2312"/>
          <w:sz w:val="24"/>
          <w:szCs w:val="28"/>
        </w:rPr>
        <w:t>需要填写</w:t>
      </w:r>
      <w:r>
        <w:rPr>
          <w:rFonts w:eastAsia="仿宋_GB2312"/>
          <w:sz w:val="24"/>
          <w:szCs w:val="28"/>
        </w:rPr>
        <w:t>委托人</w:t>
      </w:r>
      <w:r>
        <w:rPr>
          <w:rFonts w:hint="eastAsia" w:eastAsia="仿宋_GB2312"/>
          <w:sz w:val="24"/>
          <w:szCs w:val="28"/>
        </w:rPr>
        <w:t>信息，委托人</w:t>
      </w:r>
      <w:r>
        <w:rPr>
          <w:rFonts w:eastAsia="仿宋_GB2312"/>
          <w:sz w:val="24"/>
          <w:szCs w:val="28"/>
        </w:rPr>
        <w:t>为多个的，填写前三大委托人。杠杆运作限制、</w:t>
      </w:r>
      <w:r>
        <w:rPr>
          <w:rFonts w:eastAsia="仿宋_GB2312"/>
          <w:sz w:val="24"/>
        </w:rPr>
        <w:t>资产管理规模仅正回购方</w:t>
      </w:r>
      <w:r>
        <w:rPr>
          <w:rFonts w:hint="eastAsia" w:eastAsia="仿宋_GB2312"/>
          <w:sz w:val="24"/>
        </w:rPr>
        <w:t>需要填写</w:t>
      </w:r>
      <w:r>
        <w:rPr>
          <w:rFonts w:eastAsia="仿宋_GB2312"/>
          <w:sz w:val="24"/>
          <w:szCs w:val="28"/>
        </w:rPr>
        <w:t>。</w:t>
      </w:r>
    </w:p>
    <w:p w14:paraId="66366870">
      <w:pPr>
        <w:numPr>
          <w:ilvl w:val="0"/>
          <w:numId w:val="26"/>
        </w:numPr>
        <w:spacing w:line="560" w:lineRule="exact"/>
        <w:ind w:firstLine="720" w:firstLineChars="300"/>
        <w:jc w:val="left"/>
        <w:rPr>
          <w:rFonts w:eastAsia="仿宋_GB2312"/>
          <w:sz w:val="24"/>
          <w:szCs w:val="28"/>
        </w:rPr>
      </w:pPr>
      <w:r>
        <w:rPr>
          <w:rFonts w:eastAsia="仿宋_GB2312"/>
          <w:sz w:val="24"/>
          <w:szCs w:val="28"/>
        </w:rPr>
        <w:t>已进行过备案开通逆回购权限的，再次备案申请开通正回购权限时，应保证普通证券账户及相关信息的前后一致性。反之亦然。</w:t>
      </w:r>
    </w:p>
    <w:p w14:paraId="426FA857">
      <w:pPr>
        <w:numPr>
          <w:ilvl w:val="255"/>
          <w:numId w:val="0"/>
        </w:numPr>
        <w:spacing w:line="560" w:lineRule="exact"/>
        <w:jc w:val="left"/>
        <w:rPr>
          <w:rFonts w:eastAsia="仿宋_GB2312"/>
          <w:sz w:val="24"/>
          <w:szCs w:val="28"/>
        </w:rPr>
      </w:pPr>
    </w:p>
    <w:p w14:paraId="34C1BAA1">
      <w:pPr>
        <w:spacing w:line="560" w:lineRule="exact"/>
        <w:rPr>
          <w:rFonts w:eastAsia="仿宋_GB2312"/>
          <w:sz w:val="30"/>
          <w:szCs w:val="30"/>
        </w:rPr>
      </w:pPr>
      <w:r>
        <w:rPr>
          <w:rFonts w:hint="eastAsia" w:eastAsia="仿宋_GB2312"/>
          <w:sz w:val="30"/>
          <w:szCs w:val="30"/>
        </w:rPr>
        <w:t>我公司在此郑重承诺：</w:t>
      </w:r>
    </w:p>
    <w:p w14:paraId="707744D9">
      <w:pPr>
        <w:spacing w:line="560" w:lineRule="exact"/>
        <w:rPr>
          <w:rFonts w:eastAsia="仿宋_GB2312"/>
          <w:sz w:val="30"/>
          <w:szCs w:val="30"/>
        </w:rPr>
      </w:pPr>
      <w:r>
        <w:rPr>
          <w:rFonts w:hint="eastAsia" w:eastAsia="仿宋_GB2312"/>
          <w:sz w:val="30"/>
          <w:szCs w:val="30"/>
        </w:rPr>
        <w:t>一、遵守法律、法规、规章、上交所及中国结算相关业务规则，依法参与上交所债券三方回购业务。</w:t>
      </w:r>
    </w:p>
    <w:p w14:paraId="7300B815">
      <w:pPr>
        <w:spacing w:line="560" w:lineRule="exact"/>
        <w:rPr>
          <w:rFonts w:eastAsia="仿宋_GB2312"/>
          <w:sz w:val="30"/>
          <w:szCs w:val="30"/>
        </w:rPr>
      </w:pPr>
      <w:r>
        <w:rPr>
          <w:rFonts w:hint="eastAsia" w:eastAsia="仿宋_GB2312"/>
          <w:sz w:val="30"/>
          <w:szCs w:val="30"/>
        </w:rPr>
        <w:t>二、诚实守信，自觉遵守商业道德，维护上交所债券市场秩序。</w:t>
      </w:r>
    </w:p>
    <w:p w14:paraId="6928F724">
      <w:pPr>
        <w:spacing w:line="560" w:lineRule="exact"/>
        <w:rPr>
          <w:rFonts w:eastAsia="仿宋_GB2312"/>
          <w:sz w:val="30"/>
          <w:szCs w:val="30"/>
        </w:rPr>
      </w:pPr>
      <w:r>
        <w:rPr>
          <w:rFonts w:hint="eastAsia" w:eastAsia="仿宋_GB2312"/>
          <w:sz w:val="30"/>
          <w:szCs w:val="30"/>
        </w:rPr>
        <w:t>三、同意遵守上交所、中国结算关于三方回购的相关规定，接受上交所、中国结算的自律管理。</w:t>
      </w:r>
    </w:p>
    <w:p w14:paraId="3609E5DF">
      <w:pPr>
        <w:spacing w:line="560" w:lineRule="exact"/>
        <w:rPr>
          <w:rFonts w:eastAsia="仿宋_GB2312"/>
          <w:sz w:val="30"/>
          <w:szCs w:val="30"/>
        </w:rPr>
      </w:pPr>
      <w:r>
        <w:rPr>
          <w:rFonts w:hint="eastAsia" w:eastAsia="仿宋_GB2312"/>
          <w:sz w:val="30"/>
          <w:szCs w:val="30"/>
        </w:rPr>
        <w:t>四、如违反法律、法规、规章、上交所及中国结算相关业务规则，接受上交所做出的包括但不限于取消三方回购投资者适当性备案等监管措施，并对此承担一切法律责任。</w:t>
      </w:r>
    </w:p>
    <w:p w14:paraId="62CFE10B">
      <w:pPr>
        <w:pStyle w:val="18"/>
        <w:spacing w:line="560" w:lineRule="exact"/>
        <w:jc w:val="left"/>
        <w:rPr>
          <w:rFonts w:ascii="Times New Roman"/>
          <w:szCs w:val="30"/>
        </w:rPr>
      </w:pPr>
      <w:r>
        <w:rPr>
          <w:rFonts w:hint="eastAsia" w:ascii="Times New Roman"/>
          <w:szCs w:val="30"/>
        </w:rPr>
        <w:t>我公司保证向上交所提供的书面和电子申请资料的真实、准确、完整与合法。</w:t>
      </w:r>
    </w:p>
    <w:p w14:paraId="004C1D77">
      <w:pPr>
        <w:spacing w:line="560" w:lineRule="exact"/>
        <w:jc w:val="left"/>
        <w:rPr>
          <w:rFonts w:eastAsia="仿宋_GB2312"/>
          <w:kern w:val="28"/>
        </w:rPr>
      </w:pPr>
    </w:p>
    <w:p w14:paraId="68666D53">
      <w:pPr>
        <w:pStyle w:val="18"/>
        <w:spacing w:line="560" w:lineRule="exact"/>
        <w:jc w:val="right"/>
        <w:rPr>
          <w:rFonts w:hAnsi="仿宋_GB2312" w:cs="仿宋_GB2312"/>
          <w:szCs w:val="30"/>
        </w:rPr>
      </w:pPr>
      <w:r>
        <w:rPr>
          <w:rFonts w:hint="eastAsia" w:hAnsi="仿宋_GB2312" w:cs="仿宋_GB2312"/>
          <w:szCs w:val="30"/>
        </w:rPr>
        <w:t>申请人：</w:t>
      </w:r>
      <w:r>
        <w:rPr>
          <w:rFonts w:hAnsi="仿宋_GB2312" w:cs="仿宋_GB2312"/>
          <w:szCs w:val="30"/>
        </w:rPr>
        <w:t>_____________________</w:t>
      </w:r>
      <w:r>
        <w:rPr>
          <w:rFonts w:hint="eastAsia" w:hAnsi="仿宋_GB2312" w:cs="仿宋_GB2312"/>
          <w:szCs w:val="30"/>
        </w:rPr>
        <w:t>公司</w:t>
      </w:r>
      <w:r>
        <w:rPr>
          <w:rFonts w:hAnsi="仿宋_GB2312" w:cs="仿宋_GB2312"/>
          <w:szCs w:val="30"/>
        </w:rPr>
        <w:t xml:space="preserve">   </w:t>
      </w:r>
      <w:r>
        <w:rPr>
          <w:rFonts w:hint="eastAsia" w:hAnsi="仿宋_GB2312" w:cs="仿宋_GB2312"/>
          <w:szCs w:val="30"/>
        </w:rPr>
        <w:t>（加盖管理人公章）</w:t>
      </w:r>
    </w:p>
    <w:p w14:paraId="3A8994B6">
      <w:pPr>
        <w:pStyle w:val="18"/>
        <w:spacing w:line="560" w:lineRule="exact"/>
        <w:jc w:val="right"/>
        <w:rPr>
          <w:rFonts w:hAnsi="仿宋_GB2312" w:cs="仿宋_GB2312"/>
          <w:szCs w:val="30"/>
        </w:rPr>
      </w:pPr>
    </w:p>
    <w:p w14:paraId="5926B749">
      <w:pPr>
        <w:pStyle w:val="18"/>
        <w:spacing w:line="560" w:lineRule="exact"/>
        <w:ind w:right="560"/>
        <w:jc w:val="center"/>
        <w:rPr>
          <w:rFonts w:hAnsi="仿宋_GB2312" w:cs="仿宋_GB2312"/>
          <w:szCs w:val="30"/>
        </w:rPr>
      </w:pPr>
      <w:r>
        <w:rPr>
          <w:rFonts w:hAnsi="仿宋_GB2312" w:cs="仿宋_GB2312"/>
          <w:szCs w:val="30"/>
        </w:rPr>
        <w:t xml:space="preserve">                                </w:t>
      </w:r>
      <w:r>
        <w:rPr>
          <w:rFonts w:hint="eastAsia" w:hAnsi="仿宋_GB2312" w:cs="仿宋_GB2312"/>
          <w:szCs w:val="30"/>
        </w:rPr>
        <w:t>经办人（签字）：</w:t>
      </w:r>
    </w:p>
    <w:p w14:paraId="15E400AF">
      <w:pPr>
        <w:pStyle w:val="18"/>
        <w:spacing w:line="560" w:lineRule="exact"/>
        <w:ind w:right="560"/>
        <w:jc w:val="center"/>
        <w:rPr>
          <w:rFonts w:hAnsi="仿宋_GB2312" w:cs="仿宋_GB2312"/>
          <w:szCs w:val="30"/>
        </w:rPr>
      </w:pPr>
      <w:r>
        <w:rPr>
          <w:rFonts w:hAnsi="仿宋_GB2312" w:cs="仿宋_GB2312"/>
          <w:szCs w:val="30"/>
        </w:rPr>
        <w:t xml:space="preserve">                                    </w:t>
      </w:r>
      <w:r>
        <w:rPr>
          <w:rFonts w:hint="eastAsia" w:hAnsi="仿宋_GB2312" w:cs="仿宋_GB2312"/>
          <w:szCs w:val="30"/>
        </w:rPr>
        <w:t>申请日期：</w:t>
      </w:r>
    </w:p>
    <w:p w14:paraId="71DF8836">
      <w:pPr>
        <w:pStyle w:val="18"/>
        <w:spacing w:line="560" w:lineRule="exact"/>
        <w:ind w:right="560"/>
        <w:jc w:val="center"/>
        <w:rPr>
          <w:rFonts w:hAnsi="仿宋_GB2312" w:cs="仿宋_GB2312"/>
          <w:szCs w:val="30"/>
        </w:rPr>
      </w:pPr>
      <w:r>
        <w:rPr>
          <w:rFonts w:hAnsi="仿宋_GB2312" w:cs="仿宋_GB2312"/>
          <w:szCs w:val="30"/>
        </w:rPr>
        <w:t xml:space="preserve">                                     </w:t>
      </w:r>
      <w:r>
        <w:rPr>
          <w:rFonts w:hint="eastAsia" w:hAnsi="仿宋_GB2312" w:cs="仿宋_GB2312"/>
          <w:szCs w:val="30"/>
        </w:rPr>
        <w:t>联系电话：</w:t>
      </w:r>
    </w:p>
    <w:p w14:paraId="2CE32B37">
      <w:pPr>
        <w:widowControl/>
        <w:spacing w:line="560" w:lineRule="exact"/>
        <w:jc w:val="left"/>
        <w:rPr>
          <w:rFonts w:eastAsia="仿宋_GB2312"/>
          <w:sz w:val="28"/>
          <w:szCs w:val="28"/>
        </w:rPr>
      </w:pPr>
      <w:r>
        <w:rPr>
          <w:rFonts w:eastAsia="仿宋_GB2312"/>
          <w:sz w:val="28"/>
          <w:szCs w:val="28"/>
        </w:rPr>
        <w:br w:type="page"/>
      </w:r>
    </w:p>
    <w:p w14:paraId="1703F382">
      <w:pPr>
        <w:widowControl/>
        <w:jc w:val="left"/>
        <w:outlineLvl w:val="1"/>
        <w:rPr>
          <w:rFonts w:ascii="仿宋_GB2312" w:hAnsi="黑体" w:eastAsia="仿宋_GB2312"/>
          <w:b/>
          <w:sz w:val="30"/>
          <w:szCs w:val="30"/>
        </w:rPr>
      </w:pPr>
      <w:bookmarkStart w:id="4067" w:name="_Toc18423026"/>
      <w:bookmarkStart w:id="4068" w:name="_Toc1857010551"/>
      <w:bookmarkStart w:id="4069" w:name="_Toc1549210565"/>
      <w:bookmarkStart w:id="4070" w:name="_Toc1156956155"/>
      <w:bookmarkStart w:id="4071" w:name="_Toc151137102"/>
      <w:bookmarkStart w:id="4072" w:name="_Toc713344396"/>
      <w:bookmarkStart w:id="4073" w:name="_Toc1446554985"/>
      <w:r>
        <w:rPr>
          <w:rFonts w:hint="eastAsia" w:ascii="仿宋_GB2312" w:hAnsi="黑体" w:eastAsia="仿宋_GB2312"/>
          <w:b/>
          <w:sz w:val="30"/>
          <w:szCs w:val="30"/>
        </w:rPr>
        <w:t>附件19 投资者适当性备案渠道</w:t>
      </w:r>
      <w:bookmarkEnd w:id="4067"/>
      <w:bookmarkEnd w:id="4068"/>
      <w:bookmarkEnd w:id="4069"/>
      <w:bookmarkEnd w:id="4070"/>
      <w:bookmarkEnd w:id="4071"/>
      <w:bookmarkEnd w:id="4072"/>
      <w:bookmarkEnd w:id="4073"/>
    </w:p>
    <w:p w14:paraId="7CDC4B50">
      <w:pPr>
        <w:pStyle w:val="92"/>
        <w:spacing w:line="560" w:lineRule="exact"/>
        <w:ind w:left="0" w:firstLine="600" w:firstLineChars="200"/>
        <w:rPr>
          <w:rFonts w:eastAsia="仿宋_GB2312"/>
          <w:kern w:val="2"/>
          <w:sz w:val="30"/>
          <w:szCs w:val="30"/>
          <w:lang w:eastAsia="zh-CN" w:bidi="ar-SA"/>
        </w:rPr>
      </w:pPr>
      <w:r>
        <w:rPr>
          <w:rFonts w:hint="eastAsia" w:eastAsia="仿宋_GB2312"/>
          <w:kern w:val="2"/>
          <w:sz w:val="30"/>
          <w:szCs w:val="30"/>
          <w:lang w:eastAsia="zh-CN" w:bidi="ar-SA"/>
        </w:rPr>
        <w:t>投资者适当性备案材料可通过以下两种方式提交上交所：</w:t>
      </w:r>
    </w:p>
    <w:p w14:paraId="3D5946F3">
      <w:pPr>
        <w:numPr>
          <w:ilvl w:val="255"/>
          <w:numId w:val="0"/>
        </w:numPr>
        <w:spacing w:line="560" w:lineRule="exact"/>
        <w:ind w:firstLine="601" w:firstLineChars="200"/>
        <w:outlineLvl w:val="9"/>
        <w:rPr>
          <w:rFonts w:eastAsia="仿宋_GB2312"/>
          <w:b/>
          <w:bCs/>
          <w:i w:val="0"/>
          <w:iCs w:val="0"/>
          <w:color w:val="auto"/>
          <w:sz w:val="30"/>
          <w:szCs w:val="30"/>
          <w:lang w:eastAsia="zh-CN"/>
        </w:rPr>
      </w:pPr>
      <w:r>
        <w:rPr>
          <w:rFonts w:eastAsia="仿宋_GB2312"/>
          <w:b/>
          <w:bCs/>
          <w:i w:val="0"/>
          <w:iCs w:val="0"/>
          <w:color w:val="auto"/>
          <w:sz w:val="30"/>
          <w:szCs w:val="30"/>
          <w:lang w:eastAsia="zh-CN"/>
        </w:rPr>
        <w:t>1.</w:t>
      </w:r>
      <w:r>
        <w:rPr>
          <w:rFonts w:hint="eastAsia" w:eastAsia="仿宋_GB2312"/>
          <w:b/>
          <w:bCs/>
          <w:i w:val="0"/>
          <w:iCs w:val="0"/>
          <w:color w:val="auto"/>
          <w:sz w:val="30"/>
          <w:szCs w:val="30"/>
          <w:lang w:eastAsia="zh-CN"/>
        </w:rPr>
        <w:t>通过债券业务系统方式备案</w:t>
      </w:r>
    </w:p>
    <w:p w14:paraId="75A23D08">
      <w:pPr>
        <w:widowControl/>
        <w:spacing w:line="560" w:lineRule="exact"/>
        <w:ind w:firstLine="600" w:firstLineChars="200"/>
        <w:jc w:val="left"/>
        <w:rPr>
          <w:rFonts w:eastAsia="仿宋_GB2312"/>
          <w:sz w:val="28"/>
          <w:szCs w:val="28"/>
        </w:rPr>
      </w:pPr>
      <w:r>
        <w:rPr>
          <w:rFonts w:hint="eastAsia" w:eastAsia="仿宋_GB2312"/>
          <w:sz w:val="30"/>
          <w:szCs w:val="30"/>
        </w:rPr>
        <w:t>上交所债券业务管理系统有两个入口网址</w:t>
      </w:r>
      <w:r>
        <w:rPr>
          <w:rFonts w:eastAsia="仿宋_GB2312"/>
          <w:sz w:val="28"/>
          <w:szCs w:val="28"/>
        </w:rPr>
        <w:t>：</w:t>
      </w:r>
    </w:p>
    <w:p w14:paraId="3D0EBDA7">
      <w:pPr>
        <w:widowControl/>
        <w:spacing w:line="560" w:lineRule="exact"/>
        <w:ind w:firstLine="560" w:firstLineChars="200"/>
        <w:jc w:val="left"/>
        <w:rPr>
          <w:rFonts w:eastAsia="仿宋_GB2312"/>
          <w:sz w:val="28"/>
          <w:szCs w:val="28"/>
          <w:highlight w:val="none"/>
        </w:rPr>
      </w:pPr>
      <w:r>
        <w:rPr>
          <w:rStyle w:val="51"/>
          <w:rFonts w:hint="eastAsia" w:eastAsia="仿宋_GB2312"/>
          <w:color w:val="auto"/>
          <w:sz w:val="28"/>
          <w:szCs w:val="28"/>
          <w:highlight w:val="none"/>
        </w:rPr>
        <w:t>https://bmsp.uap.sse.com.cn/</w:t>
      </w:r>
      <w:r>
        <w:rPr>
          <w:rFonts w:eastAsia="仿宋_GB2312"/>
          <w:sz w:val="28"/>
          <w:szCs w:val="28"/>
          <w:highlight w:val="none"/>
        </w:rPr>
        <w:t>。</w:t>
      </w:r>
    </w:p>
    <w:p w14:paraId="17B714C5">
      <w:pPr>
        <w:widowControl/>
        <w:spacing w:line="560" w:lineRule="exact"/>
        <w:ind w:firstLine="565" w:firstLineChars="202"/>
        <w:jc w:val="left"/>
        <w:rPr>
          <w:rFonts w:eastAsia="仿宋_GB2312"/>
          <w:sz w:val="28"/>
          <w:szCs w:val="28"/>
        </w:rPr>
      </w:pPr>
      <w:r>
        <w:rPr>
          <w:rFonts w:hint="eastAsia" w:eastAsia="仿宋_GB2312"/>
          <w:sz w:val="28"/>
          <w:szCs w:val="28"/>
        </w:rPr>
        <w:t>备案时，市场参与者需通过数字证书登录债券业务管理系统。请于登录前下载并安装</w:t>
      </w:r>
      <w:r>
        <w:rPr>
          <w:rFonts w:eastAsia="仿宋_GB2312"/>
          <w:sz w:val="28"/>
          <w:szCs w:val="28"/>
        </w:rPr>
        <w:t>CnSCA Ekey</w:t>
      </w:r>
      <w:r>
        <w:rPr>
          <w:rFonts w:hint="eastAsia" w:eastAsia="仿宋_GB2312"/>
          <w:sz w:val="28"/>
          <w:szCs w:val="28"/>
        </w:rPr>
        <w:t>管理工具。“上交所网站</w:t>
      </w:r>
      <w:r>
        <w:rPr>
          <w:rFonts w:eastAsia="仿宋_GB2312"/>
          <w:sz w:val="28"/>
          <w:szCs w:val="28"/>
        </w:rPr>
        <w:sym w:font="Wingdings" w:char="F0E0"/>
      </w:r>
      <w:r>
        <w:rPr>
          <w:rFonts w:hint="eastAsia" w:eastAsia="仿宋_GB2312"/>
          <w:sz w:val="28"/>
          <w:szCs w:val="28"/>
        </w:rPr>
        <w:t>服务</w:t>
      </w:r>
      <w:r>
        <w:rPr>
          <w:rFonts w:eastAsia="仿宋_GB2312"/>
          <w:sz w:val="28"/>
          <w:szCs w:val="28"/>
        </w:rPr>
        <w:sym w:font="Wingdings" w:char="F0E0"/>
      </w:r>
      <w:r>
        <w:rPr>
          <w:rFonts w:eastAsia="仿宋_GB2312"/>
          <w:sz w:val="28"/>
          <w:szCs w:val="28"/>
        </w:rPr>
        <w:t>CA</w:t>
      </w:r>
      <w:r>
        <w:rPr>
          <w:rFonts w:hint="eastAsia" w:eastAsia="仿宋_GB2312"/>
          <w:sz w:val="28"/>
          <w:szCs w:val="28"/>
        </w:rPr>
        <w:t>服务</w:t>
      </w:r>
      <w:r>
        <w:rPr>
          <w:rFonts w:eastAsia="仿宋_GB2312"/>
          <w:sz w:val="28"/>
          <w:szCs w:val="28"/>
        </w:rPr>
        <w:sym w:font="Wingdings" w:char="F0E0"/>
      </w:r>
      <w:r>
        <w:rPr>
          <w:rFonts w:hint="eastAsia" w:eastAsia="仿宋_GB2312"/>
          <w:sz w:val="28"/>
          <w:szCs w:val="28"/>
        </w:rPr>
        <w:t>公告栏</w:t>
      </w:r>
      <w:r>
        <w:rPr>
          <w:rFonts w:eastAsia="仿宋_GB2312"/>
          <w:sz w:val="28"/>
          <w:szCs w:val="28"/>
        </w:rPr>
        <w:sym w:font="Wingdings" w:char="F0E0"/>
      </w:r>
      <w:r>
        <w:rPr>
          <w:rFonts w:hint="eastAsia" w:eastAsia="仿宋_GB2312"/>
          <w:sz w:val="28"/>
          <w:szCs w:val="28"/>
        </w:rPr>
        <w:t>驱动程序及工具”</w:t>
      </w:r>
      <w:r>
        <w:rPr>
          <w:rFonts w:eastAsia="仿宋_GB2312"/>
          <w:sz w:val="28"/>
          <w:szCs w:val="28"/>
        </w:rPr>
        <w:t>（</w:t>
      </w:r>
      <w:r>
        <w:rPr>
          <w:rFonts w:hint="eastAsia" w:eastAsia="仿宋_GB2312"/>
          <w:sz w:val="28"/>
          <w:szCs w:val="28"/>
        </w:rPr>
        <w:t>https://www.sse.com.cn/home/biz/cnsca/download/driverstools/</w:t>
      </w:r>
      <w:r>
        <w:rPr>
          <w:rFonts w:eastAsia="仿宋_GB2312"/>
          <w:sz w:val="28"/>
          <w:szCs w:val="28"/>
        </w:rPr>
        <w:t>）。</w:t>
      </w:r>
    </w:p>
    <w:p w14:paraId="45C0F623">
      <w:pPr>
        <w:widowControl/>
        <w:spacing w:line="560" w:lineRule="exact"/>
        <w:ind w:firstLine="565" w:firstLineChars="202"/>
        <w:jc w:val="left"/>
        <w:rPr>
          <w:rFonts w:eastAsia="仿宋_GB2312"/>
          <w:sz w:val="28"/>
          <w:szCs w:val="28"/>
        </w:rPr>
      </w:pPr>
      <w:r>
        <w:rPr>
          <w:rFonts w:hint="eastAsia" w:eastAsia="仿宋_GB2312"/>
          <w:sz w:val="28"/>
          <w:szCs w:val="28"/>
        </w:rPr>
        <w:t>未申请办理过债券业务管理系统数字证书的需申请办理数字证书，并申请系统用户名和密码</w:t>
      </w:r>
      <w:r>
        <w:rPr>
          <w:rFonts w:eastAsia="仿宋_GB2312"/>
          <w:sz w:val="28"/>
          <w:szCs w:val="28"/>
        </w:rPr>
        <w:t>,</w:t>
      </w:r>
      <w:r>
        <w:rPr>
          <w:rFonts w:hint="eastAsia" w:eastAsia="仿宋_GB2312"/>
          <w:sz w:val="28"/>
          <w:szCs w:val="28"/>
        </w:rPr>
        <w:t>相关流程参见：“上交所网站</w:t>
      </w:r>
      <w:r>
        <w:rPr>
          <w:rFonts w:eastAsia="仿宋_GB2312"/>
          <w:sz w:val="28"/>
          <w:szCs w:val="28"/>
        </w:rPr>
        <w:sym w:font="Wingdings" w:char="F0E0"/>
      </w:r>
      <w:r>
        <w:rPr>
          <w:rFonts w:hint="eastAsia" w:eastAsia="仿宋_GB2312"/>
          <w:sz w:val="28"/>
          <w:szCs w:val="28"/>
        </w:rPr>
        <w:t>服务</w:t>
      </w:r>
      <w:r>
        <w:rPr>
          <w:rFonts w:eastAsia="仿宋_GB2312"/>
          <w:sz w:val="28"/>
          <w:szCs w:val="28"/>
        </w:rPr>
        <w:sym w:font="Wingdings" w:char="F0E0"/>
      </w:r>
      <w:r>
        <w:rPr>
          <w:rFonts w:eastAsia="仿宋_GB2312"/>
          <w:sz w:val="28"/>
          <w:szCs w:val="28"/>
        </w:rPr>
        <w:t>CA</w:t>
      </w:r>
      <w:r>
        <w:rPr>
          <w:rFonts w:hint="eastAsia" w:eastAsia="仿宋_GB2312"/>
          <w:sz w:val="28"/>
          <w:szCs w:val="28"/>
        </w:rPr>
        <w:t>服务</w:t>
      </w:r>
      <w:r>
        <w:rPr>
          <w:rFonts w:eastAsia="仿宋_GB2312"/>
          <w:sz w:val="28"/>
          <w:szCs w:val="28"/>
        </w:rPr>
        <w:sym w:font="Wingdings" w:char="F0E0"/>
      </w:r>
      <w:r>
        <w:rPr>
          <w:rFonts w:hint="eastAsia" w:eastAsia="仿宋_GB2312"/>
          <w:sz w:val="28"/>
          <w:szCs w:val="28"/>
        </w:rPr>
        <w:t>导航栏</w:t>
      </w:r>
      <w:r>
        <w:rPr>
          <w:rFonts w:eastAsia="仿宋_GB2312"/>
          <w:sz w:val="28"/>
          <w:szCs w:val="28"/>
        </w:rPr>
        <w:sym w:font="Wingdings" w:char="F0E0"/>
      </w:r>
      <w:r>
        <w:rPr>
          <w:rFonts w:hint="eastAsia" w:eastAsia="仿宋_GB2312"/>
          <w:sz w:val="28"/>
          <w:szCs w:val="28"/>
        </w:rPr>
        <w:t>业务流程</w:t>
      </w:r>
      <w:r>
        <w:rPr>
          <w:rFonts w:eastAsia="仿宋_GB2312"/>
          <w:sz w:val="28"/>
          <w:szCs w:val="28"/>
        </w:rPr>
        <w:sym w:font="Wingdings" w:char="F0E0"/>
      </w:r>
      <w:r>
        <w:rPr>
          <w:rFonts w:hint="eastAsia" w:eastAsia="仿宋_GB2312"/>
          <w:sz w:val="28"/>
          <w:szCs w:val="28"/>
        </w:rPr>
        <w:t>数字证书申请说明</w:t>
      </w:r>
      <w:r>
        <w:rPr>
          <w:rFonts w:eastAsia="仿宋_GB2312"/>
          <w:sz w:val="28"/>
          <w:szCs w:val="28"/>
        </w:rPr>
        <w:sym w:font="Wingdings" w:char="F0E0"/>
      </w:r>
      <w:r>
        <w:rPr>
          <w:rFonts w:hint="eastAsia" w:eastAsia="仿宋_GB2312"/>
          <w:sz w:val="28"/>
          <w:szCs w:val="28"/>
        </w:rPr>
        <w:t>债券业务管理系统证书申请”</w:t>
      </w:r>
      <w:r>
        <w:rPr>
          <w:rFonts w:eastAsia="仿宋_GB2312"/>
          <w:sz w:val="28"/>
          <w:szCs w:val="28"/>
        </w:rPr>
        <w:t>（</w:t>
      </w:r>
      <w:r>
        <w:fldChar w:fldCharType="begin"/>
      </w:r>
      <w:r>
        <w:instrText xml:space="preserve"> HYPERLINK "http://www.sse.com.cn/home/biz/cnsca/process/apply/explain/c/4271018.shtml" </w:instrText>
      </w:r>
      <w:r>
        <w:fldChar w:fldCharType="separate"/>
      </w:r>
      <w:r>
        <w:rPr>
          <w:rStyle w:val="49"/>
          <w:rFonts w:eastAsia="仿宋_GB2312"/>
          <w:sz w:val="28"/>
          <w:szCs w:val="28"/>
        </w:rPr>
        <w:t>http://www.sse.com.cn/home/biz/cnsca/process/apply/explain/c/4271018.shtml</w:t>
      </w:r>
      <w:r>
        <w:rPr>
          <w:rStyle w:val="51"/>
          <w:rFonts w:eastAsia="仿宋_GB2312"/>
          <w:sz w:val="28"/>
          <w:szCs w:val="28"/>
        </w:rPr>
        <w:fldChar w:fldCharType="end"/>
      </w:r>
      <w:r>
        <w:rPr>
          <w:rFonts w:eastAsia="仿宋_GB2312"/>
          <w:sz w:val="28"/>
          <w:szCs w:val="28"/>
        </w:rPr>
        <w:t>）  （</w:t>
      </w:r>
      <w:r>
        <w:fldChar w:fldCharType="begin"/>
      </w:r>
      <w:r>
        <w:instrText xml:space="preserve"> HYPERLINK "http://www.sse.com.cn/home/biz/cnsca/process/apply/" \l "sm16" </w:instrText>
      </w:r>
      <w:r>
        <w:fldChar w:fldCharType="separate"/>
      </w:r>
      <w:r>
        <w:rPr>
          <w:rStyle w:val="49"/>
          <w:rFonts w:eastAsia="仿宋_GB2312"/>
          <w:sz w:val="28"/>
          <w:szCs w:val="28"/>
        </w:rPr>
        <w:t>http://www.sse.com.cn/home/biz/cnsca/process/apply/#sm16</w:t>
      </w:r>
      <w:r>
        <w:rPr>
          <w:rStyle w:val="51"/>
          <w:rFonts w:eastAsia="仿宋_GB2312"/>
          <w:sz w:val="28"/>
          <w:szCs w:val="28"/>
        </w:rPr>
        <w:fldChar w:fldCharType="end"/>
      </w:r>
      <w:r>
        <w:rPr>
          <w:rFonts w:eastAsia="仿宋_GB2312"/>
          <w:sz w:val="28"/>
          <w:szCs w:val="28"/>
        </w:rPr>
        <w:t>）。</w:t>
      </w:r>
    </w:p>
    <w:p w14:paraId="01AA16BE">
      <w:pPr>
        <w:widowControl/>
        <w:spacing w:line="560" w:lineRule="exact"/>
        <w:ind w:firstLine="606" w:firstLineChars="202"/>
        <w:jc w:val="left"/>
        <w:rPr>
          <w:rFonts w:eastAsia="仿宋_GB2312"/>
          <w:sz w:val="30"/>
          <w:szCs w:val="30"/>
        </w:rPr>
      </w:pPr>
      <w:r>
        <w:rPr>
          <w:rFonts w:hint="eastAsia" w:eastAsia="仿宋_GB2312"/>
          <w:sz w:val="30"/>
          <w:szCs w:val="30"/>
        </w:rPr>
        <w:t>申请人所在机构已办理债券业务管理系统数字证书的，无需重新办理。</w:t>
      </w:r>
    </w:p>
    <w:p w14:paraId="76C7572A">
      <w:pPr>
        <w:widowControl/>
        <w:spacing w:line="560" w:lineRule="exact"/>
        <w:ind w:firstLine="606" w:firstLineChars="202"/>
        <w:jc w:val="left"/>
        <w:rPr>
          <w:rFonts w:eastAsia="仿宋_GB2312"/>
          <w:sz w:val="30"/>
          <w:szCs w:val="30"/>
        </w:rPr>
      </w:pPr>
      <w:r>
        <w:rPr>
          <w:rFonts w:hint="eastAsia" w:eastAsia="仿宋_GB2312"/>
          <w:sz w:val="30"/>
          <w:szCs w:val="30"/>
        </w:rPr>
        <w:t>登录债券业务管理系统后，备案申请时需要填写以下信息：</w:t>
      </w:r>
    </w:p>
    <w:p w14:paraId="0DCBBE87">
      <w:pPr>
        <w:widowControl/>
        <w:spacing w:line="560" w:lineRule="exact"/>
        <w:ind w:firstLine="565" w:firstLineChars="202"/>
        <w:jc w:val="left"/>
        <w:rPr>
          <w:rFonts w:eastAsia="仿宋_GB2312"/>
          <w:sz w:val="28"/>
          <w:szCs w:val="28"/>
        </w:rPr>
      </w:pPr>
    </w:p>
    <w:tbl>
      <w:tblPr>
        <w:tblStyle w:val="43"/>
        <w:tblW w:w="0" w:type="auto"/>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4"/>
        <w:gridCol w:w="6997"/>
      </w:tblGrid>
      <w:tr w14:paraId="6210A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shd w:val="clear" w:color="auto" w:fill="002060"/>
            <w:vAlign w:val="center"/>
          </w:tcPr>
          <w:p w14:paraId="597B67B3">
            <w:pPr>
              <w:pStyle w:val="17"/>
              <w:spacing w:after="0" w:line="560" w:lineRule="exact"/>
              <w:jc w:val="center"/>
              <w:rPr>
                <w:rFonts w:eastAsia="仿宋_GB2312"/>
                <w:b/>
                <w:szCs w:val="21"/>
              </w:rPr>
            </w:pPr>
            <w:r>
              <w:rPr>
                <w:rFonts w:hAnsi="Arial" w:eastAsia="仿宋_GB2312"/>
                <w:b/>
                <w:szCs w:val="21"/>
              </w:rPr>
              <w:t>要素名称</w:t>
            </w:r>
          </w:p>
        </w:tc>
        <w:tc>
          <w:tcPr>
            <w:tcW w:w="7002" w:type="dxa"/>
            <w:shd w:val="clear" w:color="auto" w:fill="002060"/>
            <w:vAlign w:val="center"/>
          </w:tcPr>
          <w:p w14:paraId="16BF4077">
            <w:pPr>
              <w:pStyle w:val="17"/>
              <w:spacing w:after="0" w:line="560" w:lineRule="exact"/>
              <w:jc w:val="center"/>
              <w:rPr>
                <w:rFonts w:eastAsia="仿宋_GB2312"/>
                <w:b/>
                <w:szCs w:val="21"/>
              </w:rPr>
            </w:pPr>
            <w:r>
              <w:rPr>
                <w:rFonts w:hAnsi="Arial" w:eastAsia="仿宋_GB2312"/>
                <w:b/>
                <w:szCs w:val="21"/>
              </w:rPr>
              <w:t>说明</w:t>
            </w:r>
          </w:p>
        </w:tc>
      </w:tr>
      <w:tr w14:paraId="249F3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558D2FD4">
            <w:pPr>
              <w:pStyle w:val="17"/>
              <w:spacing w:after="0" w:line="560" w:lineRule="exact"/>
              <w:rPr>
                <w:rFonts w:eastAsia="仿宋_GB2312"/>
                <w:sz w:val="24"/>
              </w:rPr>
            </w:pPr>
            <w:r>
              <w:rPr>
                <w:rFonts w:eastAsia="仿宋_GB2312"/>
                <w:sz w:val="24"/>
              </w:rPr>
              <w:t>投资者名称</w:t>
            </w:r>
          </w:p>
        </w:tc>
        <w:tc>
          <w:tcPr>
            <w:tcW w:w="7002" w:type="dxa"/>
            <w:vAlign w:val="center"/>
          </w:tcPr>
          <w:p w14:paraId="0B3EEBC9">
            <w:pPr>
              <w:pStyle w:val="17"/>
              <w:spacing w:after="0" w:line="560" w:lineRule="exact"/>
              <w:jc w:val="center"/>
              <w:rPr>
                <w:rFonts w:eastAsia="仿宋_GB2312"/>
                <w:sz w:val="24"/>
              </w:rPr>
            </w:pPr>
            <w:r>
              <w:rPr>
                <w:rFonts w:eastAsia="仿宋_GB2312"/>
                <w:sz w:val="24"/>
              </w:rPr>
              <w:t>必填</w:t>
            </w:r>
          </w:p>
        </w:tc>
      </w:tr>
      <w:tr w14:paraId="7C275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477DB056">
            <w:pPr>
              <w:pStyle w:val="17"/>
              <w:spacing w:after="0" w:line="560" w:lineRule="exact"/>
              <w:rPr>
                <w:rFonts w:eastAsia="仿宋_GB2312"/>
                <w:sz w:val="24"/>
              </w:rPr>
            </w:pPr>
            <w:r>
              <w:rPr>
                <w:rFonts w:eastAsia="仿宋_GB2312"/>
                <w:sz w:val="24"/>
              </w:rPr>
              <w:t>投资者类型</w:t>
            </w:r>
          </w:p>
        </w:tc>
        <w:tc>
          <w:tcPr>
            <w:tcW w:w="7002" w:type="dxa"/>
            <w:vAlign w:val="center"/>
          </w:tcPr>
          <w:p w14:paraId="46805281">
            <w:pPr>
              <w:pStyle w:val="17"/>
              <w:spacing w:after="0" w:line="560" w:lineRule="exact"/>
              <w:jc w:val="center"/>
              <w:rPr>
                <w:rFonts w:eastAsia="仿宋_GB2312"/>
                <w:sz w:val="24"/>
              </w:rPr>
            </w:pPr>
            <w:r>
              <w:rPr>
                <w:rFonts w:eastAsia="仿宋_GB2312"/>
                <w:sz w:val="24"/>
              </w:rPr>
              <w:t>必填；一级下拉框选择“金融机构”，二级下拉框包括：证券公司、期货公司、基金管理公司及其子公司、商业银行、保险公司、信托公司、财务公司、证券公司子公司、期货公司子公司、私募基金管理人、其他金融机构</w:t>
            </w:r>
          </w:p>
          <w:p w14:paraId="44797BF5">
            <w:pPr>
              <w:pStyle w:val="17"/>
              <w:spacing w:after="0" w:line="560" w:lineRule="exact"/>
              <w:jc w:val="center"/>
              <w:rPr>
                <w:rFonts w:eastAsia="仿宋_GB2312"/>
                <w:sz w:val="24"/>
              </w:rPr>
            </w:pPr>
            <w:r>
              <w:rPr>
                <w:rFonts w:eastAsia="仿宋_GB2312"/>
                <w:sz w:val="24"/>
              </w:rPr>
              <w:t>一级下拉框选择“理财产品”，二级下拉框包括：公募证券投资基金、银行理财产品、证券公司资产管理产品、基金管理公司及其子公司专户产品、期货公司产品、保险产品、信托产品、经行业协会备案的私募基金，其他产品</w:t>
            </w:r>
          </w:p>
        </w:tc>
      </w:tr>
      <w:tr w14:paraId="78366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vAlign w:val="center"/>
          </w:tcPr>
          <w:p w14:paraId="3246F638">
            <w:pPr>
              <w:pStyle w:val="17"/>
              <w:spacing w:after="0" w:line="560" w:lineRule="exact"/>
              <w:rPr>
                <w:rFonts w:eastAsia="仿宋_GB2312"/>
                <w:sz w:val="24"/>
              </w:rPr>
            </w:pPr>
            <w:r>
              <w:rPr>
                <w:rFonts w:eastAsia="仿宋_GB2312"/>
                <w:sz w:val="24"/>
              </w:rPr>
              <w:t>申请业务类型</w:t>
            </w:r>
          </w:p>
        </w:tc>
        <w:tc>
          <w:tcPr>
            <w:tcW w:w="7002" w:type="dxa"/>
            <w:vAlign w:val="center"/>
          </w:tcPr>
          <w:p w14:paraId="08B82797">
            <w:pPr>
              <w:pStyle w:val="17"/>
              <w:spacing w:after="0" w:line="560" w:lineRule="exact"/>
              <w:jc w:val="center"/>
              <w:rPr>
                <w:rFonts w:eastAsia="仿宋_GB2312"/>
                <w:sz w:val="24"/>
              </w:rPr>
            </w:pPr>
            <w:r>
              <w:rPr>
                <w:rFonts w:eastAsia="仿宋_GB2312"/>
                <w:sz w:val="24"/>
              </w:rPr>
              <w:t>必填</w:t>
            </w:r>
          </w:p>
          <w:p w14:paraId="7F185294">
            <w:pPr>
              <w:pStyle w:val="17"/>
              <w:spacing w:after="0" w:line="560" w:lineRule="exact"/>
              <w:jc w:val="center"/>
              <w:rPr>
                <w:rFonts w:eastAsia="仿宋_GB2312"/>
                <w:sz w:val="24"/>
              </w:rPr>
            </w:pPr>
            <w:r>
              <w:rPr>
                <w:rFonts w:eastAsia="仿宋_GB2312"/>
                <w:sz w:val="24"/>
              </w:rPr>
              <w:t>打钩选择（可多选）</w:t>
            </w:r>
          </w:p>
          <w:p w14:paraId="2D5BD8E9">
            <w:pPr>
              <w:pStyle w:val="17"/>
              <w:spacing w:after="0" w:line="560" w:lineRule="exact"/>
              <w:jc w:val="center"/>
              <w:rPr>
                <w:rFonts w:eastAsia="仿宋_GB2312"/>
                <w:sz w:val="24"/>
              </w:rPr>
            </w:pPr>
            <w:r>
              <w:rPr>
                <w:rFonts w:eastAsia="仿宋_GB2312"/>
                <w:sz w:val="24"/>
              </w:rPr>
              <w:t>“正回购”、“逆回购”</w:t>
            </w:r>
          </w:p>
        </w:tc>
      </w:tr>
      <w:tr w14:paraId="33E3C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7956BA3E">
            <w:pPr>
              <w:pStyle w:val="17"/>
              <w:spacing w:after="0" w:line="560" w:lineRule="exact"/>
              <w:rPr>
                <w:rFonts w:eastAsia="仿宋_GB2312"/>
                <w:sz w:val="24"/>
              </w:rPr>
            </w:pPr>
            <w:r>
              <w:rPr>
                <w:rFonts w:eastAsia="仿宋_GB2312"/>
                <w:sz w:val="24"/>
              </w:rPr>
              <w:t>交易商代码</w:t>
            </w:r>
          </w:p>
        </w:tc>
        <w:tc>
          <w:tcPr>
            <w:tcW w:w="7002" w:type="dxa"/>
            <w:vAlign w:val="center"/>
          </w:tcPr>
          <w:p w14:paraId="3B569C06">
            <w:pPr>
              <w:pStyle w:val="17"/>
              <w:spacing w:after="0" w:line="560" w:lineRule="exact"/>
              <w:jc w:val="center"/>
              <w:rPr>
                <w:rFonts w:eastAsia="仿宋_GB2312"/>
                <w:sz w:val="24"/>
              </w:rPr>
            </w:pPr>
            <w:r>
              <w:rPr>
                <w:rFonts w:eastAsia="仿宋_GB2312"/>
                <w:sz w:val="24"/>
              </w:rPr>
              <w:t>必填</w:t>
            </w:r>
          </w:p>
        </w:tc>
      </w:tr>
      <w:tr w14:paraId="7DE08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700723DB">
            <w:pPr>
              <w:pStyle w:val="17"/>
              <w:spacing w:after="0" w:line="560" w:lineRule="exact"/>
              <w:rPr>
                <w:rFonts w:eastAsia="仿宋_GB2312"/>
                <w:sz w:val="24"/>
              </w:rPr>
            </w:pPr>
            <w:r>
              <w:rPr>
                <w:rFonts w:eastAsia="仿宋_GB2312"/>
                <w:sz w:val="24"/>
              </w:rPr>
              <w:t>证券账户</w:t>
            </w:r>
          </w:p>
        </w:tc>
        <w:tc>
          <w:tcPr>
            <w:tcW w:w="7002" w:type="dxa"/>
            <w:vAlign w:val="center"/>
          </w:tcPr>
          <w:p w14:paraId="5BD90FCF">
            <w:pPr>
              <w:pStyle w:val="17"/>
              <w:spacing w:after="0" w:line="560" w:lineRule="exact"/>
              <w:jc w:val="center"/>
              <w:rPr>
                <w:rFonts w:eastAsia="仿宋_GB2312"/>
                <w:sz w:val="24"/>
              </w:rPr>
            </w:pPr>
            <w:r>
              <w:rPr>
                <w:rFonts w:eastAsia="仿宋_GB2312"/>
                <w:sz w:val="24"/>
              </w:rPr>
              <w:t>必填</w:t>
            </w:r>
          </w:p>
        </w:tc>
      </w:tr>
      <w:tr w14:paraId="05A3E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4143DF08">
            <w:pPr>
              <w:pStyle w:val="17"/>
              <w:spacing w:after="0" w:line="560" w:lineRule="exact"/>
              <w:rPr>
                <w:rFonts w:eastAsia="仿宋_GB2312"/>
                <w:sz w:val="24"/>
              </w:rPr>
            </w:pPr>
            <w:r>
              <w:rPr>
                <w:rFonts w:eastAsia="仿宋_GB2312"/>
                <w:sz w:val="24"/>
              </w:rPr>
              <w:t>证券账户名称</w:t>
            </w:r>
          </w:p>
        </w:tc>
        <w:tc>
          <w:tcPr>
            <w:tcW w:w="7002" w:type="dxa"/>
            <w:vAlign w:val="center"/>
          </w:tcPr>
          <w:p w14:paraId="30B39975">
            <w:pPr>
              <w:pStyle w:val="17"/>
              <w:spacing w:after="0" w:line="560" w:lineRule="exact"/>
              <w:jc w:val="center"/>
              <w:rPr>
                <w:rFonts w:eastAsia="仿宋_GB2312"/>
                <w:sz w:val="24"/>
              </w:rPr>
            </w:pPr>
            <w:r>
              <w:rPr>
                <w:rFonts w:eastAsia="仿宋_GB2312"/>
                <w:sz w:val="24"/>
              </w:rPr>
              <w:t>必填</w:t>
            </w:r>
          </w:p>
        </w:tc>
      </w:tr>
      <w:tr w14:paraId="06337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vAlign w:val="center"/>
          </w:tcPr>
          <w:p w14:paraId="225D7632">
            <w:pPr>
              <w:pStyle w:val="17"/>
              <w:spacing w:after="0" w:line="560" w:lineRule="exact"/>
              <w:rPr>
                <w:rFonts w:eastAsia="仿宋_GB2312"/>
                <w:sz w:val="24"/>
              </w:rPr>
            </w:pPr>
            <w:r>
              <w:rPr>
                <w:rFonts w:eastAsia="仿宋_GB2312"/>
                <w:sz w:val="24"/>
              </w:rPr>
              <w:t>三方回购专用证券账户</w:t>
            </w:r>
          </w:p>
        </w:tc>
        <w:tc>
          <w:tcPr>
            <w:tcW w:w="7002" w:type="dxa"/>
            <w:vAlign w:val="center"/>
          </w:tcPr>
          <w:p w14:paraId="462C3419">
            <w:pPr>
              <w:pStyle w:val="17"/>
              <w:spacing w:after="0" w:line="560" w:lineRule="exact"/>
              <w:jc w:val="center"/>
              <w:rPr>
                <w:rFonts w:eastAsia="仿宋_GB2312"/>
                <w:sz w:val="24"/>
              </w:rPr>
            </w:pPr>
            <w:r>
              <w:rPr>
                <w:rFonts w:eastAsia="仿宋_GB2312"/>
                <w:sz w:val="24"/>
              </w:rPr>
              <w:t>正回购方必填</w:t>
            </w:r>
          </w:p>
        </w:tc>
      </w:tr>
      <w:tr w14:paraId="0822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00982473">
            <w:pPr>
              <w:pStyle w:val="17"/>
              <w:spacing w:after="0" w:line="560" w:lineRule="exact"/>
              <w:rPr>
                <w:rFonts w:eastAsia="仿宋_GB2312"/>
                <w:sz w:val="24"/>
              </w:rPr>
            </w:pPr>
            <w:r>
              <w:rPr>
                <w:rFonts w:eastAsia="仿宋_GB2312"/>
                <w:sz w:val="24"/>
              </w:rPr>
              <w:t>三方回购专用证券账户名称</w:t>
            </w:r>
          </w:p>
        </w:tc>
        <w:tc>
          <w:tcPr>
            <w:tcW w:w="7002" w:type="dxa"/>
            <w:vAlign w:val="center"/>
          </w:tcPr>
          <w:p w14:paraId="38286736">
            <w:pPr>
              <w:pStyle w:val="17"/>
              <w:spacing w:after="0" w:line="560" w:lineRule="exact"/>
              <w:jc w:val="center"/>
              <w:rPr>
                <w:rFonts w:eastAsia="仿宋_GB2312"/>
                <w:sz w:val="24"/>
              </w:rPr>
            </w:pPr>
            <w:r>
              <w:rPr>
                <w:rFonts w:eastAsia="仿宋_GB2312"/>
                <w:sz w:val="24"/>
              </w:rPr>
              <w:t>正回购方必填</w:t>
            </w:r>
          </w:p>
        </w:tc>
      </w:tr>
      <w:tr w14:paraId="6B647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78C97B37">
            <w:pPr>
              <w:pStyle w:val="17"/>
              <w:spacing w:after="0" w:line="560" w:lineRule="exact"/>
              <w:rPr>
                <w:rFonts w:eastAsia="仿宋_GB2312"/>
                <w:sz w:val="24"/>
              </w:rPr>
            </w:pPr>
            <w:r>
              <w:rPr>
                <w:rFonts w:eastAsia="仿宋_GB2312"/>
                <w:sz w:val="24"/>
              </w:rPr>
              <w:t>负责三方回购业务的负责人</w:t>
            </w:r>
          </w:p>
        </w:tc>
        <w:tc>
          <w:tcPr>
            <w:tcW w:w="7002" w:type="dxa"/>
            <w:vAlign w:val="center"/>
          </w:tcPr>
          <w:p w14:paraId="454EF125">
            <w:pPr>
              <w:pStyle w:val="17"/>
              <w:spacing w:after="0" w:line="560" w:lineRule="exact"/>
              <w:jc w:val="center"/>
              <w:rPr>
                <w:rFonts w:eastAsia="仿宋_GB2312"/>
                <w:sz w:val="24"/>
              </w:rPr>
            </w:pPr>
            <w:r>
              <w:rPr>
                <w:rFonts w:eastAsia="仿宋_GB2312"/>
                <w:sz w:val="24"/>
              </w:rPr>
              <w:t>必填</w:t>
            </w:r>
          </w:p>
        </w:tc>
      </w:tr>
      <w:tr w14:paraId="74AD1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7FA8E6A9">
            <w:pPr>
              <w:pStyle w:val="17"/>
              <w:spacing w:after="0" w:line="560" w:lineRule="exact"/>
              <w:rPr>
                <w:rFonts w:eastAsia="仿宋_GB2312"/>
                <w:sz w:val="24"/>
              </w:rPr>
            </w:pPr>
            <w:r>
              <w:rPr>
                <w:rFonts w:eastAsia="仿宋_GB2312"/>
                <w:sz w:val="24"/>
              </w:rPr>
              <w:t>负责三方回购业务的负责人联系方式</w:t>
            </w:r>
          </w:p>
        </w:tc>
        <w:tc>
          <w:tcPr>
            <w:tcW w:w="7002" w:type="dxa"/>
            <w:vAlign w:val="center"/>
          </w:tcPr>
          <w:p w14:paraId="7A65EE66">
            <w:pPr>
              <w:pStyle w:val="17"/>
              <w:spacing w:after="0" w:line="560" w:lineRule="exact"/>
              <w:jc w:val="center"/>
              <w:rPr>
                <w:rFonts w:eastAsia="仿宋_GB2312"/>
                <w:sz w:val="24"/>
              </w:rPr>
            </w:pPr>
            <w:r>
              <w:rPr>
                <w:rFonts w:eastAsia="仿宋_GB2312"/>
                <w:sz w:val="24"/>
              </w:rPr>
              <w:t>必填</w:t>
            </w:r>
          </w:p>
        </w:tc>
      </w:tr>
      <w:tr w14:paraId="0B945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vAlign w:val="center"/>
          </w:tcPr>
          <w:p w14:paraId="65F96AB2">
            <w:pPr>
              <w:pStyle w:val="17"/>
              <w:spacing w:after="0" w:line="560" w:lineRule="exact"/>
              <w:rPr>
                <w:rFonts w:eastAsia="仿宋_GB2312"/>
                <w:sz w:val="24"/>
              </w:rPr>
            </w:pPr>
            <w:r>
              <w:rPr>
                <w:rFonts w:eastAsia="仿宋_GB2312"/>
                <w:sz w:val="24"/>
              </w:rPr>
              <w:t>负责三方回购业务的日常联系人</w:t>
            </w:r>
          </w:p>
        </w:tc>
        <w:tc>
          <w:tcPr>
            <w:tcW w:w="7002" w:type="dxa"/>
            <w:vAlign w:val="center"/>
          </w:tcPr>
          <w:p w14:paraId="6115679C">
            <w:pPr>
              <w:pStyle w:val="17"/>
              <w:spacing w:after="0" w:line="560" w:lineRule="exact"/>
              <w:jc w:val="center"/>
              <w:rPr>
                <w:rFonts w:eastAsia="仿宋_GB2312"/>
                <w:sz w:val="24"/>
              </w:rPr>
            </w:pPr>
            <w:r>
              <w:rPr>
                <w:rFonts w:eastAsia="仿宋_GB2312"/>
                <w:sz w:val="24"/>
              </w:rPr>
              <w:t>必填</w:t>
            </w:r>
          </w:p>
        </w:tc>
      </w:tr>
      <w:tr w14:paraId="04E3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45226D6A">
            <w:pPr>
              <w:pStyle w:val="17"/>
              <w:spacing w:after="0" w:line="560" w:lineRule="exact"/>
              <w:rPr>
                <w:rFonts w:eastAsia="仿宋_GB2312"/>
                <w:sz w:val="24"/>
              </w:rPr>
            </w:pPr>
            <w:r>
              <w:rPr>
                <w:rFonts w:eastAsia="仿宋_GB2312"/>
                <w:sz w:val="24"/>
              </w:rPr>
              <w:t>负责三方回购业务的日常联系人联系方式</w:t>
            </w:r>
          </w:p>
        </w:tc>
        <w:tc>
          <w:tcPr>
            <w:tcW w:w="7002" w:type="dxa"/>
            <w:vAlign w:val="center"/>
          </w:tcPr>
          <w:p w14:paraId="536EA0B5">
            <w:pPr>
              <w:pStyle w:val="17"/>
              <w:spacing w:after="0" w:line="560" w:lineRule="exact"/>
              <w:jc w:val="center"/>
              <w:rPr>
                <w:rFonts w:eastAsia="仿宋_GB2312"/>
                <w:sz w:val="24"/>
              </w:rPr>
            </w:pPr>
            <w:r>
              <w:rPr>
                <w:rFonts w:eastAsia="仿宋_GB2312"/>
                <w:sz w:val="24"/>
              </w:rPr>
              <w:t>必填</w:t>
            </w:r>
          </w:p>
        </w:tc>
      </w:tr>
      <w:tr w14:paraId="2A7E1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43731A9B">
            <w:pPr>
              <w:pStyle w:val="17"/>
              <w:spacing w:after="0" w:line="560" w:lineRule="exact"/>
              <w:rPr>
                <w:rFonts w:eastAsia="仿宋_GB2312"/>
                <w:sz w:val="24"/>
              </w:rPr>
            </w:pPr>
            <w:r>
              <w:rPr>
                <w:rFonts w:eastAsia="仿宋_GB2312"/>
                <w:sz w:val="24"/>
              </w:rPr>
              <w:t>质权人</w:t>
            </w:r>
          </w:p>
        </w:tc>
        <w:tc>
          <w:tcPr>
            <w:tcW w:w="7002" w:type="dxa"/>
          </w:tcPr>
          <w:p w14:paraId="2D33E87A">
            <w:pPr>
              <w:pStyle w:val="17"/>
              <w:spacing w:after="0" w:line="560" w:lineRule="exact"/>
              <w:jc w:val="center"/>
              <w:rPr>
                <w:rFonts w:eastAsia="仿宋_GB2312"/>
                <w:sz w:val="24"/>
              </w:rPr>
            </w:pPr>
            <w:r>
              <w:rPr>
                <w:rFonts w:eastAsia="仿宋_GB2312"/>
                <w:sz w:val="24"/>
              </w:rPr>
              <w:t>系统自动填写，用户可修改。投资者类型为法人机构的，质权人填写投资者名称；投资者为理财产品的，质权人填写产品管理人。</w:t>
            </w:r>
          </w:p>
        </w:tc>
      </w:tr>
      <w:tr w14:paraId="14146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26ACEC87">
            <w:pPr>
              <w:pStyle w:val="17"/>
              <w:spacing w:after="0" w:line="560" w:lineRule="exact"/>
              <w:rPr>
                <w:rFonts w:eastAsia="仿宋_GB2312"/>
                <w:sz w:val="24"/>
              </w:rPr>
            </w:pPr>
            <w:r>
              <w:rPr>
                <w:rFonts w:eastAsia="仿宋_GB2312"/>
                <w:sz w:val="24"/>
              </w:rPr>
              <w:t>产品委托人</w:t>
            </w:r>
          </w:p>
        </w:tc>
        <w:tc>
          <w:tcPr>
            <w:tcW w:w="7002" w:type="dxa"/>
            <w:vAlign w:val="center"/>
          </w:tcPr>
          <w:p w14:paraId="05201AF8">
            <w:pPr>
              <w:pStyle w:val="17"/>
              <w:spacing w:after="0" w:line="560" w:lineRule="exact"/>
              <w:jc w:val="center"/>
              <w:rPr>
                <w:rFonts w:eastAsia="仿宋_GB2312"/>
                <w:sz w:val="24"/>
              </w:rPr>
            </w:pPr>
            <w:r>
              <w:rPr>
                <w:rFonts w:hint="eastAsia" w:eastAsia="仿宋_GB2312"/>
                <w:kern w:val="28"/>
                <w:sz w:val="24"/>
              </w:rPr>
              <w:t>私募</w:t>
            </w:r>
            <w:r>
              <w:rPr>
                <w:rFonts w:eastAsia="仿宋_GB2312"/>
                <w:sz w:val="24"/>
              </w:rPr>
              <w:t>理财产品必填</w:t>
            </w:r>
          </w:p>
        </w:tc>
      </w:tr>
      <w:tr w14:paraId="045EF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vAlign w:val="center"/>
          </w:tcPr>
          <w:p w14:paraId="7A843E25">
            <w:pPr>
              <w:pStyle w:val="17"/>
              <w:spacing w:after="0" w:line="560" w:lineRule="exact"/>
              <w:rPr>
                <w:rFonts w:eastAsia="仿宋_GB2312"/>
                <w:sz w:val="24"/>
              </w:rPr>
            </w:pPr>
            <w:r>
              <w:rPr>
                <w:rFonts w:eastAsia="仿宋_GB2312"/>
                <w:sz w:val="24"/>
              </w:rPr>
              <w:t>产品管理人</w:t>
            </w:r>
          </w:p>
        </w:tc>
        <w:tc>
          <w:tcPr>
            <w:tcW w:w="7002" w:type="dxa"/>
            <w:vAlign w:val="center"/>
          </w:tcPr>
          <w:p w14:paraId="67FDAE18">
            <w:pPr>
              <w:spacing w:line="560" w:lineRule="exact"/>
              <w:jc w:val="center"/>
              <w:rPr>
                <w:rFonts w:eastAsia="仿宋_GB2312"/>
                <w:sz w:val="24"/>
              </w:rPr>
            </w:pPr>
            <w:r>
              <w:rPr>
                <w:rFonts w:eastAsia="仿宋_GB2312"/>
                <w:sz w:val="24"/>
              </w:rPr>
              <w:t>理财产品必填</w:t>
            </w:r>
          </w:p>
        </w:tc>
      </w:tr>
      <w:tr w14:paraId="38A17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64A2BDF1">
            <w:pPr>
              <w:pStyle w:val="17"/>
              <w:spacing w:after="0" w:line="560" w:lineRule="exact"/>
              <w:rPr>
                <w:rFonts w:eastAsia="仿宋_GB2312"/>
                <w:sz w:val="24"/>
              </w:rPr>
            </w:pPr>
            <w:r>
              <w:rPr>
                <w:rFonts w:eastAsia="仿宋_GB2312"/>
                <w:sz w:val="24"/>
              </w:rPr>
              <w:t>资产托管人</w:t>
            </w:r>
          </w:p>
        </w:tc>
        <w:tc>
          <w:tcPr>
            <w:tcW w:w="7002" w:type="dxa"/>
            <w:vAlign w:val="center"/>
          </w:tcPr>
          <w:p w14:paraId="0C29D9D6">
            <w:pPr>
              <w:spacing w:line="560" w:lineRule="exact"/>
              <w:jc w:val="center"/>
              <w:rPr>
                <w:rFonts w:eastAsia="仿宋_GB2312"/>
                <w:sz w:val="24"/>
              </w:rPr>
            </w:pPr>
            <w:r>
              <w:rPr>
                <w:rFonts w:eastAsia="仿宋_GB2312"/>
                <w:sz w:val="24"/>
              </w:rPr>
              <w:t>理财产品必填</w:t>
            </w:r>
          </w:p>
        </w:tc>
      </w:tr>
      <w:tr w14:paraId="3AA53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79CC7E4A">
            <w:pPr>
              <w:pStyle w:val="17"/>
              <w:spacing w:after="0" w:line="560" w:lineRule="exact"/>
              <w:rPr>
                <w:rFonts w:eastAsia="仿宋_GB2312"/>
                <w:sz w:val="24"/>
              </w:rPr>
            </w:pPr>
            <w:r>
              <w:rPr>
                <w:rFonts w:eastAsia="仿宋_GB2312"/>
                <w:sz w:val="24"/>
              </w:rPr>
              <w:t>杠杆运作限制</w:t>
            </w:r>
          </w:p>
        </w:tc>
        <w:tc>
          <w:tcPr>
            <w:tcW w:w="7002" w:type="dxa"/>
            <w:vAlign w:val="center"/>
          </w:tcPr>
          <w:p w14:paraId="602102F2">
            <w:pPr>
              <w:spacing w:line="560" w:lineRule="exact"/>
              <w:jc w:val="center"/>
              <w:rPr>
                <w:rFonts w:eastAsia="仿宋_GB2312"/>
                <w:sz w:val="24"/>
              </w:rPr>
            </w:pPr>
            <w:r>
              <w:rPr>
                <w:rFonts w:hint="eastAsia" w:eastAsia="仿宋_GB2312"/>
                <w:sz w:val="24"/>
              </w:rPr>
              <w:t>（</w:t>
            </w:r>
            <w:r>
              <w:rPr>
                <w:rFonts w:eastAsia="仿宋_GB2312"/>
                <w:sz w:val="24"/>
              </w:rPr>
              <w:t>仅正回购方必填</w:t>
            </w:r>
            <w:r>
              <w:rPr>
                <w:rFonts w:hint="eastAsia" w:eastAsia="仿宋_GB2312"/>
                <w:sz w:val="24"/>
              </w:rPr>
              <w:t>）</w:t>
            </w:r>
          </w:p>
          <w:p w14:paraId="586AB6DD">
            <w:pPr>
              <w:spacing w:line="560" w:lineRule="exact"/>
              <w:jc w:val="center"/>
              <w:rPr>
                <w:rFonts w:eastAsia="仿宋_GB2312"/>
                <w:sz w:val="24"/>
              </w:rPr>
            </w:pPr>
            <w:r>
              <w:rPr>
                <w:rFonts w:eastAsia="仿宋_GB2312"/>
                <w:sz w:val="24"/>
              </w:rPr>
              <w:t>格式为文字格式</w:t>
            </w:r>
          </w:p>
          <w:p w14:paraId="37EFA82E">
            <w:pPr>
              <w:spacing w:line="560" w:lineRule="exact"/>
              <w:jc w:val="center"/>
              <w:rPr>
                <w:rFonts w:eastAsia="仿宋_GB2312"/>
                <w:sz w:val="24"/>
              </w:rPr>
            </w:pPr>
            <w:r>
              <w:rPr>
                <w:rFonts w:eastAsia="仿宋_GB2312"/>
                <w:sz w:val="24"/>
              </w:rPr>
              <w:t>填列提示：监管政策或自身内部制度对杠杆运作的限制情况</w:t>
            </w:r>
          </w:p>
        </w:tc>
      </w:tr>
      <w:tr w14:paraId="56C1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3419D23F">
            <w:pPr>
              <w:pStyle w:val="17"/>
              <w:spacing w:after="0" w:line="560" w:lineRule="exact"/>
              <w:rPr>
                <w:rFonts w:eastAsia="仿宋_GB2312"/>
                <w:sz w:val="24"/>
              </w:rPr>
            </w:pPr>
            <w:r>
              <w:rPr>
                <w:rFonts w:eastAsia="仿宋_GB2312"/>
                <w:sz w:val="24"/>
              </w:rPr>
              <w:t>最近一个会计年度总资产</w:t>
            </w:r>
          </w:p>
        </w:tc>
        <w:tc>
          <w:tcPr>
            <w:tcW w:w="7002" w:type="dxa"/>
            <w:vAlign w:val="center"/>
          </w:tcPr>
          <w:p w14:paraId="19C560DF">
            <w:pPr>
              <w:spacing w:line="560" w:lineRule="exact"/>
              <w:jc w:val="center"/>
              <w:rPr>
                <w:rFonts w:eastAsia="仿宋_GB2312"/>
                <w:sz w:val="24"/>
              </w:rPr>
            </w:pPr>
            <w:r>
              <w:rPr>
                <w:rFonts w:eastAsia="仿宋_GB2312"/>
                <w:sz w:val="24"/>
              </w:rPr>
              <w:t>法人机构必填</w:t>
            </w:r>
            <w:r>
              <w:rPr>
                <w:rFonts w:hint="eastAsia" w:eastAsia="仿宋_GB2312"/>
                <w:sz w:val="24"/>
              </w:rPr>
              <w:t>（</w:t>
            </w:r>
            <w:r>
              <w:rPr>
                <w:rFonts w:eastAsia="仿宋_GB2312"/>
                <w:sz w:val="24"/>
              </w:rPr>
              <w:t>仅正回购必填</w:t>
            </w:r>
            <w:r>
              <w:rPr>
                <w:rFonts w:hint="eastAsia" w:eastAsia="仿宋_GB2312"/>
                <w:sz w:val="24"/>
              </w:rPr>
              <w:t>）</w:t>
            </w:r>
            <w:r>
              <w:rPr>
                <w:rFonts w:eastAsia="仿宋_GB2312"/>
                <w:sz w:val="24"/>
              </w:rPr>
              <w:t>，单位为亿元。</w:t>
            </w:r>
          </w:p>
          <w:p w14:paraId="467910E3">
            <w:pPr>
              <w:spacing w:line="560" w:lineRule="exact"/>
              <w:jc w:val="center"/>
              <w:rPr>
                <w:rFonts w:eastAsia="仿宋_GB2312"/>
                <w:sz w:val="24"/>
              </w:rPr>
            </w:pPr>
          </w:p>
        </w:tc>
      </w:tr>
      <w:tr w14:paraId="7A4F6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vAlign w:val="center"/>
          </w:tcPr>
          <w:p w14:paraId="496011F9">
            <w:pPr>
              <w:pStyle w:val="17"/>
              <w:spacing w:after="0" w:line="560" w:lineRule="exact"/>
              <w:rPr>
                <w:rFonts w:eastAsia="仿宋_GB2312"/>
                <w:sz w:val="24"/>
              </w:rPr>
            </w:pPr>
            <w:r>
              <w:rPr>
                <w:rFonts w:eastAsia="仿宋_GB2312"/>
                <w:sz w:val="24"/>
              </w:rPr>
              <w:t>最近一个会计年度净资产</w:t>
            </w:r>
          </w:p>
        </w:tc>
        <w:tc>
          <w:tcPr>
            <w:tcW w:w="7002" w:type="dxa"/>
            <w:vAlign w:val="center"/>
          </w:tcPr>
          <w:p w14:paraId="7171FEB9">
            <w:pPr>
              <w:spacing w:line="560" w:lineRule="exact"/>
              <w:jc w:val="center"/>
              <w:rPr>
                <w:rFonts w:eastAsia="仿宋_GB2312"/>
                <w:sz w:val="24"/>
              </w:rPr>
            </w:pPr>
            <w:r>
              <w:rPr>
                <w:rFonts w:eastAsia="仿宋_GB2312"/>
                <w:sz w:val="24"/>
              </w:rPr>
              <w:t>法人机构必填</w:t>
            </w:r>
            <w:r>
              <w:rPr>
                <w:rFonts w:hint="eastAsia" w:eastAsia="仿宋_GB2312"/>
                <w:sz w:val="24"/>
              </w:rPr>
              <w:t>（</w:t>
            </w:r>
            <w:r>
              <w:rPr>
                <w:rFonts w:eastAsia="仿宋_GB2312"/>
                <w:sz w:val="24"/>
              </w:rPr>
              <w:t>仅正回购必填</w:t>
            </w:r>
            <w:r>
              <w:rPr>
                <w:rFonts w:hint="eastAsia" w:eastAsia="仿宋_GB2312"/>
                <w:sz w:val="24"/>
              </w:rPr>
              <w:t>）</w:t>
            </w:r>
            <w:r>
              <w:rPr>
                <w:rFonts w:eastAsia="仿宋_GB2312"/>
                <w:sz w:val="24"/>
              </w:rPr>
              <w:t>，单位为亿元</w:t>
            </w:r>
          </w:p>
        </w:tc>
      </w:tr>
      <w:tr w14:paraId="2E583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3636F316">
            <w:pPr>
              <w:pStyle w:val="17"/>
              <w:spacing w:after="0" w:line="560" w:lineRule="exact"/>
              <w:rPr>
                <w:rFonts w:eastAsia="仿宋_GB2312"/>
                <w:sz w:val="24"/>
              </w:rPr>
            </w:pPr>
            <w:r>
              <w:rPr>
                <w:rFonts w:eastAsia="仿宋_GB2312"/>
                <w:sz w:val="24"/>
              </w:rPr>
              <w:t>最近一个会计年度资产管理规模</w:t>
            </w:r>
          </w:p>
        </w:tc>
        <w:tc>
          <w:tcPr>
            <w:tcW w:w="7002" w:type="dxa"/>
            <w:vAlign w:val="center"/>
          </w:tcPr>
          <w:p w14:paraId="5269FCBC">
            <w:pPr>
              <w:spacing w:line="560" w:lineRule="exact"/>
              <w:jc w:val="center"/>
              <w:rPr>
                <w:rFonts w:eastAsia="仿宋_GB2312"/>
                <w:sz w:val="24"/>
              </w:rPr>
            </w:pPr>
            <w:r>
              <w:rPr>
                <w:rFonts w:eastAsia="仿宋_GB2312"/>
                <w:sz w:val="24"/>
              </w:rPr>
              <w:t>理财产品必填</w:t>
            </w:r>
            <w:r>
              <w:rPr>
                <w:rFonts w:hint="eastAsia" w:eastAsia="仿宋_GB2312"/>
                <w:sz w:val="24"/>
              </w:rPr>
              <w:t>（</w:t>
            </w:r>
            <w:r>
              <w:rPr>
                <w:rFonts w:eastAsia="仿宋_GB2312"/>
                <w:sz w:val="24"/>
              </w:rPr>
              <w:t>仅正回购必填</w:t>
            </w:r>
            <w:r>
              <w:rPr>
                <w:rFonts w:hint="eastAsia" w:eastAsia="仿宋_GB2312"/>
                <w:sz w:val="24"/>
              </w:rPr>
              <w:t>）</w:t>
            </w:r>
            <w:r>
              <w:rPr>
                <w:rFonts w:eastAsia="仿宋_GB2312"/>
                <w:sz w:val="24"/>
              </w:rPr>
              <w:t>，单位为亿元。</w:t>
            </w:r>
          </w:p>
          <w:p w14:paraId="40B60255">
            <w:pPr>
              <w:spacing w:line="560" w:lineRule="exact"/>
              <w:jc w:val="center"/>
              <w:rPr>
                <w:rFonts w:eastAsia="仿宋_GB2312"/>
                <w:sz w:val="24"/>
              </w:rPr>
            </w:pPr>
            <w:r>
              <w:rPr>
                <w:rFonts w:eastAsia="仿宋_GB2312"/>
                <w:sz w:val="24"/>
              </w:rPr>
              <w:t>公募基金填写管理人所管理的公募基金资产规模，银行理财产品填写管理人的总资产规模。</w:t>
            </w:r>
          </w:p>
        </w:tc>
      </w:tr>
    </w:tbl>
    <w:p w14:paraId="7CA29C2C">
      <w:pPr>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投资者适当性备案时需要上传备案材料的</w:t>
      </w:r>
      <w:r>
        <w:rPr>
          <w:rFonts w:ascii="仿宋_GB2312" w:hAnsi="仿宋_GB2312" w:eastAsia="仿宋_GB2312" w:cs="仿宋_GB2312"/>
          <w:sz w:val="30"/>
          <w:szCs w:val="30"/>
        </w:rPr>
        <w:t>PDF</w:t>
      </w:r>
      <w:r>
        <w:rPr>
          <w:rFonts w:hint="eastAsia" w:ascii="仿宋_GB2312" w:hAnsi="仿宋_GB2312" w:eastAsia="仿宋_GB2312" w:cs="仿宋_GB2312"/>
          <w:sz w:val="30"/>
          <w:szCs w:val="30"/>
        </w:rPr>
        <w:t>格式彩色扫描件。</w:t>
      </w:r>
    </w:p>
    <w:p w14:paraId="25CEF2D0">
      <w:pPr>
        <w:spacing w:line="560" w:lineRule="exact"/>
        <w:ind w:firstLine="600" w:firstLineChars="200"/>
        <w:rPr>
          <w:rFonts w:ascii="仿宋_GB2312" w:hAnsi="仿宋_GB2312" w:eastAsia="仿宋_GB2312" w:cs="仿宋_GB2312"/>
          <w:sz w:val="30"/>
          <w:szCs w:val="30"/>
        </w:rPr>
      </w:pPr>
      <w:r>
        <w:rPr>
          <w:rFonts w:ascii="仿宋_GB2312" w:hAnsi="仿宋_GB2312" w:eastAsia="仿宋_GB2312" w:cs="仿宋_GB2312"/>
          <w:sz w:val="30"/>
          <w:szCs w:val="30"/>
        </w:rPr>
        <w:t>T</w:t>
      </w:r>
      <w:r>
        <w:rPr>
          <w:rFonts w:hint="eastAsia" w:ascii="仿宋_GB2312" w:hAnsi="仿宋_GB2312" w:eastAsia="仿宋_GB2312" w:cs="仿宋_GB2312"/>
          <w:sz w:val="30"/>
          <w:szCs w:val="30"/>
        </w:rPr>
        <w:t>日通过系统提交备案材料的，上交所于下一个交易日（</w:t>
      </w:r>
      <w:r>
        <w:rPr>
          <w:rFonts w:ascii="仿宋_GB2312" w:hAnsi="仿宋_GB2312" w:eastAsia="仿宋_GB2312" w:cs="仿宋_GB2312"/>
          <w:sz w:val="30"/>
          <w:szCs w:val="30"/>
        </w:rPr>
        <w:t>T+1</w:t>
      </w:r>
      <w:r>
        <w:rPr>
          <w:rFonts w:hint="eastAsia" w:ascii="仿宋_GB2312" w:hAnsi="仿宋_GB2312" w:eastAsia="仿宋_GB2312" w:cs="仿宋_GB2312"/>
          <w:sz w:val="30"/>
          <w:szCs w:val="30"/>
        </w:rPr>
        <w:t>日）进行审查。审查不通过的，上交所通过债券业务管理系统反馈申请人。审查通过的，申请人可于</w:t>
      </w:r>
      <w:r>
        <w:rPr>
          <w:rFonts w:ascii="仿宋_GB2312" w:hAnsi="仿宋_GB2312" w:eastAsia="仿宋_GB2312" w:cs="仿宋_GB2312"/>
          <w:sz w:val="30"/>
          <w:szCs w:val="30"/>
        </w:rPr>
        <w:t>T+2</w:t>
      </w:r>
      <w:r>
        <w:rPr>
          <w:rFonts w:hint="eastAsia" w:ascii="仿宋_GB2312" w:hAnsi="仿宋_GB2312" w:eastAsia="仿宋_GB2312" w:cs="仿宋_GB2312"/>
          <w:sz w:val="30"/>
          <w:szCs w:val="30"/>
        </w:rPr>
        <w:t>日通过交易系统查看备案结果，并开展三方回购交易。</w:t>
      </w:r>
    </w:p>
    <w:p w14:paraId="4F3601CF">
      <w:pPr>
        <w:numPr>
          <w:ilvl w:val="255"/>
          <w:numId w:val="0"/>
        </w:numPr>
        <w:spacing w:line="560" w:lineRule="exact"/>
        <w:ind w:left="420"/>
        <w:outlineLvl w:val="9"/>
        <w:rPr>
          <w:rFonts w:ascii="仿宋_GB2312" w:hAnsi="仿宋_GB2312" w:eastAsia="仿宋_GB2312" w:cs="仿宋_GB2312"/>
          <w:b/>
          <w:bCs/>
          <w:i w:val="0"/>
          <w:iCs w:val="0"/>
          <w:color w:val="auto"/>
          <w:sz w:val="30"/>
          <w:szCs w:val="30"/>
        </w:rPr>
      </w:pPr>
      <w:r>
        <w:rPr>
          <w:rFonts w:ascii="仿宋_GB2312" w:hAnsi="仿宋_GB2312" w:eastAsia="仿宋_GB2312" w:cs="仿宋_GB2312"/>
          <w:b/>
          <w:bCs/>
          <w:i w:val="0"/>
          <w:iCs w:val="0"/>
          <w:color w:val="auto"/>
          <w:sz w:val="30"/>
          <w:szCs w:val="30"/>
          <w:lang w:eastAsia="zh-CN"/>
        </w:rPr>
        <w:t>2.</w:t>
      </w:r>
      <w:r>
        <w:rPr>
          <w:rFonts w:hint="eastAsia" w:ascii="仿宋_GB2312" w:hAnsi="仿宋_GB2312" w:eastAsia="仿宋_GB2312" w:cs="仿宋_GB2312"/>
          <w:b/>
          <w:bCs/>
          <w:i w:val="0"/>
          <w:iCs w:val="0"/>
          <w:color w:val="auto"/>
          <w:sz w:val="30"/>
          <w:szCs w:val="30"/>
        </w:rPr>
        <w:t>通过电子邮件方式备案</w:t>
      </w:r>
    </w:p>
    <w:p w14:paraId="1EC33469">
      <w:pPr>
        <w:widowControl/>
        <w:spacing w:line="560" w:lineRule="exact"/>
        <w:ind w:firstLine="420"/>
        <w:jc w:val="left"/>
        <w:rPr>
          <w:rFonts w:eastAsia="仿宋_GB2312"/>
          <w:sz w:val="28"/>
          <w:szCs w:val="28"/>
        </w:rPr>
      </w:pPr>
      <w:r>
        <w:rPr>
          <w:rFonts w:eastAsia="仿宋_GB2312"/>
          <w:sz w:val="28"/>
          <w:szCs w:val="28"/>
        </w:rPr>
        <w:t>通过电子邮件方式进行三方回购投资者适当性备案的市场参与者可以将三方回购投资者适当性备案材料的彩色扫描件制作成pdf文件后发送到以下邮箱：ssebond@sse.com.cn，邮件主题统一格式为“XXX公司-三方回购投资者适当性备案”。</w:t>
      </w:r>
    </w:p>
    <w:p w14:paraId="70A96979">
      <w:pPr>
        <w:spacing w:line="560" w:lineRule="exact"/>
        <w:ind w:firstLine="560" w:firstLineChars="200"/>
        <w:rPr>
          <w:rFonts w:eastAsia="仿宋_GB2312"/>
          <w:sz w:val="28"/>
          <w:szCs w:val="28"/>
        </w:rPr>
      </w:pPr>
      <w:r>
        <w:rPr>
          <w:rFonts w:eastAsia="仿宋_GB2312"/>
          <w:sz w:val="28"/>
          <w:szCs w:val="28"/>
        </w:rPr>
        <w:t>上交所在T日收到电子邮件后，对材料齐全的于下一个交易日（T+1日）进行审查。审查通过的由上交所T+1日代为录入债券业务管理系统。审查不通过的，上交所通过邮件或电话方式告知申请人。审查通过的，申请人可于T+2日通过交易系统查看备案结果，并开展三方回购交易。</w:t>
      </w:r>
    </w:p>
    <w:p w14:paraId="4177AFB7">
      <w:pPr>
        <w:widowControl/>
        <w:spacing w:line="560" w:lineRule="exact"/>
        <w:ind w:firstLine="420"/>
        <w:jc w:val="left"/>
        <w:rPr>
          <w:rFonts w:eastAsia="仿宋_GB2312"/>
        </w:rPr>
      </w:pPr>
    </w:p>
    <w:p w14:paraId="4C38AAB5">
      <w:pPr>
        <w:widowControl/>
        <w:jc w:val="left"/>
        <w:outlineLvl w:val="1"/>
        <w:rPr>
          <w:rFonts w:hAnsi="仿宋"/>
          <w:b/>
          <w:bCs/>
          <w:sz w:val="30"/>
          <w:szCs w:val="30"/>
        </w:rPr>
      </w:pPr>
      <w:r>
        <w:rPr>
          <w:sz w:val="30"/>
          <w:szCs w:val="30"/>
        </w:rPr>
        <w:br w:type="page"/>
      </w:r>
      <w:bookmarkStart w:id="4074" w:name="_Toc151137103"/>
      <w:bookmarkStart w:id="4075" w:name="_Toc1897305648"/>
      <w:bookmarkStart w:id="4076" w:name="_Toc906399334"/>
      <w:bookmarkStart w:id="4077" w:name="_Toc1566154384"/>
      <w:bookmarkStart w:id="4078" w:name="_Toc251046825"/>
      <w:bookmarkStart w:id="4079" w:name="_Toc1535747334"/>
      <w:bookmarkStart w:id="4080" w:name="_Toc1492277136"/>
      <w:r>
        <w:rPr>
          <w:rFonts w:hint="eastAsia" w:ascii="仿宋_GB2312" w:hAnsi="黑体" w:eastAsia="仿宋_GB2312"/>
          <w:b/>
          <w:sz w:val="30"/>
          <w:szCs w:val="30"/>
        </w:rPr>
        <w:t>附件20 债券借贷业务用户登记表</w:t>
      </w:r>
      <w:bookmarkEnd w:id="4074"/>
      <w:bookmarkEnd w:id="4075"/>
      <w:bookmarkEnd w:id="4076"/>
      <w:bookmarkEnd w:id="4077"/>
      <w:bookmarkEnd w:id="4078"/>
      <w:bookmarkEnd w:id="4079"/>
      <w:bookmarkEnd w:id="4080"/>
    </w:p>
    <w:p w14:paraId="4EB2B558">
      <w:pPr>
        <w:pStyle w:val="100"/>
        <w:spacing w:line="600" w:lineRule="exact"/>
        <w:ind w:firstLine="883" w:firstLineChars="200"/>
        <w:rPr>
          <w:rFonts w:ascii="黑体" w:hAnsi="黑体" w:eastAsia="黑体" w:cs="Times New Roman"/>
          <w:b/>
          <w:color w:val="auto"/>
          <w:sz w:val="44"/>
          <w:szCs w:val="44"/>
        </w:rPr>
      </w:pPr>
    </w:p>
    <w:p w14:paraId="33102134">
      <w:pPr>
        <w:pStyle w:val="100"/>
        <w:spacing w:line="600" w:lineRule="exact"/>
        <w:jc w:val="center"/>
        <w:rPr>
          <w:rFonts w:ascii="黑体" w:hAnsi="黑体" w:eastAsia="黑体" w:cs="Times New Roman"/>
          <w:b/>
          <w:color w:val="auto"/>
          <w:sz w:val="44"/>
          <w:szCs w:val="44"/>
        </w:rPr>
      </w:pPr>
      <w:r>
        <w:rPr>
          <w:rFonts w:hint="eastAsia" w:ascii="黑体" w:hAnsi="黑体" w:eastAsia="黑体" w:cs="Times New Roman"/>
          <w:b/>
          <w:color w:val="auto"/>
          <w:sz w:val="44"/>
          <w:szCs w:val="44"/>
        </w:rPr>
        <w:t>债券借贷业务用户登记表</w:t>
      </w:r>
    </w:p>
    <w:p w14:paraId="2B112BF3">
      <w:pPr>
        <w:pStyle w:val="92"/>
        <w:spacing w:line="600" w:lineRule="exact"/>
        <w:ind w:firstLine="600"/>
        <w:rPr>
          <w:rFonts w:ascii="仿宋_GB2312" w:eastAsia="仿宋_GB2312"/>
          <w:sz w:val="30"/>
          <w:szCs w:val="30"/>
          <w:lang w:eastAsia="zh-CN"/>
        </w:rPr>
      </w:pPr>
    </w:p>
    <w:tbl>
      <w:tblPr>
        <w:tblStyle w:val="43"/>
        <w:tblW w:w="9255" w:type="dxa"/>
        <w:jc w:val="center"/>
        <w:tblLayout w:type="autofit"/>
        <w:tblCellMar>
          <w:top w:w="0" w:type="dxa"/>
          <w:left w:w="108" w:type="dxa"/>
          <w:bottom w:w="0" w:type="dxa"/>
          <w:right w:w="108" w:type="dxa"/>
        </w:tblCellMar>
      </w:tblPr>
      <w:tblGrid>
        <w:gridCol w:w="1303"/>
        <w:gridCol w:w="1303"/>
        <w:gridCol w:w="1303"/>
        <w:gridCol w:w="1304"/>
        <w:gridCol w:w="1305"/>
        <w:gridCol w:w="1197"/>
        <w:gridCol w:w="1540"/>
      </w:tblGrid>
      <w:tr w14:paraId="08502E1D">
        <w:tblPrEx>
          <w:tblCellMar>
            <w:top w:w="0" w:type="dxa"/>
            <w:left w:w="108" w:type="dxa"/>
            <w:bottom w:w="0" w:type="dxa"/>
            <w:right w:w="108" w:type="dxa"/>
          </w:tblCellMar>
        </w:tblPrEx>
        <w:trPr>
          <w:trHeight w:val="272" w:hRule="atLeast"/>
          <w:jc w:val="center"/>
        </w:trPr>
        <w:tc>
          <w:tcPr>
            <w:tcW w:w="5213" w:type="dxa"/>
            <w:gridSpan w:val="4"/>
            <w:tcBorders>
              <w:top w:val="single" w:color="auto" w:sz="4" w:space="0"/>
              <w:left w:val="single" w:color="auto" w:sz="4" w:space="0"/>
              <w:bottom w:val="single" w:color="auto" w:sz="4" w:space="0"/>
              <w:right w:val="single" w:color="auto" w:sz="4" w:space="0"/>
            </w:tcBorders>
          </w:tcPr>
          <w:p w14:paraId="3BCD4803">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公司全称： </w:t>
            </w:r>
          </w:p>
        </w:tc>
        <w:tc>
          <w:tcPr>
            <w:tcW w:w="4042" w:type="dxa"/>
            <w:gridSpan w:val="3"/>
            <w:tcBorders>
              <w:top w:val="single" w:color="auto" w:sz="4" w:space="0"/>
              <w:left w:val="nil"/>
              <w:bottom w:val="single" w:color="auto" w:sz="4" w:space="0"/>
              <w:right w:val="single" w:color="auto" w:sz="4" w:space="0"/>
            </w:tcBorders>
          </w:tcPr>
          <w:p w14:paraId="3C881F04">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邮编：</w:t>
            </w:r>
          </w:p>
        </w:tc>
      </w:tr>
      <w:tr w14:paraId="063DBC46">
        <w:tblPrEx>
          <w:tblCellMar>
            <w:top w:w="0" w:type="dxa"/>
            <w:left w:w="108" w:type="dxa"/>
            <w:bottom w:w="0" w:type="dxa"/>
            <w:right w:w="108" w:type="dxa"/>
          </w:tblCellMar>
        </w:tblPrEx>
        <w:trPr>
          <w:trHeight w:val="272" w:hRule="atLeast"/>
          <w:jc w:val="center"/>
        </w:trPr>
        <w:tc>
          <w:tcPr>
            <w:tcW w:w="3909" w:type="dxa"/>
            <w:gridSpan w:val="3"/>
            <w:tcBorders>
              <w:top w:val="single" w:color="auto" w:sz="4" w:space="0"/>
              <w:left w:val="single" w:color="auto" w:sz="4" w:space="0"/>
              <w:bottom w:val="single" w:color="auto" w:sz="4" w:space="0"/>
              <w:right w:val="single" w:color="auto" w:sz="4" w:space="0"/>
            </w:tcBorders>
          </w:tcPr>
          <w:p w14:paraId="3B3E8449">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公司地址： </w:t>
            </w:r>
          </w:p>
        </w:tc>
        <w:tc>
          <w:tcPr>
            <w:tcW w:w="1304" w:type="dxa"/>
            <w:tcBorders>
              <w:top w:val="nil"/>
              <w:left w:val="nil"/>
              <w:bottom w:val="single" w:color="auto" w:sz="4" w:space="0"/>
              <w:right w:val="single" w:color="auto" w:sz="4" w:space="0"/>
            </w:tcBorders>
          </w:tcPr>
          <w:p w14:paraId="367B4CB7">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电话：</w:t>
            </w:r>
          </w:p>
        </w:tc>
        <w:tc>
          <w:tcPr>
            <w:tcW w:w="4042" w:type="dxa"/>
            <w:gridSpan w:val="3"/>
            <w:tcBorders>
              <w:top w:val="single" w:color="auto" w:sz="4" w:space="0"/>
              <w:left w:val="single" w:color="auto" w:sz="4" w:space="0"/>
              <w:bottom w:val="single" w:color="auto" w:sz="4" w:space="0"/>
              <w:right w:val="single" w:color="auto" w:sz="4" w:space="0"/>
            </w:tcBorders>
          </w:tcPr>
          <w:p w14:paraId="492DD279">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传真：</w:t>
            </w:r>
          </w:p>
        </w:tc>
      </w:tr>
      <w:tr w14:paraId="2094F7E6">
        <w:tblPrEx>
          <w:tblCellMar>
            <w:top w:w="0" w:type="dxa"/>
            <w:left w:w="108" w:type="dxa"/>
            <w:bottom w:w="0" w:type="dxa"/>
            <w:right w:w="108" w:type="dxa"/>
          </w:tblCellMar>
        </w:tblPrEx>
        <w:trPr>
          <w:trHeight w:val="272" w:hRule="atLeast"/>
          <w:jc w:val="center"/>
        </w:trPr>
        <w:tc>
          <w:tcPr>
            <w:tcW w:w="3909" w:type="dxa"/>
            <w:gridSpan w:val="3"/>
            <w:tcBorders>
              <w:top w:val="single" w:color="auto" w:sz="4" w:space="0"/>
              <w:left w:val="single" w:color="auto" w:sz="4" w:space="0"/>
              <w:bottom w:val="single" w:color="auto" w:sz="4" w:space="0"/>
              <w:right w:val="single" w:color="auto" w:sz="4" w:space="0"/>
            </w:tcBorders>
          </w:tcPr>
          <w:p w14:paraId="36E4DE6D">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企业法人营业执照号： </w:t>
            </w:r>
          </w:p>
        </w:tc>
        <w:tc>
          <w:tcPr>
            <w:tcW w:w="5346" w:type="dxa"/>
            <w:gridSpan w:val="4"/>
            <w:tcBorders>
              <w:top w:val="single" w:color="auto" w:sz="4" w:space="0"/>
              <w:left w:val="single" w:color="auto" w:sz="4" w:space="0"/>
              <w:bottom w:val="single" w:color="auto" w:sz="4" w:space="0"/>
              <w:right w:val="single" w:color="auto" w:sz="4" w:space="0"/>
            </w:tcBorders>
          </w:tcPr>
          <w:p w14:paraId="06E34BF4">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注册资本：</w:t>
            </w:r>
          </w:p>
        </w:tc>
      </w:tr>
      <w:tr w14:paraId="708C919C">
        <w:tblPrEx>
          <w:tblCellMar>
            <w:top w:w="0" w:type="dxa"/>
            <w:left w:w="108" w:type="dxa"/>
            <w:bottom w:w="0" w:type="dxa"/>
            <w:right w:w="108" w:type="dxa"/>
          </w:tblCellMar>
        </w:tblPrEx>
        <w:trPr>
          <w:trHeight w:val="272" w:hRule="atLeast"/>
          <w:jc w:val="center"/>
        </w:trPr>
        <w:tc>
          <w:tcPr>
            <w:tcW w:w="3909" w:type="dxa"/>
            <w:gridSpan w:val="3"/>
            <w:tcBorders>
              <w:top w:val="single" w:color="auto" w:sz="4" w:space="0"/>
              <w:left w:val="single" w:color="auto" w:sz="4" w:space="0"/>
              <w:bottom w:val="single" w:color="auto" w:sz="4" w:space="0"/>
              <w:right w:val="single" w:color="auto" w:sz="4" w:space="0"/>
            </w:tcBorders>
          </w:tcPr>
          <w:p w14:paraId="5ED96695">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法定代表人： </w:t>
            </w:r>
          </w:p>
        </w:tc>
        <w:tc>
          <w:tcPr>
            <w:tcW w:w="5346" w:type="dxa"/>
            <w:gridSpan w:val="4"/>
            <w:tcBorders>
              <w:top w:val="single" w:color="auto" w:sz="4" w:space="0"/>
              <w:left w:val="single" w:color="auto" w:sz="4" w:space="0"/>
              <w:bottom w:val="single" w:color="auto" w:sz="4" w:space="0"/>
              <w:right w:val="single" w:color="auto" w:sz="4" w:space="0"/>
            </w:tcBorders>
          </w:tcPr>
          <w:p w14:paraId="0F3C69BE">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总经理：</w:t>
            </w:r>
          </w:p>
        </w:tc>
      </w:tr>
      <w:tr w14:paraId="5EB73620">
        <w:tblPrEx>
          <w:tblCellMar>
            <w:top w:w="0" w:type="dxa"/>
            <w:left w:w="108" w:type="dxa"/>
            <w:bottom w:w="0" w:type="dxa"/>
            <w:right w:w="108" w:type="dxa"/>
          </w:tblCellMar>
        </w:tblPrEx>
        <w:trPr>
          <w:trHeight w:val="815" w:hRule="atLeast"/>
          <w:jc w:val="center"/>
        </w:trPr>
        <w:tc>
          <w:tcPr>
            <w:tcW w:w="1303" w:type="dxa"/>
            <w:tcBorders>
              <w:top w:val="nil"/>
              <w:left w:val="single" w:color="auto" w:sz="4" w:space="0"/>
              <w:bottom w:val="single" w:color="auto" w:sz="4" w:space="0"/>
              <w:right w:val="single" w:color="auto" w:sz="4" w:space="0"/>
            </w:tcBorders>
          </w:tcPr>
          <w:p w14:paraId="503055B8">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债券借贷业务负责人 </w:t>
            </w:r>
          </w:p>
        </w:tc>
        <w:tc>
          <w:tcPr>
            <w:tcW w:w="1303" w:type="dxa"/>
            <w:tcBorders>
              <w:top w:val="nil"/>
              <w:left w:val="nil"/>
              <w:bottom w:val="single" w:color="auto" w:sz="4" w:space="0"/>
              <w:right w:val="single" w:color="auto" w:sz="4" w:space="0"/>
            </w:tcBorders>
          </w:tcPr>
          <w:p w14:paraId="70559378">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部门 </w:t>
            </w:r>
          </w:p>
        </w:tc>
        <w:tc>
          <w:tcPr>
            <w:tcW w:w="1303" w:type="dxa"/>
            <w:tcBorders>
              <w:top w:val="nil"/>
              <w:left w:val="nil"/>
              <w:bottom w:val="single" w:color="auto" w:sz="4" w:space="0"/>
              <w:right w:val="single" w:color="auto" w:sz="4" w:space="0"/>
            </w:tcBorders>
          </w:tcPr>
          <w:p w14:paraId="12E23656">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职务 </w:t>
            </w:r>
          </w:p>
        </w:tc>
        <w:tc>
          <w:tcPr>
            <w:tcW w:w="1304" w:type="dxa"/>
            <w:tcBorders>
              <w:top w:val="single" w:color="auto" w:sz="4" w:space="0"/>
              <w:left w:val="nil"/>
              <w:bottom w:val="single" w:color="auto" w:sz="4" w:space="0"/>
              <w:right w:val="single" w:color="auto" w:sz="4" w:space="0"/>
            </w:tcBorders>
          </w:tcPr>
          <w:p w14:paraId="2134DCB2">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电话 </w:t>
            </w:r>
          </w:p>
        </w:tc>
        <w:tc>
          <w:tcPr>
            <w:tcW w:w="1305" w:type="dxa"/>
            <w:tcBorders>
              <w:top w:val="single" w:color="auto" w:sz="4" w:space="0"/>
              <w:left w:val="nil"/>
              <w:bottom w:val="single" w:color="auto" w:sz="4" w:space="0"/>
              <w:right w:val="single" w:color="auto" w:sz="4" w:space="0"/>
            </w:tcBorders>
          </w:tcPr>
          <w:p w14:paraId="2F1103F9">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手机 </w:t>
            </w:r>
          </w:p>
        </w:tc>
        <w:tc>
          <w:tcPr>
            <w:tcW w:w="1197" w:type="dxa"/>
            <w:tcBorders>
              <w:top w:val="nil"/>
              <w:left w:val="nil"/>
              <w:bottom w:val="single" w:color="auto" w:sz="4" w:space="0"/>
              <w:right w:val="single" w:color="auto" w:sz="4" w:space="0"/>
            </w:tcBorders>
          </w:tcPr>
          <w:p w14:paraId="741C1F6B">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传真 </w:t>
            </w:r>
          </w:p>
        </w:tc>
        <w:tc>
          <w:tcPr>
            <w:tcW w:w="1540" w:type="dxa"/>
            <w:tcBorders>
              <w:top w:val="nil"/>
              <w:left w:val="nil"/>
              <w:bottom w:val="single" w:color="auto" w:sz="4" w:space="0"/>
              <w:right w:val="single" w:color="auto" w:sz="4" w:space="0"/>
            </w:tcBorders>
          </w:tcPr>
          <w:p w14:paraId="1C1772BF">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E-mail </w:t>
            </w:r>
          </w:p>
        </w:tc>
      </w:tr>
      <w:tr w14:paraId="01EEA6AA">
        <w:tblPrEx>
          <w:tblCellMar>
            <w:top w:w="0" w:type="dxa"/>
            <w:left w:w="108" w:type="dxa"/>
            <w:bottom w:w="0" w:type="dxa"/>
            <w:right w:w="108" w:type="dxa"/>
          </w:tblCellMar>
        </w:tblPrEx>
        <w:trPr>
          <w:trHeight w:val="272" w:hRule="atLeast"/>
          <w:jc w:val="center"/>
        </w:trPr>
        <w:tc>
          <w:tcPr>
            <w:tcW w:w="1303" w:type="dxa"/>
            <w:tcBorders>
              <w:top w:val="nil"/>
              <w:left w:val="single" w:color="auto" w:sz="4" w:space="0"/>
              <w:bottom w:val="single" w:color="auto" w:sz="4" w:space="0"/>
              <w:right w:val="single" w:color="auto" w:sz="4" w:space="0"/>
            </w:tcBorders>
          </w:tcPr>
          <w:p w14:paraId="7C7202EF">
            <w:pPr>
              <w:widowControl/>
              <w:spacing w:line="300" w:lineRule="auto"/>
              <w:jc w:val="left"/>
              <w:rPr>
                <w:rFonts w:ascii="仿宋_GB2312" w:eastAsia="仿宋_GB2312"/>
                <w:kern w:val="0"/>
                <w:sz w:val="24"/>
                <w:szCs w:val="24"/>
              </w:rPr>
            </w:pPr>
          </w:p>
        </w:tc>
        <w:tc>
          <w:tcPr>
            <w:tcW w:w="1303" w:type="dxa"/>
            <w:tcBorders>
              <w:top w:val="nil"/>
              <w:left w:val="nil"/>
              <w:bottom w:val="single" w:color="auto" w:sz="4" w:space="0"/>
              <w:right w:val="single" w:color="auto" w:sz="4" w:space="0"/>
            </w:tcBorders>
          </w:tcPr>
          <w:p w14:paraId="235F0A95">
            <w:pPr>
              <w:widowControl/>
              <w:spacing w:line="300" w:lineRule="auto"/>
              <w:jc w:val="left"/>
              <w:rPr>
                <w:rFonts w:ascii="仿宋_GB2312" w:eastAsia="仿宋_GB2312"/>
                <w:kern w:val="0"/>
                <w:sz w:val="24"/>
                <w:szCs w:val="24"/>
              </w:rPr>
            </w:pPr>
          </w:p>
        </w:tc>
        <w:tc>
          <w:tcPr>
            <w:tcW w:w="1303" w:type="dxa"/>
            <w:tcBorders>
              <w:top w:val="nil"/>
              <w:left w:val="nil"/>
              <w:bottom w:val="single" w:color="auto" w:sz="4" w:space="0"/>
              <w:right w:val="single" w:color="auto" w:sz="4" w:space="0"/>
            </w:tcBorders>
          </w:tcPr>
          <w:p w14:paraId="0F3F2F44">
            <w:pPr>
              <w:widowControl/>
              <w:spacing w:line="300" w:lineRule="auto"/>
              <w:jc w:val="left"/>
              <w:rPr>
                <w:rFonts w:ascii="仿宋_GB2312" w:eastAsia="仿宋_GB2312"/>
                <w:kern w:val="0"/>
                <w:sz w:val="24"/>
                <w:szCs w:val="24"/>
              </w:rPr>
            </w:pPr>
          </w:p>
        </w:tc>
        <w:tc>
          <w:tcPr>
            <w:tcW w:w="1304" w:type="dxa"/>
            <w:tcBorders>
              <w:top w:val="single" w:color="auto" w:sz="4" w:space="0"/>
              <w:left w:val="nil"/>
              <w:bottom w:val="single" w:color="auto" w:sz="4" w:space="0"/>
              <w:right w:val="single" w:color="000000" w:sz="4" w:space="0"/>
            </w:tcBorders>
          </w:tcPr>
          <w:p w14:paraId="37061F36">
            <w:pPr>
              <w:widowControl/>
              <w:spacing w:line="300" w:lineRule="auto"/>
              <w:jc w:val="center"/>
              <w:rPr>
                <w:rFonts w:ascii="仿宋_GB2312" w:eastAsia="仿宋_GB2312"/>
                <w:kern w:val="0"/>
                <w:sz w:val="24"/>
                <w:szCs w:val="24"/>
              </w:rPr>
            </w:pPr>
          </w:p>
        </w:tc>
        <w:tc>
          <w:tcPr>
            <w:tcW w:w="1305" w:type="dxa"/>
            <w:tcBorders>
              <w:top w:val="nil"/>
              <w:left w:val="nil"/>
              <w:bottom w:val="single" w:color="auto" w:sz="4" w:space="0"/>
              <w:right w:val="single" w:color="auto" w:sz="4" w:space="0"/>
            </w:tcBorders>
          </w:tcPr>
          <w:p w14:paraId="170AE3DE">
            <w:pPr>
              <w:widowControl/>
              <w:spacing w:line="300" w:lineRule="auto"/>
              <w:jc w:val="left"/>
              <w:rPr>
                <w:rFonts w:ascii="仿宋_GB2312" w:eastAsia="仿宋_GB2312"/>
                <w:kern w:val="0"/>
                <w:sz w:val="24"/>
                <w:szCs w:val="24"/>
              </w:rPr>
            </w:pPr>
          </w:p>
        </w:tc>
        <w:tc>
          <w:tcPr>
            <w:tcW w:w="1197" w:type="dxa"/>
            <w:tcBorders>
              <w:top w:val="nil"/>
              <w:left w:val="nil"/>
              <w:bottom w:val="single" w:color="auto" w:sz="4" w:space="0"/>
              <w:right w:val="single" w:color="auto" w:sz="4" w:space="0"/>
            </w:tcBorders>
          </w:tcPr>
          <w:p w14:paraId="6A2CDD15">
            <w:pPr>
              <w:widowControl/>
              <w:spacing w:line="300" w:lineRule="auto"/>
              <w:jc w:val="left"/>
              <w:rPr>
                <w:rFonts w:ascii="仿宋_GB2312" w:eastAsia="仿宋_GB2312"/>
                <w:kern w:val="0"/>
                <w:sz w:val="24"/>
                <w:szCs w:val="24"/>
              </w:rPr>
            </w:pPr>
          </w:p>
        </w:tc>
        <w:tc>
          <w:tcPr>
            <w:tcW w:w="1540" w:type="dxa"/>
            <w:tcBorders>
              <w:top w:val="single" w:color="auto" w:sz="4" w:space="0"/>
              <w:left w:val="nil"/>
              <w:bottom w:val="single" w:color="auto" w:sz="4" w:space="0"/>
              <w:right w:val="single" w:color="auto" w:sz="4" w:space="0"/>
            </w:tcBorders>
            <w:noWrap/>
            <w:vAlign w:val="center"/>
          </w:tcPr>
          <w:p w14:paraId="0CAEF9AB">
            <w:pPr>
              <w:widowControl/>
              <w:spacing w:line="300" w:lineRule="auto"/>
              <w:jc w:val="left"/>
              <w:rPr>
                <w:rFonts w:ascii="仿宋_GB2312" w:eastAsia="仿宋_GB2312"/>
                <w:kern w:val="0"/>
                <w:sz w:val="24"/>
                <w:szCs w:val="24"/>
              </w:rPr>
            </w:pPr>
          </w:p>
        </w:tc>
      </w:tr>
      <w:tr w14:paraId="68BA7962">
        <w:tblPrEx>
          <w:tblCellMar>
            <w:top w:w="0" w:type="dxa"/>
            <w:left w:w="108" w:type="dxa"/>
            <w:bottom w:w="0" w:type="dxa"/>
            <w:right w:w="108" w:type="dxa"/>
          </w:tblCellMar>
        </w:tblPrEx>
        <w:trPr>
          <w:trHeight w:val="815" w:hRule="atLeast"/>
          <w:jc w:val="center"/>
        </w:trPr>
        <w:tc>
          <w:tcPr>
            <w:tcW w:w="1303" w:type="dxa"/>
            <w:tcBorders>
              <w:top w:val="nil"/>
              <w:left w:val="single" w:color="auto" w:sz="4" w:space="0"/>
              <w:bottom w:val="single" w:color="auto" w:sz="4" w:space="0"/>
              <w:right w:val="single" w:color="auto" w:sz="4" w:space="0"/>
            </w:tcBorders>
          </w:tcPr>
          <w:p w14:paraId="5AEA26B7">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债券借贷业务联络人 </w:t>
            </w:r>
          </w:p>
        </w:tc>
        <w:tc>
          <w:tcPr>
            <w:tcW w:w="1303" w:type="dxa"/>
            <w:tcBorders>
              <w:top w:val="nil"/>
              <w:left w:val="nil"/>
              <w:bottom w:val="single" w:color="auto" w:sz="4" w:space="0"/>
              <w:right w:val="single" w:color="auto" w:sz="4" w:space="0"/>
            </w:tcBorders>
          </w:tcPr>
          <w:p w14:paraId="63F5A6C7">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部门 </w:t>
            </w:r>
          </w:p>
        </w:tc>
        <w:tc>
          <w:tcPr>
            <w:tcW w:w="1303" w:type="dxa"/>
            <w:tcBorders>
              <w:top w:val="nil"/>
              <w:left w:val="nil"/>
              <w:bottom w:val="single" w:color="auto" w:sz="4" w:space="0"/>
              <w:right w:val="single" w:color="auto" w:sz="4" w:space="0"/>
            </w:tcBorders>
          </w:tcPr>
          <w:p w14:paraId="4515A6F2">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职务 </w:t>
            </w:r>
          </w:p>
        </w:tc>
        <w:tc>
          <w:tcPr>
            <w:tcW w:w="1304" w:type="dxa"/>
            <w:tcBorders>
              <w:top w:val="single" w:color="auto" w:sz="4" w:space="0"/>
              <w:left w:val="nil"/>
              <w:bottom w:val="single" w:color="auto" w:sz="4" w:space="0"/>
              <w:right w:val="single" w:color="auto" w:sz="4" w:space="0"/>
            </w:tcBorders>
          </w:tcPr>
          <w:p w14:paraId="42E72E13">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电话 </w:t>
            </w:r>
          </w:p>
        </w:tc>
        <w:tc>
          <w:tcPr>
            <w:tcW w:w="1305" w:type="dxa"/>
            <w:tcBorders>
              <w:top w:val="single" w:color="auto" w:sz="4" w:space="0"/>
              <w:left w:val="nil"/>
              <w:bottom w:val="single" w:color="auto" w:sz="4" w:space="0"/>
              <w:right w:val="single" w:color="auto" w:sz="4" w:space="0"/>
            </w:tcBorders>
          </w:tcPr>
          <w:p w14:paraId="52915FF1">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手机 </w:t>
            </w:r>
          </w:p>
        </w:tc>
        <w:tc>
          <w:tcPr>
            <w:tcW w:w="1197" w:type="dxa"/>
            <w:tcBorders>
              <w:top w:val="nil"/>
              <w:left w:val="nil"/>
              <w:bottom w:val="single" w:color="auto" w:sz="4" w:space="0"/>
              <w:right w:val="single" w:color="auto" w:sz="4" w:space="0"/>
            </w:tcBorders>
          </w:tcPr>
          <w:p w14:paraId="2FD62D9C">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传真 </w:t>
            </w:r>
          </w:p>
        </w:tc>
        <w:tc>
          <w:tcPr>
            <w:tcW w:w="1540" w:type="dxa"/>
            <w:tcBorders>
              <w:top w:val="single" w:color="auto" w:sz="4" w:space="0"/>
              <w:left w:val="nil"/>
              <w:bottom w:val="single" w:color="auto" w:sz="4" w:space="0"/>
              <w:right w:val="single" w:color="auto" w:sz="4" w:space="0"/>
            </w:tcBorders>
          </w:tcPr>
          <w:p w14:paraId="39BA10B9">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E-mail </w:t>
            </w:r>
          </w:p>
        </w:tc>
      </w:tr>
      <w:tr w14:paraId="642808F4">
        <w:tblPrEx>
          <w:tblCellMar>
            <w:top w:w="0" w:type="dxa"/>
            <w:left w:w="108" w:type="dxa"/>
            <w:bottom w:w="0" w:type="dxa"/>
            <w:right w:w="108" w:type="dxa"/>
          </w:tblCellMar>
        </w:tblPrEx>
        <w:trPr>
          <w:trHeight w:val="272" w:hRule="atLeast"/>
          <w:jc w:val="center"/>
        </w:trPr>
        <w:tc>
          <w:tcPr>
            <w:tcW w:w="1303" w:type="dxa"/>
            <w:tcBorders>
              <w:top w:val="nil"/>
              <w:left w:val="single" w:color="auto" w:sz="4" w:space="0"/>
              <w:bottom w:val="single" w:color="auto" w:sz="4" w:space="0"/>
              <w:right w:val="single" w:color="auto" w:sz="4" w:space="0"/>
            </w:tcBorders>
          </w:tcPr>
          <w:p w14:paraId="179C917A">
            <w:pPr>
              <w:widowControl/>
              <w:spacing w:line="300" w:lineRule="auto"/>
              <w:jc w:val="left"/>
              <w:rPr>
                <w:rFonts w:ascii="仿宋_GB2312" w:eastAsia="仿宋_GB2312"/>
                <w:kern w:val="0"/>
                <w:sz w:val="24"/>
                <w:szCs w:val="24"/>
              </w:rPr>
            </w:pPr>
          </w:p>
        </w:tc>
        <w:tc>
          <w:tcPr>
            <w:tcW w:w="1303" w:type="dxa"/>
            <w:tcBorders>
              <w:top w:val="nil"/>
              <w:left w:val="nil"/>
              <w:bottom w:val="single" w:color="auto" w:sz="4" w:space="0"/>
              <w:right w:val="single" w:color="auto" w:sz="4" w:space="0"/>
            </w:tcBorders>
          </w:tcPr>
          <w:p w14:paraId="3E5003AE">
            <w:pPr>
              <w:widowControl/>
              <w:spacing w:line="300" w:lineRule="auto"/>
              <w:jc w:val="left"/>
              <w:rPr>
                <w:rFonts w:ascii="仿宋_GB2312" w:eastAsia="仿宋_GB2312"/>
                <w:kern w:val="0"/>
                <w:sz w:val="24"/>
                <w:szCs w:val="24"/>
              </w:rPr>
            </w:pPr>
          </w:p>
        </w:tc>
        <w:tc>
          <w:tcPr>
            <w:tcW w:w="1303" w:type="dxa"/>
            <w:tcBorders>
              <w:top w:val="nil"/>
              <w:left w:val="nil"/>
              <w:bottom w:val="single" w:color="auto" w:sz="4" w:space="0"/>
              <w:right w:val="single" w:color="auto" w:sz="4" w:space="0"/>
            </w:tcBorders>
          </w:tcPr>
          <w:p w14:paraId="05ED803E">
            <w:pPr>
              <w:widowControl/>
              <w:spacing w:line="300" w:lineRule="auto"/>
              <w:jc w:val="left"/>
              <w:rPr>
                <w:rFonts w:ascii="仿宋_GB2312" w:eastAsia="仿宋_GB2312"/>
                <w:kern w:val="0"/>
                <w:sz w:val="24"/>
                <w:szCs w:val="24"/>
              </w:rPr>
            </w:pPr>
          </w:p>
        </w:tc>
        <w:tc>
          <w:tcPr>
            <w:tcW w:w="1304" w:type="dxa"/>
            <w:tcBorders>
              <w:top w:val="single" w:color="auto" w:sz="4" w:space="0"/>
              <w:left w:val="nil"/>
              <w:bottom w:val="single" w:color="auto" w:sz="4" w:space="0"/>
              <w:right w:val="single" w:color="000000" w:sz="4" w:space="0"/>
            </w:tcBorders>
          </w:tcPr>
          <w:p w14:paraId="741EB117">
            <w:pPr>
              <w:widowControl/>
              <w:spacing w:line="300" w:lineRule="auto"/>
              <w:jc w:val="center"/>
              <w:rPr>
                <w:rFonts w:ascii="仿宋_GB2312" w:eastAsia="仿宋_GB2312"/>
                <w:kern w:val="0"/>
                <w:sz w:val="24"/>
                <w:szCs w:val="24"/>
              </w:rPr>
            </w:pPr>
          </w:p>
        </w:tc>
        <w:tc>
          <w:tcPr>
            <w:tcW w:w="1305" w:type="dxa"/>
            <w:tcBorders>
              <w:top w:val="nil"/>
              <w:left w:val="nil"/>
              <w:bottom w:val="single" w:color="auto" w:sz="4" w:space="0"/>
              <w:right w:val="single" w:color="auto" w:sz="4" w:space="0"/>
            </w:tcBorders>
          </w:tcPr>
          <w:p w14:paraId="5FFF6B05">
            <w:pPr>
              <w:widowControl/>
              <w:spacing w:line="300" w:lineRule="auto"/>
              <w:jc w:val="left"/>
              <w:rPr>
                <w:rFonts w:ascii="仿宋_GB2312" w:eastAsia="仿宋_GB2312"/>
                <w:kern w:val="0"/>
                <w:sz w:val="24"/>
                <w:szCs w:val="24"/>
              </w:rPr>
            </w:pPr>
          </w:p>
        </w:tc>
        <w:tc>
          <w:tcPr>
            <w:tcW w:w="1197" w:type="dxa"/>
            <w:tcBorders>
              <w:top w:val="nil"/>
              <w:left w:val="nil"/>
              <w:bottom w:val="single" w:color="auto" w:sz="4" w:space="0"/>
              <w:right w:val="single" w:color="auto" w:sz="4" w:space="0"/>
            </w:tcBorders>
          </w:tcPr>
          <w:p w14:paraId="0EA79556">
            <w:pPr>
              <w:widowControl/>
              <w:spacing w:line="300" w:lineRule="auto"/>
              <w:jc w:val="left"/>
              <w:rPr>
                <w:rFonts w:ascii="仿宋_GB2312" w:eastAsia="仿宋_GB2312"/>
                <w:kern w:val="0"/>
                <w:sz w:val="24"/>
                <w:szCs w:val="24"/>
              </w:rPr>
            </w:pPr>
          </w:p>
        </w:tc>
        <w:tc>
          <w:tcPr>
            <w:tcW w:w="1540" w:type="dxa"/>
            <w:tcBorders>
              <w:top w:val="nil"/>
              <w:left w:val="nil"/>
              <w:bottom w:val="single" w:color="auto" w:sz="4" w:space="0"/>
              <w:right w:val="single" w:color="auto" w:sz="4" w:space="0"/>
            </w:tcBorders>
          </w:tcPr>
          <w:p w14:paraId="5A8C43C9">
            <w:pPr>
              <w:widowControl/>
              <w:spacing w:line="300" w:lineRule="auto"/>
              <w:jc w:val="left"/>
              <w:rPr>
                <w:rFonts w:ascii="仿宋_GB2312" w:eastAsia="仿宋_GB2312"/>
                <w:kern w:val="0"/>
                <w:sz w:val="24"/>
                <w:szCs w:val="24"/>
              </w:rPr>
            </w:pPr>
          </w:p>
        </w:tc>
      </w:tr>
      <w:tr w14:paraId="6ECED496">
        <w:tblPrEx>
          <w:tblCellMar>
            <w:top w:w="0" w:type="dxa"/>
            <w:left w:w="108" w:type="dxa"/>
            <w:bottom w:w="0" w:type="dxa"/>
            <w:right w:w="108" w:type="dxa"/>
          </w:tblCellMar>
        </w:tblPrEx>
        <w:trPr>
          <w:trHeight w:val="543" w:hRule="atLeast"/>
          <w:jc w:val="center"/>
        </w:trPr>
        <w:tc>
          <w:tcPr>
            <w:tcW w:w="9255" w:type="dxa"/>
            <w:gridSpan w:val="7"/>
            <w:tcBorders>
              <w:top w:val="single" w:color="auto" w:sz="4" w:space="0"/>
              <w:left w:val="single" w:color="auto" w:sz="4" w:space="0"/>
              <w:bottom w:val="single" w:color="auto" w:sz="4" w:space="0"/>
              <w:right w:val="single" w:color="auto" w:sz="4" w:space="0"/>
            </w:tcBorders>
          </w:tcPr>
          <w:p w14:paraId="4B75E73F">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兹确认以下单位公章和法定代表人签章与我单位工商登记预留印鉴一致，若遇以下印鉴变更，我单位将及时通知贵所 </w:t>
            </w:r>
          </w:p>
        </w:tc>
      </w:tr>
      <w:tr w14:paraId="55B0E739">
        <w:tblPrEx>
          <w:tblCellMar>
            <w:top w:w="0" w:type="dxa"/>
            <w:left w:w="108" w:type="dxa"/>
            <w:bottom w:w="0" w:type="dxa"/>
            <w:right w:w="108" w:type="dxa"/>
          </w:tblCellMar>
        </w:tblPrEx>
        <w:trPr>
          <w:trHeight w:val="272" w:hRule="atLeast"/>
          <w:jc w:val="center"/>
        </w:trPr>
        <w:tc>
          <w:tcPr>
            <w:tcW w:w="9255" w:type="dxa"/>
            <w:gridSpan w:val="7"/>
            <w:tcBorders>
              <w:top w:val="single" w:color="auto" w:sz="4" w:space="0"/>
              <w:left w:val="single" w:color="auto" w:sz="4" w:space="0"/>
              <w:bottom w:val="single" w:color="auto" w:sz="4" w:space="0"/>
              <w:right w:val="single" w:color="auto" w:sz="4" w:space="0"/>
            </w:tcBorders>
          </w:tcPr>
          <w:p w14:paraId="2D0BCC81">
            <w:pPr>
              <w:widowControl/>
              <w:spacing w:line="300" w:lineRule="auto"/>
              <w:jc w:val="left"/>
              <w:rPr>
                <w:rFonts w:ascii="仿宋_GB2312" w:eastAsia="仿宋_GB2312"/>
                <w:kern w:val="0"/>
                <w:sz w:val="24"/>
                <w:szCs w:val="24"/>
              </w:rPr>
            </w:pPr>
            <w:r>
              <w:rPr>
                <w:rFonts w:hint="eastAsia" w:ascii="仿宋_GB2312" w:eastAsia="仿宋_GB2312"/>
                <w:kern w:val="0"/>
                <w:sz w:val="24"/>
                <w:szCs w:val="24"/>
              </w:rPr>
              <w:t xml:space="preserve">公司预留印鉴： </w:t>
            </w:r>
          </w:p>
        </w:tc>
      </w:tr>
    </w:tbl>
    <w:p w14:paraId="3A2628DD">
      <w:pPr>
        <w:pStyle w:val="100"/>
        <w:spacing w:line="600" w:lineRule="exact"/>
        <w:ind w:firstLine="600" w:firstLineChars="200"/>
        <w:jc w:val="right"/>
        <w:rPr>
          <w:rFonts w:hAnsi="Times New Roman" w:cs="Times New Roman"/>
          <w:color w:val="auto"/>
          <w:sz w:val="30"/>
          <w:szCs w:val="30"/>
        </w:rPr>
      </w:pPr>
      <w:r>
        <w:rPr>
          <w:rFonts w:hint="eastAsia" w:hAnsi="Times New Roman" w:cs="Times New Roman"/>
          <w:color w:val="auto"/>
          <w:sz w:val="30"/>
          <w:szCs w:val="30"/>
        </w:rPr>
        <w:t xml:space="preserve">（公司盖章） </w:t>
      </w:r>
    </w:p>
    <w:p w14:paraId="71088BDD">
      <w:pPr>
        <w:pStyle w:val="100"/>
        <w:spacing w:line="600" w:lineRule="exact"/>
        <w:ind w:firstLine="600" w:firstLineChars="200"/>
        <w:jc w:val="right"/>
        <w:rPr>
          <w:rFonts w:hAnsi="Times New Roman" w:cs="Times New Roman"/>
          <w:color w:val="auto"/>
          <w:sz w:val="30"/>
          <w:szCs w:val="30"/>
        </w:rPr>
      </w:pPr>
      <w:r>
        <w:rPr>
          <w:rFonts w:hint="eastAsia" w:hAnsi="Times New Roman" w:cs="Times New Roman"/>
          <w:color w:val="auto"/>
          <w:sz w:val="30"/>
          <w:szCs w:val="30"/>
        </w:rPr>
        <w:t xml:space="preserve">法人代表（或授权人）签章 </w:t>
      </w:r>
    </w:p>
    <w:p w14:paraId="7134D32B">
      <w:pPr>
        <w:pStyle w:val="100"/>
        <w:ind w:firstLine="5400" w:firstLineChars="1800"/>
        <w:rPr>
          <w:sz w:val="30"/>
          <w:szCs w:val="30"/>
        </w:rPr>
      </w:pPr>
      <w:r>
        <w:rPr>
          <w:rFonts w:hint="eastAsia"/>
          <w:sz w:val="30"/>
          <w:szCs w:val="30"/>
        </w:rPr>
        <w:t>××年××月××日</w:t>
      </w:r>
    </w:p>
    <w:p w14:paraId="33746DF2">
      <w:pPr>
        <w:widowControl/>
        <w:jc w:val="left"/>
        <w:outlineLvl w:val="1"/>
        <w:rPr>
          <w:rFonts w:hAnsi="仿宋"/>
          <w:b/>
          <w:bCs/>
          <w:sz w:val="30"/>
          <w:szCs w:val="30"/>
        </w:rPr>
      </w:pPr>
      <w:r>
        <w:rPr>
          <w:sz w:val="30"/>
          <w:szCs w:val="30"/>
        </w:rPr>
        <w:br w:type="page"/>
      </w:r>
      <w:bookmarkStart w:id="4081" w:name="_Toc151137104"/>
      <w:bookmarkStart w:id="4082" w:name="_Toc1933418382"/>
      <w:bookmarkStart w:id="4083" w:name="_Toc1583256504"/>
      <w:bookmarkStart w:id="4084" w:name="_Toc2060542711"/>
      <w:bookmarkStart w:id="4085" w:name="_Toc636223533"/>
      <w:bookmarkStart w:id="4086" w:name="_Toc1532890999"/>
      <w:bookmarkStart w:id="4087" w:name="_Toc979575930"/>
      <w:r>
        <w:rPr>
          <w:rFonts w:hint="eastAsia" w:ascii="仿宋_GB2312" w:hAnsi="黑体" w:eastAsia="仿宋_GB2312"/>
          <w:b/>
          <w:sz w:val="30"/>
          <w:szCs w:val="30"/>
        </w:rPr>
        <w:t>附件21 债券借贷业务主协议</w:t>
      </w:r>
      <w:bookmarkEnd w:id="4081"/>
      <w:bookmarkEnd w:id="4082"/>
      <w:bookmarkEnd w:id="4083"/>
      <w:bookmarkEnd w:id="4084"/>
      <w:bookmarkEnd w:id="4085"/>
      <w:bookmarkEnd w:id="4086"/>
      <w:bookmarkEnd w:id="4087"/>
    </w:p>
    <w:p w14:paraId="69815ED4">
      <w:pPr>
        <w:spacing w:line="540" w:lineRule="exact"/>
        <w:jc w:val="center"/>
        <w:rPr>
          <w:rFonts w:ascii="方正大标宋简体" w:hAnsi="黑体" w:eastAsia="方正大标宋简体" w:cs="宋体"/>
          <w:bCs/>
          <w:color w:val="000000"/>
          <w:sz w:val="42"/>
          <w:szCs w:val="28"/>
        </w:rPr>
      </w:pPr>
      <w:r>
        <w:rPr>
          <w:rFonts w:hint="eastAsia" w:ascii="方正大标宋简体" w:hAnsi="黑体" w:eastAsia="方正大标宋简体" w:cs="宋体"/>
          <w:bCs/>
          <w:color w:val="000000"/>
          <w:sz w:val="42"/>
          <w:szCs w:val="28"/>
        </w:rPr>
        <w:t>上海证券交易所债券借贷业务主协议</w:t>
      </w:r>
    </w:p>
    <w:p w14:paraId="3E7888E0">
      <w:pPr>
        <w:spacing w:line="540" w:lineRule="exact"/>
        <w:rPr>
          <w:rFonts w:ascii="仿宋_GB2312" w:hAnsi="宋体" w:eastAsia="仿宋_GB2312" w:cs="宋体"/>
          <w:sz w:val="30"/>
          <w:szCs w:val="30"/>
        </w:rPr>
      </w:pPr>
    </w:p>
    <w:p w14:paraId="328B4D2E">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为明确债券借贷业务（以下简称债券借贷）债券借入方、债券借出方（以下统称借贷双方）及相关方的权利与义务，维护投资者的合法权益，</w:t>
      </w:r>
      <w:r>
        <w:rPr>
          <w:rFonts w:hint="eastAsia" w:ascii="仿宋_GB2312" w:hAnsi="华文仿宋" w:eastAsia="仿宋_GB2312"/>
          <w:sz w:val="30"/>
          <w:szCs w:val="30"/>
          <w:lang w:eastAsia="zh-CN"/>
        </w:rPr>
        <w:t>根据《民法典》《证券法》等法律法规以及</w:t>
      </w:r>
      <w:r>
        <w:rPr>
          <w:rFonts w:hint="eastAsia" w:ascii="仿宋_GB2312" w:hAnsi="宋体" w:eastAsia="仿宋_GB2312" w:cs="宋体"/>
          <w:sz w:val="30"/>
          <w:szCs w:val="30"/>
          <w:lang w:eastAsia="zh-CN"/>
        </w:rPr>
        <w:t>《上海证券交易所 中国证券登记结算有限责任公司债券借贷业务办法》（以下简称《办法》）、上海证券交易所（以下简称上交所）及中国证券登记结算有限责任公司（以下简称中国结算）相关业务规则等规定，参加上交所债券借贷的借贷双方在平等、自愿的基础上签署本主协议。</w:t>
      </w:r>
    </w:p>
    <w:p w14:paraId="6F93AF4C">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本</w:t>
      </w:r>
      <w:r>
        <w:rPr>
          <w:rFonts w:hint="eastAsia" w:ascii="仿宋_GB2312" w:hAnsi="宋体" w:eastAsia="仿宋_GB2312" w:cs="宋体"/>
          <w:bCs/>
          <w:sz w:val="30"/>
          <w:szCs w:val="30"/>
          <w:lang w:eastAsia="zh-CN"/>
        </w:rPr>
        <w:t>主协议适用于在上交所市场开展的债券借贷。</w:t>
      </w:r>
    </w:p>
    <w:p w14:paraId="7D38DEF3">
      <w:pPr>
        <w:spacing w:line="560" w:lineRule="exact"/>
        <w:ind w:firstLine="600" w:firstLineChars="200"/>
        <w:rPr>
          <w:rFonts w:ascii="仿宋_GB2312" w:hAnsi="宋体" w:eastAsia="仿宋_GB2312" w:cs="宋体"/>
          <w:bCs/>
          <w:sz w:val="30"/>
          <w:szCs w:val="30"/>
        </w:rPr>
      </w:pPr>
      <w:r>
        <w:rPr>
          <w:rFonts w:hint="eastAsia" w:ascii="仿宋_GB2312" w:hAnsi="宋体" w:eastAsia="仿宋_GB2312" w:cs="宋体"/>
          <w:kern w:val="0"/>
          <w:sz w:val="30"/>
          <w:szCs w:val="30"/>
        </w:rPr>
        <w:t>债券借贷、债券借入方和债券借出方以及债券借贷业务要素等适用《办法》的定义。</w:t>
      </w:r>
    </w:p>
    <w:p w14:paraId="0BB584DF">
      <w:pPr>
        <w:pStyle w:val="92"/>
        <w:widowControl w:val="0"/>
        <w:numPr>
          <w:ilvl w:val="0"/>
          <w:numId w:val="27"/>
        </w:numPr>
        <w:spacing w:line="560" w:lineRule="exact"/>
        <w:ind w:left="0" w:firstLine="600" w:firstLineChars="200"/>
        <w:contextualSpacing w:val="0"/>
        <w:jc w:val="both"/>
        <w:rPr>
          <w:rFonts w:ascii="仿宋_GB2312" w:hAnsi="宋体" w:eastAsia="仿宋_GB2312" w:cs="宋体"/>
          <w:bCs/>
          <w:sz w:val="30"/>
          <w:szCs w:val="30"/>
          <w:lang w:eastAsia="zh-CN"/>
        </w:rPr>
      </w:pPr>
      <w:r>
        <w:rPr>
          <w:rFonts w:hint="eastAsia" w:ascii="仿宋_GB2312" w:hAnsi="宋体" w:eastAsia="仿宋_GB2312" w:cs="宋体"/>
          <w:sz w:val="30"/>
          <w:szCs w:val="30"/>
          <w:lang w:eastAsia="zh-CN"/>
        </w:rPr>
        <w:t>借贷双方认可并自愿遵守《办法》、上交所和中国结算与债券借贷业务相关的其他规定以及对其的修改和补充，同意接受上交所和中国结算的自律管理。</w:t>
      </w:r>
    </w:p>
    <w:p w14:paraId="34B5760E">
      <w:pPr>
        <w:pStyle w:val="92"/>
        <w:widowControl w:val="0"/>
        <w:numPr>
          <w:ilvl w:val="0"/>
          <w:numId w:val="27"/>
        </w:numPr>
        <w:spacing w:line="560" w:lineRule="exact"/>
        <w:ind w:left="0" w:firstLine="600" w:firstLineChars="200"/>
        <w:contextualSpacing w:val="0"/>
        <w:jc w:val="both"/>
        <w:rPr>
          <w:rFonts w:ascii="仿宋_GB2312" w:hAnsi="宋体" w:eastAsia="仿宋_GB2312" w:cs="宋体"/>
          <w:bCs/>
          <w:sz w:val="30"/>
          <w:szCs w:val="30"/>
          <w:lang w:eastAsia="zh-CN"/>
        </w:rPr>
      </w:pPr>
      <w:r>
        <w:rPr>
          <w:rFonts w:hint="eastAsia" w:ascii="仿宋_GB2312" w:hAnsi="宋体" w:eastAsia="仿宋_GB2312" w:cs="宋体"/>
          <w:sz w:val="30"/>
          <w:szCs w:val="30"/>
          <w:lang w:eastAsia="zh-CN"/>
        </w:rPr>
        <w:t>借贷双方关于债券借贷的协议由本主协议、适用的补充协议（如有）、成交记录（含债券借贷成交协议、申报补充约定）构成，三者共同构成借贷双方就每一笔债券借贷的完整协议（以下统称债券借贷协议）。其中，补充协议和申报补充约定的内容由借贷双方自行履行。债券借贷试点期间，在本主协议公布之前的已签署的债券借贷双边协议可作为补充协议。</w:t>
      </w:r>
    </w:p>
    <w:p w14:paraId="42252048">
      <w:pPr>
        <w:pStyle w:val="92"/>
        <w:widowControl w:val="0"/>
        <w:numPr>
          <w:ilvl w:val="0"/>
          <w:numId w:val="27"/>
        </w:numPr>
        <w:spacing w:line="560" w:lineRule="exact"/>
        <w:ind w:left="0" w:firstLine="600" w:firstLineChars="200"/>
        <w:contextualSpacing w:val="0"/>
        <w:jc w:val="both"/>
        <w:rPr>
          <w:rFonts w:ascii="仿宋_GB2312" w:hAnsi="宋体" w:eastAsia="仿宋_GB2312" w:cs="宋体"/>
          <w:bCs/>
          <w:sz w:val="30"/>
          <w:szCs w:val="30"/>
          <w:lang w:eastAsia="zh-CN"/>
        </w:rPr>
      </w:pPr>
      <w:r>
        <w:rPr>
          <w:rFonts w:hint="eastAsia" w:ascii="仿宋_GB2312" w:hAnsi="宋体" w:eastAsia="仿宋_GB2312" w:cs="宋体"/>
          <w:sz w:val="30"/>
          <w:szCs w:val="30"/>
          <w:lang w:eastAsia="zh-CN"/>
        </w:rPr>
        <w:t>借贷双方可以就债券借贷相关事宜自行签署补充协议。</w:t>
      </w:r>
    </w:p>
    <w:p w14:paraId="75E047C8">
      <w:pPr>
        <w:pStyle w:val="92"/>
        <w:widowControl w:val="0"/>
        <w:numPr>
          <w:ilvl w:val="0"/>
          <w:numId w:val="27"/>
        </w:numPr>
        <w:spacing w:line="560" w:lineRule="exact"/>
        <w:ind w:left="0" w:firstLine="600" w:firstLineChars="200"/>
        <w:contextualSpacing w:val="0"/>
        <w:jc w:val="both"/>
        <w:rPr>
          <w:rFonts w:ascii="仿宋_GB2312" w:hAnsi="宋体" w:eastAsia="仿宋_GB2312" w:cs="宋体"/>
          <w:bCs/>
          <w:sz w:val="30"/>
          <w:szCs w:val="30"/>
          <w:lang w:eastAsia="zh-CN"/>
        </w:rPr>
      </w:pPr>
      <w:r>
        <w:rPr>
          <w:rFonts w:hint="eastAsia" w:ascii="仿宋_GB2312" w:hAnsi="宋体" w:eastAsia="仿宋_GB2312" w:cs="宋体"/>
          <w:sz w:val="30"/>
          <w:szCs w:val="30"/>
          <w:lang w:eastAsia="zh-CN"/>
        </w:rPr>
        <w:t>借贷双方协商一致，就特定一笔债券借贷业务在上交所交易系统申报时，可以在申报中填报申报补充约定。</w:t>
      </w:r>
    </w:p>
    <w:p w14:paraId="3EC1FCD9">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债券借贷成交协议的内容包括：</w:t>
      </w:r>
    </w:p>
    <w:p w14:paraId="6F6D6A5E">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（一）借贷方向：借贷双方按《办法》规定申报并经上交所交易系统确认的债券借贷借入、借出方向。</w:t>
      </w:r>
    </w:p>
    <w:p w14:paraId="630A8CB2">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（二）标的债券：借贷双方按《办法》规定申报并经上交所交易系统确认的债券借贷借入、借出的标的债券。</w:t>
      </w:r>
    </w:p>
    <w:p w14:paraId="1F4F7610">
      <w:pPr>
        <w:spacing w:line="560" w:lineRule="exact"/>
        <w:ind w:firstLine="600"/>
        <w:rPr>
          <w:rFonts w:ascii="仿宋_GB2312" w:hAnsi="宋体" w:eastAsia="仿宋_GB2312" w:cs="宋体"/>
          <w:sz w:val="30"/>
          <w:szCs w:val="30"/>
        </w:rPr>
      </w:pPr>
      <w:r>
        <w:rPr>
          <w:rFonts w:hint="eastAsia" w:ascii="仿宋_GB2312" w:hAnsi="宋体" w:eastAsia="仿宋_GB2312" w:cs="宋体"/>
          <w:sz w:val="30"/>
          <w:szCs w:val="30"/>
        </w:rPr>
        <w:t>（三）借贷面额：借贷双方按《办法》规定申报并经上交所交易系统确认的债券借贷借入、借出的标的债券总面额。</w:t>
      </w:r>
    </w:p>
    <w:p w14:paraId="6078F2E0">
      <w:pPr>
        <w:spacing w:line="560" w:lineRule="exact"/>
        <w:ind w:firstLine="600"/>
        <w:rPr>
          <w:rFonts w:ascii="仿宋_GB2312" w:hAnsi="宋体" w:eastAsia="仿宋_GB2312" w:cs="宋体"/>
          <w:sz w:val="30"/>
          <w:szCs w:val="30"/>
        </w:rPr>
      </w:pPr>
      <w:r>
        <w:rPr>
          <w:rFonts w:hint="eastAsia" w:ascii="仿宋_GB2312" w:hAnsi="宋体" w:eastAsia="仿宋_GB2312" w:cs="宋体"/>
          <w:sz w:val="30"/>
          <w:szCs w:val="30"/>
        </w:rPr>
        <w:t>（四）借贷费率：借贷双方按《办法》规定申报并经上交所交易系统确认的债券借贷借入、借出费率。</w:t>
      </w:r>
    </w:p>
    <w:p w14:paraId="789CD7C8">
      <w:pPr>
        <w:spacing w:line="560" w:lineRule="exact"/>
        <w:ind w:firstLine="600"/>
        <w:rPr>
          <w:rFonts w:ascii="仿宋_GB2312" w:hAnsi="宋体" w:eastAsia="仿宋_GB2312" w:cs="宋体"/>
          <w:sz w:val="30"/>
          <w:szCs w:val="30"/>
        </w:rPr>
      </w:pPr>
      <w:r>
        <w:rPr>
          <w:rFonts w:hint="eastAsia" w:ascii="仿宋_GB2312" w:hAnsi="宋体" w:eastAsia="仿宋_GB2312" w:cs="宋体"/>
          <w:sz w:val="30"/>
          <w:szCs w:val="30"/>
        </w:rPr>
        <w:t>（五）借贷期限：借贷双方按《办法》规定申报并经上交所交易系统确认的债券借贷借入、借出期限。</w:t>
      </w:r>
    </w:p>
    <w:p w14:paraId="157F5865">
      <w:pPr>
        <w:spacing w:line="560" w:lineRule="exact"/>
        <w:ind w:firstLine="600"/>
        <w:rPr>
          <w:rFonts w:ascii="仿宋_GB2312" w:hAnsi="宋体" w:eastAsia="仿宋_GB2312" w:cs="宋体"/>
          <w:sz w:val="30"/>
          <w:szCs w:val="30"/>
        </w:rPr>
      </w:pPr>
      <w:r>
        <w:rPr>
          <w:rFonts w:hint="eastAsia" w:ascii="仿宋_GB2312" w:hAnsi="宋体" w:eastAsia="仿宋_GB2312" w:cs="宋体"/>
          <w:sz w:val="30"/>
          <w:szCs w:val="30"/>
        </w:rPr>
        <w:t>（六）应计利息：借贷双方按《办法》规定申报并经上交所交易系统确认的债券借贷借入、借出标的债券在借贷期间产生的利息。</w:t>
      </w:r>
    </w:p>
    <w:p w14:paraId="0B43BFBB">
      <w:pPr>
        <w:spacing w:line="560" w:lineRule="exact"/>
        <w:ind w:firstLine="600"/>
        <w:rPr>
          <w:rFonts w:ascii="仿宋_GB2312" w:hAnsi="宋体" w:eastAsia="仿宋_GB2312" w:cs="宋体"/>
          <w:sz w:val="30"/>
          <w:szCs w:val="30"/>
        </w:rPr>
      </w:pPr>
      <w:r>
        <w:rPr>
          <w:rFonts w:hint="eastAsia" w:ascii="仿宋_GB2312" w:hAnsi="宋体" w:eastAsia="仿宋_GB2312" w:cs="宋体"/>
          <w:sz w:val="30"/>
          <w:szCs w:val="30"/>
        </w:rPr>
        <w:t>（七）到期申报方式：借贷双方按《办法》规定申报并由中国结算办理清算、交收。</w:t>
      </w:r>
    </w:p>
    <w:p w14:paraId="7C8774F5">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债券借贷协议中有关质押的内容构成债券借贷业务下的债券质押协议，内容包括：</w:t>
      </w:r>
    </w:p>
    <w:p w14:paraId="51265A65">
      <w:pPr>
        <w:spacing w:line="560" w:lineRule="exact"/>
        <w:rPr>
          <w:rFonts w:ascii="仿宋_GB2312" w:hAnsi="宋体" w:eastAsia="仿宋_GB2312" w:cs="宋体"/>
          <w:sz w:val="30"/>
          <w:szCs w:val="30"/>
        </w:rPr>
      </w:pPr>
      <w:r>
        <w:rPr>
          <w:rFonts w:hint="eastAsia" w:ascii="仿宋_GB2312" w:hAnsi="宋体" w:eastAsia="仿宋_GB2312" w:cs="宋体"/>
          <w:sz w:val="30"/>
          <w:szCs w:val="30"/>
        </w:rPr>
        <w:t xml:space="preserve">    （一）被担保债权的种类和金额：债券借贷的标的债券和标的债券总面额。</w:t>
      </w:r>
    </w:p>
    <w:p w14:paraId="3B0087D9">
      <w:pPr>
        <w:spacing w:line="560" w:lineRule="exact"/>
        <w:ind w:firstLine="600"/>
        <w:rPr>
          <w:rFonts w:ascii="仿宋_GB2312" w:hAnsi="宋体" w:eastAsia="仿宋_GB2312" w:cs="宋体"/>
          <w:sz w:val="30"/>
          <w:szCs w:val="30"/>
        </w:rPr>
      </w:pPr>
      <w:r>
        <w:rPr>
          <w:rFonts w:hint="eastAsia" w:ascii="仿宋_GB2312" w:hAnsi="宋体" w:eastAsia="仿宋_GB2312" w:cs="宋体"/>
          <w:sz w:val="30"/>
          <w:szCs w:val="30"/>
        </w:rPr>
        <w:t>（二）借入方履行债务的期限：债券借贷成交协议确定的借贷期限。</w:t>
      </w:r>
    </w:p>
    <w:p w14:paraId="4BBD354C">
      <w:pPr>
        <w:spacing w:line="560" w:lineRule="exact"/>
        <w:ind w:firstLine="600"/>
        <w:rPr>
          <w:rFonts w:ascii="仿宋_GB2312" w:hAnsi="宋体" w:eastAsia="仿宋_GB2312" w:cs="宋体"/>
          <w:sz w:val="30"/>
          <w:szCs w:val="30"/>
        </w:rPr>
      </w:pPr>
      <w:r>
        <w:rPr>
          <w:rFonts w:hint="eastAsia" w:ascii="仿宋_GB2312" w:hAnsi="宋体" w:eastAsia="仿宋_GB2312" w:cs="宋体"/>
          <w:sz w:val="30"/>
          <w:szCs w:val="30"/>
        </w:rPr>
        <w:t>（三）质押债券的名称、数量：债券借贷成交协议确定的质押债券（即质物，以下简称质押券）的名称、数量。</w:t>
      </w:r>
    </w:p>
    <w:p w14:paraId="25378C5A">
      <w:pPr>
        <w:spacing w:line="560" w:lineRule="exact"/>
        <w:ind w:firstLine="600"/>
        <w:rPr>
          <w:rFonts w:ascii="仿宋_GB2312" w:hAnsi="宋体" w:eastAsia="仿宋_GB2312" w:cs="宋体"/>
          <w:sz w:val="30"/>
          <w:szCs w:val="30"/>
        </w:rPr>
      </w:pPr>
      <w:r>
        <w:rPr>
          <w:rFonts w:hint="eastAsia" w:ascii="仿宋_GB2312" w:hAnsi="宋体" w:eastAsia="仿宋_GB2312" w:cs="宋体"/>
          <w:sz w:val="30"/>
          <w:szCs w:val="30"/>
        </w:rPr>
        <w:t>（四）本协议、补充协议和申报补充约定中约定的债券借贷的其他事项。</w:t>
      </w:r>
    </w:p>
    <w:p w14:paraId="4B75BE72">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借贷双方承诺补充协议和申报补充约定不违反法律、行政法规、部门规章、规范性文件、《办法》、上交所及中国结算的相关规定，且不与本主协议及成交记录相冲突，但本主协议中允许借贷双方另行约定的内容除外。</w:t>
      </w:r>
    </w:p>
    <w:p w14:paraId="0B827C52">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借贷双方在签署本主协议时做出下列声明与保证：</w:t>
      </w:r>
    </w:p>
    <w:p w14:paraId="7741A8AB">
      <w:pPr>
        <w:pStyle w:val="92"/>
        <w:spacing w:line="560" w:lineRule="exact"/>
        <w:ind w:hanging="11"/>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（一）本方依法设立并有效存续；</w:t>
      </w:r>
    </w:p>
    <w:p w14:paraId="3BF192D2">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（二）本方有权签署本主协议，并履行本方在本主协议下的义务。上述行为不违反任何适用于本方的法律、公司章程与协议；</w:t>
      </w:r>
    </w:p>
    <w:p w14:paraId="07E41904">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（三）以本方名义达成和签署本主协议的人员已获得充分和必要的授权；</w:t>
      </w:r>
    </w:p>
    <w:p w14:paraId="520E08BE">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（四）以本方名义或代表本方从事申报的人员，均已获得充分和必要的授权；</w:t>
      </w:r>
    </w:p>
    <w:p w14:paraId="66900203">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（五）本方未涉及任何已发生或正在发生，将实质性地负面影响本主协议的合法性、有效性或可执行性的，或将实质性地负面影响本方在本主协议下履行义务能力的诉讼、仲裁或类似事件。</w:t>
      </w:r>
    </w:p>
    <w:p w14:paraId="42A0A95E">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（六）其具备独立评估债券借贷业务风险的能力，且充分认识并愿意承担相关风险。</w:t>
      </w:r>
    </w:p>
    <w:p w14:paraId="4B830B68">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（七）其对根据本协议约定需要向另一方交付或用于质押的债券拥有完整的所有权和</w:t>
      </w:r>
      <w:r>
        <w:rPr>
          <w:rFonts w:ascii="仿宋_GB2312" w:hAnsi="宋体" w:eastAsia="仿宋_GB2312" w:cs="宋体"/>
          <w:kern w:val="0"/>
          <w:sz w:val="30"/>
          <w:szCs w:val="30"/>
        </w:rPr>
        <w:t>/或处置权，并且未设定任何形式的第</w:t>
      </w:r>
      <w:r>
        <w:rPr>
          <w:rFonts w:hint="eastAsia" w:ascii="仿宋_GB2312" w:hAnsi="宋体" w:eastAsia="仿宋_GB2312" w:cs="宋体"/>
          <w:kern w:val="0"/>
          <w:sz w:val="30"/>
          <w:szCs w:val="30"/>
        </w:rPr>
        <w:t>三方权益。</w:t>
      </w:r>
    </w:p>
    <w:p w14:paraId="72433C47">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（八）债券借入方承诺已建立、健全符合监管机构要求的风险控制措施和内部管理制度，控制债券借贷融入余额的合理比例。</w:t>
      </w:r>
    </w:p>
    <w:p w14:paraId="2CDA70CE">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（九）其系代表自身而非代理任何第三方签署本协议并进行申报。</w:t>
      </w:r>
    </w:p>
    <w:p w14:paraId="72C39C43">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借贷双方在签署本主协议时承诺符合《办法》中关于投资者适当性的要求，已确认具备相应的风险管理和承受能力，并将自行承担风险。</w:t>
      </w:r>
    </w:p>
    <w:p w14:paraId="11C30290">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签署本主协议后，借贷双方情况发生变化，导致不再符合投资者适当性要求的，承诺及时向上交所或所在证券公司更新相关材料，且不再参与新的债券借贷业务，但将继续履行未到期债券借贷合约的相关义务。</w:t>
      </w:r>
    </w:p>
    <w:p w14:paraId="5B073D22">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eastAsia="仿宋_GB2312"/>
          <w:color w:val="000000"/>
          <w:sz w:val="30"/>
          <w:szCs w:val="30"/>
          <w:lang w:eastAsia="zh-CN"/>
        </w:rPr>
        <w:t>证券公司经纪客户</w:t>
      </w:r>
      <w:r>
        <w:rPr>
          <w:rFonts w:hint="eastAsia" w:ascii="仿宋_GB2312" w:hAnsi="宋体" w:eastAsia="仿宋_GB2312" w:cs="宋体"/>
          <w:sz w:val="30"/>
          <w:szCs w:val="30"/>
          <w:lang w:eastAsia="zh-CN"/>
        </w:rPr>
        <w:t>签署本协议的</w:t>
      </w:r>
      <w:r>
        <w:rPr>
          <w:rFonts w:hint="eastAsia" w:ascii="仿宋_GB2312" w:eastAsia="仿宋_GB2312"/>
          <w:color w:val="000000"/>
          <w:sz w:val="30"/>
          <w:szCs w:val="30"/>
          <w:lang w:eastAsia="zh-CN"/>
        </w:rPr>
        <w:t>，同意由所在</w:t>
      </w:r>
      <w:r>
        <w:rPr>
          <w:rFonts w:hint="eastAsia" w:ascii="仿宋_GB2312" w:eastAsia="仿宋_GB2312"/>
          <w:sz w:val="30"/>
          <w:szCs w:val="30"/>
          <w:lang w:eastAsia="zh-CN"/>
        </w:rPr>
        <w:t>证券公司对其进行</w:t>
      </w:r>
      <w:r>
        <w:rPr>
          <w:rFonts w:hint="eastAsia" w:ascii="仿宋_GB2312" w:hAnsi="宋体" w:eastAsia="仿宋_GB2312" w:cs="宋体"/>
          <w:sz w:val="30"/>
          <w:szCs w:val="30"/>
          <w:lang w:eastAsia="zh-CN"/>
        </w:rPr>
        <w:t>投资者适当性管理，</w:t>
      </w:r>
      <w:r>
        <w:rPr>
          <w:rFonts w:hint="eastAsia" w:ascii="仿宋_GB2312" w:eastAsia="仿宋_GB2312"/>
          <w:color w:val="000000"/>
          <w:sz w:val="30"/>
          <w:szCs w:val="30"/>
          <w:lang w:eastAsia="zh-CN"/>
        </w:rPr>
        <w:t>并通过证券公司办理债券借贷相关申报和结算业务。</w:t>
      </w:r>
    </w:p>
    <w:p w14:paraId="385ABEC6">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参与债券借贷业务前，证券公司经纪客户承诺已签署风险揭示书，充分知悉并自愿承担风险揭示书中所列风险；承诺向证券公司提交的相关材料真实、准确和完整。</w:t>
      </w:r>
    </w:p>
    <w:p w14:paraId="098E3513">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借贷双方承诺在参与债券借贷申报前已符合债券借贷投资者适当性要求，并承诺申请材料真实、准确、完整。</w:t>
      </w:r>
    </w:p>
    <w:p w14:paraId="5FE6D9A2">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债券借贷中，债券借入方的权利主要包括：</w:t>
      </w:r>
    </w:p>
    <w:p w14:paraId="557E02E3">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w:t>
      </w:r>
      <w:r>
        <w:rPr>
          <w:rFonts w:hint="eastAsia" w:ascii="仿宋_GB2312" w:hAnsi="宋体" w:eastAsia="仿宋_GB2312" w:cs="宋体"/>
          <w:kern w:val="0"/>
          <w:sz w:val="30"/>
          <w:szCs w:val="30"/>
        </w:rPr>
        <w:t>一）在首期结算日，按合同约定取得标的债券；</w:t>
      </w:r>
    </w:p>
    <w:p w14:paraId="4D635AC6">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（二）到期债券结算、到期现金结算、到期部分现金结算、提前终止完成交收后，解除质押券的质押；</w:t>
      </w:r>
    </w:p>
    <w:p w14:paraId="6BEAE19E">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（三）到期续做完成交收后，按合同约定继续取得标的债券，解除质押券的质押（如有）；</w:t>
      </w:r>
    </w:p>
    <w:p w14:paraId="3A5D4491">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（四）质押券发生付息、分期偿还、分期摊还的，利息、分期偿还或摊还资金归债券借入方所有；</w:t>
      </w:r>
    </w:p>
    <w:p w14:paraId="0FE5E075">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（五）和债券借出方协商一致后对达成的债券借贷进行提前终止、到期现金结算、到期部分现金结算及变更质押券等；</w:t>
      </w:r>
    </w:p>
    <w:p w14:paraId="33083011">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（六）在债券借出方违约后，按照规定和约定收取违约金等；</w:t>
      </w:r>
    </w:p>
    <w:p w14:paraId="343CACC2">
      <w:pPr>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（七）在标的债券发生违约、债券本息兑付面临重要风险或其他事件致使标的债券价值明显减少时，可以按照约定解除部分质押券质押、变更质押券或提前终止债券借贷业务；</w:t>
      </w:r>
    </w:p>
    <w:p w14:paraId="330EC84E">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（八）上交所、中国结算规定或者借贷双方约定的其他权利。</w:t>
      </w:r>
    </w:p>
    <w:p w14:paraId="7055F4CE">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债券借贷中，债券借入方的义务主要包括：</w:t>
      </w:r>
    </w:p>
    <w:p w14:paraId="679CFCAE">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（一）按照规定和约定，及时发送内容完整的申报指令；</w:t>
      </w:r>
    </w:p>
    <w:p w14:paraId="58739CE1">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（二）债券借贷申报前，确保证券账户中有数量充足且符合规定或约定的拟用于质押的债券；</w:t>
      </w:r>
    </w:p>
    <w:p w14:paraId="4CC0AEF7">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（三）在债券借贷时，按约定或规则规定完成债券质押；</w:t>
      </w:r>
    </w:p>
    <w:p w14:paraId="1AE4A890">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（四）在到期结算日或提前终止时，按规定和约定归还标的债券，并完成债券借贷费用资金交收；</w:t>
      </w:r>
    </w:p>
    <w:p w14:paraId="02B3E502">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（五）在到期现金结算时，按规定和约定完成现金结算资金及借贷费用资金交收；</w:t>
      </w:r>
    </w:p>
    <w:p w14:paraId="1331DEF0">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（六）在到期部分现金结算时，按规定和约定归还部分标的债券，并完成现金部分的资金交收，及债券借贷费用资金交收；</w:t>
      </w:r>
    </w:p>
    <w:p w14:paraId="7549CFC7">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（七）在到期续做时，按规定和约定归还标的债券（如有），完成债券质押（如有），并完成债券借贷费用资金交收；</w:t>
      </w:r>
    </w:p>
    <w:p w14:paraId="540E6A09">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（八）债券借贷存续期内质押券价值明显减少，足以危害债券借出方权利时，按照约定和债券借出方的要求补足担保品；</w:t>
      </w:r>
    </w:p>
    <w:p w14:paraId="2587E299">
      <w:pPr>
        <w:spacing w:line="560" w:lineRule="exact"/>
        <w:ind w:firstLine="600" w:firstLineChars="200"/>
        <w:rPr>
          <w:rFonts w:ascii="仿宋_GB2312" w:hAnsi="宋体" w:eastAsia="仿宋_GB2312" w:cs="宋体"/>
          <w:sz w:val="30"/>
          <w:szCs w:val="30"/>
        </w:rPr>
      </w:pPr>
      <w:bookmarkStart w:id="4088" w:name="OLE_LINK80"/>
      <w:bookmarkStart w:id="4089" w:name="OLE_LINK86"/>
      <w:r>
        <w:rPr>
          <w:rFonts w:hint="eastAsia" w:ascii="仿宋_GB2312" w:hAnsi="宋体" w:eastAsia="仿宋_GB2312" w:cs="宋体"/>
          <w:kern w:val="0"/>
          <w:sz w:val="30"/>
          <w:szCs w:val="30"/>
        </w:rPr>
        <w:t>（九）在违约时，按照规定和约定继续履约、支付违约金、配合债券借出方对违约项下的质押券进行处置等；</w:t>
      </w:r>
      <w:bookmarkEnd w:id="4088"/>
      <w:bookmarkEnd w:id="4089"/>
    </w:p>
    <w:p w14:paraId="3AD0F8EA">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（十）上交所、中国结算规定或者借贷双方约定的其他义务。</w:t>
      </w:r>
    </w:p>
    <w:p w14:paraId="2E4D539F">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债券借贷中，债券借出方的权利主要包括：</w:t>
      </w:r>
    </w:p>
    <w:p w14:paraId="6A370109">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（一）享有按约定或规则规定选取的质押券的质权；</w:t>
      </w:r>
    </w:p>
    <w:p w14:paraId="31C29777">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（二）和债券借入方协商一致或按照约定对达成的债券借贷进行提前终止、到期现金结算、到期部分现金结算、到期续做及补充、变更质押券等；</w:t>
      </w:r>
    </w:p>
    <w:p w14:paraId="637B495B">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（三）在到期结算日或提前终止时，按规定和约定收回标的债券并收取</w:t>
      </w:r>
      <w:bookmarkStart w:id="4090" w:name="OLE_LINK1"/>
      <w:r>
        <w:rPr>
          <w:rFonts w:hint="eastAsia" w:ascii="仿宋_GB2312" w:hAnsi="宋体" w:eastAsia="仿宋_GB2312" w:cs="宋体"/>
          <w:kern w:val="0"/>
          <w:sz w:val="30"/>
          <w:szCs w:val="30"/>
        </w:rPr>
        <w:t>债券借贷费用</w:t>
      </w:r>
      <w:bookmarkEnd w:id="4090"/>
      <w:r>
        <w:rPr>
          <w:rFonts w:hint="eastAsia" w:ascii="仿宋_GB2312" w:hAnsi="宋体" w:eastAsia="仿宋_GB2312" w:cs="宋体"/>
          <w:kern w:val="0"/>
          <w:sz w:val="30"/>
          <w:szCs w:val="30"/>
        </w:rPr>
        <w:t>；</w:t>
      </w:r>
    </w:p>
    <w:p w14:paraId="1A7A19B2">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（四）在到期现金结算时，按规定和约定收取现金结算资金和债券借贷费用；</w:t>
      </w:r>
    </w:p>
    <w:p w14:paraId="7F5BEFD0">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（五）在到期部分现金结算时，按规定和约定收回部分标的债券，并收取现金部分资金及债券借贷费用；</w:t>
      </w:r>
    </w:p>
    <w:p w14:paraId="73D10B10">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（六）在到期续做时，按规定和约定收回标的债券（如有），选取的质押券的质权（如有），并收取债券借贷费用；</w:t>
      </w:r>
    </w:p>
    <w:p w14:paraId="71E81044">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（七）在标的债券付息日或收到债券付息当日从债券借入方收取应计利息总额。</w:t>
      </w:r>
    </w:p>
    <w:p w14:paraId="4E1202F1">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（八）债券借贷存续期内质押券价值明显减少，足以危害其权利时，要求债券借入方补充、变更相应质押券等；</w:t>
      </w:r>
    </w:p>
    <w:p w14:paraId="701BDA5A">
      <w:pPr>
        <w:spacing w:line="560" w:lineRule="exact"/>
        <w:ind w:firstLine="600" w:firstLineChars="200"/>
        <w:rPr>
          <w:rFonts w:ascii="仿宋_GB2312" w:hAnsi="宋体" w:eastAsia="仿宋_GB2312" w:cs="宋体"/>
          <w:sz w:val="30"/>
          <w:szCs w:val="30"/>
        </w:rPr>
      </w:pPr>
      <w:bookmarkStart w:id="4091" w:name="OLE_LINK79"/>
      <w:bookmarkStart w:id="4092" w:name="OLE_LINK74"/>
      <w:bookmarkStart w:id="4093" w:name="OLE_LINK73"/>
      <w:r>
        <w:rPr>
          <w:rFonts w:hint="eastAsia" w:ascii="仿宋_GB2312" w:hAnsi="宋体" w:eastAsia="仿宋_GB2312" w:cs="宋体"/>
          <w:kern w:val="0"/>
          <w:sz w:val="30"/>
          <w:szCs w:val="30"/>
        </w:rPr>
        <w:t>（九）在债券借入方违约后，按照规定和约定要求债券借入方继续履约、收取违约金，对债券借入方违约项下的质押券进行处置等；</w:t>
      </w:r>
    </w:p>
    <w:p w14:paraId="7C951DFC">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（十）</w:t>
      </w:r>
      <w:bookmarkEnd w:id="4091"/>
      <w:bookmarkEnd w:id="4092"/>
      <w:bookmarkEnd w:id="4093"/>
      <w:r>
        <w:rPr>
          <w:rFonts w:hint="eastAsia" w:ascii="仿宋_GB2312" w:hAnsi="宋体" w:eastAsia="仿宋_GB2312" w:cs="宋体"/>
          <w:kern w:val="0"/>
          <w:sz w:val="30"/>
          <w:szCs w:val="30"/>
        </w:rPr>
        <w:t>上交所、中国结算规定或者借贷双方约定的其他权利。</w:t>
      </w:r>
    </w:p>
    <w:p w14:paraId="068266C1">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债券借贷中，债券借出方的义务主要包括：</w:t>
      </w:r>
    </w:p>
    <w:p w14:paraId="04A85FB2">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（一）按照规定和约定，及时发送内容完整的申报指令；</w:t>
      </w:r>
    </w:p>
    <w:p w14:paraId="79FCEC30">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（二）在首期结算日，按照规定和约定划付标的债券；</w:t>
      </w:r>
    </w:p>
    <w:p w14:paraId="4FACA780">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（三）在到期续做时，按照规定和约定划付标的债券（如有）；</w:t>
      </w:r>
    </w:p>
    <w:p w14:paraId="45CB4D70">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（四）在其违约时按照规定和约定向债券借入方支付违约金等；</w:t>
      </w:r>
    </w:p>
    <w:p w14:paraId="0B566459">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 xml:space="preserve">(五) </w:t>
      </w:r>
      <w:r>
        <w:rPr>
          <w:rFonts w:hint="eastAsia" w:ascii="仿宋_GB2312" w:hAnsi="宋体" w:eastAsia="仿宋_GB2312" w:cs="宋体"/>
          <w:kern w:val="0"/>
          <w:sz w:val="30"/>
          <w:szCs w:val="30"/>
        </w:rPr>
        <w:t>在标的债券发生违约、债券本息兑付面临重要风险或其他事件致使标的债券价值明显减少时，配合债券借入方完成解除部分质押券质押、变更质押券或提前终止债券借贷业务；</w:t>
      </w:r>
    </w:p>
    <w:p w14:paraId="289742CA">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（六）上交所、中国结算规定或者借贷双方约定的其他义务。</w:t>
      </w:r>
    </w:p>
    <w:p w14:paraId="13C1894B">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借贷双方通过上交所交易系统进行申报、上交所交易系统确认后生成的成交记录，是借贷双方协商一致达成的协议，借贷双方同意履行协议约定的义务。</w:t>
      </w:r>
    </w:p>
    <w:p w14:paraId="233BEC06">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质押券在质权存续期间，借贷双方同意就质押券孳息及附属权利作出以下约定：</w:t>
      </w:r>
    </w:p>
    <w:p w14:paraId="43FA170F">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一）债券借入方收取质押券利息、分期偿还或分期摊还的本金和利息（不含最后一期）。若债券借入方发生本主协议第二十四条第（一）项约定的违约事件，债券借出方可单方面申请将债券借入方尚未收取的上述资金一并质押（质押券已被司法冻结的除外）。</w:t>
      </w:r>
    </w:p>
    <w:p w14:paraId="174A5B87">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（二）质押券提前赎回或到期兑付的，债券借入方应收的质押券赎回款或兑付资金（含最后一期利息）一并质押，其担保价值由借贷双方自行计算。</w:t>
      </w:r>
    </w:p>
    <w:p w14:paraId="74BF88DF">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（三）质押券含回售、转股、换股等条款的，并且债券借入方需要行使回售、转股、换股等权利的，债券借入方须与债券借出方协商一致，将质押券解除质押再行使回售、转股、换股等权利。</w:t>
      </w:r>
    </w:p>
    <w:p w14:paraId="008BBBC6">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（四）债券借入方可以作为债券持有人享有出席债券持有人大会、提案、表决、追索等权利。</w:t>
      </w:r>
    </w:p>
    <w:p w14:paraId="737D4BAD">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质押券在质权存续期间，发生违约、债券本息兑付面临重要风险或其他事件致使质押券价值明显减少，足以危害债券借出方权利的，债券借出方有权要求债券借入方补充、变更相应的质押券或提供其他相应担保。借贷双方可以在补充协议或申报补充约定中约定补充、变更质押券的触发情形及时限。债券借入方不予补充、变更质押券或提供其他担保的，债券借出方可以提前终止债券借贷协议，并按照本主协议第二十九条的约定进行处置。</w:t>
      </w:r>
    </w:p>
    <w:p w14:paraId="71BCDE6A">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标的债券在债券借贷存续期间，借贷双方同意就标的债券孳息及附属权利作出以下约定：</w:t>
      </w:r>
    </w:p>
    <w:p w14:paraId="2792308F">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（一）债券借出方收取标的债券利息、分期偿还或分期摊还的本金和利息，债券借入方应当在标的债券兑息或兑付当日或收到债券本金和利息当日将收到的本金和利息总额划付至债券借出方账户。</w:t>
      </w:r>
    </w:p>
    <w:p w14:paraId="20E6CE85">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（二）标的债券提前赎回的，标的债券赎回款一并划付至债券借出方账户，债券借贷提前终止。</w:t>
      </w:r>
    </w:p>
    <w:p w14:paraId="713556F3">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三）标的债券含回售、转股、换股等条款的，若借贷双方未进行过额外约定，债券借入方可行使相应权利。若债券借出方需要行使回售、转股、换股等权利的，债券借出方须与债券借入方协商一致提前终止债券借贷，收到归还的标的债券后再行使回售、转股、换股等权利。</w:t>
      </w:r>
    </w:p>
    <w:p w14:paraId="4CB29D73">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（四）债券借入方可以作为债券持有人享有出席债券持有人大会、提案、表决、追索等权利。</w:t>
      </w:r>
    </w:p>
    <w:p w14:paraId="2DA6A209">
      <w:pPr>
        <w:pStyle w:val="92"/>
        <w:widowControl w:val="0"/>
        <w:numPr>
          <w:ilvl w:val="0"/>
          <w:numId w:val="27"/>
        </w:numPr>
        <w:spacing w:line="560" w:lineRule="exact"/>
        <w:ind w:left="0" w:firstLine="600" w:firstLineChars="200"/>
        <w:contextualSpacing w:val="0"/>
        <w:jc w:val="both"/>
        <w:rPr>
          <w:rFonts w:ascii="仿宋_GB2312" w:hAnsi="Calibri" w:eastAsia="仿宋_GB2312"/>
          <w:kern w:val="2"/>
          <w:sz w:val="30"/>
          <w:szCs w:val="30"/>
          <w:lang w:eastAsia="zh-CN"/>
        </w:rPr>
      </w:pPr>
      <w:r>
        <w:rPr>
          <w:rFonts w:hint="eastAsia" w:ascii="仿宋_GB2312" w:hAnsi="宋体" w:eastAsia="仿宋_GB2312" w:cs="宋体"/>
          <w:sz w:val="30"/>
          <w:szCs w:val="30"/>
          <w:lang w:eastAsia="zh-CN"/>
        </w:rPr>
        <w:t>标的债券在债券借贷存续期间，发生违约、债券本息兑付面临重要风险或其他事件致使标的债券价值明显减少，足以危害</w:t>
      </w:r>
      <w:r>
        <w:rPr>
          <w:rFonts w:hint="eastAsia" w:ascii="仿宋_GB2312" w:eastAsia="仿宋_GB2312"/>
          <w:sz w:val="30"/>
          <w:szCs w:val="30"/>
          <w:lang w:eastAsia="zh-CN"/>
        </w:rPr>
        <w:t>债券借入方</w:t>
      </w:r>
      <w:r>
        <w:rPr>
          <w:rFonts w:hint="eastAsia" w:ascii="仿宋_GB2312" w:hAnsi="宋体" w:eastAsia="仿宋_GB2312" w:cs="宋体"/>
          <w:sz w:val="30"/>
          <w:szCs w:val="30"/>
          <w:lang w:eastAsia="zh-CN"/>
        </w:rPr>
        <w:t>权利的，</w:t>
      </w:r>
      <w:r>
        <w:rPr>
          <w:rFonts w:hint="eastAsia" w:ascii="仿宋_GB2312" w:eastAsia="仿宋_GB2312"/>
          <w:sz w:val="30"/>
          <w:szCs w:val="30"/>
          <w:lang w:eastAsia="zh-CN"/>
        </w:rPr>
        <w:t>债券借入方与债券借出方协商</w:t>
      </w:r>
      <w:r>
        <w:rPr>
          <w:rFonts w:hint="eastAsia" w:ascii="仿宋_GB2312" w:hAnsi="Calibri" w:eastAsia="仿宋_GB2312"/>
          <w:kern w:val="2"/>
          <w:sz w:val="30"/>
          <w:szCs w:val="30"/>
          <w:lang w:eastAsia="zh-CN"/>
        </w:rPr>
        <w:t>一致，可解除部分质押券质押、变更质押券或提前终止债券借贷。借贷双方可以在补充协议或申报补充约定中约定解除部分质押券质押、变更质押券或提前终止债券借贷的触发情形及时限。</w:t>
      </w:r>
    </w:p>
    <w:p w14:paraId="0F9C11BF">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债券借贷存续期间发生以下情形的，视为异常情况：</w:t>
      </w:r>
    </w:p>
    <w:p w14:paraId="54E6447C">
      <w:pPr>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（一）借贷双方证券账户或资金账户被有权机关冻结或强制执行；</w:t>
      </w:r>
    </w:p>
    <w:p w14:paraId="43052BB4">
      <w:pPr>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（二）标的债券或者质押券被上交所终止上市或者终止转让；</w:t>
      </w:r>
    </w:p>
    <w:p w14:paraId="480EAF93">
      <w:pPr>
        <w:spacing w:line="560" w:lineRule="exact"/>
        <w:ind w:left="149" w:leftChars="71"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（三）经纪客户所在的证券公司进入风险处置、终止清算、破产程序；</w:t>
      </w:r>
    </w:p>
    <w:p w14:paraId="4BBA973F">
      <w:pPr>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（四）债券借贷存续期内，履行本主协议义务的债券借贷任何一方发生虽不导致违约但可能影响其主体资格实质变化的事件或主体资格已经实质变化，或将本主协议下的义务拟转由他方履行等；</w:t>
      </w:r>
    </w:p>
    <w:p w14:paraId="0C8DE3ED">
      <w:pPr>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（五）借贷双方认定的其他异常情况。</w:t>
      </w:r>
    </w:p>
    <w:p w14:paraId="18A31875">
      <w:pPr>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发生异常情况的，债券借贷一方应当在异常情况可能发生、已经发生或获知异常情况可能发生、已经发生后及时通知对方</w:t>
      </w:r>
      <w:bookmarkStart w:id="4094" w:name="OLE_LINK16"/>
      <w:bookmarkStart w:id="4095" w:name="OLE_LINK19"/>
      <w:r>
        <w:rPr>
          <w:rFonts w:hint="eastAsia" w:ascii="仿宋_GB2312" w:hAnsi="宋体" w:eastAsia="仿宋_GB2312" w:cs="宋体"/>
          <w:kern w:val="0"/>
          <w:sz w:val="30"/>
          <w:szCs w:val="30"/>
        </w:rPr>
        <w:t>，并及时协商解决</w:t>
      </w:r>
      <w:bookmarkEnd w:id="4094"/>
      <w:bookmarkEnd w:id="4095"/>
      <w:r>
        <w:rPr>
          <w:rFonts w:hint="eastAsia" w:ascii="仿宋_GB2312" w:hAnsi="宋体" w:eastAsia="仿宋_GB2312" w:cs="宋体"/>
          <w:kern w:val="0"/>
          <w:sz w:val="30"/>
          <w:szCs w:val="30"/>
        </w:rPr>
        <w:t>。借贷双方可以在协商一致后，采取继续履约、提前终止、变更质押券或双方协商的其他方式进行处理。借贷双方对异常情况处理另有约定的，从其约定。</w:t>
      </w:r>
    </w:p>
    <w:p w14:paraId="09BDD5BE">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下列事件构成债券借贷一方在本主协议下的违约事件：</w:t>
      </w:r>
    </w:p>
    <w:p w14:paraId="0CA3850D">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一）在一笔债券借贷项下，债券借贷一方或其委托的主体未履行支付或交付义务，或未按照相关约定的要求发出或接受有关申报及结算指令。涉及到的支付或交付义务及相关申报及结算指令包括但不限于以下情形：</w:t>
      </w:r>
    </w:p>
    <w:p w14:paraId="1EB1B038">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1.首期结算日，债券借出方未按合同约定提供足额标的债券用于结算，债券借出方违约；债券借入方未按合同约定提供足额质押券用于结算，债券借入方违约。</w:t>
      </w:r>
    </w:p>
    <w:p w14:paraId="6FCB09A5">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2.到期结算日，债券借入方未按合同约定进行到期申报，或没有足额标的债券用于结算，或没有足额资金用于结算借贷费用、现金结算、部分现金结算，债券借入方违约。</w:t>
      </w:r>
    </w:p>
    <w:p w14:paraId="21606B75">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3.债券借贷存续期内，质押券发生违约、债券本息兑付面临重要风险或其他事件致使质押券价值明显减少，足以危害债券借出方权利的，债券借入方未按照债券借出方要求及时置换或补充质押券，债券借入方违约。</w:t>
      </w:r>
    </w:p>
    <w:p w14:paraId="1CB72D70">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4.债券借贷存续期内，标的债券发生付息、分期偿还、分期摊还的，债券借入方未及时向债券借出方返还相应资金，债券借入方违约。</w:t>
      </w:r>
    </w:p>
    <w:p w14:paraId="226C043B">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5.债券借贷存续期内，标的债券发生违约、债券本息兑付面临重要风险或其他事件致使标的债券价值明显减少，债券借出方不同意解除部分质押债券质押、变更质押债券或提前终止，债券借出方违约。</w:t>
      </w:r>
    </w:p>
    <w:p w14:paraId="41D75F56">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6.对于提前终止申报，债券借入方未按合同约定进行提前终止申报，或没有足额标的债券用于归还债券借出方，或没有足额资金用于结算借贷费用、现金结算、部分现金结算，债券借入方违约。</w:t>
      </w:r>
    </w:p>
    <w:p w14:paraId="59F2611B">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（二）债券借贷一方对本主协议的有效性予以否认，或对本主协议下的全部或部分义务明示将拒绝履行。</w:t>
      </w:r>
    </w:p>
    <w:p w14:paraId="6E9E20E1">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（三）债券借贷一方在本主协议下做出的某项声明与保证被证实存在实质性的不实陈述、误导或重大遗漏。</w:t>
      </w:r>
    </w:p>
    <w:p w14:paraId="0EFADDB4">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四）在债券借贷一方发生分立后仍然存续，或与另一实体联合、合并或重组，或把其实质性资产转移到另一实体的情况下，该最终存续、承继或受让的实体未能履行或明示将不履行前述债券借贷一方在本主协议下的义务。</w:t>
      </w:r>
    </w:p>
    <w:p w14:paraId="1C7F6A9A">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（五）债券借贷一方发生下列任一情形的，构成该借贷方对对方的违约事件：</w:t>
      </w:r>
    </w:p>
    <w:p w14:paraId="4D5CDD17">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1.解散且解散前未履行本主协议下的义务或未与对方协商一致对履行本协议下的义务作出合理安排（出于联合、合并或重组目的而发生的解散且承继方承诺履行本主协议下的义务除外）；</w:t>
      </w:r>
    </w:p>
    <w:p w14:paraId="68FE79CF">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2.不能清偿非本主协议下到期债务，并且资产不足以清偿全部债务或明显缺乏清偿能力；</w:t>
      </w:r>
    </w:p>
    <w:p w14:paraId="166C9CEC">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3.书面承认无力偿还到期各项债务；</w:t>
      </w:r>
    </w:p>
    <w:p w14:paraId="44948EA2">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4.为非本主协议下的债权人利益就其全部或实质性资产达成转让协议或清偿安排，或就其非本主协议下的全部或大部分债务的清偿事宜与债权人做出安排或达成和解协议；</w:t>
      </w:r>
    </w:p>
    <w:p w14:paraId="6B603242">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5.自身或其监管部门启动针对其的接管、破产、清算等行政或司法程序；或其债权人启动针对其的接管、破产、清算等行政或司法程序，导致其被依法宣告破产、停业、清算或被接管，或上述程序在启动后30个自然日内未被驳回、撤销、中止或禁止的；</w:t>
      </w:r>
    </w:p>
    <w:p w14:paraId="09B2F3F3">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6.通过其停业、清算或申请破产的决议且在此之前未履行本主协议下的义务或未与对方协商一致对履行本协议下的义务作出合理安排；</w:t>
      </w:r>
    </w:p>
    <w:p w14:paraId="6F9D8ADD">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7.就自身或自身的全部或大部分资产寻求任命临时清算人、托管人、受托人、接管人或其他类似人员或被任命了任何前述人员；</w:t>
      </w:r>
    </w:p>
    <w:p w14:paraId="040310C2">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8.非本主协议下债权人作为担保物权人采取行动取得了其全部或大部分资产，或使其全部或实质部分资产被查封、扣押、冻结、或强制执行，且上述情形在30个自然日内未被相关有权机关撤销或中止；</w:t>
      </w:r>
    </w:p>
    <w:p w14:paraId="1407470C">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9.参与债券借贷的理财产品被提前终止、清盘或发生类似事件，且发生该类事件前未履行本主协议下的义务或未与对方协商一致对履行本协议下的义务作出合理安排；</w:t>
      </w:r>
    </w:p>
    <w:p w14:paraId="67349F56">
      <w:pPr>
        <w:spacing w:line="560" w:lineRule="exact"/>
        <w:ind w:firstLine="600" w:firstLineChars="200"/>
        <w:rPr>
          <w:rFonts w:ascii="仿宋_GB2312" w:hAnsi="宋体" w:eastAsia="仿宋_GB2312" w:cs="宋体"/>
          <w:sz w:val="30"/>
          <w:szCs w:val="30"/>
        </w:rPr>
      </w:pPr>
      <w:r>
        <w:rPr>
          <w:rFonts w:ascii="仿宋_GB2312" w:hAnsi="宋体" w:eastAsia="仿宋_GB2312" w:cs="宋体"/>
          <w:kern w:val="0"/>
          <w:sz w:val="30"/>
          <w:szCs w:val="30"/>
        </w:rPr>
        <w:t>10.其他任何与本项第1项至第9项有类似效果，导致债券借贷一方无法继续履约的事件。</w:t>
      </w:r>
    </w:p>
    <w:p w14:paraId="1F4ABD7D">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kern w:val="0"/>
          <w:sz w:val="30"/>
          <w:szCs w:val="30"/>
        </w:rPr>
        <w:t>借贷双方对违约事件另有约定的，从其约定。</w:t>
      </w:r>
    </w:p>
    <w:p w14:paraId="23226020">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借贷双方中任何一方发生违约事件，应当及时通知对方，并可以采取下列方式处理：</w:t>
      </w:r>
    </w:p>
    <w:p w14:paraId="02B47F95">
      <w:pPr>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（一）守约方可以要求违约方继续履行债券借贷协议、单方面终止债券借贷协议、按照债券借贷协议约定向违约方收取违约金；</w:t>
      </w:r>
    </w:p>
    <w:p w14:paraId="616BC20D">
      <w:pPr>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（二）债券借入方违约的，债券借出方可以按照债券借贷协议的约定处置质押券；</w:t>
      </w:r>
    </w:p>
    <w:p w14:paraId="76D6F67B">
      <w:pPr>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（三）可以按照相关法律法规等规定提交上海国际经济贸易仲裁委员会仲裁或向人民法院提起诉讼。</w:t>
      </w:r>
    </w:p>
    <w:p w14:paraId="4A7BB068">
      <w:pPr>
        <w:spacing w:line="5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借贷双方对违约处置方式等协商一致并另有约定的，从其约定。</w:t>
      </w:r>
    </w:p>
    <w:p w14:paraId="756E8800">
      <w:pPr>
        <w:pStyle w:val="92"/>
        <w:widowControl w:val="0"/>
        <w:numPr>
          <w:ilvl w:val="0"/>
          <w:numId w:val="27"/>
        </w:numPr>
        <w:spacing w:line="56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借贷双方可以在补充协议、申报补充约定中对违约金的金额、计算方式等自行约定。双方已约定违约金相关事项的，按照约定执行；未约定违约金相关事项的，守约方可以按照以下条款向违约方收取违约金：</w:t>
      </w:r>
    </w:p>
    <w:p w14:paraId="36572CA6">
      <w:pPr>
        <w:spacing w:line="56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（一）对于债券借贷结算，借贷一方</w:t>
      </w:r>
      <w:bookmarkStart w:id="4096" w:name="OLE_LINK67"/>
      <w:bookmarkStart w:id="4097" w:name="OLE_LINK68"/>
      <w:r>
        <w:rPr>
          <w:rFonts w:hint="eastAsia" w:ascii="仿宋_GB2312" w:hAnsi="宋体" w:eastAsia="仿宋_GB2312" w:cs="宋体"/>
          <w:sz w:val="30"/>
          <w:szCs w:val="30"/>
        </w:rPr>
        <w:t>违约的</w:t>
      </w:r>
      <w:bookmarkEnd w:id="4096"/>
      <w:bookmarkEnd w:id="4097"/>
      <w:r>
        <w:rPr>
          <w:rFonts w:hint="eastAsia" w:ascii="仿宋_GB2312" w:hAnsi="宋体" w:eastAsia="仿宋_GB2312" w:cs="宋体"/>
          <w:sz w:val="30"/>
          <w:szCs w:val="30"/>
        </w:rPr>
        <w:t>，违约方自债券借贷违约日起（含）3个交易日内，按照罚息利率以标的债券总面额为基数向对方支付一天罚息。双方均存在违约行为的，可以互不承担违约责任。</w:t>
      </w:r>
    </w:p>
    <w:p w14:paraId="528ED1EA">
      <w:pPr>
        <w:spacing w:line="54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（二）对于到期结算，</w:t>
      </w:r>
      <w:bookmarkStart w:id="4098" w:name="OLE_LINK69"/>
      <w:r>
        <w:rPr>
          <w:rFonts w:hint="eastAsia" w:ascii="仿宋_GB2312" w:hAnsi="宋体" w:eastAsia="仿宋_GB2312" w:cs="宋体"/>
          <w:sz w:val="30"/>
          <w:szCs w:val="30"/>
        </w:rPr>
        <w:t>债券借入方违约的</w:t>
      </w:r>
      <w:bookmarkEnd w:id="4098"/>
      <w:r>
        <w:rPr>
          <w:rFonts w:hint="eastAsia" w:ascii="仿宋_GB2312" w:hAnsi="宋体" w:eastAsia="仿宋_GB2312" w:cs="宋体"/>
          <w:sz w:val="30"/>
          <w:szCs w:val="30"/>
        </w:rPr>
        <w:t>，债券借入方按照借贷费用延迟支付天数，除按照借贷费率以标的债券总面额为基数向债券借出方支付借贷费用外，还需按照罚息利率以标的债券总面额为基数向债券借出方支付罚息。</w:t>
      </w:r>
    </w:p>
    <w:p w14:paraId="7BFC1191">
      <w:pPr>
        <w:spacing w:line="54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三）对于提前终止申报，债券借入方违约的，债券借入方按照借贷费用延迟支付天数，除按照提前终止时约定的借贷费率以债券借贷标的债券总面额为基数向债券借出方支付借贷费用外，还需按照罚息利率以债券借贷标的债券总面额为基数向债券借出方支付罚息。</w:t>
      </w:r>
    </w:p>
    <w:p w14:paraId="24111533">
      <w:pPr>
        <w:pStyle w:val="92"/>
        <w:widowControl w:val="0"/>
        <w:numPr>
          <w:ilvl w:val="0"/>
          <w:numId w:val="27"/>
        </w:numPr>
        <w:spacing w:line="54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罚息按借贷双方在补充协议、申报补充约定中约定的罚息利率计算。若借贷双方未在补充协议、申报补充约定中约定罚息利率，则罚息利率按日利率万分之二计算。</w:t>
      </w:r>
    </w:p>
    <w:p w14:paraId="2E1FE44A">
      <w:pPr>
        <w:pStyle w:val="92"/>
        <w:widowControl w:val="0"/>
        <w:numPr>
          <w:ilvl w:val="0"/>
          <w:numId w:val="27"/>
        </w:numPr>
        <w:spacing w:line="54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在前述任何违约情况下，如果由于守约方或违约方单方原因迟延解除相关债券的质押登记或返还标的债券，并且前述债券在到期结算日（如遇非交易日，则顺延至下一交易日）的市场公允价值减去其在实际解除质押登记或返还之日的市场公允价值的差额超出违约金，则违约方应当就前述超出部分予以全部补偿。此处市场公允价值是指中证指数有限公司或中央国债登记结算有限责任公司发布的债券估值（以下简称中证估值或中债估值），下同。</w:t>
      </w:r>
    </w:p>
    <w:p w14:paraId="274A5275">
      <w:pPr>
        <w:pStyle w:val="92"/>
        <w:widowControl w:val="0"/>
        <w:numPr>
          <w:ilvl w:val="0"/>
          <w:numId w:val="27"/>
        </w:numPr>
        <w:spacing w:line="54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出现下列情形时，债券借出方有权直接对债券借贷项下的质押券进行处置。</w:t>
      </w:r>
    </w:p>
    <w:p w14:paraId="169AE3F5">
      <w:pPr>
        <w:spacing w:line="54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（一）发生本主协议第二十条约定情形；</w:t>
      </w:r>
    </w:p>
    <w:p w14:paraId="7E3BC25C">
      <w:pPr>
        <w:spacing w:line="54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（二）债券借入方发生本主协议第二十四条第（一）项约定的违约事件。</w:t>
      </w:r>
    </w:p>
    <w:p w14:paraId="03ACFADC">
      <w:pPr>
        <w:spacing w:line="54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债券借出方在发生上述情形时起30个自然日后，可以直接以拍卖、变卖质押券所得的价款清偿债务。借贷双方在发生上述情形时起30个自然日内协商一致并另行约定的，从其约定。</w:t>
      </w:r>
    </w:p>
    <w:p w14:paraId="4534E57A">
      <w:pPr>
        <w:pStyle w:val="92"/>
        <w:widowControl w:val="0"/>
        <w:numPr>
          <w:ilvl w:val="0"/>
          <w:numId w:val="27"/>
        </w:numPr>
        <w:spacing w:line="540" w:lineRule="exact"/>
        <w:ind w:left="0" w:firstLine="600" w:firstLineChars="200"/>
        <w:contextualSpacing w:val="0"/>
        <w:jc w:val="both"/>
        <w:rPr>
          <w:rFonts w:ascii="仿宋_GB2312" w:hAnsi="宋体" w:eastAsia="仿宋_GB2312" w:cs="宋体"/>
          <w:sz w:val="30"/>
          <w:szCs w:val="30"/>
        </w:rPr>
      </w:pPr>
      <w:r>
        <w:rPr>
          <w:rFonts w:hint="eastAsia" w:ascii="仿宋_GB2312" w:hAnsi="宋体" w:eastAsia="仿宋_GB2312" w:cs="宋体"/>
          <w:sz w:val="30"/>
          <w:szCs w:val="30"/>
          <w:lang w:eastAsia="zh-CN"/>
        </w:rPr>
        <w:t>债券借出方拍卖、变卖质押券的，参照质押券在上交所债券市场交易收盘价、中证估值或中债估值和市场需求，确定拍卖底价和变卖价格，通过上交所债券担保品处置平台或其他方式拍卖、变卖。</w:t>
      </w:r>
      <w:r>
        <w:rPr>
          <w:rFonts w:hint="eastAsia" w:ascii="仿宋_GB2312" w:hAnsi="宋体" w:eastAsia="仿宋_GB2312" w:cs="宋体"/>
          <w:sz w:val="30"/>
          <w:szCs w:val="30"/>
        </w:rPr>
        <w:t>处置所得价款以拍卖、变卖的成交金额为准。</w:t>
      </w:r>
    </w:p>
    <w:p w14:paraId="5180B814">
      <w:pPr>
        <w:pStyle w:val="92"/>
        <w:widowControl w:val="0"/>
        <w:numPr>
          <w:ilvl w:val="0"/>
          <w:numId w:val="27"/>
        </w:numPr>
        <w:spacing w:line="54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债券借出方拍卖、变卖质押券后，被拍卖、变卖的质押券解除质押登记并办理过户，所有权转移至拍卖、变卖的受让人；多余的未被拍卖、变卖的质押券解除质押登记。拍卖、变卖质押券所得价款扣除拍卖、变卖费用后，用于清偿债券借出方应当收取的罚息、借贷费用和借贷到期债券偿还价值，清偿之后如有价款余额应当退还债券借入方。拍卖、变卖质押券所得价款扣除拍卖、变卖费用后不足以清偿债务的，不足部分债券借出方继续向债券借入方进行追索。追索费用由违约方承担，包括但不限于守约方采取诉讼、仲裁等方式向违约方追索时支付的诉讼（仲裁）费、律师费、差旅费、执行费、保全费及其他实现权利的必要费用。</w:t>
      </w:r>
    </w:p>
    <w:p w14:paraId="0047A7DA">
      <w:pPr>
        <w:spacing w:line="54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标的债券的偿还价值，由借贷双方协商决定，在发生违约后30个自然日内协商不成的，债券借出方可以选择标的债券在到期结算日的市场公允价值作为偿还价值。若标的债券在到期结算日后的第30个自然日（如遇非交易日，则顺延至下一交易日）的市场公允价值减去在到期结算日（如遇非交易日，则顺延至下一交易日）的市场公允价值的差额超出违约金，则债券借入方应当就前述超出部分予以全部补偿。</w:t>
      </w:r>
    </w:p>
    <w:p w14:paraId="47B46588">
      <w:pPr>
        <w:spacing w:line="54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借贷双方在申报中约定发生违约时借贷到期债券偿还价值的，在发生上述拍卖、变卖质押券时，按约定价值计算借贷到期债券偿还价值。</w:t>
      </w:r>
    </w:p>
    <w:p w14:paraId="754C8652">
      <w:pPr>
        <w:pStyle w:val="92"/>
        <w:widowControl w:val="0"/>
        <w:numPr>
          <w:ilvl w:val="0"/>
          <w:numId w:val="27"/>
        </w:numPr>
        <w:spacing w:line="54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债券借出方拍卖、变卖质押券过程中，债券借入方提出参与质押券拍卖、变卖过程的，债券借出方应当允许。</w:t>
      </w:r>
    </w:p>
    <w:p w14:paraId="6C33DB41">
      <w:pPr>
        <w:spacing w:line="54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债券借出方拍卖、变卖质押券后，应当将拍卖、变卖质押券价格，拍卖、变卖价款清偿的债务构成及金额，质押券解除质押登记和过户安排，应当退还债券借入方的价款，质押券拍卖、变卖后不足以清偿债务的金额及继续追索要求等拍卖、变卖过程，书面通知债券借入方。</w:t>
      </w:r>
    </w:p>
    <w:p w14:paraId="675CF7E2">
      <w:pPr>
        <w:spacing w:line="540" w:lineRule="exact"/>
        <w:ind w:firstLine="600" w:firstLineChars="200"/>
        <w:rPr>
          <w:rFonts w:ascii="仿宋_GB2312" w:hAnsi="宋体" w:eastAsia="仿宋_GB2312" w:cs="宋体"/>
          <w:sz w:val="30"/>
          <w:szCs w:val="30"/>
        </w:rPr>
      </w:pPr>
      <w:r>
        <w:rPr>
          <w:rFonts w:hint="eastAsia" w:ascii="仿宋_GB2312" w:hAnsi="宋体" w:eastAsia="仿宋_GB2312" w:cs="宋体"/>
          <w:sz w:val="30"/>
          <w:szCs w:val="30"/>
        </w:rPr>
        <w:t>债券借出方拍卖、变卖质押券后，应当将处置结果书面报告上交所，上交所对处置结果确认后发送中国结算，由中国结算办理标的债券过户、相关质押券解除质押登记、处置过户等手续。</w:t>
      </w:r>
    </w:p>
    <w:p w14:paraId="03B40471">
      <w:pPr>
        <w:pStyle w:val="92"/>
        <w:widowControl w:val="0"/>
        <w:numPr>
          <w:ilvl w:val="0"/>
          <w:numId w:val="27"/>
        </w:numPr>
        <w:spacing w:line="54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发生国家节假日临时调整、不可抗力、意外事件、技术故障等突发性事件，导致证券市场临时停市或上交所交易系统、中国结算的结算系统无法正常运行的，借贷双方同意上交所、中国结算根据相关事件的处置方案，对涉及本方的债券借贷业务的申报、结算进行取消、延后等处理，由此所造成的损失，上交所和中国结算不承担法律责任。</w:t>
      </w:r>
    </w:p>
    <w:p w14:paraId="0D00A0B9">
      <w:pPr>
        <w:pStyle w:val="92"/>
        <w:widowControl w:val="0"/>
        <w:numPr>
          <w:ilvl w:val="0"/>
          <w:numId w:val="27"/>
        </w:numPr>
        <w:spacing w:line="54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借贷双方同意，债券借贷适用中华人民共和国法律及相关规定，本主协议根据中华人民共和国法律解释。</w:t>
      </w:r>
    </w:p>
    <w:p w14:paraId="6E07DA66">
      <w:pPr>
        <w:pStyle w:val="92"/>
        <w:widowControl w:val="0"/>
        <w:numPr>
          <w:ilvl w:val="0"/>
          <w:numId w:val="27"/>
        </w:numPr>
        <w:spacing w:line="54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本主协议下的争议经协商无法解决的，借贷双方同意将争议提交上海国际经济贸易仲裁委员会仲裁。借贷双方对争议解决方式另有约定的，从其约定。</w:t>
      </w:r>
    </w:p>
    <w:p w14:paraId="222FE238">
      <w:pPr>
        <w:pStyle w:val="92"/>
        <w:widowControl w:val="0"/>
        <w:numPr>
          <w:ilvl w:val="0"/>
          <w:numId w:val="27"/>
        </w:numPr>
        <w:spacing w:line="54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本主协议为开放式协议，签署后在各签署人之间生效。</w:t>
      </w:r>
    </w:p>
    <w:p w14:paraId="2A3F8C36">
      <w:pPr>
        <w:pStyle w:val="92"/>
        <w:widowControl w:val="0"/>
        <w:numPr>
          <w:ilvl w:val="0"/>
          <w:numId w:val="27"/>
        </w:numPr>
        <w:spacing w:line="54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本主协议提供书面及电子两种签署方式。签署电子协议需通过上交所颁布的数字证书安全及身份认证。债券借贷双方均认可电子签署协议的法律效力，认可电子签署的协议作为债券借贷各方的真实意思表示，具有与书面文件同等的法律效力。</w:t>
      </w:r>
    </w:p>
    <w:p w14:paraId="2C3F1C2D">
      <w:pPr>
        <w:pStyle w:val="92"/>
        <w:widowControl w:val="0"/>
        <w:numPr>
          <w:ilvl w:val="0"/>
          <w:numId w:val="27"/>
        </w:numPr>
        <w:spacing w:line="54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关于本主协议的签署人，法人机构由法定代表人或授权代理人签署；证券投资基金、银行理财产品等非法人产品由其管理人的法定代表人或授权代理人统一签署。同一个管理人管理的多只非法人产品，仅需由管理人统一签署一份主协议，无需分别签署主协议。</w:t>
      </w:r>
    </w:p>
    <w:p w14:paraId="3B625435">
      <w:pPr>
        <w:pStyle w:val="92"/>
        <w:widowControl w:val="0"/>
        <w:numPr>
          <w:ilvl w:val="0"/>
          <w:numId w:val="27"/>
        </w:numPr>
        <w:spacing w:line="540" w:lineRule="exact"/>
        <w:ind w:left="0" w:firstLine="600" w:firstLineChars="200"/>
        <w:contextualSpacing w:val="0"/>
        <w:jc w:val="both"/>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债券交易参与人以书面方式签署的，协议原件由签署人留存，扫描件提交至上交所。证券公司经纪客户以书面方式签署的，一式两份，一份由签署人留存，一份由所在证券公司留存备查。</w:t>
      </w:r>
    </w:p>
    <w:p w14:paraId="68B3D73B">
      <w:pPr>
        <w:widowControl/>
        <w:jc w:val="left"/>
        <w:rPr>
          <w:rFonts w:ascii="仿宋_GB2312" w:hAnsi="宋体" w:eastAsia="仿宋_GB2312" w:cs="宋体"/>
          <w:bCs/>
          <w:kern w:val="0"/>
          <w:sz w:val="30"/>
          <w:szCs w:val="30"/>
        </w:rPr>
      </w:pPr>
      <w:r>
        <w:rPr>
          <w:rFonts w:ascii="仿宋_GB2312" w:hAnsi="宋体" w:eastAsia="仿宋_GB2312" w:cs="宋体"/>
          <w:bCs/>
          <w:sz w:val="30"/>
          <w:szCs w:val="30"/>
        </w:rPr>
        <w:br w:type="page"/>
      </w:r>
    </w:p>
    <w:p w14:paraId="214E5304">
      <w:pPr>
        <w:pStyle w:val="92"/>
        <w:spacing w:line="560" w:lineRule="exact"/>
        <w:ind w:firstLine="600"/>
        <w:rPr>
          <w:rFonts w:ascii="仿宋_GB2312" w:hAnsi="宋体" w:eastAsia="仿宋_GB2312" w:cs="宋体"/>
          <w:sz w:val="30"/>
          <w:szCs w:val="30"/>
          <w:lang w:eastAsia="zh-CN"/>
        </w:rPr>
      </w:pPr>
    </w:p>
    <w:p w14:paraId="06B8B8D0">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本页为签署页（法人机构适用）</w:t>
      </w:r>
    </w:p>
    <w:p w14:paraId="61F81CED">
      <w:pPr>
        <w:pStyle w:val="92"/>
        <w:spacing w:line="560" w:lineRule="exact"/>
        <w:ind w:firstLine="600"/>
        <w:rPr>
          <w:rFonts w:ascii="仿宋_GB2312" w:hAnsi="宋体" w:eastAsia="仿宋_GB2312" w:cs="宋体"/>
          <w:sz w:val="30"/>
          <w:szCs w:val="30"/>
          <w:lang w:eastAsia="zh-CN"/>
        </w:rPr>
      </w:pPr>
      <w:bookmarkStart w:id="4099" w:name="_Toc162421583"/>
      <w:bookmarkStart w:id="4100" w:name="_Toc162343578"/>
    </w:p>
    <w:bookmarkEnd w:id="4099"/>
    <w:bookmarkEnd w:id="4100"/>
    <w:p w14:paraId="3A954DEB">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签署人名称：</w:t>
      </w:r>
    </w:p>
    <w:p w14:paraId="4AF72882">
      <w:pPr>
        <w:pStyle w:val="92"/>
        <w:spacing w:line="560" w:lineRule="exact"/>
        <w:ind w:firstLine="600"/>
        <w:rPr>
          <w:rFonts w:ascii="仿宋_GB2312" w:hAnsi="宋体" w:eastAsia="仿宋_GB2312" w:cs="宋体"/>
          <w:sz w:val="30"/>
          <w:szCs w:val="30"/>
          <w:lang w:eastAsia="zh-CN"/>
        </w:rPr>
      </w:pPr>
    </w:p>
    <w:p w14:paraId="02EC4DDF">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单位公章（机构适用）：</w:t>
      </w:r>
    </w:p>
    <w:p w14:paraId="1EF024B7">
      <w:pPr>
        <w:pStyle w:val="92"/>
        <w:spacing w:line="560" w:lineRule="exact"/>
        <w:ind w:firstLine="600"/>
        <w:rPr>
          <w:rFonts w:ascii="仿宋_GB2312" w:hAnsi="宋体" w:eastAsia="仿宋_GB2312" w:cs="宋体"/>
          <w:sz w:val="30"/>
          <w:szCs w:val="30"/>
          <w:lang w:eastAsia="zh-CN"/>
        </w:rPr>
      </w:pPr>
    </w:p>
    <w:p w14:paraId="18F28847">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法定代表人或授权代理人签字（机构适用）：</w:t>
      </w:r>
    </w:p>
    <w:p w14:paraId="5119FB47">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联系人：</w:t>
      </w:r>
    </w:p>
    <w:p w14:paraId="7D0D0E19">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联系电话：</w:t>
      </w:r>
    </w:p>
    <w:p w14:paraId="28AA35CD">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联系地址：</w:t>
      </w:r>
    </w:p>
    <w:p w14:paraId="1507ABB7">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签署时间：   年  月  日</w:t>
      </w:r>
    </w:p>
    <w:p w14:paraId="424A0C76">
      <w:pPr>
        <w:widowControl/>
        <w:jc w:val="left"/>
        <w:rPr>
          <w:rFonts w:ascii="仿宋_GB2312" w:hAnsi="宋体" w:eastAsia="仿宋_GB2312" w:cs="宋体"/>
          <w:bCs/>
          <w:kern w:val="0"/>
          <w:sz w:val="30"/>
          <w:szCs w:val="30"/>
        </w:rPr>
      </w:pPr>
      <w:r>
        <w:rPr>
          <w:rFonts w:ascii="仿宋_GB2312" w:hAnsi="宋体" w:eastAsia="仿宋_GB2312" w:cs="宋体"/>
          <w:bCs/>
          <w:sz w:val="30"/>
          <w:szCs w:val="30"/>
        </w:rPr>
        <w:br w:type="page"/>
      </w:r>
    </w:p>
    <w:p w14:paraId="3D8D4FFE">
      <w:pPr>
        <w:pStyle w:val="92"/>
        <w:spacing w:line="560" w:lineRule="exact"/>
        <w:ind w:left="600" w:firstLine="0"/>
        <w:rPr>
          <w:rFonts w:ascii="仿宋_GB2312" w:hAnsi="宋体" w:eastAsia="仿宋_GB2312" w:cs="宋体"/>
          <w:bCs/>
          <w:sz w:val="30"/>
          <w:szCs w:val="30"/>
          <w:lang w:eastAsia="zh-CN"/>
        </w:rPr>
      </w:pPr>
    </w:p>
    <w:p w14:paraId="1FC8C39A">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本页为签署页（非法人产品适用）</w:t>
      </w:r>
    </w:p>
    <w:p w14:paraId="48CCE0A2">
      <w:pPr>
        <w:pStyle w:val="92"/>
        <w:spacing w:line="560" w:lineRule="exact"/>
        <w:ind w:firstLine="600"/>
        <w:rPr>
          <w:rFonts w:ascii="仿宋_GB2312" w:hAnsi="宋体" w:eastAsia="仿宋_GB2312" w:cs="宋体"/>
          <w:sz w:val="30"/>
          <w:szCs w:val="30"/>
          <w:lang w:eastAsia="zh-CN"/>
        </w:rPr>
      </w:pPr>
    </w:p>
    <w:p w14:paraId="0EE2B1FD">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非法人产品全称：</w:t>
      </w:r>
    </w:p>
    <w:p w14:paraId="53B95B27">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托管人名称：</w:t>
      </w:r>
    </w:p>
    <w:p w14:paraId="2CAE7932">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管理人名称：</w:t>
      </w:r>
    </w:p>
    <w:p w14:paraId="34BC7EA1">
      <w:pPr>
        <w:pStyle w:val="92"/>
        <w:spacing w:line="560" w:lineRule="exact"/>
        <w:ind w:firstLine="600"/>
        <w:rPr>
          <w:rFonts w:ascii="仿宋_GB2312" w:hAnsi="宋体" w:eastAsia="仿宋_GB2312" w:cs="宋体"/>
          <w:sz w:val="30"/>
          <w:szCs w:val="30"/>
          <w:lang w:eastAsia="zh-CN"/>
        </w:rPr>
      </w:pPr>
    </w:p>
    <w:p w14:paraId="11E498E3">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管理人公章：</w:t>
      </w:r>
    </w:p>
    <w:p w14:paraId="60F92745">
      <w:pPr>
        <w:pStyle w:val="92"/>
        <w:spacing w:line="560" w:lineRule="exact"/>
        <w:ind w:firstLine="600"/>
        <w:rPr>
          <w:rFonts w:ascii="仿宋_GB2312" w:hAnsi="宋体" w:eastAsia="仿宋_GB2312" w:cs="宋体"/>
          <w:sz w:val="30"/>
          <w:szCs w:val="30"/>
          <w:lang w:eastAsia="zh-CN"/>
        </w:rPr>
      </w:pPr>
    </w:p>
    <w:p w14:paraId="62C7D59E">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管理人的法定代表人或授权代理人签字：</w:t>
      </w:r>
    </w:p>
    <w:p w14:paraId="150DBF02">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管理人的联系人：</w:t>
      </w:r>
    </w:p>
    <w:p w14:paraId="48E1C016">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联系电话：</w:t>
      </w:r>
    </w:p>
    <w:p w14:paraId="03ACB022">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联系地址：</w:t>
      </w:r>
    </w:p>
    <w:p w14:paraId="21A182A9">
      <w:pPr>
        <w:pStyle w:val="92"/>
        <w:spacing w:line="560" w:lineRule="exact"/>
        <w:ind w:firstLine="600"/>
        <w:rPr>
          <w:rFonts w:ascii="仿宋_GB2312" w:hAnsi="宋体" w:eastAsia="仿宋_GB2312" w:cs="宋体"/>
          <w:sz w:val="30"/>
          <w:szCs w:val="30"/>
          <w:lang w:eastAsia="zh-CN"/>
        </w:rPr>
      </w:pPr>
      <w:r>
        <w:rPr>
          <w:rFonts w:hint="eastAsia" w:ascii="仿宋_GB2312" w:hAnsi="宋体" w:eastAsia="仿宋_GB2312" w:cs="宋体"/>
          <w:sz w:val="30"/>
          <w:szCs w:val="30"/>
          <w:lang w:eastAsia="zh-CN"/>
        </w:rPr>
        <w:t>签署时间：   年  月  日</w:t>
      </w:r>
    </w:p>
    <w:p w14:paraId="2C208509">
      <w:pPr>
        <w:pStyle w:val="92"/>
        <w:spacing w:line="560" w:lineRule="exact"/>
        <w:ind w:firstLine="600"/>
        <w:rPr>
          <w:rFonts w:ascii="仿宋_GB2312" w:hAnsi="宋体" w:eastAsia="仿宋_GB2312" w:cs="宋体"/>
          <w:sz w:val="30"/>
          <w:szCs w:val="30"/>
          <w:lang w:eastAsia="zh-CN"/>
        </w:rPr>
      </w:pPr>
    </w:p>
    <w:p w14:paraId="4A417D50">
      <w:pPr>
        <w:ind w:firstLine="1500" w:firstLineChars="500"/>
        <w:jc w:val="left"/>
        <w:rPr>
          <w:rFonts w:ascii="仿宋_GB2312" w:hAnsi="宋体" w:eastAsia="仿宋_GB2312"/>
          <w:sz w:val="30"/>
          <w:szCs w:val="30"/>
        </w:rPr>
      </w:pPr>
    </w:p>
    <w:p w14:paraId="098F793D">
      <w:pPr>
        <w:widowControl/>
        <w:jc w:val="left"/>
        <w:rPr>
          <w:rFonts w:ascii="仿宋_GB2312" w:hAnsi="宋体" w:eastAsia="仿宋_GB2312"/>
          <w:sz w:val="30"/>
          <w:szCs w:val="30"/>
        </w:rPr>
      </w:pPr>
    </w:p>
    <w:p w14:paraId="3A7811F2">
      <w:pPr>
        <w:spacing w:line="560" w:lineRule="exact"/>
        <w:ind w:firstLine="600" w:firstLineChars="200"/>
        <w:rPr>
          <w:rFonts w:ascii="仿宋_GB2312" w:hAnsi="Calibri" w:eastAsia="仿宋_GB2312"/>
          <w:sz w:val="30"/>
          <w:szCs w:val="30"/>
        </w:rPr>
      </w:pPr>
    </w:p>
    <w:p w14:paraId="1C5D453E">
      <w:pPr>
        <w:spacing w:line="560" w:lineRule="exact"/>
        <w:ind w:firstLine="600" w:firstLineChars="200"/>
        <w:rPr>
          <w:rFonts w:ascii="仿宋_GB2312" w:hAnsi="Calibri" w:eastAsia="仿宋_GB2312"/>
          <w:sz w:val="30"/>
          <w:szCs w:val="30"/>
        </w:rPr>
      </w:pPr>
    </w:p>
    <w:p w14:paraId="4A467395">
      <w:pPr>
        <w:widowControl/>
        <w:jc w:val="left"/>
        <w:rPr>
          <w:rFonts w:ascii="仿宋_GB2312" w:hAnsi="宋体" w:eastAsia="仿宋_GB2312"/>
          <w:sz w:val="30"/>
          <w:szCs w:val="30"/>
        </w:rPr>
      </w:pPr>
    </w:p>
    <w:p w14:paraId="4C35CFE5">
      <w:pPr>
        <w:spacing w:line="560" w:lineRule="exact"/>
        <w:ind w:firstLine="600" w:firstLineChars="200"/>
        <w:rPr>
          <w:rFonts w:ascii="仿宋_GB2312" w:hAnsi="Calibri" w:eastAsia="仿宋_GB2312"/>
          <w:sz w:val="30"/>
          <w:szCs w:val="30"/>
        </w:rPr>
      </w:pPr>
    </w:p>
    <w:p w14:paraId="62ACDC4D">
      <w:pPr>
        <w:spacing w:line="560" w:lineRule="exact"/>
        <w:ind w:firstLine="600" w:firstLineChars="200"/>
        <w:rPr>
          <w:rFonts w:ascii="仿宋_GB2312" w:hAnsi="Calibri" w:eastAsia="仿宋_GB2312"/>
          <w:sz w:val="30"/>
          <w:szCs w:val="30"/>
        </w:rPr>
      </w:pPr>
    </w:p>
    <w:p w14:paraId="58EAD767">
      <w:pPr>
        <w:spacing w:line="560" w:lineRule="exact"/>
        <w:ind w:firstLine="600" w:firstLineChars="200"/>
        <w:rPr>
          <w:rFonts w:ascii="仿宋_GB2312" w:hAnsi="Calibri" w:eastAsia="仿宋_GB2312"/>
          <w:sz w:val="30"/>
          <w:szCs w:val="30"/>
        </w:rPr>
      </w:pPr>
    </w:p>
    <w:p w14:paraId="26C78C19">
      <w:pPr>
        <w:spacing w:line="560" w:lineRule="exact"/>
        <w:ind w:firstLine="600" w:firstLineChars="200"/>
        <w:rPr>
          <w:rFonts w:ascii="仿宋_GB2312" w:hAnsi="Calibri" w:eastAsia="仿宋_GB2312"/>
          <w:sz w:val="30"/>
          <w:szCs w:val="30"/>
        </w:rPr>
      </w:pPr>
    </w:p>
    <w:p w14:paraId="3CBFF04C">
      <w:pPr>
        <w:widowControl/>
        <w:jc w:val="left"/>
        <w:outlineLvl w:val="1"/>
        <w:rPr>
          <w:rFonts w:ascii="仿宋_GB2312" w:hAnsi="黑体" w:eastAsia="仿宋_GB2312"/>
          <w:b/>
          <w:sz w:val="30"/>
          <w:szCs w:val="30"/>
        </w:rPr>
      </w:pPr>
      <w:bookmarkStart w:id="4101" w:name="_Toc2043959567"/>
      <w:bookmarkStart w:id="4102" w:name="_Toc1435334462"/>
      <w:bookmarkStart w:id="4103" w:name="_Toc1955481765"/>
      <w:bookmarkStart w:id="4104" w:name="_Toc640609330"/>
      <w:bookmarkStart w:id="4105" w:name="_Toc151137105"/>
      <w:bookmarkStart w:id="4106" w:name="_Toc837232730"/>
      <w:bookmarkStart w:id="4107" w:name="_Toc67811234"/>
      <w:r>
        <w:rPr>
          <w:rFonts w:hint="eastAsia" w:ascii="仿宋_GB2312" w:hAnsi="黑体" w:eastAsia="仿宋_GB2312"/>
          <w:b/>
          <w:sz w:val="30"/>
          <w:szCs w:val="30"/>
        </w:rPr>
        <w:t>附件</w:t>
      </w:r>
      <w:bookmarkStart w:id="4108" w:name="_Toc502767656"/>
      <w:r>
        <w:rPr>
          <w:rFonts w:hint="eastAsia" w:ascii="仿宋_GB2312" w:hAnsi="黑体" w:eastAsia="仿宋_GB2312"/>
          <w:b/>
          <w:sz w:val="30"/>
          <w:szCs w:val="30"/>
        </w:rPr>
        <w:t>22 信用保护合约核心交易商/凭证创设机构资质申请信息表</w:t>
      </w:r>
      <w:bookmarkEnd w:id="4101"/>
      <w:bookmarkEnd w:id="4102"/>
      <w:bookmarkEnd w:id="4103"/>
      <w:bookmarkEnd w:id="4104"/>
      <w:bookmarkEnd w:id="4105"/>
      <w:bookmarkEnd w:id="4106"/>
      <w:bookmarkEnd w:id="4107"/>
    </w:p>
    <w:p w14:paraId="6BDB868B">
      <w:pPr>
        <w:spacing w:line="560" w:lineRule="exact"/>
        <w:ind w:right="150"/>
        <w:jc w:val="center"/>
        <w:rPr>
          <w:rFonts w:ascii="黑体" w:hAnsi="黑体" w:eastAsia="黑体"/>
          <w:b/>
          <w:kern w:val="0"/>
          <w:sz w:val="44"/>
          <w:szCs w:val="44"/>
        </w:rPr>
      </w:pPr>
      <w:r>
        <w:rPr>
          <w:rFonts w:hint="eastAsia" w:ascii="黑体" w:hAnsi="黑体" w:eastAsia="黑体"/>
          <w:b/>
          <w:kern w:val="0"/>
          <w:sz w:val="44"/>
          <w:szCs w:val="44"/>
        </w:rPr>
        <w:t>信用保护合约核心交易商</w:t>
      </w:r>
      <w:r>
        <w:rPr>
          <w:rFonts w:ascii="黑体" w:hAnsi="黑体" w:eastAsia="黑体"/>
          <w:b/>
          <w:kern w:val="0"/>
          <w:sz w:val="44"/>
          <w:szCs w:val="44"/>
        </w:rPr>
        <w:t>/</w:t>
      </w:r>
      <w:r>
        <w:rPr>
          <w:rFonts w:hint="eastAsia" w:ascii="黑体" w:hAnsi="黑体" w:eastAsia="黑体"/>
          <w:b/>
          <w:kern w:val="0"/>
          <w:sz w:val="44"/>
          <w:szCs w:val="44"/>
        </w:rPr>
        <w:t>凭证创设机构资质申请信息表</w:t>
      </w:r>
    </w:p>
    <w:p w14:paraId="3AD1CC35">
      <w:pPr>
        <w:spacing w:line="560" w:lineRule="exact"/>
        <w:rPr>
          <w:rFonts w:eastAsia="仿宋_GB2312"/>
          <w:b/>
          <w:sz w:val="32"/>
          <w:szCs w:val="30"/>
        </w:rPr>
      </w:pPr>
    </w:p>
    <w:p w14:paraId="11CD40A6">
      <w:pPr>
        <w:spacing w:line="560" w:lineRule="exact"/>
        <w:rPr>
          <w:rFonts w:eastAsia="仿宋_GB2312"/>
          <w:sz w:val="30"/>
          <w:szCs w:val="30"/>
        </w:rPr>
      </w:pPr>
      <w:r>
        <w:rPr>
          <w:rFonts w:hint="eastAsia" w:eastAsia="仿宋_GB2312"/>
          <w:sz w:val="30"/>
          <w:szCs w:val="30"/>
        </w:rPr>
        <w:t>上海证券交易所债券业务部：</w:t>
      </w:r>
    </w:p>
    <w:p w14:paraId="2E377388">
      <w:pPr>
        <w:spacing w:line="560" w:lineRule="exact"/>
        <w:ind w:firstLine="600" w:firstLineChars="200"/>
        <w:rPr>
          <w:rFonts w:eastAsia="仿宋_GB2312"/>
          <w:sz w:val="30"/>
          <w:szCs w:val="30"/>
        </w:rPr>
      </w:pPr>
      <w:r>
        <w:rPr>
          <w:rFonts w:hint="eastAsia" w:eastAsia="仿宋_GB2312"/>
          <w:sz w:val="30"/>
          <w:szCs w:val="30"/>
        </w:rPr>
        <w:t>经我公司研究决定，特申请成为信用保护合约核心交易商</w:t>
      </w:r>
      <w:r>
        <w:rPr>
          <w:rFonts w:eastAsia="仿宋_GB2312"/>
          <w:sz w:val="30"/>
          <w:szCs w:val="30"/>
        </w:rPr>
        <w:t>/</w:t>
      </w:r>
      <w:r>
        <w:rPr>
          <w:rFonts w:hint="eastAsia" w:eastAsia="仿宋_GB2312"/>
          <w:sz w:val="30"/>
          <w:szCs w:val="30"/>
        </w:rPr>
        <w:t>凭证创设机构</w:t>
      </w:r>
      <w:bookmarkEnd w:id="4108"/>
      <w:r>
        <w:rPr>
          <w:rFonts w:hint="eastAsia" w:eastAsia="仿宋_GB2312"/>
          <w:sz w:val="30"/>
          <w:szCs w:val="30"/>
        </w:rPr>
        <w:t>。</w:t>
      </w:r>
    </w:p>
    <w:tbl>
      <w:tblPr>
        <w:tblStyle w:val="43"/>
        <w:tblW w:w="101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9"/>
        <w:gridCol w:w="564"/>
        <w:gridCol w:w="920"/>
        <w:gridCol w:w="1490"/>
        <w:gridCol w:w="854"/>
        <w:gridCol w:w="1417"/>
        <w:gridCol w:w="1619"/>
        <w:gridCol w:w="1494"/>
      </w:tblGrid>
      <w:tr w14:paraId="446CB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0107" w:type="dxa"/>
            <w:gridSpan w:val="8"/>
            <w:vAlign w:val="center"/>
          </w:tcPr>
          <w:p w14:paraId="50B1E15C">
            <w:pPr>
              <w:spacing w:line="560" w:lineRule="exact"/>
              <w:rPr>
                <w:rFonts w:eastAsia="仿宋_GB2312"/>
                <w:sz w:val="24"/>
                <w:szCs w:val="28"/>
              </w:rPr>
            </w:pPr>
            <w:r>
              <w:rPr>
                <w:rFonts w:hint="eastAsia" w:eastAsia="仿宋_GB2312"/>
                <w:sz w:val="24"/>
                <w:szCs w:val="28"/>
              </w:rPr>
              <w:t>申请人全称：</w:t>
            </w:r>
          </w:p>
        </w:tc>
      </w:tr>
      <w:tr w14:paraId="3FC2F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0107" w:type="dxa"/>
            <w:gridSpan w:val="8"/>
            <w:vAlign w:val="center"/>
          </w:tcPr>
          <w:p w14:paraId="17477D12">
            <w:pPr>
              <w:pStyle w:val="100"/>
              <w:spacing w:line="560" w:lineRule="exact"/>
              <w:ind w:firstLine="360"/>
              <w:jc w:val="both"/>
              <w:rPr>
                <w:rFonts w:ascii="Times New Roman" w:cs="Times New Roman"/>
                <w:bCs/>
                <w:color w:val="auto"/>
                <w:szCs w:val="22"/>
              </w:rPr>
            </w:pPr>
            <w:r>
              <w:rPr>
                <w:rFonts w:hint="eastAsia" w:ascii="Times New Roman"/>
                <w:color w:val="auto"/>
                <w:szCs w:val="28"/>
              </w:rPr>
              <w:t>备案类型：</w:t>
            </w:r>
            <w:r>
              <w:rPr>
                <w:rFonts w:ascii="Times New Roman"/>
                <w:color w:val="auto"/>
                <w:szCs w:val="28"/>
              </w:rPr>
              <w:t xml:space="preserve"> </w:t>
            </w:r>
            <w:r>
              <w:rPr>
                <w:rFonts w:ascii="Times New Roman" w:cs="仿宋"/>
                <w:color w:val="auto"/>
                <w:szCs w:val="22"/>
              </w:rPr>
              <w:sym w:font="Wingdings" w:char="00A8"/>
            </w:r>
            <w:r>
              <w:rPr>
                <w:rFonts w:hint="eastAsia" w:ascii="Times New Roman" w:cs="仿宋"/>
                <w:color w:val="auto"/>
                <w:szCs w:val="22"/>
              </w:rPr>
              <w:t>合约核心交易商</w:t>
            </w:r>
            <w:r>
              <w:rPr>
                <w:rFonts w:hint="eastAsia" w:ascii="Times New Roman" w:cs="Times New Roman"/>
                <w:bCs/>
                <w:color w:val="auto"/>
                <w:szCs w:val="22"/>
              </w:rPr>
              <w:t>首次备案</w:t>
            </w:r>
            <w:r>
              <w:rPr>
                <w:rFonts w:ascii="Times New Roman" w:cs="Times New Roman"/>
                <w:bCs/>
                <w:color w:val="auto"/>
                <w:szCs w:val="22"/>
              </w:rPr>
              <w:t xml:space="preserve"> </w:t>
            </w:r>
            <w:r>
              <w:rPr>
                <w:rFonts w:hint="eastAsia" w:ascii="Times New Roman" w:cs="Times New Roman"/>
                <w:bCs/>
                <w:color w:val="auto"/>
                <w:szCs w:val="22"/>
              </w:rPr>
              <w:t>（不含CDX业务）</w:t>
            </w:r>
          </w:p>
          <w:p w14:paraId="524FDF02">
            <w:pPr>
              <w:pStyle w:val="100"/>
              <w:spacing w:line="560" w:lineRule="exact"/>
              <w:ind w:firstLine="1680" w:firstLineChars="700"/>
              <w:jc w:val="both"/>
              <w:rPr>
                <w:rFonts w:ascii="Times New Roman" w:cs="Times New Roman"/>
                <w:bCs/>
                <w:color w:val="auto"/>
                <w:kern w:val="2"/>
                <w:szCs w:val="22"/>
              </w:rPr>
            </w:pPr>
            <w:r>
              <w:rPr>
                <w:rFonts w:ascii="Times New Roman" w:cs="仿宋"/>
                <w:color w:val="auto"/>
                <w:szCs w:val="22"/>
              </w:rPr>
              <w:sym w:font="Wingdings" w:char="00A8"/>
            </w:r>
            <w:r>
              <w:rPr>
                <w:rFonts w:hint="eastAsia" w:ascii="Times New Roman" w:cs="仿宋"/>
                <w:color w:val="auto"/>
                <w:szCs w:val="22"/>
              </w:rPr>
              <w:t>合约核心交易商</w:t>
            </w:r>
            <w:r>
              <w:rPr>
                <w:rFonts w:hint="eastAsia" w:ascii="Times New Roman" w:cs="Times New Roman"/>
                <w:bCs/>
                <w:color w:val="auto"/>
                <w:szCs w:val="22"/>
              </w:rPr>
              <w:t>首次备案</w:t>
            </w:r>
            <w:r>
              <w:rPr>
                <w:rFonts w:ascii="Times New Roman" w:cs="Times New Roman"/>
                <w:bCs/>
                <w:color w:val="auto"/>
                <w:szCs w:val="22"/>
              </w:rPr>
              <w:t xml:space="preserve"> </w:t>
            </w:r>
            <w:r>
              <w:rPr>
                <w:rFonts w:hint="eastAsia" w:ascii="Times New Roman" w:cs="Times New Roman"/>
                <w:bCs/>
                <w:color w:val="auto"/>
                <w:szCs w:val="22"/>
              </w:rPr>
              <w:t>（含CDX业务）</w:t>
            </w:r>
          </w:p>
          <w:p w14:paraId="6CCB7BE2">
            <w:pPr>
              <w:pStyle w:val="100"/>
              <w:spacing w:line="560" w:lineRule="exact"/>
              <w:ind w:firstLine="1680" w:firstLineChars="700"/>
              <w:jc w:val="both"/>
              <w:rPr>
                <w:rFonts w:ascii="Times New Roman" w:cs="Times New Roman"/>
                <w:bCs/>
                <w:color w:val="auto"/>
                <w:kern w:val="2"/>
                <w:szCs w:val="22"/>
              </w:rPr>
            </w:pPr>
            <w:r>
              <w:rPr>
                <w:rFonts w:ascii="Times New Roman" w:cs="仿宋"/>
                <w:color w:val="auto"/>
                <w:szCs w:val="22"/>
              </w:rPr>
              <w:sym w:font="Wingdings" w:char="00A8"/>
            </w:r>
            <w:r>
              <w:rPr>
                <w:rFonts w:hint="eastAsia" w:ascii="Times New Roman" w:cs="仿宋"/>
                <w:color w:val="auto"/>
                <w:szCs w:val="22"/>
              </w:rPr>
              <w:t>合约核心交易商</w:t>
            </w:r>
            <w:r>
              <w:rPr>
                <w:rFonts w:hint="eastAsia" w:ascii="Times New Roman" w:cs="Times New Roman"/>
                <w:bCs/>
                <w:color w:val="auto"/>
                <w:szCs w:val="22"/>
              </w:rPr>
              <w:t>补充备案CDX业务</w:t>
            </w:r>
          </w:p>
          <w:p w14:paraId="7A09E09D">
            <w:pPr>
              <w:spacing w:line="560" w:lineRule="exact"/>
              <w:ind w:firstLine="1680" w:firstLineChars="700"/>
              <w:rPr>
                <w:rFonts w:eastAsia="仿宋_GB2312"/>
                <w:bCs/>
                <w:sz w:val="24"/>
                <w:szCs w:val="22"/>
              </w:rPr>
            </w:pPr>
            <w:r>
              <w:rPr>
                <w:rFonts w:eastAsia="仿宋_GB2312" w:cs="仿宋"/>
                <w:sz w:val="24"/>
                <w:szCs w:val="22"/>
              </w:rPr>
              <w:sym w:font="Wingdings" w:char="00A8"/>
            </w:r>
            <w:r>
              <w:rPr>
                <w:rFonts w:hint="eastAsia" w:eastAsia="仿宋_GB2312" w:cs="仿宋"/>
                <w:sz w:val="24"/>
                <w:szCs w:val="22"/>
              </w:rPr>
              <w:t>凭证创设机构</w:t>
            </w:r>
            <w:r>
              <w:rPr>
                <w:rFonts w:hint="eastAsia" w:eastAsia="仿宋_GB2312"/>
                <w:bCs/>
                <w:sz w:val="24"/>
                <w:szCs w:val="22"/>
              </w:rPr>
              <w:t>首次备案</w:t>
            </w:r>
          </w:p>
          <w:p w14:paraId="64E8D5E7">
            <w:pPr>
              <w:pStyle w:val="100"/>
              <w:spacing w:line="560" w:lineRule="exact"/>
              <w:ind w:firstLine="1680" w:firstLineChars="700"/>
              <w:jc w:val="both"/>
              <w:rPr>
                <w:rFonts w:ascii="Times New Roman" w:cs="Times New Roman"/>
                <w:b/>
                <w:color w:val="auto"/>
                <w:kern w:val="2"/>
                <w:szCs w:val="22"/>
              </w:rPr>
            </w:pPr>
            <w:r>
              <w:rPr>
                <w:rFonts w:ascii="Times New Roman" w:cs="仿宋"/>
                <w:color w:val="auto"/>
                <w:szCs w:val="22"/>
              </w:rPr>
              <w:sym w:font="Wingdings" w:char="00A8"/>
            </w:r>
            <w:r>
              <w:rPr>
                <w:rFonts w:hint="eastAsia" w:ascii="Times New Roman" w:cs="仿宋"/>
                <w:color w:val="auto"/>
                <w:szCs w:val="22"/>
              </w:rPr>
              <w:t>备案信息表内容变更</w:t>
            </w:r>
          </w:p>
          <w:p w14:paraId="020B866B">
            <w:pPr>
              <w:spacing w:line="560" w:lineRule="exact"/>
              <w:ind w:firstLine="1320" w:firstLineChars="550"/>
              <w:rPr>
                <w:rFonts w:eastAsia="仿宋_GB2312"/>
                <w:sz w:val="24"/>
                <w:szCs w:val="28"/>
              </w:rPr>
            </w:pPr>
            <w:r>
              <w:rPr>
                <w:rFonts w:eastAsia="仿宋_GB2312"/>
                <w:bCs/>
                <w:sz w:val="24"/>
                <w:szCs w:val="22"/>
              </w:rPr>
              <w:t xml:space="preserve">                        </w:t>
            </w:r>
            <w:r>
              <w:rPr>
                <w:rFonts w:hint="eastAsia" w:eastAsia="仿宋_GB2312" w:cs="仿宋"/>
                <w:sz w:val="24"/>
                <w:szCs w:val="22"/>
              </w:rPr>
              <w:t>（请在“</w:t>
            </w:r>
            <w:r>
              <w:rPr>
                <w:rFonts w:eastAsia="仿宋_GB2312" w:cs="仿宋"/>
                <w:sz w:val="24"/>
                <w:szCs w:val="22"/>
              </w:rPr>
              <w:sym w:font="Wingdings" w:char="00A8"/>
            </w:r>
            <w:r>
              <w:rPr>
                <w:rFonts w:hint="eastAsia" w:eastAsia="仿宋_GB2312" w:cs="仿宋"/>
                <w:sz w:val="24"/>
                <w:szCs w:val="22"/>
              </w:rPr>
              <w:t>”内打“</w:t>
            </w:r>
            <w:r>
              <w:rPr>
                <w:rFonts w:eastAsia="仿宋_GB2312" w:cs="仿宋"/>
                <w:sz w:val="24"/>
                <w:szCs w:val="22"/>
              </w:rPr>
              <w:sym w:font="Wingdings" w:char="00FE"/>
            </w:r>
            <w:r>
              <w:rPr>
                <w:rFonts w:hint="eastAsia" w:eastAsia="仿宋_GB2312" w:cs="仿宋"/>
                <w:sz w:val="24"/>
                <w:szCs w:val="22"/>
              </w:rPr>
              <w:t>”）</w:t>
            </w:r>
          </w:p>
        </w:tc>
      </w:tr>
      <w:tr w14:paraId="06A4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0107" w:type="dxa"/>
            <w:gridSpan w:val="8"/>
            <w:vAlign w:val="center"/>
          </w:tcPr>
          <w:p w14:paraId="06B0C906">
            <w:pPr>
              <w:spacing w:line="560" w:lineRule="exact"/>
              <w:rPr>
                <w:rFonts w:eastAsia="仿宋_GB2312"/>
                <w:sz w:val="24"/>
                <w:szCs w:val="28"/>
              </w:rPr>
            </w:pPr>
            <w:r>
              <w:rPr>
                <w:rFonts w:hint="eastAsia" w:eastAsia="仿宋_GB2312"/>
                <w:sz w:val="24"/>
                <w:szCs w:val="28"/>
              </w:rPr>
              <w:t>统一社会信用代码：</w:t>
            </w:r>
          </w:p>
        </w:tc>
      </w:tr>
      <w:tr w14:paraId="18A0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0107" w:type="dxa"/>
            <w:gridSpan w:val="8"/>
            <w:vAlign w:val="center"/>
          </w:tcPr>
          <w:p w14:paraId="6DFF59F1">
            <w:pPr>
              <w:spacing w:line="560" w:lineRule="exact"/>
              <w:rPr>
                <w:rFonts w:eastAsia="仿宋_GB2312"/>
                <w:sz w:val="24"/>
                <w:szCs w:val="28"/>
              </w:rPr>
            </w:pPr>
            <w:r>
              <w:rPr>
                <w:rFonts w:hint="eastAsia" w:eastAsia="仿宋_GB2312"/>
                <w:sz w:val="24"/>
                <w:szCs w:val="28"/>
              </w:rPr>
              <w:t>公司地址：</w:t>
            </w:r>
            <w:r>
              <w:rPr>
                <w:rFonts w:eastAsia="仿宋_GB2312"/>
                <w:sz w:val="24"/>
                <w:szCs w:val="28"/>
              </w:rPr>
              <w:t xml:space="preserve"> </w:t>
            </w:r>
            <w:r>
              <w:rPr>
                <w:rFonts w:hint="eastAsia" w:eastAsia="仿宋_GB2312"/>
                <w:sz w:val="24"/>
                <w:szCs w:val="28"/>
              </w:rPr>
              <w:t>（同营业执照）</w:t>
            </w:r>
          </w:p>
        </w:tc>
      </w:tr>
      <w:tr w14:paraId="0C4BF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2313" w:type="dxa"/>
            <w:gridSpan w:val="2"/>
            <w:vAlign w:val="center"/>
          </w:tcPr>
          <w:p w14:paraId="2D89F44C">
            <w:pPr>
              <w:pStyle w:val="17"/>
              <w:spacing w:after="0" w:line="560" w:lineRule="exact"/>
              <w:rPr>
                <w:rFonts w:eastAsia="仿宋_GB2312"/>
                <w:sz w:val="24"/>
                <w:szCs w:val="28"/>
              </w:rPr>
            </w:pPr>
            <w:r>
              <w:rPr>
                <w:rFonts w:hint="eastAsia" w:eastAsia="仿宋_GB2312"/>
                <w:sz w:val="24"/>
                <w:szCs w:val="28"/>
              </w:rPr>
              <w:t>投资者类型：</w:t>
            </w:r>
          </w:p>
        </w:tc>
        <w:tc>
          <w:tcPr>
            <w:tcW w:w="7794" w:type="dxa"/>
            <w:gridSpan w:val="6"/>
            <w:vAlign w:val="center"/>
          </w:tcPr>
          <w:p w14:paraId="24C1176E">
            <w:pPr>
              <w:pStyle w:val="17"/>
              <w:spacing w:after="0" w:line="560" w:lineRule="exact"/>
              <w:rPr>
                <w:rFonts w:eastAsia="仿宋_GB2312"/>
                <w:sz w:val="24"/>
                <w:szCs w:val="28"/>
              </w:rPr>
            </w:pPr>
            <w:r>
              <w:rPr>
                <w:rFonts w:hint="eastAsia" w:eastAsia="仿宋_GB2312"/>
                <w:sz w:val="24"/>
                <w:szCs w:val="28"/>
              </w:rPr>
              <w:t>□</w:t>
            </w:r>
            <w:r>
              <w:rPr>
                <w:rFonts w:hint="eastAsia" w:eastAsia="仿宋_GB2312"/>
                <w:sz w:val="24"/>
              </w:rPr>
              <w:t>证券公司</w:t>
            </w:r>
            <w:r>
              <w:rPr>
                <w:rFonts w:eastAsia="仿宋_GB2312"/>
                <w:sz w:val="24"/>
              </w:rPr>
              <w:t xml:space="preserve">  </w:t>
            </w:r>
            <w:r>
              <w:rPr>
                <w:rFonts w:hint="eastAsia" w:eastAsia="仿宋_GB2312"/>
                <w:sz w:val="24"/>
                <w:szCs w:val="28"/>
              </w:rPr>
              <w:t>□</w:t>
            </w:r>
            <w:r>
              <w:rPr>
                <w:rFonts w:hint="eastAsia" w:eastAsia="仿宋_GB2312"/>
                <w:sz w:val="24"/>
              </w:rPr>
              <w:t>期货公司</w:t>
            </w:r>
            <w:r>
              <w:rPr>
                <w:rFonts w:eastAsia="仿宋_GB2312"/>
                <w:sz w:val="24"/>
              </w:rPr>
              <w:t xml:space="preserve">    </w:t>
            </w:r>
            <w:r>
              <w:rPr>
                <w:rFonts w:hint="eastAsia" w:eastAsia="仿宋_GB2312"/>
                <w:sz w:val="24"/>
                <w:szCs w:val="28"/>
              </w:rPr>
              <w:t>□</w:t>
            </w:r>
            <w:r>
              <w:rPr>
                <w:rFonts w:hint="eastAsia" w:eastAsia="仿宋_GB2312"/>
                <w:sz w:val="24"/>
              </w:rPr>
              <w:t>商业银行</w:t>
            </w:r>
            <w:r>
              <w:rPr>
                <w:rFonts w:eastAsia="仿宋_GB2312"/>
                <w:sz w:val="24"/>
              </w:rPr>
              <w:t xml:space="preserve">  </w:t>
            </w:r>
            <w:r>
              <w:rPr>
                <w:rFonts w:hint="eastAsia" w:eastAsia="仿宋_GB2312"/>
                <w:sz w:val="24"/>
                <w:szCs w:val="28"/>
              </w:rPr>
              <w:t>□</w:t>
            </w:r>
            <w:r>
              <w:rPr>
                <w:rFonts w:hint="eastAsia" w:eastAsia="仿宋_GB2312"/>
                <w:sz w:val="24"/>
              </w:rPr>
              <w:t>保险公司</w:t>
            </w:r>
            <w:r>
              <w:rPr>
                <w:rFonts w:eastAsia="仿宋_GB2312"/>
                <w:sz w:val="24"/>
              </w:rPr>
              <w:t xml:space="preserve">  </w:t>
            </w:r>
            <w:r>
              <w:rPr>
                <w:rFonts w:hint="eastAsia" w:eastAsia="仿宋_GB2312"/>
                <w:sz w:val="24"/>
                <w:szCs w:val="28"/>
              </w:rPr>
              <w:t>□</w:t>
            </w:r>
            <w:r>
              <w:rPr>
                <w:rFonts w:hint="eastAsia" w:eastAsia="仿宋_GB2312"/>
                <w:sz w:val="24"/>
              </w:rPr>
              <w:t>信托公司</w:t>
            </w:r>
            <w:r>
              <w:rPr>
                <w:rFonts w:eastAsia="仿宋_GB2312"/>
                <w:sz w:val="24"/>
              </w:rPr>
              <w:t xml:space="preserve">  </w:t>
            </w:r>
            <w:r>
              <w:rPr>
                <w:rFonts w:hint="eastAsia" w:eastAsia="仿宋_GB2312"/>
                <w:sz w:val="24"/>
                <w:szCs w:val="28"/>
              </w:rPr>
              <w:t>□</w:t>
            </w:r>
            <w:r>
              <w:rPr>
                <w:rFonts w:hint="eastAsia" w:eastAsia="仿宋_GB2312"/>
                <w:sz w:val="24"/>
              </w:rPr>
              <w:t>财务公司</w:t>
            </w:r>
            <w:r>
              <w:rPr>
                <w:rFonts w:eastAsia="仿宋_GB2312"/>
                <w:sz w:val="24"/>
              </w:rPr>
              <w:t xml:space="preserve">  </w:t>
            </w:r>
            <w:r>
              <w:rPr>
                <w:rFonts w:hint="eastAsia" w:eastAsia="仿宋_GB2312"/>
                <w:sz w:val="24"/>
                <w:szCs w:val="28"/>
              </w:rPr>
              <w:t>□信用增进机构</w:t>
            </w:r>
            <w:r>
              <w:rPr>
                <w:rFonts w:eastAsia="仿宋_GB2312"/>
                <w:sz w:val="24"/>
              </w:rPr>
              <w:t xml:space="preserve">  </w:t>
            </w:r>
            <w:r>
              <w:rPr>
                <w:rFonts w:hint="eastAsia" w:eastAsia="仿宋_GB2312"/>
                <w:sz w:val="24"/>
                <w:szCs w:val="28"/>
              </w:rPr>
              <w:t>□</w:t>
            </w:r>
            <w:r>
              <w:rPr>
                <w:rFonts w:hint="eastAsia" w:eastAsia="仿宋_GB2312"/>
                <w:sz w:val="24"/>
              </w:rPr>
              <w:t xml:space="preserve">其他金融机构 </w:t>
            </w:r>
            <w:r>
              <w:rPr>
                <w:rFonts w:eastAsia="仿宋_GB2312"/>
                <w:sz w:val="24"/>
              </w:rPr>
              <w:t xml:space="preserve"> </w:t>
            </w:r>
            <w:r>
              <w:rPr>
                <w:rFonts w:hint="eastAsia" w:eastAsia="仿宋_GB2312"/>
                <w:sz w:val="24"/>
                <w:szCs w:val="28"/>
              </w:rPr>
              <w:t>□</w:t>
            </w:r>
            <w:r>
              <w:rPr>
                <w:rFonts w:hint="eastAsia" w:eastAsia="仿宋_GB2312"/>
                <w:sz w:val="24"/>
              </w:rPr>
              <w:t>其他</w:t>
            </w:r>
          </w:p>
        </w:tc>
      </w:tr>
      <w:tr w14:paraId="289E8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4723" w:type="dxa"/>
            <w:gridSpan w:val="4"/>
            <w:tcBorders>
              <w:bottom w:val="single" w:color="auto" w:sz="4" w:space="0"/>
            </w:tcBorders>
            <w:vAlign w:val="center"/>
          </w:tcPr>
          <w:p w14:paraId="70BF037E">
            <w:pPr>
              <w:spacing w:line="560" w:lineRule="exact"/>
              <w:rPr>
                <w:rFonts w:eastAsia="仿宋_GB2312"/>
                <w:sz w:val="24"/>
                <w:szCs w:val="28"/>
              </w:rPr>
            </w:pPr>
            <w:r>
              <w:rPr>
                <w:rFonts w:hint="eastAsia" w:eastAsia="仿宋_GB2312"/>
                <w:sz w:val="24"/>
                <w:szCs w:val="28"/>
                <w:lang w:eastAsia="zh-CN"/>
              </w:rPr>
              <w:t>新固定收益系统机构</w:t>
            </w:r>
            <w:r>
              <w:rPr>
                <w:rFonts w:hint="eastAsia" w:eastAsia="仿宋_GB2312"/>
                <w:sz w:val="24"/>
                <w:szCs w:val="28"/>
              </w:rPr>
              <w:t>代码：</w:t>
            </w:r>
          </w:p>
        </w:tc>
        <w:tc>
          <w:tcPr>
            <w:tcW w:w="5384" w:type="dxa"/>
            <w:gridSpan w:val="4"/>
            <w:tcBorders>
              <w:bottom w:val="single" w:color="auto" w:sz="4" w:space="0"/>
            </w:tcBorders>
            <w:vAlign w:val="center"/>
          </w:tcPr>
          <w:p w14:paraId="7B555079">
            <w:pPr>
              <w:spacing w:line="560" w:lineRule="exact"/>
              <w:rPr>
                <w:rFonts w:eastAsia="仿宋_GB2312"/>
                <w:sz w:val="24"/>
                <w:szCs w:val="28"/>
              </w:rPr>
            </w:pPr>
            <w:r>
              <w:rPr>
                <w:rFonts w:hint="eastAsia" w:eastAsia="仿宋_GB2312"/>
                <w:sz w:val="24"/>
                <w:szCs w:val="28"/>
                <w:lang w:eastAsia="zh-CN"/>
              </w:rPr>
              <w:t>新固定收益系统机构全称</w:t>
            </w:r>
            <w:r>
              <w:rPr>
                <w:rFonts w:hint="eastAsia" w:eastAsia="仿宋_GB2312"/>
                <w:sz w:val="24"/>
                <w:szCs w:val="28"/>
              </w:rPr>
              <w:t>：</w:t>
            </w:r>
          </w:p>
        </w:tc>
      </w:tr>
      <w:tr w14:paraId="1270B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4723" w:type="dxa"/>
            <w:gridSpan w:val="4"/>
            <w:tcBorders>
              <w:bottom w:val="single" w:color="auto" w:sz="4" w:space="0"/>
            </w:tcBorders>
            <w:vAlign w:val="center"/>
          </w:tcPr>
          <w:p w14:paraId="6E935090">
            <w:pPr>
              <w:spacing w:line="560" w:lineRule="exact"/>
              <w:rPr>
                <w:rFonts w:eastAsia="仿宋_GB2312"/>
                <w:sz w:val="24"/>
                <w:szCs w:val="28"/>
              </w:rPr>
            </w:pPr>
            <w:r>
              <w:rPr>
                <w:rFonts w:hint="eastAsia" w:eastAsia="仿宋_GB2312"/>
                <w:sz w:val="24"/>
                <w:szCs w:val="28"/>
              </w:rPr>
              <w:t>证券账户：</w:t>
            </w:r>
          </w:p>
        </w:tc>
        <w:tc>
          <w:tcPr>
            <w:tcW w:w="5384" w:type="dxa"/>
            <w:gridSpan w:val="4"/>
            <w:tcBorders>
              <w:bottom w:val="single" w:color="auto" w:sz="4" w:space="0"/>
            </w:tcBorders>
            <w:vAlign w:val="center"/>
          </w:tcPr>
          <w:p w14:paraId="7541B979">
            <w:pPr>
              <w:spacing w:line="560" w:lineRule="exact"/>
              <w:rPr>
                <w:rFonts w:eastAsia="仿宋_GB2312"/>
                <w:sz w:val="24"/>
                <w:szCs w:val="28"/>
              </w:rPr>
            </w:pPr>
            <w:r>
              <w:rPr>
                <w:rFonts w:hint="eastAsia" w:eastAsia="仿宋_GB2312"/>
                <w:sz w:val="24"/>
                <w:szCs w:val="28"/>
              </w:rPr>
              <w:t>证券账户名称：</w:t>
            </w:r>
          </w:p>
        </w:tc>
      </w:tr>
      <w:tr w14:paraId="540FA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4723" w:type="dxa"/>
            <w:gridSpan w:val="4"/>
            <w:tcBorders>
              <w:bottom w:val="single" w:color="auto" w:sz="4" w:space="0"/>
            </w:tcBorders>
            <w:vAlign w:val="center"/>
          </w:tcPr>
          <w:p w14:paraId="155958B0">
            <w:pPr>
              <w:spacing w:line="560" w:lineRule="exact"/>
              <w:rPr>
                <w:rFonts w:eastAsia="仿宋_GB2312"/>
                <w:sz w:val="24"/>
                <w:szCs w:val="28"/>
              </w:rPr>
            </w:pPr>
            <w:r>
              <w:rPr>
                <w:rFonts w:eastAsia="仿宋_GB2312"/>
                <w:sz w:val="24"/>
                <w:szCs w:val="28"/>
              </w:rPr>
              <w:t>CSDC</w:t>
            </w:r>
            <w:r>
              <w:rPr>
                <w:rFonts w:hint="eastAsia" w:eastAsia="仿宋_GB2312"/>
                <w:sz w:val="24"/>
                <w:szCs w:val="28"/>
              </w:rPr>
              <w:t>结算参与人编码：</w:t>
            </w:r>
          </w:p>
        </w:tc>
        <w:tc>
          <w:tcPr>
            <w:tcW w:w="5384" w:type="dxa"/>
            <w:gridSpan w:val="4"/>
            <w:tcBorders>
              <w:bottom w:val="single" w:color="auto" w:sz="4" w:space="0"/>
            </w:tcBorders>
            <w:vAlign w:val="center"/>
          </w:tcPr>
          <w:p w14:paraId="32772BC7">
            <w:pPr>
              <w:spacing w:line="560" w:lineRule="exact"/>
              <w:rPr>
                <w:rFonts w:eastAsia="仿宋_GB2312"/>
                <w:sz w:val="24"/>
                <w:szCs w:val="28"/>
              </w:rPr>
            </w:pPr>
          </w:p>
        </w:tc>
      </w:tr>
      <w:tr w14:paraId="132F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749" w:type="dxa"/>
            <w:vAlign w:val="center"/>
          </w:tcPr>
          <w:p w14:paraId="5F1FAAFF">
            <w:pPr>
              <w:spacing w:line="560" w:lineRule="exact"/>
              <w:rPr>
                <w:rFonts w:eastAsia="仿宋_GB2312"/>
                <w:sz w:val="24"/>
                <w:szCs w:val="28"/>
              </w:rPr>
            </w:pPr>
            <w:r>
              <w:rPr>
                <w:rFonts w:hint="eastAsia" w:eastAsia="仿宋_GB2312"/>
                <w:sz w:val="24"/>
                <w:szCs w:val="28"/>
              </w:rPr>
              <w:t>信用保护工具业务负责人</w:t>
            </w:r>
          </w:p>
        </w:tc>
        <w:tc>
          <w:tcPr>
            <w:tcW w:w="1484" w:type="dxa"/>
            <w:gridSpan w:val="2"/>
            <w:vAlign w:val="center"/>
          </w:tcPr>
          <w:p w14:paraId="57CC629F">
            <w:pPr>
              <w:spacing w:line="560" w:lineRule="exact"/>
              <w:rPr>
                <w:rFonts w:eastAsia="仿宋_GB2312"/>
                <w:sz w:val="24"/>
                <w:szCs w:val="28"/>
              </w:rPr>
            </w:pPr>
            <w:r>
              <w:rPr>
                <w:rFonts w:hint="eastAsia" w:eastAsia="仿宋_GB2312"/>
                <w:sz w:val="24"/>
                <w:szCs w:val="28"/>
              </w:rPr>
              <w:t>部门</w:t>
            </w:r>
          </w:p>
        </w:tc>
        <w:tc>
          <w:tcPr>
            <w:tcW w:w="1490" w:type="dxa"/>
            <w:vAlign w:val="center"/>
          </w:tcPr>
          <w:p w14:paraId="5F510F73">
            <w:pPr>
              <w:spacing w:line="560" w:lineRule="exact"/>
              <w:rPr>
                <w:rFonts w:eastAsia="仿宋_GB2312"/>
                <w:sz w:val="24"/>
                <w:szCs w:val="28"/>
              </w:rPr>
            </w:pPr>
            <w:r>
              <w:rPr>
                <w:rFonts w:hint="eastAsia" w:eastAsia="仿宋_GB2312"/>
                <w:sz w:val="24"/>
                <w:szCs w:val="28"/>
              </w:rPr>
              <w:t>职务</w:t>
            </w:r>
          </w:p>
        </w:tc>
        <w:tc>
          <w:tcPr>
            <w:tcW w:w="854" w:type="dxa"/>
            <w:vAlign w:val="center"/>
          </w:tcPr>
          <w:p w14:paraId="33761C09">
            <w:pPr>
              <w:spacing w:line="560" w:lineRule="exact"/>
              <w:rPr>
                <w:rFonts w:eastAsia="仿宋_GB2312"/>
                <w:sz w:val="24"/>
                <w:szCs w:val="28"/>
              </w:rPr>
            </w:pPr>
            <w:r>
              <w:rPr>
                <w:rFonts w:hint="eastAsia" w:eastAsia="仿宋_GB2312"/>
                <w:sz w:val="24"/>
                <w:szCs w:val="28"/>
              </w:rPr>
              <w:t>电话</w:t>
            </w:r>
          </w:p>
        </w:tc>
        <w:tc>
          <w:tcPr>
            <w:tcW w:w="1417" w:type="dxa"/>
            <w:vAlign w:val="center"/>
          </w:tcPr>
          <w:p w14:paraId="5C77C1E9">
            <w:pPr>
              <w:spacing w:line="560" w:lineRule="exact"/>
              <w:rPr>
                <w:rFonts w:eastAsia="仿宋_GB2312"/>
                <w:sz w:val="24"/>
                <w:szCs w:val="28"/>
              </w:rPr>
            </w:pPr>
            <w:r>
              <w:rPr>
                <w:rFonts w:hint="eastAsia" w:eastAsia="仿宋_GB2312"/>
                <w:sz w:val="24"/>
                <w:szCs w:val="28"/>
              </w:rPr>
              <w:t>手机</w:t>
            </w:r>
          </w:p>
        </w:tc>
        <w:tc>
          <w:tcPr>
            <w:tcW w:w="1619" w:type="dxa"/>
            <w:vAlign w:val="center"/>
          </w:tcPr>
          <w:p w14:paraId="173608FD">
            <w:pPr>
              <w:spacing w:line="560" w:lineRule="exact"/>
              <w:rPr>
                <w:rFonts w:eastAsia="仿宋_GB2312"/>
                <w:sz w:val="24"/>
                <w:szCs w:val="28"/>
              </w:rPr>
            </w:pPr>
            <w:r>
              <w:rPr>
                <w:rFonts w:hint="eastAsia" w:eastAsia="仿宋_GB2312"/>
                <w:sz w:val="24"/>
                <w:szCs w:val="28"/>
              </w:rPr>
              <w:t>传真</w:t>
            </w:r>
          </w:p>
        </w:tc>
        <w:tc>
          <w:tcPr>
            <w:tcW w:w="1494" w:type="dxa"/>
            <w:vAlign w:val="center"/>
          </w:tcPr>
          <w:p w14:paraId="1AD6AB2F">
            <w:pPr>
              <w:spacing w:line="560" w:lineRule="exact"/>
              <w:rPr>
                <w:rFonts w:eastAsia="仿宋_GB2312"/>
                <w:sz w:val="24"/>
                <w:szCs w:val="28"/>
              </w:rPr>
            </w:pPr>
            <w:r>
              <w:rPr>
                <w:rFonts w:eastAsia="仿宋_GB2312"/>
                <w:sz w:val="24"/>
                <w:szCs w:val="28"/>
              </w:rPr>
              <w:t>E-mail</w:t>
            </w:r>
          </w:p>
        </w:tc>
      </w:tr>
      <w:tr w14:paraId="28AF2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749" w:type="dxa"/>
            <w:vAlign w:val="center"/>
          </w:tcPr>
          <w:p w14:paraId="4FF10FC9">
            <w:pPr>
              <w:spacing w:line="560" w:lineRule="exact"/>
              <w:rPr>
                <w:rFonts w:eastAsia="仿宋_GB2312"/>
                <w:sz w:val="24"/>
                <w:szCs w:val="28"/>
              </w:rPr>
            </w:pPr>
          </w:p>
        </w:tc>
        <w:tc>
          <w:tcPr>
            <w:tcW w:w="1484" w:type="dxa"/>
            <w:gridSpan w:val="2"/>
            <w:vAlign w:val="center"/>
          </w:tcPr>
          <w:p w14:paraId="2FADAE82">
            <w:pPr>
              <w:spacing w:line="560" w:lineRule="exact"/>
              <w:rPr>
                <w:rFonts w:eastAsia="仿宋_GB2312"/>
                <w:sz w:val="24"/>
                <w:szCs w:val="28"/>
              </w:rPr>
            </w:pPr>
          </w:p>
        </w:tc>
        <w:tc>
          <w:tcPr>
            <w:tcW w:w="1490" w:type="dxa"/>
            <w:vAlign w:val="center"/>
          </w:tcPr>
          <w:p w14:paraId="546828C7">
            <w:pPr>
              <w:spacing w:line="560" w:lineRule="exact"/>
              <w:rPr>
                <w:rFonts w:eastAsia="仿宋_GB2312"/>
                <w:sz w:val="24"/>
                <w:szCs w:val="28"/>
              </w:rPr>
            </w:pPr>
          </w:p>
        </w:tc>
        <w:tc>
          <w:tcPr>
            <w:tcW w:w="854" w:type="dxa"/>
            <w:vAlign w:val="center"/>
          </w:tcPr>
          <w:p w14:paraId="7813137A">
            <w:pPr>
              <w:spacing w:line="560" w:lineRule="exact"/>
              <w:rPr>
                <w:rFonts w:eastAsia="仿宋_GB2312"/>
                <w:sz w:val="24"/>
                <w:szCs w:val="28"/>
              </w:rPr>
            </w:pPr>
          </w:p>
        </w:tc>
        <w:tc>
          <w:tcPr>
            <w:tcW w:w="1417" w:type="dxa"/>
            <w:vAlign w:val="center"/>
          </w:tcPr>
          <w:p w14:paraId="0D8AF08C">
            <w:pPr>
              <w:spacing w:line="560" w:lineRule="exact"/>
              <w:rPr>
                <w:rFonts w:eastAsia="仿宋_GB2312"/>
                <w:sz w:val="24"/>
                <w:szCs w:val="28"/>
              </w:rPr>
            </w:pPr>
          </w:p>
        </w:tc>
        <w:tc>
          <w:tcPr>
            <w:tcW w:w="1619" w:type="dxa"/>
            <w:vAlign w:val="center"/>
          </w:tcPr>
          <w:p w14:paraId="6384ACB6">
            <w:pPr>
              <w:spacing w:line="560" w:lineRule="exact"/>
              <w:rPr>
                <w:rFonts w:eastAsia="仿宋_GB2312"/>
                <w:sz w:val="24"/>
                <w:szCs w:val="28"/>
              </w:rPr>
            </w:pPr>
          </w:p>
        </w:tc>
        <w:tc>
          <w:tcPr>
            <w:tcW w:w="1494" w:type="dxa"/>
            <w:vAlign w:val="center"/>
          </w:tcPr>
          <w:p w14:paraId="4732A939">
            <w:pPr>
              <w:spacing w:line="560" w:lineRule="exact"/>
              <w:rPr>
                <w:rFonts w:eastAsia="仿宋_GB2312"/>
                <w:sz w:val="24"/>
                <w:szCs w:val="28"/>
              </w:rPr>
            </w:pPr>
          </w:p>
        </w:tc>
      </w:tr>
      <w:tr w14:paraId="1CC51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749" w:type="dxa"/>
            <w:vAlign w:val="center"/>
          </w:tcPr>
          <w:p w14:paraId="053CA0C9">
            <w:pPr>
              <w:spacing w:line="560" w:lineRule="exact"/>
              <w:rPr>
                <w:rFonts w:eastAsia="仿宋_GB2312"/>
                <w:sz w:val="24"/>
                <w:szCs w:val="28"/>
              </w:rPr>
            </w:pPr>
            <w:r>
              <w:rPr>
                <w:rFonts w:hint="eastAsia" w:eastAsia="仿宋_GB2312"/>
                <w:sz w:val="24"/>
                <w:szCs w:val="28"/>
              </w:rPr>
              <w:t>信用保护工具业务联络人</w:t>
            </w:r>
          </w:p>
        </w:tc>
        <w:tc>
          <w:tcPr>
            <w:tcW w:w="1484" w:type="dxa"/>
            <w:gridSpan w:val="2"/>
            <w:vAlign w:val="center"/>
          </w:tcPr>
          <w:p w14:paraId="684E3035">
            <w:pPr>
              <w:spacing w:line="560" w:lineRule="exact"/>
              <w:rPr>
                <w:rFonts w:eastAsia="仿宋_GB2312"/>
                <w:sz w:val="24"/>
                <w:szCs w:val="28"/>
              </w:rPr>
            </w:pPr>
            <w:r>
              <w:rPr>
                <w:rFonts w:hint="eastAsia" w:eastAsia="仿宋_GB2312"/>
                <w:sz w:val="24"/>
                <w:szCs w:val="28"/>
              </w:rPr>
              <w:t>部门</w:t>
            </w:r>
          </w:p>
        </w:tc>
        <w:tc>
          <w:tcPr>
            <w:tcW w:w="1490" w:type="dxa"/>
            <w:vAlign w:val="center"/>
          </w:tcPr>
          <w:p w14:paraId="1C502C28">
            <w:pPr>
              <w:spacing w:line="560" w:lineRule="exact"/>
              <w:rPr>
                <w:rFonts w:eastAsia="仿宋_GB2312"/>
                <w:sz w:val="24"/>
                <w:szCs w:val="28"/>
              </w:rPr>
            </w:pPr>
            <w:r>
              <w:rPr>
                <w:rFonts w:hint="eastAsia" w:eastAsia="仿宋_GB2312"/>
                <w:sz w:val="24"/>
                <w:szCs w:val="28"/>
              </w:rPr>
              <w:t>职务</w:t>
            </w:r>
          </w:p>
        </w:tc>
        <w:tc>
          <w:tcPr>
            <w:tcW w:w="854" w:type="dxa"/>
            <w:vAlign w:val="center"/>
          </w:tcPr>
          <w:p w14:paraId="298A41A5">
            <w:pPr>
              <w:spacing w:line="560" w:lineRule="exact"/>
              <w:rPr>
                <w:rFonts w:eastAsia="仿宋_GB2312"/>
                <w:sz w:val="24"/>
                <w:szCs w:val="28"/>
              </w:rPr>
            </w:pPr>
            <w:r>
              <w:rPr>
                <w:rFonts w:hint="eastAsia" w:eastAsia="仿宋_GB2312"/>
                <w:sz w:val="24"/>
                <w:szCs w:val="28"/>
              </w:rPr>
              <w:t>电话</w:t>
            </w:r>
          </w:p>
        </w:tc>
        <w:tc>
          <w:tcPr>
            <w:tcW w:w="1417" w:type="dxa"/>
            <w:vAlign w:val="center"/>
          </w:tcPr>
          <w:p w14:paraId="36A8289C">
            <w:pPr>
              <w:spacing w:line="560" w:lineRule="exact"/>
              <w:rPr>
                <w:rFonts w:eastAsia="仿宋_GB2312"/>
                <w:sz w:val="24"/>
                <w:szCs w:val="28"/>
              </w:rPr>
            </w:pPr>
            <w:r>
              <w:rPr>
                <w:rFonts w:hint="eastAsia" w:eastAsia="仿宋_GB2312"/>
                <w:sz w:val="24"/>
                <w:szCs w:val="28"/>
              </w:rPr>
              <w:t>手机</w:t>
            </w:r>
          </w:p>
        </w:tc>
        <w:tc>
          <w:tcPr>
            <w:tcW w:w="1619" w:type="dxa"/>
            <w:vAlign w:val="center"/>
          </w:tcPr>
          <w:p w14:paraId="0D8916A3">
            <w:pPr>
              <w:spacing w:line="560" w:lineRule="exact"/>
              <w:rPr>
                <w:rFonts w:eastAsia="仿宋_GB2312"/>
                <w:sz w:val="24"/>
                <w:szCs w:val="28"/>
              </w:rPr>
            </w:pPr>
            <w:r>
              <w:rPr>
                <w:rFonts w:hint="eastAsia" w:eastAsia="仿宋_GB2312"/>
                <w:sz w:val="24"/>
                <w:szCs w:val="28"/>
              </w:rPr>
              <w:t>传真</w:t>
            </w:r>
          </w:p>
        </w:tc>
        <w:tc>
          <w:tcPr>
            <w:tcW w:w="1494" w:type="dxa"/>
            <w:vAlign w:val="center"/>
          </w:tcPr>
          <w:p w14:paraId="06E569C4">
            <w:pPr>
              <w:spacing w:line="560" w:lineRule="exact"/>
              <w:rPr>
                <w:rFonts w:eastAsia="仿宋_GB2312"/>
                <w:sz w:val="24"/>
                <w:szCs w:val="28"/>
              </w:rPr>
            </w:pPr>
            <w:r>
              <w:rPr>
                <w:rFonts w:eastAsia="仿宋_GB2312"/>
                <w:sz w:val="24"/>
                <w:szCs w:val="28"/>
              </w:rPr>
              <w:t>E-mail</w:t>
            </w:r>
          </w:p>
        </w:tc>
      </w:tr>
      <w:tr w14:paraId="779C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1749" w:type="dxa"/>
            <w:vAlign w:val="center"/>
          </w:tcPr>
          <w:p w14:paraId="64BBCF9F">
            <w:pPr>
              <w:spacing w:line="560" w:lineRule="exact"/>
              <w:rPr>
                <w:rFonts w:eastAsia="仿宋_GB2312"/>
                <w:sz w:val="24"/>
                <w:szCs w:val="28"/>
              </w:rPr>
            </w:pPr>
          </w:p>
        </w:tc>
        <w:tc>
          <w:tcPr>
            <w:tcW w:w="1484" w:type="dxa"/>
            <w:gridSpan w:val="2"/>
            <w:vAlign w:val="center"/>
          </w:tcPr>
          <w:p w14:paraId="4B9C393C">
            <w:pPr>
              <w:spacing w:line="560" w:lineRule="exact"/>
              <w:rPr>
                <w:rFonts w:eastAsia="仿宋_GB2312"/>
                <w:sz w:val="24"/>
                <w:szCs w:val="28"/>
              </w:rPr>
            </w:pPr>
          </w:p>
        </w:tc>
        <w:tc>
          <w:tcPr>
            <w:tcW w:w="1490" w:type="dxa"/>
            <w:vAlign w:val="center"/>
          </w:tcPr>
          <w:p w14:paraId="033DFFB8">
            <w:pPr>
              <w:spacing w:line="560" w:lineRule="exact"/>
              <w:rPr>
                <w:rFonts w:eastAsia="仿宋_GB2312"/>
                <w:sz w:val="24"/>
                <w:szCs w:val="28"/>
              </w:rPr>
            </w:pPr>
          </w:p>
        </w:tc>
        <w:tc>
          <w:tcPr>
            <w:tcW w:w="854" w:type="dxa"/>
            <w:vAlign w:val="center"/>
          </w:tcPr>
          <w:p w14:paraId="45F52999">
            <w:pPr>
              <w:spacing w:line="560" w:lineRule="exact"/>
              <w:rPr>
                <w:rFonts w:eastAsia="仿宋_GB2312"/>
                <w:sz w:val="24"/>
                <w:szCs w:val="28"/>
              </w:rPr>
            </w:pPr>
          </w:p>
        </w:tc>
        <w:tc>
          <w:tcPr>
            <w:tcW w:w="1417" w:type="dxa"/>
            <w:vAlign w:val="center"/>
          </w:tcPr>
          <w:p w14:paraId="131D47E5">
            <w:pPr>
              <w:spacing w:line="560" w:lineRule="exact"/>
              <w:rPr>
                <w:rFonts w:eastAsia="仿宋_GB2312"/>
                <w:sz w:val="24"/>
                <w:szCs w:val="28"/>
              </w:rPr>
            </w:pPr>
          </w:p>
        </w:tc>
        <w:tc>
          <w:tcPr>
            <w:tcW w:w="1619" w:type="dxa"/>
            <w:vAlign w:val="center"/>
          </w:tcPr>
          <w:p w14:paraId="440FECBD">
            <w:pPr>
              <w:spacing w:line="560" w:lineRule="exact"/>
              <w:rPr>
                <w:rFonts w:eastAsia="仿宋_GB2312"/>
                <w:sz w:val="24"/>
                <w:szCs w:val="28"/>
              </w:rPr>
            </w:pPr>
          </w:p>
        </w:tc>
        <w:tc>
          <w:tcPr>
            <w:tcW w:w="1494" w:type="dxa"/>
            <w:vAlign w:val="center"/>
          </w:tcPr>
          <w:p w14:paraId="094B3CEF">
            <w:pPr>
              <w:spacing w:line="560" w:lineRule="exact"/>
              <w:rPr>
                <w:rFonts w:eastAsia="仿宋_GB2312"/>
                <w:sz w:val="24"/>
                <w:szCs w:val="28"/>
              </w:rPr>
            </w:pPr>
          </w:p>
        </w:tc>
      </w:tr>
      <w:tr w14:paraId="20FD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749" w:type="dxa"/>
            <w:tcBorders>
              <w:bottom w:val="single" w:color="auto" w:sz="4" w:space="0"/>
            </w:tcBorders>
            <w:vAlign w:val="center"/>
          </w:tcPr>
          <w:p w14:paraId="36D7F6AA">
            <w:pPr>
              <w:spacing w:line="560" w:lineRule="exact"/>
              <w:rPr>
                <w:rFonts w:eastAsia="仿宋_GB2312"/>
                <w:sz w:val="24"/>
                <w:szCs w:val="28"/>
              </w:rPr>
            </w:pPr>
            <w:r>
              <w:rPr>
                <w:rFonts w:hint="eastAsia" w:eastAsia="仿宋_GB2312"/>
                <w:sz w:val="24"/>
              </w:rPr>
              <w:t>最近一个会计年度总资产（亿元）</w:t>
            </w:r>
          </w:p>
        </w:tc>
        <w:tc>
          <w:tcPr>
            <w:tcW w:w="2974" w:type="dxa"/>
            <w:gridSpan w:val="3"/>
            <w:tcBorders>
              <w:bottom w:val="single" w:color="auto" w:sz="4" w:space="0"/>
            </w:tcBorders>
            <w:vAlign w:val="center"/>
          </w:tcPr>
          <w:p w14:paraId="340A2009">
            <w:pPr>
              <w:spacing w:line="560" w:lineRule="exact"/>
              <w:rPr>
                <w:rFonts w:eastAsia="仿宋_GB2312"/>
                <w:sz w:val="24"/>
                <w:szCs w:val="28"/>
              </w:rPr>
            </w:pPr>
          </w:p>
        </w:tc>
        <w:tc>
          <w:tcPr>
            <w:tcW w:w="2271" w:type="dxa"/>
            <w:gridSpan w:val="2"/>
            <w:tcBorders>
              <w:bottom w:val="single" w:color="auto" w:sz="4" w:space="0"/>
            </w:tcBorders>
            <w:vAlign w:val="center"/>
          </w:tcPr>
          <w:p w14:paraId="54BCE46D">
            <w:pPr>
              <w:spacing w:line="560" w:lineRule="exact"/>
              <w:rPr>
                <w:rFonts w:eastAsia="仿宋_GB2312"/>
                <w:sz w:val="24"/>
                <w:szCs w:val="28"/>
              </w:rPr>
            </w:pPr>
            <w:r>
              <w:rPr>
                <w:rFonts w:hint="eastAsia" w:eastAsia="仿宋_GB2312"/>
                <w:sz w:val="24"/>
              </w:rPr>
              <w:t>最近一个会计年度净资产（亿元）</w:t>
            </w:r>
          </w:p>
        </w:tc>
        <w:tc>
          <w:tcPr>
            <w:tcW w:w="3113" w:type="dxa"/>
            <w:gridSpan w:val="2"/>
            <w:tcBorders>
              <w:bottom w:val="single" w:color="auto" w:sz="4" w:space="0"/>
            </w:tcBorders>
            <w:vAlign w:val="center"/>
          </w:tcPr>
          <w:p w14:paraId="4A5F9BD7">
            <w:pPr>
              <w:spacing w:line="560" w:lineRule="exact"/>
              <w:rPr>
                <w:rFonts w:eastAsia="仿宋_GB2312"/>
                <w:sz w:val="24"/>
                <w:szCs w:val="28"/>
              </w:rPr>
            </w:pPr>
          </w:p>
        </w:tc>
      </w:tr>
    </w:tbl>
    <w:p w14:paraId="74837A0A">
      <w:pPr>
        <w:spacing w:line="560" w:lineRule="exact"/>
        <w:ind w:firstLine="600" w:firstLineChars="200"/>
        <w:rPr>
          <w:rFonts w:eastAsia="仿宋_GB2312"/>
          <w:sz w:val="30"/>
          <w:szCs w:val="30"/>
        </w:rPr>
      </w:pPr>
      <w:r>
        <w:rPr>
          <w:rFonts w:hint="eastAsia" w:eastAsia="仿宋_GB2312"/>
          <w:sz w:val="30"/>
          <w:szCs w:val="30"/>
        </w:rPr>
        <w:t>我公司在此郑重承诺：</w:t>
      </w:r>
    </w:p>
    <w:p w14:paraId="5FB7506B">
      <w:pPr>
        <w:spacing w:line="560" w:lineRule="exact"/>
        <w:ind w:firstLine="600" w:firstLineChars="200"/>
        <w:rPr>
          <w:rFonts w:eastAsia="仿宋_GB2312"/>
          <w:sz w:val="30"/>
          <w:szCs w:val="30"/>
        </w:rPr>
      </w:pPr>
      <w:r>
        <w:rPr>
          <w:rFonts w:hint="eastAsia" w:eastAsia="仿宋_GB2312"/>
          <w:sz w:val="30"/>
          <w:szCs w:val="30"/>
        </w:rPr>
        <w:t>一、遵守法律、法规、规章、上交所及中国结算相关业务规则，依法参与上交所信用保护工具业务。</w:t>
      </w:r>
    </w:p>
    <w:p w14:paraId="529F983D">
      <w:pPr>
        <w:spacing w:line="560" w:lineRule="exact"/>
        <w:ind w:firstLine="600" w:firstLineChars="200"/>
        <w:rPr>
          <w:rFonts w:eastAsia="仿宋_GB2312"/>
          <w:sz w:val="30"/>
          <w:szCs w:val="30"/>
        </w:rPr>
      </w:pPr>
      <w:r>
        <w:rPr>
          <w:rFonts w:hint="eastAsia" w:eastAsia="仿宋_GB2312"/>
          <w:sz w:val="30"/>
          <w:szCs w:val="30"/>
        </w:rPr>
        <w:t>二、诚实守信，自觉遵守商业道德，维护上交所债券市场秩序。</w:t>
      </w:r>
    </w:p>
    <w:p w14:paraId="4774AF7A">
      <w:pPr>
        <w:spacing w:line="560" w:lineRule="exact"/>
        <w:ind w:firstLine="600" w:firstLineChars="200"/>
        <w:rPr>
          <w:rFonts w:eastAsia="仿宋_GB2312"/>
          <w:sz w:val="30"/>
          <w:szCs w:val="30"/>
        </w:rPr>
      </w:pPr>
      <w:r>
        <w:rPr>
          <w:rFonts w:hint="eastAsia" w:eastAsia="仿宋_GB2312"/>
          <w:sz w:val="30"/>
          <w:szCs w:val="30"/>
        </w:rPr>
        <w:t>三、同意遵守上交所信用保护工具业务的相关规定，接受上交所的自律管理。</w:t>
      </w:r>
    </w:p>
    <w:p w14:paraId="46C516E1">
      <w:pPr>
        <w:spacing w:line="560" w:lineRule="exact"/>
        <w:ind w:firstLine="600" w:firstLineChars="200"/>
        <w:rPr>
          <w:rFonts w:eastAsia="仿宋_GB2312"/>
          <w:sz w:val="30"/>
          <w:szCs w:val="30"/>
        </w:rPr>
      </w:pPr>
      <w:r>
        <w:rPr>
          <w:rFonts w:hint="eastAsia" w:eastAsia="仿宋_GB2312"/>
          <w:sz w:val="30"/>
          <w:szCs w:val="30"/>
        </w:rPr>
        <w:t>四、如违反法律、法规、规章、上交所相关业务规则，接受上交所做出的包括但不限于取消信用保护工具业务的核心交易商</w:t>
      </w:r>
      <w:r>
        <w:rPr>
          <w:rFonts w:eastAsia="仿宋_GB2312"/>
          <w:sz w:val="30"/>
          <w:szCs w:val="30"/>
        </w:rPr>
        <w:t>/</w:t>
      </w:r>
      <w:r>
        <w:rPr>
          <w:rFonts w:hint="eastAsia" w:eastAsia="仿宋_GB2312"/>
          <w:sz w:val="30"/>
          <w:szCs w:val="30"/>
        </w:rPr>
        <w:t>凭证创设机构资质备案等监管措施，并对此承担一切法律责任。</w:t>
      </w:r>
    </w:p>
    <w:p w14:paraId="5D89F933">
      <w:pPr>
        <w:pStyle w:val="18"/>
        <w:spacing w:line="560" w:lineRule="exact"/>
        <w:rPr>
          <w:rFonts w:ascii="Times New Roman"/>
          <w:szCs w:val="30"/>
        </w:rPr>
      </w:pPr>
      <w:r>
        <w:rPr>
          <w:rFonts w:hint="eastAsia" w:ascii="Times New Roman"/>
          <w:szCs w:val="30"/>
        </w:rPr>
        <w:t>我公司保证向上交所提供的书面和电子申请资料的真实、准确、完整与合法。</w:t>
      </w:r>
    </w:p>
    <w:p w14:paraId="20A06899">
      <w:pPr>
        <w:pStyle w:val="18"/>
        <w:spacing w:line="560" w:lineRule="exact"/>
        <w:rPr>
          <w:rFonts w:ascii="Times New Roman"/>
          <w:szCs w:val="30"/>
        </w:rPr>
      </w:pPr>
    </w:p>
    <w:p w14:paraId="2D21429A">
      <w:pPr>
        <w:pStyle w:val="18"/>
        <w:spacing w:line="560" w:lineRule="exact"/>
        <w:rPr>
          <w:rFonts w:ascii="Times New Roman"/>
          <w:szCs w:val="30"/>
        </w:rPr>
      </w:pPr>
    </w:p>
    <w:p w14:paraId="17BFFCF3">
      <w:pPr>
        <w:pStyle w:val="18"/>
        <w:spacing w:line="560" w:lineRule="exact"/>
        <w:rPr>
          <w:rFonts w:ascii="Times New Roman"/>
          <w:szCs w:val="30"/>
        </w:rPr>
      </w:pPr>
      <w:r>
        <w:rPr>
          <w:rFonts w:hint="eastAsia" w:ascii="Times New Roman"/>
          <w:szCs w:val="30"/>
        </w:rPr>
        <w:t>申请人：</w:t>
      </w:r>
      <w:r>
        <w:rPr>
          <w:rFonts w:ascii="Times New Roman"/>
          <w:szCs w:val="30"/>
        </w:rPr>
        <w:t>_____________________</w:t>
      </w:r>
      <w:r>
        <w:rPr>
          <w:rFonts w:hint="eastAsia" w:ascii="Times New Roman"/>
          <w:szCs w:val="30"/>
        </w:rPr>
        <w:t>公司</w:t>
      </w:r>
      <w:r>
        <w:rPr>
          <w:rFonts w:ascii="Times New Roman"/>
          <w:szCs w:val="30"/>
        </w:rPr>
        <w:t xml:space="preserve">   </w:t>
      </w:r>
      <w:r>
        <w:rPr>
          <w:rFonts w:hint="eastAsia" w:ascii="Times New Roman"/>
          <w:szCs w:val="30"/>
        </w:rPr>
        <w:t>（加盖公章）</w:t>
      </w:r>
    </w:p>
    <w:p w14:paraId="0EBD696B">
      <w:pPr>
        <w:pStyle w:val="18"/>
        <w:spacing w:line="560" w:lineRule="exact"/>
        <w:rPr>
          <w:rFonts w:ascii="Times New Roman"/>
          <w:szCs w:val="30"/>
        </w:rPr>
      </w:pPr>
    </w:p>
    <w:p w14:paraId="26856B9F">
      <w:pPr>
        <w:pStyle w:val="18"/>
        <w:spacing w:line="560" w:lineRule="exact"/>
        <w:rPr>
          <w:rFonts w:ascii="Times New Roman"/>
          <w:szCs w:val="30"/>
        </w:rPr>
      </w:pPr>
      <w:r>
        <w:rPr>
          <w:rFonts w:ascii="Times New Roman"/>
          <w:szCs w:val="30"/>
        </w:rPr>
        <w:t xml:space="preserve">                                     </w:t>
      </w:r>
      <w:r>
        <w:rPr>
          <w:rFonts w:hint="eastAsia" w:ascii="Times New Roman"/>
          <w:szCs w:val="30"/>
        </w:rPr>
        <w:t>经办人（签字）：</w:t>
      </w:r>
    </w:p>
    <w:p w14:paraId="5363B2F1">
      <w:pPr>
        <w:pStyle w:val="18"/>
        <w:spacing w:line="560" w:lineRule="exact"/>
        <w:rPr>
          <w:rFonts w:ascii="Times New Roman"/>
          <w:szCs w:val="30"/>
        </w:rPr>
      </w:pPr>
      <w:r>
        <w:rPr>
          <w:rFonts w:ascii="Times New Roman"/>
          <w:szCs w:val="30"/>
        </w:rPr>
        <w:t xml:space="preserve">                                     </w:t>
      </w:r>
      <w:r>
        <w:rPr>
          <w:rFonts w:hint="eastAsia" w:ascii="Times New Roman"/>
          <w:szCs w:val="30"/>
        </w:rPr>
        <w:t>申请日期：</w:t>
      </w:r>
    </w:p>
    <w:p w14:paraId="5111CD75">
      <w:pPr>
        <w:pStyle w:val="18"/>
        <w:spacing w:line="560" w:lineRule="exact"/>
        <w:rPr>
          <w:rFonts w:ascii="Times New Roman"/>
          <w:szCs w:val="30"/>
        </w:rPr>
      </w:pPr>
      <w:r>
        <w:rPr>
          <w:rFonts w:ascii="Times New Roman"/>
          <w:szCs w:val="30"/>
        </w:rPr>
        <w:t xml:space="preserve">                                     </w:t>
      </w:r>
      <w:r>
        <w:rPr>
          <w:rFonts w:hint="eastAsia" w:ascii="Times New Roman"/>
          <w:szCs w:val="30"/>
        </w:rPr>
        <w:t>联系电话：</w:t>
      </w:r>
    </w:p>
    <w:p w14:paraId="74CCF7BA">
      <w:pPr>
        <w:widowControl/>
        <w:jc w:val="left"/>
        <w:rPr>
          <w:rFonts w:ascii="仿宋_GB2312" w:hAnsi="仿宋" w:eastAsia="仿宋_GB2312"/>
          <w:sz w:val="24"/>
          <w:szCs w:val="30"/>
        </w:rPr>
      </w:pPr>
    </w:p>
    <w:p w14:paraId="1CCAB150">
      <w:r>
        <w:br w:type="page"/>
      </w:r>
    </w:p>
    <w:p w14:paraId="4909083F">
      <w:pPr>
        <w:widowControl/>
        <w:jc w:val="left"/>
        <w:outlineLvl w:val="1"/>
        <w:rPr>
          <w:rFonts w:ascii="仿宋_GB2312" w:hAnsi="黑体" w:eastAsia="仿宋_GB2312"/>
          <w:b/>
          <w:sz w:val="30"/>
          <w:szCs w:val="30"/>
        </w:rPr>
      </w:pPr>
      <w:bookmarkStart w:id="4109" w:name="_Toc181552581"/>
      <w:bookmarkStart w:id="4110" w:name="_Toc1066092071"/>
      <w:bookmarkStart w:id="4111" w:name="_Toc1940906111"/>
      <w:bookmarkStart w:id="4112" w:name="_Toc1152443871"/>
      <w:bookmarkStart w:id="4113" w:name="_Toc1945244870"/>
      <w:bookmarkStart w:id="4114" w:name="_Toc1118712495"/>
      <w:bookmarkStart w:id="4115" w:name="_Toc151137106"/>
      <w:r>
        <w:rPr>
          <w:rFonts w:hint="eastAsia" w:ascii="仿宋_GB2312" w:hAnsi="黑体" w:eastAsia="仿宋_GB2312"/>
          <w:b/>
          <w:sz w:val="30"/>
          <w:szCs w:val="30"/>
        </w:rPr>
        <w:t>附件23 XXXX信用保护合约交易确认书</w:t>
      </w:r>
      <w:bookmarkEnd w:id="4109"/>
      <w:bookmarkEnd w:id="4110"/>
      <w:bookmarkEnd w:id="4111"/>
      <w:bookmarkEnd w:id="4112"/>
      <w:bookmarkEnd w:id="4113"/>
      <w:bookmarkEnd w:id="4114"/>
      <w:bookmarkEnd w:id="4115"/>
      <w:r>
        <w:rPr>
          <w:rFonts w:hint="eastAsia" w:ascii="仿宋_GB2312" w:hAnsi="黑体" w:eastAsia="仿宋_GB2312"/>
          <w:b/>
          <w:sz w:val="30"/>
          <w:szCs w:val="30"/>
        </w:rPr>
        <w:t xml:space="preserve"> </w:t>
      </w:r>
    </w:p>
    <w:p w14:paraId="4B947C43">
      <w:pPr>
        <w:spacing w:line="560" w:lineRule="exact"/>
        <w:ind w:right="150"/>
        <w:jc w:val="center"/>
        <w:rPr>
          <w:rFonts w:ascii="黑体" w:hAnsi="黑体" w:eastAsia="黑体"/>
          <w:b/>
          <w:kern w:val="0"/>
          <w:sz w:val="44"/>
          <w:szCs w:val="44"/>
        </w:rPr>
      </w:pPr>
    </w:p>
    <w:p w14:paraId="281F9B2A">
      <w:pPr>
        <w:spacing w:line="560" w:lineRule="exact"/>
        <w:ind w:right="150"/>
        <w:jc w:val="center"/>
        <w:rPr>
          <w:rFonts w:ascii="黑体" w:hAnsi="黑体" w:eastAsia="黑体"/>
          <w:b/>
          <w:kern w:val="0"/>
          <w:sz w:val="44"/>
          <w:szCs w:val="44"/>
        </w:rPr>
      </w:pPr>
      <w:r>
        <w:rPr>
          <w:rFonts w:ascii="黑体" w:hAnsi="黑体" w:eastAsia="黑体"/>
          <w:b/>
          <w:kern w:val="0"/>
          <w:sz w:val="44"/>
          <w:szCs w:val="44"/>
        </w:rPr>
        <w:t>XXXX</w:t>
      </w:r>
      <w:r>
        <w:rPr>
          <w:kern w:val="0"/>
        </w:rPr>
        <w:footnoteReference w:id="2"/>
      </w:r>
      <w:r>
        <w:rPr>
          <w:rFonts w:hint="eastAsia" w:ascii="黑体" w:hAnsi="黑体" w:eastAsia="黑体"/>
          <w:b/>
          <w:kern w:val="0"/>
          <w:sz w:val="44"/>
          <w:szCs w:val="44"/>
        </w:rPr>
        <w:t>信用保护合约交易确认书</w:t>
      </w:r>
    </w:p>
    <w:p w14:paraId="380490B6">
      <w:pPr>
        <w:spacing w:before="126" w:line="560" w:lineRule="exact"/>
        <w:ind w:right="193"/>
        <w:jc w:val="right"/>
        <w:rPr>
          <w:rFonts w:eastAsia="仿宋_GB2312"/>
          <w:sz w:val="30"/>
          <w:szCs w:val="28"/>
        </w:rPr>
      </w:pPr>
      <w:r>
        <w:rPr>
          <w:rFonts w:hint="eastAsia" w:eastAsia="仿宋_GB2312"/>
          <w:sz w:val="30"/>
          <w:szCs w:val="28"/>
        </w:rPr>
        <w:t>编号【</w:t>
      </w:r>
      <w:r>
        <w:rPr>
          <w:rFonts w:eastAsia="仿宋_GB2312"/>
          <w:sz w:val="30"/>
          <w:szCs w:val="28"/>
        </w:rPr>
        <w:t xml:space="preserve">          </w:t>
      </w:r>
      <w:r>
        <w:rPr>
          <w:rFonts w:hint="eastAsia" w:eastAsia="仿宋_GB2312"/>
          <w:sz w:val="30"/>
          <w:szCs w:val="28"/>
        </w:rPr>
        <w:t>】</w:t>
      </w:r>
    </w:p>
    <w:p w14:paraId="1EE29995">
      <w:pPr>
        <w:spacing w:before="126" w:line="560" w:lineRule="exact"/>
        <w:ind w:right="193"/>
        <w:rPr>
          <w:rFonts w:eastAsia="仿宋_GB2312"/>
          <w:sz w:val="30"/>
          <w:szCs w:val="28"/>
        </w:rPr>
      </w:pPr>
    </w:p>
    <w:p w14:paraId="2F492A52">
      <w:pPr>
        <w:spacing w:before="126" w:line="560" w:lineRule="exact"/>
        <w:ind w:right="193"/>
        <w:rPr>
          <w:rFonts w:eastAsia="仿宋_GB2312" w:cs="新宋体"/>
          <w:spacing w:val="-3"/>
          <w:sz w:val="30"/>
          <w:szCs w:val="28"/>
        </w:rPr>
      </w:pPr>
      <w:r>
        <w:rPr>
          <w:rFonts w:hint="eastAsia" w:eastAsia="仿宋_GB2312" w:cs="新宋体"/>
          <w:b/>
          <w:spacing w:val="-3"/>
          <w:sz w:val="30"/>
          <w:szCs w:val="28"/>
        </w:rPr>
        <w:t>甲方</w:t>
      </w:r>
      <w:r>
        <w:rPr>
          <w:rFonts w:hint="eastAsia" w:eastAsia="仿宋_GB2312" w:cs="新宋体"/>
          <w:spacing w:val="-3"/>
          <w:sz w:val="30"/>
          <w:szCs w:val="28"/>
        </w:rPr>
        <w:t>（</w:t>
      </w:r>
      <w:r>
        <w:rPr>
          <w:rFonts w:hint="eastAsia" w:eastAsia="仿宋_GB2312" w:cs="新宋体"/>
          <w:b/>
          <w:spacing w:val="-3"/>
          <w:sz w:val="30"/>
          <w:szCs w:val="28"/>
        </w:rPr>
        <w:t>信用保护卖方</w:t>
      </w:r>
      <w:r>
        <w:rPr>
          <w:rFonts w:hint="eastAsia" w:eastAsia="仿宋_GB2312" w:cs="新宋体"/>
          <w:spacing w:val="-3"/>
          <w:sz w:val="30"/>
          <w:szCs w:val="28"/>
        </w:rPr>
        <w:t>）：</w:t>
      </w:r>
      <w:r>
        <w:rPr>
          <w:rFonts w:hint="eastAsia" w:eastAsia="仿宋_GB2312" w:cs="新宋体"/>
          <w:b/>
          <w:spacing w:val="-3"/>
          <w:sz w:val="30"/>
          <w:szCs w:val="28"/>
        </w:rPr>
        <w:t>【】</w:t>
      </w:r>
    </w:p>
    <w:p w14:paraId="559ED515">
      <w:pPr>
        <w:spacing w:before="126" w:line="560" w:lineRule="exact"/>
        <w:ind w:right="193"/>
        <w:rPr>
          <w:rFonts w:eastAsia="仿宋_GB2312" w:cs="新宋体"/>
          <w:spacing w:val="-3"/>
          <w:sz w:val="30"/>
          <w:szCs w:val="28"/>
        </w:rPr>
      </w:pPr>
      <w:r>
        <w:rPr>
          <w:rFonts w:hint="eastAsia" w:eastAsia="仿宋_GB2312" w:cs="新宋体"/>
          <w:spacing w:val="-3"/>
          <w:sz w:val="30"/>
          <w:szCs w:val="28"/>
        </w:rPr>
        <w:t>代表其管理的【】</w:t>
      </w:r>
    </w:p>
    <w:p w14:paraId="217C415E">
      <w:pPr>
        <w:spacing w:before="126" w:line="560" w:lineRule="exact"/>
        <w:ind w:right="193"/>
        <w:rPr>
          <w:rFonts w:eastAsia="仿宋_GB2312" w:cs="新宋体"/>
          <w:b/>
          <w:spacing w:val="-3"/>
          <w:sz w:val="30"/>
          <w:szCs w:val="28"/>
        </w:rPr>
      </w:pPr>
    </w:p>
    <w:p w14:paraId="4EF97BD5">
      <w:pPr>
        <w:spacing w:before="126" w:line="560" w:lineRule="exact"/>
        <w:ind w:right="193"/>
        <w:rPr>
          <w:rFonts w:eastAsia="仿宋_GB2312" w:cs="新宋体"/>
          <w:spacing w:val="-3"/>
          <w:sz w:val="30"/>
          <w:szCs w:val="28"/>
        </w:rPr>
      </w:pPr>
      <w:r>
        <w:rPr>
          <w:rFonts w:hint="eastAsia" w:eastAsia="仿宋_GB2312" w:cs="新宋体"/>
          <w:b/>
          <w:spacing w:val="-3"/>
          <w:sz w:val="30"/>
          <w:szCs w:val="28"/>
        </w:rPr>
        <w:t>乙方</w:t>
      </w:r>
      <w:r>
        <w:rPr>
          <w:rFonts w:hint="eastAsia" w:eastAsia="仿宋_GB2312" w:cs="新宋体"/>
          <w:spacing w:val="-3"/>
          <w:sz w:val="30"/>
          <w:szCs w:val="28"/>
        </w:rPr>
        <w:t>（</w:t>
      </w:r>
      <w:r>
        <w:rPr>
          <w:rFonts w:hint="eastAsia" w:eastAsia="仿宋_GB2312" w:cs="新宋体"/>
          <w:b/>
          <w:spacing w:val="-3"/>
          <w:sz w:val="30"/>
          <w:szCs w:val="28"/>
        </w:rPr>
        <w:t>信用保护买方</w:t>
      </w:r>
      <w:r>
        <w:rPr>
          <w:rFonts w:hint="eastAsia" w:eastAsia="仿宋_GB2312" w:cs="新宋体"/>
          <w:spacing w:val="-3"/>
          <w:sz w:val="30"/>
          <w:szCs w:val="28"/>
        </w:rPr>
        <w:t>）：</w:t>
      </w:r>
      <w:r>
        <w:rPr>
          <w:rFonts w:hint="eastAsia" w:eastAsia="仿宋_GB2312" w:cs="新宋体"/>
          <w:b/>
          <w:spacing w:val="-3"/>
          <w:sz w:val="30"/>
          <w:szCs w:val="28"/>
        </w:rPr>
        <w:t>【】</w:t>
      </w:r>
    </w:p>
    <w:p w14:paraId="61F9D633">
      <w:pPr>
        <w:spacing w:before="126" w:line="560" w:lineRule="exact"/>
        <w:ind w:right="193"/>
        <w:rPr>
          <w:rFonts w:eastAsia="仿宋_GB2312" w:cs="新宋体"/>
          <w:spacing w:val="-3"/>
          <w:sz w:val="30"/>
          <w:szCs w:val="28"/>
        </w:rPr>
      </w:pPr>
      <w:r>
        <w:rPr>
          <w:rFonts w:hint="eastAsia" w:eastAsia="仿宋_GB2312" w:cs="新宋体"/>
          <w:spacing w:val="-3"/>
          <w:sz w:val="30"/>
          <w:szCs w:val="28"/>
        </w:rPr>
        <w:t>代表其管理的【】</w:t>
      </w:r>
    </w:p>
    <w:p w14:paraId="06EED3C8">
      <w:pPr>
        <w:spacing w:before="126" w:line="560" w:lineRule="exact"/>
        <w:ind w:right="193" w:firstLine="588" w:firstLineChars="200"/>
        <w:rPr>
          <w:rFonts w:eastAsia="仿宋_GB2312" w:cs="新宋体"/>
          <w:spacing w:val="-3"/>
          <w:sz w:val="30"/>
          <w:szCs w:val="28"/>
        </w:rPr>
      </w:pPr>
    </w:p>
    <w:p w14:paraId="17D25086">
      <w:pPr>
        <w:spacing w:before="126" w:line="560" w:lineRule="exact"/>
        <w:ind w:right="193" w:firstLine="588" w:firstLineChars="200"/>
        <w:rPr>
          <w:rFonts w:eastAsia="仿宋_GB2312" w:cs="新宋体"/>
          <w:sz w:val="30"/>
          <w:szCs w:val="28"/>
        </w:rPr>
      </w:pPr>
      <w:r>
        <w:rPr>
          <w:rFonts w:hint="eastAsia" w:eastAsia="仿宋_GB2312" w:cs="新宋体"/>
          <w:spacing w:val="-3"/>
          <w:sz w:val="30"/>
          <w:szCs w:val="28"/>
        </w:rPr>
        <w:t>本</w:t>
      </w:r>
      <w:r>
        <w:rPr>
          <w:rFonts w:hint="eastAsia" w:eastAsia="仿宋_GB2312" w:cs="新宋体"/>
          <w:b/>
          <w:spacing w:val="-3"/>
          <w:sz w:val="30"/>
          <w:szCs w:val="28"/>
        </w:rPr>
        <w:t>《</w:t>
      </w:r>
      <w:r>
        <w:rPr>
          <w:rFonts w:eastAsia="仿宋_GB2312" w:cs="新宋体"/>
          <w:b/>
          <w:spacing w:val="-3"/>
          <w:sz w:val="30"/>
          <w:szCs w:val="28"/>
        </w:rPr>
        <w:t>XXXX</w:t>
      </w:r>
      <w:r>
        <w:rPr>
          <w:rFonts w:hint="eastAsia" w:eastAsia="仿宋_GB2312" w:cs="新宋体"/>
          <w:b/>
          <w:spacing w:val="-3"/>
          <w:sz w:val="30"/>
          <w:szCs w:val="28"/>
        </w:rPr>
        <w:t>信用保护合约交易确认书》</w:t>
      </w:r>
      <w:r>
        <w:rPr>
          <w:rFonts w:hint="eastAsia" w:eastAsia="仿宋_GB2312" w:cs="新宋体"/>
          <w:spacing w:val="-3"/>
          <w:sz w:val="30"/>
          <w:szCs w:val="28"/>
        </w:rPr>
        <w:t>（以下简称“</w:t>
      </w:r>
      <w:r>
        <w:rPr>
          <w:rFonts w:hint="eastAsia" w:eastAsia="仿宋_GB2312" w:cs="新宋体"/>
          <w:b/>
          <w:bCs/>
          <w:spacing w:val="-3"/>
          <w:sz w:val="30"/>
          <w:szCs w:val="28"/>
        </w:rPr>
        <w:t>本确认</w:t>
      </w:r>
      <w:r>
        <w:rPr>
          <w:rFonts w:hint="eastAsia" w:eastAsia="仿宋_GB2312" w:cs="新宋体"/>
          <w:b/>
          <w:bCs/>
          <w:w w:val="95"/>
          <w:sz w:val="30"/>
          <w:szCs w:val="28"/>
        </w:rPr>
        <w:t>书</w:t>
      </w:r>
      <w:r>
        <w:rPr>
          <w:rFonts w:hint="eastAsia" w:eastAsia="仿宋_GB2312" w:cs="新宋体"/>
          <w:w w:val="95"/>
          <w:sz w:val="30"/>
          <w:szCs w:val="28"/>
        </w:rPr>
        <w:t>”）</w:t>
      </w:r>
      <w:r>
        <w:rPr>
          <w:rFonts w:hint="eastAsia" w:eastAsia="仿宋_GB2312" w:cs="新宋体"/>
          <w:sz w:val="30"/>
          <w:szCs w:val="28"/>
        </w:rPr>
        <w:t>旨在明确</w:t>
      </w:r>
      <w:r>
        <w:rPr>
          <w:rFonts w:hint="eastAsia" w:eastAsia="仿宋_GB2312" w:cs="新宋体"/>
          <w:b/>
          <w:sz w:val="30"/>
          <w:szCs w:val="28"/>
        </w:rPr>
        <w:t>甲方</w:t>
      </w:r>
      <w:r>
        <w:rPr>
          <w:rFonts w:hint="eastAsia" w:eastAsia="仿宋_GB2312" w:cs="新宋体"/>
          <w:sz w:val="30"/>
          <w:szCs w:val="28"/>
        </w:rPr>
        <w:t>和</w:t>
      </w:r>
      <w:r>
        <w:rPr>
          <w:rFonts w:hint="eastAsia" w:eastAsia="仿宋_GB2312" w:cs="新宋体"/>
          <w:b/>
          <w:sz w:val="30"/>
          <w:szCs w:val="28"/>
        </w:rPr>
        <w:t>乙方</w:t>
      </w:r>
      <w:r>
        <w:rPr>
          <w:rFonts w:hint="eastAsia" w:eastAsia="仿宋_GB2312" w:cs="新宋体"/>
          <w:sz w:val="30"/>
          <w:szCs w:val="28"/>
        </w:rPr>
        <w:t>在下文指明的</w:t>
      </w:r>
      <w:r>
        <w:rPr>
          <w:rFonts w:hint="eastAsia" w:eastAsia="仿宋_GB2312" w:cs="新宋体"/>
          <w:b/>
          <w:sz w:val="30"/>
          <w:szCs w:val="28"/>
        </w:rPr>
        <w:t>签署日</w:t>
      </w:r>
      <w:r>
        <w:rPr>
          <w:rFonts w:hint="eastAsia" w:eastAsia="仿宋_GB2312" w:cs="新宋体"/>
          <w:sz w:val="30"/>
          <w:szCs w:val="28"/>
        </w:rPr>
        <w:t>达成的</w:t>
      </w:r>
      <w:r>
        <w:rPr>
          <w:rFonts w:hint="eastAsia" w:eastAsia="仿宋_GB2312" w:cs="新宋体"/>
          <w:b/>
          <w:bCs/>
          <w:sz w:val="30"/>
          <w:szCs w:val="28"/>
        </w:rPr>
        <w:t>信用保护合约交易</w:t>
      </w:r>
      <w:r>
        <w:rPr>
          <w:rFonts w:hint="eastAsia" w:eastAsia="仿宋_GB2312" w:cs="新宋体"/>
          <w:sz w:val="30"/>
          <w:szCs w:val="28"/>
        </w:rPr>
        <w:t>（以下简称“</w:t>
      </w:r>
      <w:r>
        <w:rPr>
          <w:rFonts w:hint="eastAsia" w:eastAsia="仿宋_GB2312" w:cs="新宋体"/>
          <w:b/>
          <w:bCs/>
          <w:sz w:val="30"/>
          <w:szCs w:val="28"/>
        </w:rPr>
        <w:t>交易</w:t>
      </w:r>
      <w:r>
        <w:rPr>
          <w:rFonts w:hint="eastAsia" w:eastAsia="仿宋_GB2312" w:cs="新宋体"/>
          <w:sz w:val="30"/>
          <w:szCs w:val="28"/>
        </w:rPr>
        <w:t>”）的条款与条件。</w:t>
      </w:r>
    </w:p>
    <w:p w14:paraId="04CD5272">
      <w:pPr>
        <w:spacing w:before="185" w:line="560" w:lineRule="exact"/>
        <w:ind w:right="196" w:firstLine="584" w:firstLineChars="200"/>
        <w:rPr>
          <w:rFonts w:eastAsia="仿宋_GB2312" w:cs="新宋体"/>
          <w:sz w:val="30"/>
          <w:szCs w:val="28"/>
        </w:rPr>
      </w:pPr>
      <w:r>
        <w:rPr>
          <w:rFonts w:hint="eastAsia" w:eastAsia="仿宋_GB2312" w:cs="新宋体"/>
          <w:spacing w:val="-4"/>
          <w:sz w:val="30"/>
          <w:szCs w:val="28"/>
        </w:rPr>
        <w:t>在</w:t>
      </w:r>
      <w:r>
        <w:rPr>
          <w:rFonts w:hint="eastAsia" w:eastAsia="仿宋_GB2312" w:cs="新宋体"/>
          <w:b/>
          <w:bCs/>
          <w:spacing w:val="-4"/>
          <w:sz w:val="30"/>
          <w:szCs w:val="28"/>
        </w:rPr>
        <w:t>本确认书</w:t>
      </w:r>
      <w:r>
        <w:rPr>
          <w:rFonts w:hint="eastAsia" w:eastAsia="仿宋_GB2312" w:cs="新宋体"/>
          <w:spacing w:val="-4"/>
          <w:sz w:val="30"/>
          <w:szCs w:val="28"/>
        </w:rPr>
        <w:t>中，</w:t>
      </w:r>
      <w:r>
        <w:rPr>
          <w:rFonts w:hint="eastAsia" w:eastAsia="仿宋_GB2312" w:cs="新宋体"/>
          <w:b/>
          <w:bCs/>
          <w:spacing w:val="-4"/>
          <w:sz w:val="30"/>
          <w:szCs w:val="28"/>
        </w:rPr>
        <w:t>甲方</w:t>
      </w:r>
      <w:r>
        <w:rPr>
          <w:rFonts w:hint="eastAsia" w:eastAsia="仿宋_GB2312" w:cs="新宋体"/>
          <w:spacing w:val="-4"/>
          <w:sz w:val="30"/>
          <w:szCs w:val="28"/>
        </w:rPr>
        <w:t>（</w:t>
      </w:r>
      <w:r>
        <w:rPr>
          <w:rFonts w:hint="eastAsia" w:eastAsia="仿宋_GB2312" w:cs="新宋体"/>
          <w:b/>
          <w:bCs/>
          <w:spacing w:val="-4"/>
          <w:sz w:val="30"/>
          <w:szCs w:val="28"/>
        </w:rPr>
        <w:t>信用保护卖方</w:t>
      </w:r>
      <w:r>
        <w:rPr>
          <w:rFonts w:hint="eastAsia" w:eastAsia="仿宋_GB2312" w:cs="新宋体"/>
          <w:spacing w:val="-4"/>
          <w:sz w:val="30"/>
          <w:szCs w:val="28"/>
        </w:rPr>
        <w:t>）与</w:t>
      </w:r>
      <w:r>
        <w:rPr>
          <w:rFonts w:hint="eastAsia" w:eastAsia="仿宋_GB2312" w:cs="新宋体"/>
          <w:b/>
          <w:bCs/>
          <w:spacing w:val="-4"/>
          <w:sz w:val="30"/>
          <w:szCs w:val="28"/>
        </w:rPr>
        <w:t>乙方</w:t>
      </w:r>
      <w:r>
        <w:rPr>
          <w:rFonts w:hint="eastAsia" w:eastAsia="仿宋_GB2312" w:cs="新宋体"/>
          <w:spacing w:val="-4"/>
          <w:sz w:val="30"/>
          <w:szCs w:val="28"/>
        </w:rPr>
        <w:t>（</w:t>
      </w:r>
      <w:r>
        <w:rPr>
          <w:rFonts w:hint="eastAsia" w:eastAsia="仿宋_GB2312" w:cs="新宋体"/>
          <w:b/>
          <w:bCs/>
          <w:spacing w:val="-4"/>
          <w:sz w:val="30"/>
          <w:szCs w:val="28"/>
        </w:rPr>
        <w:t>信用保护买方</w:t>
      </w:r>
      <w:r>
        <w:rPr>
          <w:rFonts w:hint="eastAsia" w:eastAsia="仿宋_GB2312" w:cs="新宋体"/>
          <w:spacing w:val="-4"/>
          <w:sz w:val="30"/>
          <w:szCs w:val="28"/>
        </w:rPr>
        <w:t>）合称为“</w:t>
      </w:r>
      <w:r>
        <w:rPr>
          <w:rFonts w:hint="eastAsia" w:eastAsia="仿宋_GB2312" w:cs="新宋体"/>
          <w:b/>
          <w:bCs/>
          <w:spacing w:val="-4"/>
          <w:sz w:val="30"/>
          <w:szCs w:val="28"/>
        </w:rPr>
        <w:t>交</w:t>
      </w:r>
      <w:r>
        <w:rPr>
          <w:rFonts w:hint="eastAsia" w:eastAsia="仿宋_GB2312" w:cs="新宋体"/>
          <w:b/>
          <w:bCs/>
          <w:sz w:val="30"/>
          <w:szCs w:val="28"/>
        </w:rPr>
        <w:t>易双方</w:t>
      </w:r>
      <w:r>
        <w:rPr>
          <w:rFonts w:hint="eastAsia" w:eastAsia="仿宋_GB2312" w:cs="新宋体"/>
          <w:sz w:val="30"/>
          <w:szCs w:val="28"/>
        </w:rPr>
        <w:t>”，分别称为“</w:t>
      </w:r>
      <w:r>
        <w:rPr>
          <w:rFonts w:hint="eastAsia" w:eastAsia="仿宋_GB2312" w:cs="新宋体"/>
          <w:b/>
          <w:bCs/>
          <w:sz w:val="30"/>
          <w:szCs w:val="28"/>
        </w:rPr>
        <w:t>交易一方</w:t>
      </w:r>
      <w:r>
        <w:rPr>
          <w:rFonts w:hint="eastAsia" w:eastAsia="仿宋_GB2312" w:cs="新宋体"/>
          <w:sz w:val="30"/>
          <w:szCs w:val="28"/>
        </w:rPr>
        <w:t>”。</w:t>
      </w:r>
    </w:p>
    <w:p w14:paraId="4BE7D171">
      <w:pPr>
        <w:pStyle w:val="17"/>
        <w:spacing w:before="156" w:line="560" w:lineRule="exact"/>
        <w:ind w:right="193" w:firstLine="588" w:firstLineChars="200"/>
        <w:rPr>
          <w:rFonts w:eastAsia="仿宋_GB2312" w:cs="新宋体"/>
          <w:sz w:val="30"/>
          <w:szCs w:val="28"/>
        </w:rPr>
      </w:pPr>
      <w:r>
        <w:rPr>
          <w:rFonts w:hint="eastAsia" w:eastAsia="仿宋_GB2312" w:cs="新宋体"/>
          <w:spacing w:val="-3"/>
          <w:sz w:val="30"/>
          <w:szCs w:val="28"/>
        </w:rPr>
        <w:t>鉴于</w:t>
      </w:r>
      <w:r>
        <w:rPr>
          <w:rFonts w:hint="eastAsia" w:eastAsia="仿宋_GB2312" w:cs="新宋体"/>
          <w:b/>
          <w:bCs/>
          <w:spacing w:val="-3"/>
          <w:sz w:val="30"/>
          <w:szCs w:val="28"/>
        </w:rPr>
        <w:t>交易双方</w:t>
      </w:r>
      <w:r>
        <w:rPr>
          <w:rFonts w:hint="eastAsia" w:eastAsia="仿宋_GB2312" w:cs="新宋体"/>
          <w:spacing w:val="-3"/>
          <w:sz w:val="30"/>
          <w:szCs w:val="28"/>
        </w:rPr>
        <w:t>已经签署了《中国证券期货市场衍生品交易主协议（信用保护合约专用版）》（以下简称“</w:t>
      </w:r>
      <w:r>
        <w:rPr>
          <w:rFonts w:hint="eastAsia" w:eastAsia="仿宋_GB2312" w:cs="新宋体"/>
          <w:b/>
          <w:bCs/>
          <w:spacing w:val="-3"/>
          <w:sz w:val="30"/>
          <w:szCs w:val="28"/>
        </w:rPr>
        <w:t>主协议</w:t>
      </w:r>
      <w:r>
        <w:rPr>
          <w:rFonts w:hint="eastAsia" w:eastAsia="仿宋_GB2312" w:cs="新宋体"/>
          <w:spacing w:val="-3"/>
          <w:sz w:val="30"/>
          <w:szCs w:val="28"/>
        </w:rPr>
        <w:t>”）和《中国证券期货市场衍生品交易主协议（信用保护合约专用版）补充协议》</w:t>
      </w:r>
      <w:r>
        <w:rPr>
          <w:rFonts w:hint="eastAsia" w:eastAsia="仿宋_GB2312" w:cs="新宋体"/>
          <w:spacing w:val="-7"/>
          <w:sz w:val="30"/>
          <w:szCs w:val="28"/>
        </w:rPr>
        <w:t>（若有，以下简称“</w:t>
      </w:r>
      <w:r>
        <w:rPr>
          <w:rFonts w:hint="eastAsia" w:eastAsia="仿宋_GB2312" w:cs="新宋体"/>
          <w:b/>
          <w:bCs/>
          <w:spacing w:val="-7"/>
          <w:sz w:val="30"/>
          <w:szCs w:val="28"/>
        </w:rPr>
        <w:t>补充协议</w:t>
      </w:r>
      <w:r>
        <w:rPr>
          <w:rFonts w:hint="eastAsia" w:eastAsia="仿宋_GB2312" w:cs="新宋体"/>
          <w:spacing w:val="-7"/>
          <w:sz w:val="30"/>
          <w:szCs w:val="28"/>
        </w:rPr>
        <w:t>”）</w:t>
      </w:r>
      <w:r>
        <w:rPr>
          <w:rFonts w:hint="eastAsia" w:eastAsia="仿宋_GB2312" w:cs="新宋体"/>
          <w:spacing w:val="-3"/>
          <w:sz w:val="30"/>
          <w:szCs w:val="28"/>
        </w:rPr>
        <w:t>，</w:t>
      </w:r>
      <w:r>
        <w:rPr>
          <w:rFonts w:hint="eastAsia" w:eastAsia="仿宋_GB2312" w:cs="新宋体"/>
          <w:b/>
          <w:bCs/>
          <w:spacing w:val="-3"/>
          <w:sz w:val="30"/>
          <w:szCs w:val="28"/>
        </w:rPr>
        <w:t>本确认书</w:t>
      </w:r>
      <w:r>
        <w:rPr>
          <w:rFonts w:hint="eastAsia" w:eastAsia="仿宋_GB2312" w:cs="新宋体"/>
          <w:spacing w:val="-3"/>
          <w:sz w:val="30"/>
          <w:szCs w:val="28"/>
        </w:rPr>
        <w:t>构成</w:t>
      </w:r>
      <w:r>
        <w:rPr>
          <w:rFonts w:hint="eastAsia" w:eastAsia="仿宋_GB2312" w:cs="新宋体"/>
          <w:b/>
          <w:bCs/>
          <w:spacing w:val="-3"/>
          <w:sz w:val="30"/>
          <w:szCs w:val="28"/>
        </w:rPr>
        <w:t>主协议</w:t>
      </w:r>
      <w:r>
        <w:rPr>
          <w:rFonts w:hint="eastAsia" w:eastAsia="仿宋_GB2312" w:cs="新宋体"/>
          <w:spacing w:val="-3"/>
          <w:sz w:val="30"/>
          <w:szCs w:val="28"/>
        </w:rPr>
        <w:t>所称的“</w:t>
      </w:r>
      <w:r>
        <w:rPr>
          <w:rFonts w:hint="eastAsia" w:eastAsia="仿宋_GB2312" w:cs="新宋体"/>
          <w:b/>
          <w:bCs/>
          <w:spacing w:val="-3"/>
          <w:sz w:val="30"/>
          <w:szCs w:val="28"/>
        </w:rPr>
        <w:t>交易确认书</w:t>
      </w:r>
      <w:r>
        <w:rPr>
          <w:rFonts w:hint="eastAsia" w:eastAsia="仿宋_GB2312" w:cs="新宋体"/>
          <w:spacing w:val="-3"/>
          <w:sz w:val="30"/>
          <w:szCs w:val="28"/>
        </w:rPr>
        <w:t>”，</w:t>
      </w:r>
      <w:r>
        <w:rPr>
          <w:rFonts w:hint="eastAsia" w:eastAsia="仿宋_GB2312" w:cs="新宋体"/>
          <w:b/>
          <w:bCs/>
          <w:spacing w:val="-3"/>
          <w:sz w:val="30"/>
          <w:szCs w:val="28"/>
        </w:rPr>
        <w:t>主协议</w:t>
      </w:r>
      <w:r>
        <w:rPr>
          <w:rFonts w:hint="eastAsia" w:eastAsia="仿宋_GB2312" w:cs="新宋体"/>
          <w:spacing w:val="-3"/>
          <w:sz w:val="30"/>
          <w:szCs w:val="28"/>
        </w:rPr>
        <w:t>和</w:t>
      </w:r>
      <w:r>
        <w:rPr>
          <w:rFonts w:hint="eastAsia" w:eastAsia="仿宋_GB2312" w:cs="新宋体"/>
          <w:b/>
          <w:bCs/>
          <w:spacing w:val="-3"/>
          <w:sz w:val="30"/>
          <w:szCs w:val="28"/>
        </w:rPr>
        <w:t>补充协议</w:t>
      </w:r>
      <w:r>
        <w:rPr>
          <w:rFonts w:hint="eastAsia" w:eastAsia="仿宋_GB2312" w:cs="新宋体"/>
          <w:spacing w:val="-3"/>
          <w:sz w:val="30"/>
          <w:szCs w:val="28"/>
        </w:rPr>
        <w:t>（如有）中</w:t>
      </w:r>
      <w:r>
        <w:rPr>
          <w:rFonts w:hint="eastAsia" w:eastAsia="仿宋_GB2312" w:cs="新宋体"/>
          <w:sz w:val="30"/>
          <w:szCs w:val="28"/>
        </w:rPr>
        <w:t>的全部条款，除上海证券交易所、</w:t>
      </w:r>
      <w:r>
        <w:rPr>
          <w:rFonts w:hint="eastAsia" w:eastAsia="仿宋_GB2312" w:cs="新宋体"/>
          <w:b/>
          <w:bCs/>
          <w:sz w:val="30"/>
          <w:szCs w:val="28"/>
        </w:rPr>
        <w:t>交易双方</w:t>
      </w:r>
      <w:r>
        <w:rPr>
          <w:rFonts w:hint="eastAsia" w:eastAsia="仿宋_GB2312" w:cs="新宋体"/>
          <w:sz w:val="30"/>
          <w:szCs w:val="28"/>
        </w:rPr>
        <w:t>另有特别规定或约定，适用于</w:t>
      </w:r>
      <w:r>
        <w:rPr>
          <w:rFonts w:hint="eastAsia" w:eastAsia="仿宋_GB2312" w:cs="新宋体"/>
          <w:b/>
          <w:bCs/>
          <w:sz w:val="30"/>
          <w:szCs w:val="28"/>
        </w:rPr>
        <w:t>本确认书</w:t>
      </w:r>
      <w:r>
        <w:rPr>
          <w:rFonts w:hint="eastAsia" w:eastAsia="仿宋_GB2312" w:cs="新宋体"/>
          <w:sz w:val="30"/>
          <w:szCs w:val="28"/>
        </w:rPr>
        <w:t>。</w:t>
      </w:r>
    </w:p>
    <w:p w14:paraId="2B635DCA">
      <w:pPr>
        <w:spacing w:before="156" w:line="560" w:lineRule="exact"/>
        <w:ind w:right="193" w:firstLine="585" w:firstLineChars="200"/>
        <w:rPr>
          <w:rFonts w:eastAsia="仿宋_GB2312" w:cs="新宋体"/>
          <w:sz w:val="30"/>
          <w:szCs w:val="28"/>
        </w:rPr>
      </w:pPr>
      <w:r>
        <w:rPr>
          <w:rFonts w:hint="eastAsia" w:eastAsia="仿宋_GB2312" w:cs="新宋体"/>
          <w:b/>
          <w:bCs/>
          <w:spacing w:val="-4"/>
          <w:sz w:val="30"/>
          <w:szCs w:val="28"/>
        </w:rPr>
        <w:t>本确认书</w:t>
      </w:r>
      <w:r>
        <w:rPr>
          <w:rFonts w:hint="eastAsia" w:eastAsia="仿宋_GB2312" w:cs="新宋体"/>
          <w:spacing w:val="-4"/>
          <w:sz w:val="30"/>
          <w:szCs w:val="28"/>
        </w:rPr>
        <w:t>与</w:t>
      </w:r>
      <w:r>
        <w:rPr>
          <w:rFonts w:hint="eastAsia" w:eastAsia="仿宋_GB2312" w:cs="新宋体"/>
          <w:b/>
          <w:bCs/>
          <w:spacing w:val="-4"/>
          <w:sz w:val="30"/>
          <w:szCs w:val="28"/>
        </w:rPr>
        <w:t>主协议</w:t>
      </w:r>
      <w:r>
        <w:rPr>
          <w:rFonts w:hint="eastAsia" w:eastAsia="仿宋_GB2312" w:cs="新宋体"/>
          <w:spacing w:val="-4"/>
          <w:sz w:val="30"/>
          <w:szCs w:val="28"/>
        </w:rPr>
        <w:t>、</w:t>
      </w:r>
      <w:r>
        <w:rPr>
          <w:rFonts w:hint="eastAsia" w:eastAsia="仿宋_GB2312" w:cs="新宋体"/>
          <w:b/>
          <w:bCs/>
          <w:spacing w:val="-4"/>
          <w:sz w:val="30"/>
          <w:szCs w:val="28"/>
        </w:rPr>
        <w:t>补充协议</w:t>
      </w:r>
      <w:r>
        <w:rPr>
          <w:rFonts w:hint="eastAsia" w:eastAsia="仿宋_GB2312" w:cs="新宋体"/>
          <w:spacing w:val="-4"/>
          <w:sz w:val="30"/>
          <w:szCs w:val="28"/>
        </w:rPr>
        <w:t>以及交易双方认可的确认</w:t>
      </w:r>
      <w:r>
        <w:rPr>
          <w:rFonts w:hint="eastAsia" w:eastAsia="仿宋_GB2312" w:cs="新宋体"/>
          <w:b/>
          <w:bCs/>
          <w:spacing w:val="-4"/>
          <w:sz w:val="30"/>
          <w:szCs w:val="28"/>
        </w:rPr>
        <w:t>交易双方</w:t>
      </w:r>
      <w:r>
        <w:rPr>
          <w:rFonts w:hint="eastAsia" w:eastAsia="仿宋_GB2312" w:cs="新宋体"/>
          <w:spacing w:val="-4"/>
          <w:sz w:val="30"/>
          <w:szCs w:val="28"/>
        </w:rPr>
        <w:t>之间信用保护合约</w:t>
      </w:r>
      <w:r>
        <w:rPr>
          <w:rFonts w:hint="eastAsia" w:eastAsia="仿宋_GB2312" w:cs="新宋体"/>
          <w:spacing w:val="-3"/>
          <w:sz w:val="30"/>
          <w:szCs w:val="28"/>
        </w:rPr>
        <w:t>交易的所有援引了</w:t>
      </w:r>
      <w:r>
        <w:rPr>
          <w:rFonts w:hint="eastAsia" w:eastAsia="仿宋_GB2312" w:cs="新宋体"/>
          <w:b/>
          <w:bCs/>
          <w:spacing w:val="-3"/>
          <w:sz w:val="30"/>
          <w:szCs w:val="28"/>
        </w:rPr>
        <w:t>主协议</w:t>
      </w:r>
      <w:r>
        <w:rPr>
          <w:rFonts w:hint="eastAsia" w:eastAsia="仿宋_GB2312" w:cs="新宋体"/>
          <w:spacing w:val="-3"/>
          <w:sz w:val="30"/>
          <w:szCs w:val="28"/>
        </w:rPr>
        <w:t>的其他文件（以下简称“</w:t>
      </w:r>
      <w:r>
        <w:rPr>
          <w:rFonts w:hint="eastAsia" w:eastAsia="仿宋_GB2312" w:cs="新宋体"/>
          <w:b/>
          <w:bCs/>
          <w:spacing w:val="-3"/>
          <w:sz w:val="30"/>
          <w:szCs w:val="28"/>
        </w:rPr>
        <w:t>其他文件</w:t>
      </w:r>
      <w:r>
        <w:rPr>
          <w:rFonts w:hint="eastAsia" w:eastAsia="仿宋_GB2312" w:cs="新宋体"/>
          <w:spacing w:val="-3"/>
          <w:sz w:val="30"/>
          <w:szCs w:val="28"/>
        </w:rPr>
        <w:t>”），共同构成</w:t>
      </w:r>
      <w:r>
        <w:rPr>
          <w:rFonts w:hint="eastAsia" w:eastAsia="仿宋_GB2312" w:cs="新宋体"/>
          <w:b/>
          <w:bCs/>
          <w:spacing w:val="-3"/>
          <w:sz w:val="30"/>
          <w:szCs w:val="28"/>
        </w:rPr>
        <w:t>交易双方</w:t>
      </w:r>
      <w:r>
        <w:rPr>
          <w:rFonts w:hint="eastAsia" w:eastAsia="仿宋_GB2312" w:cs="新宋体"/>
          <w:spacing w:val="-3"/>
          <w:sz w:val="30"/>
          <w:szCs w:val="28"/>
        </w:rPr>
        <w:t>之间单一和完整的协议。就</w:t>
      </w:r>
      <w:r>
        <w:rPr>
          <w:rFonts w:hint="eastAsia" w:eastAsia="仿宋_GB2312" w:cs="新宋体"/>
          <w:b/>
          <w:bCs/>
          <w:spacing w:val="-3"/>
          <w:sz w:val="30"/>
          <w:szCs w:val="28"/>
        </w:rPr>
        <w:t>本确认书</w:t>
      </w:r>
      <w:r>
        <w:rPr>
          <w:rFonts w:hint="eastAsia" w:eastAsia="仿宋_GB2312" w:cs="新宋体"/>
          <w:spacing w:val="-3"/>
          <w:sz w:val="30"/>
          <w:szCs w:val="28"/>
        </w:rPr>
        <w:t>项下的</w:t>
      </w:r>
      <w:r>
        <w:rPr>
          <w:rFonts w:hint="eastAsia" w:eastAsia="仿宋_GB2312" w:cs="新宋体"/>
          <w:b/>
          <w:bCs/>
          <w:spacing w:val="-3"/>
          <w:sz w:val="30"/>
          <w:szCs w:val="28"/>
        </w:rPr>
        <w:t>交易</w:t>
      </w:r>
      <w:r>
        <w:rPr>
          <w:rFonts w:hint="eastAsia" w:eastAsia="仿宋_GB2312" w:cs="新宋体"/>
          <w:spacing w:val="-3"/>
          <w:sz w:val="30"/>
          <w:szCs w:val="28"/>
        </w:rPr>
        <w:t>而言，若</w:t>
      </w:r>
      <w:r>
        <w:rPr>
          <w:rFonts w:hint="eastAsia" w:eastAsia="仿宋_GB2312" w:cs="新宋体"/>
          <w:b/>
          <w:bCs/>
          <w:spacing w:val="-3"/>
          <w:sz w:val="30"/>
          <w:szCs w:val="28"/>
        </w:rPr>
        <w:t>本确认书</w:t>
      </w:r>
      <w:r>
        <w:rPr>
          <w:rFonts w:hint="eastAsia" w:eastAsia="仿宋_GB2312" w:cs="新宋体"/>
          <w:spacing w:val="-3"/>
          <w:sz w:val="30"/>
          <w:szCs w:val="28"/>
        </w:rPr>
        <w:t>的约定与</w:t>
      </w:r>
      <w:r>
        <w:rPr>
          <w:rFonts w:hint="eastAsia" w:eastAsia="仿宋_GB2312" w:cs="新宋体"/>
          <w:b/>
          <w:bCs/>
          <w:sz w:val="30"/>
          <w:szCs w:val="28"/>
        </w:rPr>
        <w:t>主协议</w:t>
      </w:r>
      <w:r>
        <w:rPr>
          <w:rFonts w:hint="eastAsia" w:eastAsia="仿宋_GB2312" w:cs="新宋体"/>
          <w:sz w:val="30"/>
          <w:szCs w:val="28"/>
        </w:rPr>
        <w:t>、</w:t>
      </w:r>
      <w:r>
        <w:rPr>
          <w:rFonts w:hint="eastAsia" w:eastAsia="仿宋_GB2312" w:cs="新宋体"/>
          <w:b/>
          <w:bCs/>
          <w:sz w:val="30"/>
          <w:szCs w:val="28"/>
        </w:rPr>
        <w:t>补充协议</w:t>
      </w:r>
      <w:r>
        <w:rPr>
          <w:rFonts w:hint="eastAsia" w:eastAsia="仿宋_GB2312" w:cs="新宋体"/>
          <w:sz w:val="30"/>
          <w:szCs w:val="28"/>
        </w:rPr>
        <w:t>或</w:t>
      </w:r>
      <w:r>
        <w:rPr>
          <w:rFonts w:hint="eastAsia" w:eastAsia="仿宋_GB2312" w:cs="新宋体"/>
          <w:b/>
          <w:bCs/>
          <w:sz w:val="30"/>
          <w:szCs w:val="28"/>
        </w:rPr>
        <w:t>其他文件</w:t>
      </w:r>
      <w:r>
        <w:rPr>
          <w:rFonts w:hint="eastAsia" w:eastAsia="仿宋_GB2312" w:cs="新宋体"/>
          <w:sz w:val="30"/>
          <w:szCs w:val="28"/>
        </w:rPr>
        <w:t>（如有）的约定有冲突，在不违反</w:t>
      </w:r>
      <w:r>
        <w:rPr>
          <w:rFonts w:hint="eastAsia" w:eastAsia="仿宋_GB2312" w:cs="新宋体"/>
          <w:bCs/>
          <w:sz w:val="30"/>
          <w:szCs w:val="28"/>
        </w:rPr>
        <w:t>上海证券交易所</w:t>
      </w:r>
      <w:r>
        <w:rPr>
          <w:rFonts w:hint="eastAsia" w:eastAsia="仿宋_GB2312" w:cs="新宋体"/>
          <w:sz w:val="30"/>
          <w:szCs w:val="28"/>
        </w:rPr>
        <w:t>相关规定的条件下，应以</w:t>
      </w:r>
      <w:r>
        <w:rPr>
          <w:rFonts w:hint="eastAsia" w:eastAsia="仿宋_GB2312" w:cs="新宋体"/>
          <w:b/>
          <w:bCs/>
          <w:sz w:val="30"/>
          <w:szCs w:val="28"/>
        </w:rPr>
        <w:t>本确认书</w:t>
      </w:r>
      <w:r>
        <w:rPr>
          <w:rFonts w:hint="eastAsia" w:eastAsia="仿宋_GB2312" w:cs="新宋体"/>
          <w:sz w:val="30"/>
          <w:szCs w:val="28"/>
        </w:rPr>
        <w:t>的约定为准。</w:t>
      </w:r>
    </w:p>
    <w:p w14:paraId="3D327281">
      <w:pPr>
        <w:spacing w:before="125" w:line="560" w:lineRule="exact"/>
        <w:ind w:firstLine="613" w:firstLineChars="200"/>
        <w:rPr>
          <w:rFonts w:eastAsia="仿宋_GB2312" w:cs="新宋体"/>
          <w:sz w:val="30"/>
          <w:szCs w:val="28"/>
        </w:rPr>
      </w:pPr>
      <w:r>
        <w:rPr>
          <w:rFonts w:hint="eastAsia" w:eastAsia="仿宋_GB2312" w:cs="新宋体"/>
          <w:b/>
          <w:bCs/>
          <w:spacing w:val="3"/>
          <w:sz w:val="30"/>
          <w:szCs w:val="28"/>
        </w:rPr>
        <w:t>本确认书</w:t>
      </w:r>
      <w:r>
        <w:rPr>
          <w:rFonts w:hint="eastAsia" w:eastAsia="仿宋_GB2312" w:cs="新宋体"/>
          <w:spacing w:val="3"/>
          <w:sz w:val="30"/>
          <w:szCs w:val="28"/>
        </w:rPr>
        <w:t>取代</w:t>
      </w:r>
      <w:r>
        <w:rPr>
          <w:rFonts w:hint="eastAsia" w:eastAsia="仿宋_GB2312" w:cs="新宋体"/>
          <w:b/>
          <w:bCs/>
          <w:spacing w:val="3"/>
          <w:sz w:val="30"/>
          <w:szCs w:val="28"/>
        </w:rPr>
        <w:t>交易双方</w:t>
      </w:r>
      <w:r>
        <w:rPr>
          <w:rFonts w:hint="eastAsia" w:eastAsia="仿宋_GB2312" w:cs="新宋体"/>
          <w:spacing w:val="3"/>
          <w:sz w:val="30"/>
          <w:szCs w:val="28"/>
        </w:rPr>
        <w:t>在</w:t>
      </w:r>
      <w:r>
        <w:rPr>
          <w:rFonts w:hint="eastAsia" w:eastAsia="仿宋_GB2312" w:cs="新宋体"/>
          <w:b/>
          <w:bCs/>
          <w:spacing w:val="3"/>
          <w:sz w:val="30"/>
          <w:szCs w:val="28"/>
        </w:rPr>
        <w:t>本确认书</w:t>
      </w:r>
      <w:r>
        <w:rPr>
          <w:rFonts w:hint="eastAsia" w:eastAsia="仿宋_GB2312" w:cs="新宋体"/>
          <w:spacing w:val="3"/>
          <w:sz w:val="30"/>
          <w:szCs w:val="28"/>
        </w:rPr>
        <w:t>的</w:t>
      </w:r>
      <w:r>
        <w:rPr>
          <w:rFonts w:hint="eastAsia" w:eastAsia="仿宋_GB2312" w:cs="新宋体"/>
          <w:b/>
          <w:bCs/>
          <w:spacing w:val="3"/>
          <w:sz w:val="30"/>
          <w:szCs w:val="28"/>
        </w:rPr>
        <w:t>签署日</w:t>
      </w:r>
      <w:r>
        <w:rPr>
          <w:rFonts w:hint="eastAsia" w:eastAsia="仿宋_GB2312" w:cs="新宋体"/>
          <w:spacing w:val="3"/>
          <w:sz w:val="30"/>
          <w:szCs w:val="28"/>
        </w:rPr>
        <w:t>之前就</w:t>
      </w:r>
      <w:r>
        <w:rPr>
          <w:rFonts w:hint="eastAsia" w:eastAsia="仿宋_GB2312" w:cs="新宋体"/>
          <w:b/>
          <w:bCs/>
          <w:spacing w:val="-4"/>
          <w:sz w:val="30"/>
          <w:szCs w:val="28"/>
        </w:rPr>
        <w:t>本确认书</w:t>
      </w:r>
      <w:r>
        <w:rPr>
          <w:rFonts w:hint="eastAsia" w:eastAsia="仿宋_GB2312" w:cs="新宋体"/>
          <w:spacing w:val="-4"/>
          <w:sz w:val="30"/>
          <w:szCs w:val="28"/>
        </w:rPr>
        <w:t>项下的</w:t>
      </w:r>
      <w:r>
        <w:rPr>
          <w:rFonts w:hint="eastAsia" w:eastAsia="仿宋_GB2312" w:cs="新宋体"/>
          <w:spacing w:val="3"/>
          <w:sz w:val="30"/>
          <w:szCs w:val="28"/>
        </w:rPr>
        <w:t>该项</w:t>
      </w:r>
      <w:r>
        <w:rPr>
          <w:rFonts w:hint="eastAsia" w:eastAsia="仿宋_GB2312" w:cs="新宋体"/>
          <w:b/>
          <w:bCs/>
          <w:spacing w:val="3"/>
          <w:sz w:val="30"/>
          <w:szCs w:val="28"/>
        </w:rPr>
        <w:t>交易</w:t>
      </w:r>
      <w:r>
        <w:rPr>
          <w:rFonts w:hint="eastAsia" w:eastAsia="仿宋_GB2312" w:cs="新宋体"/>
          <w:spacing w:val="3"/>
          <w:sz w:val="30"/>
          <w:szCs w:val="28"/>
        </w:rPr>
        <w:t>所作出的任何其他确认</w:t>
      </w:r>
      <w:r>
        <w:rPr>
          <w:rFonts w:hint="eastAsia" w:eastAsia="仿宋_GB2312" w:cs="新宋体"/>
          <w:sz w:val="30"/>
          <w:szCs w:val="28"/>
        </w:rPr>
        <w:t>（包括但不限于其他书面确认、电话及口头确认）。</w:t>
      </w:r>
    </w:p>
    <w:p w14:paraId="644805BA">
      <w:pPr>
        <w:spacing w:before="125" w:line="560" w:lineRule="exact"/>
        <w:ind w:firstLine="601" w:firstLineChars="200"/>
        <w:rPr>
          <w:rFonts w:eastAsia="仿宋_GB2312" w:cs="新宋体"/>
          <w:sz w:val="30"/>
          <w:szCs w:val="28"/>
        </w:rPr>
      </w:pPr>
      <w:r>
        <w:rPr>
          <w:rFonts w:hint="eastAsia" w:eastAsia="仿宋_GB2312" w:cs="新宋体"/>
          <w:b/>
          <w:bCs/>
          <w:sz w:val="30"/>
          <w:szCs w:val="28"/>
        </w:rPr>
        <w:t>本确认书</w:t>
      </w:r>
      <w:r>
        <w:rPr>
          <w:rFonts w:hint="eastAsia" w:eastAsia="仿宋_GB2312" w:cs="新宋体"/>
          <w:sz w:val="30"/>
          <w:szCs w:val="28"/>
        </w:rPr>
        <w:t>中的未明确的定义，参照《上海证券交易所</w:t>
      </w:r>
      <w:r>
        <w:rPr>
          <w:rFonts w:eastAsia="仿宋_GB2312" w:cs="新宋体"/>
          <w:sz w:val="30"/>
          <w:szCs w:val="28"/>
        </w:rPr>
        <w:t xml:space="preserve"> </w:t>
      </w:r>
      <w:r>
        <w:rPr>
          <w:rFonts w:hint="eastAsia" w:eastAsia="仿宋_GB2312" w:cs="新宋体"/>
          <w:sz w:val="30"/>
          <w:szCs w:val="28"/>
        </w:rPr>
        <w:t>中国证券登记结算有限责任公司信用保护工具业务管理试点办法》、《上海证券交易所信用保护工具交易业务指引》、</w:t>
      </w:r>
      <w:r>
        <w:rPr>
          <w:rFonts w:hint="eastAsia" w:eastAsia="仿宋_GB2312" w:cs="新宋体"/>
          <w:b/>
          <w:bCs/>
          <w:sz w:val="30"/>
          <w:szCs w:val="28"/>
        </w:rPr>
        <w:t>主协议</w:t>
      </w:r>
      <w:r>
        <w:rPr>
          <w:rFonts w:hint="eastAsia" w:eastAsia="仿宋_GB2312" w:cs="新宋体"/>
          <w:sz w:val="30"/>
          <w:szCs w:val="28"/>
        </w:rPr>
        <w:t>及其</w:t>
      </w:r>
      <w:r>
        <w:rPr>
          <w:rFonts w:hint="eastAsia" w:eastAsia="仿宋_GB2312" w:cs="新宋体"/>
          <w:b/>
          <w:bCs/>
          <w:sz w:val="30"/>
          <w:szCs w:val="28"/>
        </w:rPr>
        <w:t>补充协议</w:t>
      </w:r>
      <w:r>
        <w:rPr>
          <w:rFonts w:hint="eastAsia" w:eastAsia="仿宋_GB2312" w:cs="新宋体"/>
          <w:sz w:val="30"/>
          <w:szCs w:val="28"/>
        </w:rPr>
        <w:t>中的定义。</w:t>
      </w:r>
    </w:p>
    <w:p w14:paraId="4DD9F905">
      <w:pPr>
        <w:spacing w:before="125" w:line="560" w:lineRule="exact"/>
        <w:ind w:firstLine="601" w:firstLineChars="200"/>
        <w:rPr>
          <w:rFonts w:eastAsia="仿宋_GB2312" w:cs="新宋体"/>
          <w:sz w:val="30"/>
          <w:szCs w:val="28"/>
        </w:rPr>
      </w:pPr>
      <w:r>
        <w:rPr>
          <w:rFonts w:hint="eastAsia" w:eastAsia="仿宋_GB2312" w:cs="新宋体"/>
          <w:b/>
          <w:bCs/>
          <w:sz w:val="30"/>
          <w:szCs w:val="28"/>
        </w:rPr>
        <w:t>本确认书</w:t>
      </w:r>
      <w:r>
        <w:rPr>
          <w:rFonts w:hint="eastAsia" w:eastAsia="仿宋_GB2312" w:cs="新宋体"/>
          <w:sz w:val="30"/>
          <w:szCs w:val="28"/>
        </w:rPr>
        <w:t>正本一式</w:t>
      </w:r>
      <w:r>
        <w:rPr>
          <w:rFonts w:hint="eastAsia" w:eastAsia="仿宋_GB2312" w:cs="新宋体"/>
          <w:b/>
          <w:spacing w:val="-3"/>
          <w:sz w:val="30"/>
          <w:szCs w:val="28"/>
        </w:rPr>
        <w:t>【】</w:t>
      </w:r>
      <w:r>
        <w:rPr>
          <w:rFonts w:hint="eastAsia" w:eastAsia="仿宋_GB2312" w:cs="新宋体"/>
          <w:sz w:val="30"/>
          <w:szCs w:val="28"/>
        </w:rPr>
        <w:t>份，</w:t>
      </w:r>
      <w:r>
        <w:rPr>
          <w:rFonts w:hint="eastAsia" w:eastAsia="仿宋_GB2312" w:cs="新宋体"/>
          <w:b/>
          <w:bCs/>
          <w:sz w:val="30"/>
          <w:szCs w:val="28"/>
        </w:rPr>
        <w:t>交易双方</w:t>
      </w:r>
      <w:r>
        <w:rPr>
          <w:rFonts w:hint="eastAsia" w:eastAsia="仿宋_GB2312" w:cs="新宋体"/>
          <w:sz w:val="30"/>
          <w:szCs w:val="28"/>
        </w:rPr>
        <w:t>各持</w:t>
      </w:r>
      <w:r>
        <w:rPr>
          <w:rFonts w:hint="eastAsia" w:eastAsia="仿宋_GB2312" w:cs="新宋体"/>
          <w:b/>
          <w:spacing w:val="-3"/>
          <w:sz w:val="30"/>
          <w:szCs w:val="28"/>
        </w:rPr>
        <w:t>【】</w:t>
      </w:r>
      <w:r>
        <w:rPr>
          <w:rFonts w:hint="eastAsia" w:eastAsia="仿宋_GB2312" w:cs="新宋体"/>
          <w:sz w:val="30"/>
          <w:szCs w:val="28"/>
        </w:rPr>
        <w:t>份，每份具有同等的法律效力。</w:t>
      </w:r>
    </w:p>
    <w:p w14:paraId="789778E2">
      <w:pPr>
        <w:spacing w:before="125" w:line="560" w:lineRule="exact"/>
        <w:ind w:firstLine="600" w:firstLineChars="200"/>
        <w:rPr>
          <w:rFonts w:eastAsia="仿宋_GB2312" w:cs="新宋体"/>
          <w:sz w:val="30"/>
          <w:szCs w:val="28"/>
        </w:rPr>
      </w:pPr>
    </w:p>
    <w:p w14:paraId="425318E7">
      <w:pPr>
        <w:spacing w:before="72" w:after="72" w:line="560" w:lineRule="exact"/>
        <w:rPr>
          <w:rFonts w:eastAsia="仿宋_GB2312" w:cs="新宋体"/>
          <w:b/>
          <w:bCs/>
          <w:sz w:val="30"/>
          <w:szCs w:val="28"/>
        </w:rPr>
      </w:pPr>
      <w:r>
        <w:rPr>
          <w:rFonts w:hint="eastAsia" w:eastAsia="仿宋_GB2312" w:cs="新宋体"/>
          <w:b/>
          <w:bCs/>
          <w:sz w:val="30"/>
          <w:szCs w:val="28"/>
        </w:rPr>
        <w:t>一、适用的金融产品</w:t>
      </w:r>
    </w:p>
    <w:p w14:paraId="6C12DF97">
      <w:pPr>
        <w:spacing w:before="125" w:line="560" w:lineRule="exact"/>
        <w:ind w:firstLine="601" w:firstLineChars="200"/>
        <w:rPr>
          <w:rFonts w:eastAsia="仿宋_GB2312" w:cs="新宋体"/>
          <w:sz w:val="30"/>
          <w:szCs w:val="28"/>
        </w:rPr>
      </w:pPr>
      <w:r>
        <w:rPr>
          <w:rFonts w:hint="eastAsia" w:eastAsia="仿宋_GB2312" w:cs="新宋体"/>
          <w:b/>
          <w:bCs/>
          <w:sz w:val="30"/>
          <w:szCs w:val="28"/>
        </w:rPr>
        <w:t>本确认书</w:t>
      </w:r>
      <w:r>
        <w:rPr>
          <w:rFonts w:hint="eastAsia" w:eastAsia="仿宋_GB2312" w:cs="新宋体"/>
          <w:sz w:val="30"/>
          <w:szCs w:val="28"/>
        </w:rPr>
        <w:t>为</w:t>
      </w:r>
      <w:r>
        <w:rPr>
          <w:rFonts w:hint="eastAsia" w:eastAsia="仿宋_GB2312" w:cs="新宋体"/>
          <w:b/>
          <w:bCs/>
          <w:sz w:val="30"/>
          <w:szCs w:val="28"/>
        </w:rPr>
        <w:t>甲方</w:t>
      </w:r>
      <w:r>
        <w:rPr>
          <w:rFonts w:hint="eastAsia" w:eastAsia="仿宋_GB2312" w:cs="新宋体"/>
          <w:sz w:val="30"/>
          <w:szCs w:val="28"/>
        </w:rPr>
        <w:t>作为以下</w:t>
      </w:r>
      <w:r>
        <w:rPr>
          <w:rFonts w:hint="eastAsia" w:eastAsia="仿宋_GB2312" w:cs="新宋体"/>
          <w:b/>
          <w:bCs/>
          <w:sz w:val="30"/>
          <w:szCs w:val="28"/>
        </w:rPr>
        <w:t>金融产品</w:t>
      </w:r>
      <w:r>
        <w:rPr>
          <w:rFonts w:hint="eastAsia" w:eastAsia="仿宋_GB2312" w:cs="新宋体"/>
          <w:sz w:val="30"/>
          <w:szCs w:val="28"/>
        </w:rPr>
        <w:t>的管理人代表该</w:t>
      </w:r>
      <w:r>
        <w:rPr>
          <w:rFonts w:hint="eastAsia" w:eastAsia="仿宋_GB2312" w:cs="新宋体"/>
          <w:b/>
          <w:bCs/>
          <w:sz w:val="30"/>
          <w:szCs w:val="28"/>
        </w:rPr>
        <w:t>金融产品</w:t>
      </w:r>
      <w:r>
        <w:rPr>
          <w:rFonts w:hint="eastAsia" w:eastAsia="仿宋_GB2312" w:cs="新宋体"/>
          <w:sz w:val="30"/>
          <w:szCs w:val="28"/>
        </w:rPr>
        <w:t>与</w:t>
      </w:r>
      <w:r>
        <w:rPr>
          <w:rFonts w:hint="eastAsia" w:eastAsia="仿宋_GB2312" w:cs="新宋体"/>
          <w:b/>
          <w:bCs/>
          <w:sz w:val="30"/>
          <w:szCs w:val="28"/>
        </w:rPr>
        <w:t>乙方</w:t>
      </w:r>
      <w:r>
        <w:rPr>
          <w:rFonts w:hint="eastAsia" w:eastAsia="仿宋_GB2312" w:cs="新宋体"/>
          <w:sz w:val="30"/>
          <w:szCs w:val="28"/>
        </w:rPr>
        <w:t>达成的，因此</w:t>
      </w:r>
      <w:r>
        <w:rPr>
          <w:rFonts w:hint="eastAsia" w:eastAsia="仿宋_GB2312" w:cs="新宋体"/>
          <w:b/>
          <w:bCs/>
          <w:sz w:val="30"/>
          <w:szCs w:val="28"/>
        </w:rPr>
        <w:t>交易双方</w:t>
      </w:r>
      <w:r>
        <w:rPr>
          <w:rFonts w:hint="eastAsia" w:eastAsia="仿宋_GB2312" w:cs="新宋体"/>
          <w:sz w:val="30"/>
          <w:szCs w:val="28"/>
        </w:rPr>
        <w:t>达成的</w:t>
      </w:r>
      <w:r>
        <w:rPr>
          <w:rFonts w:hint="eastAsia" w:eastAsia="仿宋_GB2312" w:cs="新宋体"/>
          <w:b/>
          <w:bCs/>
          <w:sz w:val="30"/>
          <w:szCs w:val="28"/>
        </w:rPr>
        <w:t>本确认书</w:t>
      </w:r>
      <w:r>
        <w:rPr>
          <w:rFonts w:hint="eastAsia" w:eastAsia="仿宋_GB2312" w:cs="新宋体"/>
          <w:sz w:val="30"/>
          <w:szCs w:val="28"/>
        </w:rPr>
        <w:t>所涉及的</w:t>
      </w:r>
      <w:r>
        <w:rPr>
          <w:rFonts w:hint="eastAsia" w:eastAsia="仿宋_GB2312" w:cs="新宋体"/>
          <w:b/>
          <w:bCs/>
          <w:sz w:val="30"/>
          <w:szCs w:val="28"/>
        </w:rPr>
        <w:t>甲方</w:t>
      </w:r>
      <w:r>
        <w:rPr>
          <w:rFonts w:hint="eastAsia" w:eastAsia="仿宋_GB2312" w:cs="新宋体"/>
          <w:sz w:val="30"/>
          <w:szCs w:val="28"/>
        </w:rPr>
        <w:t>的权利和义务，除不适用于该</w:t>
      </w:r>
      <w:r>
        <w:rPr>
          <w:rFonts w:hint="eastAsia" w:eastAsia="仿宋_GB2312" w:cs="新宋体"/>
          <w:b/>
          <w:bCs/>
          <w:sz w:val="30"/>
          <w:szCs w:val="28"/>
        </w:rPr>
        <w:t>金融产品</w:t>
      </w:r>
      <w:r>
        <w:rPr>
          <w:rFonts w:hint="eastAsia" w:eastAsia="仿宋_GB2312" w:cs="新宋体"/>
          <w:sz w:val="30"/>
          <w:szCs w:val="28"/>
        </w:rPr>
        <w:t>的以外，均指该</w:t>
      </w:r>
      <w:r>
        <w:rPr>
          <w:rFonts w:hint="eastAsia" w:eastAsia="仿宋_GB2312" w:cs="新宋体"/>
          <w:b/>
          <w:bCs/>
          <w:sz w:val="30"/>
          <w:szCs w:val="28"/>
        </w:rPr>
        <w:t>金融产品</w:t>
      </w:r>
      <w:r>
        <w:rPr>
          <w:rFonts w:hint="eastAsia" w:eastAsia="仿宋_GB2312" w:cs="新宋体"/>
          <w:sz w:val="30"/>
          <w:szCs w:val="28"/>
        </w:rPr>
        <w:t>的权利和义务由</w:t>
      </w:r>
      <w:r>
        <w:rPr>
          <w:rFonts w:hint="eastAsia" w:eastAsia="仿宋_GB2312" w:cs="新宋体"/>
          <w:b/>
          <w:bCs/>
          <w:sz w:val="30"/>
          <w:szCs w:val="28"/>
        </w:rPr>
        <w:t>甲方</w:t>
      </w:r>
      <w:r>
        <w:rPr>
          <w:rFonts w:hint="eastAsia" w:eastAsia="仿宋_GB2312" w:cs="新宋体"/>
          <w:sz w:val="30"/>
          <w:szCs w:val="28"/>
        </w:rPr>
        <w:t>代表该</w:t>
      </w:r>
      <w:r>
        <w:rPr>
          <w:rFonts w:hint="eastAsia" w:eastAsia="仿宋_GB2312" w:cs="新宋体"/>
          <w:b/>
          <w:bCs/>
          <w:sz w:val="30"/>
          <w:szCs w:val="28"/>
        </w:rPr>
        <w:t>金融产品</w:t>
      </w:r>
      <w:r>
        <w:rPr>
          <w:rFonts w:hint="eastAsia" w:eastAsia="仿宋_GB2312" w:cs="新宋体"/>
          <w:sz w:val="30"/>
          <w:szCs w:val="28"/>
        </w:rPr>
        <w:t>行使或作出。</w:t>
      </w:r>
    </w:p>
    <w:tbl>
      <w:tblPr>
        <w:tblStyle w:val="43"/>
        <w:tblW w:w="10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2"/>
        <w:gridCol w:w="1742"/>
        <w:gridCol w:w="1742"/>
        <w:gridCol w:w="1742"/>
      </w:tblGrid>
      <w:tr w14:paraId="3545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4812" w:type="dxa"/>
            <w:vAlign w:val="center"/>
          </w:tcPr>
          <w:p w14:paraId="50DEF921">
            <w:pPr>
              <w:widowControl/>
              <w:spacing w:line="560" w:lineRule="exact"/>
              <w:rPr>
                <w:rFonts w:eastAsia="仿宋_GB2312" w:cs="仿宋"/>
                <w:b/>
                <w:kern w:val="0"/>
                <w:sz w:val="30"/>
                <w:szCs w:val="28"/>
              </w:rPr>
            </w:pPr>
            <w:r>
              <w:rPr>
                <w:rFonts w:hint="eastAsia" w:eastAsia="仿宋_GB2312" w:cs="仿宋"/>
                <w:b/>
                <w:kern w:val="0"/>
                <w:sz w:val="30"/>
                <w:szCs w:val="28"/>
              </w:rPr>
              <w:t>金融产品名称</w:t>
            </w:r>
          </w:p>
        </w:tc>
        <w:tc>
          <w:tcPr>
            <w:tcW w:w="1742" w:type="dxa"/>
            <w:vAlign w:val="center"/>
          </w:tcPr>
          <w:p w14:paraId="5BA8345D">
            <w:pPr>
              <w:widowControl/>
              <w:spacing w:line="560" w:lineRule="exact"/>
              <w:rPr>
                <w:rFonts w:eastAsia="仿宋_GB2312" w:cs="仿宋"/>
                <w:b/>
                <w:kern w:val="0"/>
                <w:sz w:val="30"/>
                <w:szCs w:val="28"/>
              </w:rPr>
            </w:pPr>
            <w:r>
              <w:rPr>
                <w:rFonts w:hint="eastAsia" w:eastAsia="仿宋_GB2312" w:cs="仿宋"/>
                <w:b/>
                <w:kern w:val="0"/>
                <w:sz w:val="30"/>
                <w:szCs w:val="28"/>
              </w:rPr>
              <w:t>投资经理</w:t>
            </w:r>
          </w:p>
        </w:tc>
        <w:tc>
          <w:tcPr>
            <w:tcW w:w="1742" w:type="dxa"/>
          </w:tcPr>
          <w:p w14:paraId="5C2E6F12">
            <w:pPr>
              <w:widowControl/>
              <w:spacing w:line="560" w:lineRule="exact"/>
              <w:jc w:val="center"/>
              <w:rPr>
                <w:rFonts w:eastAsia="仿宋_GB2312" w:cs="仿宋"/>
                <w:b/>
                <w:kern w:val="0"/>
                <w:sz w:val="30"/>
                <w:szCs w:val="28"/>
              </w:rPr>
            </w:pPr>
            <w:r>
              <w:rPr>
                <w:rFonts w:hint="eastAsia" w:eastAsia="仿宋_GB2312" w:cs="仿宋"/>
                <w:b/>
                <w:kern w:val="0"/>
                <w:sz w:val="30"/>
                <w:szCs w:val="28"/>
              </w:rPr>
              <w:t>联系方式</w:t>
            </w:r>
          </w:p>
        </w:tc>
        <w:tc>
          <w:tcPr>
            <w:tcW w:w="1742" w:type="dxa"/>
            <w:vAlign w:val="center"/>
          </w:tcPr>
          <w:p w14:paraId="67DB2582">
            <w:pPr>
              <w:widowControl/>
              <w:spacing w:line="560" w:lineRule="exact"/>
              <w:rPr>
                <w:rFonts w:eastAsia="仿宋_GB2312" w:cs="仿宋"/>
                <w:b/>
                <w:kern w:val="0"/>
                <w:sz w:val="30"/>
                <w:szCs w:val="28"/>
              </w:rPr>
            </w:pPr>
            <w:r>
              <w:rPr>
                <w:rFonts w:hint="eastAsia" w:eastAsia="仿宋_GB2312" w:cs="仿宋"/>
                <w:b/>
                <w:kern w:val="0"/>
                <w:sz w:val="30"/>
                <w:szCs w:val="28"/>
              </w:rPr>
              <w:t>托管机构</w:t>
            </w:r>
          </w:p>
        </w:tc>
      </w:tr>
      <w:tr w14:paraId="64EED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812" w:type="dxa"/>
            <w:vAlign w:val="center"/>
          </w:tcPr>
          <w:p w14:paraId="61603883">
            <w:pPr>
              <w:widowControl/>
              <w:spacing w:line="560" w:lineRule="exact"/>
              <w:rPr>
                <w:rFonts w:eastAsia="仿宋_GB2312" w:cs="仿宋"/>
                <w:b/>
                <w:kern w:val="0"/>
                <w:sz w:val="30"/>
                <w:szCs w:val="28"/>
              </w:rPr>
            </w:pPr>
            <w:r>
              <w:rPr>
                <w:rFonts w:hint="eastAsia" w:eastAsia="仿宋_GB2312" w:cs="仿宋"/>
                <w:bCs/>
                <w:kern w:val="0"/>
                <w:sz w:val="30"/>
                <w:szCs w:val="28"/>
              </w:rPr>
              <w:t>【】</w:t>
            </w:r>
          </w:p>
        </w:tc>
        <w:tc>
          <w:tcPr>
            <w:tcW w:w="1742" w:type="dxa"/>
            <w:vAlign w:val="center"/>
          </w:tcPr>
          <w:p w14:paraId="7AC89886">
            <w:pPr>
              <w:widowControl/>
              <w:spacing w:line="560" w:lineRule="exact"/>
              <w:rPr>
                <w:rFonts w:eastAsia="仿宋_GB2312" w:cs="仿宋"/>
                <w:bCs/>
                <w:kern w:val="0"/>
                <w:sz w:val="30"/>
                <w:szCs w:val="28"/>
              </w:rPr>
            </w:pPr>
            <w:r>
              <w:rPr>
                <w:rFonts w:hint="eastAsia" w:eastAsia="仿宋_GB2312" w:cs="仿宋"/>
                <w:bCs/>
                <w:kern w:val="0"/>
                <w:sz w:val="30"/>
                <w:szCs w:val="28"/>
              </w:rPr>
              <w:t>【】</w:t>
            </w:r>
          </w:p>
        </w:tc>
        <w:tc>
          <w:tcPr>
            <w:tcW w:w="1742" w:type="dxa"/>
          </w:tcPr>
          <w:p w14:paraId="755DC5EC">
            <w:pPr>
              <w:widowControl/>
              <w:spacing w:line="560" w:lineRule="exact"/>
              <w:jc w:val="center"/>
              <w:rPr>
                <w:rFonts w:eastAsia="仿宋_GB2312" w:cs="仿宋"/>
                <w:bCs/>
                <w:kern w:val="0"/>
                <w:sz w:val="30"/>
                <w:szCs w:val="28"/>
              </w:rPr>
            </w:pPr>
            <w:r>
              <w:rPr>
                <w:rFonts w:hint="eastAsia" w:eastAsia="仿宋_GB2312" w:cs="仿宋"/>
                <w:bCs/>
                <w:kern w:val="0"/>
                <w:sz w:val="30"/>
                <w:szCs w:val="28"/>
              </w:rPr>
              <w:t>【】</w:t>
            </w:r>
          </w:p>
        </w:tc>
        <w:tc>
          <w:tcPr>
            <w:tcW w:w="1742" w:type="dxa"/>
            <w:vAlign w:val="center"/>
          </w:tcPr>
          <w:p w14:paraId="6EACFE36">
            <w:pPr>
              <w:widowControl/>
              <w:spacing w:line="560" w:lineRule="exact"/>
              <w:rPr>
                <w:rFonts w:eastAsia="仿宋_GB2312" w:cs="仿宋"/>
                <w:bCs/>
                <w:kern w:val="0"/>
                <w:sz w:val="30"/>
                <w:szCs w:val="28"/>
              </w:rPr>
            </w:pPr>
            <w:r>
              <w:rPr>
                <w:rFonts w:hint="eastAsia" w:eastAsia="仿宋_GB2312" w:cs="仿宋"/>
                <w:bCs/>
                <w:kern w:val="0"/>
                <w:sz w:val="30"/>
                <w:szCs w:val="28"/>
              </w:rPr>
              <w:t>【】</w:t>
            </w:r>
          </w:p>
        </w:tc>
      </w:tr>
    </w:tbl>
    <w:p w14:paraId="396C3C59">
      <w:pPr>
        <w:spacing w:before="125" w:line="560" w:lineRule="exact"/>
        <w:ind w:firstLine="601" w:firstLineChars="200"/>
        <w:rPr>
          <w:rFonts w:eastAsia="仿宋_GB2312" w:cs="新宋体"/>
          <w:b/>
          <w:bCs/>
          <w:sz w:val="30"/>
          <w:szCs w:val="28"/>
        </w:rPr>
      </w:pPr>
    </w:p>
    <w:p w14:paraId="44E64BC8">
      <w:pPr>
        <w:spacing w:before="125" w:line="560" w:lineRule="exact"/>
        <w:ind w:firstLine="601" w:firstLineChars="200"/>
        <w:rPr>
          <w:rFonts w:eastAsia="仿宋_GB2312" w:cs="新宋体"/>
          <w:sz w:val="30"/>
          <w:szCs w:val="28"/>
        </w:rPr>
      </w:pPr>
      <w:r>
        <w:rPr>
          <w:rFonts w:hint="eastAsia" w:eastAsia="仿宋_GB2312" w:cs="新宋体"/>
          <w:b/>
          <w:bCs/>
          <w:sz w:val="30"/>
          <w:szCs w:val="28"/>
        </w:rPr>
        <w:t>本确认书</w:t>
      </w:r>
      <w:r>
        <w:rPr>
          <w:rFonts w:hint="eastAsia" w:eastAsia="仿宋_GB2312" w:cs="新宋体"/>
          <w:sz w:val="30"/>
          <w:szCs w:val="28"/>
        </w:rPr>
        <w:t>为</w:t>
      </w:r>
      <w:r>
        <w:rPr>
          <w:rFonts w:hint="eastAsia" w:eastAsia="仿宋_GB2312" w:cs="新宋体"/>
          <w:b/>
          <w:bCs/>
          <w:sz w:val="30"/>
          <w:szCs w:val="28"/>
        </w:rPr>
        <w:t>乙方</w:t>
      </w:r>
      <w:r>
        <w:rPr>
          <w:rFonts w:hint="eastAsia" w:eastAsia="仿宋_GB2312" w:cs="新宋体"/>
          <w:sz w:val="30"/>
          <w:szCs w:val="28"/>
        </w:rPr>
        <w:t>作为以下</w:t>
      </w:r>
      <w:r>
        <w:rPr>
          <w:rFonts w:hint="eastAsia" w:eastAsia="仿宋_GB2312" w:cs="新宋体"/>
          <w:b/>
          <w:bCs/>
          <w:sz w:val="30"/>
          <w:szCs w:val="28"/>
        </w:rPr>
        <w:t>金融产品</w:t>
      </w:r>
      <w:r>
        <w:rPr>
          <w:rFonts w:hint="eastAsia" w:eastAsia="仿宋_GB2312" w:cs="新宋体"/>
          <w:sz w:val="30"/>
          <w:szCs w:val="28"/>
        </w:rPr>
        <w:t>的管理人代表该</w:t>
      </w:r>
      <w:r>
        <w:rPr>
          <w:rFonts w:hint="eastAsia" w:eastAsia="仿宋_GB2312" w:cs="新宋体"/>
          <w:b/>
          <w:bCs/>
          <w:sz w:val="30"/>
          <w:szCs w:val="28"/>
        </w:rPr>
        <w:t>金融产品</w:t>
      </w:r>
      <w:r>
        <w:rPr>
          <w:rFonts w:hint="eastAsia" w:eastAsia="仿宋_GB2312" w:cs="新宋体"/>
          <w:sz w:val="30"/>
          <w:szCs w:val="28"/>
        </w:rPr>
        <w:t>与</w:t>
      </w:r>
      <w:r>
        <w:rPr>
          <w:rFonts w:hint="eastAsia" w:eastAsia="仿宋_GB2312" w:cs="新宋体"/>
          <w:b/>
          <w:bCs/>
          <w:sz w:val="30"/>
          <w:szCs w:val="28"/>
        </w:rPr>
        <w:t>甲方</w:t>
      </w:r>
      <w:r>
        <w:rPr>
          <w:rFonts w:hint="eastAsia" w:eastAsia="仿宋_GB2312" w:cs="新宋体"/>
          <w:sz w:val="30"/>
          <w:szCs w:val="28"/>
        </w:rPr>
        <w:t>达成的，因此</w:t>
      </w:r>
      <w:r>
        <w:rPr>
          <w:rFonts w:hint="eastAsia" w:eastAsia="仿宋_GB2312" w:cs="新宋体"/>
          <w:b/>
          <w:bCs/>
          <w:sz w:val="30"/>
          <w:szCs w:val="28"/>
        </w:rPr>
        <w:t>交易双方</w:t>
      </w:r>
      <w:r>
        <w:rPr>
          <w:rFonts w:hint="eastAsia" w:eastAsia="仿宋_GB2312" w:cs="新宋体"/>
          <w:sz w:val="30"/>
          <w:szCs w:val="28"/>
        </w:rPr>
        <w:t>达成的</w:t>
      </w:r>
      <w:r>
        <w:rPr>
          <w:rFonts w:hint="eastAsia" w:eastAsia="仿宋_GB2312" w:cs="新宋体"/>
          <w:b/>
          <w:bCs/>
          <w:sz w:val="30"/>
          <w:szCs w:val="28"/>
        </w:rPr>
        <w:t>本确认书</w:t>
      </w:r>
      <w:r>
        <w:rPr>
          <w:rFonts w:hint="eastAsia" w:eastAsia="仿宋_GB2312" w:cs="新宋体"/>
          <w:sz w:val="30"/>
          <w:szCs w:val="28"/>
        </w:rPr>
        <w:t>所涉及的</w:t>
      </w:r>
      <w:r>
        <w:rPr>
          <w:rFonts w:hint="eastAsia" w:eastAsia="仿宋_GB2312" w:cs="新宋体"/>
          <w:b/>
          <w:bCs/>
          <w:sz w:val="30"/>
          <w:szCs w:val="28"/>
        </w:rPr>
        <w:t>乙方</w:t>
      </w:r>
      <w:r>
        <w:rPr>
          <w:rFonts w:hint="eastAsia" w:eastAsia="仿宋_GB2312" w:cs="新宋体"/>
          <w:sz w:val="30"/>
          <w:szCs w:val="28"/>
        </w:rPr>
        <w:t>的权利和义务，除不适用于该</w:t>
      </w:r>
      <w:r>
        <w:rPr>
          <w:rFonts w:hint="eastAsia" w:eastAsia="仿宋_GB2312" w:cs="新宋体"/>
          <w:b/>
          <w:bCs/>
          <w:sz w:val="30"/>
          <w:szCs w:val="28"/>
        </w:rPr>
        <w:t>金融产品</w:t>
      </w:r>
      <w:r>
        <w:rPr>
          <w:rFonts w:hint="eastAsia" w:eastAsia="仿宋_GB2312" w:cs="新宋体"/>
          <w:sz w:val="30"/>
          <w:szCs w:val="28"/>
        </w:rPr>
        <w:t>的以外，均指该</w:t>
      </w:r>
      <w:r>
        <w:rPr>
          <w:rFonts w:hint="eastAsia" w:eastAsia="仿宋_GB2312" w:cs="新宋体"/>
          <w:b/>
          <w:bCs/>
          <w:sz w:val="30"/>
          <w:szCs w:val="28"/>
        </w:rPr>
        <w:t>金融产品</w:t>
      </w:r>
      <w:r>
        <w:rPr>
          <w:rFonts w:hint="eastAsia" w:eastAsia="仿宋_GB2312" w:cs="新宋体"/>
          <w:sz w:val="30"/>
          <w:szCs w:val="28"/>
        </w:rPr>
        <w:t>的权利和义务由</w:t>
      </w:r>
      <w:r>
        <w:rPr>
          <w:rFonts w:hint="eastAsia" w:eastAsia="仿宋_GB2312" w:cs="新宋体"/>
          <w:b/>
          <w:bCs/>
          <w:sz w:val="30"/>
          <w:szCs w:val="28"/>
        </w:rPr>
        <w:t>乙方</w:t>
      </w:r>
      <w:r>
        <w:rPr>
          <w:rFonts w:hint="eastAsia" w:eastAsia="仿宋_GB2312" w:cs="新宋体"/>
          <w:sz w:val="30"/>
          <w:szCs w:val="28"/>
        </w:rPr>
        <w:t>代表该</w:t>
      </w:r>
      <w:r>
        <w:rPr>
          <w:rFonts w:hint="eastAsia" w:eastAsia="仿宋_GB2312" w:cs="新宋体"/>
          <w:b/>
          <w:bCs/>
          <w:sz w:val="30"/>
          <w:szCs w:val="28"/>
        </w:rPr>
        <w:t>金融产品</w:t>
      </w:r>
      <w:r>
        <w:rPr>
          <w:rFonts w:hint="eastAsia" w:eastAsia="仿宋_GB2312" w:cs="新宋体"/>
          <w:sz w:val="30"/>
          <w:szCs w:val="28"/>
        </w:rPr>
        <w:t>行使或作出。</w:t>
      </w:r>
    </w:p>
    <w:tbl>
      <w:tblPr>
        <w:tblStyle w:val="43"/>
        <w:tblW w:w="10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2"/>
        <w:gridCol w:w="1742"/>
        <w:gridCol w:w="1742"/>
        <w:gridCol w:w="1742"/>
      </w:tblGrid>
      <w:tr w14:paraId="14D7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4812" w:type="dxa"/>
            <w:vAlign w:val="center"/>
          </w:tcPr>
          <w:p w14:paraId="7B6BD3B1">
            <w:pPr>
              <w:widowControl/>
              <w:spacing w:line="560" w:lineRule="exact"/>
              <w:rPr>
                <w:rFonts w:eastAsia="仿宋_GB2312" w:cs="仿宋"/>
                <w:b/>
                <w:kern w:val="0"/>
                <w:sz w:val="30"/>
                <w:szCs w:val="28"/>
              </w:rPr>
            </w:pPr>
            <w:r>
              <w:rPr>
                <w:rFonts w:hint="eastAsia" w:eastAsia="仿宋_GB2312" w:cs="仿宋"/>
                <w:b/>
                <w:kern w:val="0"/>
                <w:sz w:val="30"/>
                <w:szCs w:val="28"/>
              </w:rPr>
              <w:t>金融产品名称</w:t>
            </w:r>
          </w:p>
        </w:tc>
        <w:tc>
          <w:tcPr>
            <w:tcW w:w="1742" w:type="dxa"/>
            <w:vAlign w:val="center"/>
          </w:tcPr>
          <w:p w14:paraId="7239F7D2">
            <w:pPr>
              <w:widowControl/>
              <w:spacing w:line="560" w:lineRule="exact"/>
              <w:rPr>
                <w:rFonts w:eastAsia="仿宋_GB2312" w:cs="仿宋"/>
                <w:b/>
                <w:kern w:val="0"/>
                <w:sz w:val="30"/>
                <w:szCs w:val="28"/>
              </w:rPr>
            </w:pPr>
            <w:r>
              <w:rPr>
                <w:rFonts w:hint="eastAsia" w:eastAsia="仿宋_GB2312" w:cs="仿宋"/>
                <w:b/>
                <w:kern w:val="0"/>
                <w:sz w:val="30"/>
                <w:szCs w:val="28"/>
              </w:rPr>
              <w:t>投资经理</w:t>
            </w:r>
          </w:p>
        </w:tc>
        <w:tc>
          <w:tcPr>
            <w:tcW w:w="1742" w:type="dxa"/>
          </w:tcPr>
          <w:p w14:paraId="361DAE3A">
            <w:pPr>
              <w:widowControl/>
              <w:spacing w:line="560" w:lineRule="exact"/>
              <w:jc w:val="center"/>
              <w:rPr>
                <w:rFonts w:eastAsia="仿宋_GB2312" w:cs="仿宋"/>
                <w:b/>
                <w:kern w:val="0"/>
                <w:sz w:val="30"/>
                <w:szCs w:val="28"/>
              </w:rPr>
            </w:pPr>
            <w:r>
              <w:rPr>
                <w:rFonts w:hint="eastAsia" w:eastAsia="仿宋_GB2312" w:cs="仿宋"/>
                <w:b/>
                <w:kern w:val="0"/>
                <w:sz w:val="30"/>
                <w:szCs w:val="28"/>
              </w:rPr>
              <w:t>联系方式</w:t>
            </w:r>
          </w:p>
        </w:tc>
        <w:tc>
          <w:tcPr>
            <w:tcW w:w="1742" w:type="dxa"/>
            <w:vAlign w:val="center"/>
          </w:tcPr>
          <w:p w14:paraId="1EFCF45F">
            <w:pPr>
              <w:widowControl/>
              <w:spacing w:line="560" w:lineRule="exact"/>
              <w:rPr>
                <w:rFonts w:eastAsia="仿宋_GB2312" w:cs="仿宋"/>
                <w:b/>
                <w:kern w:val="0"/>
                <w:sz w:val="30"/>
                <w:szCs w:val="28"/>
              </w:rPr>
            </w:pPr>
            <w:r>
              <w:rPr>
                <w:rFonts w:hint="eastAsia" w:eastAsia="仿宋_GB2312" w:cs="仿宋"/>
                <w:b/>
                <w:kern w:val="0"/>
                <w:sz w:val="30"/>
                <w:szCs w:val="28"/>
              </w:rPr>
              <w:t>托管机构</w:t>
            </w:r>
          </w:p>
        </w:tc>
      </w:tr>
      <w:tr w14:paraId="1EB2B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4812" w:type="dxa"/>
            <w:vAlign w:val="center"/>
          </w:tcPr>
          <w:p w14:paraId="54E3DBC5">
            <w:pPr>
              <w:widowControl/>
              <w:spacing w:line="560" w:lineRule="exact"/>
              <w:rPr>
                <w:rFonts w:eastAsia="仿宋_GB2312" w:cs="仿宋"/>
                <w:b/>
                <w:kern w:val="0"/>
                <w:sz w:val="30"/>
                <w:szCs w:val="28"/>
              </w:rPr>
            </w:pPr>
            <w:r>
              <w:rPr>
                <w:rFonts w:hint="eastAsia" w:eastAsia="仿宋_GB2312" w:cs="仿宋"/>
                <w:bCs/>
                <w:kern w:val="0"/>
                <w:sz w:val="30"/>
                <w:szCs w:val="28"/>
              </w:rPr>
              <w:t>【】</w:t>
            </w:r>
          </w:p>
        </w:tc>
        <w:tc>
          <w:tcPr>
            <w:tcW w:w="1742" w:type="dxa"/>
            <w:vAlign w:val="center"/>
          </w:tcPr>
          <w:p w14:paraId="7DF440FA">
            <w:pPr>
              <w:widowControl/>
              <w:spacing w:line="560" w:lineRule="exact"/>
              <w:rPr>
                <w:rFonts w:eastAsia="仿宋_GB2312" w:cs="仿宋"/>
                <w:bCs/>
                <w:kern w:val="0"/>
                <w:sz w:val="30"/>
                <w:szCs w:val="28"/>
              </w:rPr>
            </w:pPr>
            <w:r>
              <w:rPr>
                <w:rFonts w:hint="eastAsia" w:eastAsia="仿宋_GB2312" w:cs="仿宋"/>
                <w:bCs/>
                <w:kern w:val="0"/>
                <w:sz w:val="30"/>
                <w:szCs w:val="28"/>
              </w:rPr>
              <w:t>【】</w:t>
            </w:r>
          </w:p>
        </w:tc>
        <w:tc>
          <w:tcPr>
            <w:tcW w:w="1742" w:type="dxa"/>
          </w:tcPr>
          <w:p w14:paraId="4FE9D8CF">
            <w:pPr>
              <w:widowControl/>
              <w:spacing w:line="560" w:lineRule="exact"/>
              <w:jc w:val="center"/>
              <w:rPr>
                <w:rFonts w:eastAsia="仿宋_GB2312" w:cs="仿宋"/>
                <w:bCs/>
                <w:kern w:val="0"/>
                <w:sz w:val="30"/>
                <w:szCs w:val="28"/>
              </w:rPr>
            </w:pPr>
            <w:r>
              <w:rPr>
                <w:rFonts w:hint="eastAsia" w:eastAsia="仿宋_GB2312" w:cs="仿宋"/>
                <w:bCs/>
                <w:kern w:val="0"/>
                <w:sz w:val="30"/>
                <w:szCs w:val="28"/>
              </w:rPr>
              <w:t>【】</w:t>
            </w:r>
          </w:p>
        </w:tc>
        <w:tc>
          <w:tcPr>
            <w:tcW w:w="1742" w:type="dxa"/>
            <w:vAlign w:val="center"/>
          </w:tcPr>
          <w:p w14:paraId="1FD0EC7A">
            <w:pPr>
              <w:widowControl/>
              <w:spacing w:line="560" w:lineRule="exact"/>
              <w:rPr>
                <w:rFonts w:eastAsia="仿宋_GB2312" w:cs="仿宋"/>
                <w:bCs/>
                <w:kern w:val="0"/>
                <w:sz w:val="30"/>
                <w:szCs w:val="28"/>
              </w:rPr>
            </w:pPr>
            <w:r>
              <w:rPr>
                <w:rFonts w:hint="eastAsia" w:eastAsia="仿宋_GB2312" w:cs="仿宋"/>
                <w:bCs/>
                <w:kern w:val="0"/>
                <w:sz w:val="30"/>
                <w:szCs w:val="28"/>
              </w:rPr>
              <w:t>【】</w:t>
            </w:r>
          </w:p>
        </w:tc>
      </w:tr>
    </w:tbl>
    <w:p w14:paraId="7D504AAF">
      <w:pPr>
        <w:spacing w:before="125" w:line="560" w:lineRule="exact"/>
        <w:rPr>
          <w:rFonts w:eastAsia="仿宋_GB2312"/>
          <w:sz w:val="30"/>
          <w:szCs w:val="28"/>
        </w:rPr>
      </w:pPr>
    </w:p>
    <w:p w14:paraId="60BFBB17">
      <w:pPr>
        <w:spacing w:before="72" w:after="72" w:line="560" w:lineRule="exact"/>
        <w:rPr>
          <w:rFonts w:eastAsia="仿宋_GB2312"/>
          <w:b/>
          <w:sz w:val="30"/>
          <w:szCs w:val="28"/>
        </w:rPr>
      </w:pPr>
      <w:r>
        <w:rPr>
          <w:rFonts w:hint="eastAsia" w:eastAsia="仿宋_GB2312"/>
          <w:b/>
          <w:sz w:val="30"/>
          <w:szCs w:val="28"/>
        </w:rPr>
        <w:t>二、基本条款</w:t>
      </w:r>
    </w:p>
    <w:tbl>
      <w:tblPr>
        <w:tblStyle w:val="4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8"/>
        <w:gridCol w:w="5748"/>
      </w:tblGrid>
      <w:tr w14:paraId="5614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2548" w:type="dxa"/>
            <w:vAlign w:val="center"/>
          </w:tcPr>
          <w:p w14:paraId="5A037D25">
            <w:pPr>
              <w:spacing w:line="560" w:lineRule="exact"/>
              <w:rPr>
                <w:rFonts w:eastAsia="仿宋_GB2312"/>
                <w:kern w:val="0"/>
                <w:sz w:val="30"/>
                <w:szCs w:val="28"/>
              </w:rPr>
            </w:pPr>
            <w:r>
              <w:rPr>
                <w:rFonts w:hint="eastAsia" w:eastAsia="仿宋_GB2312" w:cs="新宋体"/>
                <w:sz w:val="30"/>
                <w:szCs w:val="28"/>
              </w:rPr>
              <w:t>信用保护卖方</w:t>
            </w:r>
          </w:p>
        </w:tc>
        <w:tc>
          <w:tcPr>
            <w:tcW w:w="5748" w:type="dxa"/>
            <w:vAlign w:val="center"/>
          </w:tcPr>
          <w:p w14:paraId="30CBBEEC">
            <w:pPr>
              <w:spacing w:line="560" w:lineRule="exact"/>
              <w:rPr>
                <w:rFonts w:eastAsia="仿宋_GB2312"/>
                <w:kern w:val="0"/>
                <w:sz w:val="30"/>
                <w:szCs w:val="28"/>
              </w:rPr>
            </w:pPr>
            <w:r>
              <w:rPr>
                <w:rFonts w:hint="eastAsia" w:eastAsia="仿宋_GB2312"/>
                <w:sz w:val="30"/>
                <w:szCs w:val="28"/>
              </w:rPr>
              <w:t>【】</w:t>
            </w:r>
          </w:p>
        </w:tc>
      </w:tr>
      <w:tr w14:paraId="4EECF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2548" w:type="dxa"/>
            <w:vAlign w:val="center"/>
          </w:tcPr>
          <w:p w14:paraId="0C954B24">
            <w:pPr>
              <w:spacing w:line="560" w:lineRule="exact"/>
              <w:rPr>
                <w:rFonts w:eastAsia="仿宋_GB2312"/>
                <w:kern w:val="0"/>
                <w:sz w:val="30"/>
                <w:szCs w:val="28"/>
              </w:rPr>
            </w:pPr>
            <w:r>
              <w:rPr>
                <w:rFonts w:hint="eastAsia" w:eastAsia="仿宋_GB2312" w:cs="新宋体"/>
                <w:sz w:val="30"/>
                <w:szCs w:val="28"/>
              </w:rPr>
              <w:t>信用保护买方</w:t>
            </w:r>
          </w:p>
        </w:tc>
        <w:tc>
          <w:tcPr>
            <w:tcW w:w="5748" w:type="dxa"/>
            <w:vAlign w:val="center"/>
          </w:tcPr>
          <w:p w14:paraId="603EF996">
            <w:pPr>
              <w:spacing w:line="560" w:lineRule="exact"/>
              <w:rPr>
                <w:rFonts w:eastAsia="仿宋_GB2312"/>
                <w:kern w:val="0"/>
                <w:sz w:val="30"/>
                <w:szCs w:val="28"/>
              </w:rPr>
            </w:pPr>
            <w:r>
              <w:rPr>
                <w:rFonts w:hint="eastAsia" w:eastAsia="仿宋_GB2312"/>
                <w:sz w:val="30"/>
                <w:szCs w:val="28"/>
              </w:rPr>
              <w:t>【】</w:t>
            </w:r>
          </w:p>
        </w:tc>
      </w:tr>
      <w:tr w14:paraId="3B09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2548" w:type="dxa"/>
            <w:vAlign w:val="center"/>
          </w:tcPr>
          <w:p w14:paraId="04F36C4B">
            <w:pPr>
              <w:spacing w:line="560" w:lineRule="exact"/>
              <w:rPr>
                <w:rFonts w:eastAsia="仿宋_GB2312" w:cs="新宋体"/>
                <w:sz w:val="30"/>
                <w:szCs w:val="28"/>
              </w:rPr>
            </w:pPr>
            <w:r>
              <w:rPr>
                <w:rFonts w:hint="eastAsia" w:eastAsia="仿宋_GB2312" w:cs="新宋体"/>
                <w:sz w:val="30"/>
                <w:szCs w:val="28"/>
              </w:rPr>
              <w:t>名义本金</w:t>
            </w:r>
          </w:p>
        </w:tc>
        <w:tc>
          <w:tcPr>
            <w:tcW w:w="5748" w:type="dxa"/>
            <w:vAlign w:val="center"/>
          </w:tcPr>
          <w:p w14:paraId="48DDDBF3">
            <w:pPr>
              <w:spacing w:line="560" w:lineRule="exact"/>
              <w:rPr>
                <w:rFonts w:eastAsia="仿宋_GB2312"/>
                <w:sz w:val="30"/>
                <w:szCs w:val="28"/>
              </w:rPr>
            </w:pPr>
            <w:r>
              <w:rPr>
                <w:rFonts w:hint="eastAsia" w:eastAsia="仿宋_GB2312"/>
                <w:kern w:val="0"/>
                <w:sz w:val="30"/>
                <w:szCs w:val="28"/>
              </w:rPr>
              <w:t>【】万元人民币</w:t>
            </w:r>
          </w:p>
        </w:tc>
      </w:tr>
      <w:tr w14:paraId="7C26F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2548" w:type="dxa"/>
            <w:vAlign w:val="center"/>
          </w:tcPr>
          <w:p w14:paraId="52F0995F">
            <w:pPr>
              <w:spacing w:line="560" w:lineRule="exact"/>
              <w:rPr>
                <w:rFonts w:eastAsia="仿宋_GB2312"/>
                <w:kern w:val="0"/>
                <w:sz w:val="30"/>
                <w:szCs w:val="28"/>
              </w:rPr>
            </w:pPr>
            <w:r>
              <w:rPr>
                <w:rFonts w:hint="eastAsia" w:eastAsia="仿宋_GB2312" w:cs="新宋体"/>
                <w:sz w:val="30"/>
                <w:szCs w:val="28"/>
              </w:rPr>
              <w:t>签署日</w:t>
            </w:r>
          </w:p>
        </w:tc>
        <w:tc>
          <w:tcPr>
            <w:tcW w:w="5748" w:type="dxa"/>
            <w:vAlign w:val="center"/>
          </w:tcPr>
          <w:p w14:paraId="1D672A82">
            <w:pPr>
              <w:spacing w:line="560" w:lineRule="exact"/>
              <w:rPr>
                <w:rFonts w:eastAsia="仿宋_GB2312"/>
                <w:kern w:val="0"/>
                <w:sz w:val="30"/>
                <w:szCs w:val="28"/>
              </w:rPr>
            </w:pPr>
            <w:r>
              <w:rPr>
                <w:rFonts w:hint="eastAsia" w:eastAsia="仿宋_GB2312"/>
                <w:sz w:val="30"/>
                <w:szCs w:val="28"/>
              </w:rPr>
              <w:t>【】年【】月【】日</w:t>
            </w:r>
          </w:p>
        </w:tc>
      </w:tr>
      <w:tr w14:paraId="29E65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2548" w:type="dxa"/>
            <w:vAlign w:val="center"/>
          </w:tcPr>
          <w:p w14:paraId="31FBA71E">
            <w:pPr>
              <w:spacing w:line="560" w:lineRule="exact"/>
              <w:rPr>
                <w:rFonts w:eastAsia="仿宋_GB2312"/>
                <w:kern w:val="0"/>
                <w:sz w:val="30"/>
                <w:szCs w:val="28"/>
              </w:rPr>
            </w:pPr>
            <w:r>
              <w:rPr>
                <w:rFonts w:hint="eastAsia" w:eastAsia="仿宋_GB2312" w:cs="新宋体"/>
                <w:sz w:val="30"/>
                <w:szCs w:val="28"/>
              </w:rPr>
              <w:t>起始日</w:t>
            </w:r>
          </w:p>
        </w:tc>
        <w:tc>
          <w:tcPr>
            <w:tcW w:w="5748" w:type="dxa"/>
            <w:vAlign w:val="center"/>
          </w:tcPr>
          <w:p w14:paraId="4627D2A4">
            <w:pPr>
              <w:spacing w:line="560" w:lineRule="exact"/>
              <w:rPr>
                <w:rFonts w:eastAsia="仿宋_GB2312"/>
                <w:kern w:val="0"/>
                <w:sz w:val="30"/>
                <w:szCs w:val="28"/>
              </w:rPr>
            </w:pPr>
            <w:r>
              <w:rPr>
                <w:rFonts w:hint="eastAsia" w:eastAsia="仿宋_GB2312"/>
                <w:sz w:val="30"/>
                <w:szCs w:val="28"/>
              </w:rPr>
              <w:t>【】年【】月【】日</w:t>
            </w:r>
          </w:p>
        </w:tc>
      </w:tr>
      <w:tr w14:paraId="53508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2548" w:type="dxa"/>
            <w:vAlign w:val="center"/>
          </w:tcPr>
          <w:p w14:paraId="2EF43B22">
            <w:pPr>
              <w:spacing w:line="560" w:lineRule="exact"/>
              <w:rPr>
                <w:rFonts w:eastAsia="仿宋_GB2312"/>
                <w:kern w:val="0"/>
                <w:sz w:val="30"/>
                <w:szCs w:val="28"/>
              </w:rPr>
            </w:pPr>
            <w:r>
              <w:rPr>
                <w:rFonts w:hint="eastAsia" w:eastAsia="仿宋_GB2312" w:cs="新宋体"/>
                <w:sz w:val="30"/>
                <w:szCs w:val="28"/>
              </w:rPr>
              <w:t>约定到期日</w:t>
            </w:r>
          </w:p>
        </w:tc>
        <w:tc>
          <w:tcPr>
            <w:tcW w:w="5748" w:type="dxa"/>
            <w:vAlign w:val="center"/>
          </w:tcPr>
          <w:p w14:paraId="3E5D2381">
            <w:pPr>
              <w:spacing w:line="560" w:lineRule="exact"/>
              <w:rPr>
                <w:rFonts w:eastAsia="仿宋_GB2312"/>
                <w:sz w:val="30"/>
                <w:szCs w:val="28"/>
              </w:rPr>
            </w:pPr>
            <w:r>
              <w:rPr>
                <w:rFonts w:hint="eastAsia" w:eastAsia="仿宋_GB2312"/>
                <w:sz w:val="30"/>
                <w:szCs w:val="28"/>
              </w:rPr>
              <w:t>【】年【】月【】日</w:t>
            </w:r>
          </w:p>
        </w:tc>
      </w:tr>
      <w:tr w14:paraId="70280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548" w:type="dxa"/>
            <w:vAlign w:val="center"/>
          </w:tcPr>
          <w:p w14:paraId="65B39872">
            <w:pPr>
              <w:spacing w:line="560" w:lineRule="exact"/>
              <w:rPr>
                <w:rFonts w:eastAsia="仿宋_GB2312"/>
                <w:kern w:val="0"/>
                <w:sz w:val="30"/>
                <w:szCs w:val="28"/>
              </w:rPr>
            </w:pPr>
            <w:r>
              <w:rPr>
                <w:rFonts w:hint="eastAsia" w:eastAsia="仿宋_GB2312"/>
                <w:sz w:val="30"/>
                <w:szCs w:val="28"/>
              </w:rPr>
              <w:t>交易日准则</w:t>
            </w:r>
          </w:p>
        </w:tc>
        <w:tc>
          <w:tcPr>
            <w:tcW w:w="5748" w:type="dxa"/>
            <w:vAlign w:val="center"/>
          </w:tcPr>
          <w:p w14:paraId="5665E967">
            <w:pPr>
              <w:spacing w:line="560" w:lineRule="exact"/>
              <w:rPr>
                <w:rFonts w:eastAsia="仿宋_GB2312"/>
                <w:kern w:val="0"/>
                <w:sz w:val="30"/>
                <w:szCs w:val="28"/>
              </w:rPr>
            </w:pPr>
            <w:r>
              <w:rPr>
                <w:rFonts w:hint="eastAsia" w:eastAsia="仿宋_GB2312"/>
                <w:sz w:val="30"/>
                <w:szCs w:val="28"/>
              </w:rPr>
              <w:t>若某一相关日期</w:t>
            </w:r>
            <w:r>
              <w:rPr>
                <w:rFonts w:hint="eastAsia" w:eastAsia="仿宋_GB2312" w:cs="新宋体"/>
                <w:sz w:val="30"/>
                <w:szCs w:val="28"/>
              </w:rPr>
              <w:t>并非上海证券交易所</w:t>
            </w:r>
            <w:r>
              <w:rPr>
                <w:rFonts w:hint="eastAsia" w:eastAsia="仿宋_GB2312" w:cs="新宋体"/>
                <w:b/>
                <w:sz w:val="30"/>
                <w:szCs w:val="28"/>
              </w:rPr>
              <w:t>交易日</w:t>
            </w:r>
            <w:r>
              <w:rPr>
                <w:rFonts w:hint="eastAsia" w:eastAsia="仿宋_GB2312" w:cs="新宋体"/>
                <w:sz w:val="30"/>
                <w:szCs w:val="28"/>
              </w:rPr>
              <w:t>，则顺延至下一个交易日</w:t>
            </w:r>
          </w:p>
        </w:tc>
      </w:tr>
      <w:tr w14:paraId="02CC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548" w:type="dxa"/>
            <w:vAlign w:val="center"/>
          </w:tcPr>
          <w:p w14:paraId="4BE3E7F0">
            <w:pPr>
              <w:spacing w:line="560" w:lineRule="exact"/>
              <w:rPr>
                <w:rFonts w:eastAsia="仿宋_GB2312" w:cs="新宋体"/>
                <w:spacing w:val="-3"/>
                <w:kern w:val="0"/>
                <w:sz w:val="30"/>
                <w:szCs w:val="28"/>
              </w:rPr>
            </w:pPr>
            <w:r>
              <w:rPr>
                <w:rFonts w:hint="eastAsia" w:eastAsia="仿宋_GB2312" w:cs="新宋体"/>
                <w:spacing w:val="-3"/>
                <w:sz w:val="30"/>
                <w:szCs w:val="28"/>
              </w:rPr>
              <w:t>计算机构</w:t>
            </w:r>
          </w:p>
        </w:tc>
        <w:tc>
          <w:tcPr>
            <w:tcW w:w="5748" w:type="dxa"/>
            <w:vAlign w:val="center"/>
          </w:tcPr>
          <w:p w14:paraId="0F359259">
            <w:pPr>
              <w:pStyle w:val="107"/>
              <w:spacing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适用以下第【】项：</w:t>
            </w:r>
          </w:p>
          <w:p w14:paraId="592F06C2">
            <w:pPr>
              <w:pStyle w:val="107"/>
              <w:spacing w:before="16" w:line="560" w:lineRule="exact"/>
              <w:ind w:right="125"/>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1</w:t>
            </w:r>
            <w:r>
              <w:rPr>
                <w:rFonts w:hint="eastAsia" w:ascii="Times New Roman" w:hAnsi="Times New Roman" w:eastAsia="仿宋_GB2312" w:cs="新宋体"/>
                <w:sz w:val="30"/>
                <w:szCs w:val="28"/>
                <w:lang w:eastAsia="zh-CN"/>
              </w:rPr>
              <w:t>）</w:t>
            </w:r>
            <w:r>
              <w:rPr>
                <w:rFonts w:ascii="Times New Roman" w:hAnsi="Times New Roman" w:eastAsia="仿宋_GB2312" w:cs="新宋体"/>
                <w:spacing w:val="-2"/>
                <w:sz w:val="30"/>
                <w:szCs w:val="28"/>
                <w:lang w:eastAsia="zh-CN"/>
              </w:rPr>
              <w:t xml:space="preserve"> </w:t>
            </w:r>
            <w:r>
              <w:rPr>
                <w:rFonts w:hint="eastAsia" w:ascii="Times New Roman" w:hAnsi="Times New Roman" w:eastAsia="仿宋_GB2312" w:cs="新宋体"/>
                <w:spacing w:val="-2"/>
                <w:sz w:val="30"/>
                <w:szCs w:val="28"/>
                <w:lang w:eastAsia="zh-CN"/>
              </w:rPr>
              <w:t>甲方</w:t>
            </w:r>
          </w:p>
          <w:p w14:paraId="0DAD9B0C">
            <w:pPr>
              <w:pStyle w:val="107"/>
              <w:spacing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2</w:t>
            </w:r>
            <w:r>
              <w:rPr>
                <w:rFonts w:hint="eastAsia" w:ascii="Times New Roman" w:hAnsi="Times New Roman" w:eastAsia="仿宋_GB2312" w:cs="新宋体"/>
                <w:sz w:val="30"/>
                <w:szCs w:val="28"/>
                <w:lang w:eastAsia="zh-CN"/>
              </w:rPr>
              <w:t>）</w:t>
            </w:r>
            <w:r>
              <w:rPr>
                <w:rFonts w:ascii="Times New Roman" w:hAnsi="Times New Roman" w:eastAsia="仿宋_GB2312" w:cs="新宋体"/>
                <w:spacing w:val="-2"/>
                <w:sz w:val="30"/>
                <w:szCs w:val="28"/>
                <w:lang w:eastAsia="zh-CN"/>
              </w:rPr>
              <w:t xml:space="preserve"> </w:t>
            </w:r>
            <w:r>
              <w:rPr>
                <w:rFonts w:hint="eastAsia" w:ascii="Times New Roman" w:hAnsi="Times New Roman" w:eastAsia="仿宋_GB2312" w:cs="新宋体"/>
                <w:spacing w:val="-2"/>
                <w:sz w:val="30"/>
                <w:szCs w:val="28"/>
                <w:lang w:eastAsia="zh-CN"/>
              </w:rPr>
              <w:t>乙方</w:t>
            </w:r>
          </w:p>
          <w:p w14:paraId="2381E1F1">
            <w:pPr>
              <w:spacing w:line="560" w:lineRule="exact"/>
              <w:rPr>
                <w:rFonts w:eastAsia="仿宋_GB2312" w:cs="新宋体"/>
                <w:spacing w:val="-1"/>
                <w:kern w:val="0"/>
                <w:sz w:val="30"/>
                <w:szCs w:val="28"/>
              </w:rPr>
            </w:pPr>
            <w:r>
              <w:rPr>
                <w:rFonts w:hint="eastAsia" w:eastAsia="仿宋_GB2312" w:cs="新宋体"/>
                <w:sz w:val="30"/>
                <w:szCs w:val="28"/>
              </w:rPr>
              <w:t>（</w:t>
            </w:r>
            <w:r>
              <w:rPr>
                <w:rFonts w:eastAsia="仿宋_GB2312" w:cs="新宋体"/>
                <w:sz w:val="30"/>
                <w:szCs w:val="28"/>
              </w:rPr>
              <w:t>3</w:t>
            </w:r>
            <w:r>
              <w:rPr>
                <w:rFonts w:hint="eastAsia" w:eastAsia="仿宋_GB2312" w:cs="新宋体"/>
                <w:sz w:val="30"/>
                <w:szCs w:val="28"/>
              </w:rPr>
              <w:t>）</w:t>
            </w:r>
            <w:r>
              <w:rPr>
                <w:rFonts w:eastAsia="仿宋_GB2312" w:cs="新宋体"/>
                <w:spacing w:val="-1"/>
                <w:sz w:val="30"/>
                <w:szCs w:val="28"/>
              </w:rPr>
              <w:t xml:space="preserve"> </w:t>
            </w:r>
            <w:r>
              <w:rPr>
                <w:rFonts w:hint="eastAsia" w:eastAsia="仿宋_GB2312" w:cs="新宋体"/>
                <w:spacing w:val="-1"/>
                <w:sz w:val="30"/>
                <w:szCs w:val="28"/>
              </w:rPr>
              <w:t>甲方或乙方</w:t>
            </w:r>
          </w:p>
          <w:p w14:paraId="21E9EECC">
            <w:pPr>
              <w:spacing w:line="560" w:lineRule="exact"/>
              <w:rPr>
                <w:rFonts w:eastAsia="仿宋_GB2312" w:cs="新宋体"/>
                <w:b/>
                <w:sz w:val="30"/>
                <w:szCs w:val="28"/>
              </w:rPr>
            </w:pPr>
            <w:r>
              <w:rPr>
                <w:rFonts w:hint="eastAsia" w:eastAsia="仿宋_GB2312" w:cs="新宋体"/>
                <w:sz w:val="30"/>
                <w:szCs w:val="28"/>
              </w:rPr>
              <w:t>（</w:t>
            </w:r>
            <w:r>
              <w:rPr>
                <w:rFonts w:eastAsia="仿宋_GB2312" w:cs="新宋体"/>
                <w:sz w:val="30"/>
                <w:szCs w:val="28"/>
              </w:rPr>
              <w:t>4</w:t>
            </w:r>
            <w:r>
              <w:rPr>
                <w:rFonts w:hint="eastAsia" w:eastAsia="仿宋_GB2312" w:cs="新宋体"/>
                <w:sz w:val="30"/>
                <w:szCs w:val="28"/>
              </w:rPr>
              <w:t>）</w:t>
            </w:r>
            <w:r>
              <w:rPr>
                <w:rFonts w:eastAsia="仿宋_GB2312" w:cs="新宋体"/>
                <w:sz w:val="30"/>
                <w:szCs w:val="28"/>
              </w:rPr>
              <w:t xml:space="preserve"> </w:t>
            </w:r>
            <w:r>
              <w:rPr>
                <w:rFonts w:hint="eastAsia" w:eastAsia="仿宋_GB2312" w:cs="新宋体"/>
                <w:sz w:val="30"/>
                <w:szCs w:val="28"/>
              </w:rPr>
              <w:t>其他：【】</w:t>
            </w:r>
          </w:p>
        </w:tc>
      </w:tr>
      <w:tr w14:paraId="575EC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548" w:type="dxa"/>
            <w:vAlign w:val="center"/>
          </w:tcPr>
          <w:p w14:paraId="649703D0">
            <w:pPr>
              <w:spacing w:line="560" w:lineRule="exact"/>
              <w:rPr>
                <w:rFonts w:eastAsia="仿宋_GB2312" w:cs="新宋体"/>
                <w:spacing w:val="-3"/>
                <w:kern w:val="0"/>
                <w:sz w:val="30"/>
                <w:szCs w:val="28"/>
              </w:rPr>
            </w:pPr>
            <w:r>
              <w:rPr>
                <w:rFonts w:hint="eastAsia" w:eastAsia="仿宋_GB2312" w:cs="新宋体"/>
                <w:spacing w:val="-3"/>
                <w:sz w:val="30"/>
                <w:szCs w:val="28"/>
              </w:rPr>
              <w:t>清算安排</w:t>
            </w:r>
          </w:p>
        </w:tc>
        <w:tc>
          <w:tcPr>
            <w:tcW w:w="5748" w:type="dxa"/>
            <w:vAlign w:val="center"/>
          </w:tcPr>
          <w:p w14:paraId="117379D7">
            <w:pPr>
              <w:pStyle w:val="107"/>
              <w:spacing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rPr>
              <w:t>双边清算</w:t>
            </w:r>
          </w:p>
        </w:tc>
      </w:tr>
    </w:tbl>
    <w:p w14:paraId="0E0E9ED0">
      <w:pPr>
        <w:spacing w:before="26" w:line="560" w:lineRule="exact"/>
        <w:rPr>
          <w:rFonts w:eastAsia="仿宋_GB2312" w:cs="新宋体"/>
          <w:b/>
          <w:bCs/>
          <w:sz w:val="30"/>
          <w:szCs w:val="28"/>
        </w:rPr>
      </w:pPr>
    </w:p>
    <w:p w14:paraId="7B2A8DA2">
      <w:pPr>
        <w:spacing w:before="72" w:after="72" w:line="560" w:lineRule="exact"/>
        <w:rPr>
          <w:rFonts w:eastAsia="仿宋_GB2312"/>
          <w:b/>
          <w:sz w:val="30"/>
          <w:szCs w:val="28"/>
        </w:rPr>
      </w:pPr>
      <w:r>
        <w:rPr>
          <w:rFonts w:hint="eastAsia" w:eastAsia="仿宋_GB2312"/>
          <w:b/>
          <w:sz w:val="30"/>
          <w:szCs w:val="28"/>
        </w:rPr>
        <w:t>三、保护费支付要素</w:t>
      </w:r>
    </w:p>
    <w:tbl>
      <w:tblPr>
        <w:tblStyle w:val="4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30"/>
        <w:gridCol w:w="1955"/>
        <w:gridCol w:w="3906"/>
      </w:tblGrid>
      <w:tr w14:paraId="373DE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435" w:type="dxa"/>
            <w:gridSpan w:val="2"/>
            <w:vAlign w:val="center"/>
          </w:tcPr>
          <w:p w14:paraId="07A191DD">
            <w:pPr>
              <w:spacing w:line="560" w:lineRule="exact"/>
              <w:rPr>
                <w:rFonts w:eastAsia="仿宋_GB2312"/>
                <w:kern w:val="0"/>
                <w:sz w:val="30"/>
                <w:szCs w:val="28"/>
              </w:rPr>
            </w:pPr>
            <w:r>
              <w:rPr>
                <w:rFonts w:hint="eastAsia" w:eastAsia="仿宋_GB2312"/>
                <w:sz w:val="30"/>
                <w:szCs w:val="28"/>
              </w:rPr>
              <w:t>保护费支付方</w:t>
            </w:r>
          </w:p>
        </w:tc>
        <w:tc>
          <w:tcPr>
            <w:tcW w:w="5861" w:type="dxa"/>
            <w:gridSpan w:val="2"/>
            <w:vAlign w:val="center"/>
          </w:tcPr>
          <w:p w14:paraId="47CC20B3">
            <w:pPr>
              <w:pStyle w:val="107"/>
              <w:spacing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b/>
                <w:bCs/>
                <w:sz w:val="30"/>
                <w:szCs w:val="28"/>
                <w:lang w:eastAsia="zh-CN"/>
              </w:rPr>
              <w:t>信用保护买方</w:t>
            </w:r>
          </w:p>
        </w:tc>
      </w:tr>
      <w:tr w14:paraId="1B049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435" w:type="dxa"/>
            <w:gridSpan w:val="2"/>
            <w:vAlign w:val="center"/>
          </w:tcPr>
          <w:p w14:paraId="0C29BBD1">
            <w:pPr>
              <w:spacing w:line="560" w:lineRule="exact"/>
              <w:rPr>
                <w:rFonts w:eastAsia="仿宋_GB2312"/>
                <w:kern w:val="0"/>
                <w:sz w:val="30"/>
                <w:szCs w:val="28"/>
              </w:rPr>
            </w:pPr>
            <w:r>
              <w:rPr>
                <w:rFonts w:hint="eastAsia" w:eastAsia="仿宋_GB2312"/>
                <w:sz w:val="30"/>
                <w:szCs w:val="28"/>
              </w:rPr>
              <w:t>保护费支付路径</w:t>
            </w:r>
          </w:p>
        </w:tc>
        <w:tc>
          <w:tcPr>
            <w:tcW w:w="5861" w:type="dxa"/>
            <w:gridSpan w:val="2"/>
            <w:vAlign w:val="center"/>
          </w:tcPr>
          <w:p w14:paraId="3E43DD1A">
            <w:pPr>
              <w:pStyle w:val="107"/>
              <w:spacing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适用以下第【】项：</w:t>
            </w:r>
          </w:p>
          <w:p w14:paraId="374BAB0B">
            <w:pPr>
              <w:pStyle w:val="107"/>
              <w:spacing w:before="16" w:line="560" w:lineRule="exact"/>
              <w:ind w:right="125"/>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1</w:t>
            </w:r>
            <w:r>
              <w:rPr>
                <w:rFonts w:hint="eastAsia" w:ascii="Times New Roman" w:hAnsi="Times New Roman" w:eastAsia="仿宋_GB2312" w:cs="新宋体"/>
                <w:sz w:val="30"/>
                <w:szCs w:val="28"/>
                <w:lang w:eastAsia="zh-CN"/>
              </w:rPr>
              <w:t>）双方自行协商支付</w:t>
            </w:r>
          </w:p>
          <w:p w14:paraId="5450DE2A">
            <w:pPr>
              <w:pStyle w:val="107"/>
              <w:spacing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2</w:t>
            </w:r>
            <w:r>
              <w:rPr>
                <w:rFonts w:hint="eastAsia" w:ascii="Times New Roman" w:hAnsi="Times New Roman" w:eastAsia="仿宋_GB2312" w:cs="新宋体"/>
                <w:sz w:val="30"/>
                <w:szCs w:val="28"/>
                <w:lang w:eastAsia="zh-CN"/>
              </w:rPr>
              <w:t>）</w:t>
            </w:r>
            <w:r>
              <w:rPr>
                <w:rFonts w:hint="eastAsia" w:ascii="Times New Roman" w:hAnsi="Times New Roman" w:eastAsia="仿宋_GB2312" w:cs="新宋体"/>
                <w:spacing w:val="-2"/>
                <w:sz w:val="30"/>
                <w:szCs w:val="28"/>
                <w:lang w:eastAsia="zh-CN"/>
              </w:rPr>
              <w:t>通过中国结算代收代付</w:t>
            </w:r>
          </w:p>
        </w:tc>
      </w:tr>
      <w:tr w14:paraId="74C9A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435" w:type="dxa"/>
            <w:gridSpan w:val="2"/>
            <w:vAlign w:val="center"/>
          </w:tcPr>
          <w:p w14:paraId="1FDBB853">
            <w:pPr>
              <w:spacing w:line="560" w:lineRule="exact"/>
              <w:rPr>
                <w:rFonts w:eastAsia="仿宋_GB2312"/>
                <w:kern w:val="0"/>
                <w:sz w:val="30"/>
                <w:szCs w:val="28"/>
              </w:rPr>
            </w:pPr>
            <w:r>
              <w:rPr>
                <w:rFonts w:hint="eastAsia" w:eastAsia="仿宋_GB2312"/>
                <w:kern w:val="0"/>
                <w:sz w:val="30"/>
                <w:szCs w:val="28"/>
              </w:rPr>
              <w:t>保护费支付方式</w:t>
            </w:r>
          </w:p>
        </w:tc>
        <w:tc>
          <w:tcPr>
            <w:tcW w:w="5861" w:type="dxa"/>
            <w:gridSpan w:val="2"/>
            <w:vAlign w:val="center"/>
          </w:tcPr>
          <w:p w14:paraId="649ACFA1">
            <w:pPr>
              <w:pStyle w:val="107"/>
              <w:spacing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适用以下第【</w:t>
            </w:r>
            <w:r>
              <w:rPr>
                <w:rFonts w:ascii="Times New Roman" w:hAnsi="Times New Roman" w:eastAsia="仿宋_GB2312" w:cs="新宋体"/>
                <w:sz w:val="30"/>
                <w:szCs w:val="28"/>
                <w:lang w:eastAsia="zh-CN"/>
              </w:rPr>
              <w:t xml:space="preserve"> </w:t>
            </w:r>
            <w:r>
              <w:rPr>
                <w:rFonts w:hint="eastAsia" w:ascii="Times New Roman" w:hAnsi="Times New Roman" w:eastAsia="仿宋_GB2312" w:cs="新宋体"/>
                <w:sz w:val="30"/>
                <w:szCs w:val="28"/>
                <w:lang w:eastAsia="zh-CN"/>
              </w:rPr>
              <w:t>】项：</w:t>
            </w:r>
          </w:p>
          <w:p w14:paraId="4AEFAF5C">
            <w:pPr>
              <w:pStyle w:val="107"/>
              <w:spacing w:before="16" w:line="560" w:lineRule="exact"/>
              <w:ind w:right="125"/>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1</w:t>
            </w:r>
            <w:r>
              <w:rPr>
                <w:rFonts w:hint="eastAsia" w:ascii="Times New Roman" w:hAnsi="Times New Roman" w:eastAsia="仿宋_GB2312" w:cs="新宋体"/>
                <w:sz w:val="30"/>
                <w:szCs w:val="28"/>
                <w:lang w:eastAsia="zh-CN"/>
              </w:rPr>
              <w:t>）</w:t>
            </w:r>
            <w:r>
              <w:rPr>
                <w:rFonts w:ascii="Times New Roman" w:hAnsi="Times New Roman" w:eastAsia="仿宋_GB2312" w:cs="新宋体"/>
                <w:spacing w:val="-2"/>
                <w:sz w:val="30"/>
                <w:szCs w:val="28"/>
                <w:lang w:eastAsia="zh-CN"/>
              </w:rPr>
              <w:t xml:space="preserve"> </w:t>
            </w:r>
            <w:r>
              <w:rPr>
                <w:rFonts w:hint="eastAsia" w:ascii="Times New Roman" w:hAnsi="Times New Roman" w:eastAsia="仿宋_GB2312" w:cs="新宋体"/>
                <w:sz w:val="30"/>
                <w:szCs w:val="28"/>
                <w:lang w:eastAsia="zh-CN"/>
              </w:rPr>
              <w:t>按季支付约定保护费</w:t>
            </w:r>
          </w:p>
          <w:p w14:paraId="5D813541">
            <w:pPr>
              <w:pStyle w:val="107"/>
              <w:spacing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2</w:t>
            </w:r>
            <w:r>
              <w:rPr>
                <w:rFonts w:hint="eastAsia" w:ascii="Times New Roman" w:hAnsi="Times New Roman" w:eastAsia="仿宋_GB2312" w:cs="新宋体"/>
                <w:sz w:val="30"/>
                <w:szCs w:val="28"/>
                <w:lang w:eastAsia="zh-CN"/>
              </w:rPr>
              <w:t>）</w:t>
            </w:r>
            <w:r>
              <w:rPr>
                <w:rFonts w:ascii="Times New Roman" w:hAnsi="Times New Roman" w:eastAsia="仿宋_GB2312" w:cs="新宋体"/>
                <w:spacing w:val="-2"/>
                <w:sz w:val="30"/>
                <w:szCs w:val="28"/>
                <w:lang w:eastAsia="zh-CN"/>
              </w:rPr>
              <w:t xml:space="preserve"> </w:t>
            </w:r>
            <w:r>
              <w:rPr>
                <w:rFonts w:hint="eastAsia" w:ascii="Times New Roman" w:hAnsi="Times New Roman" w:eastAsia="仿宋_GB2312" w:cs="新宋体"/>
                <w:sz w:val="30"/>
                <w:szCs w:val="28"/>
                <w:lang w:eastAsia="zh-CN"/>
              </w:rPr>
              <w:t>季度标准保护费和部分前端费用相结合</w:t>
            </w:r>
          </w:p>
          <w:p w14:paraId="1C577010">
            <w:pPr>
              <w:pStyle w:val="107"/>
              <w:spacing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rPr>
              <w:t>3</w:t>
            </w:r>
            <w:r>
              <w:rPr>
                <w:rFonts w:hint="eastAsia" w:ascii="Times New Roman" w:hAnsi="Times New Roman" w:eastAsia="仿宋_GB2312" w:cs="新宋体"/>
                <w:sz w:val="30"/>
                <w:szCs w:val="28"/>
                <w:lang w:eastAsia="zh-CN"/>
              </w:rPr>
              <w:t>）</w:t>
            </w:r>
            <w:r>
              <w:rPr>
                <w:rFonts w:ascii="Times New Roman" w:hAnsi="Times New Roman" w:eastAsia="仿宋_GB2312" w:cs="新宋体"/>
                <w:spacing w:val="-1"/>
                <w:sz w:val="30"/>
                <w:szCs w:val="28"/>
              </w:rPr>
              <w:t xml:space="preserve"> </w:t>
            </w:r>
            <w:r>
              <w:rPr>
                <w:rFonts w:hint="eastAsia" w:ascii="Times New Roman" w:hAnsi="Times New Roman" w:eastAsia="仿宋_GB2312" w:cs="新宋体"/>
                <w:sz w:val="30"/>
                <w:szCs w:val="28"/>
              </w:rPr>
              <w:t>前端一次性支付</w:t>
            </w:r>
          </w:p>
        </w:tc>
      </w:tr>
      <w:tr w14:paraId="03D5D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296" w:type="dxa"/>
            <w:gridSpan w:val="4"/>
            <w:vAlign w:val="center"/>
          </w:tcPr>
          <w:p w14:paraId="2B302349">
            <w:pPr>
              <w:pStyle w:val="107"/>
              <w:spacing w:before="16" w:line="560" w:lineRule="exact"/>
              <w:ind w:right="125"/>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按季支付约定保护费</w:t>
            </w:r>
            <w:r>
              <w:rPr>
                <w:rFonts w:ascii="Times New Roman" w:hAnsi="Times New Roman" w:eastAsia="仿宋_GB2312" w:cs="新宋体"/>
                <w:sz w:val="30"/>
                <w:szCs w:val="28"/>
                <w:lang w:eastAsia="zh-CN"/>
              </w:rPr>
              <w:t xml:space="preserve"> </w:t>
            </w:r>
            <w:r>
              <w:rPr>
                <w:rFonts w:hint="eastAsia" w:ascii="Times New Roman" w:hAnsi="Times New Roman" w:eastAsia="仿宋_GB2312" w:cs="新宋体"/>
                <w:sz w:val="30"/>
                <w:szCs w:val="28"/>
                <w:lang w:eastAsia="zh-CN"/>
              </w:rPr>
              <w:t>【适用】</w:t>
            </w:r>
            <w:r>
              <w:rPr>
                <w:rFonts w:ascii="Times New Roman" w:hAnsi="Times New Roman" w:eastAsia="仿宋_GB2312" w:cs="新宋体"/>
                <w:sz w:val="30"/>
                <w:szCs w:val="28"/>
                <w:lang w:eastAsia="zh-CN"/>
              </w:rPr>
              <w:t>/</w:t>
            </w:r>
            <w:r>
              <w:rPr>
                <w:rFonts w:hint="eastAsia" w:ascii="Times New Roman" w:hAnsi="Times New Roman" w:eastAsia="仿宋_GB2312" w:cs="新宋体"/>
                <w:sz w:val="30"/>
                <w:szCs w:val="28"/>
                <w:lang w:eastAsia="zh-CN"/>
              </w:rPr>
              <w:t>【不适用】</w:t>
            </w:r>
          </w:p>
        </w:tc>
      </w:tr>
      <w:tr w14:paraId="3842E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restart"/>
            <w:vAlign w:val="center"/>
          </w:tcPr>
          <w:p w14:paraId="62F50F20">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支付要素</w:t>
            </w:r>
          </w:p>
        </w:tc>
        <w:tc>
          <w:tcPr>
            <w:tcW w:w="1985" w:type="dxa"/>
            <w:gridSpan w:val="2"/>
            <w:vAlign w:val="center"/>
          </w:tcPr>
          <w:p w14:paraId="3D08E54C">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sz w:val="30"/>
                <w:szCs w:val="28"/>
                <w:lang w:eastAsia="zh-CN"/>
              </w:rPr>
              <w:t>支付频率</w:t>
            </w:r>
          </w:p>
        </w:tc>
        <w:tc>
          <w:tcPr>
            <w:tcW w:w="3906" w:type="dxa"/>
            <w:vAlign w:val="center"/>
          </w:tcPr>
          <w:p w14:paraId="47657C46">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【按季支付】</w:t>
            </w:r>
          </w:p>
        </w:tc>
      </w:tr>
      <w:tr w14:paraId="19BB6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continue"/>
            <w:vAlign w:val="center"/>
          </w:tcPr>
          <w:p w14:paraId="5BE00254">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vAlign w:val="center"/>
          </w:tcPr>
          <w:p w14:paraId="23AF851A">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rPr>
              <w:t>保护费</w:t>
            </w:r>
            <w:r>
              <w:rPr>
                <w:rFonts w:hint="eastAsia" w:ascii="Times New Roman" w:hAnsi="Times New Roman" w:eastAsia="仿宋_GB2312" w:cs="新宋体"/>
                <w:sz w:val="30"/>
                <w:szCs w:val="28"/>
                <w:lang w:eastAsia="zh-CN"/>
              </w:rPr>
              <w:t>率</w:t>
            </w:r>
          </w:p>
        </w:tc>
        <w:tc>
          <w:tcPr>
            <w:tcW w:w="3906" w:type="dxa"/>
            <w:vAlign w:val="center"/>
          </w:tcPr>
          <w:p w14:paraId="1BBFC82C">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年化【】</w:t>
            </w:r>
            <w:r>
              <w:rPr>
                <w:rFonts w:ascii="Times New Roman" w:hAnsi="Times New Roman" w:eastAsia="仿宋_GB2312" w:cs="新宋体"/>
                <w:sz w:val="30"/>
                <w:szCs w:val="28"/>
                <w:lang w:eastAsia="zh-CN"/>
              </w:rPr>
              <w:t>bps</w:t>
            </w:r>
          </w:p>
        </w:tc>
      </w:tr>
      <w:tr w14:paraId="0A95F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continue"/>
            <w:vAlign w:val="center"/>
          </w:tcPr>
          <w:p w14:paraId="7C63AB0D">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tcPr>
          <w:p w14:paraId="49E131C4">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sz w:val="30"/>
                <w:szCs w:val="28"/>
                <w:lang w:eastAsia="zh-CN"/>
              </w:rPr>
              <w:t>计息天数调整</w:t>
            </w:r>
          </w:p>
        </w:tc>
        <w:tc>
          <w:tcPr>
            <w:tcW w:w="3906" w:type="dxa"/>
            <w:vAlign w:val="center"/>
          </w:tcPr>
          <w:p w14:paraId="44A7A05B">
            <w:pPr>
              <w:pStyle w:val="107"/>
              <w:spacing w:before="118" w:line="560" w:lineRule="exact"/>
              <w:jc w:val="both"/>
              <w:rPr>
                <w:rFonts w:ascii="Times New Roman" w:hAnsi="Times New Roman" w:eastAsia="仿宋_GB2312"/>
                <w:sz w:val="30"/>
                <w:szCs w:val="28"/>
                <w:lang w:eastAsia="zh-CN"/>
              </w:rPr>
            </w:pPr>
            <w:r>
              <w:rPr>
                <w:rFonts w:hint="eastAsia" w:ascii="Times New Roman" w:hAnsi="Times New Roman" w:eastAsia="仿宋_GB2312" w:cs="新宋体"/>
                <w:sz w:val="30"/>
                <w:szCs w:val="28"/>
                <w:lang w:eastAsia="zh-CN"/>
              </w:rPr>
              <w:t>【按照实际天数调整】</w:t>
            </w:r>
            <w:r>
              <w:rPr>
                <w:rFonts w:ascii="Times New Roman" w:hAnsi="Times New Roman" w:eastAsia="仿宋_GB2312" w:cs="新宋体"/>
                <w:sz w:val="30"/>
                <w:szCs w:val="28"/>
                <w:lang w:eastAsia="zh-CN"/>
              </w:rPr>
              <w:t>/</w:t>
            </w:r>
            <w:r>
              <w:rPr>
                <w:rFonts w:hint="eastAsia" w:ascii="Times New Roman" w:hAnsi="Times New Roman" w:eastAsia="仿宋_GB2312" w:cs="新宋体"/>
                <w:sz w:val="30"/>
                <w:szCs w:val="28"/>
                <w:lang w:eastAsia="zh-CN"/>
              </w:rPr>
              <w:t>【按照名义天数不调整】</w:t>
            </w:r>
          </w:p>
        </w:tc>
      </w:tr>
      <w:tr w14:paraId="122E5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05" w:type="dxa"/>
            <w:vMerge w:val="continue"/>
            <w:vAlign w:val="center"/>
          </w:tcPr>
          <w:p w14:paraId="71FFD128">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tcPr>
          <w:p w14:paraId="21787DD0">
            <w:pPr>
              <w:pStyle w:val="107"/>
              <w:spacing w:before="118" w:line="560" w:lineRule="exact"/>
              <w:jc w:val="both"/>
              <w:rPr>
                <w:rFonts w:ascii="Times New Roman" w:hAnsi="Times New Roman" w:eastAsia="仿宋_GB2312"/>
                <w:sz w:val="30"/>
                <w:szCs w:val="28"/>
                <w:lang w:eastAsia="zh-CN"/>
              </w:rPr>
            </w:pPr>
            <w:r>
              <w:rPr>
                <w:rFonts w:hint="eastAsia" w:ascii="Times New Roman" w:hAnsi="Times New Roman" w:eastAsia="仿宋_GB2312"/>
                <w:sz w:val="30"/>
                <w:szCs w:val="28"/>
              </w:rPr>
              <w:t>计息基准</w:t>
            </w:r>
          </w:p>
        </w:tc>
        <w:tc>
          <w:tcPr>
            <w:tcW w:w="3906" w:type="dxa"/>
            <w:vAlign w:val="center"/>
          </w:tcPr>
          <w:p w14:paraId="76F9122B">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【实际</w:t>
            </w:r>
            <w:r>
              <w:rPr>
                <w:rFonts w:ascii="Times New Roman" w:hAnsi="Times New Roman" w:eastAsia="仿宋_GB2312" w:cs="新宋体"/>
                <w:sz w:val="30"/>
                <w:szCs w:val="28"/>
                <w:lang w:eastAsia="zh-CN"/>
              </w:rPr>
              <w:t>/365</w:t>
            </w: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w:t>
            </w:r>
            <w:r>
              <w:rPr>
                <w:rFonts w:hint="eastAsia" w:ascii="Times New Roman" w:hAnsi="Times New Roman" w:eastAsia="仿宋_GB2312" w:cs="新宋体"/>
                <w:sz w:val="30"/>
                <w:szCs w:val="28"/>
                <w:lang w:eastAsia="zh-CN"/>
              </w:rPr>
              <w:t>【实际</w:t>
            </w:r>
            <w:r>
              <w:rPr>
                <w:rFonts w:ascii="Times New Roman" w:hAnsi="Times New Roman" w:eastAsia="仿宋_GB2312" w:cs="新宋体"/>
                <w:sz w:val="30"/>
                <w:szCs w:val="28"/>
                <w:lang w:eastAsia="zh-CN"/>
              </w:rPr>
              <w:t>/</w:t>
            </w:r>
            <w:r>
              <w:rPr>
                <w:rFonts w:hint="eastAsia" w:ascii="Times New Roman" w:hAnsi="Times New Roman" w:eastAsia="仿宋_GB2312" w:cs="新宋体"/>
                <w:sz w:val="30"/>
                <w:szCs w:val="28"/>
                <w:lang w:eastAsia="zh-CN"/>
              </w:rPr>
              <w:t>实际】</w:t>
            </w:r>
          </w:p>
        </w:tc>
      </w:tr>
      <w:tr w14:paraId="3D45F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continue"/>
            <w:vAlign w:val="center"/>
          </w:tcPr>
          <w:p w14:paraId="29DBD879">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tcPr>
          <w:p w14:paraId="26FFCF0C">
            <w:pPr>
              <w:pStyle w:val="107"/>
              <w:spacing w:before="118" w:line="560" w:lineRule="exact"/>
              <w:jc w:val="both"/>
              <w:rPr>
                <w:rFonts w:ascii="Times New Roman" w:hAnsi="Times New Roman" w:eastAsia="仿宋_GB2312"/>
                <w:sz w:val="30"/>
                <w:szCs w:val="28"/>
                <w:lang w:eastAsia="zh-CN"/>
              </w:rPr>
            </w:pPr>
            <w:r>
              <w:rPr>
                <w:rFonts w:hint="eastAsia" w:ascii="Times New Roman" w:hAnsi="Times New Roman" w:eastAsia="仿宋_GB2312"/>
                <w:sz w:val="30"/>
                <w:szCs w:val="28"/>
                <w:lang w:eastAsia="zh-CN"/>
              </w:rPr>
              <w:t>首期保护费支付日</w:t>
            </w:r>
          </w:p>
        </w:tc>
        <w:tc>
          <w:tcPr>
            <w:tcW w:w="3906" w:type="dxa"/>
            <w:vAlign w:val="center"/>
          </w:tcPr>
          <w:p w14:paraId="26E16CC4">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sz w:val="30"/>
                <w:szCs w:val="28"/>
              </w:rPr>
              <w:t>【】年【】月【】日</w:t>
            </w:r>
          </w:p>
        </w:tc>
      </w:tr>
      <w:tr w14:paraId="27672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gridSpan w:val="4"/>
            <w:vAlign w:val="center"/>
          </w:tcPr>
          <w:p w14:paraId="51AA5436">
            <w:pPr>
              <w:pStyle w:val="107"/>
              <w:spacing w:before="16" w:line="560" w:lineRule="exact"/>
              <w:ind w:right="125"/>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季度标准保护费和部分前端费用相结合【适用】</w:t>
            </w:r>
            <w:r>
              <w:rPr>
                <w:rFonts w:ascii="Times New Roman" w:hAnsi="Times New Roman" w:eastAsia="仿宋_GB2312" w:cs="新宋体"/>
                <w:sz w:val="30"/>
                <w:szCs w:val="28"/>
                <w:lang w:eastAsia="zh-CN"/>
              </w:rPr>
              <w:t>/</w:t>
            </w:r>
            <w:r>
              <w:rPr>
                <w:rFonts w:hint="eastAsia" w:ascii="Times New Roman" w:hAnsi="Times New Roman" w:eastAsia="仿宋_GB2312" w:cs="新宋体"/>
                <w:sz w:val="30"/>
                <w:szCs w:val="28"/>
                <w:lang w:eastAsia="zh-CN"/>
              </w:rPr>
              <w:t>【不适用】</w:t>
            </w:r>
          </w:p>
        </w:tc>
      </w:tr>
      <w:tr w14:paraId="3D74E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restart"/>
            <w:vAlign w:val="center"/>
          </w:tcPr>
          <w:p w14:paraId="1597D1DC">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支付要素</w:t>
            </w:r>
          </w:p>
        </w:tc>
        <w:tc>
          <w:tcPr>
            <w:tcW w:w="1985" w:type="dxa"/>
            <w:gridSpan w:val="2"/>
            <w:vAlign w:val="center"/>
          </w:tcPr>
          <w:p w14:paraId="3ECDD772">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sz w:val="30"/>
                <w:szCs w:val="28"/>
                <w:lang w:eastAsia="zh-CN"/>
              </w:rPr>
              <w:t>支付频率</w:t>
            </w:r>
          </w:p>
        </w:tc>
        <w:tc>
          <w:tcPr>
            <w:tcW w:w="3906" w:type="dxa"/>
            <w:vAlign w:val="center"/>
          </w:tcPr>
          <w:p w14:paraId="35EC73FD">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【按季支付】</w:t>
            </w:r>
          </w:p>
        </w:tc>
      </w:tr>
      <w:tr w14:paraId="07A59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05" w:type="dxa"/>
            <w:vMerge w:val="continue"/>
            <w:vAlign w:val="center"/>
          </w:tcPr>
          <w:p w14:paraId="0ADAE012">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vAlign w:val="center"/>
          </w:tcPr>
          <w:p w14:paraId="7E7AD9EC">
            <w:pPr>
              <w:pStyle w:val="107"/>
              <w:spacing w:before="118" w:line="560" w:lineRule="exact"/>
              <w:jc w:val="both"/>
              <w:rPr>
                <w:rFonts w:ascii="Times New Roman" w:hAnsi="Times New Roman" w:eastAsia="仿宋_GB2312"/>
                <w:sz w:val="30"/>
                <w:szCs w:val="28"/>
              </w:rPr>
            </w:pPr>
            <w:r>
              <w:rPr>
                <w:rFonts w:hint="eastAsia" w:ascii="Times New Roman" w:hAnsi="Times New Roman" w:eastAsia="仿宋_GB2312" w:cs="新宋体"/>
                <w:sz w:val="30"/>
                <w:szCs w:val="28"/>
              </w:rPr>
              <w:t>保护费率</w:t>
            </w:r>
          </w:p>
        </w:tc>
        <w:tc>
          <w:tcPr>
            <w:tcW w:w="3906" w:type="dxa"/>
            <w:vAlign w:val="center"/>
          </w:tcPr>
          <w:p w14:paraId="0A1B2873">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年化【】</w:t>
            </w:r>
            <w:r>
              <w:rPr>
                <w:rFonts w:ascii="Times New Roman" w:hAnsi="Times New Roman" w:eastAsia="仿宋_GB2312" w:cs="新宋体"/>
                <w:sz w:val="30"/>
                <w:szCs w:val="28"/>
                <w:lang w:eastAsia="zh-CN"/>
              </w:rPr>
              <w:t>bps</w:t>
            </w:r>
          </w:p>
        </w:tc>
      </w:tr>
      <w:tr w14:paraId="47F4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continue"/>
            <w:vAlign w:val="center"/>
          </w:tcPr>
          <w:p w14:paraId="2A314158">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vAlign w:val="center"/>
          </w:tcPr>
          <w:p w14:paraId="1D053516">
            <w:pPr>
              <w:pStyle w:val="107"/>
              <w:spacing w:before="118" w:line="560" w:lineRule="exact"/>
              <w:jc w:val="both"/>
              <w:rPr>
                <w:rFonts w:ascii="Times New Roman" w:hAnsi="Times New Roman" w:eastAsia="仿宋_GB2312"/>
                <w:sz w:val="30"/>
                <w:szCs w:val="28"/>
              </w:rPr>
            </w:pPr>
            <w:r>
              <w:rPr>
                <w:rFonts w:hint="eastAsia" w:ascii="Times New Roman" w:hAnsi="Times New Roman" w:eastAsia="仿宋_GB2312" w:cs="新宋体"/>
                <w:sz w:val="30"/>
                <w:szCs w:val="28"/>
              </w:rPr>
              <w:t>标准</w:t>
            </w:r>
            <w:r>
              <w:rPr>
                <w:rFonts w:hint="eastAsia" w:ascii="Times New Roman" w:hAnsi="Times New Roman" w:eastAsia="仿宋_GB2312" w:cs="新宋体"/>
                <w:sz w:val="30"/>
                <w:szCs w:val="28"/>
                <w:lang w:eastAsia="zh-CN"/>
              </w:rPr>
              <w:t>保护费率</w:t>
            </w:r>
          </w:p>
        </w:tc>
        <w:tc>
          <w:tcPr>
            <w:tcW w:w="3906" w:type="dxa"/>
            <w:vAlign w:val="center"/>
          </w:tcPr>
          <w:p w14:paraId="1B0F5580">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bps</w:t>
            </w: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50/100/150</w:t>
            </w:r>
            <w:r>
              <w:rPr>
                <w:rFonts w:hint="eastAsia" w:ascii="Times New Roman" w:hAnsi="Times New Roman" w:eastAsia="仿宋_GB2312" w:cs="新宋体"/>
                <w:sz w:val="30"/>
                <w:szCs w:val="28"/>
                <w:lang w:eastAsia="zh-CN"/>
              </w:rPr>
              <w:t>）</w:t>
            </w:r>
          </w:p>
        </w:tc>
      </w:tr>
      <w:tr w14:paraId="00A5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continue"/>
            <w:vAlign w:val="center"/>
          </w:tcPr>
          <w:p w14:paraId="395EB4F5">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vAlign w:val="center"/>
          </w:tcPr>
          <w:p w14:paraId="1340CE9A">
            <w:pPr>
              <w:pStyle w:val="107"/>
              <w:spacing w:before="118" w:line="560" w:lineRule="exact"/>
              <w:jc w:val="both"/>
              <w:rPr>
                <w:rFonts w:ascii="Times New Roman" w:hAnsi="Times New Roman" w:eastAsia="仿宋_GB2312"/>
                <w:sz w:val="30"/>
                <w:szCs w:val="28"/>
              </w:rPr>
            </w:pPr>
            <w:r>
              <w:rPr>
                <w:rFonts w:hint="eastAsia" w:ascii="Times New Roman" w:hAnsi="Times New Roman" w:eastAsia="仿宋_GB2312" w:cs="新宋体"/>
                <w:bCs/>
                <w:sz w:val="30"/>
                <w:szCs w:val="28"/>
                <w:lang w:eastAsia="zh-CN"/>
              </w:rPr>
              <w:t>首期保护费支付日</w:t>
            </w:r>
          </w:p>
        </w:tc>
        <w:tc>
          <w:tcPr>
            <w:tcW w:w="3906" w:type="dxa"/>
            <w:vAlign w:val="center"/>
          </w:tcPr>
          <w:p w14:paraId="7C84BFA0">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sz w:val="30"/>
                <w:szCs w:val="28"/>
                <w:lang w:eastAsia="zh-CN"/>
              </w:rPr>
              <w:t>【】年【】月【】日（</w:t>
            </w:r>
            <w:r>
              <w:rPr>
                <w:rFonts w:hint="eastAsia" w:ascii="Times New Roman" w:hAnsi="Times New Roman" w:eastAsia="仿宋_GB2312" w:cs="新宋体"/>
                <w:b/>
                <w:bCs/>
                <w:sz w:val="30"/>
                <w:szCs w:val="28"/>
                <w:lang w:eastAsia="zh-CN"/>
              </w:rPr>
              <w:t>本确认书</w:t>
            </w:r>
            <w:r>
              <w:rPr>
                <w:rFonts w:hint="eastAsia" w:ascii="Times New Roman" w:hAnsi="Times New Roman" w:eastAsia="仿宋_GB2312" w:cs="新宋体"/>
                <w:sz w:val="30"/>
                <w:szCs w:val="28"/>
                <w:lang w:eastAsia="zh-CN"/>
              </w:rPr>
              <w:t>生效日之后第一个季末的</w:t>
            </w:r>
            <w:r>
              <w:rPr>
                <w:rFonts w:ascii="Times New Roman" w:hAnsi="Times New Roman" w:eastAsia="仿宋_GB2312" w:cs="新宋体"/>
                <w:sz w:val="30"/>
                <w:szCs w:val="28"/>
                <w:lang w:eastAsia="zh-CN"/>
              </w:rPr>
              <w:t>20</w:t>
            </w:r>
            <w:r>
              <w:rPr>
                <w:rFonts w:hint="eastAsia" w:ascii="Times New Roman" w:hAnsi="Times New Roman" w:eastAsia="仿宋_GB2312" w:cs="新宋体"/>
                <w:sz w:val="30"/>
                <w:szCs w:val="28"/>
                <w:lang w:eastAsia="zh-CN"/>
              </w:rPr>
              <w:t>日为首期支付日。此后每期支付日为约定年份的</w:t>
            </w:r>
            <w:r>
              <w:rPr>
                <w:rFonts w:ascii="Times New Roman" w:hAnsi="Times New Roman" w:eastAsia="仿宋_GB2312" w:cs="新宋体"/>
                <w:sz w:val="30"/>
                <w:szCs w:val="28"/>
                <w:lang w:eastAsia="zh-CN"/>
              </w:rPr>
              <w:t>3</w:t>
            </w:r>
            <w:r>
              <w:rPr>
                <w:rFonts w:hint="eastAsia" w:ascii="Times New Roman" w:hAnsi="Times New Roman" w:eastAsia="仿宋_GB2312" w:cs="新宋体"/>
                <w:sz w:val="30"/>
                <w:szCs w:val="28"/>
                <w:lang w:eastAsia="zh-CN"/>
              </w:rPr>
              <w:t>月</w:t>
            </w:r>
            <w:r>
              <w:rPr>
                <w:rFonts w:ascii="Times New Roman" w:hAnsi="Times New Roman" w:eastAsia="仿宋_GB2312" w:cs="新宋体"/>
                <w:sz w:val="30"/>
                <w:szCs w:val="28"/>
                <w:lang w:eastAsia="zh-CN"/>
              </w:rPr>
              <w:t>20</w:t>
            </w:r>
            <w:r>
              <w:rPr>
                <w:rFonts w:hint="eastAsia" w:ascii="Times New Roman" w:hAnsi="Times New Roman" w:eastAsia="仿宋_GB2312" w:cs="新宋体"/>
                <w:sz w:val="30"/>
                <w:szCs w:val="28"/>
                <w:lang w:eastAsia="zh-CN"/>
              </w:rPr>
              <w:t>日、</w:t>
            </w:r>
            <w:r>
              <w:rPr>
                <w:rFonts w:ascii="Times New Roman" w:hAnsi="Times New Roman" w:eastAsia="仿宋_GB2312" w:cs="新宋体"/>
                <w:sz w:val="30"/>
                <w:szCs w:val="28"/>
                <w:lang w:eastAsia="zh-CN"/>
              </w:rPr>
              <w:t>6</w:t>
            </w:r>
            <w:r>
              <w:rPr>
                <w:rFonts w:hint="eastAsia" w:ascii="Times New Roman" w:hAnsi="Times New Roman" w:eastAsia="仿宋_GB2312" w:cs="新宋体"/>
                <w:sz w:val="30"/>
                <w:szCs w:val="28"/>
                <w:lang w:eastAsia="zh-CN"/>
              </w:rPr>
              <w:t>月</w:t>
            </w:r>
            <w:r>
              <w:rPr>
                <w:rFonts w:ascii="Times New Roman" w:hAnsi="Times New Roman" w:eastAsia="仿宋_GB2312" w:cs="新宋体"/>
                <w:sz w:val="30"/>
                <w:szCs w:val="28"/>
                <w:lang w:eastAsia="zh-CN"/>
              </w:rPr>
              <w:t>20</w:t>
            </w:r>
            <w:r>
              <w:rPr>
                <w:rFonts w:hint="eastAsia" w:ascii="Times New Roman" w:hAnsi="Times New Roman" w:eastAsia="仿宋_GB2312" w:cs="新宋体"/>
                <w:sz w:val="30"/>
                <w:szCs w:val="28"/>
                <w:lang w:eastAsia="zh-CN"/>
              </w:rPr>
              <w:t>日、</w:t>
            </w:r>
            <w:r>
              <w:rPr>
                <w:rFonts w:ascii="Times New Roman" w:hAnsi="Times New Roman" w:eastAsia="仿宋_GB2312" w:cs="新宋体"/>
                <w:sz w:val="30"/>
                <w:szCs w:val="28"/>
                <w:lang w:eastAsia="zh-CN"/>
              </w:rPr>
              <w:t>9</w:t>
            </w:r>
            <w:r>
              <w:rPr>
                <w:rFonts w:hint="eastAsia" w:ascii="Times New Roman" w:hAnsi="Times New Roman" w:eastAsia="仿宋_GB2312" w:cs="新宋体"/>
                <w:sz w:val="30"/>
                <w:szCs w:val="28"/>
                <w:lang w:eastAsia="zh-CN"/>
              </w:rPr>
              <w:t>月</w:t>
            </w:r>
            <w:r>
              <w:rPr>
                <w:rFonts w:ascii="Times New Roman" w:hAnsi="Times New Roman" w:eastAsia="仿宋_GB2312" w:cs="新宋体"/>
                <w:sz w:val="30"/>
                <w:szCs w:val="28"/>
                <w:lang w:eastAsia="zh-CN"/>
              </w:rPr>
              <w:t>20</w:t>
            </w:r>
            <w:r>
              <w:rPr>
                <w:rFonts w:hint="eastAsia" w:ascii="Times New Roman" w:hAnsi="Times New Roman" w:eastAsia="仿宋_GB2312" w:cs="新宋体"/>
                <w:sz w:val="30"/>
                <w:szCs w:val="28"/>
                <w:lang w:eastAsia="zh-CN"/>
              </w:rPr>
              <w:t>日和</w:t>
            </w:r>
            <w:r>
              <w:rPr>
                <w:rFonts w:ascii="Times New Roman" w:hAnsi="Times New Roman" w:eastAsia="仿宋_GB2312" w:cs="新宋体"/>
                <w:sz w:val="30"/>
                <w:szCs w:val="28"/>
                <w:lang w:eastAsia="zh-CN"/>
              </w:rPr>
              <w:t>12</w:t>
            </w:r>
            <w:r>
              <w:rPr>
                <w:rFonts w:hint="eastAsia" w:ascii="Times New Roman" w:hAnsi="Times New Roman" w:eastAsia="仿宋_GB2312" w:cs="新宋体"/>
                <w:sz w:val="30"/>
                <w:szCs w:val="28"/>
                <w:lang w:eastAsia="zh-CN"/>
              </w:rPr>
              <w:t>月</w:t>
            </w:r>
            <w:r>
              <w:rPr>
                <w:rFonts w:ascii="Times New Roman" w:hAnsi="Times New Roman" w:eastAsia="仿宋_GB2312" w:cs="新宋体"/>
                <w:sz w:val="30"/>
                <w:szCs w:val="28"/>
                <w:lang w:eastAsia="zh-CN"/>
              </w:rPr>
              <w:t>20</w:t>
            </w:r>
            <w:r>
              <w:rPr>
                <w:rFonts w:hint="eastAsia" w:ascii="Times New Roman" w:hAnsi="Times New Roman" w:eastAsia="仿宋_GB2312" w:cs="新宋体"/>
                <w:sz w:val="30"/>
                <w:szCs w:val="28"/>
                <w:lang w:eastAsia="zh-CN"/>
              </w:rPr>
              <w:t>日。）</w:t>
            </w:r>
          </w:p>
        </w:tc>
      </w:tr>
      <w:tr w14:paraId="32ADD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continue"/>
            <w:vAlign w:val="center"/>
          </w:tcPr>
          <w:p w14:paraId="2475B38B">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vAlign w:val="center"/>
          </w:tcPr>
          <w:p w14:paraId="52EAD8F8">
            <w:pPr>
              <w:pStyle w:val="107"/>
              <w:spacing w:before="118" w:line="560" w:lineRule="exact"/>
              <w:jc w:val="both"/>
              <w:rPr>
                <w:rFonts w:ascii="Times New Roman" w:hAnsi="Times New Roman" w:eastAsia="仿宋_GB2312"/>
                <w:sz w:val="30"/>
                <w:szCs w:val="28"/>
              </w:rPr>
            </w:pPr>
            <w:r>
              <w:rPr>
                <w:rFonts w:hint="eastAsia" w:ascii="Times New Roman" w:hAnsi="Times New Roman" w:eastAsia="仿宋_GB2312" w:cs="新宋体"/>
                <w:sz w:val="30"/>
                <w:szCs w:val="28"/>
              </w:rPr>
              <w:t>前端费率</w:t>
            </w:r>
          </w:p>
        </w:tc>
        <w:tc>
          <w:tcPr>
            <w:tcW w:w="3906" w:type="dxa"/>
            <w:vAlign w:val="center"/>
          </w:tcPr>
          <w:p w14:paraId="616E2AE9">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bps</w:t>
            </w:r>
          </w:p>
        </w:tc>
      </w:tr>
      <w:tr w14:paraId="44207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05" w:type="dxa"/>
            <w:vMerge w:val="continue"/>
            <w:vAlign w:val="center"/>
          </w:tcPr>
          <w:p w14:paraId="6D51DA91">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vAlign w:val="center"/>
          </w:tcPr>
          <w:p w14:paraId="7EA97429">
            <w:pPr>
              <w:pStyle w:val="107"/>
              <w:spacing w:before="118" w:line="560" w:lineRule="exact"/>
              <w:jc w:val="both"/>
              <w:rPr>
                <w:rFonts w:ascii="Times New Roman" w:hAnsi="Times New Roman" w:eastAsia="仿宋_GB2312"/>
                <w:sz w:val="30"/>
                <w:szCs w:val="28"/>
              </w:rPr>
            </w:pPr>
            <w:r>
              <w:rPr>
                <w:rFonts w:hint="eastAsia" w:ascii="Times New Roman" w:hAnsi="Times New Roman" w:eastAsia="仿宋_GB2312" w:cs="新宋体"/>
                <w:bCs/>
                <w:sz w:val="30"/>
                <w:szCs w:val="28"/>
                <w:lang w:eastAsia="zh-CN"/>
              </w:rPr>
              <w:t>前端费用</w:t>
            </w:r>
          </w:p>
        </w:tc>
        <w:tc>
          <w:tcPr>
            <w:tcW w:w="3906" w:type="dxa"/>
            <w:vAlign w:val="center"/>
          </w:tcPr>
          <w:p w14:paraId="16B06643">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【】元人民币</w:t>
            </w:r>
          </w:p>
        </w:tc>
      </w:tr>
      <w:tr w14:paraId="3446F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continue"/>
            <w:vAlign w:val="center"/>
          </w:tcPr>
          <w:p w14:paraId="6353F61A">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vAlign w:val="center"/>
          </w:tcPr>
          <w:p w14:paraId="3DA0185A">
            <w:pPr>
              <w:pStyle w:val="107"/>
              <w:spacing w:before="118" w:line="560" w:lineRule="exact"/>
              <w:jc w:val="both"/>
              <w:rPr>
                <w:rFonts w:ascii="Times New Roman" w:hAnsi="Times New Roman" w:eastAsia="仿宋_GB2312"/>
                <w:sz w:val="30"/>
                <w:szCs w:val="28"/>
              </w:rPr>
            </w:pPr>
            <w:r>
              <w:rPr>
                <w:rFonts w:hint="eastAsia" w:ascii="Times New Roman" w:hAnsi="Times New Roman" w:eastAsia="仿宋_GB2312" w:cs="新宋体"/>
                <w:sz w:val="30"/>
                <w:szCs w:val="28"/>
              </w:rPr>
              <w:t>期初返还金额</w:t>
            </w:r>
          </w:p>
        </w:tc>
        <w:tc>
          <w:tcPr>
            <w:tcW w:w="3906" w:type="dxa"/>
            <w:vAlign w:val="center"/>
          </w:tcPr>
          <w:p w14:paraId="477111C7">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【】元人民币</w:t>
            </w:r>
          </w:p>
        </w:tc>
      </w:tr>
      <w:tr w14:paraId="7FD45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continue"/>
            <w:vAlign w:val="center"/>
          </w:tcPr>
          <w:p w14:paraId="5D31B103">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vAlign w:val="center"/>
          </w:tcPr>
          <w:p w14:paraId="74313ADC">
            <w:pPr>
              <w:pStyle w:val="107"/>
              <w:spacing w:before="118" w:line="560" w:lineRule="exact"/>
              <w:jc w:val="both"/>
              <w:rPr>
                <w:rFonts w:ascii="Times New Roman" w:hAnsi="Times New Roman" w:eastAsia="仿宋_GB2312"/>
                <w:sz w:val="30"/>
                <w:szCs w:val="28"/>
              </w:rPr>
            </w:pPr>
            <w:r>
              <w:rPr>
                <w:rFonts w:hint="eastAsia" w:ascii="Times New Roman" w:hAnsi="Times New Roman" w:eastAsia="仿宋_GB2312" w:cs="新宋体"/>
                <w:sz w:val="30"/>
                <w:szCs w:val="28"/>
                <w:lang w:eastAsia="zh-CN"/>
              </w:rPr>
              <w:t>期初</w:t>
            </w:r>
            <w:r>
              <w:rPr>
                <w:rFonts w:hint="eastAsia" w:ascii="Times New Roman" w:hAnsi="Times New Roman" w:eastAsia="仿宋_GB2312" w:cs="新宋体"/>
                <w:sz w:val="30"/>
                <w:szCs w:val="28"/>
              </w:rPr>
              <w:t>交付金额</w:t>
            </w:r>
          </w:p>
        </w:tc>
        <w:tc>
          <w:tcPr>
            <w:tcW w:w="3906" w:type="dxa"/>
            <w:vAlign w:val="center"/>
          </w:tcPr>
          <w:p w14:paraId="0F3BA7D2">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【】元人民币（若期初交付金额由信用保护卖方向信用保护买方支付，则以负数表示）</w:t>
            </w:r>
          </w:p>
        </w:tc>
      </w:tr>
      <w:tr w14:paraId="55723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continue"/>
            <w:vAlign w:val="center"/>
          </w:tcPr>
          <w:p w14:paraId="091B8A11">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vAlign w:val="center"/>
          </w:tcPr>
          <w:p w14:paraId="5349A53C">
            <w:pPr>
              <w:pStyle w:val="107"/>
              <w:spacing w:before="118" w:line="560" w:lineRule="exact"/>
              <w:jc w:val="both"/>
              <w:rPr>
                <w:rFonts w:ascii="Times New Roman" w:hAnsi="Times New Roman" w:eastAsia="仿宋_GB2312"/>
                <w:sz w:val="30"/>
                <w:szCs w:val="28"/>
              </w:rPr>
            </w:pPr>
            <w:r>
              <w:rPr>
                <w:rFonts w:hint="eastAsia" w:ascii="Times New Roman" w:hAnsi="Times New Roman" w:eastAsia="仿宋_GB2312" w:cs="新宋体"/>
                <w:sz w:val="30"/>
                <w:szCs w:val="28"/>
              </w:rPr>
              <w:t>期初交付金额支付日</w:t>
            </w:r>
          </w:p>
        </w:tc>
        <w:tc>
          <w:tcPr>
            <w:tcW w:w="3906" w:type="dxa"/>
            <w:vAlign w:val="center"/>
          </w:tcPr>
          <w:p w14:paraId="0CABEB49">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sz w:val="30"/>
                <w:szCs w:val="28"/>
              </w:rPr>
              <w:t>【】年【】月【】日</w:t>
            </w:r>
          </w:p>
        </w:tc>
      </w:tr>
      <w:tr w14:paraId="4C43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05" w:type="dxa"/>
            <w:vMerge w:val="continue"/>
            <w:vAlign w:val="center"/>
          </w:tcPr>
          <w:p w14:paraId="0D7A37D8">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tcPr>
          <w:p w14:paraId="584F5EF1">
            <w:pPr>
              <w:pStyle w:val="107"/>
              <w:spacing w:before="118" w:line="560" w:lineRule="exact"/>
              <w:jc w:val="both"/>
              <w:rPr>
                <w:rFonts w:ascii="Times New Roman" w:hAnsi="Times New Roman" w:eastAsia="仿宋_GB2312"/>
                <w:sz w:val="30"/>
                <w:szCs w:val="28"/>
                <w:lang w:eastAsia="zh-CN"/>
              </w:rPr>
            </w:pPr>
            <w:r>
              <w:rPr>
                <w:rFonts w:hint="eastAsia" w:ascii="Times New Roman" w:hAnsi="Times New Roman" w:eastAsia="仿宋_GB2312"/>
                <w:sz w:val="30"/>
                <w:szCs w:val="28"/>
                <w:lang w:eastAsia="zh-CN"/>
              </w:rPr>
              <w:t>计息天数调整</w:t>
            </w:r>
          </w:p>
        </w:tc>
        <w:tc>
          <w:tcPr>
            <w:tcW w:w="3906" w:type="dxa"/>
            <w:vAlign w:val="center"/>
          </w:tcPr>
          <w:p w14:paraId="5FFC4CA2">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【按照实际天数调整】</w:t>
            </w:r>
            <w:r>
              <w:rPr>
                <w:rFonts w:ascii="Times New Roman" w:hAnsi="Times New Roman" w:eastAsia="仿宋_GB2312" w:cs="新宋体"/>
                <w:sz w:val="30"/>
                <w:szCs w:val="28"/>
                <w:lang w:eastAsia="zh-CN"/>
              </w:rPr>
              <w:t>/</w:t>
            </w:r>
            <w:r>
              <w:rPr>
                <w:rFonts w:hint="eastAsia" w:ascii="Times New Roman" w:hAnsi="Times New Roman" w:eastAsia="仿宋_GB2312" w:cs="新宋体"/>
                <w:sz w:val="30"/>
                <w:szCs w:val="28"/>
                <w:lang w:eastAsia="zh-CN"/>
              </w:rPr>
              <w:t>【按照名义天数不调整】</w:t>
            </w:r>
          </w:p>
        </w:tc>
      </w:tr>
      <w:tr w14:paraId="379AE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continue"/>
            <w:vAlign w:val="center"/>
          </w:tcPr>
          <w:p w14:paraId="0743A8CB">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tcPr>
          <w:p w14:paraId="7B13FF50">
            <w:pPr>
              <w:pStyle w:val="107"/>
              <w:spacing w:before="118" w:line="560" w:lineRule="exact"/>
              <w:jc w:val="both"/>
              <w:rPr>
                <w:rFonts w:ascii="Times New Roman" w:hAnsi="Times New Roman" w:eastAsia="仿宋_GB2312"/>
                <w:sz w:val="30"/>
                <w:szCs w:val="28"/>
              </w:rPr>
            </w:pPr>
            <w:r>
              <w:rPr>
                <w:rFonts w:hint="eastAsia" w:ascii="Times New Roman" w:hAnsi="Times New Roman" w:eastAsia="仿宋_GB2312"/>
                <w:sz w:val="30"/>
                <w:szCs w:val="28"/>
              </w:rPr>
              <w:t>计息基准</w:t>
            </w:r>
          </w:p>
        </w:tc>
        <w:tc>
          <w:tcPr>
            <w:tcW w:w="3906" w:type="dxa"/>
            <w:vAlign w:val="center"/>
          </w:tcPr>
          <w:p w14:paraId="06606685">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【实际</w:t>
            </w:r>
            <w:r>
              <w:rPr>
                <w:rFonts w:ascii="Times New Roman" w:hAnsi="Times New Roman" w:eastAsia="仿宋_GB2312" w:cs="新宋体"/>
                <w:sz w:val="30"/>
                <w:szCs w:val="28"/>
                <w:lang w:eastAsia="zh-CN"/>
              </w:rPr>
              <w:t>/365</w:t>
            </w: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w:t>
            </w:r>
            <w:r>
              <w:rPr>
                <w:rFonts w:hint="eastAsia" w:ascii="Times New Roman" w:hAnsi="Times New Roman" w:eastAsia="仿宋_GB2312" w:cs="新宋体"/>
                <w:sz w:val="30"/>
                <w:szCs w:val="28"/>
                <w:lang w:eastAsia="zh-CN"/>
              </w:rPr>
              <w:t>【实际</w:t>
            </w:r>
            <w:r>
              <w:rPr>
                <w:rFonts w:ascii="Times New Roman" w:hAnsi="Times New Roman" w:eastAsia="仿宋_GB2312" w:cs="新宋体"/>
                <w:sz w:val="30"/>
                <w:szCs w:val="28"/>
                <w:lang w:eastAsia="zh-CN"/>
              </w:rPr>
              <w:t>/</w:t>
            </w:r>
            <w:r>
              <w:rPr>
                <w:rFonts w:hint="eastAsia" w:ascii="Times New Roman" w:hAnsi="Times New Roman" w:eastAsia="仿宋_GB2312" w:cs="新宋体"/>
                <w:sz w:val="30"/>
                <w:szCs w:val="28"/>
                <w:lang w:eastAsia="zh-CN"/>
              </w:rPr>
              <w:t>实际】</w:t>
            </w:r>
          </w:p>
        </w:tc>
      </w:tr>
      <w:tr w14:paraId="794AE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gridSpan w:val="4"/>
            <w:vAlign w:val="center"/>
          </w:tcPr>
          <w:p w14:paraId="430312FE">
            <w:pPr>
              <w:pStyle w:val="107"/>
              <w:spacing w:before="16" w:line="560" w:lineRule="exact"/>
              <w:ind w:right="125"/>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前端一次性支付【适用】</w:t>
            </w:r>
            <w:r>
              <w:rPr>
                <w:rFonts w:ascii="Times New Roman" w:hAnsi="Times New Roman" w:eastAsia="仿宋_GB2312" w:cs="新宋体"/>
                <w:sz w:val="30"/>
                <w:szCs w:val="28"/>
                <w:lang w:eastAsia="zh-CN"/>
              </w:rPr>
              <w:t>/</w:t>
            </w:r>
            <w:r>
              <w:rPr>
                <w:rFonts w:hint="eastAsia" w:ascii="Times New Roman" w:hAnsi="Times New Roman" w:eastAsia="仿宋_GB2312" w:cs="新宋体"/>
                <w:sz w:val="30"/>
                <w:szCs w:val="28"/>
                <w:lang w:eastAsia="zh-CN"/>
              </w:rPr>
              <w:t>【不适用】</w:t>
            </w:r>
          </w:p>
        </w:tc>
      </w:tr>
      <w:tr w14:paraId="769F1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restart"/>
            <w:vAlign w:val="center"/>
          </w:tcPr>
          <w:p w14:paraId="34F4E9D2">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支付要素</w:t>
            </w:r>
          </w:p>
        </w:tc>
        <w:tc>
          <w:tcPr>
            <w:tcW w:w="1985" w:type="dxa"/>
            <w:gridSpan w:val="2"/>
            <w:vAlign w:val="center"/>
          </w:tcPr>
          <w:p w14:paraId="488C9D2B">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sz w:val="30"/>
                <w:szCs w:val="28"/>
              </w:rPr>
              <w:t>保护费率</w:t>
            </w:r>
          </w:p>
        </w:tc>
        <w:tc>
          <w:tcPr>
            <w:tcW w:w="3906" w:type="dxa"/>
            <w:vAlign w:val="center"/>
          </w:tcPr>
          <w:p w14:paraId="0B426C14">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bps</w:t>
            </w:r>
          </w:p>
        </w:tc>
      </w:tr>
      <w:tr w14:paraId="2E66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05" w:type="dxa"/>
            <w:vMerge w:val="continue"/>
            <w:vAlign w:val="center"/>
          </w:tcPr>
          <w:p w14:paraId="4BFB5A1F">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vAlign w:val="center"/>
          </w:tcPr>
          <w:p w14:paraId="78D339BB">
            <w:pPr>
              <w:pStyle w:val="107"/>
              <w:spacing w:before="118" w:line="560" w:lineRule="exact"/>
              <w:jc w:val="both"/>
              <w:rPr>
                <w:rFonts w:ascii="Times New Roman" w:hAnsi="Times New Roman" w:eastAsia="仿宋_GB2312"/>
                <w:sz w:val="30"/>
                <w:szCs w:val="28"/>
              </w:rPr>
            </w:pPr>
            <w:r>
              <w:rPr>
                <w:rFonts w:hint="eastAsia" w:ascii="Times New Roman" w:hAnsi="Times New Roman" w:eastAsia="仿宋_GB2312" w:cs="新宋体"/>
                <w:sz w:val="30"/>
                <w:szCs w:val="28"/>
                <w:lang w:eastAsia="zh-CN"/>
              </w:rPr>
              <w:t>保护费</w:t>
            </w:r>
          </w:p>
        </w:tc>
        <w:tc>
          <w:tcPr>
            <w:tcW w:w="3906" w:type="dxa"/>
            <w:vAlign w:val="center"/>
          </w:tcPr>
          <w:p w14:paraId="0E0DE007">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【】元人民币</w:t>
            </w:r>
          </w:p>
        </w:tc>
      </w:tr>
      <w:tr w14:paraId="3C599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Merge w:val="continue"/>
            <w:vAlign w:val="center"/>
          </w:tcPr>
          <w:p w14:paraId="74A0568F">
            <w:pPr>
              <w:pStyle w:val="107"/>
              <w:spacing w:before="118" w:line="560" w:lineRule="exact"/>
              <w:jc w:val="both"/>
              <w:rPr>
                <w:rFonts w:ascii="Times New Roman" w:hAnsi="Times New Roman" w:eastAsia="仿宋_GB2312" w:cs="新宋体"/>
                <w:b/>
                <w:bCs/>
                <w:sz w:val="30"/>
                <w:szCs w:val="28"/>
                <w:lang w:eastAsia="zh-CN"/>
              </w:rPr>
            </w:pPr>
          </w:p>
        </w:tc>
        <w:tc>
          <w:tcPr>
            <w:tcW w:w="1985" w:type="dxa"/>
            <w:gridSpan w:val="2"/>
            <w:vAlign w:val="center"/>
          </w:tcPr>
          <w:p w14:paraId="15DEB7AD">
            <w:pPr>
              <w:pStyle w:val="107"/>
              <w:spacing w:before="118" w:line="560" w:lineRule="exact"/>
              <w:jc w:val="both"/>
              <w:rPr>
                <w:rFonts w:ascii="Times New Roman" w:hAnsi="Times New Roman" w:eastAsia="仿宋_GB2312"/>
                <w:sz w:val="30"/>
                <w:szCs w:val="28"/>
              </w:rPr>
            </w:pPr>
            <w:r>
              <w:rPr>
                <w:rFonts w:hint="eastAsia" w:ascii="Times New Roman" w:hAnsi="Times New Roman" w:eastAsia="仿宋_GB2312" w:cs="新宋体"/>
                <w:bCs/>
                <w:sz w:val="30"/>
                <w:szCs w:val="28"/>
                <w:lang w:eastAsia="zh-CN"/>
              </w:rPr>
              <w:t>保护费支付日</w:t>
            </w:r>
          </w:p>
        </w:tc>
        <w:tc>
          <w:tcPr>
            <w:tcW w:w="3906" w:type="dxa"/>
            <w:vAlign w:val="center"/>
          </w:tcPr>
          <w:p w14:paraId="6CF3F3AF">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sz w:val="30"/>
                <w:szCs w:val="28"/>
              </w:rPr>
              <w:t>【】年【】月【】日</w:t>
            </w:r>
          </w:p>
        </w:tc>
      </w:tr>
    </w:tbl>
    <w:p w14:paraId="63DE6713">
      <w:pPr>
        <w:spacing w:before="26" w:line="560" w:lineRule="exact"/>
        <w:rPr>
          <w:rFonts w:eastAsia="仿宋_GB2312" w:cs="新宋体"/>
          <w:b/>
          <w:bCs/>
          <w:sz w:val="30"/>
          <w:szCs w:val="28"/>
        </w:rPr>
      </w:pPr>
    </w:p>
    <w:p w14:paraId="57EAC4F7">
      <w:pPr>
        <w:pStyle w:val="107"/>
        <w:spacing w:before="72" w:after="72" w:line="560" w:lineRule="exact"/>
        <w:jc w:val="both"/>
        <w:rPr>
          <w:rFonts w:ascii="Times New Roman" w:hAnsi="Times New Roman" w:eastAsia="仿宋_GB2312" w:cs="新宋体"/>
          <w:b/>
          <w:sz w:val="30"/>
          <w:szCs w:val="28"/>
          <w:lang w:eastAsia="zh-CN"/>
        </w:rPr>
      </w:pPr>
      <w:r>
        <w:rPr>
          <w:rFonts w:hint="eastAsia" w:ascii="Times New Roman" w:hAnsi="Times New Roman" w:eastAsia="仿宋_GB2312" w:cs="新宋体"/>
          <w:b/>
          <w:sz w:val="30"/>
          <w:szCs w:val="28"/>
          <w:lang w:eastAsia="zh-CN"/>
        </w:rPr>
        <w:t>四、与信用事件有关的条款</w:t>
      </w:r>
    </w:p>
    <w:p w14:paraId="041FECFE">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（一）</w:t>
      </w:r>
      <w:r>
        <w:rPr>
          <w:rFonts w:ascii="Times New Roman" w:hAnsi="Times New Roman" w:eastAsia="仿宋_GB2312" w:cs="新宋体"/>
          <w:sz w:val="30"/>
          <w:szCs w:val="28"/>
          <w:lang w:eastAsia="zh-CN"/>
        </w:rPr>
        <w:t>CDX</w:t>
      </w:r>
      <w:r>
        <w:rPr>
          <w:rFonts w:hint="eastAsia" w:ascii="Times New Roman" w:hAnsi="Times New Roman" w:eastAsia="仿宋_GB2312" w:cs="新宋体"/>
          <w:sz w:val="30"/>
          <w:szCs w:val="28"/>
          <w:lang w:eastAsia="zh-CN"/>
        </w:rPr>
        <w:t>合约</w:t>
      </w:r>
      <w:r>
        <w:rPr>
          <w:rFonts w:ascii="Times New Roman" w:hAnsi="Times New Roman" w:eastAsia="仿宋_GB2312" w:cs="新宋体"/>
          <w:sz w:val="30"/>
          <w:szCs w:val="28"/>
          <w:lang w:eastAsia="zh-CN"/>
        </w:rPr>
        <w:t>，适用</w:t>
      </w:r>
      <w:r>
        <w:rPr>
          <w:rFonts w:hint="eastAsia" w:ascii="Times New Roman" w:hAnsi="Times New Roman" w:eastAsia="仿宋_GB2312" w:cs="新宋体"/>
          <w:sz w:val="30"/>
          <w:szCs w:val="28"/>
          <w:lang w:eastAsia="zh-CN"/>
        </w:rPr>
        <w:t>短版条款</w:t>
      </w:r>
    </w:p>
    <w:tbl>
      <w:tblPr>
        <w:tblStyle w:val="4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9"/>
        <w:gridCol w:w="1806"/>
        <w:gridCol w:w="5211"/>
      </w:tblGrid>
      <w:tr w14:paraId="6D5A8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gridSpan w:val="2"/>
            <w:vAlign w:val="center"/>
          </w:tcPr>
          <w:p w14:paraId="14FB6FF5">
            <w:pPr>
              <w:pStyle w:val="107"/>
              <w:spacing w:before="16"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参考实体</w:t>
            </w:r>
          </w:p>
        </w:tc>
        <w:tc>
          <w:tcPr>
            <w:tcW w:w="5211" w:type="dxa"/>
            <w:vAlign w:val="center"/>
          </w:tcPr>
          <w:p w14:paraId="7463B1B2">
            <w:pPr>
              <w:spacing w:before="9" w:line="560" w:lineRule="exact"/>
              <w:rPr>
                <w:rFonts w:eastAsia="仿宋_GB2312" w:cs="新宋体"/>
                <w:b/>
                <w:bCs/>
                <w:kern w:val="0"/>
                <w:sz w:val="30"/>
                <w:szCs w:val="28"/>
              </w:rPr>
            </w:pPr>
            <w:r>
              <w:rPr>
                <w:rFonts w:hint="eastAsia" w:eastAsia="仿宋_GB2312" w:cs="新宋体"/>
                <w:bCs/>
                <w:sz w:val="30"/>
                <w:szCs w:val="28"/>
              </w:rPr>
              <w:t>【</w:t>
            </w:r>
            <w:r>
              <w:rPr>
                <w:rFonts w:eastAsia="仿宋_GB2312" w:cs="新宋体"/>
                <w:bCs/>
                <w:sz w:val="30"/>
                <w:szCs w:val="28"/>
              </w:rPr>
              <w:t>CSI-SSE</w:t>
            </w:r>
            <w:r>
              <w:rPr>
                <w:rFonts w:hint="eastAsia" w:eastAsia="仿宋_GB2312" w:cs="新宋体"/>
                <w:bCs/>
                <w:sz w:val="30"/>
                <w:szCs w:val="28"/>
              </w:rPr>
              <w:t>交易所大型发行人</w:t>
            </w:r>
            <w:r>
              <w:rPr>
                <w:rFonts w:eastAsia="仿宋_GB2312" w:cs="新宋体"/>
                <w:bCs/>
                <w:sz w:val="30"/>
                <w:szCs w:val="28"/>
              </w:rPr>
              <w:t>CDX</w:t>
            </w:r>
            <w:r>
              <w:rPr>
                <w:rFonts w:hint="eastAsia" w:eastAsia="仿宋_GB2312" w:cs="新宋体"/>
                <w:bCs/>
                <w:sz w:val="30"/>
                <w:szCs w:val="28"/>
              </w:rPr>
              <w:t>组合</w:t>
            </w:r>
            <w:r>
              <w:rPr>
                <w:rFonts w:eastAsia="仿宋_GB2312" w:cs="新宋体"/>
                <w:bCs/>
                <w:sz w:val="30"/>
                <w:szCs w:val="28"/>
              </w:rPr>
              <w:t>SnVn</w:t>
            </w:r>
            <w:r>
              <w:rPr>
                <w:rFonts w:hint="eastAsia" w:eastAsia="仿宋_GB2312" w:cs="新宋体"/>
                <w:bCs/>
                <w:sz w:val="30"/>
                <w:szCs w:val="28"/>
              </w:rPr>
              <w:t>】</w:t>
            </w:r>
            <w:r>
              <w:rPr>
                <w:rFonts w:eastAsia="仿宋_GB2312" w:cs="新宋体"/>
                <w:bCs/>
                <w:sz w:val="30"/>
                <w:szCs w:val="28"/>
              </w:rPr>
              <w:t>/</w:t>
            </w:r>
            <w:r>
              <w:rPr>
                <w:rFonts w:hint="eastAsia" w:eastAsia="仿宋_GB2312" w:cs="新宋体"/>
                <w:bCs/>
                <w:sz w:val="30"/>
                <w:szCs w:val="28"/>
              </w:rPr>
              <w:t>【</w:t>
            </w:r>
            <w:r>
              <w:rPr>
                <w:rFonts w:eastAsia="仿宋_GB2312" w:cs="新宋体"/>
                <w:bCs/>
                <w:sz w:val="30"/>
                <w:szCs w:val="28"/>
              </w:rPr>
              <w:t>CSI-SSE</w:t>
            </w:r>
            <w:r>
              <w:rPr>
                <w:rFonts w:hint="eastAsia" w:eastAsia="仿宋_GB2312" w:cs="新宋体"/>
                <w:bCs/>
                <w:sz w:val="30"/>
                <w:szCs w:val="28"/>
              </w:rPr>
              <w:t>交易所民企</w:t>
            </w:r>
            <w:r>
              <w:rPr>
                <w:rFonts w:eastAsia="仿宋_GB2312" w:cs="新宋体"/>
                <w:bCs/>
                <w:sz w:val="30"/>
                <w:szCs w:val="28"/>
              </w:rPr>
              <w:t>CDX</w:t>
            </w:r>
            <w:r>
              <w:rPr>
                <w:rFonts w:hint="eastAsia" w:eastAsia="仿宋_GB2312" w:cs="新宋体"/>
                <w:bCs/>
                <w:sz w:val="30"/>
                <w:szCs w:val="28"/>
              </w:rPr>
              <w:t>组合</w:t>
            </w:r>
            <w:r>
              <w:rPr>
                <w:rFonts w:eastAsia="仿宋_GB2312" w:cs="新宋体"/>
                <w:bCs/>
                <w:sz w:val="30"/>
                <w:szCs w:val="28"/>
              </w:rPr>
              <w:t>SnVn</w:t>
            </w:r>
            <w:r>
              <w:rPr>
                <w:rFonts w:hint="eastAsia" w:eastAsia="仿宋_GB2312" w:cs="新宋体"/>
                <w:bCs/>
                <w:sz w:val="30"/>
                <w:szCs w:val="28"/>
              </w:rPr>
              <w:t>】</w:t>
            </w:r>
          </w:p>
        </w:tc>
      </w:tr>
      <w:tr w14:paraId="5D05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gridSpan w:val="2"/>
            <w:vAlign w:val="center"/>
          </w:tcPr>
          <w:p w14:paraId="6CCB0795">
            <w:pPr>
              <w:pStyle w:val="107"/>
              <w:spacing w:before="16"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受保护债务范围</w:t>
            </w:r>
          </w:p>
        </w:tc>
        <w:tc>
          <w:tcPr>
            <w:tcW w:w="5211" w:type="dxa"/>
            <w:vAlign w:val="center"/>
          </w:tcPr>
          <w:p w14:paraId="5EF8A94A">
            <w:pPr>
              <w:spacing w:before="9" w:line="560" w:lineRule="exact"/>
              <w:rPr>
                <w:rFonts w:eastAsia="仿宋_GB2312" w:cs="新宋体"/>
                <w:b/>
                <w:bCs/>
                <w:sz w:val="30"/>
                <w:szCs w:val="28"/>
              </w:rPr>
            </w:pPr>
            <w:r>
              <w:rPr>
                <w:rFonts w:hint="eastAsia" w:eastAsia="仿宋_GB2312" w:cs="新宋体"/>
                <w:bCs/>
                <w:sz w:val="30"/>
                <w:szCs w:val="28"/>
              </w:rPr>
              <w:t>参考实体</w:t>
            </w:r>
            <w:r>
              <w:rPr>
                <w:rFonts w:hint="eastAsia" w:ascii="仿宋_GB2312" w:eastAsia="仿宋_GB2312"/>
                <w:kern w:val="0"/>
                <w:sz w:val="30"/>
                <w:szCs w:val="30"/>
              </w:rPr>
              <w:t>在中国境内发行并在沪深交易所上市交易或者挂牌转让的以人民币计价的公司债券和可转换公司债券</w:t>
            </w:r>
          </w:p>
        </w:tc>
      </w:tr>
      <w:tr w14:paraId="6CA1B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9" w:type="dxa"/>
            <w:vMerge w:val="restart"/>
            <w:vAlign w:val="center"/>
          </w:tcPr>
          <w:p w14:paraId="178261C1">
            <w:pPr>
              <w:spacing w:before="9" w:line="560" w:lineRule="exact"/>
              <w:rPr>
                <w:rFonts w:eastAsia="仿宋_GB2312" w:cs="新宋体"/>
                <w:kern w:val="0"/>
                <w:sz w:val="30"/>
                <w:szCs w:val="28"/>
              </w:rPr>
            </w:pPr>
            <w:r>
              <w:rPr>
                <w:rFonts w:hint="eastAsia" w:eastAsia="仿宋_GB2312" w:cs="新宋体"/>
                <w:sz w:val="30"/>
                <w:szCs w:val="28"/>
              </w:rPr>
              <w:t>信用事件类型</w:t>
            </w:r>
          </w:p>
        </w:tc>
        <w:tc>
          <w:tcPr>
            <w:tcW w:w="1806" w:type="dxa"/>
            <w:vAlign w:val="center"/>
          </w:tcPr>
          <w:p w14:paraId="3994BA4B">
            <w:pPr>
              <w:spacing w:before="9" w:line="560" w:lineRule="exact"/>
              <w:rPr>
                <w:rFonts w:eastAsia="仿宋_GB2312" w:cs="新宋体"/>
                <w:kern w:val="0"/>
                <w:sz w:val="30"/>
                <w:szCs w:val="28"/>
              </w:rPr>
            </w:pPr>
            <w:r>
              <w:rPr>
                <w:rFonts w:hint="eastAsia" w:eastAsia="仿宋_GB2312" w:cs="新宋体"/>
                <w:sz w:val="30"/>
                <w:szCs w:val="28"/>
              </w:rPr>
              <w:t>破产</w:t>
            </w:r>
          </w:p>
        </w:tc>
        <w:tc>
          <w:tcPr>
            <w:tcW w:w="5211" w:type="dxa"/>
            <w:vAlign w:val="center"/>
          </w:tcPr>
          <w:p w14:paraId="33696EC0">
            <w:pPr>
              <w:spacing w:before="9" w:line="560" w:lineRule="exact"/>
              <w:rPr>
                <w:rFonts w:eastAsia="仿宋_GB2312" w:cs="新宋体"/>
                <w:bCs/>
                <w:kern w:val="0"/>
                <w:sz w:val="30"/>
                <w:szCs w:val="28"/>
              </w:rPr>
            </w:pPr>
            <w:r>
              <w:rPr>
                <w:rFonts w:hint="eastAsia" w:eastAsia="仿宋_GB2312" w:cs="新宋体"/>
                <w:bCs/>
                <w:sz w:val="30"/>
                <w:szCs w:val="28"/>
              </w:rPr>
              <w:t>【适用】</w:t>
            </w:r>
            <w:r>
              <w:rPr>
                <w:rFonts w:eastAsia="仿宋_GB2312" w:cs="新宋体"/>
                <w:bCs/>
                <w:sz w:val="30"/>
                <w:szCs w:val="28"/>
              </w:rPr>
              <w:t>/</w:t>
            </w:r>
            <w:r>
              <w:rPr>
                <w:rFonts w:hint="eastAsia" w:eastAsia="仿宋_GB2312" w:cs="新宋体"/>
                <w:bCs/>
                <w:sz w:val="30"/>
                <w:szCs w:val="28"/>
              </w:rPr>
              <w:t>【不适用】</w:t>
            </w:r>
          </w:p>
        </w:tc>
      </w:tr>
      <w:tr w14:paraId="49328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79" w:type="dxa"/>
            <w:vMerge w:val="continue"/>
            <w:vAlign w:val="center"/>
          </w:tcPr>
          <w:p w14:paraId="0909F298">
            <w:pPr>
              <w:spacing w:before="9" w:line="560" w:lineRule="exact"/>
              <w:rPr>
                <w:rFonts w:eastAsia="仿宋_GB2312" w:cs="新宋体"/>
                <w:b/>
                <w:bCs/>
                <w:kern w:val="0"/>
                <w:sz w:val="30"/>
                <w:szCs w:val="28"/>
              </w:rPr>
            </w:pPr>
          </w:p>
        </w:tc>
        <w:tc>
          <w:tcPr>
            <w:tcW w:w="1806" w:type="dxa"/>
            <w:vAlign w:val="center"/>
          </w:tcPr>
          <w:p w14:paraId="3015184F">
            <w:pPr>
              <w:spacing w:before="9" w:line="560" w:lineRule="exact"/>
              <w:rPr>
                <w:rFonts w:eastAsia="仿宋_GB2312" w:cs="新宋体"/>
                <w:kern w:val="0"/>
                <w:sz w:val="30"/>
                <w:szCs w:val="28"/>
              </w:rPr>
            </w:pPr>
            <w:r>
              <w:rPr>
                <w:rFonts w:hint="eastAsia" w:eastAsia="仿宋_GB2312" w:cs="新宋体"/>
                <w:sz w:val="30"/>
                <w:szCs w:val="28"/>
              </w:rPr>
              <w:t>支付违约</w:t>
            </w:r>
          </w:p>
        </w:tc>
        <w:tc>
          <w:tcPr>
            <w:tcW w:w="5211" w:type="dxa"/>
            <w:vAlign w:val="center"/>
          </w:tcPr>
          <w:p w14:paraId="693DCA9D">
            <w:pPr>
              <w:spacing w:before="9" w:line="560" w:lineRule="exact"/>
              <w:rPr>
                <w:rFonts w:eastAsia="仿宋_GB2312" w:cs="新宋体"/>
                <w:bCs/>
                <w:kern w:val="0"/>
                <w:sz w:val="30"/>
                <w:szCs w:val="28"/>
              </w:rPr>
            </w:pPr>
            <w:r>
              <w:rPr>
                <w:rFonts w:hint="eastAsia" w:eastAsia="仿宋_GB2312" w:cs="新宋体"/>
                <w:bCs/>
                <w:sz w:val="30"/>
                <w:szCs w:val="28"/>
              </w:rPr>
              <w:t>【适用】</w:t>
            </w:r>
            <w:r>
              <w:rPr>
                <w:rFonts w:eastAsia="仿宋_GB2312" w:cs="新宋体"/>
                <w:bCs/>
                <w:sz w:val="30"/>
                <w:szCs w:val="28"/>
              </w:rPr>
              <w:t>/</w:t>
            </w:r>
            <w:r>
              <w:rPr>
                <w:rFonts w:hint="eastAsia" w:eastAsia="仿宋_GB2312" w:cs="新宋体"/>
                <w:bCs/>
                <w:sz w:val="30"/>
                <w:szCs w:val="28"/>
              </w:rPr>
              <w:t>【不适用】，若适用，则：</w:t>
            </w:r>
          </w:p>
          <w:p w14:paraId="524903D3">
            <w:pPr>
              <w:spacing w:before="9" w:line="560" w:lineRule="exact"/>
              <w:rPr>
                <w:rFonts w:eastAsia="仿宋_GB2312" w:cs="新宋体"/>
                <w:bCs/>
                <w:kern w:val="0"/>
                <w:sz w:val="30"/>
                <w:szCs w:val="28"/>
              </w:rPr>
            </w:pPr>
            <w:r>
              <w:rPr>
                <w:rFonts w:hint="eastAsia" w:eastAsia="仿宋_GB2312" w:cs="新宋体"/>
                <w:b/>
                <w:bCs/>
                <w:sz w:val="30"/>
                <w:szCs w:val="28"/>
              </w:rPr>
              <w:t>起点金额：</w:t>
            </w:r>
            <w:r>
              <w:rPr>
                <w:rFonts w:hint="eastAsia" w:eastAsia="仿宋_GB2312" w:cs="新宋体"/>
                <w:bCs/>
                <w:sz w:val="30"/>
                <w:szCs w:val="28"/>
              </w:rPr>
              <w:t>【】万元人民币或其等值金额</w:t>
            </w:r>
          </w:p>
          <w:p w14:paraId="2A0EE3E4">
            <w:pPr>
              <w:spacing w:before="9" w:line="560" w:lineRule="exact"/>
              <w:rPr>
                <w:rFonts w:eastAsia="仿宋_GB2312" w:cs="新宋体"/>
                <w:b/>
                <w:kern w:val="0"/>
                <w:sz w:val="30"/>
                <w:szCs w:val="28"/>
              </w:rPr>
            </w:pPr>
            <w:r>
              <w:rPr>
                <w:rFonts w:hint="eastAsia" w:eastAsia="仿宋_GB2312" w:cs="新宋体"/>
                <w:b/>
                <w:bCs/>
                <w:sz w:val="30"/>
                <w:szCs w:val="28"/>
              </w:rPr>
              <w:t>宽限期：</w:t>
            </w:r>
            <w:r>
              <w:rPr>
                <w:rFonts w:hint="eastAsia" w:eastAsia="仿宋_GB2312" w:cs="新宋体"/>
                <w:bCs/>
                <w:sz w:val="30"/>
                <w:szCs w:val="28"/>
              </w:rPr>
              <w:t>【】个</w:t>
            </w:r>
            <w:r>
              <w:rPr>
                <w:rFonts w:hint="eastAsia" w:eastAsia="仿宋_GB2312" w:cs="新宋体"/>
                <w:b/>
                <w:sz w:val="30"/>
                <w:szCs w:val="28"/>
              </w:rPr>
              <w:t>交易日</w:t>
            </w:r>
          </w:p>
          <w:p w14:paraId="5B1DFC74">
            <w:pPr>
              <w:spacing w:before="9" w:line="560" w:lineRule="exact"/>
              <w:rPr>
                <w:rFonts w:eastAsia="仿宋_GB2312" w:cs="新宋体"/>
                <w:bCs/>
                <w:kern w:val="0"/>
                <w:sz w:val="30"/>
                <w:szCs w:val="28"/>
              </w:rPr>
            </w:pPr>
            <w:r>
              <w:rPr>
                <w:rFonts w:hint="eastAsia" w:eastAsia="仿宋_GB2312" w:cs="新宋体"/>
                <w:b/>
                <w:sz w:val="30"/>
                <w:szCs w:val="28"/>
              </w:rPr>
              <w:t>宽限期顺延</w:t>
            </w:r>
            <w:r>
              <w:rPr>
                <w:rFonts w:hint="eastAsia" w:eastAsia="仿宋_GB2312" w:cs="新宋体"/>
                <w:bCs/>
                <w:sz w:val="30"/>
                <w:szCs w:val="28"/>
              </w:rPr>
              <w:t>：【适用】</w:t>
            </w:r>
            <w:r>
              <w:rPr>
                <w:rFonts w:eastAsia="仿宋_GB2312" w:cs="新宋体"/>
                <w:bCs/>
                <w:sz w:val="30"/>
                <w:szCs w:val="28"/>
              </w:rPr>
              <w:t>/</w:t>
            </w:r>
            <w:r>
              <w:rPr>
                <w:rFonts w:hint="eastAsia" w:eastAsia="仿宋_GB2312" w:cs="新宋体"/>
                <w:bCs/>
                <w:sz w:val="30"/>
                <w:szCs w:val="28"/>
              </w:rPr>
              <w:t>【不适用】</w:t>
            </w:r>
          </w:p>
        </w:tc>
      </w:tr>
    </w:tbl>
    <w:p w14:paraId="02F983A5">
      <w:pPr>
        <w:pStyle w:val="107"/>
        <w:spacing w:before="72" w:after="72" w:line="560" w:lineRule="exact"/>
        <w:jc w:val="both"/>
        <w:rPr>
          <w:rFonts w:ascii="Times New Roman" w:hAnsi="Times New Roman" w:eastAsia="仿宋_GB2312" w:cs="新宋体"/>
          <w:b/>
          <w:sz w:val="30"/>
          <w:szCs w:val="28"/>
          <w:lang w:eastAsia="zh-CN"/>
        </w:rPr>
      </w:pPr>
      <w:r>
        <w:rPr>
          <w:rFonts w:hint="eastAsia" w:ascii="Times New Roman" w:hAnsi="Times New Roman" w:eastAsia="仿宋_GB2312" w:cs="新宋体"/>
          <w:sz w:val="30"/>
          <w:szCs w:val="28"/>
          <w:lang w:eastAsia="zh-CN"/>
        </w:rPr>
        <w:t>（二）除CDX外的合约</w:t>
      </w:r>
      <w:r>
        <w:rPr>
          <w:rFonts w:ascii="Times New Roman" w:hAnsi="Times New Roman" w:eastAsia="仿宋_GB2312" w:cs="新宋体"/>
          <w:sz w:val="30"/>
          <w:szCs w:val="28"/>
          <w:lang w:eastAsia="zh-CN"/>
        </w:rPr>
        <w:t>，适用长版条款</w:t>
      </w:r>
    </w:p>
    <w:tbl>
      <w:tblPr>
        <w:tblStyle w:val="4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9"/>
        <w:gridCol w:w="1806"/>
        <w:gridCol w:w="5211"/>
      </w:tblGrid>
      <w:tr w14:paraId="25740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gridSpan w:val="2"/>
            <w:vAlign w:val="center"/>
          </w:tcPr>
          <w:p w14:paraId="5DAD8B2A">
            <w:pPr>
              <w:pStyle w:val="107"/>
              <w:spacing w:before="16"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参考实体</w:t>
            </w:r>
          </w:p>
        </w:tc>
        <w:tc>
          <w:tcPr>
            <w:tcW w:w="5211" w:type="dxa"/>
            <w:vAlign w:val="center"/>
          </w:tcPr>
          <w:p w14:paraId="285AFA3E">
            <w:pPr>
              <w:spacing w:before="9" w:line="560" w:lineRule="exact"/>
              <w:rPr>
                <w:rFonts w:eastAsia="仿宋_GB2312" w:cs="新宋体"/>
                <w:b/>
                <w:bCs/>
                <w:kern w:val="0"/>
                <w:sz w:val="30"/>
                <w:szCs w:val="28"/>
              </w:rPr>
            </w:pPr>
            <w:r>
              <w:rPr>
                <w:rFonts w:hint="eastAsia" w:eastAsia="仿宋_GB2312" w:cs="新宋体"/>
                <w:bCs/>
                <w:sz w:val="30"/>
                <w:szCs w:val="28"/>
              </w:rPr>
              <w:t>【】</w:t>
            </w:r>
          </w:p>
        </w:tc>
      </w:tr>
      <w:tr w14:paraId="02898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gridSpan w:val="2"/>
            <w:vAlign w:val="center"/>
          </w:tcPr>
          <w:p w14:paraId="637871F6">
            <w:pPr>
              <w:pStyle w:val="107"/>
              <w:spacing w:before="16"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受保护债务种类</w:t>
            </w:r>
          </w:p>
        </w:tc>
        <w:tc>
          <w:tcPr>
            <w:tcW w:w="5211" w:type="dxa"/>
            <w:vAlign w:val="center"/>
          </w:tcPr>
          <w:p w14:paraId="64D967B4">
            <w:pPr>
              <w:spacing w:before="9" w:line="560" w:lineRule="exact"/>
              <w:rPr>
                <w:rFonts w:eastAsia="仿宋_GB2312" w:cs="新宋体"/>
                <w:b/>
                <w:bCs/>
                <w:sz w:val="30"/>
                <w:szCs w:val="28"/>
              </w:rPr>
            </w:pPr>
            <w:r>
              <w:rPr>
                <w:rFonts w:hint="eastAsia" w:eastAsia="仿宋_GB2312" w:cs="新宋体"/>
                <w:bCs/>
                <w:sz w:val="30"/>
                <w:szCs w:val="28"/>
              </w:rPr>
              <w:t>【付款义务】、【借贷款项】、【债券】、【贷款】、【公司债（不含企业债）】、【可转债】、【企业债】、【资产支持证券】、【仅为参考债务】（可多选，取勾选项的最大范围作为债务种类）</w:t>
            </w:r>
          </w:p>
        </w:tc>
      </w:tr>
      <w:tr w14:paraId="75F51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gridSpan w:val="2"/>
            <w:vAlign w:val="center"/>
          </w:tcPr>
          <w:p w14:paraId="64D70C32">
            <w:pPr>
              <w:spacing w:before="9" w:line="560" w:lineRule="exact"/>
              <w:rPr>
                <w:rFonts w:eastAsia="仿宋_GB2312" w:cs="新宋体"/>
                <w:kern w:val="0"/>
                <w:sz w:val="30"/>
                <w:szCs w:val="28"/>
              </w:rPr>
            </w:pPr>
            <w:r>
              <w:rPr>
                <w:rFonts w:hint="eastAsia" w:eastAsia="仿宋_GB2312" w:cs="新宋体"/>
                <w:sz w:val="30"/>
                <w:szCs w:val="28"/>
              </w:rPr>
              <w:t>受保护债务特征</w:t>
            </w:r>
          </w:p>
        </w:tc>
        <w:tc>
          <w:tcPr>
            <w:tcW w:w="5211" w:type="dxa"/>
            <w:vAlign w:val="center"/>
          </w:tcPr>
          <w:p w14:paraId="0785DAC1">
            <w:pPr>
              <w:spacing w:before="9" w:line="560" w:lineRule="exact"/>
              <w:rPr>
                <w:rFonts w:eastAsia="仿宋_GB2312" w:cs="新宋体"/>
                <w:bCs/>
                <w:kern w:val="0"/>
                <w:sz w:val="30"/>
                <w:szCs w:val="28"/>
              </w:rPr>
            </w:pPr>
            <w:r>
              <w:rPr>
                <w:rFonts w:hint="eastAsia" w:eastAsia="仿宋_GB2312" w:cs="新宋体"/>
                <w:sz w:val="30"/>
                <w:szCs w:val="28"/>
              </w:rPr>
              <w:t>【</w:t>
            </w:r>
            <w:r>
              <w:rPr>
                <w:rFonts w:hint="eastAsia" w:eastAsia="仿宋_GB2312" w:cs="新宋体"/>
                <w:bCs/>
                <w:sz w:val="30"/>
                <w:szCs w:val="28"/>
              </w:rPr>
              <w:t>一般债务</w:t>
            </w:r>
            <w:r>
              <w:rPr>
                <w:rFonts w:hint="eastAsia" w:eastAsia="仿宋_GB2312" w:cs="新宋体"/>
                <w:sz w:val="30"/>
                <w:szCs w:val="28"/>
              </w:rPr>
              <w:t>】、【次级债务】、【</w:t>
            </w:r>
            <w:r>
              <w:rPr>
                <w:rFonts w:hint="eastAsia" w:eastAsia="仿宋_GB2312" w:cs="新宋体"/>
                <w:bCs/>
                <w:sz w:val="30"/>
                <w:szCs w:val="28"/>
              </w:rPr>
              <w:t>交易流通</w:t>
            </w:r>
            <w:r>
              <w:rPr>
                <w:rFonts w:hint="eastAsia" w:eastAsia="仿宋_GB2312" w:cs="新宋体"/>
                <w:sz w:val="30"/>
                <w:szCs w:val="28"/>
              </w:rPr>
              <w:t>】、【</w:t>
            </w:r>
            <w:r>
              <w:rPr>
                <w:rFonts w:hint="eastAsia" w:eastAsia="仿宋_GB2312" w:cs="新宋体"/>
                <w:bCs/>
                <w:sz w:val="30"/>
                <w:szCs w:val="28"/>
              </w:rPr>
              <w:t>本币</w:t>
            </w:r>
            <w:r>
              <w:rPr>
                <w:rFonts w:hint="eastAsia" w:eastAsia="仿宋_GB2312" w:cs="新宋体"/>
                <w:sz w:val="30"/>
                <w:szCs w:val="28"/>
              </w:rPr>
              <w:t>】、【外币】、【其他：</w:t>
            </w:r>
            <w:r>
              <w:rPr>
                <w:rFonts w:eastAsia="仿宋_GB2312" w:cs="新宋体"/>
                <w:sz w:val="30"/>
                <w:szCs w:val="28"/>
              </w:rPr>
              <w:t xml:space="preserve">   </w:t>
            </w:r>
            <w:r>
              <w:rPr>
                <w:rFonts w:hint="eastAsia" w:eastAsia="仿宋_GB2312" w:cs="新宋体"/>
                <w:sz w:val="30"/>
                <w:szCs w:val="28"/>
              </w:rPr>
              <w:t>】（可多选）</w:t>
            </w:r>
          </w:p>
        </w:tc>
      </w:tr>
      <w:tr w14:paraId="40328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85" w:type="dxa"/>
            <w:gridSpan w:val="2"/>
            <w:vAlign w:val="center"/>
          </w:tcPr>
          <w:p w14:paraId="2BD2EAD5">
            <w:pPr>
              <w:spacing w:before="9" w:line="560" w:lineRule="exact"/>
              <w:rPr>
                <w:rFonts w:eastAsia="仿宋_GB2312" w:cs="新宋体"/>
                <w:kern w:val="0"/>
                <w:sz w:val="30"/>
                <w:szCs w:val="28"/>
              </w:rPr>
            </w:pPr>
            <w:r>
              <w:rPr>
                <w:rFonts w:hint="eastAsia" w:eastAsia="仿宋_GB2312" w:cs="新宋体"/>
                <w:sz w:val="30"/>
                <w:szCs w:val="28"/>
              </w:rPr>
              <w:t>参考债务</w:t>
            </w:r>
          </w:p>
        </w:tc>
        <w:tc>
          <w:tcPr>
            <w:tcW w:w="5211" w:type="dxa"/>
            <w:vAlign w:val="center"/>
          </w:tcPr>
          <w:p w14:paraId="6CB3CDB3">
            <w:pPr>
              <w:spacing w:before="9" w:line="560" w:lineRule="exact"/>
              <w:rPr>
                <w:rFonts w:eastAsia="仿宋_GB2312" w:cs="新宋体"/>
                <w:b/>
                <w:bCs/>
                <w:kern w:val="0"/>
                <w:sz w:val="30"/>
                <w:szCs w:val="28"/>
              </w:rPr>
            </w:pPr>
            <w:r>
              <w:rPr>
                <w:rFonts w:hint="eastAsia" w:eastAsia="仿宋_GB2312" w:cs="新宋体"/>
                <w:sz w:val="30"/>
                <w:szCs w:val="28"/>
              </w:rPr>
              <w:t>【】</w:t>
            </w:r>
          </w:p>
        </w:tc>
      </w:tr>
      <w:tr w14:paraId="57E6D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85" w:type="dxa"/>
            <w:gridSpan w:val="2"/>
          </w:tcPr>
          <w:p w14:paraId="22ED765B">
            <w:pPr>
              <w:spacing w:before="9" w:line="560" w:lineRule="exact"/>
              <w:rPr>
                <w:rFonts w:eastAsia="仿宋_GB2312" w:cs="新宋体"/>
                <w:kern w:val="0"/>
                <w:sz w:val="30"/>
                <w:szCs w:val="28"/>
              </w:rPr>
            </w:pPr>
            <w:r>
              <w:rPr>
                <w:rFonts w:hint="eastAsia" w:eastAsia="仿宋_GB2312" w:cs="新宋体"/>
                <w:sz w:val="30"/>
                <w:szCs w:val="28"/>
              </w:rPr>
              <w:t>参考债务证券代码</w:t>
            </w:r>
          </w:p>
        </w:tc>
        <w:tc>
          <w:tcPr>
            <w:tcW w:w="5211" w:type="dxa"/>
          </w:tcPr>
          <w:p w14:paraId="666A842A">
            <w:pPr>
              <w:spacing w:before="9" w:line="560" w:lineRule="exact"/>
              <w:rPr>
                <w:rFonts w:eastAsia="仿宋_GB2312" w:cs="新宋体"/>
                <w:kern w:val="0"/>
                <w:sz w:val="30"/>
                <w:szCs w:val="28"/>
              </w:rPr>
            </w:pPr>
            <w:r>
              <w:rPr>
                <w:rFonts w:hint="eastAsia" w:eastAsia="仿宋_GB2312" w:cs="新宋体"/>
                <w:sz w:val="30"/>
                <w:szCs w:val="28"/>
              </w:rPr>
              <w:t>【】</w:t>
            </w:r>
          </w:p>
        </w:tc>
      </w:tr>
      <w:tr w14:paraId="7A109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9" w:type="dxa"/>
            <w:vMerge w:val="restart"/>
            <w:vAlign w:val="center"/>
          </w:tcPr>
          <w:p w14:paraId="1C2E27DE">
            <w:pPr>
              <w:spacing w:before="9" w:line="560" w:lineRule="exact"/>
              <w:rPr>
                <w:rFonts w:eastAsia="仿宋_GB2312" w:cs="新宋体"/>
                <w:kern w:val="0"/>
                <w:sz w:val="30"/>
                <w:szCs w:val="28"/>
              </w:rPr>
            </w:pPr>
            <w:r>
              <w:rPr>
                <w:rFonts w:hint="eastAsia" w:eastAsia="仿宋_GB2312" w:cs="新宋体"/>
                <w:sz w:val="30"/>
                <w:szCs w:val="28"/>
              </w:rPr>
              <w:t>信用事件类型</w:t>
            </w:r>
          </w:p>
        </w:tc>
        <w:tc>
          <w:tcPr>
            <w:tcW w:w="1806" w:type="dxa"/>
            <w:vAlign w:val="center"/>
          </w:tcPr>
          <w:p w14:paraId="0A4844F4">
            <w:pPr>
              <w:spacing w:before="9" w:line="560" w:lineRule="exact"/>
              <w:rPr>
                <w:rFonts w:eastAsia="仿宋_GB2312" w:cs="新宋体"/>
                <w:kern w:val="0"/>
                <w:sz w:val="30"/>
                <w:szCs w:val="28"/>
              </w:rPr>
            </w:pPr>
            <w:r>
              <w:rPr>
                <w:rFonts w:hint="eastAsia" w:eastAsia="仿宋_GB2312" w:cs="新宋体"/>
                <w:sz w:val="30"/>
                <w:szCs w:val="28"/>
              </w:rPr>
              <w:t>破产</w:t>
            </w:r>
          </w:p>
        </w:tc>
        <w:tc>
          <w:tcPr>
            <w:tcW w:w="5211" w:type="dxa"/>
            <w:vAlign w:val="center"/>
          </w:tcPr>
          <w:p w14:paraId="769E72CB">
            <w:pPr>
              <w:spacing w:before="9" w:line="560" w:lineRule="exact"/>
              <w:rPr>
                <w:rFonts w:eastAsia="仿宋_GB2312" w:cs="新宋体"/>
                <w:bCs/>
                <w:kern w:val="0"/>
                <w:sz w:val="30"/>
                <w:szCs w:val="28"/>
              </w:rPr>
            </w:pPr>
            <w:r>
              <w:rPr>
                <w:rFonts w:hint="eastAsia" w:eastAsia="仿宋_GB2312" w:cs="新宋体"/>
                <w:bCs/>
                <w:sz w:val="30"/>
                <w:szCs w:val="28"/>
              </w:rPr>
              <w:t>【适用】</w:t>
            </w:r>
            <w:r>
              <w:rPr>
                <w:rFonts w:eastAsia="仿宋_GB2312" w:cs="新宋体"/>
                <w:bCs/>
                <w:sz w:val="30"/>
                <w:szCs w:val="28"/>
              </w:rPr>
              <w:t>/</w:t>
            </w:r>
            <w:r>
              <w:rPr>
                <w:rFonts w:hint="eastAsia" w:eastAsia="仿宋_GB2312" w:cs="新宋体"/>
                <w:bCs/>
                <w:sz w:val="30"/>
                <w:szCs w:val="28"/>
              </w:rPr>
              <w:t>【不适用】</w:t>
            </w:r>
          </w:p>
        </w:tc>
      </w:tr>
      <w:tr w14:paraId="58DB3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9" w:type="dxa"/>
            <w:vMerge w:val="continue"/>
            <w:vAlign w:val="center"/>
          </w:tcPr>
          <w:p w14:paraId="7F7D4EEC">
            <w:pPr>
              <w:spacing w:before="9" w:line="560" w:lineRule="exact"/>
              <w:rPr>
                <w:rFonts w:eastAsia="仿宋_GB2312" w:cs="新宋体"/>
                <w:b/>
                <w:bCs/>
                <w:kern w:val="0"/>
                <w:sz w:val="30"/>
                <w:szCs w:val="28"/>
              </w:rPr>
            </w:pPr>
          </w:p>
        </w:tc>
        <w:tc>
          <w:tcPr>
            <w:tcW w:w="1806" w:type="dxa"/>
            <w:vAlign w:val="center"/>
          </w:tcPr>
          <w:p w14:paraId="49FEA406">
            <w:pPr>
              <w:spacing w:before="9" w:line="560" w:lineRule="exact"/>
              <w:rPr>
                <w:rFonts w:eastAsia="仿宋_GB2312" w:cs="新宋体"/>
                <w:kern w:val="0"/>
                <w:sz w:val="30"/>
                <w:szCs w:val="28"/>
              </w:rPr>
            </w:pPr>
            <w:r>
              <w:rPr>
                <w:rFonts w:hint="eastAsia" w:eastAsia="仿宋_GB2312" w:cs="新宋体"/>
                <w:sz w:val="30"/>
                <w:szCs w:val="28"/>
              </w:rPr>
              <w:t>支付违约</w:t>
            </w:r>
          </w:p>
        </w:tc>
        <w:tc>
          <w:tcPr>
            <w:tcW w:w="5211" w:type="dxa"/>
            <w:vAlign w:val="center"/>
          </w:tcPr>
          <w:p w14:paraId="255FE541">
            <w:pPr>
              <w:spacing w:before="9" w:line="560" w:lineRule="exact"/>
              <w:rPr>
                <w:rFonts w:eastAsia="仿宋_GB2312" w:cs="新宋体"/>
                <w:bCs/>
                <w:kern w:val="0"/>
                <w:sz w:val="30"/>
                <w:szCs w:val="28"/>
              </w:rPr>
            </w:pPr>
            <w:r>
              <w:rPr>
                <w:rFonts w:hint="eastAsia" w:eastAsia="仿宋_GB2312" w:cs="新宋体"/>
                <w:bCs/>
                <w:sz w:val="30"/>
                <w:szCs w:val="28"/>
              </w:rPr>
              <w:t>【适用】</w:t>
            </w:r>
            <w:r>
              <w:rPr>
                <w:rFonts w:eastAsia="仿宋_GB2312" w:cs="新宋体"/>
                <w:bCs/>
                <w:sz w:val="30"/>
                <w:szCs w:val="28"/>
              </w:rPr>
              <w:t>/</w:t>
            </w:r>
            <w:r>
              <w:rPr>
                <w:rFonts w:hint="eastAsia" w:eastAsia="仿宋_GB2312" w:cs="新宋体"/>
                <w:bCs/>
                <w:sz w:val="30"/>
                <w:szCs w:val="28"/>
              </w:rPr>
              <w:t>【不适用】，若适用，则：</w:t>
            </w:r>
          </w:p>
          <w:p w14:paraId="5C104775">
            <w:pPr>
              <w:spacing w:before="9" w:line="560" w:lineRule="exact"/>
              <w:rPr>
                <w:rFonts w:eastAsia="仿宋_GB2312" w:cs="新宋体"/>
                <w:bCs/>
                <w:kern w:val="0"/>
                <w:sz w:val="30"/>
                <w:szCs w:val="28"/>
              </w:rPr>
            </w:pPr>
            <w:r>
              <w:rPr>
                <w:rFonts w:hint="eastAsia" w:eastAsia="仿宋_GB2312" w:cs="新宋体"/>
                <w:b/>
                <w:bCs/>
                <w:sz w:val="30"/>
                <w:szCs w:val="28"/>
              </w:rPr>
              <w:t>起点金额：</w:t>
            </w:r>
            <w:r>
              <w:rPr>
                <w:rFonts w:hint="eastAsia" w:eastAsia="仿宋_GB2312" w:cs="新宋体"/>
                <w:bCs/>
                <w:sz w:val="30"/>
                <w:szCs w:val="28"/>
              </w:rPr>
              <w:t>【】万元人民币或其等值金额</w:t>
            </w:r>
          </w:p>
          <w:p w14:paraId="6A2E7EE6">
            <w:pPr>
              <w:spacing w:before="9" w:line="560" w:lineRule="exact"/>
              <w:rPr>
                <w:rFonts w:eastAsia="仿宋_GB2312" w:cs="新宋体"/>
                <w:b/>
                <w:kern w:val="0"/>
                <w:sz w:val="30"/>
                <w:szCs w:val="28"/>
              </w:rPr>
            </w:pPr>
            <w:r>
              <w:rPr>
                <w:rFonts w:hint="eastAsia" w:eastAsia="仿宋_GB2312" w:cs="新宋体"/>
                <w:b/>
                <w:bCs/>
                <w:sz w:val="30"/>
                <w:szCs w:val="28"/>
              </w:rPr>
              <w:t>宽限期：</w:t>
            </w:r>
            <w:r>
              <w:rPr>
                <w:rFonts w:hint="eastAsia" w:eastAsia="仿宋_GB2312" w:cs="新宋体"/>
                <w:bCs/>
                <w:sz w:val="30"/>
                <w:szCs w:val="28"/>
              </w:rPr>
              <w:t>【】个</w:t>
            </w:r>
            <w:r>
              <w:rPr>
                <w:rFonts w:hint="eastAsia" w:eastAsia="仿宋_GB2312" w:cs="新宋体"/>
                <w:b/>
                <w:sz w:val="30"/>
                <w:szCs w:val="28"/>
              </w:rPr>
              <w:t>交易日</w:t>
            </w:r>
          </w:p>
          <w:p w14:paraId="03895B8B">
            <w:pPr>
              <w:spacing w:before="9" w:line="560" w:lineRule="exact"/>
              <w:rPr>
                <w:rFonts w:eastAsia="仿宋_GB2312" w:cs="新宋体"/>
                <w:bCs/>
                <w:kern w:val="0"/>
                <w:sz w:val="30"/>
                <w:szCs w:val="28"/>
              </w:rPr>
            </w:pPr>
            <w:r>
              <w:rPr>
                <w:rFonts w:hint="eastAsia" w:eastAsia="仿宋_GB2312" w:cs="新宋体"/>
                <w:b/>
                <w:sz w:val="30"/>
                <w:szCs w:val="28"/>
              </w:rPr>
              <w:t>宽限期顺延</w:t>
            </w:r>
            <w:r>
              <w:rPr>
                <w:rFonts w:hint="eastAsia" w:eastAsia="仿宋_GB2312" w:cs="新宋体"/>
                <w:bCs/>
                <w:sz w:val="30"/>
                <w:szCs w:val="28"/>
              </w:rPr>
              <w:t>：【适用】</w:t>
            </w:r>
            <w:r>
              <w:rPr>
                <w:rFonts w:eastAsia="仿宋_GB2312" w:cs="新宋体"/>
                <w:bCs/>
                <w:sz w:val="30"/>
                <w:szCs w:val="28"/>
              </w:rPr>
              <w:t>/</w:t>
            </w:r>
            <w:r>
              <w:rPr>
                <w:rFonts w:hint="eastAsia" w:eastAsia="仿宋_GB2312" w:cs="新宋体"/>
                <w:bCs/>
                <w:sz w:val="30"/>
                <w:szCs w:val="28"/>
              </w:rPr>
              <w:t>【不适用】</w:t>
            </w:r>
          </w:p>
        </w:tc>
      </w:tr>
      <w:tr w14:paraId="68125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279" w:type="dxa"/>
            <w:vMerge w:val="continue"/>
            <w:vAlign w:val="center"/>
          </w:tcPr>
          <w:p w14:paraId="6D57C505">
            <w:pPr>
              <w:spacing w:before="9" w:line="560" w:lineRule="exact"/>
              <w:rPr>
                <w:rFonts w:eastAsia="仿宋_GB2312" w:cs="新宋体"/>
                <w:b/>
                <w:bCs/>
                <w:kern w:val="0"/>
                <w:sz w:val="30"/>
                <w:szCs w:val="28"/>
              </w:rPr>
            </w:pPr>
          </w:p>
        </w:tc>
        <w:tc>
          <w:tcPr>
            <w:tcW w:w="1806" w:type="dxa"/>
            <w:vAlign w:val="center"/>
          </w:tcPr>
          <w:p w14:paraId="18E9B94B">
            <w:pPr>
              <w:spacing w:before="9" w:line="560" w:lineRule="exact"/>
              <w:rPr>
                <w:rFonts w:eastAsia="仿宋_GB2312" w:cs="新宋体"/>
                <w:kern w:val="0"/>
                <w:sz w:val="30"/>
                <w:szCs w:val="28"/>
              </w:rPr>
            </w:pPr>
            <w:r>
              <w:rPr>
                <w:rFonts w:hint="eastAsia" w:eastAsia="仿宋_GB2312" w:cs="新宋体"/>
                <w:sz w:val="30"/>
                <w:szCs w:val="28"/>
              </w:rPr>
              <w:t>债务重组</w:t>
            </w:r>
          </w:p>
        </w:tc>
        <w:tc>
          <w:tcPr>
            <w:tcW w:w="5211" w:type="dxa"/>
            <w:vAlign w:val="center"/>
          </w:tcPr>
          <w:p w14:paraId="383FD60C">
            <w:pPr>
              <w:spacing w:before="9" w:line="560" w:lineRule="exact"/>
              <w:rPr>
                <w:rFonts w:eastAsia="仿宋_GB2312" w:cs="新宋体"/>
                <w:bCs/>
                <w:kern w:val="0"/>
                <w:sz w:val="30"/>
                <w:szCs w:val="28"/>
              </w:rPr>
            </w:pPr>
            <w:r>
              <w:rPr>
                <w:rFonts w:hint="eastAsia" w:eastAsia="仿宋_GB2312" w:cs="新宋体"/>
                <w:bCs/>
                <w:sz w:val="30"/>
                <w:szCs w:val="28"/>
              </w:rPr>
              <w:t>【适用】</w:t>
            </w:r>
            <w:r>
              <w:rPr>
                <w:rFonts w:eastAsia="仿宋_GB2312" w:cs="新宋体"/>
                <w:bCs/>
                <w:sz w:val="30"/>
                <w:szCs w:val="28"/>
              </w:rPr>
              <w:t>/</w:t>
            </w:r>
            <w:r>
              <w:rPr>
                <w:rFonts w:hint="eastAsia" w:eastAsia="仿宋_GB2312" w:cs="新宋体"/>
                <w:bCs/>
                <w:sz w:val="30"/>
                <w:szCs w:val="28"/>
              </w:rPr>
              <w:t>【不适用】，若适用，则：</w:t>
            </w:r>
          </w:p>
          <w:p w14:paraId="60B1FD23">
            <w:pPr>
              <w:spacing w:before="9" w:line="560" w:lineRule="exact"/>
              <w:rPr>
                <w:rFonts w:eastAsia="仿宋_GB2312" w:cs="新宋体"/>
                <w:bCs/>
                <w:kern w:val="0"/>
                <w:sz w:val="30"/>
                <w:szCs w:val="28"/>
              </w:rPr>
            </w:pPr>
            <w:r>
              <w:rPr>
                <w:rFonts w:hint="eastAsia" w:eastAsia="仿宋_GB2312" w:cs="新宋体"/>
                <w:b/>
                <w:bCs/>
                <w:sz w:val="30"/>
                <w:szCs w:val="28"/>
              </w:rPr>
              <w:t>起点金额：</w:t>
            </w:r>
            <w:r>
              <w:rPr>
                <w:rFonts w:hint="eastAsia" w:eastAsia="仿宋_GB2312" w:cs="新宋体"/>
                <w:bCs/>
                <w:sz w:val="30"/>
                <w:szCs w:val="28"/>
              </w:rPr>
              <w:t>【】万元人民币或其等值金额</w:t>
            </w:r>
          </w:p>
          <w:p w14:paraId="52CDF12C">
            <w:pPr>
              <w:spacing w:before="9" w:line="560" w:lineRule="exact"/>
              <w:rPr>
                <w:rFonts w:eastAsia="仿宋_GB2312" w:cs="新宋体"/>
                <w:bCs/>
                <w:sz w:val="30"/>
                <w:szCs w:val="28"/>
              </w:rPr>
            </w:pPr>
            <w:r>
              <w:rPr>
                <w:rFonts w:hint="eastAsia" w:eastAsia="仿宋_GB2312" w:cs="新宋体"/>
                <w:b/>
                <w:bCs/>
                <w:sz w:val="30"/>
                <w:szCs w:val="28"/>
              </w:rPr>
              <w:t>所涉债务最小持有人数</w:t>
            </w:r>
            <w:r>
              <w:rPr>
                <w:rFonts w:hint="eastAsia" w:eastAsia="仿宋_GB2312" w:cs="新宋体"/>
                <w:bCs/>
                <w:sz w:val="30"/>
                <w:szCs w:val="28"/>
              </w:rPr>
              <w:t>【】</w:t>
            </w:r>
          </w:p>
        </w:tc>
      </w:tr>
    </w:tbl>
    <w:p w14:paraId="0820EA51">
      <w:pPr>
        <w:pStyle w:val="107"/>
        <w:spacing w:before="118" w:line="560" w:lineRule="exact"/>
        <w:jc w:val="both"/>
        <w:rPr>
          <w:rFonts w:ascii="Times New Roman" w:hAnsi="Times New Roman" w:eastAsia="仿宋_GB2312" w:cs="新宋体"/>
          <w:sz w:val="30"/>
          <w:szCs w:val="28"/>
          <w:lang w:eastAsia="zh-CN"/>
        </w:rPr>
      </w:pPr>
    </w:p>
    <w:p w14:paraId="0328D488">
      <w:pPr>
        <w:spacing w:before="72" w:after="72" w:line="560" w:lineRule="exact"/>
        <w:rPr>
          <w:rFonts w:eastAsia="仿宋_GB2312"/>
          <w:b/>
          <w:kern w:val="0"/>
          <w:sz w:val="30"/>
          <w:szCs w:val="28"/>
        </w:rPr>
      </w:pPr>
      <w:r>
        <w:rPr>
          <w:rFonts w:hint="eastAsia" w:eastAsia="仿宋_GB2312"/>
          <w:b/>
          <w:kern w:val="0"/>
          <w:sz w:val="30"/>
          <w:szCs w:val="28"/>
        </w:rPr>
        <w:t>五、与结算有关的条款</w:t>
      </w:r>
    </w:p>
    <w:tbl>
      <w:tblPr>
        <w:tblStyle w:val="4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523"/>
        <w:gridCol w:w="4899"/>
        <w:gridCol w:w="28"/>
      </w:tblGrid>
      <w:tr w14:paraId="1B11C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vAlign w:val="center"/>
          </w:tcPr>
          <w:p w14:paraId="000ABD74">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结算条件</w:t>
            </w:r>
          </w:p>
        </w:tc>
        <w:tc>
          <w:tcPr>
            <w:tcW w:w="2523" w:type="dxa"/>
            <w:vAlign w:val="center"/>
          </w:tcPr>
          <w:p w14:paraId="1790E3A3">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信用事件通知书</w:t>
            </w:r>
          </w:p>
        </w:tc>
        <w:tc>
          <w:tcPr>
            <w:tcW w:w="4927" w:type="dxa"/>
            <w:gridSpan w:val="2"/>
          </w:tcPr>
          <w:p w14:paraId="58A4CD4D">
            <w:pPr>
              <w:pStyle w:val="107"/>
              <w:spacing w:before="16" w:line="560" w:lineRule="exact"/>
              <w:ind w:right="125"/>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通知方为以下第【】项：</w:t>
            </w:r>
            <w:r>
              <w:rPr>
                <w:rFonts w:ascii="Times New Roman" w:hAnsi="Times New Roman" w:eastAsia="仿宋_GB2312" w:cs="新宋体"/>
                <w:sz w:val="30"/>
                <w:szCs w:val="28"/>
                <w:lang w:eastAsia="zh-CN"/>
              </w:rPr>
              <w:t xml:space="preserve"> </w:t>
            </w:r>
          </w:p>
          <w:p w14:paraId="381D942F">
            <w:pPr>
              <w:pStyle w:val="107"/>
              <w:numPr>
                <w:ilvl w:val="0"/>
                <w:numId w:val="28"/>
              </w:numPr>
              <w:spacing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b/>
                <w:sz w:val="30"/>
                <w:szCs w:val="28"/>
                <w:lang w:eastAsia="zh-CN"/>
              </w:rPr>
              <w:t>信用保护买方</w:t>
            </w:r>
          </w:p>
          <w:p w14:paraId="357A8B6C">
            <w:pPr>
              <w:pStyle w:val="107"/>
              <w:numPr>
                <w:ilvl w:val="0"/>
                <w:numId w:val="28"/>
              </w:numPr>
              <w:spacing w:line="560" w:lineRule="exact"/>
              <w:jc w:val="both"/>
              <w:rPr>
                <w:rFonts w:ascii="Times New Roman" w:hAnsi="Times New Roman" w:eastAsia="仿宋_GB2312" w:cs="新宋体"/>
                <w:b/>
                <w:sz w:val="30"/>
                <w:szCs w:val="28"/>
                <w:lang w:eastAsia="zh-CN"/>
              </w:rPr>
            </w:pPr>
            <w:r>
              <w:rPr>
                <w:rFonts w:hint="eastAsia" w:ascii="Times New Roman" w:hAnsi="Times New Roman" w:eastAsia="仿宋_GB2312" w:cs="新宋体"/>
                <w:b/>
                <w:sz w:val="30"/>
                <w:szCs w:val="28"/>
                <w:lang w:eastAsia="zh-CN"/>
              </w:rPr>
              <w:t>信用保护卖方</w:t>
            </w:r>
          </w:p>
          <w:p w14:paraId="2CC96763">
            <w:pPr>
              <w:pStyle w:val="107"/>
              <w:numPr>
                <w:ilvl w:val="0"/>
                <w:numId w:val="28"/>
              </w:numPr>
              <w:spacing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b/>
                <w:bCs/>
                <w:sz w:val="30"/>
                <w:szCs w:val="28"/>
                <w:lang w:eastAsia="zh-CN"/>
              </w:rPr>
              <w:t>信用保护买方</w:t>
            </w:r>
            <w:r>
              <w:rPr>
                <w:rFonts w:hint="eastAsia" w:ascii="Times New Roman" w:hAnsi="Times New Roman" w:eastAsia="仿宋_GB2312" w:cs="新宋体"/>
                <w:sz w:val="30"/>
                <w:szCs w:val="28"/>
                <w:lang w:eastAsia="zh-CN"/>
              </w:rPr>
              <w:t>或</w:t>
            </w:r>
            <w:r>
              <w:rPr>
                <w:rFonts w:hint="eastAsia" w:ascii="Times New Roman" w:hAnsi="Times New Roman" w:eastAsia="仿宋_GB2312" w:cs="新宋体"/>
                <w:b/>
                <w:bCs/>
                <w:sz w:val="30"/>
                <w:szCs w:val="28"/>
                <w:lang w:eastAsia="zh-CN"/>
              </w:rPr>
              <w:t>信用保护卖方</w:t>
            </w:r>
          </w:p>
        </w:tc>
      </w:tr>
      <w:tr w14:paraId="771EC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0FDE2531">
            <w:pPr>
              <w:pStyle w:val="107"/>
              <w:spacing w:before="118" w:line="560" w:lineRule="exact"/>
              <w:jc w:val="both"/>
              <w:rPr>
                <w:rFonts w:ascii="Times New Roman" w:hAnsi="Times New Roman" w:eastAsia="仿宋_GB2312" w:cs="新宋体"/>
                <w:b/>
                <w:bCs/>
                <w:sz w:val="30"/>
                <w:szCs w:val="28"/>
                <w:lang w:eastAsia="zh-CN"/>
              </w:rPr>
            </w:pPr>
          </w:p>
        </w:tc>
        <w:tc>
          <w:tcPr>
            <w:tcW w:w="2523" w:type="dxa"/>
            <w:vAlign w:val="center"/>
          </w:tcPr>
          <w:p w14:paraId="1D623332">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公共信息通知书</w:t>
            </w:r>
          </w:p>
        </w:tc>
        <w:tc>
          <w:tcPr>
            <w:tcW w:w="4927" w:type="dxa"/>
            <w:gridSpan w:val="2"/>
          </w:tcPr>
          <w:p w14:paraId="7935CA1A">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【适用】</w:t>
            </w:r>
            <w:r>
              <w:rPr>
                <w:rFonts w:ascii="Times New Roman" w:hAnsi="Times New Roman" w:eastAsia="仿宋_GB2312" w:cs="新宋体"/>
                <w:bCs/>
                <w:sz w:val="30"/>
                <w:szCs w:val="28"/>
                <w:lang w:eastAsia="zh-CN"/>
              </w:rPr>
              <w:t>/</w:t>
            </w:r>
            <w:r>
              <w:rPr>
                <w:rFonts w:hint="eastAsia" w:ascii="Times New Roman" w:hAnsi="Times New Roman" w:eastAsia="仿宋_GB2312" w:cs="新宋体"/>
                <w:bCs/>
                <w:sz w:val="30"/>
                <w:szCs w:val="28"/>
                <w:lang w:eastAsia="zh-CN"/>
              </w:rPr>
              <w:t>【不适用】</w:t>
            </w:r>
          </w:p>
          <w:p w14:paraId="676010F0">
            <w:pPr>
              <w:pStyle w:val="107"/>
              <w:spacing w:before="16" w:line="560" w:lineRule="exact"/>
              <w:ind w:right="125"/>
              <w:jc w:val="both"/>
              <w:rPr>
                <w:rFonts w:ascii="Times New Roman" w:hAnsi="Times New Roman" w:eastAsia="仿宋_GB2312" w:cs="新宋体"/>
                <w:sz w:val="30"/>
                <w:szCs w:val="28"/>
                <w:lang w:eastAsia="zh-CN"/>
              </w:rPr>
            </w:pPr>
            <w:r>
              <w:rPr>
                <w:rFonts w:hint="eastAsia" w:ascii="Times New Roman" w:hAnsi="Times New Roman" w:eastAsia="仿宋_GB2312" w:cs="新宋体"/>
                <w:bCs/>
                <w:sz w:val="30"/>
                <w:szCs w:val="28"/>
                <w:lang w:eastAsia="zh-CN"/>
              </w:rPr>
              <w:t>若适用，通知方为</w:t>
            </w:r>
            <w:r>
              <w:rPr>
                <w:rFonts w:hint="eastAsia" w:ascii="Times New Roman" w:hAnsi="Times New Roman" w:eastAsia="仿宋_GB2312" w:cs="新宋体"/>
                <w:sz w:val="30"/>
                <w:szCs w:val="28"/>
                <w:lang w:eastAsia="zh-CN"/>
              </w:rPr>
              <w:t>以下第【】项：</w:t>
            </w:r>
            <w:r>
              <w:rPr>
                <w:rFonts w:ascii="Times New Roman" w:hAnsi="Times New Roman" w:eastAsia="仿宋_GB2312" w:cs="新宋体"/>
                <w:sz w:val="30"/>
                <w:szCs w:val="28"/>
                <w:lang w:eastAsia="zh-CN"/>
              </w:rPr>
              <w:t xml:space="preserve"> </w:t>
            </w:r>
          </w:p>
          <w:p w14:paraId="7EA580A9">
            <w:pPr>
              <w:pStyle w:val="107"/>
              <w:numPr>
                <w:ilvl w:val="0"/>
                <w:numId w:val="29"/>
              </w:numPr>
              <w:spacing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b/>
                <w:sz w:val="30"/>
                <w:szCs w:val="28"/>
                <w:lang w:eastAsia="zh-CN"/>
              </w:rPr>
              <w:t>信用保护买方</w:t>
            </w:r>
          </w:p>
          <w:p w14:paraId="75956C8E">
            <w:pPr>
              <w:pStyle w:val="107"/>
              <w:numPr>
                <w:ilvl w:val="0"/>
                <w:numId w:val="29"/>
              </w:numPr>
              <w:spacing w:line="560" w:lineRule="exact"/>
              <w:jc w:val="both"/>
              <w:rPr>
                <w:rFonts w:ascii="Times New Roman" w:hAnsi="Times New Roman" w:eastAsia="仿宋_GB2312" w:cs="新宋体"/>
                <w:b/>
                <w:sz w:val="30"/>
                <w:szCs w:val="28"/>
                <w:lang w:eastAsia="zh-CN"/>
              </w:rPr>
            </w:pPr>
            <w:r>
              <w:rPr>
                <w:rFonts w:hint="eastAsia" w:ascii="Times New Roman" w:hAnsi="Times New Roman" w:eastAsia="仿宋_GB2312" w:cs="新宋体"/>
                <w:b/>
                <w:sz w:val="30"/>
                <w:szCs w:val="28"/>
                <w:lang w:eastAsia="zh-CN"/>
              </w:rPr>
              <w:t>信用保护卖方</w:t>
            </w:r>
          </w:p>
          <w:p w14:paraId="39B983B9">
            <w:pPr>
              <w:pStyle w:val="107"/>
              <w:numPr>
                <w:ilvl w:val="0"/>
                <w:numId w:val="29"/>
              </w:numPr>
              <w:spacing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
                <w:bCs/>
                <w:sz w:val="30"/>
                <w:szCs w:val="28"/>
                <w:lang w:eastAsia="zh-CN"/>
              </w:rPr>
              <w:t>信用保护买方</w:t>
            </w:r>
            <w:r>
              <w:rPr>
                <w:rFonts w:hint="eastAsia" w:ascii="Times New Roman" w:hAnsi="Times New Roman" w:eastAsia="仿宋_GB2312" w:cs="新宋体"/>
                <w:sz w:val="30"/>
                <w:szCs w:val="28"/>
                <w:lang w:eastAsia="zh-CN"/>
              </w:rPr>
              <w:t>或</w:t>
            </w:r>
            <w:r>
              <w:rPr>
                <w:rFonts w:hint="eastAsia" w:ascii="Times New Roman" w:hAnsi="Times New Roman" w:eastAsia="仿宋_GB2312" w:cs="新宋体"/>
                <w:b/>
                <w:bCs/>
                <w:sz w:val="30"/>
                <w:szCs w:val="28"/>
                <w:lang w:eastAsia="zh-CN"/>
              </w:rPr>
              <w:t>信用保护卖方</w:t>
            </w:r>
          </w:p>
        </w:tc>
      </w:tr>
      <w:tr w14:paraId="77066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369" w:type="dxa"/>
            <w:gridSpan w:val="2"/>
            <w:vAlign w:val="center"/>
          </w:tcPr>
          <w:p w14:paraId="4765D77C">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结算方式</w:t>
            </w:r>
          </w:p>
        </w:tc>
        <w:tc>
          <w:tcPr>
            <w:tcW w:w="4927" w:type="dxa"/>
            <w:gridSpan w:val="2"/>
          </w:tcPr>
          <w:p w14:paraId="56E46EDF">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适用以下第【】项：（单选）</w:t>
            </w:r>
          </w:p>
          <w:p w14:paraId="4501F188">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1</w:t>
            </w:r>
            <w:r>
              <w:rPr>
                <w:rFonts w:hint="eastAsia" w:ascii="Times New Roman" w:hAnsi="Times New Roman" w:eastAsia="仿宋_GB2312" w:cs="新宋体"/>
                <w:sz w:val="30"/>
                <w:szCs w:val="28"/>
                <w:lang w:eastAsia="zh-CN"/>
              </w:rPr>
              <w:t>）</w:t>
            </w:r>
            <w:r>
              <w:rPr>
                <w:rFonts w:hint="eastAsia" w:ascii="Times New Roman" w:hAnsi="Times New Roman" w:eastAsia="仿宋_GB2312" w:cs="新宋体"/>
                <w:b/>
                <w:bCs/>
                <w:sz w:val="30"/>
                <w:szCs w:val="28"/>
                <w:lang w:eastAsia="zh-CN"/>
              </w:rPr>
              <w:t>现金结算</w:t>
            </w:r>
          </w:p>
          <w:p w14:paraId="086B0567">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w:t>
            </w:r>
            <w:r>
              <w:rPr>
                <w:rFonts w:ascii="Times New Roman" w:hAnsi="Times New Roman" w:eastAsia="仿宋_GB2312" w:cs="新宋体"/>
                <w:sz w:val="30"/>
                <w:szCs w:val="28"/>
                <w:lang w:eastAsia="zh-CN"/>
              </w:rPr>
              <w:t>2</w:t>
            </w:r>
            <w:r>
              <w:rPr>
                <w:rFonts w:hint="eastAsia" w:ascii="Times New Roman" w:hAnsi="Times New Roman" w:eastAsia="仿宋_GB2312" w:cs="新宋体"/>
                <w:sz w:val="30"/>
                <w:szCs w:val="28"/>
                <w:lang w:eastAsia="zh-CN"/>
              </w:rPr>
              <w:t>）</w:t>
            </w:r>
            <w:r>
              <w:rPr>
                <w:rFonts w:hint="eastAsia" w:ascii="Times New Roman" w:hAnsi="Times New Roman" w:eastAsia="仿宋_GB2312" w:cs="新宋体"/>
                <w:b/>
                <w:bCs/>
                <w:sz w:val="30"/>
                <w:szCs w:val="28"/>
                <w:lang w:eastAsia="zh-CN"/>
              </w:rPr>
              <w:t>实物结算</w:t>
            </w:r>
          </w:p>
        </w:tc>
      </w:tr>
      <w:tr w14:paraId="12EE9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restart"/>
            <w:vAlign w:val="center"/>
          </w:tcPr>
          <w:p w14:paraId="2AB00ED5">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实物结算</w:t>
            </w:r>
          </w:p>
        </w:tc>
        <w:tc>
          <w:tcPr>
            <w:tcW w:w="2523" w:type="dxa"/>
            <w:vAlign w:val="center"/>
          </w:tcPr>
          <w:p w14:paraId="0E3C7942">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实物交割期间</w:t>
            </w:r>
          </w:p>
        </w:tc>
        <w:tc>
          <w:tcPr>
            <w:tcW w:w="4927" w:type="dxa"/>
            <w:gridSpan w:val="2"/>
            <w:vAlign w:val="center"/>
          </w:tcPr>
          <w:p w14:paraId="75808FE8">
            <w:pPr>
              <w:spacing w:before="118" w:line="560" w:lineRule="exact"/>
              <w:rPr>
                <w:rFonts w:eastAsia="仿宋_GB2312" w:cs="新宋体"/>
                <w:b/>
                <w:bCs/>
                <w:kern w:val="0"/>
                <w:sz w:val="30"/>
                <w:szCs w:val="28"/>
              </w:rPr>
            </w:pPr>
            <w:r>
              <w:rPr>
                <w:rFonts w:hint="eastAsia" w:eastAsia="仿宋_GB2312" w:cs="新宋体"/>
                <w:sz w:val="30"/>
                <w:szCs w:val="28"/>
              </w:rPr>
              <w:t>【】个</w:t>
            </w:r>
            <w:r>
              <w:rPr>
                <w:rFonts w:hint="eastAsia" w:eastAsia="仿宋_GB2312" w:cs="新宋体"/>
                <w:b/>
                <w:bCs/>
                <w:sz w:val="30"/>
                <w:szCs w:val="28"/>
              </w:rPr>
              <w:t>自然日</w:t>
            </w:r>
            <w:r>
              <w:rPr>
                <w:rFonts w:hint="eastAsia" w:eastAsia="仿宋_GB2312" w:cs="新宋体"/>
                <w:bCs/>
                <w:sz w:val="30"/>
                <w:szCs w:val="28"/>
              </w:rPr>
              <w:t>（不超过</w:t>
            </w:r>
            <w:r>
              <w:rPr>
                <w:rFonts w:eastAsia="仿宋_GB2312" w:cs="新宋体"/>
                <w:bCs/>
                <w:sz w:val="30"/>
                <w:szCs w:val="28"/>
              </w:rPr>
              <w:t>30</w:t>
            </w:r>
            <w:r>
              <w:rPr>
                <w:rFonts w:hint="eastAsia" w:eastAsia="仿宋_GB2312" w:cs="新宋体"/>
                <w:bCs/>
                <w:sz w:val="30"/>
                <w:szCs w:val="28"/>
              </w:rPr>
              <w:t>个自然日）</w:t>
            </w:r>
          </w:p>
        </w:tc>
      </w:tr>
      <w:tr w14:paraId="5EB0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40F52806">
            <w:pPr>
              <w:pStyle w:val="107"/>
              <w:spacing w:before="118" w:line="560" w:lineRule="exact"/>
              <w:jc w:val="both"/>
              <w:rPr>
                <w:rFonts w:ascii="Times New Roman" w:hAnsi="Times New Roman" w:eastAsia="仿宋_GB2312" w:cs="新宋体"/>
                <w:b/>
                <w:bCs/>
                <w:sz w:val="30"/>
                <w:szCs w:val="28"/>
                <w:lang w:eastAsia="zh-CN"/>
              </w:rPr>
            </w:pPr>
          </w:p>
        </w:tc>
        <w:tc>
          <w:tcPr>
            <w:tcW w:w="2523" w:type="dxa"/>
            <w:vAlign w:val="center"/>
          </w:tcPr>
          <w:p w14:paraId="36F9067A">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可交付债务种类</w:t>
            </w:r>
          </w:p>
        </w:tc>
        <w:tc>
          <w:tcPr>
            <w:tcW w:w="4927" w:type="dxa"/>
            <w:gridSpan w:val="2"/>
            <w:vAlign w:val="center"/>
          </w:tcPr>
          <w:p w14:paraId="04C81D1B">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bCs/>
                <w:sz w:val="30"/>
                <w:szCs w:val="28"/>
                <w:lang w:eastAsia="zh-CN"/>
              </w:rPr>
              <w:t>【付款义务】、【借贷款项】、【债券】、【贷款】、【公司债（不含企业债）】、【可转债】、【企业债】、【资产支持证券】、【仅为参考债务】（可多选，取勾选项的最大范围作为债务种类）</w:t>
            </w:r>
          </w:p>
        </w:tc>
      </w:tr>
      <w:tr w14:paraId="14AD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Merge w:val="continue"/>
            <w:vAlign w:val="center"/>
          </w:tcPr>
          <w:p w14:paraId="409D9597">
            <w:pPr>
              <w:pStyle w:val="107"/>
              <w:spacing w:before="118" w:line="560" w:lineRule="exact"/>
              <w:jc w:val="both"/>
              <w:rPr>
                <w:rFonts w:ascii="Times New Roman" w:hAnsi="Times New Roman" w:eastAsia="仿宋_GB2312" w:cs="新宋体"/>
                <w:b/>
                <w:bCs/>
                <w:sz w:val="30"/>
                <w:szCs w:val="28"/>
                <w:lang w:eastAsia="zh-CN"/>
              </w:rPr>
            </w:pPr>
          </w:p>
        </w:tc>
        <w:tc>
          <w:tcPr>
            <w:tcW w:w="2523" w:type="dxa"/>
            <w:vAlign w:val="center"/>
          </w:tcPr>
          <w:p w14:paraId="1AB352C0">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可交付债务特征</w:t>
            </w:r>
          </w:p>
        </w:tc>
        <w:tc>
          <w:tcPr>
            <w:tcW w:w="4927" w:type="dxa"/>
            <w:gridSpan w:val="2"/>
            <w:vAlign w:val="center"/>
          </w:tcPr>
          <w:p w14:paraId="77EFE662">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w:t>
            </w:r>
            <w:r>
              <w:rPr>
                <w:rFonts w:hint="eastAsia" w:ascii="Times New Roman" w:hAnsi="Times New Roman" w:eastAsia="仿宋_GB2312" w:cs="新宋体"/>
                <w:bCs/>
                <w:sz w:val="30"/>
                <w:szCs w:val="28"/>
                <w:lang w:eastAsia="zh-CN"/>
              </w:rPr>
              <w:t>一般债务</w:t>
            </w:r>
            <w:r>
              <w:rPr>
                <w:rFonts w:hint="eastAsia" w:ascii="Times New Roman" w:hAnsi="Times New Roman" w:eastAsia="仿宋_GB2312" w:cs="新宋体"/>
                <w:sz w:val="30"/>
                <w:szCs w:val="28"/>
                <w:lang w:eastAsia="zh-CN"/>
              </w:rPr>
              <w:t>】、【次级债务】、【</w:t>
            </w:r>
            <w:r>
              <w:rPr>
                <w:rFonts w:hint="eastAsia" w:ascii="Times New Roman" w:hAnsi="Times New Roman" w:eastAsia="仿宋_GB2312" w:cs="新宋体"/>
                <w:bCs/>
                <w:sz w:val="30"/>
                <w:szCs w:val="28"/>
                <w:lang w:eastAsia="zh-CN"/>
              </w:rPr>
              <w:t>证券交易所挂牌流通</w:t>
            </w:r>
            <w:r>
              <w:rPr>
                <w:rFonts w:hint="eastAsia" w:ascii="Times New Roman" w:hAnsi="Times New Roman" w:eastAsia="仿宋_GB2312" w:cs="新宋体"/>
                <w:sz w:val="30"/>
                <w:szCs w:val="28"/>
                <w:lang w:eastAsia="zh-CN"/>
              </w:rPr>
              <w:t>】、【</w:t>
            </w:r>
            <w:r>
              <w:rPr>
                <w:rFonts w:hint="eastAsia" w:ascii="Times New Roman" w:hAnsi="Times New Roman" w:eastAsia="仿宋_GB2312" w:cs="新宋体"/>
                <w:bCs/>
                <w:sz w:val="30"/>
                <w:szCs w:val="28"/>
                <w:lang w:eastAsia="zh-CN"/>
              </w:rPr>
              <w:t>本币</w:t>
            </w:r>
            <w:r>
              <w:rPr>
                <w:rFonts w:hint="eastAsia" w:ascii="Times New Roman" w:hAnsi="Times New Roman" w:eastAsia="仿宋_GB2312" w:cs="新宋体"/>
                <w:sz w:val="30"/>
                <w:szCs w:val="28"/>
                <w:lang w:eastAsia="zh-CN"/>
              </w:rPr>
              <w:t>】、【外币】、【无扣减债务】、【可转让贷款】、【转让受限贷款】、【最长待偿期</w:t>
            </w:r>
            <w:r>
              <w:rPr>
                <w:rFonts w:ascii="Times New Roman" w:hAnsi="Times New Roman" w:eastAsia="仿宋_GB2312" w:cs="新宋体"/>
                <w:sz w:val="30"/>
                <w:szCs w:val="28"/>
                <w:lang w:eastAsia="zh-CN"/>
              </w:rPr>
              <w:t>10</w:t>
            </w:r>
            <w:r>
              <w:rPr>
                <w:rFonts w:hint="eastAsia" w:ascii="Times New Roman" w:hAnsi="Times New Roman" w:eastAsia="仿宋_GB2312" w:cs="新宋体"/>
                <w:sz w:val="30"/>
                <w:szCs w:val="28"/>
                <w:lang w:eastAsia="zh-CN"/>
              </w:rPr>
              <w:t>年】、【其他：</w:t>
            </w:r>
            <w:r>
              <w:rPr>
                <w:rFonts w:ascii="Times New Roman" w:hAnsi="Times New Roman" w:eastAsia="仿宋_GB2312" w:cs="新宋体"/>
                <w:sz w:val="30"/>
                <w:szCs w:val="28"/>
                <w:lang w:eastAsia="zh-CN"/>
              </w:rPr>
              <w:t xml:space="preserve">   </w:t>
            </w:r>
            <w:r>
              <w:rPr>
                <w:rFonts w:hint="eastAsia" w:ascii="Times New Roman" w:hAnsi="Times New Roman" w:eastAsia="仿宋_GB2312" w:cs="新宋体"/>
                <w:sz w:val="30"/>
                <w:szCs w:val="28"/>
                <w:lang w:eastAsia="zh-CN"/>
              </w:rPr>
              <w:t>】（可多选）</w:t>
            </w:r>
          </w:p>
        </w:tc>
      </w:tr>
      <w:tr w14:paraId="5AC43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trHeight w:val="792" w:hRule="atLeast"/>
          <w:jc w:val="center"/>
        </w:trPr>
        <w:tc>
          <w:tcPr>
            <w:tcW w:w="846" w:type="dxa"/>
            <w:vMerge w:val="continue"/>
            <w:vAlign w:val="center"/>
          </w:tcPr>
          <w:p w14:paraId="5CA37753">
            <w:pPr>
              <w:pStyle w:val="107"/>
              <w:spacing w:before="118" w:line="560" w:lineRule="exact"/>
              <w:jc w:val="both"/>
              <w:rPr>
                <w:rFonts w:ascii="Times New Roman" w:hAnsi="Times New Roman" w:eastAsia="仿宋_GB2312" w:cs="新宋体"/>
                <w:b/>
                <w:bCs/>
                <w:sz w:val="30"/>
                <w:szCs w:val="28"/>
                <w:lang w:eastAsia="zh-CN"/>
              </w:rPr>
            </w:pPr>
          </w:p>
        </w:tc>
        <w:tc>
          <w:tcPr>
            <w:tcW w:w="2523" w:type="dxa"/>
            <w:vAlign w:val="center"/>
          </w:tcPr>
          <w:p w14:paraId="4F8D4D02">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可交付债务的</w:t>
            </w:r>
          </w:p>
          <w:p w14:paraId="52B6C30F">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应计未付利息</w:t>
            </w:r>
          </w:p>
        </w:tc>
        <w:tc>
          <w:tcPr>
            <w:tcW w:w="4899" w:type="dxa"/>
            <w:vAlign w:val="center"/>
          </w:tcPr>
          <w:p w14:paraId="17FB03D5">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【计入】</w:t>
            </w:r>
            <w:r>
              <w:rPr>
                <w:rFonts w:ascii="Times New Roman" w:hAnsi="Times New Roman" w:eastAsia="仿宋_GB2312" w:cs="新宋体"/>
                <w:sz w:val="30"/>
                <w:szCs w:val="28"/>
                <w:lang w:eastAsia="zh-CN"/>
              </w:rPr>
              <w:t>/</w:t>
            </w:r>
            <w:r>
              <w:rPr>
                <w:rFonts w:hint="eastAsia" w:ascii="Times New Roman" w:hAnsi="Times New Roman" w:eastAsia="仿宋_GB2312" w:cs="新宋体"/>
                <w:sz w:val="30"/>
                <w:szCs w:val="28"/>
                <w:lang w:eastAsia="zh-CN"/>
              </w:rPr>
              <w:t>【不计入】</w:t>
            </w:r>
          </w:p>
        </w:tc>
      </w:tr>
      <w:tr w14:paraId="01BE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8" w:type="dxa"/>
          <w:trHeight w:val="1459" w:hRule="atLeast"/>
          <w:jc w:val="center"/>
        </w:trPr>
        <w:tc>
          <w:tcPr>
            <w:tcW w:w="846" w:type="dxa"/>
            <w:vAlign w:val="center"/>
          </w:tcPr>
          <w:p w14:paraId="56B887CB">
            <w:pPr>
              <w:pStyle w:val="107"/>
              <w:spacing w:before="118" w:line="560" w:lineRule="exact"/>
              <w:jc w:val="both"/>
              <w:rPr>
                <w:rFonts w:ascii="Times New Roman" w:hAnsi="Times New Roman" w:eastAsia="仿宋_GB2312" w:cs="新宋体"/>
                <w:bCs/>
                <w:sz w:val="30"/>
                <w:szCs w:val="28"/>
                <w:lang w:eastAsia="zh-CN"/>
              </w:rPr>
            </w:pPr>
            <w:r>
              <w:rPr>
                <w:rFonts w:hint="eastAsia" w:ascii="Times New Roman" w:hAnsi="Times New Roman" w:eastAsia="仿宋_GB2312" w:cs="新宋体"/>
                <w:bCs/>
                <w:sz w:val="30"/>
                <w:szCs w:val="28"/>
                <w:lang w:eastAsia="zh-CN"/>
              </w:rPr>
              <w:t>现金结算</w:t>
            </w:r>
          </w:p>
        </w:tc>
        <w:tc>
          <w:tcPr>
            <w:tcW w:w="2523" w:type="dxa"/>
            <w:vAlign w:val="center"/>
          </w:tcPr>
          <w:p w14:paraId="37631A49">
            <w:pPr>
              <w:spacing w:before="118" w:line="560" w:lineRule="exact"/>
              <w:rPr>
                <w:rFonts w:eastAsia="仿宋_GB2312" w:cs="新宋体"/>
                <w:sz w:val="30"/>
                <w:szCs w:val="28"/>
              </w:rPr>
            </w:pPr>
            <w:r>
              <w:rPr>
                <w:rFonts w:hint="eastAsia" w:eastAsia="仿宋_GB2312" w:cs="新宋体"/>
                <w:bCs/>
                <w:sz w:val="30"/>
                <w:szCs w:val="28"/>
              </w:rPr>
              <w:t>约定回收率</w:t>
            </w:r>
          </w:p>
        </w:tc>
        <w:tc>
          <w:tcPr>
            <w:tcW w:w="4899" w:type="dxa"/>
            <w:vAlign w:val="center"/>
          </w:tcPr>
          <w:p w14:paraId="33B4403E">
            <w:pPr>
              <w:spacing w:before="118" w:line="560" w:lineRule="exact"/>
              <w:rPr>
                <w:rFonts w:eastAsia="仿宋_GB2312" w:cs="新宋体"/>
                <w:sz w:val="30"/>
                <w:szCs w:val="28"/>
              </w:rPr>
            </w:pPr>
            <w:r>
              <w:rPr>
                <w:rFonts w:hint="eastAsia" w:eastAsia="仿宋_GB2312" w:cs="新宋体"/>
                <w:bCs/>
                <w:sz w:val="30"/>
                <w:szCs w:val="28"/>
              </w:rPr>
              <w:t>适用以下第</w:t>
            </w:r>
            <w:r>
              <w:rPr>
                <w:rFonts w:hint="eastAsia" w:eastAsia="仿宋_GB2312" w:cs="新宋体"/>
                <w:sz w:val="30"/>
                <w:szCs w:val="28"/>
              </w:rPr>
              <w:t>【】项：</w:t>
            </w:r>
          </w:p>
          <w:p w14:paraId="48CC8D62">
            <w:pPr>
              <w:spacing w:before="118" w:line="560" w:lineRule="exact"/>
              <w:rPr>
                <w:rFonts w:eastAsia="仿宋_GB2312" w:cs="新宋体"/>
                <w:sz w:val="30"/>
                <w:szCs w:val="28"/>
              </w:rPr>
            </w:pPr>
            <w:r>
              <w:rPr>
                <w:rFonts w:hint="eastAsia" w:eastAsia="仿宋_GB2312" w:cs="新宋体"/>
                <w:sz w:val="30"/>
                <w:szCs w:val="28"/>
              </w:rPr>
              <w:t>（</w:t>
            </w:r>
            <w:r>
              <w:rPr>
                <w:rFonts w:eastAsia="仿宋_GB2312" w:cs="新宋体"/>
                <w:sz w:val="30"/>
                <w:szCs w:val="28"/>
              </w:rPr>
              <w:t>1</w:t>
            </w:r>
            <w:r>
              <w:rPr>
                <w:rFonts w:hint="eastAsia" w:eastAsia="仿宋_GB2312" w:cs="新宋体"/>
                <w:sz w:val="30"/>
                <w:szCs w:val="28"/>
              </w:rPr>
              <w:t>）【】</w:t>
            </w:r>
            <w:r>
              <w:rPr>
                <w:rFonts w:eastAsia="仿宋_GB2312" w:cs="新宋体"/>
                <w:sz w:val="30"/>
                <w:szCs w:val="28"/>
              </w:rPr>
              <w:t xml:space="preserve"> </w:t>
            </w:r>
          </w:p>
          <w:p w14:paraId="146B8FF5">
            <w:pPr>
              <w:spacing w:before="118" w:line="560" w:lineRule="exact"/>
              <w:rPr>
                <w:rFonts w:eastAsia="仿宋_GB2312" w:cs="新宋体"/>
                <w:sz w:val="30"/>
                <w:szCs w:val="28"/>
              </w:rPr>
            </w:pPr>
            <w:r>
              <w:rPr>
                <w:rFonts w:hint="eastAsia" w:eastAsia="仿宋_GB2312" w:cs="新宋体"/>
                <w:sz w:val="30"/>
                <w:szCs w:val="28"/>
              </w:rPr>
              <w:t>（</w:t>
            </w:r>
            <w:r>
              <w:rPr>
                <w:rFonts w:eastAsia="仿宋_GB2312" w:cs="新宋体"/>
                <w:sz w:val="30"/>
                <w:szCs w:val="28"/>
              </w:rPr>
              <w:t>2</w:t>
            </w:r>
            <w:r>
              <w:rPr>
                <w:rFonts w:hint="eastAsia" w:eastAsia="仿宋_GB2312" w:cs="新宋体"/>
                <w:sz w:val="30"/>
                <w:szCs w:val="28"/>
              </w:rPr>
              <w:t>）【计算方法：</w:t>
            </w:r>
            <w:r>
              <w:rPr>
                <w:rFonts w:eastAsia="仿宋_GB2312" w:cs="新宋体"/>
                <w:sz w:val="30"/>
                <w:szCs w:val="28"/>
              </w:rPr>
              <w:t xml:space="preserve">   </w:t>
            </w:r>
            <w:r>
              <w:rPr>
                <w:rFonts w:hint="eastAsia" w:eastAsia="仿宋_GB2312" w:cs="新宋体"/>
                <w:sz w:val="30"/>
                <w:szCs w:val="28"/>
              </w:rPr>
              <w:t>】</w:t>
            </w:r>
          </w:p>
        </w:tc>
      </w:tr>
    </w:tbl>
    <w:p w14:paraId="6D829FF5">
      <w:pPr>
        <w:spacing w:line="560" w:lineRule="exact"/>
        <w:rPr>
          <w:rFonts w:eastAsia="仿宋_GB2312"/>
          <w:sz w:val="30"/>
          <w:szCs w:val="28"/>
        </w:rPr>
      </w:pPr>
    </w:p>
    <w:p w14:paraId="7D838BF3">
      <w:pPr>
        <w:spacing w:before="72" w:after="72" w:line="560" w:lineRule="exact"/>
        <w:rPr>
          <w:rFonts w:eastAsia="仿宋_GB2312"/>
          <w:b/>
          <w:kern w:val="0"/>
          <w:sz w:val="30"/>
          <w:szCs w:val="28"/>
        </w:rPr>
      </w:pPr>
      <w:r>
        <w:rPr>
          <w:rFonts w:hint="eastAsia" w:eastAsia="仿宋_GB2312"/>
          <w:b/>
          <w:kern w:val="0"/>
          <w:sz w:val="30"/>
          <w:szCs w:val="28"/>
        </w:rPr>
        <w:t>六、其他条款</w:t>
      </w:r>
    </w:p>
    <w:p w14:paraId="4554153B">
      <w:pPr>
        <w:pStyle w:val="107"/>
        <w:spacing w:before="118" w:line="560" w:lineRule="exact"/>
        <w:jc w:val="both"/>
        <w:rPr>
          <w:rFonts w:ascii="Times New Roman" w:hAnsi="Times New Roman" w:eastAsia="仿宋_GB2312" w:cs="新宋体"/>
          <w:b/>
          <w:bCs/>
          <w:sz w:val="30"/>
          <w:szCs w:val="28"/>
          <w:lang w:eastAsia="zh-CN"/>
        </w:rPr>
      </w:pPr>
      <w:r>
        <w:rPr>
          <w:rFonts w:hint="eastAsia" w:ascii="Times New Roman" w:hAnsi="Times New Roman" w:eastAsia="仿宋_GB2312" w:cs="新宋体"/>
          <w:b/>
          <w:bCs/>
          <w:sz w:val="30"/>
          <w:szCs w:val="28"/>
          <w:lang w:eastAsia="zh-CN"/>
        </w:rPr>
        <w:t>（一）联系方式</w:t>
      </w:r>
    </w:p>
    <w:tbl>
      <w:tblPr>
        <w:tblStyle w:val="4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4"/>
        <w:gridCol w:w="4122"/>
      </w:tblGrid>
      <w:tr w14:paraId="50F67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74" w:type="dxa"/>
            <w:vAlign w:val="center"/>
          </w:tcPr>
          <w:p w14:paraId="014B5B64">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b/>
                <w:sz w:val="30"/>
                <w:szCs w:val="28"/>
                <w:lang w:eastAsia="zh-CN"/>
              </w:rPr>
              <w:t>甲方</w:t>
            </w:r>
            <w:r>
              <w:rPr>
                <w:rFonts w:hint="eastAsia" w:ascii="Times New Roman" w:hAnsi="Times New Roman" w:eastAsia="仿宋_GB2312" w:cs="新宋体"/>
                <w:sz w:val="30"/>
                <w:szCs w:val="28"/>
                <w:lang w:eastAsia="zh-CN"/>
              </w:rPr>
              <w:t>：【】</w:t>
            </w:r>
          </w:p>
        </w:tc>
        <w:tc>
          <w:tcPr>
            <w:tcW w:w="4122" w:type="dxa"/>
          </w:tcPr>
          <w:p w14:paraId="7889F1A4">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b/>
                <w:sz w:val="30"/>
                <w:szCs w:val="28"/>
                <w:lang w:eastAsia="zh-CN"/>
              </w:rPr>
              <w:t>乙方</w:t>
            </w:r>
            <w:r>
              <w:rPr>
                <w:rFonts w:hint="eastAsia" w:ascii="Times New Roman" w:hAnsi="Times New Roman" w:eastAsia="仿宋_GB2312" w:cs="新宋体"/>
                <w:sz w:val="30"/>
                <w:szCs w:val="28"/>
                <w:lang w:eastAsia="zh-CN"/>
              </w:rPr>
              <w:t>：【】</w:t>
            </w:r>
          </w:p>
        </w:tc>
      </w:tr>
      <w:tr w14:paraId="7CADA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74" w:type="dxa"/>
          </w:tcPr>
          <w:p w14:paraId="18B3881B">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地址：【】</w:t>
            </w:r>
          </w:p>
        </w:tc>
        <w:tc>
          <w:tcPr>
            <w:tcW w:w="4122" w:type="dxa"/>
          </w:tcPr>
          <w:p w14:paraId="0207367F">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地址：【】</w:t>
            </w:r>
          </w:p>
        </w:tc>
      </w:tr>
      <w:tr w14:paraId="01ED2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74" w:type="dxa"/>
          </w:tcPr>
          <w:p w14:paraId="37C550CB">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电话：【】</w:t>
            </w:r>
          </w:p>
        </w:tc>
        <w:tc>
          <w:tcPr>
            <w:tcW w:w="4122" w:type="dxa"/>
          </w:tcPr>
          <w:p w14:paraId="6B988638">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电话：【】</w:t>
            </w:r>
          </w:p>
        </w:tc>
      </w:tr>
      <w:tr w14:paraId="545FF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4174" w:type="dxa"/>
          </w:tcPr>
          <w:p w14:paraId="4712591B">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传真：【】</w:t>
            </w:r>
          </w:p>
        </w:tc>
        <w:tc>
          <w:tcPr>
            <w:tcW w:w="4122" w:type="dxa"/>
          </w:tcPr>
          <w:p w14:paraId="1CCA6694">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传真：【】</w:t>
            </w:r>
          </w:p>
        </w:tc>
      </w:tr>
      <w:tr w14:paraId="74CA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74" w:type="dxa"/>
          </w:tcPr>
          <w:p w14:paraId="48831358">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收件人：【】</w:t>
            </w:r>
          </w:p>
        </w:tc>
        <w:tc>
          <w:tcPr>
            <w:tcW w:w="4122" w:type="dxa"/>
          </w:tcPr>
          <w:p w14:paraId="5C17B57E">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收件人：【】</w:t>
            </w:r>
          </w:p>
        </w:tc>
      </w:tr>
    </w:tbl>
    <w:p w14:paraId="2322F1F6">
      <w:pPr>
        <w:pStyle w:val="107"/>
        <w:spacing w:before="118" w:line="560" w:lineRule="exact"/>
        <w:jc w:val="both"/>
        <w:rPr>
          <w:rFonts w:ascii="Times New Roman" w:hAnsi="Times New Roman" w:eastAsia="仿宋_GB2312" w:cs="新宋体"/>
          <w:b/>
          <w:bCs/>
          <w:sz w:val="30"/>
          <w:szCs w:val="28"/>
          <w:lang w:eastAsia="zh-CN"/>
        </w:rPr>
      </w:pPr>
      <w:r>
        <w:rPr>
          <w:rFonts w:hint="eastAsia" w:ascii="Times New Roman" w:hAnsi="Times New Roman" w:eastAsia="仿宋_GB2312" w:cs="新宋体"/>
          <w:b/>
          <w:bCs/>
          <w:sz w:val="30"/>
          <w:szCs w:val="28"/>
          <w:lang w:eastAsia="zh-CN"/>
        </w:rPr>
        <w:t>（二）资金账户信息</w:t>
      </w:r>
    </w:p>
    <w:tbl>
      <w:tblPr>
        <w:tblStyle w:val="4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7"/>
        <w:gridCol w:w="4099"/>
      </w:tblGrid>
      <w:tr w14:paraId="0059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7" w:type="dxa"/>
            <w:vAlign w:val="center"/>
          </w:tcPr>
          <w:p w14:paraId="34CF78BD">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b/>
                <w:sz w:val="30"/>
                <w:szCs w:val="28"/>
                <w:lang w:eastAsia="zh-CN"/>
              </w:rPr>
              <w:t>甲方</w:t>
            </w:r>
            <w:r>
              <w:rPr>
                <w:rFonts w:hint="eastAsia" w:ascii="Times New Roman" w:hAnsi="Times New Roman" w:eastAsia="仿宋_GB2312" w:cs="新宋体"/>
                <w:sz w:val="30"/>
                <w:szCs w:val="28"/>
                <w:lang w:eastAsia="zh-CN"/>
              </w:rPr>
              <w:t>账户名：【】</w:t>
            </w:r>
          </w:p>
        </w:tc>
        <w:tc>
          <w:tcPr>
            <w:tcW w:w="4099" w:type="dxa"/>
          </w:tcPr>
          <w:p w14:paraId="2C1B15AA">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b/>
                <w:sz w:val="30"/>
                <w:szCs w:val="28"/>
                <w:lang w:eastAsia="zh-CN"/>
              </w:rPr>
              <w:t>乙方</w:t>
            </w:r>
            <w:r>
              <w:rPr>
                <w:rFonts w:hint="eastAsia" w:ascii="Times New Roman" w:hAnsi="Times New Roman" w:eastAsia="仿宋_GB2312" w:cs="新宋体"/>
                <w:sz w:val="30"/>
                <w:szCs w:val="28"/>
                <w:lang w:eastAsia="zh-CN"/>
              </w:rPr>
              <w:t>账户名：【】</w:t>
            </w:r>
          </w:p>
        </w:tc>
      </w:tr>
      <w:tr w14:paraId="6E7F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7" w:type="dxa"/>
          </w:tcPr>
          <w:p w14:paraId="68DAEF8A">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账号：【】</w:t>
            </w:r>
          </w:p>
        </w:tc>
        <w:tc>
          <w:tcPr>
            <w:tcW w:w="4099" w:type="dxa"/>
          </w:tcPr>
          <w:p w14:paraId="527E2804">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账号：【】</w:t>
            </w:r>
          </w:p>
        </w:tc>
      </w:tr>
      <w:tr w14:paraId="51B8D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7" w:type="dxa"/>
          </w:tcPr>
          <w:p w14:paraId="53231878">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开户行：【】</w:t>
            </w:r>
          </w:p>
        </w:tc>
        <w:tc>
          <w:tcPr>
            <w:tcW w:w="4099" w:type="dxa"/>
          </w:tcPr>
          <w:p w14:paraId="65B66B8B">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开户行：【】</w:t>
            </w:r>
          </w:p>
        </w:tc>
      </w:tr>
      <w:tr w14:paraId="5820A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97" w:type="dxa"/>
          </w:tcPr>
          <w:p w14:paraId="54BC0B24">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大额支付系统行号：【】</w:t>
            </w:r>
          </w:p>
        </w:tc>
        <w:tc>
          <w:tcPr>
            <w:tcW w:w="4099" w:type="dxa"/>
          </w:tcPr>
          <w:p w14:paraId="47175058">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大额支付系统行号：【】</w:t>
            </w:r>
            <w:r>
              <w:rPr>
                <w:rFonts w:ascii="Times New Roman" w:hAnsi="Times New Roman" w:eastAsia="仿宋_GB2312" w:cs="新宋体"/>
                <w:sz w:val="30"/>
                <w:szCs w:val="28"/>
                <w:lang w:eastAsia="zh-CN"/>
              </w:rPr>
              <w:t xml:space="preserve"> </w:t>
            </w:r>
          </w:p>
        </w:tc>
      </w:tr>
    </w:tbl>
    <w:p w14:paraId="410D7320">
      <w:pPr>
        <w:pStyle w:val="107"/>
        <w:spacing w:before="118" w:line="560" w:lineRule="exact"/>
        <w:jc w:val="both"/>
        <w:rPr>
          <w:rFonts w:ascii="Times New Roman" w:hAnsi="Times New Roman" w:eastAsia="仿宋_GB2312" w:cs="新宋体"/>
          <w:b/>
          <w:sz w:val="30"/>
          <w:szCs w:val="28"/>
          <w:lang w:eastAsia="zh-CN"/>
        </w:rPr>
      </w:pPr>
      <w:r>
        <w:rPr>
          <w:rFonts w:hint="eastAsia" w:ascii="Times New Roman" w:hAnsi="Times New Roman" w:eastAsia="仿宋_GB2312" w:cs="新宋体"/>
          <w:b/>
          <w:sz w:val="30"/>
          <w:szCs w:val="28"/>
          <w:lang w:eastAsia="zh-CN"/>
        </w:rPr>
        <w:t>（三）证券账户信息</w:t>
      </w:r>
    </w:p>
    <w:tbl>
      <w:tblPr>
        <w:tblStyle w:val="4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7"/>
        <w:gridCol w:w="4099"/>
      </w:tblGrid>
      <w:tr w14:paraId="30FD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7" w:type="dxa"/>
            <w:vAlign w:val="center"/>
          </w:tcPr>
          <w:p w14:paraId="22F39FA7">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b/>
                <w:sz w:val="30"/>
                <w:szCs w:val="28"/>
                <w:lang w:eastAsia="zh-CN"/>
              </w:rPr>
              <w:t>甲方</w:t>
            </w:r>
            <w:r>
              <w:rPr>
                <w:rFonts w:hint="eastAsia" w:ascii="Times New Roman" w:hAnsi="Times New Roman" w:eastAsia="仿宋_GB2312" w:cs="新宋体"/>
                <w:sz w:val="30"/>
                <w:szCs w:val="28"/>
                <w:lang w:eastAsia="zh-CN"/>
              </w:rPr>
              <w:t>账户名：【】</w:t>
            </w:r>
          </w:p>
        </w:tc>
        <w:tc>
          <w:tcPr>
            <w:tcW w:w="4099" w:type="dxa"/>
          </w:tcPr>
          <w:p w14:paraId="5D550285">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b/>
                <w:sz w:val="30"/>
                <w:szCs w:val="28"/>
                <w:lang w:eastAsia="zh-CN"/>
              </w:rPr>
              <w:t>乙方</w:t>
            </w:r>
            <w:r>
              <w:rPr>
                <w:rFonts w:hint="eastAsia" w:ascii="Times New Roman" w:hAnsi="Times New Roman" w:eastAsia="仿宋_GB2312" w:cs="新宋体"/>
                <w:sz w:val="30"/>
                <w:szCs w:val="28"/>
                <w:lang w:eastAsia="zh-CN"/>
              </w:rPr>
              <w:t>账户名：【】</w:t>
            </w:r>
          </w:p>
        </w:tc>
      </w:tr>
      <w:tr w14:paraId="11635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7" w:type="dxa"/>
          </w:tcPr>
          <w:p w14:paraId="694A5924">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账号：【】</w:t>
            </w:r>
          </w:p>
        </w:tc>
        <w:tc>
          <w:tcPr>
            <w:tcW w:w="4099" w:type="dxa"/>
          </w:tcPr>
          <w:p w14:paraId="51BDD3DA">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账号：【】</w:t>
            </w:r>
          </w:p>
        </w:tc>
      </w:tr>
      <w:tr w14:paraId="7BC30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97" w:type="dxa"/>
          </w:tcPr>
          <w:p w14:paraId="01DF8B4C">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席位号：【】</w:t>
            </w:r>
          </w:p>
        </w:tc>
        <w:tc>
          <w:tcPr>
            <w:tcW w:w="4099" w:type="dxa"/>
          </w:tcPr>
          <w:p w14:paraId="01A3255B">
            <w:pPr>
              <w:pStyle w:val="107"/>
              <w:spacing w:before="118" w:line="560" w:lineRule="exact"/>
              <w:jc w:val="both"/>
              <w:rPr>
                <w:rFonts w:ascii="Times New Roman" w:hAnsi="Times New Roman" w:eastAsia="仿宋_GB2312" w:cs="新宋体"/>
                <w:sz w:val="30"/>
                <w:szCs w:val="28"/>
                <w:lang w:eastAsia="zh-CN"/>
              </w:rPr>
            </w:pPr>
            <w:r>
              <w:rPr>
                <w:rFonts w:hint="eastAsia" w:ascii="Times New Roman" w:hAnsi="Times New Roman" w:eastAsia="仿宋_GB2312" w:cs="新宋体"/>
                <w:sz w:val="30"/>
                <w:szCs w:val="28"/>
                <w:lang w:eastAsia="zh-CN"/>
              </w:rPr>
              <w:t>席位号：</w:t>
            </w:r>
            <w:r>
              <w:rPr>
                <w:rFonts w:ascii="Times New Roman" w:hAnsi="Times New Roman" w:eastAsia="仿宋_GB2312" w:cs="新宋体"/>
                <w:sz w:val="30"/>
                <w:szCs w:val="28"/>
                <w:lang w:eastAsia="zh-CN"/>
              </w:rPr>
              <w:t xml:space="preserve"> </w:t>
            </w:r>
            <w:r>
              <w:rPr>
                <w:rFonts w:hint="eastAsia" w:ascii="Times New Roman" w:hAnsi="Times New Roman" w:eastAsia="仿宋_GB2312" w:cs="新宋体"/>
                <w:sz w:val="30"/>
                <w:szCs w:val="28"/>
                <w:lang w:eastAsia="zh-CN"/>
              </w:rPr>
              <w:t>【】</w:t>
            </w:r>
          </w:p>
        </w:tc>
      </w:tr>
    </w:tbl>
    <w:p w14:paraId="473D7DD2">
      <w:pPr>
        <w:pStyle w:val="17"/>
        <w:spacing w:before="154" w:line="560" w:lineRule="exact"/>
        <w:ind w:right="68"/>
        <w:rPr>
          <w:rFonts w:eastAsia="仿宋_GB2312" w:cs="新宋体"/>
          <w:sz w:val="30"/>
          <w:szCs w:val="28"/>
        </w:rPr>
      </w:pPr>
    </w:p>
    <w:p w14:paraId="63E95288">
      <w:pPr>
        <w:spacing w:before="72" w:after="72" w:line="560" w:lineRule="exact"/>
        <w:rPr>
          <w:rFonts w:eastAsia="仿宋_GB2312"/>
          <w:b/>
          <w:sz w:val="30"/>
          <w:szCs w:val="28"/>
        </w:rPr>
      </w:pPr>
      <w:r>
        <w:rPr>
          <w:rFonts w:hint="eastAsia" w:eastAsia="仿宋_GB2312"/>
          <w:b/>
          <w:sz w:val="30"/>
          <w:szCs w:val="28"/>
        </w:rPr>
        <w:t>七、补充条款</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30BE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6BAD8970">
            <w:pPr>
              <w:spacing w:line="560" w:lineRule="exact"/>
              <w:ind w:firstLine="360"/>
              <w:rPr>
                <w:rFonts w:eastAsia="仿宋_GB2312"/>
                <w:i/>
                <w:sz w:val="30"/>
                <w:szCs w:val="28"/>
                <w:lang w:eastAsia="en-US" w:bidi="en-US"/>
              </w:rPr>
            </w:pPr>
            <w:r>
              <w:rPr>
                <w:rFonts w:hint="eastAsia" w:eastAsia="仿宋_GB2312"/>
                <w:i/>
                <w:sz w:val="30"/>
                <w:szCs w:val="28"/>
                <w:lang w:eastAsia="en-US" w:bidi="en-US"/>
              </w:rPr>
              <w:t>补充条款可对于交易确认书内容做出补充约定（包括履约保障条款、对于定义或条款内容的另行约定等内容），但不得违反法律、行政法规、部门规章以及规范性文件</w:t>
            </w:r>
          </w:p>
          <w:p w14:paraId="63D8E23B">
            <w:pPr>
              <w:spacing w:line="560" w:lineRule="exact"/>
              <w:ind w:firstLine="360"/>
              <w:rPr>
                <w:rFonts w:eastAsia="仿宋_GB2312"/>
                <w:i/>
                <w:sz w:val="30"/>
                <w:szCs w:val="28"/>
                <w:lang w:eastAsia="en-US" w:bidi="en-US"/>
              </w:rPr>
            </w:pPr>
          </w:p>
          <w:p w14:paraId="255B8033">
            <w:pPr>
              <w:spacing w:line="560" w:lineRule="exact"/>
              <w:ind w:firstLine="360"/>
              <w:rPr>
                <w:rFonts w:eastAsia="仿宋_GB2312"/>
                <w:i/>
                <w:sz w:val="30"/>
                <w:szCs w:val="28"/>
                <w:lang w:eastAsia="en-US" w:bidi="en-US"/>
              </w:rPr>
            </w:pPr>
          </w:p>
          <w:p w14:paraId="26372A9E">
            <w:pPr>
              <w:spacing w:line="560" w:lineRule="exact"/>
              <w:ind w:firstLine="360"/>
              <w:rPr>
                <w:rFonts w:eastAsia="仿宋_GB2312"/>
                <w:i/>
                <w:sz w:val="30"/>
                <w:szCs w:val="28"/>
                <w:lang w:eastAsia="en-US" w:bidi="en-US"/>
              </w:rPr>
            </w:pPr>
          </w:p>
          <w:p w14:paraId="38261C03">
            <w:pPr>
              <w:spacing w:line="560" w:lineRule="exact"/>
              <w:ind w:firstLine="360"/>
              <w:rPr>
                <w:rFonts w:eastAsia="仿宋_GB2312"/>
                <w:i/>
                <w:sz w:val="30"/>
                <w:szCs w:val="28"/>
                <w:lang w:eastAsia="en-US" w:bidi="en-US"/>
              </w:rPr>
            </w:pPr>
          </w:p>
        </w:tc>
      </w:tr>
    </w:tbl>
    <w:p w14:paraId="0109CE4A">
      <w:pPr>
        <w:spacing w:line="560" w:lineRule="exact"/>
        <w:rPr>
          <w:rFonts w:eastAsia="仿宋_GB2312"/>
          <w:sz w:val="30"/>
          <w:szCs w:val="28"/>
        </w:rPr>
      </w:pPr>
    </w:p>
    <w:p w14:paraId="35E1E2B8">
      <w:pPr>
        <w:spacing w:before="72" w:after="72" w:line="560" w:lineRule="exact"/>
        <w:rPr>
          <w:rFonts w:eastAsia="仿宋_GB2312"/>
          <w:b/>
          <w:sz w:val="30"/>
          <w:szCs w:val="28"/>
        </w:rPr>
      </w:pPr>
      <w:r>
        <w:rPr>
          <w:rFonts w:hint="eastAsia" w:eastAsia="仿宋_GB2312"/>
          <w:b/>
          <w:sz w:val="30"/>
          <w:szCs w:val="28"/>
        </w:rPr>
        <w:t>八、与交易有关的声明与承诺条款</w:t>
      </w:r>
    </w:p>
    <w:p w14:paraId="4A00F189">
      <w:pPr>
        <w:pStyle w:val="17"/>
        <w:spacing w:before="154" w:line="560" w:lineRule="exact"/>
        <w:ind w:right="66"/>
        <w:rPr>
          <w:rFonts w:eastAsia="仿宋_GB2312" w:cs="新宋体"/>
          <w:sz w:val="30"/>
          <w:szCs w:val="28"/>
        </w:rPr>
      </w:pPr>
      <w:r>
        <w:rPr>
          <w:rFonts w:hint="eastAsia" w:eastAsia="仿宋_GB2312" w:cs="新宋体"/>
          <w:b/>
          <w:bCs/>
          <w:sz w:val="30"/>
          <w:szCs w:val="28"/>
        </w:rPr>
        <w:t>（一）一般的声明与承诺：</w:t>
      </w:r>
    </w:p>
    <w:p w14:paraId="74EEE531">
      <w:pPr>
        <w:spacing w:line="560" w:lineRule="exact"/>
        <w:ind w:right="105" w:rightChars="50" w:firstLine="584" w:firstLineChars="200"/>
        <w:rPr>
          <w:rFonts w:eastAsia="仿宋_GB2312" w:cs="新宋体"/>
          <w:sz w:val="30"/>
          <w:szCs w:val="28"/>
        </w:rPr>
      </w:pPr>
      <w:r>
        <w:rPr>
          <w:rFonts w:eastAsia="仿宋_GB2312" w:cs="新宋体"/>
          <w:spacing w:val="-4"/>
          <w:sz w:val="30"/>
          <w:szCs w:val="28"/>
        </w:rPr>
        <w:t>1</w:t>
      </w:r>
      <w:r>
        <w:rPr>
          <w:rFonts w:hint="eastAsia" w:eastAsia="仿宋_GB2312" w:cs="新宋体"/>
          <w:spacing w:val="-4"/>
          <w:sz w:val="30"/>
          <w:szCs w:val="28"/>
        </w:rPr>
        <w:t>、</w:t>
      </w:r>
      <w:r>
        <w:rPr>
          <w:rFonts w:hint="eastAsia" w:eastAsia="仿宋_GB2312" w:cs="新宋体"/>
          <w:b/>
          <w:spacing w:val="-4"/>
          <w:sz w:val="30"/>
          <w:szCs w:val="28"/>
        </w:rPr>
        <w:t>交易一方</w:t>
      </w:r>
      <w:r>
        <w:rPr>
          <w:rFonts w:hint="eastAsia" w:eastAsia="仿宋_GB2312" w:cs="新宋体"/>
          <w:spacing w:val="-4"/>
          <w:sz w:val="30"/>
          <w:szCs w:val="28"/>
        </w:rPr>
        <w:t>（包括其</w:t>
      </w:r>
      <w:r>
        <w:rPr>
          <w:rFonts w:hint="eastAsia" w:eastAsia="仿宋_GB2312" w:cs="新宋体"/>
          <w:b/>
          <w:bCs/>
          <w:spacing w:val="-4"/>
          <w:sz w:val="30"/>
          <w:szCs w:val="28"/>
        </w:rPr>
        <w:t>关联方</w:t>
      </w:r>
      <w:r>
        <w:rPr>
          <w:rFonts w:hint="eastAsia" w:eastAsia="仿宋_GB2312" w:cs="新宋体"/>
          <w:spacing w:val="-4"/>
          <w:sz w:val="30"/>
          <w:szCs w:val="28"/>
        </w:rPr>
        <w:t>）未向另一方就</w:t>
      </w:r>
      <w:r>
        <w:rPr>
          <w:rFonts w:hint="eastAsia" w:eastAsia="仿宋_GB2312" w:cs="新宋体"/>
          <w:b/>
          <w:bCs/>
          <w:spacing w:val="-4"/>
          <w:sz w:val="30"/>
          <w:szCs w:val="28"/>
        </w:rPr>
        <w:t>参考实体</w:t>
      </w:r>
      <w:r>
        <w:rPr>
          <w:rFonts w:hint="eastAsia" w:eastAsia="仿宋_GB2312" w:cs="新宋体"/>
          <w:spacing w:val="-4"/>
          <w:sz w:val="30"/>
          <w:szCs w:val="28"/>
        </w:rPr>
        <w:t>、</w:t>
      </w:r>
      <w:r>
        <w:rPr>
          <w:rFonts w:hint="eastAsia" w:eastAsia="仿宋_GB2312" w:cs="新宋体"/>
          <w:b/>
          <w:bCs/>
          <w:spacing w:val="-4"/>
          <w:sz w:val="30"/>
          <w:szCs w:val="28"/>
        </w:rPr>
        <w:t>债务</w:t>
      </w:r>
      <w:r>
        <w:rPr>
          <w:rFonts w:hint="eastAsia" w:eastAsia="仿宋_GB2312" w:cs="新宋体"/>
          <w:spacing w:val="-4"/>
          <w:sz w:val="30"/>
          <w:szCs w:val="28"/>
        </w:rPr>
        <w:t>、</w:t>
      </w:r>
      <w:r>
        <w:rPr>
          <w:rFonts w:hint="eastAsia" w:eastAsia="仿宋_GB2312" w:cs="新宋体"/>
          <w:b/>
          <w:bCs/>
          <w:spacing w:val="-4"/>
          <w:sz w:val="30"/>
          <w:szCs w:val="28"/>
        </w:rPr>
        <w:t>参考</w:t>
      </w:r>
      <w:r>
        <w:rPr>
          <w:rFonts w:hint="eastAsia" w:eastAsia="仿宋_GB2312" w:cs="新宋体"/>
          <w:b/>
          <w:bCs/>
          <w:sz w:val="30"/>
          <w:szCs w:val="28"/>
        </w:rPr>
        <w:t>债务</w:t>
      </w:r>
      <w:r>
        <w:rPr>
          <w:rFonts w:hint="eastAsia" w:eastAsia="仿宋_GB2312" w:cs="新宋体"/>
          <w:sz w:val="30"/>
          <w:szCs w:val="28"/>
        </w:rPr>
        <w:t>、</w:t>
      </w:r>
      <w:r>
        <w:rPr>
          <w:rFonts w:hint="eastAsia" w:eastAsia="仿宋_GB2312" w:cs="新宋体"/>
          <w:b/>
          <w:bCs/>
          <w:sz w:val="30"/>
          <w:szCs w:val="28"/>
        </w:rPr>
        <w:t>可交付债务</w:t>
      </w:r>
      <w:r>
        <w:rPr>
          <w:rFonts w:hint="eastAsia" w:eastAsia="仿宋_GB2312" w:cs="新宋体"/>
          <w:sz w:val="30"/>
          <w:szCs w:val="28"/>
        </w:rPr>
        <w:t>作出任何的声明或陈述。</w:t>
      </w:r>
    </w:p>
    <w:p w14:paraId="05FEE5B7">
      <w:pPr>
        <w:spacing w:before="156" w:line="560" w:lineRule="exact"/>
        <w:ind w:right="105" w:rightChars="50" w:firstLine="584" w:firstLineChars="200"/>
        <w:rPr>
          <w:rFonts w:eastAsia="仿宋_GB2312" w:cs="新宋体"/>
          <w:sz w:val="30"/>
          <w:szCs w:val="28"/>
        </w:rPr>
      </w:pPr>
      <w:r>
        <w:rPr>
          <w:rFonts w:eastAsia="仿宋_GB2312" w:cs="新宋体"/>
          <w:spacing w:val="-4"/>
          <w:sz w:val="30"/>
          <w:szCs w:val="28"/>
        </w:rPr>
        <w:t>2</w:t>
      </w:r>
      <w:r>
        <w:rPr>
          <w:rFonts w:hint="eastAsia" w:eastAsia="仿宋_GB2312" w:cs="新宋体"/>
          <w:spacing w:val="-4"/>
          <w:sz w:val="30"/>
          <w:szCs w:val="28"/>
        </w:rPr>
        <w:t>、</w:t>
      </w:r>
      <w:r>
        <w:rPr>
          <w:rFonts w:hint="eastAsia" w:eastAsia="仿宋_GB2312" w:cs="新宋体"/>
          <w:b/>
          <w:spacing w:val="-4"/>
          <w:sz w:val="30"/>
          <w:szCs w:val="28"/>
        </w:rPr>
        <w:t>交易一方</w:t>
      </w:r>
      <w:r>
        <w:rPr>
          <w:rFonts w:hint="eastAsia" w:eastAsia="仿宋_GB2312" w:cs="新宋体"/>
          <w:spacing w:val="-4"/>
          <w:sz w:val="30"/>
          <w:szCs w:val="28"/>
        </w:rPr>
        <w:t>（包括其</w:t>
      </w:r>
      <w:r>
        <w:rPr>
          <w:rFonts w:hint="eastAsia" w:eastAsia="仿宋_GB2312" w:cs="新宋体"/>
          <w:b/>
          <w:bCs/>
          <w:spacing w:val="-4"/>
          <w:sz w:val="30"/>
          <w:szCs w:val="28"/>
        </w:rPr>
        <w:t>关联方</w:t>
      </w:r>
      <w:r>
        <w:rPr>
          <w:rFonts w:hint="eastAsia" w:eastAsia="仿宋_GB2312" w:cs="新宋体"/>
          <w:spacing w:val="-4"/>
          <w:sz w:val="30"/>
          <w:szCs w:val="28"/>
        </w:rPr>
        <w:t>）均有权就</w:t>
      </w:r>
      <w:r>
        <w:rPr>
          <w:rFonts w:hint="eastAsia" w:eastAsia="仿宋_GB2312" w:cs="新宋体"/>
          <w:b/>
          <w:bCs/>
          <w:spacing w:val="-4"/>
          <w:sz w:val="30"/>
          <w:szCs w:val="28"/>
        </w:rPr>
        <w:t>债务</w:t>
      </w:r>
      <w:r>
        <w:rPr>
          <w:rFonts w:hint="eastAsia" w:eastAsia="仿宋_GB2312" w:cs="新宋体"/>
          <w:spacing w:val="-4"/>
          <w:sz w:val="30"/>
          <w:szCs w:val="28"/>
        </w:rPr>
        <w:t>、</w:t>
      </w:r>
      <w:r>
        <w:rPr>
          <w:rFonts w:hint="eastAsia" w:eastAsia="仿宋_GB2312" w:cs="新宋体"/>
          <w:b/>
          <w:bCs/>
          <w:spacing w:val="-4"/>
          <w:sz w:val="30"/>
          <w:szCs w:val="28"/>
        </w:rPr>
        <w:t>参考债务</w:t>
      </w:r>
      <w:r>
        <w:rPr>
          <w:rFonts w:hint="eastAsia" w:eastAsia="仿宋_GB2312" w:cs="新宋体"/>
          <w:spacing w:val="-4"/>
          <w:sz w:val="30"/>
          <w:szCs w:val="28"/>
        </w:rPr>
        <w:t>或</w:t>
      </w:r>
      <w:r>
        <w:rPr>
          <w:rFonts w:hint="eastAsia" w:eastAsia="仿宋_GB2312" w:cs="新宋体"/>
          <w:b/>
          <w:bCs/>
          <w:spacing w:val="-4"/>
          <w:sz w:val="30"/>
          <w:szCs w:val="28"/>
        </w:rPr>
        <w:t>可交付债务</w:t>
      </w:r>
      <w:r>
        <w:rPr>
          <w:rFonts w:hint="eastAsia" w:eastAsia="仿宋_GB2312" w:cs="新宋体"/>
          <w:spacing w:val="-4"/>
          <w:sz w:val="30"/>
          <w:szCs w:val="28"/>
        </w:rPr>
        <w:t>进行任何交易，或接受</w:t>
      </w:r>
      <w:r>
        <w:rPr>
          <w:rFonts w:hint="eastAsia" w:eastAsia="仿宋_GB2312" w:cs="新宋体"/>
          <w:b/>
          <w:bCs/>
          <w:spacing w:val="-4"/>
          <w:sz w:val="30"/>
          <w:szCs w:val="28"/>
        </w:rPr>
        <w:t>参考实体</w:t>
      </w:r>
      <w:r>
        <w:rPr>
          <w:rFonts w:hint="eastAsia" w:eastAsia="仿宋_GB2312" w:cs="新宋体"/>
          <w:spacing w:val="-4"/>
          <w:sz w:val="30"/>
          <w:szCs w:val="28"/>
        </w:rPr>
        <w:t>的存款、向其放款或与其进行任何金融或商业业务活动，不受</w:t>
      </w:r>
      <w:r>
        <w:rPr>
          <w:rFonts w:hint="eastAsia" w:eastAsia="仿宋_GB2312" w:cs="新宋体"/>
          <w:b/>
          <w:bCs/>
          <w:spacing w:val="-4"/>
          <w:sz w:val="30"/>
          <w:szCs w:val="28"/>
        </w:rPr>
        <w:t>本确认书</w:t>
      </w:r>
      <w:r>
        <w:rPr>
          <w:rFonts w:hint="eastAsia" w:eastAsia="仿宋_GB2312" w:cs="新宋体"/>
          <w:spacing w:val="-4"/>
          <w:sz w:val="30"/>
          <w:szCs w:val="28"/>
        </w:rPr>
        <w:t>项下的</w:t>
      </w:r>
      <w:r>
        <w:rPr>
          <w:rFonts w:hint="eastAsia" w:eastAsia="仿宋_GB2312" w:cs="新宋体"/>
          <w:b/>
          <w:bCs/>
          <w:spacing w:val="-4"/>
          <w:sz w:val="30"/>
          <w:szCs w:val="28"/>
        </w:rPr>
        <w:t>交易</w:t>
      </w:r>
      <w:r>
        <w:rPr>
          <w:rFonts w:hint="eastAsia" w:eastAsia="仿宋_GB2312" w:cs="新宋体"/>
          <w:spacing w:val="-4"/>
          <w:sz w:val="30"/>
          <w:szCs w:val="28"/>
        </w:rPr>
        <w:t>的影响，即使上述交易或业务活动可能对</w:t>
      </w:r>
      <w:r>
        <w:rPr>
          <w:rFonts w:hint="eastAsia" w:eastAsia="仿宋_GB2312" w:cs="新宋体"/>
          <w:b/>
          <w:bCs/>
          <w:spacing w:val="-4"/>
          <w:sz w:val="30"/>
          <w:szCs w:val="28"/>
        </w:rPr>
        <w:t>参考实体</w:t>
      </w:r>
      <w:r>
        <w:rPr>
          <w:rFonts w:hint="eastAsia" w:eastAsia="仿宋_GB2312" w:cs="新宋体"/>
          <w:spacing w:val="-4"/>
          <w:sz w:val="30"/>
          <w:szCs w:val="28"/>
        </w:rPr>
        <w:t>或另一方在</w:t>
      </w:r>
      <w:r>
        <w:rPr>
          <w:rFonts w:hint="eastAsia" w:eastAsia="仿宋_GB2312" w:cs="新宋体"/>
          <w:b/>
          <w:bCs/>
          <w:spacing w:val="-4"/>
          <w:sz w:val="30"/>
          <w:szCs w:val="28"/>
        </w:rPr>
        <w:t>本确认书</w:t>
      </w:r>
      <w:r>
        <w:rPr>
          <w:rFonts w:hint="eastAsia" w:eastAsia="仿宋_GB2312" w:cs="新宋体"/>
          <w:spacing w:val="-4"/>
          <w:sz w:val="30"/>
          <w:szCs w:val="28"/>
        </w:rPr>
        <w:t>项下的</w:t>
      </w:r>
      <w:r>
        <w:rPr>
          <w:rFonts w:hint="eastAsia" w:eastAsia="仿宋_GB2312" w:cs="新宋体"/>
          <w:b/>
          <w:bCs/>
          <w:spacing w:val="-4"/>
          <w:sz w:val="30"/>
          <w:szCs w:val="28"/>
        </w:rPr>
        <w:t>交易</w:t>
      </w:r>
      <w:r>
        <w:rPr>
          <w:rFonts w:hint="eastAsia" w:eastAsia="仿宋_GB2312" w:cs="新宋体"/>
          <w:spacing w:val="-4"/>
          <w:sz w:val="30"/>
          <w:szCs w:val="28"/>
        </w:rPr>
        <w:t>所涉及的权利义务产生不利影响（包括但不限于任何可能构成或产</w:t>
      </w:r>
      <w:r>
        <w:rPr>
          <w:rFonts w:hint="eastAsia" w:eastAsia="仿宋_GB2312" w:cs="新宋体"/>
          <w:sz w:val="30"/>
          <w:szCs w:val="28"/>
        </w:rPr>
        <w:t>生一项</w:t>
      </w:r>
      <w:r>
        <w:rPr>
          <w:rFonts w:hint="eastAsia" w:eastAsia="仿宋_GB2312" w:cs="新宋体"/>
          <w:b/>
          <w:bCs/>
          <w:sz w:val="30"/>
          <w:szCs w:val="28"/>
        </w:rPr>
        <w:t>信用事件</w:t>
      </w:r>
      <w:r>
        <w:rPr>
          <w:rFonts w:hint="eastAsia" w:eastAsia="仿宋_GB2312" w:cs="新宋体"/>
          <w:sz w:val="30"/>
          <w:szCs w:val="28"/>
        </w:rPr>
        <w:t>的行为）。</w:t>
      </w:r>
    </w:p>
    <w:p w14:paraId="4EA3538A">
      <w:pPr>
        <w:spacing w:before="128" w:line="560" w:lineRule="exact"/>
        <w:ind w:right="105" w:rightChars="50" w:firstLine="600" w:firstLineChars="200"/>
        <w:rPr>
          <w:rFonts w:eastAsia="仿宋_GB2312" w:cs="新宋体"/>
          <w:sz w:val="30"/>
          <w:szCs w:val="28"/>
        </w:rPr>
      </w:pPr>
      <w:r>
        <w:rPr>
          <w:rFonts w:eastAsia="仿宋_GB2312" w:cs="新宋体"/>
          <w:sz w:val="30"/>
          <w:szCs w:val="28"/>
        </w:rPr>
        <w:t>3</w:t>
      </w:r>
      <w:r>
        <w:rPr>
          <w:rFonts w:hint="eastAsia" w:eastAsia="仿宋_GB2312" w:cs="新宋体"/>
          <w:sz w:val="30"/>
          <w:szCs w:val="28"/>
        </w:rPr>
        <w:t>、</w:t>
      </w:r>
      <w:r>
        <w:rPr>
          <w:rFonts w:hint="eastAsia" w:eastAsia="仿宋_GB2312" w:cs="新宋体"/>
          <w:b/>
          <w:sz w:val="30"/>
          <w:szCs w:val="28"/>
        </w:rPr>
        <w:t>交易一方</w:t>
      </w:r>
      <w:r>
        <w:rPr>
          <w:rFonts w:hint="eastAsia" w:eastAsia="仿宋_GB2312" w:cs="新宋体"/>
          <w:sz w:val="30"/>
          <w:szCs w:val="28"/>
        </w:rPr>
        <w:t>（包括其</w:t>
      </w:r>
      <w:r>
        <w:rPr>
          <w:rFonts w:hint="eastAsia" w:eastAsia="仿宋_GB2312" w:cs="新宋体"/>
          <w:b/>
          <w:bCs/>
          <w:sz w:val="30"/>
          <w:szCs w:val="28"/>
        </w:rPr>
        <w:t>关联方</w:t>
      </w:r>
      <w:r>
        <w:rPr>
          <w:rFonts w:hint="eastAsia" w:eastAsia="仿宋_GB2312" w:cs="新宋体"/>
          <w:sz w:val="30"/>
          <w:szCs w:val="28"/>
        </w:rPr>
        <w:t>）均有权在</w:t>
      </w:r>
      <w:r>
        <w:rPr>
          <w:rFonts w:hint="eastAsia" w:eastAsia="仿宋_GB2312" w:cs="新宋体"/>
          <w:b/>
          <w:bCs/>
          <w:sz w:val="30"/>
          <w:szCs w:val="28"/>
        </w:rPr>
        <w:t>签署日</w:t>
      </w:r>
      <w:r>
        <w:rPr>
          <w:rFonts w:hint="eastAsia" w:eastAsia="仿宋_GB2312" w:cs="新宋体"/>
          <w:sz w:val="30"/>
          <w:szCs w:val="28"/>
        </w:rPr>
        <w:t>后获取</w:t>
      </w:r>
      <w:r>
        <w:rPr>
          <w:rFonts w:hint="eastAsia" w:eastAsia="仿宋_GB2312" w:cs="新宋体"/>
          <w:spacing w:val="-4"/>
          <w:sz w:val="30"/>
          <w:szCs w:val="28"/>
        </w:rPr>
        <w:t>或掌握与</w:t>
      </w:r>
      <w:r>
        <w:rPr>
          <w:rFonts w:hint="eastAsia" w:eastAsia="仿宋_GB2312" w:cs="新宋体"/>
          <w:b/>
          <w:bCs/>
          <w:spacing w:val="-4"/>
          <w:sz w:val="30"/>
          <w:szCs w:val="28"/>
        </w:rPr>
        <w:t>参考实体</w:t>
      </w:r>
      <w:r>
        <w:rPr>
          <w:rFonts w:hint="eastAsia" w:eastAsia="仿宋_GB2312" w:cs="新宋体"/>
          <w:spacing w:val="-4"/>
          <w:sz w:val="30"/>
          <w:szCs w:val="28"/>
        </w:rPr>
        <w:t>有关的信息，该信息可能与</w:t>
      </w:r>
      <w:r>
        <w:rPr>
          <w:rFonts w:hint="eastAsia" w:eastAsia="仿宋_GB2312" w:cs="新宋体"/>
          <w:b/>
          <w:bCs/>
          <w:spacing w:val="-4"/>
          <w:sz w:val="30"/>
          <w:szCs w:val="28"/>
        </w:rPr>
        <w:t>交易</w:t>
      </w:r>
      <w:r>
        <w:rPr>
          <w:rFonts w:hint="eastAsia" w:eastAsia="仿宋_GB2312" w:cs="新宋体"/>
          <w:spacing w:val="-4"/>
          <w:sz w:val="30"/>
          <w:szCs w:val="28"/>
        </w:rPr>
        <w:t>有关且不为公众或另一方所知悉，但该方没有义务向另一方披露该</w:t>
      </w:r>
      <w:r>
        <w:rPr>
          <w:rFonts w:hint="eastAsia" w:eastAsia="仿宋_GB2312" w:cs="新宋体"/>
          <w:sz w:val="30"/>
          <w:szCs w:val="28"/>
        </w:rPr>
        <w:t>信息（无论其是否为保密信息）。</w:t>
      </w:r>
    </w:p>
    <w:p w14:paraId="1B669AEB">
      <w:pPr>
        <w:pStyle w:val="17"/>
        <w:spacing w:before="154" w:line="560" w:lineRule="exact"/>
        <w:rPr>
          <w:rFonts w:eastAsia="仿宋_GB2312" w:cs="新宋体"/>
          <w:sz w:val="30"/>
          <w:szCs w:val="28"/>
        </w:rPr>
      </w:pPr>
      <w:r>
        <w:rPr>
          <w:rFonts w:hint="eastAsia" w:eastAsia="仿宋_GB2312" w:cs="新宋体"/>
          <w:b/>
          <w:bCs/>
          <w:sz w:val="30"/>
          <w:szCs w:val="28"/>
        </w:rPr>
        <w:t>（二）与实物结算有关的声明与承诺：</w:t>
      </w:r>
    </w:p>
    <w:p w14:paraId="05EA314D">
      <w:pPr>
        <w:spacing w:before="156" w:line="560" w:lineRule="exact"/>
        <w:ind w:right="105" w:rightChars="50" w:firstLine="584" w:firstLineChars="200"/>
        <w:rPr>
          <w:rFonts w:eastAsia="仿宋_GB2312" w:cs="新宋体"/>
          <w:sz w:val="30"/>
          <w:szCs w:val="28"/>
        </w:rPr>
      </w:pPr>
      <w:r>
        <w:rPr>
          <w:rFonts w:eastAsia="仿宋_GB2312" w:cs="新宋体"/>
          <w:spacing w:val="-4"/>
          <w:sz w:val="30"/>
          <w:szCs w:val="28"/>
        </w:rPr>
        <w:t>1</w:t>
      </w:r>
      <w:r>
        <w:rPr>
          <w:rFonts w:hint="eastAsia" w:eastAsia="仿宋_GB2312" w:cs="新宋体"/>
          <w:spacing w:val="-4"/>
          <w:sz w:val="30"/>
          <w:szCs w:val="28"/>
        </w:rPr>
        <w:t>、若</w:t>
      </w:r>
      <w:r>
        <w:rPr>
          <w:rFonts w:hint="eastAsia" w:eastAsia="仿宋_GB2312" w:cs="新宋体"/>
          <w:b/>
          <w:bCs/>
          <w:spacing w:val="-4"/>
          <w:sz w:val="30"/>
          <w:szCs w:val="28"/>
        </w:rPr>
        <w:t>信用保护买方</w:t>
      </w:r>
      <w:r>
        <w:rPr>
          <w:rFonts w:hint="eastAsia" w:eastAsia="仿宋_GB2312" w:cs="新宋体"/>
          <w:spacing w:val="-4"/>
          <w:sz w:val="30"/>
          <w:szCs w:val="28"/>
        </w:rPr>
        <w:t>向</w:t>
      </w:r>
      <w:r>
        <w:rPr>
          <w:rFonts w:hint="eastAsia" w:eastAsia="仿宋_GB2312" w:cs="新宋体"/>
          <w:b/>
          <w:bCs/>
          <w:spacing w:val="-4"/>
          <w:sz w:val="30"/>
          <w:szCs w:val="28"/>
        </w:rPr>
        <w:t>信用保护卖方交割</w:t>
      </w:r>
      <w:r>
        <w:rPr>
          <w:rFonts w:hint="eastAsia" w:eastAsia="仿宋_GB2312" w:cs="新宋体"/>
          <w:spacing w:val="-4"/>
          <w:sz w:val="30"/>
          <w:szCs w:val="28"/>
        </w:rPr>
        <w:t>的</w:t>
      </w:r>
      <w:r>
        <w:rPr>
          <w:rFonts w:hint="eastAsia" w:eastAsia="仿宋_GB2312" w:cs="新宋体"/>
          <w:b/>
          <w:bCs/>
          <w:spacing w:val="-4"/>
          <w:sz w:val="30"/>
          <w:szCs w:val="28"/>
        </w:rPr>
        <w:t>可交付债务</w:t>
      </w:r>
      <w:r>
        <w:rPr>
          <w:rFonts w:hint="eastAsia" w:eastAsia="仿宋_GB2312" w:cs="新宋体"/>
          <w:spacing w:val="-4"/>
          <w:sz w:val="30"/>
          <w:szCs w:val="28"/>
        </w:rPr>
        <w:t>在所有权方面</w:t>
      </w:r>
      <w:r>
        <w:rPr>
          <w:rFonts w:eastAsia="仿宋_GB2312" w:cs="新宋体"/>
          <w:spacing w:val="-111"/>
          <w:sz w:val="30"/>
          <w:szCs w:val="28"/>
        </w:rPr>
        <w:t xml:space="preserve"> </w:t>
      </w:r>
      <w:r>
        <w:rPr>
          <w:rFonts w:hint="eastAsia" w:eastAsia="仿宋_GB2312" w:cs="新宋体"/>
          <w:spacing w:val="-4"/>
          <w:sz w:val="30"/>
          <w:szCs w:val="28"/>
        </w:rPr>
        <w:t>存在瑕疵，或受限于任何担保物权、请求权、其他权利负担或第三方权益（但</w:t>
      </w:r>
      <w:r>
        <w:rPr>
          <w:rFonts w:hint="eastAsia" w:eastAsia="仿宋_GB2312" w:cs="新宋体"/>
          <w:b/>
          <w:bCs/>
          <w:spacing w:val="-4"/>
          <w:sz w:val="30"/>
          <w:szCs w:val="28"/>
        </w:rPr>
        <w:t>参考实体</w:t>
      </w:r>
      <w:r>
        <w:rPr>
          <w:rFonts w:hint="eastAsia" w:eastAsia="仿宋_GB2312" w:cs="新宋体"/>
          <w:spacing w:val="-4"/>
          <w:sz w:val="30"/>
          <w:szCs w:val="28"/>
        </w:rPr>
        <w:t>享有的或可行使的抵销权除外），则应赔偿由此给</w:t>
      </w:r>
      <w:r>
        <w:rPr>
          <w:rFonts w:hint="eastAsia" w:eastAsia="仿宋_GB2312" w:cs="新宋体"/>
          <w:b/>
          <w:bCs/>
          <w:spacing w:val="-4"/>
          <w:sz w:val="30"/>
          <w:szCs w:val="28"/>
        </w:rPr>
        <w:t>信用保护卖方</w:t>
      </w:r>
      <w:r>
        <w:rPr>
          <w:rFonts w:hint="eastAsia" w:eastAsia="仿宋_GB2312" w:cs="新宋体"/>
          <w:spacing w:val="-4"/>
          <w:sz w:val="30"/>
          <w:szCs w:val="28"/>
        </w:rPr>
        <w:t>造成的直接损失，除非</w:t>
      </w:r>
      <w:r>
        <w:rPr>
          <w:rFonts w:hint="eastAsia" w:eastAsia="仿宋_GB2312" w:cs="新宋体"/>
          <w:b/>
          <w:bCs/>
          <w:spacing w:val="-4"/>
          <w:sz w:val="30"/>
          <w:szCs w:val="28"/>
        </w:rPr>
        <w:t>信用保护买方</w:t>
      </w:r>
      <w:r>
        <w:rPr>
          <w:rFonts w:hint="eastAsia" w:eastAsia="仿宋_GB2312" w:cs="新宋体"/>
          <w:spacing w:val="-4"/>
          <w:sz w:val="30"/>
          <w:szCs w:val="28"/>
        </w:rPr>
        <w:t>能够</w:t>
      </w:r>
      <w:r>
        <w:rPr>
          <w:rFonts w:hint="eastAsia" w:eastAsia="仿宋_GB2312" w:cs="新宋体"/>
          <w:spacing w:val="4"/>
          <w:sz w:val="30"/>
          <w:szCs w:val="28"/>
        </w:rPr>
        <w:t>证明其已采取合理可行的措施对该</w:t>
      </w:r>
      <w:r>
        <w:rPr>
          <w:rFonts w:hint="eastAsia" w:eastAsia="仿宋_GB2312" w:cs="新宋体"/>
          <w:b/>
          <w:bCs/>
          <w:spacing w:val="4"/>
          <w:sz w:val="30"/>
          <w:szCs w:val="28"/>
        </w:rPr>
        <w:t>可交付债务</w:t>
      </w:r>
      <w:r>
        <w:rPr>
          <w:rFonts w:hint="eastAsia" w:eastAsia="仿宋_GB2312" w:cs="新宋体"/>
          <w:spacing w:val="4"/>
          <w:sz w:val="30"/>
          <w:szCs w:val="28"/>
        </w:rPr>
        <w:t>进行了调查与核</w:t>
      </w:r>
      <w:r>
        <w:rPr>
          <w:rFonts w:hint="eastAsia" w:eastAsia="仿宋_GB2312" w:cs="新宋体"/>
          <w:spacing w:val="-4"/>
          <w:sz w:val="30"/>
          <w:szCs w:val="28"/>
        </w:rPr>
        <w:t>实。该赔偿义务在</w:t>
      </w:r>
      <w:r>
        <w:rPr>
          <w:rFonts w:hint="eastAsia" w:eastAsia="仿宋_GB2312" w:cs="新宋体"/>
          <w:b/>
          <w:bCs/>
          <w:spacing w:val="-4"/>
          <w:sz w:val="30"/>
          <w:szCs w:val="28"/>
        </w:rPr>
        <w:t>本确认书</w:t>
      </w:r>
      <w:r>
        <w:rPr>
          <w:rFonts w:hint="eastAsia" w:eastAsia="仿宋_GB2312" w:cs="新宋体"/>
          <w:spacing w:val="-4"/>
          <w:sz w:val="30"/>
          <w:szCs w:val="28"/>
        </w:rPr>
        <w:t>项下的</w:t>
      </w:r>
      <w:r>
        <w:rPr>
          <w:rFonts w:hint="eastAsia" w:eastAsia="仿宋_GB2312" w:cs="新宋体"/>
          <w:b/>
          <w:bCs/>
          <w:spacing w:val="-4"/>
          <w:sz w:val="30"/>
          <w:szCs w:val="28"/>
        </w:rPr>
        <w:t>交易</w:t>
      </w:r>
      <w:r>
        <w:rPr>
          <w:rFonts w:hint="eastAsia" w:eastAsia="仿宋_GB2312" w:cs="新宋体"/>
          <w:spacing w:val="-4"/>
          <w:sz w:val="30"/>
          <w:szCs w:val="28"/>
        </w:rPr>
        <w:t>的</w:t>
      </w:r>
      <w:r>
        <w:rPr>
          <w:rFonts w:hint="eastAsia" w:eastAsia="仿宋_GB2312" w:cs="新宋体"/>
          <w:b/>
          <w:bCs/>
          <w:spacing w:val="-4"/>
          <w:sz w:val="30"/>
          <w:szCs w:val="28"/>
        </w:rPr>
        <w:t>到期日</w:t>
      </w:r>
      <w:r>
        <w:rPr>
          <w:rFonts w:hint="eastAsia" w:eastAsia="仿宋_GB2312" w:cs="新宋体"/>
          <w:spacing w:val="-4"/>
          <w:sz w:val="30"/>
          <w:szCs w:val="28"/>
        </w:rPr>
        <w:t>之后仍然有效。但是，</w:t>
      </w:r>
      <w:r>
        <w:rPr>
          <w:rFonts w:hint="eastAsia" w:eastAsia="仿宋_GB2312" w:cs="新宋体"/>
          <w:b/>
          <w:bCs/>
          <w:spacing w:val="-4"/>
          <w:sz w:val="30"/>
          <w:szCs w:val="28"/>
        </w:rPr>
        <w:t>信用保护</w:t>
      </w:r>
      <w:r>
        <w:rPr>
          <w:rFonts w:hint="eastAsia" w:eastAsia="仿宋_GB2312" w:cs="新宋体"/>
          <w:b/>
          <w:bCs/>
          <w:spacing w:val="4"/>
          <w:sz w:val="30"/>
          <w:szCs w:val="28"/>
        </w:rPr>
        <w:t>买方</w:t>
      </w:r>
      <w:r>
        <w:rPr>
          <w:rFonts w:hint="eastAsia" w:eastAsia="仿宋_GB2312" w:cs="新宋体"/>
          <w:spacing w:val="4"/>
          <w:sz w:val="30"/>
          <w:szCs w:val="28"/>
        </w:rPr>
        <w:t>未能满足上述要求不视为构成了其在</w:t>
      </w:r>
      <w:r>
        <w:rPr>
          <w:rFonts w:hint="eastAsia" w:eastAsia="仿宋_GB2312" w:cs="新宋体"/>
          <w:b/>
          <w:bCs/>
          <w:spacing w:val="4"/>
          <w:sz w:val="30"/>
          <w:szCs w:val="28"/>
        </w:rPr>
        <w:t>本确认书</w:t>
      </w:r>
      <w:r>
        <w:rPr>
          <w:rFonts w:hint="eastAsia" w:eastAsia="仿宋_GB2312" w:cs="新宋体"/>
          <w:spacing w:val="4"/>
          <w:sz w:val="30"/>
          <w:szCs w:val="28"/>
        </w:rPr>
        <w:t>项下的</w:t>
      </w:r>
      <w:r>
        <w:rPr>
          <w:rFonts w:hint="eastAsia" w:eastAsia="仿宋_GB2312" w:cs="新宋体"/>
          <w:sz w:val="30"/>
          <w:szCs w:val="28"/>
        </w:rPr>
        <w:t>一个</w:t>
      </w:r>
      <w:r>
        <w:rPr>
          <w:rFonts w:hint="eastAsia" w:eastAsia="仿宋_GB2312" w:cs="新宋体"/>
          <w:b/>
          <w:sz w:val="30"/>
          <w:szCs w:val="28"/>
        </w:rPr>
        <w:t>违约事件</w:t>
      </w:r>
      <w:r>
        <w:rPr>
          <w:rFonts w:hint="eastAsia" w:eastAsia="仿宋_GB2312" w:cs="新宋体"/>
          <w:sz w:val="30"/>
          <w:szCs w:val="28"/>
        </w:rPr>
        <w:t>。</w:t>
      </w:r>
    </w:p>
    <w:p w14:paraId="6B624377">
      <w:pPr>
        <w:spacing w:before="185" w:line="560" w:lineRule="exact"/>
        <w:ind w:right="105" w:rightChars="50" w:firstLine="584" w:firstLineChars="200"/>
        <w:rPr>
          <w:rFonts w:eastAsia="仿宋_GB2312" w:cs="新宋体"/>
          <w:sz w:val="30"/>
          <w:szCs w:val="28"/>
        </w:rPr>
      </w:pPr>
      <w:r>
        <w:rPr>
          <w:rFonts w:eastAsia="仿宋_GB2312" w:cs="新宋体"/>
          <w:spacing w:val="-4"/>
          <w:sz w:val="30"/>
          <w:szCs w:val="28"/>
        </w:rPr>
        <w:t>2</w:t>
      </w:r>
      <w:r>
        <w:rPr>
          <w:rFonts w:hint="eastAsia" w:eastAsia="仿宋_GB2312" w:cs="新宋体"/>
          <w:spacing w:val="-4"/>
          <w:sz w:val="30"/>
          <w:szCs w:val="28"/>
        </w:rPr>
        <w:t>、</w:t>
      </w:r>
      <w:r>
        <w:rPr>
          <w:rFonts w:hint="eastAsia" w:eastAsia="仿宋_GB2312" w:cs="新宋体"/>
          <w:b/>
          <w:bCs/>
          <w:spacing w:val="-4"/>
          <w:sz w:val="30"/>
          <w:szCs w:val="28"/>
        </w:rPr>
        <w:t>信用保护买方交割</w:t>
      </w:r>
      <w:r>
        <w:rPr>
          <w:rFonts w:hint="eastAsia" w:eastAsia="仿宋_GB2312" w:cs="新宋体"/>
          <w:spacing w:val="-4"/>
          <w:sz w:val="30"/>
          <w:szCs w:val="28"/>
        </w:rPr>
        <w:t>给</w:t>
      </w:r>
      <w:r>
        <w:rPr>
          <w:rFonts w:hint="eastAsia" w:eastAsia="仿宋_GB2312" w:cs="新宋体"/>
          <w:b/>
          <w:bCs/>
          <w:spacing w:val="-4"/>
          <w:sz w:val="30"/>
          <w:szCs w:val="28"/>
        </w:rPr>
        <w:t>信用保护卖方</w:t>
      </w:r>
      <w:r>
        <w:rPr>
          <w:rFonts w:hint="eastAsia" w:eastAsia="仿宋_GB2312" w:cs="新宋体"/>
          <w:spacing w:val="-4"/>
          <w:sz w:val="30"/>
          <w:szCs w:val="28"/>
        </w:rPr>
        <w:t>的</w:t>
      </w:r>
      <w:r>
        <w:rPr>
          <w:rFonts w:hint="eastAsia" w:eastAsia="仿宋_GB2312" w:cs="新宋体"/>
          <w:b/>
          <w:bCs/>
          <w:spacing w:val="-4"/>
          <w:sz w:val="30"/>
          <w:szCs w:val="28"/>
        </w:rPr>
        <w:t>可交付债务</w:t>
      </w:r>
      <w:r>
        <w:rPr>
          <w:rFonts w:hint="eastAsia" w:eastAsia="仿宋_GB2312" w:cs="新宋体"/>
          <w:spacing w:val="-4"/>
          <w:sz w:val="30"/>
          <w:szCs w:val="28"/>
        </w:rPr>
        <w:t>不得要求</w:t>
      </w:r>
      <w:r>
        <w:rPr>
          <w:rFonts w:hint="eastAsia" w:eastAsia="仿宋_GB2312" w:cs="新宋体"/>
          <w:b/>
          <w:bCs/>
          <w:spacing w:val="-4"/>
          <w:sz w:val="30"/>
          <w:szCs w:val="28"/>
        </w:rPr>
        <w:t>信用保</w:t>
      </w:r>
      <w:r>
        <w:rPr>
          <w:rFonts w:hint="eastAsia" w:eastAsia="仿宋_GB2312" w:cs="新宋体"/>
          <w:b/>
          <w:bCs/>
          <w:spacing w:val="4"/>
          <w:sz w:val="30"/>
          <w:szCs w:val="28"/>
        </w:rPr>
        <w:t>护卖方</w:t>
      </w:r>
      <w:r>
        <w:rPr>
          <w:rFonts w:hint="eastAsia" w:eastAsia="仿宋_GB2312" w:cs="新宋体"/>
          <w:spacing w:val="4"/>
          <w:sz w:val="30"/>
          <w:szCs w:val="28"/>
        </w:rPr>
        <w:t>对</w:t>
      </w:r>
      <w:r>
        <w:rPr>
          <w:rFonts w:hint="eastAsia" w:eastAsia="仿宋_GB2312" w:cs="新宋体"/>
          <w:b/>
          <w:bCs/>
          <w:spacing w:val="4"/>
          <w:sz w:val="30"/>
          <w:szCs w:val="28"/>
        </w:rPr>
        <w:t>参考实体</w:t>
      </w:r>
      <w:r>
        <w:rPr>
          <w:rFonts w:hint="eastAsia" w:eastAsia="仿宋_GB2312" w:cs="新宋体"/>
          <w:spacing w:val="4"/>
          <w:sz w:val="30"/>
          <w:szCs w:val="28"/>
        </w:rPr>
        <w:t>承诺提供任何后续资金（包括或有的资金承</w:t>
      </w:r>
      <w:r>
        <w:rPr>
          <w:rFonts w:hint="eastAsia" w:eastAsia="仿宋_GB2312" w:cs="新宋体"/>
          <w:sz w:val="30"/>
          <w:szCs w:val="28"/>
        </w:rPr>
        <w:t>诺），或对</w:t>
      </w:r>
      <w:r>
        <w:rPr>
          <w:rFonts w:hint="eastAsia" w:eastAsia="仿宋_GB2312" w:cs="新宋体"/>
          <w:b/>
          <w:bCs/>
          <w:sz w:val="30"/>
          <w:szCs w:val="28"/>
        </w:rPr>
        <w:t>参考实体</w:t>
      </w:r>
      <w:r>
        <w:rPr>
          <w:rFonts w:hint="eastAsia" w:eastAsia="仿宋_GB2312" w:cs="新宋体"/>
          <w:sz w:val="30"/>
          <w:szCs w:val="28"/>
        </w:rPr>
        <w:t>负有任何支付款项的义务。</w:t>
      </w:r>
    </w:p>
    <w:p w14:paraId="6B0041A9">
      <w:pPr>
        <w:spacing w:before="156" w:line="560" w:lineRule="exact"/>
        <w:ind w:right="105" w:rightChars="50" w:firstLine="584" w:firstLineChars="200"/>
        <w:rPr>
          <w:rFonts w:eastAsia="仿宋_GB2312" w:cs="新宋体"/>
          <w:sz w:val="30"/>
          <w:szCs w:val="28"/>
        </w:rPr>
      </w:pPr>
      <w:r>
        <w:rPr>
          <w:rFonts w:eastAsia="仿宋_GB2312" w:cs="新宋体"/>
          <w:spacing w:val="-4"/>
          <w:sz w:val="30"/>
          <w:szCs w:val="28"/>
        </w:rPr>
        <w:t>3</w:t>
      </w:r>
      <w:r>
        <w:rPr>
          <w:rFonts w:hint="eastAsia" w:eastAsia="仿宋_GB2312" w:cs="新宋体"/>
          <w:spacing w:val="-4"/>
          <w:sz w:val="30"/>
          <w:szCs w:val="28"/>
        </w:rPr>
        <w:t>、</w:t>
      </w:r>
      <w:r>
        <w:rPr>
          <w:rFonts w:hint="eastAsia" w:eastAsia="仿宋_GB2312" w:cs="新宋体"/>
          <w:b/>
          <w:bCs/>
          <w:spacing w:val="-4"/>
          <w:sz w:val="30"/>
          <w:szCs w:val="28"/>
        </w:rPr>
        <w:t>信用</w:t>
      </w:r>
      <w:r>
        <w:rPr>
          <w:rFonts w:hint="eastAsia" w:eastAsia="仿宋_GB2312" w:cs="新宋体"/>
          <w:b/>
          <w:bCs/>
          <w:spacing w:val="-4"/>
          <w:sz w:val="30"/>
          <w:szCs w:val="28"/>
          <w:lang w:eastAsia="zh-CN"/>
        </w:rPr>
        <w:t>保</w:t>
      </w:r>
      <w:r>
        <w:rPr>
          <w:rFonts w:hint="eastAsia" w:eastAsia="仿宋_GB2312" w:cs="新宋体"/>
          <w:b/>
          <w:bCs/>
          <w:spacing w:val="-4"/>
          <w:sz w:val="30"/>
          <w:szCs w:val="28"/>
        </w:rPr>
        <w:t>护买方</w:t>
      </w:r>
      <w:r>
        <w:rPr>
          <w:rFonts w:hint="eastAsia" w:eastAsia="仿宋_GB2312" w:cs="新宋体"/>
          <w:spacing w:val="-4"/>
          <w:sz w:val="30"/>
          <w:szCs w:val="28"/>
        </w:rPr>
        <w:t>无法在</w:t>
      </w:r>
      <w:r>
        <w:rPr>
          <w:rFonts w:hint="eastAsia" w:eastAsia="仿宋_GB2312" w:cs="新宋体"/>
          <w:b/>
          <w:bCs/>
          <w:spacing w:val="-4"/>
          <w:sz w:val="30"/>
          <w:szCs w:val="28"/>
        </w:rPr>
        <w:t>实物交割期间</w:t>
      </w:r>
      <w:r>
        <w:rPr>
          <w:rFonts w:hint="eastAsia" w:eastAsia="仿宋_GB2312" w:cs="新宋体"/>
          <w:spacing w:val="-4"/>
          <w:sz w:val="30"/>
          <w:szCs w:val="28"/>
        </w:rPr>
        <w:t>内将</w:t>
      </w:r>
      <w:r>
        <w:rPr>
          <w:rFonts w:hint="eastAsia" w:eastAsia="仿宋_GB2312" w:cs="新宋体"/>
          <w:b/>
          <w:bCs/>
          <w:spacing w:val="-4"/>
          <w:sz w:val="30"/>
          <w:szCs w:val="28"/>
        </w:rPr>
        <w:t>可交付债务交割</w:t>
      </w:r>
      <w:r>
        <w:rPr>
          <w:rFonts w:hint="eastAsia" w:eastAsia="仿宋_GB2312" w:cs="新宋体"/>
          <w:spacing w:val="-4"/>
          <w:sz w:val="30"/>
          <w:szCs w:val="28"/>
        </w:rPr>
        <w:t>给</w:t>
      </w:r>
      <w:r>
        <w:rPr>
          <w:rFonts w:hint="eastAsia" w:eastAsia="仿宋_GB2312" w:cs="新宋体"/>
          <w:b/>
          <w:bCs/>
          <w:spacing w:val="-4"/>
          <w:sz w:val="30"/>
          <w:szCs w:val="28"/>
        </w:rPr>
        <w:t>信用</w:t>
      </w:r>
      <w:r>
        <w:rPr>
          <w:rFonts w:hint="eastAsia" w:eastAsia="仿宋_GB2312" w:cs="新宋体"/>
          <w:b/>
          <w:bCs/>
          <w:spacing w:val="-4"/>
          <w:sz w:val="30"/>
          <w:szCs w:val="28"/>
          <w:lang w:eastAsia="zh-CN"/>
        </w:rPr>
        <w:t>保</w:t>
      </w:r>
      <w:r>
        <w:rPr>
          <w:rFonts w:hint="eastAsia" w:eastAsia="仿宋_GB2312" w:cs="新宋体"/>
          <w:b/>
          <w:bCs/>
          <w:sz w:val="30"/>
          <w:szCs w:val="28"/>
        </w:rPr>
        <w:t>护卖方</w:t>
      </w:r>
      <w:r>
        <w:rPr>
          <w:rFonts w:hint="eastAsia" w:eastAsia="仿宋_GB2312" w:cs="新宋体"/>
          <w:sz w:val="30"/>
          <w:szCs w:val="28"/>
        </w:rPr>
        <w:t>不构成其在</w:t>
      </w:r>
      <w:r>
        <w:rPr>
          <w:rFonts w:hint="eastAsia" w:eastAsia="仿宋_GB2312" w:cs="新宋体"/>
          <w:b/>
          <w:bCs/>
          <w:sz w:val="30"/>
          <w:szCs w:val="28"/>
        </w:rPr>
        <w:t>本确认书</w:t>
      </w:r>
      <w:r>
        <w:rPr>
          <w:rFonts w:hint="eastAsia" w:eastAsia="仿宋_GB2312" w:cs="新宋体"/>
          <w:sz w:val="30"/>
          <w:szCs w:val="28"/>
        </w:rPr>
        <w:t>项下的一个</w:t>
      </w:r>
      <w:r>
        <w:rPr>
          <w:rFonts w:hint="eastAsia" w:eastAsia="仿宋_GB2312" w:cs="新宋体"/>
          <w:b/>
          <w:sz w:val="30"/>
          <w:szCs w:val="28"/>
        </w:rPr>
        <w:t>违约事件</w:t>
      </w:r>
      <w:r>
        <w:rPr>
          <w:rFonts w:hint="eastAsia" w:eastAsia="仿宋_GB2312" w:cs="新宋体"/>
          <w:sz w:val="30"/>
          <w:szCs w:val="28"/>
        </w:rPr>
        <w:t>。</w:t>
      </w:r>
    </w:p>
    <w:p w14:paraId="68908A72">
      <w:pPr>
        <w:spacing w:before="156" w:line="560" w:lineRule="exact"/>
        <w:ind w:right="105" w:rightChars="50" w:firstLine="600" w:firstLineChars="200"/>
        <w:rPr>
          <w:rFonts w:eastAsia="仿宋_GB2312" w:cs="新宋体"/>
          <w:sz w:val="30"/>
          <w:szCs w:val="28"/>
        </w:rPr>
      </w:pPr>
      <w:r>
        <w:rPr>
          <w:rFonts w:eastAsia="仿宋_GB2312" w:cs="新宋体"/>
          <w:bCs/>
          <w:sz w:val="30"/>
          <w:szCs w:val="28"/>
        </w:rPr>
        <w:t>4</w:t>
      </w:r>
      <w:r>
        <w:rPr>
          <w:rFonts w:hint="eastAsia" w:eastAsia="仿宋_GB2312" w:cs="新宋体"/>
          <w:bCs/>
          <w:sz w:val="30"/>
          <w:szCs w:val="28"/>
        </w:rPr>
        <w:t>、</w:t>
      </w:r>
      <w:r>
        <w:rPr>
          <w:rFonts w:hint="eastAsia" w:eastAsia="仿宋_GB2312" w:cs="新宋体"/>
          <w:sz w:val="30"/>
          <w:szCs w:val="28"/>
        </w:rPr>
        <w:t>如</w:t>
      </w:r>
      <w:r>
        <w:rPr>
          <w:rFonts w:hint="eastAsia" w:eastAsia="仿宋_GB2312" w:cs="新宋体"/>
          <w:b/>
          <w:bCs/>
          <w:sz w:val="30"/>
          <w:szCs w:val="28"/>
        </w:rPr>
        <w:t>信用保护买方</w:t>
      </w:r>
      <w:r>
        <w:rPr>
          <w:rFonts w:hint="eastAsia" w:eastAsia="仿宋_GB2312" w:cs="新宋体"/>
          <w:sz w:val="30"/>
          <w:szCs w:val="28"/>
        </w:rPr>
        <w:t>未在</w:t>
      </w:r>
      <w:r>
        <w:rPr>
          <w:rFonts w:hint="eastAsia" w:eastAsia="仿宋_GB2312" w:cs="新宋体"/>
          <w:b/>
          <w:bCs/>
          <w:sz w:val="30"/>
          <w:szCs w:val="28"/>
        </w:rPr>
        <w:t>实物交割期间</w:t>
      </w:r>
      <w:r>
        <w:rPr>
          <w:rFonts w:hint="eastAsia" w:eastAsia="仿宋_GB2312" w:cs="新宋体"/>
          <w:sz w:val="30"/>
          <w:szCs w:val="28"/>
        </w:rPr>
        <w:t>向</w:t>
      </w:r>
      <w:r>
        <w:rPr>
          <w:rFonts w:hint="eastAsia" w:eastAsia="仿宋_GB2312" w:cs="新宋体"/>
          <w:b/>
          <w:bCs/>
          <w:sz w:val="30"/>
          <w:szCs w:val="28"/>
        </w:rPr>
        <w:t>信用保护卖方</w:t>
      </w:r>
      <w:r>
        <w:rPr>
          <w:rFonts w:hint="eastAsia" w:eastAsia="仿宋_GB2312" w:cs="新宋体"/>
          <w:sz w:val="30"/>
          <w:szCs w:val="28"/>
        </w:rPr>
        <w:t>交付</w:t>
      </w:r>
      <w:r>
        <w:rPr>
          <w:rFonts w:hint="eastAsia" w:eastAsia="仿宋_GB2312" w:cs="新宋体"/>
          <w:b/>
          <w:bCs/>
          <w:sz w:val="30"/>
          <w:szCs w:val="28"/>
        </w:rPr>
        <w:t>可交付债务</w:t>
      </w:r>
      <w:r>
        <w:rPr>
          <w:rFonts w:hint="eastAsia" w:eastAsia="仿宋_GB2312" w:cs="新宋体"/>
          <w:sz w:val="30"/>
          <w:szCs w:val="28"/>
        </w:rPr>
        <w:t>，则上述</w:t>
      </w:r>
      <w:r>
        <w:rPr>
          <w:rFonts w:hint="eastAsia" w:eastAsia="仿宋_GB2312" w:cs="新宋体"/>
          <w:b/>
          <w:bCs/>
          <w:sz w:val="30"/>
          <w:szCs w:val="28"/>
        </w:rPr>
        <w:t>实物交割期间</w:t>
      </w:r>
      <w:r>
        <w:rPr>
          <w:rFonts w:hint="eastAsia" w:eastAsia="仿宋_GB2312" w:cs="新宋体"/>
          <w:sz w:val="30"/>
          <w:szCs w:val="28"/>
        </w:rPr>
        <w:t>结束之日为本</w:t>
      </w:r>
      <w:r>
        <w:rPr>
          <w:rFonts w:hint="eastAsia" w:eastAsia="仿宋_GB2312" w:cs="新宋体"/>
          <w:b/>
          <w:bCs/>
          <w:sz w:val="30"/>
          <w:szCs w:val="28"/>
        </w:rPr>
        <w:t>信用保护合约交易</w:t>
      </w:r>
      <w:r>
        <w:rPr>
          <w:rFonts w:hint="eastAsia" w:eastAsia="仿宋_GB2312" w:cs="新宋体"/>
          <w:sz w:val="30"/>
          <w:szCs w:val="28"/>
        </w:rPr>
        <w:t>的到期日，</w:t>
      </w:r>
      <w:r>
        <w:rPr>
          <w:rFonts w:hint="eastAsia" w:eastAsia="仿宋_GB2312" w:cs="新宋体"/>
          <w:b/>
          <w:bCs/>
          <w:sz w:val="30"/>
          <w:szCs w:val="28"/>
        </w:rPr>
        <w:t>信用保护买方</w:t>
      </w:r>
      <w:r>
        <w:rPr>
          <w:rFonts w:hint="eastAsia" w:eastAsia="仿宋_GB2312" w:cs="新宋体"/>
          <w:sz w:val="30"/>
          <w:szCs w:val="28"/>
        </w:rPr>
        <w:t>将至此自动丧失未交付的可交付债务对应额度的向</w:t>
      </w:r>
      <w:r>
        <w:rPr>
          <w:rFonts w:hint="eastAsia" w:eastAsia="仿宋_GB2312" w:cs="新宋体"/>
          <w:b/>
          <w:bCs/>
          <w:sz w:val="30"/>
          <w:szCs w:val="28"/>
        </w:rPr>
        <w:t>信用保护卖方</w:t>
      </w:r>
      <w:r>
        <w:rPr>
          <w:rFonts w:hint="eastAsia" w:eastAsia="仿宋_GB2312" w:cs="新宋体"/>
          <w:sz w:val="30"/>
          <w:szCs w:val="28"/>
        </w:rPr>
        <w:t>请求获得本</w:t>
      </w:r>
      <w:r>
        <w:rPr>
          <w:rFonts w:hint="eastAsia" w:eastAsia="仿宋_GB2312" w:cs="新宋体"/>
          <w:b/>
          <w:bCs/>
          <w:sz w:val="30"/>
          <w:szCs w:val="28"/>
        </w:rPr>
        <w:t>信用保护合约交易</w:t>
      </w:r>
      <w:r>
        <w:rPr>
          <w:rFonts w:hint="eastAsia" w:eastAsia="仿宋_GB2312" w:cs="新宋体"/>
          <w:sz w:val="30"/>
          <w:szCs w:val="28"/>
        </w:rPr>
        <w:t>项下结算赔付的权利。</w:t>
      </w:r>
    </w:p>
    <w:p w14:paraId="129033AE">
      <w:pPr>
        <w:spacing w:before="185" w:line="560" w:lineRule="exact"/>
        <w:ind w:right="105" w:rightChars="50" w:firstLine="584" w:firstLineChars="200"/>
        <w:rPr>
          <w:rFonts w:eastAsia="仿宋_GB2312" w:cs="新宋体"/>
          <w:sz w:val="30"/>
          <w:szCs w:val="28"/>
        </w:rPr>
      </w:pPr>
      <w:r>
        <w:rPr>
          <w:rFonts w:eastAsia="仿宋_GB2312" w:cs="新宋体"/>
          <w:spacing w:val="-4"/>
          <w:sz w:val="30"/>
          <w:szCs w:val="28"/>
        </w:rPr>
        <w:t>5</w:t>
      </w:r>
      <w:r>
        <w:rPr>
          <w:rFonts w:hint="eastAsia" w:eastAsia="仿宋_GB2312" w:cs="新宋体"/>
          <w:spacing w:val="-4"/>
          <w:sz w:val="30"/>
          <w:szCs w:val="28"/>
        </w:rPr>
        <w:t>、</w:t>
      </w:r>
      <w:r>
        <w:rPr>
          <w:rFonts w:hint="eastAsia" w:eastAsia="仿宋_GB2312" w:cs="新宋体"/>
          <w:b/>
          <w:bCs/>
          <w:spacing w:val="-4"/>
          <w:sz w:val="30"/>
          <w:szCs w:val="28"/>
        </w:rPr>
        <w:t>交易双方</w:t>
      </w:r>
      <w:r>
        <w:rPr>
          <w:rFonts w:hint="eastAsia" w:eastAsia="仿宋_GB2312" w:cs="新宋体"/>
          <w:spacing w:val="-4"/>
          <w:sz w:val="30"/>
          <w:szCs w:val="28"/>
        </w:rPr>
        <w:t>需按照适用于有关</w:t>
      </w:r>
      <w:r>
        <w:rPr>
          <w:rFonts w:hint="eastAsia" w:eastAsia="仿宋_GB2312" w:cs="新宋体"/>
          <w:b/>
          <w:bCs/>
          <w:spacing w:val="-4"/>
          <w:sz w:val="30"/>
          <w:szCs w:val="28"/>
        </w:rPr>
        <w:t>参考债务</w:t>
      </w:r>
      <w:r>
        <w:rPr>
          <w:rFonts w:hint="eastAsia" w:eastAsia="仿宋_GB2312" w:cs="新宋体"/>
          <w:spacing w:val="-4"/>
          <w:sz w:val="30"/>
          <w:szCs w:val="28"/>
        </w:rPr>
        <w:t>或</w:t>
      </w:r>
      <w:r>
        <w:rPr>
          <w:rFonts w:hint="eastAsia" w:eastAsia="仿宋_GB2312" w:cs="新宋体"/>
          <w:b/>
          <w:bCs/>
          <w:spacing w:val="-4"/>
          <w:sz w:val="30"/>
          <w:szCs w:val="28"/>
        </w:rPr>
        <w:t>可交付债务</w:t>
      </w:r>
      <w:r>
        <w:rPr>
          <w:rFonts w:hint="eastAsia" w:eastAsia="仿宋_GB2312" w:cs="新宋体"/>
          <w:spacing w:val="-4"/>
          <w:sz w:val="30"/>
          <w:szCs w:val="28"/>
        </w:rPr>
        <w:t>的法律规定各自</w:t>
      </w:r>
      <w:r>
        <w:rPr>
          <w:rFonts w:hint="eastAsia" w:eastAsia="仿宋_GB2312" w:cs="新宋体"/>
          <w:sz w:val="30"/>
          <w:szCs w:val="28"/>
        </w:rPr>
        <w:t>承担应付的印花税或其他相关税费。除非</w:t>
      </w:r>
      <w:r>
        <w:rPr>
          <w:rFonts w:hint="eastAsia" w:eastAsia="仿宋_GB2312" w:cs="新宋体"/>
          <w:b/>
          <w:bCs/>
          <w:sz w:val="30"/>
          <w:szCs w:val="28"/>
        </w:rPr>
        <w:t>交易双方</w:t>
      </w:r>
      <w:r>
        <w:rPr>
          <w:rFonts w:hint="eastAsia" w:eastAsia="仿宋_GB2312" w:cs="新宋体"/>
          <w:sz w:val="30"/>
          <w:szCs w:val="28"/>
        </w:rPr>
        <w:t>另行约定，</w:t>
      </w:r>
      <w:r>
        <w:rPr>
          <w:rFonts w:hint="eastAsia" w:eastAsia="仿宋_GB2312" w:cs="新宋体"/>
          <w:b/>
          <w:bCs/>
          <w:spacing w:val="4"/>
          <w:sz w:val="30"/>
          <w:szCs w:val="28"/>
        </w:rPr>
        <w:t>交割可交付债务</w:t>
      </w:r>
      <w:r>
        <w:rPr>
          <w:rFonts w:hint="eastAsia" w:eastAsia="仿宋_GB2312" w:cs="新宋体"/>
          <w:spacing w:val="4"/>
          <w:sz w:val="30"/>
          <w:szCs w:val="28"/>
        </w:rPr>
        <w:t>产生的费用（包括但不限于需支付给贷款代理</w:t>
      </w:r>
      <w:r>
        <w:rPr>
          <w:rFonts w:hint="eastAsia" w:eastAsia="仿宋_GB2312" w:cs="新宋体"/>
          <w:spacing w:val="-4"/>
          <w:sz w:val="30"/>
          <w:szCs w:val="28"/>
        </w:rPr>
        <w:t>行、债券受托人或登记托管结算机构的费用）由</w:t>
      </w:r>
      <w:r>
        <w:rPr>
          <w:rFonts w:hint="eastAsia" w:eastAsia="仿宋_GB2312" w:cs="新宋体"/>
          <w:b/>
          <w:bCs/>
          <w:spacing w:val="-4"/>
          <w:sz w:val="30"/>
          <w:szCs w:val="28"/>
        </w:rPr>
        <w:t>信用保护买方</w:t>
      </w:r>
      <w:r>
        <w:rPr>
          <w:rFonts w:hint="eastAsia" w:eastAsia="仿宋_GB2312" w:cs="新宋体"/>
          <w:spacing w:val="-4"/>
          <w:sz w:val="30"/>
          <w:szCs w:val="28"/>
        </w:rPr>
        <w:t>负</w:t>
      </w:r>
      <w:r>
        <w:rPr>
          <w:rFonts w:hint="eastAsia" w:eastAsia="仿宋_GB2312" w:cs="新宋体"/>
          <w:sz w:val="30"/>
          <w:szCs w:val="28"/>
        </w:rPr>
        <w:t>担。</w:t>
      </w:r>
    </w:p>
    <w:p w14:paraId="26BB86DE">
      <w:pPr>
        <w:spacing w:before="185" w:line="560" w:lineRule="exact"/>
        <w:rPr>
          <w:rFonts w:eastAsia="仿宋_GB2312" w:cs="新宋体"/>
          <w:sz w:val="30"/>
          <w:szCs w:val="28"/>
        </w:rPr>
      </w:pPr>
    </w:p>
    <w:p w14:paraId="3A3139EF">
      <w:pPr>
        <w:spacing w:before="72" w:after="72" w:line="560" w:lineRule="exact"/>
        <w:rPr>
          <w:rFonts w:eastAsia="仿宋_GB2312"/>
          <w:b/>
          <w:sz w:val="30"/>
          <w:szCs w:val="28"/>
        </w:rPr>
      </w:pPr>
      <w:r>
        <w:rPr>
          <w:rFonts w:hint="eastAsia" w:eastAsia="仿宋_GB2312"/>
          <w:b/>
          <w:sz w:val="30"/>
          <w:szCs w:val="28"/>
        </w:rPr>
        <w:t>九、定义</w:t>
      </w:r>
    </w:p>
    <w:tbl>
      <w:tblPr>
        <w:tblStyle w:val="43"/>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4"/>
        <w:gridCol w:w="5862"/>
      </w:tblGrid>
      <w:tr w14:paraId="6C65F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6D2DF66C">
            <w:pPr>
              <w:spacing w:before="185" w:line="560" w:lineRule="exact"/>
              <w:jc w:val="center"/>
              <w:rPr>
                <w:rFonts w:eastAsia="仿宋_GB2312" w:cs="宋体"/>
                <w:spacing w:val="-4"/>
                <w:sz w:val="30"/>
                <w:szCs w:val="28"/>
              </w:rPr>
            </w:pPr>
            <w:r>
              <w:rPr>
                <w:rFonts w:hint="eastAsia" w:eastAsia="仿宋_GB2312" w:cs="宋体"/>
                <w:spacing w:val="-4"/>
                <w:sz w:val="30"/>
                <w:szCs w:val="28"/>
              </w:rPr>
              <w:t>签署日</w:t>
            </w:r>
          </w:p>
        </w:tc>
        <w:tc>
          <w:tcPr>
            <w:tcW w:w="5862" w:type="dxa"/>
            <w:vAlign w:val="center"/>
          </w:tcPr>
          <w:p w14:paraId="3C4E4D80">
            <w:pPr>
              <w:autoSpaceDE w:val="0"/>
              <w:autoSpaceDN w:val="0"/>
              <w:adjustRightInd w:val="0"/>
              <w:spacing w:line="560" w:lineRule="exact"/>
              <w:rPr>
                <w:rFonts w:eastAsia="仿宋_GB2312" w:cs="宋体"/>
                <w:sz w:val="30"/>
                <w:szCs w:val="28"/>
              </w:rPr>
            </w:pPr>
            <w:r>
              <w:rPr>
                <w:rFonts w:hint="eastAsia" w:eastAsia="仿宋_GB2312" w:cs="宋体"/>
                <w:sz w:val="30"/>
                <w:szCs w:val="28"/>
              </w:rPr>
              <w:t>在一笔</w:t>
            </w:r>
            <w:r>
              <w:rPr>
                <w:rFonts w:hint="eastAsia" w:eastAsia="仿宋_GB2312" w:cs="宋体"/>
                <w:b/>
                <w:sz w:val="30"/>
                <w:szCs w:val="28"/>
              </w:rPr>
              <w:t>信用保护合约交易</w:t>
            </w:r>
            <w:r>
              <w:rPr>
                <w:rFonts w:hint="eastAsia" w:eastAsia="仿宋_GB2312" w:cs="宋体"/>
                <w:sz w:val="30"/>
                <w:szCs w:val="28"/>
              </w:rPr>
              <w:t>下，指</w:t>
            </w:r>
            <w:r>
              <w:rPr>
                <w:rFonts w:hint="eastAsia" w:eastAsia="仿宋_GB2312" w:cs="宋体"/>
                <w:b/>
                <w:sz w:val="30"/>
                <w:szCs w:val="28"/>
              </w:rPr>
              <w:t>交易双方</w:t>
            </w:r>
            <w:r>
              <w:rPr>
                <w:rFonts w:hint="eastAsia" w:eastAsia="仿宋_GB2312" w:cs="宋体"/>
                <w:sz w:val="30"/>
                <w:szCs w:val="28"/>
              </w:rPr>
              <w:t>达成该交易的日期。</w:t>
            </w:r>
          </w:p>
        </w:tc>
      </w:tr>
      <w:tr w14:paraId="599BC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3A6F9418">
            <w:pPr>
              <w:spacing w:before="185" w:line="560" w:lineRule="exact"/>
              <w:jc w:val="center"/>
              <w:rPr>
                <w:rFonts w:eastAsia="仿宋_GB2312" w:cs="宋体"/>
                <w:spacing w:val="-4"/>
                <w:sz w:val="30"/>
                <w:szCs w:val="28"/>
              </w:rPr>
            </w:pPr>
            <w:r>
              <w:rPr>
                <w:rFonts w:hint="eastAsia" w:eastAsia="仿宋_GB2312" w:cs="宋体"/>
                <w:spacing w:val="-4"/>
                <w:sz w:val="30"/>
                <w:szCs w:val="28"/>
              </w:rPr>
              <w:t>起始日</w:t>
            </w:r>
          </w:p>
        </w:tc>
        <w:tc>
          <w:tcPr>
            <w:tcW w:w="5862" w:type="dxa"/>
            <w:vAlign w:val="center"/>
          </w:tcPr>
          <w:p w14:paraId="5EA35487">
            <w:pPr>
              <w:pStyle w:val="17"/>
              <w:spacing w:line="560" w:lineRule="exact"/>
              <w:ind w:right="63" w:rightChars="30"/>
              <w:rPr>
                <w:rFonts w:eastAsia="仿宋_GB2312" w:cs="宋体"/>
                <w:spacing w:val="-4"/>
                <w:sz w:val="30"/>
                <w:szCs w:val="28"/>
              </w:rPr>
            </w:pPr>
            <w:r>
              <w:rPr>
                <w:rFonts w:hint="eastAsia" w:eastAsia="仿宋_GB2312" w:cs="宋体"/>
                <w:sz w:val="30"/>
                <w:szCs w:val="28"/>
              </w:rPr>
              <w:t>在一笔</w:t>
            </w:r>
            <w:r>
              <w:rPr>
                <w:rFonts w:hint="eastAsia" w:eastAsia="仿宋_GB2312" w:cs="宋体"/>
                <w:b/>
                <w:sz w:val="30"/>
                <w:szCs w:val="28"/>
              </w:rPr>
              <w:t>信用保护合约交易</w:t>
            </w:r>
            <w:r>
              <w:rPr>
                <w:rFonts w:hint="eastAsia" w:eastAsia="仿宋_GB2312" w:cs="宋体"/>
                <w:sz w:val="30"/>
                <w:szCs w:val="28"/>
              </w:rPr>
              <w:t>下，指该交易的信用保护开始生效的日期。</w:t>
            </w:r>
          </w:p>
        </w:tc>
      </w:tr>
      <w:tr w14:paraId="60ECA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5E880A49">
            <w:pPr>
              <w:pStyle w:val="17"/>
              <w:spacing w:line="560" w:lineRule="exact"/>
              <w:ind w:right="63" w:rightChars="30"/>
              <w:jc w:val="center"/>
              <w:rPr>
                <w:rFonts w:eastAsia="仿宋_GB2312" w:cs="宋体"/>
                <w:sz w:val="30"/>
                <w:szCs w:val="28"/>
              </w:rPr>
            </w:pPr>
            <w:r>
              <w:rPr>
                <w:rFonts w:hint="eastAsia" w:eastAsia="仿宋_GB2312" w:cs="宋体"/>
                <w:sz w:val="30"/>
                <w:szCs w:val="28"/>
              </w:rPr>
              <w:t>约定到期日</w:t>
            </w:r>
          </w:p>
        </w:tc>
        <w:tc>
          <w:tcPr>
            <w:tcW w:w="5862" w:type="dxa"/>
            <w:vAlign w:val="center"/>
          </w:tcPr>
          <w:p w14:paraId="028A3C74">
            <w:pPr>
              <w:pStyle w:val="17"/>
              <w:spacing w:line="560" w:lineRule="exact"/>
              <w:ind w:right="63" w:rightChars="30"/>
              <w:rPr>
                <w:rFonts w:eastAsia="仿宋_GB2312" w:cs="宋体"/>
                <w:sz w:val="30"/>
                <w:szCs w:val="28"/>
              </w:rPr>
            </w:pPr>
            <w:r>
              <w:rPr>
                <w:rFonts w:hint="eastAsia" w:eastAsia="仿宋_GB2312" w:cs="宋体"/>
                <w:sz w:val="30"/>
                <w:szCs w:val="28"/>
              </w:rPr>
              <w:t>在一笔</w:t>
            </w:r>
            <w:r>
              <w:rPr>
                <w:rFonts w:hint="eastAsia" w:eastAsia="仿宋_GB2312" w:cs="宋体"/>
                <w:b/>
                <w:sz w:val="30"/>
                <w:szCs w:val="28"/>
              </w:rPr>
              <w:t>信用保护合约交易</w:t>
            </w:r>
            <w:r>
              <w:rPr>
                <w:rFonts w:hint="eastAsia" w:eastAsia="仿宋_GB2312" w:cs="宋体"/>
                <w:sz w:val="30"/>
                <w:szCs w:val="28"/>
              </w:rPr>
              <w:t>下，指</w:t>
            </w:r>
            <w:r>
              <w:rPr>
                <w:rFonts w:hint="eastAsia" w:eastAsia="仿宋_GB2312" w:cs="宋体"/>
                <w:b/>
                <w:sz w:val="30"/>
                <w:szCs w:val="28"/>
              </w:rPr>
              <w:t>交易双方</w:t>
            </w:r>
            <w:r>
              <w:rPr>
                <w:rFonts w:hint="eastAsia" w:eastAsia="仿宋_GB2312" w:cs="宋体"/>
                <w:sz w:val="30"/>
                <w:szCs w:val="28"/>
              </w:rPr>
              <w:t>在</w:t>
            </w:r>
            <w:r>
              <w:rPr>
                <w:rFonts w:hint="eastAsia" w:eastAsia="仿宋_GB2312" w:cs="宋体"/>
                <w:b/>
                <w:sz w:val="30"/>
                <w:szCs w:val="28"/>
              </w:rPr>
              <w:t>本确认书中</w:t>
            </w:r>
            <w:r>
              <w:rPr>
                <w:rFonts w:hint="eastAsia" w:eastAsia="仿宋_GB2312" w:cs="宋体"/>
                <w:sz w:val="30"/>
                <w:szCs w:val="28"/>
              </w:rPr>
              <w:t>约定的信用保护到期之日。</w:t>
            </w:r>
          </w:p>
        </w:tc>
      </w:tr>
      <w:tr w14:paraId="4E327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34" w:type="dxa"/>
            <w:vAlign w:val="center"/>
          </w:tcPr>
          <w:p w14:paraId="22A3E144">
            <w:pPr>
              <w:spacing w:before="185" w:line="560" w:lineRule="exact"/>
              <w:jc w:val="center"/>
              <w:rPr>
                <w:rFonts w:eastAsia="仿宋_GB2312" w:cs="宋体"/>
                <w:bCs/>
                <w:sz w:val="30"/>
                <w:szCs w:val="28"/>
              </w:rPr>
            </w:pPr>
            <w:r>
              <w:rPr>
                <w:rFonts w:hint="eastAsia" w:eastAsia="仿宋_GB2312" w:cs="宋体"/>
                <w:bCs/>
                <w:sz w:val="30"/>
                <w:szCs w:val="28"/>
              </w:rPr>
              <w:t>计算机构</w:t>
            </w:r>
          </w:p>
        </w:tc>
        <w:tc>
          <w:tcPr>
            <w:tcW w:w="5862" w:type="dxa"/>
            <w:vAlign w:val="center"/>
          </w:tcPr>
          <w:p w14:paraId="0399B29B">
            <w:pPr>
              <w:autoSpaceDE w:val="0"/>
              <w:autoSpaceDN w:val="0"/>
              <w:adjustRightInd w:val="0"/>
              <w:spacing w:line="560" w:lineRule="exact"/>
              <w:rPr>
                <w:rFonts w:eastAsia="仿宋_GB2312" w:cs="宋体"/>
                <w:spacing w:val="-3"/>
                <w:sz w:val="30"/>
                <w:szCs w:val="28"/>
              </w:rPr>
            </w:pPr>
            <w:r>
              <w:rPr>
                <w:rFonts w:hint="eastAsia" w:eastAsia="仿宋_GB2312" w:cs="宋体"/>
                <w:spacing w:val="-3"/>
                <w:sz w:val="30"/>
                <w:szCs w:val="28"/>
              </w:rPr>
              <w:t>指</w:t>
            </w:r>
            <w:r>
              <w:rPr>
                <w:rFonts w:hint="eastAsia" w:eastAsia="仿宋_GB2312" w:cs="宋体"/>
                <w:b/>
                <w:spacing w:val="-3"/>
                <w:sz w:val="30"/>
                <w:szCs w:val="28"/>
              </w:rPr>
              <w:t>交易双方</w:t>
            </w:r>
            <w:r>
              <w:rPr>
                <w:rFonts w:hint="eastAsia" w:eastAsia="仿宋_GB2312" w:cs="宋体"/>
                <w:spacing w:val="-3"/>
                <w:sz w:val="30"/>
                <w:szCs w:val="28"/>
              </w:rPr>
              <w:t>在</w:t>
            </w:r>
            <w:r>
              <w:rPr>
                <w:rFonts w:hint="eastAsia" w:eastAsia="仿宋_GB2312" w:cs="宋体"/>
                <w:b/>
                <w:spacing w:val="-3"/>
                <w:sz w:val="30"/>
                <w:szCs w:val="28"/>
              </w:rPr>
              <w:t>本确认书</w:t>
            </w:r>
            <w:r>
              <w:rPr>
                <w:rFonts w:hint="eastAsia" w:eastAsia="仿宋_GB2312" w:cs="宋体"/>
                <w:spacing w:val="-3"/>
                <w:sz w:val="30"/>
                <w:szCs w:val="28"/>
              </w:rPr>
              <w:t>中指定为“计算机构”的实体，可由交易一方或</w:t>
            </w:r>
            <w:r>
              <w:rPr>
                <w:rFonts w:hint="eastAsia" w:eastAsia="仿宋_GB2312" w:cs="宋体"/>
                <w:b/>
                <w:spacing w:val="-3"/>
                <w:sz w:val="30"/>
                <w:szCs w:val="28"/>
              </w:rPr>
              <w:t>交易双方</w:t>
            </w:r>
            <w:r>
              <w:rPr>
                <w:rFonts w:hint="eastAsia" w:eastAsia="仿宋_GB2312" w:cs="宋体"/>
                <w:spacing w:val="-3"/>
                <w:sz w:val="30"/>
                <w:szCs w:val="28"/>
              </w:rPr>
              <w:t>担任，也可由第三方机构担任。</w:t>
            </w:r>
          </w:p>
        </w:tc>
      </w:tr>
      <w:tr w14:paraId="58CA5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4BBAEEB6">
            <w:pPr>
              <w:spacing w:before="185" w:line="560" w:lineRule="exact"/>
              <w:jc w:val="center"/>
              <w:rPr>
                <w:rFonts w:eastAsia="仿宋_GB2312" w:cs="宋体"/>
                <w:sz w:val="30"/>
                <w:szCs w:val="28"/>
              </w:rPr>
            </w:pPr>
            <w:r>
              <w:rPr>
                <w:rFonts w:hint="eastAsia" w:eastAsia="仿宋_GB2312" w:cs="宋体"/>
                <w:sz w:val="30"/>
                <w:szCs w:val="28"/>
              </w:rPr>
              <w:t>名义本金</w:t>
            </w:r>
          </w:p>
        </w:tc>
        <w:tc>
          <w:tcPr>
            <w:tcW w:w="5862" w:type="dxa"/>
            <w:vAlign w:val="center"/>
          </w:tcPr>
          <w:p w14:paraId="7411794D">
            <w:pPr>
              <w:spacing w:before="185" w:line="560" w:lineRule="exact"/>
              <w:rPr>
                <w:rFonts w:eastAsia="仿宋_GB2312" w:cs="宋体"/>
                <w:sz w:val="30"/>
                <w:szCs w:val="28"/>
              </w:rPr>
            </w:pPr>
            <w:r>
              <w:rPr>
                <w:rFonts w:hint="eastAsia" w:eastAsia="仿宋_GB2312" w:cs="宋体"/>
                <w:sz w:val="30"/>
                <w:szCs w:val="28"/>
              </w:rPr>
              <w:t>指一笔</w:t>
            </w:r>
            <w:r>
              <w:rPr>
                <w:rFonts w:hint="eastAsia" w:eastAsia="仿宋_GB2312" w:cs="宋体"/>
                <w:b/>
                <w:sz w:val="30"/>
                <w:szCs w:val="28"/>
              </w:rPr>
              <w:t>信用保护合约交易</w:t>
            </w:r>
            <w:r>
              <w:rPr>
                <w:rFonts w:hint="eastAsia" w:eastAsia="仿宋_GB2312" w:cs="宋体"/>
                <w:sz w:val="30"/>
                <w:szCs w:val="28"/>
              </w:rPr>
              <w:t>提供信用风险保护的金额，各项支付和结算以此金额为计算基准。</w:t>
            </w:r>
          </w:p>
        </w:tc>
      </w:tr>
      <w:tr w14:paraId="2B3AC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186AD686">
            <w:pPr>
              <w:spacing w:line="560" w:lineRule="exact"/>
              <w:jc w:val="center"/>
              <w:rPr>
                <w:rFonts w:eastAsia="仿宋_GB2312" w:cs="宋体"/>
                <w:sz w:val="30"/>
                <w:szCs w:val="28"/>
              </w:rPr>
            </w:pPr>
            <w:r>
              <w:rPr>
                <w:rFonts w:hint="eastAsia" w:eastAsia="仿宋_GB2312" w:cs="宋体"/>
                <w:bCs/>
                <w:sz w:val="30"/>
                <w:szCs w:val="28"/>
              </w:rPr>
              <w:t>保护费率</w:t>
            </w:r>
          </w:p>
        </w:tc>
        <w:tc>
          <w:tcPr>
            <w:tcW w:w="5862" w:type="dxa"/>
            <w:vAlign w:val="center"/>
          </w:tcPr>
          <w:p w14:paraId="2E7D7BE6">
            <w:pPr>
              <w:spacing w:before="185" w:line="560" w:lineRule="exact"/>
              <w:rPr>
                <w:rFonts w:eastAsia="仿宋_GB2312" w:cs="宋体"/>
                <w:sz w:val="30"/>
                <w:szCs w:val="28"/>
              </w:rPr>
            </w:pPr>
            <w:r>
              <w:rPr>
                <w:rFonts w:hint="eastAsia" w:eastAsia="仿宋_GB2312" w:cs="宋体"/>
                <w:sz w:val="30"/>
                <w:szCs w:val="28"/>
              </w:rPr>
              <w:t>保护费率</w:t>
            </w:r>
            <w:r>
              <w:rPr>
                <w:rFonts w:eastAsia="仿宋_GB2312" w:cs="宋体"/>
                <w:sz w:val="30"/>
                <w:szCs w:val="28"/>
              </w:rPr>
              <w:t>=</w:t>
            </w:r>
            <w:r>
              <w:rPr>
                <w:rFonts w:hint="eastAsia" w:eastAsia="仿宋_GB2312" w:cs="宋体"/>
                <w:b/>
                <w:bCs/>
                <w:sz w:val="30"/>
                <w:szCs w:val="28"/>
              </w:rPr>
              <w:t>保护费</w:t>
            </w:r>
            <w:r>
              <w:rPr>
                <w:rFonts w:eastAsia="仿宋_GB2312" w:cs="宋体"/>
                <w:sz w:val="30"/>
                <w:szCs w:val="28"/>
              </w:rPr>
              <w:t>/</w:t>
            </w:r>
            <w:r>
              <w:rPr>
                <w:rFonts w:hint="eastAsia" w:eastAsia="仿宋_GB2312" w:cs="宋体"/>
                <w:b/>
                <w:bCs/>
                <w:sz w:val="30"/>
                <w:szCs w:val="28"/>
              </w:rPr>
              <w:t>名义本金</w:t>
            </w:r>
            <w:r>
              <w:rPr>
                <w:rFonts w:eastAsia="仿宋_GB2312" w:cs="宋体"/>
                <w:sz w:val="30"/>
                <w:szCs w:val="28"/>
              </w:rPr>
              <w:t>*100%</w:t>
            </w:r>
            <w:r>
              <w:rPr>
                <w:rFonts w:hint="eastAsia" w:eastAsia="仿宋_GB2312" w:cs="宋体"/>
                <w:sz w:val="30"/>
                <w:szCs w:val="28"/>
              </w:rPr>
              <w:t>。</w:t>
            </w:r>
          </w:p>
        </w:tc>
      </w:tr>
      <w:tr w14:paraId="00236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46421264">
            <w:pPr>
              <w:spacing w:line="560" w:lineRule="exact"/>
              <w:jc w:val="center"/>
              <w:rPr>
                <w:rFonts w:eastAsia="仿宋_GB2312" w:cs="宋体"/>
                <w:sz w:val="30"/>
                <w:szCs w:val="28"/>
              </w:rPr>
            </w:pPr>
            <w:r>
              <w:rPr>
                <w:rFonts w:hint="eastAsia" w:eastAsia="仿宋_GB2312" w:cs="宋体"/>
                <w:sz w:val="30"/>
                <w:szCs w:val="28"/>
              </w:rPr>
              <w:t>前端费率</w:t>
            </w:r>
          </w:p>
          <w:p w14:paraId="4D8A0C14">
            <w:pPr>
              <w:spacing w:line="560" w:lineRule="exact"/>
              <w:jc w:val="center"/>
              <w:rPr>
                <w:rFonts w:eastAsia="仿宋_GB2312" w:cs="宋体"/>
                <w:sz w:val="30"/>
                <w:szCs w:val="28"/>
              </w:rPr>
            </w:pPr>
          </w:p>
        </w:tc>
        <w:tc>
          <w:tcPr>
            <w:tcW w:w="5862" w:type="dxa"/>
            <w:vAlign w:val="center"/>
          </w:tcPr>
          <w:p w14:paraId="4993D3C0">
            <w:pPr>
              <w:spacing w:before="185" w:line="560" w:lineRule="exact"/>
              <w:rPr>
                <w:rFonts w:eastAsia="仿宋_GB2312" w:cs="宋体"/>
                <w:sz w:val="30"/>
                <w:szCs w:val="28"/>
              </w:rPr>
            </w:pPr>
            <w:r>
              <w:rPr>
                <w:rFonts w:hint="eastAsia" w:eastAsia="仿宋_GB2312" w:cs="宋体"/>
                <w:sz w:val="30"/>
                <w:szCs w:val="28"/>
              </w:rPr>
              <w:t>前端费率</w:t>
            </w:r>
            <w:r>
              <w:rPr>
                <w:rFonts w:eastAsia="仿宋_GB2312" w:cs="宋体"/>
                <w:sz w:val="30"/>
                <w:szCs w:val="28"/>
              </w:rPr>
              <w:t>=</w:t>
            </w:r>
            <w:r>
              <w:rPr>
                <w:rFonts w:hint="eastAsia" w:eastAsia="仿宋_GB2312" w:cs="宋体"/>
                <w:b/>
                <w:bCs/>
                <w:sz w:val="30"/>
                <w:szCs w:val="28"/>
              </w:rPr>
              <w:t>前端费用</w:t>
            </w:r>
            <w:r>
              <w:rPr>
                <w:rFonts w:eastAsia="仿宋_GB2312" w:cs="宋体"/>
                <w:sz w:val="30"/>
                <w:szCs w:val="28"/>
              </w:rPr>
              <w:t>/</w:t>
            </w:r>
            <w:r>
              <w:rPr>
                <w:rFonts w:hint="eastAsia" w:eastAsia="仿宋_GB2312" w:cs="宋体"/>
                <w:b/>
                <w:bCs/>
                <w:sz w:val="30"/>
                <w:szCs w:val="28"/>
              </w:rPr>
              <w:t>名义本金</w:t>
            </w:r>
            <w:r>
              <w:rPr>
                <w:rFonts w:eastAsia="仿宋_GB2312" w:cs="宋体"/>
                <w:sz w:val="30"/>
                <w:szCs w:val="28"/>
              </w:rPr>
              <w:t>*100%</w:t>
            </w:r>
            <w:r>
              <w:rPr>
                <w:rFonts w:hint="eastAsia" w:eastAsia="仿宋_GB2312" w:cs="宋体"/>
                <w:sz w:val="30"/>
                <w:szCs w:val="28"/>
              </w:rPr>
              <w:t>。</w:t>
            </w:r>
          </w:p>
        </w:tc>
      </w:tr>
      <w:tr w14:paraId="36C17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34" w:type="dxa"/>
            <w:vAlign w:val="center"/>
          </w:tcPr>
          <w:p w14:paraId="72F37A54">
            <w:pPr>
              <w:spacing w:line="560" w:lineRule="exact"/>
              <w:jc w:val="center"/>
              <w:rPr>
                <w:rFonts w:eastAsia="仿宋_GB2312" w:cs="宋体"/>
                <w:sz w:val="30"/>
                <w:szCs w:val="28"/>
              </w:rPr>
            </w:pPr>
            <w:r>
              <w:rPr>
                <w:rFonts w:hint="eastAsia" w:eastAsia="仿宋_GB2312" w:cs="宋体"/>
                <w:sz w:val="30"/>
                <w:szCs w:val="28"/>
              </w:rPr>
              <w:t>期初交付金额</w:t>
            </w:r>
          </w:p>
        </w:tc>
        <w:tc>
          <w:tcPr>
            <w:tcW w:w="5862" w:type="dxa"/>
            <w:vAlign w:val="center"/>
          </w:tcPr>
          <w:p w14:paraId="56430A27">
            <w:pPr>
              <w:spacing w:before="185" w:line="560" w:lineRule="exact"/>
              <w:rPr>
                <w:rFonts w:eastAsia="仿宋_GB2312" w:cs="宋体"/>
                <w:sz w:val="30"/>
                <w:szCs w:val="28"/>
              </w:rPr>
            </w:pPr>
            <w:r>
              <w:rPr>
                <w:rFonts w:hint="eastAsia" w:eastAsia="仿宋_GB2312" w:cs="宋体"/>
                <w:sz w:val="30"/>
                <w:szCs w:val="28"/>
              </w:rPr>
              <w:t>在期初交付金额支付日支付的</w:t>
            </w:r>
            <w:r>
              <w:rPr>
                <w:rFonts w:hint="eastAsia" w:eastAsia="仿宋_GB2312" w:cs="宋体"/>
                <w:b/>
                <w:sz w:val="30"/>
                <w:szCs w:val="28"/>
              </w:rPr>
              <w:t>前端费用</w:t>
            </w:r>
            <w:r>
              <w:rPr>
                <w:rFonts w:hint="eastAsia" w:eastAsia="仿宋_GB2312" w:cs="宋体"/>
                <w:sz w:val="30"/>
                <w:szCs w:val="28"/>
              </w:rPr>
              <w:t>和</w:t>
            </w:r>
            <w:r>
              <w:rPr>
                <w:rFonts w:hint="eastAsia" w:eastAsia="仿宋_GB2312" w:cs="宋体"/>
                <w:b/>
                <w:sz w:val="30"/>
                <w:szCs w:val="28"/>
              </w:rPr>
              <w:t>期初返还金额</w:t>
            </w:r>
            <w:r>
              <w:rPr>
                <w:rFonts w:hint="eastAsia" w:eastAsia="仿宋_GB2312" w:cs="宋体"/>
                <w:sz w:val="30"/>
                <w:szCs w:val="28"/>
              </w:rPr>
              <w:t>的轧差。</w:t>
            </w:r>
          </w:p>
        </w:tc>
      </w:tr>
      <w:tr w14:paraId="76DE5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2072C575">
            <w:pPr>
              <w:spacing w:line="560" w:lineRule="exact"/>
              <w:jc w:val="center"/>
              <w:rPr>
                <w:rFonts w:eastAsia="仿宋_GB2312" w:cs="宋体"/>
                <w:sz w:val="30"/>
                <w:szCs w:val="28"/>
              </w:rPr>
            </w:pPr>
            <w:r>
              <w:rPr>
                <w:rFonts w:hint="eastAsia" w:eastAsia="仿宋_GB2312" w:cs="宋体"/>
                <w:sz w:val="30"/>
                <w:szCs w:val="24"/>
              </w:rPr>
              <w:t>首期支付日</w:t>
            </w:r>
          </w:p>
        </w:tc>
        <w:tc>
          <w:tcPr>
            <w:tcW w:w="5862" w:type="dxa"/>
            <w:vAlign w:val="center"/>
          </w:tcPr>
          <w:p w14:paraId="5FE12881">
            <w:pPr>
              <w:spacing w:before="185" w:line="560" w:lineRule="exact"/>
              <w:rPr>
                <w:rFonts w:eastAsia="仿宋_GB2312" w:cs="宋体"/>
                <w:sz w:val="30"/>
                <w:szCs w:val="28"/>
              </w:rPr>
            </w:pPr>
            <w:r>
              <w:rPr>
                <w:rFonts w:hint="eastAsia" w:eastAsia="仿宋_GB2312" w:cs="宋体"/>
                <w:b/>
                <w:bCs/>
                <w:sz w:val="30"/>
                <w:szCs w:val="24"/>
              </w:rPr>
              <w:t>本确认书</w:t>
            </w:r>
            <w:r>
              <w:rPr>
                <w:rFonts w:hint="eastAsia" w:eastAsia="仿宋_GB2312" w:cs="宋体"/>
                <w:sz w:val="30"/>
                <w:szCs w:val="24"/>
              </w:rPr>
              <w:t>的生效日之后的第一个支付日，并依照上海证券交易所相关的</w:t>
            </w:r>
            <w:r>
              <w:rPr>
                <w:rFonts w:hint="eastAsia" w:eastAsia="仿宋_GB2312" w:cs="宋体"/>
                <w:b/>
                <w:bCs/>
                <w:sz w:val="30"/>
                <w:szCs w:val="24"/>
              </w:rPr>
              <w:t>交易日</w:t>
            </w:r>
            <w:r>
              <w:rPr>
                <w:rFonts w:hint="eastAsia" w:eastAsia="仿宋_GB2312" w:cs="宋体"/>
                <w:sz w:val="30"/>
                <w:szCs w:val="24"/>
              </w:rPr>
              <w:t>准则调整。</w:t>
            </w:r>
          </w:p>
        </w:tc>
      </w:tr>
      <w:tr w14:paraId="2D04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4BB8E20F">
            <w:pPr>
              <w:spacing w:before="185" w:line="560" w:lineRule="exact"/>
              <w:jc w:val="center"/>
              <w:rPr>
                <w:rFonts w:eastAsia="仿宋_GB2312" w:cs="宋体"/>
                <w:sz w:val="30"/>
                <w:szCs w:val="28"/>
              </w:rPr>
            </w:pPr>
            <w:r>
              <w:rPr>
                <w:rFonts w:hint="eastAsia" w:eastAsia="仿宋_GB2312" w:cs="宋体"/>
                <w:sz w:val="30"/>
                <w:szCs w:val="28"/>
              </w:rPr>
              <w:t>债务</w:t>
            </w:r>
          </w:p>
        </w:tc>
        <w:tc>
          <w:tcPr>
            <w:tcW w:w="5862" w:type="dxa"/>
            <w:vAlign w:val="center"/>
          </w:tcPr>
          <w:p w14:paraId="007DCE98">
            <w:pPr>
              <w:spacing w:line="560" w:lineRule="exact"/>
              <w:ind w:right="-34" w:rightChars="-16"/>
              <w:rPr>
                <w:rFonts w:eastAsia="仿宋_GB2312" w:cs="宋体"/>
                <w:sz w:val="30"/>
                <w:szCs w:val="28"/>
              </w:rPr>
            </w:pPr>
            <w:r>
              <w:rPr>
                <w:rFonts w:hint="eastAsia" w:eastAsia="仿宋_GB2312" w:cs="宋体"/>
                <w:sz w:val="30"/>
                <w:szCs w:val="28"/>
              </w:rPr>
              <w:t>指</w:t>
            </w:r>
            <w:r>
              <w:rPr>
                <w:rFonts w:hint="eastAsia" w:eastAsia="仿宋_GB2312" w:cs="宋体"/>
                <w:b/>
                <w:bCs/>
                <w:sz w:val="30"/>
                <w:szCs w:val="28"/>
              </w:rPr>
              <w:t>参考实体</w:t>
            </w:r>
            <w:r>
              <w:rPr>
                <w:rFonts w:hint="eastAsia" w:eastAsia="仿宋_GB2312" w:cs="宋体"/>
                <w:sz w:val="30"/>
                <w:szCs w:val="28"/>
              </w:rPr>
              <w:t>作为主债务人负有的</w:t>
            </w:r>
            <w:r>
              <w:rPr>
                <w:rFonts w:hint="eastAsia" w:eastAsia="仿宋_GB2312" w:cs="宋体"/>
                <w:b/>
                <w:sz w:val="30"/>
                <w:szCs w:val="28"/>
              </w:rPr>
              <w:t>债务</w:t>
            </w:r>
            <w:r>
              <w:rPr>
                <w:rFonts w:hint="eastAsia" w:eastAsia="仿宋_GB2312" w:cs="宋体"/>
                <w:sz w:val="30"/>
                <w:szCs w:val="28"/>
              </w:rPr>
              <w:t>。</w:t>
            </w:r>
          </w:p>
        </w:tc>
      </w:tr>
      <w:tr w14:paraId="0E31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4C1AAA08">
            <w:pPr>
              <w:spacing w:before="185" w:line="560" w:lineRule="exact"/>
              <w:jc w:val="center"/>
              <w:rPr>
                <w:rFonts w:eastAsia="仿宋_GB2312" w:cs="宋体"/>
                <w:sz w:val="30"/>
                <w:szCs w:val="28"/>
              </w:rPr>
            </w:pPr>
            <w:r>
              <w:rPr>
                <w:rFonts w:hint="eastAsia" w:eastAsia="仿宋_GB2312" w:cs="宋体"/>
                <w:sz w:val="30"/>
                <w:szCs w:val="28"/>
              </w:rPr>
              <w:t>参考债务</w:t>
            </w:r>
          </w:p>
        </w:tc>
        <w:tc>
          <w:tcPr>
            <w:tcW w:w="5862" w:type="dxa"/>
            <w:vAlign w:val="center"/>
          </w:tcPr>
          <w:p w14:paraId="6C591007">
            <w:pPr>
              <w:autoSpaceDE w:val="0"/>
              <w:autoSpaceDN w:val="0"/>
              <w:adjustRightInd w:val="0"/>
              <w:spacing w:line="560" w:lineRule="exact"/>
              <w:rPr>
                <w:rFonts w:eastAsia="仿宋_GB2312" w:cs="宋体"/>
                <w:sz w:val="30"/>
                <w:szCs w:val="28"/>
              </w:rPr>
            </w:pPr>
            <w:r>
              <w:rPr>
                <w:rFonts w:hint="eastAsia" w:eastAsia="仿宋_GB2312" w:cs="宋体"/>
                <w:sz w:val="30"/>
                <w:szCs w:val="28"/>
              </w:rPr>
              <w:t>指</w:t>
            </w:r>
            <w:r>
              <w:rPr>
                <w:rFonts w:hint="eastAsia" w:eastAsia="仿宋_GB2312" w:cs="宋体"/>
                <w:b/>
                <w:sz w:val="30"/>
                <w:szCs w:val="28"/>
              </w:rPr>
              <w:t>交易双方</w:t>
            </w:r>
            <w:r>
              <w:rPr>
                <w:rFonts w:hint="eastAsia" w:eastAsia="仿宋_GB2312" w:cs="宋体"/>
                <w:sz w:val="30"/>
                <w:szCs w:val="28"/>
              </w:rPr>
              <w:t>在</w:t>
            </w:r>
            <w:r>
              <w:rPr>
                <w:rFonts w:hint="eastAsia" w:eastAsia="仿宋_GB2312" w:cs="宋体"/>
                <w:b/>
                <w:sz w:val="30"/>
                <w:szCs w:val="28"/>
              </w:rPr>
              <w:t>本确认书</w:t>
            </w:r>
            <w:r>
              <w:rPr>
                <w:rFonts w:hint="eastAsia" w:eastAsia="仿宋_GB2312" w:cs="宋体"/>
                <w:sz w:val="30"/>
                <w:szCs w:val="28"/>
              </w:rPr>
              <w:t>中列明或描述的一个或多个</w:t>
            </w:r>
            <w:r>
              <w:rPr>
                <w:rFonts w:hint="eastAsia" w:eastAsia="仿宋_GB2312" w:cs="宋体"/>
                <w:b/>
                <w:sz w:val="30"/>
                <w:szCs w:val="28"/>
              </w:rPr>
              <w:t>参考实体</w:t>
            </w:r>
            <w:r>
              <w:rPr>
                <w:rFonts w:hint="eastAsia" w:eastAsia="仿宋_GB2312" w:cs="宋体"/>
                <w:sz w:val="30"/>
                <w:szCs w:val="28"/>
              </w:rPr>
              <w:t>的一项或多项债务（或一类或多类</w:t>
            </w:r>
            <w:r>
              <w:rPr>
                <w:rFonts w:hint="eastAsia" w:eastAsia="仿宋_GB2312" w:cs="宋体"/>
                <w:b/>
                <w:sz w:val="30"/>
                <w:szCs w:val="28"/>
              </w:rPr>
              <w:t>债务</w:t>
            </w:r>
            <w:r>
              <w:rPr>
                <w:rFonts w:hint="eastAsia" w:eastAsia="仿宋_GB2312" w:cs="宋体"/>
                <w:sz w:val="30"/>
                <w:szCs w:val="28"/>
              </w:rPr>
              <w:t>）。</w:t>
            </w:r>
          </w:p>
        </w:tc>
      </w:tr>
      <w:tr w14:paraId="1941D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34" w:type="dxa"/>
            <w:vAlign w:val="center"/>
          </w:tcPr>
          <w:p w14:paraId="41479DED">
            <w:pPr>
              <w:spacing w:before="185" w:line="560" w:lineRule="exact"/>
              <w:jc w:val="center"/>
              <w:rPr>
                <w:rFonts w:eastAsia="仿宋_GB2312" w:cs="宋体"/>
                <w:sz w:val="30"/>
                <w:szCs w:val="28"/>
              </w:rPr>
            </w:pPr>
            <w:r>
              <w:rPr>
                <w:rFonts w:hint="eastAsia" w:eastAsia="仿宋_GB2312" w:cs="宋体"/>
                <w:sz w:val="30"/>
                <w:szCs w:val="28"/>
              </w:rPr>
              <w:t>债务种类</w:t>
            </w:r>
          </w:p>
        </w:tc>
        <w:tc>
          <w:tcPr>
            <w:tcW w:w="5862" w:type="dxa"/>
            <w:vAlign w:val="center"/>
          </w:tcPr>
          <w:p w14:paraId="6FD369AC">
            <w:pPr>
              <w:pStyle w:val="17"/>
              <w:spacing w:before="26" w:line="560" w:lineRule="exact"/>
              <w:rPr>
                <w:rFonts w:eastAsia="仿宋_GB2312" w:cs="宋体"/>
                <w:sz w:val="30"/>
                <w:szCs w:val="28"/>
              </w:rPr>
            </w:pPr>
            <w:r>
              <w:rPr>
                <w:rFonts w:hint="eastAsia" w:eastAsia="仿宋_GB2312" w:cs="宋体"/>
                <w:sz w:val="30"/>
                <w:szCs w:val="28"/>
              </w:rPr>
              <w:t>指</w:t>
            </w:r>
            <w:r>
              <w:rPr>
                <w:rFonts w:hint="eastAsia" w:eastAsia="仿宋_GB2312" w:cs="宋体"/>
                <w:b/>
                <w:bCs/>
                <w:sz w:val="30"/>
                <w:szCs w:val="28"/>
              </w:rPr>
              <w:t>参考实体</w:t>
            </w:r>
            <w:r>
              <w:rPr>
                <w:rFonts w:hint="eastAsia" w:eastAsia="仿宋_GB2312" w:cs="宋体"/>
                <w:sz w:val="30"/>
                <w:szCs w:val="28"/>
              </w:rPr>
              <w:t>所负</w:t>
            </w:r>
            <w:r>
              <w:rPr>
                <w:rFonts w:hint="eastAsia" w:eastAsia="仿宋_GB2312" w:cs="宋体"/>
                <w:b/>
                <w:bCs/>
                <w:sz w:val="30"/>
                <w:szCs w:val="28"/>
              </w:rPr>
              <w:t>债务</w:t>
            </w:r>
            <w:r>
              <w:rPr>
                <w:rFonts w:hint="eastAsia" w:eastAsia="仿宋_GB2312" w:cs="宋体"/>
                <w:sz w:val="30"/>
                <w:szCs w:val="28"/>
              </w:rPr>
              <w:t>的类别，包括但不限于：</w:t>
            </w:r>
          </w:p>
          <w:p w14:paraId="5BEA5B13">
            <w:pPr>
              <w:pStyle w:val="17"/>
              <w:spacing w:before="26" w:line="560" w:lineRule="exact"/>
              <w:rPr>
                <w:rFonts w:eastAsia="仿宋_GB2312" w:cs="宋体"/>
                <w:sz w:val="30"/>
                <w:szCs w:val="28"/>
              </w:rPr>
            </w:pPr>
            <w:r>
              <w:rPr>
                <w:rFonts w:hint="eastAsia" w:eastAsia="仿宋_GB2312" w:cs="宋体"/>
                <w:sz w:val="30"/>
                <w:szCs w:val="28"/>
              </w:rPr>
              <w:t>（</w:t>
            </w:r>
            <w:r>
              <w:rPr>
                <w:rFonts w:eastAsia="仿宋_GB2312" w:cs="宋体"/>
                <w:sz w:val="30"/>
                <w:szCs w:val="28"/>
              </w:rPr>
              <w:t>1</w:t>
            </w:r>
            <w:r>
              <w:rPr>
                <w:rFonts w:hint="eastAsia" w:eastAsia="仿宋_GB2312" w:cs="宋体"/>
                <w:sz w:val="30"/>
                <w:szCs w:val="28"/>
              </w:rPr>
              <w:t>）付款义务，即任何支付或偿还款项的义务；</w:t>
            </w:r>
          </w:p>
          <w:p w14:paraId="34E8D880">
            <w:pPr>
              <w:spacing w:line="560" w:lineRule="exact"/>
              <w:rPr>
                <w:rFonts w:eastAsia="仿宋_GB2312" w:cs="宋体"/>
                <w:kern w:val="0"/>
                <w:sz w:val="30"/>
                <w:szCs w:val="28"/>
              </w:rPr>
            </w:pPr>
            <w:r>
              <w:rPr>
                <w:rFonts w:hint="eastAsia" w:eastAsia="仿宋_GB2312" w:cs="宋体"/>
                <w:sz w:val="30"/>
                <w:szCs w:val="28"/>
              </w:rPr>
              <w:t>（</w:t>
            </w:r>
            <w:r>
              <w:rPr>
                <w:rFonts w:eastAsia="仿宋_GB2312" w:cs="宋体"/>
                <w:sz w:val="30"/>
                <w:szCs w:val="28"/>
              </w:rPr>
              <w:t>2</w:t>
            </w:r>
            <w:r>
              <w:rPr>
                <w:rFonts w:hint="eastAsia" w:eastAsia="仿宋_GB2312" w:cs="宋体"/>
                <w:sz w:val="30"/>
                <w:szCs w:val="28"/>
              </w:rPr>
              <w:t>）借贷款项，即基于贷款或债务融资法律关系产生的一种付款义务；</w:t>
            </w:r>
          </w:p>
          <w:p w14:paraId="20D306BE">
            <w:pPr>
              <w:pStyle w:val="17"/>
              <w:spacing w:line="560" w:lineRule="exact"/>
              <w:rPr>
                <w:rFonts w:eastAsia="仿宋_GB2312" w:cs="宋体"/>
                <w:sz w:val="30"/>
                <w:szCs w:val="28"/>
              </w:rPr>
            </w:pPr>
            <w:r>
              <w:rPr>
                <w:rFonts w:hint="eastAsia" w:eastAsia="仿宋_GB2312" w:cs="宋体"/>
                <w:spacing w:val="2"/>
                <w:sz w:val="30"/>
                <w:szCs w:val="28"/>
              </w:rPr>
              <w:t>（</w:t>
            </w:r>
            <w:r>
              <w:rPr>
                <w:rFonts w:eastAsia="仿宋_GB2312" w:cs="宋体"/>
                <w:spacing w:val="2"/>
                <w:sz w:val="30"/>
                <w:szCs w:val="28"/>
              </w:rPr>
              <w:t>3</w:t>
            </w:r>
            <w:r>
              <w:rPr>
                <w:rFonts w:hint="eastAsia" w:eastAsia="仿宋_GB2312" w:cs="宋体"/>
                <w:spacing w:val="2"/>
                <w:sz w:val="30"/>
                <w:szCs w:val="28"/>
              </w:rPr>
              <w:t>）贷款，即根据相关贷款协议、授信安排、保险资金间接投资基础设施、</w:t>
            </w:r>
            <w:r>
              <w:rPr>
                <w:rFonts w:hint="eastAsia" w:eastAsia="仿宋_GB2312" w:cs="宋体"/>
                <w:sz w:val="30"/>
                <w:szCs w:val="28"/>
              </w:rPr>
              <w:t>债权投资计划或信托安排已经发放的贷款；</w:t>
            </w:r>
          </w:p>
          <w:p w14:paraId="43089F12">
            <w:pPr>
              <w:pStyle w:val="17"/>
              <w:spacing w:line="560" w:lineRule="exact"/>
              <w:rPr>
                <w:rFonts w:eastAsia="仿宋_GB2312" w:cs="宋体"/>
                <w:sz w:val="30"/>
                <w:szCs w:val="28"/>
              </w:rPr>
            </w:pPr>
            <w:r>
              <w:rPr>
                <w:rFonts w:hint="eastAsia" w:eastAsia="仿宋_GB2312" w:cs="宋体"/>
                <w:sz w:val="30"/>
                <w:szCs w:val="28"/>
              </w:rPr>
              <w:t>（</w:t>
            </w:r>
            <w:r>
              <w:rPr>
                <w:rFonts w:eastAsia="仿宋_GB2312" w:cs="宋体"/>
                <w:sz w:val="30"/>
                <w:szCs w:val="28"/>
              </w:rPr>
              <w:t>4</w:t>
            </w:r>
            <w:r>
              <w:rPr>
                <w:rFonts w:hint="eastAsia" w:eastAsia="仿宋_GB2312" w:cs="宋体"/>
                <w:sz w:val="30"/>
                <w:szCs w:val="28"/>
              </w:rPr>
              <w:t>）</w:t>
            </w:r>
            <w:r>
              <w:rPr>
                <w:rFonts w:hint="eastAsia" w:eastAsia="仿宋_GB2312" w:cs="宋体"/>
                <w:b/>
                <w:sz w:val="30"/>
                <w:szCs w:val="28"/>
              </w:rPr>
              <w:t>债券</w:t>
            </w:r>
            <w:r>
              <w:rPr>
                <w:rFonts w:hint="eastAsia" w:eastAsia="仿宋_GB2312" w:cs="宋体"/>
                <w:sz w:val="30"/>
                <w:szCs w:val="28"/>
              </w:rPr>
              <w:t>，即各类公开发行、非公开发行或定向发行的债券或债务工具，包括但不限于公司债和可转债；</w:t>
            </w:r>
          </w:p>
          <w:p w14:paraId="2C5E7E0F">
            <w:pPr>
              <w:pStyle w:val="17"/>
              <w:spacing w:line="560" w:lineRule="exact"/>
              <w:rPr>
                <w:rFonts w:eastAsia="仿宋_GB2312" w:cs="宋体"/>
                <w:sz w:val="30"/>
                <w:szCs w:val="28"/>
              </w:rPr>
            </w:pPr>
            <w:r>
              <w:rPr>
                <w:rFonts w:hint="eastAsia" w:eastAsia="仿宋_GB2312" w:cs="宋体"/>
                <w:sz w:val="30"/>
                <w:szCs w:val="28"/>
              </w:rPr>
              <w:t>（</w:t>
            </w:r>
            <w:r>
              <w:rPr>
                <w:rFonts w:eastAsia="仿宋_GB2312" w:cs="宋体"/>
                <w:sz w:val="30"/>
                <w:szCs w:val="28"/>
              </w:rPr>
              <w:t>5</w:t>
            </w:r>
            <w:r>
              <w:rPr>
                <w:rFonts w:hint="eastAsia" w:eastAsia="仿宋_GB2312" w:cs="宋体"/>
                <w:sz w:val="30"/>
                <w:szCs w:val="28"/>
              </w:rPr>
              <w:t>）公司债；</w:t>
            </w:r>
          </w:p>
          <w:p w14:paraId="1C4060E9">
            <w:pPr>
              <w:spacing w:line="560" w:lineRule="exact"/>
              <w:rPr>
                <w:rFonts w:eastAsia="仿宋_GB2312" w:cs="宋体"/>
                <w:kern w:val="0"/>
                <w:sz w:val="30"/>
                <w:szCs w:val="28"/>
              </w:rPr>
            </w:pPr>
            <w:r>
              <w:rPr>
                <w:rFonts w:hint="eastAsia" w:eastAsia="仿宋_GB2312" w:cs="宋体"/>
                <w:sz w:val="30"/>
                <w:szCs w:val="28"/>
              </w:rPr>
              <w:t>（</w:t>
            </w:r>
            <w:r>
              <w:rPr>
                <w:rFonts w:eastAsia="仿宋_GB2312" w:cs="宋体"/>
                <w:sz w:val="30"/>
                <w:szCs w:val="28"/>
              </w:rPr>
              <w:t>6</w:t>
            </w:r>
            <w:r>
              <w:rPr>
                <w:rFonts w:hint="eastAsia" w:eastAsia="仿宋_GB2312" w:cs="宋体"/>
                <w:sz w:val="30"/>
                <w:szCs w:val="28"/>
              </w:rPr>
              <w:t>）可转债；</w:t>
            </w:r>
          </w:p>
          <w:p w14:paraId="35429298">
            <w:pPr>
              <w:pStyle w:val="17"/>
              <w:spacing w:line="560" w:lineRule="exact"/>
              <w:rPr>
                <w:rFonts w:eastAsia="仿宋_GB2312"/>
                <w:sz w:val="30"/>
                <w:szCs w:val="28"/>
              </w:rPr>
            </w:pPr>
            <w:r>
              <w:rPr>
                <w:rFonts w:hint="eastAsia" w:eastAsia="仿宋_GB2312"/>
                <w:sz w:val="30"/>
                <w:szCs w:val="28"/>
              </w:rPr>
              <w:t>（</w:t>
            </w:r>
            <w:r>
              <w:rPr>
                <w:rFonts w:eastAsia="仿宋_GB2312"/>
                <w:sz w:val="30"/>
                <w:szCs w:val="28"/>
              </w:rPr>
              <w:t>7</w:t>
            </w:r>
            <w:r>
              <w:rPr>
                <w:rFonts w:hint="eastAsia" w:eastAsia="仿宋_GB2312"/>
                <w:sz w:val="30"/>
                <w:szCs w:val="28"/>
              </w:rPr>
              <w:t>）资产支持证券；</w:t>
            </w:r>
          </w:p>
          <w:p w14:paraId="1B2006C3">
            <w:pPr>
              <w:spacing w:line="560" w:lineRule="exact"/>
              <w:rPr>
                <w:rFonts w:eastAsia="仿宋_GB2312" w:cs="宋体"/>
                <w:kern w:val="0"/>
                <w:sz w:val="30"/>
                <w:szCs w:val="28"/>
              </w:rPr>
            </w:pPr>
            <w:r>
              <w:rPr>
                <w:rFonts w:hint="eastAsia" w:eastAsia="仿宋_GB2312" w:cs="宋体"/>
                <w:sz w:val="30"/>
                <w:szCs w:val="28"/>
              </w:rPr>
              <w:t>（</w:t>
            </w:r>
            <w:r>
              <w:rPr>
                <w:rFonts w:eastAsia="仿宋_GB2312" w:cs="宋体"/>
                <w:sz w:val="30"/>
                <w:szCs w:val="28"/>
              </w:rPr>
              <w:t>8</w:t>
            </w:r>
            <w:r>
              <w:rPr>
                <w:rFonts w:hint="eastAsia" w:eastAsia="仿宋_GB2312" w:cs="宋体"/>
                <w:sz w:val="30"/>
                <w:szCs w:val="28"/>
              </w:rPr>
              <w:t>）仅为</w:t>
            </w:r>
            <w:r>
              <w:rPr>
                <w:rFonts w:hint="eastAsia" w:eastAsia="仿宋_GB2312" w:cs="宋体"/>
                <w:b/>
                <w:sz w:val="30"/>
                <w:szCs w:val="28"/>
              </w:rPr>
              <w:t>参考债务</w:t>
            </w:r>
            <w:r>
              <w:rPr>
                <w:rFonts w:hint="eastAsia" w:eastAsia="仿宋_GB2312" w:cs="宋体"/>
                <w:sz w:val="30"/>
                <w:szCs w:val="28"/>
              </w:rPr>
              <w:t>。</w:t>
            </w:r>
          </w:p>
        </w:tc>
      </w:tr>
      <w:tr w14:paraId="358CA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0CA6129F">
            <w:pPr>
              <w:spacing w:before="185" w:line="560" w:lineRule="exact"/>
              <w:jc w:val="center"/>
              <w:rPr>
                <w:rFonts w:eastAsia="仿宋_GB2312" w:cs="宋体"/>
                <w:sz w:val="30"/>
                <w:szCs w:val="28"/>
              </w:rPr>
            </w:pPr>
            <w:r>
              <w:rPr>
                <w:rFonts w:hint="eastAsia" w:eastAsia="仿宋_GB2312" w:cs="宋体"/>
                <w:sz w:val="30"/>
                <w:szCs w:val="28"/>
              </w:rPr>
              <w:t>债务特征</w:t>
            </w:r>
          </w:p>
        </w:tc>
        <w:tc>
          <w:tcPr>
            <w:tcW w:w="5862" w:type="dxa"/>
            <w:vAlign w:val="center"/>
          </w:tcPr>
          <w:p w14:paraId="31E950FD">
            <w:pPr>
              <w:spacing w:before="185" w:line="560" w:lineRule="exact"/>
              <w:rPr>
                <w:rFonts w:eastAsia="仿宋_GB2312" w:cs="宋体"/>
                <w:sz w:val="30"/>
                <w:szCs w:val="28"/>
              </w:rPr>
            </w:pPr>
            <w:r>
              <w:rPr>
                <w:rFonts w:hint="eastAsia" w:eastAsia="仿宋_GB2312" w:cs="宋体"/>
                <w:spacing w:val="-6"/>
                <w:sz w:val="30"/>
                <w:szCs w:val="28"/>
              </w:rPr>
              <w:t>指</w:t>
            </w:r>
            <w:r>
              <w:rPr>
                <w:rFonts w:hint="eastAsia" w:eastAsia="仿宋_GB2312" w:cs="宋体"/>
                <w:b/>
                <w:bCs/>
                <w:spacing w:val="-6"/>
                <w:sz w:val="30"/>
                <w:szCs w:val="28"/>
              </w:rPr>
              <w:t>参考实体</w:t>
            </w:r>
            <w:r>
              <w:rPr>
                <w:rFonts w:hint="eastAsia" w:eastAsia="仿宋_GB2312" w:cs="宋体"/>
                <w:spacing w:val="-6"/>
                <w:sz w:val="30"/>
                <w:szCs w:val="28"/>
              </w:rPr>
              <w:t>所负债务的一项或多项特征，包括但不限于</w:t>
            </w:r>
            <w:r>
              <w:rPr>
                <w:rFonts w:hint="eastAsia" w:eastAsia="仿宋_GB2312" w:cs="宋体"/>
                <w:b/>
                <w:spacing w:val="-6"/>
                <w:sz w:val="30"/>
                <w:szCs w:val="28"/>
              </w:rPr>
              <w:t>一般债务</w:t>
            </w:r>
            <w:r>
              <w:rPr>
                <w:rFonts w:hint="eastAsia" w:eastAsia="仿宋_GB2312" w:cs="宋体"/>
                <w:spacing w:val="-6"/>
                <w:sz w:val="30"/>
                <w:szCs w:val="28"/>
              </w:rPr>
              <w:t>、</w:t>
            </w:r>
            <w:r>
              <w:rPr>
                <w:rFonts w:hint="eastAsia" w:eastAsia="仿宋_GB2312" w:cs="宋体"/>
                <w:b/>
                <w:spacing w:val="-6"/>
                <w:sz w:val="30"/>
                <w:szCs w:val="28"/>
              </w:rPr>
              <w:t>次级债务</w:t>
            </w:r>
            <w:r>
              <w:rPr>
                <w:rFonts w:hint="eastAsia" w:eastAsia="仿宋_GB2312" w:cs="宋体"/>
                <w:spacing w:val="-6"/>
                <w:sz w:val="30"/>
                <w:szCs w:val="28"/>
              </w:rPr>
              <w:t>、</w:t>
            </w:r>
            <w:r>
              <w:rPr>
                <w:rFonts w:hint="eastAsia" w:eastAsia="仿宋_GB2312" w:cs="宋体"/>
                <w:b/>
                <w:sz w:val="30"/>
                <w:szCs w:val="28"/>
              </w:rPr>
              <w:t>交易流通</w:t>
            </w:r>
            <w:r>
              <w:rPr>
                <w:rFonts w:hint="eastAsia" w:eastAsia="仿宋_GB2312" w:cs="宋体"/>
                <w:sz w:val="30"/>
                <w:szCs w:val="28"/>
              </w:rPr>
              <w:t>、</w:t>
            </w:r>
            <w:r>
              <w:rPr>
                <w:rFonts w:hint="eastAsia" w:eastAsia="仿宋_GB2312" w:cs="宋体"/>
                <w:b/>
                <w:sz w:val="30"/>
                <w:szCs w:val="28"/>
              </w:rPr>
              <w:t>本币</w:t>
            </w:r>
            <w:r>
              <w:rPr>
                <w:rFonts w:hint="eastAsia" w:eastAsia="仿宋_GB2312" w:cs="宋体"/>
                <w:sz w:val="30"/>
                <w:szCs w:val="28"/>
              </w:rPr>
              <w:t>或</w:t>
            </w:r>
            <w:r>
              <w:rPr>
                <w:rFonts w:hint="eastAsia" w:eastAsia="仿宋_GB2312" w:cs="宋体"/>
                <w:b/>
                <w:sz w:val="30"/>
                <w:szCs w:val="28"/>
              </w:rPr>
              <w:t>外币</w:t>
            </w:r>
            <w:r>
              <w:rPr>
                <w:rFonts w:hint="eastAsia" w:eastAsia="仿宋_GB2312" w:cs="宋体"/>
                <w:sz w:val="30"/>
                <w:szCs w:val="28"/>
              </w:rPr>
              <w:t>等特征。</w:t>
            </w:r>
          </w:p>
        </w:tc>
      </w:tr>
      <w:tr w14:paraId="110FA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21B79D07">
            <w:pPr>
              <w:spacing w:before="185" w:line="560" w:lineRule="exact"/>
              <w:jc w:val="center"/>
              <w:rPr>
                <w:rFonts w:eastAsia="仿宋_GB2312" w:cs="宋体"/>
                <w:sz w:val="30"/>
                <w:szCs w:val="28"/>
              </w:rPr>
            </w:pPr>
            <w:r>
              <w:rPr>
                <w:rFonts w:hint="eastAsia" w:eastAsia="仿宋_GB2312" w:cs="宋体"/>
                <w:sz w:val="30"/>
                <w:szCs w:val="28"/>
              </w:rPr>
              <w:t>一般债务</w:t>
            </w:r>
          </w:p>
        </w:tc>
        <w:tc>
          <w:tcPr>
            <w:tcW w:w="5862" w:type="dxa"/>
            <w:vAlign w:val="center"/>
          </w:tcPr>
          <w:p w14:paraId="5B0E9BCB">
            <w:pPr>
              <w:spacing w:before="185" w:line="560" w:lineRule="exact"/>
              <w:rPr>
                <w:rFonts w:eastAsia="仿宋_GB2312" w:cs="宋体"/>
                <w:spacing w:val="-6"/>
                <w:sz w:val="30"/>
                <w:szCs w:val="28"/>
              </w:rPr>
            </w:pPr>
            <w:r>
              <w:rPr>
                <w:rFonts w:hint="eastAsia" w:eastAsia="仿宋_GB2312" w:cs="宋体"/>
                <w:spacing w:val="-6"/>
                <w:sz w:val="30"/>
                <w:szCs w:val="28"/>
              </w:rPr>
              <w:t>指该</w:t>
            </w:r>
            <w:r>
              <w:rPr>
                <w:rFonts w:hint="eastAsia" w:eastAsia="仿宋_GB2312" w:cs="宋体"/>
                <w:b/>
                <w:bCs/>
                <w:spacing w:val="-6"/>
                <w:sz w:val="30"/>
                <w:szCs w:val="28"/>
              </w:rPr>
              <w:t>债务</w:t>
            </w:r>
            <w:r>
              <w:rPr>
                <w:rFonts w:hint="eastAsia" w:eastAsia="仿宋_GB2312" w:cs="宋体"/>
                <w:spacing w:val="-6"/>
                <w:sz w:val="30"/>
                <w:szCs w:val="28"/>
              </w:rPr>
              <w:t>在获得</w:t>
            </w:r>
            <w:r>
              <w:rPr>
                <w:rFonts w:hint="eastAsia" w:eastAsia="仿宋_GB2312" w:cs="宋体"/>
                <w:b/>
                <w:bCs/>
                <w:spacing w:val="-6"/>
                <w:sz w:val="30"/>
                <w:szCs w:val="28"/>
              </w:rPr>
              <w:t>参考实体</w:t>
            </w:r>
            <w:r>
              <w:rPr>
                <w:rFonts w:hint="eastAsia" w:eastAsia="仿宋_GB2312" w:cs="宋体"/>
                <w:spacing w:val="-6"/>
                <w:sz w:val="30"/>
                <w:szCs w:val="28"/>
              </w:rPr>
              <w:t>清偿时的受偿顺序优先于其他同类型借款款项，或与其他同类型借贷款项平等受偿。在判断</w:t>
            </w:r>
            <w:r>
              <w:rPr>
                <w:rFonts w:hint="eastAsia" w:eastAsia="仿宋_GB2312" w:cs="宋体"/>
                <w:b/>
                <w:bCs/>
                <w:spacing w:val="-6"/>
                <w:sz w:val="30"/>
                <w:szCs w:val="28"/>
              </w:rPr>
              <w:t>债务</w:t>
            </w:r>
            <w:r>
              <w:rPr>
                <w:rFonts w:hint="eastAsia" w:eastAsia="仿宋_GB2312" w:cs="宋体"/>
                <w:spacing w:val="-6"/>
                <w:sz w:val="30"/>
                <w:szCs w:val="28"/>
              </w:rPr>
              <w:t>受偿顺序时，应以相关</w:t>
            </w:r>
            <w:r>
              <w:rPr>
                <w:rFonts w:hint="eastAsia" w:eastAsia="仿宋_GB2312" w:cs="宋体"/>
                <w:b/>
                <w:bCs/>
                <w:spacing w:val="-6"/>
                <w:sz w:val="30"/>
                <w:szCs w:val="28"/>
              </w:rPr>
              <w:t>债务</w:t>
            </w:r>
            <w:r>
              <w:rPr>
                <w:rFonts w:hint="eastAsia" w:eastAsia="仿宋_GB2312" w:cs="宋体"/>
                <w:spacing w:val="-6"/>
                <w:sz w:val="30"/>
                <w:szCs w:val="28"/>
              </w:rPr>
              <w:t>发生时的状态为准，但在</w:t>
            </w:r>
            <w:r>
              <w:rPr>
                <w:rFonts w:hint="eastAsia" w:eastAsia="仿宋_GB2312" w:cs="宋体"/>
                <w:b/>
                <w:spacing w:val="-6"/>
                <w:sz w:val="30"/>
                <w:szCs w:val="28"/>
              </w:rPr>
              <w:t>本确认书</w:t>
            </w:r>
            <w:r>
              <w:rPr>
                <w:rFonts w:hint="eastAsia" w:eastAsia="仿宋_GB2312" w:cs="宋体"/>
                <w:spacing w:val="-6"/>
                <w:sz w:val="30"/>
                <w:szCs w:val="28"/>
              </w:rPr>
              <w:t>的生效日晚于该</w:t>
            </w:r>
            <w:r>
              <w:rPr>
                <w:rFonts w:hint="eastAsia" w:eastAsia="仿宋_GB2312" w:cs="宋体"/>
                <w:b/>
                <w:bCs/>
                <w:spacing w:val="-6"/>
                <w:sz w:val="30"/>
                <w:szCs w:val="28"/>
              </w:rPr>
              <w:t>债务</w:t>
            </w:r>
            <w:r>
              <w:rPr>
                <w:rFonts w:hint="eastAsia" w:eastAsia="仿宋_GB2312" w:cs="宋体"/>
                <w:spacing w:val="-6"/>
                <w:sz w:val="30"/>
                <w:szCs w:val="28"/>
              </w:rPr>
              <w:t>的发生日时，则以其在</w:t>
            </w:r>
            <w:r>
              <w:rPr>
                <w:rFonts w:hint="eastAsia" w:eastAsia="仿宋_GB2312" w:cs="宋体"/>
                <w:b/>
                <w:spacing w:val="-6"/>
                <w:sz w:val="30"/>
                <w:szCs w:val="28"/>
              </w:rPr>
              <w:t>本确认书</w:t>
            </w:r>
            <w:r>
              <w:rPr>
                <w:rFonts w:hint="eastAsia" w:eastAsia="仿宋_GB2312" w:cs="宋体"/>
                <w:spacing w:val="-6"/>
                <w:sz w:val="30"/>
                <w:szCs w:val="28"/>
              </w:rPr>
              <w:t>的生效日的状态为准。</w:t>
            </w:r>
          </w:p>
        </w:tc>
      </w:tr>
      <w:tr w14:paraId="251A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404ED433">
            <w:pPr>
              <w:spacing w:before="185" w:line="560" w:lineRule="exact"/>
              <w:jc w:val="center"/>
              <w:rPr>
                <w:rFonts w:eastAsia="仿宋_GB2312" w:cs="宋体"/>
                <w:sz w:val="30"/>
                <w:szCs w:val="28"/>
              </w:rPr>
            </w:pPr>
            <w:r>
              <w:rPr>
                <w:rFonts w:hint="eastAsia" w:eastAsia="仿宋_GB2312" w:cs="宋体"/>
                <w:sz w:val="30"/>
                <w:szCs w:val="28"/>
              </w:rPr>
              <w:t>次级债务</w:t>
            </w:r>
          </w:p>
        </w:tc>
        <w:tc>
          <w:tcPr>
            <w:tcW w:w="5862" w:type="dxa"/>
            <w:vAlign w:val="center"/>
          </w:tcPr>
          <w:p w14:paraId="49880545">
            <w:pPr>
              <w:autoSpaceDE w:val="0"/>
              <w:autoSpaceDN w:val="0"/>
              <w:adjustRightInd w:val="0"/>
              <w:spacing w:line="560" w:lineRule="exact"/>
              <w:rPr>
                <w:rFonts w:eastAsia="仿宋_GB2312" w:cs="宋体"/>
                <w:sz w:val="30"/>
                <w:szCs w:val="28"/>
              </w:rPr>
            </w:pPr>
            <w:r>
              <w:rPr>
                <w:rFonts w:hint="eastAsia" w:eastAsia="仿宋_GB2312" w:cs="宋体"/>
                <w:sz w:val="30"/>
                <w:szCs w:val="28"/>
              </w:rPr>
              <w:t>指该债务在获得</w:t>
            </w:r>
            <w:r>
              <w:rPr>
                <w:rFonts w:hint="eastAsia" w:eastAsia="仿宋_GB2312" w:cs="宋体"/>
                <w:b/>
                <w:sz w:val="30"/>
                <w:szCs w:val="28"/>
              </w:rPr>
              <w:t>参考实体</w:t>
            </w:r>
            <w:r>
              <w:rPr>
                <w:rFonts w:hint="eastAsia" w:eastAsia="仿宋_GB2312" w:cs="宋体"/>
                <w:sz w:val="30"/>
                <w:szCs w:val="28"/>
              </w:rPr>
              <w:t>清偿时的受偿顺序在</w:t>
            </w:r>
            <w:r>
              <w:rPr>
                <w:rFonts w:hint="eastAsia" w:eastAsia="仿宋_GB2312" w:cs="宋体"/>
                <w:b/>
                <w:sz w:val="30"/>
                <w:szCs w:val="28"/>
              </w:rPr>
              <w:t>一般债务</w:t>
            </w:r>
            <w:r>
              <w:rPr>
                <w:rFonts w:hint="eastAsia" w:eastAsia="仿宋_GB2312" w:cs="宋体"/>
                <w:sz w:val="30"/>
                <w:szCs w:val="28"/>
              </w:rPr>
              <w:t>受偿后方可受偿，或在</w:t>
            </w:r>
            <w:r>
              <w:rPr>
                <w:rFonts w:hint="eastAsia" w:eastAsia="仿宋_GB2312" w:cs="宋体"/>
                <w:b/>
                <w:sz w:val="30"/>
                <w:szCs w:val="28"/>
              </w:rPr>
              <w:t>参考实体</w:t>
            </w:r>
            <w:r>
              <w:rPr>
                <w:rFonts w:hint="eastAsia" w:eastAsia="仿宋_GB2312" w:cs="宋体"/>
                <w:sz w:val="30"/>
                <w:szCs w:val="28"/>
              </w:rPr>
              <w:t>于</w:t>
            </w:r>
            <w:r>
              <w:rPr>
                <w:rFonts w:hint="eastAsia" w:eastAsia="仿宋_GB2312" w:cs="宋体"/>
                <w:b/>
                <w:sz w:val="30"/>
                <w:szCs w:val="28"/>
              </w:rPr>
              <w:t>一般债务</w:t>
            </w:r>
            <w:r>
              <w:rPr>
                <w:rFonts w:hint="eastAsia" w:eastAsia="仿宋_GB2312" w:cs="宋体"/>
                <w:sz w:val="30"/>
                <w:szCs w:val="28"/>
              </w:rPr>
              <w:t>项下尚有欠款或仍处于违约状态时，无权就该债务获得或保留</w:t>
            </w:r>
            <w:r>
              <w:rPr>
                <w:rFonts w:hint="eastAsia" w:eastAsia="仿宋_GB2312" w:cs="宋体"/>
                <w:b/>
                <w:sz w:val="30"/>
                <w:szCs w:val="28"/>
              </w:rPr>
              <w:t>参考实体</w:t>
            </w:r>
            <w:r>
              <w:rPr>
                <w:rFonts w:hint="eastAsia" w:eastAsia="仿宋_GB2312" w:cs="宋体"/>
                <w:sz w:val="30"/>
                <w:szCs w:val="28"/>
              </w:rPr>
              <w:t>支付的任何款项。</w:t>
            </w:r>
          </w:p>
        </w:tc>
      </w:tr>
      <w:tr w14:paraId="10C37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34" w:type="dxa"/>
            <w:vAlign w:val="center"/>
          </w:tcPr>
          <w:p w14:paraId="5A28AC1D">
            <w:pPr>
              <w:spacing w:before="185" w:line="560" w:lineRule="exact"/>
              <w:jc w:val="center"/>
              <w:rPr>
                <w:rFonts w:eastAsia="仿宋_GB2312" w:cs="宋体"/>
                <w:bCs/>
                <w:sz w:val="30"/>
                <w:szCs w:val="28"/>
              </w:rPr>
            </w:pPr>
            <w:r>
              <w:rPr>
                <w:rFonts w:hint="eastAsia" w:eastAsia="仿宋_GB2312" w:cs="宋体"/>
                <w:bCs/>
                <w:sz w:val="30"/>
                <w:szCs w:val="28"/>
              </w:rPr>
              <w:t>交易流通</w:t>
            </w:r>
          </w:p>
        </w:tc>
        <w:tc>
          <w:tcPr>
            <w:tcW w:w="5862" w:type="dxa"/>
            <w:vAlign w:val="center"/>
          </w:tcPr>
          <w:p w14:paraId="05493455">
            <w:pPr>
              <w:spacing w:line="560" w:lineRule="exact"/>
              <w:ind w:right="-34"/>
              <w:rPr>
                <w:rFonts w:eastAsia="仿宋_GB2312" w:cs="宋体"/>
                <w:spacing w:val="-3"/>
                <w:w w:val="95"/>
                <w:sz w:val="30"/>
                <w:szCs w:val="28"/>
              </w:rPr>
            </w:pPr>
            <w:r>
              <w:rPr>
                <w:rFonts w:hint="eastAsia" w:eastAsia="仿宋_GB2312" w:cs="宋体"/>
                <w:spacing w:val="4"/>
                <w:sz w:val="30"/>
                <w:szCs w:val="28"/>
              </w:rPr>
              <w:t>指该</w:t>
            </w:r>
            <w:r>
              <w:rPr>
                <w:rFonts w:hint="eastAsia" w:eastAsia="仿宋_GB2312" w:cs="宋体"/>
                <w:b/>
                <w:spacing w:val="4"/>
                <w:sz w:val="30"/>
                <w:szCs w:val="28"/>
              </w:rPr>
              <w:t>债务</w:t>
            </w:r>
            <w:r>
              <w:rPr>
                <w:rFonts w:hint="eastAsia" w:eastAsia="仿宋_GB2312" w:cs="宋体"/>
                <w:spacing w:val="4"/>
                <w:sz w:val="30"/>
                <w:szCs w:val="28"/>
              </w:rPr>
              <w:t>可以在中国境内或境外的合法交易场所转让或买卖。（即使某非公开发行或定向发行的</w:t>
            </w:r>
            <w:r>
              <w:rPr>
                <w:rFonts w:hint="eastAsia" w:eastAsia="仿宋_GB2312" w:cs="宋体"/>
                <w:b/>
                <w:spacing w:val="4"/>
                <w:sz w:val="30"/>
                <w:szCs w:val="28"/>
              </w:rPr>
              <w:t>债券</w:t>
            </w:r>
            <w:r>
              <w:rPr>
                <w:rFonts w:hint="eastAsia" w:eastAsia="仿宋_GB2312" w:cs="宋体"/>
                <w:spacing w:val="4"/>
                <w:sz w:val="30"/>
                <w:szCs w:val="28"/>
              </w:rPr>
              <w:t>在交易流通方面可能受到某些限制，仍应视为其具有“</w:t>
            </w:r>
            <w:r>
              <w:rPr>
                <w:rFonts w:hint="eastAsia" w:eastAsia="仿宋_GB2312" w:cs="宋体"/>
                <w:b/>
                <w:spacing w:val="4"/>
                <w:sz w:val="30"/>
                <w:szCs w:val="28"/>
              </w:rPr>
              <w:t>交易流通</w:t>
            </w:r>
            <w:r>
              <w:rPr>
                <w:rFonts w:hint="eastAsia" w:eastAsia="仿宋_GB2312" w:cs="宋体"/>
                <w:spacing w:val="4"/>
                <w:sz w:val="30"/>
                <w:szCs w:val="28"/>
              </w:rPr>
              <w:t>”</w:t>
            </w:r>
            <w:r>
              <w:rPr>
                <w:rFonts w:hint="eastAsia" w:eastAsia="仿宋_GB2312" w:cs="宋体"/>
                <w:b/>
                <w:spacing w:val="4"/>
                <w:sz w:val="30"/>
                <w:szCs w:val="28"/>
              </w:rPr>
              <w:t>的债务特征</w:t>
            </w:r>
            <w:r>
              <w:rPr>
                <w:rFonts w:hint="eastAsia" w:eastAsia="仿宋_GB2312" w:cs="宋体"/>
                <w:spacing w:val="4"/>
                <w:sz w:val="30"/>
                <w:szCs w:val="28"/>
              </w:rPr>
              <w:t>。）</w:t>
            </w:r>
          </w:p>
        </w:tc>
      </w:tr>
      <w:tr w14:paraId="43CD6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2615F4EB">
            <w:pPr>
              <w:spacing w:before="185" w:line="560" w:lineRule="exact"/>
              <w:jc w:val="center"/>
              <w:rPr>
                <w:rFonts w:eastAsia="仿宋_GB2312" w:cs="宋体"/>
                <w:bCs/>
                <w:sz w:val="30"/>
                <w:szCs w:val="28"/>
              </w:rPr>
            </w:pPr>
            <w:r>
              <w:rPr>
                <w:rFonts w:hint="eastAsia" w:eastAsia="仿宋_GB2312" w:cs="宋体"/>
                <w:bCs/>
                <w:sz w:val="30"/>
                <w:szCs w:val="28"/>
              </w:rPr>
              <w:t>本币</w:t>
            </w:r>
          </w:p>
        </w:tc>
        <w:tc>
          <w:tcPr>
            <w:tcW w:w="5862" w:type="dxa"/>
            <w:vAlign w:val="center"/>
          </w:tcPr>
          <w:p w14:paraId="79652683">
            <w:pPr>
              <w:spacing w:line="560" w:lineRule="exact"/>
              <w:ind w:right="-34"/>
              <w:rPr>
                <w:rFonts w:eastAsia="仿宋_GB2312" w:cs="宋体"/>
                <w:spacing w:val="-3"/>
                <w:w w:val="95"/>
                <w:sz w:val="30"/>
                <w:szCs w:val="28"/>
              </w:rPr>
            </w:pPr>
            <w:r>
              <w:rPr>
                <w:rFonts w:hint="eastAsia" w:eastAsia="仿宋_GB2312" w:cs="宋体"/>
                <w:spacing w:val="-3"/>
                <w:sz w:val="30"/>
                <w:szCs w:val="28"/>
              </w:rPr>
              <w:t>指该</w:t>
            </w:r>
            <w:r>
              <w:rPr>
                <w:rFonts w:hint="eastAsia" w:eastAsia="仿宋_GB2312" w:cs="宋体"/>
                <w:b/>
                <w:spacing w:val="-3"/>
                <w:sz w:val="30"/>
                <w:szCs w:val="28"/>
              </w:rPr>
              <w:t>债务</w:t>
            </w:r>
            <w:r>
              <w:rPr>
                <w:rFonts w:hint="eastAsia" w:eastAsia="仿宋_GB2312" w:cs="宋体"/>
                <w:spacing w:val="-3"/>
                <w:sz w:val="30"/>
                <w:szCs w:val="28"/>
              </w:rPr>
              <w:t>的面值为人民币。</w:t>
            </w:r>
          </w:p>
        </w:tc>
      </w:tr>
      <w:tr w14:paraId="45E19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60791AEB">
            <w:pPr>
              <w:spacing w:before="185" w:line="560" w:lineRule="exact"/>
              <w:jc w:val="center"/>
              <w:rPr>
                <w:rFonts w:eastAsia="仿宋_GB2312" w:cs="宋体"/>
                <w:bCs/>
                <w:sz w:val="30"/>
                <w:szCs w:val="28"/>
              </w:rPr>
            </w:pPr>
            <w:r>
              <w:rPr>
                <w:rFonts w:hint="eastAsia" w:eastAsia="仿宋_GB2312" w:cs="宋体"/>
                <w:bCs/>
                <w:sz w:val="30"/>
                <w:szCs w:val="28"/>
              </w:rPr>
              <w:t>外币</w:t>
            </w:r>
          </w:p>
        </w:tc>
        <w:tc>
          <w:tcPr>
            <w:tcW w:w="5862" w:type="dxa"/>
            <w:vAlign w:val="center"/>
          </w:tcPr>
          <w:p w14:paraId="1A674EB1">
            <w:pPr>
              <w:spacing w:line="560" w:lineRule="exact"/>
              <w:ind w:right="-34"/>
              <w:rPr>
                <w:rFonts w:eastAsia="仿宋_GB2312" w:cs="宋体"/>
                <w:spacing w:val="-3"/>
                <w:sz w:val="30"/>
                <w:szCs w:val="28"/>
              </w:rPr>
            </w:pPr>
            <w:r>
              <w:rPr>
                <w:rFonts w:hint="eastAsia" w:eastAsia="仿宋_GB2312" w:cs="宋体"/>
                <w:spacing w:val="-3"/>
                <w:sz w:val="30"/>
                <w:szCs w:val="28"/>
              </w:rPr>
              <w:t>指该</w:t>
            </w:r>
            <w:r>
              <w:rPr>
                <w:rFonts w:hint="eastAsia" w:eastAsia="仿宋_GB2312" w:cs="宋体"/>
                <w:b/>
                <w:spacing w:val="-3"/>
                <w:sz w:val="30"/>
                <w:szCs w:val="28"/>
              </w:rPr>
              <w:t>债务</w:t>
            </w:r>
            <w:r>
              <w:rPr>
                <w:rFonts w:hint="eastAsia" w:eastAsia="仿宋_GB2312" w:cs="宋体"/>
                <w:spacing w:val="-3"/>
                <w:sz w:val="30"/>
                <w:szCs w:val="28"/>
              </w:rPr>
              <w:t>的面值</w:t>
            </w:r>
            <w:r>
              <w:rPr>
                <w:rFonts w:hint="eastAsia" w:eastAsia="仿宋_GB2312" w:cs="宋体"/>
                <w:sz w:val="30"/>
                <w:szCs w:val="28"/>
              </w:rPr>
              <w:t>为人民币以外的币种。</w:t>
            </w:r>
          </w:p>
        </w:tc>
      </w:tr>
      <w:tr w14:paraId="4CB5B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21485487">
            <w:pPr>
              <w:spacing w:before="185" w:line="560" w:lineRule="exact"/>
              <w:jc w:val="center"/>
              <w:rPr>
                <w:rFonts w:eastAsia="仿宋_GB2312" w:cs="宋体"/>
                <w:sz w:val="30"/>
                <w:szCs w:val="28"/>
              </w:rPr>
            </w:pPr>
            <w:r>
              <w:rPr>
                <w:rFonts w:hint="eastAsia" w:eastAsia="仿宋_GB2312" w:cs="宋体"/>
                <w:sz w:val="30"/>
                <w:szCs w:val="28"/>
              </w:rPr>
              <w:t>信用事件</w:t>
            </w:r>
          </w:p>
        </w:tc>
        <w:tc>
          <w:tcPr>
            <w:tcW w:w="5862" w:type="dxa"/>
            <w:vAlign w:val="center"/>
          </w:tcPr>
          <w:p w14:paraId="6CC82C48">
            <w:pPr>
              <w:spacing w:line="560" w:lineRule="exact"/>
              <w:ind w:right="-34"/>
              <w:rPr>
                <w:rFonts w:eastAsia="仿宋_GB2312" w:cs="宋体"/>
                <w:sz w:val="30"/>
                <w:szCs w:val="28"/>
              </w:rPr>
            </w:pPr>
            <w:r>
              <w:rPr>
                <w:rFonts w:hint="eastAsia" w:eastAsia="仿宋_GB2312" w:cs="宋体"/>
                <w:spacing w:val="4"/>
                <w:sz w:val="30"/>
                <w:szCs w:val="28"/>
              </w:rPr>
              <w:t>指</w:t>
            </w:r>
            <w:r>
              <w:rPr>
                <w:rFonts w:hint="eastAsia" w:eastAsia="仿宋_GB2312" w:cs="宋体"/>
                <w:b/>
                <w:bCs/>
                <w:spacing w:val="4"/>
                <w:sz w:val="30"/>
                <w:szCs w:val="28"/>
              </w:rPr>
              <w:t>交易双方</w:t>
            </w:r>
            <w:r>
              <w:rPr>
                <w:rFonts w:hint="eastAsia" w:eastAsia="仿宋_GB2312" w:cs="宋体"/>
                <w:spacing w:val="4"/>
                <w:sz w:val="30"/>
                <w:szCs w:val="28"/>
              </w:rPr>
              <w:t>在</w:t>
            </w:r>
            <w:r>
              <w:rPr>
                <w:rFonts w:hint="eastAsia" w:eastAsia="仿宋_GB2312" w:cs="宋体"/>
                <w:b/>
                <w:bCs/>
                <w:spacing w:val="4"/>
                <w:sz w:val="30"/>
                <w:szCs w:val="28"/>
              </w:rPr>
              <w:t>本确认书</w:t>
            </w:r>
            <w:r>
              <w:rPr>
                <w:rFonts w:hint="eastAsia" w:eastAsia="仿宋_GB2312" w:cs="宋体"/>
                <w:spacing w:val="4"/>
                <w:sz w:val="30"/>
                <w:szCs w:val="28"/>
              </w:rPr>
              <w:t>中就一笔</w:t>
            </w:r>
            <w:r>
              <w:rPr>
                <w:rFonts w:hint="eastAsia" w:eastAsia="仿宋_GB2312" w:cs="宋体"/>
                <w:b/>
                <w:bCs/>
                <w:spacing w:val="4"/>
                <w:sz w:val="30"/>
                <w:szCs w:val="28"/>
              </w:rPr>
              <w:t>信用保护合约交易</w:t>
            </w:r>
            <w:r>
              <w:rPr>
                <w:rFonts w:hint="eastAsia" w:eastAsia="仿宋_GB2312" w:cs="宋体"/>
                <w:spacing w:val="4"/>
                <w:sz w:val="30"/>
                <w:szCs w:val="28"/>
              </w:rPr>
              <w:t>约定的触发结</w:t>
            </w:r>
            <w:r>
              <w:rPr>
                <w:rFonts w:hint="eastAsia" w:eastAsia="仿宋_GB2312" w:cs="宋体"/>
                <w:spacing w:val="-3"/>
                <w:sz w:val="30"/>
                <w:szCs w:val="28"/>
              </w:rPr>
              <w:t>算赔付的事件，包括</w:t>
            </w:r>
            <w:r>
              <w:rPr>
                <w:rFonts w:hint="eastAsia" w:eastAsia="仿宋_GB2312" w:cs="宋体"/>
                <w:b/>
                <w:spacing w:val="-3"/>
                <w:sz w:val="30"/>
                <w:szCs w:val="28"/>
              </w:rPr>
              <w:t>破产</w:t>
            </w:r>
            <w:r>
              <w:rPr>
                <w:rFonts w:hint="eastAsia" w:eastAsia="仿宋_GB2312" w:cs="宋体"/>
                <w:spacing w:val="-3"/>
                <w:sz w:val="30"/>
                <w:szCs w:val="28"/>
              </w:rPr>
              <w:t>、</w:t>
            </w:r>
            <w:r>
              <w:rPr>
                <w:rFonts w:hint="eastAsia" w:eastAsia="仿宋_GB2312" w:cs="宋体"/>
                <w:b/>
                <w:spacing w:val="-3"/>
                <w:sz w:val="30"/>
                <w:szCs w:val="28"/>
              </w:rPr>
              <w:t>支付违约</w:t>
            </w:r>
            <w:r>
              <w:rPr>
                <w:rFonts w:hint="eastAsia" w:eastAsia="仿宋_GB2312" w:cs="宋体"/>
                <w:spacing w:val="-3"/>
                <w:sz w:val="30"/>
                <w:szCs w:val="28"/>
              </w:rPr>
              <w:t>、</w:t>
            </w:r>
            <w:r>
              <w:rPr>
                <w:rFonts w:hint="eastAsia" w:eastAsia="仿宋_GB2312" w:cs="宋体"/>
                <w:b/>
                <w:sz w:val="30"/>
                <w:szCs w:val="28"/>
              </w:rPr>
              <w:t>债务重组</w:t>
            </w:r>
            <w:r>
              <w:rPr>
                <w:rFonts w:hint="eastAsia" w:eastAsia="仿宋_GB2312" w:cs="宋体"/>
                <w:sz w:val="30"/>
                <w:szCs w:val="28"/>
              </w:rPr>
              <w:t>等事件。</w:t>
            </w:r>
          </w:p>
        </w:tc>
      </w:tr>
      <w:tr w14:paraId="4295D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34" w:type="dxa"/>
            <w:vAlign w:val="center"/>
          </w:tcPr>
          <w:p w14:paraId="596E8787">
            <w:pPr>
              <w:spacing w:before="185" w:line="560" w:lineRule="exact"/>
              <w:jc w:val="center"/>
              <w:rPr>
                <w:rFonts w:eastAsia="仿宋_GB2312" w:cs="宋体"/>
                <w:spacing w:val="4"/>
                <w:sz w:val="30"/>
                <w:szCs w:val="28"/>
              </w:rPr>
            </w:pPr>
            <w:r>
              <w:rPr>
                <w:rFonts w:hint="eastAsia" w:eastAsia="仿宋_GB2312" w:cs="宋体"/>
                <w:spacing w:val="4"/>
                <w:sz w:val="30"/>
                <w:szCs w:val="28"/>
              </w:rPr>
              <w:t>破产</w:t>
            </w:r>
          </w:p>
        </w:tc>
        <w:tc>
          <w:tcPr>
            <w:tcW w:w="5862" w:type="dxa"/>
            <w:vAlign w:val="center"/>
          </w:tcPr>
          <w:p w14:paraId="008E1FDA">
            <w:pPr>
              <w:spacing w:line="560" w:lineRule="exact"/>
              <w:ind w:right="-34"/>
              <w:rPr>
                <w:rFonts w:eastAsia="仿宋_GB2312" w:cs="宋体"/>
                <w:spacing w:val="4"/>
                <w:sz w:val="30"/>
                <w:szCs w:val="28"/>
              </w:rPr>
            </w:pPr>
            <w:r>
              <w:rPr>
                <w:rFonts w:hint="eastAsia" w:eastAsia="仿宋_GB2312" w:cs="宋体"/>
                <w:b/>
                <w:spacing w:val="4"/>
                <w:sz w:val="30"/>
                <w:szCs w:val="28"/>
              </w:rPr>
              <w:t>破产</w:t>
            </w:r>
            <w:r>
              <w:rPr>
                <w:rFonts w:hint="eastAsia" w:eastAsia="仿宋_GB2312" w:cs="宋体"/>
                <w:spacing w:val="4"/>
                <w:sz w:val="30"/>
                <w:szCs w:val="28"/>
              </w:rPr>
              <w:t>指</w:t>
            </w:r>
            <w:r>
              <w:rPr>
                <w:rFonts w:hint="eastAsia" w:eastAsia="仿宋_GB2312" w:cs="宋体"/>
                <w:b/>
                <w:spacing w:val="4"/>
                <w:sz w:val="30"/>
                <w:szCs w:val="28"/>
              </w:rPr>
              <w:t>参考实体</w:t>
            </w:r>
            <w:r>
              <w:rPr>
                <w:rFonts w:hint="eastAsia" w:eastAsia="仿宋_GB2312" w:cs="宋体"/>
                <w:spacing w:val="4"/>
                <w:sz w:val="30"/>
                <w:szCs w:val="28"/>
              </w:rPr>
              <w:t>发生下列任一事件：</w:t>
            </w:r>
          </w:p>
          <w:p w14:paraId="53973DBA">
            <w:pPr>
              <w:spacing w:line="560" w:lineRule="exact"/>
              <w:ind w:right="-34"/>
              <w:rPr>
                <w:rFonts w:eastAsia="仿宋_GB2312" w:cs="宋体"/>
                <w:spacing w:val="4"/>
                <w:sz w:val="30"/>
                <w:szCs w:val="28"/>
              </w:rPr>
            </w:pPr>
            <w:r>
              <w:rPr>
                <w:rFonts w:hint="eastAsia" w:eastAsia="仿宋_GB2312" w:cs="宋体"/>
                <w:spacing w:val="4"/>
                <w:sz w:val="30"/>
                <w:szCs w:val="28"/>
              </w:rPr>
              <w:t>（</w:t>
            </w:r>
            <w:r>
              <w:rPr>
                <w:rFonts w:eastAsia="仿宋_GB2312" w:cs="宋体"/>
                <w:spacing w:val="4"/>
                <w:sz w:val="30"/>
                <w:szCs w:val="28"/>
              </w:rPr>
              <w:t>1</w:t>
            </w:r>
            <w:r>
              <w:rPr>
                <w:rFonts w:hint="eastAsia" w:eastAsia="仿宋_GB2312" w:cs="宋体"/>
                <w:spacing w:val="4"/>
                <w:sz w:val="30"/>
                <w:szCs w:val="28"/>
              </w:rPr>
              <w:t>）解散（出于联合、合并或重组目的而发生的解散除外）；</w:t>
            </w:r>
          </w:p>
          <w:p w14:paraId="619FDB27">
            <w:pPr>
              <w:spacing w:line="560" w:lineRule="exact"/>
              <w:ind w:right="-34"/>
              <w:rPr>
                <w:rFonts w:eastAsia="仿宋_GB2312" w:cs="宋体"/>
                <w:spacing w:val="4"/>
                <w:sz w:val="30"/>
                <w:szCs w:val="28"/>
              </w:rPr>
            </w:pPr>
            <w:r>
              <w:rPr>
                <w:rFonts w:hint="eastAsia" w:eastAsia="仿宋_GB2312" w:cs="宋体"/>
                <w:spacing w:val="4"/>
                <w:sz w:val="30"/>
                <w:szCs w:val="28"/>
              </w:rPr>
              <w:t>（</w:t>
            </w:r>
            <w:r>
              <w:rPr>
                <w:rFonts w:eastAsia="仿宋_GB2312" w:cs="宋体"/>
                <w:spacing w:val="4"/>
                <w:sz w:val="30"/>
                <w:szCs w:val="28"/>
              </w:rPr>
              <w:t>2</w:t>
            </w:r>
            <w:r>
              <w:rPr>
                <w:rFonts w:hint="eastAsia" w:eastAsia="仿宋_GB2312" w:cs="宋体"/>
                <w:spacing w:val="4"/>
                <w:sz w:val="30"/>
                <w:szCs w:val="28"/>
              </w:rPr>
              <w:t>）不能清偿到期债务，并且资产不足以清偿全部债务或明显缺乏清偿能力的；</w:t>
            </w:r>
          </w:p>
          <w:p w14:paraId="52C583D0">
            <w:pPr>
              <w:spacing w:line="560" w:lineRule="exact"/>
              <w:ind w:right="-34"/>
              <w:rPr>
                <w:rFonts w:eastAsia="仿宋_GB2312" w:cs="宋体"/>
                <w:spacing w:val="4"/>
                <w:sz w:val="30"/>
                <w:szCs w:val="28"/>
              </w:rPr>
            </w:pPr>
            <w:r>
              <w:rPr>
                <w:rFonts w:hint="eastAsia" w:eastAsia="仿宋_GB2312" w:cs="宋体"/>
                <w:spacing w:val="4"/>
                <w:sz w:val="30"/>
                <w:szCs w:val="28"/>
              </w:rPr>
              <w:t>（</w:t>
            </w:r>
            <w:r>
              <w:rPr>
                <w:rFonts w:eastAsia="仿宋_GB2312" w:cs="宋体"/>
                <w:spacing w:val="4"/>
                <w:sz w:val="30"/>
                <w:szCs w:val="28"/>
              </w:rPr>
              <w:t>3</w:t>
            </w:r>
            <w:r>
              <w:rPr>
                <w:rFonts w:hint="eastAsia" w:eastAsia="仿宋_GB2312" w:cs="宋体"/>
                <w:spacing w:val="4"/>
                <w:sz w:val="30"/>
                <w:szCs w:val="28"/>
              </w:rPr>
              <w:t>）书面承认其无力偿还到期债务；</w:t>
            </w:r>
          </w:p>
          <w:p w14:paraId="7D948595">
            <w:pPr>
              <w:spacing w:line="560" w:lineRule="exact"/>
              <w:ind w:right="-34"/>
              <w:rPr>
                <w:rFonts w:eastAsia="仿宋_GB2312" w:cs="宋体"/>
                <w:spacing w:val="4"/>
                <w:sz w:val="30"/>
                <w:szCs w:val="28"/>
              </w:rPr>
            </w:pPr>
            <w:r>
              <w:rPr>
                <w:rFonts w:hint="eastAsia" w:eastAsia="仿宋_GB2312" w:cs="宋体"/>
                <w:spacing w:val="4"/>
                <w:sz w:val="30"/>
                <w:szCs w:val="28"/>
              </w:rPr>
              <w:t>（</w:t>
            </w:r>
            <w:r>
              <w:rPr>
                <w:rFonts w:eastAsia="仿宋_GB2312" w:cs="宋体"/>
                <w:spacing w:val="4"/>
                <w:sz w:val="30"/>
                <w:szCs w:val="28"/>
              </w:rPr>
              <w:t>4</w:t>
            </w:r>
            <w:r>
              <w:rPr>
                <w:rFonts w:hint="eastAsia" w:eastAsia="仿宋_GB2312" w:cs="宋体"/>
                <w:spacing w:val="4"/>
                <w:sz w:val="30"/>
                <w:szCs w:val="28"/>
              </w:rPr>
              <w:t>）为其债权人利益就其全部或实质性资产达成转让协议或清偿安排，或就其全部或大部分债务的清偿事宜与债权人做出安排或达成和解协议；</w:t>
            </w:r>
          </w:p>
          <w:p w14:paraId="19A58A40">
            <w:pPr>
              <w:spacing w:line="560" w:lineRule="exact"/>
              <w:ind w:right="-34"/>
              <w:rPr>
                <w:rFonts w:eastAsia="仿宋_GB2312" w:cs="宋体"/>
                <w:spacing w:val="4"/>
                <w:sz w:val="30"/>
                <w:szCs w:val="28"/>
              </w:rPr>
            </w:pPr>
            <w:r>
              <w:rPr>
                <w:rFonts w:hint="eastAsia" w:eastAsia="仿宋_GB2312" w:cs="宋体"/>
                <w:spacing w:val="4"/>
                <w:sz w:val="30"/>
                <w:szCs w:val="28"/>
              </w:rPr>
              <w:t>（</w:t>
            </w:r>
            <w:r>
              <w:rPr>
                <w:rFonts w:eastAsia="仿宋_GB2312" w:cs="宋体"/>
                <w:spacing w:val="4"/>
                <w:sz w:val="30"/>
                <w:szCs w:val="28"/>
              </w:rPr>
              <w:t>5</w:t>
            </w:r>
            <w:r>
              <w:rPr>
                <w:rFonts w:hint="eastAsia" w:eastAsia="仿宋_GB2312" w:cs="宋体"/>
                <w:spacing w:val="4"/>
                <w:sz w:val="30"/>
                <w:szCs w:val="28"/>
              </w:rPr>
              <w:t>）自身或其监管部门启动针对其的接管、破产、清算等行政或司法程序；或其债权人启动针对其的接管、破产、清算等行政或司法程序，导致其被依法宣告破产、停业、清算或被接管，或上述程序在启动后三十天内未被驳回、撤销、中止或禁止的；</w:t>
            </w:r>
          </w:p>
          <w:p w14:paraId="0F88566A">
            <w:pPr>
              <w:spacing w:line="560" w:lineRule="exact"/>
              <w:ind w:right="-34"/>
              <w:rPr>
                <w:rFonts w:eastAsia="仿宋_GB2312" w:cs="宋体"/>
                <w:spacing w:val="4"/>
                <w:sz w:val="30"/>
                <w:szCs w:val="28"/>
              </w:rPr>
            </w:pPr>
            <w:r>
              <w:rPr>
                <w:rFonts w:hint="eastAsia" w:eastAsia="仿宋_GB2312" w:cs="宋体"/>
                <w:spacing w:val="4"/>
                <w:sz w:val="30"/>
                <w:szCs w:val="28"/>
              </w:rPr>
              <w:t>（</w:t>
            </w:r>
            <w:r>
              <w:rPr>
                <w:rFonts w:eastAsia="仿宋_GB2312" w:cs="宋体"/>
                <w:spacing w:val="4"/>
                <w:sz w:val="30"/>
                <w:szCs w:val="28"/>
              </w:rPr>
              <w:t>6</w:t>
            </w:r>
            <w:r>
              <w:rPr>
                <w:rFonts w:hint="eastAsia" w:eastAsia="仿宋_GB2312" w:cs="宋体"/>
                <w:spacing w:val="4"/>
                <w:sz w:val="30"/>
                <w:szCs w:val="28"/>
              </w:rPr>
              <w:t>）通过其停业、清算或申请破产的决议；</w:t>
            </w:r>
          </w:p>
          <w:p w14:paraId="15C272A4">
            <w:pPr>
              <w:spacing w:line="560" w:lineRule="exact"/>
              <w:ind w:right="-34"/>
              <w:rPr>
                <w:rFonts w:eastAsia="仿宋_GB2312" w:cs="宋体"/>
                <w:spacing w:val="4"/>
                <w:sz w:val="30"/>
                <w:szCs w:val="28"/>
              </w:rPr>
            </w:pPr>
            <w:r>
              <w:rPr>
                <w:rFonts w:hint="eastAsia" w:eastAsia="仿宋_GB2312" w:cs="宋体"/>
                <w:spacing w:val="4"/>
                <w:sz w:val="30"/>
                <w:szCs w:val="28"/>
              </w:rPr>
              <w:t>（</w:t>
            </w:r>
            <w:r>
              <w:rPr>
                <w:rFonts w:eastAsia="仿宋_GB2312" w:cs="宋体"/>
                <w:spacing w:val="4"/>
                <w:sz w:val="30"/>
                <w:szCs w:val="28"/>
              </w:rPr>
              <w:t>7</w:t>
            </w:r>
            <w:r>
              <w:rPr>
                <w:rFonts w:hint="eastAsia" w:eastAsia="仿宋_GB2312" w:cs="宋体"/>
                <w:spacing w:val="4"/>
                <w:sz w:val="30"/>
                <w:szCs w:val="28"/>
              </w:rPr>
              <w:t>）就自身或自身的全部或大部分资产寻求任命临时清算人、托管人、受托人、接管人或其他类似人员或被任命了任何前述人员；</w:t>
            </w:r>
          </w:p>
          <w:p w14:paraId="696B8B75">
            <w:pPr>
              <w:spacing w:line="560" w:lineRule="exact"/>
              <w:ind w:right="-34"/>
              <w:rPr>
                <w:rFonts w:eastAsia="仿宋_GB2312" w:cs="宋体"/>
                <w:spacing w:val="4"/>
                <w:sz w:val="30"/>
                <w:szCs w:val="28"/>
              </w:rPr>
            </w:pPr>
            <w:r>
              <w:rPr>
                <w:rFonts w:hint="eastAsia" w:eastAsia="仿宋_GB2312" w:cs="宋体"/>
                <w:spacing w:val="4"/>
                <w:sz w:val="30"/>
                <w:szCs w:val="28"/>
              </w:rPr>
              <w:t>（</w:t>
            </w:r>
            <w:r>
              <w:rPr>
                <w:rFonts w:eastAsia="仿宋_GB2312" w:cs="宋体"/>
                <w:spacing w:val="4"/>
                <w:sz w:val="30"/>
                <w:szCs w:val="28"/>
              </w:rPr>
              <w:t>8</w:t>
            </w:r>
            <w:r>
              <w:rPr>
                <w:rFonts w:hint="eastAsia" w:eastAsia="仿宋_GB2312" w:cs="宋体"/>
                <w:spacing w:val="4"/>
                <w:sz w:val="30"/>
                <w:szCs w:val="28"/>
              </w:rPr>
              <w:t>）其债权人作为担保权人采取行动取得了其全部或大部分资产，或使其全部或实质部分资产被查封、扣押、冻结、或强制执行，且上述情形在三十天内未被相关权力机关撤销或中止；</w:t>
            </w:r>
          </w:p>
          <w:p w14:paraId="4A8B7F23">
            <w:pPr>
              <w:spacing w:line="560" w:lineRule="exact"/>
              <w:ind w:right="-34"/>
              <w:rPr>
                <w:rFonts w:eastAsia="仿宋_GB2312" w:cs="宋体"/>
                <w:spacing w:val="4"/>
                <w:sz w:val="30"/>
                <w:szCs w:val="28"/>
              </w:rPr>
            </w:pPr>
            <w:r>
              <w:rPr>
                <w:rFonts w:hint="eastAsia" w:eastAsia="仿宋_GB2312" w:cs="宋体"/>
                <w:spacing w:val="4"/>
                <w:sz w:val="30"/>
                <w:szCs w:val="28"/>
              </w:rPr>
              <w:t>（</w:t>
            </w:r>
            <w:r>
              <w:rPr>
                <w:rFonts w:eastAsia="仿宋_GB2312" w:cs="宋体"/>
                <w:spacing w:val="4"/>
                <w:sz w:val="30"/>
                <w:szCs w:val="28"/>
              </w:rPr>
              <w:t>9</w:t>
            </w:r>
            <w:r>
              <w:rPr>
                <w:rFonts w:hint="eastAsia" w:eastAsia="仿宋_GB2312" w:cs="宋体"/>
                <w:spacing w:val="4"/>
                <w:sz w:val="30"/>
                <w:szCs w:val="28"/>
              </w:rPr>
              <w:t>）其他任何与上述第（</w:t>
            </w:r>
            <w:r>
              <w:rPr>
                <w:rFonts w:eastAsia="仿宋_GB2312" w:cs="宋体"/>
                <w:spacing w:val="4"/>
                <w:sz w:val="30"/>
                <w:szCs w:val="28"/>
              </w:rPr>
              <w:t>1</w:t>
            </w:r>
            <w:r>
              <w:rPr>
                <w:rFonts w:hint="eastAsia" w:eastAsia="仿宋_GB2312" w:cs="宋体"/>
                <w:spacing w:val="4"/>
                <w:sz w:val="30"/>
                <w:szCs w:val="28"/>
              </w:rPr>
              <w:t>）项至第（</w:t>
            </w:r>
            <w:r>
              <w:rPr>
                <w:rFonts w:eastAsia="仿宋_GB2312" w:cs="宋体"/>
                <w:spacing w:val="4"/>
                <w:sz w:val="30"/>
                <w:szCs w:val="28"/>
              </w:rPr>
              <w:t>8</w:t>
            </w:r>
            <w:r>
              <w:rPr>
                <w:rFonts w:hint="eastAsia" w:eastAsia="仿宋_GB2312" w:cs="宋体"/>
                <w:spacing w:val="4"/>
                <w:sz w:val="30"/>
                <w:szCs w:val="28"/>
              </w:rPr>
              <w:t>）项有类似效果的事件。</w:t>
            </w:r>
          </w:p>
        </w:tc>
      </w:tr>
      <w:tr w14:paraId="7444B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11EC95F0">
            <w:pPr>
              <w:spacing w:before="185" w:line="560" w:lineRule="exact"/>
              <w:jc w:val="center"/>
              <w:rPr>
                <w:rFonts w:eastAsia="仿宋_GB2312" w:cs="宋体"/>
                <w:sz w:val="30"/>
                <w:szCs w:val="28"/>
              </w:rPr>
            </w:pPr>
            <w:r>
              <w:rPr>
                <w:rFonts w:hint="eastAsia" w:eastAsia="仿宋_GB2312" w:cs="宋体"/>
                <w:sz w:val="30"/>
                <w:szCs w:val="28"/>
              </w:rPr>
              <w:t>支付违约</w:t>
            </w:r>
          </w:p>
        </w:tc>
        <w:tc>
          <w:tcPr>
            <w:tcW w:w="5862" w:type="dxa"/>
            <w:vAlign w:val="center"/>
          </w:tcPr>
          <w:p w14:paraId="15E36C1C">
            <w:pPr>
              <w:spacing w:line="560" w:lineRule="exact"/>
              <w:ind w:right="-34" w:rightChars="-16"/>
              <w:rPr>
                <w:rFonts w:eastAsia="仿宋_GB2312" w:cs="宋体"/>
                <w:sz w:val="30"/>
                <w:szCs w:val="28"/>
              </w:rPr>
            </w:pPr>
            <w:r>
              <w:rPr>
                <w:rFonts w:hint="eastAsia" w:eastAsia="仿宋_GB2312" w:cs="宋体"/>
                <w:b/>
                <w:bCs/>
                <w:spacing w:val="-7"/>
                <w:sz w:val="30"/>
                <w:szCs w:val="28"/>
              </w:rPr>
              <w:t>支付违约</w:t>
            </w:r>
            <w:r>
              <w:rPr>
                <w:rFonts w:hint="eastAsia" w:eastAsia="仿宋_GB2312" w:cs="宋体"/>
                <w:spacing w:val="-7"/>
                <w:sz w:val="30"/>
                <w:szCs w:val="28"/>
              </w:rPr>
              <w:t>指</w:t>
            </w:r>
            <w:r>
              <w:rPr>
                <w:rFonts w:hint="eastAsia" w:eastAsia="仿宋_GB2312" w:cs="宋体"/>
                <w:b/>
                <w:bCs/>
                <w:spacing w:val="-7"/>
                <w:sz w:val="30"/>
                <w:szCs w:val="28"/>
              </w:rPr>
              <w:t>参考实体</w:t>
            </w:r>
            <w:r>
              <w:rPr>
                <w:rFonts w:hint="eastAsia" w:eastAsia="仿宋_GB2312" w:cs="宋体"/>
                <w:spacing w:val="-7"/>
                <w:sz w:val="30"/>
                <w:szCs w:val="28"/>
              </w:rPr>
              <w:t>未按约定在一项或多项</w:t>
            </w:r>
            <w:r>
              <w:rPr>
                <w:rFonts w:hint="eastAsia" w:eastAsia="仿宋_GB2312" w:cs="宋体"/>
                <w:b/>
                <w:bCs/>
                <w:spacing w:val="-7"/>
                <w:sz w:val="30"/>
                <w:szCs w:val="28"/>
              </w:rPr>
              <w:t>债务</w:t>
            </w:r>
            <w:r>
              <w:rPr>
                <w:rFonts w:hint="eastAsia" w:eastAsia="仿宋_GB2312" w:cs="宋体"/>
                <w:spacing w:val="-7"/>
                <w:sz w:val="30"/>
                <w:szCs w:val="28"/>
              </w:rPr>
              <w:t>的支付日足额履行</w:t>
            </w:r>
            <w:r>
              <w:rPr>
                <w:rFonts w:hint="eastAsia" w:eastAsia="仿宋_GB2312" w:cs="宋体"/>
                <w:spacing w:val="-3"/>
                <w:sz w:val="30"/>
                <w:szCs w:val="28"/>
              </w:rPr>
              <w:t>支付义务，未支付款项总金额超过适用的</w:t>
            </w:r>
            <w:r>
              <w:rPr>
                <w:rFonts w:hint="eastAsia" w:eastAsia="仿宋_GB2312" w:cs="宋体"/>
                <w:b/>
                <w:bCs/>
                <w:spacing w:val="-3"/>
                <w:sz w:val="30"/>
                <w:szCs w:val="28"/>
              </w:rPr>
              <w:t>起点金额</w:t>
            </w:r>
            <w:r>
              <w:rPr>
                <w:rFonts w:hint="eastAsia" w:eastAsia="仿宋_GB2312" w:cs="宋体"/>
                <w:spacing w:val="-3"/>
                <w:sz w:val="30"/>
                <w:szCs w:val="28"/>
              </w:rPr>
              <w:t>，且在适用的</w:t>
            </w:r>
            <w:r>
              <w:rPr>
                <w:rFonts w:hint="eastAsia" w:eastAsia="仿宋_GB2312" w:cs="宋体"/>
                <w:b/>
                <w:bCs/>
                <w:spacing w:val="-3"/>
                <w:sz w:val="30"/>
                <w:szCs w:val="28"/>
              </w:rPr>
              <w:t>宽限期</w:t>
            </w:r>
            <w:r>
              <w:rPr>
                <w:rFonts w:hint="eastAsia" w:eastAsia="仿宋_GB2312" w:cs="宋体"/>
                <w:spacing w:val="-3"/>
                <w:sz w:val="30"/>
                <w:szCs w:val="28"/>
              </w:rPr>
              <w:t>届满后仍</w:t>
            </w:r>
            <w:r>
              <w:rPr>
                <w:rFonts w:eastAsia="仿宋_GB2312" w:cs="宋体"/>
                <w:spacing w:val="-115"/>
                <w:sz w:val="30"/>
                <w:szCs w:val="28"/>
              </w:rPr>
              <w:t xml:space="preserve"> </w:t>
            </w:r>
            <w:r>
              <w:rPr>
                <w:rFonts w:hint="eastAsia" w:eastAsia="仿宋_GB2312" w:cs="宋体"/>
                <w:sz w:val="30"/>
                <w:szCs w:val="28"/>
              </w:rPr>
              <w:t>未纠正。</w:t>
            </w:r>
          </w:p>
        </w:tc>
      </w:tr>
      <w:tr w14:paraId="5021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587D0B43">
            <w:pPr>
              <w:spacing w:before="185" w:line="560" w:lineRule="exact"/>
              <w:jc w:val="center"/>
              <w:rPr>
                <w:rFonts w:eastAsia="仿宋_GB2312" w:cs="宋体"/>
                <w:sz w:val="30"/>
                <w:szCs w:val="28"/>
              </w:rPr>
            </w:pPr>
            <w:r>
              <w:rPr>
                <w:rFonts w:hint="eastAsia" w:eastAsia="仿宋_GB2312" w:cs="宋体"/>
                <w:sz w:val="30"/>
                <w:szCs w:val="28"/>
              </w:rPr>
              <w:t>债务重组</w:t>
            </w:r>
          </w:p>
        </w:tc>
        <w:tc>
          <w:tcPr>
            <w:tcW w:w="5862" w:type="dxa"/>
            <w:vAlign w:val="center"/>
          </w:tcPr>
          <w:p w14:paraId="72AEEBD7">
            <w:pPr>
              <w:pStyle w:val="17"/>
              <w:spacing w:line="560" w:lineRule="exact"/>
              <w:ind w:right="-34" w:rightChars="-16"/>
              <w:rPr>
                <w:rFonts w:eastAsia="仿宋_GB2312" w:cs="宋体"/>
                <w:sz w:val="30"/>
                <w:szCs w:val="28"/>
              </w:rPr>
            </w:pPr>
            <w:r>
              <w:rPr>
                <w:rFonts w:hint="eastAsia" w:eastAsia="仿宋_GB2312" w:cs="宋体"/>
                <w:b/>
                <w:bCs/>
                <w:spacing w:val="-10"/>
                <w:sz w:val="30"/>
                <w:szCs w:val="28"/>
              </w:rPr>
              <w:t>债务重组</w:t>
            </w:r>
            <w:r>
              <w:rPr>
                <w:rFonts w:hint="eastAsia" w:eastAsia="仿宋_GB2312" w:cs="宋体"/>
                <w:spacing w:val="-10"/>
                <w:sz w:val="30"/>
                <w:szCs w:val="28"/>
              </w:rPr>
              <w:t>（亦称为“偿付变更”或“债项重组”）指因本金、利息、</w:t>
            </w:r>
            <w:r>
              <w:rPr>
                <w:rFonts w:hint="eastAsia" w:eastAsia="仿宋_GB2312" w:cs="宋体"/>
                <w:spacing w:val="-3"/>
                <w:sz w:val="30"/>
                <w:szCs w:val="28"/>
              </w:rPr>
              <w:t>费用的下调或推迟或提前支付等原因对</w:t>
            </w:r>
            <w:r>
              <w:rPr>
                <w:rFonts w:hint="eastAsia" w:eastAsia="仿宋_GB2312" w:cs="宋体"/>
                <w:b/>
                <w:bCs/>
                <w:spacing w:val="-3"/>
                <w:sz w:val="30"/>
                <w:szCs w:val="28"/>
              </w:rPr>
              <w:t>债务</w:t>
            </w:r>
            <w:r>
              <w:rPr>
                <w:rFonts w:hint="eastAsia" w:eastAsia="仿宋_GB2312" w:cs="宋体"/>
                <w:spacing w:val="-3"/>
                <w:sz w:val="30"/>
                <w:szCs w:val="28"/>
              </w:rPr>
              <w:t>的重组而导致的信用损失事件，包括</w:t>
            </w:r>
            <w:r>
              <w:rPr>
                <w:rFonts w:eastAsia="仿宋_GB2312" w:cs="宋体"/>
                <w:spacing w:val="-112"/>
                <w:sz w:val="30"/>
                <w:szCs w:val="28"/>
              </w:rPr>
              <w:t xml:space="preserve"> </w:t>
            </w:r>
            <w:r>
              <w:rPr>
                <w:rFonts w:hint="eastAsia" w:eastAsia="仿宋_GB2312" w:cs="宋体"/>
                <w:sz w:val="30"/>
                <w:szCs w:val="28"/>
              </w:rPr>
              <w:t>但不限于下述安排：</w:t>
            </w:r>
          </w:p>
          <w:p w14:paraId="017DC976">
            <w:pPr>
              <w:pStyle w:val="17"/>
              <w:spacing w:before="29" w:line="560" w:lineRule="exact"/>
              <w:ind w:right="-34" w:rightChars="-16"/>
              <w:rPr>
                <w:rFonts w:eastAsia="仿宋_GB2312" w:cs="宋体"/>
                <w:sz w:val="30"/>
                <w:szCs w:val="28"/>
              </w:rPr>
            </w:pPr>
            <w:r>
              <w:rPr>
                <w:rFonts w:hint="eastAsia" w:eastAsia="仿宋_GB2312" w:cs="宋体"/>
                <w:sz w:val="30"/>
                <w:szCs w:val="28"/>
              </w:rPr>
              <w:t>（</w:t>
            </w:r>
            <w:r>
              <w:rPr>
                <w:rFonts w:eastAsia="仿宋_GB2312" w:cs="宋体"/>
                <w:sz w:val="30"/>
                <w:szCs w:val="28"/>
              </w:rPr>
              <w:t>1</w:t>
            </w:r>
            <w:r>
              <w:rPr>
                <w:rFonts w:hint="eastAsia" w:eastAsia="仿宋_GB2312" w:cs="宋体"/>
                <w:sz w:val="30"/>
                <w:szCs w:val="28"/>
              </w:rPr>
              <w:t>）降低应付利率水平、减少应付利息金额或减少预定应计利息的金额；</w:t>
            </w:r>
          </w:p>
          <w:p w14:paraId="2C94859E">
            <w:pPr>
              <w:pStyle w:val="17"/>
              <w:spacing w:before="29" w:line="560" w:lineRule="exact"/>
              <w:ind w:right="-34" w:rightChars="-16"/>
              <w:rPr>
                <w:rFonts w:eastAsia="仿宋_GB2312" w:cs="宋体"/>
                <w:sz w:val="30"/>
                <w:szCs w:val="28"/>
              </w:rPr>
            </w:pPr>
            <w:r>
              <w:rPr>
                <w:rFonts w:hint="eastAsia" w:eastAsia="仿宋_GB2312" w:cs="宋体"/>
                <w:sz w:val="30"/>
                <w:szCs w:val="28"/>
              </w:rPr>
              <w:t>（</w:t>
            </w:r>
            <w:r>
              <w:rPr>
                <w:rFonts w:eastAsia="仿宋_GB2312" w:cs="宋体"/>
                <w:sz w:val="30"/>
                <w:szCs w:val="28"/>
              </w:rPr>
              <w:t>2</w:t>
            </w:r>
            <w:r>
              <w:rPr>
                <w:rFonts w:hint="eastAsia" w:eastAsia="仿宋_GB2312" w:cs="宋体"/>
                <w:sz w:val="30"/>
                <w:szCs w:val="28"/>
              </w:rPr>
              <w:t>）减少应到期偿还或分期偿还的本金数额或溢价；</w:t>
            </w:r>
          </w:p>
          <w:p w14:paraId="65554101">
            <w:pPr>
              <w:pStyle w:val="17"/>
              <w:spacing w:line="560" w:lineRule="exact"/>
              <w:ind w:right="-34" w:rightChars="-16"/>
              <w:rPr>
                <w:rFonts w:eastAsia="仿宋_GB2312" w:cs="宋体"/>
                <w:sz w:val="30"/>
                <w:szCs w:val="28"/>
              </w:rPr>
            </w:pPr>
            <w:r>
              <w:rPr>
                <w:rFonts w:hint="eastAsia" w:eastAsia="仿宋_GB2312" w:cs="宋体"/>
                <w:sz w:val="30"/>
                <w:szCs w:val="28"/>
              </w:rPr>
              <w:t>（</w:t>
            </w:r>
            <w:r>
              <w:rPr>
                <w:rFonts w:eastAsia="仿宋_GB2312" w:cs="宋体"/>
                <w:sz w:val="30"/>
                <w:szCs w:val="28"/>
              </w:rPr>
              <w:t>3</w:t>
            </w:r>
            <w:r>
              <w:rPr>
                <w:rFonts w:hint="eastAsia" w:eastAsia="仿宋_GB2312" w:cs="宋体"/>
                <w:sz w:val="30"/>
                <w:szCs w:val="28"/>
              </w:rPr>
              <w:t>）提前或推迟本金、利息或溢价的偿付日期，或推迟应计利息的起息；</w:t>
            </w:r>
          </w:p>
          <w:p w14:paraId="40580C86">
            <w:pPr>
              <w:pStyle w:val="17"/>
              <w:spacing w:line="560" w:lineRule="exact"/>
              <w:ind w:right="-34" w:rightChars="-16"/>
              <w:rPr>
                <w:rFonts w:eastAsia="仿宋_GB2312" w:cs="宋体"/>
                <w:sz w:val="30"/>
                <w:szCs w:val="28"/>
              </w:rPr>
            </w:pPr>
            <w:r>
              <w:rPr>
                <w:rFonts w:hint="eastAsia" w:eastAsia="仿宋_GB2312" w:cs="宋体"/>
                <w:sz w:val="30"/>
                <w:szCs w:val="28"/>
              </w:rPr>
              <w:t>（</w:t>
            </w:r>
            <w:r>
              <w:rPr>
                <w:rFonts w:eastAsia="仿宋_GB2312" w:cs="宋体"/>
                <w:sz w:val="30"/>
                <w:szCs w:val="28"/>
              </w:rPr>
              <w:t>4</w:t>
            </w:r>
            <w:r>
              <w:rPr>
                <w:rFonts w:hint="eastAsia" w:eastAsia="仿宋_GB2312" w:cs="宋体"/>
                <w:sz w:val="30"/>
                <w:szCs w:val="28"/>
              </w:rPr>
              <w:t>）变动该债务的受偿顺序，导致其对任何其他债务成为次级债务；</w:t>
            </w:r>
          </w:p>
          <w:p w14:paraId="4D9EAA3A">
            <w:pPr>
              <w:pStyle w:val="17"/>
              <w:spacing w:line="560" w:lineRule="exact"/>
              <w:ind w:right="-34" w:rightChars="-16"/>
              <w:rPr>
                <w:rFonts w:eastAsia="仿宋_GB2312" w:cs="宋体"/>
                <w:sz w:val="30"/>
                <w:szCs w:val="28"/>
              </w:rPr>
            </w:pPr>
            <w:r>
              <w:rPr>
                <w:rFonts w:hint="eastAsia" w:eastAsia="仿宋_GB2312" w:cs="宋体"/>
                <w:sz w:val="30"/>
                <w:szCs w:val="28"/>
              </w:rPr>
              <w:t>（</w:t>
            </w:r>
            <w:r>
              <w:rPr>
                <w:rFonts w:eastAsia="仿宋_GB2312" w:cs="宋体"/>
                <w:sz w:val="30"/>
                <w:szCs w:val="28"/>
              </w:rPr>
              <w:t>5</w:t>
            </w:r>
            <w:r>
              <w:rPr>
                <w:rFonts w:hint="eastAsia" w:eastAsia="仿宋_GB2312" w:cs="宋体"/>
                <w:sz w:val="30"/>
                <w:szCs w:val="28"/>
              </w:rPr>
              <w:t>）改变本息偿付币种；</w:t>
            </w:r>
          </w:p>
          <w:p w14:paraId="0B6AA145">
            <w:pPr>
              <w:pStyle w:val="17"/>
              <w:spacing w:line="560" w:lineRule="exact"/>
              <w:ind w:right="-34" w:rightChars="-16"/>
              <w:rPr>
                <w:rFonts w:eastAsia="仿宋_GB2312" w:cs="宋体"/>
                <w:sz w:val="30"/>
                <w:szCs w:val="28"/>
              </w:rPr>
            </w:pPr>
            <w:r>
              <w:rPr>
                <w:rFonts w:hint="eastAsia" w:eastAsia="仿宋_GB2312" w:cs="宋体"/>
                <w:sz w:val="30"/>
                <w:szCs w:val="28"/>
              </w:rPr>
              <w:t>（</w:t>
            </w:r>
            <w:r>
              <w:rPr>
                <w:rFonts w:eastAsia="仿宋_GB2312" w:cs="宋体"/>
                <w:sz w:val="30"/>
                <w:szCs w:val="28"/>
              </w:rPr>
              <w:t>6</w:t>
            </w:r>
            <w:r>
              <w:rPr>
                <w:rFonts w:hint="eastAsia" w:eastAsia="仿宋_GB2312" w:cs="宋体"/>
                <w:sz w:val="30"/>
                <w:szCs w:val="28"/>
              </w:rPr>
              <w:t>）若</w:t>
            </w:r>
            <w:r>
              <w:rPr>
                <w:rFonts w:hint="eastAsia" w:eastAsia="仿宋_GB2312" w:cs="宋体"/>
                <w:b/>
                <w:bCs/>
                <w:sz w:val="30"/>
                <w:szCs w:val="28"/>
              </w:rPr>
              <w:t>债务种类</w:t>
            </w:r>
            <w:r>
              <w:rPr>
                <w:rFonts w:hint="eastAsia" w:eastAsia="仿宋_GB2312" w:cs="宋体"/>
                <w:sz w:val="30"/>
                <w:szCs w:val="28"/>
              </w:rPr>
              <w:t>为</w:t>
            </w:r>
            <w:r>
              <w:rPr>
                <w:rFonts w:hint="eastAsia" w:eastAsia="仿宋_GB2312" w:cs="宋体"/>
                <w:b/>
                <w:spacing w:val="4"/>
                <w:sz w:val="30"/>
                <w:szCs w:val="28"/>
              </w:rPr>
              <w:t>债券</w:t>
            </w:r>
            <w:r>
              <w:rPr>
                <w:rFonts w:hint="eastAsia" w:eastAsia="仿宋_GB2312" w:cs="宋体"/>
                <w:sz w:val="30"/>
                <w:szCs w:val="28"/>
              </w:rPr>
              <w:t>，该</w:t>
            </w:r>
            <w:r>
              <w:rPr>
                <w:rFonts w:hint="eastAsia" w:eastAsia="仿宋_GB2312" w:cs="宋体"/>
                <w:b/>
                <w:spacing w:val="4"/>
                <w:sz w:val="30"/>
                <w:szCs w:val="28"/>
              </w:rPr>
              <w:t>债券</w:t>
            </w:r>
            <w:r>
              <w:rPr>
                <w:rFonts w:hint="eastAsia" w:eastAsia="仿宋_GB2312" w:cs="宋体"/>
                <w:sz w:val="30"/>
                <w:szCs w:val="28"/>
              </w:rPr>
              <w:t>的发行人在未获得全体持有人同意的情况下，将该</w:t>
            </w:r>
            <w:r>
              <w:rPr>
                <w:rFonts w:hint="eastAsia" w:eastAsia="仿宋_GB2312" w:cs="宋体"/>
                <w:b/>
                <w:spacing w:val="4"/>
                <w:sz w:val="30"/>
                <w:szCs w:val="28"/>
              </w:rPr>
              <w:t>债券</w:t>
            </w:r>
            <w:r>
              <w:rPr>
                <w:rFonts w:hint="eastAsia" w:eastAsia="仿宋_GB2312" w:cs="宋体"/>
                <w:sz w:val="30"/>
                <w:szCs w:val="28"/>
              </w:rPr>
              <w:t>替换或置换为已发行或拟发行的另一</w:t>
            </w:r>
            <w:r>
              <w:rPr>
                <w:rFonts w:hint="eastAsia" w:eastAsia="仿宋_GB2312" w:cs="宋体"/>
                <w:b/>
                <w:spacing w:val="4"/>
                <w:sz w:val="30"/>
                <w:szCs w:val="28"/>
              </w:rPr>
              <w:t>债券</w:t>
            </w:r>
            <w:r>
              <w:rPr>
                <w:rFonts w:hint="eastAsia" w:eastAsia="仿宋_GB2312" w:cs="宋体"/>
                <w:sz w:val="30"/>
                <w:szCs w:val="28"/>
              </w:rPr>
              <w:t>。</w:t>
            </w:r>
          </w:p>
          <w:p w14:paraId="6776760B">
            <w:pPr>
              <w:spacing w:line="560" w:lineRule="exact"/>
              <w:ind w:right="-34" w:rightChars="-16"/>
              <w:rPr>
                <w:rFonts w:eastAsia="仿宋_GB2312" w:cs="宋体"/>
                <w:sz w:val="30"/>
                <w:szCs w:val="28"/>
              </w:rPr>
            </w:pPr>
            <w:r>
              <w:rPr>
                <w:rFonts w:hint="eastAsia" w:eastAsia="仿宋_GB2312" w:cs="宋体"/>
                <w:sz w:val="30"/>
                <w:szCs w:val="28"/>
              </w:rPr>
              <w:t>若</w:t>
            </w:r>
            <w:r>
              <w:rPr>
                <w:rFonts w:hint="eastAsia" w:eastAsia="仿宋_GB2312" w:cs="宋体"/>
                <w:b/>
                <w:bCs/>
                <w:sz w:val="30"/>
                <w:szCs w:val="28"/>
              </w:rPr>
              <w:t>交易双方</w:t>
            </w:r>
            <w:r>
              <w:rPr>
                <w:rFonts w:hint="eastAsia" w:eastAsia="仿宋_GB2312" w:cs="宋体"/>
                <w:sz w:val="30"/>
                <w:szCs w:val="28"/>
              </w:rPr>
              <w:t>在相关</w:t>
            </w:r>
            <w:r>
              <w:rPr>
                <w:rFonts w:hint="eastAsia" w:eastAsia="仿宋_GB2312" w:cs="宋体"/>
                <w:b/>
                <w:bCs/>
                <w:sz w:val="30"/>
                <w:szCs w:val="28"/>
              </w:rPr>
              <w:t>交易有效约定</w:t>
            </w:r>
            <w:r>
              <w:rPr>
                <w:rFonts w:hint="eastAsia" w:eastAsia="仿宋_GB2312" w:cs="宋体"/>
                <w:sz w:val="30"/>
                <w:szCs w:val="28"/>
              </w:rPr>
              <w:t>中约定了适用于</w:t>
            </w:r>
            <w:r>
              <w:rPr>
                <w:rFonts w:hint="eastAsia" w:eastAsia="仿宋_GB2312" w:cs="宋体"/>
                <w:b/>
                <w:bCs/>
                <w:sz w:val="30"/>
                <w:szCs w:val="28"/>
              </w:rPr>
              <w:t>债务重组</w:t>
            </w:r>
            <w:r>
              <w:rPr>
                <w:rFonts w:hint="eastAsia" w:eastAsia="仿宋_GB2312" w:cs="宋体"/>
                <w:sz w:val="30"/>
                <w:szCs w:val="28"/>
              </w:rPr>
              <w:t>的</w:t>
            </w:r>
            <w:r>
              <w:rPr>
                <w:rFonts w:hint="eastAsia" w:eastAsia="仿宋_GB2312" w:cs="宋体"/>
                <w:b/>
                <w:bCs/>
                <w:sz w:val="30"/>
                <w:szCs w:val="28"/>
              </w:rPr>
              <w:t>起点金额</w:t>
            </w:r>
            <w:r>
              <w:rPr>
                <w:rFonts w:hint="eastAsia" w:eastAsia="仿宋_GB2312" w:cs="宋体"/>
                <w:sz w:val="30"/>
                <w:szCs w:val="28"/>
              </w:rPr>
              <w:t>，则上述</w:t>
            </w:r>
            <w:r>
              <w:rPr>
                <w:rFonts w:hint="eastAsia" w:eastAsia="仿宋_GB2312" w:cs="宋体"/>
                <w:b/>
                <w:bCs/>
                <w:sz w:val="30"/>
                <w:szCs w:val="28"/>
              </w:rPr>
              <w:t>债务重组</w:t>
            </w:r>
            <w:r>
              <w:rPr>
                <w:rFonts w:hint="eastAsia" w:eastAsia="仿宋_GB2312" w:cs="宋体"/>
                <w:sz w:val="30"/>
                <w:szCs w:val="28"/>
              </w:rPr>
              <w:t>涉及的</w:t>
            </w:r>
            <w:r>
              <w:rPr>
                <w:rFonts w:hint="eastAsia" w:eastAsia="仿宋_GB2312" w:cs="宋体"/>
                <w:b/>
                <w:bCs/>
                <w:sz w:val="30"/>
                <w:szCs w:val="28"/>
              </w:rPr>
              <w:t>债务</w:t>
            </w:r>
            <w:r>
              <w:rPr>
                <w:rFonts w:hint="eastAsia" w:eastAsia="仿宋_GB2312" w:cs="宋体"/>
                <w:sz w:val="30"/>
                <w:szCs w:val="28"/>
              </w:rPr>
              <w:t>总金额应超过该</w:t>
            </w:r>
            <w:r>
              <w:rPr>
                <w:rFonts w:hint="eastAsia" w:eastAsia="仿宋_GB2312" w:cs="宋体"/>
                <w:b/>
                <w:bCs/>
                <w:sz w:val="30"/>
                <w:szCs w:val="28"/>
              </w:rPr>
              <w:t>起点金额</w:t>
            </w:r>
            <w:r>
              <w:rPr>
                <w:rFonts w:hint="eastAsia" w:eastAsia="仿宋_GB2312" w:cs="宋体"/>
                <w:sz w:val="30"/>
                <w:szCs w:val="28"/>
              </w:rPr>
              <w:t>。</w:t>
            </w:r>
          </w:p>
          <w:p w14:paraId="40B9C3E4">
            <w:pPr>
              <w:spacing w:before="30" w:line="560" w:lineRule="exact"/>
              <w:ind w:right="-34" w:rightChars="-16"/>
              <w:rPr>
                <w:rFonts w:eastAsia="仿宋_GB2312" w:cs="宋体"/>
                <w:sz w:val="30"/>
                <w:szCs w:val="28"/>
              </w:rPr>
            </w:pPr>
            <w:r>
              <w:rPr>
                <w:rFonts w:hint="eastAsia" w:eastAsia="仿宋_GB2312" w:cs="宋体"/>
                <w:b/>
                <w:bCs/>
                <w:sz w:val="30"/>
                <w:szCs w:val="28"/>
              </w:rPr>
              <w:t>参考实体</w:t>
            </w:r>
            <w:r>
              <w:rPr>
                <w:rFonts w:hint="eastAsia" w:eastAsia="仿宋_GB2312" w:cs="宋体"/>
                <w:sz w:val="30"/>
                <w:szCs w:val="28"/>
              </w:rPr>
              <w:t>在正常经营过程中因监管、财会或税务调整采取上述债务偿付方</w:t>
            </w:r>
            <w:r>
              <w:rPr>
                <w:rFonts w:hint="eastAsia" w:eastAsia="仿宋_GB2312" w:cs="宋体"/>
                <w:spacing w:val="-3"/>
                <w:sz w:val="30"/>
                <w:szCs w:val="28"/>
              </w:rPr>
              <w:t>面的重组，或该等变更不是因为</w:t>
            </w:r>
            <w:r>
              <w:rPr>
                <w:rFonts w:hint="eastAsia" w:eastAsia="仿宋_GB2312" w:cs="宋体"/>
                <w:b/>
                <w:bCs/>
                <w:spacing w:val="-3"/>
                <w:sz w:val="30"/>
                <w:szCs w:val="28"/>
              </w:rPr>
              <w:t>参考实体</w:t>
            </w:r>
            <w:r>
              <w:rPr>
                <w:rFonts w:hint="eastAsia" w:eastAsia="仿宋_GB2312" w:cs="宋体"/>
                <w:spacing w:val="-3"/>
                <w:sz w:val="30"/>
                <w:szCs w:val="28"/>
              </w:rPr>
              <w:t>的资信或财务状况恶化而采取的，则不</w:t>
            </w:r>
            <w:r>
              <w:rPr>
                <w:rFonts w:eastAsia="仿宋_GB2312" w:cs="宋体"/>
                <w:spacing w:val="-113"/>
                <w:sz w:val="30"/>
                <w:szCs w:val="28"/>
              </w:rPr>
              <w:t xml:space="preserve"> </w:t>
            </w:r>
            <w:r>
              <w:rPr>
                <w:rFonts w:hint="eastAsia" w:eastAsia="仿宋_GB2312" w:cs="宋体"/>
                <w:spacing w:val="-3"/>
                <w:sz w:val="30"/>
                <w:szCs w:val="28"/>
              </w:rPr>
              <w:t>构成</w:t>
            </w:r>
            <w:r>
              <w:rPr>
                <w:rFonts w:hint="eastAsia" w:eastAsia="仿宋_GB2312" w:cs="宋体"/>
                <w:b/>
                <w:bCs/>
                <w:spacing w:val="-3"/>
                <w:sz w:val="30"/>
                <w:szCs w:val="28"/>
              </w:rPr>
              <w:t>债务重组</w:t>
            </w:r>
            <w:r>
              <w:rPr>
                <w:rFonts w:hint="eastAsia" w:eastAsia="仿宋_GB2312" w:cs="宋体"/>
                <w:spacing w:val="-3"/>
                <w:sz w:val="30"/>
                <w:szCs w:val="28"/>
              </w:rPr>
              <w:t>。何为正常经营过程中的“监管、财会或税务调整”，以及如何判</w:t>
            </w:r>
            <w:r>
              <w:rPr>
                <w:rFonts w:eastAsia="仿宋_GB2312" w:cs="宋体"/>
                <w:spacing w:val="-118"/>
                <w:sz w:val="30"/>
                <w:szCs w:val="28"/>
              </w:rPr>
              <w:t xml:space="preserve"> </w:t>
            </w:r>
            <w:r>
              <w:rPr>
                <w:rFonts w:hint="eastAsia" w:eastAsia="仿宋_GB2312" w:cs="宋体"/>
                <w:spacing w:val="-3"/>
                <w:sz w:val="30"/>
                <w:szCs w:val="28"/>
              </w:rPr>
              <w:t>断该等变更是否源于</w:t>
            </w:r>
            <w:r>
              <w:rPr>
                <w:rFonts w:hint="eastAsia" w:eastAsia="仿宋_GB2312" w:cs="宋体"/>
                <w:b/>
                <w:bCs/>
                <w:spacing w:val="-3"/>
                <w:sz w:val="30"/>
                <w:szCs w:val="28"/>
              </w:rPr>
              <w:t>参考实体</w:t>
            </w:r>
            <w:r>
              <w:rPr>
                <w:rFonts w:hint="eastAsia" w:eastAsia="仿宋_GB2312" w:cs="宋体"/>
                <w:spacing w:val="-3"/>
                <w:sz w:val="30"/>
                <w:szCs w:val="28"/>
              </w:rPr>
              <w:t>的资信或财务状况恶化，应依赖具体事实情况加以</w:t>
            </w:r>
            <w:r>
              <w:rPr>
                <w:rFonts w:eastAsia="仿宋_GB2312" w:cs="宋体"/>
                <w:spacing w:val="-117"/>
                <w:sz w:val="30"/>
                <w:szCs w:val="28"/>
              </w:rPr>
              <w:t xml:space="preserve"> </w:t>
            </w:r>
            <w:r>
              <w:rPr>
                <w:rFonts w:hint="eastAsia" w:eastAsia="仿宋_GB2312" w:cs="宋体"/>
                <w:sz w:val="30"/>
                <w:szCs w:val="28"/>
              </w:rPr>
              <w:t>判断。</w:t>
            </w:r>
          </w:p>
          <w:p w14:paraId="5079FEB2">
            <w:pPr>
              <w:pStyle w:val="17"/>
              <w:spacing w:line="560" w:lineRule="exact"/>
              <w:ind w:right="-34" w:rightChars="-16"/>
              <w:rPr>
                <w:rFonts w:eastAsia="仿宋_GB2312" w:cs="宋体"/>
                <w:sz w:val="30"/>
                <w:szCs w:val="28"/>
              </w:rPr>
            </w:pPr>
            <w:r>
              <w:rPr>
                <w:rFonts w:hint="eastAsia" w:eastAsia="仿宋_GB2312" w:cs="宋体"/>
                <w:b/>
                <w:bCs/>
                <w:sz w:val="30"/>
                <w:szCs w:val="28"/>
              </w:rPr>
              <w:t>参考实体</w:t>
            </w:r>
            <w:r>
              <w:rPr>
                <w:rFonts w:hint="eastAsia" w:eastAsia="仿宋_GB2312" w:cs="宋体"/>
                <w:sz w:val="30"/>
                <w:szCs w:val="28"/>
              </w:rPr>
              <w:t>可以采用两种办法进行</w:t>
            </w:r>
            <w:r>
              <w:rPr>
                <w:rFonts w:hint="eastAsia" w:eastAsia="仿宋_GB2312" w:cs="宋体"/>
                <w:b/>
                <w:bCs/>
                <w:sz w:val="30"/>
                <w:szCs w:val="28"/>
              </w:rPr>
              <w:t>债务重组</w:t>
            </w:r>
            <w:r>
              <w:rPr>
                <w:rFonts w:hint="eastAsia" w:eastAsia="仿宋_GB2312" w:cs="宋体"/>
                <w:sz w:val="30"/>
                <w:szCs w:val="28"/>
              </w:rPr>
              <w:t>：一是由</w:t>
            </w:r>
            <w:r>
              <w:rPr>
                <w:rFonts w:hint="eastAsia" w:eastAsia="仿宋_GB2312" w:cs="宋体"/>
                <w:b/>
                <w:bCs/>
                <w:sz w:val="30"/>
                <w:szCs w:val="28"/>
              </w:rPr>
              <w:t>参考实体</w:t>
            </w:r>
            <w:r>
              <w:rPr>
                <w:rFonts w:hint="eastAsia" w:eastAsia="仿宋_GB2312" w:cs="宋体"/>
                <w:sz w:val="30"/>
                <w:szCs w:val="28"/>
              </w:rPr>
              <w:t>与相关</w:t>
            </w:r>
            <w:r>
              <w:rPr>
                <w:rFonts w:hint="eastAsia" w:eastAsia="仿宋_GB2312" w:cs="宋体"/>
                <w:b/>
                <w:bCs/>
                <w:sz w:val="30"/>
                <w:szCs w:val="28"/>
              </w:rPr>
              <w:t>债务</w:t>
            </w:r>
            <w:r>
              <w:rPr>
                <w:rFonts w:hint="eastAsia" w:eastAsia="仿宋_GB2312" w:cs="宋体"/>
                <w:sz w:val="30"/>
                <w:szCs w:val="28"/>
              </w:rPr>
              <w:t>的</w:t>
            </w:r>
            <w:r>
              <w:rPr>
                <w:rFonts w:hint="eastAsia" w:eastAsia="仿宋_GB2312" w:cs="宋体"/>
                <w:spacing w:val="-3"/>
                <w:sz w:val="30"/>
                <w:szCs w:val="28"/>
              </w:rPr>
              <w:t>全部或部分持有人达成重组协议（若仅与部分持有人达成该协议，则适用于该</w:t>
            </w:r>
            <w:r>
              <w:rPr>
                <w:rFonts w:hint="eastAsia" w:eastAsia="仿宋_GB2312" w:cs="宋体"/>
                <w:b/>
                <w:bCs/>
                <w:spacing w:val="-3"/>
                <w:sz w:val="30"/>
                <w:szCs w:val="28"/>
              </w:rPr>
              <w:t>债</w:t>
            </w:r>
            <w:r>
              <w:rPr>
                <w:rFonts w:eastAsia="仿宋_GB2312" w:cs="宋体"/>
                <w:b/>
                <w:bCs/>
                <w:spacing w:val="-114"/>
                <w:sz w:val="30"/>
                <w:szCs w:val="28"/>
              </w:rPr>
              <w:t xml:space="preserve"> </w:t>
            </w:r>
            <w:r>
              <w:rPr>
                <w:rFonts w:hint="eastAsia" w:eastAsia="仿宋_GB2312" w:cs="宋体"/>
                <w:b/>
                <w:bCs/>
                <w:spacing w:val="-3"/>
                <w:sz w:val="30"/>
                <w:szCs w:val="28"/>
              </w:rPr>
              <w:t>务</w:t>
            </w:r>
            <w:r>
              <w:rPr>
                <w:rFonts w:hint="eastAsia" w:eastAsia="仿宋_GB2312" w:cs="宋体"/>
                <w:spacing w:val="-3"/>
                <w:sz w:val="30"/>
                <w:szCs w:val="28"/>
              </w:rPr>
              <w:t>的有关合同或协议能够约束该</w:t>
            </w:r>
            <w:r>
              <w:rPr>
                <w:rFonts w:hint="eastAsia" w:eastAsia="仿宋_GB2312" w:cs="宋体"/>
                <w:b/>
                <w:bCs/>
                <w:spacing w:val="-3"/>
                <w:sz w:val="30"/>
                <w:szCs w:val="28"/>
              </w:rPr>
              <w:t>债务</w:t>
            </w:r>
            <w:r>
              <w:rPr>
                <w:rFonts w:hint="eastAsia" w:eastAsia="仿宋_GB2312" w:cs="宋体"/>
                <w:spacing w:val="-3"/>
                <w:sz w:val="30"/>
                <w:szCs w:val="28"/>
              </w:rPr>
              <w:t>的全体持有人），且涉及重组的债务金额不</w:t>
            </w:r>
            <w:r>
              <w:rPr>
                <w:rFonts w:eastAsia="仿宋_GB2312" w:cs="宋体"/>
                <w:spacing w:val="-117"/>
                <w:sz w:val="30"/>
                <w:szCs w:val="28"/>
              </w:rPr>
              <w:t xml:space="preserve"> </w:t>
            </w:r>
            <w:r>
              <w:rPr>
                <w:rFonts w:hint="eastAsia" w:eastAsia="仿宋_GB2312" w:cs="宋体"/>
                <w:spacing w:val="-3"/>
                <w:sz w:val="30"/>
                <w:szCs w:val="28"/>
              </w:rPr>
              <w:t>低于</w:t>
            </w:r>
            <w:r>
              <w:rPr>
                <w:rFonts w:hint="eastAsia" w:eastAsia="仿宋_GB2312" w:cs="宋体"/>
                <w:b/>
                <w:bCs/>
                <w:spacing w:val="-3"/>
                <w:sz w:val="30"/>
                <w:szCs w:val="28"/>
              </w:rPr>
              <w:t>交易双方</w:t>
            </w:r>
            <w:r>
              <w:rPr>
                <w:rFonts w:hint="eastAsia" w:eastAsia="仿宋_GB2312" w:cs="宋体"/>
                <w:spacing w:val="-3"/>
                <w:sz w:val="30"/>
                <w:szCs w:val="28"/>
              </w:rPr>
              <w:t>约定的</w:t>
            </w:r>
            <w:r>
              <w:rPr>
                <w:rFonts w:hint="eastAsia" w:eastAsia="仿宋_GB2312" w:cs="宋体"/>
                <w:b/>
                <w:bCs/>
                <w:spacing w:val="-3"/>
                <w:sz w:val="30"/>
                <w:szCs w:val="28"/>
              </w:rPr>
              <w:t>起点金额</w:t>
            </w:r>
            <w:r>
              <w:rPr>
                <w:rFonts w:hint="eastAsia" w:eastAsia="仿宋_GB2312" w:cs="宋体"/>
                <w:spacing w:val="-3"/>
                <w:sz w:val="30"/>
                <w:szCs w:val="28"/>
              </w:rPr>
              <w:t>；二是由</w:t>
            </w:r>
            <w:r>
              <w:rPr>
                <w:rFonts w:hint="eastAsia" w:eastAsia="仿宋_GB2312" w:cs="宋体"/>
                <w:b/>
                <w:bCs/>
                <w:spacing w:val="-3"/>
                <w:sz w:val="30"/>
                <w:szCs w:val="28"/>
              </w:rPr>
              <w:t>参考实体</w:t>
            </w:r>
            <w:r>
              <w:rPr>
                <w:rFonts w:hint="eastAsia" w:eastAsia="仿宋_GB2312" w:cs="宋体"/>
                <w:spacing w:val="-3"/>
                <w:sz w:val="30"/>
                <w:szCs w:val="28"/>
              </w:rPr>
              <w:t>单方面宣布的适用于所有债权人的债务重组行为。在第二种情况下，有权自行宣布</w:t>
            </w:r>
            <w:r>
              <w:rPr>
                <w:rFonts w:hint="eastAsia" w:eastAsia="仿宋_GB2312" w:cs="宋体"/>
                <w:b/>
                <w:bCs/>
                <w:spacing w:val="-3"/>
                <w:sz w:val="30"/>
                <w:szCs w:val="28"/>
              </w:rPr>
              <w:t>债务重组</w:t>
            </w:r>
            <w:r>
              <w:rPr>
                <w:rFonts w:hint="eastAsia" w:eastAsia="仿宋_GB2312" w:cs="宋体"/>
                <w:spacing w:val="-3"/>
                <w:sz w:val="30"/>
                <w:szCs w:val="28"/>
              </w:rPr>
              <w:t>、且可以在法律上约束所有债权人的</w:t>
            </w:r>
            <w:r>
              <w:rPr>
                <w:rFonts w:hint="eastAsia" w:eastAsia="仿宋_GB2312" w:cs="宋体"/>
                <w:b/>
                <w:bCs/>
                <w:spacing w:val="-3"/>
                <w:sz w:val="30"/>
                <w:szCs w:val="28"/>
              </w:rPr>
              <w:t>参考实体</w:t>
            </w:r>
            <w:r>
              <w:rPr>
                <w:rFonts w:hint="eastAsia" w:eastAsia="仿宋_GB2312" w:cs="宋体"/>
                <w:spacing w:val="-3"/>
                <w:sz w:val="30"/>
                <w:szCs w:val="28"/>
              </w:rPr>
              <w:t>，只能为国家或地区，且由该</w:t>
            </w:r>
            <w:r>
              <w:rPr>
                <w:rFonts w:hint="eastAsia" w:eastAsia="仿宋_GB2312" w:cs="宋体"/>
                <w:b/>
                <w:bCs/>
                <w:spacing w:val="-3"/>
                <w:sz w:val="30"/>
                <w:szCs w:val="28"/>
              </w:rPr>
              <w:t>参考实体</w:t>
            </w:r>
            <w:r>
              <w:rPr>
                <w:rFonts w:hint="eastAsia" w:eastAsia="仿宋_GB2312" w:cs="宋体"/>
                <w:spacing w:val="-3"/>
                <w:sz w:val="30"/>
                <w:szCs w:val="28"/>
              </w:rPr>
              <w:t>中有权处理</w:t>
            </w:r>
            <w:r>
              <w:rPr>
                <w:rFonts w:hint="eastAsia" w:eastAsia="仿宋_GB2312" w:cs="宋体"/>
                <w:b/>
                <w:bCs/>
                <w:spacing w:val="-3"/>
                <w:sz w:val="30"/>
                <w:szCs w:val="28"/>
              </w:rPr>
              <w:t>债务重组</w:t>
            </w:r>
            <w:r>
              <w:rPr>
                <w:rFonts w:hint="eastAsia" w:eastAsia="仿宋_GB2312" w:cs="宋体"/>
                <w:spacing w:val="-3"/>
                <w:sz w:val="30"/>
                <w:szCs w:val="28"/>
              </w:rPr>
              <w:t>的行政、立法或司法机构针对该</w:t>
            </w:r>
            <w:r>
              <w:rPr>
                <w:rFonts w:hint="eastAsia" w:eastAsia="仿宋_GB2312" w:cs="宋体"/>
                <w:b/>
                <w:bCs/>
                <w:spacing w:val="-3"/>
                <w:sz w:val="30"/>
                <w:szCs w:val="28"/>
              </w:rPr>
              <w:t>参考实体</w:t>
            </w:r>
            <w:r>
              <w:rPr>
                <w:rFonts w:hint="eastAsia" w:eastAsia="仿宋_GB2312" w:cs="宋体"/>
                <w:spacing w:val="-3"/>
                <w:sz w:val="30"/>
                <w:szCs w:val="28"/>
              </w:rPr>
              <w:t>的所有债务或某一类型的全部债务</w:t>
            </w:r>
            <w:r>
              <w:rPr>
                <w:rFonts w:hint="eastAsia" w:eastAsia="仿宋_GB2312" w:cs="宋体"/>
                <w:sz w:val="30"/>
                <w:szCs w:val="28"/>
              </w:rPr>
              <w:t>（例如所有外债）采取上述</w:t>
            </w:r>
            <w:r>
              <w:rPr>
                <w:rFonts w:hint="eastAsia" w:eastAsia="仿宋_GB2312" w:cs="宋体"/>
                <w:b/>
                <w:bCs/>
                <w:sz w:val="30"/>
                <w:szCs w:val="28"/>
              </w:rPr>
              <w:t>债务重组</w:t>
            </w:r>
            <w:r>
              <w:rPr>
                <w:rFonts w:hint="eastAsia" w:eastAsia="仿宋_GB2312" w:cs="宋体"/>
                <w:sz w:val="30"/>
                <w:szCs w:val="28"/>
              </w:rPr>
              <w:t>安排中描述的一项或多项安排。</w:t>
            </w:r>
          </w:p>
          <w:p w14:paraId="397F416C">
            <w:pPr>
              <w:pStyle w:val="17"/>
              <w:spacing w:line="560" w:lineRule="exact"/>
              <w:ind w:right="-34" w:rightChars="-16"/>
              <w:rPr>
                <w:rFonts w:eastAsia="仿宋_GB2312" w:cs="宋体"/>
                <w:sz w:val="30"/>
                <w:szCs w:val="28"/>
              </w:rPr>
            </w:pPr>
            <w:r>
              <w:rPr>
                <w:rFonts w:hint="eastAsia" w:eastAsia="仿宋_GB2312" w:cs="宋体"/>
                <w:sz w:val="30"/>
                <w:szCs w:val="28"/>
              </w:rPr>
              <w:t>但是，在</w:t>
            </w:r>
            <w:r>
              <w:rPr>
                <w:rFonts w:hint="eastAsia" w:eastAsia="仿宋_GB2312" w:cs="宋体"/>
                <w:b/>
                <w:bCs/>
                <w:sz w:val="30"/>
                <w:szCs w:val="28"/>
              </w:rPr>
              <w:t>参考实体</w:t>
            </w:r>
            <w:r>
              <w:rPr>
                <w:rFonts w:hint="eastAsia" w:eastAsia="仿宋_GB2312" w:cs="宋体"/>
                <w:sz w:val="30"/>
                <w:szCs w:val="28"/>
              </w:rPr>
              <w:t>所在国家或地区的主管部门为了避免相关区域的社会、</w:t>
            </w:r>
            <w:r>
              <w:rPr>
                <w:rFonts w:hint="eastAsia" w:eastAsia="仿宋_GB2312" w:cs="宋体"/>
                <w:spacing w:val="4"/>
                <w:sz w:val="30"/>
                <w:szCs w:val="28"/>
              </w:rPr>
              <w:t>经济或金融系统出现重大或系统性风险而主持或指导</w:t>
            </w:r>
            <w:r>
              <w:rPr>
                <w:rFonts w:hint="eastAsia" w:eastAsia="仿宋_GB2312" w:cs="宋体"/>
                <w:b/>
                <w:bCs/>
                <w:spacing w:val="4"/>
                <w:sz w:val="30"/>
                <w:szCs w:val="28"/>
              </w:rPr>
              <w:t>参考实体</w:t>
            </w:r>
            <w:r>
              <w:rPr>
                <w:rFonts w:hint="eastAsia" w:eastAsia="仿宋_GB2312" w:cs="宋体"/>
                <w:spacing w:val="4"/>
                <w:sz w:val="30"/>
                <w:szCs w:val="28"/>
              </w:rPr>
              <w:t>与其</w:t>
            </w:r>
            <w:r>
              <w:rPr>
                <w:rFonts w:hint="eastAsia" w:eastAsia="仿宋_GB2312" w:cs="宋体"/>
                <w:b/>
                <w:bCs/>
                <w:spacing w:val="4"/>
                <w:sz w:val="30"/>
                <w:szCs w:val="28"/>
              </w:rPr>
              <w:t>债务</w:t>
            </w:r>
            <w:r>
              <w:rPr>
                <w:rFonts w:hint="eastAsia" w:eastAsia="仿宋_GB2312" w:cs="宋体"/>
                <w:spacing w:val="4"/>
                <w:sz w:val="30"/>
                <w:szCs w:val="28"/>
              </w:rPr>
              <w:t>的全体</w:t>
            </w:r>
            <w:r>
              <w:rPr>
                <w:rFonts w:hint="eastAsia" w:eastAsia="仿宋_GB2312" w:cs="宋体"/>
                <w:spacing w:val="-3"/>
                <w:sz w:val="30"/>
                <w:szCs w:val="28"/>
              </w:rPr>
              <w:t>债权人就相关</w:t>
            </w:r>
            <w:r>
              <w:rPr>
                <w:rFonts w:hint="eastAsia" w:eastAsia="仿宋_GB2312" w:cs="宋体"/>
                <w:b/>
                <w:bCs/>
                <w:spacing w:val="-3"/>
                <w:sz w:val="30"/>
                <w:szCs w:val="28"/>
              </w:rPr>
              <w:t>债务</w:t>
            </w:r>
            <w:r>
              <w:rPr>
                <w:rFonts w:hint="eastAsia" w:eastAsia="仿宋_GB2312" w:cs="宋体"/>
                <w:spacing w:val="-3"/>
                <w:sz w:val="30"/>
                <w:szCs w:val="28"/>
              </w:rPr>
              <w:t>自愿达成协议或安排，同意</w:t>
            </w:r>
            <w:r>
              <w:rPr>
                <w:rFonts w:hint="eastAsia" w:eastAsia="仿宋_GB2312" w:cs="宋体"/>
                <w:b/>
                <w:bCs/>
                <w:spacing w:val="-3"/>
                <w:sz w:val="30"/>
                <w:szCs w:val="28"/>
              </w:rPr>
              <w:t>参考实体</w:t>
            </w:r>
            <w:r>
              <w:rPr>
                <w:rFonts w:hint="eastAsia" w:eastAsia="仿宋_GB2312" w:cs="宋体"/>
                <w:spacing w:val="-3"/>
                <w:sz w:val="30"/>
                <w:szCs w:val="28"/>
              </w:rPr>
              <w:t>就相关</w:t>
            </w:r>
            <w:r>
              <w:rPr>
                <w:rFonts w:hint="eastAsia" w:eastAsia="仿宋_GB2312" w:cs="宋体"/>
                <w:b/>
                <w:bCs/>
                <w:spacing w:val="-3"/>
                <w:sz w:val="30"/>
                <w:szCs w:val="28"/>
              </w:rPr>
              <w:t>债务</w:t>
            </w:r>
            <w:r>
              <w:rPr>
                <w:rFonts w:hint="eastAsia" w:eastAsia="仿宋_GB2312" w:cs="宋体"/>
                <w:spacing w:val="-3"/>
                <w:sz w:val="30"/>
                <w:szCs w:val="28"/>
              </w:rPr>
              <w:t>采取上述</w:t>
            </w:r>
            <w:r>
              <w:rPr>
                <w:rFonts w:hint="eastAsia" w:eastAsia="仿宋_GB2312" w:cs="宋体"/>
                <w:b/>
                <w:bCs/>
                <w:spacing w:val="-3"/>
                <w:sz w:val="30"/>
                <w:szCs w:val="28"/>
              </w:rPr>
              <w:t>债务</w:t>
            </w:r>
            <w:r>
              <w:rPr>
                <w:rFonts w:hint="eastAsia" w:eastAsia="仿宋_GB2312" w:cs="宋体"/>
                <w:b/>
                <w:bCs/>
                <w:sz w:val="30"/>
                <w:szCs w:val="28"/>
              </w:rPr>
              <w:t>重组</w:t>
            </w:r>
            <w:r>
              <w:rPr>
                <w:rFonts w:hint="eastAsia" w:eastAsia="仿宋_GB2312" w:cs="宋体"/>
                <w:sz w:val="30"/>
                <w:szCs w:val="28"/>
              </w:rPr>
              <w:t>安排中描述的一项或多项安排，则不视为构成一项</w:t>
            </w:r>
            <w:r>
              <w:rPr>
                <w:rFonts w:hint="eastAsia" w:eastAsia="仿宋_GB2312" w:cs="宋体"/>
                <w:b/>
                <w:bCs/>
                <w:sz w:val="30"/>
                <w:szCs w:val="28"/>
              </w:rPr>
              <w:t>债务重组</w:t>
            </w:r>
            <w:r>
              <w:rPr>
                <w:rFonts w:hint="eastAsia" w:eastAsia="仿宋_GB2312" w:cs="宋体"/>
                <w:sz w:val="30"/>
                <w:szCs w:val="28"/>
              </w:rPr>
              <w:t>的</w:t>
            </w:r>
            <w:r>
              <w:rPr>
                <w:rFonts w:hint="eastAsia" w:eastAsia="仿宋_GB2312" w:cs="宋体"/>
                <w:b/>
                <w:bCs/>
                <w:sz w:val="30"/>
                <w:szCs w:val="28"/>
              </w:rPr>
              <w:t>信用事件</w:t>
            </w:r>
            <w:r>
              <w:rPr>
                <w:rFonts w:hint="eastAsia" w:eastAsia="仿宋_GB2312" w:cs="宋体"/>
                <w:sz w:val="30"/>
                <w:szCs w:val="28"/>
              </w:rPr>
              <w:t>。</w:t>
            </w:r>
          </w:p>
        </w:tc>
      </w:tr>
      <w:tr w14:paraId="0DAF6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atLeast"/>
          <w:jc w:val="center"/>
        </w:trPr>
        <w:tc>
          <w:tcPr>
            <w:tcW w:w="2434" w:type="dxa"/>
            <w:vAlign w:val="center"/>
          </w:tcPr>
          <w:p w14:paraId="52BE4322">
            <w:pPr>
              <w:spacing w:before="185" w:line="560" w:lineRule="exact"/>
              <w:jc w:val="center"/>
              <w:rPr>
                <w:rFonts w:eastAsia="仿宋_GB2312" w:cs="宋体"/>
                <w:sz w:val="30"/>
                <w:szCs w:val="28"/>
              </w:rPr>
            </w:pPr>
            <w:r>
              <w:rPr>
                <w:rFonts w:hint="eastAsia" w:eastAsia="仿宋_GB2312" w:cs="宋体"/>
                <w:sz w:val="30"/>
                <w:szCs w:val="28"/>
              </w:rPr>
              <w:t>起点金额</w:t>
            </w:r>
          </w:p>
        </w:tc>
        <w:tc>
          <w:tcPr>
            <w:tcW w:w="5862" w:type="dxa"/>
            <w:vAlign w:val="center"/>
          </w:tcPr>
          <w:p w14:paraId="4E9B061E">
            <w:pPr>
              <w:spacing w:before="185" w:line="560" w:lineRule="exact"/>
              <w:rPr>
                <w:rFonts w:eastAsia="仿宋_GB2312" w:cs="宋体"/>
                <w:sz w:val="30"/>
                <w:szCs w:val="28"/>
              </w:rPr>
            </w:pPr>
            <w:r>
              <w:rPr>
                <w:rFonts w:hint="eastAsia" w:eastAsia="仿宋_GB2312" w:cs="宋体"/>
                <w:sz w:val="30"/>
                <w:szCs w:val="28"/>
              </w:rPr>
              <w:t>指</w:t>
            </w:r>
            <w:r>
              <w:rPr>
                <w:rFonts w:hint="eastAsia" w:eastAsia="仿宋_GB2312" w:cs="宋体"/>
                <w:b/>
                <w:sz w:val="30"/>
                <w:szCs w:val="28"/>
              </w:rPr>
              <w:t>交易双方</w:t>
            </w:r>
            <w:r>
              <w:rPr>
                <w:rFonts w:hint="eastAsia" w:eastAsia="仿宋_GB2312" w:cs="宋体"/>
                <w:sz w:val="30"/>
                <w:szCs w:val="28"/>
              </w:rPr>
              <w:t>在</w:t>
            </w:r>
            <w:r>
              <w:rPr>
                <w:rFonts w:hint="eastAsia" w:eastAsia="仿宋_GB2312" w:cs="宋体"/>
                <w:b/>
                <w:sz w:val="30"/>
                <w:szCs w:val="28"/>
              </w:rPr>
              <w:t>本确认书</w:t>
            </w:r>
            <w:r>
              <w:rPr>
                <w:rFonts w:hint="eastAsia" w:eastAsia="仿宋_GB2312" w:cs="宋体"/>
                <w:sz w:val="30"/>
                <w:szCs w:val="28"/>
              </w:rPr>
              <w:t>中约定的适用于某一</w:t>
            </w:r>
            <w:r>
              <w:rPr>
                <w:rFonts w:hint="eastAsia" w:eastAsia="仿宋_GB2312" w:cs="宋体"/>
                <w:b/>
                <w:sz w:val="30"/>
                <w:szCs w:val="28"/>
              </w:rPr>
              <w:t>信用事件</w:t>
            </w:r>
            <w:r>
              <w:rPr>
                <w:rFonts w:hint="eastAsia" w:eastAsia="仿宋_GB2312" w:cs="宋体"/>
                <w:sz w:val="30"/>
                <w:szCs w:val="28"/>
              </w:rPr>
              <w:t>的金额，相关事件涉及的</w:t>
            </w:r>
            <w:r>
              <w:rPr>
                <w:rFonts w:hint="eastAsia" w:eastAsia="仿宋_GB2312" w:cs="宋体"/>
                <w:b/>
                <w:bCs/>
                <w:sz w:val="30"/>
                <w:szCs w:val="28"/>
              </w:rPr>
              <w:t>债务</w:t>
            </w:r>
            <w:r>
              <w:rPr>
                <w:rFonts w:hint="eastAsia" w:eastAsia="仿宋_GB2312" w:cs="宋体"/>
                <w:sz w:val="30"/>
                <w:szCs w:val="28"/>
              </w:rPr>
              <w:t>或应付款项金额超过该金额，方可构成该</w:t>
            </w:r>
            <w:r>
              <w:rPr>
                <w:rFonts w:hint="eastAsia" w:eastAsia="仿宋_GB2312" w:cs="宋体"/>
                <w:b/>
                <w:bCs/>
                <w:sz w:val="30"/>
                <w:szCs w:val="28"/>
              </w:rPr>
              <w:t>信用事件</w:t>
            </w:r>
            <w:r>
              <w:rPr>
                <w:rFonts w:hint="eastAsia" w:eastAsia="仿宋_GB2312" w:cs="宋体"/>
                <w:sz w:val="30"/>
                <w:szCs w:val="28"/>
              </w:rPr>
              <w:t>。</w:t>
            </w:r>
          </w:p>
        </w:tc>
      </w:tr>
      <w:tr w14:paraId="03185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2CD10E8C">
            <w:pPr>
              <w:spacing w:before="185" w:line="560" w:lineRule="exact"/>
              <w:jc w:val="center"/>
              <w:rPr>
                <w:rFonts w:eastAsia="仿宋_GB2312" w:cs="宋体"/>
                <w:kern w:val="0"/>
                <w:sz w:val="30"/>
                <w:szCs w:val="28"/>
              </w:rPr>
            </w:pPr>
            <w:r>
              <w:rPr>
                <w:rFonts w:hint="eastAsia" w:eastAsia="仿宋_GB2312" w:cs="宋体"/>
                <w:sz w:val="30"/>
                <w:szCs w:val="28"/>
              </w:rPr>
              <w:t>宽限期</w:t>
            </w:r>
          </w:p>
        </w:tc>
        <w:tc>
          <w:tcPr>
            <w:tcW w:w="5862" w:type="dxa"/>
            <w:vAlign w:val="center"/>
          </w:tcPr>
          <w:p w14:paraId="6DF3AE1F">
            <w:pPr>
              <w:spacing w:before="185" w:line="560" w:lineRule="exact"/>
              <w:rPr>
                <w:rFonts w:eastAsia="仿宋_GB2312" w:cs="宋体"/>
                <w:kern w:val="0"/>
                <w:sz w:val="30"/>
                <w:szCs w:val="28"/>
              </w:rPr>
            </w:pPr>
            <w:r>
              <w:rPr>
                <w:rFonts w:hint="eastAsia" w:eastAsia="仿宋_GB2312" w:cs="宋体"/>
                <w:spacing w:val="-4"/>
                <w:sz w:val="30"/>
                <w:szCs w:val="28"/>
              </w:rPr>
              <w:t>指对某一</w:t>
            </w:r>
            <w:r>
              <w:rPr>
                <w:rFonts w:hint="eastAsia" w:eastAsia="仿宋_GB2312" w:cs="宋体"/>
                <w:b/>
                <w:bCs/>
                <w:spacing w:val="-4"/>
                <w:sz w:val="30"/>
                <w:szCs w:val="28"/>
              </w:rPr>
              <w:t>债务</w:t>
            </w:r>
            <w:r>
              <w:rPr>
                <w:rFonts w:hint="eastAsia" w:eastAsia="仿宋_GB2312" w:cs="宋体"/>
                <w:spacing w:val="-4"/>
                <w:sz w:val="30"/>
                <w:szCs w:val="28"/>
              </w:rPr>
              <w:t>的付款宽限期，既可在适用于该</w:t>
            </w:r>
            <w:r>
              <w:rPr>
                <w:rFonts w:hint="eastAsia" w:eastAsia="仿宋_GB2312" w:cs="宋体"/>
                <w:b/>
                <w:bCs/>
                <w:spacing w:val="-4"/>
                <w:sz w:val="30"/>
                <w:szCs w:val="28"/>
              </w:rPr>
              <w:t>债务</w:t>
            </w:r>
            <w:r>
              <w:rPr>
                <w:rFonts w:hint="eastAsia" w:eastAsia="仿宋_GB2312" w:cs="宋体"/>
                <w:spacing w:val="-4"/>
                <w:sz w:val="30"/>
                <w:szCs w:val="28"/>
              </w:rPr>
              <w:t>的基础法律文件中约定，也可</w:t>
            </w:r>
            <w:r>
              <w:rPr>
                <w:rFonts w:hint="eastAsia" w:eastAsia="仿宋_GB2312" w:cs="宋体"/>
                <w:sz w:val="30"/>
                <w:szCs w:val="28"/>
              </w:rPr>
              <w:t>由</w:t>
            </w:r>
            <w:r>
              <w:rPr>
                <w:rFonts w:hint="eastAsia" w:eastAsia="仿宋_GB2312" w:cs="宋体"/>
                <w:b/>
                <w:bCs/>
                <w:sz w:val="30"/>
                <w:szCs w:val="28"/>
              </w:rPr>
              <w:t>交易双方</w:t>
            </w:r>
            <w:r>
              <w:rPr>
                <w:rFonts w:hint="eastAsia" w:eastAsia="仿宋_GB2312" w:cs="宋体"/>
                <w:sz w:val="30"/>
                <w:szCs w:val="28"/>
              </w:rPr>
              <w:t>在</w:t>
            </w:r>
            <w:r>
              <w:rPr>
                <w:rFonts w:hint="eastAsia" w:eastAsia="仿宋_GB2312" w:cs="宋体"/>
                <w:b/>
                <w:bCs/>
                <w:sz w:val="30"/>
                <w:szCs w:val="28"/>
              </w:rPr>
              <w:t>本确认书</w:t>
            </w:r>
            <w:r>
              <w:rPr>
                <w:rFonts w:hint="eastAsia" w:eastAsia="仿宋_GB2312" w:cs="宋体"/>
                <w:sz w:val="30"/>
                <w:szCs w:val="28"/>
              </w:rPr>
              <w:t>中进行约定。</w:t>
            </w:r>
          </w:p>
          <w:p w14:paraId="39E6A063">
            <w:pPr>
              <w:spacing w:before="185" w:line="560" w:lineRule="exact"/>
              <w:rPr>
                <w:rFonts w:eastAsia="仿宋_GB2312" w:cs="宋体"/>
                <w:kern w:val="0"/>
                <w:sz w:val="30"/>
                <w:szCs w:val="28"/>
              </w:rPr>
            </w:pPr>
            <w:r>
              <w:rPr>
                <w:rFonts w:hint="eastAsia" w:eastAsia="仿宋_GB2312" w:cs="宋体"/>
                <w:sz w:val="30"/>
                <w:szCs w:val="28"/>
              </w:rPr>
              <w:t>若以该</w:t>
            </w:r>
            <w:r>
              <w:rPr>
                <w:rFonts w:hint="eastAsia" w:eastAsia="仿宋_GB2312" w:cs="宋体"/>
                <w:b/>
                <w:sz w:val="30"/>
                <w:szCs w:val="28"/>
              </w:rPr>
              <w:t>债务</w:t>
            </w:r>
            <w:r>
              <w:rPr>
                <w:rFonts w:hint="eastAsia" w:eastAsia="仿宋_GB2312" w:cs="宋体"/>
                <w:sz w:val="30"/>
                <w:szCs w:val="28"/>
              </w:rPr>
              <w:t>基础法律文件中约定的付款宽限期作为该债务的宽限期，则该付款宽限期在相关</w:t>
            </w:r>
            <w:r>
              <w:rPr>
                <w:rFonts w:hint="eastAsia" w:eastAsia="仿宋_GB2312" w:cs="宋体"/>
                <w:b/>
                <w:sz w:val="30"/>
                <w:szCs w:val="28"/>
              </w:rPr>
              <w:t>信用保护合约交易</w:t>
            </w:r>
            <w:r>
              <w:rPr>
                <w:rFonts w:hint="eastAsia" w:eastAsia="仿宋_GB2312" w:cs="宋体"/>
                <w:sz w:val="30"/>
                <w:szCs w:val="28"/>
              </w:rPr>
              <w:t>的</w:t>
            </w:r>
            <w:r>
              <w:rPr>
                <w:rFonts w:hint="eastAsia" w:eastAsia="仿宋_GB2312" w:cs="宋体"/>
                <w:b/>
                <w:sz w:val="30"/>
                <w:szCs w:val="28"/>
              </w:rPr>
              <w:t>签署日</w:t>
            </w:r>
            <w:r>
              <w:rPr>
                <w:rFonts w:hint="eastAsia" w:eastAsia="仿宋_GB2312" w:cs="宋体"/>
                <w:sz w:val="30"/>
                <w:szCs w:val="28"/>
              </w:rPr>
              <w:t>应已存在，除非该</w:t>
            </w:r>
            <w:r>
              <w:rPr>
                <w:rFonts w:hint="eastAsia" w:eastAsia="仿宋_GB2312" w:cs="宋体"/>
                <w:b/>
                <w:sz w:val="30"/>
                <w:szCs w:val="28"/>
              </w:rPr>
              <w:t>债务</w:t>
            </w:r>
            <w:r>
              <w:rPr>
                <w:rFonts w:hint="eastAsia" w:eastAsia="仿宋_GB2312" w:cs="宋体"/>
                <w:sz w:val="30"/>
                <w:szCs w:val="28"/>
              </w:rPr>
              <w:t>发生在</w:t>
            </w:r>
            <w:r>
              <w:rPr>
                <w:rFonts w:hint="eastAsia" w:eastAsia="仿宋_GB2312" w:cs="宋体"/>
                <w:b/>
                <w:sz w:val="30"/>
                <w:szCs w:val="28"/>
              </w:rPr>
              <w:t>签署日</w:t>
            </w:r>
            <w:r>
              <w:rPr>
                <w:rFonts w:hint="eastAsia" w:eastAsia="仿宋_GB2312" w:cs="宋体"/>
                <w:sz w:val="30"/>
                <w:szCs w:val="28"/>
              </w:rPr>
              <w:t>之后，在此情况下，则以该债务发生日适用的基础法律文件中约定的付款宽限期为准。</w:t>
            </w:r>
          </w:p>
          <w:p w14:paraId="17E343E6">
            <w:pPr>
              <w:spacing w:before="185" w:line="560" w:lineRule="exact"/>
              <w:rPr>
                <w:rFonts w:eastAsia="仿宋_GB2312" w:cs="宋体"/>
                <w:sz w:val="30"/>
                <w:szCs w:val="28"/>
              </w:rPr>
            </w:pPr>
            <w:r>
              <w:rPr>
                <w:rFonts w:hint="eastAsia" w:eastAsia="仿宋_GB2312" w:cs="宋体"/>
                <w:sz w:val="30"/>
                <w:szCs w:val="28"/>
              </w:rPr>
              <w:t>若上述基础法律文件中约定了付款宽限期，而</w:t>
            </w:r>
            <w:r>
              <w:rPr>
                <w:rFonts w:hint="eastAsia" w:eastAsia="仿宋_GB2312" w:cs="宋体"/>
                <w:b/>
                <w:sz w:val="30"/>
                <w:szCs w:val="28"/>
              </w:rPr>
              <w:t>交易双方</w:t>
            </w:r>
            <w:r>
              <w:rPr>
                <w:rFonts w:hint="eastAsia" w:eastAsia="仿宋_GB2312" w:cs="宋体"/>
                <w:sz w:val="30"/>
                <w:szCs w:val="28"/>
              </w:rPr>
              <w:t>同时在</w:t>
            </w:r>
            <w:r>
              <w:rPr>
                <w:rFonts w:hint="eastAsia" w:eastAsia="仿宋_GB2312" w:cs="宋体"/>
                <w:b/>
                <w:bCs/>
                <w:spacing w:val="-4"/>
                <w:sz w:val="30"/>
                <w:szCs w:val="28"/>
              </w:rPr>
              <w:t>本确认书</w:t>
            </w:r>
            <w:r>
              <w:rPr>
                <w:rFonts w:hint="eastAsia" w:eastAsia="仿宋_GB2312" w:cs="宋体"/>
                <w:sz w:val="30"/>
                <w:szCs w:val="28"/>
              </w:rPr>
              <w:t>中列明了宽限期的期限，则</w:t>
            </w:r>
            <w:r>
              <w:rPr>
                <w:rFonts w:hint="eastAsia" w:eastAsia="仿宋_GB2312" w:cs="宋体"/>
                <w:b/>
                <w:bCs/>
                <w:spacing w:val="-4"/>
                <w:sz w:val="30"/>
                <w:szCs w:val="28"/>
              </w:rPr>
              <w:t>本确认书</w:t>
            </w:r>
            <w:r>
              <w:rPr>
                <w:rFonts w:hint="eastAsia" w:eastAsia="仿宋_GB2312" w:cs="宋体"/>
                <w:sz w:val="30"/>
                <w:szCs w:val="28"/>
              </w:rPr>
              <w:t>中列明的期限为适用的宽限期。</w:t>
            </w:r>
          </w:p>
          <w:p w14:paraId="70C6CE7F">
            <w:pPr>
              <w:spacing w:before="185" w:line="560" w:lineRule="exact"/>
              <w:rPr>
                <w:rFonts w:eastAsia="仿宋_GB2312" w:cs="宋体"/>
                <w:kern w:val="0"/>
                <w:sz w:val="30"/>
                <w:szCs w:val="28"/>
              </w:rPr>
            </w:pPr>
            <w:r>
              <w:rPr>
                <w:rFonts w:hint="eastAsia" w:eastAsia="仿宋_GB2312" w:cs="宋体"/>
                <w:kern w:val="0"/>
                <w:sz w:val="30"/>
                <w:szCs w:val="28"/>
              </w:rPr>
              <w:t>若产生或构成相关债务的基础法律文件中未约定付款宽限期，交易双方在相关交易有效约定中也未列明宽限期的期限，则相关的宽限期默认为</w:t>
            </w:r>
            <w:r>
              <w:rPr>
                <w:rFonts w:eastAsia="仿宋_GB2312" w:cs="宋体"/>
                <w:kern w:val="0"/>
                <w:sz w:val="30"/>
                <w:szCs w:val="28"/>
              </w:rPr>
              <w:t>3</w:t>
            </w:r>
            <w:r>
              <w:rPr>
                <w:rFonts w:hint="eastAsia" w:eastAsia="仿宋_GB2312" w:cs="宋体"/>
                <w:kern w:val="0"/>
                <w:sz w:val="30"/>
                <w:szCs w:val="28"/>
              </w:rPr>
              <w:t>个交易日。</w:t>
            </w:r>
          </w:p>
        </w:tc>
      </w:tr>
      <w:tr w14:paraId="7F327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8" w:hRule="atLeast"/>
          <w:jc w:val="center"/>
        </w:trPr>
        <w:tc>
          <w:tcPr>
            <w:tcW w:w="2434" w:type="dxa"/>
            <w:vAlign w:val="center"/>
          </w:tcPr>
          <w:p w14:paraId="0107C0E0">
            <w:pPr>
              <w:spacing w:before="185" w:line="560" w:lineRule="exact"/>
              <w:jc w:val="center"/>
              <w:rPr>
                <w:rFonts w:eastAsia="仿宋_GB2312" w:cs="宋体"/>
                <w:spacing w:val="-4"/>
                <w:kern w:val="0"/>
                <w:sz w:val="30"/>
                <w:szCs w:val="28"/>
              </w:rPr>
            </w:pPr>
            <w:r>
              <w:rPr>
                <w:rFonts w:hint="eastAsia" w:eastAsia="仿宋_GB2312" w:cs="宋体"/>
                <w:spacing w:val="-4"/>
                <w:sz w:val="30"/>
                <w:szCs w:val="28"/>
              </w:rPr>
              <w:t>潜在支付违约</w:t>
            </w:r>
          </w:p>
        </w:tc>
        <w:tc>
          <w:tcPr>
            <w:tcW w:w="5862" w:type="dxa"/>
            <w:vAlign w:val="center"/>
          </w:tcPr>
          <w:p w14:paraId="1F915984">
            <w:pPr>
              <w:spacing w:before="185" w:line="560" w:lineRule="exact"/>
              <w:rPr>
                <w:rFonts w:eastAsia="仿宋_GB2312" w:cs="宋体"/>
                <w:spacing w:val="-4"/>
                <w:kern w:val="0"/>
                <w:sz w:val="30"/>
                <w:szCs w:val="28"/>
              </w:rPr>
            </w:pPr>
            <w:r>
              <w:rPr>
                <w:rFonts w:hint="eastAsia" w:eastAsia="仿宋_GB2312" w:cs="宋体"/>
                <w:spacing w:val="-4"/>
                <w:sz w:val="30"/>
                <w:szCs w:val="28"/>
              </w:rPr>
              <w:t>指</w:t>
            </w:r>
            <w:r>
              <w:rPr>
                <w:rFonts w:hint="eastAsia" w:eastAsia="仿宋_GB2312" w:cs="宋体"/>
                <w:b/>
                <w:bCs/>
                <w:spacing w:val="-4"/>
                <w:sz w:val="30"/>
                <w:szCs w:val="28"/>
              </w:rPr>
              <w:t>交易双方</w:t>
            </w:r>
            <w:r>
              <w:rPr>
                <w:rFonts w:hint="eastAsia" w:eastAsia="仿宋_GB2312" w:cs="宋体"/>
                <w:spacing w:val="-4"/>
                <w:sz w:val="30"/>
                <w:szCs w:val="28"/>
              </w:rPr>
              <w:t>在</w:t>
            </w:r>
            <w:r>
              <w:rPr>
                <w:rFonts w:hint="eastAsia" w:eastAsia="仿宋_GB2312" w:cs="宋体"/>
                <w:b/>
                <w:bCs/>
                <w:spacing w:val="-4"/>
                <w:sz w:val="30"/>
                <w:szCs w:val="28"/>
              </w:rPr>
              <w:t>参考实体</w:t>
            </w:r>
            <w:r>
              <w:rPr>
                <w:rFonts w:hint="eastAsia" w:eastAsia="仿宋_GB2312" w:cs="宋体"/>
                <w:spacing w:val="-4"/>
                <w:sz w:val="30"/>
                <w:szCs w:val="28"/>
              </w:rPr>
              <w:t>相关</w:t>
            </w:r>
            <w:r>
              <w:rPr>
                <w:rFonts w:hint="eastAsia" w:eastAsia="仿宋_GB2312" w:cs="宋体"/>
                <w:b/>
                <w:bCs/>
                <w:spacing w:val="-4"/>
                <w:sz w:val="30"/>
                <w:szCs w:val="28"/>
              </w:rPr>
              <w:t>债务</w:t>
            </w:r>
            <w:r>
              <w:rPr>
                <w:rFonts w:hint="eastAsia" w:eastAsia="仿宋_GB2312" w:cs="宋体"/>
                <w:spacing w:val="-4"/>
                <w:sz w:val="30"/>
                <w:szCs w:val="28"/>
              </w:rPr>
              <w:t>项下约定了</w:t>
            </w:r>
            <w:r>
              <w:rPr>
                <w:rFonts w:hint="eastAsia" w:eastAsia="仿宋_GB2312" w:cs="宋体"/>
                <w:b/>
                <w:bCs/>
                <w:spacing w:val="-4"/>
                <w:sz w:val="30"/>
                <w:szCs w:val="28"/>
              </w:rPr>
              <w:t>宽限期</w:t>
            </w:r>
            <w:r>
              <w:rPr>
                <w:rFonts w:hint="eastAsia" w:eastAsia="仿宋_GB2312" w:cs="宋体"/>
                <w:spacing w:val="-4"/>
                <w:sz w:val="30"/>
                <w:szCs w:val="28"/>
              </w:rPr>
              <w:t>或其他构成</w:t>
            </w:r>
            <w:r>
              <w:rPr>
                <w:rFonts w:hint="eastAsia" w:eastAsia="仿宋_GB2312" w:cs="宋体"/>
                <w:b/>
                <w:bCs/>
                <w:spacing w:val="-4"/>
                <w:sz w:val="30"/>
                <w:szCs w:val="28"/>
              </w:rPr>
              <w:t>支付违约</w:t>
            </w:r>
            <w:r>
              <w:rPr>
                <w:rFonts w:hint="eastAsia" w:eastAsia="仿宋_GB2312" w:cs="宋体"/>
                <w:spacing w:val="-4"/>
                <w:sz w:val="30"/>
                <w:szCs w:val="28"/>
              </w:rPr>
              <w:t>的特定条件的情形下，</w:t>
            </w:r>
            <w:r>
              <w:rPr>
                <w:rFonts w:hint="eastAsia" w:eastAsia="仿宋_GB2312" w:cs="宋体"/>
                <w:b/>
                <w:bCs/>
                <w:spacing w:val="-4"/>
                <w:sz w:val="30"/>
                <w:szCs w:val="28"/>
              </w:rPr>
              <w:t>参考实体</w:t>
            </w:r>
            <w:r>
              <w:rPr>
                <w:rFonts w:hint="eastAsia" w:eastAsia="仿宋_GB2312" w:cs="宋体"/>
                <w:spacing w:val="-4"/>
                <w:sz w:val="30"/>
                <w:szCs w:val="28"/>
              </w:rPr>
              <w:t>未在该</w:t>
            </w:r>
            <w:r>
              <w:rPr>
                <w:rFonts w:hint="eastAsia" w:eastAsia="仿宋_GB2312" w:cs="宋体"/>
                <w:b/>
                <w:bCs/>
                <w:spacing w:val="-4"/>
                <w:sz w:val="30"/>
                <w:szCs w:val="28"/>
              </w:rPr>
              <w:t>债务</w:t>
            </w:r>
            <w:r>
              <w:rPr>
                <w:rFonts w:hint="eastAsia" w:eastAsia="仿宋_GB2312" w:cs="宋体"/>
                <w:spacing w:val="-4"/>
                <w:sz w:val="30"/>
                <w:szCs w:val="28"/>
              </w:rPr>
              <w:t>的支付日全额履行付款义务、但仍处于相关</w:t>
            </w:r>
            <w:r>
              <w:rPr>
                <w:rFonts w:hint="eastAsia" w:eastAsia="仿宋_GB2312" w:cs="宋体"/>
                <w:b/>
                <w:bCs/>
                <w:spacing w:val="-4"/>
                <w:sz w:val="30"/>
                <w:szCs w:val="28"/>
              </w:rPr>
              <w:t>宽限期</w:t>
            </w:r>
            <w:r>
              <w:rPr>
                <w:rFonts w:hint="eastAsia" w:eastAsia="仿宋_GB2312" w:cs="宋体"/>
                <w:spacing w:val="-4"/>
                <w:sz w:val="30"/>
                <w:szCs w:val="28"/>
              </w:rPr>
              <w:t>内或相关特定条件尚未成就时的违约状态。</w:t>
            </w:r>
          </w:p>
        </w:tc>
      </w:tr>
      <w:tr w14:paraId="5BA33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2434" w:type="dxa"/>
            <w:vAlign w:val="center"/>
          </w:tcPr>
          <w:p w14:paraId="2E9B13FC">
            <w:pPr>
              <w:spacing w:before="185" w:line="560" w:lineRule="exact"/>
              <w:jc w:val="center"/>
              <w:rPr>
                <w:rFonts w:eastAsia="仿宋_GB2312" w:cs="宋体"/>
                <w:kern w:val="0"/>
                <w:sz w:val="30"/>
                <w:szCs w:val="28"/>
              </w:rPr>
            </w:pPr>
            <w:r>
              <w:rPr>
                <w:rFonts w:hint="eastAsia" w:eastAsia="仿宋_GB2312" w:cs="宋体"/>
                <w:spacing w:val="-4"/>
                <w:sz w:val="30"/>
                <w:szCs w:val="28"/>
              </w:rPr>
              <w:t>宽限期顺延</w:t>
            </w:r>
          </w:p>
        </w:tc>
        <w:tc>
          <w:tcPr>
            <w:tcW w:w="5862" w:type="dxa"/>
            <w:vAlign w:val="center"/>
          </w:tcPr>
          <w:p w14:paraId="07E559F9">
            <w:pPr>
              <w:spacing w:before="185" w:line="560" w:lineRule="exact"/>
              <w:rPr>
                <w:rFonts w:eastAsia="仿宋_GB2312" w:cs="宋体"/>
                <w:spacing w:val="-4"/>
                <w:kern w:val="0"/>
                <w:sz w:val="30"/>
                <w:szCs w:val="28"/>
              </w:rPr>
            </w:pPr>
            <w:r>
              <w:rPr>
                <w:rFonts w:hint="eastAsia" w:eastAsia="仿宋_GB2312" w:cs="宋体"/>
                <w:spacing w:val="-4"/>
                <w:sz w:val="30"/>
                <w:szCs w:val="28"/>
              </w:rPr>
              <w:t>若</w:t>
            </w:r>
            <w:r>
              <w:rPr>
                <w:rFonts w:hint="eastAsia" w:eastAsia="仿宋_GB2312" w:cs="宋体"/>
                <w:b/>
                <w:spacing w:val="-4"/>
                <w:sz w:val="30"/>
                <w:szCs w:val="28"/>
              </w:rPr>
              <w:t>交易双方</w:t>
            </w:r>
            <w:r>
              <w:rPr>
                <w:rFonts w:hint="eastAsia" w:eastAsia="仿宋_GB2312" w:cs="宋体"/>
                <w:spacing w:val="-4"/>
                <w:sz w:val="30"/>
                <w:szCs w:val="28"/>
              </w:rPr>
              <w:t>在</w:t>
            </w:r>
            <w:r>
              <w:rPr>
                <w:rFonts w:hint="eastAsia" w:eastAsia="仿宋_GB2312" w:cs="宋体"/>
                <w:b/>
                <w:bCs/>
                <w:spacing w:val="-4"/>
                <w:sz w:val="30"/>
                <w:szCs w:val="28"/>
              </w:rPr>
              <w:t>本确认书</w:t>
            </w:r>
            <w:r>
              <w:rPr>
                <w:rFonts w:hint="eastAsia" w:eastAsia="仿宋_GB2312" w:cs="宋体"/>
                <w:spacing w:val="-4"/>
                <w:sz w:val="30"/>
                <w:szCs w:val="28"/>
              </w:rPr>
              <w:t>中选择适用“宽限期顺延”，在一项</w:t>
            </w:r>
            <w:r>
              <w:rPr>
                <w:rFonts w:hint="eastAsia" w:eastAsia="仿宋_GB2312" w:cs="宋体"/>
                <w:b/>
                <w:spacing w:val="-4"/>
                <w:sz w:val="30"/>
                <w:szCs w:val="28"/>
              </w:rPr>
              <w:t>潜在支付违约</w:t>
            </w:r>
            <w:r>
              <w:rPr>
                <w:rFonts w:hint="eastAsia" w:eastAsia="仿宋_GB2312" w:cs="宋体"/>
                <w:spacing w:val="-4"/>
                <w:sz w:val="30"/>
                <w:szCs w:val="28"/>
              </w:rPr>
              <w:t>发生于</w:t>
            </w:r>
            <w:r>
              <w:rPr>
                <w:rFonts w:hint="eastAsia" w:eastAsia="仿宋_GB2312" w:cs="宋体"/>
                <w:b/>
                <w:spacing w:val="-4"/>
                <w:sz w:val="30"/>
                <w:szCs w:val="28"/>
              </w:rPr>
              <w:t>约定到期日</w:t>
            </w:r>
            <w:r>
              <w:rPr>
                <w:rFonts w:hint="eastAsia" w:eastAsia="仿宋_GB2312" w:cs="宋体"/>
                <w:spacing w:val="-4"/>
                <w:sz w:val="30"/>
                <w:szCs w:val="28"/>
              </w:rPr>
              <w:t>或之前，即使适用的</w:t>
            </w:r>
            <w:r>
              <w:rPr>
                <w:rFonts w:hint="eastAsia" w:eastAsia="仿宋_GB2312" w:cs="宋体"/>
                <w:b/>
                <w:spacing w:val="-4"/>
                <w:sz w:val="30"/>
                <w:szCs w:val="28"/>
              </w:rPr>
              <w:t>宽限期</w:t>
            </w:r>
            <w:r>
              <w:rPr>
                <w:rFonts w:hint="eastAsia" w:eastAsia="仿宋_GB2312" w:cs="宋体"/>
                <w:spacing w:val="-4"/>
                <w:sz w:val="30"/>
                <w:szCs w:val="28"/>
              </w:rPr>
              <w:t>到期之日晚于</w:t>
            </w:r>
            <w:r>
              <w:rPr>
                <w:rFonts w:hint="eastAsia" w:eastAsia="仿宋_GB2312" w:cs="宋体"/>
                <w:b/>
                <w:spacing w:val="-4"/>
                <w:sz w:val="30"/>
                <w:szCs w:val="28"/>
              </w:rPr>
              <w:t>约定到期日</w:t>
            </w:r>
            <w:r>
              <w:rPr>
                <w:rFonts w:hint="eastAsia" w:eastAsia="仿宋_GB2312" w:cs="宋体"/>
                <w:spacing w:val="-4"/>
                <w:sz w:val="30"/>
                <w:szCs w:val="28"/>
              </w:rPr>
              <w:t>，相关</w:t>
            </w:r>
            <w:r>
              <w:rPr>
                <w:rFonts w:hint="eastAsia" w:eastAsia="仿宋_GB2312" w:cs="宋体"/>
                <w:b/>
                <w:spacing w:val="-4"/>
                <w:sz w:val="30"/>
                <w:szCs w:val="28"/>
              </w:rPr>
              <w:t>债务</w:t>
            </w:r>
            <w:r>
              <w:rPr>
                <w:rFonts w:hint="eastAsia" w:eastAsia="仿宋_GB2312" w:cs="宋体"/>
                <w:spacing w:val="-4"/>
                <w:sz w:val="30"/>
                <w:szCs w:val="28"/>
              </w:rPr>
              <w:t>仍然适用该</w:t>
            </w:r>
            <w:r>
              <w:rPr>
                <w:rFonts w:hint="eastAsia" w:eastAsia="仿宋_GB2312" w:cs="宋体"/>
                <w:b/>
                <w:spacing w:val="-4"/>
                <w:sz w:val="30"/>
                <w:szCs w:val="28"/>
              </w:rPr>
              <w:t>宽限期</w:t>
            </w:r>
            <w:r>
              <w:rPr>
                <w:rFonts w:hint="eastAsia" w:eastAsia="仿宋_GB2312" w:cs="宋体"/>
                <w:spacing w:val="-4"/>
                <w:sz w:val="30"/>
                <w:szCs w:val="28"/>
              </w:rPr>
              <w:t>，不受</w:t>
            </w:r>
            <w:r>
              <w:rPr>
                <w:rFonts w:hint="eastAsia" w:eastAsia="仿宋_GB2312" w:cs="宋体"/>
                <w:b/>
                <w:spacing w:val="-4"/>
                <w:sz w:val="30"/>
                <w:szCs w:val="28"/>
              </w:rPr>
              <w:t>约定到期日</w:t>
            </w:r>
            <w:r>
              <w:rPr>
                <w:rFonts w:hint="eastAsia" w:eastAsia="仿宋_GB2312" w:cs="宋体"/>
                <w:spacing w:val="-4"/>
                <w:sz w:val="30"/>
                <w:szCs w:val="28"/>
              </w:rPr>
              <w:t>的影响。该</w:t>
            </w:r>
            <w:r>
              <w:rPr>
                <w:rFonts w:hint="eastAsia" w:eastAsia="仿宋_GB2312" w:cs="宋体"/>
                <w:b/>
                <w:spacing w:val="-4"/>
                <w:sz w:val="30"/>
                <w:szCs w:val="28"/>
              </w:rPr>
              <w:t>宽限期</w:t>
            </w:r>
            <w:r>
              <w:rPr>
                <w:rFonts w:hint="eastAsia" w:eastAsia="仿宋_GB2312" w:cs="宋体"/>
                <w:spacing w:val="-4"/>
                <w:sz w:val="30"/>
                <w:szCs w:val="28"/>
              </w:rPr>
              <w:t>到期之日为信用保护合约的到期日。</w:t>
            </w:r>
          </w:p>
        </w:tc>
      </w:tr>
      <w:tr w14:paraId="71B88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0B1B5417">
            <w:pPr>
              <w:spacing w:before="185" w:line="560" w:lineRule="exact"/>
              <w:jc w:val="center"/>
              <w:rPr>
                <w:rFonts w:eastAsia="仿宋_GB2312" w:cs="宋体"/>
                <w:sz w:val="30"/>
                <w:szCs w:val="28"/>
              </w:rPr>
            </w:pPr>
            <w:r>
              <w:rPr>
                <w:rFonts w:hint="eastAsia" w:eastAsia="仿宋_GB2312" w:cs="宋体"/>
                <w:sz w:val="30"/>
                <w:szCs w:val="28"/>
              </w:rPr>
              <w:t>结算条件</w:t>
            </w:r>
          </w:p>
        </w:tc>
        <w:tc>
          <w:tcPr>
            <w:tcW w:w="5862" w:type="dxa"/>
            <w:vAlign w:val="center"/>
          </w:tcPr>
          <w:p w14:paraId="587C901C">
            <w:pPr>
              <w:spacing w:before="185" w:line="560" w:lineRule="exact"/>
              <w:rPr>
                <w:rFonts w:eastAsia="仿宋_GB2312" w:cs="宋体"/>
                <w:sz w:val="30"/>
                <w:szCs w:val="28"/>
              </w:rPr>
            </w:pPr>
            <w:r>
              <w:rPr>
                <w:rFonts w:hint="eastAsia" w:eastAsia="仿宋_GB2312" w:cs="宋体"/>
                <w:sz w:val="30"/>
                <w:szCs w:val="28"/>
              </w:rPr>
              <w:t>指</w:t>
            </w:r>
            <w:r>
              <w:rPr>
                <w:rFonts w:hint="eastAsia" w:eastAsia="仿宋_GB2312" w:cs="宋体"/>
                <w:b/>
                <w:bCs/>
                <w:sz w:val="30"/>
                <w:szCs w:val="28"/>
              </w:rPr>
              <w:t>交易双方</w:t>
            </w:r>
            <w:r>
              <w:rPr>
                <w:rFonts w:hint="eastAsia" w:eastAsia="仿宋_GB2312" w:cs="宋体"/>
                <w:sz w:val="30"/>
                <w:szCs w:val="28"/>
              </w:rPr>
              <w:t>在按照适用的</w:t>
            </w:r>
            <w:r>
              <w:rPr>
                <w:rFonts w:hint="eastAsia" w:eastAsia="仿宋_GB2312" w:cs="宋体"/>
                <w:b/>
                <w:bCs/>
                <w:sz w:val="30"/>
                <w:szCs w:val="28"/>
              </w:rPr>
              <w:t>结算方式</w:t>
            </w:r>
            <w:r>
              <w:rPr>
                <w:rFonts w:hint="eastAsia" w:eastAsia="仿宋_GB2312" w:cs="宋体"/>
                <w:sz w:val="30"/>
                <w:szCs w:val="28"/>
              </w:rPr>
              <w:t>履行相关结算义务之前需要满足的条件。</w:t>
            </w:r>
          </w:p>
        </w:tc>
      </w:tr>
      <w:tr w14:paraId="48255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23DB398E">
            <w:pPr>
              <w:spacing w:before="185" w:line="560" w:lineRule="exact"/>
              <w:jc w:val="center"/>
              <w:rPr>
                <w:rFonts w:eastAsia="仿宋_GB2312" w:cs="宋体"/>
                <w:sz w:val="30"/>
                <w:szCs w:val="28"/>
              </w:rPr>
            </w:pPr>
            <w:r>
              <w:rPr>
                <w:rFonts w:hint="eastAsia" w:eastAsia="仿宋_GB2312" w:cs="宋体"/>
                <w:sz w:val="30"/>
                <w:szCs w:val="28"/>
              </w:rPr>
              <w:t>现金结算日</w:t>
            </w:r>
          </w:p>
        </w:tc>
        <w:tc>
          <w:tcPr>
            <w:tcW w:w="5862" w:type="dxa"/>
            <w:vAlign w:val="center"/>
          </w:tcPr>
          <w:p w14:paraId="25A6CD83">
            <w:pPr>
              <w:spacing w:line="560" w:lineRule="exact"/>
              <w:ind w:right="19" w:rightChars="9"/>
              <w:rPr>
                <w:rFonts w:eastAsia="仿宋_GB2312" w:cs="宋体"/>
                <w:sz w:val="30"/>
                <w:szCs w:val="28"/>
              </w:rPr>
            </w:pPr>
            <w:r>
              <w:rPr>
                <w:rFonts w:hint="eastAsia" w:eastAsia="仿宋_GB2312" w:cs="宋体"/>
                <w:sz w:val="30"/>
                <w:szCs w:val="28"/>
              </w:rPr>
              <w:t>指</w:t>
            </w:r>
            <w:r>
              <w:rPr>
                <w:rFonts w:hint="eastAsia" w:eastAsia="仿宋_GB2312" w:cs="宋体"/>
                <w:b/>
                <w:sz w:val="30"/>
                <w:szCs w:val="28"/>
              </w:rPr>
              <w:t>信用保护卖方</w:t>
            </w:r>
            <w:r>
              <w:rPr>
                <w:rFonts w:hint="eastAsia" w:eastAsia="仿宋_GB2312" w:cs="宋体"/>
                <w:sz w:val="30"/>
                <w:szCs w:val="28"/>
              </w:rPr>
              <w:t>应向</w:t>
            </w:r>
            <w:r>
              <w:rPr>
                <w:rFonts w:hint="eastAsia" w:eastAsia="仿宋_GB2312" w:cs="宋体"/>
                <w:b/>
                <w:sz w:val="30"/>
                <w:szCs w:val="28"/>
              </w:rPr>
              <w:t>信用保护买方</w:t>
            </w:r>
            <w:r>
              <w:rPr>
                <w:rFonts w:hint="eastAsia" w:eastAsia="仿宋_GB2312" w:cs="宋体"/>
                <w:sz w:val="30"/>
                <w:szCs w:val="28"/>
              </w:rPr>
              <w:t>支付</w:t>
            </w:r>
            <w:r>
              <w:rPr>
                <w:rFonts w:hint="eastAsia" w:eastAsia="仿宋_GB2312" w:cs="宋体"/>
                <w:b/>
                <w:sz w:val="30"/>
                <w:szCs w:val="28"/>
              </w:rPr>
              <w:t>现金结算</w:t>
            </w:r>
            <w:r>
              <w:rPr>
                <w:rFonts w:hint="eastAsia" w:eastAsia="仿宋_GB2312" w:cs="宋体"/>
                <w:sz w:val="30"/>
                <w:szCs w:val="28"/>
              </w:rPr>
              <w:t>金额的日期。</w:t>
            </w:r>
          </w:p>
        </w:tc>
      </w:tr>
      <w:tr w14:paraId="059B8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46355A0F">
            <w:pPr>
              <w:spacing w:before="185" w:line="560" w:lineRule="exact"/>
              <w:jc w:val="center"/>
              <w:rPr>
                <w:rFonts w:eastAsia="仿宋_GB2312" w:cs="宋体"/>
                <w:sz w:val="30"/>
                <w:szCs w:val="28"/>
              </w:rPr>
            </w:pPr>
            <w:r>
              <w:rPr>
                <w:rFonts w:hint="eastAsia" w:eastAsia="仿宋_GB2312" w:cs="宋体"/>
                <w:sz w:val="30"/>
                <w:szCs w:val="28"/>
              </w:rPr>
              <w:t>结算货币</w:t>
            </w:r>
          </w:p>
        </w:tc>
        <w:tc>
          <w:tcPr>
            <w:tcW w:w="5862" w:type="dxa"/>
            <w:vAlign w:val="center"/>
          </w:tcPr>
          <w:p w14:paraId="32A00228">
            <w:pPr>
              <w:spacing w:before="185" w:line="560" w:lineRule="exact"/>
              <w:rPr>
                <w:rFonts w:eastAsia="仿宋_GB2312" w:cs="宋体"/>
                <w:sz w:val="30"/>
                <w:szCs w:val="28"/>
              </w:rPr>
            </w:pPr>
            <w:r>
              <w:rPr>
                <w:rFonts w:hint="eastAsia" w:eastAsia="仿宋_GB2312" w:cs="宋体"/>
                <w:sz w:val="30"/>
                <w:szCs w:val="28"/>
              </w:rPr>
              <w:t>除非</w:t>
            </w:r>
            <w:r>
              <w:rPr>
                <w:rFonts w:hint="eastAsia" w:eastAsia="仿宋_GB2312" w:cs="宋体"/>
                <w:b/>
                <w:bCs/>
                <w:sz w:val="30"/>
                <w:szCs w:val="28"/>
              </w:rPr>
              <w:t>交易双方</w:t>
            </w:r>
            <w:r>
              <w:rPr>
                <w:rFonts w:hint="eastAsia" w:eastAsia="仿宋_GB2312" w:cs="宋体"/>
                <w:sz w:val="30"/>
                <w:szCs w:val="28"/>
              </w:rPr>
              <w:t>另行约定，否则为人民币。</w:t>
            </w:r>
          </w:p>
        </w:tc>
      </w:tr>
      <w:tr w14:paraId="37E37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4C39EA56">
            <w:pPr>
              <w:spacing w:before="185" w:line="560" w:lineRule="exact"/>
              <w:jc w:val="center"/>
              <w:rPr>
                <w:rFonts w:eastAsia="仿宋_GB2312" w:cs="宋体"/>
                <w:sz w:val="30"/>
                <w:szCs w:val="28"/>
              </w:rPr>
            </w:pPr>
            <w:r>
              <w:rPr>
                <w:rFonts w:hint="eastAsia" w:eastAsia="仿宋_GB2312" w:cs="宋体"/>
                <w:sz w:val="30"/>
                <w:szCs w:val="28"/>
              </w:rPr>
              <w:t>信用事件决定日</w:t>
            </w:r>
          </w:p>
        </w:tc>
        <w:tc>
          <w:tcPr>
            <w:tcW w:w="5862" w:type="dxa"/>
            <w:vAlign w:val="center"/>
          </w:tcPr>
          <w:p w14:paraId="3F92BB91">
            <w:pPr>
              <w:spacing w:line="560" w:lineRule="exact"/>
              <w:rPr>
                <w:rFonts w:eastAsia="仿宋_GB2312" w:cs="宋体"/>
                <w:sz w:val="30"/>
                <w:szCs w:val="28"/>
              </w:rPr>
            </w:pPr>
            <w:r>
              <w:rPr>
                <w:rFonts w:hint="eastAsia" w:eastAsia="仿宋_GB2312" w:cs="宋体"/>
                <w:sz w:val="30"/>
                <w:szCs w:val="28"/>
              </w:rPr>
              <w:t>指</w:t>
            </w:r>
            <w:r>
              <w:rPr>
                <w:rFonts w:hint="eastAsia" w:eastAsia="仿宋_GB2312" w:cs="宋体"/>
                <w:b/>
                <w:bCs/>
                <w:sz w:val="30"/>
                <w:szCs w:val="28"/>
              </w:rPr>
              <w:t>信用事件通知书</w:t>
            </w:r>
            <w:r>
              <w:rPr>
                <w:rFonts w:hint="eastAsia" w:eastAsia="仿宋_GB2312" w:cs="宋体"/>
                <w:sz w:val="30"/>
                <w:szCs w:val="28"/>
              </w:rPr>
              <w:t>与</w:t>
            </w:r>
            <w:r>
              <w:rPr>
                <w:rFonts w:hint="eastAsia" w:eastAsia="仿宋_GB2312" w:cs="宋体"/>
                <w:b/>
                <w:bCs/>
                <w:sz w:val="30"/>
                <w:szCs w:val="28"/>
              </w:rPr>
              <w:t>公共信息通知书</w:t>
            </w:r>
            <w:r>
              <w:rPr>
                <w:rFonts w:hint="eastAsia" w:eastAsia="仿宋_GB2312" w:cs="宋体"/>
                <w:sz w:val="30"/>
                <w:szCs w:val="28"/>
              </w:rPr>
              <w:t>（若适用）均有效送达且</w:t>
            </w:r>
            <w:r>
              <w:rPr>
                <w:rFonts w:hint="eastAsia" w:eastAsia="仿宋_GB2312" w:cs="宋体"/>
                <w:b/>
                <w:bCs/>
                <w:sz w:val="30"/>
                <w:szCs w:val="28"/>
              </w:rPr>
              <w:t>交易双方</w:t>
            </w:r>
            <w:r>
              <w:rPr>
                <w:rFonts w:hint="eastAsia" w:eastAsia="仿宋_GB2312" w:cs="宋体"/>
                <w:sz w:val="30"/>
                <w:szCs w:val="28"/>
              </w:rPr>
              <w:t>达成一致的</w:t>
            </w:r>
            <w:r>
              <w:rPr>
                <w:rFonts w:hint="eastAsia" w:eastAsia="仿宋_GB2312" w:cs="宋体"/>
                <w:b/>
                <w:bCs/>
                <w:sz w:val="30"/>
                <w:szCs w:val="28"/>
              </w:rPr>
              <w:t>交易日</w:t>
            </w:r>
            <w:r>
              <w:rPr>
                <w:rFonts w:hint="eastAsia" w:eastAsia="仿宋_GB2312" w:cs="宋体"/>
                <w:sz w:val="30"/>
                <w:szCs w:val="28"/>
              </w:rPr>
              <w:t>。</w:t>
            </w:r>
            <w:r>
              <w:rPr>
                <w:rFonts w:hint="eastAsia" w:eastAsia="仿宋_GB2312" w:cs="宋体"/>
                <w:b/>
                <w:bCs/>
                <w:sz w:val="30"/>
                <w:szCs w:val="28"/>
              </w:rPr>
              <w:t>信用事件通知书</w:t>
            </w:r>
            <w:r>
              <w:rPr>
                <w:rFonts w:hint="eastAsia" w:eastAsia="仿宋_GB2312" w:cs="宋体"/>
                <w:sz w:val="30"/>
                <w:szCs w:val="28"/>
              </w:rPr>
              <w:t>与</w:t>
            </w:r>
            <w:r>
              <w:rPr>
                <w:rFonts w:hint="eastAsia" w:eastAsia="仿宋_GB2312" w:cs="宋体"/>
                <w:b/>
                <w:bCs/>
                <w:sz w:val="30"/>
                <w:szCs w:val="28"/>
              </w:rPr>
              <w:t>公共信息通知书</w:t>
            </w:r>
            <w:r>
              <w:rPr>
                <w:rFonts w:hint="eastAsia" w:eastAsia="仿宋_GB2312" w:cs="宋体"/>
                <w:sz w:val="30"/>
                <w:szCs w:val="28"/>
              </w:rPr>
              <w:t>（若适用）的有效送达期间，始于该交易的起始日（含），止于该交易到期日之后的第【</w:t>
            </w:r>
            <w:r>
              <w:rPr>
                <w:rFonts w:eastAsia="仿宋_GB2312" w:cs="宋体"/>
                <w:sz w:val="30"/>
                <w:szCs w:val="28"/>
              </w:rPr>
              <w:t>10</w:t>
            </w:r>
            <w:r>
              <w:rPr>
                <w:rFonts w:hint="eastAsia" w:eastAsia="仿宋_GB2312" w:cs="宋体"/>
                <w:sz w:val="30"/>
                <w:szCs w:val="28"/>
              </w:rPr>
              <w:t>】个交易日（含）。</w:t>
            </w:r>
          </w:p>
        </w:tc>
      </w:tr>
      <w:tr w14:paraId="466F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34D0D5D0">
            <w:pPr>
              <w:spacing w:before="185" w:line="560" w:lineRule="exact"/>
              <w:jc w:val="center"/>
              <w:rPr>
                <w:rFonts w:eastAsia="仿宋_GB2312" w:cs="宋体"/>
                <w:sz w:val="30"/>
                <w:szCs w:val="28"/>
              </w:rPr>
            </w:pPr>
            <w:r>
              <w:rPr>
                <w:rFonts w:hint="eastAsia" w:eastAsia="仿宋_GB2312" w:cs="宋体"/>
                <w:sz w:val="30"/>
                <w:szCs w:val="28"/>
              </w:rPr>
              <w:t>公共信息</w:t>
            </w:r>
          </w:p>
        </w:tc>
        <w:tc>
          <w:tcPr>
            <w:tcW w:w="5862" w:type="dxa"/>
            <w:vAlign w:val="center"/>
          </w:tcPr>
          <w:p w14:paraId="4B778E2A">
            <w:pPr>
              <w:spacing w:before="185" w:line="560" w:lineRule="exact"/>
              <w:rPr>
                <w:rFonts w:eastAsia="仿宋_GB2312" w:cs="宋体"/>
                <w:sz w:val="30"/>
                <w:szCs w:val="28"/>
              </w:rPr>
            </w:pPr>
            <w:r>
              <w:rPr>
                <w:rFonts w:hint="eastAsia" w:eastAsia="仿宋_GB2312" w:cs="宋体"/>
                <w:sz w:val="30"/>
                <w:szCs w:val="28"/>
              </w:rPr>
              <w:t>指可合理证明或确认</w:t>
            </w:r>
            <w:r>
              <w:rPr>
                <w:rFonts w:hint="eastAsia" w:eastAsia="仿宋_GB2312" w:cs="宋体"/>
                <w:b/>
                <w:bCs/>
                <w:sz w:val="30"/>
                <w:szCs w:val="28"/>
              </w:rPr>
              <w:t>信用事件通知</w:t>
            </w:r>
            <w:r>
              <w:rPr>
                <w:rFonts w:hint="eastAsia" w:eastAsia="仿宋_GB2312" w:cs="宋体"/>
                <w:sz w:val="30"/>
                <w:szCs w:val="28"/>
              </w:rPr>
              <w:t>所述</w:t>
            </w:r>
            <w:r>
              <w:rPr>
                <w:rFonts w:hint="eastAsia" w:eastAsia="仿宋_GB2312" w:cs="宋体"/>
                <w:b/>
                <w:bCs/>
                <w:sz w:val="30"/>
                <w:szCs w:val="28"/>
              </w:rPr>
              <w:t>信用事件</w:t>
            </w:r>
            <w:r>
              <w:rPr>
                <w:rFonts w:hint="eastAsia" w:eastAsia="仿宋_GB2312" w:cs="宋体"/>
                <w:sz w:val="30"/>
                <w:szCs w:val="28"/>
              </w:rPr>
              <w:t>已发生的任何事实、信息或资料。</w:t>
            </w:r>
          </w:p>
          <w:p w14:paraId="4F8037C8">
            <w:pPr>
              <w:spacing w:before="185" w:line="560" w:lineRule="exact"/>
              <w:rPr>
                <w:rFonts w:eastAsia="仿宋_GB2312" w:cs="宋体"/>
                <w:kern w:val="0"/>
                <w:sz w:val="30"/>
                <w:szCs w:val="28"/>
              </w:rPr>
            </w:pPr>
            <w:r>
              <w:rPr>
                <w:rFonts w:hint="eastAsia" w:eastAsia="仿宋_GB2312" w:cs="宋体"/>
                <w:sz w:val="30"/>
                <w:szCs w:val="28"/>
              </w:rPr>
              <w:t>（</w:t>
            </w:r>
            <w:r>
              <w:rPr>
                <w:rFonts w:eastAsia="仿宋_GB2312" w:cs="宋体"/>
                <w:sz w:val="30"/>
                <w:szCs w:val="28"/>
              </w:rPr>
              <w:t>1</w:t>
            </w:r>
            <w:r>
              <w:rPr>
                <w:rFonts w:hint="eastAsia" w:eastAsia="仿宋_GB2312" w:cs="宋体"/>
                <w:sz w:val="30"/>
                <w:szCs w:val="28"/>
              </w:rPr>
              <w:t>）</w:t>
            </w:r>
            <w:r>
              <w:rPr>
                <w:rFonts w:eastAsia="仿宋_GB2312" w:cs="宋体"/>
                <w:sz w:val="30"/>
                <w:szCs w:val="28"/>
              </w:rPr>
              <w:t xml:space="preserve"> </w:t>
            </w:r>
            <w:r>
              <w:rPr>
                <w:rFonts w:hint="eastAsia" w:eastAsia="仿宋_GB2312" w:cs="宋体"/>
                <w:sz w:val="30"/>
                <w:szCs w:val="28"/>
              </w:rPr>
              <w:t>已由</w:t>
            </w:r>
            <w:r>
              <w:rPr>
                <w:rFonts w:hint="eastAsia" w:eastAsia="仿宋_GB2312" w:cs="宋体"/>
                <w:b/>
                <w:sz w:val="30"/>
                <w:szCs w:val="28"/>
              </w:rPr>
              <w:t>参考实体</w:t>
            </w:r>
            <w:r>
              <w:rPr>
                <w:rFonts w:hint="eastAsia" w:eastAsia="仿宋_GB2312" w:cs="宋体"/>
                <w:sz w:val="30"/>
                <w:szCs w:val="28"/>
              </w:rPr>
              <w:t>通知、公告或确认的信息，但若该</w:t>
            </w:r>
            <w:r>
              <w:rPr>
                <w:rFonts w:hint="eastAsia" w:eastAsia="仿宋_GB2312" w:cs="宋体"/>
                <w:b/>
                <w:sz w:val="30"/>
                <w:szCs w:val="28"/>
              </w:rPr>
              <w:t>参考实体</w:t>
            </w:r>
            <w:r>
              <w:rPr>
                <w:rFonts w:hint="eastAsia" w:eastAsia="仿宋_GB2312" w:cs="宋体"/>
                <w:sz w:val="30"/>
                <w:szCs w:val="28"/>
              </w:rPr>
              <w:t>或其关联企业是相关</w:t>
            </w:r>
            <w:r>
              <w:rPr>
                <w:rFonts w:hint="eastAsia" w:eastAsia="仿宋_GB2312" w:cs="宋体"/>
                <w:b/>
                <w:sz w:val="30"/>
                <w:szCs w:val="28"/>
              </w:rPr>
              <w:t>信用保护合约交易</w:t>
            </w:r>
            <w:r>
              <w:rPr>
                <w:rFonts w:hint="eastAsia" w:eastAsia="仿宋_GB2312" w:cs="宋体"/>
                <w:sz w:val="30"/>
                <w:szCs w:val="28"/>
              </w:rPr>
              <w:t>的</w:t>
            </w:r>
            <w:r>
              <w:rPr>
                <w:rFonts w:hint="eastAsia" w:eastAsia="仿宋_GB2312" w:cs="宋体"/>
                <w:b/>
                <w:sz w:val="30"/>
                <w:szCs w:val="28"/>
              </w:rPr>
              <w:t>交易一方</w:t>
            </w:r>
            <w:r>
              <w:rPr>
                <w:rFonts w:hint="eastAsia" w:eastAsia="仿宋_GB2312" w:cs="宋体"/>
                <w:sz w:val="30"/>
                <w:szCs w:val="28"/>
              </w:rPr>
              <w:t>，则由其通知、公告或确认的信息不能作为公开信息；</w:t>
            </w:r>
          </w:p>
          <w:p w14:paraId="423FACA7">
            <w:pPr>
              <w:spacing w:before="185" w:line="560" w:lineRule="exact"/>
              <w:rPr>
                <w:rFonts w:eastAsia="仿宋_GB2312" w:cs="宋体"/>
                <w:kern w:val="0"/>
                <w:sz w:val="30"/>
                <w:szCs w:val="28"/>
              </w:rPr>
            </w:pPr>
            <w:r>
              <w:rPr>
                <w:rFonts w:hint="eastAsia" w:eastAsia="仿宋_GB2312" w:cs="宋体"/>
                <w:sz w:val="30"/>
                <w:szCs w:val="28"/>
              </w:rPr>
              <w:t>（</w:t>
            </w:r>
            <w:r>
              <w:rPr>
                <w:rFonts w:eastAsia="仿宋_GB2312" w:cs="宋体"/>
                <w:sz w:val="30"/>
                <w:szCs w:val="28"/>
              </w:rPr>
              <w:t>2</w:t>
            </w:r>
            <w:r>
              <w:rPr>
                <w:rFonts w:hint="eastAsia" w:eastAsia="仿宋_GB2312" w:cs="宋体"/>
                <w:sz w:val="30"/>
                <w:szCs w:val="28"/>
              </w:rPr>
              <w:t>）</w:t>
            </w:r>
            <w:r>
              <w:rPr>
                <w:rFonts w:eastAsia="仿宋_GB2312" w:cs="宋体"/>
                <w:sz w:val="30"/>
                <w:szCs w:val="28"/>
              </w:rPr>
              <w:t xml:space="preserve"> </w:t>
            </w:r>
            <w:r>
              <w:rPr>
                <w:rFonts w:hint="eastAsia" w:eastAsia="仿宋_GB2312" w:cs="宋体"/>
                <w:sz w:val="30"/>
                <w:szCs w:val="28"/>
              </w:rPr>
              <w:t>已由</w:t>
            </w:r>
            <w:r>
              <w:rPr>
                <w:rFonts w:hint="eastAsia" w:eastAsia="仿宋_GB2312" w:cs="宋体"/>
                <w:b/>
                <w:sz w:val="30"/>
                <w:szCs w:val="28"/>
              </w:rPr>
              <w:t>信用事件通知方</w:t>
            </w:r>
            <w:r>
              <w:rPr>
                <w:rFonts w:hint="eastAsia" w:eastAsia="仿宋_GB2312" w:cs="宋体"/>
                <w:sz w:val="30"/>
                <w:szCs w:val="28"/>
              </w:rPr>
              <w:t>或其关联企业通知、公告或确认的信息，前提是</w:t>
            </w:r>
            <w:r>
              <w:rPr>
                <w:rFonts w:hint="eastAsia" w:eastAsia="仿宋_GB2312" w:cs="宋体"/>
                <w:b/>
                <w:sz w:val="30"/>
                <w:szCs w:val="28"/>
              </w:rPr>
              <w:t>信用事件通知方</w:t>
            </w:r>
            <w:r>
              <w:rPr>
                <w:rFonts w:hint="eastAsia" w:eastAsia="仿宋_GB2312" w:cs="宋体"/>
                <w:sz w:val="30"/>
                <w:szCs w:val="28"/>
              </w:rPr>
              <w:t>或该关联企业是已发生</w:t>
            </w:r>
            <w:r>
              <w:rPr>
                <w:rFonts w:hint="eastAsia" w:eastAsia="仿宋_GB2312" w:cs="宋体"/>
                <w:b/>
                <w:sz w:val="30"/>
                <w:szCs w:val="28"/>
              </w:rPr>
              <w:t>信用事件</w:t>
            </w:r>
            <w:r>
              <w:rPr>
                <w:rFonts w:hint="eastAsia" w:eastAsia="仿宋_GB2312" w:cs="宋体"/>
                <w:sz w:val="30"/>
                <w:szCs w:val="28"/>
              </w:rPr>
              <w:t>的相关</w:t>
            </w:r>
            <w:r>
              <w:rPr>
                <w:rFonts w:hint="eastAsia" w:eastAsia="仿宋_GB2312" w:cs="宋体"/>
                <w:b/>
                <w:sz w:val="30"/>
                <w:szCs w:val="28"/>
              </w:rPr>
              <w:t>债务</w:t>
            </w:r>
            <w:r>
              <w:rPr>
                <w:rFonts w:hint="eastAsia" w:eastAsia="仿宋_GB2312" w:cs="宋体"/>
                <w:sz w:val="30"/>
                <w:szCs w:val="28"/>
              </w:rPr>
              <w:t>的债权人，其以债权人身份获得或知悉该信息，且</w:t>
            </w:r>
            <w:r>
              <w:rPr>
                <w:rFonts w:hint="eastAsia" w:eastAsia="仿宋_GB2312" w:cs="宋体"/>
                <w:b/>
                <w:sz w:val="30"/>
                <w:szCs w:val="28"/>
              </w:rPr>
              <w:t>信用事件通知方</w:t>
            </w:r>
            <w:r>
              <w:rPr>
                <w:rFonts w:hint="eastAsia" w:eastAsia="仿宋_GB2312" w:cs="宋体"/>
                <w:sz w:val="30"/>
                <w:szCs w:val="28"/>
              </w:rPr>
              <w:t>已向另一方出具了一份由其法定代表人或授权人士签署的证明，确认其或其关联企业是基于上述债权人身份而获得或知悉了该信息；</w:t>
            </w:r>
          </w:p>
          <w:p w14:paraId="32656C31">
            <w:pPr>
              <w:spacing w:before="185" w:line="560" w:lineRule="exact"/>
              <w:rPr>
                <w:rFonts w:eastAsia="仿宋_GB2312" w:cs="宋体"/>
                <w:kern w:val="0"/>
                <w:sz w:val="30"/>
                <w:szCs w:val="28"/>
              </w:rPr>
            </w:pPr>
            <w:r>
              <w:rPr>
                <w:rFonts w:hint="eastAsia" w:eastAsia="仿宋_GB2312" w:cs="宋体"/>
                <w:sz w:val="30"/>
                <w:szCs w:val="28"/>
              </w:rPr>
              <w:t>（</w:t>
            </w:r>
            <w:r>
              <w:rPr>
                <w:rFonts w:eastAsia="仿宋_GB2312" w:cs="宋体"/>
                <w:sz w:val="30"/>
                <w:szCs w:val="28"/>
              </w:rPr>
              <w:t>3</w:t>
            </w:r>
            <w:r>
              <w:rPr>
                <w:rFonts w:hint="eastAsia" w:eastAsia="仿宋_GB2312" w:cs="宋体"/>
                <w:sz w:val="30"/>
                <w:szCs w:val="28"/>
              </w:rPr>
              <w:t>）</w:t>
            </w:r>
            <w:r>
              <w:rPr>
                <w:rFonts w:eastAsia="仿宋_GB2312" w:cs="宋体"/>
                <w:sz w:val="30"/>
                <w:szCs w:val="28"/>
              </w:rPr>
              <w:t xml:space="preserve"> </w:t>
            </w:r>
            <w:r>
              <w:rPr>
                <w:rFonts w:hint="eastAsia" w:eastAsia="仿宋_GB2312" w:cs="宋体"/>
                <w:sz w:val="30"/>
                <w:szCs w:val="28"/>
              </w:rPr>
              <w:t>已在不少于两个的</w:t>
            </w:r>
            <w:r>
              <w:rPr>
                <w:rFonts w:hint="eastAsia" w:eastAsia="仿宋_GB2312" w:cs="宋体"/>
                <w:b/>
                <w:sz w:val="30"/>
                <w:szCs w:val="28"/>
              </w:rPr>
              <w:t>公开信息渠道</w:t>
            </w:r>
            <w:r>
              <w:rPr>
                <w:rFonts w:hint="eastAsia" w:eastAsia="仿宋_GB2312" w:cs="宋体"/>
                <w:sz w:val="30"/>
                <w:szCs w:val="28"/>
              </w:rPr>
              <w:t>（无论是否收费）上公布的信息，且有关报道者或报道机构均未在适用的</w:t>
            </w:r>
            <w:r>
              <w:rPr>
                <w:rFonts w:hint="eastAsia" w:eastAsia="仿宋_GB2312" w:cs="宋体"/>
                <w:b/>
                <w:sz w:val="30"/>
                <w:szCs w:val="28"/>
              </w:rPr>
              <w:t>结算条件</w:t>
            </w:r>
            <w:r>
              <w:rPr>
                <w:rFonts w:hint="eastAsia" w:eastAsia="仿宋_GB2312" w:cs="宋体"/>
                <w:sz w:val="30"/>
                <w:szCs w:val="28"/>
              </w:rPr>
              <w:t>满足之前撤销有关消息或报道，也未公开承认有重大误报；</w:t>
            </w:r>
          </w:p>
          <w:p w14:paraId="1270C138">
            <w:pPr>
              <w:spacing w:before="185" w:line="560" w:lineRule="exact"/>
              <w:rPr>
                <w:rFonts w:eastAsia="仿宋_GB2312" w:cs="宋体"/>
                <w:kern w:val="0"/>
                <w:sz w:val="30"/>
                <w:szCs w:val="28"/>
              </w:rPr>
            </w:pPr>
            <w:r>
              <w:rPr>
                <w:rFonts w:hint="eastAsia" w:eastAsia="仿宋_GB2312" w:cs="宋体"/>
                <w:sz w:val="30"/>
                <w:szCs w:val="28"/>
              </w:rPr>
              <w:t>（</w:t>
            </w:r>
            <w:r>
              <w:rPr>
                <w:rFonts w:eastAsia="仿宋_GB2312" w:cs="宋体"/>
                <w:sz w:val="30"/>
                <w:szCs w:val="28"/>
              </w:rPr>
              <w:t>4</w:t>
            </w:r>
            <w:r>
              <w:rPr>
                <w:rFonts w:hint="eastAsia" w:eastAsia="仿宋_GB2312" w:cs="宋体"/>
                <w:sz w:val="30"/>
                <w:szCs w:val="28"/>
              </w:rPr>
              <w:t>）</w:t>
            </w:r>
            <w:r>
              <w:rPr>
                <w:rFonts w:eastAsia="仿宋_GB2312" w:cs="宋体"/>
                <w:sz w:val="30"/>
                <w:szCs w:val="28"/>
              </w:rPr>
              <w:t xml:space="preserve"> </w:t>
            </w:r>
            <w:r>
              <w:rPr>
                <w:rFonts w:hint="eastAsia" w:eastAsia="仿宋_GB2312" w:cs="宋体"/>
                <w:sz w:val="30"/>
                <w:szCs w:val="28"/>
              </w:rPr>
              <w:t>已由债务的代理人或受托人（包括但不限于贷款的代理行、</w:t>
            </w:r>
            <w:r>
              <w:rPr>
                <w:rFonts w:hint="eastAsia" w:eastAsia="仿宋_GB2312" w:cs="宋体"/>
                <w:b/>
                <w:spacing w:val="4"/>
                <w:sz w:val="30"/>
                <w:szCs w:val="28"/>
              </w:rPr>
              <w:t>债券</w:t>
            </w:r>
            <w:r>
              <w:rPr>
                <w:rFonts w:hint="eastAsia" w:eastAsia="仿宋_GB2312" w:cs="宋体"/>
                <w:sz w:val="30"/>
                <w:szCs w:val="28"/>
              </w:rPr>
              <w:t>的付款代理人、清算代理人或受托管理人），或由有关登记托管结算机构或清算机构通知、公告或确认的信息；</w:t>
            </w:r>
          </w:p>
          <w:p w14:paraId="3B326B92">
            <w:pPr>
              <w:spacing w:before="185" w:line="560" w:lineRule="exact"/>
              <w:rPr>
                <w:rFonts w:eastAsia="仿宋_GB2312" w:cs="宋体"/>
                <w:kern w:val="0"/>
                <w:sz w:val="30"/>
                <w:szCs w:val="28"/>
              </w:rPr>
            </w:pPr>
            <w:r>
              <w:rPr>
                <w:rFonts w:hint="eastAsia" w:eastAsia="仿宋_GB2312" w:cs="宋体"/>
                <w:sz w:val="30"/>
                <w:szCs w:val="28"/>
              </w:rPr>
              <w:t>（</w:t>
            </w:r>
            <w:r>
              <w:rPr>
                <w:rFonts w:eastAsia="仿宋_GB2312" w:cs="宋体"/>
                <w:sz w:val="30"/>
                <w:szCs w:val="28"/>
              </w:rPr>
              <w:t>5</w:t>
            </w:r>
            <w:r>
              <w:rPr>
                <w:rFonts w:hint="eastAsia" w:eastAsia="仿宋_GB2312" w:cs="宋体"/>
                <w:sz w:val="30"/>
                <w:szCs w:val="28"/>
              </w:rPr>
              <w:t>）已包含在第三人针对</w:t>
            </w:r>
            <w:r>
              <w:rPr>
                <w:rFonts w:hint="eastAsia" w:eastAsia="仿宋_GB2312" w:cs="宋体"/>
                <w:b/>
                <w:sz w:val="30"/>
                <w:szCs w:val="28"/>
              </w:rPr>
              <w:t>参考实体</w:t>
            </w:r>
            <w:r>
              <w:rPr>
                <w:rFonts w:hint="eastAsia" w:eastAsia="仿宋_GB2312" w:cs="宋体"/>
                <w:sz w:val="30"/>
                <w:szCs w:val="28"/>
              </w:rPr>
              <w:t>提出的，或由</w:t>
            </w:r>
            <w:r>
              <w:rPr>
                <w:rFonts w:hint="eastAsia" w:eastAsia="仿宋_GB2312" w:cs="宋体"/>
                <w:b/>
                <w:sz w:val="30"/>
                <w:szCs w:val="28"/>
              </w:rPr>
              <w:t>参考实体</w:t>
            </w:r>
            <w:r>
              <w:rPr>
                <w:rFonts w:hint="eastAsia" w:eastAsia="仿宋_GB2312" w:cs="宋体"/>
                <w:sz w:val="30"/>
                <w:szCs w:val="28"/>
              </w:rPr>
              <w:t>自行提出的“</w:t>
            </w:r>
            <w:r>
              <w:rPr>
                <w:rFonts w:hint="eastAsia" w:eastAsia="仿宋_GB2312" w:cs="宋体"/>
                <w:b/>
                <w:sz w:val="30"/>
                <w:szCs w:val="28"/>
              </w:rPr>
              <w:t>破产</w:t>
            </w:r>
            <w:r>
              <w:rPr>
                <w:rFonts w:hint="eastAsia" w:eastAsia="仿宋_GB2312" w:cs="宋体"/>
                <w:sz w:val="30"/>
                <w:szCs w:val="28"/>
              </w:rPr>
              <w:t>”定义第</w:t>
            </w:r>
            <w:r>
              <w:rPr>
                <w:rFonts w:eastAsia="仿宋_GB2312" w:cs="宋体"/>
                <w:sz w:val="30"/>
                <w:szCs w:val="28"/>
              </w:rPr>
              <w:t>5</w:t>
            </w:r>
            <w:r>
              <w:rPr>
                <w:rFonts w:hint="eastAsia" w:eastAsia="仿宋_GB2312" w:cs="宋体"/>
                <w:sz w:val="30"/>
                <w:szCs w:val="28"/>
              </w:rPr>
              <w:t>项所述法律程序项下的任何起诉或申请文件之中的信息；</w:t>
            </w:r>
          </w:p>
          <w:p w14:paraId="548F40E6">
            <w:pPr>
              <w:spacing w:before="185" w:line="560" w:lineRule="exact"/>
              <w:rPr>
                <w:rFonts w:eastAsia="仿宋_GB2312" w:cs="宋体"/>
                <w:sz w:val="30"/>
                <w:szCs w:val="28"/>
              </w:rPr>
            </w:pPr>
            <w:r>
              <w:rPr>
                <w:rFonts w:hint="eastAsia" w:eastAsia="仿宋_GB2312" w:cs="宋体"/>
                <w:sz w:val="30"/>
                <w:szCs w:val="28"/>
              </w:rPr>
              <w:t>（</w:t>
            </w:r>
            <w:r>
              <w:rPr>
                <w:rFonts w:eastAsia="仿宋_GB2312" w:cs="宋体"/>
                <w:sz w:val="30"/>
                <w:szCs w:val="28"/>
              </w:rPr>
              <w:t>6</w:t>
            </w:r>
            <w:r>
              <w:rPr>
                <w:rFonts w:hint="eastAsia" w:eastAsia="仿宋_GB2312" w:cs="宋体"/>
                <w:sz w:val="30"/>
                <w:szCs w:val="28"/>
              </w:rPr>
              <w:t>）</w:t>
            </w:r>
            <w:r>
              <w:rPr>
                <w:rFonts w:eastAsia="仿宋_GB2312" w:cs="宋体"/>
                <w:sz w:val="30"/>
                <w:szCs w:val="28"/>
              </w:rPr>
              <w:t xml:space="preserve"> </w:t>
            </w:r>
            <w:r>
              <w:rPr>
                <w:rFonts w:hint="eastAsia" w:eastAsia="仿宋_GB2312" w:cs="宋体"/>
                <w:sz w:val="30"/>
                <w:szCs w:val="28"/>
              </w:rPr>
              <w:t>已包含在政府机构、司法机关、仲裁机构、银行间市场行业自律组织、证券行业自律组织、证券交易所、全国中小企业股份转让系统或法律认可的其他交易平台所发出或公布的任何命令、判决、裁决、裁定、通知或公告之中的信息。</w:t>
            </w:r>
          </w:p>
        </w:tc>
      </w:tr>
      <w:tr w14:paraId="09F06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6B8883B3">
            <w:pPr>
              <w:spacing w:before="185" w:line="560" w:lineRule="exact"/>
              <w:jc w:val="center"/>
              <w:rPr>
                <w:rFonts w:eastAsia="仿宋_GB2312" w:cs="宋体"/>
                <w:sz w:val="30"/>
                <w:szCs w:val="28"/>
              </w:rPr>
            </w:pPr>
            <w:r>
              <w:rPr>
                <w:rFonts w:hint="eastAsia" w:eastAsia="仿宋_GB2312" w:cs="宋体"/>
                <w:sz w:val="30"/>
                <w:szCs w:val="28"/>
              </w:rPr>
              <w:t>公开信息渠道</w:t>
            </w:r>
          </w:p>
        </w:tc>
        <w:tc>
          <w:tcPr>
            <w:tcW w:w="5862" w:type="dxa"/>
            <w:vAlign w:val="center"/>
          </w:tcPr>
          <w:p w14:paraId="35DAF494">
            <w:pPr>
              <w:pStyle w:val="17"/>
              <w:spacing w:line="560" w:lineRule="exact"/>
              <w:ind w:right="-34"/>
              <w:rPr>
                <w:rFonts w:eastAsia="仿宋_GB2312" w:cs="宋体"/>
                <w:spacing w:val="-3"/>
                <w:sz w:val="30"/>
                <w:szCs w:val="28"/>
              </w:rPr>
            </w:pPr>
            <w:r>
              <w:rPr>
                <w:rFonts w:hint="eastAsia" w:eastAsia="仿宋_GB2312" w:cs="宋体"/>
                <w:spacing w:val="-3"/>
                <w:sz w:val="30"/>
                <w:szCs w:val="28"/>
              </w:rPr>
              <w:t>除非</w:t>
            </w:r>
            <w:r>
              <w:rPr>
                <w:rFonts w:hint="eastAsia" w:eastAsia="仿宋_GB2312" w:cs="宋体"/>
                <w:b/>
                <w:bCs/>
                <w:spacing w:val="-3"/>
                <w:w w:val="95"/>
                <w:sz w:val="30"/>
                <w:szCs w:val="28"/>
              </w:rPr>
              <w:t>交易双方</w:t>
            </w:r>
            <w:r>
              <w:rPr>
                <w:rFonts w:hint="eastAsia" w:eastAsia="仿宋_GB2312" w:cs="宋体"/>
                <w:spacing w:val="-3"/>
                <w:sz w:val="30"/>
                <w:szCs w:val="28"/>
              </w:rPr>
              <w:t>在</w:t>
            </w:r>
            <w:r>
              <w:rPr>
                <w:rFonts w:hint="eastAsia" w:eastAsia="仿宋_GB2312" w:cs="宋体"/>
                <w:b/>
                <w:bCs/>
                <w:spacing w:val="-3"/>
                <w:w w:val="95"/>
                <w:sz w:val="30"/>
                <w:szCs w:val="28"/>
              </w:rPr>
              <w:t>本确认书</w:t>
            </w:r>
            <w:r>
              <w:rPr>
                <w:rFonts w:hint="eastAsia" w:eastAsia="仿宋_GB2312" w:cs="宋体"/>
                <w:spacing w:val="-3"/>
                <w:sz w:val="30"/>
                <w:szCs w:val="28"/>
              </w:rPr>
              <w:t>中另行约定，就在中国境内的</w:t>
            </w:r>
            <w:r>
              <w:rPr>
                <w:rFonts w:hint="eastAsia" w:eastAsia="仿宋_GB2312" w:cs="宋体"/>
                <w:b/>
                <w:bCs/>
                <w:spacing w:val="-3"/>
                <w:w w:val="95"/>
                <w:sz w:val="30"/>
                <w:szCs w:val="28"/>
              </w:rPr>
              <w:t>参考实体</w:t>
            </w:r>
            <w:r>
              <w:rPr>
                <w:rFonts w:hint="eastAsia" w:eastAsia="仿宋_GB2312" w:cs="宋体"/>
                <w:spacing w:val="-3"/>
                <w:sz w:val="30"/>
                <w:szCs w:val="28"/>
              </w:rPr>
              <w:t>而言，指全国发行的报刊，或是</w:t>
            </w:r>
            <w:r>
              <w:rPr>
                <w:rFonts w:hint="eastAsia" w:eastAsia="仿宋_GB2312" w:cs="宋体"/>
                <w:b/>
                <w:bCs/>
                <w:spacing w:val="-3"/>
                <w:sz w:val="30"/>
                <w:szCs w:val="28"/>
              </w:rPr>
              <w:t>参考实体</w:t>
            </w:r>
            <w:r>
              <w:rPr>
                <w:rFonts w:hint="eastAsia" w:eastAsia="仿宋_GB2312" w:cs="宋体"/>
                <w:spacing w:val="-3"/>
                <w:sz w:val="30"/>
                <w:szCs w:val="28"/>
              </w:rPr>
              <w:t>所在行业协会认可的权威性专业报刊、网</w:t>
            </w:r>
            <w:r>
              <w:rPr>
                <w:rFonts w:eastAsia="仿宋_GB2312" w:cs="宋体"/>
                <w:spacing w:val="-117"/>
                <w:sz w:val="30"/>
                <w:szCs w:val="28"/>
              </w:rPr>
              <w:t xml:space="preserve"> </w:t>
            </w:r>
            <w:r>
              <w:rPr>
                <w:rFonts w:hint="eastAsia" w:eastAsia="仿宋_GB2312" w:cs="宋体"/>
                <w:spacing w:val="-3"/>
                <w:sz w:val="30"/>
                <w:szCs w:val="28"/>
              </w:rPr>
              <w:t>站或信息提供商，包括但不限于上海证券交易所或其指定负责披露或提供相关信息的网站、中国证券报、上海证券报、证券时报、中国证券登记结算有限公司网站、人民法院报（及其后续网站或出版物）中的任何一个。</w:t>
            </w:r>
          </w:p>
          <w:p w14:paraId="083B2A05">
            <w:pPr>
              <w:pStyle w:val="17"/>
              <w:spacing w:line="560" w:lineRule="exact"/>
              <w:ind w:right="-34"/>
              <w:rPr>
                <w:rFonts w:eastAsia="仿宋_GB2312" w:cs="宋体"/>
                <w:sz w:val="30"/>
                <w:szCs w:val="28"/>
              </w:rPr>
            </w:pPr>
            <w:r>
              <w:rPr>
                <w:rFonts w:hint="eastAsia" w:eastAsia="仿宋_GB2312" w:cs="宋体"/>
                <w:spacing w:val="-3"/>
                <w:sz w:val="30"/>
                <w:szCs w:val="28"/>
              </w:rPr>
              <w:t>就在中国境外的</w:t>
            </w:r>
            <w:r>
              <w:rPr>
                <w:rFonts w:hint="eastAsia" w:eastAsia="仿宋_GB2312" w:cs="宋体"/>
                <w:b/>
                <w:bCs/>
                <w:spacing w:val="-3"/>
                <w:sz w:val="30"/>
                <w:szCs w:val="28"/>
              </w:rPr>
              <w:t>参考实体</w:t>
            </w:r>
            <w:r>
              <w:rPr>
                <w:rFonts w:hint="eastAsia" w:eastAsia="仿宋_GB2312" w:cs="宋体"/>
                <w:spacing w:val="-3"/>
                <w:sz w:val="30"/>
                <w:szCs w:val="28"/>
              </w:rPr>
              <w:t>而言，指国际金融市场权威媒体公司</w:t>
            </w:r>
            <w:r>
              <w:rPr>
                <w:rFonts w:eastAsia="仿宋_GB2312" w:cs="宋体"/>
                <w:spacing w:val="-113"/>
                <w:sz w:val="30"/>
                <w:szCs w:val="28"/>
              </w:rPr>
              <w:t xml:space="preserve"> </w:t>
            </w:r>
            <w:r>
              <w:rPr>
                <w:rFonts w:hint="eastAsia" w:eastAsia="仿宋_GB2312" w:cs="宋体"/>
                <w:sz w:val="30"/>
                <w:szCs w:val="28"/>
              </w:rPr>
              <w:t>向市场公开发行或提供服务的报刊、网站、信息终端等，包括但不限于</w:t>
            </w:r>
            <w:r>
              <w:rPr>
                <w:rFonts w:eastAsia="仿宋_GB2312" w:cs="宋体"/>
                <w:sz w:val="30"/>
                <w:szCs w:val="28"/>
              </w:rPr>
              <w:t>Bloomberg Service</w:t>
            </w:r>
            <w:r>
              <w:rPr>
                <w:rFonts w:hint="eastAsia" w:eastAsia="仿宋_GB2312" w:cs="宋体"/>
                <w:sz w:val="30"/>
                <w:szCs w:val="28"/>
              </w:rPr>
              <w:t>、</w:t>
            </w:r>
            <w:r>
              <w:rPr>
                <w:rFonts w:eastAsia="仿宋_GB2312" w:cs="宋体"/>
                <w:sz w:val="30"/>
                <w:szCs w:val="28"/>
              </w:rPr>
              <w:t>Reuter Monitor Money Rates Services</w:t>
            </w:r>
            <w:r>
              <w:rPr>
                <w:rFonts w:hint="eastAsia" w:eastAsia="仿宋_GB2312" w:cs="宋体"/>
                <w:sz w:val="30"/>
                <w:szCs w:val="28"/>
              </w:rPr>
              <w:t>、</w:t>
            </w:r>
            <w:r>
              <w:rPr>
                <w:rFonts w:eastAsia="仿宋_GB2312" w:cs="宋体"/>
                <w:sz w:val="30"/>
                <w:szCs w:val="28"/>
              </w:rPr>
              <w:t>Financial Times</w:t>
            </w:r>
            <w:r>
              <w:rPr>
                <w:rFonts w:hint="eastAsia" w:eastAsia="仿宋_GB2312" w:cs="宋体"/>
                <w:sz w:val="30"/>
                <w:szCs w:val="28"/>
              </w:rPr>
              <w:t>、</w:t>
            </w:r>
            <w:r>
              <w:rPr>
                <w:rFonts w:eastAsia="仿宋_GB2312" w:cs="宋体"/>
                <w:sz w:val="30"/>
                <w:szCs w:val="28"/>
              </w:rPr>
              <w:t>Wall Street Journal</w:t>
            </w:r>
            <w:r>
              <w:rPr>
                <w:rFonts w:hint="eastAsia" w:eastAsia="仿宋_GB2312" w:cs="宋体"/>
                <w:sz w:val="30"/>
                <w:szCs w:val="28"/>
              </w:rPr>
              <w:t>（及其后续网站或出版物）中的任何一个。</w:t>
            </w:r>
          </w:p>
          <w:p w14:paraId="15D80AF1">
            <w:pPr>
              <w:pStyle w:val="17"/>
              <w:spacing w:line="560" w:lineRule="exact"/>
              <w:ind w:right="-34"/>
              <w:rPr>
                <w:rFonts w:eastAsia="仿宋_GB2312" w:cs="宋体"/>
                <w:sz w:val="30"/>
                <w:szCs w:val="28"/>
              </w:rPr>
            </w:pPr>
            <w:r>
              <w:rPr>
                <w:rFonts w:hint="eastAsia" w:eastAsia="仿宋_GB2312" w:cs="宋体"/>
                <w:sz w:val="30"/>
                <w:szCs w:val="28"/>
              </w:rPr>
              <w:t>上述“中国境内”一词不包括香港特别行政区、澳门特别行政区和台湾地区。</w:t>
            </w:r>
          </w:p>
        </w:tc>
      </w:tr>
      <w:tr w14:paraId="64BBD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0DA5A970">
            <w:pPr>
              <w:spacing w:before="185" w:line="560" w:lineRule="exact"/>
              <w:jc w:val="center"/>
              <w:rPr>
                <w:rFonts w:eastAsia="仿宋_GB2312" w:cs="宋体"/>
                <w:sz w:val="30"/>
                <w:szCs w:val="28"/>
              </w:rPr>
            </w:pPr>
            <w:r>
              <w:rPr>
                <w:rFonts w:hint="eastAsia" w:eastAsia="仿宋_GB2312" w:cs="宋体"/>
                <w:sz w:val="30"/>
                <w:szCs w:val="28"/>
              </w:rPr>
              <w:t>交割</w:t>
            </w:r>
          </w:p>
        </w:tc>
        <w:tc>
          <w:tcPr>
            <w:tcW w:w="5862" w:type="dxa"/>
            <w:vAlign w:val="center"/>
          </w:tcPr>
          <w:p w14:paraId="374D28E4">
            <w:pPr>
              <w:spacing w:before="185" w:line="560" w:lineRule="exact"/>
              <w:rPr>
                <w:rFonts w:eastAsia="仿宋_GB2312" w:cs="宋体"/>
                <w:sz w:val="30"/>
                <w:szCs w:val="28"/>
              </w:rPr>
            </w:pPr>
            <w:r>
              <w:rPr>
                <w:rFonts w:hint="eastAsia" w:eastAsia="仿宋_GB2312" w:cs="宋体"/>
                <w:sz w:val="30"/>
                <w:szCs w:val="28"/>
              </w:rPr>
              <w:t>指</w:t>
            </w:r>
            <w:r>
              <w:rPr>
                <w:rFonts w:hint="eastAsia" w:eastAsia="仿宋_GB2312" w:cs="宋体"/>
                <w:b/>
                <w:bCs/>
                <w:spacing w:val="4"/>
                <w:w w:val="95"/>
                <w:sz w:val="30"/>
                <w:szCs w:val="28"/>
              </w:rPr>
              <w:t>信用保护买方</w:t>
            </w:r>
            <w:r>
              <w:rPr>
                <w:rFonts w:hint="eastAsia" w:eastAsia="仿宋_GB2312" w:cs="宋体"/>
                <w:sz w:val="30"/>
                <w:szCs w:val="28"/>
              </w:rPr>
              <w:t>向</w:t>
            </w:r>
            <w:r>
              <w:rPr>
                <w:rFonts w:hint="eastAsia" w:eastAsia="仿宋_GB2312" w:cs="宋体"/>
                <w:b/>
                <w:bCs/>
                <w:spacing w:val="4"/>
                <w:w w:val="95"/>
                <w:sz w:val="30"/>
                <w:szCs w:val="28"/>
              </w:rPr>
              <w:t>信用保护卖方</w:t>
            </w:r>
            <w:r>
              <w:rPr>
                <w:rFonts w:hint="eastAsia" w:eastAsia="仿宋_GB2312" w:cs="宋体"/>
                <w:sz w:val="30"/>
                <w:szCs w:val="28"/>
              </w:rPr>
              <w:t>交付</w:t>
            </w:r>
            <w:r>
              <w:rPr>
                <w:rFonts w:hint="eastAsia" w:eastAsia="仿宋_GB2312" w:cs="宋体"/>
                <w:b/>
                <w:bCs/>
                <w:spacing w:val="4"/>
                <w:w w:val="95"/>
                <w:sz w:val="30"/>
                <w:szCs w:val="28"/>
              </w:rPr>
              <w:t>结算通知</w:t>
            </w:r>
            <w:r>
              <w:rPr>
                <w:rFonts w:hint="eastAsia" w:eastAsia="仿宋_GB2312" w:cs="宋体"/>
                <w:sz w:val="30"/>
                <w:szCs w:val="28"/>
              </w:rPr>
              <w:t>所指</w:t>
            </w:r>
            <w:r>
              <w:rPr>
                <w:rFonts w:hint="eastAsia" w:eastAsia="仿宋_GB2312" w:cs="宋体"/>
                <w:b/>
                <w:bCs/>
                <w:spacing w:val="4"/>
                <w:w w:val="95"/>
                <w:sz w:val="30"/>
                <w:szCs w:val="28"/>
              </w:rPr>
              <w:t>可交付债务</w:t>
            </w:r>
            <w:r>
              <w:rPr>
                <w:rFonts w:hint="eastAsia" w:eastAsia="仿宋_GB2312" w:cs="宋体"/>
                <w:sz w:val="30"/>
                <w:szCs w:val="28"/>
              </w:rPr>
              <w:t>的全部权益。</w:t>
            </w:r>
          </w:p>
        </w:tc>
      </w:tr>
      <w:tr w14:paraId="3C12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4D154E79">
            <w:pPr>
              <w:spacing w:before="185" w:line="560" w:lineRule="exact"/>
              <w:jc w:val="center"/>
              <w:rPr>
                <w:rFonts w:eastAsia="仿宋_GB2312" w:cs="宋体"/>
                <w:sz w:val="30"/>
                <w:szCs w:val="28"/>
              </w:rPr>
            </w:pPr>
            <w:r>
              <w:rPr>
                <w:rFonts w:hint="eastAsia" w:eastAsia="仿宋_GB2312" w:cs="宋体"/>
                <w:sz w:val="30"/>
                <w:szCs w:val="28"/>
              </w:rPr>
              <w:t>交割日</w:t>
            </w:r>
          </w:p>
        </w:tc>
        <w:tc>
          <w:tcPr>
            <w:tcW w:w="5862" w:type="dxa"/>
            <w:vAlign w:val="center"/>
          </w:tcPr>
          <w:p w14:paraId="46FFBEAE">
            <w:pPr>
              <w:spacing w:before="185" w:line="560" w:lineRule="exact"/>
              <w:rPr>
                <w:rFonts w:eastAsia="仿宋_GB2312" w:cs="宋体"/>
                <w:sz w:val="30"/>
                <w:szCs w:val="28"/>
              </w:rPr>
            </w:pPr>
            <w:r>
              <w:rPr>
                <w:rFonts w:hint="eastAsia" w:eastAsia="仿宋_GB2312" w:cs="宋体"/>
                <w:sz w:val="30"/>
                <w:szCs w:val="28"/>
              </w:rPr>
              <w:t>指</w:t>
            </w:r>
            <w:r>
              <w:rPr>
                <w:rFonts w:hint="eastAsia" w:eastAsia="仿宋_GB2312" w:cs="宋体"/>
                <w:b/>
                <w:bCs/>
                <w:sz w:val="30"/>
                <w:szCs w:val="28"/>
              </w:rPr>
              <w:t>信用保护买方</w:t>
            </w:r>
            <w:r>
              <w:rPr>
                <w:rFonts w:hint="eastAsia" w:eastAsia="仿宋_GB2312" w:cs="宋体"/>
                <w:sz w:val="30"/>
                <w:szCs w:val="28"/>
              </w:rPr>
              <w:t>与</w:t>
            </w:r>
            <w:r>
              <w:rPr>
                <w:rFonts w:hint="eastAsia" w:eastAsia="仿宋_GB2312" w:cs="宋体"/>
                <w:b/>
                <w:bCs/>
                <w:sz w:val="30"/>
                <w:szCs w:val="28"/>
              </w:rPr>
              <w:t>信用保护卖方</w:t>
            </w:r>
            <w:r>
              <w:rPr>
                <w:rFonts w:hint="eastAsia" w:eastAsia="仿宋_GB2312" w:cs="宋体"/>
                <w:sz w:val="30"/>
                <w:szCs w:val="28"/>
              </w:rPr>
              <w:t>之间</w:t>
            </w:r>
            <w:r>
              <w:rPr>
                <w:rFonts w:hint="eastAsia" w:eastAsia="仿宋_GB2312" w:cs="宋体"/>
                <w:b/>
                <w:bCs/>
                <w:sz w:val="30"/>
                <w:szCs w:val="28"/>
              </w:rPr>
              <w:t>交割</w:t>
            </w:r>
            <w:r>
              <w:rPr>
                <w:rFonts w:hint="eastAsia" w:eastAsia="仿宋_GB2312" w:cs="宋体"/>
                <w:sz w:val="30"/>
                <w:szCs w:val="28"/>
              </w:rPr>
              <w:t>相关</w:t>
            </w:r>
            <w:r>
              <w:rPr>
                <w:rFonts w:hint="eastAsia" w:eastAsia="仿宋_GB2312" w:cs="宋体"/>
                <w:b/>
                <w:bCs/>
                <w:sz w:val="30"/>
                <w:szCs w:val="28"/>
              </w:rPr>
              <w:t>可交付债务</w:t>
            </w:r>
            <w:r>
              <w:rPr>
                <w:rFonts w:hint="eastAsia" w:eastAsia="仿宋_GB2312" w:cs="宋体"/>
                <w:sz w:val="30"/>
                <w:szCs w:val="28"/>
              </w:rPr>
              <w:t>的</w:t>
            </w:r>
            <w:r>
              <w:rPr>
                <w:rFonts w:hint="eastAsia" w:eastAsia="仿宋_GB2312" w:cs="宋体"/>
                <w:b/>
                <w:bCs/>
                <w:sz w:val="30"/>
                <w:szCs w:val="28"/>
              </w:rPr>
              <w:t>交易日</w:t>
            </w:r>
            <w:r>
              <w:rPr>
                <w:rFonts w:hint="eastAsia" w:eastAsia="仿宋_GB2312" w:cs="宋体"/>
                <w:sz w:val="30"/>
                <w:szCs w:val="28"/>
              </w:rPr>
              <w:t>。考虑到结算周期等因素，此处的交割日为交割申报日。</w:t>
            </w:r>
          </w:p>
        </w:tc>
      </w:tr>
      <w:tr w14:paraId="27F9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2434" w:type="dxa"/>
            <w:vAlign w:val="center"/>
          </w:tcPr>
          <w:p w14:paraId="74AF8D06">
            <w:pPr>
              <w:spacing w:before="185" w:line="560" w:lineRule="exact"/>
              <w:jc w:val="center"/>
              <w:rPr>
                <w:rFonts w:eastAsia="仿宋_GB2312" w:cs="宋体"/>
                <w:sz w:val="30"/>
                <w:szCs w:val="28"/>
              </w:rPr>
            </w:pPr>
            <w:r>
              <w:rPr>
                <w:rFonts w:hint="eastAsia" w:eastAsia="仿宋_GB2312" w:cs="宋体"/>
                <w:bCs/>
                <w:sz w:val="30"/>
                <w:szCs w:val="28"/>
              </w:rPr>
              <w:t>实物交割期间</w:t>
            </w:r>
          </w:p>
        </w:tc>
        <w:tc>
          <w:tcPr>
            <w:tcW w:w="5862" w:type="dxa"/>
            <w:vAlign w:val="center"/>
          </w:tcPr>
          <w:p w14:paraId="7D709064">
            <w:pPr>
              <w:spacing w:before="185" w:line="560" w:lineRule="exact"/>
              <w:rPr>
                <w:rFonts w:eastAsia="仿宋_GB2312" w:cs="宋体"/>
                <w:sz w:val="30"/>
                <w:szCs w:val="28"/>
              </w:rPr>
            </w:pPr>
            <w:r>
              <w:rPr>
                <w:rFonts w:hint="eastAsia" w:eastAsia="仿宋_GB2312" w:cs="宋体"/>
                <w:sz w:val="30"/>
                <w:szCs w:val="28"/>
              </w:rPr>
              <w:t>指</w:t>
            </w:r>
            <w:r>
              <w:rPr>
                <w:rFonts w:hint="eastAsia" w:eastAsia="仿宋_GB2312" w:cs="宋体"/>
                <w:b/>
                <w:bCs/>
                <w:sz w:val="30"/>
                <w:szCs w:val="28"/>
              </w:rPr>
              <w:t>信用保护买方</w:t>
            </w:r>
            <w:r>
              <w:rPr>
                <w:rFonts w:hint="eastAsia" w:eastAsia="仿宋_GB2312" w:cs="宋体"/>
                <w:sz w:val="30"/>
                <w:szCs w:val="28"/>
              </w:rPr>
              <w:t>向</w:t>
            </w:r>
            <w:r>
              <w:rPr>
                <w:rFonts w:hint="eastAsia" w:eastAsia="仿宋_GB2312" w:cs="宋体"/>
                <w:b/>
                <w:bCs/>
                <w:sz w:val="30"/>
                <w:szCs w:val="28"/>
              </w:rPr>
              <w:t>信用保护卖方</w:t>
            </w:r>
            <w:r>
              <w:rPr>
                <w:rFonts w:hint="eastAsia" w:eastAsia="仿宋_GB2312" w:cs="宋体"/>
                <w:sz w:val="30"/>
                <w:szCs w:val="28"/>
              </w:rPr>
              <w:t>完成</w:t>
            </w:r>
            <w:r>
              <w:rPr>
                <w:rFonts w:hint="eastAsia" w:eastAsia="仿宋_GB2312" w:cs="宋体"/>
                <w:b/>
                <w:bCs/>
                <w:sz w:val="30"/>
                <w:szCs w:val="28"/>
              </w:rPr>
              <w:t>交割</w:t>
            </w:r>
            <w:r>
              <w:rPr>
                <w:rFonts w:hint="eastAsia" w:eastAsia="仿宋_GB2312" w:cs="宋体"/>
                <w:sz w:val="30"/>
                <w:szCs w:val="28"/>
              </w:rPr>
              <w:t>相关</w:t>
            </w:r>
            <w:r>
              <w:rPr>
                <w:rFonts w:hint="eastAsia" w:eastAsia="仿宋_GB2312" w:cs="宋体"/>
                <w:b/>
                <w:bCs/>
                <w:sz w:val="30"/>
                <w:szCs w:val="28"/>
              </w:rPr>
              <w:t>可交付债务</w:t>
            </w:r>
            <w:r>
              <w:rPr>
                <w:rFonts w:hint="eastAsia" w:eastAsia="仿宋_GB2312" w:cs="宋体"/>
                <w:sz w:val="30"/>
                <w:szCs w:val="28"/>
              </w:rPr>
              <w:t>的期限，该期限始于</w:t>
            </w:r>
            <w:r>
              <w:rPr>
                <w:rFonts w:hint="eastAsia" w:eastAsia="仿宋_GB2312" w:cs="宋体"/>
                <w:b/>
                <w:bCs/>
                <w:sz w:val="30"/>
                <w:szCs w:val="28"/>
              </w:rPr>
              <w:t>结算通知书</w:t>
            </w:r>
            <w:r>
              <w:rPr>
                <w:rFonts w:hint="eastAsia" w:eastAsia="仿宋_GB2312" w:cs="宋体"/>
                <w:sz w:val="30"/>
                <w:szCs w:val="28"/>
              </w:rPr>
              <w:t>有效送达</w:t>
            </w:r>
            <w:r>
              <w:rPr>
                <w:rFonts w:hint="eastAsia" w:eastAsia="仿宋_GB2312" w:cs="宋体"/>
                <w:b/>
                <w:bCs/>
                <w:sz w:val="30"/>
                <w:szCs w:val="28"/>
              </w:rPr>
              <w:t>信用保护卖方</w:t>
            </w:r>
            <w:r>
              <w:rPr>
                <w:rFonts w:hint="eastAsia" w:eastAsia="仿宋_GB2312" w:cs="宋体"/>
                <w:sz w:val="30"/>
                <w:szCs w:val="28"/>
              </w:rPr>
              <w:t>之日（含该日），止于</w:t>
            </w:r>
            <w:r>
              <w:rPr>
                <w:rFonts w:hint="eastAsia" w:eastAsia="仿宋_GB2312" w:cs="宋体"/>
                <w:b/>
                <w:bCs/>
                <w:sz w:val="30"/>
                <w:szCs w:val="28"/>
              </w:rPr>
              <w:t>交易双方</w:t>
            </w:r>
            <w:r>
              <w:rPr>
                <w:rFonts w:hint="eastAsia" w:eastAsia="仿宋_GB2312" w:cs="宋体"/>
                <w:sz w:val="30"/>
                <w:szCs w:val="28"/>
              </w:rPr>
              <w:t>在</w:t>
            </w:r>
            <w:r>
              <w:rPr>
                <w:rFonts w:hint="eastAsia" w:eastAsia="仿宋_GB2312" w:cs="宋体"/>
                <w:b/>
                <w:bCs/>
                <w:sz w:val="30"/>
                <w:szCs w:val="28"/>
              </w:rPr>
              <w:t>本确认书</w:t>
            </w:r>
            <w:r>
              <w:rPr>
                <w:rFonts w:hint="eastAsia" w:eastAsia="仿宋_GB2312" w:cs="宋体"/>
                <w:sz w:val="30"/>
                <w:szCs w:val="28"/>
              </w:rPr>
              <w:t>“与结算有关的条款”中约定的</w:t>
            </w:r>
            <w:r>
              <w:rPr>
                <w:rFonts w:hint="eastAsia" w:eastAsia="仿宋_GB2312" w:cs="宋体"/>
                <w:b/>
                <w:bCs/>
                <w:sz w:val="30"/>
                <w:szCs w:val="28"/>
              </w:rPr>
              <w:t>实物交割期间</w:t>
            </w:r>
            <w:r>
              <w:rPr>
                <w:rFonts w:hint="eastAsia" w:eastAsia="仿宋_GB2312" w:cs="宋体"/>
                <w:sz w:val="30"/>
                <w:szCs w:val="28"/>
              </w:rPr>
              <w:t>届满之日（含该日）。</w:t>
            </w:r>
          </w:p>
        </w:tc>
      </w:tr>
      <w:tr w14:paraId="3836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0F82AC57">
            <w:pPr>
              <w:spacing w:before="185" w:line="560" w:lineRule="exact"/>
              <w:jc w:val="center"/>
              <w:rPr>
                <w:rFonts w:eastAsia="仿宋_GB2312" w:cs="宋体"/>
                <w:sz w:val="30"/>
                <w:szCs w:val="28"/>
              </w:rPr>
            </w:pPr>
            <w:r>
              <w:rPr>
                <w:rFonts w:hint="eastAsia" w:eastAsia="仿宋_GB2312" w:cs="宋体"/>
                <w:sz w:val="30"/>
                <w:szCs w:val="28"/>
              </w:rPr>
              <w:t>可交付债务种类</w:t>
            </w:r>
          </w:p>
        </w:tc>
        <w:tc>
          <w:tcPr>
            <w:tcW w:w="5862" w:type="dxa"/>
            <w:vAlign w:val="center"/>
          </w:tcPr>
          <w:p w14:paraId="36CEF576">
            <w:pPr>
              <w:spacing w:line="560" w:lineRule="exact"/>
              <w:ind w:right="-34" w:rightChars="-16"/>
              <w:rPr>
                <w:rFonts w:eastAsia="仿宋_GB2312" w:cs="宋体"/>
                <w:sz w:val="30"/>
                <w:szCs w:val="28"/>
              </w:rPr>
            </w:pPr>
            <w:r>
              <w:rPr>
                <w:rFonts w:hint="eastAsia" w:eastAsia="仿宋_GB2312" w:cs="宋体"/>
                <w:sz w:val="30"/>
                <w:szCs w:val="28"/>
              </w:rPr>
              <w:t>指</w:t>
            </w:r>
            <w:r>
              <w:rPr>
                <w:rFonts w:hint="eastAsia" w:eastAsia="仿宋_GB2312" w:cs="宋体"/>
                <w:b/>
                <w:sz w:val="30"/>
                <w:szCs w:val="28"/>
              </w:rPr>
              <w:t>交易双方</w:t>
            </w:r>
            <w:r>
              <w:rPr>
                <w:rFonts w:hint="eastAsia" w:eastAsia="仿宋_GB2312" w:cs="宋体"/>
                <w:sz w:val="30"/>
                <w:szCs w:val="28"/>
              </w:rPr>
              <w:t>在</w:t>
            </w:r>
            <w:r>
              <w:rPr>
                <w:rFonts w:hint="eastAsia" w:eastAsia="仿宋_GB2312" w:cs="宋体"/>
                <w:b/>
                <w:sz w:val="30"/>
                <w:szCs w:val="28"/>
              </w:rPr>
              <w:t>本确认书</w:t>
            </w:r>
            <w:r>
              <w:rPr>
                <w:rFonts w:hint="eastAsia" w:eastAsia="仿宋_GB2312" w:cs="宋体"/>
                <w:sz w:val="30"/>
                <w:szCs w:val="28"/>
              </w:rPr>
              <w:t>中列明的</w:t>
            </w:r>
            <w:r>
              <w:rPr>
                <w:rFonts w:hint="eastAsia" w:eastAsia="仿宋_GB2312" w:cs="宋体"/>
                <w:b/>
                <w:sz w:val="30"/>
                <w:szCs w:val="28"/>
              </w:rPr>
              <w:t>可交付债务</w:t>
            </w:r>
            <w:r>
              <w:rPr>
                <w:rFonts w:hint="eastAsia" w:eastAsia="仿宋_GB2312" w:cs="宋体"/>
                <w:sz w:val="30"/>
                <w:szCs w:val="28"/>
              </w:rPr>
              <w:t>所属的一种或多种</w:t>
            </w:r>
            <w:r>
              <w:rPr>
                <w:rFonts w:hint="eastAsia" w:eastAsia="仿宋_GB2312" w:cs="宋体"/>
                <w:b/>
                <w:sz w:val="30"/>
                <w:szCs w:val="28"/>
              </w:rPr>
              <w:t>债务种类</w:t>
            </w:r>
            <w:r>
              <w:rPr>
                <w:rFonts w:hint="eastAsia" w:eastAsia="仿宋_GB2312" w:cs="宋体"/>
                <w:sz w:val="30"/>
                <w:szCs w:val="28"/>
              </w:rPr>
              <w:t>。适用“</w:t>
            </w:r>
            <w:r>
              <w:rPr>
                <w:rFonts w:hint="eastAsia" w:eastAsia="仿宋_GB2312" w:cs="宋体"/>
                <w:b/>
                <w:sz w:val="30"/>
                <w:szCs w:val="28"/>
              </w:rPr>
              <w:t>债务种类</w:t>
            </w:r>
            <w:r>
              <w:rPr>
                <w:rFonts w:hint="eastAsia" w:eastAsia="仿宋_GB2312" w:cs="宋体"/>
                <w:sz w:val="30"/>
                <w:szCs w:val="28"/>
              </w:rPr>
              <w:t>”的定义。</w:t>
            </w:r>
          </w:p>
        </w:tc>
      </w:tr>
      <w:tr w14:paraId="52488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1B5DD379">
            <w:pPr>
              <w:spacing w:before="185" w:line="560" w:lineRule="exact"/>
              <w:jc w:val="center"/>
              <w:rPr>
                <w:rFonts w:eastAsia="仿宋_GB2312" w:cs="宋体"/>
                <w:sz w:val="30"/>
                <w:szCs w:val="28"/>
              </w:rPr>
            </w:pPr>
            <w:r>
              <w:rPr>
                <w:rFonts w:hint="eastAsia" w:eastAsia="仿宋_GB2312" w:cs="宋体"/>
                <w:sz w:val="30"/>
                <w:szCs w:val="28"/>
              </w:rPr>
              <w:t>可交付债务特征</w:t>
            </w:r>
          </w:p>
        </w:tc>
        <w:tc>
          <w:tcPr>
            <w:tcW w:w="5862" w:type="dxa"/>
            <w:vAlign w:val="center"/>
          </w:tcPr>
          <w:p w14:paraId="5505A844">
            <w:pPr>
              <w:spacing w:line="560" w:lineRule="exact"/>
              <w:ind w:right="-34" w:rightChars="-16"/>
              <w:rPr>
                <w:rFonts w:eastAsia="仿宋_GB2312" w:cs="宋体"/>
                <w:sz w:val="30"/>
                <w:szCs w:val="28"/>
              </w:rPr>
            </w:pPr>
            <w:r>
              <w:rPr>
                <w:rFonts w:hint="eastAsia" w:eastAsia="仿宋_GB2312" w:cs="宋体"/>
                <w:sz w:val="30"/>
                <w:szCs w:val="28"/>
              </w:rPr>
              <w:t>指</w:t>
            </w:r>
            <w:r>
              <w:rPr>
                <w:rFonts w:hint="eastAsia" w:eastAsia="仿宋_GB2312" w:cs="宋体"/>
                <w:b/>
                <w:sz w:val="30"/>
                <w:szCs w:val="28"/>
              </w:rPr>
              <w:t>交易双方</w:t>
            </w:r>
            <w:r>
              <w:rPr>
                <w:rFonts w:hint="eastAsia" w:eastAsia="仿宋_GB2312" w:cs="宋体"/>
                <w:sz w:val="30"/>
                <w:szCs w:val="28"/>
              </w:rPr>
              <w:t>在</w:t>
            </w:r>
            <w:r>
              <w:rPr>
                <w:rFonts w:hint="eastAsia" w:eastAsia="仿宋_GB2312" w:cs="宋体"/>
                <w:b/>
                <w:sz w:val="30"/>
                <w:szCs w:val="28"/>
              </w:rPr>
              <w:t>本确认书</w:t>
            </w:r>
            <w:r>
              <w:rPr>
                <w:rFonts w:hint="eastAsia" w:eastAsia="仿宋_GB2312" w:cs="宋体"/>
                <w:sz w:val="30"/>
                <w:szCs w:val="28"/>
              </w:rPr>
              <w:t>中列明的，用以确定</w:t>
            </w:r>
            <w:r>
              <w:rPr>
                <w:rFonts w:hint="eastAsia" w:eastAsia="仿宋_GB2312" w:cs="宋体"/>
                <w:b/>
                <w:sz w:val="30"/>
                <w:szCs w:val="28"/>
              </w:rPr>
              <w:t>可交付债务</w:t>
            </w:r>
            <w:r>
              <w:rPr>
                <w:rFonts w:hint="eastAsia" w:eastAsia="仿宋_GB2312" w:cs="宋体"/>
                <w:sz w:val="30"/>
                <w:szCs w:val="28"/>
              </w:rPr>
              <w:t>的一项或多项特征，包括但不限于</w:t>
            </w:r>
            <w:r>
              <w:rPr>
                <w:rFonts w:hint="eastAsia" w:eastAsia="仿宋_GB2312" w:cs="宋体"/>
                <w:b/>
                <w:sz w:val="30"/>
                <w:szCs w:val="28"/>
              </w:rPr>
              <w:t>债务特征</w:t>
            </w:r>
            <w:r>
              <w:rPr>
                <w:rFonts w:hint="eastAsia" w:eastAsia="仿宋_GB2312" w:cs="宋体"/>
                <w:sz w:val="30"/>
                <w:szCs w:val="28"/>
              </w:rPr>
              <w:t>、无扣减债务、可转让贷款、转让受限贷款等特征。</w:t>
            </w:r>
          </w:p>
          <w:p w14:paraId="1A325C91">
            <w:pPr>
              <w:spacing w:line="560" w:lineRule="exact"/>
              <w:ind w:right="-34" w:rightChars="-16"/>
              <w:rPr>
                <w:rFonts w:eastAsia="仿宋_GB2312" w:cs="宋体"/>
                <w:sz w:val="30"/>
                <w:szCs w:val="28"/>
              </w:rPr>
            </w:pPr>
            <w:r>
              <w:rPr>
                <w:rFonts w:hint="eastAsia" w:eastAsia="仿宋_GB2312" w:cs="宋体"/>
                <w:sz w:val="30"/>
                <w:szCs w:val="28"/>
              </w:rPr>
              <w:t>“无扣减债务”指自交割日起，该可交付债务到期应付的本金余额及</w:t>
            </w:r>
            <w:r>
              <w:rPr>
                <w:rFonts w:eastAsia="仿宋_GB2312" w:cs="宋体"/>
                <w:sz w:val="30"/>
                <w:szCs w:val="28"/>
              </w:rPr>
              <w:t>/</w:t>
            </w:r>
            <w:r>
              <w:rPr>
                <w:rFonts w:hint="eastAsia" w:eastAsia="仿宋_GB2312" w:cs="宋体"/>
                <w:sz w:val="30"/>
                <w:szCs w:val="28"/>
              </w:rPr>
              <w:t>或应计未付利息将不会被扣减。</w:t>
            </w:r>
          </w:p>
          <w:p w14:paraId="22E8CEFE">
            <w:pPr>
              <w:spacing w:line="560" w:lineRule="exact"/>
              <w:ind w:right="-34" w:rightChars="-16"/>
              <w:rPr>
                <w:rFonts w:eastAsia="仿宋_GB2312" w:cs="宋体"/>
                <w:sz w:val="30"/>
                <w:szCs w:val="28"/>
              </w:rPr>
            </w:pPr>
            <w:r>
              <w:rPr>
                <w:rFonts w:hint="eastAsia" w:eastAsia="仿宋_GB2312" w:cs="宋体"/>
                <w:sz w:val="30"/>
                <w:szCs w:val="28"/>
              </w:rPr>
              <w:t>“可转让贷款”指无需获得参考实体或该贷款的借款人或担保人或任何代理行的同意，即可被信用保护买方转让的贷款资产。</w:t>
            </w:r>
          </w:p>
          <w:p w14:paraId="08F30359">
            <w:pPr>
              <w:spacing w:line="560" w:lineRule="exact"/>
              <w:ind w:right="-34" w:rightChars="-16"/>
              <w:rPr>
                <w:rFonts w:eastAsia="仿宋_GB2312" w:cs="宋体"/>
                <w:sz w:val="30"/>
                <w:szCs w:val="28"/>
              </w:rPr>
            </w:pPr>
            <w:r>
              <w:rPr>
                <w:rFonts w:hint="eastAsia" w:eastAsia="仿宋_GB2312" w:cs="宋体"/>
                <w:sz w:val="30"/>
                <w:szCs w:val="28"/>
              </w:rPr>
              <w:t>“转让受限贷款”指需获得参考实体或该贷款的借款人或担保人或任何代理行的同意，方可被信用保护买方转让的贷款资产。</w:t>
            </w:r>
          </w:p>
        </w:tc>
      </w:tr>
    </w:tbl>
    <w:tbl>
      <w:tblPr>
        <w:tblStyle w:val="44"/>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4"/>
        <w:gridCol w:w="5862"/>
      </w:tblGrid>
      <w:tr w14:paraId="26F56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4" w:type="dxa"/>
            <w:vAlign w:val="center"/>
          </w:tcPr>
          <w:p w14:paraId="718EF516">
            <w:pPr>
              <w:spacing w:before="185" w:line="560" w:lineRule="exact"/>
              <w:ind w:firstLine="360"/>
              <w:jc w:val="center"/>
              <w:rPr>
                <w:rFonts w:eastAsia="仿宋_GB2312" w:cs="宋体"/>
                <w:b/>
                <w:bCs/>
                <w:spacing w:val="4"/>
                <w:sz w:val="30"/>
                <w:szCs w:val="28"/>
                <w:lang w:eastAsia="en-US" w:bidi="en-US"/>
              </w:rPr>
            </w:pPr>
            <w:r>
              <w:rPr>
                <w:rFonts w:hint="eastAsia" w:eastAsia="仿宋_GB2312" w:cs="宋体"/>
                <w:b/>
                <w:bCs/>
                <w:spacing w:val="4"/>
                <w:sz w:val="30"/>
                <w:szCs w:val="28"/>
                <w:lang w:eastAsia="en-US" w:bidi="en-US"/>
              </w:rPr>
              <w:t>回收率</w:t>
            </w:r>
          </w:p>
        </w:tc>
        <w:tc>
          <w:tcPr>
            <w:tcW w:w="5862" w:type="dxa"/>
          </w:tcPr>
          <w:p w14:paraId="172925D3">
            <w:pPr>
              <w:spacing w:line="560" w:lineRule="exact"/>
              <w:ind w:right="66" w:firstLine="360"/>
              <w:rPr>
                <w:rFonts w:eastAsia="仿宋_GB2312" w:cs="宋体"/>
                <w:bCs/>
                <w:spacing w:val="4"/>
                <w:sz w:val="30"/>
                <w:szCs w:val="28"/>
                <w:lang w:eastAsia="en-US" w:bidi="en-US"/>
              </w:rPr>
            </w:pPr>
            <w:r>
              <w:rPr>
                <w:rFonts w:hint="eastAsia" w:eastAsia="仿宋_GB2312" w:cs="宋体"/>
                <w:bCs/>
                <w:spacing w:val="4"/>
                <w:sz w:val="30"/>
                <w:szCs w:val="28"/>
                <w:lang w:eastAsia="en-US" w:bidi="en-US"/>
              </w:rPr>
              <w:t>债务违约后，债权人所能收回的金额与债务名义本金的比值。本确认书中指</w:t>
            </w:r>
            <w:r>
              <w:rPr>
                <w:rFonts w:hint="eastAsia" w:eastAsia="仿宋_GB2312" w:cs="宋体"/>
                <w:b/>
                <w:bCs/>
                <w:spacing w:val="4"/>
                <w:sz w:val="30"/>
                <w:szCs w:val="28"/>
                <w:lang w:eastAsia="en-US" w:bidi="en-US"/>
              </w:rPr>
              <w:t>交易双方</w:t>
            </w:r>
            <w:r>
              <w:rPr>
                <w:rFonts w:hint="eastAsia" w:eastAsia="仿宋_GB2312" w:cs="宋体"/>
                <w:bCs/>
                <w:spacing w:val="4"/>
                <w:sz w:val="30"/>
                <w:szCs w:val="28"/>
                <w:lang w:eastAsia="en-US" w:bidi="en-US"/>
              </w:rPr>
              <w:t>约定的该比值的具体数值或其确定方式。</w:t>
            </w:r>
          </w:p>
        </w:tc>
      </w:tr>
    </w:tbl>
    <w:p w14:paraId="43C0AE88">
      <w:pPr>
        <w:pStyle w:val="17"/>
        <w:spacing w:line="560" w:lineRule="exact"/>
        <w:rPr>
          <w:rFonts w:eastAsia="仿宋_GB2312"/>
          <w:sz w:val="30"/>
          <w:szCs w:val="28"/>
        </w:rPr>
      </w:pPr>
      <w:r>
        <w:rPr>
          <w:rFonts w:hint="eastAsia" w:eastAsia="仿宋_GB2312" w:cs="新宋体"/>
          <w:sz w:val="30"/>
          <w:szCs w:val="28"/>
        </w:rPr>
        <w:t>（本页以下无正文）</w:t>
      </w:r>
      <w:r>
        <w:rPr>
          <w:rFonts w:eastAsia="仿宋_GB2312" w:cs="新宋体"/>
          <w:b/>
          <w:sz w:val="30"/>
          <w:szCs w:val="28"/>
        </w:rPr>
        <w:br w:type="page"/>
      </w:r>
    </w:p>
    <w:p w14:paraId="30A6CE69">
      <w:pPr>
        <w:pStyle w:val="17"/>
        <w:spacing w:line="560" w:lineRule="exact"/>
        <w:jc w:val="center"/>
        <w:rPr>
          <w:rFonts w:eastAsia="仿宋_GB2312" w:cs="新宋体"/>
          <w:b/>
          <w:bCs/>
          <w:sz w:val="30"/>
          <w:szCs w:val="28"/>
        </w:rPr>
      </w:pPr>
      <w:r>
        <w:rPr>
          <w:rFonts w:hint="eastAsia" w:eastAsia="仿宋_GB2312" w:cs="新宋体"/>
          <w:b/>
          <w:bCs/>
          <w:sz w:val="30"/>
          <w:szCs w:val="28"/>
        </w:rPr>
        <w:t>《</w:t>
      </w:r>
      <w:r>
        <w:rPr>
          <w:rFonts w:eastAsia="仿宋_GB2312" w:cs="新宋体"/>
          <w:b/>
          <w:bCs/>
          <w:sz w:val="30"/>
          <w:szCs w:val="28"/>
        </w:rPr>
        <w:t>XXXX</w:t>
      </w:r>
      <w:r>
        <w:rPr>
          <w:rFonts w:hint="eastAsia" w:eastAsia="仿宋_GB2312" w:cs="新宋体"/>
          <w:b/>
          <w:bCs/>
          <w:sz w:val="30"/>
          <w:szCs w:val="28"/>
        </w:rPr>
        <w:t>信用保护合约交易确认书》签署页</w:t>
      </w:r>
    </w:p>
    <w:p w14:paraId="1BDBC34E">
      <w:pPr>
        <w:pStyle w:val="17"/>
        <w:spacing w:line="560" w:lineRule="exact"/>
        <w:ind w:right="4146"/>
        <w:rPr>
          <w:rFonts w:eastAsia="仿宋_GB2312" w:cs="新宋体"/>
          <w:sz w:val="30"/>
          <w:szCs w:val="28"/>
        </w:rPr>
      </w:pPr>
    </w:p>
    <w:p w14:paraId="67129625">
      <w:pPr>
        <w:pStyle w:val="17"/>
        <w:spacing w:line="560" w:lineRule="exact"/>
        <w:ind w:right="4146"/>
        <w:rPr>
          <w:rFonts w:eastAsia="仿宋_GB2312" w:cs="新宋体"/>
          <w:sz w:val="30"/>
          <w:szCs w:val="28"/>
        </w:rPr>
      </w:pPr>
    </w:p>
    <w:p w14:paraId="32CB1081">
      <w:pPr>
        <w:pStyle w:val="17"/>
        <w:spacing w:line="560" w:lineRule="exact"/>
        <w:ind w:right="4146"/>
        <w:rPr>
          <w:rFonts w:eastAsia="仿宋_GB2312" w:cs="新宋体"/>
          <w:b/>
          <w:sz w:val="30"/>
          <w:szCs w:val="28"/>
        </w:rPr>
      </w:pPr>
      <w:r>
        <w:rPr>
          <w:rFonts w:hint="eastAsia" w:eastAsia="仿宋_GB2312" w:cs="新宋体"/>
          <w:b/>
          <w:sz w:val="30"/>
          <w:szCs w:val="28"/>
        </w:rPr>
        <w:t>甲方：【】</w:t>
      </w:r>
    </w:p>
    <w:p w14:paraId="59A3103C">
      <w:pPr>
        <w:pStyle w:val="17"/>
        <w:spacing w:line="560" w:lineRule="exact"/>
        <w:ind w:right="4146"/>
        <w:rPr>
          <w:rFonts w:eastAsia="仿宋_GB2312" w:cs="新宋体"/>
          <w:b/>
          <w:sz w:val="30"/>
          <w:szCs w:val="28"/>
        </w:rPr>
      </w:pPr>
      <w:r>
        <w:rPr>
          <w:rFonts w:hint="eastAsia" w:eastAsia="仿宋_GB2312" w:cs="新宋体"/>
          <w:b/>
          <w:sz w:val="30"/>
          <w:szCs w:val="28"/>
        </w:rPr>
        <w:t>代表其管理的【】</w:t>
      </w:r>
    </w:p>
    <w:p w14:paraId="40FD4B5A">
      <w:pPr>
        <w:pStyle w:val="17"/>
        <w:spacing w:line="560" w:lineRule="exact"/>
        <w:ind w:right="4146"/>
        <w:rPr>
          <w:rFonts w:eastAsia="仿宋_GB2312" w:cs="新宋体"/>
          <w:sz w:val="30"/>
          <w:szCs w:val="28"/>
        </w:rPr>
      </w:pPr>
      <w:r>
        <w:rPr>
          <w:rFonts w:hint="eastAsia" w:eastAsia="仿宋_GB2312" w:cs="新宋体"/>
          <w:sz w:val="30"/>
          <w:szCs w:val="28"/>
        </w:rPr>
        <w:t>（公章或合同专用章）</w:t>
      </w:r>
    </w:p>
    <w:p w14:paraId="7C1DF86A">
      <w:pPr>
        <w:pStyle w:val="17"/>
        <w:spacing w:line="560" w:lineRule="exact"/>
        <w:ind w:right="4146"/>
        <w:rPr>
          <w:rFonts w:eastAsia="仿宋_GB2312" w:cs="新宋体"/>
          <w:sz w:val="30"/>
          <w:szCs w:val="28"/>
        </w:rPr>
      </w:pPr>
      <w:r>
        <w:rPr>
          <w:rFonts w:hint="eastAsia" w:eastAsia="仿宋_GB2312" w:cs="新宋体"/>
          <w:b/>
          <w:bCs/>
          <w:sz w:val="30"/>
          <w:szCs w:val="28"/>
        </w:rPr>
        <w:t>授权代表（签字或盖章）：</w:t>
      </w:r>
    </w:p>
    <w:p w14:paraId="58E67145">
      <w:pPr>
        <w:pStyle w:val="17"/>
        <w:spacing w:line="560" w:lineRule="exact"/>
        <w:ind w:right="4146"/>
        <w:rPr>
          <w:rFonts w:eastAsia="仿宋_GB2312" w:cs="新宋体"/>
          <w:b/>
          <w:bCs/>
          <w:sz w:val="30"/>
          <w:szCs w:val="28"/>
        </w:rPr>
      </w:pPr>
      <w:r>
        <w:rPr>
          <w:rFonts w:hint="eastAsia" w:eastAsia="仿宋_GB2312" w:cs="新宋体"/>
          <w:b/>
          <w:bCs/>
          <w:sz w:val="30"/>
          <w:szCs w:val="28"/>
        </w:rPr>
        <w:t>签署日期：</w:t>
      </w:r>
    </w:p>
    <w:p w14:paraId="282FED8F">
      <w:pPr>
        <w:pStyle w:val="17"/>
        <w:spacing w:line="560" w:lineRule="exact"/>
        <w:ind w:right="4146"/>
        <w:rPr>
          <w:rFonts w:eastAsia="仿宋_GB2312" w:cs="新宋体"/>
          <w:sz w:val="30"/>
          <w:szCs w:val="28"/>
        </w:rPr>
      </w:pPr>
      <w:r>
        <w:rPr>
          <w:rFonts w:hint="eastAsia" w:eastAsia="仿宋_GB2312" w:cs="新宋体"/>
          <w:b/>
          <w:bCs/>
          <w:sz w:val="30"/>
          <w:szCs w:val="28"/>
        </w:rPr>
        <w:t>签署地点：</w:t>
      </w:r>
      <w:r>
        <w:rPr>
          <w:rFonts w:eastAsia="仿宋_GB2312" w:cs="新宋体"/>
          <w:sz w:val="30"/>
          <w:szCs w:val="28"/>
        </w:rPr>
        <w:t xml:space="preserve"> </w:t>
      </w:r>
    </w:p>
    <w:p w14:paraId="642C74DC">
      <w:pPr>
        <w:spacing w:before="7" w:line="560" w:lineRule="exact"/>
        <w:rPr>
          <w:rFonts w:eastAsia="仿宋_GB2312" w:cs="新宋体"/>
          <w:sz w:val="30"/>
          <w:szCs w:val="28"/>
        </w:rPr>
      </w:pPr>
    </w:p>
    <w:p w14:paraId="25DF66E8">
      <w:pPr>
        <w:spacing w:before="7" w:line="560" w:lineRule="exact"/>
        <w:rPr>
          <w:rFonts w:eastAsia="仿宋_GB2312" w:cs="新宋体"/>
          <w:sz w:val="30"/>
          <w:szCs w:val="28"/>
        </w:rPr>
      </w:pPr>
    </w:p>
    <w:p w14:paraId="4A48DD67">
      <w:pPr>
        <w:pStyle w:val="17"/>
        <w:spacing w:line="560" w:lineRule="exact"/>
        <w:ind w:right="4146"/>
        <w:rPr>
          <w:rFonts w:eastAsia="仿宋_GB2312" w:cs="新宋体"/>
          <w:b/>
          <w:sz w:val="30"/>
          <w:szCs w:val="28"/>
        </w:rPr>
      </w:pPr>
      <w:r>
        <w:rPr>
          <w:rFonts w:hint="eastAsia" w:eastAsia="仿宋_GB2312" w:cs="新宋体"/>
          <w:b/>
          <w:sz w:val="30"/>
          <w:szCs w:val="28"/>
        </w:rPr>
        <w:t>乙方</w:t>
      </w:r>
      <w:r>
        <w:rPr>
          <w:rFonts w:hint="eastAsia" w:eastAsia="仿宋_GB2312" w:cs="新宋体"/>
          <w:sz w:val="30"/>
          <w:szCs w:val="28"/>
        </w:rPr>
        <w:t>：</w:t>
      </w:r>
      <w:r>
        <w:rPr>
          <w:rFonts w:hint="eastAsia" w:eastAsia="仿宋_GB2312" w:cs="新宋体"/>
          <w:b/>
          <w:sz w:val="30"/>
          <w:szCs w:val="28"/>
        </w:rPr>
        <w:t>【】</w:t>
      </w:r>
    </w:p>
    <w:p w14:paraId="78A42FBC">
      <w:pPr>
        <w:pStyle w:val="17"/>
        <w:spacing w:line="560" w:lineRule="exact"/>
        <w:ind w:right="4146"/>
        <w:rPr>
          <w:rFonts w:eastAsia="仿宋_GB2312" w:cs="新宋体"/>
          <w:sz w:val="30"/>
          <w:szCs w:val="28"/>
        </w:rPr>
      </w:pPr>
      <w:r>
        <w:rPr>
          <w:rFonts w:hint="eastAsia" w:eastAsia="仿宋_GB2312" w:cs="新宋体"/>
          <w:sz w:val="30"/>
          <w:szCs w:val="28"/>
        </w:rPr>
        <w:t>代表其管理的【】</w:t>
      </w:r>
    </w:p>
    <w:p w14:paraId="31A4F153">
      <w:pPr>
        <w:pStyle w:val="17"/>
        <w:spacing w:line="560" w:lineRule="exact"/>
        <w:ind w:right="4146"/>
        <w:rPr>
          <w:rFonts w:eastAsia="仿宋_GB2312" w:cs="新宋体"/>
          <w:sz w:val="30"/>
          <w:szCs w:val="28"/>
        </w:rPr>
      </w:pPr>
      <w:r>
        <w:rPr>
          <w:rFonts w:hint="eastAsia" w:eastAsia="仿宋_GB2312" w:cs="新宋体"/>
          <w:sz w:val="30"/>
          <w:szCs w:val="28"/>
        </w:rPr>
        <w:t>（公章或合同专用章）</w:t>
      </w:r>
    </w:p>
    <w:p w14:paraId="47364CA1">
      <w:pPr>
        <w:pStyle w:val="17"/>
        <w:spacing w:line="560" w:lineRule="exact"/>
        <w:ind w:right="4146"/>
        <w:rPr>
          <w:rFonts w:eastAsia="仿宋_GB2312" w:cs="新宋体"/>
          <w:b/>
          <w:bCs/>
          <w:sz w:val="30"/>
          <w:szCs w:val="28"/>
        </w:rPr>
      </w:pPr>
      <w:r>
        <w:rPr>
          <w:rFonts w:hint="eastAsia" w:eastAsia="仿宋_GB2312" w:cs="新宋体"/>
          <w:b/>
          <w:bCs/>
          <w:sz w:val="30"/>
          <w:szCs w:val="28"/>
        </w:rPr>
        <w:t>授权代表（签字或盖章）：</w:t>
      </w:r>
      <w:r>
        <w:rPr>
          <w:rFonts w:eastAsia="仿宋_GB2312" w:cs="新宋体"/>
          <w:b/>
          <w:bCs/>
          <w:sz w:val="30"/>
          <w:szCs w:val="28"/>
        </w:rPr>
        <w:t xml:space="preserve"> </w:t>
      </w:r>
    </w:p>
    <w:p w14:paraId="2DEF533E">
      <w:pPr>
        <w:pStyle w:val="17"/>
        <w:spacing w:line="560" w:lineRule="exact"/>
        <w:ind w:right="4146"/>
        <w:rPr>
          <w:rFonts w:eastAsia="仿宋_GB2312" w:cs="新宋体"/>
          <w:b/>
          <w:bCs/>
          <w:sz w:val="30"/>
          <w:szCs w:val="28"/>
        </w:rPr>
      </w:pPr>
      <w:r>
        <w:rPr>
          <w:rFonts w:hint="eastAsia" w:eastAsia="仿宋_GB2312" w:cs="新宋体"/>
          <w:b/>
          <w:bCs/>
          <w:sz w:val="30"/>
          <w:szCs w:val="28"/>
        </w:rPr>
        <w:t>签署日期：</w:t>
      </w:r>
    </w:p>
    <w:p w14:paraId="01C32C28">
      <w:pPr>
        <w:pStyle w:val="17"/>
        <w:spacing w:before="36" w:line="560" w:lineRule="exact"/>
        <w:ind w:right="68"/>
        <w:jc w:val="left"/>
        <w:rPr>
          <w:rFonts w:eastAsia="仿宋_GB2312" w:cs="新宋体"/>
          <w:sz w:val="30"/>
          <w:szCs w:val="28"/>
        </w:rPr>
      </w:pPr>
      <w:r>
        <w:rPr>
          <w:rFonts w:hint="eastAsia" w:eastAsia="仿宋_GB2312" w:cs="新宋体"/>
          <w:b/>
          <w:bCs/>
          <w:sz w:val="30"/>
          <w:szCs w:val="28"/>
        </w:rPr>
        <w:t>签署地点：</w:t>
      </w:r>
      <w:r>
        <w:rPr>
          <w:rFonts w:eastAsia="仿宋_GB2312" w:cs="新宋体"/>
          <w:sz w:val="30"/>
          <w:szCs w:val="28"/>
        </w:rPr>
        <w:t xml:space="preserve"> </w:t>
      </w:r>
    </w:p>
    <w:p w14:paraId="2B2AE51F">
      <w:pPr>
        <w:widowControl/>
        <w:jc w:val="left"/>
        <w:rPr>
          <w:rFonts w:ascii="仿宋_GB2312" w:hAnsi="仿宋" w:eastAsia="仿宋_GB2312"/>
          <w:sz w:val="24"/>
          <w:szCs w:val="30"/>
        </w:rPr>
      </w:pPr>
    </w:p>
    <w:p w14:paraId="211B2EFE">
      <w:r>
        <w:br w:type="page"/>
      </w:r>
    </w:p>
    <w:p w14:paraId="4E0D7911">
      <w:pPr>
        <w:widowControl/>
        <w:jc w:val="left"/>
        <w:outlineLvl w:val="1"/>
        <w:rPr>
          <w:rFonts w:ascii="仿宋_GB2312" w:hAnsi="黑体" w:eastAsia="仿宋_GB2312"/>
          <w:b/>
          <w:sz w:val="30"/>
          <w:szCs w:val="30"/>
        </w:rPr>
      </w:pPr>
      <w:bookmarkStart w:id="4116" w:name="_Toc151137107"/>
      <w:bookmarkStart w:id="4117" w:name="_Toc2060294696"/>
      <w:bookmarkStart w:id="4118" w:name="_Toc106716480"/>
      <w:bookmarkStart w:id="4119" w:name="_Toc967642090"/>
      <w:bookmarkStart w:id="4120" w:name="_Toc1087908656"/>
      <w:bookmarkStart w:id="4121" w:name="_Toc431186005"/>
      <w:bookmarkStart w:id="4122" w:name="_Toc115181713"/>
      <w:r>
        <w:rPr>
          <w:rFonts w:hint="eastAsia" w:ascii="仿宋_GB2312" w:hAnsi="黑体" w:eastAsia="仿宋_GB2312"/>
          <w:b/>
          <w:sz w:val="30"/>
          <w:szCs w:val="30"/>
        </w:rPr>
        <w:t>附件24 组合型信用保护合约要素表</w:t>
      </w:r>
      <w:bookmarkEnd w:id="4116"/>
      <w:bookmarkEnd w:id="4117"/>
      <w:bookmarkEnd w:id="4118"/>
      <w:bookmarkEnd w:id="4119"/>
      <w:bookmarkEnd w:id="4120"/>
      <w:bookmarkEnd w:id="4121"/>
      <w:bookmarkEnd w:id="4122"/>
    </w:p>
    <w:p w14:paraId="61D5E99C">
      <w:pPr>
        <w:pStyle w:val="100"/>
        <w:spacing w:line="560" w:lineRule="exact"/>
        <w:ind w:firstLine="643"/>
        <w:jc w:val="center"/>
        <w:rPr>
          <w:rFonts w:ascii="黑体" w:hAnsi="黑体" w:eastAsia="黑体"/>
          <w:b/>
          <w:color w:val="auto"/>
          <w:sz w:val="44"/>
          <w:szCs w:val="44"/>
        </w:rPr>
      </w:pPr>
    </w:p>
    <w:p w14:paraId="148434FC">
      <w:pPr>
        <w:pStyle w:val="100"/>
        <w:spacing w:line="560" w:lineRule="exact"/>
        <w:ind w:firstLine="883" w:firstLineChars="200"/>
        <w:jc w:val="center"/>
        <w:rPr>
          <w:rFonts w:cs="Arial"/>
          <w:sz w:val="30"/>
          <w:szCs w:val="30"/>
        </w:rPr>
      </w:pPr>
      <w:r>
        <w:rPr>
          <w:rFonts w:hint="eastAsia" w:ascii="黑体" w:hAnsi="黑体" w:eastAsia="黑体"/>
          <w:b/>
          <w:color w:val="auto"/>
          <w:sz w:val="44"/>
          <w:szCs w:val="44"/>
        </w:rPr>
        <w:t>组合型信用保护合约要素表</w:t>
      </w:r>
    </w:p>
    <w:tbl>
      <w:tblPr>
        <w:tblStyle w:val="44"/>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6426"/>
      </w:tblGrid>
      <w:tr w14:paraId="05F04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1" w:type="dxa"/>
            <w:gridSpan w:val="2"/>
          </w:tcPr>
          <w:p w14:paraId="3785C38A">
            <w:pPr>
              <w:ind w:firstLine="360"/>
              <w:jc w:val="center"/>
              <w:rPr>
                <w:rFonts w:ascii="仿宋_GB2312" w:hAnsi="黑体" w:eastAsia="仿宋_GB2312"/>
                <w:b/>
                <w:sz w:val="30"/>
                <w:szCs w:val="30"/>
                <w:lang w:eastAsia="en-US" w:bidi="en-US"/>
              </w:rPr>
            </w:pPr>
            <w:r>
              <w:rPr>
                <w:rFonts w:hint="eastAsia" w:ascii="仿宋_GB2312" w:hAnsi="黑体" w:eastAsia="仿宋_GB2312"/>
                <w:b/>
                <w:sz w:val="30"/>
                <w:szCs w:val="30"/>
                <w:lang w:eastAsia="en-US" w:bidi="en-US"/>
              </w:rPr>
              <w:t>组合型信用保护合约要素</w:t>
            </w:r>
          </w:p>
        </w:tc>
      </w:tr>
      <w:tr w14:paraId="3758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65C941B9">
            <w:pPr>
              <w:ind w:firstLine="0"/>
              <w:jc w:val="left"/>
              <w:rPr>
                <w:rFonts w:ascii="仿宋_GB2312" w:eastAsia="仿宋_GB2312"/>
                <w:sz w:val="30"/>
                <w:szCs w:val="30"/>
                <w:lang w:eastAsia="en-US" w:bidi="en-US"/>
              </w:rPr>
            </w:pPr>
            <w:r>
              <w:rPr>
                <w:rFonts w:hint="eastAsia" w:ascii="仿宋_GB2312" w:eastAsia="仿宋_GB2312"/>
                <w:sz w:val="30"/>
                <w:szCs w:val="30"/>
                <w:lang w:eastAsia="en-US" w:bidi="en-US"/>
              </w:rPr>
              <w:t>参考实体</w:t>
            </w:r>
          </w:p>
        </w:tc>
        <w:tc>
          <w:tcPr>
            <w:tcW w:w="6426" w:type="dxa"/>
          </w:tcPr>
          <w:p w14:paraId="020DFA1B">
            <w:pPr>
              <w:ind w:firstLine="0"/>
              <w:rPr>
                <w:rFonts w:ascii="仿宋_GB2312" w:eastAsia="仿宋_GB2312"/>
                <w:sz w:val="30"/>
                <w:szCs w:val="30"/>
                <w:lang w:eastAsia="en-US" w:bidi="en-US"/>
              </w:rPr>
            </w:pPr>
            <w:r>
              <w:rPr>
                <w:rFonts w:eastAsia="仿宋_GB2312" w:cs="新宋体"/>
                <w:bCs/>
                <w:sz w:val="30"/>
                <w:szCs w:val="28"/>
                <w:lang w:eastAsia="en-US" w:bidi="en-US"/>
              </w:rPr>
              <w:t>CSI-SSE</w:t>
            </w:r>
            <w:r>
              <w:rPr>
                <w:rFonts w:hint="eastAsia" w:eastAsia="仿宋_GB2312" w:cs="新宋体"/>
                <w:bCs/>
                <w:sz w:val="30"/>
                <w:szCs w:val="28"/>
                <w:lang w:eastAsia="en-US" w:bidi="en-US"/>
              </w:rPr>
              <w:t>交易所大型发行人</w:t>
            </w:r>
            <w:r>
              <w:rPr>
                <w:rFonts w:eastAsia="仿宋_GB2312" w:cs="新宋体"/>
                <w:bCs/>
                <w:sz w:val="30"/>
                <w:szCs w:val="28"/>
                <w:lang w:eastAsia="en-US" w:bidi="en-US"/>
              </w:rPr>
              <w:t>CDX</w:t>
            </w:r>
            <w:r>
              <w:rPr>
                <w:rFonts w:hint="eastAsia" w:eastAsia="仿宋_GB2312" w:cs="新宋体"/>
                <w:bCs/>
                <w:sz w:val="30"/>
                <w:szCs w:val="28"/>
                <w:lang w:eastAsia="en-US" w:bidi="en-US"/>
              </w:rPr>
              <w:t>组合</w:t>
            </w:r>
            <w:r>
              <w:rPr>
                <w:rFonts w:eastAsia="仿宋_GB2312" w:cs="新宋体"/>
                <w:bCs/>
                <w:sz w:val="30"/>
                <w:szCs w:val="28"/>
                <w:lang w:eastAsia="en-US" w:bidi="en-US"/>
              </w:rPr>
              <w:t>SnVn/CSI-SSE</w:t>
            </w:r>
            <w:r>
              <w:rPr>
                <w:rFonts w:hint="eastAsia" w:eastAsia="仿宋_GB2312" w:cs="新宋体"/>
                <w:bCs/>
                <w:sz w:val="30"/>
                <w:szCs w:val="28"/>
                <w:lang w:eastAsia="en-US" w:bidi="en-US"/>
              </w:rPr>
              <w:t>交易所民企</w:t>
            </w:r>
            <w:r>
              <w:rPr>
                <w:rFonts w:eastAsia="仿宋_GB2312" w:cs="新宋体"/>
                <w:bCs/>
                <w:sz w:val="30"/>
                <w:szCs w:val="28"/>
                <w:lang w:eastAsia="en-US" w:bidi="en-US"/>
              </w:rPr>
              <w:t>CDX</w:t>
            </w:r>
            <w:r>
              <w:rPr>
                <w:rFonts w:hint="eastAsia" w:eastAsia="仿宋_GB2312" w:cs="新宋体"/>
                <w:bCs/>
                <w:sz w:val="30"/>
                <w:szCs w:val="28"/>
                <w:lang w:eastAsia="en-US" w:bidi="en-US"/>
              </w:rPr>
              <w:t>组合</w:t>
            </w:r>
            <w:r>
              <w:rPr>
                <w:rFonts w:eastAsia="仿宋_GB2312" w:cs="新宋体"/>
                <w:bCs/>
                <w:sz w:val="30"/>
                <w:szCs w:val="28"/>
                <w:lang w:eastAsia="en-US" w:bidi="en-US"/>
              </w:rPr>
              <w:t>SnVn</w:t>
            </w:r>
          </w:p>
        </w:tc>
      </w:tr>
      <w:tr w14:paraId="60136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1C74C55C">
            <w:pPr>
              <w:ind w:firstLine="0"/>
              <w:jc w:val="left"/>
              <w:rPr>
                <w:rFonts w:ascii="仿宋_GB2312" w:eastAsia="仿宋_GB2312"/>
                <w:sz w:val="30"/>
                <w:szCs w:val="30"/>
                <w:lang w:eastAsia="en-US" w:bidi="en-US"/>
              </w:rPr>
            </w:pPr>
            <w:r>
              <w:rPr>
                <w:rFonts w:hint="eastAsia" w:ascii="仿宋_GB2312" w:eastAsia="仿宋_GB2312"/>
                <w:sz w:val="30"/>
                <w:szCs w:val="30"/>
                <w:lang w:eastAsia="en-US" w:bidi="en-US"/>
              </w:rPr>
              <w:t>组合管理人</w:t>
            </w:r>
          </w:p>
        </w:tc>
        <w:tc>
          <w:tcPr>
            <w:tcW w:w="6426" w:type="dxa"/>
          </w:tcPr>
          <w:p w14:paraId="36636F28">
            <w:pPr>
              <w:ind w:firstLine="0"/>
              <w:rPr>
                <w:rFonts w:ascii="仿宋_GB2312" w:eastAsia="仿宋_GB2312"/>
                <w:sz w:val="30"/>
                <w:szCs w:val="30"/>
                <w:lang w:eastAsia="en-US" w:bidi="en-US"/>
              </w:rPr>
            </w:pPr>
            <w:r>
              <w:rPr>
                <w:rFonts w:hint="eastAsia" w:ascii="仿宋_GB2312" w:eastAsia="仿宋_GB2312"/>
                <w:sz w:val="30"/>
                <w:szCs w:val="30"/>
                <w:lang w:eastAsia="en-US" w:bidi="en-US"/>
              </w:rPr>
              <w:t>中证指数</w:t>
            </w:r>
            <w:r>
              <w:rPr>
                <w:rFonts w:ascii="仿宋_GB2312" w:eastAsia="仿宋_GB2312"/>
                <w:sz w:val="30"/>
                <w:szCs w:val="30"/>
                <w:lang w:eastAsia="en-US" w:bidi="en-US"/>
              </w:rPr>
              <w:t>有限公司</w:t>
            </w:r>
          </w:p>
        </w:tc>
      </w:tr>
      <w:tr w14:paraId="222C2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tcPr>
          <w:p w14:paraId="59391A46">
            <w:pPr>
              <w:ind w:firstLine="0"/>
              <w:jc w:val="left"/>
              <w:rPr>
                <w:rFonts w:ascii="仿宋_GB2312" w:eastAsia="仿宋_GB2312"/>
                <w:sz w:val="30"/>
                <w:szCs w:val="30"/>
                <w:lang w:eastAsia="en-US" w:bidi="en-US"/>
              </w:rPr>
            </w:pPr>
            <w:r>
              <w:rPr>
                <w:rFonts w:hint="eastAsia" w:ascii="仿宋_GB2312" w:eastAsia="仿宋_GB2312"/>
                <w:sz w:val="30"/>
                <w:szCs w:val="30"/>
                <w:lang w:eastAsia="en-US" w:bidi="en-US"/>
              </w:rPr>
              <w:t>组合滚动日</w:t>
            </w:r>
          </w:p>
        </w:tc>
        <w:tc>
          <w:tcPr>
            <w:tcW w:w="6426" w:type="dxa"/>
          </w:tcPr>
          <w:p w14:paraId="7F6BBD7A">
            <w:pPr>
              <w:ind w:firstLine="0"/>
              <w:rPr>
                <w:rFonts w:ascii="仿宋_GB2312" w:eastAsia="仿宋_GB2312"/>
                <w:sz w:val="30"/>
                <w:szCs w:val="30"/>
                <w:lang w:eastAsia="en-US" w:bidi="en-US"/>
              </w:rPr>
            </w:pPr>
            <w:r>
              <w:rPr>
                <w:rFonts w:hint="eastAsia" w:ascii="仿宋_GB2312" w:eastAsia="仿宋_GB2312"/>
                <w:sz w:val="30"/>
                <w:szCs w:val="30"/>
                <w:lang w:eastAsia="en-US" w:bidi="en-US"/>
              </w:rPr>
              <w:t>3月20日和9月20日，根据交易日准则调整</w:t>
            </w:r>
          </w:p>
        </w:tc>
      </w:tr>
      <w:tr w14:paraId="5334A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5E0A5F3C">
            <w:pPr>
              <w:ind w:firstLine="0"/>
              <w:jc w:val="left"/>
              <w:rPr>
                <w:rFonts w:ascii="仿宋_GB2312" w:eastAsia="仿宋_GB2312"/>
                <w:sz w:val="30"/>
                <w:szCs w:val="30"/>
                <w:lang w:eastAsia="en-US" w:bidi="en-US"/>
              </w:rPr>
            </w:pPr>
            <w:r>
              <w:rPr>
                <w:rFonts w:hint="eastAsia" w:ascii="仿宋_GB2312" w:eastAsia="仿宋_GB2312"/>
                <w:sz w:val="30"/>
                <w:szCs w:val="30"/>
                <w:lang w:eastAsia="en-US" w:bidi="en-US"/>
              </w:rPr>
              <w:t>受保护债务范围</w:t>
            </w:r>
          </w:p>
        </w:tc>
        <w:tc>
          <w:tcPr>
            <w:tcW w:w="6426" w:type="dxa"/>
          </w:tcPr>
          <w:p w14:paraId="3668B90D">
            <w:pPr>
              <w:ind w:firstLine="0"/>
              <w:rPr>
                <w:rFonts w:ascii="仿宋_GB2312" w:eastAsia="仿宋_GB2312"/>
                <w:sz w:val="30"/>
                <w:szCs w:val="30"/>
                <w:lang w:eastAsia="en-US" w:bidi="en-US"/>
              </w:rPr>
            </w:pPr>
            <w:r>
              <w:rPr>
                <w:rFonts w:hint="eastAsia" w:eastAsia="仿宋_GB2312"/>
                <w:sz w:val="30"/>
                <w:szCs w:val="30"/>
                <w:lang w:eastAsia="en-US" w:bidi="en-US"/>
              </w:rPr>
              <w:t>参考实体在中国境内发行并在沪深交易所上市交易或者挂牌转让的以人民币计价的公司债券和可转换公司债券</w:t>
            </w:r>
          </w:p>
        </w:tc>
      </w:tr>
      <w:tr w14:paraId="24864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2531DB14">
            <w:pPr>
              <w:ind w:firstLine="0"/>
              <w:jc w:val="left"/>
              <w:rPr>
                <w:rFonts w:ascii="仿宋_GB2312" w:eastAsia="仿宋_GB2312"/>
                <w:sz w:val="30"/>
                <w:szCs w:val="30"/>
                <w:lang w:eastAsia="en-US" w:bidi="en-US"/>
              </w:rPr>
            </w:pPr>
            <w:r>
              <w:rPr>
                <w:rFonts w:hint="eastAsia" w:ascii="仿宋_GB2312" w:eastAsia="仿宋_GB2312"/>
                <w:sz w:val="30"/>
                <w:szCs w:val="30"/>
                <w:lang w:eastAsia="en-US" w:bidi="en-US"/>
              </w:rPr>
              <w:t>期限</w:t>
            </w:r>
          </w:p>
        </w:tc>
        <w:tc>
          <w:tcPr>
            <w:tcW w:w="6426" w:type="dxa"/>
          </w:tcPr>
          <w:p w14:paraId="3D140CB5">
            <w:pPr>
              <w:ind w:firstLine="0"/>
              <w:rPr>
                <w:rFonts w:ascii="仿宋_GB2312" w:eastAsia="仿宋_GB2312"/>
                <w:sz w:val="30"/>
                <w:szCs w:val="30"/>
                <w:lang w:eastAsia="en-US" w:bidi="en-US"/>
              </w:rPr>
            </w:pPr>
            <w:r>
              <w:rPr>
                <w:rFonts w:hint="eastAsia" w:ascii="仿宋_GB2312" w:eastAsia="仿宋_GB2312"/>
                <w:sz w:val="30"/>
                <w:szCs w:val="30"/>
                <w:lang w:eastAsia="en-US" w:bidi="en-US"/>
              </w:rPr>
              <w:t>非标准</w:t>
            </w:r>
            <w:r>
              <w:rPr>
                <w:rFonts w:ascii="仿宋_GB2312" w:eastAsia="仿宋_GB2312"/>
                <w:sz w:val="30"/>
                <w:szCs w:val="30"/>
                <w:lang w:eastAsia="en-US" w:bidi="en-US"/>
              </w:rPr>
              <w:t>合约：可选</w:t>
            </w:r>
            <w:r>
              <w:rPr>
                <w:rFonts w:hint="eastAsia" w:ascii="仿宋_GB2312" w:eastAsia="仿宋_GB2312"/>
                <w:sz w:val="30"/>
                <w:szCs w:val="30"/>
                <w:lang w:eastAsia="en-US" w:bidi="en-US"/>
              </w:rPr>
              <w:t>；</w:t>
            </w:r>
          </w:p>
          <w:p w14:paraId="40515652">
            <w:pPr>
              <w:ind w:firstLine="0"/>
              <w:rPr>
                <w:rFonts w:ascii="仿宋_GB2312" w:eastAsia="仿宋_GB2312"/>
                <w:sz w:val="30"/>
                <w:szCs w:val="30"/>
                <w:lang w:eastAsia="en-US" w:bidi="en-US"/>
              </w:rPr>
            </w:pPr>
            <w:r>
              <w:rPr>
                <w:rFonts w:hint="eastAsia" w:ascii="仿宋_GB2312" w:eastAsia="仿宋_GB2312"/>
                <w:sz w:val="30"/>
                <w:szCs w:val="30"/>
                <w:lang w:eastAsia="en-US" w:bidi="en-US"/>
              </w:rPr>
              <w:t>标准合约：</w:t>
            </w:r>
            <w:r>
              <w:rPr>
                <w:rFonts w:ascii="仿宋_GB2312" w:eastAsia="仿宋_GB2312"/>
                <w:sz w:val="30"/>
                <w:szCs w:val="30"/>
                <w:lang w:eastAsia="en-US" w:bidi="en-US"/>
              </w:rPr>
              <w:t>3M</w:t>
            </w:r>
            <w:r>
              <w:rPr>
                <w:rFonts w:hint="eastAsia" w:ascii="仿宋_GB2312" w:eastAsia="仿宋_GB2312"/>
                <w:sz w:val="30"/>
                <w:szCs w:val="30"/>
                <w:lang w:eastAsia="en-US" w:bidi="en-US"/>
              </w:rPr>
              <w:t>/</w:t>
            </w:r>
            <w:r>
              <w:rPr>
                <w:rFonts w:ascii="仿宋_GB2312" w:eastAsia="仿宋_GB2312"/>
                <w:sz w:val="30"/>
                <w:szCs w:val="30"/>
                <w:lang w:eastAsia="en-US" w:bidi="en-US"/>
              </w:rPr>
              <w:t>6M</w:t>
            </w:r>
            <w:r>
              <w:rPr>
                <w:rFonts w:hint="eastAsia" w:ascii="仿宋_GB2312" w:eastAsia="仿宋_GB2312"/>
                <w:sz w:val="30"/>
                <w:szCs w:val="30"/>
                <w:lang w:eastAsia="en-US" w:bidi="en-US"/>
              </w:rPr>
              <w:t>/</w:t>
            </w:r>
            <w:r>
              <w:rPr>
                <w:rFonts w:ascii="仿宋_GB2312" w:eastAsia="仿宋_GB2312"/>
                <w:sz w:val="30"/>
                <w:szCs w:val="30"/>
                <w:lang w:eastAsia="en-US" w:bidi="en-US"/>
              </w:rPr>
              <w:t>1Y</w:t>
            </w:r>
            <w:r>
              <w:rPr>
                <w:rFonts w:hint="eastAsia" w:ascii="仿宋_GB2312" w:eastAsia="仿宋_GB2312"/>
                <w:sz w:val="30"/>
                <w:szCs w:val="30"/>
                <w:lang w:eastAsia="en-US" w:bidi="en-US"/>
              </w:rPr>
              <w:t>/</w:t>
            </w:r>
            <w:r>
              <w:rPr>
                <w:rFonts w:ascii="仿宋_GB2312" w:eastAsia="仿宋_GB2312"/>
                <w:sz w:val="30"/>
                <w:szCs w:val="30"/>
                <w:lang w:eastAsia="en-US" w:bidi="en-US"/>
              </w:rPr>
              <w:t>2Y</w:t>
            </w:r>
            <w:r>
              <w:rPr>
                <w:rFonts w:hint="eastAsia" w:ascii="仿宋_GB2312" w:eastAsia="仿宋_GB2312"/>
                <w:sz w:val="30"/>
                <w:szCs w:val="30"/>
                <w:lang w:eastAsia="en-US" w:bidi="en-US"/>
              </w:rPr>
              <w:t>/</w:t>
            </w:r>
            <w:r>
              <w:rPr>
                <w:rFonts w:ascii="仿宋_GB2312" w:eastAsia="仿宋_GB2312"/>
                <w:sz w:val="30"/>
                <w:szCs w:val="30"/>
                <w:lang w:eastAsia="en-US" w:bidi="en-US"/>
              </w:rPr>
              <w:t>3Y</w:t>
            </w:r>
            <w:r>
              <w:rPr>
                <w:rFonts w:hint="eastAsia" w:ascii="仿宋_GB2312" w:eastAsia="仿宋_GB2312"/>
                <w:sz w:val="30"/>
                <w:szCs w:val="30"/>
                <w:lang w:eastAsia="en-US" w:bidi="en-US"/>
              </w:rPr>
              <w:t>/</w:t>
            </w:r>
            <w:r>
              <w:rPr>
                <w:rFonts w:ascii="仿宋_GB2312" w:eastAsia="仿宋_GB2312"/>
                <w:sz w:val="30"/>
                <w:szCs w:val="30"/>
                <w:lang w:eastAsia="en-US" w:bidi="en-US"/>
              </w:rPr>
              <w:t>4Y</w:t>
            </w:r>
            <w:r>
              <w:rPr>
                <w:rFonts w:hint="eastAsia" w:ascii="仿宋_GB2312" w:eastAsia="仿宋_GB2312"/>
                <w:sz w:val="30"/>
                <w:szCs w:val="30"/>
                <w:lang w:eastAsia="en-US" w:bidi="en-US"/>
              </w:rPr>
              <w:t>/</w:t>
            </w:r>
            <w:r>
              <w:rPr>
                <w:rFonts w:ascii="仿宋_GB2312" w:eastAsia="仿宋_GB2312"/>
                <w:sz w:val="30"/>
                <w:szCs w:val="30"/>
                <w:lang w:eastAsia="en-US" w:bidi="en-US"/>
              </w:rPr>
              <w:t>5Y</w:t>
            </w:r>
          </w:p>
        </w:tc>
      </w:tr>
      <w:tr w14:paraId="6ED56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24D054AF">
            <w:pPr>
              <w:ind w:firstLine="0"/>
              <w:jc w:val="left"/>
              <w:rPr>
                <w:rFonts w:ascii="仿宋_GB2312" w:eastAsia="仿宋_GB2312"/>
                <w:sz w:val="30"/>
                <w:szCs w:val="30"/>
                <w:lang w:eastAsia="en-US" w:bidi="en-US"/>
              </w:rPr>
            </w:pPr>
            <w:r>
              <w:rPr>
                <w:rFonts w:hint="eastAsia" w:ascii="仿宋_GB2312" w:eastAsia="仿宋_GB2312"/>
                <w:sz w:val="30"/>
                <w:szCs w:val="30"/>
                <w:lang w:eastAsia="en-US" w:bidi="en-US"/>
              </w:rPr>
              <w:t>约定到期日</w:t>
            </w:r>
          </w:p>
        </w:tc>
        <w:tc>
          <w:tcPr>
            <w:tcW w:w="6426" w:type="dxa"/>
          </w:tcPr>
          <w:p w14:paraId="43D835EA">
            <w:pPr>
              <w:ind w:firstLine="0"/>
              <w:rPr>
                <w:rFonts w:ascii="仿宋_GB2312" w:eastAsia="仿宋_GB2312"/>
                <w:sz w:val="30"/>
                <w:szCs w:val="30"/>
                <w:lang w:eastAsia="en-US" w:bidi="en-US"/>
              </w:rPr>
            </w:pPr>
            <w:r>
              <w:rPr>
                <w:rFonts w:hint="eastAsia" w:ascii="仿宋_GB2312" w:eastAsia="仿宋_GB2312"/>
                <w:sz w:val="30"/>
                <w:szCs w:val="30"/>
                <w:lang w:eastAsia="en-US" w:bidi="en-US"/>
              </w:rPr>
              <w:t>非标准</w:t>
            </w:r>
            <w:r>
              <w:rPr>
                <w:rFonts w:ascii="仿宋_GB2312" w:eastAsia="仿宋_GB2312"/>
                <w:sz w:val="30"/>
                <w:szCs w:val="30"/>
                <w:lang w:eastAsia="en-US" w:bidi="en-US"/>
              </w:rPr>
              <w:t>合约：可选</w:t>
            </w:r>
            <w:r>
              <w:rPr>
                <w:rFonts w:hint="eastAsia" w:ascii="仿宋_GB2312" w:eastAsia="仿宋_GB2312"/>
                <w:sz w:val="30"/>
                <w:szCs w:val="30"/>
                <w:lang w:eastAsia="en-US" w:bidi="en-US"/>
              </w:rPr>
              <w:t>；</w:t>
            </w:r>
          </w:p>
          <w:p w14:paraId="0168D3C8">
            <w:pPr>
              <w:ind w:firstLine="0"/>
              <w:rPr>
                <w:rFonts w:ascii="仿宋_GB2312" w:eastAsia="仿宋_GB2312"/>
                <w:sz w:val="30"/>
                <w:szCs w:val="30"/>
                <w:lang w:eastAsia="en-US" w:bidi="en-US"/>
              </w:rPr>
            </w:pPr>
            <w:r>
              <w:rPr>
                <w:rFonts w:hint="eastAsia" w:ascii="仿宋_GB2312" w:eastAsia="仿宋_GB2312"/>
                <w:sz w:val="30"/>
                <w:szCs w:val="30"/>
                <w:lang w:eastAsia="en-US" w:bidi="en-US"/>
              </w:rPr>
              <w:t>标准合约：约定年份的</w:t>
            </w:r>
            <w:r>
              <w:rPr>
                <w:rFonts w:ascii="仿宋_GB2312" w:eastAsia="仿宋_GB2312"/>
                <w:sz w:val="30"/>
                <w:szCs w:val="30"/>
                <w:lang w:eastAsia="en-US" w:bidi="en-US"/>
              </w:rPr>
              <w:t>6月20日或12月20日</w:t>
            </w:r>
          </w:p>
        </w:tc>
      </w:tr>
      <w:tr w14:paraId="6D593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tcPr>
          <w:p w14:paraId="15980B44">
            <w:pPr>
              <w:ind w:firstLine="0"/>
              <w:jc w:val="left"/>
              <w:rPr>
                <w:rFonts w:ascii="仿宋_GB2312" w:eastAsia="仿宋_GB2312"/>
                <w:sz w:val="30"/>
                <w:szCs w:val="30"/>
                <w:lang w:eastAsia="en-US" w:bidi="en-US"/>
              </w:rPr>
            </w:pPr>
            <w:r>
              <w:rPr>
                <w:rFonts w:hint="eastAsia" w:ascii="仿宋_GB2312" w:eastAsia="仿宋_GB2312"/>
                <w:sz w:val="30"/>
                <w:szCs w:val="30"/>
                <w:lang w:eastAsia="en-US" w:bidi="en-US"/>
              </w:rPr>
              <w:t>保护费支付方式</w:t>
            </w:r>
          </w:p>
        </w:tc>
        <w:tc>
          <w:tcPr>
            <w:tcW w:w="6426" w:type="dxa"/>
          </w:tcPr>
          <w:p w14:paraId="4611EAB2">
            <w:pPr>
              <w:ind w:firstLine="0"/>
              <w:rPr>
                <w:rFonts w:ascii="仿宋_GB2312" w:eastAsia="仿宋_GB2312"/>
                <w:sz w:val="30"/>
                <w:szCs w:val="30"/>
                <w:lang w:eastAsia="en-US" w:bidi="en-US"/>
              </w:rPr>
            </w:pPr>
            <w:r>
              <w:rPr>
                <w:rFonts w:hint="eastAsia" w:ascii="仿宋_GB2312" w:eastAsia="仿宋_GB2312"/>
                <w:sz w:val="30"/>
                <w:szCs w:val="30"/>
                <w:lang w:eastAsia="en-US" w:bidi="en-US"/>
              </w:rPr>
              <w:t>非标准</w:t>
            </w:r>
            <w:r>
              <w:rPr>
                <w:rFonts w:ascii="仿宋_GB2312" w:eastAsia="仿宋_GB2312"/>
                <w:sz w:val="30"/>
                <w:szCs w:val="30"/>
                <w:lang w:eastAsia="en-US" w:bidi="en-US"/>
              </w:rPr>
              <w:t>合约：</w:t>
            </w:r>
            <w:r>
              <w:rPr>
                <w:rFonts w:hint="eastAsia" w:ascii="仿宋_GB2312" w:eastAsia="仿宋_GB2312"/>
                <w:sz w:val="30"/>
                <w:szCs w:val="30"/>
                <w:lang w:eastAsia="en-US" w:bidi="en-US"/>
              </w:rPr>
              <w:t>可选择</w:t>
            </w:r>
            <w:r>
              <w:rPr>
                <w:rFonts w:ascii="仿宋_GB2312" w:eastAsia="仿宋_GB2312"/>
                <w:sz w:val="30"/>
                <w:szCs w:val="30"/>
                <w:lang w:eastAsia="en-US" w:bidi="en-US"/>
              </w:rPr>
              <w:t>以下</w:t>
            </w:r>
            <w:r>
              <w:rPr>
                <w:rFonts w:hint="eastAsia" w:ascii="仿宋_GB2312" w:eastAsia="仿宋_GB2312"/>
                <w:sz w:val="30"/>
                <w:szCs w:val="30"/>
                <w:lang w:eastAsia="en-US" w:bidi="en-US"/>
              </w:rPr>
              <w:t>3种</w:t>
            </w:r>
            <w:r>
              <w:rPr>
                <w:rFonts w:ascii="仿宋_GB2312" w:eastAsia="仿宋_GB2312"/>
                <w:sz w:val="30"/>
                <w:szCs w:val="30"/>
                <w:lang w:eastAsia="en-US" w:bidi="en-US"/>
              </w:rPr>
              <w:t>方式之一：</w:t>
            </w:r>
          </w:p>
          <w:p w14:paraId="136E8803">
            <w:pPr>
              <w:ind w:firstLine="0"/>
              <w:rPr>
                <w:rFonts w:ascii="仿宋_GB2312" w:eastAsia="仿宋_GB2312"/>
                <w:sz w:val="30"/>
                <w:szCs w:val="30"/>
                <w:lang w:eastAsia="en-US" w:bidi="en-US"/>
              </w:rPr>
            </w:pPr>
            <w:r>
              <w:rPr>
                <w:rFonts w:hint="eastAsia" w:ascii="仿宋_GB2312" w:eastAsia="仿宋_GB2312"/>
                <w:sz w:val="30"/>
                <w:szCs w:val="30"/>
                <w:lang w:eastAsia="en-US" w:bidi="en-US"/>
              </w:rPr>
              <w:t>（1）按季度支付约定保护费（2）按季度标准保护费和部分前端费用相结合（3）</w:t>
            </w:r>
            <w:r>
              <w:rPr>
                <w:rFonts w:ascii="仿宋_GB2312" w:eastAsia="仿宋_GB2312"/>
                <w:sz w:val="30"/>
                <w:szCs w:val="30"/>
                <w:lang w:eastAsia="en-US" w:bidi="en-US"/>
              </w:rPr>
              <w:t>前端一次性支付</w:t>
            </w:r>
            <w:r>
              <w:rPr>
                <w:rFonts w:hint="eastAsia" w:ascii="仿宋_GB2312" w:eastAsia="仿宋_GB2312"/>
                <w:sz w:val="30"/>
                <w:szCs w:val="30"/>
                <w:lang w:eastAsia="en-US" w:bidi="en-US"/>
              </w:rPr>
              <w:t>；</w:t>
            </w:r>
          </w:p>
          <w:p w14:paraId="148AFA5F">
            <w:pPr>
              <w:ind w:firstLine="0"/>
              <w:rPr>
                <w:rFonts w:ascii="仿宋_GB2312" w:eastAsia="仿宋_GB2312"/>
                <w:sz w:val="30"/>
                <w:szCs w:val="30"/>
                <w:lang w:eastAsia="en-US" w:bidi="en-US"/>
              </w:rPr>
            </w:pPr>
            <w:r>
              <w:rPr>
                <w:rFonts w:hint="eastAsia" w:ascii="仿宋_GB2312" w:eastAsia="仿宋_GB2312"/>
                <w:sz w:val="30"/>
                <w:szCs w:val="30"/>
                <w:lang w:eastAsia="en-US" w:bidi="en-US"/>
              </w:rPr>
              <w:t>标准合约：按季度标准保护费和部分前端费用相结合</w:t>
            </w:r>
          </w:p>
        </w:tc>
      </w:tr>
      <w:tr w14:paraId="1C608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7BAD3E3B">
            <w:pPr>
              <w:ind w:firstLine="0"/>
              <w:jc w:val="left"/>
              <w:rPr>
                <w:rFonts w:ascii="仿宋_GB2312" w:eastAsia="仿宋_GB2312"/>
                <w:sz w:val="30"/>
                <w:szCs w:val="30"/>
                <w:lang w:eastAsia="en-US" w:bidi="en-US"/>
              </w:rPr>
            </w:pPr>
            <w:r>
              <w:rPr>
                <w:rFonts w:hint="eastAsia" w:ascii="仿宋_GB2312" w:eastAsia="仿宋_GB2312"/>
                <w:sz w:val="30"/>
                <w:szCs w:val="30"/>
                <w:lang w:eastAsia="en-US" w:bidi="en-US"/>
              </w:rPr>
              <w:t>清算安排</w:t>
            </w:r>
          </w:p>
        </w:tc>
        <w:tc>
          <w:tcPr>
            <w:tcW w:w="6426" w:type="dxa"/>
          </w:tcPr>
          <w:p w14:paraId="1A48ECE0">
            <w:pPr>
              <w:ind w:firstLine="0"/>
              <w:rPr>
                <w:rFonts w:ascii="仿宋_GB2312" w:eastAsia="仿宋_GB2312"/>
                <w:sz w:val="30"/>
                <w:szCs w:val="30"/>
                <w:lang w:eastAsia="en-US" w:bidi="en-US"/>
              </w:rPr>
            </w:pPr>
            <w:r>
              <w:rPr>
                <w:rFonts w:hint="eastAsia" w:ascii="仿宋_GB2312" w:eastAsia="仿宋_GB2312"/>
                <w:sz w:val="30"/>
                <w:szCs w:val="30"/>
                <w:lang w:eastAsia="en-US" w:bidi="en-US"/>
              </w:rPr>
              <w:t>双边清算</w:t>
            </w:r>
          </w:p>
        </w:tc>
      </w:tr>
      <w:tr w14:paraId="2442C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vAlign w:val="center"/>
          </w:tcPr>
          <w:p w14:paraId="22DE5D3E">
            <w:pPr>
              <w:ind w:firstLine="0"/>
              <w:jc w:val="left"/>
              <w:rPr>
                <w:rFonts w:ascii="仿宋_GB2312" w:eastAsia="仿宋_GB2312"/>
                <w:sz w:val="30"/>
                <w:szCs w:val="30"/>
                <w:lang w:eastAsia="en-US" w:bidi="en-US"/>
              </w:rPr>
            </w:pPr>
            <w:r>
              <w:rPr>
                <w:rFonts w:hint="eastAsia" w:ascii="仿宋_GB2312" w:eastAsia="仿宋_GB2312"/>
                <w:sz w:val="30"/>
                <w:szCs w:val="30"/>
                <w:lang w:eastAsia="en-US" w:bidi="en-US"/>
              </w:rPr>
              <w:t>信用事件类型</w:t>
            </w:r>
          </w:p>
        </w:tc>
        <w:tc>
          <w:tcPr>
            <w:tcW w:w="6426" w:type="dxa"/>
          </w:tcPr>
          <w:p w14:paraId="1B81BAEB">
            <w:pPr>
              <w:ind w:firstLine="0"/>
              <w:rPr>
                <w:rFonts w:ascii="仿宋_GB2312" w:eastAsia="仿宋_GB2312"/>
                <w:sz w:val="30"/>
                <w:szCs w:val="30"/>
                <w:lang w:eastAsia="en-US" w:bidi="en-US"/>
              </w:rPr>
            </w:pPr>
            <w:r>
              <w:rPr>
                <w:rFonts w:hint="eastAsia" w:ascii="仿宋_GB2312" w:eastAsia="仿宋_GB2312"/>
                <w:sz w:val="30"/>
                <w:szCs w:val="30"/>
                <w:lang w:eastAsia="en-US" w:bidi="en-US"/>
              </w:rPr>
              <w:t>破产和支付违约</w:t>
            </w:r>
          </w:p>
        </w:tc>
      </w:tr>
      <w:tr w14:paraId="45611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5" w:type="dxa"/>
          </w:tcPr>
          <w:p w14:paraId="1EE7A25C">
            <w:pPr>
              <w:ind w:firstLine="0"/>
              <w:jc w:val="left"/>
              <w:rPr>
                <w:rFonts w:ascii="仿宋_GB2312" w:eastAsia="仿宋_GB2312"/>
                <w:sz w:val="30"/>
                <w:szCs w:val="30"/>
                <w:lang w:eastAsia="en-US" w:bidi="en-US"/>
              </w:rPr>
            </w:pPr>
            <w:r>
              <w:rPr>
                <w:rFonts w:hint="eastAsia" w:ascii="仿宋_GB2312" w:eastAsia="仿宋_GB2312"/>
                <w:sz w:val="30"/>
                <w:szCs w:val="30"/>
                <w:lang w:eastAsia="en-US" w:bidi="en-US"/>
              </w:rPr>
              <w:t>结算方式</w:t>
            </w:r>
          </w:p>
        </w:tc>
        <w:tc>
          <w:tcPr>
            <w:tcW w:w="6426" w:type="dxa"/>
          </w:tcPr>
          <w:p w14:paraId="50B4A736">
            <w:pPr>
              <w:ind w:firstLine="0"/>
              <w:rPr>
                <w:rFonts w:ascii="仿宋_GB2312" w:eastAsia="仿宋_GB2312"/>
                <w:sz w:val="30"/>
                <w:szCs w:val="30"/>
                <w:lang w:eastAsia="en-US" w:bidi="en-US"/>
              </w:rPr>
            </w:pPr>
            <w:r>
              <w:rPr>
                <w:rFonts w:hint="eastAsia" w:ascii="仿宋_GB2312" w:eastAsia="仿宋_GB2312"/>
                <w:sz w:val="30"/>
                <w:szCs w:val="30"/>
                <w:lang w:eastAsia="en-US" w:bidi="en-US"/>
              </w:rPr>
              <w:t>现金结算/实物结算，其中</w:t>
            </w:r>
            <w:r>
              <w:rPr>
                <w:rFonts w:hint="eastAsia" w:eastAsia="仿宋_GB2312" w:cs="宋体"/>
                <w:sz w:val="30"/>
                <w:szCs w:val="30"/>
                <w:lang w:eastAsia="en-US" w:bidi="en-US"/>
              </w:rPr>
              <w:t>实物结算的可交付债务仅限于参考实体在上交所上市或挂牌的债券</w:t>
            </w:r>
          </w:p>
        </w:tc>
      </w:tr>
      <w:tr w14:paraId="440C8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5" w:type="dxa"/>
            <w:vAlign w:val="center"/>
          </w:tcPr>
          <w:p w14:paraId="42CBECCC">
            <w:pPr>
              <w:ind w:firstLine="0"/>
              <w:jc w:val="left"/>
              <w:rPr>
                <w:rFonts w:ascii="仿宋_GB2312" w:eastAsia="仿宋_GB2312"/>
                <w:sz w:val="30"/>
                <w:szCs w:val="30"/>
                <w:lang w:eastAsia="en-US" w:bidi="en-US"/>
              </w:rPr>
            </w:pPr>
            <w:r>
              <w:rPr>
                <w:rFonts w:hint="eastAsia" w:ascii="仿宋_GB2312" w:eastAsia="仿宋_GB2312"/>
                <w:sz w:val="30"/>
                <w:szCs w:val="30"/>
                <w:lang w:eastAsia="en-US" w:bidi="en-US"/>
              </w:rPr>
              <w:t>约定回收率</w:t>
            </w:r>
          </w:p>
        </w:tc>
        <w:tc>
          <w:tcPr>
            <w:tcW w:w="6426" w:type="dxa"/>
          </w:tcPr>
          <w:p w14:paraId="4A90195A">
            <w:pPr>
              <w:ind w:firstLine="0"/>
              <w:rPr>
                <w:rFonts w:ascii="仿宋_GB2312" w:eastAsia="仿宋_GB2312"/>
                <w:sz w:val="30"/>
                <w:szCs w:val="30"/>
                <w:lang w:eastAsia="en-US" w:bidi="en-US"/>
              </w:rPr>
            </w:pPr>
            <w:r>
              <w:rPr>
                <w:rFonts w:hint="eastAsia" w:ascii="仿宋_GB2312" w:eastAsia="仿宋_GB2312"/>
                <w:sz w:val="30"/>
                <w:szCs w:val="30"/>
                <w:lang w:eastAsia="en-US" w:bidi="en-US"/>
              </w:rPr>
              <w:t>参考回收率为25%</w:t>
            </w:r>
          </w:p>
        </w:tc>
      </w:tr>
    </w:tbl>
    <w:p w14:paraId="1FA9D693">
      <w:pPr>
        <w:spacing w:line="560" w:lineRule="exact"/>
        <w:rPr>
          <w:rFonts w:eastAsia="仿宋_GB2312"/>
          <w:sz w:val="30"/>
        </w:rPr>
      </w:pPr>
    </w:p>
    <w:p w14:paraId="2FC3C151">
      <w:pPr>
        <w:widowControl/>
        <w:jc w:val="left"/>
        <w:rPr>
          <w:rFonts w:eastAsia="仿宋_GB2312"/>
        </w:rPr>
      </w:pPr>
      <w:r>
        <w:rPr>
          <w:rFonts w:hint="eastAsia" w:eastAsia="仿宋_GB2312"/>
        </w:rPr>
        <w:t>*交易所</w:t>
      </w:r>
      <w:r>
        <w:rPr>
          <w:rFonts w:eastAsia="仿宋_GB2312"/>
        </w:rPr>
        <w:t>大型发行人CDX和交易所民企CDX</w:t>
      </w:r>
      <w:r>
        <w:rPr>
          <w:rFonts w:hint="eastAsia" w:eastAsia="仿宋_GB2312"/>
        </w:rPr>
        <w:t>的</w:t>
      </w:r>
      <w:r>
        <w:rPr>
          <w:rFonts w:eastAsia="仿宋_GB2312"/>
        </w:rPr>
        <w:t>组合编制方案、组合名单</w:t>
      </w:r>
      <w:r>
        <w:rPr>
          <w:rFonts w:hint="eastAsia" w:eastAsia="仿宋_GB2312"/>
        </w:rPr>
        <w:t>以及信用</w:t>
      </w:r>
      <w:r>
        <w:rPr>
          <w:rFonts w:eastAsia="仿宋_GB2312"/>
        </w:rPr>
        <w:t>曲线等信息均可</w:t>
      </w:r>
      <w:r>
        <w:rPr>
          <w:rFonts w:hint="eastAsia" w:eastAsia="仿宋_GB2312"/>
        </w:rPr>
        <w:t>于中证</w:t>
      </w:r>
      <w:r>
        <w:rPr>
          <w:rFonts w:eastAsia="仿宋_GB2312"/>
        </w:rPr>
        <w:t>指数有限公司网站查看。</w:t>
      </w:r>
    </w:p>
    <w:p w14:paraId="4C1B83AB">
      <w:r>
        <w:br w:type="page"/>
      </w:r>
    </w:p>
    <w:p w14:paraId="62B93C5F">
      <w:pPr>
        <w:widowControl/>
        <w:jc w:val="left"/>
        <w:outlineLvl w:val="1"/>
        <w:rPr>
          <w:rFonts w:ascii="仿宋_GB2312" w:hAnsi="黑体" w:eastAsia="仿宋_GB2312"/>
          <w:b/>
          <w:sz w:val="30"/>
          <w:szCs w:val="30"/>
        </w:rPr>
      </w:pPr>
      <w:bookmarkStart w:id="4123" w:name="_Toc1637086671"/>
      <w:bookmarkStart w:id="4124" w:name="_Toc151137108"/>
      <w:bookmarkStart w:id="4125" w:name="_Toc1273696399"/>
      <w:bookmarkStart w:id="4126" w:name="_Toc2038193489"/>
      <w:bookmarkStart w:id="4127" w:name="_Toc364322089"/>
      <w:bookmarkStart w:id="4128" w:name="_Toc1227426484"/>
      <w:bookmarkStart w:id="4129" w:name="_Toc1615809724"/>
      <w:r>
        <w:rPr>
          <w:rFonts w:hint="eastAsia" w:ascii="仿宋_GB2312" w:hAnsi="黑体" w:eastAsia="仿宋_GB2312"/>
          <w:b/>
          <w:sz w:val="30"/>
          <w:szCs w:val="30"/>
        </w:rPr>
        <w:t>附件25 信用保护凭证创设说明书参考格式</w:t>
      </w:r>
      <w:bookmarkEnd w:id="4123"/>
      <w:bookmarkEnd w:id="4124"/>
      <w:bookmarkEnd w:id="4125"/>
      <w:bookmarkEnd w:id="4126"/>
      <w:bookmarkEnd w:id="4127"/>
      <w:bookmarkEnd w:id="4128"/>
      <w:bookmarkEnd w:id="4129"/>
    </w:p>
    <w:p w14:paraId="2C400A94">
      <w:pPr>
        <w:spacing w:line="600" w:lineRule="exact"/>
        <w:jc w:val="left"/>
        <w:rPr>
          <w:rFonts w:ascii="仿宋_GB2312" w:hAnsi="仿宋" w:eastAsia="仿宋_GB2312"/>
          <w:b/>
          <w:bCs/>
          <w:sz w:val="30"/>
          <w:szCs w:val="30"/>
        </w:rPr>
      </w:pPr>
    </w:p>
    <w:p w14:paraId="74C615D4">
      <w:pPr>
        <w:pStyle w:val="100"/>
        <w:spacing w:line="560" w:lineRule="exact"/>
        <w:ind w:firstLine="641"/>
        <w:jc w:val="center"/>
        <w:rPr>
          <w:rFonts w:ascii="黑体" w:hAnsi="黑体" w:eastAsia="黑体"/>
          <w:b/>
          <w:color w:val="auto"/>
          <w:sz w:val="44"/>
          <w:szCs w:val="44"/>
        </w:rPr>
      </w:pPr>
      <w:r>
        <w:rPr>
          <w:rFonts w:ascii="黑体" w:hAnsi="黑体" w:eastAsia="黑体"/>
          <w:b/>
          <w:color w:val="auto"/>
          <w:sz w:val="44"/>
          <w:szCs w:val="44"/>
        </w:rPr>
        <w:t>XXXX</w:t>
      </w:r>
      <w:r>
        <w:rPr>
          <w:rStyle w:val="53"/>
          <w:rFonts w:ascii="黑体" w:hAnsi="黑体" w:eastAsia="黑体"/>
          <w:b/>
          <w:color w:val="auto"/>
          <w:sz w:val="44"/>
          <w:szCs w:val="44"/>
        </w:rPr>
        <w:footnoteReference w:id="3"/>
      </w:r>
      <w:r>
        <w:rPr>
          <w:rFonts w:hint="eastAsia" w:ascii="黑体" w:hAnsi="黑体" w:eastAsia="黑体"/>
          <w:b/>
          <w:color w:val="auto"/>
          <w:sz w:val="44"/>
          <w:szCs w:val="44"/>
        </w:rPr>
        <w:t>信用保护凭证创设说明书</w:t>
      </w:r>
    </w:p>
    <w:p w14:paraId="017E4E1B">
      <w:pPr>
        <w:pStyle w:val="17"/>
        <w:jc w:val="center"/>
        <w:rPr>
          <w:b/>
          <w:sz w:val="30"/>
          <w:szCs w:val="30"/>
        </w:rPr>
      </w:pPr>
      <w:r>
        <w:rPr>
          <w:rFonts w:hint="eastAsia" w:eastAsia="仿宋_GB2312"/>
          <w:b/>
          <w:sz w:val="30"/>
          <w:szCs w:val="30"/>
        </w:rPr>
        <w:t>创设说明书封面和目录</w:t>
      </w:r>
    </w:p>
    <w:p w14:paraId="5EEC8DA7">
      <w:pPr>
        <w:spacing w:line="560" w:lineRule="exact"/>
        <w:ind w:firstLine="600" w:firstLineChars="200"/>
        <w:rPr>
          <w:rFonts w:eastAsia="仿宋_GB2312"/>
          <w:sz w:val="30"/>
          <w:szCs w:val="30"/>
        </w:rPr>
      </w:pPr>
      <w:r>
        <w:rPr>
          <w:rFonts w:hint="eastAsia" w:eastAsia="仿宋_GB2312"/>
          <w:sz w:val="30"/>
          <w:szCs w:val="30"/>
        </w:rPr>
        <w:t>创设说明书封面应当标有“</w:t>
      </w:r>
      <w:r>
        <w:rPr>
          <w:rFonts w:eastAsia="仿宋_GB2312"/>
          <w:sz w:val="30"/>
          <w:szCs w:val="30"/>
        </w:rPr>
        <w:t>XX</w:t>
      </w:r>
      <w:r>
        <w:rPr>
          <w:rFonts w:hint="eastAsia" w:eastAsia="仿宋_GB2312"/>
          <w:sz w:val="30"/>
          <w:szCs w:val="30"/>
        </w:rPr>
        <w:t>信用保护凭证创设说明书</w:t>
      </w:r>
      <w:r>
        <w:rPr>
          <w:rFonts w:eastAsia="仿宋_GB2312"/>
          <w:sz w:val="30"/>
          <w:szCs w:val="30"/>
        </w:rPr>
        <w:t>”</w:t>
      </w:r>
      <w:r>
        <w:rPr>
          <w:rFonts w:hint="eastAsia" w:eastAsia="仿宋_GB2312"/>
          <w:sz w:val="30"/>
          <w:szCs w:val="30"/>
        </w:rPr>
        <w:t>的字样。封面下端应当标明创设机构的全称、时间以及创设机构签章。</w:t>
      </w:r>
    </w:p>
    <w:p w14:paraId="3653A4FA">
      <w:pPr>
        <w:spacing w:line="560" w:lineRule="exact"/>
        <w:ind w:firstLine="600" w:firstLineChars="200"/>
        <w:rPr>
          <w:rFonts w:eastAsia="仿宋_GB2312"/>
          <w:b/>
          <w:sz w:val="30"/>
          <w:szCs w:val="30"/>
        </w:rPr>
      </w:pPr>
      <w:r>
        <w:rPr>
          <w:rFonts w:hint="eastAsia" w:eastAsia="仿宋_GB2312"/>
          <w:sz w:val="30"/>
          <w:szCs w:val="30"/>
        </w:rPr>
        <w:t>创设机构应当在创设说明书的扉页提示投资者：</w:t>
      </w:r>
      <w:r>
        <w:rPr>
          <w:rFonts w:hint="eastAsia" w:eastAsia="仿宋_GB2312"/>
          <w:b/>
          <w:sz w:val="30"/>
          <w:szCs w:val="30"/>
        </w:rPr>
        <w:t>“上海证券交易所同意信用保护凭证的挂牌转让，并不代表对其投资风险、价值或收益作出任何判断或保证。投资者应当认真阅读有关信息披露文件，进行独立的投资判断，自行承担投资风险。”</w:t>
      </w:r>
    </w:p>
    <w:p w14:paraId="06B816DC">
      <w:pPr>
        <w:spacing w:line="560" w:lineRule="exact"/>
        <w:ind w:firstLine="600" w:firstLineChars="200"/>
        <w:rPr>
          <w:rFonts w:eastAsia="仿宋_GB2312"/>
          <w:sz w:val="30"/>
          <w:szCs w:val="30"/>
        </w:rPr>
      </w:pPr>
      <w:r>
        <w:rPr>
          <w:rFonts w:hint="eastAsia" w:eastAsia="仿宋_GB2312"/>
          <w:sz w:val="30"/>
          <w:szCs w:val="30"/>
        </w:rPr>
        <w:t>创设说明书释义应在目录次页排印，对创设说明书中的有关机构简称、代称、专有名词、专业名词进行准确、简要定义。</w:t>
      </w:r>
    </w:p>
    <w:p w14:paraId="01B619AB">
      <w:pPr>
        <w:spacing w:line="560" w:lineRule="exact"/>
        <w:ind w:firstLine="482"/>
        <w:rPr>
          <w:rFonts w:eastAsia="仿宋_GB2312"/>
          <w:sz w:val="30"/>
          <w:szCs w:val="30"/>
        </w:rPr>
      </w:pPr>
    </w:p>
    <w:p w14:paraId="2BFF87C9">
      <w:pPr>
        <w:widowControl/>
        <w:spacing w:line="560" w:lineRule="exact"/>
        <w:jc w:val="left"/>
        <w:rPr>
          <w:rFonts w:eastAsia="仿宋_GB2312" w:cstheme="majorBidi"/>
          <w:b/>
          <w:bCs/>
          <w:sz w:val="30"/>
          <w:szCs w:val="30"/>
        </w:rPr>
      </w:pPr>
      <w:r>
        <w:rPr>
          <w:rFonts w:eastAsia="仿宋_GB2312"/>
          <w:sz w:val="30"/>
          <w:szCs w:val="30"/>
        </w:rPr>
        <w:br w:type="page"/>
      </w:r>
    </w:p>
    <w:p w14:paraId="2F972C7E">
      <w:pPr>
        <w:pStyle w:val="17"/>
        <w:jc w:val="center"/>
        <w:rPr>
          <w:rFonts w:ascii="仿宋_GB2312" w:eastAsia="仿宋_GB2312"/>
          <w:sz w:val="30"/>
          <w:szCs w:val="30"/>
        </w:rPr>
      </w:pPr>
      <w:r>
        <w:rPr>
          <w:rFonts w:hint="eastAsia" w:ascii="仿宋_GB2312" w:eastAsia="仿宋_GB2312"/>
          <w:b/>
          <w:sz w:val="30"/>
          <w:szCs w:val="30"/>
        </w:rPr>
        <w:t>创设说明书正文</w:t>
      </w:r>
    </w:p>
    <w:p w14:paraId="63E1A8D5">
      <w:pPr>
        <w:pStyle w:val="100"/>
        <w:spacing w:line="560" w:lineRule="exact"/>
        <w:rPr>
          <w:rFonts w:cs="Calibri"/>
          <w:b/>
          <w:color w:val="auto"/>
          <w:sz w:val="30"/>
          <w:szCs w:val="30"/>
        </w:rPr>
      </w:pPr>
      <w:r>
        <w:rPr>
          <w:rFonts w:hint="eastAsia"/>
          <w:b/>
          <w:color w:val="auto"/>
          <w:sz w:val="30"/>
          <w:szCs w:val="30"/>
        </w:rPr>
        <w:t>第一节</w:t>
      </w:r>
      <w:r>
        <w:rPr>
          <w:b/>
          <w:color w:val="auto"/>
          <w:sz w:val="30"/>
          <w:szCs w:val="30"/>
        </w:rPr>
        <w:t xml:space="preserve"> </w:t>
      </w:r>
      <w:r>
        <w:rPr>
          <w:rFonts w:hint="eastAsia"/>
          <w:b/>
          <w:color w:val="auto"/>
          <w:sz w:val="30"/>
          <w:szCs w:val="30"/>
        </w:rPr>
        <w:t>本期凭证创设情况</w:t>
      </w:r>
      <w:r>
        <w:rPr>
          <w:rFonts w:cs="Calibri"/>
          <w:b/>
          <w:bCs/>
          <w:color w:val="auto"/>
          <w:sz w:val="30"/>
          <w:szCs w:val="30"/>
        </w:rPr>
        <w:t xml:space="preserve"> </w:t>
      </w:r>
    </w:p>
    <w:p w14:paraId="2CCAB0EA">
      <w:pPr>
        <w:pStyle w:val="100"/>
        <w:spacing w:line="560" w:lineRule="exact"/>
        <w:rPr>
          <w:rFonts w:cs="Calibri"/>
          <w:b/>
          <w:bCs/>
          <w:color w:val="auto"/>
          <w:sz w:val="30"/>
          <w:szCs w:val="30"/>
        </w:rPr>
      </w:pPr>
      <w:r>
        <w:rPr>
          <w:color w:val="auto"/>
          <w:sz w:val="30"/>
          <w:szCs w:val="30"/>
        </w:rPr>
        <w:t xml:space="preserve">1.1 </w:t>
      </w:r>
      <w:r>
        <w:rPr>
          <w:rFonts w:hint="eastAsia"/>
          <w:color w:val="auto"/>
          <w:sz w:val="30"/>
          <w:szCs w:val="30"/>
        </w:rPr>
        <w:t>创设机构基本情况</w:t>
      </w:r>
      <w:r>
        <w:rPr>
          <w:color w:val="auto"/>
          <w:sz w:val="30"/>
          <w:szCs w:val="30"/>
        </w:rPr>
        <w:t xml:space="preserve"> </w:t>
      </w:r>
    </w:p>
    <w:p w14:paraId="377EC7D8">
      <w:pPr>
        <w:pStyle w:val="100"/>
        <w:spacing w:line="560" w:lineRule="exact"/>
        <w:ind w:firstLine="600" w:firstLineChars="200"/>
        <w:rPr>
          <w:rFonts w:cs="Calibri"/>
          <w:b/>
          <w:bCs/>
          <w:color w:val="auto"/>
          <w:sz w:val="30"/>
          <w:szCs w:val="30"/>
        </w:rPr>
      </w:pPr>
      <w:r>
        <w:rPr>
          <w:rFonts w:hint="eastAsia"/>
          <w:color w:val="auto"/>
          <w:sz w:val="30"/>
          <w:szCs w:val="30"/>
        </w:rPr>
        <w:t>包括凭证创设机构的中英文名称等。</w:t>
      </w:r>
    </w:p>
    <w:p w14:paraId="0EDC6512">
      <w:pPr>
        <w:pStyle w:val="100"/>
        <w:spacing w:line="560" w:lineRule="exact"/>
        <w:rPr>
          <w:rFonts w:cs="Calibri"/>
          <w:bCs/>
          <w:color w:val="auto"/>
          <w:sz w:val="30"/>
          <w:szCs w:val="30"/>
        </w:rPr>
      </w:pPr>
      <w:r>
        <w:rPr>
          <w:rFonts w:cs="Calibri"/>
          <w:bCs/>
          <w:color w:val="auto"/>
          <w:sz w:val="30"/>
          <w:szCs w:val="30"/>
        </w:rPr>
        <w:t xml:space="preserve">1.2 </w:t>
      </w:r>
      <w:r>
        <w:rPr>
          <w:rFonts w:hint="eastAsia" w:cs="Calibri"/>
          <w:bCs/>
          <w:color w:val="auto"/>
          <w:sz w:val="30"/>
          <w:szCs w:val="30"/>
        </w:rPr>
        <w:t>本期凭证创设基本情况</w:t>
      </w:r>
    </w:p>
    <w:p w14:paraId="20FB1954">
      <w:pPr>
        <w:pStyle w:val="100"/>
        <w:spacing w:line="560" w:lineRule="exact"/>
        <w:ind w:firstLine="600" w:firstLineChars="200"/>
        <w:jc w:val="both"/>
        <w:rPr>
          <w:rFonts w:cs="Calibri"/>
          <w:bCs/>
          <w:color w:val="auto"/>
          <w:sz w:val="30"/>
          <w:szCs w:val="30"/>
        </w:rPr>
      </w:pPr>
      <w:r>
        <w:rPr>
          <w:rFonts w:hint="eastAsia"/>
          <w:color w:val="auto"/>
          <w:sz w:val="30"/>
          <w:szCs w:val="30"/>
        </w:rPr>
        <w:t>包括凭证名称，备案的交易场所、名义本金，信用保护期限等。</w:t>
      </w:r>
    </w:p>
    <w:p w14:paraId="19536975">
      <w:pPr>
        <w:pStyle w:val="100"/>
        <w:spacing w:line="560" w:lineRule="exact"/>
        <w:rPr>
          <w:rFonts w:cs="Calibri"/>
          <w:b/>
          <w:color w:val="auto"/>
          <w:sz w:val="30"/>
          <w:szCs w:val="30"/>
        </w:rPr>
      </w:pPr>
      <w:r>
        <w:rPr>
          <w:rFonts w:hint="eastAsia"/>
          <w:b/>
          <w:color w:val="auto"/>
          <w:sz w:val="30"/>
          <w:szCs w:val="30"/>
        </w:rPr>
        <w:t>第二节</w:t>
      </w:r>
      <w:r>
        <w:rPr>
          <w:b/>
          <w:color w:val="auto"/>
          <w:sz w:val="30"/>
          <w:szCs w:val="30"/>
        </w:rPr>
        <w:t xml:space="preserve"> </w:t>
      </w:r>
      <w:r>
        <w:rPr>
          <w:rFonts w:hint="eastAsia"/>
          <w:b/>
          <w:color w:val="auto"/>
          <w:sz w:val="30"/>
          <w:szCs w:val="30"/>
        </w:rPr>
        <w:t>凭证的创设条款与流通交易</w:t>
      </w:r>
      <w:r>
        <w:rPr>
          <w:b/>
          <w:color w:val="auto"/>
          <w:sz w:val="30"/>
          <w:szCs w:val="30"/>
        </w:rPr>
        <w:t xml:space="preserve"> </w:t>
      </w:r>
    </w:p>
    <w:p w14:paraId="3DFAFAC7">
      <w:pPr>
        <w:pStyle w:val="100"/>
        <w:spacing w:line="560" w:lineRule="exact"/>
        <w:rPr>
          <w:color w:val="auto"/>
          <w:sz w:val="30"/>
          <w:szCs w:val="30"/>
        </w:rPr>
      </w:pPr>
      <w:r>
        <w:rPr>
          <w:color w:val="auto"/>
          <w:sz w:val="30"/>
          <w:szCs w:val="30"/>
        </w:rPr>
        <w:t xml:space="preserve">2.1 </w:t>
      </w:r>
      <w:r>
        <w:rPr>
          <w:rFonts w:hint="eastAsia"/>
          <w:color w:val="auto"/>
          <w:sz w:val="30"/>
          <w:szCs w:val="30"/>
        </w:rPr>
        <w:t>凭证的创设条款</w:t>
      </w:r>
      <w:r>
        <w:rPr>
          <w:color w:val="auto"/>
          <w:sz w:val="30"/>
          <w:szCs w:val="30"/>
        </w:rPr>
        <w:t xml:space="preserve"> </w:t>
      </w:r>
    </w:p>
    <w:p w14:paraId="5584510A">
      <w:pPr>
        <w:pStyle w:val="100"/>
        <w:spacing w:line="560" w:lineRule="exact"/>
        <w:ind w:firstLine="600" w:firstLineChars="200"/>
        <w:jc w:val="both"/>
        <w:rPr>
          <w:sz w:val="30"/>
          <w:szCs w:val="30"/>
        </w:rPr>
      </w:pPr>
      <w:r>
        <w:rPr>
          <w:rFonts w:hint="eastAsia"/>
          <w:color w:val="auto"/>
          <w:sz w:val="30"/>
          <w:szCs w:val="30"/>
        </w:rPr>
        <w:t>包括凭证全称、创设机构、名义本金总额、参考实体、受保护债务、可交付债务、信用保护期限、起始日、到期日、投资者范围、簿记建档日、缴款日、凭证登记日、上市流通日、凭证创设价格、簿记建档费率区间（年化）、计费年度天数、付费方式、信用事件、结算方式、凭证托管机构等。</w:t>
      </w:r>
    </w:p>
    <w:p w14:paraId="1B01F750">
      <w:pPr>
        <w:pStyle w:val="100"/>
        <w:spacing w:line="560" w:lineRule="exact"/>
        <w:rPr>
          <w:color w:val="auto"/>
          <w:sz w:val="30"/>
          <w:szCs w:val="30"/>
        </w:rPr>
      </w:pPr>
      <w:r>
        <w:rPr>
          <w:color w:val="auto"/>
          <w:sz w:val="30"/>
          <w:szCs w:val="30"/>
        </w:rPr>
        <w:t xml:space="preserve">2.2 </w:t>
      </w:r>
      <w:r>
        <w:rPr>
          <w:rFonts w:hint="eastAsia"/>
          <w:color w:val="auto"/>
          <w:sz w:val="30"/>
          <w:szCs w:val="30"/>
        </w:rPr>
        <w:t>凭证的簿记建档安排</w:t>
      </w:r>
      <w:r>
        <w:rPr>
          <w:color w:val="auto"/>
          <w:sz w:val="30"/>
          <w:szCs w:val="30"/>
        </w:rPr>
        <w:t xml:space="preserve"> </w:t>
      </w:r>
    </w:p>
    <w:p w14:paraId="0F999B5C">
      <w:pPr>
        <w:autoSpaceDE w:val="0"/>
        <w:autoSpaceDN w:val="0"/>
        <w:adjustRightInd w:val="0"/>
        <w:spacing w:line="560" w:lineRule="exact"/>
        <w:ind w:firstLine="600" w:firstLineChars="200"/>
        <w:rPr>
          <w:rFonts w:ascii="仿宋_GB2312" w:eastAsia="仿宋_GB2312" w:cs="楷体"/>
          <w:bCs/>
          <w:kern w:val="0"/>
          <w:sz w:val="30"/>
          <w:szCs w:val="30"/>
        </w:rPr>
      </w:pPr>
      <w:r>
        <w:rPr>
          <w:rFonts w:hint="eastAsia" w:ascii="仿宋_GB2312" w:eastAsia="仿宋_GB2312" w:cs="楷体"/>
          <w:bCs/>
          <w:kern w:val="0"/>
          <w:sz w:val="30"/>
          <w:szCs w:val="30"/>
        </w:rPr>
        <w:t>包括凭证簿记建档管理人及联系人、簿记场所；凭证预配售时间、发送预配售通知的安排；凭证的正式配售安排、正式配售的通知；凭证的定价、配售原则与方式、不予配售的情况等。</w:t>
      </w:r>
    </w:p>
    <w:p w14:paraId="3A82040E">
      <w:pPr>
        <w:pStyle w:val="100"/>
        <w:spacing w:line="560" w:lineRule="exact"/>
        <w:rPr>
          <w:color w:val="auto"/>
          <w:sz w:val="30"/>
          <w:szCs w:val="30"/>
        </w:rPr>
      </w:pPr>
      <w:r>
        <w:rPr>
          <w:color w:val="auto"/>
          <w:sz w:val="30"/>
          <w:szCs w:val="30"/>
        </w:rPr>
        <w:t xml:space="preserve">2.3 </w:t>
      </w:r>
      <w:r>
        <w:rPr>
          <w:rFonts w:hint="eastAsia"/>
          <w:color w:val="auto"/>
          <w:sz w:val="30"/>
          <w:szCs w:val="30"/>
        </w:rPr>
        <w:t>凭证登记托管安排</w:t>
      </w:r>
      <w:r>
        <w:rPr>
          <w:color w:val="auto"/>
          <w:sz w:val="30"/>
          <w:szCs w:val="30"/>
        </w:rPr>
        <w:t xml:space="preserve"> </w:t>
      </w:r>
    </w:p>
    <w:p w14:paraId="1F957687">
      <w:pPr>
        <w:autoSpaceDE w:val="0"/>
        <w:autoSpaceDN w:val="0"/>
        <w:adjustRightInd w:val="0"/>
        <w:spacing w:line="560" w:lineRule="exact"/>
        <w:ind w:firstLine="600" w:firstLineChars="200"/>
        <w:rPr>
          <w:rFonts w:cs="楷体"/>
          <w:bCs/>
          <w:sz w:val="30"/>
          <w:szCs w:val="30"/>
        </w:rPr>
      </w:pPr>
      <w:r>
        <w:rPr>
          <w:rFonts w:hint="eastAsia" w:ascii="仿宋_GB2312" w:eastAsia="仿宋_GB2312" w:cs="楷体"/>
          <w:bCs/>
          <w:kern w:val="0"/>
          <w:sz w:val="30"/>
          <w:szCs w:val="30"/>
        </w:rPr>
        <w:t>包括登记托管机构名称和托管机构的服务内容。</w:t>
      </w:r>
    </w:p>
    <w:p w14:paraId="4D39B63F">
      <w:pPr>
        <w:pStyle w:val="100"/>
        <w:spacing w:line="560" w:lineRule="exact"/>
        <w:rPr>
          <w:color w:val="auto"/>
          <w:sz w:val="30"/>
          <w:szCs w:val="30"/>
        </w:rPr>
      </w:pPr>
      <w:r>
        <w:rPr>
          <w:color w:val="auto"/>
          <w:sz w:val="30"/>
          <w:szCs w:val="30"/>
        </w:rPr>
        <w:t xml:space="preserve">2.4 </w:t>
      </w:r>
      <w:r>
        <w:rPr>
          <w:rFonts w:hint="eastAsia"/>
          <w:color w:val="auto"/>
          <w:sz w:val="30"/>
          <w:szCs w:val="30"/>
        </w:rPr>
        <w:t>信用保护费支付安排</w:t>
      </w:r>
      <w:r>
        <w:rPr>
          <w:color w:val="auto"/>
          <w:sz w:val="30"/>
          <w:szCs w:val="30"/>
        </w:rPr>
        <w:t xml:space="preserve"> </w:t>
      </w:r>
    </w:p>
    <w:p w14:paraId="6EFCE49D">
      <w:pPr>
        <w:autoSpaceDE w:val="0"/>
        <w:autoSpaceDN w:val="0"/>
        <w:adjustRightInd w:val="0"/>
        <w:spacing w:line="560" w:lineRule="exact"/>
        <w:ind w:firstLine="600" w:firstLineChars="200"/>
        <w:rPr>
          <w:rFonts w:ascii="仿宋_GB2312" w:eastAsia="仿宋_GB2312" w:cs="楷体"/>
          <w:bCs/>
          <w:sz w:val="30"/>
          <w:szCs w:val="30"/>
        </w:rPr>
      </w:pPr>
      <w:r>
        <w:rPr>
          <w:rFonts w:hint="eastAsia" w:ascii="仿宋_GB2312" w:eastAsia="仿宋_GB2312" w:cs="楷体"/>
          <w:bCs/>
          <w:kern w:val="0"/>
          <w:sz w:val="30"/>
          <w:szCs w:val="30"/>
        </w:rPr>
        <w:t>包括保护费支付的账户名称、开户行、账号等信息。</w:t>
      </w:r>
    </w:p>
    <w:p w14:paraId="08D2FE7C">
      <w:pPr>
        <w:pStyle w:val="100"/>
        <w:spacing w:line="560" w:lineRule="exact"/>
        <w:rPr>
          <w:color w:val="auto"/>
          <w:sz w:val="30"/>
          <w:szCs w:val="30"/>
        </w:rPr>
      </w:pPr>
      <w:r>
        <w:rPr>
          <w:color w:val="auto"/>
          <w:sz w:val="30"/>
          <w:szCs w:val="30"/>
        </w:rPr>
        <w:t xml:space="preserve">2.5 </w:t>
      </w:r>
      <w:r>
        <w:rPr>
          <w:rFonts w:hint="eastAsia"/>
          <w:color w:val="auto"/>
          <w:sz w:val="30"/>
          <w:szCs w:val="30"/>
        </w:rPr>
        <w:t>凭证的流通交易</w:t>
      </w:r>
      <w:r>
        <w:rPr>
          <w:color w:val="auto"/>
          <w:sz w:val="30"/>
          <w:szCs w:val="30"/>
        </w:rPr>
        <w:t xml:space="preserve"> </w:t>
      </w:r>
    </w:p>
    <w:p w14:paraId="6E2DD25A">
      <w:pPr>
        <w:autoSpaceDE w:val="0"/>
        <w:autoSpaceDN w:val="0"/>
        <w:adjustRightInd w:val="0"/>
        <w:spacing w:line="560" w:lineRule="exact"/>
        <w:ind w:firstLine="600" w:firstLineChars="200"/>
        <w:rPr>
          <w:rFonts w:cs="楷体"/>
          <w:bCs/>
          <w:sz w:val="30"/>
          <w:szCs w:val="30"/>
        </w:rPr>
      </w:pPr>
      <w:r>
        <w:rPr>
          <w:rFonts w:hint="eastAsia" w:ascii="仿宋_GB2312" w:eastAsia="仿宋_GB2312" w:cs="楷体"/>
          <w:bCs/>
          <w:kern w:val="0"/>
          <w:sz w:val="30"/>
          <w:szCs w:val="30"/>
        </w:rPr>
        <w:t>包括凭证挂牌交易场所及交易平台。</w:t>
      </w:r>
    </w:p>
    <w:p w14:paraId="5E61E96D">
      <w:pPr>
        <w:pStyle w:val="100"/>
        <w:spacing w:line="560" w:lineRule="exact"/>
        <w:rPr>
          <w:color w:val="auto"/>
          <w:sz w:val="30"/>
          <w:szCs w:val="30"/>
        </w:rPr>
      </w:pPr>
      <w:r>
        <w:rPr>
          <w:color w:val="auto"/>
          <w:sz w:val="30"/>
          <w:szCs w:val="30"/>
        </w:rPr>
        <w:t xml:space="preserve">2.6 </w:t>
      </w:r>
      <w:r>
        <w:rPr>
          <w:rFonts w:hint="eastAsia"/>
          <w:color w:val="auto"/>
          <w:sz w:val="30"/>
          <w:szCs w:val="30"/>
        </w:rPr>
        <w:t>其他事项说明</w:t>
      </w:r>
    </w:p>
    <w:p w14:paraId="702389AD">
      <w:pPr>
        <w:pStyle w:val="100"/>
        <w:spacing w:line="560" w:lineRule="exact"/>
        <w:rPr>
          <w:rFonts w:cs="Calibri"/>
          <w:b/>
          <w:color w:val="auto"/>
          <w:sz w:val="30"/>
          <w:szCs w:val="30"/>
        </w:rPr>
      </w:pPr>
      <w:r>
        <w:rPr>
          <w:rFonts w:hint="eastAsia"/>
          <w:b/>
          <w:color w:val="auto"/>
          <w:sz w:val="30"/>
          <w:szCs w:val="30"/>
        </w:rPr>
        <w:t>第三节</w:t>
      </w:r>
      <w:r>
        <w:rPr>
          <w:b/>
          <w:color w:val="auto"/>
          <w:sz w:val="30"/>
          <w:szCs w:val="30"/>
        </w:rPr>
        <w:t xml:space="preserve"> </w:t>
      </w:r>
      <w:r>
        <w:rPr>
          <w:rFonts w:hint="eastAsia"/>
          <w:b/>
          <w:color w:val="auto"/>
          <w:sz w:val="30"/>
          <w:szCs w:val="30"/>
        </w:rPr>
        <w:t>创设机构基本情况</w:t>
      </w:r>
      <w:r>
        <w:rPr>
          <w:b/>
          <w:color w:val="auto"/>
          <w:sz w:val="30"/>
          <w:szCs w:val="30"/>
        </w:rPr>
        <w:t xml:space="preserve"> </w:t>
      </w:r>
      <w:r>
        <w:rPr>
          <w:rFonts w:cs="Calibri"/>
          <w:b/>
          <w:bCs/>
          <w:color w:val="auto"/>
          <w:sz w:val="30"/>
          <w:szCs w:val="30"/>
        </w:rPr>
        <w:t xml:space="preserve"> </w:t>
      </w:r>
    </w:p>
    <w:p w14:paraId="377C24AE">
      <w:pPr>
        <w:pStyle w:val="100"/>
        <w:spacing w:line="560" w:lineRule="exact"/>
        <w:rPr>
          <w:color w:val="auto"/>
          <w:sz w:val="30"/>
          <w:szCs w:val="30"/>
        </w:rPr>
      </w:pPr>
      <w:r>
        <w:rPr>
          <w:color w:val="auto"/>
          <w:sz w:val="30"/>
          <w:szCs w:val="30"/>
        </w:rPr>
        <w:t xml:space="preserve">3.1 </w:t>
      </w:r>
      <w:r>
        <w:rPr>
          <w:rFonts w:hint="eastAsia"/>
          <w:color w:val="auto"/>
          <w:sz w:val="30"/>
          <w:szCs w:val="30"/>
        </w:rPr>
        <w:t>创设机构基本情况</w:t>
      </w:r>
      <w:r>
        <w:rPr>
          <w:color w:val="auto"/>
          <w:sz w:val="30"/>
          <w:szCs w:val="30"/>
        </w:rPr>
        <w:t xml:space="preserve"> </w:t>
      </w:r>
    </w:p>
    <w:p w14:paraId="5C20D21C">
      <w:pPr>
        <w:pStyle w:val="100"/>
        <w:spacing w:line="560" w:lineRule="exact"/>
        <w:ind w:firstLine="600" w:firstLineChars="200"/>
        <w:rPr>
          <w:rFonts w:hAnsi="Times New Roman" w:cs="楷体"/>
          <w:bCs/>
          <w:color w:val="auto"/>
          <w:sz w:val="30"/>
          <w:szCs w:val="30"/>
        </w:rPr>
      </w:pPr>
      <w:r>
        <w:rPr>
          <w:rFonts w:hint="eastAsia" w:hAnsi="Times New Roman" w:cs="楷体"/>
          <w:bCs/>
          <w:color w:val="auto"/>
          <w:sz w:val="30"/>
          <w:szCs w:val="30"/>
        </w:rPr>
        <w:t>包括公司名称、法定代表人、设立日期、注册资本、实缴资本、住所、邮编、联系人及其联系方式、所属行业、经营范围、主管部门批准的业务资格与资质等。</w:t>
      </w:r>
    </w:p>
    <w:p w14:paraId="68B359C6">
      <w:pPr>
        <w:pStyle w:val="100"/>
        <w:spacing w:line="560" w:lineRule="exact"/>
        <w:rPr>
          <w:rFonts w:cs="Calibri"/>
          <w:color w:val="auto"/>
          <w:sz w:val="30"/>
          <w:szCs w:val="30"/>
        </w:rPr>
      </w:pPr>
      <w:r>
        <w:rPr>
          <w:rFonts w:cs="Calibri"/>
          <w:color w:val="auto"/>
          <w:sz w:val="30"/>
          <w:szCs w:val="30"/>
        </w:rPr>
        <w:t xml:space="preserve">3.2 </w:t>
      </w:r>
      <w:r>
        <w:rPr>
          <w:rFonts w:hint="eastAsia" w:cs="Calibri"/>
          <w:color w:val="auto"/>
          <w:sz w:val="30"/>
          <w:szCs w:val="30"/>
        </w:rPr>
        <w:t>历史沿革及股东情况</w:t>
      </w:r>
    </w:p>
    <w:p w14:paraId="19EAFA5B">
      <w:pPr>
        <w:pStyle w:val="100"/>
        <w:spacing w:line="560" w:lineRule="exact"/>
        <w:ind w:firstLine="601"/>
        <w:rPr>
          <w:rFonts w:hAnsi="Times New Roman" w:cs="Calibri"/>
          <w:color w:val="auto"/>
          <w:sz w:val="30"/>
          <w:szCs w:val="30"/>
        </w:rPr>
      </w:pPr>
      <w:r>
        <w:rPr>
          <w:rFonts w:hint="eastAsia" w:hAnsi="Times New Roman" w:cs="Calibri"/>
          <w:color w:val="auto"/>
          <w:sz w:val="30"/>
          <w:szCs w:val="30"/>
        </w:rPr>
        <w:t>包括成立时间、历史沿革、增资扩股情况、股东持股情况等。</w:t>
      </w:r>
    </w:p>
    <w:p w14:paraId="4CCA1176">
      <w:pPr>
        <w:pStyle w:val="100"/>
        <w:spacing w:line="560" w:lineRule="exact"/>
        <w:rPr>
          <w:rFonts w:cs="Calibri"/>
          <w:bCs/>
          <w:color w:val="auto"/>
          <w:sz w:val="30"/>
          <w:szCs w:val="30"/>
        </w:rPr>
      </w:pPr>
      <w:r>
        <w:rPr>
          <w:rFonts w:cs="Calibri"/>
          <w:bCs/>
          <w:color w:val="auto"/>
          <w:sz w:val="30"/>
          <w:szCs w:val="30"/>
        </w:rPr>
        <w:t xml:space="preserve">3.3 </w:t>
      </w:r>
      <w:r>
        <w:rPr>
          <w:rFonts w:hint="eastAsia" w:cs="Calibri"/>
          <w:bCs/>
          <w:color w:val="auto"/>
          <w:sz w:val="30"/>
          <w:szCs w:val="30"/>
        </w:rPr>
        <w:t>创设机构的信用能力</w:t>
      </w:r>
    </w:p>
    <w:p w14:paraId="6C2DEE4E">
      <w:pPr>
        <w:pStyle w:val="100"/>
        <w:spacing w:line="560" w:lineRule="exact"/>
        <w:ind w:firstLine="600"/>
        <w:rPr>
          <w:rFonts w:cs="Calibri"/>
          <w:bCs/>
          <w:color w:val="auto"/>
          <w:sz w:val="30"/>
          <w:szCs w:val="30"/>
        </w:rPr>
      </w:pPr>
      <w:r>
        <w:rPr>
          <w:rFonts w:hint="eastAsia" w:cs="Calibri"/>
          <w:bCs/>
          <w:color w:val="auto"/>
          <w:sz w:val="30"/>
          <w:szCs w:val="30"/>
        </w:rPr>
        <w:t>包括针对创设机构的信用评级、资信评级机构名称。</w:t>
      </w:r>
    </w:p>
    <w:p w14:paraId="51B969F9">
      <w:pPr>
        <w:pStyle w:val="100"/>
        <w:spacing w:line="560" w:lineRule="exact"/>
        <w:rPr>
          <w:color w:val="auto"/>
          <w:sz w:val="30"/>
          <w:szCs w:val="30"/>
        </w:rPr>
      </w:pPr>
      <w:r>
        <w:rPr>
          <w:color w:val="auto"/>
          <w:sz w:val="30"/>
          <w:szCs w:val="30"/>
        </w:rPr>
        <w:t xml:space="preserve">3.4 </w:t>
      </w:r>
      <w:r>
        <w:rPr>
          <w:rFonts w:hint="eastAsia"/>
          <w:color w:val="auto"/>
          <w:sz w:val="30"/>
          <w:szCs w:val="30"/>
        </w:rPr>
        <w:t>创设机构公司治理情况</w:t>
      </w:r>
    </w:p>
    <w:p w14:paraId="7079600B">
      <w:pPr>
        <w:pStyle w:val="100"/>
        <w:spacing w:line="560" w:lineRule="exact"/>
        <w:ind w:firstLine="600" w:firstLineChars="200"/>
        <w:rPr>
          <w:rFonts w:cs="Calibri"/>
          <w:color w:val="auto"/>
          <w:sz w:val="30"/>
          <w:szCs w:val="30"/>
        </w:rPr>
      </w:pPr>
      <w:r>
        <w:rPr>
          <w:rFonts w:hint="eastAsia" w:cs="Calibri"/>
          <w:color w:val="auto"/>
          <w:sz w:val="30"/>
          <w:szCs w:val="30"/>
        </w:rPr>
        <w:t>包括</w:t>
      </w:r>
      <w:r>
        <w:rPr>
          <w:rFonts w:hint="eastAsia" w:cs="Times New Roman"/>
          <w:color w:val="auto"/>
          <w:sz w:val="30"/>
          <w:szCs w:val="30"/>
        </w:rPr>
        <w:t>公司组织架构、管理层情况、内部决策机制等。</w:t>
      </w:r>
    </w:p>
    <w:p w14:paraId="1D2AD321">
      <w:pPr>
        <w:pStyle w:val="100"/>
        <w:spacing w:line="560" w:lineRule="exact"/>
        <w:rPr>
          <w:rFonts w:cs="Calibri"/>
          <w:b/>
          <w:bCs/>
          <w:color w:val="auto"/>
          <w:sz w:val="30"/>
          <w:szCs w:val="30"/>
        </w:rPr>
      </w:pPr>
      <w:r>
        <w:rPr>
          <w:rFonts w:cs="Calibri"/>
          <w:bCs/>
          <w:color w:val="auto"/>
          <w:sz w:val="30"/>
          <w:szCs w:val="30"/>
        </w:rPr>
        <w:t>3.5</w:t>
      </w:r>
      <w:r>
        <w:rPr>
          <w:rFonts w:cs="Calibri"/>
          <w:color w:val="auto"/>
          <w:sz w:val="30"/>
          <w:szCs w:val="30"/>
        </w:rPr>
        <w:t xml:space="preserve"> </w:t>
      </w:r>
      <w:r>
        <w:rPr>
          <w:rFonts w:hint="eastAsia"/>
          <w:color w:val="auto"/>
          <w:sz w:val="30"/>
          <w:szCs w:val="30"/>
        </w:rPr>
        <w:t>创设机构业务开展情况</w:t>
      </w:r>
    </w:p>
    <w:p w14:paraId="02374916">
      <w:pPr>
        <w:pStyle w:val="100"/>
        <w:spacing w:line="560" w:lineRule="exact"/>
        <w:ind w:firstLine="600" w:firstLineChars="200"/>
        <w:rPr>
          <w:rFonts w:cs="Calibri"/>
          <w:color w:val="auto"/>
          <w:sz w:val="30"/>
          <w:szCs w:val="30"/>
        </w:rPr>
      </w:pPr>
      <w:r>
        <w:rPr>
          <w:rFonts w:hint="eastAsia" w:cs="Calibri"/>
          <w:bCs/>
          <w:color w:val="auto"/>
          <w:sz w:val="30"/>
          <w:szCs w:val="30"/>
        </w:rPr>
        <w:t>包括其所从事的主要业务、主要产品（或服务）的用途、所在行业状况、经营方针及战略。</w:t>
      </w:r>
    </w:p>
    <w:p w14:paraId="1DC64038">
      <w:pPr>
        <w:pStyle w:val="100"/>
        <w:spacing w:line="560" w:lineRule="exact"/>
        <w:rPr>
          <w:color w:val="auto"/>
          <w:sz w:val="30"/>
          <w:szCs w:val="30"/>
        </w:rPr>
      </w:pPr>
      <w:r>
        <w:rPr>
          <w:color w:val="auto"/>
          <w:sz w:val="30"/>
          <w:szCs w:val="30"/>
        </w:rPr>
        <w:t xml:space="preserve">3.6 </w:t>
      </w:r>
      <w:r>
        <w:rPr>
          <w:rFonts w:hint="eastAsia"/>
          <w:color w:val="auto"/>
          <w:sz w:val="30"/>
          <w:szCs w:val="30"/>
        </w:rPr>
        <w:t>创设机构风险管理体系</w:t>
      </w:r>
    </w:p>
    <w:p w14:paraId="50DCBC13">
      <w:pPr>
        <w:pStyle w:val="100"/>
        <w:spacing w:line="560" w:lineRule="exact"/>
        <w:ind w:firstLine="600"/>
        <w:rPr>
          <w:rFonts w:cs="Times New Roman"/>
          <w:color w:val="auto"/>
          <w:sz w:val="30"/>
          <w:szCs w:val="30"/>
        </w:rPr>
      </w:pPr>
      <w:r>
        <w:rPr>
          <w:rFonts w:hint="eastAsia"/>
          <w:color w:val="auto"/>
          <w:sz w:val="30"/>
          <w:szCs w:val="30"/>
        </w:rPr>
        <w:t>包括</w:t>
      </w:r>
      <w:r>
        <w:rPr>
          <w:rFonts w:hint="eastAsia" w:cs="Times New Roman"/>
          <w:color w:val="auto"/>
          <w:sz w:val="30"/>
          <w:szCs w:val="30"/>
        </w:rPr>
        <w:t>风险管理制度、风险状况分析等。</w:t>
      </w:r>
    </w:p>
    <w:p w14:paraId="2450DE52">
      <w:pPr>
        <w:pStyle w:val="100"/>
        <w:spacing w:line="560" w:lineRule="exact"/>
        <w:rPr>
          <w:rFonts w:cs="Times New Roman"/>
          <w:color w:val="auto"/>
          <w:sz w:val="30"/>
          <w:szCs w:val="30"/>
        </w:rPr>
      </w:pPr>
      <w:r>
        <w:rPr>
          <w:rFonts w:cs="Times New Roman"/>
          <w:color w:val="auto"/>
          <w:sz w:val="30"/>
          <w:szCs w:val="30"/>
        </w:rPr>
        <w:t xml:space="preserve">3.7 </w:t>
      </w:r>
      <w:r>
        <w:rPr>
          <w:rFonts w:hint="eastAsia" w:cs="Times New Roman"/>
          <w:color w:val="auto"/>
          <w:sz w:val="30"/>
          <w:szCs w:val="30"/>
        </w:rPr>
        <w:t>财务情况及分析</w:t>
      </w:r>
    </w:p>
    <w:p w14:paraId="18DADB39">
      <w:pPr>
        <w:pStyle w:val="100"/>
        <w:spacing w:line="560" w:lineRule="exact"/>
        <w:ind w:firstLine="600"/>
        <w:rPr>
          <w:rFonts w:cs="Times New Roman"/>
          <w:color w:val="auto"/>
          <w:sz w:val="30"/>
          <w:szCs w:val="30"/>
        </w:rPr>
      </w:pPr>
      <w:r>
        <w:rPr>
          <w:rFonts w:hint="eastAsia" w:cs="Times New Roman"/>
          <w:color w:val="auto"/>
          <w:sz w:val="30"/>
          <w:szCs w:val="30"/>
        </w:rPr>
        <w:t>包括近年财务报表审计情况、财务报表适用的会计准则、主要财务数据、财务概要分析等</w:t>
      </w:r>
    </w:p>
    <w:p w14:paraId="0EB7E9CC">
      <w:pPr>
        <w:pStyle w:val="100"/>
        <w:spacing w:line="560" w:lineRule="exact"/>
        <w:rPr>
          <w:rFonts w:cs="Times New Roman"/>
          <w:color w:val="auto"/>
          <w:sz w:val="30"/>
          <w:szCs w:val="30"/>
        </w:rPr>
      </w:pPr>
      <w:r>
        <w:rPr>
          <w:rFonts w:cs="Times New Roman"/>
          <w:color w:val="auto"/>
          <w:sz w:val="30"/>
          <w:szCs w:val="30"/>
        </w:rPr>
        <w:t xml:space="preserve">3.8 </w:t>
      </w:r>
      <w:r>
        <w:rPr>
          <w:rFonts w:hint="eastAsia" w:cs="Times New Roman"/>
          <w:color w:val="auto"/>
          <w:sz w:val="30"/>
          <w:szCs w:val="30"/>
        </w:rPr>
        <w:t>内部管理制度</w:t>
      </w:r>
    </w:p>
    <w:p w14:paraId="3137639E">
      <w:pPr>
        <w:pStyle w:val="100"/>
        <w:spacing w:line="560" w:lineRule="exact"/>
        <w:ind w:firstLine="600"/>
        <w:rPr>
          <w:rFonts w:cs="Calibri"/>
          <w:color w:val="auto"/>
          <w:sz w:val="30"/>
          <w:szCs w:val="30"/>
        </w:rPr>
      </w:pPr>
      <w:r>
        <w:rPr>
          <w:rFonts w:hint="eastAsia" w:cs="Times New Roman"/>
          <w:color w:val="auto"/>
          <w:sz w:val="30"/>
          <w:szCs w:val="30"/>
        </w:rPr>
        <w:t>包括公司治理制度、内控管理制度、业务管理制度、财务管理制度等</w:t>
      </w:r>
    </w:p>
    <w:p w14:paraId="339F7E48">
      <w:pPr>
        <w:pStyle w:val="100"/>
        <w:spacing w:line="560" w:lineRule="exact"/>
        <w:rPr>
          <w:rFonts w:cs="Calibri"/>
          <w:b/>
          <w:bCs/>
          <w:color w:val="auto"/>
          <w:sz w:val="30"/>
          <w:szCs w:val="30"/>
        </w:rPr>
      </w:pPr>
      <w:r>
        <w:rPr>
          <w:color w:val="auto"/>
          <w:sz w:val="30"/>
          <w:szCs w:val="30"/>
        </w:rPr>
        <w:t xml:space="preserve">3.9 </w:t>
      </w:r>
      <w:r>
        <w:rPr>
          <w:rFonts w:hint="eastAsia"/>
          <w:color w:val="auto"/>
          <w:sz w:val="30"/>
          <w:szCs w:val="30"/>
        </w:rPr>
        <w:t>合规情况</w:t>
      </w:r>
    </w:p>
    <w:p w14:paraId="479CEDA0">
      <w:pPr>
        <w:pStyle w:val="100"/>
        <w:spacing w:line="560" w:lineRule="exact"/>
        <w:ind w:firstLine="602"/>
        <w:rPr>
          <w:rFonts w:cs="Calibri"/>
          <w:bCs/>
          <w:color w:val="auto"/>
          <w:sz w:val="30"/>
          <w:szCs w:val="30"/>
        </w:rPr>
      </w:pPr>
      <w:r>
        <w:rPr>
          <w:rFonts w:cs="Calibri"/>
          <w:b/>
          <w:bCs/>
          <w:color w:val="auto"/>
          <w:sz w:val="30"/>
          <w:szCs w:val="30"/>
        </w:rPr>
        <w:t xml:space="preserve"> </w:t>
      </w:r>
      <w:r>
        <w:rPr>
          <w:rFonts w:hint="eastAsia" w:cs="Calibri"/>
          <w:bCs/>
          <w:color w:val="auto"/>
          <w:sz w:val="30"/>
          <w:szCs w:val="30"/>
        </w:rPr>
        <w:t>包括最近三年内是否存在违法违规及受处罚的情况，说明董事、监事、高级管理人员的任职是否符合《公司法》及《公司章程》的规定。</w:t>
      </w:r>
    </w:p>
    <w:p w14:paraId="3AFC4D36">
      <w:pPr>
        <w:pStyle w:val="100"/>
        <w:spacing w:line="560" w:lineRule="exact"/>
        <w:rPr>
          <w:rFonts w:cs="Calibri"/>
          <w:b/>
          <w:color w:val="auto"/>
          <w:sz w:val="30"/>
          <w:szCs w:val="30"/>
        </w:rPr>
      </w:pPr>
      <w:r>
        <w:rPr>
          <w:rFonts w:hint="eastAsia"/>
          <w:b/>
          <w:color w:val="auto"/>
          <w:sz w:val="30"/>
          <w:szCs w:val="30"/>
        </w:rPr>
        <w:t>第四节</w:t>
      </w:r>
      <w:r>
        <w:rPr>
          <w:b/>
          <w:color w:val="auto"/>
          <w:sz w:val="30"/>
          <w:szCs w:val="30"/>
        </w:rPr>
        <w:t xml:space="preserve"> </w:t>
      </w:r>
      <w:r>
        <w:rPr>
          <w:rFonts w:hint="eastAsia"/>
          <w:b/>
          <w:color w:val="auto"/>
          <w:sz w:val="30"/>
          <w:szCs w:val="30"/>
        </w:rPr>
        <w:t>参考实体及受保护债务基本情况</w:t>
      </w:r>
      <w:r>
        <w:rPr>
          <w:b/>
          <w:color w:val="auto"/>
          <w:sz w:val="30"/>
          <w:szCs w:val="30"/>
        </w:rPr>
        <w:t xml:space="preserve"> </w:t>
      </w:r>
    </w:p>
    <w:p w14:paraId="16D71145">
      <w:pPr>
        <w:pStyle w:val="100"/>
        <w:spacing w:line="560" w:lineRule="exact"/>
        <w:rPr>
          <w:color w:val="auto"/>
          <w:sz w:val="30"/>
          <w:szCs w:val="30"/>
        </w:rPr>
      </w:pPr>
      <w:r>
        <w:rPr>
          <w:color w:val="auto"/>
          <w:sz w:val="30"/>
          <w:szCs w:val="30"/>
        </w:rPr>
        <w:t xml:space="preserve">4.1 </w:t>
      </w:r>
      <w:r>
        <w:rPr>
          <w:rFonts w:hint="eastAsia"/>
          <w:color w:val="auto"/>
          <w:sz w:val="30"/>
          <w:szCs w:val="30"/>
        </w:rPr>
        <w:t>参考实体情况</w:t>
      </w:r>
      <w:r>
        <w:rPr>
          <w:color w:val="auto"/>
          <w:sz w:val="30"/>
          <w:szCs w:val="30"/>
        </w:rPr>
        <w:t xml:space="preserve"> </w:t>
      </w:r>
    </w:p>
    <w:p w14:paraId="2A779362">
      <w:pPr>
        <w:autoSpaceDE w:val="0"/>
        <w:autoSpaceDN w:val="0"/>
        <w:adjustRightInd w:val="0"/>
        <w:spacing w:line="560" w:lineRule="exact"/>
        <w:ind w:firstLine="450" w:firstLineChars="150"/>
        <w:jc w:val="left"/>
        <w:rPr>
          <w:rFonts w:ascii="仿宋_GB2312" w:eastAsia="仿宋_GB2312" w:cs="楷体"/>
          <w:kern w:val="0"/>
          <w:sz w:val="30"/>
          <w:szCs w:val="30"/>
        </w:rPr>
      </w:pPr>
      <w:r>
        <w:rPr>
          <w:rFonts w:hint="eastAsia" w:ascii="仿宋_GB2312" w:eastAsia="仿宋_GB2312" w:cs="楷体"/>
          <w:kern w:val="0"/>
          <w:sz w:val="30"/>
          <w:szCs w:val="30"/>
        </w:rPr>
        <w:t>包括中文名称</w:t>
      </w:r>
      <w:r>
        <w:rPr>
          <w:rFonts w:hint="eastAsia" w:ascii="仿宋_GB2312" w:eastAsia="仿宋_GB2312"/>
          <w:kern w:val="0"/>
          <w:sz w:val="30"/>
          <w:szCs w:val="30"/>
        </w:rPr>
        <w:t>、</w:t>
      </w:r>
      <w:r>
        <w:rPr>
          <w:rFonts w:hint="eastAsia" w:ascii="仿宋_GB2312" w:eastAsia="仿宋_GB2312" w:cs="楷体"/>
          <w:kern w:val="0"/>
          <w:sz w:val="30"/>
          <w:szCs w:val="30"/>
        </w:rPr>
        <w:t>住所、法定代表人、联系人、联系方式等信息。</w:t>
      </w:r>
    </w:p>
    <w:p w14:paraId="5EF5272C">
      <w:pPr>
        <w:pStyle w:val="100"/>
        <w:spacing w:line="560" w:lineRule="exact"/>
        <w:rPr>
          <w:color w:val="auto"/>
          <w:sz w:val="30"/>
          <w:szCs w:val="30"/>
        </w:rPr>
      </w:pPr>
      <w:r>
        <w:rPr>
          <w:color w:val="auto"/>
          <w:sz w:val="30"/>
          <w:szCs w:val="30"/>
        </w:rPr>
        <w:t xml:space="preserve">4.2 </w:t>
      </w:r>
      <w:r>
        <w:rPr>
          <w:rFonts w:hint="eastAsia"/>
          <w:color w:val="auto"/>
          <w:sz w:val="30"/>
          <w:szCs w:val="30"/>
        </w:rPr>
        <w:t>受保护债务情况</w:t>
      </w:r>
      <w:r>
        <w:rPr>
          <w:color w:val="auto"/>
          <w:sz w:val="30"/>
          <w:szCs w:val="30"/>
        </w:rPr>
        <w:t xml:space="preserve"> </w:t>
      </w:r>
    </w:p>
    <w:p w14:paraId="13A0733F">
      <w:pPr>
        <w:spacing w:line="560" w:lineRule="exact"/>
        <w:ind w:firstLine="600" w:firstLineChars="200"/>
        <w:rPr>
          <w:rFonts w:ascii="仿宋_GB2312" w:eastAsia="仿宋_GB2312"/>
          <w:sz w:val="30"/>
          <w:szCs w:val="30"/>
        </w:rPr>
      </w:pPr>
      <w:r>
        <w:rPr>
          <w:rFonts w:hint="eastAsia" w:ascii="仿宋_GB2312" w:eastAsia="仿宋_GB2312"/>
          <w:sz w:val="30"/>
          <w:szCs w:val="30"/>
        </w:rPr>
        <w:t>包括受保护债务种类及特征。</w:t>
      </w:r>
    </w:p>
    <w:p w14:paraId="6A31B559">
      <w:pPr>
        <w:spacing w:line="560" w:lineRule="exact"/>
        <w:ind w:firstLine="600" w:firstLineChars="200"/>
        <w:rPr>
          <w:rFonts w:ascii="仿宋_GB2312" w:eastAsia="仿宋_GB2312"/>
          <w:sz w:val="30"/>
          <w:szCs w:val="30"/>
        </w:rPr>
      </w:pPr>
      <w:r>
        <w:rPr>
          <w:rFonts w:hint="eastAsia" w:ascii="仿宋_GB2312" w:eastAsia="仿宋_GB2312"/>
          <w:sz w:val="30"/>
          <w:szCs w:val="30"/>
        </w:rPr>
        <w:t>受保护债务为单只或少数几只债券的，应列举债券名称、发行人、承销商、发行金额、期限、面值、发行价格、发行利率、发行日、起息日、缴款日、兑付日、登记和托管机构、担保增信情况、信用评级机构及评级结果（如有）等信息。</w:t>
      </w:r>
    </w:p>
    <w:p w14:paraId="2012058E">
      <w:pPr>
        <w:pStyle w:val="100"/>
        <w:spacing w:line="560" w:lineRule="exact"/>
        <w:rPr>
          <w:rFonts w:cs="Calibri"/>
          <w:b/>
          <w:color w:val="auto"/>
          <w:sz w:val="30"/>
          <w:szCs w:val="30"/>
        </w:rPr>
      </w:pPr>
      <w:r>
        <w:rPr>
          <w:rFonts w:hint="eastAsia"/>
          <w:b/>
          <w:color w:val="auto"/>
          <w:sz w:val="30"/>
          <w:szCs w:val="30"/>
        </w:rPr>
        <w:t>第五节</w:t>
      </w:r>
      <w:r>
        <w:rPr>
          <w:b/>
          <w:color w:val="auto"/>
          <w:sz w:val="30"/>
          <w:szCs w:val="30"/>
        </w:rPr>
        <w:t xml:space="preserve"> </w:t>
      </w:r>
      <w:r>
        <w:rPr>
          <w:rFonts w:hint="eastAsia"/>
          <w:b/>
          <w:color w:val="auto"/>
          <w:sz w:val="30"/>
          <w:szCs w:val="30"/>
        </w:rPr>
        <w:t>信用事件</w:t>
      </w:r>
      <w:r>
        <w:rPr>
          <w:b/>
          <w:color w:val="auto"/>
          <w:sz w:val="30"/>
          <w:szCs w:val="30"/>
        </w:rPr>
        <w:t xml:space="preserve"> </w:t>
      </w:r>
    </w:p>
    <w:p w14:paraId="78C463CE">
      <w:pPr>
        <w:pStyle w:val="100"/>
        <w:spacing w:line="560" w:lineRule="exact"/>
        <w:rPr>
          <w:color w:val="auto"/>
          <w:sz w:val="30"/>
          <w:szCs w:val="30"/>
        </w:rPr>
      </w:pPr>
      <w:r>
        <w:rPr>
          <w:color w:val="auto"/>
          <w:sz w:val="30"/>
          <w:szCs w:val="30"/>
        </w:rPr>
        <w:t xml:space="preserve">5.1 </w:t>
      </w:r>
      <w:r>
        <w:rPr>
          <w:rFonts w:hint="eastAsia"/>
          <w:color w:val="auto"/>
          <w:sz w:val="30"/>
          <w:szCs w:val="30"/>
        </w:rPr>
        <w:t>信用事件范围</w:t>
      </w:r>
      <w:r>
        <w:rPr>
          <w:color w:val="auto"/>
          <w:sz w:val="30"/>
          <w:szCs w:val="30"/>
        </w:rPr>
        <w:t xml:space="preserve"> </w:t>
      </w:r>
    </w:p>
    <w:p w14:paraId="615DD5F7">
      <w:pPr>
        <w:pStyle w:val="100"/>
        <w:spacing w:line="560" w:lineRule="exact"/>
        <w:ind w:firstLine="600" w:firstLineChars="200"/>
        <w:rPr>
          <w:rFonts w:cs="Calibri"/>
          <w:color w:val="auto"/>
          <w:sz w:val="30"/>
          <w:szCs w:val="30"/>
        </w:rPr>
      </w:pPr>
      <w:r>
        <w:rPr>
          <w:rFonts w:hint="eastAsia" w:cs="Calibri"/>
          <w:color w:val="auto"/>
          <w:sz w:val="30"/>
          <w:szCs w:val="30"/>
        </w:rPr>
        <w:t>包括信用事件的类型及选择。</w:t>
      </w:r>
    </w:p>
    <w:p w14:paraId="7BB10325">
      <w:pPr>
        <w:pStyle w:val="100"/>
        <w:spacing w:line="560" w:lineRule="exact"/>
        <w:rPr>
          <w:color w:val="auto"/>
          <w:sz w:val="30"/>
          <w:szCs w:val="30"/>
        </w:rPr>
      </w:pPr>
      <w:r>
        <w:rPr>
          <w:color w:val="auto"/>
          <w:sz w:val="30"/>
          <w:szCs w:val="30"/>
        </w:rPr>
        <w:t xml:space="preserve">5.2 </w:t>
      </w:r>
      <w:r>
        <w:rPr>
          <w:rFonts w:hint="eastAsia"/>
          <w:color w:val="auto"/>
          <w:sz w:val="30"/>
          <w:szCs w:val="30"/>
        </w:rPr>
        <w:t>信用事件定义</w:t>
      </w:r>
      <w:r>
        <w:rPr>
          <w:color w:val="auto"/>
          <w:sz w:val="30"/>
          <w:szCs w:val="30"/>
        </w:rPr>
        <w:t xml:space="preserve"> </w:t>
      </w:r>
    </w:p>
    <w:p w14:paraId="46084D68">
      <w:pPr>
        <w:pStyle w:val="100"/>
        <w:spacing w:line="560" w:lineRule="exact"/>
        <w:ind w:firstLine="600" w:firstLineChars="200"/>
        <w:rPr>
          <w:rFonts w:cs="Calibri"/>
          <w:bCs/>
          <w:color w:val="auto"/>
          <w:sz w:val="30"/>
          <w:szCs w:val="30"/>
        </w:rPr>
      </w:pPr>
      <w:r>
        <w:rPr>
          <w:rFonts w:hint="eastAsia" w:cs="Calibri"/>
          <w:bCs/>
          <w:color w:val="auto"/>
          <w:sz w:val="30"/>
          <w:szCs w:val="30"/>
        </w:rPr>
        <w:t>包括各信用事件类型的具体界定。</w:t>
      </w:r>
    </w:p>
    <w:p w14:paraId="36332C4D">
      <w:pPr>
        <w:pStyle w:val="100"/>
        <w:spacing w:line="560" w:lineRule="exact"/>
        <w:rPr>
          <w:color w:val="auto"/>
          <w:sz w:val="30"/>
          <w:szCs w:val="30"/>
        </w:rPr>
      </w:pPr>
      <w:r>
        <w:rPr>
          <w:color w:val="auto"/>
          <w:sz w:val="30"/>
          <w:szCs w:val="30"/>
        </w:rPr>
        <w:t xml:space="preserve">5.3 </w:t>
      </w:r>
      <w:r>
        <w:rPr>
          <w:rFonts w:hint="eastAsia"/>
          <w:color w:val="auto"/>
          <w:sz w:val="30"/>
          <w:szCs w:val="30"/>
        </w:rPr>
        <w:t>信用事件通知规则</w:t>
      </w:r>
    </w:p>
    <w:p w14:paraId="65620633">
      <w:pPr>
        <w:pStyle w:val="100"/>
        <w:spacing w:line="560" w:lineRule="exact"/>
        <w:ind w:firstLine="600" w:firstLineChars="200"/>
        <w:rPr>
          <w:rFonts w:cs="Calibri"/>
          <w:bCs/>
          <w:color w:val="auto"/>
          <w:sz w:val="30"/>
          <w:szCs w:val="30"/>
        </w:rPr>
      </w:pPr>
      <w:r>
        <w:rPr>
          <w:rFonts w:hint="eastAsia" w:cs="Calibri"/>
          <w:bCs/>
          <w:color w:val="auto"/>
          <w:sz w:val="30"/>
          <w:szCs w:val="30"/>
        </w:rPr>
        <w:t>包括通知的具体方式、形式要求、通知生效时点等。</w:t>
      </w:r>
    </w:p>
    <w:p w14:paraId="1CA8DC44">
      <w:pPr>
        <w:pStyle w:val="100"/>
        <w:spacing w:line="560" w:lineRule="exact"/>
        <w:rPr>
          <w:rFonts w:cs="Calibri"/>
          <w:b/>
          <w:color w:val="auto"/>
          <w:sz w:val="30"/>
          <w:szCs w:val="30"/>
        </w:rPr>
      </w:pPr>
      <w:r>
        <w:rPr>
          <w:rFonts w:hint="eastAsia"/>
          <w:b/>
          <w:color w:val="auto"/>
          <w:sz w:val="30"/>
          <w:szCs w:val="30"/>
        </w:rPr>
        <w:t>第六节</w:t>
      </w:r>
      <w:r>
        <w:rPr>
          <w:b/>
          <w:color w:val="auto"/>
          <w:sz w:val="30"/>
          <w:szCs w:val="30"/>
        </w:rPr>
        <w:t xml:space="preserve"> </w:t>
      </w:r>
      <w:r>
        <w:rPr>
          <w:rFonts w:hint="eastAsia"/>
          <w:b/>
          <w:color w:val="auto"/>
          <w:sz w:val="30"/>
          <w:szCs w:val="30"/>
        </w:rPr>
        <w:t>结算安排</w:t>
      </w:r>
      <w:r>
        <w:rPr>
          <w:b/>
          <w:color w:val="auto"/>
          <w:sz w:val="30"/>
          <w:szCs w:val="30"/>
        </w:rPr>
        <w:t xml:space="preserve"> </w:t>
      </w:r>
    </w:p>
    <w:p w14:paraId="14890F4A">
      <w:pPr>
        <w:pStyle w:val="100"/>
        <w:spacing w:line="560" w:lineRule="exact"/>
        <w:rPr>
          <w:rFonts w:cs="Calibri"/>
          <w:b/>
          <w:bCs/>
          <w:color w:val="auto"/>
          <w:sz w:val="30"/>
          <w:szCs w:val="30"/>
        </w:rPr>
      </w:pPr>
      <w:r>
        <w:rPr>
          <w:color w:val="auto"/>
          <w:sz w:val="30"/>
          <w:szCs w:val="30"/>
        </w:rPr>
        <w:t xml:space="preserve">6.1 </w:t>
      </w:r>
      <w:r>
        <w:rPr>
          <w:rFonts w:hint="eastAsia"/>
          <w:color w:val="auto"/>
          <w:sz w:val="30"/>
          <w:szCs w:val="30"/>
        </w:rPr>
        <w:t>到期注销</w:t>
      </w:r>
      <w:r>
        <w:rPr>
          <w:rFonts w:cs="Calibri"/>
          <w:b/>
          <w:bCs/>
          <w:color w:val="auto"/>
          <w:sz w:val="30"/>
          <w:szCs w:val="30"/>
        </w:rPr>
        <w:t xml:space="preserve"> </w:t>
      </w:r>
    </w:p>
    <w:p w14:paraId="20C62251">
      <w:pPr>
        <w:pStyle w:val="100"/>
        <w:spacing w:line="560" w:lineRule="exact"/>
        <w:ind w:firstLine="600" w:firstLineChars="200"/>
        <w:rPr>
          <w:rFonts w:cs="Calibri"/>
          <w:bCs/>
          <w:color w:val="auto"/>
          <w:sz w:val="30"/>
          <w:szCs w:val="30"/>
        </w:rPr>
      </w:pPr>
      <w:r>
        <w:rPr>
          <w:rFonts w:hint="eastAsia" w:cs="Calibri"/>
          <w:bCs/>
          <w:color w:val="auto"/>
          <w:sz w:val="30"/>
          <w:szCs w:val="30"/>
        </w:rPr>
        <w:t>包括到期注销的条件、到期注销的安排等。</w:t>
      </w:r>
    </w:p>
    <w:p w14:paraId="0D0D1480">
      <w:pPr>
        <w:pStyle w:val="100"/>
        <w:spacing w:line="560" w:lineRule="exact"/>
        <w:rPr>
          <w:rFonts w:cs="Calibri"/>
          <w:bCs/>
          <w:color w:val="auto"/>
          <w:sz w:val="30"/>
          <w:szCs w:val="30"/>
        </w:rPr>
      </w:pPr>
      <w:r>
        <w:rPr>
          <w:rFonts w:cs="Calibri"/>
          <w:bCs/>
          <w:color w:val="auto"/>
          <w:sz w:val="30"/>
          <w:szCs w:val="30"/>
        </w:rPr>
        <w:t xml:space="preserve">6.2 </w:t>
      </w:r>
      <w:r>
        <w:rPr>
          <w:rFonts w:hint="eastAsia"/>
          <w:color w:val="auto"/>
          <w:sz w:val="30"/>
          <w:szCs w:val="30"/>
        </w:rPr>
        <w:t>结算条件</w:t>
      </w:r>
      <w:r>
        <w:rPr>
          <w:rFonts w:cs="Calibri"/>
          <w:b/>
          <w:bCs/>
          <w:color w:val="auto"/>
          <w:sz w:val="30"/>
          <w:szCs w:val="30"/>
        </w:rPr>
        <w:t xml:space="preserve"> </w:t>
      </w:r>
    </w:p>
    <w:p w14:paraId="5E75E7A4">
      <w:pPr>
        <w:pStyle w:val="100"/>
        <w:spacing w:line="560" w:lineRule="exact"/>
        <w:ind w:firstLine="600" w:firstLineChars="200"/>
        <w:rPr>
          <w:rFonts w:cs="Calibri"/>
          <w:bCs/>
          <w:color w:val="auto"/>
          <w:sz w:val="30"/>
          <w:szCs w:val="30"/>
        </w:rPr>
      </w:pPr>
      <w:r>
        <w:rPr>
          <w:rFonts w:hint="eastAsia" w:cs="Calibri"/>
          <w:bCs/>
          <w:color w:val="auto"/>
          <w:sz w:val="30"/>
          <w:szCs w:val="30"/>
        </w:rPr>
        <w:t>包括启动结算的条件、启动结算的流程。</w:t>
      </w:r>
    </w:p>
    <w:p w14:paraId="72047E37">
      <w:pPr>
        <w:pStyle w:val="100"/>
        <w:spacing w:line="560" w:lineRule="exact"/>
        <w:rPr>
          <w:rFonts w:cs="Calibri"/>
          <w:bCs/>
          <w:color w:val="auto"/>
          <w:sz w:val="30"/>
          <w:szCs w:val="30"/>
        </w:rPr>
      </w:pPr>
      <w:r>
        <w:rPr>
          <w:rFonts w:cs="Calibri"/>
          <w:bCs/>
          <w:color w:val="auto"/>
          <w:sz w:val="30"/>
          <w:szCs w:val="30"/>
        </w:rPr>
        <w:t xml:space="preserve">6.3 </w:t>
      </w:r>
      <w:r>
        <w:rPr>
          <w:rFonts w:hint="eastAsia" w:cs="Calibri"/>
          <w:bCs/>
          <w:color w:val="auto"/>
          <w:sz w:val="30"/>
          <w:szCs w:val="30"/>
        </w:rPr>
        <w:t>结算通知规则</w:t>
      </w:r>
    </w:p>
    <w:p w14:paraId="279E5D37">
      <w:pPr>
        <w:pStyle w:val="100"/>
        <w:spacing w:line="560" w:lineRule="exact"/>
        <w:ind w:firstLine="600"/>
        <w:rPr>
          <w:rFonts w:cs="Calibri"/>
          <w:bCs/>
          <w:color w:val="auto"/>
          <w:sz w:val="30"/>
          <w:szCs w:val="30"/>
        </w:rPr>
      </w:pPr>
      <w:r>
        <w:rPr>
          <w:rFonts w:hint="eastAsia" w:cs="Calibri"/>
          <w:bCs/>
          <w:color w:val="auto"/>
          <w:sz w:val="30"/>
          <w:szCs w:val="30"/>
        </w:rPr>
        <w:t>包括结算流程中通知的具体方式、形式要求、通知生效时点等。</w:t>
      </w:r>
    </w:p>
    <w:p w14:paraId="6BEF64BB">
      <w:pPr>
        <w:pStyle w:val="100"/>
        <w:spacing w:line="560" w:lineRule="exact"/>
        <w:rPr>
          <w:rFonts w:cs="Calibri"/>
          <w:b/>
          <w:bCs/>
          <w:color w:val="auto"/>
          <w:sz w:val="30"/>
          <w:szCs w:val="30"/>
        </w:rPr>
      </w:pPr>
      <w:r>
        <w:rPr>
          <w:color w:val="auto"/>
          <w:sz w:val="30"/>
          <w:szCs w:val="30"/>
        </w:rPr>
        <w:t xml:space="preserve">6.4 </w:t>
      </w:r>
      <w:r>
        <w:rPr>
          <w:rFonts w:hint="eastAsia"/>
          <w:color w:val="auto"/>
          <w:sz w:val="30"/>
          <w:szCs w:val="30"/>
        </w:rPr>
        <w:t>发生信用事件后的结算安排</w:t>
      </w:r>
      <w:r>
        <w:rPr>
          <w:color w:val="auto"/>
          <w:sz w:val="30"/>
          <w:szCs w:val="30"/>
        </w:rPr>
        <w:t xml:space="preserve"> </w:t>
      </w:r>
    </w:p>
    <w:p w14:paraId="27A049B4">
      <w:pPr>
        <w:pStyle w:val="100"/>
        <w:spacing w:line="560" w:lineRule="exact"/>
        <w:ind w:firstLine="450" w:firstLineChars="150"/>
        <w:rPr>
          <w:rFonts w:cs="Calibri"/>
          <w:bCs/>
          <w:color w:val="auto"/>
          <w:sz w:val="30"/>
          <w:szCs w:val="30"/>
        </w:rPr>
      </w:pPr>
      <w:r>
        <w:rPr>
          <w:rFonts w:hint="eastAsia" w:cs="Calibri"/>
          <w:bCs/>
          <w:color w:val="auto"/>
          <w:sz w:val="30"/>
          <w:szCs w:val="30"/>
        </w:rPr>
        <w:t>包括实物或现金结算的选择、结算的具体流程、结算日、结算金额计算方式、结算金额支付方式、实物交割方式及流程等。</w:t>
      </w:r>
    </w:p>
    <w:p w14:paraId="5AEB0C22">
      <w:pPr>
        <w:pStyle w:val="100"/>
        <w:spacing w:line="560" w:lineRule="exact"/>
        <w:rPr>
          <w:b/>
          <w:color w:val="auto"/>
          <w:sz w:val="30"/>
          <w:szCs w:val="30"/>
        </w:rPr>
      </w:pPr>
      <w:r>
        <w:rPr>
          <w:rFonts w:hint="eastAsia"/>
          <w:b/>
          <w:color w:val="auto"/>
          <w:sz w:val="30"/>
          <w:szCs w:val="30"/>
        </w:rPr>
        <w:t>第七节</w:t>
      </w:r>
      <w:r>
        <w:rPr>
          <w:b/>
          <w:color w:val="auto"/>
          <w:sz w:val="30"/>
          <w:szCs w:val="30"/>
        </w:rPr>
        <w:t xml:space="preserve"> </w:t>
      </w:r>
      <w:r>
        <w:rPr>
          <w:rFonts w:hint="eastAsia"/>
          <w:b/>
          <w:color w:val="auto"/>
          <w:sz w:val="30"/>
          <w:szCs w:val="30"/>
        </w:rPr>
        <w:t>违约事件和终止事件及处理</w:t>
      </w:r>
    </w:p>
    <w:p w14:paraId="6981D80A">
      <w:pPr>
        <w:pStyle w:val="100"/>
        <w:spacing w:line="560" w:lineRule="exact"/>
        <w:rPr>
          <w:color w:val="auto"/>
          <w:sz w:val="30"/>
          <w:szCs w:val="30"/>
        </w:rPr>
      </w:pPr>
      <w:r>
        <w:rPr>
          <w:color w:val="auto"/>
          <w:sz w:val="30"/>
          <w:szCs w:val="30"/>
        </w:rPr>
        <w:t xml:space="preserve">7.1 </w:t>
      </w:r>
      <w:r>
        <w:rPr>
          <w:rFonts w:hint="eastAsia"/>
          <w:color w:val="auto"/>
          <w:sz w:val="30"/>
          <w:szCs w:val="30"/>
        </w:rPr>
        <w:t>违约事件</w:t>
      </w:r>
    </w:p>
    <w:p w14:paraId="0E9CA847">
      <w:pPr>
        <w:pStyle w:val="100"/>
        <w:spacing w:line="560" w:lineRule="exact"/>
        <w:ind w:firstLine="600"/>
        <w:rPr>
          <w:color w:val="auto"/>
          <w:sz w:val="30"/>
          <w:szCs w:val="30"/>
        </w:rPr>
      </w:pPr>
      <w:r>
        <w:rPr>
          <w:rFonts w:hint="eastAsia"/>
          <w:color w:val="auto"/>
          <w:sz w:val="30"/>
          <w:szCs w:val="30"/>
        </w:rPr>
        <w:t>包括违约事件的类型、具体类型的定义等。</w:t>
      </w:r>
    </w:p>
    <w:p w14:paraId="7A73D367">
      <w:pPr>
        <w:pStyle w:val="100"/>
        <w:spacing w:line="560" w:lineRule="exact"/>
        <w:ind w:firstLine="600"/>
        <w:rPr>
          <w:color w:val="auto"/>
          <w:sz w:val="30"/>
          <w:szCs w:val="30"/>
        </w:rPr>
      </w:pPr>
      <w:r>
        <w:rPr>
          <w:rFonts w:hint="eastAsia"/>
          <w:color w:val="auto"/>
          <w:sz w:val="30"/>
          <w:szCs w:val="30"/>
        </w:rPr>
        <w:t>可参考适用《中国证券期货市场衍生品交易主协议（信用保护合约专用版）》第四条相关表述。</w:t>
      </w:r>
    </w:p>
    <w:p w14:paraId="7D4F6940">
      <w:pPr>
        <w:pStyle w:val="100"/>
        <w:spacing w:line="560" w:lineRule="exact"/>
        <w:rPr>
          <w:color w:val="auto"/>
          <w:sz w:val="30"/>
          <w:szCs w:val="30"/>
        </w:rPr>
      </w:pPr>
      <w:r>
        <w:rPr>
          <w:color w:val="auto"/>
          <w:sz w:val="30"/>
          <w:szCs w:val="30"/>
        </w:rPr>
        <w:t xml:space="preserve">7.2 </w:t>
      </w:r>
      <w:r>
        <w:rPr>
          <w:rFonts w:hint="eastAsia"/>
          <w:color w:val="auto"/>
          <w:sz w:val="30"/>
          <w:szCs w:val="30"/>
        </w:rPr>
        <w:t>违约事件的处理</w:t>
      </w:r>
    </w:p>
    <w:p w14:paraId="3A7D975C">
      <w:pPr>
        <w:pStyle w:val="100"/>
        <w:spacing w:line="560" w:lineRule="exact"/>
        <w:ind w:firstLine="600"/>
        <w:rPr>
          <w:color w:val="auto"/>
          <w:sz w:val="30"/>
          <w:szCs w:val="30"/>
        </w:rPr>
      </w:pPr>
      <w:r>
        <w:rPr>
          <w:rFonts w:hint="eastAsia"/>
          <w:color w:val="auto"/>
          <w:sz w:val="30"/>
          <w:szCs w:val="30"/>
        </w:rPr>
        <w:t>包括违约事件后凭证创设机构和投资者之间的权利义务、违约处理流程和安排、违约救济方式、违约金和资金清算返还金额的计算方法、利息和费用的计算方式、资金支付方式、文件通知送达方式等。</w:t>
      </w:r>
    </w:p>
    <w:p w14:paraId="20737C67">
      <w:pPr>
        <w:pStyle w:val="100"/>
        <w:spacing w:line="560" w:lineRule="exact"/>
        <w:ind w:firstLine="600"/>
        <w:rPr>
          <w:color w:val="auto"/>
          <w:sz w:val="30"/>
          <w:szCs w:val="30"/>
        </w:rPr>
      </w:pPr>
      <w:r>
        <w:rPr>
          <w:rFonts w:hint="eastAsia"/>
          <w:color w:val="auto"/>
          <w:sz w:val="30"/>
          <w:szCs w:val="30"/>
        </w:rPr>
        <w:t>可参考适用《中国证券期货市场场外衍生品交易主协议（信用保护合约专用版）》第五条相关表述。</w:t>
      </w:r>
    </w:p>
    <w:p w14:paraId="213B153A">
      <w:pPr>
        <w:pStyle w:val="100"/>
        <w:spacing w:line="560" w:lineRule="exact"/>
        <w:rPr>
          <w:color w:val="auto"/>
          <w:sz w:val="30"/>
          <w:szCs w:val="30"/>
        </w:rPr>
      </w:pPr>
      <w:r>
        <w:rPr>
          <w:color w:val="auto"/>
          <w:sz w:val="30"/>
          <w:szCs w:val="30"/>
        </w:rPr>
        <w:t xml:space="preserve">7.3 </w:t>
      </w:r>
      <w:r>
        <w:rPr>
          <w:rFonts w:hint="eastAsia"/>
          <w:color w:val="auto"/>
          <w:sz w:val="30"/>
          <w:szCs w:val="30"/>
        </w:rPr>
        <w:t>终止事件</w:t>
      </w:r>
    </w:p>
    <w:p w14:paraId="0EB5D61D">
      <w:pPr>
        <w:pStyle w:val="100"/>
        <w:spacing w:line="560" w:lineRule="exact"/>
        <w:ind w:firstLine="600"/>
        <w:rPr>
          <w:color w:val="auto"/>
          <w:sz w:val="30"/>
          <w:szCs w:val="30"/>
        </w:rPr>
      </w:pPr>
      <w:r>
        <w:rPr>
          <w:rFonts w:hint="eastAsia"/>
          <w:color w:val="auto"/>
          <w:sz w:val="30"/>
          <w:szCs w:val="30"/>
        </w:rPr>
        <w:t>包括终止事件的类型、具体类型的定义等。</w:t>
      </w:r>
    </w:p>
    <w:p w14:paraId="5DD5B909">
      <w:pPr>
        <w:pStyle w:val="100"/>
        <w:spacing w:line="560" w:lineRule="exact"/>
        <w:ind w:firstLine="600"/>
        <w:rPr>
          <w:color w:val="auto"/>
          <w:sz w:val="30"/>
          <w:szCs w:val="30"/>
        </w:rPr>
      </w:pPr>
      <w:r>
        <w:rPr>
          <w:rFonts w:hint="eastAsia"/>
          <w:color w:val="auto"/>
          <w:sz w:val="30"/>
          <w:szCs w:val="30"/>
        </w:rPr>
        <w:t>可参考适用《中国证券期货市场衍生品交易主协议（信用保护合约专用版）》第六条相关表述。</w:t>
      </w:r>
    </w:p>
    <w:p w14:paraId="092CB47B">
      <w:pPr>
        <w:pStyle w:val="100"/>
        <w:spacing w:line="560" w:lineRule="exact"/>
        <w:rPr>
          <w:color w:val="auto"/>
          <w:sz w:val="30"/>
          <w:szCs w:val="30"/>
        </w:rPr>
      </w:pPr>
      <w:r>
        <w:rPr>
          <w:color w:val="auto"/>
          <w:sz w:val="30"/>
          <w:szCs w:val="30"/>
        </w:rPr>
        <w:t xml:space="preserve">7.4 </w:t>
      </w:r>
      <w:r>
        <w:rPr>
          <w:rFonts w:hint="eastAsia"/>
          <w:color w:val="auto"/>
          <w:sz w:val="30"/>
          <w:szCs w:val="30"/>
        </w:rPr>
        <w:t>终止事件的处理</w:t>
      </w:r>
    </w:p>
    <w:p w14:paraId="5A6DFFA7">
      <w:pPr>
        <w:pStyle w:val="100"/>
        <w:spacing w:line="560" w:lineRule="exact"/>
        <w:ind w:firstLine="600"/>
        <w:rPr>
          <w:color w:val="auto"/>
          <w:sz w:val="30"/>
          <w:szCs w:val="30"/>
        </w:rPr>
      </w:pPr>
      <w:r>
        <w:rPr>
          <w:rFonts w:hint="eastAsia"/>
          <w:color w:val="auto"/>
          <w:sz w:val="30"/>
          <w:szCs w:val="30"/>
        </w:rPr>
        <w:t>包括终止事件发生后凭证创设机构和投资者之间的权利义务、交易终止后的处理和安排、交易终止后资金清算返还的计算方法、利息和费用的计算方式、资金支付方式、文件通知送达方式等。</w:t>
      </w:r>
    </w:p>
    <w:p w14:paraId="06D38A86">
      <w:pPr>
        <w:pStyle w:val="100"/>
        <w:spacing w:line="560" w:lineRule="exact"/>
        <w:ind w:firstLine="600"/>
        <w:rPr>
          <w:color w:val="auto"/>
          <w:sz w:val="30"/>
          <w:szCs w:val="30"/>
        </w:rPr>
      </w:pPr>
      <w:r>
        <w:rPr>
          <w:rFonts w:hint="eastAsia"/>
          <w:color w:val="auto"/>
          <w:sz w:val="30"/>
          <w:szCs w:val="30"/>
        </w:rPr>
        <w:t>可参考适用《中国证券期货市场场外衍生品交易主协议（信用保护合约专用版）》第七条相关表述。</w:t>
      </w:r>
    </w:p>
    <w:p w14:paraId="03942168">
      <w:pPr>
        <w:pStyle w:val="100"/>
        <w:spacing w:line="560" w:lineRule="exact"/>
        <w:rPr>
          <w:b/>
          <w:color w:val="auto"/>
          <w:sz w:val="30"/>
          <w:szCs w:val="30"/>
        </w:rPr>
      </w:pPr>
      <w:r>
        <w:rPr>
          <w:rFonts w:hint="eastAsia"/>
          <w:b/>
          <w:color w:val="auto"/>
          <w:sz w:val="30"/>
          <w:szCs w:val="30"/>
        </w:rPr>
        <w:t>第八节</w:t>
      </w:r>
      <w:r>
        <w:rPr>
          <w:b/>
          <w:color w:val="auto"/>
          <w:sz w:val="30"/>
          <w:szCs w:val="30"/>
        </w:rPr>
        <w:t xml:space="preserve"> </w:t>
      </w:r>
      <w:r>
        <w:rPr>
          <w:rFonts w:hint="eastAsia"/>
          <w:b/>
          <w:color w:val="auto"/>
          <w:sz w:val="30"/>
          <w:szCs w:val="30"/>
        </w:rPr>
        <w:t>凭证持有人会议</w:t>
      </w:r>
    </w:p>
    <w:p w14:paraId="2F33CD7A">
      <w:pPr>
        <w:pStyle w:val="100"/>
        <w:spacing w:line="560" w:lineRule="exact"/>
        <w:ind w:firstLine="600" w:firstLineChars="200"/>
        <w:rPr>
          <w:b/>
          <w:color w:val="auto"/>
          <w:sz w:val="30"/>
          <w:szCs w:val="30"/>
        </w:rPr>
      </w:pPr>
      <w:r>
        <w:rPr>
          <w:rFonts w:hint="eastAsia"/>
          <w:color w:val="auto"/>
          <w:sz w:val="30"/>
          <w:szCs w:val="30"/>
        </w:rPr>
        <w:t>包括凭证持有人会议的召开条件、召集程序、会议安排和要求等。</w:t>
      </w:r>
    </w:p>
    <w:p w14:paraId="43551A12">
      <w:pPr>
        <w:pStyle w:val="100"/>
        <w:spacing w:line="560" w:lineRule="exact"/>
        <w:rPr>
          <w:rFonts w:cs="Calibri"/>
          <w:b/>
          <w:color w:val="auto"/>
          <w:sz w:val="30"/>
          <w:szCs w:val="30"/>
        </w:rPr>
      </w:pPr>
      <w:r>
        <w:rPr>
          <w:rFonts w:hint="eastAsia"/>
          <w:b/>
          <w:color w:val="auto"/>
          <w:sz w:val="30"/>
          <w:szCs w:val="30"/>
        </w:rPr>
        <w:t>第九节</w:t>
      </w:r>
      <w:r>
        <w:rPr>
          <w:b/>
          <w:color w:val="auto"/>
          <w:sz w:val="30"/>
          <w:szCs w:val="30"/>
        </w:rPr>
        <w:t xml:space="preserve"> </w:t>
      </w:r>
      <w:r>
        <w:rPr>
          <w:rFonts w:hint="eastAsia"/>
          <w:b/>
          <w:color w:val="auto"/>
          <w:sz w:val="30"/>
          <w:szCs w:val="30"/>
        </w:rPr>
        <w:t>其他应说明的事项</w:t>
      </w:r>
      <w:r>
        <w:rPr>
          <w:b/>
          <w:color w:val="auto"/>
          <w:sz w:val="30"/>
          <w:szCs w:val="30"/>
        </w:rPr>
        <w:t xml:space="preserve"> </w:t>
      </w:r>
    </w:p>
    <w:p w14:paraId="014C7AEE">
      <w:pPr>
        <w:pStyle w:val="100"/>
        <w:spacing w:line="560" w:lineRule="exact"/>
        <w:rPr>
          <w:color w:val="auto"/>
          <w:sz w:val="30"/>
          <w:szCs w:val="30"/>
        </w:rPr>
      </w:pPr>
      <w:r>
        <w:rPr>
          <w:color w:val="auto"/>
          <w:sz w:val="30"/>
          <w:szCs w:val="30"/>
        </w:rPr>
        <w:t xml:space="preserve">9.1 </w:t>
      </w:r>
      <w:r>
        <w:rPr>
          <w:rFonts w:hint="eastAsia"/>
          <w:color w:val="auto"/>
          <w:sz w:val="30"/>
          <w:szCs w:val="30"/>
        </w:rPr>
        <w:t>税收</w:t>
      </w:r>
      <w:r>
        <w:rPr>
          <w:color w:val="auto"/>
          <w:sz w:val="30"/>
          <w:szCs w:val="30"/>
        </w:rPr>
        <w:t xml:space="preserve"> </w:t>
      </w:r>
    </w:p>
    <w:p w14:paraId="7154BC88">
      <w:pPr>
        <w:pStyle w:val="100"/>
        <w:spacing w:line="560" w:lineRule="exact"/>
        <w:ind w:firstLine="600"/>
        <w:rPr>
          <w:rFonts w:cs="Calibri"/>
          <w:color w:val="auto"/>
          <w:sz w:val="30"/>
          <w:szCs w:val="30"/>
        </w:rPr>
      </w:pPr>
      <w:r>
        <w:rPr>
          <w:rFonts w:hint="eastAsia"/>
          <w:color w:val="auto"/>
          <w:sz w:val="30"/>
          <w:szCs w:val="30"/>
        </w:rPr>
        <w:t>包括税收负担的说明、承担缴税职责的约定。</w:t>
      </w:r>
    </w:p>
    <w:p w14:paraId="43ED72C0">
      <w:pPr>
        <w:pStyle w:val="100"/>
        <w:spacing w:line="560" w:lineRule="exact"/>
        <w:rPr>
          <w:rFonts w:cs="Calibri"/>
          <w:color w:val="auto"/>
          <w:sz w:val="30"/>
          <w:szCs w:val="30"/>
        </w:rPr>
      </w:pPr>
      <w:r>
        <w:rPr>
          <w:color w:val="auto"/>
          <w:sz w:val="30"/>
          <w:szCs w:val="30"/>
        </w:rPr>
        <w:t xml:space="preserve">9.2 </w:t>
      </w:r>
      <w:r>
        <w:rPr>
          <w:rFonts w:hint="eastAsia"/>
          <w:color w:val="auto"/>
          <w:sz w:val="30"/>
          <w:szCs w:val="30"/>
        </w:rPr>
        <w:t>弃权</w:t>
      </w:r>
      <w:r>
        <w:rPr>
          <w:color w:val="auto"/>
          <w:sz w:val="30"/>
          <w:szCs w:val="30"/>
        </w:rPr>
        <w:t xml:space="preserve"> </w:t>
      </w:r>
    </w:p>
    <w:p w14:paraId="19D47960">
      <w:pPr>
        <w:pStyle w:val="100"/>
        <w:spacing w:line="560" w:lineRule="exact"/>
        <w:rPr>
          <w:color w:val="auto"/>
          <w:sz w:val="30"/>
          <w:szCs w:val="30"/>
        </w:rPr>
      </w:pPr>
      <w:r>
        <w:rPr>
          <w:color w:val="auto"/>
          <w:sz w:val="30"/>
          <w:szCs w:val="30"/>
        </w:rPr>
        <w:t xml:space="preserve">9.3 </w:t>
      </w:r>
      <w:r>
        <w:rPr>
          <w:rFonts w:hint="eastAsia"/>
          <w:color w:val="auto"/>
          <w:sz w:val="30"/>
          <w:szCs w:val="30"/>
        </w:rPr>
        <w:t>争议的解决</w:t>
      </w:r>
      <w:r>
        <w:rPr>
          <w:color w:val="auto"/>
          <w:sz w:val="30"/>
          <w:szCs w:val="30"/>
        </w:rPr>
        <w:t xml:space="preserve"> </w:t>
      </w:r>
    </w:p>
    <w:p w14:paraId="011B6C93">
      <w:pPr>
        <w:pStyle w:val="100"/>
        <w:spacing w:line="560" w:lineRule="exact"/>
        <w:ind w:firstLine="600" w:firstLineChars="200"/>
        <w:rPr>
          <w:color w:val="auto"/>
          <w:sz w:val="30"/>
          <w:szCs w:val="30"/>
        </w:rPr>
      </w:pPr>
      <w:r>
        <w:rPr>
          <w:rFonts w:hint="eastAsia"/>
          <w:color w:val="auto"/>
          <w:sz w:val="30"/>
          <w:szCs w:val="30"/>
        </w:rPr>
        <w:t>包括适用的法律，争议解决方式等。</w:t>
      </w:r>
    </w:p>
    <w:p w14:paraId="321375A5">
      <w:pPr>
        <w:pStyle w:val="100"/>
        <w:spacing w:line="560" w:lineRule="exact"/>
        <w:rPr>
          <w:rFonts w:cs="Calibri"/>
          <w:color w:val="auto"/>
          <w:sz w:val="30"/>
          <w:szCs w:val="30"/>
        </w:rPr>
      </w:pPr>
      <w:r>
        <w:rPr>
          <w:rFonts w:cs="Calibri"/>
          <w:color w:val="auto"/>
          <w:sz w:val="30"/>
          <w:szCs w:val="30"/>
        </w:rPr>
        <w:t xml:space="preserve">9.4 </w:t>
      </w:r>
      <w:r>
        <w:rPr>
          <w:rFonts w:hint="eastAsia"/>
          <w:color w:val="auto"/>
          <w:sz w:val="30"/>
          <w:szCs w:val="30"/>
        </w:rPr>
        <w:t>风险提示</w:t>
      </w:r>
      <w:r>
        <w:rPr>
          <w:color w:val="auto"/>
          <w:sz w:val="30"/>
          <w:szCs w:val="30"/>
        </w:rPr>
        <w:t xml:space="preserve"> </w:t>
      </w:r>
    </w:p>
    <w:p w14:paraId="4E5571D6">
      <w:pPr>
        <w:pStyle w:val="100"/>
        <w:spacing w:line="560" w:lineRule="exact"/>
        <w:ind w:firstLine="600" w:firstLineChars="200"/>
        <w:rPr>
          <w:rFonts w:cs="Calibri"/>
          <w:color w:val="auto"/>
          <w:sz w:val="30"/>
          <w:szCs w:val="30"/>
        </w:rPr>
      </w:pPr>
      <w:r>
        <w:rPr>
          <w:rFonts w:hint="eastAsia" w:cs="Calibri"/>
          <w:color w:val="auto"/>
          <w:sz w:val="30"/>
          <w:szCs w:val="30"/>
        </w:rPr>
        <w:t>包括在评价和购买本期凭证时，应提醒投资者考虑的各项风险因素。</w:t>
      </w:r>
    </w:p>
    <w:p w14:paraId="71F4F1C9">
      <w:pPr>
        <w:pStyle w:val="100"/>
        <w:spacing w:line="560" w:lineRule="exact"/>
        <w:rPr>
          <w:color w:val="auto"/>
          <w:sz w:val="30"/>
          <w:szCs w:val="30"/>
        </w:rPr>
      </w:pPr>
      <w:r>
        <w:rPr>
          <w:color w:val="auto"/>
          <w:sz w:val="30"/>
          <w:szCs w:val="30"/>
        </w:rPr>
        <w:t xml:space="preserve">9.5 </w:t>
      </w:r>
      <w:r>
        <w:rPr>
          <w:rFonts w:hint="eastAsia"/>
          <w:color w:val="auto"/>
          <w:sz w:val="30"/>
          <w:szCs w:val="30"/>
        </w:rPr>
        <w:t>关联方关系说明</w:t>
      </w:r>
      <w:r>
        <w:rPr>
          <w:color w:val="auto"/>
          <w:sz w:val="30"/>
          <w:szCs w:val="30"/>
        </w:rPr>
        <w:t xml:space="preserve"> </w:t>
      </w:r>
    </w:p>
    <w:p w14:paraId="2E5D7F85">
      <w:pPr>
        <w:pStyle w:val="100"/>
        <w:spacing w:line="560" w:lineRule="exact"/>
        <w:ind w:firstLine="600"/>
        <w:rPr>
          <w:color w:val="auto"/>
          <w:sz w:val="30"/>
          <w:szCs w:val="30"/>
        </w:rPr>
      </w:pPr>
      <w:r>
        <w:rPr>
          <w:rFonts w:hint="eastAsia"/>
          <w:color w:val="auto"/>
          <w:sz w:val="30"/>
          <w:szCs w:val="30"/>
        </w:rPr>
        <w:t>包括创设机构、参考实体、中介机构之间是否存在关联关系的说明。</w:t>
      </w:r>
    </w:p>
    <w:p w14:paraId="2BC53DCE">
      <w:pPr>
        <w:pStyle w:val="100"/>
        <w:spacing w:line="560" w:lineRule="exact"/>
        <w:rPr>
          <w:rFonts w:cs="Calibri"/>
          <w:b/>
          <w:color w:val="auto"/>
          <w:sz w:val="30"/>
          <w:szCs w:val="30"/>
        </w:rPr>
      </w:pPr>
      <w:r>
        <w:rPr>
          <w:rFonts w:hint="eastAsia"/>
          <w:b/>
          <w:color w:val="auto"/>
          <w:sz w:val="30"/>
          <w:szCs w:val="30"/>
        </w:rPr>
        <w:t>第十节</w:t>
      </w:r>
      <w:r>
        <w:rPr>
          <w:b/>
          <w:color w:val="auto"/>
          <w:sz w:val="30"/>
          <w:szCs w:val="30"/>
        </w:rPr>
        <w:t xml:space="preserve"> </w:t>
      </w:r>
      <w:r>
        <w:rPr>
          <w:rFonts w:hint="eastAsia"/>
          <w:b/>
          <w:color w:val="auto"/>
          <w:sz w:val="30"/>
          <w:szCs w:val="30"/>
        </w:rPr>
        <w:t>备查文件</w:t>
      </w:r>
      <w:r>
        <w:rPr>
          <w:b/>
          <w:color w:val="auto"/>
          <w:sz w:val="30"/>
          <w:szCs w:val="30"/>
        </w:rPr>
        <w:t xml:space="preserve"> </w:t>
      </w:r>
    </w:p>
    <w:p w14:paraId="5EF7838C">
      <w:pPr>
        <w:pStyle w:val="100"/>
        <w:spacing w:line="560" w:lineRule="exact"/>
        <w:rPr>
          <w:rFonts w:cs="Calibri"/>
          <w:color w:val="auto"/>
          <w:sz w:val="30"/>
          <w:szCs w:val="30"/>
        </w:rPr>
      </w:pPr>
      <w:r>
        <w:rPr>
          <w:color w:val="auto"/>
          <w:sz w:val="30"/>
          <w:szCs w:val="30"/>
        </w:rPr>
        <w:t xml:space="preserve">10.1 </w:t>
      </w:r>
      <w:r>
        <w:rPr>
          <w:rFonts w:hint="eastAsia"/>
          <w:color w:val="auto"/>
          <w:sz w:val="30"/>
          <w:szCs w:val="30"/>
        </w:rPr>
        <w:t>备查文件清单</w:t>
      </w:r>
      <w:r>
        <w:rPr>
          <w:color w:val="auto"/>
          <w:sz w:val="30"/>
          <w:szCs w:val="30"/>
        </w:rPr>
        <w:t xml:space="preserve"> </w:t>
      </w:r>
    </w:p>
    <w:p w14:paraId="4A7F333A">
      <w:pPr>
        <w:spacing w:line="560" w:lineRule="exact"/>
        <w:rPr>
          <w:rFonts w:ascii="仿宋_GB2312" w:eastAsia="仿宋_GB2312"/>
          <w:sz w:val="30"/>
          <w:szCs w:val="30"/>
        </w:rPr>
      </w:pPr>
      <w:r>
        <w:rPr>
          <w:rFonts w:ascii="仿宋_GB2312" w:eastAsia="仿宋_GB2312"/>
          <w:sz w:val="30"/>
          <w:szCs w:val="30"/>
        </w:rPr>
        <w:t xml:space="preserve">10.2 </w:t>
      </w:r>
      <w:r>
        <w:rPr>
          <w:rFonts w:hint="eastAsia" w:ascii="仿宋_GB2312" w:eastAsia="仿宋_GB2312"/>
          <w:sz w:val="30"/>
          <w:szCs w:val="30"/>
        </w:rPr>
        <w:t>查询地址</w:t>
      </w:r>
      <w:r>
        <w:rPr>
          <w:rFonts w:ascii="仿宋_GB2312" w:eastAsia="仿宋_GB2312"/>
          <w:sz w:val="30"/>
          <w:szCs w:val="30"/>
        </w:rPr>
        <w:t xml:space="preserve"> </w:t>
      </w:r>
    </w:p>
    <w:p w14:paraId="370CC912">
      <w:pPr>
        <w:pStyle w:val="100"/>
        <w:spacing w:line="560" w:lineRule="exact"/>
        <w:ind w:firstLine="600" w:firstLineChars="200"/>
        <w:rPr>
          <w:sz w:val="30"/>
          <w:szCs w:val="30"/>
        </w:rPr>
      </w:pPr>
      <w:r>
        <w:rPr>
          <w:rFonts w:hint="eastAsia"/>
          <w:sz w:val="30"/>
          <w:szCs w:val="30"/>
        </w:rPr>
        <w:t>包括查询方式、查询渠道、查询地址等。</w:t>
      </w:r>
    </w:p>
    <w:p w14:paraId="28C55151">
      <w:r>
        <w:br w:type="page"/>
      </w:r>
    </w:p>
    <w:p w14:paraId="427B094A">
      <w:pPr>
        <w:widowControl/>
        <w:jc w:val="left"/>
        <w:outlineLvl w:val="1"/>
        <w:rPr>
          <w:rFonts w:ascii="仿宋_GB2312" w:hAnsi="黑体" w:eastAsia="仿宋_GB2312"/>
          <w:b/>
          <w:sz w:val="30"/>
          <w:szCs w:val="30"/>
        </w:rPr>
      </w:pPr>
      <w:bookmarkStart w:id="4130" w:name="_Toc840932069"/>
      <w:bookmarkStart w:id="4131" w:name="_Toc1919469800"/>
      <w:bookmarkStart w:id="4132" w:name="_Toc1951559870"/>
      <w:bookmarkStart w:id="4133" w:name="_Toc151137109"/>
      <w:bookmarkStart w:id="4134" w:name="_Toc845956591"/>
      <w:bookmarkStart w:id="4135" w:name="_Toc230115938"/>
      <w:bookmarkStart w:id="4136" w:name="_Toc226531103"/>
      <w:r>
        <w:rPr>
          <w:rFonts w:hint="eastAsia" w:ascii="仿宋_GB2312" w:hAnsi="黑体" w:eastAsia="仿宋_GB2312"/>
          <w:b/>
          <w:sz w:val="30"/>
          <w:szCs w:val="30"/>
        </w:rPr>
        <w:t>附件26 信用保护凭证创设情况公告</w:t>
      </w:r>
      <w:bookmarkEnd w:id="4130"/>
      <w:bookmarkEnd w:id="4131"/>
      <w:bookmarkEnd w:id="4132"/>
      <w:bookmarkEnd w:id="4133"/>
      <w:bookmarkEnd w:id="4134"/>
      <w:bookmarkEnd w:id="4135"/>
      <w:bookmarkEnd w:id="4136"/>
    </w:p>
    <w:p w14:paraId="1CD184DA">
      <w:pPr>
        <w:spacing w:line="560" w:lineRule="exact"/>
        <w:ind w:firstLine="600" w:firstLineChars="200"/>
        <w:rPr>
          <w:rFonts w:eastAsia="仿宋_GB2312"/>
          <w:sz w:val="30"/>
          <w:szCs w:val="30"/>
        </w:rPr>
      </w:pPr>
    </w:p>
    <w:p w14:paraId="404E86A4">
      <w:pPr>
        <w:pStyle w:val="92"/>
        <w:spacing w:line="560" w:lineRule="exact"/>
        <w:ind w:firstLine="0"/>
        <w:jc w:val="center"/>
        <w:rPr>
          <w:rFonts w:ascii="黑体" w:hAnsi="黑体" w:eastAsia="黑体"/>
          <w:b/>
          <w:sz w:val="44"/>
          <w:szCs w:val="44"/>
          <w:lang w:eastAsia="zh-CN"/>
        </w:rPr>
      </w:pPr>
      <w:r>
        <w:rPr>
          <w:rFonts w:hint="eastAsia" w:ascii="黑体" w:hAnsi="黑体" w:eastAsia="黑体"/>
          <w:b/>
          <w:sz w:val="44"/>
          <w:szCs w:val="44"/>
          <w:lang w:eastAsia="zh-CN"/>
        </w:rPr>
        <w:t>信用保护凭证创设情况公告</w:t>
      </w:r>
    </w:p>
    <w:p w14:paraId="0209D00A">
      <w:pPr>
        <w:spacing w:line="560" w:lineRule="exact"/>
        <w:ind w:firstLine="600" w:firstLineChars="200"/>
        <w:rPr>
          <w:rFonts w:eastAsia="仿宋_GB2312"/>
          <w:sz w:val="30"/>
          <w:szCs w:val="30"/>
        </w:rPr>
      </w:pPr>
    </w:p>
    <w:p w14:paraId="38881565">
      <w:pPr>
        <w:spacing w:line="560" w:lineRule="exact"/>
        <w:rPr>
          <w:rFonts w:eastAsia="仿宋_GB2312"/>
          <w:sz w:val="30"/>
          <w:szCs w:val="32"/>
        </w:rPr>
      </w:pPr>
      <w:r>
        <w:rPr>
          <w:rFonts w:eastAsia="仿宋_GB2312"/>
          <w:sz w:val="30"/>
          <w:szCs w:val="32"/>
        </w:rPr>
        <w:t xml:space="preserve">    XXXX</w:t>
      </w:r>
      <w:r>
        <w:rPr>
          <w:rFonts w:hint="eastAsia" w:eastAsia="仿宋_GB2312"/>
          <w:sz w:val="30"/>
          <w:szCs w:val="32"/>
        </w:rPr>
        <w:t>信用保护凭证创设工作已经结束，根据簿记建档结果，现将本凭证创设最终要素公告如下：</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1559"/>
        <w:gridCol w:w="2314"/>
        <w:gridCol w:w="2131"/>
      </w:tblGrid>
      <w:tr w14:paraId="1748B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14:paraId="5308ECE3">
            <w:pPr>
              <w:spacing w:line="560" w:lineRule="exact"/>
              <w:rPr>
                <w:rFonts w:eastAsia="仿宋_GB2312"/>
                <w:sz w:val="24"/>
                <w:szCs w:val="24"/>
              </w:rPr>
            </w:pPr>
            <w:r>
              <w:rPr>
                <w:rFonts w:hint="eastAsia" w:eastAsia="仿宋_GB2312"/>
                <w:sz w:val="24"/>
                <w:szCs w:val="24"/>
              </w:rPr>
              <w:t>凭证名称</w:t>
            </w:r>
          </w:p>
        </w:tc>
        <w:tc>
          <w:tcPr>
            <w:tcW w:w="6004" w:type="dxa"/>
            <w:gridSpan w:val="3"/>
          </w:tcPr>
          <w:p w14:paraId="763B5224">
            <w:pPr>
              <w:spacing w:line="560" w:lineRule="exact"/>
              <w:rPr>
                <w:rFonts w:eastAsia="仿宋_GB2312"/>
                <w:sz w:val="24"/>
                <w:szCs w:val="24"/>
              </w:rPr>
            </w:pPr>
          </w:p>
        </w:tc>
      </w:tr>
      <w:tr w14:paraId="2FE9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14:paraId="5F4CD213">
            <w:pPr>
              <w:spacing w:line="560" w:lineRule="exact"/>
              <w:rPr>
                <w:rFonts w:eastAsia="仿宋_GB2312"/>
                <w:sz w:val="24"/>
                <w:szCs w:val="24"/>
              </w:rPr>
            </w:pPr>
            <w:r>
              <w:rPr>
                <w:rFonts w:hint="eastAsia" w:eastAsia="仿宋_GB2312"/>
                <w:sz w:val="24"/>
                <w:szCs w:val="24"/>
              </w:rPr>
              <w:t>凭证简称</w:t>
            </w:r>
          </w:p>
        </w:tc>
        <w:tc>
          <w:tcPr>
            <w:tcW w:w="1559" w:type="dxa"/>
          </w:tcPr>
          <w:p w14:paraId="7A0D13BB">
            <w:pPr>
              <w:spacing w:line="560" w:lineRule="exact"/>
              <w:rPr>
                <w:rFonts w:eastAsia="仿宋_GB2312"/>
                <w:sz w:val="24"/>
                <w:szCs w:val="24"/>
              </w:rPr>
            </w:pPr>
          </w:p>
        </w:tc>
        <w:tc>
          <w:tcPr>
            <w:tcW w:w="2314" w:type="dxa"/>
          </w:tcPr>
          <w:p w14:paraId="3E617A46">
            <w:pPr>
              <w:spacing w:line="560" w:lineRule="exact"/>
              <w:rPr>
                <w:rFonts w:eastAsia="仿宋_GB2312"/>
                <w:sz w:val="24"/>
                <w:szCs w:val="24"/>
              </w:rPr>
            </w:pPr>
            <w:r>
              <w:rPr>
                <w:rFonts w:hint="eastAsia" w:eastAsia="仿宋_GB2312"/>
                <w:sz w:val="24"/>
                <w:szCs w:val="24"/>
              </w:rPr>
              <w:t>凭证代码</w:t>
            </w:r>
          </w:p>
        </w:tc>
        <w:tc>
          <w:tcPr>
            <w:tcW w:w="2131" w:type="dxa"/>
          </w:tcPr>
          <w:p w14:paraId="7ADA0CB2">
            <w:pPr>
              <w:spacing w:line="560" w:lineRule="exact"/>
              <w:rPr>
                <w:rFonts w:eastAsia="仿宋_GB2312"/>
                <w:sz w:val="24"/>
                <w:szCs w:val="24"/>
              </w:rPr>
            </w:pPr>
          </w:p>
        </w:tc>
      </w:tr>
      <w:tr w14:paraId="605CE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14:paraId="516F61AC">
            <w:pPr>
              <w:spacing w:line="560" w:lineRule="exact"/>
              <w:rPr>
                <w:rFonts w:eastAsia="仿宋_GB2312"/>
                <w:sz w:val="24"/>
                <w:szCs w:val="24"/>
              </w:rPr>
            </w:pPr>
            <w:r>
              <w:rPr>
                <w:rFonts w:hint="eastAsia" w:eastAsia="仿宋_GB2312"/>
                <w:sz w:val="24"/>
                <w:szCs w:val="24"/>
              </w:rPr>
              <w:t>凭证期限</w:t>
            </w:r>
          </w:p>
        </w:tc>
        <w:tc>
          <w:tcPr>
            <w:tcW w:w="1559" w:type="dxa"/>
          </w:tcPr>
          <w:p w14:paraId="6C35656D">
            <w:pPr>
              <w:spacing w:line="560" w:lineRule="exact"/>
              <w:rPr>
                <w:rFonts w:eastAsia="仿宋_GB2312"/>
                <w:sz w:val="24"/>
                <w:szCs w:val="24"/>
              </w:rPr>
            </w:pPr>
          </w:p>
        </w:tc>
        <w:tc>
          <w:tcPr>
            <w:tcW w:w="2314" w:type="dxa"/>
          </w:tcPr>
          <w:p w14:paraId="67AA1312">
            <w:pPr>
              <w:spacing w:line="560" w:lineRule="exact"/>
              <w:rPr>
                <w:rFonts w:eastAsia="仿宋_GB2312"/>
                <w:sz w:val="24"/>
                <w:szCs w:val="24"/>
              </w:rPr>
            </w:pPr>
            <w:r>
              <w:rPr>
                <w:rFonts w:hint="eastAsia" w:eastAsia="仿宋_GB2312"/>
                <w:sz w:val="24"/>
                <w:szCs w:val="24"/>
              </w:rPr>
              <w:t>凭证创设价格</w:t>
            </w:r>
          </w:p>
        </w:tc>
        <w:tc>
          <w:tcPr>
            <w:tcW w:w="2131" w:type="dxa"/>
          </w:tcPr>
          <w:p w14:paraId="338C3708">
            <w:pPr>
              <w:spacing w:line="560" w:lineRule="exact"/>
              <w:rPr>
                <w:rFonts w:eastAsia="仿宋_GB2312"/>
                <w:sz w:val="24"/>
                <w:szCs w:val="24"/>
              </w:rPr>
            </w:pPr>
          </w:p>
        </w:tc>
      </w:tr>
      <w:tr w14:paraId="732B6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18" w:type="dxa"/>
          </w:tcPr>
          <w:p w14:paraId="07C55AB1">
            <w:pPr>
              <w:spacing w:line="560" w:lineRule="exact"/>
              <w:rPr>
                <w:rFonts w:eastAsia="仿宋_GB2312"/>
                <w:sz w:val="24"/>
                <w:szCs w:val="24"/>
              </w:rPr>
            </w:pPr>
            <w:r>
              <w:rPr>
                <w:rFonts w:hint="eastAsia" w:eastAsia="仿宋_GB2312"/>
                <w:sz w:val="24"/>
                <w:szCs w:val="24"/>
              </w:rPr>
              <w:t>凭证起始日</w:t>
            </w:r>
          </w:p>
        </w:tc>
        <w:tc>
          <w:tcPr>
            <w:tcW w:w="1559" w:type="dxa"/>
          </w:tcPr>
          <w:p w14:paraId="6E5B3F23">
            <w:pPr>
              <w:spacing w:line="560" w:lineRule="exact"/>
              <w:rPr>
                <w:rFonts w:eastAsia="仿宋_GB2312"/>
                <w:sz w:val="24"/>
                <w:szCs w:val="24"/>
              </w:rPr>
            </w:pPr>
          </w:p>
        </w:tc>
        <w:tc>
          <w:tcPr>
            <w:tcW w:w="2314" w:type="dxa"/>
          </w:tcPr>
          <w:p w14:paraId="6295D7F3">
            <w:pPr>
              <w:spacing w:line="560" w:lineRule="exact"/>
              <w:rPr>
                <w:rFonts w:eastAsia="仿宋_GB2312"/>
                <w:sz w:val="24"/>
                <w:szCs w:val="24"/>
              </w:rPr>
            </w:pPr>
            <w:r>
              <w:rPr>
                <w:rFonts w:hint="eastAsia" w:eastAsia="仿宋_GB2312"/>
                <w:sz w:val="24"/>
                <w:szCs w:val="24"/>
              </w:rPr>
              <w:t>凭证到期日</w:t>
            </w:r>
          </w:p>
        </w:tc>
        <w:tc>
          <w:tcPr>
            <w:tcW w:w="2131" w:type="dxa"/>
          </w:tcPr>
          <w:p w14:paraId="7752AB82">
            <w:pPr>
              <w:spacing w:line="560" w:lineRule="exact"/>
              <w:rPr>
                <w:rFonts w:eastAsia="仿宋_GB2312"/>
                <w:sz w:val="24"/>
                <w:szCs w:val="24"/>
              </w:rPr>
            </w:pPr>
          </w:p>
        </w:tc>
      </w:tr>
      <w:tr w14:paraId="17280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14:paraId="1ABF5CA9">
            <w:pPr>
              <w:spacing w:line="560" w:lineRule="exact"/>
              <w:rPr>
                <w:rFonts w:eastAsia="仿宋_GB2312"/>
                <w:sz w:val="24"/>
                <w:szCs w:val="24"/>
              </w:rPr>
            </w:pPr>
            <w:r>
              <w:rPr>
                <w:rFonts w:hint="eastAsia" w:eastAsia="仿宋_GB2312"/>
                <w:sz w:val="24"/>
                <w:szCs w:val="24"/>
              </w:rPr>
              <w:t>创设数量（手）</w:t>
            </w:r>
          </w:p>
        </w:tc>
        <w:tc>
          <w:tcPr>
            <w:tcW w:w="1559" w:type="dxa"/>
          </w:tcPr>
          <w:p w14:paraId="691F554C">
            <w:pPr>
              <w:spacing w:line="560" w:lineRule="exact"/>
              <w:rPr>
                <w:rFonts w:eastAsia="仿宋_GB2312"/>
                <w:sz w:val="24"/>
                <w:szCs w:val="24"/>
              </w:rPr>
            </w:pPr>
          </w:p>
        </w:tc>
        <w:tc>
          <w:tcPr>
            <w:tcW w:w="2314" w:type="dxa"/>
          </w:tcPr>
          <w:p w14:paraId="6DD3EE9A">
            <w:pPr>
              <w:spacing w:line="560" w:lineRule="exact"/>
              <w:rPr>
                <w:rFonts w:eastAsia="仿宋_GB2312"/>
                <w:sz w:val="24"/>
                <w:szCs w:val="24"/>
              </w:rPr>
            </w:pPr>
            <w:r>
              <w:rPr>
                <w:rFonts w:hint="eastAsia" w:eastAsia="仿宋_GB2312"/>
                <w:sz w:val="24"/>
                <w:szCs w:val="24"/>
              </w:rPr>
              <w:t>创设总额（名义本金：元）</w:t>
            </w:r>
          </w:p>
        </w:tc>
        <w:tc>
          <w:tcPr>
            <w:tcW w:w="2131" w:type="dxa"/>
          </w:tcPr>
          <w:p w14:paraId="4DC6CC8D">
            <w:pPr>
              <w:spacing w:line="560" w:lineRule="exact"/>
              <w:rPr>
                <w:rFonts w:eastAsia="仿宋_GB2312"/>
                <w:sz w:val="24"/>
                <w:szCs w:val="24"/>
              </w:rPr>
            </w:pPr>
          </w:p>
        </w:tc>
      </w:tr>
    </w:tbl>
    <w:p w14:paraId="71FB848B">
      <w:pPr>
        <w:spacing w:line="560" w:lineRule="exact"/>
        <w:rPr>
          <w:rFonts w:eastAsia="仿宋_GB2312"/>
          <w:sz w:val="32"/>
          <w:szCs w:val="32"/>
        </w:rPr>
      </w:pPr>
    </w:p>
    <w:p w14:paraId="6E900221">
      <w:pPr>
        <w:spacing w:line="560" w:lineRule="exact"/>
        <w:ind w:right="1280"/>
        <w:rPr>
          <w:rFonts w:eastAsia="仿宋_GB2312"/>
          <w:sz w:val="30"/>
          <w:szCs w:val="30"/>
        </w:rPr>
      </w:pPr>
      <w:r>
        <w:rPr>
          <w:rFonts w:eastAsia="仿宋_GB2312"/>
          <w:sz w:val="32"/>
          <w:szCs w:val="32"/>
        </w:rPr>
        <w:t xml:space="preserve">                           </w:t>
      </w:r>
      <w:r>
        <w:rPr>
          <w:rFonts w:eastAsia="仿宋_GB2312"/>
          <w:sz w:val="30"/>
          <w:szCs w:val="30"/>
        </w:rPr>
        <w:t xml:space="preserve">  </w:t>
      </w:r>
      <w:r>
        <w:rPr>
          <w:rFonts w:hint="eastAsia" w:eastAsia="仿宋_GB2312"/>
          <w:sz w:val="30"/>
          <w:szCs w:val="30"/>
        </w:rPr>
        <w:t>凭证创设机构：</w:t>
      </w:r>
    </w:p>
    <w:p w14:paraId="04B70088">
      <w:pPr>
        <w:spacing w:line="560" w:lineRule="exact"/>
        <w:ind w:firstLine="6000" w:firstLineChars="2000"/>
        <w:rPr>
          <w:rFonts w:eastAsia="仿宋_GB2312"/>
          <w:sz w:val="30"/>
          <w:szCs w:val="30"/>
        </w:rPr>
      </w:pPr>
      <w:r>
        <w:rPr>
          <w:rFonts w:hint="eastAsia" w:eastAsia="仿宋_GB2312"/>
          <w:sz w:val="30"/>
          <w:szCs w:val="30"/>
        </w:rPr>
        <w:t>年</w:t>
      </w:r>
      <w:r>
        <w:rPr>
          <w:rFonts w:eastAsia="仿宋_GB2312"/>
          <w:sz w:val="30"/>
          <w:szCs w:val="30"/>
        </w:rPr>
        <w:t xml:space="preserve">    </w:t>
      </w:r>
      <w:r>
        <w:rPr>
          <w:rFonts w:hint="eastAsia" w:eastAsia="仿宋_GB2312"/>
          <w:sz w:val="30"/>
          <w:szCs w:val="30"/>
        </w:rPr>
        <w:t>月</w:t>
      </w:r>
      <w:r>
        <w:rPr>
          <w:rFonts w:eastAsia="仿宋_GB2312"/>
          <w:sz w:val="30"/>
          <w:szCs w:val="30"/>
        </w:rPr>
        <w:t xml:space="preserve">    </w:t>
      </w:r>
      <w:r>
        <w:rPr>
          <w:rFonts w:hint="eastAsia" w:eastAsia="仿宋_GB2312"/>
          <w:sz w:val="30"/>
          <w:szCs w:val="30"/>
        </w:rPr>
        <w:t>日</w:t>
      </w:r>
    </w:p>
    <w:p w14:paraId="531D9A2C">
      <w:r>
        <w:br w:type="page"/>
      </w:r>
    </w:p>
    <w:p w14:paraId="3BD3C30D">
      <w:pPr>
        <w:widowControl/>
        <w:jc w:val="left"/>
        <w:outlineLvl w:val="1"/>
        <w:rPr>
          <w:rFonts w:ascii="仿宋_GB2312" w:hAnsi="黑体" w:eastAsia="仿宋_GB2312"/>
          <w:b/>
          <w:sz w:val="30"/>
          <w:szCs w:val="30"/>
        </w:rPr>
      </w:pPr>
      <w:bookmarkStart w:id="4137" w:name="_Toc1081195513"/>
      <w:bookmarkStart w:id="4138" w:name="_Toc359914745"/>
      <w:bookmarkStart w:id="4139" w:name="_Toc334844039"/>
      <w:bookmarkStart w:id="4140" w:name="_Toc151137110"/>
      <w:bookmarkStart w:id="4141" w:name="_Toc199867051"/>
      <w:bookmarkStart w:id="4142" w:name="_Toc1619428966"/>
      <w:bookmarkStart w:id="4143" w:name="_Toc1597217614"/>
      <w:r>
        <w:rPr>
          <w:rFonts w:hint="eastAsia" w:ascii="仿宋_GB2312" w:hAnsi="黑体" w:eastAsia="仿宋_GB2312"/>
          <w:b/>
          <w:sz w:val="30"/>
          <w:szCs w:val="30"/>
        </w:rPr>
        <w:t>附件27 信用保护凭证挂牌转让申请书</w:t>
      </w:r>
      <w:bookmarkEnd w:id="4137"/>
      <w:bookmarkEnd w:id="4138"/>
      <w:bookmarkEnd w:id="4139"/>
      <w:bookmarkEnd w:id="4140"/>
      <w:bookmarkEnd w:id="4141"/>
      <w:bookmarkEnd w:id="4142"/>
      <w:bookmarkEnd w:id="4143"/>
    </w:p>
    <w:p w14:paraId="50930DD9">
      <w:pPr>
        <w:pStyle w:val="92"/>
        <w:spacing w:line="560" w:lineRule="exact"/>
        <w:ind w:firstLine="0"/>
        <w:jc w:val="center"/>
        <w:rPr>
          <w:rFonts w:ascii="黑体" w:hAnsi="黑体" w:eastAsia="黑体"/>
          <w:b/>
          <w:sz w:val="44"/>
          <w:szCs w:val="44"/>
          <w:lang w:eastAsia="zh-CN"/>
        </w:rPr>
      </w:pPr>
    </w:p>
    <w:p w14:paraId="35C71E6A">
      <w:pPr>
        <w:pStyle w:val="92"/>
        <w:spacing w:line="560" w:lineRule="exact"/>
        <w:ind w:firstLine="0"/>
        <w:jc w:val="center"/>
        <w:rPr>
          <w:rFonts w:ascii="黑体" w:hAnsi="黑体" w:eastAsia="黑体"/>
          <w:b/>
          <w:sz w:val="44"/>
          <w:szCs w:val="44"/>
          <w:lang w:eastAsia="zh-CN"/>
        </w:rPr>
      </w:pPr>
      <w:r>
        <w:rPr>
          <w:rFonts w:hint="eastAsia" w:ascii="黑体" w:hAnsi="黑体" w:eastAsia="黑体"/>
          <w:b/>
          <w:sz w:val="44"/>
          <w:szCs w:val="44"/>
          <w:lang w:eastAsia="zh-CN"/>
        </w:rPr>
        <w:t>信用保护凭证挂牌转让申请书</w:t>
      </w:r>
    </w:p>
    <w:p w14:paraId="16FC7045">
      <w:pPr>
        <w:spacing w:line="560" w:lineRule="exact"/>
        <w:jc w:val="center"/>
        <w:rPr>
          <w:rFonts w:eastAsia="仿宋_GB2312"/>
          <w:sz w:val="30"/>
          <w:szCs w:val="30"/>
        </w:rPr>
      </w:pPr>
      <w:r>
        <w:rPr>
          <w:rFonts w:hint="eastAsia" w:eastAsia="仿宋_GB2312"/>
          <w:sz w:val="30"/>
          <w:szCs w:val="30"/>
        </w:rPr>
        <w:t>（上市（挂牌）申请书至少包括但不限于以下内容）</w:t>
      </w:r>
    </w:p>
    <w:p w14:paraId="163B00FD">
      <w:pPr>
        <w:spacing w:line="560" w:lineRule="exact"/>
        <w:rPr>
          <w:rFonts w:eastAsia="仿宋_GB2312"/>
          <w:sz w:val="32"/>
        </w:rPr>
      </w:pPr>
    </w:p>
    <w:p w14:paraId="7984A8D4">
      <w:pPr>
        <w:spacing w:after="156" w:afterLines="50" w:line="560" w:lineRule="exact"/>
        <w:rPr>
          <w:rFonts w:eastAsia="仿宋_GB2312"/>
          <w:sz w:val="30"/>
          <w:szCs w:val="30"/>
        </w:rPr>
      </w:pPr>
      <w:r>
        <w:rPr>
          <w:rFonts w:hint="eastAsia" w:eastAsia="仿宋_GB2312"/>
          <w:sz w:val="30"/>
          <w:szCs w:val="30"/>
        </w:rPr>
        <w:t>上海证券交易所：</w:t>
      </w:r>
      <w:r>
        <w:rPr>
          <w:rFonts w:eastAsia="仿宋_GB2312"/>
          <w:sz w:val="30"/>
          <w:szCs w:val="30"/>
        </w:rPr>
        <w:t xml:space="preserve"> </w:t>
      </w:r>
    </w:p>
    <w:p w14:paraId="5E200704">
      <w:pPr>
        <w:spacing w:after="156" w:afterLines="50" w:line="560" w:lineRule="exact"/>
        <w:ind w:firstLine="600" w:firstLineChars="200"/>
        <w:rPr>
          <w:rFonts w:eastAsia="仿宋_GB2312"/>
          <w:sz w:val="30"/>
          <w:szCs w:val="30"/>
        </w:rPr>
      </w:pPr>
      <w:r>
        <w:rPr>
          <w:rFonts w:hint="eastAsia" w:eastAsia="仿宋_GB2312"/>
          <w:sz w:val="30"/>
          <w:szCs w:val="30"/>
        </w:rPr>
        <w:t>经贵所备案，本公司</w:t>
      </w:r>
      <w:r>
        <w:rPr>
          <w:rFonts w:eastAsia="仿宋_GB2312"/>
          <w:sz w:val="30"/>
          <w:szCs w:val="30"/>
        </w:rPr>
        <w:t>XXXX</w:t>
      </w:r>
      <w:r>
        <w:rPr>
          <w:rFonts w:hint="eastAsia" w:eastAsia="仿宋_GB2312"/>
          <w:sz w:val="30"/>
          <w:szCs w:val="30"/>
        </w:rPr>
        <w:t>亿元名义本金</w:t>
      </w:r>
      <w:r>
        <w:rPr>
          <w:rFonts w:eastAsia="仿宋_GB2312"/>
          <w:sz w:val="30"/>
          <w:szCs w:val="30"/>
        </w:rPr>
        <w:t>XXXX</w:t>
      </w:r>
      <w:r>
        <w:rPr>
          <w:rFonts w:hint="eastAsia" w:eastAsia="仿宋_GB2312"/>
          <w:sz w:val="30"/>
          <w:szCs w:val="30"/>
        </w:rPr>
        <w:t>年期，参考实体为</w:t>
      </w:r>
      <w:r>
        <w:rPr>
          <w:rFonts w:eastAsia="仿宋_GB2312"/>
          <w:sz w:val="30"/>
          <w:szCs w:val="30"/>
        </w:rPr>
        <w:t>XXXX</w:t>
      </w:r>
      <w:r>
        <w:rPr>
          <w:rFonts w:hint="eastAsia" w:eastAsia="仿宋_GB2312"/>
          <w:sz w:val="30"/>
          <w:szCs w:val="30"/>
        </w:rPr>
        <w:t>的凭证已于</w:t>
      </w:r>
      <w:r>
        <w:rPr>
          <w:rFonts w:eastAsia="仿宋_GB2312"/>
          <w:sz w:val="30"/>
          <w:szCs w:val="30"/>
        </w:rPr>
        <w:t xml:space="preserve"> [  ]</w:t>
      </w:r>
      <w:r>
        <w:rPr>
          <w:rFonts w:hint="eastAsia" w:eastAsia="仿宋_GB2312"/>
          <w:sz w:val="30"/>
          <w:szCs w:val="30"/>
        </w:rPr>
        <w:t>年</w:t>
      </w:r>
      <w:r>
        <w:rPr>
          <w:rFonts w:eastAsia="仿宋_GB2312"/>
          <w:sz w:val="30"/>
          <w:szCs w:val="30"/>
        </w:rPr>
        <w:t xml:space="preserve"> [  ]</w:t>
      </w:r>
      <w:r>
        <w:rPr>
          <w:rFonts w:hint="eastAsia" w:eastAsia="仿宋_GB2312"/>
          <w:sz w:val="30"/>
          <w:szCs w:val="30"/>
        </w:rPr>
        <w:t>月</w:t>
      </w:r>
      <w:r>
        <w:rPr>
          <w:rFonts w:eastAsia="仿宋_GB2312"/>
          <w:sz w:val="30"/>
          <w:szCs w:val="30"/>
        </w:rPr>
        <w:t xml:space="preserve"> [  ]</w:t>
      </w:r>
      <w:r>
        <w:rPr>
          <w:rFonts w:hint="eastAsia" w:eastAsia="仿宋_GB2312"/>
          <w:sz w:val="30"/>
          <w:szCs w:val="30"/>
        </w:rPr>
        <w:t>日创设完毕，并在中国证券登记结算有限责任公司上海分公司完成凭证登记、托管等工作。</w:t>
      </w:r>
    </w:p>
    <w:p w14:paraId="487BE7E9">
      <w:pPr>
        <w:spacing w:after="156" w:afterLines="50" w:line="560" w:lineRule="exact"/>
        <w:ind w:firstLine="600" w:firstLineChars="200"/>
        <w:rPr>
          <w:rFonts w:eastAsia="仿宋_GB2312"/>
          <w:sz w:val="30"/>
          <w:szCs w:val="30"/>
        </w:rPr>
      </w:pPr>
      <w:r>
        <w:rPr>
          <w:rFonts w:hint="eastAsia" w:eastAsia="仿宋_GB2312"/>
          <w:sz w:val="30"/>
          <w:szCs w:val="30"/>
        </w:rPr>
        <w:t>本公司认为本期凭证符合上海证券交易所的凭证挂牌条件，现申请本公司</w:t>
      </w:r>
      <w:r>
        <w:rPr>
          <w:rFonts w:eastAsia="仿宋_GB2312"/>
          <w:sz w:val="30"/>
          <w:szCs w:val="30"/>
        </w:rPr>
        <w:t>XXXX</w:t>
      </w:r>
      <w:r>
        <w:rPr>
          <w:rFonts w:hint="eastAsia" w:eastAsia="仿宋_GB2312"/>
          <w:sz w:val="30"/>
          <w:szCs w:val="30"/>
        </w:rPr>
        <w:t>凭证在贵所</w:t>
      </w:r>
      <w:r>
        <w:rPr>
          <w:rFonts w:hint="eastAsia" w:eastAsia="仿宋_GB2312"/>
          <w:sz w:val="30"/>
          <w:szCs w:val="30"/>
          <w:lang w:eastAsia="zh-CN"/>
        </w:rPr>
        <w:t>新固定收益系统</w:t>
      </w:r>
      <w:r>
        <w:rPr>
          <w:rFonts w:hint="eastAsia" w:eastAsia="仿宋_GB2312"/>
          <w:sz w:val="30"/>
          <w:szCs w:val="30"/>
        </w:rPr>
        <w:t>挂牌转让，请审核。</w:t>
      </w:r>
    </w:p>
    <w:p w14:paraId="3E025ADE">
      <w:pPr>
        <w:spacing w:after="156" w:afterLines="50" w:line="560" w:lineRule="exact"/>
        <w:ind w:firstLine="600" w:firstLineChars="200"/>
        <w:rPr>
          <w:rFonts w:eastAsia="仿宋_GB2312"/>
          <w:sz w:val="30"/>
          <w:szCs w:val="30"/>
        </w:rPr>
      </w:pPr>
      <w:r>
        <w:rPr>
          <w:rFonts w:hint="eastAsia" w:eastAsia="仿宋_GB2312"/>
          <w:sz w:val="30"/>
          <w:szCs w:val="30"/>
        </w:rPr>
        <w:t>特此申请。</w:t>
      </w:r>
    </w:p>
    <w:p w14:paraId="20CD2464">
      <w:pPr>
        <w:spacing w:after="156" w:afterLines="50" w:line="560" w:lineRule="exact"/>
        <w:rPr>
          <w:rFonts w:eastAsia="仿宋_GB2312"/>
          <w:sz w:val="30"/>
          <w:szCs w:val="30"/>
        </w:rPr>
      </w:pPr>
      <w:r>
        <w:rPr>
          <w:rFonts w:eastAsia="仿宋_GB2312"/>
          <w:sz w:val="30"/>
          <w:szCs w:val="30"/>
        </w:rPr>
        <w:t xml:space="preserve"> </w:t>
      </w:r>
    </w:p>
    <w:p w14:paraId="4A2876A4">
      <w:pPr>
        <w:spacing w:after="156" w:afterLines="50" w:line="560" w:lineRule="exact"/>
        <w:rPr>
          <w:sz w:val="24"/>
        </w:rPr>
      </w:pPr>
    </w:p>
    <w:p w14:paraId="7823DEE6">
      <w:pPr>
        <w:spacing w:after="156" w:afterLines="50" w:line="560" w:lineRule="exact"/>
        <w:rPr>
          <w:sz w:val="24"/>
        </w:rPr>
      </w:pPr>
    </w:p>
    <w:p w14:paraId="0C1B50B5">
      <w:pPr>
        <w:spacing w:after="156" w:afterLines="50" w:line="560" w:lineRule="exact"/>
        <w:ind w:firstLine="6600"/>
        <w:jc w:val="right"/>
        <w:rPr>
          <w:rFonts w:eastAsia="仿宋_GB2312"/>
          <w:sz w:val="30"/>
          <w:szCs w:val="30"/>
        </w:rPr>
      </w:pPr>
      <w:r>
        <w:rPr>
          <w:rFonts w:hint="eastAsia" w:eastAsia="仿宋_GB2312"/>
          <w:sz w:val="30"/>
          <w:szCs w:val="30"/>
        </w:rPr>
        <w:t>创设机构</w:t>
      </w:r>
    </w:p>
    <w:p w14:paraId="277F561E">
      <w:pPr>
        <w:spacing w:after="156" w:afterLines="50" w:line="560" w:lineRule="exact"/>
        <w:ind w:firstLine="6600"/>
        <w:jc w:val="right"/>
        <w:rPr>
          <w:rFonts w:eastAsia="仿宋_GB2312"/>
          <w:sz w:val="30"/>
          <w:szCs w:val="30"/>
        </w:rPr>
      </w:pPr>
      <w:r>
        <w:rPr>
          <w:rFonts w:eastAsia="仿宋_GB2312"/>
          <w:sz w:val="30"/>
          <w:szCs w:val="30"/>
        </w:rPr>
        <w:t>XXXX</w:t>
      </w:r>
      <w:r>
        <w:rPr>
          <w:rFonts w:hint="eastAsia" w:eastAsia="仿宋_GB2312"/>
          <w:sz w:val="30"/>
          <w:szCs w:val="30"/>
        </w:rPr>
        <w:t>公司（盖章）</w:t>
      </w:r>
    </w:p>
    <w:p w14:paraId="59F775FC">
      <w:pPr>
        <w:spacing w:line="560" w:lineRule="exact"/>
        <w:jc w:val="right"/>
        <w:rPr>
          <w:rFonts w:eastAsia="仿宋_GB2312"/>
          <w:sz w:val="30"/>
          <w:szCs w:val="30"/>
        </w:rPr>
      </w:pPr>
      <w:r>
        <w:rPr>
          <w:rFonts w:hint="eastAsia" w:eastAsia="仿宋_GB2312"/>
          <w:sz w:val="30"/>
          <w:szCs w:val="30"/>
        </w:rPr>
        <w:t>年</w:t>
      </w:r>
      <w:r>
        <w:rPr>
          <w:rFonts w:eastAsia="仿宋_GB2312"/>
          <w:sz w:val="30"/>
          <w:szCs w:val="30"/>
        </w:rPr>
        <w:t xml:space="preserve"> </w:t>
      </w:r>
      <w:r>
        <w:rPr>
          <w:rFonts w:hint="eastAsia" w:eastAsia="仿宋_GB2312"/>
          <w:sz w:val="30"/>
          <w:szCs w:val="30"/>
        </w:rPr>
        <w:t>月</w:t>
      </w:r>
      <w:r>
        <w:rPr>
          <w:rFonts w:eastAsia="仿宋_GB2312"/>
          <w:sz w:val="30"/>
          <w:szCs w:val="30"/>
        </w:rPr>
        <w:t xml:space="preserve"> </w:t>
      </w:r>
      <w:r>
        <w:rPr>
          <w:rFonts w:hint="eastAsia" w:eastAsia="仿宋_GB2312"/>
          <w:sz w:val="30"/>
          <w:szCs w:val="30"/>
        </w:rPr>
        <w:t>日</w:t>
      </w:r>
    </w:p>
    <w:p w14:paraId="08D04B86">
      <w:pPr>
        <w:widowControl/>
        <w:jc w:val="left"/>
        <w:rPr>
          <w:rFonts w:ascii="仿宋_GB2312" w:hAnsi="仿宋" w:eastAsia="仿宋_GB2312"/>
          <w:sz w:val="24"/>
          <w:szCs w:val="30"/>
        </w:rPr>
      </w:pPr>
    </w:p>
    <w:p w14:paraId="3C5028B3">
      <w:pPr>
        <w:spacing w:line="600" w:lineRule="exact"/>
        <w:jc w:val="left"/>
        <w:outlineLvl w:val="1"/>
        <w:rPr>
          <w:rFonts w:ascii="仿宋_GB2312" w:hAnsi="仿宋" w:eastAsia="仿宋_GB2312"/>
          <w:b/>
          <w:bCs/>
          <w:sz w:val="30"/>
          <w:szCs w:val="30"/>
        </w:rPr>
      </w:pPr>
      <w:r>
        <w:br w:type="page"/>
      </w:r>
      <w:bookmarkStart w:id="4144" w:name="_Toc1840624717"/>
      <w:bookmarkStart w:id="4145" w:name="_Toc906053551"/>
      <w:bookmarkStart w:id="4146" w:name="_Toc976182996"/>
      <w:bookmarkStart w:id="4147" w:name="_Toc1785922713"/>
      <w:bookmarkStart w:id="4148" w:name="_Toc151137111"/>
      <w:bookmarkStart w:id="4149" w:name="_Toc1420154989"/>
      <w:bookmarkStart w:id="4150" w:name="_Toc1499921977"/>
      <w:r>
        <w:rPr>
          <w:rFonts w:hint="eastAsia" w:ascii="仿宋_GB2312" w:hAnsi="黑体" w:eastAsia="仿宋_GB2312"/>
          <w:b/>
          <w:sz w:val="30"/>
          <w:szCs w:val="30"/>
        </w:rPr>
        <w:t>附件28 创设款到账确认书</w:t>
      </w:r>
      <w:bookmarkEnd w:id="4144"/>
      <w:bookmarkEnd w:id="4145"/>
      <w:bookmarkEnd w:id="4146"/>
      <w:bookmarkEnd w:id="4147"/>
      <w:bookmarkEnd w:id="4148"/>
      <w:bookmarkEnd w:id="4149"/>
      <w:bookmarkEnd w:id="4150"/>
    </w:p>
    <w:p w14:paraId="189C3DA3">
      <w:pPr>
        <w:pStyle w:val="92"/>
        <w:spacing w:line="560" w:lineRule="exact"/>
        <w:ind w:firstLine="0"/>
        <w:jc w:val="center"/>
        <w:rPr>
          <w:rFonts w:ascii="黑体" w:hAnsi="黑体" w:eastAsia="黑体"/>
          <w:b/>
          <w:sz w:val="44"/>
          <w:szCs w:val="44"/>
          <w:lang w:eastAsia="zh-CN"/>
        </w:rPr>
      </w:pPr>
    </w:p>
    <w:p w14:paraId="0CB467A4">
      <w:pPr>
        <w:pStyle w:val="92"/>
        <w:spacing w:line="560" w:lineRule="exact"/>
        <w:ind w:firstLine="0"/>
        <w:jc w:val="center"/>
        <w:rPr>
          <w:rFonts w:ascii="黑体" w:hAnsi="黑体" w:eastAsia="黑体"/>
          <w:b/>
          <w:sz w:val="44"/>
          <w:szCs w:val="44"/>
          <w:lang w:eastAsia="zh-CN"/>
        </w:rPr>
      </w:pPr>
      <w:r>
        <w:rPr>
          <w:rFonts w:hint="eastAsia" w:ascii="黑体" w:hAnsi="黑体" w:eastAsia="黑体"/>
          <w:b/>
          <w:sz w:val="44"/>
          <w:szCs w:val="44"/>
          <w:lang w:eastAsia="zh-CN"/>
        </w:rPr>
        <w:t>创设款到账确认书</w:t>
      </w:r>
    </w:p>
    <w:p w14:paraId="2728D987">
      <w:pPr>
        <w:pStyle w:val="92"/>
        <w:spacing w:line="560" w:lineRule="exact"/>
        <w:ind w:firstLine="0"/>
        <w:jc w:val="center"/>
        <w:rPr>
          <w:rFonts w:eastAsia="仿宋_GB2312"/>
          <w:sz w:val="28"/>
          <w:lang w:eastAsia="zh-CN"/>
        </w:rPr>
      </w:pPr>
    </w:p>
    <w:p w14:paraId="172069B9">
      <w:pPr>
        <w:spacing w:after="156" w:afterLines="50" w:line="560" w:lineRule="exact"/>
        <w:ind w:firstLine="600" w:firstLineChars="200"/>
        <w:rPr>
          <w:rFonts w:eastAsia="仿宋_GB2312"/>
          <w:sz w:val="30"/>
          <w:szCs w:val="30"/>
        </w:rPr>
      </w:pPr>
      <w:r>
        <w:rPr>
          <w:rFonts w:hint="eastAsia" w:eastAsia="仿宋_GB2312"/>
          <w:sz w:val="30"/>
          <w:szCs w:val="30"/>
        </w:rPr>
        <w:t>我公司于</w:t>
      </w:r>
      <w:r>
        <w:rPr>
          <w:rFonts w:eastAsia="仿宋_GB2312"/>
          <w:sz w:val="30"/>
          <w:szCs w:val="30"/>
        </w:rPr>
        <w:t xml:space="preserve"> [  ]</w:t>
      </w:r>
      <w:r>
        <w:rPr>
          <w:rFonts w:hint="eastAsia" w:eastAsia="仿宋_GB2312"/>
          <w:sz w:val="30"/>
          <w:szCs w:val="30"/>
        </w:rPr>
        <w:t>年</w:t>
      </w:r>
      <w:r>
        <w:rPr>
          <w:rFonts w:eastAsia="仿宋_GB2312"/>
          <w:sz w:val="30"/>
          <w:szCs w:val="30"/>
        </w:rPr>
        <w:t>[  ]</w:t>
      </w:r>
      <w:r>
        <w:rPr>
          <w:rFonts w:hint="eastAsia" w:eastAsia="仿宋_GB2312"/>
          <w:sz w:val="30"/>
          <w:szCs w:val="30"/>
        </w:rPr>
        <w:t>月</w:t>
      </w:r>
      <w:r>
        <w:rPr>
          <w:rFonts w:eastAsia="仿宋_GB2312"/>
          <w:sz w:val="30"/>
          <w:szCs w:val="30"/>
        </w:rPr>
        <w:t>[  ]</w:t>
      </w:r>
      <w:r>
        <w:rPr>
          <w:rFonts w:hint="eastAsia" w:eastAsia="仿宋_GB2312"/>
          <w:sz w:val="30"/>
          <w:szCs w:val="30"/>
        </w:rPr>
        <w:t>日完成</w:t>
      </w:r>
      <w:r>
        <w:rPr>
          <w:rFonts w:eastAsia="仿宋_GB2312"/>
          <w:sz w:val="30"/>
          <w:szCs w:val="30"/>
        </w:rPr>
        <w:t>XXXX</w:t>
      </w:r>
      <w:r>
        <w:rPr>
          <w:rFonts w:hint="eastAsia" w:eastAsia="仿宋_GB2312"/>
          <w:sz w:val="30"/>
          <w:szCs w:val="30"/>
        </w:rPr>
        <w:t>凭证（证券代码</w:t>
      </w:r>
      <w:r>
        <w:rPr>
          <w:rFonts w:eastAsia="仿宋_GB2312"/>
          <w:sz w:val="30"/>
          <w:szCs w:val="30"/>
        </w:rPr>
        <w:t>XXXX</w:t>
      </w:r>
      <w:r>
        <w:rPr>
          <w:rFonts w:hint="eastAsia" w:eastAsia="仿宋_GB2312"/>
          <w:sz w:val="30"/>
          <w:szCs w:val="30"/>
        </w:rPr>
        <w:t>，证券简称</w:t>
      </w:r>
      <w:r>
        <w:rPr>
          <w:rFonts w:eastAsia="仿宋_GB2312"/>
          <w:sz w:val="30"/>
          <w:szCs w:val="30"/>
        </w:rPr>
        <w:t>XXXX</w:t>
      </w:r>
      <w:r>
        <w:rPr>
          <w:rFonts w:hint="eastAsia" w:eastAsia="仿宋_GB2312"/>
          <w:sz w:val="30"/>
          <w:szCs w:val="30"/>
        </w:rPr>
        <w:t>）创设工作，确认收到本期凭证创设款合计人民币</w:t>
      </w:r>
      <w:r>
        <w:rPr>
          <w:rFonts w:eastAsia="仿宋_GB2312"/>
          <w:sz w:val="30"/>
          <w:szCs w:val="30"/>
        </w:rPr>
        <w:t>XXXX</w:t>
      </w:r>
      <w:r>
        <w:rPr>
          <w:rFonts w:hint="eastAsia" w:eastAsia="仿宋_GB2312"/>
          <w:sz w:val="30"/>
          <w:szCs w:val="30"/>
        </w:rPr>
        <w:t>元（大写</w:t>
      </w:r>
      <w:r>
        <w:rPr>
          <w:rFonts w:eastAsia="仿宋_GB2312"/>
          <w:sz w:val="30"/>
          <w:szCs w:val="30"/>
        </w:rPr>
        <w:t xml:space="preserve"> XXXX</w:t>
      </w:r>
      <w:r>
        <w:rPr>
          <w:rFonts w:hint="eastAsia" w:eastAsia="仿宋_GB2312"/>
          <w:sz w:val="30"/>
          <w:szCs w:val="30"/>
        </w:rPr>
        <w:t>圆）。</w:t>
      </w:r>
    </w:p>
    <w:p w14:paraId="37CE71B8">
      <w:pPr>
        <w:spacing w:after="156" w:afterLines="50" w:line="560" w:lineRule="exact"/>
        <w:ind w:firstLine="600" w:firstLineChars="200"/>
        <w:rPr>
          <w:rFonts w:eastAsia="仿宋_GB2312"/>
          <w:sz w:val="30"/>
          <w:szCs w:val="30"/>
        </w:rPr>
      </w:pPr>
      <w:r>
        <w:rPr>
          <w:rFonts w:hint="eastAsia" w:eastAsia="仿宋_GB2312"/>
          <w:sz w:val="30"/>
          <w:szCs w:val="30"/>
        </w:rPr>
        <w:t>我公司承诺本期凭证募集资金已足额到账并承担因募集资金未及时、足额到位所致的全部法律责任。</w:t>
      </w:r>
    </w:p>
    <w:p w14:paraId="45D028E0">
      <w:pPr>
        <w:spacing w:after="156" w:afterLines="50" w:line="560" w:lineRule="exact"/>
        <w:ind w:firstLine="600" w:firstLineChars="200"/>
        <w:rPr>
          <w:rFonts w:eastAsia="仿宋_GB2312"/>
          <w:sz w:val="30"/>
          <w:szCs w:val="30"/>
        </w:rPr>
      </w:pPr>
      <w:r>
        <w:rPr>
          <w:rFonts w:hint="eastAsia" w:eastAsia="仿宋_GB2312"/>
          <w:sz w:val="30"/>
          <w:szCs w:val="30"/>
        </w:rPr>
        <w:t>特此说明。</w:t>
      </w:r>
    </w:p>
    <w:p w14:paraId="54C1B186">
      <w:pPr>
        <w:widowControl/>
        <w:spacing w:after="156" w:afterLines="50" w:line="560" w:lineRule="exact"/>
        <w:ind w:firstLine="480"/>
        <w:jc w:val="left"/>
        <w:rPr>
          <w:rFonts w:cs="宋体"/>
          <w:kern w:val="0"/>
          <w:sz w:val="24"/>
        </w:rPr>
      </w:pPr>
    </w:p>
    <w:p w14:paraId="7B5DEF13">
      <w:pPr>
        <w:widowControl/>
        <w:spacing w:after="156" w:afterLines="50" w:line="560" w:lineRule="exact"/>
        <w:ind w:firstLine="480"/>
        <w:jc w:val="left"/>
        <w:rPr>
          <w:rFonts w:cs="宋体"/>
          <w:kern w:val="0"/>
          <w:sz w:val="24"/>
        </w:rPr>
      </w:pPr>
    </w:p>
    <w:p w14:paraId="1D986D32">
      <w:pPr>
        <w:widowControl/>
        <w:spacing w:after="156" w:afterLines="50" w:line="560" w:lineRule="exact"/>
        <w:ind w:firstLine="480"/>
        <w:jc w:val="left"/>
        <w:rPr>
          <w:rFonts w:cs="宋体"/>
          <w:kern w:val="0"/>
          <w:sz w:val="24"/>
        </w:rPr>
      </w:pPr>
      <w:r>
        <w:rPr>
          <w:rFonts w:cs="宋体"/>
          <w:kern w:val="0"/>
          <w:sz w:val="24"/>
        </w:rPr>
        <w:t xml:space="preserve">  </w:t>
      </w:r>
    </w:p>
    <w:p w14:paraId="0D5CA774">
      <w:pPr>
        <w:widowControl/>
        <w:spacing w:after="156" w:afterLines="50" w:line="560" w:lineRule="exact"/>
        <w:ind w:firstLine="480"/>
        <w:jc w:val="left"/>
        <w:rPr>
          <w:rFonts w:cs="宋体"/>
          <w:kern w:val="0"/>
          <w:sz w:val="24"/>
        </w:rPr>
      </w:pPr>
    </w:p>
    <w:p w14:paraId="20C679EE">
      <w:pPr>
        <w:spacing w:line="560" w:lineRule="exact"/>
        <w:ind w:firstLine="6750"/>
        <w:jc w:val="right"/>
        <w:rPr>
          <w:rFonts w:eastAsia="仿宋_GB2312"/>
          <w:sz w:val="30"/>
          <w:szCs w:val="30"/>
        </w:rPr>
      </w:pPr>
      <w:r>
        <w:rPr>
          <w:rFonts w:hint="eastAsia" w:eastAsia="仿宋_GB2312"/>
          <w:sz w:val="30"/>
          <w:szCs w:val="30"/>
        </w:rPr>
        <w:t>创设机构</w:t>
      </w:r>
      <w:r>
        <w:rPr>
          <w:rFonts w:eastAsia="仿宋_GB2312"/>
          <w:sz w:val="30"/>
          <w:szCs w:val="30"/>
        </w:rPr>
        <w:t xml:space="preserve">       XXXX</w:t>
      </w:r>
      <w:r>
        <w:rPr>
          <w:rFonts w:hint="eastAsia" w:eastAsia="仿宋_GB2312"/>
          <w:sz w:val="30"/>
          <w:szCs w:val="30"/>
        </w:rPr>
        <w:t>公司</w:t>
      </w:r>
      <w:r>
        <w:rPr>
          <w:rFonts w:eastAsia="仿宋_GB2312"/>
          <w:sz w:val="30"/>
          <w:szCs w:val="30"/>
        </w:rPr>
        <w:t xml:space="preserve"> </w:t>
      </w:r>
      <w:r>
        <w:rPr>
          <w:rFonts w:hint="eastAsia" w:eastAsia="仿宋_GB2312"/>
          <w:sz w:val="30"/>
          <w:szCs w:val="30"/>
        </w:rPr>
        <w:t>（盖章）</w:t>
      </w:r>
    </w:p>
    <w:p w14:paraId="05D064C5">
      <w:pPr>
        <w:spacing w:line="560" w:lineRule="exact"/>
        <w:ind w:firstLine="600" w:firstLineChars="200"/>
        <w:jc w:val="right"/>
        <w:rPr>
          <w:rFonts w:eastAsia="仿宋_GB2312"/>
          <w:sz w:val="30"/>
          <w:szCs w:val="30"/>
        </w:rPr>
      </w:pPr>
      <w:r>
        <w:rPr>
          <w:rFonts w:eastAsia="仿宋_GB2312"/>
          <w:sz w:val="30"/>
          <w:szCs w:val="30"/>
        </w:rPr>
        <w:t xml:space="preserve">             </w:t>
      </w:r>
      <w:r>
        <w:rPr>
          <w:rFonts w:hint="eastAsia" w:eastAsia="仿宋_GB2312"/>
          <w:sz w:val="30"/>
          <w:szCs w:val="30"/>
        </w:rPr>
        <w:t>年</w:t>
      </w:r>
      <w:r>
        <w:rPr>
          <w:rFonts w:eastAsia="仿宋_GB2312"/>
          <w:sz w:val="30"/>
          <w:szCs w:val="30"/>
        </w:rPr>
        <w:t xml:space="preserve">    </w:t>
      </w:r>
      <w:r>
        <w:rPr>
          <w:rFonts w:hint="eastAsia" w:eastAsia="仿宋_GB2312"/>
          <w:sz w:val="30"/>
          <w:szCs w:val="30"/>
        </w:rPr>
        <w:t>月</w:t>
      </w:r>
      <w:r>
        <w:rPr>
          <w:rFonts w:eastAsia="仿宋_GB2312"/>
          <w:sz w:val="30"/>
          <w:szCs w:val="30"/>
        </w:rPr>
        <w:t xml:space="preserve">   </w:t>
      </w:r>
      <w:r>
        <w:rPr>
          <w:rFonts w:hint="eastAsia" w:eastAsia="仿宋_GB2312"/>
          <w:sz w:val="30"/>
          <w:szCs w:val="30"/>
        </w:rPr>
        <w:t>日</w:t>
      </w:r>
    </w:p>
    <w:p w14:paraId="3DB11D22">
      <w:pPr>
        <w:widowControl/>
        <w:jc w:val="left"/>
        <w:rPr>
          <w:rFonts w:ascii="仿宋_GB2312" w:hAnsi="仿宋" w:eastAsia="仿宋_GB2312"/>
          <w:sz w:val="24"/>
          <w:szCs w:val="30"/>
        </w:rPr>
      </w:pPr>
    </w:p>
    <w:p w14:paraId="570DFE23">
      <w:r>
        <w:br w:type="page"/>
      </w:r>
    </w:p>
    <w:p w14:paraId="30F03945">
      <w:pPr>
        <w:widowControl/>
        <w:jc w:val="left"/>
        <w:outlineLvl w:val="1"/>
        <w:rPr>
          <w:rFonts w:ascii="仿宋_GB2312" w:hAnsi="黑体" w:eastAsia="仿宋_GB2312"/>
          <w:b/>
          <w:sz w:val="30"/>
          <w:szCs w:val="30"/>
        </w:rPr>
      </w:pPr>
      <w:bookmarkStart w:id="4151" w:name="_Toc1783682702"/>
      <w:bookmarkStart w:id="4152" w:name="_Toc1545087502"/>
      <w:bookmarkStart w:id="4153" w:name="_Toc30012522"/>
      <w:bookmarkStart w:id="4154" w:name="_Toc151137112"/>
      <w:bookmarkStart w:id="4155" w:name="_Toc724660113"/>
      <w:bookmarkStart w:id="4156" w:name="_Toc1492192205"/>
      <w:bookmarkStart w:id="4157" w:name="_Toc1207042544"/>
      <w:r>
        <w:rPr>
          <w:rFonts w:hint="eastAsia" w:ascii="仿宋_GB2312" w:hAnsi="黑体" w:eastAsia="仿宋_GB2312"/>
          <w:b/>
          <w:sz w:val="30"/>
          <w:szCs w:val="30"/>
        </w:rPr>
        <w:t>附件29 信用保护凭证在上海证券交易所挂牌转让的公告</w:t>
      </w:r>
      <w:bookmarkEnd w:id="4151"/>
      <w:bookmarkEnd w:id="4152"/>
      <w:bookmarkEnd w:id="4153"/>
      <w:bookmarkEnd w:id="4154"/>
      <w:bookmarkEnd w:id="4155"/>
      <w:bookmarkEnd w:id="4156"/>
      <w:bookmarkEnd w:id="4157"/>
    </w:p>
    <w:p w14:paraId="7AF941FE">
      <w:pPr>
        <w:pStyle w:val="92"/>
        <w:spacing w:line="560" w:lineRule="exact"/>
        <w:ind w:firstLine="0"/>
        <w:jc w:val="center"/>
        <w:rPr>
          <w:rFonts w:ascii="黑体" w:hAnsi="黑体" w:eastAsia="黑体"/>
          <w:b/>
          <w:sz w:val="44"/>
          <w:szCs w:val="44"/>
          <w:lang w:eastAsia="zh-CN"/>
        </w:rPr>
      </w:pPr>
    </w:p>
    <w:p w14:paraId="4B65659B">
      <w:pPr>
        <w:pStyle w:val="92"/>
        <w:spacing w:line="560" w:lineRule="exact"/>
        <w:ind w:firstLine="0"/>
        <w:jc w:val="center"/>
        <w:rPr>
          <w:rFonts w:ascii="黑体" w:hAnsi="黑体" w:eastAsia="黑体"/>
          <w:b/>
          <w:sz w:val="44"/>
          <w:szCs w:val="44"/>
          <w:lang w:eastAsia="zh-CN"/>
        </w:rPr>
      </w:pPr>
      <w:r>
        <w:rPr>
          <w:rFonts w:hint="eastAsia" w:ascii="黑体" w:hAnsi="黑体" w:eastAsia="黑体"/>
          <w:b/>
          <w:sz w:val="44"/>
          <w:szCs w:val="44"/>
          <w:lang w:eastAsia="zh-CN"/>
        </w:rPr>
        <w:t>信用保护凭证在上海证券交易所挂牌</w:t>
      </w:r>
    </w:p>
    <w:p w14:paraId="44E38873">
      <w:pPr>
        <w:pStyle w:val="92"/>
        <w:spacing w:after="93" w:line="560" w:lineRule="exact"/>
        <w:ind w:firstLine="0"/>
        <w:jc w:val="center"/>
        <w:rPr>
          <w:lang w:eastAsia="zh-CN"/>
        </w:rPr>
      </w:pPr>
      <w:r>
        <w:rPr>
          <w:rFonts w:hint="eastAsia" w:ascii="黑体" w:hAnsi="黑体" w:eastAsia="黑体"/>
          <w:b/>
          <w:sz w:val="44"/>
          <w:szCs w:val="44"/>
          <w:lang w:eastAsia="zh-CN"/>
        </w:rPr>
        <w:t>转让的公告</w:t>
      </w:r>
    </w:p>
    <w:p w14:paraId="09D9826F">
      <w:pPr>
        <w:spacing w:line="560" w:lineRule="exact"/>
        <w:ind w:firstLine="600" w:firstLineChars="200"/>
        <w:rPr>
          <w:rFonts w:eastAsia="仿宋_GB2312"/>
          <w:sz w:val="30"/>
          <w:szCs w:val="30"/>
        </w:rPr>
      </w:pPr>
      <w:r>
        <w:rPr>
          <w:rFonts w:hint="eastAsia" w:eastAsia="仿宋_GB2312"/>
          <w:sz w:val="30"/>
          <w:szCs w:val="30"/>
        </w:rPr>
        <w:t>根据上海证券交易所信用保护凭证挂牌的有关规定，</w:t>
      </w:r>
      <w:r>
        <w:rPr>
          <w:rFonts w:eastAsia="仿宋_GB2312"/>
          <w:sz w:val="30"/>
          <w:szCs w:val="30"/>
        </w:rPr>
        <w:t>XXXX</w:t>
      </w:r>
      <w:r>
        <w:rPr>
          <w:rFonts w:hint="eastAsia" w:eastAsia="仿宋_GB2312"/>
          <w:sz w:val="30"/>
          <w:szCs w:val="30"/>
        </w:rPr>
        <w:t>公司创设的</w:t>
      </w:r>
      <w:r>
        <w:rPr>
          <w:rFonts w:eastAsia="仿宋_GB2312"/>
          <w:sz w:val="30"/>
          <w:szCs w:val="30"/>
        </w:rPr>
        <w:t>XXXX</w:t>
      </w:r>
      <w:r>
        <w:rPr>
          <w:rFonts w:hint="eastAsia" w:eastAsia="仿宋_GB2312"/>
          <w:sz w:val="30"/>
          <w:szCs w:val="30"/>
        </w:rPr>
        <w:t>信用保护凭证，将于</w:t>
      </w:r>
      <w:r>
        <w:rPr>
          <w:rFonts w:eastAsia="仿宋_GB2312"/>
          <w:sz w:val="30"/>
          <w:szCs w:val="30"/>
        </w:rPr>
        <w:t>[  ]</w:t>
      </w:r>
      <w:r>
        <w:rPr>
          <w:rFonts w:hint="eastAsia" w:eastAsia="仿宋_GB2312"/>
          <w:sz w:val="30"/>
          <w:szCs w:val="30"/>
        </w:rPr>
        <w:t>年</w:t>
      </w:r>
      <w:r>
        <w:rPr>
          <w:rFonts w:eastAsia="仿宋_GB2312"/>
          <w:sz w:val="30"/>
          <w:szCs w:val="30"/>
        </w:rPr>
        <w:t>[  ]</w:t>
      </w:r>
      <w:r>
        <w:rPr>
          <w:rFonts w:hint="eastAsia" w:eastAsia="仿宋_GB2312"/>
          <w:sz w:val="30"/>
          <w:szCs w:val="30"/>
        </w:rPr>
        <w:t>月</w:t>
      </w:r>
      <w:r>
        <w:rPr>
          <w:rFonts w:eastAsia="仿宋_GB2312"/>
          <w:sz w:val="30"/>
          <w:szCs w:val="30"/>
        </w:rPr>
        <w:t>[  ]</w:t>
      </w:r>
      <w:r>
        <w:rPr>
          <w:rFonts w:hint="eastAsia" w:eastAsia="仿宋_GB2312"/>
          <w:sz w:val="30"/>
          <w:szCs w:val="30"/>
        </w:rPr>
        <w:t>日起在上海证券交易所</w:t>
      </w:r>
      <w:r>
        <w:rPr>
          <w:rFonts w:hint="eastAsia" w:eastAsia="仿宋_GB2312"/>
          <w:sz w:val="30"/>
          <w:szCs w:val="30"/>
          <w:lang w:eastAsia="zh-CN"/>
        </w:rPr>
        <w:t>新固定收益系统</w:t>
      </w:r>
      <w:r>
        <w:rPr>
          <w:rFonts w:hint="eastAsia" w:eastAsia="仿宋_GB2312"/>
          <w:sz w:val="30"/>
          <w:szCs w:val="30"/>
        </w:rPr>
        <w:t>挂牌转让。信用保护凭证相关要素如下：</w:t>
      </w:r>
      <w:r>
        <w:rPr>
          <w:rFonts w:eastAsia="仿宋_GB2312"/>
          <w:sz w:val="30"/>
          <w:szCs w:val="30"/>
        </w:rPr>
        <w:t xml:space="preserve"> </w:t>
      </w:r>
    </w:p>
    <w:tbl>
      <w:tblPr>
        <w:tblStyle w:val="4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8"/>
        <w:gridCol w:w="5614"/>
      </w:tblGrid>
      <w:tr w14:paraId="09140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pct"/>
            <w:tcBorders>
              <w:top w:val="single" w:color="auto" w:sz="4" w:space="0"/>
              <w:left w:val="single" w:color="auto" w:sz="4" w:space="0"/>
              <w:bottom w:val="single" w:color="auto" w:sz="4" w:space="0"/>
              <w:right w:val="single" w:color="auto" w:sz="4" w:space="0"/>
            </w:tcBorders>
          </w:tcPr>
          <w:p w14:paraId="141F6F54">
            <w:pPr>
              <w:spacing w:line="560" w:lineRule="exact"/>
              <w:jc w:val="center"/>
              <w:rPr>
                <w:rFonts w:eastAsia="仿宋_GB2312"/>
                <w:sz w:val="30"/>
                <w:szCs w:val="30"/>
              </w:rPr>
            </w:pPr>
            <w:r>
              <w:rPr>
                <w:rFonts w:hint="eastAsia" w:eastAsia="仿宋_GB2312"/>
                <w:sz w:val="30"/>
                <w:szCs w:val="30"/>
              </w:rPr>
              <w:t>凭证名称</w:t>
            </w:r>
          </w:p>
        </w:tc>
        <w:tc>
          <w:tcPr>
            <w:tcW w:w="3294" w:type="pct"/>
            <w:tcBorders>
              <w:top w:val="single" w:color="auto" w:sz="4" w:space="0"/>
              <w:left w:val="single" w:color="auto" w:sz="4" w:space="0"/>
              <w:bottom w:val="single" w:color="auto" w:sz="4" w:space="0"/>
              <w:right w:val="single" w:color="auto" w:sz="4" w:space="0"/>
            </w:tcBorders>
          </w:tcPr>
          <w:p w14:paraId="7757B928">
            <w:pPr>
              <w:spacing w:line="560" w:lineRule="exact"/>
              <w:jc w:val="center"/>
              <w:rPr>
                <w:rFonts w:eastAsia="仿宋_GB2312"/>
                <w:sz w:val="30"/>
                <w:szCs w:val="30"/>
              </w:rPr>
            </w:pPr>
          </w:p>
        </w:tc>
      </w:tr>
      <w:tr w14:paraId="6D6D8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pct"/>
            <w:tcBorders>
              <w:top w:val="single" w:color="auto" w:sz="4" w:space="0"/>
              <w:left w:val="single" w:color="auto" w:sz="4" w:space="0"/>
              <w:bottom w:val="single" w:color="auto" w:sz="4" w:space="0"/>
              <w:right w:val="single" w:color="auto" w:sz="4" w:space="0"/>
            </w:tcBorders>
          </w:tcPr>
          <w:p w14:paraId="609E59AA">
            <w:pPr>
              <w:spacing w:line="560" w:lineRule="exact"/>
              <w:jc w:val="center"/>
              <w:rPr>
                <w:rFonts w:eastAsia="仿宋_GB2312"/>
                <w:sz w:val="30"/>
                <w:szCs w:val="30"/>
              </w:rPr>
            </w:pPr>
            <w:r>
              <w:rPr>
                <w:rFonts w:hint="eastAsia" w:eastAsia="仿宋_GB2312"/>
                <w:sz w:val="30"/>
                <w:szCs w:val="30"/>
              </w:rPr>
              <w:t>凭证简称</w:t>
            </w:r>
          </w:p>
        </w:tc>
        <w:tc>
          <w:tcPr>
            <w:tcW w:w="3294" w:type="pct"/>
            <w:tcBorders>
              <w:top w:val="single" w:color="auto" w:sz="4" w:space="0"/>
              <w:left w:val="single" w:color="auto" w:sz="4" w:space="0"/>
              <w:bottom w:val="single" w:color="auto" w:sz="4" w:space="0"/>
              <w:right w:val="single" w:color="auto" w:sz="4" w:space="0"/>
            </w:tcBorders>
          </w:tcPr>
          <w:p w14:paraId="6B95661C">
            <w:pPr>
              <w:spacing w:line="560" w:lineRule="exact"/>
              <w:jc w:val="center"/>
              <w:rPr>
                <w:rFonts w:eastAsia="仿宋_GB2312"/>
                <w:sz w:val="30"/>
                <w:szCs w:val="30"/>
              </w:rPr>
            </w:pPr>
          </w:p>
        </w:tc>
      </w:tr>
      <w:tr w14:paraId="4520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pct"/>
            <w:tcBorders>
              <w:top w:val="single" w:color="auto" w:sz="4" w:space="0"/>
              <w:left w:val="single" w:color="auto" w:sz="4" w:space="0"/>
              <w:bottom w:val="single" w:color="auto" w:sz="4" w:space="0"/>
              <w:right w:val="single" w:color="auto" w:sz="4" w:space="0"/>
            </w:tcBorders>
          </w:tcPr>
          <w:p w14:paraId="1DC3DC92">
            <w:pPr>
              <w:spacing w:line="560" w:lineRule="exact"/>
              <w:jc w:val="center"/>
              <w:rPr>
                <w:rFonts w:eastAsia="仿宋_GB2312"/>
                <w:sz w:val="30"/>
                <w:szCs w:val="30"/>
              </w:rPr>
            </w:pPr>
            <w:r>
              <w:rPr>
                <w:rFonts w:hint="eastAsia" w:eastAsia="仿宋_GB2312"/>
                <w:sz w:val="30"/>
                <w:szCs w:val="30"/>
              </w:rPr>
              <w:t>凭证代码</w:t>
            </w:r>
          </w:p>
        </w:tc>
        <w:tc>
          <w:tcPr>
            <w:tcW w:w="3294" w:type="pct"/>
            <w:tcBorders>
              <w:top w:val="single" w:color="auto" w:sz="4" w:space="0"/>
              <w:left w:val="single" w:color="auto" w:sz="4" w:space="0"/>
              <w:bottom w:val="single" w:color="auto" w:sz="4" w:space="0"/>
              <w:right w:val="single" w:color="auto" w:sz="4" w:space="0"/>
            </w:tcBorders>
          </w:tcPr>
          <w:p w14:paraId="4C94A237">
            <w:pPr>
              <w:spacing w:line="560" w:lineRule="exact"/>
              <w:jc w:val="center"/>
              <w:rPr>
                <w:rFonts w:eastAsia="仿宋_GB2312"/>
                <w:sz w:val="30"/>
                <w:szCs w:val="30"/>
              </w:rPr>
            </w:pPr>
          </w:p>
        </w:tc>
      </w:tr>
      <w:tr w14:paraId="7CFF1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6" w:type="pct"/>
            <w:tcBorders>
              <w:top w:val="single" w:color="auto" w:sz="4" w:space="0"/>
              <w:left w:val="single" w:color="auto" w:sz="4" w:space="0"/>
              <w:bottom w:val="single" w:color="auto" w:sz="4" w:space="0"/>
              <w:right w:val="single" w:color="auto" w:sz="4" w:space="0"/>
            </w:tcBorders>
          </w:tcPr>
          <w:p w14:paraId="50E275B0">
            <w:pPr>
              <w:spacing w:line="560" w:lineRule="exact"/>
              <w:jc w:val="center"/>
              <w:rPr>
                <w:rFonts w:eastAsia="仿宋_GB2312"/>
                <w:sz w:val="30"/>
                <w:szCs w:val="30"/>
              </w:rPr>
            </w:pPr>
            <w:r>
              <w:rPr>
                <w:rFonts w:hint="eastAsia" w:eastAsia="仿宋_GB2312"/>
                <w:sz w:val="30"/>
                <w:szCs w:val="30"/>
              </w:rPr>
              <w:t>创设机构信用评级</w:t>
            </w:r>
          </w:p>
        </w:tc>
        <w:tc>
          <w:tcPr>
            <w:tcW w:w="3294" w:type="pct"/>
            <w:tcBorders>
              <w:top w:val="single" w:color="auto" w:sz="4" w:space="0"/>
              <w:left w:val="single" w:color="auto" w:sz="4" w:space="0"/>
              <w:bottom w:val="single" w:color="auto" w:sz="4" w:space="0"/>
              <w:right w:val="single" w:color="auto" w:sz="4" w:space="0"/>
            </w:tcBorders>
          </w:tcPr>
          <w:p w14:paraId="6DFB3DC4">
            <w:pPr>
              <w:spacing w:line="560" w:lineRule="exact"/>
              <w:jc w:val="center"/>
              <w:rPr>
                <w:rFonts w:eastAsia="仿宋_GB2312"/>
                <w:sz w:val="30"/>
                <w:szCs w:val="30"/>
              </w:rPr>
            </w:pPr>
          </w:p>
        </w:tc>
      </w:tr>
      <w:tr w14:paraId="1B89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pct"/>
            <w:tcBorders>
              <w:top w:val="single" w:color="auto" w:sz="4" w:space="0"/>
              <w:left w:val="single" w:color="auto" w:sz="4" w:space="0"/>
              <w:bottom w:val="single" w:color="auto" w:sz="4" w:space="0"/>
              <w:right w:val="single" w:color="auto" w:sz="4" w:space="0"/>
            </w:tcBorders>
          </w:tcPr>
          <w:p w14:paraId="73F2F029">
            <w:pPr>
              <w:spacing w:line="560" w:lineRule="exact"/>
              <w:jc w:val="center"/>
              <w:rPr>
                <w:rFonts w:eastAsia="仿宋_GB2312"/>
                <w:sz w:val="30"/>
                <w:szCs w:val="30"/>
              </w:rPr>
            </w:pPr>
            <w:r>
              <w:rPr>
                <w:rFonts w:hint="eastAsia" w:eastAsia="仿宋_GB2312"/>
                <w:sz w:val="30"/>
                <w:szCs w:val="30"/>
              </w:rPr>
              <w:t>创设机构评级机构</w:t>
            </w:r>
          </w:p>
        </w:tc>
        <w:tc>
          <w:tcPr>
            <w:tcW w:w="3294" w:type="pct"/>
            <w:tcBorders>
              <w:top w:val="single" w:color="auto" w:sz="4" w:space="0"/>
              <w:left w:val="single" w:color="auto" w:sz="4" w:space="0"/>
              <w:bottom w:val="single" w:color="auto" w:sz="4" w:space="0"/>
              <w:right w:val="single" w:color="auto" w:sz="4" w:space="0"/>
            </w:tcBorders>
          </w:tcPr>
          <w:p w14:paraId="6637A9A3">
            <w:pPr>
              <w:spacing w:line="560" w:lineRule="exact"/>
              <w:jc w:val="center"/>
              <w:rPr>
                <w:rFonts w:eastAsia="仿宋_GB2312"/>
                <w:sz w:val="30"/>
                <w:szCs w:val="30"/>
              </w:rPr>
            </w:pPr>
          </w:p>
        </w:tc>
      </w:tr>
      <w:tr w14:paraId="33ED6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pct"/>
            <w:tcBorders>
              <w:top w:val="single" w:color="auto" w:sz="4" w:space="0"/>
              <w:left w:val="single" w:color="auto" w:sz="4" w:space="0"/>
              <w:bottom w:val="single" w:color="auto" w:sz="4" w:space="0"/>
              <w:right w:val="single" w:color="auto" w:sz="4" w:space="0"/>
            </w:tcBorders>
          </w:tcPr>
          <w:p w14:paraId="1AE01E95">
            <w:pPr>
              <w:spacing w:line="560" w:lineRule="exact"/>
              <w:jc w:val="center"/>
              <w:rPr>
                <w:rFonts w:eastAsia="仿宋_GB2312"/>
                <w:sz w:val="30"/>
                <w:szCs w:val="30"/>
              </w:rPr>
            </w:pPr>
            <w:r>
              <w:rPr>
                <w:rFonts w:hint="eastAsia" w:eastAsia="仿宋_GB2312"/>
                <w:sz w:val="30"/>
                <w:szCs w:val="30"/>
              </w:rPr>
              <w:t>创设总额（亿元）</w:t>
            </w:r>
          </w:p>
        </w:tc>
        <w:tc>
          <w:tcPr>
            <w:tcW w:w="3294" w:type="pct"/>
            <w:tcBorders>
              <w:top w:val="single" w:color="auto" w:sz="4" w:space="0"/>
              <w:left w:val="single" w:color="auto" w:sz="4" w:space="0"/>
              <w:bottom w:val="single" w:color="auto" w:sz="4" w:space="0"/>
              <w:right w:val="single" w:color="auto" w:sz="4" w:space="0"/>
            </w:tcBorders>
          </w:tcPr>
          <w:p w14:paraId="43D6D8D7">
            <w:pPr>
              <w:spacing w:line="560" w:lineRule="exact"/>
              <w:jc w:val="center"/>
              <w:rPr>
                <w:rFonts w:eastAsia="仿宋_GB2312"/>
                <w:sz w:val="30"/>
                <w:szCs w:val="30"/>
              </w:rPr>
            </w:pPr>
          </w:p>
        </w:tc>
      </w:tr>
      <w:tr w14:paraId="3733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pct"/>
            <w:tcBorders>
              <w:top w:val="single" w:color="auto" w:sz="4" w:space="0"/>
              <w:left w:val="single" w:color="auto" w:sz="4" w:space="0"/>
              <w:bottom w:val="single" w:color="auto" w:sz="4" w:space="0"/>
              <w:right w:val="single" w:color="auto" w:sz="4" w:space="0"/>
            </w:tcBorders>
          </w:tcPr>
          <w:p w14:paraId="2A7001E8">
            <w:pPr>
              <w:spacing w:line="560" w:lineRule="exact"/>
              <w:jc w:val="center"/>
              <w:rPr>
                <w:rFonts w:eastAsia="仿宋_GB2312"/>
                <w:sz w:val="30"/>
                <w:szCs w:val="30"/>
              </w:rPr>
            </w:pPr>
            <w:r>
              <w:rPr>
                <w:rFonts w:hint="eastAsia" w:eastAsia="仿宋_GB2312"/>
                <w:sz w:val="30"/>
                <w:szCs w:val="30"/>
              </w:rPr>
              <w:t>凭证期限</w:t>
            </w:r>
          </w:p>
        </w:tc>
        <w:tc>
          <w:tcPr>
            <w:tcW w:w="3294" w:type="pct"/>
            <w:tcBorders>
              <w:top w:val="single" w:color="auto" w:sz="4" w:space="0"/>
              <w:left w:val="single" w:color="auto" w:sz="4" w:space="0"/>
              <w:bottom w:val="single" w:color="auto" w:sz="4" w:space="0"/>
              <w:right w:val="single" w:color="auto" w:sz="4" w:space="0"/>
            </w:tcBorders>
          </w:tcPr>
          <w:p w14:paraId="4A8A602B">
            <w:pPr>
              <w:spacing w:line="560" w:lineRule="exact"/>
              <w:jc w:val="center"/>
              <w:rPr>
                <w:rFonts w:eastAsia="仿宋_GB2312"/>
                <w:sz w:val="30"/>
                <w:szCs w:val="30"/>
              </w:rPr>
            </w:pPr>
          </w:p>
        </w:tc>
      </w:tr>
      <w:tr w14:paraId="14A4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6" w:type="pct"/>
            <w:tcBorders>
              <w:top w:val="single" w:color="auto" w:sz="4" w:space="0"/>
              <w:left w:val="single" w:color="auto" w:sz="4" w:space="0"/>
              <w:bottom w:val="single" w:color="auto" w:sz="4" w:space="0"/>
              <w:right w:val="single" w:color="auto" w:sz="4" w:space="0"/>
            </w:tcBorders>
          </w:tcPr>
          <w:p w14:paraId="7AA24F1C">
            <w:pPr>
              <w:spacing w:line="560" w:lineRule="exact"/>
              <w:jc w:val="center"/>
              <w:rPr>
                <w:rFonts w:eastAsia="仿宋_GB2312"/>
                <w:sz w:val="30"/>
                <w:szCs w:val="30"/>
              </w:rPr>
            </w:pPr>
            <w:r>
              <w:rPr>
                <w:rFonts w:hint="eastAsia" w:eastAsia="仿宋_GB2312"/>
                <w:sz w:val="30"/>
                <w:szCs w:val="30"/>
              </w:rPr>
              <w:t>保护起始日</w:t>
            </w:r>
          </w:p>
        </w:tc>
        <w:tc>
          <w:tcPr>
            <w:tcW w:w="3294" w:type="pct"/>
            <w:tcBorders>
              <w:top w:val="single" w:color="auto" w:sz="4" w:space="0"/>
              <w:left w:val="single" w:color="auto" w:sz="4" w:space="0"/>
              <w:bottom w:val="single" w:color="auto" w:sz="4" w:space="0"/>
              <w:right w:val="single" w:color="auto" w:sz="4" w:space="0"/>
            </w:tcBorders>
          </w:tcPr>
          <w:p w14:paraId="4CE8E51A">
            <w:pPr>
              <w:spacing w:line="560" w:lineRule="exact"/>
              <w:jc w:val="center"/>
              <w:rPr>
                <w:rFonts w:eastAsia="仿宋_GB2312"/>
                <w:sz w:val="30"/>
                <w:szCs w:val="30"/>
              </w:rPr>
            </w:pPr>
          </w:p>
        </w:tc>
      </w:tr>
      <w:tr w14:paraId="305E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pct"/>
            <w:tcBorders>
              <w:top w:val="single" w:color="auto" w:sz="4" w:space="0"/>
              <w:left w:val="single" w:color="auto" w:sz="4" w:space="0"/>
              <w:bottom w:val="single" w:color="auto" w:sz="4" w:space="0"/>
              <w:right w:val="single" w:color="auto" w:sz="4" w:space="0"/>
            </w:tcBorders>
          </w:tcPr>
          <w:p w14:paraId="3EB7BCEF">
            <w:pPr>
              <w:spacing w:line="560" w:lineRule="exact"/>
              <w:jc w:val="center"/>
              <w:rPr>
                <w:rFonts w:eastAsia="仿宋_GB2312"/>
                <w:sz w:val="30"/>
                <w:szCs w:val="30"/>
              </w:rPr>
            </w:pPr>
            <w:r>
              <w:rPr>
                <w:rFonts w:hint="eastAsia" w:eastAsia="仿宋_GB2312"/>
                <w:sz w:val="30"/>
                <w:szCs w:val="30"/>
              </w:rPr>
              <w:t>保护到期日</w:t>
            </w:r>
          </w:p>
        </w:tc>
        <w:tc>
          <w:tcPr>
            <w:tcW w:w="3294" w:type="pct"/>
            <w:tcBorders>
              <w:top w:val="single" w:color="auto" w:sz="4" w:space="0"/>
              <w:left w:val="single" w:color="auto" w:sz="4" w:space="0"/>
              <w:bottom w:val="single" w:color="auto" w:sz="4" w:space="0"/>
              <w:right w:val="single" w:color="auto" w:sz="4" w:space="0"/>
            </w:tcBorders>
          </w:tcPr>
          <w:p w14:paraId="6BA4A918">
            <w:pPr>
              <w:spacing w:line="560" w:lineRule="exact"/>
              <w:jc w:val="center"/>
              <w:rPr>
                <w:rFonts w:eastAsia="仿宋_GB2312"/>
                <w:sz w:val="30"/>
                <w:szCs w:val="30"/>
              </w:rPr>
            </w:pPr>
          </w:p>
        </w:tc>
      </w:tr>
      <w:tr w14:paraId="01E1C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pct"/>
            <w:tcBorders>
              <w:top w:val="single" w:color="auto" w:sz="4" w:space="0"/>
              <w:left w:val="single" w:color="auto" w:sz="4" w:space="0"/>
              <w:bottom w:val="single" w:color="auto" w:sz="4" w:space="0"/>
              <w:right w:val="single" w:color="auto" w:sz="4" w:space="0"/>
            </w:tcBorders>
          </w:tcPr>
          <w:p w14:paraId="416D2923">
            <w:pPr>
              <w:spacing w:line="560" w:lineRule="exact"/>
              <w:ind w:firstLine="600"/>
              <w:jc w:val="center"/>
              <w:rPr>
                <w:rFonts w:eastAsia="仿宋_GB2312"/>
                <w:sz w:val="30"/>
                <w:szCs w:val="30"/>
              </w:rPr>
            </w:pPr>
            <w:r>
              <w:rPr>
                <w:rFonts w:hint="eastAsia" w:eastAsia="仿宋_GB2312"/>
                <w:sz w:val="30"/>
                <w:szCs w:val="30"/>
              </w:rPr>
              <w:t>交易单位</w:t>
            </w:r>
          </w:p>
        </w:tc>
        <w:tc>
          <w:tcPr>
            <w:tcW w:w="3294" w:type="pct"/>
            <w:tcBorders>
              <w:top w:val="single" w:color="auto" w:sz="4" w:space="0"/>
              <w:left w:val="single" w:color="auto" w:sz="4" w:space="0"/>
              <w:bottom w:val="single" w:color="auto" w:sz="4" w:space="0"/>
              <w:right w:val="single" w:color="auto" w:sz="4" w:space="0"/>
            </w:tcBorders>
          </w:tcPr>
          <w:p w14:paraId="6EEA4734">
            <w:pPr>
              <w:spacing w:line="560" w:lineRule="exact"/>
              <w:jc w:val="center"/>
              <w:rPr>
                <w:rFonts w:eastAsia="仿宋_GB2312"/>
                <w:sz w:val="30"/>
                <w:szCs w:val="30"/>
              </w:rPr>
            </w:pPr>
            <w:r>
              <w:rPr>
                <w:rFonts w:hint="eastAsia" w:eastAsia="仿宋_GB2312"/>
                <w:sz w:val="30"/>
                <w:szCs w:val="30"/>
              </w:rPr>
              <w:t>手</w:t>
            </w:r>
          </w:p>
        </w:tc>
      </w:tr>
      <w:tr w14:paraId="287A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pct"/>
            <w:tcBorders>
              <w:top w:val="single" w:color="auto" w:sz="4" w:space="0"/>
              <w:left w:val="single" w:color="auto" w:sz="4" w:space="0"/>
              <w:bottom w:val="single" w:color="auto" w:sz="4" w:space="0"/>
              <w:right w:val="single" w:color="auto" w:sz="4" w:space="0"/>
            </w:tcBorders>
          </w:tcPr>
          <w:p w14:paraId="5ACA48FA">
            <w:pPr>
              <w:spacing w:line="560" w:lineRule="exact"/>
              <w:jc w:val="center"/>
              <w:rPr>
                <w:rFonts w:eastAsia="仿宋_GB2312"/>
                <w:sz w:val="30"/>
                <w:szCs w:val="30"/>
              </w:rPr>
            </w:pPr>
            <w:r>
              <w:rPr>
                <w:rFonts w:hint="eastAsia" w:eastAsia="仿宋_GB2312"/>
                <w:sz w:val="30"/>
                <w:szCs w:val="30"/>
              </w:rPr>
              <w:t>计价单位</w:t>
            </w:r>
          </w:p>
        </w:tc>
        <w:tc>
          <w:tcPr>
            <w:tcW w:w="3294" w:type="pct"/>
            <w:tcBorders>
              <w:top w:val="single" w:color="auto" w:sz="4" w:space="0"/>
              <w:left w:val="single" w:color="auto" w:sz="4" w:space="0"/>
              <w:bottom w:val="single" w:color="auto" w:sz="4" w:space="0"/>
              <w:right w:val="single" w:color="auto" w:sz="4" w:space="0"/>
            </w:tcBorders>
          </w:tcPr>
          <w:p w14:paraId="60FFA8B1">
            <w:pPr>
              <w:spacing w:line="560" w:lineRule="exact"/>
              <w:jc w:val="center"/>
              <w:rPr>
                <w:rFonts w:eastAsia="仿宋_GB2312"/>
                <w:sz w:val="30"/>
                <w:szCs w:val="30"/>
              </w:rPr>
            </w:pPr>
            <w:r>
              <w:rPr>
                <w:rFonts w:hint="eastAsia" w:eastAsia="仿宋_GB2312"/>
                <w:sz w:val="30"/>
                <w:szCs w:val="30"/>
              </w:rPr>
              <w:t>百元名义本金凭证的价格</w:t>
            </w:r>
          </w:p>
        </w:tc>
      </w:tr>
      <w:tr w14:paraId="204FC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6" w:type="pct"/>
            <w:tcBorders>
              <w:top w:val="single" w:color="auto" w:sz="4" w:space="0"/>
              <w:left w:val="single" w:color="auto" w:sz="4" w:space="0"/>
              <w:bottom w:val="single" w:color="auto" w:sz="4" w:space="0"/>
              <w:right w:val="single" w:color="auto" w:sz="4" w:space="0"/>
            </w:tcBorders>
          </w:tcPr>
          <w:p w14:paraId="77CF3FA5">
            <w:pPr>
              <w:spacing w:line="560" w:lineRule="exact"/>
              <w:jc w:val="center"/>
              <w:rPr>
                <w:rFonts w:eastAsia="仿宋_GB2312"/>
                <w:sz w:val="30"/>
                <w:szCs w:val="30"/>
              </w:rPr>
            </w:pPr>
            <w:r>
              <w:rPr>
                <w:rFonts w:hint="eastAsia" w:eastAsia="仿宋_GB2312"/>
                <w:sz w:val="30"/>
                <w:szCs w:val="30"/>
              </w:rPr>
              <w:t>申报价格变动单位</w:t>
            </w:r>
          </w:p>
        </w:tc>
        <w:tc>
          <w:tcPr>
            <w:tcW w:w="3294" w:type="pct"/>
            <w:tcBorders>
              <w:top w:val="single" w:color="auto" w:sz="4" w:space="0"/>
              <w:left w:val="single" w:color="auto" w:sz="4" w:space="0"/>
              <w:bottom w:val="single" w:color="auto" w:sz="4" w:space="0"/>
              <w:right w:val="single" w:color="auto" w:sz="4" w:space="0"/>
            </w:tcBorders>
          </w:tcPr>
          <w:p w14:paraId="6975E152">
            <w:pPr>
              <w:spacing w:line="560" w:lineRule="exact"/>
              <w:jc w:val="center"/>
              <w:rPr>
                <w:rFonts w:eastAsia="仿宋_GB2312"/>
                <w:sz w:val="30"/>
                <w:szCs w:val="30"/>
              </w:rPr>
            </w:pPr>
            <w:r>
              <w:rPr>
                <w:rFonts w:eastAsia="仿宋_GB2312"/>
                <w:sz w:val="30"/>
                <w:szCs w:val="30"/>
              </w:rPr>
              <w:t>0.001</w:t>
            </w:r>
            <w:r>
              <w:rPr>
                <w:rFonts w:hint="eastAsia" w:eastAsia="仿宋_GB2312"/>
                <w:sz w:val="30"/>
                <w:szCs w:val="30"/>
              </w:rPr>
              <w:t>元</w:t>
            </w:r>
          </w:p>
        </w:tc>
      </w:tr>
      <w:tr w14:paraId="4C34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6" w:type="pct"/>
            <w:tcBorders>
              <w:top w:val="single" w:color="auto" w:sz="4" w:space="0"/>
              <w:left w:val="single" w:color="auto" w:sz="4" w:space="0"/>
              <w:bottom w:val="single" w:color="auto" w:sz="4" w:space="0"/>
              <w:right w:val="single" w:color="auto" w:sz="4" w:space="0"/>
            </w:tcBorders>
          </w:tcPr>
          <w:p w14:paraId="24FC7C63">
            <w:pPr>
              <w:spacing w:line="560" w:lineRule="exact"/>
              <w:jc w:val="center"/>
              <w:rPr>
                <w:rFonts w:eastAsia="仿宋_GB2312"/>
                <w:sz w:val="30"/>
                <w:szCs w:val="30"/>
              </w:rPr>
            </w:pPr>
            <w:r>
              <w:rPr>
                <w:rFonts w:hint="eastAsia" w:eastAsia="仿宋_GB2312"/>
                <w:sz w:val="30"/>
                <w:szCs w:val="30"/>
              </w:rPr>
              <w:t>申报数量</w:t>
            </w:r>
          </w:p>
        </w:tc>
        <w:tc>
          <w:tcPr>
            <w:tcW w:w="3294" w:type="pct"/>
            <w:tcBorders>
              <w:top w:val="single" w:color="auto" w:sz="4" w:space="0"/>
              <w:left w:val="single" w:color="auto" w:sz="4" w:space="0"/>
              <w:bottom w:val="single" w:color="auto" w:sz="4" w:space="0"/>
              <w:right w:val="single" w:color="auto" w:sz="4" w:space="0"/>
            </w:tcBorders>
          </w:tcPr>
          <w:p w14:paraId="4E6A5D24">
            <w:pPr>
              <w:spacing w:line="560" w:lineRule="exact"/>
              <w:jc w:val="center"/>
              <w:rPr>
                <w:rFonts w:eastAsia="仿宋_GB2312"/>
                <w:sz w:val="30"/>
                <w:szCs w:val="30"/>
              </w:rPr>
            </w:pPr>
            <w:r>
              <w:rPr>
                <w:rFonts w:hint="eastAsia" w:eastAsia="仿宋_GB2312"/>
                <w:sz w:val="30"/>
                <w:szCs w:val="30"/>
              </w:rPr>
              <w:t>不低于</w:t>
            </w:r>
            <w:r>
              <w:rPr>
                <w:rFonts w:eastAsia="仿宋_GB2312"/>
                <w:sz w:val="30"/>
                <w:szCs w:val="30"/>
              </w:rPr>
              <w:t>500</w:t>
            </w:r>
            <w:r>
              <w:rPr>
                <w:rFonts w:hint="eastAsia" w:eastAsia="仿宋_GB2312"/>
                <w:sz w:val="30"/>
                <w:szCs w:val="30"/>
              </w:rPr>
              <w:t>手</w:t>
            </w:r>
          </w:p>
        </w:tc>
      </w:tr>
    </w:tbl>
    <w:p w14:paraId="75B0D69B">
      <w:pPr>
        <w:spacing w:line="560" w:lineRule="exact"/>
        <w:rPr>
          <w:rFonts w:eastAsia="仿宋_GB2312"/>
          <w:sz w:val="30"/>
          <w:szCs w:val="30"/>
        </w:rPr>
      </w:pPr>
    </w:p>
    <w:p w14:paraId="5934C776">
      <w:pPr>
        <w:pStyle w:val="39"/>
        <w:spacing w:before="0" w:beforeAutospacing="0" w:after="93" w:afterAutospacing="0" w:line="560" w:lineRule="exact"/>
        <w:ind w:right="108" w:firstLine="600" w:firstLineChars="200"/>
        <w:jc w:val="right"/>
        <w:rPr>
          <w:rFonts w:ascii="Times New Roman" w:hAnsi="Times New Roman" w:eastAsia="仿宋_GB2312" w:cs="Times New Roman"/>
          <w:kern w:val="2"/>
          <w:sz w:val="30"/>
          <w:szCs w:val="30"/>
        </w:rPr>
      </w:pPr>
      <w:r>
        <w:rPr>
          <w:rFonts w:ascii="Times New Roman" w:hAnsi="Times New Roman" w:eastAsia="仿宋_GB2312"/>
          <w:sz w:val="30"/>
          <w:szCs w:val="30"/>
        </w:rPr>
        <w:t>XXXX</w:t>
      </w:r>
      <w:r>
        <w:rPr>
          <w:rFonts w:hint="eastAsia" w:ascii="Times New Roman" w:hAnsi="Times New Roman" w:eastAsia="仿宋_GB2312" w:cs="Times New Roman"/>
          <w:kern w:val="2"/>
          <w:sz w:val="30"/>
          <w:szCs w:val="30"/>
        </w:rPr>
        <w:t>公司</w:t>
      </w:r>
    </w:p>
    <w:p w14:paraId="4AD180B4">
      <w:pPr>
        <w:spacing w:line="560" w:lineRule="exact"/>
        <w:ind w:left="6000" w:hanging="6000" w:hangingChars="2000"/>
        <w:jc w:val="right"/>
      </w:pPr>
      <w:r>
        <w:rPr>
          <w:rFonts w:eastAsia="仿宋_GB2312"/>
          <w:sz w:val="30"/>
          <w:szCs w:val="30"/>
        </w:rPr>
        <w:t xml:space="preserve">  </w:t>
      </w:r>
      <w:r>
        <w:rPr>
          <w:rFonts w:hint="eastAsia" w:eastAsia="仿宋_GB2312"/>
          <w:sz w:val="30"/>
          <w:szCs w:val="30"/>
        </w:rPr>
        <w:t>年</w:t>
      </w:r>
      <w:r>
        <w:rPr>
          <w:rFonts w:eastAsia="仿宋_GB2312"/>
          <w:sz w:val="30"/>
          <w:szCs w:val="30"/>
        </w:rPr>
        <w:t xml:space="preserve">  </w:t>
      </w:r>
      <w:r>
        <w:rPr>
          <w:rFonts w:hint="eastAsia" w:eastAsia="仿宋_GB2312"/>
          <w:sz w:val="30"/>
          <w:szCs w:val="30"/>
        </w:rPr>
        <w:t>月</w:t>
      </w:r>
      <w:r>
        <w:rPr>
          <w:rFonts w:eastAsia="仿宋_GB2312"/>
          <w:sz w:val="30"/>
          <w:szCs w:val="30"/>
        </w:rPr>
        <w:t xml:space="preserve">  </w:t>
      </w:r>
      <w:r>
        <w:rPr>
          <w:rFonts w:hint="eastAsia" w:eastAsia="仿宋_GB2312"/>
          <w:sz w:val="30"/>
          <w:szCs w:val="30"/>
        </w:rPr>
        <w:t>日</w:t>
      </w:r>
    </w:p>
    <w:p w14:paraId="0F808A34">
      <w:pPr>
        <w:widowControl/>
        <w:jc w:val="left"/>
        <w:outlineLvl w:val="1"/>
        <w:rPr>
          <w:rFonts w:ascii="仿宋_GB2312" w:hAnsi="黑体" w:eastAsia="仿宋_GB2312"/>
          <w:b/>
          <w:sz w:val="30"/>
          <w:szCs w:val="30"/>
        </w:rPr>
      </w:pPr>
      <w:bookmarkStart w:id="4158" w:name="_Toc1951176613"/>
      <w:bookmarkStart w:id="4159" w:name="_Toc1486478598"/>
      <w:bookmarkStart w:id="4160" w:name="_Toc2123465671"/>
      <w:bookmarkStart w:id="4161" w:name="_Toc151137113"/>
      <w:bookmarkStart w:id="4162" w:name="_Toc1381991473"/>
      <w:bookmarkStart w:id="4163" w:name="_Toc2105635820"/>
      <w:bookmarkStart w:id="4164" w:name="_Toc1395963622"/>
      <w:r>
        <w:rPr>
          <w:rFonts w:hint="eastAsia" w:ascii="仿宋_GB2312" w:hAnsi="黑体" w:eastAsia="仿宋_GB2312"/>
          <w:b/>
          <w:sz w:val="30"/>
          <w:szCs w:val="30"/>
        </w:rPr>
        <w:t>附件30 信用保护工具信用事件通知书参考模板</w:t>
      </w:r>
      <w:bookmarkEnd w:id="4158"/>
      <w:bookmarkEnd w:id="4159"/>
      <w:bookmarkEnd w:id="4160"/>
      <w:bookmarkEnd w:id="4161"/>
      <w:bookmarkEnd w:id="4162"/>
      <w:bookmarkEnd w:id="4163"/>
      <w:bookmarkEnd w:id="4164"/>
    </w:p>
    <w:p w14:paraId="404CD75E">
      <w:pPr>
        <w:spacing w:line="560" w:lineRule="exact"/>
        <w:jc w:val="center"/>
        <w:rPr>
          <w:rFonts w:ascii="黑体" w:hAnsi="黑体" w:eastAsia="黑体"/>
          <w:b/>
          <w:kern w:val="0"/>
          <w:sz w:val="44"/>
          <w:szCs w:val="44"/>
          <w:lang w:bidi="en-US"/>
        </w:rPr>
      </w:pPr>
    </w:p>
    <w:p w14:paraId="4A5A3082">
      <w:pPr>
        <w:spacing w:line="560" w:lineRule="exact"/>
        <w:jc w:val="center"/>
        <w:rPr>
          <w:rFonts w:ascii="黑体" w:hAnsi="黑体" w:eastAsia="黑体"/>
          <w:b/>
          <w:kern w:val="0"/>
          <w:sz w:val="44"/>
          <w:szCs w:val="44"/>
          <w:lang w:bidi="en-US"/>
        </w:rPr>
      </w:pPr>
      <w:r>
        <w:rPr>
          <w:rFonts w:hint="eastAsia" w:ascii="黑体" w:hAnsi="黑体" w:eastAsia="黑体"/>
          <w:b/>
          <w:kern w:val="0"/>
          <w:sz w:val="44"/>
          <w:szCs w:val="44"/>
          <w:lang w:bidi="en-US"/>
        </w:rPr>
        <w:t>信用保护工具信用事件通知书</w:t>
      </w:r>
    </w:p>
    <w:p w14:paraId="064EE58B">
      <w:pPr>
        <w:spacing w:line="560" w:lineRule="exact"/>
        <w:rPr>
          <w:rFonts w:eastAsia="仿宋_GB2312"/>
          <w:sz w:val="32"/>
          <w:szCs w:val="32"/>
        </w:rPr>
      </w:pPr>
    </w:p>
    <w:p w14:paraId="6F2086A5">
      <w:pPr>
        <w:spacing w:line="560" w:lineRule="exact"/>
        <w:rPr>
          <w:rFonts w:eastAsia="仿宋_GB2312"/>
          <w:b/>
          <w:sz w:val="30"/>
          <w:szCs w:val="28"/>
        </w:rPr>
      </w:pPr>
      <w:r>
        <w:rPr>
          <w:rFonts w:hint="eastAsia" w:eastAsia="仿宋_GB2312"/>
          <w:b/>
          <w:sz w:val="30"/>
          <w:szCs w:val="28"/>
        </w:rPr>
        <w:t>合约版本：</w:t>
      </w:r>
    </w:p>
    <w:p w14:paraId="3BAE5757">
      <w:pPr>
        <w:spacing w:line="560" w:lineRule="exact"/>
        <w:rPr>
          <w:rFonts w:eastAsia="仿宋_GB2312"/>
          <w:sz w:val="30"/>
          <w:szCs w:val="28"/>
        </w:rPr>
      </w:pPr>
      <w:r>
        <w:rPr>
          <w:rFonts w:hint="eastAsia" w:eastAsia="仿宋_GB2312"/>
          <w:sz w:val="30"/>
          <w:szCs w:val="28"/>
        </w:rPr>
        <w:t>收件方：</w:t>
      </w:r>
      <w:r>
        <w:rPr>
          <w:rFonts w:eastAsia="仿宋_GB2312"/>
          <w:sz w:val="30"/>
          <w:szCs w:val="28"/>
        </w:rPr>
        <w:t>[</w:t>
      </w:r>
      <w:r>
        <w:rPr>
          <w:rFonts w:hint="eastAsia" w:eastAsia="仿宋_GB2312"/>
          <w:sz w:val="30"/>
          <w:szCs w:val="28"/>
        </w:rPr>
        <w:t>请填入收件方名称、地址、联系人与联系方式</w:t>
      </w:r>
      <w:r>
        <w:rPr>
          <w:rFonts w:eastAsia="仿宋_GB2312"/>
          <w:sz w:val="30"/>
          <w:szCs w:val="28"/>
        </w:rPr>
        <w:t xml:space="preserve">] </w:t>
      </w:r>
    </w:p>
    <w:p w14:paraId="18E0D279">
      <w:pPr>
        <w:spacing w:line="560" w:lineRule="exact"/>
        <w:rPr>
          <w:rFonts w:eastAsia="仿宋_GB2312"/>
          <w:sz w:val="30"/>
          <w:szCs w:val="28"/>
        </w:rPr>
      </w:pPr>
      <w:r>
        <w:rPr>
          <w:rFonts w:hint="eastAsia" w:eastAsia="仿宋_GB2312"/>
          <w:sz w:val="30"/>
          <w:szCs w:val="28"/>
        </w:rPr>
        <w:t>通知方：</w:t>
      </w:r>
      <w:r>
        <w:rPr>
          <w:rFonts w:eastAsia="仿宋_GB2312"/>
          <w:sz w:val="30"/>
          <w:szCs w:val="28"/>
        </w:rPr>
        <w:t>[</w:t>
      </w:r>
      <w:r>
        <w:rPr>
          <w:rFonts w:hint="eastAsia" w:eastAsia="仿宋_GB2312"/>
          <w:sz w:val="30"/>
          <w:szCs w:val="28"/>
        </w:rPr>
        <w:t>请填入通知方名称、地址、联系人与联系方式</w:t>
      </w:r>
      <w:r>
        <w:rPr>
          <w:rFonts w:eastAsia="仿宋_GB2312"/>
          <w:sz w:val="30"/>
          <w:szCs w:val="28"/>
        </w:rPr>
        <w:t xml:space="preserve">] </w:t>
      </w:r>
    </w:p>
    <w:p w14:paraId="4969581D">
      <w:pPr>
        <w:spacing w:line="560" w:lineRule="exact"/>
        <w:rPr>
          <w:rFonts w:eastAsia="仿宋_GB2312"/>
          <w:sz w:val="30"/>
          <w:szCs w:val="28"/>
        </w:rPr>
      </w:pPr>
    </w:p>
    <w:p w14:paraId="33952EBE">
      <w:pPr>
        <w:spacing w:line="560" w:lineRule="exact"/>
        <w:rPr>
          <w:rFonts w:eastAsia="仿宋_GB2312"/>
          <w:sz w:val="30"/>
          <w:szCs w:val="28"/>
        </w:rPr>
      </w:pPr>
      <w:r>
        <w:rPr>
          <w:rFonts w:hint="eastAsia" w:eastAsia="仿宋_GB2312"/>
          <w:sz w:val="30"/>
          <w:szCs w:val="28"/>
        </w:rPr>
        <w:t>事由：签署日期为</w:t>
      </w:r>
      <w:r>
        <w:rPr>
          <w:rFonts w:eastAsia="仿宋_GB2312"/>
          <w:sz w:val="30"/>
          <w:szCs w:val="28"/>
        </w:rPr>
        <w:t>[   ]</w:t>
      </w:r>
      <w:r>
        <w:rPr>
          <w:rFonts w:hint="eastAsia" w:eastAsia="仿宋_GB2312"/>
          <w:sz w:val="30"/>
          <w:szCs w:val="28"/>
        </w:rPr>
        <w:t>年</w:t>
      </w:r>
      <w:r>
        <w:rPr>
          <w:rFonts w:eastAsia="仿宋_GB2312"/>
          <w:sz w:val="30"/>
          <w:szCs w:val="28"/>
        </w:rPr>
        <w:t>[   ]</w:t>
      </w:r>
      <w:r>
        <w:rPr>
          <w:rFonts w:hint="eastAsia" w:eastAsia="仿宋_GB2312"/>
          <w:sz w:val="30"/>
          <w:szCs w:val="28"/>
        </w:rPr>
        <w:t>月</w:t>
      </w:r>
      <w:r>
        <w:rPr>
          <w:rFonts w:eastAsia="仿宋_GB2312"/>
          <w:sz w:val="30"/>
          <w:szCs w:val="28"/>
        </w:rPr>
        <w:t>[   ]</w:t>
      </w:r>
      <w:r>
        <w:rPr>
          <w:rFonts w:hint="eastAsia" w:eastAsia="仿宋_GB2312"/>
          <w:sz w:val="30"/>
          <w:szCs w:val="28"/>
        </w:rPr>
        <w:t>日的以</w:t>
      </w:r>
      <w:r>
        <w:rPr>
          <w:rFonts w:eastAsia="仿宋_GB2312"/>
          <w:sz w:val="30"/>
          <w:szCs w:val="28"/>
        </w:rPr>
        <w:t>[   ]</w:t>
      </w:r>
      <w:r>
        <w:rPr>
          <w:rFonts w:hint="eastAsia" w:eastAsia="仿宋_GB2312"/>
          <w:sz w:val="30"/>
          <w:szCs w:val="28"/>
        </w:rPr>
        <w:t>为参考实体以</w:t>
      </w:r>
      <w:r>
        <w:rPr>
          <w:rFonts w:eastAsia="仿宋_GB2312"/>
          <w:sz w:val="30"/>
          <w:szCs w:val="28"/>
        </w:rPr>
        <w:t>[   ]</w:t>
      </w:r>
      <w:r>
        <w:rPr>
          <w:rFonts w:hint="eastAsia" w:eastAsia="仿宋_GB2312"/>
          <w:sz w:val="30"/>
          <w:szCs w:val="28"/>
        </w:rPr>
        <w:t>为受保护债务的《</w:t>
      </w:r>
      <w:r>
        <w:rPr>
          <w:rFonts w:eastAsia="仿宋_GB2312"/>
          <w:sz w:val="30"/>
          <w:szCs w:val="28"/>
        </w:rPr>
        <w:t>XXXX</w:t>
      </w:r>
      <w:r>
        <w:rPr>
          <w:rFonts w:hint="eastAsia" w:eastAsia="仿宋_GB2312"/>
          <w:sz w:val="30"/>
          <w:szCs w:val="28"/>
        </w:rPr>
        <w:t>信用保护合约交易确认书》（编号：</w:t>
      </w:r>
      <w:r>
        <w:rPr>
          <w:rFonts w:eastAsia="仿宋_GB2312"/>
          <w:sz w:val="30"/>
          <w:szCs w:val="28"/>
        </w:rPr>
        <w:t>[</w:t>
      </w:r>
      <w:r>
        <w:rPr>
          <w:rFonts w:eastAsia="仿宋_GB2312"/>
          <w:sz w:val="30"/>
          <w:szCs w:val="28"/>
        </w:rPr>
        <w:tab/>
      </w:r>
      <w:r>
        <w:rPr>
          <w:rFonts w:eastAsia="仿宋_GB2312"/>
          <w:sz w:val="30"/>
          <w:szCs w:val="28"/>
        </w:rPr>
        <w:t>]</w:t>
      </w:r>
      <w:r>
        <w:rPr>
          <w:rFonts w:hint="eastAsia" w:eastAsia="仿宋_GB2312"/>
          <w:sz w:val="30"/>
          <w:szCs w:val="28"/>
        </w:rPr>
        <w:t>，以下简称《交易确认书》）项下的信用事件通知。</w:t>
      </w:r>
    </w:p>
    <w:p w14:paraId="0D81ABF8">
      <w:pPr>
        <w:spacing w:line="560" w:lineRule="exact"/>
        <w:rPr>
          <w:rFonts w:eastAsia="仿宋_GB2312"/>
          <w:sz w:val="30"/>
          <w:szCs w:val="28"/>
        </w:rPr>
      </w:pPr>
    </w:p>
    <w:p w14:paraId="3B836E3A">
      <w:pPr>
        <w:spacing w:line="560" w:lineRule="exact"/>
        <w:rPr>
          <w:rFonts w:eastAsia="仿宋_GB2312"/>
          <w:sz w:val="30"/>
          <w:szCs w:val="28"/>
        </w:rPr>
      </w:pPr>
      <w:r>
        <w:rPr>
          <w:rFonts w:hint="eastAsia" w:eastAsia="仿宋_GB2312"/>
          <w:sz w:val="30"/>
          <w:szCs w:val="28"/>
        </w:rPr>
        <w:t>本通知构成前述《交易确认书》所指的信用事件通知。除非本通知另有定义，《交易确认书》中定义的术语在本通知中具有相同的含义。</w:t>
      </w:r>
    </w:p>
    <w:p w14:paraId="4AC6314E">
      <w:pPr>
        <w:spacing w:line="560" w:lineRule="exact"/>
        <w:rPr>
          <w:rFonts w:eastAsia="仿宋_GB2312"/>
          <w:sz w:val="30"/>
          <w:szCs w:val="28"/>
        </w:rPr>
      </w:pPr>
    </w:p>
    <w:p w14:paraId="39687AFD">
      <w:pPr>
        <w:spacing w:line="560" w:lineRule="exact"/>
        <w:rPr>
          <w:rFonts w:eastAsia="仿宋_GB2312"/>
          <w:sz w:val="30"/>
          <w:szCs w:val="28"/>
        </w:rPr>
      </w:pPr>
      <w:r>
        <w:rPr>
          <w:rFonts w:hint="eastAsia" w:eastAsia="仿宋_GB2312"/>
          <w:sz w:val="30"/>
          <w:szCs w:val="28"/>
        </w:rPr>
        <w:t>我方作为通知方，特此通知贵方，</w:t>
      </w:r>
      <w:r>
        <w:rPr>
          <w:rFonts w:eastAsia="仿宋_GB2312"/>
          <w:sz w:val="30"/>
          <w:szCs w:val="28"/>
        </w:rPr>
        <w:t>[</w:t>
      </w:r>
      <w:r>
        <w:rPr>
          <w:rFonts w:hint="eastAsia" w:eastAsia="仿宋_GB2312"/>
          <w:sz w:val="30"/>
          <w:szCs w:val="28"/>
        </w:rPr>
        <w:t>请填入参考实体及</w:t>
      </w:r>
      <w:r>
        <w:rPr>
          <w:rFonts w:eastAsia="仿宋_GB2312"/>
          <w:sz w:val="30"/>
          <w:szCs w:val="28"/>
        </w:rPr>
        <w:t>/</w:t>
      </w:r>
      <w:r>
        <w:rPr>
          <w:rFonts w:hint="eastAsia" w:eastAsia="仿宋_GB2312"/>
          <w:sz w:val="30"/>
          <w:szCs w:val="28"/>
        </w:rPr>
        <w:t>或满足特定债务种类和债务特征的债务的名称及信息</w:t>
      </w:r>
      <w:r>
        <w:rPr>
          <w:rFonts w:eastAsia="仿宋_GB2312"/>
          <w:sz w:val="30"/>
          <w:szCs w:val="28"/>
        </w:rPr>
        <w:t>]</w:t>
      </w:r>
      <w:r>
        <w:rPr>
          <w:rFonts w:hint="eastAsia" w:eastAsia="仿宋_GB2312"/>
          <w:sz w:val="30"/>
          <w:szCs w:val="28"/>
        </w:rPr>
        <w:t>于</w:t>
      </w:r>
      <w:r>
        <w:rPr>
          <w:rFonts w:eastAsia="仿宋_GB2312"/>
          <w:sz w:val="30"/>
          <w:szCs w:val="28"/>
        </w:rPr>
        <w:t>[ ]</w:t>
      </w:r>
      <w:r>
        <w:rPr>
          <w:rFonts w:hint="eastAsia" w:eastAsia="仿宋_GB2312"/>
          <w:sz w:val="30"/>
          <w:szCs w:val="28"/>
        </w:rPr>
        <w:t>年</w:t>
      </w:r>
      <w:r>
        <w:rPr>
          <w:rFonts w:eastAsia="仿宋_GB2312"/>
          <w:sz w:val="30"/>
          <w:szCs w:val="28"/>
        </w:rPr>
        <w:t>[ ]</w:t>
      </w:r>
      <w:r>
        <w:rPr>
          <w:rFonts w:hint="eastAsia" w:eastAsia="仿宋_GB2312"/>
          <w:sz w:val="30"/>
          <w:szCs w:val="28"/>
        </w:rPr>
        <w:t>月</w:t>
      </w:r>
      <w:r>
        <w:rPr>
          <w:rFonts w:eastAsia="仿宋_GB2312"/>
          <w:sz w:val="30"/>
          <w:szCs w:val="28"/>
        </w:rPr>
        <w:t>[ ]</w:t>
      </w:r>
      <w:r>
        <w:rPr>
          <w:rFonts w:hint="eastAsia" w:eastAsia="仿宋_GB2312"/>
          <w:sz w:val="30"/>
          <w:szCs w:val="28"/>
        </w:rPr>
        <w:t>日或其前后发生了一项</w:t>
      </w:r>
      <w:r>
        <w:rPr>
          <w:rFonts w:eastAsia="仿宋_GB2312"/>
          <w:sz w:val="30"/>
          <w:szCs w:val="28"/>
        </w:rPr>
        <w:t>[</w:t>
      </w:r>
      <w:r>
        <w:rPr>
          <w:rFonts w:hint="eastAsia" w:eastAsia="仿宋_GB2312"/>
          <w:sz w:val="30"/>
          <w:szCs w:val="28"/>
        </w:rPr>
        <w:t>请填入适用信用事件的种类</w:t>
      </w:r>
      <w:r>
        <w:rPr>
          <w:rFonts w:eastAsia="仿宋_GB2312"/>
          <w:sz w:val="30"/>
          <w:szCs w:val="28"/>
        </w:rPr>
        <w:t>]</w:t>
      </w:r>
      <w:r>
        <w:rPr>
          <w:rFonts w:hint="eastAsia" w:eastAsia="仿宋_GB2312"/>
          <w:sz w:val="30"/>
          <w:szCs w:val="28"/>
        </w:rPr>
        <w:t>信用事件，其具体情况如下：</w:t>
      </w:r>
      <w:r>
        <w:rPr>
          <w:rFonts w:eastAsia="仿宋_GB2312"/>
          <w:sz w:val="30"/>
          <w:szCs w:val="28"/>
        </w:rPr>
        <w:t>[</w:t>
      </w:r>
      <w:r>
        <w:rPr>
          <w:rFonts w:hint="eastAsia" w:eastAsia="仿宋_GB2312"/>
          <w:sz w:val="30"/>
          <w:szCs w:val="28"/>
        </w:rPr>
        <w:t>请填入有关信息</w:t>
      </w:r>
      <w:r>
        <w:rPr>
          <w:rFonts w:eastAsia="仿宋_GB2312"/>
          <w:sz w:val="30"/>
          <w:szCs w:val="28"/>
        </w:rPr>
        <w:t>]</w:t>
      </w:r>
      <w:r>
        <w:rPr>
          <w:rFonts w:hint="eastAsia" w:eastAsia="仿宋_GB2312"/>
          <w:sz w:val="30"/>
          <w:szCs w:val="28"/>
        </w:rPr>
        <w:t>。</w:t>
      </w:r>
    </w:p>
    <w:p w14:paraId="3489D98D">
      <w:pPr>
        <w:spacing w:line="560" w:lineRule="exact"/>
        <w:rPr>
          <w:rFonts w:eastAsia="仿宋_GB2312"/>
          <w:sz w:val="30"/>
          <w:szCs w:val="28"/>
        </w:rPr>
      </w:pPr>
    </w:p>
    <w:p w14:paraId="73EE57CF">
      <w:pPr>
        <w:spacing w:line="560" w:lineRule="exact"/>
        <w:rPr>
          <w:rFonts w:eastAsia="仿宋_GB2312"/>
          <w:sz w:val="30"/>
          <w:szCs w:val="28"/>
        </w:rPr>
      </w:pPr>
      <w:r>
        <w:rPr>
          <w:rFonts w:hint="eastAsia" w:eastAsia="仿宋_GB2312"/>
          <w:sz w:val="30"/>
          <w:szCs w:val="28"/>
        </w:rPr>
        <w:t>通知方（印章）：</w:t>
      </w:r>
    </w:p>
    <w:p w14:paraId="195ABC17">
      <w:pPr>
        <w:spacing w:line="560" w:lineRule="exact"/>
        <w:rPr>
          <w:rFonts w:eastAsia="仿宋_GB2312"/>
          <w:sz w:val="30"/>
          <w:szCs w:val="28"/>
        </w:rPr>
      </w:pPr>
      <w:r>
        <w:rPr>
          <w:rFonts w:hint="eastAsia" w:eastAsia="仿宋_GB2312"/>
          <w:sz w:val="30"/>
          <w:szCs w:val="28"/>
        </w:rPr>
        <w:t>法定代表人（授权代理人）签字：</w:t>
      </w:r>
    </w:p>
    <w:p w14:paraId="03F17553">
      <w:pPr>
        <w:spacing w:line="560" w:lineRule="exact"/>
        <w:rPr>
          <w:rFonts w:eastAsia="仿宋_GB2312"/>
          <w:sz w:val="30"/>
          <w:szCs w:val="28"/>
        </w:rPr>
        <w:sectPr>
          <w:headerReference r:id="rId4" w:type="default"/>
          <w:footerReference r:id="rId6" w:type="default"/>
          <w:headerReference r:id="rId5" w:type="even"/>
          <w:footerReference r:id="rId7" w:type="even"/>
          <w:pgSz w:w="11906" w:h="16838"/>
          <w:pgMar w:top="1440" w:right="1800" w:bottom="1440" w:left="1800" w:header="851" w:footer="992" w:gutter="0"/>
          <w:cols w:space="425" w:num="1"/>
          <w:docGrid w:type="lines" w:linePitch="312" w:charSpace="0"/>
        </w:sectPr>
      </w:pPr>
      <w:r>
        <w:rPr>
          <w:rFonts w:hint="eastAsia" w:eastAsia="仿宋_GB2312"/>
          <w:sz w:val="30"/>
          <w:szCs w:val="28"/>
        </w:rPr>
        <w:t>信用事件通知日期：</w:t>
      </w:r>
    </w:p>
    <w:p w14:paraId="2CD98035">
      <w:pPr>
        <w:spacing w:line="560" w:lineRule="exact"/>
        <w:rPr>
          <w:rFonts w:eastAsia="仿宋_GB2312"/>
          <w:b/>
          <w:sz w:val="30"/>
          <w:szCs w:val="28"/>
        </w:rPr>
      </w:pPr>
      <w:r>
        <w:rPr>
          <w:rFonts w:hint="eastAsia" w:eastAsia="仿宋_GB2312"/>
          <w:b/>
          <w:sz w:val="30"/>
          <w:szCs w:val="28"/>
        </w:rPr>
        <w:t>凭证版本（买方版本）：</w:t>
      </w:r>
    </w:p>
    <w:p w14:paraId="2A99689A">
      <w:pPr>
        <w:spacing w:line="560" w:lineRule="exact"/>
        <w:rPr>
          <w:rFonts w:eastAsia="仿宋_GB2312"/>
          <w:sz w:val="30"/>
          <w:szCs w:val="28"/>
        </w:rPr>
      </w:pPr>
      <w:r>
        <w:rPr>
          <w:rFonts w:hint="eastAsia" w:eastAsia="仿宋_GB2312"/>
          <w:sz w:val="30"/>
          <w:szCs w:val="28"/>
        </w:rPr>
        <w:t>收件方：</w:t>
      </w:r>
      <w:r>
        <w:rPr>
          <w:rFonts w:eastAsia="仿宋_GB2312"/>
          <w:sz w:val="30"/>
          <w:szCs w:val="28"/>
        </w:rPr>
        <w:t>[</w:t>
      </w:r>
      <w:r>
        <w:rPr>
          <w:rFonts w:hint="eastAsia" w:eastAsia="仿宋_GB2312"/>
          <w:sz w:val="30"/>
          <w:szCs w:val="28"/>
        </w:rPr>
        <w:t>请填入收件方名称、地址、联系人与联系方式</w:t>
      </w:r>
      <w:r>
        <w:rPr>
          <w:rFonts w:eastAsia="仿宋_GB2312"/>
          <w:sz w:val="30"/>
          <w:szCs w:val="28"/>
        </w:rPr>
        <w:t xml:space="preserve">] </w:t>
      </w:r>
    </w:p>
    <w:p w14:paraId="3F542F3A">
      <w:pPr>
        <w:spacing w:line="560" w:lineRule="exact"/>
        <w:rPr>
          <w:rFonts w:eastAsia="仿宋_GB2312"/>
          <w:sz w:val="30"/>
          <w:szCs w:val="28"/>
        </w:rPr>
      </w:pPr>
      <w:r>
        <w:rPr>
          <w:rFonts w:hint="eastAsia" w:eastAsia="仿宋_GB2312"/>
          <w:sz w:val="30"/>
          <w:szCs w:val="28"/>
        </w:rPr>
        <w:t>通知方：</w:t>
      </w:r>
      <w:r>
        <w:rPr>
          <w:rFonts w:eastAsia="仿宋_GB2312"/>
          <w:sz w:val="30"/>
          <w:szCs w:val="28"/>
        </w:rPr>
        <w:t>[</w:t>
      </w:r>
      <w:r>
        <w:rPr>
          <w:rFonts w:hint="eastAsia" w:eastAsia="仿宋_GB2312"/>
          <w:sz w:val="30"/>
          <w:szCs w:val="28"/>
        </w:rPr>
        <w:t>请填入通知方名称、地址、联系人与联系方式</w:t>
      </w:r>
      <w:r>
        <w:rPr>
          <w:rFonts w:eastAsia="仿宋_GB2312"/>
          <w:sz w:val="30"/>
          <w:szCs w:val="28"/>
        </w:rPr>
        <w:t xml:space="preserve">] </w:t>
      </w:r>
    </w:p>
    <w:p w14:paraId="3536780A">
      <w:pPr>
        <w:spacing w:line="560" w:lineRule="exact"/>
        <w:rPr>
          <w:rFonts w:eastAsia="仿宋_GB2312"/>
          <w:sz w:val="30"/>
          <w:szCs w:val="28"/>
        </w:rPr>
      </w:pPr>
    </w:p>
    <w:p w14:paraId="4613C2D6">
      <w:pPr>
        <w:spacing w:line="560" w:lineRule="exact"/>
        <w:rPr>
          <w:rFonts w:eastAsia="仿宋_GB2312"/>
          <w:sz w:val="30"/>
          <w:szCs w:val="28"/>
        </w:rPr>
      </w:pPr>
      <w:r>
        <w:rPr>
          <w:rFonts w:hint="eastAsia" w:eastAsia="仿宋_GB2312"/>
          <w:sz w:val="30"/>
          <w:szCs w:val="28"/>
        </w:rPr>
        <w:t>事由：信用保护凭证创设机构</w:t>
      </w:r>
      <w:r>
        <w:rPr>
          <w:rFonts w:eastAsia="仿宋_GB2312"/>
          <w:sz w:val="30"/>
          <w:szCs w:val="28"/>
        </w:rPr>
        <w:t xml:space="preserve">[   ] </w:t>
      </w:r>
      <w:r>
        <w:rPr>
          <w:rFonts w:hint="eastAsia" w:eastAsia="仿宋_GB2312"/>
          <w:sz w:val="30"/>
          <w:szCs w:val="28"/>
        </w:rPr>
        <w:t>于</w:t>
      </w:r>
      <w:r>
        <w:rPr>
          <w:rFonts w:eastAsia="仿宋_GB2312"/>
          <w:sz w:val="30"/>
          <w:szCs w:val="28"/>
        </w:rPr>
        <w:t>[   ]</w:t>
      </w:r>
      <w:r>
        <w:rPr>
          <w:rFonts w:hint="eastAsia" w:eastAsia="仿宋_GB2312"/>
          <w:sz w:val="30"/>
          <w:szCs w:val="28"/>
        </w:rPr>
        <w:t>年</w:t>
      </w:r>
      <w:r>
        <w:rPr>
          <w:rFonts w:eastAsia="仿宋_GB2312"/>
          <w:sz w:val="30"/>
          <w:szCs w:val="28"/>
        </w:rPr>
        <w:t>[   ]</w:t>
      </w:r>
      <w:r>
        <w:rPr>
          <w:rFonts w:hint="eastAsia" w:eastAsia="仿宋_GB2312"/>
          <w:sz w:val="30"/>
          <w:szCs w:val="28"/>
        </w:rPr>
        <w:t>月</w:t>
      </w:r>
      <w:r>
        <w:rPr>
          <w:rFonts w:eastAsia="仿宋_GB2312"/>
          <w:sz w:val="30"/>
          <w:szCs w:val="28"/>
        </w:rPr>
        <w:t>[   ]</w:t>
      </w:r>
      <w:r>
        <w:rPr>
          <w:rFonts w:hint="eastAsia" w:eastAsia="仿宋_GB2312"/>
          <w:sz w:val="30"/>
          <w:szCs w:val="28"/>
        </w:rPr>
        <w:t>日创设了</w:t>
      </w:r>
      <w:r>
        <w:rPr>
          <w:rFonts w:eastAsia="仿宋_GB2312"/>
          <w:sz w:val="30"/>
          <w:szCs w:val="28"/>
        </w:rPr>
        <w:t>[   ]</w:t>
      </w:r>
      <w:r>
        <w:rPr>
          <w:rFonts w:hint="eastAsia" w:eastAsia="仿宋_GB2312"/>
          <w:sz w:val="30"/>
          <w:szCs w:val="28"/>
        </w:rPr>
        <w:t>信用保护凭证（以下简称凭证），并在凭证创设说明书（编号</w:t>
      </w:r>
      <w:r>
        <w:rPr>
          <w:rFonts w:eastAsia="仿宋_GB2312"/>
          <w:sz w:val="30"/>
          <w:szCs w:val="28"/>
        </w:rPr>
        <w:t>[   ]</w:t>
      </w:r>
      <w:r>
        <w:rPr>
          <w:rFonts w:hint="eastAsia" w:eastAsia="仿宋_GB2312"/>
          <w:sz w:val="30"/>
          <w:szCs w:val="28"/>
        </w:rPr>
        <w:t>）中对于交易双方权利义务进行了约定。截至本通知发送日，通知方持有</w:t>
      </w:r>
      <w:r>
        <w:rPr>
          <w:rFonts w:eastAsia="仿宋_GB2312"/>
          <w:sz w:val="30"/>
          <w:szCs w:val="28"/>
        </w:rPr>
        <w:t>[   ]</w:t>
      </w:r>
      <w:r>
        <w:rPr>
          <w:rFonts w:hint="eastAsia" w:eastAsia="仿宋_GB2312"/>
          <w:sz w:val="30"/>
          <w:szCs w:val="28"/>
        </w:rPr>
        <w:t>手该凭证。</w:t>
      </w:r>
    </w:p>
    <w:p w14:paraId="1BD3657F">
      <w:pPr>
        <w:spacing w:line="560" w:lineRule="exact"/>
        <w:rPr>
          <w:rFonts w:eastAsia="仿宋_GB2312"/>
          <w:sz w:val="30"/>
          <w:szCs w:val="28"/>
        </w:rPr>
      </w:pPr>
    </w:p>
    <w:p w14:paraId="6FA1BFCA">
      <w:pPr>
        <w:spacing w:line="560" w:lineRule="exact"/>
        <w:rPr>
          <w:rFonts w:eastAsia="仿宋_GB2312"/>
          <w:sz w:val="30"/>
          <w:szCs w:val="28"/>
        </w:rPr>
      </w:pPr>
      <w:r>
        <w:rPr>
          <w:rFonts w:hint="eastAsia" w:eastAsia="仿宋_GB2312"/>
          <w:sz w:val="30"/>
          <w:szCs w:val="28"/>
        </w:rPr>
        <w:t>本通知构成前述凭证所指的信用事件通知。除非本通知另有定义，该凭证创设说明书中定义的术语在本通知中具有相同的含义。</w:t>
      </w:r>
    </w:p>
    <w:p w14:paraId="46C73506">
      <w:pPr>
        <w:spacing w:line="560" w:lineRule="exact"/>
        <w:rPr>
          <w:rFonts w:eastAsia="仿宋_GB2312"/>
          <w:sz w:val="30"/>
          <w:szCs w:val="28"/>
        </w:rPr>
      </w:pPr>
    </w:p>
    <w:p w14:paraId="77B699C7">
      <w:pPr>
        <w:spacing w:line="560" w:lineRule="exact"/>
        <w:rPr>
          <w:rFonts w:eastAsia="仿宋_GB2312"/>
          <w:sz w:val="30"/>
          <w:szCs w:val="28"/>
        </w:rPr>
      </w:pPr>
      <w:r>
        <w:rPr>
          <w:rFonts w:hint="eastAsia" w:eastAsia="仿宋_GB2312"/>
          <w:sz w:val="30"/>
          <w:szCs w:val="28"/>
        </w:rPr>
        <w:t>我方作为通知方，特此通知贵方，</w:t>
      </w:r>
      <w:r>
        <w:rPr>
          <w:rFonts w:eastAsia="仿宋_GB2312"/>
          <w:sz w:val="30"/>
          <w:szCs w:val="28"/>
        </w:rPr>
        <w:t>[</w:t>
      </w:r>
      <w:r>
        <w:rPr>
          <w:rFonts w:hint="eastAsia" w:eastAsia="仿宋_GB2312"/>
          <w:sz w:val="30"/>
          <w:szCs w:val="28"/>
        </w:rPr>
        <w:t>请填入参考实体及</w:t>
      </w:r>
      <w:r>
        <w:rPr>
          <w:rFonts w:eastAsia="仿宋_GB2312"/>
          <w:sz w:val="30"/>
          <w:szCs w:val="28"/>
        </w:rPr>
        <w:t>/</w:t>
      </w:r>
      <w:r>
        <w:rPr>
          <w:rFonts w:hint="eastAsia" w:eastAsia="仿宋_GB2312"/>
          <w:sz w:val="30"/>
          <w:szCs w:val="28"/>
        </w:rPr>
        <w:t>或满足特定债务种类和债务特征的债务的名称及信息</w:t>
      </w:r>
      <w:r>
        <w:rPr>
          <w:rFonts w:eastAsia="仿宋_GB2312"/>
          <w:sz w:val="30"/>
          <w:szCs w:val="28"/>
        </w:rPr>
        <w:t>]</w:t>
      </w:r>
      <w:r>
        <w:rPr>
          <w:rFonts w:hint="eastAsia" w:eastAsia="仿宋_GB2312"/>
          <w:sz w:val="30"/>
          <w:szCs w:val="28"/>
        </w:rPr>
        <w:t>于</w:t>
      </w:r>
      <w:r>
        <w:rPr>
          <w:rFonts w:eastAsia="仿宋_GB2312"/>
          <w:sz w:val="30"/>
          <w:szCs w:val="28"/>
        </w:rPr>
        <w:t>[ ]</w:t>
      </w:r>
      <w:r>
        <w:rPr>
          <w:rFonts w:hint="eastAsia" w:eastAsia="仿宋_GB2312"/>
          <w:sz w:val="30"/>
          <w:szCs w:val="28"/>
        </w:rPr>
        <w:t>年</w:t>
      </w:r>
      <w:r>
        <w:rPr>
          <w:rFonts w:eastAsia="仿宋_GB2312"/>
          <w:sz w:val="30"/>
          <w:szCs w:val="28"/>
        </w:rPr>
        <w:t>[ ]</w:t>
      </w:r>
      <w:r>
        <w:rPr>
          <w:rFonts w:hint="eastAsia" w:eastAsia="仿宋_GB2312"/>
          <w:sz w:val="30"/>
          <w:szCs w:val="28"/>
        </w:rPr>
        <w:t>月</w:t>
      </w:r>
      <w:r>
        <w:rPr>
          <w:rFonts w:eastAsia="仿宋_GB2312"/>
          <w:sz w:val="30"/>
          <w:szCs w:val="28"/>
        </w:rPr>
        <w:t>[ ]</w:t>
      </w:r>
      <w:r>
        <w:rPr>
          <w:rFonts w:hint="eastAsia" w:eastAsia="仿宋_GB2312"/>
          <w:sz w:val="30"/>
          <w:szCs w:val="28"/>
        </w:rPr>
        <w:t>日或其前后发生了一项</w:t>
      </w:r>
      <w:r>
        <w:rPr>
          <w:rFonts w:eastAsia="仿宋_GB2312"/>
          <w:sz w:val="30"/>
          <w:szCs w:val="28"/>
        </w:rPr>
        <w:t>[</w:t>
      </w:r>
      <w:r>
        <w:rPr>
          <w:rFonts w:hint="eastAsia" w:eastAsia="仿宋_GB2312"/>
          <w:sz w:val="30"/>
          <w:szCs w:val="28"/>
        </w:rPr>
        <w:t>请填入适用信用事件的种类</w:t>
      </w:r>
      <w:r>
        <w:rPr>
          <w:rFonts w:eastAsia="仿宋_GB2312"/>
          <w:sz w:val="30"/>
          <w:szCs w:val="28"/>
        </w:rPr>
        <w:t>]</w:t>
      </w:r>
      <w:r>
        <w:rPr>
          <w:rFonts w:hint="eastAsia" w:eastAsia="仿宋_GB2312"/>
          <w:sz w:val="30"/>
          <w:szCs w:val="28"/>
        </w:rPr>
        <w:t>信用事件，其具体情况如下：</w:t>
      </w:r>
      <w:r>
        <w:rPr>
          <w:rFonts w:eastAsia="仿宋_GB2312"/>
          <w:sz w:val="30"/>
          <w:szCs w:val="28"/>
        </w:rPr>
        <w:t>[</w:t>
      </w:r>
      <w:r>
        <w:rPr>
          <w:rFonts w:hint="eastAsia" w:eastAsia="仿宋_GB2312"/>
          <w:sz w:val="30"/>
          <w:szCs w:val="28"/>
        </w:rPr>
        <w:t>请填入有关信息</w:t>
      </w:r>
      <w:r>
        <w:rPr>
          <w:rFonts w:eastAsia="仿宋_GB2312"/>
          <w:sz w:val="30"/>
          <w:szCs w:val="28"/>
        </w:rPr>
        <w:t>]</w:t>
      </w:r>
      <w:r>
        <w:rPr>
          <w:rFonts w:hint="eastAsia" w:eastAsia="仿宋_GB2312"/>
          <w:sz w:val="30"/>
          <w:szCs w:val="28"/>
        </w:rPr>
        <w:t>。</w:t>
      </w:r>
    </w:p>
    <w:p w14:paraId="39D01D27">
      <w:pPr>
        <w:spacing w:line="560" w:lineRule="exact"/>
        <w:rPr>
          <w:rFonts w:eastAsia="仿宋_GB2312"/>
          <w:sz w:val="30"/>
          <w:szCs w:val="28"/>
        </w:rPr>
      </w:pPr>
    </w:p>
    <w:p w14:paraId="287653FE">
      <w:pPr>
        <w:spacing w:line="560" w:lineRule="exact"/>
        <w:rPr>
          <w:rFonts w:eastAsia="仿宋_GB2312"/>
          <w:sz w:val="30"/>
          <w:szCs w:val="28"/>
        </w:rPr>
      </w:pPr>
      <w:r>
        <w:rPr>
          <w:rFonts w:hint="eastAsia" w:eastAsia="仿宋_GB2312"/>
          <w:sz w:val="30"/>
          <w:szCs w:val="28"/>
        </w:rPr>
        <w:t>通知方（印章）：</w:t>
      </w:r>
    </w:p>
    <w:p w14:paraId="5F79693D">
      <w:pPr>
        <w:spacing w:line="560" w:lineRule="exact"/>
        <w:rPr>
          <w:rFonts w:eastAsia="仿宋_GB2312"/>
          <w:sz w:val="30"/>
          <w:szCs w:val="28"/>
        </w:rPr>
      </w:pPr>
      <w:r>
        <w:rPr>
          <w:rFonts w:hint="eastAsia" w:eastAsia="仿宋_GB2312"/>
          <w:sz w:val="30"/>
          <w:szCs w:val="28"/>
        </w:rPr>
        <w:t>法定代表人（授权代理人）签字：</w:t>
      </w:r>
      <w:r>
        <w:rPr>
          <w:rFonts w:eastAsia="仿宋_GB2312"/>
          <w:sz w:val="30"/>
          <w:szCs w:val="28"/>
        </w:rPr>
        <w:t xml:space="preserve"> </w:t>
      </w:r>
    </w:p>
    <w:p w14:paraId="28ED4331">
      <w:pPr>
        <w:spacing w:line="560" w:lineRule="exact"/>
        <w:rPr>
          <w:rFonts w:eastAsia="仿宋_GB2312"/>
          <w:sz w:val="30"/>
          <w:szCs w:val="28"/>
        </w:rPr>
      </w:pPr>
      <w:r>
        <w:rPr>
          <w:rFonts w:hint="eastAsia" w:eastAsia="仿宋_GB2312"/>
          <w:sz w:val="30"/>
          <w:szCs w:val="28"/>
        </w:rPr>
        <w:t>信用事件通知日期：</w:t>
      </w:r>
    </w:p>
    <w:p w14:paraId="3A728EA8">
      <w:pPr>
        <w:spacing w:line="560" w:lineRule="exact"/>
        <w:rPr>
          <w:rFonts w:eastAsia="仿宋_GB2312"/>
          <w:sz w:val="30"/>
          <w:szCs w:val="28"/>
        </w:rPr>
      </w:pPr>
    </w:p>
    <w:p w14:paraId="0CE623DE">
      <w:pPr>
        <w:spacing w:line="560" w:lineRule="exact"/>
        <w:rPr>
          <w:rFonts w:eastAsia="仿宋_GB2312"/>
          <w:sz w:val="30"/>
          <w:szCs w:val="28"/>
        </w:rPr>
      </w:pPr>
    </w:p>
    <w:p w14:paraId="2FD0EF60">
      <w:pPr>
        <w:spacing w:line="560" w:lineRule="exact"/>
        <w:rPr>
          <w:rFonts w:eastAsia="仿宋_GB2312"/>
          <w:sz w:val="30"/>
          <w:szCs w:val="28"/>
        </w:rPr>
      </w:pPr>
    </w:p>
    <w:p w14:paraId="2518EB67">
      <w:pPr>
        <w:spacing w:line="560" w:lineRule="exact"/>
        <w:rPr>
          <w:rFonts w:eastAsia="仿宋_GB2312"/>
          <w:sz w:val="30"/>
          <w:szCs w:val="28"/>
        </w:rPr>
      </w:pPr>
    </w:p>
    <w:p w14:paraId="0B154158">
      <w:pPr>
        <w:spacing w:line="560" w:lineRule="exact"/>
        <w:rPr>
          <w:rFonts w:eastAsia="仿宋_GB2312"/>
          <w:b/>
          <w:sz w:val="30"/>
          <w:szCs w:val="28"/>
        </w:rPr>
      </w:pPr>
      <w:r>
        <w:rPr>
          <w:rFonts w:hint="eastAsia" w:eastAsia="仿宋_GB2312"/>
          <w:b/>
          <w:sz w:val="30"/>
          <w:szCs w:val="28"/>
        </w:rPr>
        <w:t>凭证版本（卖方版本）：</w:t>
      </w:r>
    </w:p>
    <w:p w14:paraId="1773F905">
      <w:pPr>
        <w:spacing w:line="560" w:lineRule="exact"/>
        <w:rPr>
          <w:rFonts w:eastAsia="仿宋_GB2312"/>
          <w:sz w:val="30"/>
          <w:szCs w:val="28"/>
        </w:rPr>
      </w:pPr>
      <w:r>
        <w:rPr>
          <w:rFonts w:hint="eastAsia" w:eastAsia="仿宋_GB2312"/>
          <w:sz w:val="30"/>
          <w:szCs w:val="28"/>
        </w:rPr>
        <w:t>事由：我公司于</w:t>
      </w:r>
      <w:r>
        <w:rPr>
          <w:rFonts w:eastAsia="仿宋_GB2312"/>
          <w:sz w:val="30"/>
          <w:szCs w:val="28"/>
        </w:rPr>
        <w:t>[   ]</w:t>
      </w:r>
      <w:r>
        <w:rPr>
          <w:rFonts w:hint="eastAsia" w:eastAsia="仿宋_GB2312"/>
          <w:sz w:val="30"/>
          <w:szCs w:val="28"/>
        </w:rPr>
        <w:t>年</w:t>
      </w:r>
      <w:r>
        <w:rPr>
          <w:rFonts w:eastAsia="仿宋_GB2312"/>
          <w:sz w:val="30"/>
          <w:szCs w:val="28"/>
        </w:rPr>
        <w:t>[   ]</w:t>
      </w:r>
      <w:r>
        <w:rPr>
          <w:rFonts w:hint="eastAsia" w:eastAsia="仿宋_GB2312"/>
          <w:sz w:val="30"/>
          <w:szCs w:val="28"/>
        </w:rPr>
        <w:t>月</w:t>
      </w:r>
      <w:r>
        <w:rPr>
          <w:rFonts w:eastAsia="仿宋_GB2312"/>
          <w:sz w:val="30"/>
          <w:szCs w:val="28"/>
        </w:rPr>
        <w:t>[   ]</w:t>
      </w:r>
      <w:r>
        <w:rPr>
          <w:rFonts w:hint="eastAsia" w:eastAsia="仿宋_GB2312"/>
          <w:sz w:val="30"/>
          <w:szCs w:val="28"/>
        </w:rPr>
        <w:t>日创设了</w:t>
      </w:r>
      <w:r>
        <w:rPr>
          <w:rFonts w:eastAsia="仿宋_GB2312"/>
          <w:sz w:val="30"/>
          <w:szCs w:val="28"/>
        </w:rPr>
        <w:t>[   ]</w:t>
      </w:r>
      <w:r>
        <w:rPr>
          <w:rFonts w:hint="eastAsia" w:eastAsia="仿宋_GB2312"/>
          <w:sz w:val="30"/>
          <w:szCs w:val="28"/>
        </w:rPr>
        <w:t>信用保护凭证（以下简称凭证），并在凭证创设说明书（编号</w:t>
      </w:r>
      <w:r>
        <w:rPr>
          <w:rFonts w:eastAsia="仿宋_GB2312"/>
          <w:sz w:val="30"/>
          <w:szCs w:val="28"/>
        </w:rPr>
        <w:t>[   ]</w:t>
      </w:r>
      <w:r>
        <w:rPr>
          <w:rFonts w:hint="eastAsia" w:eastAsia="仿宋_GB2312"/>
          <w:sz w:val="30"/>
          <w:szCs w:val="28"/>
        </w:rPr>
        <w:t>）中对于交易双方权利义务进行了约定。</w:t>
      </w:r>
    </w:p>
    <w:p w14:paraId="5825F3F4">
      <w:pPr>
        <w:spacing w:line="560" w:lineRule="exact"/>
        <w:rPr>
          <w:rFonts w:eastAsia="仿宋_GB2312"/>
          <w:sz w:val="30"/>
          <w:szCs w:val="28"/>
        </w:rPr>
      </w:pPr>
    </w:p>
    <w:p w14:paraId="74B9069E">
      <w:pPr>
        <w:spacing w:line="560" w:lineRule="exact"/>
        <w:rPr>
          <w:rFonts w:eastAsia="仿宋_GB2312"/>
          <w:sz w:val="30"/>
          <w:szCs w:val="28"/>
        </w:rPr>
      </w:pPr>
      <w:r>
        <w:rPr>
          <w:rFonts w:hint="eastAsia" w:eastAsia="仿宋_GB2312"/>
          <w:sz w:val="30"/>
          <w:szCs w:val="28"/>
        </w:rPr>
        <w:t>本通知构成前述凭证所指的信用事件通知。除非本通知另有定义，该凭证创设说明书中定义的术语在本通知中具有相同的含义。</w:t>
      </w:r>
    </w:p>
    <w:p w14:paraId="37D60E83">
      <w:pPr>
        <w:spacing w:line="560" w:lineRule="exact"/>
        <w:rPr>
          <w:rFonts w:eastAsia="仿宋_GB2312"/>
          <w:sz w:val="30"/>
          <w:szCs w:val="28"/>
        </w:rPr>
      </w:pPr>
    </w:p>
    <w:p w14:paraId="31907D47">
      <w:pPr>
        <w:spacing w:line="560" w:lineRule="exact"/>
        <w:rPr>
          <w:rFonts w:eastAsia="仿宋_GB2312"/>
          <w:sz w:val="30"/>
          <w:szCs w:val="28"/>
        </w:rPr>
      </w:pPr>
      <w:r>
        <w:rPr>
          <w:rFonts w:hint="eastAsia" w:eastAsia="仿宋_GB2312"/>
          <w:sz w:val="30"/>
          <w:szCs w:val="28"/>
        </w:rPr>
        <w:t>我方作为通知方，特此通知凭证投资者，</w:t>
      </w:r>
      <w:r>
        <w:rPr>
          <w:rFonts w:eastAsia="仿宋_GB2312"/>
          <w:sz w:val="30"/>
          <w:szCs w:val="28"/>
        </w:rPr>
        <w:t>[</w:t>
      </w:r>
      <w:r>
        <w:rPr>
          <w:rFonts w:hint="eastAsia" w:eastAsia="仿宋_GB2312"/>
          <w:sz w:val="30"/>
          <w:szCs w:val="28"/>
        </w:rPr>
        <w:t>请填入参考实体及</w:t>
      </w:r>
      <w:r>
        <w:rPr>
          <w:rFonts w:eastAsia="仿宋_GB2312"/>
          <w:sz w:val="30"/>
          <w:szCs w:val="28"/>
        </w:rPr>
        <w:t>/</w:t>
      </w:r>
      <w:r>
        <w:rPr>
          <w:rFonts w:hint="eastAsia" w:eastAsia="仿宋_GB2312"/>
          <w:sz w:val="30"/>
          <w:szCs w:val="28"/>
        </w:rPr>
        <w:t>或满足特定债务种类和债务特征的债务的名称及信息</w:t>
      </w:r>
      <w:r>
        <w:rPr>
          <w:rFonts w:eastAsia="仿宋_GB2312"/>
          <w:sz w:val="30"/>
          <w:szCs w:val="28"/>
        </w:rPr>
        <w:t>]</w:t>
      </w:r>
      <w:r>
        <w:rPr>
          <w:rFonts w:hint="eastAsia" w:eastAsia="仿宋_GB2312"/>
          <w:sz w:val="30"/>
          <w:szCs w:val="28"/>
        </w:rPr>
        <w:t>于</w:t>
      </w:r>
      <w:r>
        <w:rPr>
          <w:rFonts w:eastAsia="仿宋_GB2312"/>
          <w:sz w:val="30"/>
          <w:szCs w:val="28"/>
        </w:rPr>
        <w:t>[ ]</w:t>
      </w:r>
      <w:r>
        <w:rPr>
          <w:rFonts w:hint="eastAsia" w:eastAsia="仿宋_GB2312"/>
          <w:sz w:val="30"/>
          <w:szCs w:val="28"/>
        </w:rPr>
        <w:t>年</w:t>
      </w:r>
      <w:r>
        <w:rPr>
          <w:rFonts w:eastAsia="仿宋_GB2312"/>
          <w:sz w:val="30"/>
          <w:szCs w:val="28"/>
        </w:rPr>
        <w:t>[ ]</w:t>
      </w:r>
      <w:r>
        <w:rPr>
          <w:rFonts w:hint="eastAsia" w:eastAsia="仿宋_GB2312"/>
          <w:sz w:val="30"/>
          <w:szCs w:val="28"/>
        </w:rPr>
        <w:t>月</w:t>
      </w:r>
      <w:r>
        <w:rPr>
          <w:rFonts w:eastAsia="仿宋_GB2312"/>
          <w:sz w:val="30"/>
          <w:szCs w:val="28"/>
        </w:rPr>
        <w:t>[ ]</w:t>
      </w:r>
      <w:r>
        <w:rPr>
          <w:rFonts w:hint="eastAsia" w:eastAsia="仿宋_GB2312"/>
          <w:sz w:val="30"/>
          <w:szCs w:val="28"/>
        </w:rPr>
        <w:t>日或其前后发生了一项</w:t>
      </w:r>
      <w:r>
        <w:rPr>
          <w:rFonts w:eastAsia="仿宋_GB2312"/>
          <w:sz w:val="30"/>
          <w:szCs w:val="28"/>
        </w:rPr>
        <w:t>[</w:t>
      </w:r>
      <w:r>
        <w:rPr>
          <w:rFonts w:hint="eastAsia" w:eastAsia="仿宋_GB2312"/>
          <w:sz w:val="30"/>
          <w:szCs w:val="28"/>
        </w:rPr>
        <w:t>请填入适用信用事件的种类</w:t>
      </w:r>
      <w:r>
        <w:rPr>
          <w:rFonts w:eastAsia="仿宋_GB2312"/>
          <w:sz w:val="30"/>
          <w:szCs w:val="28"/>
        </w:rPr>
        <w:t>]</w:t>
      </w:r>
      <w:r>
        <w:rPr>
          <w:rFonts w:hint="eastAsia" w:eastAsia="仿宋_GB2312"/>
          <w:sz w:val="30"/>
          <w:szCs w:val="28"/>
        </w:rPr>
        <w:t>信用事件，其具体情况如下：</w:t>
      </w:r>
      <w:r>
        <w:rPr>
          <w:rFonts w:eastAsia="仿宋_GB2312"/>
          <w:sz w:val="30"/>
          <w:szCs w:val="28"/>
        </w:rPr>
        <w:t>[</w:t>
      </w:r>
      <w:r>
        <w:rPr>
          <w:rFonts w:hint="eastAsia" w:eastAsia="仿宋_GB2312"/>
          <w:sz w:val="30"/>
          <w:szCs w:val="28"/>
        </w:rPr>
        <w:t>请填入有关信息</w:t>
      </w:r>
      <w:r>
        <w:rPr>
          <w:rFonts w:eastAsia="仿宋_GB2312"/>
          <w:sz w:val="30"/>
          <w:szCs w:val="28"/>
        </w:rPr>
        <w:t>]</w:t>
      </w:r>
      <w:r>
        <w:rPr>
          <w:rFonts w:hint="eastAsia" w:eastAsia="仿宋_GB2312"/>
          <w:sz w:val="30"/>
          <w:szCs w:val="28"/>
        </w:rPr>
        <w:t>。</w:t>
      </w:r>
    </w:p>
    <w:p w14:paraId="4B3EC30E">
      <w:pPr>
        <w:spacing w:line="560" w:lineRule="exact"/>
        <w:rPr>
          <w:rFonts w:eastAsia="仿宋_GB2312"/>
          <w:sz w:val="30"/>
          <w:szCs w:val="28"/>
        </w:rPr>
      </w:pPr>
    </w:p>
    <w:p w14:paraId="6373B3C6">
      <w:pPr>
        <w:spacing w:line="560" w:lineRule="exact"/>
        <w:rPr>
          <w:rFonts w:eastAsia="仿宋_GB2312"/>
          <w:sz w:val="30"/>
          <w:szCs w:val="28"/>
        </w:rPr>
      </w:pPr>
    </w:p>
    <w:p w14:paraId="0E9CF528">
      <w:pPr>
        <w:spacing w:line="560" w:lineRule="exact"/>
        <w:rPr>
          <w:rFonts w:eastAsia="仿宋_GB2312"/>
          <w:sz w:val="30"/>
          <w:szCs w:val="28"/>
        </w:rPr>
      </w:pPr>
      <w:r>
        <w:rPr>
          <w:rFonts w:hint="eastAsia" w:eastAsia="仿宋_GB2312"/>
          <w:sz w:val="30"/>
          <w:szCs w:val="28"/>
        </w:rPr>
        <w:t>通知方（印章）：</w:t>
      </w:r>
    </w:p>
    <w:p w14:paraId="67EDB948">
      <w:pPr>
        <w:spacing w:line="560" w:lineRule="exact"/>
        <w:rPr>
          <w:rFonts w:eastAsia="仿宋_GB2312"/>
          <w:sz w:val="30"/>
          <w:szCs w:val="28"/>
        </w:rPr>
      </w:pPr>
      <w:r>
        <w:rPr>
          <w:rFonts w:hint="eastAsia" w:eastAsia="仿宋_GB2312"/>
          <w:sz w:val="30"/>
          <w:szCs w:val="28"/>
        </w:rPr>
        <w:t>法定代表人（授权代理人）签字：</w:t>
      </w:r>
    </w:p>
    <w:p w14:paraId="5E642D55">
      <w:pPr>
        <w:widowControl/>
        <w:jc w:val="left"/>
        <w:rPr>
          <w:rFonts w:eastAsia="仿宋_GB2312"/>
          <w:sz w:val="30"/>
          <w:szCs w:val="28"/>
        </w:rPr>
      </w:pPr>
      <w:r>
        <w:rPr>
          <w:rFonts w:hint="eastAsia" w:eastAsia="仿宋_GB2312"/>
          <w:sz w:val="30"/>
          <w:szCs w:val="28"/>
        </w:rPr>
        <w:t>信用事件通知日期：</w:t>
      </w:r>
    </w:p>
    <w:p w14:paraId="36DA9AC8">
      <w:pPr>
        <w:widowControl/>
        <w:jc w:val="left"/>
        <w:rPr>
          <w:rFonts w:eastAsia="仿宋_GB2312"/>
          <w:sz w:val="30"/>
          <w:szCs w:val="28"/>
        </w:rPr>
      </w:pPr>
    </w:p>
    <w:p w14:paraId="5B7F1598">
      <w:r>
        <w:br w:type="page"/>
      </w:r>
    </w:p>
    <w:p w14:paraId="6A148018">
      <w:pPr>
        <w:widowControl/>
        <w:jc w:val="left"/>
        <w:outlineLvl w:val="1"/>
        <w:rPr>
          <w:rFonts w:ascii="仿宋_GB2312" w:hAnsi="黑体" w:eastAsia="仿宋_GB2312"/>
          <w:b/>
          <w:sz w:val="30"/>
          <w:szCs w:val="30"/>
        </w:rPr>
      </w:pPr>
      <w:bookmarkStart w:id="4165" w:name="_Toc1487816396"/>
      <w:bookmarkStart w:id="4166" w:name="_Toc163979572"/>
      <w:bookmarkStart w:id="4167" w:name="_Toc151137114"/>
      <w:bookmarkStart w:id="4168" w:name="_Toc1529934001"/>
      <w:bookmarkStart w:id="4169" w:name="_Toc1374098022"/>
      <w:bookmarkStart w:id="4170" w:name="_Toc1219093052"/>
      <w:bookmarkStart w:id="4171" w:name="_Toc1653665526"/>
      <w:r>
        <w:rPr>
          <w:rFonts w:hint="eastAsia" w:ascii="仿宋_GB2312" w:hAnsi="黑体" w:eastAsia="仿宋_GB2312"/>
          <w:b/>
          <w:sz w:val="30"/>
          <w:szCs w:val="30"/>
        </w:rPr>
        <w:t>附件31 信用保护工具公共信息通知书参考模板</w:t>
      </w:r>
      <w:bookmarkEnd w:id="4165"/>
      <w:bookmarkEnd w:id="4166"/>
      <w:bookmarkEnd w:id="4167"/>
      <w:bookmarkEnd w:id="4168"/>
      <w:bookmarkEnd w:id="4169"/>
      <w:bookmarkEnd w:id="4170"/>
      <w:bookmarkEnd w:id="4171"/>
    </w:p>
    <w:p w14:paraId="373ED10D">
      <w:pPr>
        <w:spacing w:line="600" w:lineRule="exact"/>
        <w:jc w:val="left"/>
        <w:rPr>
          <w:rFonts w:ascii="黑体" w:hAnsi="黑体" w:eastAsia="黑体"/>
          <w:b/>
          <w:kern w:val="0"/>
          <w:sz w:val="44"/>
          <w:szCs w:val="44"/>
          <w:lang w:bidi="en-US"/>
        </w:rPr>
      </w:pPr>
    </w:p>
    <w:p w14:paraId="1E18CC86">
      <w:pPr>
        <w:spacing w:line="560" w:lineRule="exact"/>
        <w:jc w:val="center"/>
        <w:rPr>
          <w:rFonts w:eastAsia="仿宋_GB2312"/>
          <w:b/>
          <w:sz w:val="28"/>
          <w:szCs w:val="28"/>
        </w:rPr>
      </w:pPr>
      <w:r>
        <w:rPr>
          <w:rFonts w:hint="eastAsia" w:ascii="黑体" w:hAnsi="黑体" w:eastAsia="黑体"/>
          <w:b/>
          <w:kern w:val="0"/>
          <w:sz w:val="44"/>
          <w:szCs w:val="44"/>
          <w:lang w:bidi="en-US"/>
        </w:rPr>
        <w:t>信用保护工具公共信息通知书</w:t>
      </w:r>
    </w:p>
    <w:p w14:paraId="526DDB67">
      <w:pPr>
        <w:spacing w:line="560" w:lineRule="exact"/>
        <w:rPr>
          <w:rFonts w:eastAsia="仿宋_GB2312"/>
          <w:sz w:val="30"/>
          <w:szCs w:val="28"/>
          <w:highlight w:val="none"/>
        </w:rPr>
      </w:pPr>
      <w:r>
        <w:rPr>
          <w:rFonts w:hint="eastAsia" w:eastAsia="仿宋_GB2312"/>
          <w:b/>
          <w:sz w:val="30"/>
          <w:szCs w:val="28"/>
          <w:highlight w:val="none"/>
        </w:rPr>
        <w:t>合约版本：</w:t>
      </w:r>
    </w:p>
    <w:p w14:paraId="2925D201">
      <w:pPr>
        <w:spacing w:line="560" w:lineRule="exact"/>
        <w:rPr>
          <w:rFonts w:eastAsia="仿宋_GB2312"/>
          <w:sz w:val="30"/>
          <w:szCs w:val="28"/>
        </w:rPr>
      </w:pPr>
      <w:r>
        <w:rPr>
          <w:rFonts w:hint="eastAsia" w:eastAsia="仿宋_GB2312"/>
          <w:sz w:val="30"/>
          <w:szCs w:val="28"/>
        </w:rPr>
        <w:t>收件方：</w:t>
      </w:r>
      <w:r>
        <w:rPr>
          <w:rFonts w:eastAsia="仿宋_GB2312"/>
          <w:sz w:val="30"/>
          <w:szCs w:val="28"/>
        </w:rPr>
        <w:t>[</w:t>
      </w:r>
      <w:r>
        <w:rPr>
          <w:rFonts w:hint="eastAsia" w:eastAsia="仿宋_GB2312"/>
          <w:sz w:val="30"/>
          <w:szCs w:val="28"/>
        </w:rPr>
        <w:t>请填入收件方名称、地址、联系人与联系方式</w:t>
      </w:r>
      <w:r>
        <w:rPr>
          <w:rFonts w:eastAsia="仿宋_GB2312"/>
          <w:sz w:val="30"/>
          <w:szCs w:val="28"/>
        </w:rPr>
        <w:t xml:space="preserve">] </w:t>
      </w:r>
    </w:p>
    <w:p w14:paraId="64D5F56B">
      <w:pPr>
        <w:spacing w:line="560" w:lineRule="exact"/>
        <w:rPr>
          <w:rFonts w:eastAsia="仿宋_GB2312"/>
          <w:sz w:val="30"/>
          <w:szCs w:val="28"/>
        </w:rPr>
      </w:pPr>
      <w:r>
        <w:rPr>
          <w:rFonts w:hint="eastAsia" w:eastAsia="仿宋_GB2312"/>
          <w:sz w:val="30"/>
          <w:szCs w:val="28"/>
        </w:rPr>
        <w:t>通知方：</w:t>
      </w:r>
      <w:r>
        <w:rPr>
          <w:rFonts w:eastAsia="仿宋_GB2312"/>
          <w:sz w:val="30"/>
          <w:szCs w:val="28"/>
        </w:rPr>
        <w:t>[</w:t>
      </w:r>
      <w:r>
        <w:rPr>
          <w:rFonts w:hint="eastAsia" w:eastAsia="仿宋_GB2312"/>
          <w:sz w:val="30"/>
          <w:szCs w:val="28"/>
        </w:rPr>
        <w:t>请填入通知方名称、地址、联系人与联系方式</w:t>
      </w:r>
      <w:r>
        <w:rPr>
          <w:rFonts w:eastAsia="仿宋_GB2312"/>
          <w:sz w:val="30"/>
          <w:szCs w:val="28"/>
        </w:rPr>
        <w:t xml:space="preserve">] </w:t>
      </w:r>
    </w:p>
    <w:p w14:paraId="23578BC3">
      <w:pPr>
        <w:spacing w:line="600" w:lineRule="exact"/>
        <w:jc w:val="left"/>
        <w:rPr>
          <w:rFonts w:ascii="黑体" w:hAnsi="黑体" w:eastAsia="黑体"/>
          <w:b/>
          <w:kern w:val="0"/>
          <w:sz w:val="44"/>
          <w:szCs w:val="44"/>
          <w:lang w:bidi="en-US"/>
        </w:rPr>
      </w:pPr>
    </w:p>
    <w:p w14:paraId="131A6695">
      <w:pPr>
        <w:spacing w:line="560" w:lineRule="exact"/>
        <w:rPr>
          <w:rFonts w:eastAsia="仿宋_GB2312"/>
          <w:sz w:val="30"/>
          <w:szCs w:val="28"/>
        </w:rPr>
      </w:pPr>
      <w:r>
        <w:rPr>
          <w:rFonts w:hint="eastAsia" w:eastAsia="仿宋_GB2312"/>
          <w:sz w:val="30"/>
          <w:szCs w:val="28"/>
        </w:rPr>
        <w:t>事由：签署日期为</w:t>
      </w:r>
      <w:r>
        <w:rPr>
          <w:rFonts w:eastAsia="仿宋_GB2312"/>
          <w:sz w:val="30"/>
          <w:szCs w:val="28"/>
        </w:rPr>
        <w:t>[   ]</w:t>
      </w:r>
      <w:r>
        <w:rPr>
          <w:rFonts w:hint="eastAsia" w:eastAsia="仿宋_GB2312"/>
          <w:sz w:val="30"/>
          <w:szCs w:val="28"/>
        </w:rPr>
        <w:t>年</w:t>
      </w:r>
      <w:r>
        <w:rPr>
          <w:rFonts w:eastAsia="仿宋_GB2312"/>
          <w:sz w:val="30"/>
          <w:szCs w:val="28"/>
        </w:rPr>
        <w:t>[   ]</w:t>
      </w:r>
      <w:r>
        <w:rPr>
          <w:rFonts w:hint="eastAsia" w:eastAsia="仿宋_GB2312"/>
          <w:sz w:val="30"/>
          <w:szCs w:val="28"/>
        </w:rPr>
        <w:t>月</w:t>
      </w:r>
      <w:r>
        <w:rPr>
          <w:rFonts w:eastAsia="仿宋_GB2312"/>
          <w:sz w:val="30"/>
          <w:szCs w:val="28"/>
        </w:rPr>
        <w:t>[   ]</w:t>
      </w:r>
      <w:r>
        <w:rPr>
          <w:rFonts w:hint="eastAsia" w:eastAsia="仿宋_GB2312"/>
          <w:sz w:val="30"/>
          <w:szCs w:val="28"/>
        </w:rPr>
        <w:t>日的以</w:t>
      </w:r>
      <w:r>
        <w:rPr>
          <w:rFonts w:eastAsia="仿宋_GB2312"/>
          <w:sz w:val="30"/>
          <w:szCs w:val="28"/>
        </w:rPr>
        <w:t>[   ]</w:t>
      </w:r>
      <w:r>
        <w:rPr>
          <w:rFonts w:hint="eastAsia" w:eastAsia="仿宋_GB2312"/>
          <w:sz w:val="30"/>
          <w:szCs w:val="28"/>
        </w:rPr>
        <w:t>为参考实体以</w:t>
      </w:r>
      <w:r>
        <w:rPr>
          <w:rFonts w:eastAsia="仿宋_GB2312"/>
          <w:sz w:val="30"/>
          <w:szCs w:val="28"/>
        </w:rPr>
        <w:t>[   ]</w:t>
      </w:r>
      <w:r>
        <w:rPr>
          <w:rFonts w:hint="eastAsia" w:eastAsia="仿宋_GB2312"/>
          <w:sz w:val="30"/>
          <w:szCs w:val="28"/>
        </w:rPr>
        <w:t>为受保护债务的《</w:t>
      </w:r>
      <w:r>
        <w:rPr>
          <w:rFonts w:eastAsia="仿宋_GB2312"/>
          <w:sz w:val="30"/>
          <w:szCs w:val="28"/>
        </w:rPr>
        <w:t>XXXX</w:t>
      </w:r>
      <w:r>
        <w:rPr>
          <w:rFonts w:hint="eastAsia" w:eastAsia="仿宋_GB2312"/>
          <w:sz w:val="30"/>
          <w:szCs w:val="28"/>
        </w:rPr>
        <w:t>信用保护合约交易确认书》（编号：</w:t>
      </w:r>
      <w:r>
        <w:rPr>
          <w:rFonts w:eastAsia="仿宋_GB2312"/>
          <w:sz w:val="30"/>
          <w:szCs w:val="28"/>
        </w:rPr>
        <w:t>[</w:t>
      </w:r>
      <w:r>
        <w:rPr>
          <w:rFonts w:eastAsia="仿宋_GB2312"/>
          <w:sz w:val="30"/>
          <w:szCs w:val="28"/>
        </w:rPr>
        <w:tab/>
      </w:r>
      <w:r>
        <w:rPr>
          <w:rFonts w:eastAsia="仿宋_GB2312"/>
          <w:sz w:val="30"/>
          <w:szCs w:val="28"/>
        </w:rPr>
        <w:t xml:space="preserve">] </w:t>
      </w:r>
      <w:r>
        <w:rPr>
          <w:rFonts w:hint="eastAsia" w:eastAsia="仿宋_GB2312"/>
          <w:sz w:val="30"/>
          <w:szCs w:val="28"/>
        </w:rPr>
        <w:t>，以下简称《交易确认书》）项下的公共信息通知书。</w:t>
      </w:r>
    </w:p>
    <w:p w14:paraId="38B6E2EC">
      <w:pPr>
        <w:spacing w:line="560" w:lineRule="exact"/>
        <w:rPr>
          <w:rFonts w:eastAsia="仿宋_GB2312"/>
          <w:sz w:val="30"/>
          <w:szCs w:val="28"/>
        </w:rPr>
      </w:pPr>
    </w:p>
    <w:p w14:paraId="45BF6A7B">
      <w:pPr>
        <w:spacing w:line="560" w:lineRule="exact"/>
        <w:rPr>
          <w:rFonts w:eastAsia="仿宋_GB2312"/>
          <w:sz w:val="30"/>
          <w:szCs w:val="28"/>
        </w:rPr>
      </w:pPr>
      <w:r>
        <w:rPr>
          <w:rFonts w:hint="eastAsia" w:eastAsia="仿宋_GB2312"/>
          <w:sz w:val="30"/>
          <w:szCs w:val="28"/>
        </w:rPr>
        <w:t>本通知构成前述《交易确认书》所指的公共信息通知书。除非本</w:t>
      </w:r>
      <w:r>
        <w:rPr>
          <w:rFonts w:eastAsia="仿宋_GB2312"/>
          <w:sz w:val="30"/>
          <w:szCs w:val="28"/>
        </w:rPr>
        <w:t xml:space="preserve"> </w:t>
      </w:r>
      <w:r>
        <w:rPr>
          <w:rFonts w:hint="eastAsia" w:eastAsia="仿宋_GB2312"/>
          <w:sz w:val="30"/>
          <w:szCs w:val="28"/>
        </w:rPr>
        <w:t>通知另有定义，《交易确认书》中定义的术语在本通知中具有相同的含义。</w:t>
      </w:r>
    </w:p>
    <w:p w14:paraId="67FBC523">
      <w:pPr>
        <w:spacing w:line="560" w:lineRule="exact"/>
        <w:rPr>
          <w:rFonts w:eastAsia="仿宋_GB2312"/>
          <w:sz w:val="30"/>
          <w:szCs w:val="28"/>
        </w:rPr>
      </w:pPr>
    </w:p>
    <w:p w14:paraId="6B0E3498">
      <w:pPr>
        <w:spacing w:line="560" w:lineRule="exact"/>
        <w:rPr>
          <w:rFonts w:eastAsia="仿宋_GB2312"/>
          <w:sz w:val="30"/>
          <w:szCs w:val="28"/>
        </w:rPr>
      </w:pPr>
      <w:r>
        <w:rPr>
          <w:rFonts w:hint="eastAsia" w:eastAsia="仿宋_GB2312"/>
          <w:sz w:val="30"/>
          <w:szCs w:val="28"/>
        </w:rPr>
        <w:t>我方作为通知方，特此通知贵方，</w:t>
      </w:r>
      <w:r>
        <w:rPr>
          <w:rFonts w:eastAsia="仿宋_GB2312"/>
          <w:sz w:val="30"/>
          <w:szCs w:val="28"/>
        </w:rPr>
        <w:t>[</w:t>
      </w:r>
      <w:r>
        <w:rPr>
          <w:rFonts w:hint="eastAsia" w:eastAsia="仿宋_GB2312"/>
          <w:sz w:val="30"/>
          <w:szCs w:val="28"/>
        </w:rPr>
        <w:t>请填入参考实体及</w:t>
      </w:r>
      <w:r>
        <w:rPr>
          <w:rFonts w:eastAsia="仿宋_GB2312"/>
          <w:sz w:val="30"/>
          <w:szCs w:val="28"/>
        </w:rPr>
        <w:t>/</w:t>
      </w:r>
      <w:r>
        <w:rPr>
          <w:rFonts w:hint="eastAsia" w:eastAsia="仿宋_GB2312"/>
          <w:sz w:val="30"/>
          <w:szCs w:val="28"/>
        </w:rPr>
        <w:t>或满足特定债务种类和债务特征的债务的名称及信息</w:t>
      </w:r>
      <w:r>
        <w:rPr>
          <w:rFonts w:eastAsia="仿宋_GB2312"/>
          <w:sz w:val="30"/>
          <w:szCs w:val="28"/>
        </w:rPr>
        <w:t>]</w:t>
      </w:r>
      <w:r>
        <w:rPr>
          <w:rFonts w:hint="eastAsia" w:eastAsia="仿宋_GB2312"/>
          <w:sz w:val="30"/>
          <w:szCs w:val="28"/>
        </w:rPr>
        <w:t>于</w:t>
      </w:r>
      <w:r>
        <w:rPr>
          <w:rFonts w:eastAsia="仿宋_GB2312"/>
          <w:sz w:val="30"/>
          <w:szCs w:val="28"/>
        </w:rPr>
        <w:t>[ ]</w:t>
      </w:r>
      <w:r>
        <w:rPr>
          <w:rFonts w:hint="eastAsia" w:eastAsia="仿宋_GB2312"/>
          <w:sz w:val="30"/>
          <w:szCs w:val="28"/>
        </w:rPr>
        <w:t>年</w:t>
      </w:r>
      <w:r>
        <w:rPr>
          <w:rFonts w:eastAsia="仿宋_GB2312"/>
          <w:sz w:val="30"/>
          <w:szCs w:val="28"/>
        </w:rPr>
        <w:t>[ ]</w:t>
      </w:r>
      <w:r>
        <w:rPr>
          <w:rFonts w:hint="eastAsia" w:eastAsia="仿宋_GB2312"/>
          <w:sz w:val="30"/>
          <w:szCs w:val="28"/>
        </w:rPr>
        <w:t>月</w:t>
      </w:r>
      <w:r>
        <w:rPr>
          <w:rFonts w:eastAsia="仿宋_GB2312"/>
          <w:sz w:val="30"/>
          <w:szCs w:val="28"/>
        </w:rPr>
        <w:t>[ ]</w:t>
      </w:r>
      <w:r>
        <w:rPr>
          <w:rFonts w:hint="eastAsia" w:eastAsia="仿宋_GB2312"/>
          <w:sz w:val="30"/>
          <w:szCs w:val="28"/>
        </w:rPr>
        <w:t>日或其前后发生了一项</w:t>
      </w:r>
      <w:r>
        <w:rPr>
          <w:rFonts w:eastAsia="仿宋_GB2312"/>
          <w:sz w:val="30"/>
          <w:szCs w:val="28"/>
        </w:rPr>
        <w:t>[</w:t>
      </w:r>
      <w:r>
        <w:rPr>
          <w:rFonts w:hint="eastAsia" w:eastAsia="仿宋_GB2312"/>
          <w:sz w:val="30"/>
          <w:szCs w:val="28"/>
        </w:rPr>
        <w:t>请填入适用的信用事件种类</w:t>
      </w:r>
      <w:r>
        <w:rPr>
          <w:rFonts w:eastAsia="仿宋_GB2312"/>
          <w:sz w:val="30"/>
          <w:szCs w:val="28"/>
        </w:rPr>
        <w:t>]</w:t>
      </w:r>
      <w:r>
        <w:rPr>
          <w:rFonts w:hint="eastAsia" w:eastAsia="仿宋_GB2312"/>
          <w:sz w:val="30"/>
          <w:szCs w:val="28"/>
        </w:rPr>
        <w:t>。</w:t>
      </w:r>
    </w:p>
    <w:p w14:paraId="0D79B6FB">
      <w:pPr>
        <w:spacing w:line="560" w:lineRule="exact"/>
        <w:rPr>
          <w:rFonts w:eastAsia="仿宋_GB2312"/>
          <w:sz w:val="30"/>
          <w:szCs w:val="28"/>
        </w:rPr>
      </w:pPr>
    </w:p>
    <w:p w14:paraId="16D6CCB8">
      <w:pPr>
        <w:spacing w:line="560" w:lineRule="exact"/>
        <w:rPr>
          <w:rFonts w:eastAsia="仿宋_GB2312"/>
          <w:sz w:val="30"/>
          <w:szCs w:val="28"/>
        </w:rPr>
      </w:pPr>
      <w:r>
        <w:rPr>
          <w:rFonts w:hint="eastAsia" w:eastAsia="仿宋_GB2312"/>
          <w:sz w:val="30"/>
          <w:szCs w:val="28"/>
        </w:rPr>
        <w:t>本通知作为该</w:t>
      </w:r>
      <w:r>
        <w:rPr>
          <w:rFonts w:eastAsia="仿宋_GB2312"/>
          <w:sz w:val="30"/>
          <w:szCs w:val="28"/>
        </w:rPr>
        <w:t>[</w:t>
      </w:r>
      <w:r>
        <w:rPr>
          <w:rFonts w:hint="eastAsia" w:eastAsia="仿宋_GB2312"/>
          <w:sz w:val="30"/>
          <w:szCs w:val="28"/>
        </w:rPr>
        <w:t>信用事件</w:t>
      </w:r>
      <w:r>
        <w:rPr>
          <w:rFonts w:eastAsia="仿宋_GB2312"/>
          <w:sz w:val="30"/>
          <w:szCs w:val="28"/>
        </w:rPr>
        <w:t>]</w:t>
      </w:r>
      <w:r>
        <w:rPr>
          <w:rFonts w:hint="eastAsia" w:eastAsia="仿宋_GB2312"/>
          <w:sz w:val="30"/>
          <w:szCs w:val="28"/>
        </w:rPr>
        <w:t>的公共信息通知书，有关公开信息的情况如下：</w:t>
      </w:r>
      <w:r>
        <w:rPr>
          <w:rFonts w:eastAsia="仿宋_GB2312"/>
          <w:sz w:val="30"/>
          <w:szCs w:val="28"/>
        </w:rPr>
        <w:t>[</w:t>
      </w:r>
      <w:r>
        <w:rPr>
          <w:rFonts w:hint="eastAsia" w:eastAsia="仿宋_GB2312"/>
          <w:sz w:val="30"/>
          <w:szCs w:val="28"/>
        </w:rPr>
        <w:t>请填入获得的有关公开信息</w:t>
      </w:r>
      <w:r>
        <w:rPr>
          <w:rFonts w:eastAsia="仿宋_GB2312"/>
          <w:sz w:val="30"/>
          <w:szCs w:val="28"/>
        </w:rPr>
        <w:t>]</w:t>
      </w:r>
      <w:r>
        <w:rPr>
          <w:rFonts w:hint="eastAsia" w:eastAsia="仿宋_GB2312"/>
          <w:sz w:val="30"/>
          <w:szCs w:val="28"/>
        </w:rPr>
        <w:t>。</w:t>
      </w:r>
    </w:p>
    <w:p w14:paraId="7905406A">
      <w:pPr>
        <w:spacing w:line="560" w:lineRule="exact"/>
        <w:rPr>
          <w:rFonts w:eastAsia="仿宋_GB2312"/>
          <w:sz w:val="30"/>
          <w:szCs w:val="28"/>
        </w:rPr>
      </w:pPr>
    </w:p>
    <w:p w14:paraId="42E8BF40">
      <w:pPr>
        <w:spacing w:line="560" w:lineRule="exact"/>
        <w:rPr>
          <w:rFonts w:eastAsia="仿宋_GB2312"/>
          <w:sz w:val="30"/>
          <w:szCs w:val="28"/>
        </w:rPr>
      </w:pPr>
      <w:r>
        <w:rPr>
          <w:rFonts w:hint="eastAsia" w:eastAsia="仿宋_GB2312"/>
          <w:sz w:val="30"/>
          <w:szCs w:val="28"/>
        </w:rPr>
        <w:t>通知方（印章）：</w:t>
      </w:r>
    </w:p>
    <w:p w14:paraId="4D72ED17">
      <w:pPr>
        <w:spacing w:line="560" w:lineRule="exact"/>
        <w:rPr>
          <w:rFonts w:eastAsia="仿宋_GB2312"/>
          <w:sz w:val="30"/>
          <w:szCs w:val="28"/>
        </w:rPr>
      </w:pPr>
      <w:r>
        <w:rPr>
          <w:rFonts w:hint="eastAsia" w:eastAsia="仿宋_GB2312"/>
          <w:sz w:val="30"/>
          <w:szCs w:val="28"/>
        </w:rPr>
        <w:t>法定代表人（授权代理人）签字：</w:t>
      </w:r>
    </w:p>
    <w:p w14:paraId="635E5670">
      <w:pPr>
        <w:widowControl/>
        <w:jc w:val="left"/>
        <w:rPr>
          <w:rFonts w:eastAsia="仿宋_GB2312"/>
          <w:sz w:val="30"/>
          <w:szCs w:val="28"/>
        </w:rPr>
      </w:pPr>
      <w:r>
        <w:rPr>
          <w:rFonts w:hint="eastAsia" w:eastAsia="仿宋_GB2312"/>
          <w:sz w:val="30"/>
          <w:szCs w:val="28"/>
        </w:rPr>
        <w:t>公开信息通知日期：</w:t>
      </w:r>
    </w:p>
    <w:p w14:paraId="73ECF06D">
      <w:pPr>
        <w:widowControl/>
        <w:jc w:val="left"/>
        <w:rPr>
          <w:rFonts w:eastAsia="仿宋_GB2312"/>
          <w:sz w:val="30"/>
          <w:szCs w:val="28"/>
        </w:rPr>
      </w:pPr>
      <w:r>
        <w:rPr>
          <w:rFonts w:eastAsia="仿宋_GB2312"/>
          <w:sz w:val="30"/>
          <w:szCs w:val="28"/>
        </w:rPr>
        <w:br w:type="page"/>
      </w:r>
    </w:p>
    <w:p w14:paraId="0DBBE889">
      <w:pPr>
        <w:widowControl/>
        <w:jc w:val="left"/>
        <w:outlineLvl w:val="1"/>
        <w:rPr>
          <w:rFonts w:ascii="仿宋_GB2312" w:hAnsi="黑体" w:eastAsia="仿宋_GB2312"/>
          <w:b/>
          <w:sz w:val="30"/>
          <w:szCs w:val="30"/>
          <w:lang w:bidi="en-US"/>
        </w:rPr>
      </w:pPr>
      <w:bookmarkStart w:id="4172" w:name="_Toc1107884577"/>
      <w:bookmarkStart w:id="4173" w:name="_Toc1736672603"/>
      <w:bookmarkStart w:id="4174" w:name="_Toc541422507"/>
      <w:bookmarkStart w:id="4175" w:name="_Toc1682444490"/>
      <w:bookmarkStart w:id="4176" w:name="_Toc1114475281"/>
      <w:bookmarkStart w:id="4177" w:name="_Toc151137115"/>
      <w:bookmarkStart w:id="4178" w:name="_Toc333741453"/>
      <w:bookmarkStart w:id="4179" w:name="_Toc514051556"/>
      <w:r>
        <w:rPr>
          <w:rFonts w:hint="eastAsia" w:ascii="仿宋_GB2312" w:hAnsi="黑体" w:eastAsia="仿宋_GB2312"/>
          <w:b/>
          <w:sz w:val="30"/>
          <w:szCs w:val="30"/>
        </w:rPr>
        <w:t>附件32 信用保护工具结算通知书参考模板</w:t>
      </w:r>
      <w:bookmarkEnd w:id="4172"/>
      <w:bookmarkEnd w:id="4173"/>
      <w:bookmarkEnd w:id="4174"/>
      <w:bookmarkEnd w:id="4175"/>
      <w:bookmarkEnd w:id="4176"/>
      <w:bookmarkEnd w:id="4177"/>
      <w:bookmarkEnd w:id="4178"/>
    </w:p>
    <w:p w14:paraId="20C4A40C">
      <w:pPr>
        <w:spacing w:line="560" w:lineRule="exact"/>
        <w:jc w:val="center"/>
        <w:rPr>
          <w:rFonts w:ascii="黑体" w:hAnsi="黑体" w:eastAsia="黑体"/>
          <w:b/>
          <w:kern w:val="0"/>
          <w:sz w:val="44"/>
          <w:szCs w:val="44"/>
          <w:lang w:bidi="en-US"/>
        </w:rPr>
      </w:pPr>
    </w:p>
    <w:p w14:paraId="527F0806">
      <w:pPr>
        <w:spacing w:line="560" w:lineRule="exact"/>
        <w:jc w:val="center"/>
        <w:rPr>
          <w:rFonts w:ascii="黑体" w:hAnsi="黑体" w:eastAsia="黑体"/>
          <w:b/>
          <w:kern w:val="0"/>
          <w:sz w:val="44"/>
          <w:szCs w:val="44"/>
          <w:lang w:bidi="en-US"/>
        </w:rPr>
      </w:pPr>
      <w:r>
        <w:rPr>
          <w:rFonts w:hint="eastAsia" w:ascii="黑体" w:hAnsi="黑体" w:eastAsia="黑体"/>
          <w:b/>
          <w:kern w:val="0"/>
          <w:sz w:val="44"/>
          <w:szCs w:val="44"/>
          <w:lang w:bidi="en-US"/>
        </w:rPr>
        <w:t>信用保护工具结算通知书</w:t>
      </w:r>
    </w:p>
    <w:p w14:paraId="014F0D90">
      <w:pPr>
        <w:spacing w:line="560" w:lineRule="exact"/>
        <w:jc w:val="center"/>
        <w:rPr>
          <w:rFonts w:eastAsia="仿宋_GB2312"/>
          <w:sz w:val="30"/>
          <w:szCs w:val="28"/>
        </w:rPr>
      </w:pPr>
    </w:p>
    <w:p w14:paraId="27BD9CA1">
      <w:pPr>
        <w:spacing w:line="560" w:lineRule="exact"/>
        <w:rPr>
          <w:rFonts w:eastAsia="仿宋_GB2312"/>
          <w:b/>
          <w:sz w:val="30"/>
          <w:szCs w:val="28"/>
        </w:rPr>
      </w:pPr>
      <w:r>
        <w:rPr>
          <w:rFonts w:hint="eastAsia" w:eastAsia="仿宋_GB2312"/>
          <w:b/>
          <w:sz w:val="30"/>
          <w:szCs w:val="28"/>
        </w:rPr>
        <w:t>合约版本：</w:t>
      </w:r>
    </w:p>
    <w:p w14:paraId="46572863">
      <w:pPr>
        <w:spacing w:line="560" w:lineRule="exact"/>
        <w:rPr>
          <w:rFonts w:eastAsia="仿宋_GB2312"/>
          <w:sz w:val="30"/>
          <w:szCs w:val="28"/>
        </w:rPr>
      </w:pPr>
      <w:r>
        <w:rPr>
          <w:rFonts w:hint="eastAsia" w:eastAsia="仿宋_GB2312"/>
          <w:sz w:val="30"/>
          <w:szCs w:val="28"/>
        </w:rPr>
        <w:t>收件方：</w:t>
      </w:r>
      <w:r>
        <w:rPr>
          <w:rFonts w:eastAsia="仿宋_GB2312"/>
          <w:sz w:val="30"/>
          <w:szCs w:val="28"/>
        </w:rPr>
        <w:t>[</w:t>
      </w:r>
      <w:r>
        <w:rPr>
          <w:rFonts w:hint="eastAsia" w:eastAsia="仿宋_GB2312"/>
          <w:sz w:val="30"/>
          <w:szCs w:val="28"/>
        </w:rPr>
        <w:t>请填入收件方名称、地址、联系人与联系方式</w:t>
      </w:r>
      <w:r>
        <w:rPr>
          <w:rFonts w:eastAsia="仿宋_GB2312"/>
          <w:sz w:val="30"/>
          <w:szCs w:val="28"/>
        </w:rPr>
        <w:t>]</w:t>
      </w:r>
    </w:p>
    <w:p w14:paraId="22F91954">
      <w:pPr>
        <w:spacing w:line="560" w:lineRule="exact"/>
        <w:rPr>
          <w:rFonts w:eastAsia="仿宋_GB2312"/>
          <w:sz w:val="30"/>
          <w:szCs w:val="28"/>
        </w:rPr>
      </w:pPr>
      <w:r>
        <w:rPr>
          <w:rFonts w:hint="eastAsia" w:eastAsia="仿宋_GB2312"/>
          <w:sz w:val="30"/>
          <w:szCs w:val="28"/>
        </w:rPr>
        <w:t>通知方：</w:t>
      </w:r>
      <w:r>
        <w:rPr>
          <w:rFonts w:eastAsia="仿宋_GB2312"/>
          <w:sz w:val="30"/>
          <w:szCs w:val="28"/>
        </w:rPr>
        <w:t>[</w:t>
      </w:r>
      <w:r>
        <w:rPr>
          <w:rFonts w:hint="eastAsia" w:eastAsia="仿宋_GB2312"/>
          <w:sz w:val="30"/>
          <w:szCs w:val="28"/>
        </w:rPr>
        <w:t>请填入通知方名称、地址、联系人与联系方式</w:t>
      </w:r>
      <w:r>
        <w:rPr>
          <w:rFonts w:eastAsia="仿宋_GB2312"/>
          <w:sz w:val="30"/>
          <w:szCs w:val="28"/>
        </w:rPr>
        <w:t xml:space="preserve">] </w:t>
      </w:r>
    </w:p>
    <w:p w14:paraId="0AB55567">
      <w:pPr>
        <w:spacing w:line="560" w:lineRule="exact"/>
        <w:rPr>
          <w:rFonts w:eastAsia="仿宋_GB2312"/>
          <w:sz w:val="30"/>
          <w:szCs w:val="28"/>
        </w:rPr>
      </w:pPr>
    </w:p>
    <w:p w14:paraId="5E2BD9BB">
      <w:pPr>
        <w:spacing w:line="560" w:lineRule="exact"/>
        <w:rPr>
          <w:rFonts w:eastAsia="仿宋_GB2312"/>
          <w:sz w:val="30"/>
          <w:szCs w:val="28"/>
        </w:rPr>
      </w:pPr>
      <w:r>
        <w:rPr>
          <w:rFonts w:hint="eastAsia" w:eastAsia="仿宋_GB2312"/>
          <w:sz w:val="30"/>
          <w:szCs w:val="28"/>
        </w:rPr>
        <w:t>事由：签署日期为</w:t>
      </w:r>
      <w:r>
        <w:rPr>
          <w:rFonts w:eastAsia="仿宋_GB2312"/>
          <w:sz w:val="30"/>
          <w:szCs w:val="28"/>
        </w:rPr>
        <w:t>[   ]</w:t>
      </w:r>
      <w:r>
        <w:rPr>
          <w:rFonts w:hint="eastAsia" w:eastAsia="仿宋_GB2312"/>
          <w:sz w:val="30"/>
          <w:szCs w:val="28"/>
        </w:rPr>
        <w:t>年</w:t>
      </w:r>
      <w:r>
        <w:rPr>
          <w:rFonts w:eastAsia="仿宋_GB2312"/>
          <w:sz w:val="30"/>
          <w:szCs w:val="28"/>
        </w:rPr>
        <w:t>[   ]</w:t>
      </w:r>
      <w:r>
        <w:rPr>
          <w:rFonts w:hint="eastAsia" w:eastAsia="仿宋_GB2312"/>
          <w:sz w:val="30"/>
          <w:szCs w:val="28"/>
        </w:rPr>
        <w:t>月</w:t>
      </w:r>
      <w:r>
        <w:rPr>
          <w:rFonts w:eastAsia="仿宋_GB2312"/>
          <w:sz w:val="30"/>
          <w:szCs w:val="28"/>
        </w:rPr>
        <w:t>[   ]</w:t>
      </w:r>
      <w:r>
        <w:rPr>
          <w:rFonts w:hint="eastAsia" w:eastAsia="仿宋_GB2312"/>
          <w:sz w:val="30"/>
          <w:szCs w:val="28"/>
        </w:rPr>
        <w:t>日的以</w:t>
      </w:r>
      <w:r>
        <w:rPr>
          <w:rFonts w:eastAsia="仿宋_GB2312"/>
          <w:sz w:val="30"/>
          <w:szCs w:val="28"/>
        </w:rPr>
        <w:t>[   ]</w:t>
      </w:r>
      <w:r>
        <w:rPr>
          <w:rFonts w:hint="eastAsia" w:eastAsia="仿宋_GB2312"/>
          <w:sz w:val="30"/>
          <w:szCs w:val="28"/>
        </w:rPr>
        <w:t>为参考实体以</w:t>
      </w:r>
      <w:r>
        <w:rPr>
          <w:rFonts w:eastAsia="仿宋_GB2312"/>
          <w:sz w:val="30"/>
          <w:szCs w:val="28"/>
        </w:rPr>
        <w:t>[   ]</w:t>
      </w:r>
      <w:r>
        <w:rPr>
          <w:rFonts w:hint="eastAsia" w:eastAsia="仿宋_GB2312"/>
          <w:sz w:val="30"/>
          <w:szCs w:val="28"/>
        </w:rPr>
        <w:t>为受保护债务的《</w:t>
      </w:r>
      <w:r>
        <w:rPr>
          <w:rFonts w:eastAsia="仿宋_GB2312"/>
          <w:sz w:val="30"/>
          <w:szCs w:val="28"/>
        </w:rPr>
        <w:t>XXXX</w:t>
      </w:r>
      <w:r>
        <w:rPr>
          <w:rFonts w:hint="eastAsia" w:eastAsia="仿宋_GB2312"/>
          <w:sz w:val="30"/>
          <w:szCs w:val="28"/>
        </w:rPr>
        <w:t>信用保护合约交易确认书》（编号：</w:t>
      </w:r>
      <w:r>
        <w:rPr>
          <w:rFonts w:eastAsia="仿宋_GB2312"/>
          <w:sz w:val="30"/>
          <w:szCs w:val="28"/>
        </w:rPr>
        <w:t>[</w:t>
      </w:r>
      <w:r>
        <w:rPr>
          <w:rFonts w:eastAsia="仿宋_GB2312"/>
          <w:sz w:val="30"/>
          <w:szCs w:val="28"/>
        </w:rPr>
        <w:tab/>
      </w:r>
      <w:r>
        <w:rPr>
          <w:rFonts w:eastAsia="仿宋_GB2312"/>
          <w:sz w:val="30"/>
          <w:szCs w:val="28"/>
        </w:rPr>
        <w:t xml:space="preserve">] </w:t>
      </w:r>
      <w:r>
        <w:rPr>
          <w:rFonts w:hint="eastAsia" w:eastAsia="仿宋_GB2312"/>
          <w:sz w:val="30"/>
          <w:szCs w:val="28"/>
        </w:rPr>
        <w:t>，以下简称《交易确认书》）项下的结算通知。</w:t>
      </w:r>
    </w:p>
    <w:p w14:paraId="20CA8075">
      <w:pPr>
        <w:spacing w:line="560" w:lineRule="exact"/>
        <w:rPr>
          <w:rFonts w:eastAsia="仿宋_GB2312"/>
          <w:sz w:val="30"/>
          <w:szCs w:val="28"/>
        </w:rPr>
      </w:pPr>
    </w:p>
    <w:p w14:paraId="18BA2958">
      <w:pPr>
        <w:spacing w:line="560" w:lineRule="exact"/>
        <w:rPr>
          <w:rFonts w:eastAsia="仿宋_GB2312"/>
          <w:sz w:val="30"/>
          <w:szCs w:val="28"/>
        </w:rPr>
      </w:pPr>
      <w:r>
        <w:rPr>
          <w:rFonts w:hint="eastAsia" w:eastAsia="仿宋_GB2312"/>
          <w:sz w:val="30"/>
          <w:szCs w:val="28"/>
        </w:rPr>
        <w:t>本通知构成前述《交易确认书》所指的结算通知。除非本通知另有定义，《交易确认书》中定义的术语在本通知中具有相同的含义。</w:t>
      </w:r>
    </w:p>
    <w:p w14:paraId="172E9252">
      <w:pPr>
        <w:spacing w:line="560" w:lineRule="exact"/>
        <w:rPr>
          <w:rFonts w:eastAsia="仿宋_GB2312"/>
          <w:sz w:val="30"/>
          <w:szCs w:val="28"/>
        </w:rPr>
      </w:pPr>
    </w:p>
    <w:p w14:paraId="10D18D76">
      <w:pPr>
        <w:spacing w:line="560" w:lineRule="exact"/>
        <w:rPr>
          <w:rFonts w:eastAsia="仿宋_GB2312"/>
          <w:sz w:val="30"/>
          <w:szCs w:val="28"/>
        </w:rPr>
      </w:pPr>
      <w:r>
        <w:rPr>
          <w:rFonts w:hint="eastAsia" w:eastAsia="仿宋_GB2312"/>
          <w:sz w:val="30"/>
          <w:szCs w:val="28"/>
        </w:rPr>
        <w:t>我方特此确认将就交易采取</w:t>
      </w:r>
      <w:r>
        <w:rPr>
          <w:rFonts w:eastAsia="仿宋_GB2312"/>
          <w:sz w:val="30"/>
          <w:szCs w:val="28"/>
        </w:rPr>
        <w:t>[      ]</w:t>
      </w:r>
      <w:r>
        <w:rPr>
          <w:rFonts w:hint="eastAsia" w:eastAsia="仿宋_GB2312"/>
          <w:sz w:val="30"/>
          <w:szCs w:val="28"/>
        </w:rPr>
        <w:t>结算。具体结算信息如下：</w:t>
      </w:r>
    </w:p>
    <w:p w14:paraId="4B1ABCF1">
      <w:pPr>
        <w:spacing w:line="560" w:lineRule="exact"/>
        <w:rPr>
          <w:rFonts w:eastAsia="仿宋_GB2312"/>
          <w:sz w:val="30"/>
          <w:szCs w:val="28"/>
        </w:rPr>
      </w:pPr>
    </w:p>
    <w:p w14:paraId="19D418EE">
      <w:pPr>
        <w:spacing w:line="560" w:lineRule="exact"/>
        <w:rPr>
          <w:rFonts w:eastAsia="仿宋_GB2312"/>
          <w:sz w:val="30"/>
          <w:szCs w:val="28"/>
        </w:rPr>
      </w:pPr>
      <w:r>
        <w:rPr>
          <w:rFonts w:hint="eastAsia" w:eastAsia="仿宋_GB2312"/>
          <w:sz w:val="30"/>
          <w:szCs w:val="28"/>
        </w:rPr>
        <w:t>（</w:t>
      </w:r>
      <w:r>
        <w:rPr>
          <w:rFonts w:eastAsia="仿宋_GB2312"/>
          <w:sz w:val="30"/>
          <w:szCs w:val="28"/>
        </w:rPr>
        <w:t>1</w:t>
      </w:r>
      <w:r>
        <w:rPr>
          <w:rFonts w:hint="eastAsia" w:eastAsia="仿宋_GB2312"/>
          <w:sz w:val="30"/>
          <w:szCs w:val="28"/>
        </w:rPr>
        <w:t>）结算期间：</w:t>
      </w:r>
      <w:r>
        <w:rPr>
          <w:rFonts w:eastAsia="仿宋_GB2312"/>
          <w:sz w:val="30"/>
          <w:szCs w:val="28"/>
        </w:rPr>
        <w:t>[</w:t>
      </w:r>
      <w:r>
        <w:rPr>
          <w:rFonts w:eastAsia="仿宋_GB2312"/>
          <w:sz w:val="30"/>
          <w:szCs w:val="28"/>
        </w:rPr>
        <w:tab/>
      </w:r>
      <w:r>
        <w:rPr>
          <w:rFonts w:eastAsia="仿宋_GB2312"/>
          <w:sz w:val="30"/>
          <w:szCs w:val="28"/>
        </w:rPr>
        <w:t>]</w:t>
      </w:r>
      <w:r>
        <w:rPr>
          <w:rFonts w:hint="eastAsia" w:eastAsia="仿宋_GB2312"/>
          <w:sz w:val="30"/>
          <w:szCs w:val="28"/>
        </w:rPr>
        <w:t>个交易日，始于贵方收到本通知之日（含该日）</w:t>
      </w:r>
    </w:p>
    <w:p w14:paraId="156B54B2">
      <w:pPr>
        <w:spacing w:line="560" w:lineRule="exact"/>
        <w:rPr>
          <w:rFonts w:eastAsia="仿宋_GB2312"/>
          <w:sz w:val="30"/>
          <w:szCs w:val="28"/>
        </w:rPr>
      </w:pPr>
      <w:r>
        <w:rPr>
          <w:rFonts w:hint="eastAsia" w:eastAsia="仿宋_GB2312"/>
          <w:sz w:val="30"/>
          <w:szCs w:val="28"/>
        </w:rPr>
        <w:t>（</w:t>
      </w:r>
      <w:r>
        <w:rPr>
          <w:rFonts w:eastAsia="仿宋_GB2312"/>
          <w:sz w:val="30"/>
          <w:szCs w:val="28"/>
        </w:rPr>
        <w:t>2</w:t>
      </w:r>
      <w:r>
        <w:rPr>
          <w:rFonts w:hint="eastAsia" w:eastAsia="仿宋_GB2312"/>
          <w:sz w:val="30"/>
          <w:szCs w:val="28"/>
        </w:rPr>
        <w:t>）可交付债务明细（若采取实物结算）：</w:t>
      </w:r>
      <w:r>
        <w:rPr>
          <w:rFonts w:eastAsia="仿宋_GB2312"/>
          <w:sz w:val="30"/>
          <w:szCs w:val="28"/>
        </w:rPr>
        <w:t>[</w:t>
      </w:r>
      <w:r>
        <w:rPr>
          <w:rFonts w:hint="eastAsia" w:eastAsia="仿宋_GB2312"/>
          <w:sz w:val="30"/>
          <w:szCs w:val="28"/>
        </w:rPr>
        <w:t>请填入具体信息</w:t>
      </w:r>
      <w:r>
        <w:rPr>
          <w:rFonts w:eastAsia="仿宋_GB2312"/>
          <w:sz w:val="30"/>
          <w:szCs w:val="28"/>
        </w:rPr>
        <w:t>]</w:t>
      </w:r>
    </w:p>
    <w:p w14:paraId="09F4E813">
      <w:pPr>
        <w:spacing w:line="560" w:lineRule="exact"/>
        <w:rPr>
          <w:rFonts w:eastAsia="仿宋_GB2312"/>
          <w:sz w:val="30"/>
          <w:szCs w:val="28"/>
        </w:rPr>
      </w:pPr>
      <w:r>
        <w:rPr>
          <w:rFonts w:hint="eastAsia" w:eastAsia="仿宋_GB2312"/>
          <w:sz w:val="30"/>
          <w:szCs w:val="28"/>
        </w:rPr>
        <w:t>（</w:t>
      </w:r>
      <w:r>
        <w:rPr>
          <w:rFonts w:eastAsia="仿宋_GB2312"/>
          <w:sz w:val="30"/>
          <w:szCs w:val="28"/>
        </w:rPr>
        <w:t>3</w:t>
      </w:r>
      <w:r>
        <w:rPr>
          <w:rFonts w:hint="eastAsia" w:eastAsia="仿宋_GB2312"/>
          <w:sz w:val="30"/>
          <w:szCs w:val="28"/>
        </w:rPr>
        <w:t>）收款账户信息（若采取现金结算）：</w:t>
      </w:r>
      <w:r>
        <w:rPr>
          <w:rFonts w:eastAsia="仿宋_GB2312"/>
          <w:sz w:val="30"/>
          <w:szCs w:val="28"/>
        </w:rPr>
        <w:t>[      ]</w:t>
      </w:r>
    </w:p>
    <w:p w14:paraId="4903B9BB">
      <w:pPr>
        <w:spacing w:line="560" w:lineRule="exact"/>
        <w:rPr>
          <w:rFonts w:eastAsia="仿宋_GB2312"/>
          <w:sz w:val="30"/>
          <w:szCs w:val="28"/>
        </w:rPr>
      </w:pPr>
      <w:r>
        <w:rPr>
          <w:rFonts w:hint="eastAsia" w:eastAsia="仿宋_GB2312"/>
          <w:sz w:val="30"/>
          <w:szCs w:val="28"/>
        </w:rPr>
        <w:t>（</w:t>
      </w:r>
      <w:r>
        <w:rPr>
          <w:rFonts w:eastAsia="仿宋_GB2312"/>
          <w:sz w:val="30"/>
          <w:szCs w:val="28"/>
        </w:rPr>
        <w:t>4</w:t>
      </w:r>
      <w:r>
        <w:rPr>
          <w:rFonts w:hint="eastAsia" w:eastAsia="仿宋_GB2312"/>
          <w:sz w:val="30"/>
          <w:szCs w:val="28"/>
        </w:rPr>
        <w:t>）结算地点：</w:t>
      </w:r>
      <w:r>
        <w:rPr>
          <w:rFonts w:eastAsia="仿宋_GB2312"/>
          <w:sz w:val="30"/>
          <w:szCs w:val="28"/>
        </w:rPr>
        <w:t xml:space="preserve">[ </w:t>
      </w:r>
      <w:r>
        <w:rPr>
          <w:rFonts w:eastAsia="仿宋_GB2312"/>
          <w:sz w:val="30"/>
          <w:szCs w:val="28"/>
        </w:rPr>
        <w:tab/>
      </w:r>
      <w:r>
        <w:rPr>
          <w:rFonts w:eastAsia="仿宋_GB2312"/>
          <w:sz w:val="30"/>
          <w:szCs w:val="28"/>
        </w:rPr>
        <w:t>]</w:t>
      </w:r>
    </w:p>
    <w:p w14:paraId="2921BFC9">
      <w:pPr>
        <w:spacing w:line="560" w:lineRule="exact"/>
        <w:rPr>
          <w:rFonts w:eastAsia="仿宋_GB2312"/>
          <w:sz w:val="30"/>
          <w:szCs w:val="28"/>
        </w:rPr>
      </w:pPr>
      <w:r>
        <w:rPr>
          <w:rFonts w:hint="eastAsia" w:eastAsia="仿宋_GB2312"/>
          <w:sz w:val="30"/>
          <w:szCs w:val="28"/>
        </w:rPr>
        <w:t>（</w:t>
      </w:r>
      <w:r>
        <w:rPr>
          <w:rFonts w:eastAsia="仿宋_GB2312"/>
          <w:sz w:val="30"/>
          <w:szCs w:val="28"/>
        </w:rPr>
        <w:t>5</w:t>
      </w:r>
      <w:r>
        <w:rPr>
          <w:rFonts w:hint="eastAsia" w:eastAsia="仿宋_GB2312"/>
          <w:sz w:val="30"/>
          <w:szCs w:val="28"/>
        </w:rPr>
        <w:t>）其他：</w:t>
      </w:r>
    </w:p>
    <w:p w14:paraId="3AA9941D">
      <w:pPr>
        <w:spacing w:line="560" w:lineRule="exact"/>
        <w:rPr>
          <w:rFonts w:eastAsia="仿宋_GB2312"/>
          <w:sz w:val="30"/>
          <w:szCs w:val="28"/>
        </w:rPr>
      </w:pPr>
    </w:p>
    <w:p w14:paraId="5075CD60">
      <w:pPr>
        <w:spacing w:line="560" w:lineRule="exact"/>
        <w:rPr>
          <w:rFonts w:eastAsia="仿宋_GB2312"/>
          <w:sz w:val="30"/>
          <w:szCs w:val="28"/>
        </w:rPr>
      </w:pPr>
      <w:r>
        <w:rPr>
          <w:rFonts w:hint="eastAsia" w:eastAsia="仿宋_GB2312"/>
          <w:sz w:val="30"/>
          <w:szCs w:val="28"/>
        </w:rPr>
        <w:t>通知方（印章）：</w:t>
      </w:r>
    </w:p>
    <w:p w14:paraId="44AA1D80">
      <w:pPr>
        <w:spacing w:line="560" w:lineRule="exact"/>
        <w:rPr>
          <w:rFonts w:eastAsia="仿宋_GB2312"/>
          <w:sz w:val="30"/>
          <w:szCs w:val="28"/>
        </w:rPr>
      </w:pPr>
      <w:r>
        <w:rPr>
          <w:rFonts w:hint="eastAsia" w:eastAsia="仿宋_GB2312"/>
          <w:sz w:val="30"/>
          <w:szCs w:val="28"/>
        </w:rPr>
        <w:t>法定代表人（授权代理人）签字：</w:t>
      </w:r>
    </w:p>
    <w:p w14:paraId="78E38071">
      <w:pPr>
        <w:spacing w:line="560" w:lineRule="exact"/>
        <w:rPr>
          <w:rFonts w:eastAsia="仿宋_GB2312"/>
          <w:sz w:val="30"/>
          <w:szCs w:val="28"/>
        </w:rPr>
      </w:pPr>
      <w:r>
        <w:rPr>
          <w:rFonts w:eastAsia="仿宋_GB2312"/>
          <w:sz w:val="30"/>
          <w:szCs w:val="28"/>
        </w:rPr>
        <w:t>[      ]</w:t>
      </w:r>
      <w:r>
        <w:rPr>
          <w:rFonts w:hint="eastAsia" w:eastAsia="仿宋_GB2312"/>
          <w:sz w:val="30"/>
          <w:szCs w:val="28"/>
        </w:rPr>
        <w:t>结算通知日期：</w:t>
      </w:r>
    </w:p>
    <w:p w14:paraId="6286FCA0">
      <w:pPr>
        <w:spacing w:line="560" w:lineRule="exact"/>
        <w:rPr>
          <w:rFonts w:eastAsia="仿宋_GB2312"/>
          <w:sz w:val="30"/>
          <w:szCs w:val="28"/>
        </w:rPr>
      </w:pPr>
    </w:p>
    <w:p w14:paraId="5BD1DFB2">
      <w:pPr>
        <w:spacing w:line="560" w:lineRule="exact"/>
        <w:rPr>
          <w:rFonts w:eastAsia="仿宋_GB2312"/>
          <w:sz w:val="30"/>
          <w:szCs w:val="28"/>
        </w:rPr>
      </w:pPr>
    </w:p>
    <w:p w14:paraId="42F6B317">
      <w:pPr>
        <w:widowControl/>
        <w:spacing w:line="560" w:lineRule="exact"/>
        <w:rPr>
          <w:rFonts w:eastAsia="仿宋_GB2312"/>
          <w:sz w:val="30"/>
          <w:szCs w:val="28"/>
        </w:rPr>
      </w:pPr>
    </w:p>
    <w:p w14:paraId="748CDAA8">
      <w:pPr>
        <w:widowControl/>
        <w:spacing w:line="560" w:lineRule="exact"/>
        <w:rPr>
          <w:rFonts w:eastAsia="仿宋_GB2312"/>
          <w:sz w:val="30"/>
          <w:szCs w:val="28"/>
        </w:rPr>
      </w:pPr>
    </w:p>
    <w:p w14:paraId="0F07DDB3">
      <w:pPr>
        <w:widowControl/>
        <w:spacing w:line="560" w:lineRule="exact"/>
        <w:rPr>
          <w:rFonts w:eastAsia="仿宋_GB2312"/>
          <w:sz w:val="30"/>
          <w:szCs w:val="28"/>
        </w:rPr>
      </w:pPr>
    </w:p>
    <w:p w14:paraId="29F2B4EA">
      <w:pPr>
        <w:widowControl/>
        <w:spacing w:line="560" w:lineRule="exact"/>
        <w:rPr>
          <w:rFonts w:eastAsia="仿宋_GB2312"/>
          <w:sz w:val="30"/>
          <w:szCs w:val="28"/>
        </w:rPr>
      </w:pPr>
    </w:p>
    <w:p w14:paraId="78D0B459">
      <w:pPr>
        <w:widowControl/>
        <w:spacing w:line="560" w:lineRule="exact"/>
        <w:rPr>
          <w:rFonts w:eastAsia="仿宋_GB2312"/>
          <w:sz w:val="30"/>
          <w:szCs w:val="28"/>
        </w:rPr>
      </w:pPr>
    </w:p>
    <w:p w14:paraId="6CADE5FB">
      <w:pPr>
        <w:widowControl/>
        <w:spacing w:line="560" w:lineRule="exact"/>
        <w:rPr>
          <w:rFonts w:eastAsia="仿宋_GB2312"/>
          <w:sz w:val="30"/>
          <w:szCs w:val="28"/>
        </w:rPr>
      </w:pPr>
    </w:p>
    <w:p w14:paraId="44470A4D">
      <w:pPr>
        <w:widowControl/>
        <w:spacing w:line="560" w:lineRule="exact"/>
        <w:rPr>
          <w:rFonts w:eastAsia="仿宋_GB2312"/>
          <w:sz w:val="30"/>
          <w:szCs w:val="28"/>
        </w:rPr>
      </w:pPr>
    </w:p>
    <w:p w14:paraId="2862BE41">
      <w:pPr>
        <w:widowControl/>
        <w:spacing w:line="560" w:lineRule="exact"/>
        <w:rPr>
          <w:rFonts w:eastAsia="仿宋_GB2312"/>
          <w:sz w:val="30"/>
          <w:szCs w:val="28"/>
        </w:rPr>
      </w:pPr>
    </w:p>
    <w:p w14:paraId="02AFA07C">
      <w:pPr>
        <w:widowControl/>
        <w:spacing w:line="560" w:lineRule="exact"/>
        <w:rPr>
          <w:rFonts w:eastAsia="仿宋_GB2312"/>
          <w:sz w:val="30"/>
          <w:szCs w:val="28"/>
        </w:rPr>
      </w:pPr>
    </w:p>
    <w:p w14:paraId="705EC92A">
      <w:pPr>
        <w:widowControl/>
        <w:spacing w:line="560" w:lineRule="exact"/>
        <w:rPr>
          <w:rFonts w:eastAsia="仿宋_GB2312"/>
          <w:sz w:val="30"/>
          <w:szCs w:val="28"/>
        </w:rPr>
      </w:pPr>
    </w:p>
    <w:p w14:paraId="2B800D7F">
      <w:pPr>
        <w:widowControl/>
        <w:spacing w:line="560" w:lineRule="exact"/>
        <w:rPr>
          <w:rFonts w:eastAsia="仿宋_GB2312"/>
          <w:sz w:val="30"/>
          <w:szCs w:val="28"/>
        </w:rPr>
      </w:pPr>
    </w:p>
    <w:p w14:paraId="280040CA">
      <w:pPr>
        <w:widowControl/>
        <w:spacing w:line="560" w:lineRule="exact"/>
        <w:rPr>
          <w:rFonts w:eastAsia="仿宋_GB2312"/>
          <w:sz w:val="30"/>
          <w:szCs w:val="28"/>
        </w:rPr>
      </w:pPr>
    </w:p>
    <w:p w14:paraId="4035DD20">
      <w:pPr>
        <w:widowControl/>
        <w:jc w:val="left"/>
        <w:rPr>
          <w:rFonts w:eastAsia="仿宋_GB2312"/>
          <w:sz w:val="30"/>
          <w:szCs w:val="28"/>
        </w:rPr>
      </w:pPr>
      <w:r>
        <w:rPr>
          <w:rFonts w:eastAsia="仿宋_GB2312"/>
          <w:sz w:val="30"/>
          <w:szCs w:val="28"/>
        </w:rPr>
        <w:br w:type="page"/>
      </w:r>
    </w:p>
    <w:p w14:paraId="4EC04E63">
      <w:pPr>
        <w:spacing w:line="560" w:lineRule="exact"/>
        <w:rPr>
          <w:rFonts w:eastAsia="仿宋_GB2312"/>
          <w:b/>
          <w:sz w:val="30"/>
          <w:szCs w:val="28"/>
        </w:rPr>
      </w:pPr>
      <w:r>
        <w:rPr>
          <w:rFonts w:hint="eastAsia" w:eastAsia="仿宋_GB2312"/>
          <w:b/>
          <w:sz w:val="30"/>
          <w:szCs w:val="28"/>
        </w:rPr>
        <w:t>凭证版本：</w:t>
      </w:r>
    </w:p>
    <w:p w14:paraId="5E983DD8">
      <w:pPr>
        <w:spacing w:line="560" w:lineRule="exact"/>
        <w:rPr>
          <w:rFonts w:eastAsia="仿宋_GB2312"/>
          <w:sz w:val="30"/>
          <w:szCs w:val="28"/>
        </w:rPr>
      </w:pPr>
      <w:r>
        <w:rPr>
          <w:rFonts w:hint="eastAsia" w:eastAsia="仿宋_GB2312"/>
          <w:sz w:val="30"/>
          <w:szCs w:val="28"/>
        </w:rPr>
        <w:t>收件方：</w:t>
      </w:r>
      <w:r>
        <w:rPr>
          <w:rFonts w:eastAsia="仿宋_GB2312"/>
          <w:sz w:val="30"/>
          <w:szCs w:val="28"/>
        </w:rPr>
        <w:t>[</w:t>
      </w:r>
      <w:r>
        <w:rPr>
          <w:rFonts w:hint="eastAsia" w:eastAsia="仿宋_GB2312"/>
          <w:sz w:val="30"/>
          <w:szCs w:val="28"/>
        </w:rPr>
        <w:t>请填入收件方名称、地址、联系人与联系方式</w:t>
      </w:r>
      <w:r>
        <w:rPr>
          <w:rFonts w:eastAsia="仿宋_GB2312"/>
          <w:sz w:val="30"/>
          <w:szCs w:val="28"/>
        </w:rPr>
        <w:t xml:space="preserve">] </w:t>
      </w:r>
    </w:p>
    <w:p w14:paraId="1E7B5BFF">
      <w:pPr>
        <w:spacing w:line="560" w:lineRule="exact"/>
        <w:rPr>
          <w:rFonts w:eastAsia="仿宋_GB2312"/>
          <w:sz w:val="30"/>
          <w:szCs w:val="28"/>
        </w:rPr>
      </w:pPr>
      <w:r>
        <w:rPr>
          <w:rFonts w:hint="eastAsia" w:eastAsia="仿宋_GB2312"/>
          <w:sz w:val="30"/>
          <w:szCs w:val="28"/>
        </w:rPr>
        <w:t>通知方：</w:t>
      </w:r>
      <w:r>
        <w:rPr>
          <w:rFonts w:eastAsia="仿宋_GB2312"/>
          <w:sz w:val="30"/>
          <w:szCs w:val="28"/>
        </w:rPr>
        <w:t>[</w:t>
      </w:r>
      <w:r>
        <w:rPr>
          <w:rFonts w:hint="eastAsia" w:eastAsia="仿宋_GB2312"/>
          <w:sz w:val="30"/>
          <w:szCs w:val="28"/>
        </w:rPr>
        <w:t>请填入通知方名称、地址、联系人与联系方式</w:t>
      </w:r>
      <w:r>
        <w:rPr>
          <w:rFonts w:eastAsia="仿宋_GB2312"/>
          <w:sz w:val="30"/>
          <w:szCs w:val="28"/>
        </w:rPr>
        <w:t xml:space="preserve">] </w:t>
      </w:r>
    </w:p>
    <w:p w14:paraId="24F6F880">
      <w:pPr>
        <w:spacing w:line="560" w:lineRule="exact"/>
        <w:rPr>
          <w:rFonts w:eastAsia="仿宋_GB2312"/>
          <w:sz w:val="30"/>
          <w:szCs w:val="28"/>
        </w:rPr>
      </w:pPr>
    </w:p>
    <w:p w14:paraId="18D019AC">
      <w:pPr>
        <w:spacing w:line="560" w:lineRule="exact"/>
        <w:rPr>
          <w:rFonts w:eastAsia="仿宋_GB2312"/>
          <w:sz w:val="30"/>
          <w:szCs w:val="28"/>
        </w:rPr>
      </w:pPr>
      <w:r>
        <w:rPr>
          <w:rFonts w:hint="eastAsia" w:eastAsia="仿宋_GB2312"/>
          <w:sz w:val="30"/>
          <w:szCs w:val="28"/>
        </w:rPr>
        <w:t>事由：信用保护凭证创设机构</w:t>
      </w:r>
      <w:r>
        <w:rPr>
          <w:rFonts w:eastAsia="仿宋_GB2312"/>
          <w:sz w:val="30"/>
          <w:szCs w:val="28"/>
        </w:rPr>
        <w:t>[   ]</w:t>
      </w:r>
      <w:r>
        <w:rPr>
          <w:rFonts w:hint="eastAsia" w:eastAsia="仿宋_GB2312"/>
          <w:sz w:val="30"/>
          <w:szCs w:val="28"/>
        </w:rPr>
        <w:t>于</w:t>
      </w:r>
      <w:r>
        <w:rPr>
          <w:rFonts w:eastAsia="仿宋_GB2312"/>
          <w:sz w:val="30"/>
          <w:szCs w:val="28"/>
        </w:rPr>
        <w:t>[   ]</w:t>
      </w:r>
      <w:r>
        <w:rPr>
          <w:rFonts w:hint="eastAsia" w:eastAsia="仿宋_GB2312"/>
          <w:sz w:val="30"/>
          <w:szCs w:val="28"/>
        </w:rPr>
        <w:t>年</w:t>
      </w:r>
      <w:r>
        <w:rPr>
          <w:rFonts w:eastAsia="仿宋_GB2312"/>
          <w:sz w:val="30"/>
          <w:szCs w:val="28"/>
        </w:rPr>
        <w:t>[   ]</w:t>
      </w:r>
      <w:r>
        <w:rPr>
          <w:rFonts w:hint="eastAsia" w:eastAsia="仿宋_GB2312"/>
          <w:sz w:val="30"/>
          <w:szCs w:val="28"/>
        </w:rPr>
        <w:t>月</w:t>
      </w:r>
      <w:r>
        <w:rPr>
          <w:rFonts w:eastAsia="仿宋_GB2312"/>
          <w:sz w:val="30"/>
          <w:szCs w:val="28"/>
        </w:rPr>
        <w:t>[   ]</w:t>
      </w:r>
      <w:r>
        <w:rPr>
          <w:rFonts w:hint="eastAsia" w:eastAsia="仿宋_GB2312"/>
          <w:sz w:val="30"/>
          <w:szCs w:val="28"/>
        </w:rPr>
        <w:t>日创设了</w:t>
      </w:r>
      <w:r>
        <w:rPr>
          <w:rFonts w:eastAsia="仿宋_GB2312"/>
          <w:sz w:val="30"/>
          <w:szCs w:val="28"/>
        </w:rPr>
        <w:t>[   ]</w:t>
      </w:r>
      <w:r>
        <w:rPr>
          <w:rFonts w:hint="eastAsia" w:eastAsia="仿宋_GB2312"/>
          <w:sz w:val="30"/>
          <w:szCs w:val="28"/>
        </w:rPr>
        <w:t>信用保护凭证（以下简称凭证），并在凭证创设说明书（编号</w:t>
      </w:r>
      <w:r>
        <w:rPr>
          <w:rFonts w:eastAsia="仿宋_GB2312"/>
          <w:sz w:val="30"/>
          <w:szCs w:val="28"/>
        </w:rPr>
        <w:t>[   ]</w:t>
      </w:r>
      <w:r>
        <w:rPr>
          <w:rFonts w:hint="eastAsia" w:eastAsia="仿宋_GB2312"/>
          <w:sz w:val="30"/>
          <w:szCs w:val="28"/>
        </w:rPr>
        <w:t>）中对于交易双方权利义务进行了约定。截至本通知发送日，通知方持有</w:t>
      </w:r>
      <w:r>
        <w:rPr>
          <w:rFonts w:eastAsia="仿宋_GB2312"/>
          <w:sz w:val="30"/>
          <w:szCs w:val="28"/>
        </w:rPr>
        <w:t>[   ]</w:t>
      </w:r>
      <w:r>
        <w:rPr>
          <w:rFonts w:hint="eastAsia" w:eastAsia="仿宋_GB2312"/>
          <w:sz w:val="30"/>
          <w:szCs w:val="28"/>
        </w:rPr>
        <w:t>手该凭证。</w:t>
      </w:r>
    </w:p>
    <w:p w14:paraId="67A75828">
      <w:pPr>
        <w:spacing w:line="560" w:lineRule="exact"/>
        <w:rPr>
          <w:rFonts w:eastAsia="仿宋_GB2312"/>
          <w:sz w:val="30"/>
          <w:szCs w:val="28"/>
        </w:rPr>
      </w:pPr>
    </w:p>
    <w:p w14:paraId="3034D1F0">
      <w:pPr>
        <w:spacing w:line="560" w:lineRule="exact"/>
        <w:rPr>
          <w:rFonts w:eastAsia="仿宋_GB2312"/>
          <w:sz w:val="30"/>
          <w:szCs w:val="28"/>
        </w:rPr>
      </w:pPr>
      <w:r>
        <w:rPr>
          <w:rFonts w:hint="eastAsia" w:eastAsia="仿宋_GB2312"/>
          <w:sz w:val="30"/>
          <w:szCs w:val="28"/>
        </w:rPr>
        <w:t>本通知构成前述凭证所指的结算通知。除非本通知另有定义，该凭证创设说明书定义的术语在本通知中具有相同的含义。</w:t>
      </w:r>
    </w:p>
    <w:p w14:paraId="13EBD013">
      <w:pPr>
        <w:spacing w:line="560" w:lineRule="exact"/>
        <w:rPr>
          <w:rFonts w:eastAsia="仿宋_GB2312"/>
          <w:sz w:val="30"/>
          <w:szCs w:val="28"/>
        </w:rPr>
      </w:pPr>
    </w:p>
    <w:p w14:paraId="42282779">
      <w:pPr>
        <w:spacing w:line="560" w:lineRule="exact"/>
        <w:rPr>
          <w:rFonts w:eastAsia="仿宋_GB2312"/>
          <w:sz w:val="30"/>
          <w:szCs w:val="28"/>
        </w:rPr>
      </w:pPr>
      <w:r>
        <w:rPr>
          <w:rFonts w:hint="eastAsia" w:eastAsia="仿宋_GB2312"/>
          <w:sz w:val="30"/>
          <w:szCs w:val="28"/>
        </w:rPr>
        <w:t>我方特此确认将就交易采取</w:t>
      </w:r>
      <w:r>
        <w:rPr>
          <w:rFonts w:eastAsia="仿宋_GB2312"/>
          <w:sz w:val="30"/>
          <w:szCs w:val="28"/>
        </w:rPr>
        <w:t>[      ]</w:t>
      </w:r>
      <w:r>
        <w:rPr>
          <w:rFonts w:hint="eastAsia" w:eastAsia="仿宋_GB2312"/>
          <w:sz w:val="30"/>
          <w:szCs w:val="28"/>
        </w:rPr>
        <w:t>结算。具体结算信息如下：</w:t>
      </w:r>
    </w:p>
    <w:p w14:paraId="6A18BFE0">
      <w:pPr>
        <w:spacing w:line="560" w:lineRule="exact"/>
        <w:rPr>
          <w:rFonts w:eastAsia="仿宋_GB2312"/>
          <w:sz w:val="30"/>
          <w:szCs w:val="28"/>
        </w:rPr>
      </w:pPr>
    </w:p>
    <w:p w14:paraId="074D0C69">
      <w:pPr>
        <w:spacing w:line="560" w:lineRule="exact"/>
        <w:rPr>
          <w:rFonts w:eastAsia="仿宋_GB2312"/>
          <w:sz w:val="30"/>
          <w:szCs w:val="28"/>
        </w:rPr>
      </w:pPr>
      <w:r>
        <w:rPr>
          <w:rFonts w:hint="eastAsia" w:eastAsia="仿宋_GB2312"/>
          <w:sz w:val="30"/>
          <w:szCs w:val="28"/>
        </w:rPr>
        <w:t>（</w:t>
      </w:r>
      <w:r>
        <w:rPr>
          <w:rFonts w:eastAsia="仿宋_GB2312"/>
          <w:sz w:val="30"/>
          <w:szCs w:val="28"/>
        </w:rPr>
        <w:t>1</w:t>
      </w:r>
      <w:r>
        <w:rPr>
          <w:rFonts w:hint="eastAsia" w:eastAsia="仿宋_GB2312"/>
          <w:sz w:val="30"/>
          <w:szCs w:val="28"/>
        </w:rPr>
        <w:t>）结算期间：</w:t>
      </w:r>
      <w:r>
        <w:rPr>
          <w:rFonts w:eastAsia="仿宋_GB2312"/>
          <w:sz w:val="30"/>
          <w:szCs w:val="28"/>
        </w:rPr>
        <w:t>[</w:t>
      </w:r>
      <w:r>
        <w:rPr>
          <w:rFonts w:eastAsia="仿宋_GB2312"/>
          <w:sz w:val="30"/>
          <w:szCs w:val="28"/>
        </w:rPr>
        <w:tab/>
      </w:r>
      <w:r>
        <w:rPr>
          <w:rFonts w:eastAsia="仿宋_GB2312"/>
          <w:sz w:val="30"/>
          <w:szCs w:val="28"/>
        </w:rPr>
        <w:t>]</w:t>
      </w:r>
      <w:r>
        <w:rPr>
          <w:rFonts w:hint="eastAsia" w:eastAsia="仿宋_GB2312"/>
          <w:sz w:val="30"/>
          <w:szCs w:val="28"/>
        </w:rPr>
        <w:t>个交易日，始于贵方收到本通知之日（含该日）</w:t>
      </w:r>
    </w:p>
    <w:p w14:paraId="0D3700B1">
      <w:pPr>
        <w:spacing w:line="560" w:lineRule="exact"/>
        <w:rPr>
          <w:rFonts w:eastAsia="仿宋_GB2312"/>
          <w:sz w:val="30"/>
          <w:szCs w:val="28"/>
        </w:rPr>
      </w:pPr>
      <w:r>
        <w:rPr>
          <w:rFonts w:hint="eastAsia" w:eastAsia="仿宋_GB2312"/>
          <w:sz w:val="30"/>
          <w:szCs w:val="28"/>
        </w:rPr>
        <w:t>（</w:t>
      </w:r>
      <w:r>
        <w:rPr>
          <w:rFonts w:eastAsia="仿宋_GB2312"/>
          <w:sz w:val="30"/>
          <w:szCs w:val="28"/>
        </w:rPr>
        <w:t>2</w:t>
      </w:r>
      <w:r>
        <w:rPr>
          <w:rFonts w:hint="eastAsia" w:eastAsia="仿宋_GB2312"/>
          <w:sz w:val="30"/>
          <w:szCs w:val="28"/>
        </w:rPr>
        <w:t>）可交付债务明细（若采取实物结算）：</w:t>
      </w:r>
      <w:r>
        <w:rPr>
          <w:rFonts w:eastAsia="仿宋_GB2312"/>
          <w:sz w:val="30"/>
          <w:szCs w:val="28"/>
        </w:rPr>
        <w:t>[</w:t>
      </w:r>
      <w:r>
        <w:rPr>
          <w:rFonts w:hint="eastAsia" w:eastAsia="仿宋_GB2312"/>
          <w:sz w:val="30"/>
          <w:szCs w:val="28"/>
        </w:rPr>
        <w:t>请填入具体信息</w:t>
      </w:r>
      <w:r>
        <w:rPr>
          <w:rFonts w:eastAsia="仿宋_GB2312"/>
          <w:sz w:val="30"/>
          <w:szCs w:val="28"/>
        </w:rPr>
        <w:t>]</w:t>
      </w:r>
    </w:p>
    <w:p w14:paraId="7C08F8CA">
      <w:pPr>
        <w:spacing w:line="560" w:lineRule="exact"/>
        <w:rPr>
          <w:rFonts w:eastAsia="仿宋_GB2312"/>
          <w:sz w:val="30"/>
          <w:szCs w:val="28"/>
        </w:rPr>
      </w:pPr>
      <w:r>
        <w:rPr>
          <w:rFonts w:hint="eastAsia" w:eastAsia="仿宋_GB2312"/>
          <w:sz w:val="30"/>
          <w:szCs w:val="28"/>
        </w:rPr>
        <w:t>（</w:t>
      </w:r>
      <w:r>
        <w:rPr>
          <w:rFonts w:eastAsia="仿宋_GB2312"/>
          <w:sz w:val="30"/>
          <w:szCs w:val="28"/>
        </w:rPr>
        <w:t>3</w:t>
      </w:r>
      <w:r>
        <w:rPr>
          <w:rFonts w:hint="eastAsia" w:eastAsia="仿宋_GB2312"/>
          <w:sz w:val="30"/>
          <w:szCs w:val="28"/>
        </w:rPr>
        <w:t>）收款账户信息（若采取现金结算）：</w:t>
      </w:r>
      <w:r>
        <w:rPr>
          <w:rFonts w:eastAsia="仿宋_GB2312"/>
          <w:sz w:val="30"/>
          <w:szCs w:val="28"/>
        </w:rPr>
        <w:t>[      ]</w:t>
      </w:r>
    </w:p>
    <w:p w14:paraId="0A44620D">
      <w:pPr>
        <w:spacing w:line="560" w:lineRule="exact"/>
        <w:rPr>
          <w:rFonts w:eastAsia="仿宋_GB2312"/>
          <w:sz w:val="30"/>
          <w:szCs w:val="28"/>
        </w:rPr>
      </w:pPr>
      <w:r>
        <w:rPr>
          <w:rFonts w:hint="eastAsia" w:eastAsia="仿宋_GB2312"/>
          <w:sz w:val="30"/>
          <w:szCs w:val="28"/>
        </w:rPr>
        <w:t>（</w:t>
      </w:r>
      <w:r>
        <w:rPr>
          <w:rFonts w:eastAsia="仿宋_GB2312"/>
          <w:sz w:val="30"/>
          <w:szCs w:val="28"/>
        </w:rPr>
        <w:t>4</w:t>
      </w:r>
      <w:r>
        <w:rPr>
          <w:rFonts w:hint="eastAsia" w:eastAsia="仿宋_GB2312"/>
          <w:sz w:val="30"/>
          <w:szCs w:val="28"/>
        </w:rPr>
        <w:t>）结算地点：</w:t>
      </w:r>
      <w:r>
        <w:rPr>
          <w:rFonts w:eastAsia="仿宋_GB2312"/>
          <w:sz w:val="30"/>
          <w:szCs w:val="28"/>
        </w:rPr>
        <w:t>[</w:t>
      </w:r>
      <w:r>
        <w:rPr>
          <w:rFonts w:eastAsia="仿宋_GB2312"/>
          <w:sz w:val="30"/>
          <w:szCs w:val="28"/>
        </w:rPr>
        <w:tab/>
      </w:r>
      <w:r>
        <w:rPr>
          <w:rFonts w:eastAsia="仿宋_GB2312"/>
          <w:sz w:val="30"/>
          <w:szCs w:val="28"/>
        </w:rPr>
        <w:t xml:space="preserve">   ]</w:t>
      </w:r>
    </w:p>
    <w:p w14:paraId="09FFB290">
      <w:pPr>
        <w:spacing w:line="560" w:lineRule="exact"/>
        <w:rPr>
          <w:rFonts w:eastAsia="仿宋_GB2312"/>
          <w:sz w:val="30"/>
          <w:szCs w:val="28"/>
        </w:rPr>
      </w:pPr>
      <w:r>
        <w:rPr>
          <w:rFonts w:hint="eastAsia" w:eastAsia="仿宋_GB2312"/>
          <w:sz w:val="30"/>
          <w:szCs w:val="28"/>
        </w:rPr>
        <w:t>（</w:t>
      </w:r>
      <w:r>
        <w:rPr>
          <w:rFonts w:eastAsia="仿宋_GB2312"/>
          <w:sz w:val="30"/>
          <w:szCs w:val="28"/>
        </w:rPr>
        <w:t>5</w:t>
      </w:r>
      <w:r>
        <w:rPr>
          <w:rFonts w:hint="eastAsia" w:eastAsia="仿宋_GB2312"/>
          <w:sz w:val="30"/>
          <w:szCs w:val="28"/>
        </w:rPr>
        <w:t>）其他：</w:t>
      </w:r>
    </w:p>
    <w:p w14:paraId="11F190C1">
      <w:pPr>
        <w:spacing w:line="560" w:lineRule="exact"/>
        <w:rPr>
          <w:rFonts w:eastAsia="仿宋_GB2312"/>
          <w:sz w:val="30"/>
          <w:szCs w:val="28"/>
        </w:rPr>
      </w:pPr>
    </w:p>
    <w:p w14:paraId="009399CF">
      <w:pPr>
        <w:spacing w:line="560" w:lineRule="exact"/>
        <w:rPr>
          <w:rFonts w:eastAsia="仿宋_GB2312"/>
          <w:sz w:val="30"/>
          <w:szCs w:val="28"/>
        </w:rPr>
      </w:pPr>
      <w:r>
        <w:rPr>
          <w:rFonts w:hint="eastAsia" w:eastAsia="仿宋_GB2312"/>
          <w:sz w:val="30"/>
          <w:szCs w:val="28"/>
        </w:rPr>
        <w:t>通知方（印章）：</w:t>
      </w:r>
    </w:p>
    <w:p w14:paraId="53AE32DC">
      <w:pPr>
        <w:spacing w:line="560" w:lineRule="exact"/>
        <w:rPr>
          <w:rFonts w:eastAsia="仿宋_GB2312"/>
          <w:sz w:val="30"/>
          <w:szCs w:val="28"/>
        </w:rPr>
      </w:pPr>
      <w:r>
        <w:rPr>
          <w:rFonts w:hint="eastAsia" w:eastAsia="仿宋_GB2312"/>
          <w:sz w:val="30"/>
          <w:szCs w:val="28"/>
        </w:rPr>
        <w:t>法定代表人（授权代理人）签字：</w:t>
      </w:r>
    </w:p>
    <w:p w14:paraId="2E4C7C8A">
      <w:pPr>
        <w:widowControl/>
        <w:jc w:val="left"/>
        <w:rPr>
          <w:rFonts w:eastAsia="仿宋_GB2312"/>
          <w:sz w:val="30"/>
          <w:szCs w:val="28"/>
        </w:rPr>
      </w:pPr>
      <w:r>
        <w:rPr>
          <w:rFonts w:eastAsia="仿宋_GB2312"/>
          <w:sz w:val="30"/>
          <w:szCs w:val="28"/>
        </w:rPr>
        <w:t>[      ]</w:t>
      </w:r>
      <w:r>
        <w:rPr>
          <w:rFonts w:hint="eastAsia" w:eastAsia="仿宋_GB2312"/>
          <w:sz w:val="30"/>
          <w:szCs w:val="28"/>
        </w:rPr>
        <w:t>结算通知日期：</w:t>
      </w:r>
      <w:bookmarkEnd w:id="4179"/>
    </w:p>
    <w:p w14:paraId="50E99C7A">
      <w:pPr>
        <w:widowControl/>
        <w:jc w:val="left"/>
        <w:rPr>
          <w:rFonts w:eastAsia="仿宋_GB2312"/>
          <w:sz w:val="30"/>
          <w:szCs w:val="28"/>
        </w:rPr>
      </w:pPr>
      <w:r>
        <w:rPr>
          <w:rFonts w:eastAsia="仿宋_GB2312"/>
          <w:sz w:val="30"/>
          <w:szCs w:val="28"/>
        </w:rPr>
        <w:br w:type="page"/>
      </w:r>
    </w:p>
    <w:p w14:paraId="6CC8049C">
      <w:pPr>
        <w:widowControl/>
        <w:jc w:val="left"/>
        <w:outlineLvl w:val="1"/>
        <w:rPr>
          <w:rFonts w:ascii="仿宋_GB2312" w:hAnsi="黑体" w:eastAsia="仿宋_GB2312"/>
          <w:b/>
          <w:sz w:val="30"/>
          <w:szCs w:val="30"/>
        </w:rPr>
      </w:pPr>
      <w:bookmarkStart w:id="4180" w:name="_Toc1879470906"/>
      <w:bookmarkStart w:id="4181" w:name="_Toc151137116"/>
      <w:bookmarkStart w:id="4182" w:name="_Toc1073152841"/>
      <w:bookmarkStart w:id="4183" w:name="_Toc1885998679"/>
      <w:bookmarkStart w:id="4184" w:name="_Toc668528572"/>
      <w:bookmarkStart w:id="4185" w:name="_Toc654537681"/>
      <w:bookmarkStart w:id="4186" w:name="_Toc1044750726"/>
      <w:bookmarkStart w:id="4187" w:name="_Toc103332513"/>
      <w:bookmarkStart w:id="4188" w:name="_Toc108164112"/>
      <w:r>
        <w:rPr>
          <w:rFonts w:hint="eastAsia" w:ascii="仿宋_GB2312" w:hAnsi="黑体" w:eastAsia="仿宋_GB2312"/>
          <w:b/>
          <w:sz w:val="30"/>
          <w:szCs w:val="30"/>
        </w:rPr>
        <w:t>附件33 上海证券交易所债券担保品处置平台功能简介</w:t>
      </w:r>
      <w:bookmarkEnd w:id="4180"/>
      <w:bookmarkEnd w:id="4181"/>
      <w:bookmarkEnd w:id="4182"/>
      <w:bookmarkEnd w:id="4183"/>
      <w:bookmarkEnd w:id="4184"/>
      <w:bookmarkEnd w:id="4185"/>
      <w:bookmarkEnd w:id="4186"/>
    </w:p>
    <w:p w14:paraId="20A6211A">
      <w:pPr>
        <w:spacing w:line="560" w:lineRule="exact"/>
        <w:jc w:val="center"/>
        <w:rPr>
          <w:rFonts w:ascii="黑体" w:hAnsi="黑体" w:eastAsia="黑体"/>
          <w:b/>
          <w:kern w:val="0"/>
          <w:sz w:val="44"/>
          <w:szCs w:val="44"/>
          <w:lang w:bidi="en-US"/>
        </w:rPr>
      </w:pPr>
    </w:p>
    <w:p w14:paraId="5B896803">
      <w:pPr>
        <w:spacing w:line="560" w:lineRule="exact"/>
        <w:jc w:val="center"/>
        <w:rPr>
          <w:rFonts w:ascii="黑体" w:hAnsi="黑体" w:eastAsia="黑体"/>
          <w:b/>
          <w:sz w:val="44"/>
          <w:szCs w:val="44"/>
          <w:lang w:bidi="en-US"/>
        </w:rPr>
      </w:pPr>
      <w:r>
        <w:rPr>
          <w:rFonts w:hint="eastAsia" w:ascii="黑体" w:hAnsi="黑体" w:eastAsia="黑体"/>
          <w:b/>
          <w:sz w:val="44"/>
          <w:szCs w:val="44"/>
          <w:lang w:bidi="en-US"/>
        </w:rPr>
        <w:t>上海证券交易所债券担保品处置平台</w:t>
      </w:r>
    </w:p>
    <w:p w14:paraId="2CEB619D">
      <w:pPr>
        <w:spacing w:line="560" w:lineRule="exact"/>
        <w:jc w:val="center"/>
        <w:rPr>
          <w:rFonts w:ascii="黑体" w:hAnsi="黑体" w:eastAsia="黑体"/>
          <w:b/>
          <w:sz w:val="44"/>
          <w:szCs w:val="44"/>
          <w:lang w:bidi="en-US"/>
        </w:rPr>
      </w:pPr>
      <w:r>
        <w:rPr>
          <w:rFonts w:hint="eastAsia" w:ascii="黑体" w:hAnsi="黑体" w:eastAsia="黑体"/>
          <w:b/>
          <w:sz w:val="44"/>
          <w:szCs w:val="44"/>
          <w:lang w:bidi="en-US"/>
        </w:rPr>
        <w:t>功能简介</w:t>
      </w:r>
    </w:p>
    <w:p w14:paraId="08F55DC9">
      <w:pPr>
        <w:spacing w:line="560" w:lineRule="exact"/>
        <w:ind w:firstLine="600" w:firstLineChars="200"/>
        <w:jc w:val="left"/>
        <w:rPr>
          <w:rFonts w:ascii="仿宋_GB2312" w:hAnsi="宋体" w:eastAsia="仿宋_GB2312"/>
          <w:sz w:val="30"/>
          <w:szCs w:val="30"/>
        </w:rPr>
      </w:pPr>
      <w:r>
        <w:rPr>
          <w:rFonts w:hint="eastAsia" w:ascii="仿宋_GB2312" w:eastAsia="仿宋_GB2312"/>
          <w:sz w:val="30"/>
          <w:szCs w:val="28"/>
        </w:rPr>
        <w:t>上海证券交易所债券担保品处置平台</w:t>
      </w:r>
      <w:r>
        <w:rPr>
          <w:rFonts w:hint="eastAsia" w:ascii="仿宋_GB2312" w:hAnsi="宋体" w:eastAsia="仿宋_GB2312"/>
          <w:sz w:val="30"/>
          <w:szCs w:val="30"/>
        </w:rPr>
        <w:t>，专门用于债券质押类融资业务违约后的</w:t>
      </w:r>
      <w:r>
        <w:rPr>
          <w:rFonts w:hint="eastAsia" w:ascii="仿宋_GB2312" w:eastAsia="仿宋_GB2312"/>
          <w:sz w:val="30"/>
          <w:szCs w:val="28"/>
        </w:rPr>
        <w:t>债券担保品快速处置</w:t>
      </w:r>
      <w:r>
        <w:rPr>
          <w:rFonts w:hint="eastAsia" w:ascii="仿宋_GB2312" w:hAnsi="宋体" w:eastAsia="仿宋_GB2312"/>
          <w:sz w:val="30"/>
          <w:szCs w:val="30"/>
        </w:rPr>
        <w:t>。处置平台功能健全、系统稳定，可为债券担保品处置提供有效的技术保障。</w:t>
      </w:r>
    </w:p>
    <w:p w14:paraId="0211E1F7">
      <w:pPr>
        <w:pStyle w:val="92"/>
        <w:ind w:left="159" w:leftChars="76" w:firstLine="600"/>
        <w:rPr>
          <w:rFonts w:ascii="黑体" w:hAnsi="黑体" w:eastAsia="黑体"/>
          <w:sz w:val="30"/>
          <w:szCs w:val="30"/>
          <w:lang w:eastAsia="zh-CN"/>
        </w:rPr>
      </w:pPr>
      <w:r>
        <w:rPr>
          <w:rFonts w:hint="eastAsia" w:ascii="黑体" w:hAnsi="黑体" w:eastAsia="黑体"/>
          <w:sz w:val="30"/>
          <w:szCs w:val="30"/>
          <w:lang w:eastAsia="zh-CN"/>
        </w:rPr>
        <w:t>一、处置平台功能要点</w:t>
      </w:r>
    </w:p>
    <w:p w14:paraId="661C465B">
      <w:pPr>
        <w:spacing w:line="600" w:lineRule="exact"/>
        <w:ind w:firstLine="600" w:firstLineChars="200"/>
        <w:rPr>
          <w:rFonts w:ascii="仿宋_GB2312" w:hAnsi="宋体" w:eastAsia="仿宋_GB2312"/>
          <w:b/>
          <w:sz w:val="30"/>
          <w:szCs w:val="30"/>
        </w:rPr>
      </w:pPr>
      <w:r>
        <w:rPr>
          <w:rFonts w:hint="eastAsia" w:ascii="仿宋_GB2312" w:hAnsi="宋体" w:eastAsia="仿宋_GB2312"/>
          <w:sz w:val="30"/>
          <w:szCs w:val="30"/>
        </w:rPr>
        <w:t xml:space="preserve"> </w:t>
      </w:r>
      <w:bookmarkStart w:id="4189" w:name="_Toc446332677"/>
      <w:bookmarkEnd w:id="4189"/>
      <w:bookmarkStart w:id="4190" w:name="_Toc446191711"/>
      <w:bookmarkEnd w:id="4190"/>
      <w:bookmarkStart w:id="4191" w:name="_Toc446331224"/>
      <w:bookmarkEnd w:id="4191"/>
      <w:r>
        <w:rPr>
          <w:rFonts w:hint="eastAsia" w:ascii="仿宋_GB2312" w:hAnsi="宋体" w:eastAsia="仿宋_GB2312"/>
          <w:b/>
          <w:sz w:val="30"/>
          <w:szCs w:val="30"/>
        </w:rPr>
        <w:t>（一）支持多种报价团模式</w:t>
      </w:r>
    </w:p>
    <w:p w14:paraId="195FE3D3">
      <w:pPr>
        <w:pStyle w:val="92"/>
        <w:ind w:left="159" w:leftChars="76" w:firstLine="600"/>
        <w:rPr>
          <w:rFonts w:ascii="仿宋_GB2312" w:eastAsia="仿宋_GB2312"/>
          <w:sz w:val="30"/>
          <w:szCs w:val="28"/>
          <w:lang w:eastAsia="zh-CN"/>
        </w:rPr>
      </w:pPr>
      <w:r>
        <w:rPr>
          <w:rFonts w:hint="eastAsia" w:ascii="仿宋_GB2312" w:eastAsia="仿宋_GB2312"/>
          <w:sz w:val="30"/>
          <w:szCs w:val="28"/>
          <w:lang w:eastAsia="zh-CN"/>
        </w:rPr>
        <w:t>处置平台对每次处置既支持全部的合格报价团参与报价，也支持指定报价团成员参与报价。</w:t>
      </w:r>
    </w:p>
    <w:p w14:paraId="26EBABE7">
      <w:pPr>
        <w:spacing w:line="600" w:lineRule="exact"/>
        <w:ind w:firstLine="751" w:firstLineChars="250"/>
        <w:rPr>
          <w:rFonts w:ascii="仿宋_GB2312" w:hAnsi="宋体" w:eastAsia="仿宋_GB2312"/>
          <w:b/>
          <w:sz w:val="30"/>
          <w:szCs w:val="30"/>
        </w:rPr>
      </w:pPr>
      <w:r>
        <w:rPr>
          <w:rFonts w:hint="eastAsia" w:ascii="仿宋_GB2312" w:hAnsi="宋体" w:eastAsia="仿宋_GB2312"/>
          <w:b/>
          <w:sz w:val="30"/>
          <w:szCs w:val="30"/>
        </w:rPr>
        <w:t>（二）支持多种处置模式</w:t>
      </w:r>
    </w:p>
    <w:p w14:paraId="0252CBB1">
      <w:pPr>
        <w:pStyle w:val="92"/>
        <w:ind w:left="159" w:leftChars="76" w:firstLine="600"/>
        <w:rPr>
          <w:rFonts w:ascii="仿宋_GB2312" w:eastAsia="仿宋_GB2312"/>
          <w:sz w:val="30"/>
          <w:szCs w:val="28"/>
          <w:lang w:eastAsia="zh-CN"/>
        </w:rPr>
      </w:pPr>
      <w:r>
        <w:rPr>
          <w:rFonts w:hint="eastAsia" w:ascii="仿宋_GB2312" w:eastAsia="仿宋_GB2312"/>
          <w:sz w:val="30"/>
          <w:szCs w:val="28"/>
          <w:lang w:eastAsia="zh-CN"/>
        </w:rPr>
        <w:t>处置平台支持单只债券分别进行处置，也支持将多只债券以资产包形式进行处置。单只债券处置时，采取荷兰式招标原则。资产包处置时，报价团成员对单个处置资产包报价，采取“价高者得”的中标原则，相同报价时，申报时间优先者得。</w:t>
      </w:r>
    </w:p>
    <w:p w14:paraId="6BF3FD10">
      <w:pPr>
        <w:pStyle w:val="92"/>
        <w:ind w:left="159" w:leftChars="76" w:firstLine="600"/>
        <w:rPr>
          <w:rFonts w:ascii="仿宋_GB2312" w:eastAsia="仿宋_GB2312"/>
          <w:sz w:val="30"/>
          <w:szCs w:val="28"/>
          <w:lang w:eastAsia="zh-CN"/>
        </w:rPr>
      </w:pPr>
      <w:r>
        <w:rPr>
          <w:rFonts w:hint="eastAsia" w:ascii="仿宋_GB2312" w:eastAsia="仿宋_GB2312"/>
          <w:sz w:val="30"/>
          <w:szCs w:val="28"/>
          <w:lang w:eastAsia="zh-CN"/>
        </w:rPr>
        <w:t>处置时，每个报价团成员限定只能投单一标位。</w:t>
      </w:r>
    </w:p>
    <w:p w14:paraId="2BEB0C4B">
      <w:pPr>
        <w:ind w:firstLine="781"/>
        <w:rPr>
          <w:rFonts w:ascii="仿宋_GB2312" w:hAnsi="宋体" w:eastAsia="仿宋_GB2312"/>
          <w:sz w:val="30"/>
          <w:szCs w:val="30"/>
        </w:rPr>
      </w:pPr>
      <w:r>
        <w:rPr>
          <w:rFonts w:hint="eastAsia" w:ascii="仿宋_GB2312" w:hAnsi="宋体" w:eastAsia="仿宋_GB2312"/>
          <w:b/>
          <w:sz w:val="30"/>
          <w:szCs w:val="30"/>
        </w:rPr>
        <w:t>（三）支持多期处置同时进行。</w:t>
      </w:r>
      <w:r>
        <w:rPr>
          <w:rFonts w:hint="eastAsia" w:ascii="仿宋_GB2312" w:eastAsia="仿宋_GB2312"/>
          <w:sz w:val="30"/>
          <w:szCs w:val="28"/>
        </w:rPr>
        <w:t>处置平台</w:t>
      </w:r>
      <w:r>
        <w:rPr>
          <w:rFonts w:hint="eastAsia" w:ascii="仿宋_GB2312" w:hAnsi="宋体" w:eastAsia="仿宋_GB2312"/>
          <w:sz w:val="30"/>
          <w:szCs w:val="30"/>
        </w:rPr>
        <w:t>在各处置场所配置终端，支持多期</w:t>
      </w:r>
      <w:r>
        <w:rPr>
          <w:rFonts w:hint="eastAsia" w:ascii="仿宋_GB2312" w:eastAsia="仿宋_GB2312"/>
          <w:sz w:val="30"/>
          <w:szCs w:val="28"/>
        </w:rPr>
        <w:t>债券担保品处置</w:t>
      </w:r>
      <w:r>
        <w:rPr>
          <w:rFonts w:hint="eastAsia" w:ascii="仿宋_GB2312" w:hAnsi="宋体" w:eastAsia="仿宋_GB2312"/>
          <w:sz w:val="30"/>
          <w:szCs w:val="30"/>
        </w:rPr>
        <w:t>同时进行处置。</w:t>
      </w:r>
    </w:p>
    <w:p w14:paraId="4A79479A">
      <w:pPr>
        <w:pStyle w:val="92"/>
        <w:ind w:left="159" w:leftChars="76" w:firstLine="602"/>
        <w:rPr>
          <w:rFonts w:ascii="仿宋_GB2312" w:hAnsi="宋体" w:eastAsia="仿宋_GB2312"/>
          <w:sz w:val="30"/>
          <w:szCs w:val="30"/>
          <w:lang w:eastAsia="zh-CN"/>
        </w:rPr>
      </w:pPr>
      <w:r>
        <w:rPr>
          <w:rFonts w:hint="eastAsia" w:ascii="仿宋_GB2312" w:hAnsi="宋体" w:eastAsia="仿宋_GB2312"/>
          <w:b/>
          <w:sz w:val="30"/>
          <w:szCs w:val="30"/>
          <w:lang w:eastAsia="zh-CN"/>
        </w:rPr>
        <w:t>（四）提供报价信息及其查询</w:t>
      </w:r>
      <w:r>
        <w:rPr>
          <w:rFonts w:hint="eastAsia" w:ascii="仿宋_GB2312" w:hAnsi="宋体" w:eastAsia="仿宋_GB2312"/>
          <w:sz w:val="30"/>
          <w:szCs w:val="30"/>
          <w:lang w:eastAsia="zh-CN"/>
        </w:rPr>
        <w:t>。处置前，</w:t>
      </w:r>
      <w:r>
        <w:rPr>
          <w:rFonts w:hint="eastAsia" w:ascii="仿宋_GB2312" w:eastAsia="仿宋_GB2312"/>
          <w:sz w:val="30"/>
          <w:szCs w:val="28"/>
          <w:lang w:eastAsia="zh-CN"/>
        </w:rPr>
        <w:t>处置平台</w:t>
      </w:r>
      <w:r>
        <w:rPr>
          <w:rFonts w:hint="eastAsia" w:ascii="仿宋_GB2312" w:hAnsi="宋体" w:eastAsia="仿宋_GB2312"/>
          <w:sz w:val="30"/>
          <w:szCs w:val="30"/>
          <w:lang w:eastAsia="zh-CN"/>
        </w:rPr>
        <w:t>发布当期处置的基本信息，包括处置方名称、处置担保品信息、处置模式、报价团模式等相关信息，供报价团成员使用。处置后，</w:t>
      </w:r>
      <w:r>
        <w:rPr>
          <w:rFonts w:hint="eastAsia" w:ascii="仿宋_GB2312" w:eastAsia="仿宋_GB2312"/>
          <w:sz w:val="30"/>
          <w:szCs w:val="28"/>
          <w:lang w:eastAsia="zh-CN"/>
        </w:rPr>
        <w:t>处置平台</w:t>
      </w:r>
      <w:r>
        <w:rPr>
          <w:rFonts w:hint="eastAsia" w:ascii="仿宋_GB2312" w:hAnsi="宋体" w:eastAsia="仿宋_GB2312"/>
          <w:sz w:val="30"/>
          <w:szCs w:val="30"/>
          <w:lang w:eastAsia="zh-CN"/>
        </w:rPr>
        <w:t>统计并提供当期处置的报价量、中标量等数据，供处置方和报价团成员查询、打印或导出。</w:t>
      </w:r>
    </w:p>
    <w:p w14:paraId="52FABF6B">
      <w:pPr>
        <w:ind w:firstLine="601" w:firstLineChars="200"/>
        <w:rPr>
          <w:rFonts w:ascii="仿宋_GB2312" w:hAnsi="仿宋" w:eastAsia="仿宋_GB2312"/>
          <w:b/>
          <w:sz w:val="30"/>
          <w:szCs w:val="30"/>
        </w:rPr>
      </w:pPr>
      <w:r>
        <w:rPr>
          <w:rFonts w:hint="eastAsia" w:ascii="仿宋_GB2312" w:hAnsi="仿宋" w:eastAsia="仿宋_GB2312"/>
          <w:b/>
          <w:sz w:val="30"/>
          <w:szCs w:val="30"/>
        </w:rPr>
        <w:t>（五）提供担保品处置相关数据报送。</w:t>
      </w:r>
      <w:r>
        <w:rPr>
          <w:rFonts w:hint="eastAsia" w:ascii="仿宋_GB2312" w:hAnsi="仿宋" w:eastAsia="仿宋_GB2312"/>
          <w:sz w:val="30"/>
          <w:szCs w:val="30"/>
        </w:rPr>
        <w:t>处置后，担保品处置平台向参与处置的报价团成员发送各自的处置中标结果。</w:t>
      </w:r>
    </w:p>
    <w:p w14:paraId="3F4C6F7F">
      <w:pPr>
        <w:ind w:firstLine="601" w:firstLineChars="200"/>
        <w:rPr>
          <w:rFonts w:ascii="仿宋_GB2312" w:hAnsi="宋体" w:eastAsia="仿宋_GB2312"/>
          <w:sz w:val="30"/>
          <w:szCs w:val="30"/>
        </w:rPr>
      </w:pPr>
      <w:r>
        <w:rPr>
          <w:rFonts w:hint="eastAsia" w:ascii="仿宋_GB2312" w:hAnsi="仿宋" w:eastAsia="仿宋_GB2312"/>
          <w:b/>
          <w:sz w:val="30"/>
          <w:szCs w:val="30"/>
        </w:rPr>
        <w:t>（六）</w:t>
      </w:r>
      <w:r>
        <w:rPr>
          <w:rFonts w:hint="eastAsia" w:ascii="仿宋_GB2312" w:hAnsi="宋体" w:eastAsia="仿宋_GB2312"/>
          <w:b/>
          <w:sz w:val="30"/>
          <w:szCs w:val="30"/>
        </w:rPr>
        <w:t>提供</w:t>
      </w:r>
      <w:r>
        <w:rPr>
          <w:rFonts w:hint="eastAsia" w:ascii="仿宋_GB2312" w:hAnsi="仿宋" w:eastAsia="仿宋_GB2312"/>
          <w:b/>
          <w:sz w:val="30"/>
          <w:szCs w:val="30"/>
        </w:rPr>
        <w:t>应急报价功能。</w:t>
      </w:r>
      <w:r>
        <w:rPr>
          <w:rFonts w:hint="eastAsia" w:ascii="仿宋_GB2312" w:hAnsi="宋体" w:eastAsia="仿宋_GB2312"/>
          <w:sz w:val="30"/>
          <w:szCs w:val="30"/>
        </w:rPr>
        <w:t>因技术故障等原因，报价团成员可用传真方式进行应急报价。</w:t>
      </w:r>
      <w:r>
        <w:rPr>
          <w:rFonts w:hint="eastAsia" w:ascii="仿宋_GB2312" w:eastAsia="仿宋_GB2312"/>
          <w:sz w:val="30"/>
          <w:szCs w:val="28"/>
        </w:rPr>
        <w:t>处置平台</w:t>
      </w:r>
      <w:r>
        <w:rPr>
          <w:rFonts w:hint="eastAsia" w:ascii="仿宋_GB2312" w:hAnsi="宋体" w:eastAsia="仿宋_GB2312"/>
          <w:sz w:val="30"/>
          <w:szCs w:val="30"/>
        </w:rPr>
        <w:t>提供应急报价的录入功能，由上交所技术支持人员应急录入。</w:t>
      </w:r>
    </w:p>
    <w:p w14:paraId="784244B7">
      <w:pPr>
        <w:spacing w:line="360" w:lineRule="auto"/>
        <w:ind w:firstLine="601" w:firstLineChars="200"/>
        <w:rPr>
          <w:rFonts w:ascii="仿宋_GB2312" w:hAnsi="仿宋" w:eastAsia="仿宋_GB2312"/>
          <w:b/>
          <w:sz w:val="30"/>
          <w:szCs w:val="30"/>
        </w:rPr>
      </w:pPr>
      <w:r>
        <w:rPr>
          <w:rFonts w:hint="eastAsia" w:ascii="仿宋_GB2312" w:hAnsi="宋体" w:eastAsia="仿宋_GB2312"/>
          <w:b/>
          <w:sz w:val="30"/>
          <w:szCs w:val="30"/>
        </w:rPr>
        <w:t>（七）实现处置情况即时全面</w:t>
      </w:r>
      <w:r>
        <w:rPr>
          <w:rFonts w:hint="eastAsia" w:ascii="仿宋_GB2312" w:hAnsi="仿宋" w:eastAsia="仿宋_GB2312"/>
          <w:b/>
          <w:sz w:val="30"/>
          <w:szCs w:val="30"/>
        </w:rPr>
        <w:t>展示。</w:t>
      </w:r>
      <w:r>
        <w:rPr>
          <w:rFonts w:hint="eastAsia" w:ascii="仿宋_GB2312" w:eastAsia="仿宋_GB2312"/>
          <w:sz w:val="30"/>
          <w:szCs w:val="28"/>
        </w:rPr>
        <w:t>处置平台</w:t>
      </w:r>
      <w:r>
        <w:rPr>
          <w:rFonts w:hint="eastAsia" w:ascii="仿宋_GB2312" w:hAnsi="仿宋" w:eastAsia="仿宋_GB2312"/>
          <w:sz w:val="30"/>
          <w:szCs w:val="30"/>
        </w:rPr>
        <w:t>即时、全面展示</w:t>
      </w:r>
      <w:r>
        <w:rPr>
          <w:rFonts w:hint="eastAsia" w:ascii="仿宋_GB2312" w:hAnsi="宋体" w:eastAsia="仿宋_GB2312"/>
          <w:sz w:val="30"/>
          <w:szCs w:val="30"/>
        </w:rPr>
        <w:t>每一报价团成员的报价数量、报价价格、报价时间等相关信息，供处置方掌握</w:t>
      </w:r>
      <w:r>
        <w:rPr>
          <w:rFonts w:hint="eastAsia" w:ascii="仿宋_GB2312" w:eastAsia="仿宋_GB2312"/>
          <w:sz w:val="30"/>
          <w:szCs w:val="28"/>
        </w:rPr>
        <w:t>担保品处置</w:t>
      </w:r>
      <w:r>
        <w:rPr>
          <w:rFonts w:hint="eastAsia" w:ascii="仿宋_GB2312" w:hAnsi="宋体" w:eastAsia="仿宋_GB2312"/>
          <w:sz w:val="30"/>
          <w:szCs w:val="30"/>
        </w:rPr>
        <w:t>进程和情况。</w:t>
      </w:r>
    </w:p>
    <w:p w14:paraId="3722ADF1">
      <w:pPr>
        <w:spacing w:line="360" w:lineRule="auto"/>
        <w:ind w:firstLine="602" w:firstLineChars="200"/>
        <w:rPr>
          <w:rFonts w:ascii="仿宋_GB2312" w:eastAsia="仿宋_GB2312"/>
          <w:sz w:val="30"/>
          <w:szCs w:val="28"/>
        </w:rPr>
      </w:pPr>
      <w:r>
        <w:rPr>
          <w:rFonts w:hint="eastAsia" w:ascii="黑体" w:eastAsia="黑体"/>
          <w:b/>
          <w:kern w:val="0"/>
          <w:sz w:val="30"/>
          <w:szCs w:val="30"/>
          <w:lang w:val="zh-CN"/>
        </w:rPr>
        <w:t>二、处置平台使用要点</w:t>
      </w:r>
    </w:p>
    <w:p w14:paraId="352AD3E5">
      <w:pPr>
        <w:spacing w:line="360" w:lineRule="auto"/>
        <w:ind w:firstLine="601" w:firstLineChars="200"/>
        <w:rPr>
          <w:rFonts w:ascii="仿宋_GB2312" w:hAnsi="宋体" w:eastAsia="仿宋_GB2312"/>
          <w:sz w:val="30"/>
          <w:szCs w:val="30"/>
        </w:rPr>
      </w:pPr>
      <w:r>
        <w:rPr>
          <w:rFonts w:hint="eastAsia" w:ascii="仿宋_GB2312" w:hAnsi="仿宋" w:eastAsia="仿宋_GB2312"/>
          <w:b/>
          <w:sz w:val="30"/>
          <w:szCs w:val="30"/>
        </w:rPr>
        <w:t>（一）登录方式。</w:t>
      </w:r>
      <w:r>
        <w:rPr>
          <w:rFonts w:hint="eastAsia" w:ascii="仿宋_GB2312" w:hAnsi="宋体" w:eastAsia="仿宋_GB2312"/>
          <w:sz w:val="30"/>
          <w:szCs w:val="30"/>
        </w:rPr>
        <w:t>报价团成员等用户使用上交所配发的CA证书，通过互联网远程登录处置平台，不需另外部署专门设备和专门线路。</w:t>
      </w:r>
    </w:p>
    <w:p w14:paraId="3CEBB1E1">
      <w:pPr>
        <w:spacing w:line="360" w:lineRule="auto"/>
        <w:ind w:firstLine="601" w:firstLineChars="200"/>
        <w:rPr>
          <w:rFonts w:ascii="仿宋_GB2312" w:hAnsi="宋体" w:eastAsia="仿宋_GB2312"/>
          <w:sz w:val="30"/>
          <w:szCs w:val="30"/>
        </w:rPr>
      </w:pPr>
      <w:r>
        <w:rPr>
          <w:rFonts w:hint="eastAsia" w:ascii="仿宋_GB2312" w:hAnsi="仿宋" w:eastAsia="仿宋_GB2312"/>
          <w:b/>
          <w:sz w:val="30"/>
          <w:szCs w:val="30"/>
        </w:rPr>
        <w:t>（二）用户使用。</w:t>
      </w:r>
      <w:r>
        <w:rPr>
          <w:rFonts w:hint="eastAsia" w:ascii="仿宋_GB2312" w:hAnsi="仿宋" w:eastAsia="仿宋_GB2312"/>
          <w:sz w:val="30"/>
          <w:szCs w:val="30"/>
        </w:rPr>
        <w:t>使用</w:t>
      </w:r>
      <w:r>
        <w:rPr>
          <w:rFonts w:hint="eastAsia" w:ascii="仿宋_GB2312" w:eastAsia="仿宋_GB2312"/>
          <w:sz w:val="30"/>
          <w:szCs w:val="28"/>
        </w:rPr>
        <w:t>处置平台</w:t>
      </w:r>
      <w:r>
        <w:rPr>
          <w:rFonts w:hint="eastAsia" w:ascii="仿宋_GB2312" w:hAnsi="宋体" w:eastAsia="仿宋_GB2312"/>
          <w:sz w:val="30"/>
          <w:szCs w:val="30"/>
        </w:rPr>
        <w:t>的用户包括处置方用户、报价团成员用户和交易所用户。</w:t>
      </w:r>
    </w:p>
    <w:p w14:paraId="62715DE7">
      <w:pPr>
        <w:spacing w:line="360" w:lineRule="auto"/>
        <w:ind w:firstLine="600" w:firstLineChars="200"/>
        <w:rPr>
          <w:rFonts w:ascii="仿宋_GB2312" w:hAnsi="宋体" w:eastAsia="仿宋_GB2312"/>
          <w:sz w:val="30"/>
          <w:szCs w:val="30"/>
        </w:rPr>
      </w:pPr>
      <w:r>
        <w:rPr>
          <w:rFonts w:ascii="仿宋_GB2312" w:hAnsi="宋体" w:eastAsia="仿宋_GB2312"/>
          <w:sz w:val="30"/>
          <w:szCs w:val="30"/>
        </w:rPr>
        <w:t>1、</w:t>
      </w:r>
      <w:r>
        <w:rPr>
          <w:rFonts w:hint="eastAsia" w:ascii="仿宋_GB2312" w:hAnsi="宋体" w:eastAsia="仿宋_GB2312"/>
          <w:sz w:val="30"/>
          <w:szCs w:val="30"/>
        </w:rPr>
        <w:t>处置方用户。处置方在进行担保品处置前，在</w:t>
      </w:r>
      <w:r>
        <w:rPr>
          <w:rFonts w:hint="eastAsia" w:ascii="仿宋_GB2312" w:eastAsia="仿宋_GB2312"/>
          <w:sz w:val="30"/>
          <w:szCs w:val="28"/>
        </w:rPr>
        <w:t>担保品处置平台</w:t>
      </w:r>
      <w:r>
        <w:rPr>
          <w:rFonts w:hint="eastAsia" w:ascii="仿宋_GB2312" w:hAnsi="宋体" w:eastAsia="仿宋_GB2312"/>
          <w:sz w:val="30"/>
          <w:szCs w:val="30"/>
        </w:rPr>
        <w:t>确认上交所技术支持人员事先录入的</w:t>
      </w:r>
      <w:r>
        <w:rPr>
          <w:rFonts w:hint="eastAsia" w:ascii="仿宋_GB2312" w:eastAsia="仿宋_GB2312"/>
          <w:sz w:val="30"/>
          <w:szCs w:val="28"/>
        </w:rPr>
        <w:t>担保品处置</w:t>
      </w:r>
      <w:r>
        <w:rPr>
          <w:rFonts w:hint="eastAsia" w:ascii="仿宋_GB2312" w:hAnsi="宋体" w:eastAsia="仿宋_GB2312"/>
          <w:sz w:val="30"/>
          <w:szCs w:val="30"/>
        </w:rPr>
        <w:t>要素并通过系统发布；处置中通过上交所设立的处置场所，实时监测、掌握报价进程；处置后向中标报价团成员发布中标结果，查询投标和中标情况。</w:t>
      </w:r>
    </w:p>
    <w:p w14:paraId="474DE4EC">
      <w:pPr>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2、报价团成员用户。报价团成员在处置中，使用</w:t>
      </w:r>
      <w:r>
        <w:rPr>
          <w:rFonts w:hint="eastAsia" w:ascii="仿宋_GB2312" w:eastAsia="仿宋_GB2312"/>
          <w:sz w:val="30"/>
          <w:szCs w:val="28"/>
        </w:rPr>
        <w:t>处置平台</w:t>
      </w:r>
      <w:r>
        <w:rPr>
          <w:rFonts w:hint="eastAsia" w:ascii="仿宋_GB2312" w:hAnsi="宋体" w:eastAsia="仿宋_GB2312"/>
          <w:sz w:val="30"/>
          <w:szCs w:val="30"/>
        </w:rPr>
        <w:t>报价；处置后通过</w:t>
      </w:r>
      <w:r>
        <w:rPr>
          <w:rFonts w:hint="eastAsia" w:ascii="仿宋_GB2312" w:eastAsia="仿宋_GB2312"/>
          <w:sz w:val="30"/>
          <w:szCs w:val="28"/>
        </w:rPr>
        <w:t>处置平台</w:t>
      </w:r>
      <w:r>
        <w:rPr>
          <w:rFonts w:hint="eastAsia" w:ascii="仿宋_GB2312" w:hAnsi="宋体" w:eastAsia="仿宋_GB2312"/>
          <w:sz w:val="30"/>
          <w:szCs w:val="30"/>
        </w:rPr>
        <w:t>查看中标结果，录入债券托管数据。报价团成员需具有中国证券登记结算有限责任公司或其他债券登记结算机构开立的债券账户。</w:t>
      </w:r>
    </w:p>
    <w:p w14:paraId="3FCB2A47">
      <w:pPr>
        <w:spacing w:line="360" w:lineRule="auto"/>
        <w:ind w:firstLine="600" w:firstLineChars="200"/>
        <w:rPr>
          <w:rFonts w:ascii="仿宋_GB2312" w:hAnsi="宋体" w:eastAsia="仿宋_GB2312"/>
          <w:sz w:val="30"/>
          <w:szCs w:val="30"/>
        </w:rPr>
      </w:pPr>
      <w:r>
        <w:rPr>
          <w:rFonts w:hint="eastAsia" w:ascii="仿宋_GB2312" w:hAnsi="宋体" w:eastAsia="仿宋_GB2312"/>
          <w:sz w:val="30"/>
          <w:szCs w:val="30"/>
        </w:rPr>
        <w:t>3、交易所用户。上交所技术支持人员处置前在</w:t>
      </w:r>
      <w:r>
        <w:rPr>
          <w:rFonts w:hint="eastAsia" w:ascii="仿宋_GB2312" w:eastAsia="仿宋_GB2312"/>
          <w:sz w:val="30"/>
          <w:szCs w:val="28"/>
        </w:rPr>
        <w:t>处置平台</w:t>
      </w:r>
      <w:r>
        <w:rPr>
          <w:rFonts w:hint="eastAsia" w:ascii="仿宋_GB2312" w:hAnsi="宋体" w:eastAsia="仿宋_GB2312"/>
          <w:sz w:val="30"/>
          <w:szCs w:val="30"/>
        </w:rPr>
        <w:t>场务端录入处置要素；处置中和处置后根据应急报价的情况，录入相应数据等。缴款完成收到处置方的资金到账确认书后，将资金到账情况录入</w:t>
      </w:r>
      <w:r>
        <w:rPr>
          <w:rFonts w:hint="eastAsia" w:ascii="仿宋_GB2312" w:eastAsia="仿宋_GB2312"/>
          <w:sz w:val="30"/>
          <w:szCs w:val="28"/>
        </w:rPr>
        <w:t>处置平台。</w:t>
      </w:r>
    </w:p>
    <w:p w14:paraId="4297E3D4">
      <w:pPr>
        <w:spacing w:line="360" w:lineRule="auto"/>
        <w:ind w:firstLine="601" w:firstLineChars="200"/>
        <w:rPr>
          <w:rFonts w:ascii="仿宋_GB2312" w:hAnsi="宋体" w:eastAsia="仿宋_GB2312"/>
          <w:sz w:val="30"/>
          <w:szCs w:val="30"/>
        </w:rPr>
      </w:pPr>
      <w:r>
        <w:rPr>
          <w:rFonts w:hint="eastAsia" w:ascii="仿宋_GB2312" w:hAnsi="仿宋" w:eastAsia="仿宋_GB2312"/>
          <w:b/>
          <w:sz w:val="30"/>
          <w:szCs w:val="30"/>
        </w:rPr>
        <w:t>（三）主要操作流程。</w:t>
      </w:r>
      <w:r>
        <w:rPr>
          <w:rFonts w:hint="eastAsia" w:ascii="仿宋_GB2312" w:hAnsi="宋体" w:eastAsia="仿宋_GB2312"/>
          <w:sz w:val="30"/>
          <w:szCs w:val="30"/>
        </w:rPr>
        <w:t>在</w:t>
      </w:r>
      <w:r>
        <w:rPr>
          <w:rFonts w:hint="eastAsia" w:ascii="仿宋_GB2312" w:eastAsia="仿宋_GB2312"/>
          <w:sz w:val="30"/>
          <w:szCs w:val="28"/>
        </w:rPr>
        <w:t>处置平台</w:t>
      </w:r>
      <w:r>
        <w:rPr>
          <w:rFonts w:hint="eastAsia" w:ascii="仿宋_GB2312" w:hAnsi="宋体" w:eastAsia="仿宋_GB2312"/>
          <w:sz w:val="30"/>
          <w:szCs w:val="30"/>
        </w:rPr>
        <w:t>进行担保品处置的主要操作流程，包括处置准备、处置报价、处置结果产生及确认、资金到账确认等几个环节。</w:t>
      </w:r>
    </w:p>
    <w:p w14:paraId="1D835306">
      <w:pPr>
        <w:spacing w:line="360" w:lineRule="auto"/>
        <w:ind w:firstLine="567"/>
        <w:rPr>
          <w:rFonts w:ascii="仿宋_GB2312" w:hAnsi="宋体" w:eastAsia="仿宋_GB2312"/>
          <w:sz w:val="30"/>
          <w:szCs w:val="30"/>
        </w:rPr>
      </w:pPr>
      <w:r>
        <w:rPr>
          <w:rFonts w:ascii="仿宋_GB2312" w:hAnsi="宋体" w:eastAsia="仿宋_GB2312"/>
          <w:sz w:val="30"/>
          <w:szCs w:val="30"/>
        </w:rPr>
        <w:t>1</w:t>
      </w:r>
      <w:r>
        <w:rPr>
          <w:rFonts w:hint="eastAsia" w:ascii="仿宋_GB2312" w:hAnsi="宋体" w:eastAsia="仿宋_GB2312"/>
          <w:sz w:val="30"/>
          <w:szCs w:val="30"/>
        </w:rPr>
        <w:t>、担保品处置准备。担保品处置的报价团成员登录就绪，上交所技术支持人员在处置平台完成处置标书设定。处置标书要素录入后，处置方登录系统，通过“处置书发布”</w:t>
      </w:r>
      <w:r>
        <w:rPr>
          <w:rFonts w:ascii="仿宋_GB2312" w:hAnsi="宋体" w:eastAsia="仿宋_GB2312"/>
          <w:sz w:val="30"/>
          <w:szCs w:val="30"/>
        </w:rPr>
        <w:t>—</w:t>
      </w:r>
      <w:r>
        <w:rPr>
          <w:rFonts w:hint="eastAsia" w:ascii="仿宋_GB2312" w:hAnsi="宋体" w:eastAsia="仿宋_GB2312"/>
          <w:sz w:val="30"/>
          <w:szCs w:val="30"/>
        </w:rPr>
        <w:t>点击“发布”确认并发布处置标书（图1）。</w:t>
      </w:r>
    </w:p>
    <w:p w14:paraId="4DF0A1D9">
      <w:pPr>
        <w:spacing w:line="360" w:lineRule="auto"/>
        <w:ind w:firstLine="567"/>
        <w:jc w:val="center"/>
        <w:rPr>
          <w:rFonts w:ascii="仿宋_GB2312" w:hAnsi="宋体" w:eastAsia="仿宋_GB2312"/>
          <w:sz w:val="24"/>
          <w:szCs w:val="24"/>
        </w:rPr>
      </w:pPr>
      <w:r>
        <w:rPr>
          <w:rFonts w:ascii="仿宋_GB2312" w:hAnsi="宋体" w:eastAsia="仿宋_GB2312"/>
          <w:sz w:val="24"/>
          <w:szCs w:val="24"/>
        </w:rPr>
        <w:drawing>
          <wp:anchor distT="0" distB="0" distL="114300" distR="114300" simplePos="0" relativeHeight="251660288" behindDoc="0" locked="0" layoutInCell="1" allowOverlap="1">
            <wp:simplePos x="0" y="0"/>
            <wp:positionH relativeFrom="column">
              <wp:posOffset>247650</wp:posOffset>
            </wp:positionH>
            <wp:positionV relativeFrom="paragraph">
              <wp:posOffset>25400</wp:posOffset>
            </wp:positionV>
            <wp:extent cx="5277485" cy="3510915"/>
            <wp:effectExtent l="19050" t="0" r="0" b="0"/>
            <wp:wrapTopAndBottom/>
            <wp:docPr id="7" name="图片 5" descr="E:\A. 研究创新\2. 担保品处置平台\操作指南\处置方-发布处置书.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E:\A. 研究创新\2. 担保品处置平台\操作指南\处置方-发布处置书.png"/>
                    <pic:cNvPicPr>
                      <a:picLocks noChangeAspect="1" noChangeArrowheads="1"/>
                    </pic:cNvPicPr>
                  </pic:nvPicPr>
                  <pic:blipFill>
                    <a:blip r:embed="rId13" cstate="print"/>
                    <a:srcRect/>
                    <a:stretch>
                      <a:fillRect/>
                    </a:stretch>
                  </pic:blipFill>
                  <pic:spPr>
                    <a:xfrm>
                      <a:off x="0" y="0"/>
                      <a:ext cx="5277485" cy="3510915"/>
                    </a:xfrm>
                    <a:prstGeom prst="rect">
                      <a:avLst/>
                    </a:prstGeom>
                    <a:noFill/>
                    <a:ln w="9525">
                      <a:noFill/>
                      <a:miter lim="800000"/>
                      <a:headEnd/>
                      <a:tailEnd/>
                    </a:ln>
                  </pic:spPr>
                </pic:pic>
              </a:graphicData>
            </a:graphic>
          </wp:anchor>
        </w:drawing>
      </w:r>
      <w:r>
        <w:rPr>
          <w:rFonts w:hint="eastAsia" w:ascii="仿宋_GB2312" w:hAnsi="宋体" w:eastAsia="仿宋_GB2312"/>
          <w:sz w:val="24"/>
          <w:szCs w:val="24"/>
        </w:rPr>
        <w:t>（图</w:t>
      </w:r>
      <w:r>
        <w:rPr>
          <w:rFonts w:ascii="仿宋_GB2312" w:hAnsi="宋体" w:eastAsia="仿宋_GB2312"/>
          <w:sz w:val="24"/>
          <w:szCs w:val="24"/>
        </w:rPr>
        <w:t>1）</w:t>
      </w:r>
    </w:p>
    <w:p w14:paraId="42471C8E">
      <w:pPr>
        <w:spacing w:line="360" w:lineRule="auto"/>
        <w:ind w:firstLine="600" w:firstLineChars="200"/>
        <w:rPr>
          <w:rFonts w:ascii="仿宋_GB2312" w:hAnsi="宋体" w:eastAsia="仿宋_GB2312"/>
          <w:sz w:val="30"/>
          <w:szCs w:val="30"/>
        </w:rPr>
      </w:pPr>
      <w:r>
        <w:rPr>
          <w:rFonts w:ascii="仿宋_GB2312" w:hAnsi="宋体" w:eastAsia="仿宋_GB2312"/>
          <w:sz w:val="30"/>
          <w:szCs w:val="30"/>
        </w:rPr>
        <w:drawing>
          <wp:anchor distT="0" distB="0" distL="114300" distR="114300" simplePos="0" relativeHeight="251659264" behindDoc="0" locked="0" layoutInCell="1" allowOverlap="1">
            <wp:simplePos x="0" y="0"/>
            <wp:positionH relativeFrom="column">
              <wp:posOffset>273050</wp:posOffset>
            </wp:positionH>
            <wp:positionV relativeFrom="paragraph">
              <wp:posOffset>1212850</wp:posOffset>
            </wp:positionV>
            <wp:extent cx="5277485" cy="3510915"/>
            <wp:effectExtent l="19050" t="0" r="0" b="0"/>
            <wp:wrapTopAndBottom/>
            <wp:docPr id="8" name="图片 6" descr="E:\A. 研究创新\2. 担保品处置平台\操作指南\报价方-查看报价书.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E:\A. 研究创新\2. 担保品处置平台\操作指南\报价方-查看报价书.png"/>
                    <pic:cNvPicPr>
                      <a:picLocks noChangeAspect="1" noChangeArrowheads="1"/>
                    </pic:cNvPicPr>
                  </pic:nvPicPr>
                  <pic:blipFill>
                    <a:blip r:embed="rId14" cstate="print"/>
                    <a:srcRect/>
                    <a:stretch>
                      <a:fillRect/>
                    </a:stretch>
                  </pic:blipFill>
                  <pic:spPr>
                    <a:xfrm>
                      <a:off x="0" y="0"/>
                      <a:ext cx="5277485" cy="3510915"/>
                    </a:xfrm>
                    <a:prstGeom prst="rect">
                      <a:avLst/>
                    </a:prstGeom>
                    <a:noFill/>
                    <a:ln w="9525">
                      <a:noFill/>
                      <a:miter lim="800000"/>
                      <a:headEnd/>
                      <a:tailEnd/>
                    </a:ln>
                  </pic:spPr>
                </pic:pic>
              </a:graphicData>
            </a:graphic>
          </wp:anchor>
        </w:drawing>
      </w:r>
      <w:r>
        <w:rPr>
          <w:rFonts w:hint="eastAsia" w:ascii="仿宋_GB2312" w:hAnsi="宋体" w:eastAsia="仿宋_GB2312"/>
          <w:sz w:val="30"/>
          <w:szCs w:val="30"/>
        </w:rPr>
        <w:t>处置标书要素发布后将自动展示在报价团成员用户端的页面，报价团成员登录后可看到处置标书要素相关信息。状态为“处置中”的处置书可以进行查看或报价（图2）。</w:t>
      </w:r>
    </w:p>
    <w:p w14:paraId="141422B1">
      <w:pPr>
        <w:spacing w:line="360" w:lineRule="auto"/>
        <w:ind w:firstLine="567"/>
        <w:jc w:val="center"/>
        <w:rPr>
          <w:rFonts w:ascii="仿宋_GB2312" w:hAnsi="宋体" w:eastAsia="仿宋_GB2312"/>
          <w:sz w:val="24"/>
          <w:szCs w:val="24"/>
        </w:rPr>
      </w:pPr>
      <w:r>
        <w:rPr>
          <w:rFonts w:hint="eastAsia" w:ascii="仿宋_GB2312" w:hAnsi="宋体" w:eastAsia="仿宋_GB2312"/>
          <w:sz w:val="24"/>
          <w:szCs w:val="24"/>
        </w:rPr>
        <w:t>（图</w:t>
      </w:r>
      <w:r>
        <w:rPr>
          <w:rFonts w:ascii="仿宋_GB2312" w:hAnsi="宋体" w:eastAsia="仿宋_GB2312"/>
          <w:sz w:val="24"/>
          <w:szCs w:val="24"/>
        </w:rPr>
        <w:t>2）</w:t>
      </w:r>
    </w:p>
    <w:p w14:paraId="4F867609">
      <w:pPr>
        <w:spacing w:line="360" w:lineRule="auto"/>
        <w:ind w:firstLine="567"/>
        <w:rPr>
          <w:rFonts w:ascii="仿宋_GB2312" w:hAnsi="宋体" w:eastAsia="仿宋_GB2312"/>
          <w:sz w:val="30"/>
          <w:szCs w:val="30"/>
        </w:rPr>
      </w:pPr>
      <w:r>
        <w:rPr>
          <w:rFonts w:ascii="仿宋_GB2312" w:hAnsi="宋体" w:eastAsia="仿宋_GB2312"/>
          <w:sz w:val="30"/>
          <w:szCs w:val="30"/>
        </w:rPr>
        <w:t>2、</w:t>
      </w:r>
      <w:r>
        <w:rPr>
          <w:rFonts w:hint="eastAsia" w:ascii="仿宋_GB2312" w:hAnsi="宋体" w:eastAsia="仿宋_GB2312"/>
          <w:sz w:val="30"/>
          <w:szCs w:val="30"/>
        </w:rPr>
        <w:t>处置报价</w:t>
      </w:r>
      <w:r>
        <w:rPr>
          <w:rFonts w:ascii="仿宋_GB2312" w:hAnsi="宋体" w:eastAsia="仿宋_GB2312"/>
          <w:sz w:val="30"/>
          <w:szCs w:val="30"/>
        </w:rPr>
        <w:t>。</w:t>
      </w:r>
      <w:r>
        <w:rPr>
          <w:rFonts w:hint="eastAsia" w:ascii="仿宋_GB2312" w:hAnsi="宋体" w:eastAsia="仿宋_GB2312"/>
          <w:sz w:val="30"/>
          <w:szCs w:val="30"/>
        </w:rPr>
        <w:t>报价团成员远程登录处置平台后，在报价团成员用户端录入报价信息，并可对录入的报价信息进行修改、删除、发送和查询，平台对报价信息进行有效性检查。</w:t>
      </w:r>
    </w:p>
    <w:p w14:paraId="7776EDA9">
      <w:pPr>
        <w:spacing w:line="360" w:lineRule="auto"/>
        <w:ind w:firstLine="567"/>
        <w:jc w:val="left"/>
        <w:rPr>
          <w:rFonts w:ascii="仿宋_GB2312" w:hAnsi="宋体" w:eastAsia="仿宋_GB2312"/>
          <w:sz w:val="30"/>
          <w:szCs w:val="30"/>
        </w:rPr>
      </w:pPr>
      <w:r>
        <w:rPr>
          <w:rFonts w:hint="eastAsia" w:ascii="仿宋_GB2312" w:hAnsi="宋体" w:eastAsia="仿宋_GB2312"/>
          <w:sz w:val="30"/>
          <w:szCs w:val="30"/>
        </w:rPr>
        <w:t>报价价位应输入报价面值，且应在报价下限及报价上限范围内报价；报价数量应以“手”为单位输入；报价金额不需要手动输入，为系统自动计算所得，但报价金额应不低于单笔最低报价量。（图3）</w:t>
      </w:r>
      <w:r>
        <w:rPr>
          <w:rFonts w:ascii="仿宋_GB2312" w:hAnsi="宋体" w:eastAsia="仿宋_GB2312"/>
          <w:sz w:val="30"/>
          <w:szCs w:val="30"/>
        </w:rPr>
        <w:drawing>
          <wp:inline distT="0" distB="0" distL="0" distR="0">
            <wp:extent cx="5274310" cy="3512185"/>
            <wp:effectExtent l="19050" t="0" r="2540" b="0"/>
            <wp:docPr id="30" name="图片 2" descr="E:\A. 研究创新\2. 担保品处置平台\操作指南\报价方-输入报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descr="E:\A. 研究创新\2. 担保品处置平台\操作指南\报价方-输入报价.png"/>
                    <pic:cNvPicPr>
                      <a:picLocks noChangeAspect="1" noChangeArrowheads="1"/>
                    </pic:cNvPicPr>
                  </pic:nvPicPr>
                  <pic:blipFill>
                    <a:blip r:embed="rId15" cstate="print"/>
                    <a:srcRect/>
                    <a:stretch>
                      <a:fillRect/>
                    </a:stretch>
                  </pic:blipFill>
                  <pic:spPr>
                    <a:xfrm>
                      <a:off x="0" y="0"/>
                      <a:ext cx="5274310" cy="3512451"/>
                    </a:xfrm>
                    <a:prstGeom prst="rect">
                      <a:avLst/>
                    </a:prstGeom>
                    <a:noFill/>
                    <a:ln w="9525">
                      <a:noFill/>
                      <a:miter lim="800000"/>
                      <a:headEnd/>
                      <a:tailEnd/>
                    </a:ln>
                  </pic:spPr>
                </pic:pic>
              </a:graphicData>
            </a:graphic>
          </wp:inline>
        </w:drawing>
      </w:r>
    </w:p>
    <w:p w14:paraId="6D04B393">
      <w:pPr>
        <w:spacing w:line="360" w:lineRule="auto"/>
        <w:ind w:firstLine="567"/>
        <w:jc w:val="center"/>
        <w:rPr>
          <w:rFonts w:ascii="仿宋_GB2312" w:hAnsi="宋体" w:eastAsia="仿宋_GB2312"/>
          <w:sz w:val="24"/>
          <w:szCs w:val="24"/>
        </w:rPr>
      </w:pPr>
      <w:r>
        <w:rPr>
          <w:rFonts w:hint="eastAsia" w:ascii="仿宋_GB2312" w:hAnsi="宋体" w:eastAsia="仿宋_GB2312"/>
          <w:sz w:val="24"/>
          <w:szCs w:val="24"/>
        </w:rPr>
        <w:t>（图</w:t>
      </w:r>
      <w:r>
        <w:rPr>
          <w:rFonts w:ascii="仿宋_GB2312" w:hAnsi="宋体" w:eastAsia="仿宋_GB2312"/>
          <w:sz w:val="24"/>
          <w:szCs w:val="24"/>
        </w:rPr>
        <w:t>3）</w:t>
      </w:r>
    </w:p>
    <w:p w14:paraId="790DBD2A">
      <w:pPr>
        <w:spacing w:line="360" w:lineRule="auto"/>
        <w:ind w:firstLine="567"/>
        <w:rPr>
          <w:rFonts w:ascii="仿宋_GB2312" w:hAnsi="宋体" w:eastAsia="仿宋_GB2312"/>
          <w:sz w:val="30"/>
          <w:szCs w:val="30"/>
        </w:rPr>
      </w:pPr>
      <w:r>
        <w:rPr>
          <w:rFonts w:hint="eastAsia" w:ascii="仿宋_GB2312" w:hAnsi="宋体" w:eastAsia="仿宋_GB2312"/>
          <w:sz w:val="30"/>
          <w:szCs w:val="30"/>
        </w:rPr>
        <w:t>报价成功后，返回主页面，可以在处置截止时间之前修改或撤销报价。点击“修改报价”，将返回输入报价页面进行修改确认。点击“撤销报价”，将会弹出确认框，点击“确认”即可撤销报价。</w:t>
      </w:r>
    </w:p>
    <w:p w14:paraId="388EF884">
      <w:pPr>
        <w:spacing w:line="360" w:lineRule="auto"/>
        <w:ind w:firstLine="567"/>
        <w:jc w:val="center"/>
        <w:rPr>
          <w:rFonts w:ascii="仿宋_GB2312" w:hAnsi="宋体" w:eastAsia="仿宋_GB2312"/>
          <w:sz w:val="24"/>
          <w:szCs w:val="24"/>
        </w:rPr>
      </w:pPr>
      <w:r>
        <w:rPr>
          <w:rFonts w:ascii="仿宋_GB2312" w:hAnsi="宋体" w:eastAsia="仿宋_GB2312"/>
          <w:sz w:val="24"/>
          <w:szCs w:val="24"/>
        </w:rPr>
        <w:drawing>
          <wp:anchor distT="0" distB="0" distL="114300" distR="114300" simplePos="0" relativeHeight="251661312" behindDoc="0" locked="0" layoutInCell="1" allowOverlap="1">
            <wp:simplePos x="0" y="0"/>
            <wp:positionH relativeFrom="column">
              <wp:posOffset>247650</wp:posOffset>
            </wp:positionH>
            <wp:positionV relativeFrom="paragraph">
              <wp:posOffset>25400</wp:posOffset>
            </wp:positionV>
            <wp:extent cx="5277485" cy="3510915"/>
            <wp:effectExtent l="19050" t="0" r="0" b="0"/>
            <wp:wrapTopAndBottom/>
            <wp:docPr id="11" name="图片 9" descr="E:\A. 研究创新\2. 担保品处置平台\操作指南\报价方-撤销报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descr="E:\A. 研究创新\2. 担保品处置平台\操作指南\报价方-撤销报价.png"/>
                    <pic:cNvPicPr>
                      <a:picLocks noChangeAspect="1" noChangeArrowheads="1"/>
                    </pic:cNvPicPr>
                  </pic:nvPicPr>
                  <pic:blipFill>
                    <a:blip r:embed="rId16" cstate="print"/>
                    <a:srcRect/>
                    <a:stretch>
                      <a:fillRect/>
                    </a:stretch>
                  </pic:blipFill>
                  <pic:spPr>
                    <a:xfrm>
                      <a:off x="0" y="0"/>
                      <a:ext cx="5277485" cy="3510915"/>
                    </a:xfrm>
                    <a:prstGeom prst="rect">
                      <a:avLst/>
                    </a:prstGeom>
                    <a:noFill/>
                    <a:ln w="9525">
                      <a:noFill/>
                      <a:miter lim="800000"/>
                      <a:headEnd/>
                      <a:tailEnd/>
                    </a:ln>
                  </pic:spPr>
                </pic:pic>
              </a:graphicData>
            </a:graphic>
          </wp:anchor>
        </w:drawing>
      </w:r>
      <w:r>
        <w:rPr>
          <w:rFonts w:hint="eastAsia" w:ascii="仿宋_GB2312" w:hAnsi="宋体" w:eastAsia="仿宋_GB2312"/>
          <w:sz w:val="24"/>
          <w:szCs w:val="24"/>
        </w:rPr>
        <w:t>（图</w:t>
      </w:r>
      <w:r>
        <w:rPr>
          <w:rFonts w:ascii="仿宋_GB2312" w:hAnsi="宋体" w:eastAsia="仿宋_GB2312"/>
          <w:sz w:val="24"/>
          <w:szCs w:val="24"/>
        </w:rPr>
        <w:t>4）</w:t>
      </w:r>
    </w:p>
    <w:p w14:paraId="3444DBE9">
      <w:pPr>
        <w:spacing w:line="360" w:lineRule="auto"/>
        <w:ind w:firstLine="567"/>
        <w:rPr>
          <w:rFonts w:ascii="仿宋_GB2312" w:hAnsi="宋体" w:eastAsia="仿宋_GB2312"/>
          <w:sz w:val="30"/>
          <w:szCs w:val="30"/>
        </w:rPr>
      </w:pPr>
      <w:r>
        <w:rPr>
          <w:rFonts w:hint="eastAsia" w:ascii="仿宋_GB2312" w:hAnsi="宋体" w:eastAsia="仿宋_GB2312"/>
          <w:sz w:val="30"/>
          <w:szCs w:val="30"/>
        </w:rPr>
        <w:t>应急报价的，报价方</w:t>
      </w:r>
      <w:r>
        <w:rPr>
          <w:rFonts w:hint="eastAsia" w:ascii="仿宋_GB2312" w:eastAsia="仿宋_GB2312"/>
          <w:sz w:val="30"/>
          <w:szCs w:val="30"/>
        </w:rPr>
        <w:t>应当在处置公告确定的报价截止时间前，完整、准确填写《债券担保品处置应急报价书》（格式见服务指引的附件6），并传真到处置场所进行应急报价并电话联系</w:t>
      </w:r>
      <w:r>
        <w:rPr>
          <w:rFonts w:hint="eastAsia" w:ascii="仿宋_GB2312" w:hAnsi="宋体" w:eastAsia="仿宋_GB2312"/>
          <w:sz w:val="30"/>
          <w:szCs w:val="30"/>
        </w:rPr>
        <w:t>上交所技术支持工作人员</w:t>
      </w:r>
      <w:r>
        <w:rPr>
          <w:rFonts w:hint="eastAsia" w:ascii="仿宋_GB2312" w:eastAsia="仿宋_GB2312"/>
          <w:sz w:val="30"/>
          <w:szCs w:val="30"/>
        </w:rPr>
        <w:t>。</w:t>
      </w:r>
      <w:r>
        <w:rPr>
          <w:rFonts w:hint="eastAsia" w:ascii="仿宋_GB2312" w:hAnsi="宋体" w:eastAsia="仿宋_GB2312"/>
          <w:sz w:val="30"/>
          <w:szCs w:val="30"/>
        </w:rPr>
        <w:t>由上交所技术支持工作人员将应急报价信息录入处置平台。</w:t>
      </w:r>
    </w:p>
    <w:p w14:paraId="7811BC91">
      <w:pPr>
        <w:spacing w:line="360" w:lineRule="auto"/>
        <w:ind w:firstLine="567"/>
        <w:rPr>
          <w:rFonts w:ascii="仿宋_GB2312" w:hAnsi="宋体" w:eastAsia="仿宋_GB2312"/>
          <w:b/>
          <w:sz w:val="30"/>
          <w:szCs w:val="30"/>
        </w:rPr>
      </w:pPr>
      <w:r>
        <w:rPr>
          <w:rFonts w:hint="eastAsia" w:ascii="仿宋_GB2312" w:hAnsi="宋体" w:eastAsia="仿宋_GB2312"/>
          <w:sz w:val="30"/>
          <w:szCs w:val="30"/>
        </w:rPr>
        <w:t>3、处置结果产生及确认。处置平台按事先确定的处置模式、中标原则，对有效报价进行汇总、排序和计算，产生处置结果。处置结果经确认后，通过处置平台向各报价团成员发送各自的中标结果。处置方和报价团成员可通过处置平台查询、打印或导出处置相关情况和结果数据。</w:t>
      </w:r>
    </w:p>
    <w:p w14:paraId="2C82D144">
      <w:pPr>
        <w:spacing w:line="360" w:lineRule="auto"/>
        <w:ind w:firstLine="567"/>
        <w:rPr>
          <w:rFonts w:ascii="仿宋_GB2312" w:hAnsi="宋体" w:eastAsia="仿宋_GB2312"/>
          <w:sz w:val="30"/>
          <w:szCs w:val="30"/>
        </w:rPr>
      </w:pPr>
      <w:r>
        <w:rPr>
          <w:rFonts w:hint="eastAsia" w:ascii="仿宋_GB2312" w:hAnsi="宋体" w:eastAsia="仿宋_GB2312"/>
          <w:sz w:val="30"/>
          <w:szCs w:val="30"/>
        </w:rPr>
        <w:t>在处置尚未截止之前，处置方可登陆系统，选择相应的处置书，实时查看报价情况、报价明细并进行中标试算（图5）。</w:t>
      </w:r>
      <w:r>
        <w:rPr>
          <w:rFonts w:ascii="仿宋_GB2312" w:hAnsi="宋体" w:eastAsia="仿宋_GB2312"/>
          <w:sz w:val="30"/>
          <w:szCs w:val="30"/>
        </w:rPr>
        <w:drawing>
          <wp:inline distT="0" distB="0" distL="0" distR="0">
            <wp:extent cx="5274310" cy="3508375"/>
            <wp:effectExtent l="19050" t="0" r="2540" b="0"/>
            <wp:docPr id="9" name="图片 10" descr="E:\A. 研究创新\2. 担保品处置平台\操作指南\处置方-实时查看报价情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descr="E:\A. 研究创新\2. 担保品处置平台\操作指南\处置方-实时查看报价情况.png"/>
                    <pic:cNvPicPr>
                      <a:picLocks noChangeAspect="1" noChangeArrowheads="1"/>
                    </pic:cNvPicPr>
                  </pic:nvPicPr>
                  <pic:blipFill>
                    <a:blip r:embed="rId17" cstate="print"/>
                    <a:srcRect/>
                    <a:stretch>
                      <a:fillRect/>
                    </a:stretch>
                  </pic:blipFill>
                  <pic:spPr>
                    <a:xfrm>
                      <a:off x="0" y="0"/>
                      <a:ext cx="5274310" cy="3508783"/>
                    </a:xfrm>
                    <a:prstGeom prst="rect">
                      <a:avLst/>
                    </a:prstGeom>
                    <a:noFill/>
                    <a:ln w="9525">
                      <a:noFill/>
                      <a:miter lim="800000"/>
                      <a:headEnd/>
                      <a:tailEnd/>
                    </a:ln>
                  </pic:spPr>
                </pic:pic>
              </a:graphicData>
            </a:graphic>
          </wp:inline>
        </w:drawing>
      </w:r>
    </w:p>
    <w:p w14:paraId="0FAC9A1F">
      <w:pPr>
        <w:spacing w:line="360" w:lineRule="auto"/>
        <w:ind w:firstLine="567"/>
        <w:jc w:val="center"/>
        <w:rPr>
          <w:rFonts w:ascii="仿宋_GB2312" w:hAnsi="宋体" w:eastAsia="仿宋_GB2312"/>
          <w:sz w:val="24"/>
          <w:szCs w:val="24"/>
        </w:rPr>
      </w:pPr>
      <w:r>
        <w:rPr>
          <w:rFonts w:hint="eastAsia" w:ascii="仿宋_GB2312" w:hAnsi="宋体" w:eastAsia="仿宋_GB2312"/>
          <w:sz w:val="24"/>
          <w:szCs w:val="24"/>
        </w:rPr>
        <w:t>（图</w:t>
      </w:r>
      <w:r>
        <w:rPr>
          <w:rFonts w:ascii="仿宋_GB2312" w:hAnsi="宋体" w:eastAsia="仿宋_GB2312"/>
          <w:sz w:val="24"/>
          <w:szCs w:val="24"/>
        </w:rPr>
        <w:t>5）</w:t>
      </w:r>
    </w:p>
    <w:p w14:paraId="4FFDF79D">
      <w:pPr>
        <w:spacing w:line="360" w:lineRule="auto"/>
        <w:ind w:firstLine="567"/>
        <w:rPr>
          <w:rFonts w:ascii="仿宋_GB2312" w:hAnsi="宋体" w:eastAsia="仿宋_GB2312"/>
          <w:sz w:val="30"/>
          <w:szCs w:val="30"/>
        </w:rPr>
      </w:pPr>
    </w:p>
    <w:p w14:paraId="13E1FA35">
      <w:pPr>
        <w:spacing w:line="360" w:lineRule="auto"/>
        <w:ind w:firstLine="567"/>
        <w:rPr>
          <w:rFonts w:ascii="仿宋_GB2312" w:hAnsi="宋体" w:eastAsia="仿宋_GB2312"/>
          <w:sz w:val="30"/>
          <w:szCs w:val="30"/>
        </w:rPr>
      </w:pPr>
      <w:r>
        <w:rPr>
          <w:rFonts w:ascii="仿宋_GB2312" w:hAnsi="宋体" w:eastAsia="仿宋_GB2312"/>
          <w:sz w:val="30"/>
          <w:szCs w:val="30"/>
        </w:rPr>
        <w:drawing>
          <wp:anchor distT="0" distB="0" distL="114300" distR="114300" simplePos="0" relativeHeight="251662336" behindDoc="0" locked="0" layoutInCell="1" allowOverlap="1">
            <wp:simplePos x="0" y="0"/>
            <wp:positionH relativeFrom="column">
              <wp:posOffset>247650</wp:posOffset>
            </wp:positionH>
            <wp:positionV relativeFrom="paragraph">
              <wp:posOffset>420370</wp:posOffset>
            </wp:positionV>
            <wp:extent cx="5277485" cy="3510915"/>
            <wp:effectExtent l="19050" t="0" r="0" b="0"/>
            <wp:wrapTopAndBottom/>
            <wp:docPr id="13" name="图片 11" descr="E:\A. 研究创新\2. 担保品处置平台\操作指南\处置方-中标试算.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descr="E:\A. 研究创新\2. 担保品处置平台\操作指南\处置方-中标试算.png"/>
                    <pic:cNvPicPr>
                      <a:picLocks noChangeAspect="1" noChangeArrowheads="1"/>
                    </pic:cNvPicPr>
                  </pic:nvPicPr>
                  <pic:blipFill>
                    <a:blip r:embed="rId18" cstate="print"/>
                    <a:srcRect/>
                    <a:stretch>
                      <a:fillRect/>
                    </a:stretch>
                  </pic:blipFill>
                  <pic:spPr>
                    <a:xfrm>
                      <a:off x="0" y="0"/>
                      <a:ext cx="5277485" cy="3510915"/>
                    </a:xfrm>
                    <a:prstGeom prst="rect">
                      <a:avLst/>
                    </a:prstGeom>
                    <a:noFill/>
                    <a:ln w="9525">
                      <a:noFill/>
                      <a:miter lim="800000"/>
                      <a:headEnd/>
                      <a:tailEnd/>
                    </a:ln>
                  </pic:spPr>
                </pic:pic>
              </a:graphicData>
            </a:graphic>
          </wp:anchor>
        </w:drawing>
      </w:r>
      <w:r>
        <w:rPr>
          <w:rFonts w:hint="eastAsia" w:ascii="仿宋_GB2312" w:hAnsi="宋体" w:eastAsia="仿宋_GB2312"/>
          <w:sz w:val="30"/>
          <w:szCs w:val="30"/>
        </w:rPr>
        <w:t>查看当前报价的中标试算结果（图6）：</w:t>
      </w:r>
    </w:p>
    <w:p w14:paraId="71F086F8">
      <w:pPr>
        <w:spacing w:line="360" w:lineRule="auto"/>
        <w:ind w:firstLine="567"/>
        <w:jc w:val="center"/>
        <w:rPr>
          <w:rFonts w:ascii="仿宋_GB2312" w:hAnsi="宋体" w:eastAsia="仿宋_GB2312"/>
          <w:sz w:val="24"/>
          <w:szCs w:val="24"/>
        </w:rPr>
      </w:pPr>
      <w:r>
        <w:rPr>
          <w:rFonts w:hint="eastAsia" w:ascii="仿宋_GB2312" w:hAnsi="宋体" w:eastAsia="仿宋_GB2312"/>
          <w:sz w:val="24"/>
          <w:szCs w:val="24"/>
        </w:rPr>
        <w:t>（图</w:t>
      </w:r>
      <w:r>
        <w:rPr>
          <w:rFonts w:ascii="仿宋_GB2312" w:hAnsi="宋体" w:eastAsia="仿宋_GB2312"/>
          <w:sz w:val="24"/>
          <w:szCs w:val="24"/>
        </w:rPr>
        <w:t>6）</w:t>
      </w:r>
    </w:p>
    <w:p w14:paraId="4E78B074">
      <w:pPr>
        <w:spacing w:line="360" w:lineRule="auto"/>
        <w:ind w:firstLine="567"/>
        <w:rPr>
          <w:rFonts w:ascii="仿宋_GB2312" w:hAnsi="宋体" w:eastAsia="仿宋_GB2312"/>
          <w:sz w:val="30"/>
          <w:szCs w:val="30"/>
        </w:rPr>
      </w:pPr>
      <w:r>
        <w:rPr>
          <w:rFonts w:ascii="仿宋_GB2312" w:hAnsi="宋体" w:eastAsia="仿宋_GB2312"/>
          <w:sz w:val="30"/>
          <w:szCs w:val="30"/>
        </w:rPr>
        <w:drawing>
          <wp:anchor distT="0" distB="0" distL="114300" distR="114300" simplePos="0" relativeHeight="251663360" behindDoc="0" locked="0" layoutInCell="1" allowOverlap="1">
            <wp:simplePos x="0" y="0"/>
            <wp:positionH relativeFrom="column">
              <wp:posOffset>247650</wp:posOffset>
            </wp:positionH>
            <wp:positionV relativeFrom="paragraph">
              <wp:posOffset>819150</wp:posOffset>
            </wp:positionV>
            <wp:extent cx="5277485" cy="3510915"/>
            <wp:effectExtent l="19050" t="0" r="0" b="0"/>
            <wp:wrapTopAndBottom/>
            <wp:docPr id="15" name="图片 13" descr="E:\A. 研究创新\2. 担保品处置平台\操作指南\处置方-处置完成.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3" descr="E:\A. 研究创新\2. 担保品处置平台\操作指南\处置方-处置完成.png"/>
                    <pic:cNvPicPr>
                      <a:picLocks noChangeAspect="1" noChangeArrowheads="1"/>
                    </pic:cNvPicPr>
                  </pic:nvPicPr>
                  <pic:blipFill>
                    <a:blip r:embed="rId19" cstate="print"/>
                    <a:srcRect/>
                    <a:stretch>
                      <a:fillRect/>
                    </a:stretch>
                  </pic:blipFill>
                  <pic:spPr>
                    <a:xfrm>
                      <a:off x="0" y="0"/>
                      <a:ext cx="5277485" cy="3510915"/>
                    </a:xfrm>
                    <a:prstGeom prst="rect">
                      <a:avLst/>
                    </a:prstGeom>
                    <a:noFill/>
                    <a:ln w="9525">
                      <a:noFill/>
                      <a:miter lim="800000"/>
                      <a:headEnd/>
                      <a:tailEnd/>
                    </a:ln>
                  </pic:spPr>
                </pic:pic>
              </a:graphicData>
            </a:graphic>
          </wp:anchor>
        </w:drawing>
      </w:r>
      <w:r>
        <w:rPr>
          <w:rFonts w:hint="eastAsia" w:ascii="仿宋_GB2312" w:hAnsi="宋体" w:eastAsia="仿宋_GB2312"/>
          <w:sz w:val="30"/>
          <w:szCs w:val="30"/>
        </w:rPr>
        <w:t>处置截止时间到，处置方可登陆系统，选择相应的处置书，进行中标计算（图7）。</w:t>
      </w:r>
    </w:p>
    <w:p w14:paraId="706E7DE3">
      <w:pPr>
        <w:spacing w:line="360" w:lineRule="auto"/>
        <w:ind w:firstLine="567"/>
        <w:jc w:val="center"/>
        <w:rPr>
          <w:rFonts w:ascii="仿宋_GB2312" w:hAnsi="宋体" w:eastAsia="仿宋_GB2312"/>
          <w:sz w:val="24"/>
          <w:szCs w:val="24"/>
        </w:rPr>
      </w:pPr>
      <w:r>
        <w:rPr>
          <w:rFonts w:hint="eastAsia" w:ascii="仿宋_GB2312" w:hAnsi="宋体" w:eastAsia="仿宋_GB2312"/>
          <w:sz w:val="24"/>
          <w:szCs w:val="24"/>
        </w:rPr>
        <w:t>（图</w:t>
      </w:r>
      <w:r>
        <w:rPr>
          <w:rFonts w:ascii="仿宋_GB2312" w:hAnsi="宋体" w:eastAsia="仿宋_GB2312"/>
          <w:sz w:val="24"/>
          <w:szCs w:val="24"/>
        </w:rPr>
        <w:t>7）</w:t>
      </w:r>
    </w:p>
    <w:p w14:paraId="4EE075DF">
      <w:pPr>
        <w:spacing w:line="360" w:lineRule="auto"/>
        <w:ind w:firstLine="567"/>
        <w:jc w:val="left"/>
        <w:rPr>
          <w:rFonts w:ascii="仿宋_GB2312" w:hAnsi="宋体" w:eastAsia="仿宋_GB2312"/>
          <w:sz w:val="30"/>
          <w:szCs w:val="30"/>
        </w:rPr>
      </w:pPr>
      <w:r>
        <w:rPr>
          <w:rFonts w:hint="eastAsia" w:ascii="仿宋_GB2312" w:hAnsi="宋体" w:eastAsia="仿宋_GB2312"/>
          <w:sz w:val="30"/>
          <w:szCs w:val="30"/>
        </w:rPr>
        <w:t>中标计算结果显示如下，处置方可查看“报价明细”、“处置基本情况”、“中标明细”进行复核确认。（图8）</w:t>
      </w:r>
      <w:r>
        <w:rPr>
          <w:rFonts w:ascii="仿宋_GB2312" w:hAnsi="宋体" w:eastAsia="仿宋_GB2312"/>
          <w:sz w:val="30"/>
          <w:szCs w:val="30"/>
        </w:rPr>
        <w:drawing>
          <wp:inline distT="0" distB="0" distL="0" distR="0">
            <wp:extent cx="5274310" cy="3509645"/>
            <wp:effectExtent l="19050" t="0" r="2540" b="0"/>
            <wp:docPr id="14" name="图片 14" descr="C:\Users\sse\AppData\Local\Temp\153933215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sse\AppData\Local\Temp\1539332151(1).png"/>
                    <pic:cNvPicPr>
                      <a:picLocks noChangeAspect="1" noChangeArrowheads="1"/>
                    </pic:cNvPicPr>
                  </pic:nvPicPr>
                  <pic:blipFill>
                    <a:blip r:embed="rId20" cstate="print"/>
                    <a:srcRect/>
                    <a:stretch>
                      <a:fillRect/>
                    </a:stretch>
                  </pic:blipFill>
                  <pic:spPr>
                    <a:xfrm>
                      <a:off x="0" y="0"/>
                      <a:ext cx="5274310" cy="3509891"/>
                    </a:xfrm>
                    <a:prstGeom prst="rect">
                      <a:avLst/>
                    </a:prstGeom>
                    <a:noFill/>
                    <a:ln w="9525">
                      <a:noFill/>
                      <a:miter lim="800000"/>
                      <a:headEnd/>
                      <a:tailEnd/>
                    </a:ln>
                  </pic:spPr>
                </pic:pic>
              </a:graphicData>
            </a:graphic>
          </wp:inline>
        </w:drawing>
      </w:r>
    </w:p>
    <w:p w14:paraId="0B820866">
      <w:pPr>
        <w:spacing w:line="360" w:lineRule="auto"/>
        <w:ind w:firstLine="567"/>
        <w:jc w:val="center"/>
        <w:rPr>
          <w:rFonts w:ascii="仿宋_GB2312" w:hAnsi="宋体" w:eastAsia="仿宋_GB2312"/>
          <w:sz w:val="24"/>
          <w:szCs w:val="24"/>
        </w:rPr>
      </w:pPr>
      <w:r>
        <w:rPr>
          <w:rFonts w:hint="eastAsia" w:ascii="仿宋_GB2312" w:hAnsi="宋体" w:eastAsia="仿宋_GB2312"/>
          <w:sz w:val="24"/>
          <w:szCs w:val="24"/>
        </w:rPr>
        <w:t>（图</w:t>
      </w:r>
      <w:r>
        <w:rPr>
          <w:rFonts w:ascii="仿宋_GB2312" w:hAnsi="宋体" w:eastAsia="仿宋_GB2312"/>
          <w:sz w:val="24"/>
          <w:szCs w:val="24"/>
        </w:rPr>
        <w:t>8）</w:t>
      </w:r>
    </w:p>
    <w:p w14:paraId="552C74AA">
      <w:pPr>
        <w:spacing w:line="360" w:lineRule="auto"/>
        <w:ind w:firstLine="567"/>
        <w:jc w:val="left"/>
        <w:rPr>
          <w:rFonts w:ascii="仿宋_GB2312" w:hAnsi="宋体" w:eastAsia="仿宋_GB2312"/>
          <w:sz w:val="30"/>
          <w:szCs w:val="30"/>
        </w:rPr>
      </w:pPr>
      <w:r>
        <w:rPr>
          <w:rFonts w:hint="eastAsia" w:ascii="仿宋_GB2312" w:hAnsi="宋体" w:eastAsia="仿宋_GB2312"/>
          <w:sz w:val="30"/>
          <w:szCs w:val="30"/>
        </w:rPr>
        <w:t>处置方确认无误后点击“中标复核确认”即可向报价团发布处置结果。（图9）</w:t>
      </w:r>
      <w:r>
        <w:rPr>
          <w:rFonts w:ascii="仿宋_GB2312" w:hAnsi="宋体" w:eastAsia="仿宋_GB2312"/>
          <w:sz w:val="30"/>
          <w:szCs w:val="30"/>
        </w:rPr>
        <w:drawing>
          <wp:inline distT="0" distB="0" distL="0" distR="0">
            <wp:extent cx="5274310" cy="3509645"/>
            <wp:effectExtent l="19050" t="0" r="2540" b="0"/>
            <wp:docPr id="22" name="图片 15" descr="C:\Users\sse\AppData\Local\Temp\15393325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5" descr="C:\Users\sse\AppData\Local\Temp\1539332575(1).png"/>
                    <pic:cNvPicPr>
                      <a:picLocks noChangeAspect="1" noChangeArrowheads="1"/>
                    </pic:cNvPicPr>
                  </pic:nvPicPr>
                  <pic:blipFill>
                    <a:blip r:embed="rId21" cstate="print"/>
                    <a:srcRect/>
                    <a:stretch>
                      <a:fillRect/>
                    </a:stretch>
                  </pic:blipFill>
                  <pic:spPr>
                    <a:xfrm>
                      <a:off x="0" y="0"/>
                      <a:ext cx="5274310" cy="3509891"/>
                    </a:xfrm>
                    <a:prstGeom prst="rect">
                      <a:avLst/>
                    </a:prstGeom>
                    <a:noFill/>
                    <a:ln w="9525">
                      <a:noFill/>
                      <a:miter lim="800000"/>
                      <a:headEnd/>
                      <a:tailEnd/>
                    </a:ln>
                  </pic:spPr>
                </pic:pic>
              </a:graphicData>
            </a:graphic>
          </wp:inline>
        </w:drawing>
      </w:r>
    </w:p>
    <w:p w14:paraId="425C29C6">
      <w:pPr>
        <w:spacing w:line="360" w:lineRule="auto"/>
        <w:ind w:firstLine="567"/>
        <w:jc w:val="center"/>
        <w:rPr>
          <w:rFonts w:ascii="仿宋_GB2312" w:hAnsi="宋体" w:eastAsia="仿宋_GB2312"/>
          <w:sz w:val="24"/>
          <w:szCs w:val="24"/>
        </w:rPr>
      </w:pPr>
      <w:r>
        <w:rPr>
          <w:rFonts w:hint="eastAsia" w:ascii="仿宋_GB2312" w:hAnsi="宋体" w:eastAsia="仿宋_GB2312"/>
          <w:sz w:val="24"/>
          <w:szCs w:val="24"/>
        </w:rPr>
        <w:t>（图</w:t>
      </w:r>
      <w:r>
        <w:rPr>
          <w:rFonts w:ascii="仿宋_GB2312" w:hAnsi="宋体" w:eastAsia="仿宋_GB2312"/>
          <w:sz w:val="24"/>
          <w:szCs w:val="24"/>
        </w:rPr>
        <w:t>9）</w:t>
      </w:r>
    </w:p>
    <w:p w14:paraId="7712B96D">
      <w:pPr>
        <w:spacing w:line="360" w:lineRule="auto"/>
        <w:ind w:firstLine="567"/>
        <w:jc w:val="left"/>
        <w:rPr>
          <w:rFonts w:ascii="仿宋_GB2312" w:hAnsi="宋体" w:eastAsia="仿宋_GB2312"/>
          <w:sz w:val="30"/>
          <w:szCs w:val="30"/>
        </w:rPr>
      </w:pPr>
      <w:r>
        <w:rPr>
          <w:rFonts w:hint="eastAsia" w:ascii="仿宋_GB2312" w:hAnsi="宋体" w:eastAsia="仿宋_GB2312"/>
          <w:sz w:val="30"/>
          <w:szCs w:val="30"/>
        </w:rPr>
        <w:t>发布中标结果后，点击“生成处置结果公告文件”或“生成处置报表文件”可自动生成公告文件。（图10）</w:t>
      </w:r>
      <w:r>
        <w:rPr>
          <w:rFonts w:ascii="仿宋_GB2312" w:hAnsi="宋体" w:eastAsia="仿宋_GB2312"/>
          <w:sz w:val="30"/>
          <w:szCs w:val="30"/>
        </w:rPr>
        <w:drawing>
          <wp:inline distT="0" distB="0" distL="0" distR="0">
            <wp:extent cx="5274310" cy="3509645"/>
            <wp:effectExtent l="19050" t="0" r="2540" b="0"/>
            <wp:docPr id="23" name="图片 16" descr="C:\Users\sse\AppData\Local\Temp\15393326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6" descr="C:\Users\sse\AppData\Local\Temp\1539332624(1).png"/>
                    <pic:cNvPicPr>
                      <a:picLocks noChangeAspect="1" noChangeArrowheads="1"/>
                    </pic:cNvPicPr>
                  </pic:nvPicPr>
                  <pic:blipFill>
                    <a:blip r:embed="rId22" cstate="print"/>
                    <a:srcRect/>
                    <a:stretch>
                      <a:fillRect/>
                    </a:stretch>
                  </pic:blipFill>
                  <pic:spPr>
                    <a:xfrm>
                      <a:off x="0" y="0"/>
                      <a:ext cx="5274310" cy="3509891"/>
                    </a:xfrm>
                    <a:prstGeom prst="rect">
                      <a:avLst/>
                    </a:prstGeom>
                    <a:noFill/>
                    <a:ln w="9525">
                      <a:noFill/>
                      <a:miter lim="800000"/>
                      <a:headEnd/>
                      <a:tailEnd/>
                    </a:ln>
                  </pic:spPr>
                </pic:pic>
              </a:graphicData>
            </a:graphic>
          </wp:inline>
        </w:drawing>
      </w:r>
    </w:p>
    <w:p w14:paraId="62E10FFF">
      <w:pPr>
        <w:spacing w:line="360" w:lineRule="auto"/>
        <w:ind w:firstLine="567"/>
        <w:jc w:val="center"/>
        <w:rPr>
          <w:rFonts w:ascii="仿宋_GB2312" w:hAnsi="宋体" w:eastAsia="仿宋_GB2312"/>
          <w:sz w:val="24"/>
          <w:szCs w:val="24"/>
        </w:rPr>
      </w:pPr>
      <w:r>
        <w:rPr>
          <w:rFonts w:hint="eastAsia" w:ascii="仿宋_GB2312" w:hAnsi="宋体" w:eastAsia="仿宋_GB2312"/>
          <w:sz w:val="24"/>
          <w:szCs w:val="24"/>
        </w:rPr>
        <w:t>（图</w:t>
      </w:r>
      <w:r>
        <w:rPr>
          <w:rFonts w:ascii="仿宋_GB2312" w:hAnsi="宋体" w:eastAsia="仿宋_GB2312"/>
          <w:sz w:val="24"/>
          <w:szCs w:val="24"/>
        </w:rPr>
        <w:t>10）</w:t>
      </w:r>
    </w:p>
    <w:p w14:paraId="09DEF982">
      <w:pPr>
        <w:spacing w:line="360" w:lineRule="auto"/>
        <w:ind w:firstLine="567"/>
        <w:jc w:val="left"/>
        <w:rPr>
          <w:rFonts w:ascii="仿宋_GB2312" w:hAnsi="宋体" w:eastAsia="仿宋_GB2312"/>
          <w:sz w:val="30"/>
          <w:szCs w:val="30"/>
        </w:rPr>
      </w:pPr>
      <w:r>
        <w:rPr>
          <w:rFonts w:hint="eastAsia" w:ascii="仿宋_GB2312" w:hAnsi="宋体" w:eastAsia="仿宋_GB2312"/>
          <w:sz w:val="30"/>
          <w:szCs w:val="30"/>
        </w:rPr>
        <w:t>公告文件将由上交所上传。上传完成后，报价方即可在登录系统后的公告栏查看并下载公告。（图11）</w:t>
      </w:r>
      <w:r>
        <w:rPr>
          <w:rFonts w:ascii="仿宋_GB2312" w:hAnsi="宋体" w:eastAsia="仿宋_GB2312"/>
          <w:sz w:val="30"/>
          <w:szCs w:val="30"/>
        </w:rPr>
        <w:drawing>
          <wp:inline distT="0" distB="0" distL="0" distR="0">
            <wp:extent cx="5274310" cy="3509645"/>
            <wp:effectExtent l="19050" t="0" r="2540" b="0"/>
            <wp:docPr id="24" name="图片 17" descr="E:\A. 研究创新\2. 担保品处置平台\操作指南\报价方-查看公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7" descr="E:\A. 研究创新\2. 担保品处置平台\操作指南\报价方-查看公告.png"/>
                    <pic:cNvPicPr>
                      <a:picLocks noChangeAspect="1" noChangeArrowheads="1"/>
                    </pic:cNvPicPr>
                  </pic:nvPicPr>
                  <pic:blipFill>
                    <a:blip r:embed="rId23" cstate="print"/>
                    <a:srcRect/>
                    <a:stretch>
                      <a:fillRect/>
                    </a:stretch>
                  </pic:blipFill>
                  <pic:spPr>
                    <a:xfrm>
                      <a:off x="0" y="0"/>
                      <a:ext cx="5274310" cy="3509891"/>
                    </a:xfrm>
                    <a:prstGeom prst="rect">
                      <a:avLst/>
                    </a:prstGeom>
                    <a:noFill/>
                    <a:ln w="9525">
                      <a:noFill/>
                      <a:miter lim="800000"/>
                      <a:headEnd/>
                      <a:tailEnd/>
                    </a:ln>
                  </pic:spPr>
                </pic:pic>
              </a:graphicData>
            </a:graphic>
          </wp:inline>
        </w:drawing>
      </w:r>
    </w:p>
    <w:p w14:paraId="50CC6FAB">
      <w:pPr>
        <w:spacing w:line="360" w:lineRule="auto"/>
        <w:ind w:firstLine="567"/>
        <w:jc w:val="center"/>
        <w:rPr>
          <w:rFonts w:ascii="仿宋_GB2312" w:hAnsi="宋体" w:eastAsia="仿宋_GB2312"/>
          <w:sz w:val="24"/>
          <w:szCs w:val="24"/>
        </w:rPr>
      </w:pPr>
      <w:r>
        <w:rPr>
          <w:rFonts w:hint="eastAsia" w:ascii="仿宋_GB2312" w:hAnsi="宋体" w:eastAsia="仿宋_GB2312"/>
          <w:sz w:val="24"/>
          <w:szCs w:val="24"/>
        </w:rPr>
        <w:t>（图</w:t>
      </w:r>
      <w:r>
        <w:rPr>
          <w:rFonts w:ascii="仿宋_GB2312" w:hAnsi="宋体" w:eastAsia="仿宋_GB2312"/>
          <w:sz w:val="24"/>
          <w:szCs w:val="24"/>
        </w:rPr>
        <w:t>11）</w:t>
      </w:r>
    </w:p>
    <w:p w14:paraId="1DDB77AF">
      <w:pPr>
        <w:spacing w:line="360" w:lineRule="auto"/>
        <w:ind w:firstLine="567"/>
        <w:jc w:val="left"/>
        <w:rPr>
          <w:rFonts w:ascii="仿宋_GB2312" w:hAnsi="宋体" w:eastAsia="仿宋_GB2312"/>
          <w:sz w:val="30"/>
          <w:szCs w:val="30"/>
        </w:rPr>
      </w:pPr>
      <w:r>
        <w:rPr>
          <w:rFonts w:hint="eastAsia" w:ascii="仿宋_GB2312" w:hAnsi="宋体" w:eastAsia="仿宋_GB2312"/>
          <w:sz w:val="30"/>
          <w:szCs w:val="30"/>
        </w:rPr>
        <w:t>4、托管。报价方可以在处置完成当日17:00前对处置所得债券进行托管。（图12）</w:t>
      </w:r>
      <w:r>
        <w:rPr>
          <w:rFonts w:ascii="仿宋_GB2312" w:hAnsi="宋体" w:eastAsia="仿宋_GB2312"/>
          <w:sz w:val="30"/>
          <w:szCs w:val="30"/>
        </w:rPr>
        <w:drawing>
          <wp:inline distT="0" distB="0" distL="0" distR="0">
            <wp:extent cx="5274310" cy="3509645"/>
            <wp:effectExtent l="19050" t="0" r="2540" b="0"/>
            <wp:docPr id="25" name="图片 18" descr="C:\Users\sse\AppData\Local\Temp\153933376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8" descr="C:\Users\sse\AppData\Local\Temp\1539333767(1).png"/>
                    <pic:cNvPicPr>
                      <a:picLocks noChangeAspect="1" noChangeArrowheads="1"/>
                    </pic:cNvPicPr>
                  </pic:nvPicPr>
                  <pic:blipFill>
                    <a:blip r:embed="rId24" cstate="print"/>
                    <a:srcRect/>
                    <a:stretch>
                      <a:fillRect/>
                    </a:stretch>
                  </pic:blipFill>
                  <pic:spPr>
                    <a:xfrm>
                      <a:off x="0" y="0"/>
                      <a:ext cx="5274310" cy="3509891"/>
                    </a:xfrm>
                    <a:prstGeom prst="rect">
                      <a:avLst/>
                    </a:prstGeom>
                    <a:noFill/>
                    <a:ln w="9525">
                      <a:noFill/>
                      <a:miter lim="800000"/>
                      <a:headEnd/>
                      <a:tailEnd/>
                    </a:ln>
                  </pic:spPr>
                </pic:pic>
              </a:graphicData>
            </a:graphic>
          </wp:inline>
        </w:drawing>
      </w:r>
    </w:p>
    <w:p w14:paraId="334F5D4F">
      <w:pPr>
        <w:spacing w:line="360" w:lineRule="auto"/>
        <w:ind w:firstLine="567"/>
        <w:jc w:val="center"/>
        <w:rPr>
          <w:rFonts w:ascii="仿宋_GB2312" w:hAnsi="宋体" w:eastAsia="仿宋_GB2312"/>
          <w:sz w:val="24"/>
          <w:szCs w:val="24"/>
        </w:rPr>
      </w:pPr>
      <w:r>
        <w:rPr>
          <w:rFonts w:hint="eastAsia" w:ascii="仿宋_GB2312" w:hAnsi="宋体" w:eastAsia="仿宋_GB2312"/>
          <w:sz w:val="24"/>
          <w:szCs w:val="24"/>
        </w:rPr>
        <w:t>（图</w:t>
      </w:r>
      <w:r>
        <w:rPr>
          <w:rFonts w:ascii="仿宋_GB2312" w:hAnsi="宋体" w:eastAsia="仿宋_GB2312"/>
          <w:sz w:val="24"/>
          <w:szCs w:val="24"/>
        </w:rPr>
        <w:t>12）</w:t>
      </w:r>
    </w:p>
    <w:p w14:paraId="17DC7CB0">
      <w:pPr>
        <w:pStyle w:val="92"/>
        <w:spacing w:line="560" w:lineRule="exact"/>
        <w:ind w:left="0" w:firstLine="600" w:firstLineChars="200"/>
        <w:jc w:val="both"/>
        <w:rPr>
          <w:rFonts w:ascii="仿宋_GB2312" w:hAnsi="宋体" w:eastAsia="仿宋_GB2312"/>
          <w:kern w:val="2"/>
          <w:sz w:val="30"/>
          <w:szCs w:val="30"/>
          <w:lang w:eastAsia="zh-CN" w:bidi="ar-SA"/>
        </w:rPr>
      </w:pPr>
      <w:r>
        <w:rPr>
          <w:rFonts w:hint="eastAsia" w:ascii="仿宋_GB2312" w:hAnsi="宋体" w:eastAsia="仿宋_GB2312"/>
          <w:kern w:val="2"/>
          <w:sz w:val="30"/>
          <w:szCs w:val="30"/>
          <w:lang w:eastAsia="zh-CN" w:bidi="ar-SA"/>
        </w:rPr>
        <w:t>托管信息包括证券账户及每只债券的托管量。每个中标的报价团成员可将中标的债券分别托管指定多个证券账户下，但多个证券账户的债券托管量合计应等于本次中标量。指定的证券账户可以是自营账户、经纪客户的账户或者本公司作为管理人的资管产品账户。采取资产包模式的，可将资产包包含的债券拆开托管在不同账户下。</w:t>
      </w:r>
    </w:p>
    <w:p w14:paraId="0E586F8C">
      <w:pPr>
        <w:spacing w:line="360" w:lineRule="auto"/>
        <w:ind w:firstLine="567"/>
        <w:jc w:val="left"/>
        <w:rPr>
          <w:rFonts w:ascii="仿宋_GB2312" w:hAnsi="宋体" w:eastAsia="仿宋_GB2312"/>
          <w:sz w:val="30"/>
          <w:szCs w:val="30"/>
        </w:rPr>
      </w:pPr>
      <w:r>
        <w:rPr>
          <w:rFonts w:hint="eastAsia" w:ascii="仿宋_GB2312" w:hAnsi="宋体" w:eastAsia="仿宋_GB2312"/>
          <w:sz w:val="30"/>
          <w:szCs w:val="30"/>
        </w:rPr>
        <w:t>托管可以添加新证券账户，若主账户（即第一个证券账户）中不进行债券托管，托管数量可以填“0”。若在上述时间内未进行托管设置，则默认为将全部中标债券托管在主账户。（图13）</w:t>
      </w:r>
      <w:r>
        <w:rPr>
          <w:rFonts w:ascii="仿宋_GB2312" w:hAnsi="宋体" w:eastAsia="仿宋_GB2312"/>
          <w:sz w:val="30"/>
          <w:szCs w:val="30"/>
        </w:rPr>
        <w:drawing>
          <wp:inline distT="0" distB="0" distL="0" distR="0">
            <wp:extent cx="5274310" cy="3509645"/>
            <wp:effectExtent l="19050" t="0" r="2540" b="0"/>
            <wp:docPr id="26" name="图片 19" descr="E:\A. 研究创新\2. 担保品处置平台\操作指南\报价方-托管.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9" descr="E:\A. 研究创新\2. 担保品处置平台\操作指南\报价方-托管.png"/>
                    <pic:cNvPicPr>
                      <a:picLocks noChangeAspect="1" noChangeArrowheads="1"/>
                    </pic:cNvPicPr>
                  </pic:nvPicPr>
                  <pic:blipFill>
                    <a:blip r:embed="rId25" cstate="print"/>
                    <a:srcRect/>
                    <a:stretch>
                      <a:fillRect/>
                    </a:stretch>
                  </pic:blipFill>
                  <pic:spPr>
                    <a:xfrm>
                      <a:off x="0" y="0"/>
                      <a:ext cx="5274310" cy="3509891"/>
                    </a:xfrm>
                    <a:prstGeom prst="rect">
                      <a:avLst/>
                    </a:prstGeom>
                    <a:noFill/>
                    <a:ln w="9525">
                      <a:noFill/>
                      <a:miter lim="800000"/>
                      <a:headEnd/>
                      <a:tailEnd/>
                    </a:ln>
                  </pic:spPr>
                </pic:pic>
              </a:graphicData>
            </a:graphic>
          </wp:inline>
        </w:drawing>
      </w:r>
    </w:p>
    <w:p w14:paraId="12E1C057">
      <w:pPr>
        <w:spacing w:line="360" w:lineRule="auto"/>
        <w:ind w:firstLine="567"/>
        <w:jc w:val="center"/>
        <w:rPr>
          <w:rFonts w:ascii="仿宋_GB2312" w:hAnsi="宋体" w:eastAsia="仿宋_GB2312"/>
          <w:sz w:val="24"/>
          <w:szCs w:val="24"/>
        </w:rPr>
      </w:pPr>
      <w:r>
        <w:rPr>
          <w:rFonts w:hint="eastAsia" w:ascii="仿宋_GB2312" w:hAnsi="宋体" w:eastAsia="仿宋_GB2312"/>
          <w:sz w:val="24"/>
          <w:szCs w:val="24"/>
        </w:rPr>
        <w:t>（图</w:t>
      </w:r>
      <w:r>
        <w:rPr>
          <w:rFonts w:ascii="仿宋_GB2312" w:hAnsi="宋体" w:eastAsia="仿宋_GB2312"/>
          <w:sz w:val="24"/>
          <w:szCs w:val="24"/>
        </w:rPr>
        <w:t>13）</w:t>
      </w:r>
    </w:p>
    <w:p w14:paraId="69BD12C6">
      <w:pPr>
        <w:widowControl/>
        <w:ind w:firstLine="600" w:firstLineChars="200"/>
        <w:jc w:val="left"/>
        <w:rPr>
          <w:rFonts w:ascii="仿宋_GB2312" w:hAnsi="仿宋" w:eastAsia="仿宋_GB2312"/>
          <w:b/>
          <w:bCs/>
          <w:sz w:val="30"/>
          <w:szCs w:val="30"/>
        </w:rPr>
      </w:pPr>
      <w:r>
        <w:rPr>
          <w:rFonts w:hint="eastAsia" w:ascii="仿宋_GB2312" w:hAnsi="宋体" w:eastAsia="仿宋_GB2312"/>
          <w:sz w:val="30"/>
          <w:szCs w:val="30"/>
        </w:rPr>
        <w:t>5</w:t>
      </w:r>
      <w:r>
        <w:rPr>
          <w:rFonts w:ascii="仿宋_GB2312" w:hAnsi="宋体" w:eastAsia="仿宋_GB2312"/>
          <w:sz w:val="30"/>
          <w:szCs w:val="30"/>
        </w:rPr>
        <w:t>、</w:t>
      </w:r>
      <w:r>
        <w:rPr>
          <w:rFonts w:hint="eastAsia" w:ascii="仿宋_GB2312" w:hAnsi="宋体" w:eastAsia="仿宋_GB2312"/>
          <w:sz w:val="30"/>
          <w:szCs w:val="30"/>
        </w:rPr>
        <w:t>过户数据的发送。缴款完成，上交所技术支持人员在收到处置方的资金到账确认书后，将资金到账情况录入处置平台。处置平台当日向债券登记结算机构发送过户数据。</w:t>
      </w:r>
    </w:p>
    <w:p w14:paraId="58F15A96">
      <w:pPr>
        <w:widowControl/>
        <w:jc w:val="left"/>
        <w:rPr>
          <w:rFonts w:ascii="仿宋_GB2312" w:hAnsi="仿宋" w:eastAsia="仿宋_GB2312"/>
          <w:b/>
          <w:bCs/>
          <w:sz w:val="30"/>
          <w:szCs w:val="30"/>
        </w:rPr>
      </w:pPr>
      <w:r>
        <w:rPr>
          <w:rFonts w:ascii="仿宋_GB2312" w:hAnsi="仿宋" w:eastAsia="仿宋_GB2312"/>
          <w:b/>
          <w:bCs/>
          <w:sz w:val="30"/>
          <w:szCs w:val="30"/>
        </w:rPr>
        <w:br w:type="page"/>
      </w:r>
    </w:p>
    <w:p w14:paraId="3022F2FE">
      <w:pPr>
        <w:widowControl/>
        <w:jc w:val="left"/>
        <w:outlineLvl w:val="1"/>
        <w:rPr>
          <w:rFonts w:ascii="仿宋_GB2312" w:hAnsi="黑体" w:eastAsia="仿宋_GB2312"/>
          <w:b/>
          <w:sz w:val="30"/>
          <w:szCs w:val="30"/>
        </w:rPr>
      </w:pPr>
      <w:bookmarkStart w:id="4192" w:name="_Toc1178325921"/>
      <w:bookmarkStart w:id="4193" w:name="_Toc1081582432"/>
      <w:bookmarkStart w:id="4194" w:name="_Toc375209365"/>
      <w:bookmarkStart w:id="4195" w:name="_Toc10715668"/>
      <w:bookmarkStart w:id="4196" w:name="_Toc381967392"/>
      <w:bookmarkStart w:id="4197" w:name="_Toc151137117"/>
      <w:bookmarkStart w:id="4198" w:name="_Toc556049827"/>
      <w:r>
        <w:rPr>
          <w:rFonts w:hint="eastAsia" w:ascii="仿宋_GB2312" w:hAnsi="黑体" w:eastAsia="仿宋_GB2312"/>
          <w:b/>
          <w:sz w:val="30"/>
          <w:szCs w:val="30"/>
        </w:rPr>
        <w:t>附件34 债券担保品处置平台用户数字证书办理流程</w:t>
      </w:r>
      <w:bookmarkEnd w:id="4192"/>
      <w:bookmarkEnd w:id="4193"/>
      <w:bookmarkEnd w:id="4194"/>
      <w:bookmarkEnd w:id="4195"/>
      <w:bookmarkEnd w:id="4196"/>
      <w:bookmarkEnd w:id="4197"/>
      <w:bookmarkEnd w:id="4198"/>
    </w:p>
    <w:p w14:paraId="72310EFB">
      <w:pPr>
        <w:widowControl/>
        <w:jc w:val="left"/>
        <w:rPr>
          <w:rFonts w:ascii="仿宋_GB2312" w:hAnsi="仿宋" w:eastAsia="仿宋_GB2312"/>
          <w:b/>
          <w:bCs/>
          <w:sz w:val="30"/>
          <w:szCs w:val="30"/>
        </w:rPr>
      </w:pPr>
    </w:p>
    <w:p w14:paraId="4CAF0FC5">
      <w:pPr>
        <w:spacing w:line="560" w:lineRule="exact"/>
        <w:jc w:val="center"/>
        <w:rPr>
          <w:rFonts w:ascii="黑体" w:hAnsi="黑体" w:eastAsia="黑体"/>
          <w:b/>
          <w:sz w:val="44"/>
          <w:szCs w:val="44"/>
        </w:rPr>
      </w:pPr>
      <w:r>
        <w:rPr>
          <w:rFonts w:hint="eastAsia" w:ascii="黑体" w:hAnsi="黑体" w:eastAsia="黑体"/>
          <w:b/>
          <w:sz w:val="44"/>
          <w:szCs w:val="44"/>
        </w:rPr>
        <w:t>上海证券交易所债券担保品处置平台</w:t>
      </w:r>
    </w:p>
    <w:p w14:paraId="6A7347D6">
      <w:pPr>
        <w:spacing w:line="560" w:lineRule="exact"/>
        <w:jc w:val="center"/>
        <w:rPr>
          <w:rFonts w:ascii="黑体" w:hAnsi="黑体" w:eastAsia="黑体"/>
          <w:b/>
          <w:sz w:val="44"/>
          <w:szCs w:val="44"/>
        </w:rPr>
      </w:pPr>
      <w:r>
        <w:rPr>
          <w:rFonts w:hint="eastAsia" w:ascii="黑体" w:hAnsi="黑体" w:eastAsia="黑体"/>
          <w:b/>
          <w:sz w:val="44"/>
          <w:szCs w:val="44"/>
        </w:rPr>
        <w:t>用户数字证书办理流程</w:t>
      </w:r>
    </w:p>
    <w:p w14:paraId="04D6BB3A">
      <w:pPr>
        <w:widowControl/>
        <w:spacing w:line="560" w:lineRule="exact"/>
        <w:ind w:firstLine="601" w:firstLineChars="200"/>
        <w:rPr>
          <w:rFonts w:ascii="仿宋_GB2312" w:eastAsia="仿宋_GB2312"/>
          <w:b/>
          <w:sz w:val="30"/>
          <w:szCs w:val="30"/>
        </w:rPr>
      </w:pPr>
    </w:p>
    <w:p w14:paraId="2C1ED8BB">
      <w:pPr>
        <w:widowControl/>
        <w:spacing w:line="560" w:lineRule="exact"/>
        <w:ind w:firstLine="601" w:firstLineChars="200"/>
        <w:rPr>
          <w:rFonts w:ascii="仿宋_GB2312" w:eastAsia="仿宋_GB2312"/>
          <w:b/>
          <w:sz w:val="30"/>
          <w:szCs w:val="30"/>
        </w:rPr>
      </w:pPr>
      <w:r>
        <w:rPr>
          <w:rFonts w:hint="eastAsia" w:ascii="仿宋_GB2312" w:eastAsia="仿宋_GB2312"/>
          <w:b/>
          <w:sz w:val="30"/>
          <w:szCs w:val="30"/>
        </w:rPr>
        <w:t>一、准备申请材料</w:t>
      </w:r>
    </w:p>
    <w:p w14:paraId="77166432">
      <w:pPr>
        <w:widowControl/>
        <w:spacing w:line="560" w:lineRule="exact"/>
        <w:ind w:firstLine="600" w:firstLineChars="200"/>
        <w:rPr>
          <w:rFonts w:ascii="仿宋_GB2312" w:eastAsia="仿宋_GB2312"/>
          <w:sz w:val="30"/>
          <w:szCs w:val="30"/>
        </w:rPr>
      </w:pPr>
      <w:r>
        <w:rPr>
          <w:rFonts w:ascii="仿宋_GB2312" w:eastAsia="仿宋_GB2312"/>
          <w:sz w:val="30"/>
          <w:szCs w:val="30"/>
        </w:rPr>
        <w:t>1</w:t>
      </w:r>
      <w:r>
        <w:rPr>
          <w:rFonts w:hint="eastAsia" w:ascii="仿宋_GB2312" w:eastAsia="仿宋_GB2312"/>
          <w:sz w:val="30"/>
          <w:szCs w:val="30"/>
        </w:rPr>
        <w:t>、报价团成员（以下简称“申请人”）打印填写《</w:t>
      </w:r>
      <w:r>
        <w:rPr>
          <w:rFonts w:ascii="仿宋_GB2312" w:eastAsia="仿宋_GB2312"/>
          <w:sz w:val="30"/>
          <w:szCs w:val="30"/>
        </w:rPr>
        <w:t>CnSCA</w:t>
      </w:r>
      <w:r>
        <w:rPr>
          <w:rFonts w:hint="eastAsia" w:ascii="仿宋_GB2312" w:eastAsia="仿宋_GB2312"/>
          <w:sz w:val="30"/>
          <w:szCs w:val="30"/>
        </w:rPr>
        <w:t>数字证书机构申请表》（附件）。各申请人须按要求填写，建议首次申请时申请</w:t>
      </w:r>
      <w:r>
        <w:rPr>
          <w:rFonts w:ascii="仿宋_GB2312" w:eastAsia="仿宋_GB2312"/>
          <w:sz w:val="30"/>
          <w:szCs w:val="30"/>
        </w:rPr>
        <w:t>2</w:t>
      </w:r>
      <w:r>
        <w:rPr>
          <w:rFonts w:hint="eastAsia" w:ascii="仿宋_GB2312" w:eastAsia="仿宋_GB2312"/>
          <w:sz w:val="30"/>
          <w:szCs w:val="30"/>
        </w:rPr>
        <w:t>个证书。</w:t>
      </w:r>
    </w:p>
    <w:p w14:paraId="56F46BD2">
      <w:pPr>
        <w:widowControl/>
        <w:spacing w:line="560" w:lineRule="exact"/>
        <w:ind w:firstLine="600" w:firstLineChars="200"/>
        <w:rPr>
          <w:rFonts w:ascii="仿宋_GB2312" w:eastAsia="仿宋_GB2312"/>
          <w:sz w:val="30"/>
          <w:szCs w:val="30"/>
        </w:rPr>
      </w:pPr>
      <w:r>
        <w:rPr>
          <w:rFonts w:ascii="仿宋_GB2312" w:eastAsia="仿宋_GB2312"/>
          <w:sz w:val="30"/>
          <w:szCs w:val="30"/>
        </w:rPr>
        <w:t>2</w:t>
      </w:r>
      <w:r>
        <w:rPr>
          <w:rFonts w:hint="eastAsia" w:ascii="仿宋_GB2312" w:eastAsia="仿宋_GB2312"/>
          <w:sz w:val="30"/>
          <w:szCs w:val="30"/>
        </w:rPr>
        <w:t>、申请人从上海证券交易所网站“</w:t>
      </w:r>
      <w:r>
        <w:rPr>
          <w:rFonts w:ascii="仿宋_GB2312" w:eastAsia="仿宋_GB2312"/>
          <w:sz w:val="30"/>
          <w:szCs w:val="30"/>
        </w:rPr>
        <w:t>CA</w:t>
      </w:r>
      <w:r>
        <w:rPr>
          <w:rFonts w:hint="eastAsia" w:ascii="仿宋_GB2312" w:eastAsia="仿宋_GB2312"/>
          <w:sz w:val="30"/>
          <w:szCs w:val="30"/>
        </w:rPr>
        <w:t>服务专区”（网址：</w:t>
      </w:r>
      <w:r>
        <w:rPr>
          <w:rFonts w:ascii="仿宋_GB2312" w:eastAsia="仿宋_GB2312"/>
          <w:sz w:val="30"/>
          <w:szCs w:val="30"/>
        </w:rPr>
        <w:t>http:</w:t>
      </w:r>
      <w:r>
        <w:rPr>
          <w:rFonts w:hint="eastAsia" w:ascii="仿宋_GB2312" w:eastAsia="仿宋_GB2312"/>
          <w:sz w:val="30"/>
          <w:szCs w:val="30"/>
        </w:rPr>
        <w:t>//www.sse.com.cn/home/biz/cnsca/）“数字证书申请责任书”栏下载打印《</w:t>
      </w:r>
      <w:r>
        <w:rPr>
          <w:rFonts w:ascii="仿宋_GB2312" w:eastAsia="仿宋_GB2312"/>
          <w:sz w:val="30"/>
          <w:szCs w:val="30"/>
        </w:rPr>
        <w:t>CnSCA</w:t>
      </w:r>
      <w:r>
        <w:rPr>
          <w:rFonts w:hint="eastAsia" w:ascii="仿宋_GB2312" w:eastAsia="仿宋_GB2312"/>
          <w:sz w:val="30"/>
          <w:szCs w:val="30"/>
        </w:rPr>
        <w:t>数字证书用户责任书》并盖公章。</w:t>
      </w:r>
    </w:p>
    <w:p w14:paraId="044CC224">
      <w:pPr>
        <w:widowControl/>
        <w:spacing w:line="560" w:lineRule="exact"/>
        <w:ind w:firstLine="600" w:firstLineChars="200"/>
        <w:rPr>
          <w:rFonts w:ascii="仿宋_GB2312" w:eastAsia="仿宋_GB2312"/>
          <w:sz w:val="30"/>
          <w:szCs w:val="30"/>
        </w:rPr>
      </w:pPr>
      <w:r>
        <w:rPr>
          <w:rFonts w:ascii="仿宋_GB2312" w:eastAsia="仿宋_GB2312"/>
          <w:sz w:val="30"/>
          <w:szCs w:val="30"/>
        </w:rPr>
        <w:t>3</w:t>
      </w:r>
      <w:r>
        <w:rPr>
          <w:rFonts w:hint="eastAsia" w:ascii="仿宋_GB2312" w:eastAsia="仿宋_GB2312"/>
          <w:sz w:val="30"/>
          <w:szCs w:val="30"/>
        </w:rPr>
        <w:t>、加盖公章的组织机构代码证或企业法人营业执照、经办人身份证件复印件各一份。（如曾提交过加盖公章的组织机构代码证或企业法人营业执照且证照信息无变更，则仅需要提供加盖公章的经办人身份证件复印件即可。）</w:t>
      </w:r>
    </w:p>
    <w:p w14:paraId="2DA87C63">
      <w:pPr>
        <w:widowControl/>
        <w:spacing w:line="560" w:lineRule="exact"/>
        <w:ind w:firstLine="601" w:firstLineChars="200"/>
        <w:rPr>
          <w:rFonts w:ascii="仿宋_GB2312" w:eastAsia="仿宋_GB2312"/>
          <w:b/>
          <w:sz w:val="30"/>
          <w:szCs w:val="30"/>
        </w:rPr>
      </w:pPr>
      <w:r>
        <w:rPr>
          <w:rFonts w:hint="eastAsia" w:ascii="仿宋_GB2312" w:eastAsia="仿宋_GB2312"/>
          <w:b/>
          <w:sz w:val="30"/>
          <w:szCs w:val="30"/>
        </w:rPr>
        <w:t>二、提交申请材料</w:t>
      </w:r>
    </w:p>
    <w:p w14:paraId="2DAA3C05">
      <w:pPr>
        <w:widowControl/>
        <w:spacing w:line="560" w:lineRule="exact"/>
        <w:ind w:firstLine="600" w:firstLineChars="200"/>
        <w:rPr>
          <w:rFonts w:ascii="仿宋_GB2312" w:eastAsia="仿宋_GB2312"/>
          <w:sz w:val="30"/>
          <w:szCs w:val="30"/>
        </w:rPr>
      </w:pPr>
      <w:r>
        <w:rPr>
          <w:rFonts w:hint="eastAsia" w:ascii="仿宋_GB2312" w:eastAsia="仿宋_GB2312"/>
          <w:sz w:val="30"/>
          <w:szCs w:val="30"/>
        </w:rPr>
        <w:t>申请人将上述申请材料送交上海证券交易所债券业务</w:t>
      </w:r>
      <w:r>
        <w:rPr>
          <w:rFonts w:hint="eastAsia" w:ascii="仿宋_GB2312" w:eastAsia="仿宋_GB2312"/>
          <w:sz w:val="30"/>
          <w:szCs w:val="30"/>
          <w:lang w:eastAsia="zh-CN"/>
        </w:rPr>
        <w:t>中心</w:t>
      </w:r>
      <w:r>
        <w:rPr>
          <w:rFonts w:hint="eastAsia" w:ascii="仿宋_GB2312" w:eastAsia="仿宋_GB2312"/>
          <w:sz w:val="30"/>
          <w:szCs w:val="30"/>
        </w:rPr>
        <w:t>，也可以特快专递的方式寄至债券业务</w:t>
      </w:r>
      <w:r>
        <w:rPr>
          <w:rFonts w:hint="eastAsia" w:ascii="仿宋_GB2312" w:eastAsia="仿宋_GB2312"/>
          <w:sz w:val="30"/>
          <w:szCs w:val="30"/>
          <w:lang w:eastAsia="zh-CN"/>
        </w:rPr>
        <w:t>中心</w:t>
      </w:r>
      <w:r>
        <w:rPr>
          <w:rFonts w:hint="eastAsia" w:ascii="仿宋_GB2312" w:eastAsia="仿宋_GB2312"/>
          <w:sz w:val="30"/>
          <w:szCs w:val="30"/>
        </w:rPr>
        <w:t>。</w:t>
      </w:r>
    </w:p>
    <w:p w14:paraId="2B13F9C2">
      <w:pPr>
        <w:widowControl/>
        <w:spacing w:line="560" w:lineRule="exact"/>
        <w:ind w:firstLine="600" w:firstLineChars="200"/>
        <w:rPr>
          <w:rFonts w:ascii="仿宋_GB2312" w:eastAsia="仿宋_GB2312"/>
          <w:sz w:val="30"/>
          <w:szCs w:val="30"/>
        </w:rPr>
      </w:pPr>
      <w:r>
        <w:rPr>
          <w:rFonts w:hint="eastAsia" w:ascii="仿宋_GB2312" w:eastAsia="仿宋_GB2312"/>
          <w:sz w:val="30"/>
          <w:szCs w:val="30"/>
        </w:rPr>
        <w:t>邮寄地址：上海市浦东新区杨高南路388号上海证券交易所债券业务</w:t>
      </w:r>
      <w:r>
        <w:rPr>
          <w:rFonts w:hint="eastAsia" w:ascii="仿宋_GB2312" w:eastAsia="仿宋_GB2312"/>
          <w:sz w:val="30"/>
          <w:szCs w:val="30"/>
          <w:lang w:eastAsia="zh-CN"/>
        </w:rPr>
        <w:t>中心</w:t>
      </w:r>
      <w:r>
        <w:rPr>
          <w:rFonts w:hint="eastAsia" w:ascii="仿宋_GB2312" w:eastAsia="仿宋_GB2312"/>
          <w:sz w:val="30"/>
          <w:szCs w:val="30"/>
        </w:rPr>
        <w:t>。</w:t>
      </w:r>
    </w:p>
    <w:p w14:paraId="7618AE36">
      <w:pPr>
        <w:widowControl/>
        <w:spacing w:line="560" w:lineRule="exact"/>
        <w:ind w:firstLine="600" w:firstLineChars="200"/>
        <w:rPr>
          <w:rFonts w:ascii="仿宋_GB2312" w:eastAsia="仿宋_GB2312"/>
          <w:sz w:val="30"/>
          <w:szCs w:val="30"/>
        </w:rPr>
      </w:pPr>
      <w:r>
        <w:rPr>
          <w:rFonts w:hint="eastAsia" w:ascii="仿宋_GB2312" w:eastAsia="仿宋_GB2312"/>
          <w:sz w:val="30"/>
          <w:szCs w:val="30"/>
        </w:rPr>
        <w:t>邮政编码：</w:t>
      </w:r>
      <w:r>
        <w:rPr>
          <w:rFonts w:ascii="仿宋_GB2312" w:eastAsia="仿宋_GB2312"/>
          <w:sz w:val="30"/>
          <w:szCs w:val="30"/>
        </w:rPr>
        <w:t>2001</w:t>
      </w:r>
      <w:r>
        <w:rPr>
          <w:rFonts w:hint="eastAsia" w:ascii="仿宋_GB2312" w:eastAsia="仿宋_GB2312"/>
          <w:sz w:val="30"/>
          <w:szCs w:val="30"/>
        </w:rPr>
        <w:t>35。</w:t>
      </w:r>
    </w:p>
    <w:p w14:paraId="1AD3FA56">
      <w:pPr>
        <w:widowControl/>
        <w:spacing w:line="560" w:lineRule="exact"/>
        <w:ind w:firstLine="600" w:firstLineChars="200"/>
        <w:rPr>
          <w:rFonts w:ascii="仿宋_GB2312" w:eastAsia="仿宋_GB2312"/>
          <w:sz w:val="30"/>
          <w:szCs w:val="30"/>
        </w:rPr>
      </w:pPr>
      <w:r>
        <w:rPr>
          <w:rFonts w:hint="eastAsia" w:ascii="仿宋_GB2312" w:eastAsia="仿宋_GB2312"/>
          <w:sz w:val="30"/>
          <w:szCs w:val="30"/>
        </w:rPr>
        <w:t>联系人：</w:t>
      </w:r>
      <w:r>
        <w:rPr>
          <w:rFonts w:hint="eastAsia" w:ascii="仿宋_GB2312" w:eastAsia="仿宋_GB2312"/>
          <w:sz w:val="28"/>
          <w:szCs w:val="28"/>
        </w:rPr>
        <w:t>邱兆东</w:t>
      </w:r>
      <w:r>
        <w:rPr>
          <w:rFonts w:ascii="仿宋_GB2312" w:eastAsia="仿宋_GB2312"/>
          <w:sz w:val="30"/>
          <w:szCs w:val="30"/>
        </w:rPr>
        <w:t xml:space="preserve">   </w:t>
      </w:r>
      <w:r>
        <w:rPr>
          <w:rFonts w:hint="eastAsia" w:ascii="仿宋_GB2312" w:eastAsia="仿宋_GB2312"/>
          <w:sz w:val="30"/>
          <w:szCs w:val="30"/>
        </w:rPr>
        <w:t xml:space="preserve">   联系电话：</w:t>
      </w:r>
      <w:r>
        <w:rPr>
          <w:rFonts w:ascii="仿宋_GB2312" w:eastAsia="仿宋_GB2312"/>
          <w:sz w:val="30"/>
          <w:szCs w:val="30"/>
        </w:rPr>
        <w:t>021-</w:t>
      </w:r>
      <w:r>
        <w:rPr>
          <w:rFonts w:hint="eastAsia" w:ascii="仿宋_GB2312" w:eastAsia="仿宋_GB2312"/>
          <w:sz w:val="30"/>
          <w:szCs w:val="30"/>
        </w:rPr>
        <w:t>68601985</w:t>
      </w:r>
    </w:p>
    <w:p w14:paraId="644A168B">
      <w:pPr>
        <w:widowControl/>
        <w:spacing w:line="560" w:lineRule="exact"/>
        <w:ind w:firstLine="601" w:firstLineChars="200"/>
        <w:rPr>
          <w:rFonts w:ascii="仿宋_GB2312" w:eastAsia="仿宋_GB2312"/>
          <w:b/>
          <w:sz w:val="30"/>
          <w:szCs w:val="30"/>
        </w:rPr>
      </w:pPr>
      <w:r>
        <w:rPr>
          <w:rFonts w:hint="eastAsia" w:ascii="仿宋_GB2312" w:eastAsia="仿宋_GB2312"/>
          <w:b/>
          <w:sz w:val="30"/>
          <w:szCs w:val="30"/>
        </w:rPr>
        <w:t>三、数字证书制作和配发</w:t>
      </w:r>
    </w:p>
    <w:p w14:paraId="410A2293">
      <w:pPr>
        <w:widowControl/>
        <w:spacing w:line="560" w:lineRule="exact"/>
        <w:ind w:firstLine="600" w:firstLineChars="200"/>
        <w:rPr>
          <w:rFonts w:ascii="仿宋_GB2312" w:eastAsia="仿宋_GB2312"/>
          <w:sz w:val="30"/>
          <w:szCs w:val="30"/>
        </w:rPr>
      </w:pPr>
      <w:r>
        <w:rPr>
          <w:rFonts w:hint="eastAsia" w:ascii="仿宋_GB2312" w:eastAsia="仿宋_GB2312"/>
          <w:sz w:val="30"/>
          <w:szCs w:val="30"/>
        </w:rPr>
        <w:t>上海证券交易所制作和开通数字证书后，将数字证书送交、邮寄给申请人。</w:t>
      </w:r>
    </w:p>
    <w:p w14:paraId="676B08C6">
      <w:pPr>
        <w:widowControl/>
        <w:spacing w:line="560" w:lineRule="exact"/>
        <w:ind w:firstLine="600" w:firstLineChars="200"/>
        <w:rPr>
          <w:rFonts w:ascii="仿宋_GB2312" w:eastAsia="仿宋_GB2312"/>
          <w:sz w:val="30"/>
          <w:szCs w:val="30"/>
        </w:rPr>
      </w:pPr>
      <w:r>
        <w:rPr>
          <w:rFonts w:hint="eastAsia" w:ascii="仿宋_GB2312" w:eastAsia="仿宋_GB2312"/>
          <w:sz w:val="30"/>
          <w:szCs w:val="30"/>
        </w:rPr>
        <w:t>申请人申请数字证书，2个以内免收费用，超过2个的由交易所依据相关规定进行收费。</w:t>
      </w:r>
    </w:p>
    <w:p w14:paraId="035BE26E">
      <w:pPr>
        <w:widowControl/>
        <w:spacing w:line="560" w:lineRule="exact"/>
        <w:ind w:firstLine="600" w:firstLineChars="200"/>
        <w:rPr>
          <w:rFonts w:ascii="仿宋_GB2312" w:eastAsia="仿宋_GB2312"/>
          <w:sz w:val="30"/>
          <w:szCs w:val="30"/>
        </w:rPr>
      </w:pPr>
    </w:p>
    <w:p w14:paraId="34C052AC">
      <w:pPr>
        <w:widowControl/>
        <w:spacing w:line="560" w:lineRule="exact"/>
        <w:ind w:firstLine="600" w:firstLineChars="200"/>
        <w:rPr>
          <w:rFonts w:ascii="仿宋_GB2312" w:eastAsia="仿宋_GB2312"/>
          <w:sz w:val="30"/>
          <w:szCs w:val="30"/>
        </w:rPr>
      </w:pPr>
    </w:p>
    <w:p w14:paraId="2548D341">
      <w:pPr>
        <w:widowControl/>
        <w:spacing w:line="560" w:lineRule="exact"/>
        <w:ind w:firstLine="600" w:firstLineChars="200"/>
        <w:rPr>
          <w:rFonts w:ascii="仿宋_GB2312" w:eastAsia="仿宋_GB2312"/>
          <w:sz w:val="30"/>
          <w:szCs w:val="30"/>
        </w:rPr>
      </w:pPr>
    </w:p>
    <w:p w14:paraId="07B1D981">
      <w:pPr>
        <w:widowControl/>
        <w:spacing w:line="560" w:lineRule="exact"/>
        <w:ind w:firstLine="600" w:firstLineChars="200"/>
        <w:rPr>
          <w:rFonts w:ascii="仿宋_GB2312" w:eastAsia="仿宋_GB2312"/>
          <w:sz w:val="30"/>
          <w:szCs w:val="30"/>
        </w:rPr>
        <w:sectPr>
          <w:footerReference r:id="rId8" w:type="default"/>
          <w:footerReference r:id="rId9" w:type="even"/>
          <w:pgSz w:w="11906" w:h="16838"/>
          <w:pgMar w:top="1440" w:right="1800" w:bottom="1440" w:left="1800" w:header="851" w:footer="992" w:gutter="0"/>
          <w:cols w:space="425" w:num="1"/>
          <w:docGrid w:type="lines" w:linePitch="312" w:charSpace="0"/>
        </w:sectPr>
      </w:pPr>
      <w:r>
        <w:rPr>
          <w:rFonts w:hint="eastAsia" w:ascii="仿宋_GB2312" w:eastAsia="仿宋_GB2312"/>
          <w:sz w:val="30"/>
          <w:szCs w:val="30"/>
        </w:rPr>
        <w:t>附件：CnSCA数字证书机构申请表</w:t>
      </w:r>
    </w:p>
    <w:p w14:paraId="74FB81DF">
      <w:pPr>
        <w:jc w:val="center"/>
        <w:rPr>
          <w:rFonts w:ascii="华文楷体" w:hAnsi="华文楷体" w:eastAsia="华文楷体" w:cstheme="minorBidi"/>
          <w:b/>
          <w:sz w:val="36"/>
          <w:szCs w:val="36"/>
        </w:rPr>
      </w:pPr>
      <w:r>
        <w:rPr>
          <w:rFonts w:hint="eastAsia" w:ascii="华文楷体" w:hAnsi="华文楷体" w:eastAsia="华文楷体" w:cstheme="minorBidi"/>
          <w:b/>
          <w:sz w:val="36"/>
          <w:szCs w:val="36"/>
        </w:rPr>
        <w:t>CnSCA数字证书机构申请表</w:t>
      </w:r>
    </w:p>
    <w:p w14:paraId="39E9FB28">
      <w:pPr>
        <w:jc w:val="center"/>
        <w:rPr>
          <w:rFonts w:ascii="黑体" w:eastAsia="黑体"/>
          <w:color w:val="000000"/>
          <w:sz w:val="24"/>
        </w:rPr>
      </w:pPr>
      <w:r>
        <w:rPr>
          <w:rFonts w:hint="eastAsia" w:ascii="黑体" w:eastAsia="黑体"/>
          <w:color w:val="000000"/>
        </w:rPr>
        <w:t>（适用于机构, 请填写后打印，签名并加盖单位公章，</w:t>
      </w:r>
      <w:bookmarkStart w:id="4199" w:name="OLE_LINK3"/>
      <w:bookmarkStart w:id="4200" w:name="OLE_LINK9"/>
      <w:bookmarkStart w:id="4201" w:name="OLE_LINK7"/>
      <w:bookmarkStart w:id="4202" w:name="OLE_LINK5"/>
      <w:bookmarkStart w:id="4203" w:name="OLE_LINK8"/>
      <w:bookmarkStart w:id="4204" w:name="OLE_LINK6"/>
      <w:bookmarkStart w:id="4205" w:name="OLE_LINK4"/>
      <w:r>
        <w:rPr>
          <w:rFonts w:hint="eastAsia" w:ascii="黑体" w:eastAsia="黑体"/>
          <w:color w:val="000000"/>
        </w:rPr>
        <w:t>V1.</w:t>
      </w:r>
      <w:bookmarkEnd w:id="4199"/>
      <w:bookmarkEnd w:id="4200"/>
      <w:bookmarkEnd w:id="4201"/>
      <w:bookmarkEnd w:id="4202"/>
      <w:bookmarkEnd w:id="4203"/>
      <w:bookmarkEnd w:id="4204"/>
      <w:bookmarkEnd w:id="4205"/>
      <w:r>
        <w:rPr>
          <w:rFonts w:ascii="黑体" w:eastAsia="黑体"/>
          <w:color w:val="000000"/>
        </w:rPr>
        <w:t>5</w:t>
      </w:r>
      <w:r>
        <w:rPr>
          <w:rFonts w:hint="eastAsia" w:ascii="黑体" w:eastAsia="黑体"/>
          <w:color w:val="000000"/>
          <w:sz w:val="24"/>
        </w:rPr>
        <w:t>）</w:t>
      </w:r>
    </w:p>
    <w:tbl>
      <w:tblPr>
        <w:tblStyle w:val="43"/>
        <w:tblW w:w="92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
        <w:gridCol w:w="577"/>
        <w:gridCol w:w="989"/>
        <w:gridCol w:w="715"/>
        <w:gridCol w:w="280"/>
        <w:gridCol w:w="1700"/>
        <w:gridCol w:w="996"/>
        <w:gridCol w:w="1560"/>
        <w:gridCol w:w="141"/>
        <w:gridCol w:w="1060"/>
        <w:gridCol w:w="812"/>
      </w:tblGrid>
      <w:tr w14:paraId="265F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6" w:hRule="atLeast"/>
        </w:trPr>
        <w:tc>
          <w:tcPr>
            <w:tcW w:w="413" w:type="dxa"/>
            <w:vMerge w:val="restart"/>
            <w:shd w:val="clear" w:color="auto" w:fill="auto"/>
            <w:vAlign w:val="center"/>
          </w:tcPr>
          <w:p w14:paraId="6290BDF5">
            <w:pPr>
              <w:jc w:val="center"/>
              <w:rPr>
                <w:rFonts w:ascii="宋体" w:hAnsi="宋体"/>
                <w:b/>
                <w:color w:val="000000"/>
              </w:rPr>
            </w:pPr>
            <w:r>
              <w:rPr>
                <w:rFonts w:hint="eastAsia" w:ascii="宋体" w:hAnsi="宋体"/>
                <w:b/>
                <w:color w:val="000000"/>
              </w:rPr>
              <w:t>申</w:t>
            </w:r>
          </w:p>
          <w:p w14:paraId="7EDCA974">
            <w:pPr>
              <w:jc w:val="center"/>
              <w:rPr>
                <w:rFonts w:ascii="宋体" w:hAnsi="宋体"/>
                <w:b/>
                <w:color w:val="000000"/>
              </w:rPr>
            </w:pPr>
          </w:p>
          <w:p w14:paraId="2F573AA8">
            <w:pPr>
              <w:jc w:val="center"/>
              <w:rPr>
                <w:rFonts w:ascii="宋体" w:hAnsi="宋体"/>
                <w:b/>
                <w:color w:val="000000"/>
              </w:rPr>
            </w:pPr>
            <w:r>
              <w:rPr>
                <w:rFonts w:hint="eastAsia" w:ascii="宋体" w:hAnsi="宋体"/>
                <w:b/>
                <w:color w:val="000000"/>
              </w:rPr>
              <w:t>请</w:t>
            </w:r>
          </w:p>
          <w:p w14:paraId="7170D0A5">
            <w:pPr>
              <w:jc w:val="center"/>
              <w:rPr>
                <w:rFonts w:ascii="宋体" w:hAnsi="宋体"/>
                <w:b/>
                <w:color w:val="000000"/>
              </w:rPr>
            </w:pPr>
          </w:p>
          <w:p w14:paraId="6EDCC9DB">
            <w:pPr>
              <w:jc w:val="center"/>
              <w:rPr>
                <w:rFonts w:ascii="宋体" w:hAnsi="宋体"/>
                <w:b/>
                <w:color w:val="000000"/>
              </w:rPr>
            </w:pPr>
            <w:r>
              <w:rPr>
                <w:rFonts w:hint="eastAsia" w:ascii="宋体" w:hAnsi="宋体"/>
                <w:b/>
                <w:color w:val="000000"/>
              </w:rPr>
              <w:t>单</w:t>
            </w:r>
          </w:p>
          <w:p w14:paraId="67D14FAF">
            <w:pPr>
              <w:jc w:val="center"/>
              <w:rPr>
                <w:rFonts w:ascii="宋体" w:hAnsi="宋体"/>
                <w:b/>
                <w:color w:val="000000"/>
              </w:rPr>
            </w:pPr>
          </w:p>
          <w:p w14:paraId="6370931C">
            <w:pPr>
              <w:jc w:val="center"/>
              <w:rPr>
                <w:rFonts w:ascii="宋体" w:hAnsi="宋体"/>
                <w:b/>
                <w:color w:val="000000"/>
              </w:rPr>
            </w:pPr>
            <w:r>
              <w:rPr>
                <w:rFonts w:hint="eastAsia" w:ascii="宋体" w:hAnsi="宋体"/>
                <w:b/>
                <w:color w:val="000000"/>
              </w:rPr>
              <w:t>位</w:t>
            </w:r>
          </w:p>
          <w:p w14:paraId="67590BF4">
            <w:pPr>
              <w:jc w:val="center"/>
              <w:rPr>
                <w:rFonts w:ascii="宋体" w:hAnsi="宋体"/>
                <w:b/>
                <w:color w:val="000000"/>
              </w:rPr>
            </w:pPr>
          </w:p>
          <w:p w14:paraId="7031FB12">
            <w:pPr>
              <w:jc w:val="center"/>
              <w:rPr>
                <w:rFonts w:ascii="宋体" w:hAnsi="宋体"/>
                <w:b/>
                <w:color w:val="000000"/>
              </w:rPr>
            </w:pPr>
            <w:r>
              <w:rPr>
                <w:rFonts w:hint="eastAsia" w:ascii="宋体" w:hAnsi="宋体"/>
                <w:b/>
                <w:color w:val="000000"/>
              </w:rPr>
              <w:t>填</w:t>
            </w:r>
          </w:p>
          <w:p w14:paraId="398147B8">
            <w:pPr>
              <w:jc w:val="center"/>
              <w:rPr>
                <w:rFonts w:ascii="宋体" w:hAnsi="宋体"/>
                <w:b/>
                <w:color w:val="000000"/>
              </w:rPr>
            </w:pPr>
          </w:p>
          <w:p w14:paraId="23F69428">
            <w:pPr>
              <w:jc w:val="center"/>
              <w:rPr>
                <w:rFonts w:ascii="宋体" w:hAnsi="宋体"/>
                <w:b/>
                <w:color w:val="000000"/>
              </w:rPr>
            </w:pPr>
            <w:r>
              <w:rPr>
                <w:rFonts w:hint="eastAsia" w:ascii="宋体" w:hAnsi="宋体"/>
                <w:b/>
                <w:color w:val="000000"/>
              </w:rPr>
              <w:t>写</w:t>
            </w:r>
          </w:p>
        </w:tc>
        <w:tc>
          <w:tcPr>
            <w:tcW w:w="2561" w:type="dxa"/>
            <w:gridSpan w:val="4"/>
            <w:shd w:val="clear" w:color="auto" w:fill="auto"/>
            <w:vAlign w:val="center"/>
          </w:tcPr>
          <w:p w14:paraId="2E52CE49">
            <w:pPr>
              <w:jc w:val="center"/>
              <w:rPr>
                <w:rFonts w:ascii="宋体" w:hAnsi="宋体"/>
                <w:b/>
                <w:color w:val="000000"/>
              </w:rPr>
            </w:pPr>
            <w:r>
              <w:rPr>
                <w:rFonts w:hint="eastAsia" w:ascii="宋体" w:hAnsi="宋体"/>
                <w:b/>
                <w:color w:val="000000"/>
              </w:rPr>
              <w:t>申请类型</w:t>
            </w:r>
          </w:p>
        </w:tc>
        <w:tc>
          <w:tcPr>
            <w:tcW w:w="6269" w:type="dxa"/>
            <w:gridSpan w:val="6"/>
            <w:shd w:val="clear" w:color="auto" w:fill="auto"/>
            <w:vAlign w:val="center"/>
          </w:tcPr>
          <w:p w14:paraId="5AEEB731">
            <w:pPr>
              <w:rPr>
                <w:rFonts w:ascii="宋体" w:hAnsi="宋体"/>
                <w:b/>
                <w:color w:val="000000"/>
              </w:rPr>
            </w:pPr>
            <w:r>
              <w:rPr>
                <w:rFonts w:ascii="宋体" w:hAnsi="宋体"/>
                <w:b/>
              </w:rPr>
              <w:t>□</w:t>
            </w:r>
            <w:r>
              <w:rPr>
                <w:rFonts w:hint="eastAsia" w:ascii="宋体" w:hAnsi="宋体"/>
                <w:b/>
                <w:color w:val="000000"/>
              </w:rPr>
              <w:t>新增</w:t>
            </w:r>
            <w:r>
              <w:rPr>
                <w:rFonts w:hint="eastAsia" w:ascii="宋体" w:hAnsi="宋体"/>
                <w:b/>
                <w:color w:val="000000"/>
                <w:u w:val="single"/>
              </w:rPr>
              <w:t xml:space="preserve">     </w:t>
            </w:r>
            <w:r>
              <w:rPr>
                <w:rFonts w:hint="eastAsia" w:ascii="宋体" w:hAnsi="宋体"/>
                <w:b/>
                <w:color w:val="000000"/>
              </w:rPr>
              <w:t xml:space="preserve">（个） </w:t>
            </w:r>
          </w:p>
        </w:tc>
      </w:tr>
      <w:tr w14:paraId="34B70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trPr>
        <w:tc>
          <w:tcPr>
            <w:tcW w:w="413" w:type="dxa"/>
            <w:vMerge w:val="continue"/>
            <w:shd w:val="clear" w:color="auto" w:fill="auto"/>
            <w:vAlign w:val="center"/>
          </w:tcPr>
          <w:p w14:paraId="695E825E">
            <w:pPr>
              <w:jc w:val="center"/>
              <w:rPr>
                <w:rFonts w:ascii="宋体" w:hAnsi="宋体"/>
                <w:b/>
                <w:color w:val="000000"/>
              </w:rPr>
            </w:pPr>
          </w:p>
        </w:tc>
        <w:tc>
          <w:tcPr>
            <w:tcW w:w="577" w:type="dxa"/>
            <w:vMerge w:val="restart"/>
            <w:shd w:val="clear" w:color="auto" w:fill="auto"/>
            <w:vAlign w:val="center"/>
          </w:tcPr>
          <w:p w14:paraId="6F3E5B0F">
            <w:pPr>
              <w:jc w:val="center"/>
              <w:rPr>
                <w:rFonts w:ascii="宋体" w:hAnsi="宋体"/>
                <w:b/>
                <w:color w:val="000000"/>
              </w:rPr>
            </w:pPr>
            <w:r>
              <w:rPr>
                <w:rFonts w:hint="eastAsia" w:ascii="宋体" w:hAnsi="宋体"/>
                <w:b/>
                <w:color w:val="000000"/>
              </w:rPr>
              <w:t>机构申请信息</w:t>
            </w:r>
          </w:p>
        </w:tc>
        <w:tc>
          <w:tcPr>
            <w:tcW w:w="1984" w:type="dxa"/>
            <w:gridSpan w:val="3"/>
            <w:shd w:val="clear" w:color="auto" w:fill="auto"/>
            <w:vAlign w:val="center"/>
          </w:tcPr>
          <w:p w14:paraId="39100E11">
            <w:pPr>
              <w:jc w:val="left"/>
              <w:rPr>
                <w:rFonts w:ascii="宋体" w:hAnsi="宋体"/>
                <w:b/>
                <w:color w:val="000000"/>
              </w:rPr>
            </w:pPr>
            <w:r>
              <w:rPr>
                <w:rFonts w:hint="eastAsia" w:ascii="宋体" w:hAnsi="宋体"/>
                <w:b/>
                <w:color w:val="000000"/>
              </w:rPr>
              <w:t>机构名称</w:t>
            </w:r>
          </w:p>
        </w:tc>
        <w:tc>
          <w:tcPr>
            <w:tcW w:w="6269" w:type="dxa"/>
            <w:gridSpan w:val="6"/>
            <w:shd w:val="clear" w:color="auto" w:fill="auto"/>
            <w:vAlign w:val="center"/>
          </w:tcPr>
          <w:p w14:paraId="60527C83">
            <w:pPr>
              <w:rPr>
                <w:rFonts w:ascii="宋体" w:hAnsi="宋体"/>
                <w:b/>
                <w:color w:val="000000"/>
              </w:rPr>
            </w:pPr>
          </w:p>
        </w:tc>
      </w:tr>
      <w:tr w14:paraId="54BE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4" w:hRule="atLeast"/>
        </w:trPr>
        <w:tc>
          <w:tcPr>
            <w:tcW w:w="413" w:type="dxa"/>
            <w:vMerge w:val="continue"/>
            <w:shd w:val="clear" w:color="auto" w:fill="auto"/>
            <w:vAlign w:val="center"/>
          </w:tcPr>
          <w:p w14:paraId="14AB0FE6">
            <w:pPr>
              <w:jc w:val="center"/>
              <w:rPr>
                <w:rFonts w:ascii="宋体" w:hAnsi="宋体"/>
                <w:b/>
                <w:color w:val="000000"/>
              </w:rPr>
            </w:pPr>
          </w:p>
        </w:tc>
        <w:tc>
          <w:tcPr>
            <w:tcW w:w="577" w:type="dxa"/>
            <w:vMerge w:val="continue"/>
            <w:shd w:val="clear" w:color="auto" w:fill="auto"/>
            <w:vAlign w:val="center"/>
          </w:tcPr>
          <w:p w14:paraId="3F4899BA">
            <w:pPr>
              <w:jc w:val="center"/>
              <w:rPr>
                <w:rFonts w:ascii="宋体" w:hAnsi="宋体"/>
                <w:b/>
                <w:color w:val="000000"/>
              </w:rPr>
            </w:pPr>
          </w:p>
        </w:tc>
        <w:tc>
          <w:tcPr>
            <w:tcW w:w="1984" w:type="dxa"/>
            <w:gridSpan w:val="3"/>
            <w:shd w:val="clear" w:color="auto" w:fill="auto"/>
            <w:vAlign w:val="center"/>
          </w:tcPr>
          <w:p w14:paraId="4B0265D8">
            <w:pPr>
              <w:jc w:val="left"/>
              <w:rPr>
                <w:rFonts w:ascii="宋体" w:hAnsi="宋体"/>
                <w:b/>
                <w:color w:val="000000"/>
              </w:rPr>
            </w:pPr>
            <w:r>
              <w:rPr>
                <w:rFonts w:hint="eastAsia" w:ascii="宋体" w:hAnsi="宋体"/>
                <w:b/>
                <w:color w:val="000000"/>
              </w:rPr>
              <w:t>邮政地址</w:t>
            </w:r>
          </w:p>
        </w:tc>
        <w:tc>
          <w:tcPr>
            <w:tcW w:w="4256" w:type="dxa"/>
            <w:gridSpan w:val="3"/>
            <w:shd w:val="clear" w:color="auto" w:fill="auto"/>
            <w:vAlign w:val="center"/>
          </w:tcPr>
          <w:p w14:paraId="2EDC9178">
            <w:pPr>
              <w:rPr>
                <w:rFonts w:ascii="宋体" w:hAnsi="宋体"/>
                <w:b/>
                <w:color w:val="000000"/>
              </w:rPr>
            </w:pPr>
          </w:p>
        </w:tc>
        <w:tc>
          <w:tcPr>
            <w:tcW w:w="1201" w:type="dxa"/>
            <w:gridSpan w:val="2"/>
            <w:shd w:val="clear" w:color="auto" w:fill="auto"/>
            <w:vAlign w:val="center"/>
          </w:tcPr>
          <w:p w14:paraId="07ADCED4">
            <w:pPr>
              <w:rPr>
                <w:rFonts w:ascii="宋体" w:hAnsi="宋体"/>
                <w:b/>
                <w:color w:val="000000"/>
              </w:rPr>
            </w:pPr>
            <w:r>
              <w:rPr>
                <w:rFonts w:hint="eastAsia" w:ascii="宋体" w:hAnsi="宋体"/>
                <w:b/>
                <w:color w:val="000000"/>
              </w:rPr>
              <w:t>邮政编码</w:t>
            </w:r>
          </w:p>
        </w:tc>
        <w:tc>
          <w:tcPr>
            <w:tcW w:w="812" w:type="dxa"/>
            <w:shd w:val="clear" w:color="auto" w:fill="auto"/>
            <w:vAlign w:val="center"/>
          </w:tcPr>
          <w:p w14:paraId="3BAA3E9F">
            <w:pPr>
              <w:rPr>
                <w:rFonts w:ascii="宋体" w:hAnsi="宋体"/>
                <w:b/>
                <w:color w:val="000000"/>
              </w:rPr>
            </w:pPr>
          </w:p>
        </w:tc>
      </w:tr>
      <w:tr w14:paraId="748B5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 w:hRule="atLeast"/>
        </w:trPr>
        <w:tc>
          <w:tcPr>
            <w:tcW w:w="413" w:type="dxa"/>
            <w:vMerge w:val="continue"/>
            <w:shd w:val="clear" w:color="auto" w:fill="auto"/>
            <w:vAlign w:val="center"/>
          </w:tcPr>
          <w:p w14:paraId="4F3EA928">
            <w:pPr>
              <w:jc w:val="center"/>
              <w:rPr>
                <w:rFonts w:ascii="宋体" w:hAnsi="宋体"/>
                <w:b/>
                <w:color w:val="000000"/>
              </w:rPr>
            </w:pPr>
          </w:p>
        </w:tc>
        <w:tc>
          <w:tcPr>
            <w:tcW w:w="577" w:type="dxa"/>
            <w:vMerge w:val="continue"/>
            <w:shd w:val="clear" w:color="auto" w:fill="auto"/>
            <w:vAlign w:val="center"/>
          </w:tcPr>
          <w:p w14:paraId="2052394E">
            <w:pPr>
              <w:jc w:val="center"/>
              <w:rPr>
                <w:rFonts w:ascii="宋体" w:hAnsi="宋体"/>
                <w:b/>
                <w:color w:val="000000"/>
              </w:rPr>
            </w:pPr>
          </w:p>
        </w:tc>
        <w:tc>
          <w:tcPr>
            <w:tcW w:w="1984" w:type="dxa"/>
            <w:gridSpan w:val="3"/>
            <w:shd w:val="clear" w:color="auto" w:fill="auto"/>
            <w:vAlign w:val="center"/>
          </w:tcPr>
          <w:p w14:paraId="06B24621">
            <w:pPr>
              <w:jc w:val="left"/>
              <w:rPr>
                <w:rFonts w:ascii="宋体" w:hAnsi="宋体"/>
                <w:b/>
                <w:color w:val="000000"/>
              </w:rPr>
            </w:pPr>
            <w:r>
              <w:rPr>
                <w:rFonts w:hint="eastAsia" w:ascii="宋体" w:hAnsi="宋体"/>
                <w:b/>
                <w:color w:val="000000"/>
              </w:rPr>
              <w:t>机构联系电话</w:t>
            </w:r>
          </w:p>
        </w:tc>
        <w:tc>
          <w:tcPr>
            <w:tcW w:w="4256" w:type="dxa"/>
            <w:gridSpan w:val="3"/>
            <w:shd w:val="clear" w:color="auto" w:fill="auto"/>
            <w:vAlign w:val="center"/>
          </w:tcPr>
          <w:p w14:paraId="1EC4546D">
            <w:pPr>
              <w:rPr>
                <w:rFonts w:ascii="宋体" w:hAnsi="宋体"/>
                <w:b/>
                <w:color w:val="000000"/>
              </w:rPr>
            </w:pPr>
          </w:p>
        </w:tc>
        <w:tc>
          <w:tcPr>
            <w:tcW w:w="1201" w:type="dxa"/>
            <w:gridSpan w:val="2"/>
            <w:shd w:val="clear" w:color="auto" w:fill="auto"/>
            <w:vAlign w:val="center"/>
          </w:tcPr>
          <w:p w14:paraId="4E2CEA98">
            <w:pPr>
              <w:rPr>
                <w:rFonts w:ascii="宋体" w:hAnsi="宋体"/>
                <w:b/>
                <w:color w:val="000000"/>
              </w:rPr>
            </w:pPr>
            <w:r>
              <w:rPr>
                <w:rFonts w:hint="eastAsia" w:ascii="宋体" w:hAnsi="宋体"/>
                <w:b/>
                <w:color w:val="000000"/>
              </w:rPr>
              <w:t>联系人</w:t>
            </w:r>
          </w:p>
        </w:tc>
        <w:tc>
          <w:tcPr>
            <w:tcW w:w="812" w:type="dxa"/>
            <w:shd w:val="clear" w:color="auto" w:fill="auto"/>
            <w:vAlign w:val="center"/>
          </w:tcPr>
          <w:p w14:paraId="6CE577F8">
            <w:pPr>
              <w:rPr>
                <w:rFonts w:ascii="宋体" w:hAnsi="宋体"/>
                <w:b/>
                <w:color w:val="000000"/>
              </w:rPr>
            </w:pPr>
          </w:p>
        </w:tc>
      </w:tr>
      <w:tr w14:paraId="37542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413" w:type="dxa"/>
            <w:vMerge w:val="continue"/>
            <w:shd w:val="clear" w:color="auto" w:fill="auto"/>
            <w:vAlign w:val="center"/>
          </w:tcPr>
          <w:p w14:paraId="598CBD83">
            <w:pPr>
              <w:jc w:val="center"/>
              <w:rPr>
                <w:rFonts w:ascii="宋体" w:hAnsi="宋体"/>
                <w:b/>
                <w:color w:val="000000"/>
              </w:rPr>
            </w:pPr>
          </w:p>
        </w:tc>
        <w:tc>
          <w:tcPr>
            <w:tcW w:w="577" w:type="dxa"/>
            <w:vMerge w:val="continue"/>
            <w:shd w:val="clear" w:color="auto" w:fill="auto"/>
            <w:vAlign w:val="center"/>
          </w:tcPr>
          <w:p w14:paraId="4F364D17">
            <w:pPr>
              <w:jc w:val="center"/>
              <w:rPr>
                <w:rFonts w:ascii="宋体" w:hAnsi="宋体"/>
                <w:b/>
                <w:color w:val="000000"/>
              </w:rPr>
            </w:pPr>
          </w:p>
        </w:tc>
        <w:tc>
          <w:tcPr>
            <w:tcW w:w="1984" w:type="dxa"/>
            <w:gridSpan w:val="3"/>
            <w:shd w:val="clear" w:color="auto" w:fill="auto"/>
            <w:vAlign w:val="center"/>
          </w:tcPr>
          <w:p w14:paraId="627C7DB8">
            <w:pPr>
              <w:jc w:val="left"/>
              <w:rPr>
                <w:rFonts w:ascii="宋体" w:hAnsi="宋体"/>
                <w:b/>
                <w:color w:val="000000"/>
              </w:rPr>
            </w:pPr>
            <w:r>
              <w:rPr>
                <w:rFonts w:hint="eastAsia" w:ascii="宋体" w:hAnsi="宋体"/>
                <w:b/>
                <w:color w:val="000000"/>
              </w:rPr>
              <w:t>法定代表人</w:t>
            </w:r>
          </w:p>
        </w:tc>
        <w:tc>
          <w:tcPr>
            <w:tcW w:w="1700" w:type="dxa"/>
            <w:tcBorders>
              <w:bottom w:val="single" w:color="auto" w:sz="4" w:space="0"/>
            </w:tcBorders>
            <w:shd w:val="clear" w:color="auto" w:fill="auto"/>
            <w:vAlign w:val="center"/>
          </w:tcPr>
          <w:p w14:paraId="541037E0">
            <w:pPr>
              <w:rPr>
                <w:rFonts w:ascii="宋体" w:hAnsi="宋体"/>
                <w:b/>
                <w:color w:val="000000"/>
              </w:rPr>
            </w:pPr>
          </w:p>
        </w:tc>
        <w:tc>
          <w:tcPr>
            <w:tcW w:w="2556" w:type="dxa"/>
            <w:gridSpan w:val="2"/>
            <w:tcBorders>
              <w:bottom w:val="single" w:color="auto" w:sz="4" w:space="0"/>
            </w:tcBorders>
            <w:shd w:val="clear" w:color="auto" w:fill="auto"/>
            <w:vAlign w:val="center"/>
          </w:tcPr>
          <w:p w14:paraId="4FE1AEE9">
            <w:pPr>
              <w:rPr>
                <w:rFonts w:ascii="宋体" w:hAnsi="宋体"/>
                <w:b/>
                <w:color w:val="000000"/>
              </w:rPr>
            </w:pPr>
            <w:r>
              <w:rPr>
                <w:rFonts w:hint="eastAsia" w:ascii="宋体" w:hAnsi="宋体"/>
                <w:b/>
                <w:color w:val="000000"/>
              </w:rPr>
              <w:t>联系人电子信箱</w:t>
            </w:r>
          </w:p>
        </w:tc>
        <w:tc>
          <w:tcPr>
            <w:tcW w:w="2013" w:type="dxa"/>
            <w:gridSpan w:val="3"/>
            <w:tcBorders>
              <w:bottom w:val="single" w:color="auto" w:sz="4" w:space="0"/>
            </w:tcBorders>
            <w:shd w:val="clear" w:color="auto" w:fill="auto"/>
            <w:vAlign w:val="center"/>
          </w:tcPr>
          <w:p w14:paraId="4DB3C814">
            <w:pPr>
              <w:pStyle w:val="30"/>
            </w:pPr>
          </w:p>
        </w:tc>
      </w:tr>
      <w:tr w14:paraId="4FC3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13" w:type="dxa"/>
            <w:vMerge w:val="continue"/>
            <w:shd w:val="clear" w:color="auto" w:fill="auto"/>
            <w:vAlign w:val="center"/>
          </w:tcPr>
          <w:p w14:paraId="55D0A928">
            <w:pPr>
              <w:jc w:val="center"/>
              <w:rPr>
                <w:rFonts w:ascii="宋体" w:hAnsi="宋体"/>
                <w:b/>
                <w:color w:val="000000"/>
              </w:rPr>
            </w:pPr>
          </w:p>
        </w:tc>
        <w:tc>
          <w:tcPr>
            <w:tcW w:w="577" w:type="dxa"/>
            <w:vMerge w:val="continue"/>
            <w:shd w:val="clear" w:color="auto" w:fill="auto"/>
            <w:vAlign w:val="center"/>
          </w:tcPr>
          <w:p w14:paraId="2B535424">
            <w:pPr>
              <w:jc w:val="center"/>
              <w:rPr>
                <w:rFonts w:ascii="宋体" w:hAnsi="宋体"/>
                <w:b/>
                <w:color w:val="000000"/>
              </w:rPr>
            </w:pPr>
          </w:p>
        </w:tc>
        <w:tc>
          <w:tcPr>
            <w:tcW w:w="1984" w:type="dxa"/>
            <w:gridSpan w:val="3"/>
            <w:shd w:val="clear" w:color="auto" w:fill="auto"/>
            <w:vAlign w:val="center"/>
          </w:tcPr>
          <w:p w14:paraId="7E44C5DA">
            <w:pPr>
              <w:jc w:val="left"/>
              <w:rPr>
                <w:rFonts w:ascii="宋体" w:hAnsi="宋体"/>
                <w:b/>
                <w:color w:val="000000"/>
              </w:rPr>
            </w:pPr>
            <w:r>
              <w:rPr>
                <w:rFonts w:hint="eastAsia" w:ascii="宋体" w:hAnsi="宋体"/>
                <w:b/>
                <w:color w:val="000000"/>
              </w:rPr>
              <w:t>注册地址</w:t>
            </w:r>
          </w:p>
        </w:tc>
        <w:tc>
          <w:tcPr>
            <w:tcW w:w="6269" w:type="dxa"/>
            <w:gridSpan w:val="6"/>
            <w:tcBorders>
              <w:bottom w:val="single" w:color="auto" w:sz="4" w:space="0"/>
            </w:tcBorders>
            <w:shd w:val="clear" w:color="auto" w:fill="auto"/>
            <w:vAlign w:val="center"/>
          </w:tcPr>
          <w:p w14:paraId="5F8E72DF">
            <w:pPr>
              <w:rPr>
                <w:rFonts w:ascii="宋体" w:hAnsi="宋体"/>
                <w:b/>
                <w:color w:val="000000"/>
              </w:rPr>
            </w:pPr>
          </w:p>
        </w:tc>
      </w:tr>
      <w:tr w14:paraId="375CA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13" w:type="dxa"/>
            <w:vMerge w:val="continue"/>
            <w:shd w:val="clear" w:color="auto" w:fill="auto"/>
            <w:vAlign w:val="center"/>
          </w:tcPr>
          <w:p w14:paraId="078790AB">
            <w:pPr>
              <w:jc w:val="center"/>
              <w:rPr>
                <w:rFonts w:ascii="宋体" w:hAnsi="宋体"/>
                <w:b/>
                <w:color w:val="000000"/>
              </w:rPr>
            </w:pPr>
          </w:p>
        </w:tc>
        <w:tc>
          <w:tcPr>
            <w:tcW w:w="577" w:type="dxa"/>
            <w:vMerge w:val="continue"/>
            <w:shd w:val="clear" w:color="auto" w:fill="auto"/>
            <w:vAlign w:val="center"/>
          </w:tcPr>
          <w:p w14:paraId="1CC9DAFF">
            <w:pPr>
              <w:jc w:val="center"/>
              <w:rPr>
                <w:rFonts w:ascii="宋体" w:hAnsi="宋体"/>
                <w:b/>
                <w:color w:val="000000"/>
              </w:rPr>
            </w:pPr>
          </w:p>
        </w:tc>
        <w:tc>
          <w:tcPr>
            <w:tcW w:w="1984" w:type="dxa"/>
            <w:gridSpan w:val="3"/>
            <w:shd w:val="clear" w:color="auto" w:fill="auto"/>
            <w:vAlign w:val="center"/>
          </w:tcPr>
          <w:p w14:paraId="100E85F6">
            <w:pPr>
              <w:jc w:val="left"/>
              <w:rPr>
                <w:rFonts w:ascii="宋体" w:hAnsi="宋体"/>
                <w:b/>
                <w:color w:val="000000"/>
              </w:rPr>
            </w:pPr>
            <w:r>
              <w:rPr>
                <w:rFonts w:hint="eastAsia" w:ascii="宋体" w:hAnsi="宋体"/>
                <w:b/>
                <w:color w:val="000000"/>
              </w:rPr>
              <w:t>统一</w:t>
            </w:r>
            <w:r>
              <w:rPr>
                <w:rFonts w:ascii="宋体" w:hAnsi="宋体"/>
                <w:b/>
                <w:color w:val="000000"/>
              </w:rPr>
              <w:t>社会信用代码</w:t>
            </w:r>
          </w:p>
        </w:tc>
        <w:tc>
          <w:tcPr>
            <w:tcW w:w="6269" w:type="dxa"/>
            <w:gridSpan w:val="6"/>
            <w:tcBorders>
              <w:bottom w:val="single" w:color="auto" w:sz="4" w:space="0"/>
            </w:tcBorders>
            <w:shd w:val="clear" w:color="auto" w:fill="auto"/>
            <w:vAlign w:val="center"/>
          </w:tcPr>
          <w:p w14:paraId="28639BF6">
            <w:pPr>
              <w:rPr>
                <w:rFonts w:ascii="宋体" w:hAnsi="宋体"/>
                <w:b/>
                <w:color w:val="000000"/>
              </w:rPr>
            </w:pPr>
          </w:p>
        </w:tc>
      </w:tr>
      <w:tr w14:paraId="1FD9A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trPr>
        <w:tc>
          <w:tcPr>
            <w:tcW w:w="413" w:type="dxa"/>
            <w:vMerge w:val="continue"/>
            <w:shd w:val="clear" w:color="auto" w:fill="auto"/>
            <w:vAlign w:val="center"/>
          </w:tcPr>
          <w:p w14:paraId="0931E521">
            <w:pPr>
              <w:jc w:val="center"/>
              <w:rPr>
                <w:rFonts w:ascii="宋体" w:hAnsi="宋体"/>
                <w:b/>
                <w:color w:val="000000"/>
              </w:rPr>
            </w:pPr>
          </w:p>
        </w:tc>
        <w:tc>
          <w:tcPr>
            <w:tcW w:w="577" w:type="dxa"/>
            <w:vMerge w:val="continue"/>
            <w:shd w:val="clear" w:color="auto" w:fill="auto"/>
            <w:vAlign w:val="center"/>
          </w:tcPr>
          <w:p w14:paraId="4575B706">
            <w:pPr>
              <w:jc w:val="center"/>
              <w:rPr>
                <w:rFonts w:ascii="宋体" w:hAnsi="宋体"/>
                <w:b/>
                <w:color w:val="000000"/>
              </w:rPr>
            </w:pPr>
          </w:p>
        </w:tc>
        <w:tc>
          <w:tcPr>
            <w:tcW w:w="989" w:type="dxa"/>
            <w:vMerge w:val="restart"/>
            <w:shd w:val="clear" w:color="auto" w:fill="auto"/>
            <w:vAlign w:val="center"/>
          </w:tcPr>
          <w:p w14:paraId="7C548E78">
            <w:pPr>
              <w:jc w:val="center"/>
              <w:rPr>
                <w:rFonts w:ascii="宋体" w:hAnsi="宋体"/>
                <w:b/>
              </w:rPr>
            </w:pPr>
            <w:r>
              <w:rPr>
                <w:rFonts w:hint="eastAsia" w:ascii="宋体" w:hAnsi="宋体"/>
                <w:b/>
              </w:rPr>
              <w:t>证书</w:t>
            </w:r>
          </w:p>
          <w:p w14:paraId="551B1C65">
            <w:pPr>
              <w:jc w:val="center"/>
              <w:rPr>
                <w:rFonts w:ascii="宋体" w:hAnsi="宋体"/>
                <w:b/>
              </w:rPr>
            </w:pPr>
            <w:r>
              <w:rPr>
                <w:rFonts w:hint="eastAsia" w:ascii="宋体" w:hAnsi="宋体"/>
                <w:b/>
              </w:rPr>
              <w:t>类型</w:t>
            </w:r>
          </w:p>
          <w:p w14:paraId="2F20F105">
            <w:pPr>
              <w:jc w:val="center"/>
              <w:rPr>
                <w:rFonts w:ascii="宋体" w:hAnsi="宋体"/>
                <w:b/>
              </w:rPr>
            </w:pPr>
            <w:r>
              <w:rPr>
                <w:rFonts w:hint="eastAsia" w:ascii="宋体" w:hAnsi="宋体"/>
                <w:sz w:val="18"/>
                <w:szCs w:val="18"/>
              </w:rPr>
              <w:t>（请在申请的证书类型前打</w:t>
            </w:r>
            <w:r>
              <w:rPr>
                <w:rFonts w:ascii="宋体" w:hAnsi="宋体"/>
                <w:b/>
              </w:rPr>
              <w:sym w:font="Wingdings 2" w:char="0052"/>
            </w:r>
            <w:r>
              <w:rPr>
                <w:rFonts w:hint="eastAsia" w:ascii="宋体" w:hAnsi="宋体"/>
                <w:b/>
              </w:rPr>
              <w:t>,</w:t>
            </w:r>
            <w:r>
              <w:rPr>
                <w:rFonts w:hint="eastAsia" w:ascii="宋体" w:hAnsi="宋体"/>
              </w:rPr>
              <w:t>单选</w:t>
            </w:r>
            <w:r>
              <w:rPr>
                <w:rFonts w:hint="eastAsia" w:ascii="宋体" w:hAnsi="宋体"/>
                <w:sz w:val="18"/>
                <w:szCs w:val="18"/>
              </w:rPr>
              <w:t>）</w:t>
            </w:r>
          </w:p>
        </w:tc>
        <w:tc>
          <w:tcPr>
            <w:tcW w:w="7264" w:type="dxa"/>
            <w:gridSpan w:val="8"/>
            <w:shd w:val="clear" w:color="auto" w:fill="FFFFFF"/>
            <w:vAlign w:val="center"/>
          </w:tcPr>
          <w:p w14:paraId="01DD2FDA">
            <w:pPr>
              <w:rPr>
                <w:rFonts w:ascii="宋体" w:hAnsi="宋体"/>
              </w:rPr>
            </w:pPr>
            <w:r>
              <w:rPr>
                <w:rFonts w:ascii="宋体" w:hAnsi="宋体"/>
                <w:b/>
              </w:rPr>
              <w:t>□</w:t>
            </w:r>
            <w:r>
              <w:rPr>
                <w:rFonts w:hint="eastAsia" w:ascii="宋体" w:hAnsi="宋体"/>
                <w:b/>
              </w:rPr>
              <w:t>债券担保品处置业务</w:t>
            </w:r>
          </w:p>
        </w:tc>
      </w:tr>
      <w:tr w14:paraId="1F4A2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trPr>
        <w:tc>
          <w:tcPr>
            <w:tcW w:w="413" w:type="dxa"/>
            <w:vMerge w:val="continue"/>
            <w:shd w:val="clear" w:color="auto" w:fill="auto"/>
            <w:vAlign w:val="center"/>
          </w:tcPr>
          <w:p w14:paraId="1D574B0B">
            <w:pPr>
              <w:jc w:val="center"/>
              <w:rPr>
                <w:rFonts w:ascii="宋体" w:hAnsi="宋体"/>
                <w:b/>
                <w:color w:val="000000"/>
              </w:rPr>
            </w:pPr>
          </w:p>
        </w:tc>
        <w:tc>
          <w:tcPr>
            <w:tcW w:w="577" w:type="dxa"/>
            <w:vMerge w:val="continue"/>
            <w:shd w:val="clear" w:color="auto" w:fill="auto"/>
            <w:vAlign w:val="center"/>
          </w:tcPr>
          <w:p w14:paraId="57D89D21">
            <w:pPr>
              <w:jc w:val="center"/>
              <w:rPr>
                <w:rFonts w:ascii="宋体" w:hAnsi="宋体"/>
                <w:b/>
                <w:color w:val="000000"/>
              </w:rPr>
            </w:pPr>
          </w:p>
        </w:tc>
        <w:tc>
          <w:tcPr>
            <w:tcW w:w="989" w:type="dxa"/>
            <w:vMerge w:val="continue"/>
            <w:shd w:val="clear" w:color="auto" w:fill="auto"/>
            <w:vAlign w:val="center"/>
          </w:tcPr>
          <w:p w14:paraId="7ACB7899">
            <w:pPr>
              <w:jc w:val="center"/>
              <w:rPr>
                <w:rFonts w:ascii="宋体" w:hAnsi="宋体"/>
                <w:b/>
              </w:rPr>
            </w:pPr>
          </w:p>
        </w:tc>
        <w:tc>
          <w:tcPr>
            <w:tcW w:w="7264" w:type="dxa"/>
            <w:gridSpan w:val="8"/>
            <w:shd w:val="clear" w:color="auto" w:fill="FFFFFF"/>
            <w:vAlign w:val="center"/>
          </w:tcPr>
          <w:p w14:paraId="5326E84B"/>
        </w:tc>
      </w:tr>
      <w:tr w14:paraId="409DA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trPr>
        <w:tc>
          <w:tcPr>
            <w:tcW w:w="413" w:type="dxa"/>
            <w:vMerge w:val="continue"/>
            <w:shd w:val="clear" w:color="auto" w:fill="auto"/>
            <w:vAlign w:val="center"/>
          </w:tcPr>
          <w:p w14:paraId="5F795CA0">
            <w:pPr>
              <w:jc w:val="center"/>
              <w:rPr>
                <w:rFonts w:ascii="宋体" w:hAnsi="宋体"/>
                <w:b/>
                <w:color w:val="000000"/>
              </w:rPr>
            </w:pPr>
          </w:p>
        </w:tc>
        <w:tc>
          <w:tcPr>
            <w:tcW w:w="577" w:type="dxa"/>
            <w:vMerge w:val="continue"/>
            <w:shd w:val="clear" w:color="auto" w:fill="auto"/>
            <w:vAlign w:val="center"/>
          </w:tcPr>
          <w:p w14:paraId="0C925DF9">
            <w:pPr>
              <w:jc w:val="center"/>
              <w:rPr>
                <w:rFonts w:ascii="宋体" w:hAnsi="宋体"/>
                <w:b/>
                <w:color w:val="000000"/>
              </w:rPr>
            </w:pPr>
          </w:p>
        </w:tc>
        <w:tc>
          <w:tcPr>
            <w:tcW w:w="989" w:type="dxa"/>
            <w:vMerge w:val="continue"/>
            <w:shd w:val="clear" w:color="auto" w:fill="auto"/>
            <w:vAlign w:val="center"/>
          </w:tcPr>
          <w:p w14:paraId="35BF4D10">
            <w:pPr>
              <w:pStyle w:val="30"/>
            </w:pPr>
          </w:p>
        </w:tc>
        <w:tc>
          <w:tcPr>
            <w:tcW w:w="7264" w:type="dxa"/>
            <w:gridSpan w:val="8"/>
            <w:shd w:val="clear" w:color="auto" w:fill="auto"/>
            <w:vAlign w:val="center"/>
          </w:tcPr>
          <w:p w14:paraId="37B6A37E">
            <w:pPr>
              <w:rPr>
                <w:rFonts w:ascii="宋体" w:hAnsi="宋体"/>
              </w:rPr>
            </w:pPr>
          </w:p>
        </w:tc>
      </w:tr>
      <w:tr w14:paraId="3E6CE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trPr>
        <w:tc>
          <w:tcPr>
            <w:tcW w:w="413" w:type="dxa"/>
            <w:vMerge w:val="continue"/>
            <w:shd w:val="clear" w:color="auto" w:fill="auto"/>
            <w:vAlign w:val="center"/>
          </w:tcPr>
          <w:p w14:paraId="0F0101E1">
            <w:pPr>
              <w:jc w:val="center"/>
              <w:rPr>
                <w:rFonts w:ascii="宋体" w:hAnsi="宋体"/>
                <w:b/>
                <w:color w:val="000000"/>
              </w:rPr>
            </w:pPr>
          </w:p>
        </w:tc>
        <w:tc>
          <w:tcPr>
            <w:tcW w:w="577" w:type="dxa"/>
            <w:vMerge w:val="continue"/>
            <w:shd w:val="clear" w:color="auto" w:fill="auto"/>
            <w:vAlign w:val="center"/>
          </w:tcPr>
          <w:p w14:paraId="14502977">
            <w:pPr>
              <w:jc w:val="center"/>
              <w:rPr>
                <w:rFonts w:ascii="宋体" w:hAnsi="宋体"/>
                <w:b/>
                <w:color w:val="000000"/>
              </w:rPr>
            </w:pPr>
          </w:p>
        </w:tc>
        <w:tc>
          <w:tcPr>
            <w:tcW w:w="989" w:type="dxa"/>
            <w:vMerge w:val="continue"/>
            <w:shd w:val="clear" w:color="auto" w:fill="auto"/>
            <w:vAlign w:val="center"/>
          </w:tcPr>
          <w:p w14:paraId="63D8DEDA">
            <w:pPr>
              <w:pStyle w:val="30"/>
            </w:pPr>
          </w:p>
        </w:tc>
        <w:tc>
          <w:tcPr>
            <w:tcW w:w="7264" w:type="dxa"/>
            <w:gridSpan w:val="8"/>
            <w:shd w:val="clear" w:color="auto" w:fill="auto"/>
            <w:vAlign w:val="center"/>
          </w:tcPr>
          <w:p w14:paraId="53A3D2D7">
            <w:pPr>
              <w:rPr>
                <w:rFonts w:ascii="宋体" w:hAnsi="宋体"/>
                <w:b/>
              </w:rPr>
            </w:pPr>
          </w:p>
        </w:tc>
      </w:tr>
      <w:tr w14:paraId="340C9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trPr>
        <w:tc>
          <w:tcPr>
            <w:tcW w:w="413" w:type="dxa"/>
            <w:vMerge w:val="continue"/>
            <w:shd w:val="clear" w:color="auto" w:fill="auto"/>
            <w:vAlign w:val="center"/>
          </w:tcPr>
          <w:p w14:paraId="4164DC18">
            <w:pPr>
              <w:jc w:val="center"/>
              <w:rPr>
                <w:rFonts w:ascii="宋体" w:hAnsi="宋体"/>
                <w:b/>
                <w:color w:val="000000"/>
              </w:rPr>
            </w:pPr>
          </w:p>
        </w:tc>
        <w:tc>
          <w:tcPr>
            <w:tcW w:w="577" w:type="dxa"/>
            <w:vMerge w:val="continue"/>
            <w:shd w:val="clear" w:color="auto" w:fill="auto"/>
            <w:vAlign w:val="center"/>
          </w:tcPr>
          <w:p w14:paraId="41CACA44">
            <w:pPr>
              <w:jc w:val="center"/>
              <w:rPr>
                <w:rFonts w:ascii="宋体" w:hAnsi="宋体"/>
                <w:b/>
                <w:color w:val="000000"/>
              </w:rPr>
            </w:pPr>
          </w:p>
        </w:tc>
        <w:tc>
          <w:tcPr>
            <w:tcW w:w="989" w:type="dxa"/>
            <w:vMerge w:val="continue"/>
            <w:shd w:val="clear" w:color="auto" w:fill="auto"/>
            <w:vAlign w:val="center"/>
          </w:tcPr>
          <w:p w14:paraId="02223146">
            <w:pPr>
              <w:pStyle w:val="30"/>
            </w:pPr>
          </w:p>
        </w:tc>
        <w:tc>
          <w:tcPr>
            <w:tcW w:w="7264" w:type="dxa"/>
            <w:gridSpan w:val="8"/>
            <w:shd w:val="clear" w:color="auto" w:fill="auto"/>
            <w:vAlign w:val="center"/>
          </w:tcPr>
          <w:p w14:paraId="0D5BEC30">
            <w:pPr>
              <w:rPr>
                <w:rFonts w:ascii="宋体" w:hAnsi="宋体"/>
                <w:b/>
              </w:rPr>
            </w:pPr>
          </w:p>
        </w:tc>
      </w:tr>
      <w:tr w14:paraId="4360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trPr>
        <w:tc>
          <w:tcPr>
            <w:tcW w:w="413" w:type="dxa"/>
            <w:vMerge w:val="continue"/>
            <w:shd w:val="clear" w:color="auto" w:fill="auto"/>
            <w:vAlign w:val="center"/>
          </w:tcPr>
          <w:p w14:paraId="49703CFD">
            <w:pPr>
              <w:jc w:val="center"/>
              <w:rPr>
                <w:rFonts w:ascii="宋体" w:hAnsi="宋体"/>
                <w:b/>
                <w:color w:val="000000"/>
              </w:rPr>
            </w:pPr>
          </w:p>
        </w:tc>
        <w:tc>
          <w:tcPr>
            <w:tcW w:w="577" w:type="dxa"/>
            <w:vMerge w:val="continue"/>
            <w:shd w:val="clear" w:color="auto" w:fill="auto"/>
            <w:vAlign w:val="center"/>
          </w:tcPr>
          <w:p w14:paraId="75DD8A92">
            <w:pPr>
              <w:jc w:val="center"/>
              <w:rPr>
                <w:rFonts w:ascii="宋体" w:hAnsi="宋体"/>
                <w:b/>
                <w:color w:val="000000"/>
              </w:rPr>
            </w:pPr>
          </w:p>
        </w:tc>
        <w:tc>
          <w:tcPr>
            <w:tcW w:w="989" w:type="dxa"/>
            <w:vMerge w:val="continue"/>
            <w:shd w:val="clear" w:color="auto" w:fill="auto"/>
            <w:vAlign w:val="center"/>
          </w:tcPr>
          <w:p w14:paraId="10DAE485">
            <w:pPr>
              <w:pStyle w:val="30"/>
            </w:pPr>
          </w:p>
        </w:tc>
        <w:tc>
          <w:tcPr>
            <w:tcW w:w="7264" w:type="dxa"/>
            <w:gridSpan w:val="8"/>
            <w:shd w:val="clear" w:color="auto" w:fill="auto"/>
            <w:vAlign w:val="center"/>
          </w:tcPr>
          <w:p w14:paraId="18033FBE">
            <w:pPr>
              <w:rPr>
                <w:rFonts w:ascii="宋体" w:hAnsi="宋体"/>
                <w:b/>
              </w:rPr>
            </w:pPr>
          </w:p>
        </w:tc>
      </w:tr>
      <w:tr w14:paraId="0FB9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trPr>
        <w:tc>
          <w:tcPr>
            <w:tcW w:w="413" w:type="dxa"/>
            <w:vMerge w:val="continue"/>
            <w:shd w:val="clear" w:color="auto" w:fill="auto"/>
            <w:vAlign w:val="center"/>
          </w:tcPr>
          <w:p w14:paraId="0179B04F">
            <w:pPr>
              <w:jc w:val="center"/>
              <w:rPr>
                <w:rFonts w:ascii="宋体" w:hAnsi="宋体"/>
                <w:b/>
                <w:color w:val="000000"/>
              </w:rPr>
            </w:pPr>
          </w:p>
        </w:tc>
        <w:tc>
          <w:tcPr>
            <w:tcW w:w="577" w:type="dxa"/>
            <w:vMerge w:val="continue"/>
            <w:shd w:val="clear" w:color="auto" w:fill="auto"/>
            <w:vAlign w:val="center"/>
          </w:tcPr>
          <w:p w14:paraId="6E9193A7">
            <w:pPr>
              <w:jc w:val="center"/>
              <w:rPr>
                <w:rFonts w:ascii="宋体" w:hAnsi="宋体"/>
                <w:b/>
                <w:color w:val="000000"/>
              </w:rPr>
            </w:pPr>
          </w:p>
        </w:tc>
        <w:tc>
          <w:tcPr>
            <w:tcW w:w="989" w:type="dxa"/>
            <w:vMerge w:val="continue"/>
            <w:shd w:val="clear" w:color="auto" w:fill="auto"/>
            <w:vAlign w:val="center"/>
          </w:tcPr>
          <w:p w14:paraId="6F5FC631">
            <w:pPr>
              <w:pStyle w:val="30"/>
            </w:pPr>
          </w:p>
        </w:tc>
        <w:tc>
          <w:tcPr>
            <w:tcW w:w="7264" w:type="dxa"/>
            <w:gridSpan w:val="8"/>
            <w:shd w:val="clear" w:color="auto" w:fill="auto"/>
            <w:vAlign w:val="center"/>
          </w:tcPr>
          <w:p w14:paraId="2ECECC54">
            <w:pPr>
              <w:rPr>
                <w:rFonts w:ascii="宋体" w:hAnsi="宋体"/>
                <w:b/>
              </w:rPr>
            </w:pPr>
            <w:bookmarkStart w:id="4206" w:name="14"/>
            <w:bookmarkEnd w:id="4206"/>
          </w:p>
        </w:tc>
      </w:tr>
      <w:tr w14:paraId="176A0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trPr>
        <w:tc>
          <w:tcPr>
            <w:tcW w:w="413" w:type="dxa"/>
            <w:vMerge w:val="continue"/>
            <w:shd w:val="clear" w:color="auto" w:fill="auto"/>
            <w:vAlign w:val="center"/>
          </w:tcPr>
          <w:p w14:paraId="6FB08865">
            <w:pPr>
              <w:jc w:val="center"/>
              <w:rPr>
                <w:rFonts w:ascii="宋体" w:hAnsi="宋体"/>
                <w:b/>
                <w:color w:val="000000"/>
              </w:rPr>
            </w:pPr>
          </w:p>
        </w:tc>
        <w:tc>
          <w:tcPr>
            <w:tcW w:w="577" w:type="dxa"/>
            <w:vMerge w:val="continue"/>
            <w:shd w:val="clear" w:color="auto" w:fill="auto"/>
            <w:vAlign w:val="center"/>
          </w:tcPr>
          <w:p w14:paraId="70743700">
            <w:pPr>
              <w:jc w:val="center"/>
              <w:rPr>
                <w:rFonts w:ascii="宋体" w:hAnsi="宋体"/>
                <w:b/>
                <w:color w:val="000000"/>
              </w:rPr>
            </w:pPr>
          </w:p>
        </w:tc>
        <w:tc>
          <w:tcPr>
            <w:tcW w:w="989" w:type="dxa"/>
            <w:vMerge w:val="continue"/>
            <w:shd w:val="clear" w:color="auto" w:fill="auto"/>
            <w:vAlign w:val="center"/>
          </w:tcPr>
          <w:p w14:paraId="2A488EAE">
            <w:pPr>
              <w:pStyle w:val="30"/>
            </w:pPr>
          </w:p>
        </w:tc>
        <w:tc>
          <w:tcPr>
            <w:tcW w:w="7264" w:type="dxa"/>
            <w:gridSpan w:val="8"/>
            <w:shd w:val="clear" w:color="auto" w:fill="auto"/>
            <w:vAlign w:val="center"/>
          </w:tcPr>
          <w:p w14:paraId="41349A03">
            <w:pPr>
              <w:rPr>
                <w:rFonts w:ascii="宋体" w:hAnsi="宋体"/>
                <w:b/>
              </w:rPr>
            </w:pPr>
            <w:bookmarkStart w:id="4207" w:name="16"/>
            <w:bookmarkEnd w:id="4207"/>
            <w:bookmarkStart w:id="4208" w:name="15"/>
            <w:bookmarkEnd w:id="4208"/>
          </w:p>
        </w:tc>
      </w:tr>
      <w:tr w14:paraId="1491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 w:hRule="atLeast"/>
        </w:trPr>
        <w:tc>
          <w:tcPr>
            <w:tcW w:w="413" w:type="dxa"/>
            <w:vMerge w:val="continue"/>
            <w:shd w:val="clear" w:color="auto" w:fill="auto"/>
            <w:vAlign w:val="center"/>
          </w:tcPr>
          <w:p w14:paraId="4DB9A6DE">
            <w:pPr>
              <w:jc w:val="center"/>
              <w:rPr>
                <w:rFonts w:ascii="宋体" w:hAnsi="宋体"/>
                <w:b/>
                <w:color w:val="000000"/>
              </w:rPr>
            </w:pPr>
          </w:p>
        </w:tc>
        <w:tc>
          <w:tcPr>
            <w:tcW w:w="577" w:type="dxa"/>
            <w:vMerge w:val="continue"/>
            <w:shd w:val="clear" w:color="auto" w:fill="auto"/>
            <w:vAlign w:val="center"/>
          </w:tcPr>
          <w:p w14:paraId="577DA955">
            <w:pPr>
              <w:jc w:val="center"/>
              <w:rPr>
                <w:rFonts w:ascii="宋体" w:hAnsi="宋体"/>
                <w:b/>
                <w:color w:val="000000"/>
              </w:rPr>
            </w:pPr>
          </w:p>
        </w:tc>
        <w:tc>
          <w:tcPr>
            <w:tcW w:w="989" w:type="dxa"/>
            <w:vMerge w:val="continue"/>
            <w:shd w:val="clear" w:color="auto" w:fill="auto"/>
            <w:vAlign w:val="center"/>
          </w:tcPr>
          <w:p w14:paraId="0E780B17">
            <w:pPr>
              <w:pStyle w:val="30"/>
            </w:pPr>
          </w:p>
        </w:tc>
        <w:tc>
          <w:tcPr>
            <w:tcW w:w="7264" w:type="dxa"/>
            <w:gridSpan w:val="8"/>
            <w:shd w:val="clear" w:color="auto" w:fill="auto"/>
            <w:vAlign w:val="center"/>
          </w:tcPr>
          <w:p w14:paraId="0B98FC1B">
            <w:pPr>
              <w:rPr>
                <w:rFonts w:ascii="宋体" w:hAnsi="宋体"/>
                <w:b/>
              </w:rPr>
            </w:pPr>
          </w:p>
        </w:tc>
      </w:tr>
      <w:tr w14:paraId="734DA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1" w:hRule="atLeast"/>
        </w:trPr>
        <w:tc>
          <w:tcPr>
            <w:tcW w:w="413" w:type="dxa"/>
            <w:vMerge w:val="continue"/>
            <w:shd w:val="clear" w:color="auto" w:fill="auto"/>
            <w:vAlign w:val="center"/>
          </w:tcPr>
          <w:p w14:paraId="17A68AA7">
            <w:pPr>
              <w:jc w:val="center"/>
              <w:rPr>
                <w:rFonts w:ascii="宋体" w:hAnsi="宋体"/>
                <w:b/>
                <w:color w:val="000000"/>
              </w:rPr>
            </w:pPr>
          </w:p>
        </w:tc>
        <w:tc>
          <w:tcPr>
            <w:tcW w:w="577" w:type="dxa"/>
            <w:vMerge w:val="continue"/>
            <w:shd w:val="clear" w:color="auto" w:fill="auto"/>
            <w:vAlign w:val="center"/>
          </w:tcPr>
          <w:p w14:paraId="0DAF076F">
            <w:pPr>
              <w:jc w:val="center"/>
              <w:rPr>
                <w:rFonts w:ascii="宋体" w:hAnsi="宋体"/>
                <w:b/>
                <w:color w:val="000000"/>
              </w:rPr>
            </w:pPr>
          </w:p>
        </w:tc>
        <w:tc>
          <w:tcPr>
            <w:tcW w:w="989" w:type="dxa"/>
            <w:vMerge w:val="continue"/>
            <w:shd w:val="clear" w:color="auto" w:fill="auto"/>
            <w:vAlign w:val="center"/>
          </w:tcPr>
          <w:p w14:paraId="4BC2E1BC">
            <w:pPr>
              <w:pStyle w:val="30"/>
            </w:pPr>
          </w:p>
        </w:tc>
        <w:tc>
          <w:tcPr>
            <w:tcW w:w="7264" w:type="dxa"/>
            <w:gridSpan w:val="8"/>
            <w:shd w:val="clear" w:color="auto" w:fill="auto"/>
            <w:vAlign w:val="center"/>
          </w:tcPr>
          <w:p w14:paraId="69B3086E">
            <w:pPr>
              <w:rPr>
                <w:rFonts w:ascii="宋体" w:hAnsi="宋体"/>
                <w:b/>
              </w:rPr>
            </w:pPr>
          </w:p>
        </w:tc>
      </w:tr>
      <w:tr w14:paraId="2AB3D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1" w:hRule="atLeast"/>
        </w:trPr>
        <w:tc>
          <w:tcPr>
            <w:tcW w:w="413" w:type="dxa"/>
            <w:vMerge w:val="continue"/>
            <w:shd w:val="clear" w:color="auto" w:fill="auto"/>
            <w:vAlign w:val="center"/>
          </w:tcPr>
          <w:p w14:paraId="05565DA9">
            <w:pPr>
              <w:jc w:val="center"/>
              <w:rPr>
                <w:rFonts w:ascii="宋体" w:hAnsi="宋体"/>
                <w:b/>
                <w:color w:val="000000"/>
              </w:rPr>
            </w:pPr>
          </w:p>
        </w:tc>
        <w:tc>
          <w:tcPr>
            <w:tcW w:w="577" w:type="dxa"/>
            <w:vMerge w:val="continue"/>
            <w:shd w:val="clear" w:color="auto" w:fill="auto"/>
            <w:vAlign w:val="center"/>
          </w:tcPr>
          <w:p w14:paraId="430DD2FA">
            <w:pPr>
              <w:jc w:val="center"/>
              <w:rPr>
                <w:rFonts w:ascii="宋体" w:hAnsi="宋体"/>
                <w:b/>
                <w:color w:val="000000"/>
              </w:rPr>
            </w:pPr>
          </w:p>
        </w:tc>
        <w:tc>
          <w:tcPr>
            <w:tcW w:w="989" w:type="dxa"/>
            <w:vMerge w:val="continue"/>
            <w:shd w:val="clear" w:color="auto" w:fill="auto"/>
            <w:vAlign w:val="center"/>
          </w:tcPr>
          <w:p w14:paraId="7294DEE1">
            <w:pPr>
              <w:pStyle w:val="30"/>
            </w:pPr>
          </w:p>
        </w:tc>
        <w:tc>
          <w:tcPr>
            <w:tcW w:w="7264" w:type="dxa"/>
            <w:gridSpan w:val="8"/>
            <w:shd w:val="clear" w:color="auto" w:fill="auto"/>
            <w:vAlign w:val="center"/>
          </w:tcPr>
          <w:p w14:paraId="40199D50">
            <w:pPr>
              <w:rPr>
                <w:rFonts w:ascii="宋体" w:hAnsi="宋体"/>
                <w:b/>
              </w:rPr>
            </w:pPr>
          </w:p>
        </w:tc>
      </w:tr>
      <w:tr w14:paraId="4B62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 w:hRule="atLeast"/>
        </w:trPr>
        <w:tc>
          <w:tcPr>
            <w:tcW w:w="413" w:type="dxa"/>
            <w:vMerge w:val="continue"/>
            <w:shd w:val="clear" w:color="auto" w:fill="auto"/>
            <w:vAlign w:val="center"/>
          </w:tcPr>
          <w:p w14:paraId="2C155772">
            <w:pPr>
              <w:jc w:val="center"/>
              <w:rPr>
                <w:rFonts w:ascii="宋体" w:hAnsi="宋体"/>
                <w:b/>
                <w:color w:val="000000"/>
              </w:rPr>
            </w:pPr>
          </w:p>
        </w:tc>
        <w:tc>
          <w:tcPr>
            <w:tcW w:w="577" w:type="dxa"/>
            <w:vMerge w:val="restart"/>
            <w:shd w:val="clear" w:color="auto" w:fill="auto"/>
            <w:vAlign w:val="center"/>
          </w:tcPr>
          <w:p w14:paraId="1F408534">
            <w:pPr>
              <w:jc w:val="center"/>
              <w:rPr>
                <w:rFonts w:ascii="宋体" w:hAnsi="宋体"/>
                <w:b/>
                <w:color w:val="000000"/>
              </w:rPr>
            </w:pPr>
            <w:r>
              <w:rPr>
                <w:rFonts w:hint="eastAsia" w:ascii="宋体" w:hAnsi="宋体"/>
                <w:b/>
                <w:color w:val="000000"/>
              </w:rPr>
              <w:t>经办人</w:t>
            </w:r>
          </w:p>
        </w:tc>
        <w:tc>
          <w:tcPr>
            <w:tcW w:w="1704" w:type="dxa"/>
            <w:gridSpan w:val="2"/>
            <w:shd w:val="clear" w:color="auto" w:fill="auto"/>
            <w:vAlign w:val="center"/>
          </w:tcPr>
          <w:p w14:paraId="4438A6C4">
            <w:pPr>
              <w:jc w:val="center"/>
              <w:rPr>
                <w:rFonts w:ascii="宋体" w:hAnsi="宋体"/>
                <w:color w:val="000000"/>
              </w:rPr>
            </w:pPr>
            <w:r>
              <w:rPr>
                <w:rFonts w:hint="eastAsia" w:ascii="宋体" w:hAnsi="宋体"/>
                <w:color w:val="000000"/>
              </w:rPr>
              <w:t>姓名</w:t>
            </w:r>
          </w:p>
        </w:tc>
        <w:tc>
          <w:tcPr>
            <w:tcW w:w="2976" w:type="dxa"/>
            <w:gridSpan w:val="3"/>
            <w:shd w:val="clear" w:color="auto" w:fill="auto"/>
            <w:vAlign w:val="center"/>
          </w:tcPr>
          <w:p w14:paraId="1A4694E2">
            <w:pPr>
              <w:rPr>
                <w:rFonts w:ascii="宋体" w:hAnsi="宋体"/>
                <w:color w:val="000000"/>
              </w:rPr>
            </w:pPr>
          </w:p>
        </w:tc>
        <w:tc>
          <w:tcPr>
            <w:tcW w:w="1701" w:type="dxa"/>
            <w:gridSpan w:val="2"/>
            <w:shd w:val="clear" w:color="auto" w:fill="auto"/>
            <w:vAlign w:val="center"/>
          </w:tcPr>
          <w:p w14:paraId="1E9D5665">
            <w:pPr>
              <w:jc w:val="center"/>
              <w:rPr>
                <w:rFonts w:ascii="宋体" w:hAnsi="宋体"/>
                <w:color w:val="000000"/>
              </w:rPr>
            </w:pPr>
            <w:r>
              <w:rPr>
                <w:rFonts w:hint="eastAsia" w:ascii="宋体" w:hAnsi="宋体"/>
                <w:color w:val="000000"/>
              </w:rPr>
              <w:t>身份证号</w:t>
            </w:r>
          </w:p>
        </w:tc>
        <w:tc>
          <w:tcPr>
            <w:tcW w:w="1872" w:type="dxa"/>
            <w:gridSpan w:val="2"/>
            <w:shd w:val="clear" w:color="auto" w:fill="auto"/>
            <w:vAlign w:val="center"/>
          </w:tcPr>
          <w:p w14:paraId="6AF4AE99">
            <w:pPr>
              <w:rPr>
                <w:rFonts w:ascii="宋体" w:hAnsi="宋体"/>
                <w:color w:val="000000"/>
              </w:rPr>
            </w:pPr>
          </w:p>
        </w:tc>
      </w:tr>
      <w:tr w14:paraId="4EC2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13" w:type="dxa"/>
            <w:vMerge w:val="continue"/>
            <w:shd w:val="clear" w:color="auto" w:fill="auto"/>
            <w:vAlign w:val="center"/>
          </w:tcPr>
          <w:p w14:paraId="3FF736DE">
            <w:pPr>
              <w:jc w:val="center"/>
              <w:rPr>
                <w:rFonts w:ascii="宋体" w:hAnsi="宋体"/>
                <w:b/>
                <w:color w:val="000000"/>
              </w:rPr>
            </w:pPr>
          </w:p>
        </w:tc>
        <w:tc>
          <w:tcPr>
            <w:tcW w:w="577" w:type="dxa"/>
            <w:vMerge w:val="continue"/>
            <w:shd w:val="clear" w:color="auto" w:fill="auto"/>
            <w:vAlign w:val="center"/>
          </w:tcPr>
          <w:p w14:paraId="1A965325">
            <w:pPr>
              <w:jc w:val="center"/>
              <w:rPr>
                <w:rFonts w:ascii="宋体" w:hAnsi="宋体"/>
                <w:b/>
                <w:color w:val="000000"/>
              </w:rPr>
            </w:pPr>
          </w:p>
        </w:tc>
        <w:tc>
          <w:tcPr>
            <w:tcW w:w="1704" w:type="dxa"/>
            <w:gridSpan w:val="2"/>
            <w:shd w:val="clear" w:color="auto" w:fill="auto"/>
            <w:vAlign w:val="center"/>
          </w:tcPr>
          <w:p w14:paraId="547C4871">
            <w:pPr>
              <w:jc w:val="center"/>
              <w:rPr>
                <w:rFonts w:ascii="宋体" w:hAnsi="宋体"/>
                <w:color w:val="000000"/>
              </w:rPr>
            </w:pPr>
            <w:r>
              <w:rPr>
                <w:rFonts w:hint="eastAsia" w:ascii="宋体" w:hAnsi="宋体"/>
                <w:color w:val="000000"/>
              </w:rPr>
              <w:t>手机（</w:t>
            </w:r>
            <w:r>
              <w:rPr>
                <w:rFonts w:ascii="宋体" w:hAnsi="宋体"/>
                <w:color w:val="000000"/>
              </w:rPr>
              <w:t>重要</w:t>
            </w:r>
            <w:r>
              <w:rPr>
                <w:rFonts w:hint="eastAsia" w:ascii="宋体" w:hAnsi="宋体"/>
                <w:color w:val="000000"/>
              </w:rPr>
              <w:t>）</w:t>
            </w:r>
          </w:p>
        </w:tc>
        <w:tc>
          <w:tcPr>
            <w:tcW w:w="2976" w:type="dxa"/>
            <w:gridSpan w:val="3"/>
            <w:shd w:val="clear" w:color="auto" w:fill="auto"/>
            <w:vAlign w:val="center"/>
          </w:tcPr>
          <w:p w14:paraId="32D4E1E2">
            <w:pPr>
              <w:jc w:val="center"/>
              <w:rPr>
                <w:rFonts w:ascii="宋体" w:hAnsi="宋体"/>
                <w:color w:val="000000"/>
              </w:rPr>
            </w:pPr>
          </w:p>
        </w:tc>
        <w:tc>
          <w:tcPr>
            <w:tcW w:w="1701" w:type="dxa"/>
            <w:gridSpan w:val="2"/>
            <w:shd w:val="clear" w:color="auto" w:fill="auto"/>
            <w:vAlign w:val="center"/>
          </w:tcPr>
          <w:p w14:paraId="061FCC95">
            <w:pPr>
              <w:jc w:val="center"/>
              <w:rPr>
                <w:rFonts w:ascii="宋体" w:hAnsi="宋体"/>
                <w:color w:val="000000"/>
              </w:rPr>
            </w:pPr>
            <w:r>
              <w:rPr>
                <w:rFonts w:hint="eastAsia" w:ascii="宋体" w:hAnsi="宋体"/>
                <w:color w:val="000000"/>
              </w:rPr>
              <w:t>固话（</w:t>
            </w:r>
            <w:r>
              <w:rPr>
                <w:rFonts w:ascii="宋体" w:hAnsi="宋体"/>
                <w:color w:val="000000"/>
              </w:rPr>
              <w:t>带区号</w:t>
            </w:r>
            <w:r>
              <w:rPr>
                <w:rFonts w:hint="eastAsia" w:ascii="宋体" w:hAnsi="宋体"/>
                <w:color w:val="000000"/>
              </w:rPr>
              <w:t>）</w:t>
            </w:r>
          </w:p>
        </w:tc>
        <w:tc>
          <w:tcPr>
            <w:tcW w:w="1872" w:type="dxa"/>
            <w:gridSpan w:val="2"/>
            <w:shd w:val="clear" w:color="auto" w:fill="auto"/>
            <w:vAlign w:val="center"/>
          </w:tcPr>
          <w:p w14:paraId="2122A3C4">
            <w:pPr>
              <w:rPr>
                <w:rFonts w:ascii="宋体" w:hAnsi="宋体"/>
                <w:color w:val="000000"/>
              </w:rPr>
            </w:pPr>
          </w:p>
        </w:tc>
      </w:tr>
      <w:tr w14:paraId="38D9C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13" w:type="dxa"/>
            <w:vMerge w:val="continue"/>
            <w:shd w:val="clear" w:color="auto" w:fill="auto"/>
            <w:vAlign w:val="center"/>
          </w:tcPr>
          <w:p w14:paraId="6F49E7C9">
            <w:pPr>
              <w:jc w:val="center"/>
              <w:rPr>
                <w:rFonts w:ascii="宋体" w:hAnsi="宋体"/>
                <w:b/>
                <w:color w:val="000000"/>
              </w:rPr>
            </w:pPr>
          </w:p>
        </w:tc>
        <w:tc>
          <w:tcPr>
            <w:tcW w:w="577" w:type="dxa"/>
            <w:vMerge w:val="continue"/>
            <w:shd w:val="clear" w:color="auto" w:fill="auto"/>
            <w:vAlign w:val="center"/>
          </w:tcPr>
          <w:p w14:paraId="10175505">
            <w:pPr>
              <w:jc w:val="center"/>
              <w:rPr>
                <w:rFonts w:ascii="宋体" w:hAnsi="宋体"/>
                <w:b/>
                <w:color w:val="000000"/>
              </w:rPr>
            </w:pPr>
          </w:p>
        </w:tc>
        <w:tc>
          <w:tcPr>
            <w:tcW w:w="1704" w:type="dxa"/>
            <w:gridSpan w:val="2"/>
            <w:shd w:val="clear" w:color="auto" w:fill="auto"/>
            <w:vAlign w:val="center"/>
          </w:tcPr>
          <w:p w14:paraId="0FA4617D">
            <w:pPr>
              <w:jc w:val="center"/>
              <w:rPr>
                <w:rFonts w:ascii="宋体" w:hAnsi="宋体"/>
                <w:color w:val="000000"/>
              </w:rPr>
            </w:pPr>
            <w:r>
              <w:rPr>
                <w:rFonts w:hint="eastAsia" w:ascii="宋体" w:hAnsi="宋体"/>
                <w:color w:val="000000"/>
              </w:rPr>
              <w:t>电子邮箱</w:t>
            </w:r>
          </w:p>
        </w:tc>
        <w:tc>
          <w:tcPr>
            <w:tcW w:w="2976" w:type="dxa"/>
            <w:gridSpan w:val="3"/>
            <w:shd w:val="clear" w:color="auto" w:fill="auto"/>
            <w:vAlign w:val="center"/>
          </w:tcPr>
          <w:p w14:paraId="013D1905">
            <w:pPr>
              <w:jc w:val="center"/>
              <w:rPr>
                <w:rFonts w:ascii="宋体" w:hAnsi="宋体"/>
                <w:color w:val="000000"/>
              </w:rPr>
            </w:pPr>
          </w:p>
        </w:tc>
        <w:tc>
          <w:tcPr>
            <w:tcW w:w="1701" w:type="dxa"/>
            <w:gridSpan w:val="2"/>
            <w:shd w:val="clear" w:color="auto" w:fill="auto"/>
            <w:vAlign w:val="center"/>
          </w:tcPr>
          <w:p w14:paraId="0B8E95FF">
            <w:pPr>
              <w:jc w:val="center"/>
              <w:rPr>
                <w:rFonts w:ascii="宋体" w:hAnsi="宋体"/>
                <w:color w:val="000000"/>
              </w:rPr>
            </w:pPr>
            <w:r>
              <w:rPr>
                <w:rFonts w:hint="eastAsia" w:ascii="宋体" w:hAnsi="宋体"/>
                <w:color w:val="000000"/>
              </w:rPr>
              <w:t>传真</w:t>
            </w:r>
          </w:p>
        </w:tc>
        <w:tc>
          <w:tcPr>
            <w:tcW w:w="1872" w:type="dxa"/>
            <w:gridSpan w:val="2"/>
            <w:shd w:val="clear" w:color="auto" w:fill="auto"/>
            <w:vAlign w:val="center"/>
          </w:tcPr>
          <w:p w14:paraId="5A42D51C">
            <w:pPr>
              <w:jc w:val="center"/>
              <w:rPr>
                <w:rFonts w:ascii="宋体" w:hAnsi="宋体"/>
                <w:color w:val="000000"/>
              </w:rPr>
            </w:pPr>
          </w:p>
        </w:tc>
      </w:tr>
      <w:tr w14:paraId="69DC4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trPr>
        <w:tc>
          <w:tcPr>
            <w:tcW w:w="413" w:type="dxa"/>
            <w:vMerge w:val="continue"/>
            <w:shd w:val="clear" w:color="auto" w:fill="auto"/>
            <w:vAlign w:val="center"/>
          </w:tcPr>
          <w:p w14:paraId="77E424C6">
            <w:pPr>
              <w:jc w:val="center"/>
              <w:rPr>
                <w:rFonts w:ascii="宋体" w:hAnsi="宋体"/>
                <w:b/>
                <w:color w:val="000000"/>
              </w:rPr>
            </w:pPr>
          </w:p>
        </w:tc>
        <w:tc>
          <w:tcPr>
            <w:tcW w:w="577" w:type="dxa"/>
            <w:vMerge w:val="continue"/>
            <w:shd w:val="clear" w:color="auto" w:fill="auto"/>
            <w:vAlign w:val="center"/>
          </w:tcPr>
          <w:p w14:paraId="023882AB">
            <w:pPr>
              <w:jc w:val="center"/>
              <w:rPr>
                <w:rFonts w:ascii="宋体" w:hAnsi="宋体"/>
                <w:b/>
                <w:color w:val="000000"/>
              </w:rPr>
            </w:pPr>
          </w:p>
        </w:tc>
        <w:tc>
          <w:tcPr>
            <w:tcW w:w="1704" w:type="dxa"/>
            <w:gridSpan w:val="2"/>
            <w:shd w:val="clear" w:color="auto" w:fill="auto"/>
            <w:vAlign w:val="center"/>
          </w:tcPr>
          <w:p w14:paraId="422A7AEC">
            <w:pPr>
              <w:jc w:val="center"/>
              <w:rPr>
                <w:rFonts w:ascii="宋体" w:hAnsi="宋体"/>
                <w:color w:val="000000"/>
              </w:rPr>
            </w:pPr>
            <w:r>
              <w:rPr>
                <w:rFonts w:hint="eastAsia" w:ascii="宋体" w:hAnsi="宋体"/>
                <w:color w:val="000000"/>
              </w:rPr>
              <w:t>证书领取方式</w:t>
            </w:r>
          </w:p>
        </w:tc>
        <w:tc>
          <w:tcPr>
            <w:tcW w:w="6549" w:type="dxa"/>
            <w:gridSpan w:val="7"/>
            <w:shd w:val="clear" w:color="auto" w:fill="auto"/>
            <w:vAlign w:val="center"/>
          </w:tcPr>
          <w:p w14:paraId="0C41E9F4">
            <w:pPr>
              <w:jc w:val="left"/>
              <w:rPr>
                <w:rFonts w:ascii="宋体" w:hAnsi="宋体"/>
                <w:color w:val="000000"/>
              </w:rPr>
            </w:pPr>
            <w:r>
              <w:rPr>
                <w:rFonts w:ascii="宋体" w:hAnsi="宋体"/>
                <w:color w:val="000000"/>
              </w:rPr>
              <w:t>□</w:t>
            </w:r>
            <w:r>
              <w:rPr>
                <w:rFonts w:hint="eastAsia" w:ascii="宋体" w:hAnsi="宋体"/>
                <w:color w:val="000000"/>
              </w:rPr>
              <w:t>来人领取</w:t>
            </w:r>
            <w:r>
              <w:rPr>
                <w:rFonts w:ascii="宋体" w:hAnsi="宋体"/>
                <w:color w:val="000000"/>
              </w:rPr>
              <w:t xml:space="preserve"> </w:t>
            </w:r>
          </w:p>
        </w:tc>
      </w:tr>
      <w:tr w14:paraId="31E97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 w:hRule="atLeast"/>
        </w:trPr>
        <w:tc>
          <w:tcPr>
            <w:tcW w:w="413" w:type="dxa"/>
            <w:vMerge w:val="continue"/>
            <w:shd w:val="clear" w:color="auto" w:fill="auto"/>
            <w:vAlign w:val="center"/>
          </w:tcPr>
          <w:p w14:paraId="38EECD4F">
            <w:pPr>
              <w:jc w:val="center"/>
              <w:rPr>
                <w:rFonts w:ascii="宋体" w:hAnsi="宋体"/>
                <w:b/>
                <w:color w:val="000000"/>
              </w:rPr>
            </w:pPr>
          </w:p>
        </w:tc>
        <w:tc>
          <w:tcPr>
            <w:tcW w:w="577" w:type="dxa"/>
            <w:shd w:val="clear" w:color="auto" w:fill="auto"/>
            <w:vAlign w:val="center"/>
          </w:tcPr>
          <w:p w14:paraId="17141C29">
            <w:pPr>
              <w:jc w:val="center"/>
              <w:rPr>
                <w:rFonts w:ascii="宋体" w:hAnsi="宋体"/>
                <w:b/>
                <w:color w:val="000000"/>
              </w:rPr>
            </w:pPr>
            <w:r>
              <w:rPr>
                <w:rFonts w:hint="eastAsia" w:ascii="宋体" w:hAnsi="宋体"/>
                <w:b/>
                <w:color w:val="000000"/>
              </w:rPr>
              <w:t>用户须知</w:t>
            </w:r>
          </w:p>
        </w:tc>
        <w:tc>
          <w:tcPr>
            <w:tcW w:w="8253" w:type="dxa"/>
            <w:gridSpan w:val="9"/>
            <w:shd w:val="clear" w:color="auto" w:fill="auto"/>
            <w:vAlign w:val="center"/>
          </w:tcPr>
          <w:p w14:paraId="1C2F3BA1">
            <w:pPr>
              <w:numPr>
                <w:ilvl w:val="0"/>
                <w:numId w:val="30"/>
              </w:numPr>
              <w:spacing w:line="0" w:lineRule="atLeast"/>
              <w:rPr>
                <w:rFonts w:ascii="宋体" w:hAnsi="宋体"/>
                <w:b/>
                <w:color w:val="000000"/>
                <w:sz w:val="18"/>
              </w:rPr>
            </w:pPr>
            <w:r>
              <w:rPr>
                <w:rFonts w:hint="eastAsia" w:ascii="宋体" w:hAnsi="宋体"/>
                <w:b/>
                <w:color w:val="000000"/>
                <w:sz w:val="18"/>
              </w:rPr>
              <w:t>填写内容须真实、准确，字迹须清楚、整洁，建议使用电子打印方式。</w:t>
            </w:r>
          </w:p>
          <w:p w14:paraId="741B641F">
            <w:pPr>
              <w:numPr>
                <w:ilvl w:val="0"/>
                <w:numId w:val="30"/>
              </w:numPr>
              <w:spacing w:line="0" w:lineRule="atLeast"/>
              <w:rPr>
                <w:rFonts w:ascii="宋体" w:hAnsi="宋体"/>
                <w:b/>
                <w:color w:val="000000"/>
                <w:sz w:val="18"/>
              </w:rPr>
            </w:pPr>
            <w:r>
              <w:rPr>
                <w:rFonts w:hint="eastAsia" w:ascii="宋体" w:hAnsi="宋体"/>
                <w:b/>
                <w:color w:val="000000"/>
                <w:sz w:val="18"/>
              </w:rPr>
              <w:t>请仔细阅读后签署《CnSCA数字证书申请责任书》一份并加盖公章。</w:t>
            </w:r>
          </w:p>
          <w:p w14:paraId="338555AC">
            <w:pPr>
              <w:numPr>
                <w:ilvl w:val="0"/>
                <w:numId w:val="30"/>
              </w:numPr>
              <w:spacing w:line="0" w:lineRule="atLeast"/>
              <w:rPr>
                <w:rFonts w:ascii="宋体" w:hAnsi="宋体"/>
                <w:b/>
                <w:color w:val="000000"/>
                <w:sz w:val="18"/>
              </w:rPr>
            </w:pPr>
            <w:r>
              <w:rPr>
                <w:rFonts w:hint="eastAsia" w:ascii="宋体" w:hAnsi="宋体"/>
                <w:b/>
                <w:color w:val="000000"/>
                <w:sz w:val="18"/>
              </w:rPr>
              <w:t>提供加盖单位公章的《企业法人营业执照》</w:t>
            </w:r>
            <w:r>
              <w:rPr>
                <w:rFonts w:hint="eastAsia" w:ascii="宋体" w:hAnsi="宋体"/>
                <w:b/>
                <w:sz w:val="18"/>
              </w:rPr>
              <w:t>复印</w:t>
            </w:r>
            <w:r>
              <w:rPr>
                <w:rFonts w:hint="eastAsia" w:ascii="宋体" w:hAnsi="宋体"/>
                <w:b/>
                <w:color w:val="000000"/>
                <w:sz w:val="18"/>
              </w:rPr>
              <w:t>件各一份。</w:t>
            </w:r>
          </w:p>
          <w:p w14:paraId="243EF7FE">
            <w:pPr>
              <w:numPr>
                <w:ilvl w:val="0"/>
                <w:numId w:val="30"/>
              </w:numPr>
              <w:spacing w:line="0" w:lineRule="atLeast"/>
              <w:rPr>
                <w:rFonts w:ascii="宋体" w:hAnsi="宋体"/>
                <w:b/>
                <w:color w:val="000000"/>
                <w:sz w:val="18"/>
              </w:rPr>
            </w:pPr>
            <w:r>
              <w:rPr>
                <w:rFonts w:hint="eastAsia" w:ascii="宋体" w:hAnsi="宋体"/>
                <w:b/>
                <w:color w:val="000000"/>
                <w:sz w:val="18"/>
              </w:rPr>
              <w:t>提供业务申请流程中需要的其它资料。</w:t>
            </w:r>
          </w:p>
          <w:p w14:paraId="52893A61">
            <w:pPr>
              <w:numPr>
                <w:ilvl w:val="0"/>
                <w:numId w:val="30"/>
              </w:numPr>
              <w:spacing w:line="0" w:lineRule="atLeast"/>
              <w:rPr>
                <w:rFonts w:ascii="宋体" w:hAnsi="宋体"/>
                <w:b/>
                <w:color w:val="000000"/>
                <w:sz w:val="20"/>
              </w:rPr>
            </w:pPr>
            <w:r>
              <w:rPr>
                <w:rFonts w:hint="eastAsia" w:ascii="宋体" w:hAnsi="宋体"/>
                <w:b/>
                <w:color w:val="000000"/>
                <w:sz w:val="18"/>
              </w:rPr>
              <w:t>证书的有效期从签发日开始计算。</w:t>
            </w:r>
          </w:p>
        </w:tc>
      </w:tr>
      <w:tr w14:paraId="185DE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6" w:hRule="atLeast"/>
        </w:trPr>
        <w:tc>
          <w:tcPr>
            <w:tcW w:w="413" w:type="dxa"/>
            <w:vMerge w:val="continue"/>
            <w:shd w:val="clear" w:color="auto" w:fill="auto"/>
            <w:vAlign w:val="center"/>
          </w:tcPr>
          <w:p w14:paraId="203682F0">
            <w:pPr>
              <w:jc w:val="center"/>
              <w:rPr>
                <w:rFonts w:ascii="宋体" w:hAnsi="宋体"/>
                <w:b/>
                <w:color w:val="000000"/>
              </w:rPr>
            </w:pPr>
          </w:p>
        </w:tc>
        <w:tc>
          <w:tcPr>
            <w:tcW w:w="577" w:type="dxa"/>
            <w:shd w:val="clear" w:color="auto" w:fill="auto"/>
            <w:vAlign w:val="center"/>
          </w:tcPr>
          <w:p w14:paraId="3385B75C">
            <w:pPr>
              <w:jc w:val="center"/>
              <w:rPr>
                <w:rFonts w:ascii="宋体" w:hAnsi="宋体"/>
                <w:b/>
                <w:color w:val="000000"/>
              </w:rPr>
            </w:pPr>
            <w:r>
              <w:rPr>
                <w:rFonts w:hint="eastAsia" w:ascii="宋体" w:hAnsi="宋体"/>
                <w:b/>
                <w:color w:val="000000"/>
              </w:rPr>
              <w:t>郑重承诺</w:t>
            </w:r>
          </w:p>
        </w:tc>
        <w:tc>
          <w:tcPr>
            <w:tcW w:w="8253" w:type="dxa"/>
            <w:gridSpan w:val="9"/>
            <w:shd w:val="clear" w:color="auto" w:fill="auto"/>
          </w:tcPr>
          <w:p w14:paraId="24D95C04">
            <w:pPr>
              <w:spacing w:before="100" w:beforeAutospacing="1"/>
              <w:ind w:firstLine="437"/>
              <w:rPr>
                <w:rFonts w:ascii="宋体" w:hAnsi="宋体"/>
                <w:b/>
                <w:color w:val="000000"/>
                <w:sz w:val="18"/>
              </w:rPr>
            </w:pPr>
            <w:r>
              <w:rPr>
                <w:rFonts w:hint="eastAsia" w:ascii="宋体" w:hAnsi="宋体"/>
                <w:b/>
                <w:color w:val="000000"/>
                <w:sz w:val="18"/>
              </w:rPr>
              <w:t>本单位已认真阅读并签署了《CnSCA数字证书申请责任书》，愿意接受责任条款中的各项规定，承诺填写的内容真实准确。如选择邮寄方式领取，本单位承诺在邮寄过程中造成的证书遗失、损坏及其引起的后果由本单位自行承担。</w:t>
            </w:r>
          </w:p>
          <w:p w14:paraId="610292BA">
            <w:pPr>
              <w:rPr>
                <w:rFonts w:ascii="宋体" w:hAnsi="宋体"/>
                <w:b/>
                <w:color w:val="000000"/>
                <w:sz w:val="18"/>
              </w:rPr>
            </w:pPr>
            <w:r>
              <w:rPr>
                <w:rFonts w:hint="eastAsia" w:ascii="宋体" w:hAnsi="宋体"/>
                <w:b/>
                <w:color w:val="000000"/>
                <w:sz w:val="18"/>
              </w:rPr>
              <w:t xml:space="preserve">  经办人签名：                               申请单位盖章（单位公章）：</w:t>
            </w:r>
          </w:p>
          <w:p w14:paraId="3022AE46">
            <w:pPr>
              <w:rPr>
                <w:rFonts w:ascii="宋体" w:hAnsi="宋体"/>
                <w:b/>
                <w:color w:val="000000"/>
                <w:sz w:val="18"/>
              </w:rPr>
            </w:pPr>
            <w:r>
              <w:rPr>
                <w:rFonts w:hint="eastAsia" w:ascii="宋体" w:hAnsi="宋体"/>
                <w:b/>
                <w:color w:val="000000"/>
                <w:sz w:val="18"/>
              </w:rPr>
              <w:t xml:space="preserve">         年     月     日                    </w:t>
            </w:r>
            <w:r>
              <w:rPr>
                <w:rFonts w:ascii="宋体" w:hAnsi="宋体"/>
                <w:b/>
                <w:color w:val="000000"/>
                <w:sz w:val="18"/>
              </w:rPr>
              <w:t xml:space="preserve">                     </w:t>
            </w:r>
            <w:r>
              <w:rPr>
                <w:rFonts w:hint="eastAsia" w:ascii="宋体" w:hAnsi="宋体"/>
                <w:b/>
                <w:color w:val="000000"/>
                <w:sz w:val="18"/>
              </w:rPr>
              <w:t xml:space="preserve">      年     月     日</w:t>
            </w:r>
          </w:p>
        </w:tc>
      </w:tr>
      <w:tr w14:paraId="169B3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4" w:hRule="atLeast"/>
        </w:trPr>
        <w:tc>
          <w:tcPr>
            <w:tcW w:w="990" w:type="dxa"/>
            <w:gridSpan w:val="2"/>
            <w:shd w:val="clear" w:color="auto" w:fill="auto"/>
            <w:vAlign w:val="center"/>
          </w:tcPr>
          <w:p w14:paraId="2DF4F3EF">
            <w:pPr>
              <w:jc w:val="center"/>
              <w:rPr>
                <w:rFonts w:ascii="宋体" w:hAnsi="宋体"/>
                <w:b/>
                <w:color w:val="000000"/>
              </w:rPr>
            </w:pPr>
            <w:r>
              <w:rPr>
                <w:rFonts w:hint="eastAsia" w:ascii="宋体" w:hAnsi="宋体"/>
                <w:b/>
                <w:color w:val="000000"/>
              </w:rPr>
              <w:t>上交所</w:t>
            </w:r>
          </w:p>
          <w:p w14:paraId="06A37E73">
            <w:pPr>
              <w:jc w:val="center"/>
              <w:rPr>
                <w:rFonts w:ascii="宋体" w:hAnsi="宋体"/>
                <w:b/>
                <w:color w:val="000000"/>
              </w:rPr>
            </w:pPr>
            <w:r>
              <w:rPr>
                <w:rFonts w:hint="eastAsia" w:ascii="宋体" w:hAnsi="宋体"/>
                <w:b/>
                <w:color w:val="000000"/>
              </w:rPr>
              <w:t>业务审</w:t>
            </w:r>
          </w:p>
          <w:p w14:paraId="05D65D24">
            <w:pPr>
              <w:jc w:val="center"/>
              <w:rPr>
                <w:rFonts w:ascii="宋体" w:hAnsi="宋体"/>
                <w:b/>
                <w:color w:val="000000"/>
              </w:rPr>
            </w:pPr>
            <w:r>
              <w:rPr>
                <w:rFonts w:hint="eastAsia" w:ascii="宋体" w:hAnsi="宋体"/>
                <w:b/>
                <w:color w:val="000000"/>
              </w:rPr>
              <w:t>核部门</w:t>
            </w:r>
          </w:p>
          <w:p w14:paraId="065695F6">
            <w:pPr>
              <w:jc w:val="center"/>
              <w:rPr>
                <w:rFonts w:ascii="宋体" w:hAnsi="宋体"/>
                <w:b/>
                <w:color w:val="000000"/>
              </w:rPr>
            </w:pPr>
            <w:r>
              <w:rPr>
                <w:rFonts w:hint="eastAsia" w:ascii="宋体" w:hAnsi="宋体"/>
                <w:b/>
                <w:color w:val="000000"/>
              </w:rPr>
              <w:t>填写</w:t>
            </w:r>
          </w:p>
        </w:tc>
        <w:tc>
          <w:tcPr>
            <w:tcW w:w="8253" w:type="dxa"/>
            <w:gridSpan w:val="9"/>
            <w:shd w:val="clear" w:color="auto" w:fill="auto"/>
            <w:vAlign w:val="center"/>
          </w:tcPr>
          <w:p w14:paraId="75FA13EC">
            <w:pPr>
              <w:spacing w:line="0" w:lineRule="atLeast"/>
              <w:ind w:firstLine="90" w:firstLineChars="50"/>
              <w:rPr>
                <w:rFonts w:ascii="宋体" w:hAnsi="宋体"/>
                <w:b/>
                <w:color w:val="000000"/>
                <w:sz w:val="18"/>
                <w:u w:val="single"/>
              </w:rPr>
            </w:pPr>
            <w:r>
              <w:rPr>
                <w:rFonts w:hint="eastAsia" w:ascii="宋体" w:hAnsi="宋体"/>
                <w:b/>
                <w:color w:val="000000"/>
                <w:sz w:val="18"/>
              </w:rPr>
              <w:t>审核意见：</w:t>
            </w:r>
            <w:r>
              <w:rPr>
                <w:rFonts w:ascii="宋体" w:hAnsi="宋体"/>
                <w:b/>
                <w:color w:val="000000"/>
                <w:sz w:val="18"/>
              </w:rPr>
              <w:t xml:space="preserve">  </w:t>
            </w:r>
            <w:r>
              <w:rPr>
                <w:rFonts w:hint="eastAsia" w:ascii="宋体" w:hAnsi="宋体"/>
                <w:b/>
                <w:color w:val="000000"/>
              </w:rPr>
              <w:t>□</w:t>
            </w:r>
            <w:r>
              <w:rPr>
                <w:rFonts w:hint="eastAsia" w:ascii="宋体" w:hAnsi="宋体"/>
                <w:b/>
                <w:color w:val="000000"/>
                <w:sz w:val="18"/>
              </w:rPr>
              <w:t>审核</w:t>
            </w:r>
            <w:r>
              <w:rPr>
                <w:rFonts w:ascii="宋体" w:hAnsi="宋体"/>
                <w:b/>
                <w:color w:val="000000"/>
                <w:sz w:val="18"/>
              </w:rPr>
              <w:t>通过</w:t>
            </w:r>
            <w:r>
              <w:rPr>
                <w:rFonts w:hint="eastAsia" w:ascii="宋体" w:hAnsi="宋体"/>
                <w:b/>
                <w:color w:val="000000"/>
                <w:sz w:val="18"/>
              </w:rPr>
              <w:t xml:space="preserve">    </w:t>
            </w:r>
            <w:r>
              <w:rPr>
                <w:rFonts w:hint="eastAsia" w:ascii="宋体" w:hAnsi="宋体"/>
                <w:b/>
                <w:color w:val="000000"/>
              </w:rPr>
              <w:t>□</w:t>
            </w:r>
            <w:r>
              <w:rPr>
                <w:rFonts w:hint="eastAsia" w:ascii="宋体" w:hAnsi="宋体"/>
                <w:b/>
                <w:color w:val="000000"/>
                <w:sz w:val="18"/>
              </w:rPr>
              <w:t>审核</w:t>
            </w:r>
            <w:r>
              <w:rPr>
                <w:rFonts w:ascii="宋体" w:hAnsi="宋体"/>
                <w:b/>
                <w:color w:val="000000"/>
                <w:sz w:val="18"/>
              </w:rPr>
              <w:t>不通过</w:t>
            </w:r>
            <w:r>
              <w:rPr>
                <w:rFonts w:hint="eastAsia" w:ascii="宋体" w:hAnsi="宋体"/>
                <w:b/>
                <w:color w:val="000000"/>
                <w:sz w:val="18"/>
              </w:rPr>
              <w:t>，原因</w:t>
            </w:r>
            <w:r>
              <w:rPr>
                <w:rFonts w:ascii="宋体" w:hAnsi="宋体"/>
                <w:b/>
                <w:color w:val="000000"/>
                <w:sz w:val="18"/>
              </w:rPr>
              <w:t>：</w:t>
            </w:r>
            <w:r>
              <w:rPr>
                <w:rFonts w:hint="eastAsia" w:ascii="宋体" w:hAnsi="宋体"/>
                <w:b/>
                <w:color w:val="000000"/>
                <w:sz w:val="18"/>
              </w:rPr>
              <w:t xml:space="preserve"> </w:t>
            </w:r>
            <w:r>
              <w:rPr>
                <w:rFonts w:hint="eastAsia" w:ascii="宋体" w:hAnsi="宋体"/>
                <w:b/>
                <w:color w:val="000000"/>
                <w:sz w:val="18"/>
                <w:u w:val="single"/>
              </w:rPr>
              <w:t xml:space="preserve"> </w:t>
            </w:r>
            <w:r>
              <w:rPr>
                <w:rFonts w:ascii="宋体" w:hAnsi="宋体"/>
                <w:b/>
                <w:color w:val="000000"/>
                <w:sz w:val="18"/>
                <w:u w:val="single"/>
              </w:rPr>
              <w:t xml:space="preserve">          </w:t>
            </w:r>
            <w:r>
              <w:rPr>
                <w:rFonts w:hint="eastAsia" w:ascii="宋体" w:hAnsi="宋体"/>
                <w:b/>
                <w:color w:val="000000"/>
                <w:sz w:val="18"/>
                <w:u w:val="single"/>
              </w:rPr>
              <w:t xml:space="preserve">                              </w:t>
            </w:r>
          </w:p>
          <w:p w14:paraId="6545E309">
            <w:pPr>
              <w:spacing w:line="0" w:lineRule="atLeast"/>
              <w:rPr>
                <w:rFonts w:ascii="宋体" w:hAnsi="宋体"/>
                <w:b/>
                <w:color w:val="000000"/>
                <w:sz w:val="18"/>
              </w:rPr>
            </w:pPr>
            <w:r>
              <w:rPr>
                <w:rFonts w:hint="eastAsia" w:ascii="宋体" w:hAnsi="宋体"/>
                <w:b/>
                <w:color w:val="000000"/>
                <w:sz w:val="18"/>
              </w:rPr>
              <w:t xml:space="preserve">   </w:t>
            </w:r>
          </w:p>
          <w:p w14:paraId="42F7CE0A">
            <w:pPr>
              <w:spacing w:line="0" w:lineRule="atLeast"/>
              <w:ind w:firstLine="90" w:firstLineChars="50"/>
              <w:rPr>
                <w:rFonts w:ascii="宋体" w:hAnsi="宋体"/>
                <w:b/>
                <w:color w:val="000000"/>
                <w:sz w:val="18"/>
                <w:u w:val="single"/>
              </w:rPr>
            </w:pPr>
            <w:r>
              <w:rPr>
                <w:rFonts w:hint="eastAsia" w:ascii="宋体" w:hAnsi="宋体"/>
                <w:b/>
                <w:color w:val="000000"/>
                <w:sz w:val="18"/>
              </w:rPr>
              <w:t>为用户</w:t>
            </w:r>
            <w:r>
              <w:rPr>
                <w:rFonts w:ascii="宋体" w:hAnsi="宋体"/>
                <w:b/>
                <w:color w:val="000000"/>
                <w:sz w:val="18"/>
              </w:rPr>
              <w:t>分配的</w:t>
            </w:r>
            <w:r>
              <w:rPr>
                <w:rFonts w:hint="eastAsia" w:ascii="宋体" w:hAnsi="宋体"/>
                <w:b/>
                <w:color w:val="000000"/>
                <w:sz w:val="18"/>
              </w:rPr>
              <w:t>应用标识为：</w:t>
            </w:r>
            <w:r>
              <w:rPr>
                <w:rFonts w:hint="eastAsia" w:ascii="宋体" w:hAnsi="宋体"/>
                <w:b/>
                <w:color w:val="000000"/>
                <w:sz w:val="18"/>
                <w:u w:val="single"/>
              </w:rPr>
              <w:t xml:space="preserve">                               </w:t>
            </w:r>
          </w:p>
          <w:p w14:paraId="5316383A">
            <w:pPr>
              <w:spacing w:line="0" w:lineRule="atLeast"/>
              <w:rPr>
                <w:rFonts w:ascii="宋体" w:hAnsi="宋体"/>
                <w:b/>
                <w:color w:val="000000"/>
                <w:sz w:val="18"/>
                <w:u w:val="single"/>
              </w:rPr>
            </w:pPr>
          </w:p>
          <w:p w14:paraId="3564AEBF">
            <w:pPr>
              <w:spacing w:line="0" w:lineRule="atLeast"/>
              <w:rPr>
                <w:rFonts w:ascii="宋体" w:hAnsi="宋体"/>
                <w:b/>
                <w:color w:val="000000"/>
              </w:rPr>
            </w:pPr>
            <w:r>
              <w:rPr>
                <w:rFonts w:hint="eastAsia" w:ascii="宋体" w:hAnsi="宋体"/>
                <w:b/>
                <w:color w:val="000000"/>
                <w:sz w:val="18"/>
              </w:rPr>
              <w:t>审核部门：</w:t>
            </w:r>
            <w:r>
              <w:rPr>
                <w:rFonts w:hint="eastAsia" w:ascii="宋体" w:hAnsi="宋体"/>
                <w:b/>
                <w:color w:val="000000"/>
                <w:sz w:val="18"/>
                <w:u w:val="single"/>
              </w:rPr>
              <w:t xml:space="preserve">                  </w:t>
            </w:r>
            <w:r>
              <w:rPr>
                <w:rFonts w:hint="eastAsia" w:ascii="宋体" w:hAnsi="宋体"/>
                <w:b/>
                <w:color w:val="000000"/>
                <w:sz w:val="18"/>
              </w:rPr>
              <w:t>审核人员签字：</w:t>
            </w:r>
            <w:r>
              <w:rPr>
                <w:rFonts w:hint="eastAsia" w:ascii="宋体" w:hAnsi="宋体"/>
                <w:b/>
                <w:color w:val="000000"/>
                <w:sz w:val="18"/>
                <w:u w:val="single"/>
              </w:rPr>
              <w:t xml:space="preserve">              </w:t>
            </w:r>
            <w:r>
              <w:rPr>
                <w:rFonts w:hint="eastAsia" w:ascii="宋体" w:hAnsi="宋体"/>
                <w:b/>
                <w:color w:val="000000"/>
                <w:sz w:val="18"/>
              </w:rPr>
              <w:t xml:space="preserve">   时间：</w:t>
            </w:r>
            <w:r>
              <w:rPr>
                <w:rFonts w:hint="eastAsia" w:ascii="宋体" w:hAnsi="宋体"/>
                <w:b/>
                <w:color w:val="000000"/>
                <w:sz w:val="18"/>
                <w:u w:val="single"/>
              </w:rPr>
              <w:t xml:space="preserve">      年   月   日</w:t>
            </w:r>
          </w:p>
        </w:tc>
      </w:tr>
      <w:tr w14:paraId="13EFF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990" w:type="dxa"/>
            <w:gridSpan w:val="2"/>
            <w:shd w:val="clear" w:color="auto" w:fill="auto"/>
            <w:vAlign w:val="center"/>
          </w:tcPr>
          <w:p w14:paraId="2681AFF9">
            <w:pPr>
              <w:jc w:val="center"/>
              <w:rPr>
                <w:rFonts w:ascii="宋体" w:hAnsi="宋体"/>
                <w:b/>
                <w:color w:val="000000"/>
              </w:rPr>
            </w:pPr>
            <w:r>
              <w:rPr>
                <w:rFonts w:hint="eastAsia" w:ascii="宋体" w:hAnsi="宋体"/>
                <w:b/>
                <w:color w:val="000000"/>
              </w:rPr>
              <w:t>CA中心填写</w:t>
            </w:r>
          </w:p>
        </w:tc>
        <w:tc>
          <w:tcPr>
            <w:tcW w:w="8253" w:type="dxa"/>
            <w:gridSpan w:val="9"/>
            <w:shd w:val="clear" w:color="auto" w:fill="auto"/>
            <w:vAlign w:val="center"/>
          </w:tcPr>
          <w:p w14:paraId="36C2AF14">
            <w:pPr>
              <w:ind w:firstLine="435"/>
              <w:rPr>
                <w:rFonts w:ascii="宋体" w:hAnsi="宋体"/>
                <w:b/>
                <w:color w:val="000000"/>
                <w:sz w:val="18"/>
                <w:szCs w:val="18"/>
              </w:rPr>
            </w:pPr>
            <w:r>
              <w:rPr>
                <w:rFonts w:hint="eastAsia" w:ascii="宋体" w:hAnsi="宋体"/>
                <w:b/>
                <w:color w:val="000000"/>
                <w:sz w:val="18"/>
                <w:szCs w:val="18"/>
              </w:rPr>
              <w:t>CA中心备注信息：</w:t>
            </w:r>
          </w:p>
          <w:p w14:paraId="2343760A">
            <w:pPr>
              <w:ind w:firstLine="435"/>
              <w:rPr>
                <w:rFonts w:ascii="宋体" w:hAnsi="宋体"/>
                <w:b/>
                <w:color w:val="000000"/>
                <w:sz w:val="18"/>
                <w:szCs w:val="18"/>
              </w:rPr>
            </w:pPr>
            <w:r>
              <w:rPr>
                <w:rFonts w:hint="eastAsia" w:ascii="宋体" w:hAnsi="宋体"/>
                <w:b/>
                <w:color w:val="000000"/>
                <w:sz w:val="18"/>
                <w:szCs w:val="18"/>
              </w:rPr>
              <w:t>CA中心经办人签字：</w:t>
            </w:r>
            <w:r>
              <w:rPr>
                <w:rFonts w:hint="eastAsia" w:ascii="宋体" w:hAnsi="宋体"/>
                <w:b/>
                <w:color w:val="000000"/>
                <w:sz w:val="18"/>
                <w:szCs w:val="18"/>
                <w:u w:val="single"/>
              </w:rPr>
              <w:t xml:space="preserve">                       </w:t>
            </w:r>
            <w:r>
              <w:rPr>
                <w:rFonts w:hint="eastAsia" w:ascii="宋体" w:hAnsi="宋体"/>
                <w:b/>
                <w:color w:val="000000"/>
                <w:sz w:val="18"/>
                <w:szCs w:val="18"/>
              </w:rPr>
              <w:t xml:space="preserve">   日期：</w:t>
            </w:r>
            <w:r>
              <w:rPr>
                <w:rFonts w:hint="eastAsia" w:ascii="宋体" w:hAnsi="宋体"/>
                <w:b/>
                <w:color w:val="000000"/>
                <w:sz w:val="18"/>
                <w:szCs w:val="18"/>
                <w:u w:val="single"/>
              </w:rPr>
              <w:t xml:space="preserve">                        </w:t>
            </w:r>
            <w:r>
              <w:rPr>
                <w:rFonts w:hint="eastAsia" w:ascii="宋体" w:hAnsi="宋体"/>
                <w:b/>
                <w:color w:val="000000"/>
                <w:sz w:val="18"/>
                <w:szCs w:val="18"/>
              </w:rPr>
              <w:t xml:space="preserve"> </w:t>
            </w:r>
          </w:p>
        </w:tc>
      </w:tr>
    </w:tbl>
    <w:p w14:paraId="5D41A24B">
      <w:pPr>
        <w:widowControl/>
        <w:jc w:val="left"/>
        <w:rPr>
          <w:rFonts w:ascii="仿宋_GB2312" w:hAnsi="仿宋" w:eastAsia="仿宋_GB2312"/>
          <w:b/>
          <w:bCs/>
          <w:sz w:val="30"/>
          <w:szCs w:val="30"/>
        </w:rPr>
      </w:pPr>
    </w:p>
    <w:p w14:paraId="6E37ABFC">
      <w:pPr>
        <w:widowControl/>
        <w:jc w:val="left"/>
        <w:rPr>
          <w:rFonts w:ascii="仿宋_GB2312" w:hAnsi="仿宋" w:eastAsia="仿宋_GB2312"/>
          <w:b/>
          <w:bCs/>
          <w:sz w:val="30"/>
          <w:szCs w:val="30"/>
        </w:rPr>
      </w:pPr>
      <w:r>
        <w:rPr>
          <w:rFonts w:ascii="仿宋_GB2312" w:hAnsi="仿宋" w:eastAsia="仿宋_GB2312"/>
          <w:b/>
          <w:bCs/>
          <w:sz w:val="30"/>
          <w:szCs w:val="30"/>
        </w:rPr>
        <w:br w:type="page"/>
      </w:r>
    </w:p>
    <w:p w14:paraId="0DA6172F">
      <w:pPr>
        <w:widowControl/>
        <w:jc w:val="left"/>
        <w:outlineLvl w:val="1"/>
        <w:rPr>
          <w:rFonts w:ascii="仿宋_GB2312" w:hAnsi="黑体" w:eastAsia="仿宋_GB2312"/>
          <w:b/>
          <w:sz w:val="30"/>
          <w:szCs w:val="30"/>
        </w:rPr>
      </w:pPr>
      <w:bookmarkStart w:id="4209" w:name="_Toc394490985"/>
      <w:bookmarkStart w:id="4210" w:name="_Toc756895681"/>
      <w:bookmarkStart w:id="4211" w:name="_Toc340397475"/>
      <w:bookmarkStart w:id="4212" w:name="_Toc151137118"/>
      <w:bookmarkStart w:id="4213" w:name="_Toc1115680469"/>
      <w:bookmarkStart w:id="4214" w:name="_Toc525558644"/>
      <w:bookmarkStart w:id="4215" w:name="_Toc2001466621"/>
      <w:r>
        <w:rPr>
          <w:rFonts w:hint="eastAsia" w:ascii="仿宋_GB2312" w:hAnsi="黑体" w:eastAsia="仿宋_GB2312"/>
          <w:b/>
          <w:sz w:val="30"/>
          <w:szCs w:val="30"/>
        </w:rPr>
        <w:t>附件35 拟参与债券担保品处置的指定报价团成员名单</w:t>
      </w:r>
      <w:bookmarkEnd w:id="4209"/>
      <w:bookmarkEnd w:id="4210"/>
      <w:bookmarkEnd w:id="4211"/>
      <w:bookmarkEnd w:id="4212"/>
      <w:bookmarkEnd w:id="4213"/>
      <w:bookmarkEnd w:id="4214"/>
      <w:bookmarkEnd w:id="4215"/>
    </w:p>
    <w:p w14:paraId="232C8245">
      <w:pPr>
        <w:spacing w:line="560" w:lineRule="exact"/>
        <w:jc w:val="center"/>
        <w:rPr>
          <w:rFonts w:ascii="黑体" w:hAnsi="黑体" w:eastAsia="黑体"/>
          <w:b/>
          <w:sz w:val="44"/>
          <w:szCs w:val="44"/>
        </w:rPr>
      </w:pPr>
    </w:p>
    <w:p w14:paraId="07F319D4">
      <w:pPr>
        <w:spacing w:line="560" w:lineRule="exact"/>
        <w:jc w:val="center"/>
        <w:rPr>
          <w:rFonts w:ascii="黑体" w:hAnsi="黑体" w:eastAsia="黑体"/>
          <w:b/>
          <w:sz w:val="44"/>
          <w:szCs w:val="44"/>
        </w:rPr>
      </w:pPr>
      <w:r>
        <w:rPr>
          <w:rFonts w:hint="eastAsia" w:ascii="黑体" w:hAnsi="黑体" w:eastAsia="黑体"/>
          <w:b/>
          <w:sz w:val="44"/>
          <w:szCs w:val="44"/>
        </w:rPr>
        <w:t>拟参与债券担保品处置的指定报价团</w:t>
      </w:r>
    </w:p>
    <w:p w14:paraId="22D0B7A0">
      <w:pPr>
        <w:spacing w:line="560" w:lineRule="exact"/>
        <w:jc w:val="center"/>
        <w:rPr>
          <w:rFonts w:ascii="黑体" w:hAnsi="黑体" w:eastAsia="黑体"/>
          <w:b/>
          <w:sz w:val="32"/>
          <w:szCs w:val="32"/>
        </w:rPr>
      </w:pPr>
      <w:r>
        <w:rPr>
          <w:rFonts w:hint="eastAsia" w:ascii="黑体" w:hAnsi="黑体" w:eastAsia="黑体"/>
          <w:b/>
          <w:sz w:val="44"/>
          <w:szCs w:val="44"/>
        </w:rPr>
        <w:t>成员名单</w:t>
      </w:r>
    </w:p>
    <w:tbl>
      <w:tblPr>
        <w:tblStyle w:val="43"/>
        <w:tblW w:w="9684" w:type="dxa"/>
        <w:tblInd w:w="-31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894"/>
        <w:gridCol w:w="3785"/>
        <w:gridCol w:w="2126"/>
        <w:gridCol w:w="2879"/>
      </w:tblGrid>
      <w:tr w14:paraId="0983EA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30" w:hRule="atLeast"/>
        </w:trPr>
        <w:tc>
          <w:tcPr>
            <w:tcW w:w="894" w:type="dxa"/>
            <w:noWrap/>
            <w:tcMar>
              <w:top w:w="0" w:type="dxa"/>
              <w:left w:w="108" w:type="dxa"/>
              <w:bottom w:w="0" w:type="dxa"/>
              <w:right w:w="108" w:type="dxa"/>
            </w:tcMar>
            <w:vAlign w:val="center"/>
          </w:tcPr>
          <w:p w14:paraId="642AA53E">
            <w:pPr>
              <w:spacing w:line="560" w:lineRule="exact"/>
              <w:jc w:val="center"/>
              <w:rPr>
                <w:rFonts w:ascii="仿宋_GB2312" w:eastAsia="仿宋_GB2312"/>
                <w:sz w:val="28"/>
                <w:szCs w:val="28"/>
              </w:rPr>
            </w:pPr>
            <w:r>
              <w:rPr>
                <w:rFonts w:hint="eastAsia" w:ascii="仿宋_GB2312" w:eastAsia="仿宋_GB2312"/>
                <w:sz w:val="28"/>
                <w:szCs w:val="28"/>
              </w:rPr>
              <w:t>序号</w:t>
            </w:r>
          </w:p>
        </w:tc>
        <w:tc>
          <w:tcPr>
            <w:tcW w:w="3785" w:type="dxa"/>
            <w:noWrap/>
            <w:tcMar>
              <w:top w:w="0" w:type="dxa"/>
              <w:left w:w="108" w:type="dxa"/>
              <w:bottom w:w="0" w:type="dxa"/>
              <w:right w:w="108" w:type="dxa"/>
            </w:tcMar>
            <w:vAlign w:val="center"/>
          </w:tcPr>
          <w:p w14:paraId="19B194CA">
            <w:pPr>
              <w:spacing w:line="560" w:lineRule="exact"/>
              <w:jc w:val="center"/>
              <w:rPr>
                <w:rFonts w:ascii="仿宋_GB2312" w:eastAsia="仿宋_GB2312"/>
                <w:sz w:val="28"/>
                <w:szCs w:val="28"/>
              </w:rPr>
            </w:pPr>
            <w:r>
              <w:rPr>
                <w:rFonts w:hint="eastAsia" w:ascii="仿宋_GB2312" w:eastAsia="仿宋_GB2312"/>
                <w:sz w:val="28"/>
                <w:szCs w:val="28"/>
              </w:rPr>
              <w:t>单位名称</w:t>
            </w:r>
          </w:p>
        </w:tc>
        <w:tc>
          <w:tcPr>
            <w:tcW w:w="2126" w:type="dxa"/>
            <w:noWrap/>
            <w:tcMar>
              <w:top w:w="0" w:type="dxa"/>
              <w:left w:w="108" w:type="dxa"/>
              <w:bottom w:w="0" w:type="dxa"/>
              <w:right w:w="108" w:type="dxa"/>
            </w:tcMar>
            <w:vAlign w:val="center"/>
          </w:tcPr>
          <w:p w14:paraId="7D725437">
            <w:pPr>
              <w:spacing w:line="560" w:lineRule="exact"/>
              <w:jc w:val="center"/>
              <w:rPr>
                <w:rFonts w:ascii="仿宋_GB2312" w:eastAsia="仿宋_GB2312"/>
                <w:sz w:val="28"/>
                <w:szCs w:val="28"/>
              </w:rPr>
            </w:pPr>
            <w:r>
              <w:rPr>
                <w:rFonts w:hint="eastAsia" w:ascii="仿宋_GB2312" w:eastAsia="仿宋_GB2312"/>
                <w:sz w:val="28"/>
                <w:szCs w:val="28"/>
              </w:rPr>
              <w:t>联系人</w:t>
            </w:r>
          </w:p>
        </w:tc>
        <w:tc>
          <w:tcPr>
            <w:tcW w:w="2879" w:type="dxa"/>
            <w:tcMar>
              <w:top w:w="0" w:type="dxa"/>
              <w:left w:w="108" w:type="dxa"/>
              <w:bottom w:w="0" w:type="dxa"/>
              <w:right w:w="108" w:type="dxa"/>
            </w:tcMar>
            <w:vAlign w:val="center"/>
          </w:tcPr>
          <w:p w14:paraId="4EC01B4E">
            <w:pPr>
              <w:spacing w:line="560" w:lineRule="exact"/>
              <w:jc w:val="center"/>
              <w:rPr>
                <w:rFonts w:ascii="仿宋_GB2312" w:eastAsia="仿宋_GB2312"/>
                <w:sz w:val="28"/>
                <w:szCs w:val="28"/>
              </w:rPr>
            </w:pPr>
            <w:r>
              <w:rPr>
                <w:rFonts w:hint="eastAsia" w:ascii="仿宋_GB2312" w:eastAsia="仿宋_GB2312"/>
                <w:sz w:val="28"/>
                <w:szCs w:val="28"/>
              </w:rPr>
              <w:t>联系方式</w:t>
            </w:r>
          </w:p>
        </w:tc>
      </w:tr>
      <w:tr w14:paraId="7AEA6E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96" w:hRule="atLeast"/>
        </w:trPr>
        <w:tc>
          <w:tcPr>
            <w:tcW w:w="894" w:type="dxa"/>
            <w:vMerge w:val="restart"/>
            <w:shd w:val="clear" w:color="auto" w:fill="auto"/>
            <w:noWrap/>
            <w:tcMar>
              <w:top w:w="0" w:type="dxa"/>
              <w:left w:w="108" w:type="dxa"/>
              <w:bottom w:w="0" w:type="dxa"/>
              <w:right w:w="108" w:type="dxa"/>
            </w:tcMar>
            <w:vAlign w:val="center"/>
          </w:tcPr>
          <w:p w14:paraId="3D97A869">
            <w:pPr>
              <w:spacing w:line="560" w:lineRule="exact"/>
              <w:jc w:val="center"/>
              <w:rPr>
                <w:rFonts w:ascii="仿宋_GB2312" w:eastAsia="仿宋_GB2312"/>
                <w:sz w:val="28"/>
                <w:szCs w:val="28"/>
              </w:rPr>
            </w:pPr>
            <w:r>
              <w:rPr>
                <w:rFonts w:ascii="仿宋_GB2312" w:eastAsia="仿宋_GB2312"/>
                <w:sz w:val="28"/>
                <w:szCs w:val="28"/>
              </w:rPr>
              <w:t>1</w:t>
            </w:r>
          </w:p>
        </w:tc>
        <w:tc>
          <w:tcPr>
            <w:tcW w:w="3785" w:type="dxa"/>
            <w:vMerge w:val="restart"/>
            <w:shd w:val="clear" w:color="auto" w:fill="auto"/>
            <w:noWrap/>
            <w:tcMar>
              <w:top w:w="0" w:type="dxa"/>
              <w:left w:w="108" w:type="dxa"/>
              <w:bottom w:w="0" w:type="dxa"/>
              <w:right w:w="108" w:type="dxa"/>
            </w:tcMar>
            <w:vAlign w:val="center"/>
          </w:tcPr>
          <w:p w14:paraId="3F90AED9">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66D7439E">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71A9BB65">
            <w:pPr>
              <w:spacing w:line="560" w:lineRule="exact"/>
              <w:jc w:val="center"/>
              <w:rPr>
                <w:rFonts w:ascii="仿宋_GB2312" w:eastAsia="仿宋_GB2312"/>
                <w:sz w:val="28"/>
                <w:szCs w:val="28"/>
              </w:rPr>
            </w:pPr>
          </w:p>
        </w:tc>
      </w:tr>
      <w:tr w14:paraId="6A878D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894" w:type="dxa"/>
            <w:vMerge w:val="continue"/>
            <w:shd w:val="clear" w:color="auto" w:fill="auto"/>
            <w:vAlign w:val="center"/>
          </w:tcPr>
          <w:p w14:paraId="04AF9A87">
            <w:pPr>
              <w:spacing w:line="560" w:lineRule="exact"/>
              <w:jc w:val="center"/>
              <w:rPr>
                <w:rFonts w:ascii="仿宋_GB2312" w:eastAsia="仿宋_GB2312"/>
                <w:sz w:val="28"/>
                <w:szCs w:val="28"/>
              </w:rPr>
            </w:pPr>
          </w:p>
        </w:tc>
        <w:tc>
          <w:tcPr>
            <w:tcW w:w="3785" w:type="dxa"/>
            <w:vMerge w:val="continue"/>
            <w:shd w:val="clear" w:color="auto" w:fill="auto"/>
            <w:vAlign w:val="center"/>
          </w:tcPr>
          <w:p w14:paraId="4BD674E9">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0E464A55">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3EC66307">
            <w:pPr>
              <w:spacing w:line="560" w:lineRule="exact"/>
              <w:jc w:val="center"/>
              <w:rPr>
                <w:rFonts w:ascii="仿宋_GB2312" w:eastAsia="仿宋_GB2312"/>
                <w:sz w:val="28"/>
                <w:szCs w:val="28"/>
              </w:rPr>
            </w:pPr>
          </w:p>
        </w:tc>
      </w:tr>
      <w:tr w14:paraId="082272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894" w:type="dxa"/>
            <w:vMerge w:val="restart"/>
            <w:shd w:val="clear" w:color="auto" w:fill="auto"/>
            <w:noWrap/>
            <w:tcMar>
              <w:top w:w="0" w:type="dxa"/>
              <w:left w:w="108" w:type="dxa"/>
              <w:bottom w:w="0" w:type="dxa"/>
              <w:right w:w="108" w:type="dxa"/>
            </w:tcMar>
            <w:vAlign w:val="center"/>
          </w:tcPr>
          <w:p w14:paraId="1BF1B01B">
            <w:pPr>
              <w:spacing w:line="560" w:lineRule="exact"/>
              <w:jc w:val="center"/>
              <w:rPr>
                <w:rFonts w:ascii="仿宋_GB2312" w:eastAsia="仿宋_GB2312"/>
                <w:sz w:val="28"/>
                <w:szCs w:val="28"/>
              </w:rPr>
            </w:pPr>
            <w:r>
              <w:rPr>
                <w:rFonts w:hint="eastAsia" w:ascii="仿宋_GB2312" w:eastAsia="仿宋_GB2312"/>
                <w:sz w:val="28"/>
                <w:szCs w:val="28"/>
              </w:rPr>
              <w:t>2</w:t>
            </w:r>
          </w:p>
        </w:tc>
        <w:tc>
          <w:tcPr>
            <w:tcW w:w="3785" w:type="dxa"/>
            <w:vMerge w:val="restart"/>
            <w:shd w:val="clear" w:color="auto" w:fill="auto"/>
            <w:noWrap/>
            <w:tcMar>
              <w:top w:w="0" w:type="dxa"/>
              <w:left w:w="108" w:type="dxa"/>
              <w:bottom w:w="0" w:type="dxa"/>
              <w:right w:w="108" w:type="dxa"/>
            </w:tcMar>
            <w:vAlign w:val="center"/>
          </w:tcPr>
          <w:p w14:paraId="1E21668A">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20B9ECA7">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099BA42E">
            <w:pPr>
              <w:spacing w:line="560" w:lineRule="exact"/>
              <w:jc w:val="center"/>
              <w:rPr>
                <w:rFonts w:ascii="仿宋_GB2312" w:eastAsia="仿宋_GB2312"/>
                <w:sz w:val="28"/>
                <w:szCs w:val="28"/>
              </w:rPr>
            </w:pPr>
          </w:p>
        </w:tc>
      </w:tr>
      <w:tr w14:paraId="4D6572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894" w:type="dxa"/>
            <w:vMerge w:val="continue"/>
            <w:shd w:val="clear" w:color="auto" w:fill="auto"/>
            <w:vAlign w:val="center"/>
          </w:tcPr>
          <w:p w14:paraId="43E4DA75">
            <w:pPr>
              <w:spacing w:line="560" w:lineRule="exact"/>
              <w:jc w:val="center"/>
              <w:rPr>
                <w:rFonts w:ascii="仿宋_GB2312" w:eastAsia="仿宋_GB2312"/>
                <w:sz w:val="28"/>
                <w:szCs w:val="28"/>
              </w:rPr>
            </w:pPr>
          </w:p>
        </w:tc>
        <w:tc>
          <w:tcPr>
            <w:tcW w:w="3785" w:type="dxa"/>
            <w:vMerge w:val="continue"/>
            <w:shd w:val="clear" w:color="auto" w:fill="auto"/>
            <w:vAlign w:val="center"/>
          </w:tcPr>
          <w:p w14:paraId="079AF021">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4BD005F5">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536E622E">
            <w:pPr>
              <w:spacing w:line="560" w:lineRule="exact"/>
              <w:jc w:val="center"/>
              <w:rPr>
                <w:rFonts w:ascii="仿宋_GB2312" w:eastAsia="仿宋_GB2312"/>
                <w:sz w:val="28"/>
                <w:szCs w:val="28"/>
              </w:rPr>
            </w:pPr>
          </w:p>
        </w:tc>
      </w:tr>
      <w:tr w14:paraId="72F066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894" w:type="dxa"/>
            <w:vMerge w:val="restart"/>
            <w:shd w:val="clear" w:color="auto" w:fill="auto"/>
            <w:noWrap/>
            <w:tcMar>
              <w:top w:w="0" w:type="dxa"/>
              <w:left w:w="108" w:type="dxa"/>
              <w:bottom w:w="0" w:type="dxa"/>
              <w:right w:w="108" w:type="dxa"/>
            </w:tcMar>
            <w:vAlign w:val="center"/>
          </w:tcPr>
          <w:p w14:paraId="5CB04FE8">
            <w:pPr>
              <w:spacing w:line="560" w:lineRule="exact"/>
              <w:jc w:val="center"/>
              <w:rPr>
                <w:rFonts w:ascii="仿宋_GB2312" w:eastAsia="仿宋_GB2312"/>
                <w:sz w:val="28"/>
                <w:szCs w:val="28"/>
              </w:rPr>
            </w:pPr>
            <w:r>
              <w:rPr>
                <w:rFonts w:hint="eastAsia" w:ascii="仿宋_GB2312" w:eastAsia="仿宋_GB2312"/>
                <w:sz w:val="28"/>
                <w:szCs w:val="28"/>
              </w:rPr>
              <w:t>3</w:t>
            </w:r>
          </w:p>
        </w:tc>
        <w:tc>
          <w:tcPr>
            <w:tcW w:w="3785" w:type="dxa"/>
            <w:vMerge w:val="restart"/>
            <w:shd w:val="clear" w:color="auto" w:fill="auto"/>
            <w:noWrap/>
            <w:tcMar>
              <w:top w:w="0" w:type="dxa"/>
              <w:left w:w="108" w:type="dxa"/>
              <w:bottom w:w="0" w:type="dxa"/>
              <w:right w:w="108" w:type="dxa"/>
            </w:tcMar>
            <w:vAlign w:val="center"/>
          </w:tcPr>
          <w:p w14:paraId="7B71CB4E">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00C35BC6">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6CA59883">
            <w:pPr>
              <w:spacing w:line="560" w:lineRule="exact"/>
              <w:jc w:val="center"/>
              <w:rPr>
                <w:rFonts w:ascii="仿宋_GB2312" w:eastAsia="仿宋_GB2312"/>
                <w:sz w:val="28"/>
                <w:szCs w:val="28"/>
              </w:rPr>
            </w:pPr>
          </w:p>
        </w:tc>
      </w:tr>
      <w:tr w14:paraId="44E94C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894" w:type="dxa"/>
            <w:vMerge w:val="continue"/>
            <w:shd w:val="clear" w:color="auto" w:fill="auto"/>
            <w:vAlign w:val="center"/>
          </w:tcPr>
          <w:p w14:paraId="498A3FAA">
            <w:pPr>
              <w:spacing w:line="560" w:lineRule="exact"/>
              <w:jc w:val="center"/>
              <w:rPr>
                <w:rFonts w:ascii="仿宋_GB2312" w:eastAsia="仿宋_GB2312"/>
                <w:sz w:val="28"/>
                <w:szCs w:val="28"/>
              </w:rPr>
            </w:pPr>
          </w:p>
        </w:tc>
        <w:tc>
          <w:tcPr>
            <w:tcW w:w="3785" w:type="dxa"/>
            <w:vMerge w:val="continue"/>
            <w:shd w:val="clear" w:color="auto" w:fill="auto"/>
            <w:vAlign w:val="center"/>
          </w:tcPr>
          <w:p w14:paraId="0993621F">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7130F902">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3D2A7E78">
            <w:pPr>
              <w:spacing w:line="560" w:lineRule="exact"/>
              <w:jc w:val="center"/>
              <w:rPr>
                <w:rFonts w:ascii="仿宋_GB2312" w:eastAsia="仿宋_GB2312"/>
                <w:sz w:val="28"/>
                <w:szCs w:val="28"/>
              </w:rPr>
            </w:pPr>
          </w:p>
        </w:tc>
      </w:tr>
      <w:tr w14:paraId="2B49B0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894" w:type="dxa"/>
            <w:vMerge w:val="restart"/>
            <w:shd w:val="clear" w:color="auto" w:fill="auto"/>
            <w:noWrap/>
            <w:tcMar>
              <w:top w:w="0" w:type="dxa"/>
              <w:left w:w="108" w:type="dxa"/>
              <w:bottom w:w="0" w:type="dxa"/>
              <w:right w:w="108" w:type="dxa"/>
            </w:tcMar>
            <w:vAlign w:val="center"/>
          </w:tcPr>
          <w:p w14:paraId="296EDBC0">
            <w:pPr>
              <w:spacing w:line="560" w:lineRule="exact"/>
              <w:jc w:val="center"/>
              <w:rPr>
                <w:rFonts w:ascii="仿宋_GB2312" w:eastAsia="仿宋_GB2312"/>
                <w:sz w:val="28"/>
                <w:szCs w:val="28"/>
              </w:rPr>
            </w:pPr>
            <w:r>
              <w:rPr>
                <w:rFonts w:hint="eastAsia" w:ascii="仿宋_GB2312" w:eastAsia="仿宋_GB2312"/>
                <w:sz w:val="28"/>
                <w:szCs w:val="28"/>
              </w:rPr>
              <w:t>4</w:t>
            </w:r>
          </w:p>
        </w:tc>
        <w:tc>
          <w:tcPr>
            <w:tcW w:w="3785" w:type="dxa"/>
            <w:vMerge w:val="restart"/>
            <w:shd w:val="clear" w:color="auto" w:fill="auto"/>
            <w:noWrap/>
            <w:tcMar>
              <w:top w:w="0" w:type="dxa"/>
              <w:left w:w="108" w:type="dxa"/>
              <w:bottom w:w="0" w:type="dxa"/>
              <w:right w:w="108" w:type="dxa"/>
            </w:tcMar>
            <w:vAlign w:val="center"/>
          </w:tcPr>
          <w:p w14:paraId="7D0AD90F">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6CDD3CE0">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431034DC">
            <w:pPr>
              <w:spacing w:line="560" w:lineRule="exact"/>
              <w:jc w:val="center"/>
              <w:rPr>
                <w:rFonts w:ascii="仿宋_GB2312" w:eastAsia="仿宋_GB2312"/>
                <w:sz w:val="28"/>
                <w:szCs w:val="28"/>
              </w:rPr>
            </w:pPr>
          </w:p>
        </w:tc>
      </w:tr>
      <w:tr w14:paraId="0F2867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894" w:type="dxa"/>
            <w:vMerge w:val="continue"/>
            <w:shd w:val="clear" w:color="auto" w:fill="auto"/>
            <w:vAlign w:val="center"/>
          </w:tcPr>
          <w:p w14:paraId="1DD43EEE">
            <w:pPr>
              <w:spacing w:line="560" w:lineRule="exact"/>
              <w:jc w:val="center"/>
              <w:rPr>
                <w:rFonts w:ascii="仿宋_GB2312" w:eastAsia="仿宋_GB2312"/>
                <w:sz w:val="28"/>
                <w:szCs w:val="28"/>
              </w:rPr>
            </w:pPr>
          </w:p>
        </w:tc>
        <w:tc>
          <w:tcPr>
            <w:tcW w:w="3785" w:type="dxa"/>
            <w:vMerge w:val="continue"/>
            <w:shd w:val="clear" w:color="auto" w:fill="auto"/>
            <w:vAlign w:val="center"/>
          </w:tcPr>
          <w:p w14:paraId="04C54E3A">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4221071A">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751B1B89">
            <w:pPr>
              <w:spacing w:line="560" w:lineRule="exact"/>
              <w:jc w:val="center"/>
              <w:rPr>
                <w:rFonts w:ascii="仿宋_GB2312" w:eastAsia="仿宋_GB2312"/>
                <w:sz w:val="28"/>
                <w:szCs w:val="28"/>
              </w:rPr>
            </w:pPr>
          </w:p>
        </w:tc>
      </w:tr>
      <w:tr w14:paraId="1556D1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00" w:hRule="atLeast"/>
        </w:trPr>
        <w:tc>
          <w:tcPr>
            <w:tcW w:w="894" w:type="dxa"/>
            <w:vMerge w:val="restart"/>
            <w:shd w:val="clear" w:color="auto" w:fill="auto"/>
            <w:noWrap/>
            <w:tcMar>
              <w:top w:w="0" w:type="dxa"/>
              <w:left w:w="108" w:type="dxa"/>
              <w:bottom w:w="0" w:type="dxa"/>
              <w:right w:w="108" w:type="dxa"/>
            </w:tcMar>
            <w:vAlign w:val="center"/>
          </w:tcPr>
          <w:p w14:paraId="02E46217">
            <w:pPr>
              <w:spacing w:line="560" w:lineRule="exact"/>
              <w:jc w:val="center"/>
              <w:rPr>
                <w:rFonts w:ascii="仿宋_GB2312" w:eastAsia="仿宋_GB2312"/>
                <w:sz w:val="28"/>
                <w:szCs w:val="28"/>
              </w:rPr>
            </w:pPr>
            <w:r>
              <w:rPr>
                <w:rFonts w:hint="eastAsia" w:ascii="仿宋_GB2312" w:eastAsia="仿宋_GB2312"/>
                <w:sz w:val="28"/>
                <w:szCs w:val="28"/>
              </w:rPr>
              <w:t>5</w:t>
            </w:r>
          </w:p>
        </w:tc>
        <w:tc>
          <w:tcPr>
            <w:tcW w:w="3785" w:type="dxa"/>
            <w:vMerge w:val="restart"/>
            <w:shd w:val="clear" w:color="auto" w:fill="auto"/>
            <w:noWrap/>
            <w:tcMar>
              <w:top w:w="0" w:type="dxa"/>
              <w:left w:w="108" w:type="dxa"/>
              <w:bottom w:w="0" w:type="dxa"/>
              <w:right w:w="108" w:type="dxa"/>
            </w:tcMar>
            <w:vAlign w:val="center"/>
          </w:tcPr>
          <w:p w14:paraId="3F883641">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5599BE93">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5A99C9CC">
            <w:pPr>
              <w:spacing w:line="560" w:lineRule="exact"/>
              <w:jc w:val="center"/>
              <w:rPr>
                <w:rFonts w:ascii="仿宋_GB2312" w:eastAsia="仿宋_GB2312"/>
                <w:sz w:val="28"/>
                <w:szCs w:val="28"/>
              </w:rPr>
            </w:pPr>
          </w:p>
        </w:tc>
      </w:tr>
      <w:tr w14:paraId="1B64BF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00" w:hRule="atLeast"/>
        </w:trPr>
        <w:tc>
          <w:tcPr>
            <w:tcW w:w="894" w:type="dxa"/>
            <w:vMerge w:val="continue"/>
            <w:shd w:val="clear" w:color="auto" w:fill="auto"/>
            <w:vAlign w:val="center"/>
          </w:tcPr>
          <w:p w14:paraId="51B54B07">
            <w:pPr>
              <w:spacing w:line="560" w:lineRule="exact"/>
              <w:jc w:val="center"/>
              <w:rPr>
                <w:rFonts w:ascii="仿宋_GB2312" w:eastAsia="仿宋_GB2312"/>
                <w:sz w:val="28"/>
                <w:szCs w:val="28"/>
              </w:rPr>
            </w:pPr>
          </w:p>
        </w:tc>
        <w:tc>
          <w:tcPr>
            <w:tcW w:w="3785" w:type="dxa"/>
            <w:vMerge w:val="continue"/>
            <w:shd w:val="clear" w:color="auto" w:fill="auto"/>
            <w:vAlign w:val="center"/>
          </w:tcPr>
          <w:p w14:paraId="77645C84">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35723348">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25BA8A64">
            <w:pPr>
              <w:spacing w:line="560" w:lineRule="exact"/>
              <w:jc w:val="center"/>
              <w:rPr>
                <w:rFonts w:ascii="仿宋_GB2312" w:eastAsia="仿宋_GB2312"/>
                <w:sz w:val="28"/>
                <w:szCs w:val="28"/>
              </w:rPr>
            </w:pPr>
          </w:p>
        </w:tc>
      </w:tr>
      <w:tr w14:paraId="5BE19D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894" w:type="dxa"/>
            <w:vMerge w:val="restart"/>
            <w:shd w:val="clear" w:color="auto" w:fill="auto"/>
            <w:noWrap/>
            <w:tcMar>
              <w:top w:w="0" w:type="dxa"/>
              <w:left w:w="108" w:type="dxa"/>
              <w:bottom w:w="0" w:type="dxa"/>
              <w:right w:w="108" w:type="dxa"/>
            </w:tcMar>
            <w:vAlign w:val="center"/>
          </w:tcPr>
          <w:p w14:paraId="6E06AB5F">
            <w:pPr>
              <w:spacing w:line="560" w:lineRule="exact"/>
              <w:jc w:val="center"/>
              <w:rPr>
                <w:rFonts w:ascii="仿宋_GB2312" w:eastAsia="仿宋_GB2312"/>
                <w:sz w:val="28"/>
                <w:szCs w:val="28"/>
              </w:rPr>
            </w:pPr>
            <w:r>
              <w:rPr>
                <w:rFonts w:hint="eastAsia" w:ascii="仿宋_GB2312" w:eastAsia="仿宋_GB2312"/>
                <w:sz w:val="28"/>
                <w:szCs w:val="28"/>
              </w:rPr>
              <w:t>6</w:t>
            </w:r>
          </w:p>
        </w:tc>
        <w:tc>
          <w:tcPr>
            <w:tcW w:w="3785" w:type="dxa"/>
            <w:vMerge w:val="restart"/>
            <w:shd w:val="clear" w:color="auto" w:fill="auto"/>
            <w:noWrap/>
            <w:tcMar>
              <w:top w:w="0" w:type="dxa"/>
              <w:left w:w="108" w:type="dxa"/>
              <w:bottom w:w="0" w:type="dxa"/>
              <w:right w:w="108" w:type="dxa"/>
            </w:tcMar>
            <w:vAlign w:val="center"/>
          </w:tcPr>
          <w:p w14:paraId="71E85921">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5B440479">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277F2445">
            <w:pPr>
              <w:spacing w:line="560" w:lineRule="exact"/>
              <w:jc w:val="center"/>
              <w:rPr>
                <w:rFonts w:ascii="仿宋_GB2312" w:eastAsia="仿宋_GB2312"/>
                <w:sz w:val="28"/>
                <w:szCs w:val="28"/>
              </w:rPr>
            </w:pPr>
          </w:p>
        </w:tc>
      </w:tr>
      <w:tr w14:paraId="6DC589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894" w:type="dxa"/>
            <w:vMerge w:val="continue"/>
            <w:shd w:val="clear" w:color="auto" w:fill="auto"/>
            <w:noWrap/>
            <w:tcMar>
              <w:top w:w="0" w:type="dxa"/>
              <w:left w:w="108" w:type="dxa"/>
              <w:bottom w:w="0" w:type="dxa"/>
              <w:right w:w="108" w:type="dxa"/>
            </w:tcMar>
            <w:vAlign w:val="center"/>
          </w:tcPr>
          <w:p w14:paraId="31D2C611">
            <w:pPr>
              <w:spacing w:line="560" w:lineRule="exact"/>
              <w:jc w:val="center"/>
              <w:rPr>
                <w:rFonts w:ascii="仿宋_GB2312" w:eastAsia="仿宋_GB2312"/>
                <w:sz w:val="28"/>
                <w:szCs w:val="28"/>
              </w:rPr>
            </w:pPr>
          </w:p>
        </w:tc>
        <w:tc>
          <w:tcPr>
            <w:tcW w:w="3785" w:type="dxa"/>
            <w:vMerge w:val="continue"/>
            <w:shd w:val="clear" w:color="auto" w:fill="auto"/>
            <w:tcMar>
              <w:top w:w="0" w:type="dxa"/>
              <w:left w:w="108" w:type="dxa"/>
              <w:bottom w:w="0" w:type="dxa"/>
              <w:right w:w="108" w:type="dxa"/>
            </w:tcMar>
            <w:vAlign w:val="center"/>
          </w:tcPr>
          <w:p w14:paraId="130212A1">
            <w:pPr>
              <w:spacing w:line="560" w:lineRule="exact"/>
              <w:jc w:val="left"/>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54DA5D56">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70566AD7">
            <w:pPr>
              <w:spacing w:line="560" w:lineRule="exact"/>
              <w:jc w:val="center"/>
              <w:rPr>
                <w:rFonts w:ascii="仿宋_GB2312" w:eastAsia="仿宋_GB2312"/>
                <w:sz w:val="28"/>
                <w:szCs w:val="28"/>
              </w:rPr>
            </w:pPr>
          </w:p>
        </w:tc>
      </w:tr>
      <w:tr w14:paraId="3AADB7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894" w:type="dxa"/>
            <w:vMerge w:val="restart"/>
            <w:shd w:val="clear" w:color="auto" w:fill="auto"/>
            <w:noWrap/>
            <w:tcMar>
              <w:top w:w="0" w:type="dxa"/>
              <w:left w:w="108" w:type="dxa"/>
              <w:bottom w:w="0" w:type="dxa"/>
              <w:right w:w="108" w:type="dxa"/>
            </w:tcMar>
            <w:vAlign w:val="center"/>
          </w:tcPr>
          <w:p w14:paraId="2DD39E70">
            <w:pPr>
              <w:spacing w:line="560" w:lineRule="exact"/>
              <w:jc w:val="center"/>
              <w:rPr>
                <w:rFonts w:ascii="仿宋_GB2312" w:eastAsia="仿宋_GB2312"/>
                <w:sz w:val="28"/>
                <w:szCs w:val="28"/>
              </w:rPr>
            </w:pPr>
            <w:r>
              <w:rPr>
                <w:rFonts w:hint="eastAsia" w:ascii="仿宋_GB2312" w:eastAsia="仿宋_GB2312"/>
                <w:sz w:val="28"/>
                <w:szCs w:val="28"/>
              </w:rPr>
              <w:t>7</w:t>
            </w:r>
          </w:p>
        </w:tc>
        <w:tc>
          <w:tcPr>
            <w:tcW w:w="3785" w:type="dxa"/>
            <w:vMerge w:val="restart"/>
            <w:shd w:val="clear" w:color="auto" w:fill="auto"/>
            <w:noWrap/>
            <w:tcMar>
              <w:top w:w="0" w:type="dxa"/>
              <w:left w:w="108" w:type="dxa"/>
              <w:bottom w:w="0" w:type="dxa"/>
              <w:right w:w="108" w:type="dxa"/>
            </w:tcMar>
            <w:vAlign w:val="center"/>
          </w:tcPr>
          <w:p w14:paraId="2C51D7E1">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5B5B05C4">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7A313ED0">
            <w:pPr>
              <w:spacing w:line="560" w:lineRule="exact"/>
              <w:jc w:val="center"/>
              <w:rPr>
                <w:rFonts w:ascii="仿宋_GB2312" w:eastAsia="仿宋_GB2312"/>
                <w:sz w:val="28"/>
                <w:szCs w:val="28"/>
              </w:rPr>
            </w:pPr>
          </w:p>
        </w:tc>
      </w:tr>
      <w:tr w14:paraId="52E4FE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5" w:hRule="atLeast"/>
        </w:trPr>
        <w:tc>
          <w:tcPr>
            <w:tcW w:w="894" w:type="dxa"/>
            <w:vMerge w:val="continue"/>
            <w:shd w:val="clear" w:color="auto" w:fill="auto"/>
            <w:vAlign w:val="center"/>
          </w:tcPr>
          <w:p w14:paraId="619D1350">
            <w:pPr>
              <w:spacing w:line="560" w:lineRule="exact"/>
              <w:jc w:val="center"/>
              <w:rPr>
                <w:rFonts w:ascii="仿宋_GB2312" w:eastAsia="仿宋_GB2312"/>
                <w:sz w:val="28"/>
                <w:szCs w:val="28"/>
              </w:rPr>
            </w:pPr>
          </w:p>
        </w:tc>
        <w:tc>
          <w:tcPr>
            <w:tcW w:w="3785" w:type="dxa"/>
            <w:vMerge w:val="continue"/>
            <w:shd w:val="clear" w:color="auto" w:fill="auto"/>
            <w:vAlign w:val="center"/>
          </w:tcPr>
          <w:p w14:paraId="3E59AFC2">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2B98B809">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16CB8AA3">
            <w:pPr>
              <w:spacing w:line="560" w:lineRule="exact"/>
              <w:jc w:val="center"/>
              <w:rPr>
                <w:rFonts w:ascii="仿宋_GB2312" w:eastAsia="仿宋_GB2312"/>
                <w:sz w:val="28"/>
                <w:szCs w:val="28"/>
              </w:rPr>
            </w:pPr>
          </w:p>
        </w:tc>
      </w:tr>
      <w:tr w14:paraId="2EB39DE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5" w:hRule="atLeast"/>
        </w:trPr>
        <w:tc>
          <w:tcPr>
            <w:tcW w:w="894" w:type="dxa"/>
            <w:shd w:val="clear" w:color="auto" w:fill="auto"/>
            <w:vAlign w:val="center"/>
          </w:tcPr>
          <w:p w14:paraId="753D3D70">
            <w:pPr>
              <w:spacing w:line="560" w:lineRule="exact"/>
              <w:jc w:val="center"/>
              <w:rPr>
                <w:rFonts w:ascii="仿宋_GB2312" w:eastAsia="仿宋_GB2312"/>
                <w:sz w:val="28"/>
                <w:szCs w:val="28"/>
              </w:rPr>
            </w:pPr>
            <w:r>
              <w:rPr>
                <w:rFonts w:hint="eastAsia" w:ascii="仿宋_GB2312" w:eastAsia="仿宋_GB2312"/>
                <w:sz w:val="28"/>
                <w:szCs w:val="28"/>
              </w:rPr>
              <w:t>……</w:t>
            </w:r>
          </w:p>
        </w:tc>
        <w:tc>
          <w:tcPr>
            <w:tcW w:w="3785" w:type="dxa"/>
            <w:shd w:val="clear" w:color="auto" w:fill="auto"/>
            <w:vAlign w:val="center"/>
          </w:tcPr>
          <w:p w14:paraId="46DA2A23">
            <w:pPr>
              <w:spacing w:line="560" w:lineRule="exact"/>
              <w:jc w:val="center"/>
              <w:rPr>
                <w:rFonts w:ascii="仿宋_GB2312" w:eastAsia="仿宋_GB2312"/>
                <w:sz w:val="28"/>
                <w:szCs w:val="28"/>
              </w:rPr>
            </w:pPr>
          </w:p>
        </w:tc>
        <w:tc>
          <w:tcPr>
            <w:tcW w:w="2126" w:type="dxa"/>
            <w:shd w:val="clear" w:color="auto" w:fill="auto"/>
            <w:noWrap/>
            <w:tcMar>
              <w:top w:w="0" w:type="dxa"/>
              <w:left w:w="108" w:type="dxa"/>
              <w:bottom w:w="0" w:type="dxa"/>
              <w:right w:w="108" w:type="dxa"/>
            </w:tcMar>
            <w:vAlign w:val="center"/>
          </w:tcPr>
          <w:p w14:paraId="64361628">
            <w:pPr>
              <w:spacing w:line="560" w:lineRule="exact"/>
              <w:jc w:val="center"/>
              <w:rPr>
                <w:rFonts w:ascii="仿宋_GB2312" w:eastAsia="仿宋_GB2312"/>
                <w:sz w:val="28"/>
                <w:szCs w:val="28"/>
              </w:rPr>
            </w:pPr>
          </w:p>
        </w:tc>
        <w:tc>
          <w:tcPr>
            <w:tcW w:w="2879" w:type="dxa"/>
            <w:shd w:val="clear" w:color="auto" w:fill="auto"/>
            <w:tcMar>
              <w:top w:w="0" w:type="dxa"/>
              <w:left w:w="108" w:type="dxa"/>
              <w:bottom w:w="0" w:type="dxa"/>
              <w:right w:w="108" w:type="dxa"/>
            </w:tcMar>
            <w:vAlign w:val="center"/>
          </w:tcPr>
          <w:p w14:paraId="0DC7DF20">
            <w:pPr>
              <w:spacing w:line="560" w:lineRule="exact"/>
              <w:jc w:val="center"/>
              <w:rPr>
                <w:rFonts w:ascii="仿宋_GB2312" w:eastAsia="仿宋_GB2312"/>
                <w:sz w:val="28"/>
                <w:szCs w:val="28"/>
              </w:rPr>
            </w:pPr>
          </w:p>
        </w:tc>
      </w:tr>
    </w:tbl>
    <w:p w14:paraId="5E96BE33">
      <w:pPr>
        <w:widowControl/>
        <w:jc w:val="left"/>
        <w:rPr>
          <w:rFonts w:ascii="仿宋_GB2312" w:hAnsi="仿宋" w:eastAsia="仿宋_GB2312"/>
          <w:b/>
          <w:bCs/>
          <w:sz w:val="30"/>
          <w:szCs w:val="30"/>
        </w:rPr>
      </w:pPr>
    </w:p>
    <w:p w14:paraId="5141E0D3">
      <w:pPr>
        <w:widowControl/>
        <w:jc w:val="left"/>
        <w:rPr>
          <w:rFonts w:ascii="仿宋_GB2312" w:hAnsi="仿宋" w:eastAsia="仿宋_GB2312"/>
          <w:b/>
          <w:bCs/>
          <w:sz w:val="30"/>
          <w:szCs w:val="30"/>
        </w:rPr>
      </w:pPr>
      <w:r>
        <w:rPr>
          <w:rFonts w:ascii="仿宋_GB2312" w:hAnsi="仿宋" w:eastAsia="仿宋_GB2312"/>
          <w:b/>
          <w:bCs/>
          <w:sz w:val="30"/>
          <w:szCs w:val="30"/>
        </w:rPr>
        <w:br w:type="page"/>
      </w:r>
    </w:p>
    <w:p w14:paraId="6C4BD695">
      <w:pPr>
        <w:widowControl/>
        <w:jc w:val="left"/>
        <w:outlineLvl w:val="1"/>
        <w:rPr>
          <w:rFonts w:ascii="仿宋_GB2312" w:hAnsi="黑体" w:eastAsia="仿宋_GB2312"/>
          <w:b/>
          <w:sz w:val="30"/>
          <w:szCs w:val="30"/>
        </w:rPr>
      </w:pPr>
      <w:bookmarkStart w:id="4216" w:name="_Toc112934167"/>
      <w:bookmarkStart w:id="4217" w:name="_Toc87983437"/>
      <w:bookmarkStart w:id="4218" w:name="_Toc151137119"/>
      <w:bookmarkStart w:id="4219" w:name="_Toc604336386"/>
      <w:bookmarkStart w:id="4220" w:name="_Toc1532044616"/>
      <w:bookmarkStart w:id="4221" w:name="_Toc1212662002"/>
      <w:bookmarkStart w:id="4222" w:name="_Toc1467125318"/>
      <w:r>
        <w:rPr>
          <w:rFonts w:hint="eastAsia" w:ascii="仿宋_GB2312" w:hAnsi="黑体" w:eastAsia="仿宋_GB2312"/>
          <w:b/>
          <w:sz w:val="30"/>
          <w:szCs w:val="30"/>
        </w:rPr>
        <w:t>附件36 处置现场负责人及进入处置场所的人员名单</w:t>
      </w:r>
      <w:bookmarkEnd w:id="4216"/>
      <w:bookmarkEnd w:id="4217"/>
      <w:bookmarkEnd w:id="4218"/>
      <w:bookmarkEnd w:id="4219"/>
      <w:bookmarkEnd w:id="4220"/>
      <w:bookmarkEnd w:id="4221"/>
      <w:bookmarkEnd w:id="4222"/>
    </w:p>
    <w:p w14:paraId="2D6FA397">
      <w:pPr>
        <w:spacing w:line="560" w:lineRule="exact"/>
        <w:jc w:val="center"/>
        <w:rPr>
          <w:rFonts w:ascii="黑体" w:hAnsi="黑体" w:eastAsia="黑体"/>
          <w:b/>
          <w:sz w:val="44"/>
          <w:szCs w:val="44"/>
        </w:rPr>
      </w:pPr>
    </w:p>
    <w:p w14:paraId="4A188822">
      <w:pPr>
        <w:spacing w:line="560" w:lineRule="exact"/>
        <w:jc w:val="center"/>
        <w:rPr>
          <w:rFonts w:ascii="黑体" w:hAnsi="黑体" w:eastAsia="黑体"/>
          <w:b/>
          <w:sz w:val="44"/>
          <w:szCs w:val="44"/>
        </w:rPr>
      </w:pPr>
      <w:r>
        <w:rPr>
          <w:rFonts w:hint="eastAsia" w:ascii="黑体" w:hAnsi="黑体" w:eastAsia="黑体"/>
          <w:b/>
          <w:sz w:val="44"/>
          <w:szCs w:val="44"/>
        </w:rPr>
        <w:t>处置现场负责人及进入处置场所的</w:t>
      </w:r>
    </w:p>
    <w:p w14:paraId="2DC13E8C">
      <w:pPr>
        <w:spacing w:line="560" w:lineRule="exact"/>
        <w:jc w:val="center"/>
        <w:rPr>
          <w:rFonts w:ascii="黑体" w:hAnsi="黑体" w:eastAsia="黑体"/>
          <w:b/>
          <w:sz w:val="32"/>
          <w:szCs w:val="32"/>
        </w:rPr>
      </w:pPr>
      <w:r>
        <w:rPr>
          <w:rFonts w:hint="eastAsia" w:ascii="黑体" w:hAnsi="黑体" w:eastAsia="黑体"/>
          <w:b/>
          <w:sz w:val="44"/>
          <w:szCs w:val="44"/>
        </w:rPr>
        <w:t>人员名单</w:t>
      </w:r>
    </w:p>
    <w:p w14:paraId="2BE20684">
      <w:pPr>
        <w:spacing w:line="560" w:lineRule="exact"/>
        <w:ind w:left="-708" w:leftChars="-337" w:firstLine="750" w:firstLineChars="250"/>
        <w:rPr>
          <w:rFonts w:ascii="仿宋_GB2312" w:eastAsia="仿宋_GB2312"/>
          <w:sz w:val="30"/>
          <w:szCs w:val="30"/>
        </w:rPr>
      </w:pPr>
      <w:r>
        <w:rPr>
          <w:rFonts w:hint="eastAsia" w:ascii="仿宋_GB2312" w:eastAsia="仿宋_GB2312"/>
          <w:sz w:val="30"/>
          <w:szCs w:val="30"/>
        </w:rPr>
        <w:t>处置名称：XX 公司 XX 年（X）期债券担保品处置</w:t>
      </w:r>
    </w:p>
    <w:p w14:paraId="34C0134D">
      <w:pPr>
        <w:spacing w:line="560" w:lineRule="exact"/>
        <w:ind w:left="-708" w:leftChars="-337" w:firstLine="750" w:firstLineChars="250"/>
        <w:rPr>
          <w:rFonts w:ascii="仿宋_GB2312" w:eastAsia="仿宋_GB2312"/>
          <w:sz w:val="30"/>
          <w:szCs w:val="30"/>
        </w:rPr>
      </w:pPr>
      <w:r>
        <w:rPr>
          <w:rFonts w:hint="eastAsia" w:ascii="仿宋_GB2312" w:eastAsia="仿宋_GB2312"/>
          <w:sz w:val="30"/>
          <w:szCs w:val="30"/>
        </w:rPr>
        <w:t>处置日期：</w:t>
      </w:r>
      <w:r>
        <w:rPr>
          <w:rFonts w:ascii="仿宋_GB2312" w:eastAsia="仿宋_GB2312"/>
          <w:sz w:val="30"/>
          <w:szCs w:val="30"/>
        </w:rPr>
        <w:t xml:space="preserve">       </w:t>
      </w:r>
      <w:r>
        <w:rPr>
          <w:rFonts w:hint="eastAsia" w:ascii="仿宋_GB2312" w:eastAsia="仿宋_GB2312"/>
          <w:sz w:val="30"/>
          <w:szCs w:val="30"/>
        </w:rPr>
        <w:t>年</w:t>
      </w:r>
      <w:r>
        <w:rPr>
          <w:rFonts w:ascii="仿宋_GB2312" w:eastAsia="仿宋_GB2312"/>
          <w:sz w:val="30"/>
          <w:szCs w:val="30"/>
        </w:rPr>
        <w:t xml:space="preserve">    </w:t>
      </w:r>
      <w:r>
        <w:rPr>
          <w:rFonts w:hint="eastAsia" w:ascii="仿宋_GB2312" w:eastAsia="仿宋_GB2312"/>
          <w:sz w:val="30"/>
          <w:szCs w:val="30"/>
        </w:rPr>
        <w:t>月</w:t>
      </w:r>
      <w:r>
        <w:rPr>
          <w:rFonts w:ascii="仿宋_GB2312" w:eastAsia="仿宋_GB2312"/>
          <w:sz w:val="30"/>
          <w:szCs w:val="30"/>
        </w:rPr>
        <w:t xml:space="preserve">   </w:t>
      </w:r>
      <w:r>
        <w:rPr>
          <w:rFonts w:hint="eastAsia" w:ascii="仿宋_GB2312" w:eastAsia="仿宋_GB2312"/>
          <w:sz w:val="30"/>
          <w:szCs w:val="30"/>
        </w:rPr>
        <w:t>日</w:t>
      </w:r>
    </w:p>
    <w:tbl>
      <w:tblPr>
        <w:tblStyle w:val="43"/>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1475"/>
        <w:gridCol w:w="2180"/>
        <w:gridCol w:w="1936"/>
        <w:gridCol w:w="1915"/>
      </w:tblGrid>
      <w:tr w14:paraId="11F59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17" w:type="dxa"/>
          </w:tcPr>
          <w:p w14:paraId="4B585317">
            <w:pPr>
              <w:spacing w:line="560" w:lineRule="exact"/>
              <w:jc w:val="center"/>
              <w:rPr>
                <w:rFonts w:ascii="仿宋_GB2312" w:eastAsia="仿宋_GB2312"/>
                <w:sz w:val="28"/>
                <w:szCs w:val="28"/>
              </w:rPr>
            </w:pPr>
            <w:r>
              <w:rPr>
                <w:rFonts w:hint="eastAsia" w:ascii="仿宋_GB2312" w:eastAsia="仿宋_GB2312"/>
                <w:sz w:val="28"/>
                <w:szCs w:val="28"/>
              </w:rPr>
              <w:t>序号</w:t>
            </w:r>
          </w:p>
        </w:tc>
        <w:tc>
          <w:tcPr>
            <w:tcW w:w="1475" w:type="dxa"/>
          </w:tcPr>
          <w:p w14:paraId="75480F0C">
            <w:pPr>
              <w:spacing w:line="560" w:lineRule="exact"/>
              <w:jc w:val="center"/>
              <w:rPr>
                <w:rFonts w:ascii="仿宋_GB2312" w:eastAsia="仿宋_GB2312"/>
                <w:sz w:val="28"/>
                <w:szCs w:val="28"/>
              </w:rPr>
            </w:pPr>
            <w:r>
              <w:rPr>
                <w:rFonts w:hint="eastAsia" w:ascii="仿宋_GB2312" w:eastAsia="仿宋_GB2312"/>
                <w:sz w:val="28"/>
                <w:szCs w:val="28"/>
              </w:rPr>
              <w:t>姓名</w:t>
            </w:r>
          </w:p>
        </w:tc>
        <w:tc>
          <w:tcPr>
            <w:tcW w:w="2180" w:type="dxa"/>
          </w:tcPr>
          <w:p w14:paraId="161E2D25">
            <w:pPr>
              <w:spacing w:line="560" w:lineRule="exact"/>
              <w:jc w:val="center"/>
              <w:rPr>
                <w:rFonts w:ascii="仿宋_GB2312" w:eastAsia="仿宋_GB2312"/>
                <w:sz w:val="28"/>
                <w:szCs w:val="28"/>
              </w:rPr>
            </w:pPr>
            <w:r>
              <w:rPr>
                <w:rFonts w:hint="eastAsia" w:ascii="仿宋_GB2312" w:eastAsia="仿宋_GB2312"/>
                <w:sz w:val="28"/>
                <w:szCs w:val="28"/>
              </w:rPr>
              <w:t>部门</w:t>
            </w:r>
          </w:p>
        </w:tc>
        <w:tc>
          <w:tcPr>
            <w:tcW w:w="1936" w:type="dxa"/>
          </w:tcPr>
          <w:p w14:paraId="0B5D35E7">
            <w:pPr>
              <w:spacing w:line="560" w:lineRule="exact"/>
              <w:jc w:val="center"/>
              <w:rPr>
                <w:rFonts w:ascii="仿宋_GB2312" w:eastAsia="仿宋_GB2312"/>
                <w:sz w:val="28"/>
                <w:szCs w:val="28"/>
              </w:rPr>
            </w:pPr>
            <w:r>
              <w:rPr>
                <w:rFonts w:hint="eastAsia" w:ascii="仿宋_GB2312" w:eastAsia="仿宋_GB2312"/>
                <w:sz w:val="28"/>
                <w:szCs w:val="28"/>
              </w:rPr>
              <w:t>职务</w:t>
            </w:r>
          </w:p>
        </w:tc>
        <w:tc>
          <w:tcPr>
            <w:tcW w:w="1915" w:type="dxa"/>
          </w:tcPr>
          <w:p w14:paraId="43FB40DA">
            <w:pPr>
              <w:spacing w:line="560" w:lineRule="exact"/>
              <w:jc w:val="center"/>
              <w:rPr>
                <w:rFonts w:ascii="仿宋_GB2312" w:eastAsia="仿宋_GB2312"/>
                <w:sz w:val="28"/>
                <w:szCs w:val="28"/>
              </w:rPr>
            </w:pPr>
            <w:r>
              <w:rPr>
                <w:rFonts w:hint="eastAsia" w:ascii="仿宋_GB2312" w:eastAsia="仿宋_GB2312"/>
                <w:sz w:val="28"/>
                <w:szCs w:val="28"/>
              </w:rPr>
              <w:t>备注</w:t>
            </w:r>
          </w:p>
        </w:tc>
      </w:tr>
      <w:tr w14:paraId="364A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17" w:type="dxa"/>
          </w:tcPr>
          <w:p w14:paraId="00AB358E">
            <w:pPr>
              <w:spacing w:line="560" w:lineRule="exact"/>
              <w:jc w:val="center"/>
              <w:rPr>
                <w:rFonts w:ascii="仿宋_GB2312" w:eastAsia="仿宋_GB2312"/>
                <w:sz w:val="28"/>
                <w:szCs w:val="28"/>
              </w:rPr>
            </w:pPr>
            <w:r>
              <w:rPr>
                <w:rFonts w:ascii="仿宋_GB2312" w:eastAsia="仿宋_GB2312"/>
                <w:sz w:val="28"/>
                <w:szCs w:val="28"/>
              </w:rPr>
              <w:t>1</w:t>
            </w:r>
          </w:p>
        </w:tc>
        <w:tc>
          <w:tcPr>
            <w:tcW w:w="1475" w:type="dxa"/>
          </w:tcPr>
          <w:p w14:paraId="5FBAB3C0">
            <w:pPr>
              <w:spacing w:line="560" w:lineRule="exact"/>
              <w:rPr>
                <w:rFonts w:ascii="仿宋_GB2312" w:eastAsia="仿宋_GB2312"/>
                <w:sz w:val="28"/>
                <w:szCs w:val="28"/>
              </w:rPr>
            </w:pPr>
          </w:p>
        </w:tc>
        <w:tc>
          <w:tcPr>
            <w:tcW w:w="2180" w:type="dxa"/>
          </w:tcPr>
          <w:p w14:paraId="61DB74B8">
            <w:pPr>
              <w:spacing w:line="560" w:lineRule="exact"/>
              <w:rPr>
                <w:rFonts w:ascii="仿宋_GB2312" w:eastAsia="仿宋_GB2312"/>
                <w:sz w:val="28"/>
                <w:szCs w:val="28"/>
              </w:rPr>
            </w:pPr>
          </w:p>
        </w:tc>
        <w:tc>
          <w:tcPr>
            <w:tcW w:w="1936" w:type="dxa"/>
          </w:tcPr>
          <w:p w14:paraId="5D463638">
            <w:pPr>
              <w:spacing w:line="560" w:lineRule="exact"/>
              <w:rPr>
                <w:rFonts w:ascii="仿宋_GB2312" w:eastAsia="仿宋_GB2312"/>
                <w:sz w:val="28"/>
                <w:szCs w:val="28"/>
              </w:rPr>
            </w:pPr>
          </w:p>
        </w:tc>
        <w:tc>
          <w:tcPr>
            <w:tcW w:w="1915" w:type="dxa"/>
          </w:tcPr>
          <w:p w14:paraId="664773CE">
            <w:pPr>
              <w:spacing w:line="560" w:lineRule="exact"/>
              <w:rPr>
                <w:rFonts w:ascii="仿宋_GB2312" w:eastAsia="仿宋_GB2312"/>
                <w:sz w:val="28"/>
                <w:szCs w:val="28"/>
              </w:rPr>
            </w:pPr>
          </w:p>
        </w:tc>
      </w:tr>
      <w:tr w14:paraId="6389F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17" w:type="dxa"/>
          </w:tcPr>
          <w:p w14:paraId="17FEA466">
            <w:pPr>
              <w:spacing w:line="560" w:lineRule="exact"/>
              <w:jc w:val="center"/>
              <w:rPr>
                <w:rFonts w:ascii="仿宋_GB2312" w:eastAsia="仿宋_GB2312"/>
                <w:sz w:val="28"/>
                <w:szCs w:val="28"/>
              </w:rPr>
            </w:pPr>
            <w:r>
              <w:rPr>
                <w:rFonts w:ascii="仿宋_GB2312" w:eastAsia="仿宋_GB2312"/>
                <w:sz w:val="28"/>
                <w:szCs w:val="28"/>
              </w:rPr>
              <w:t>2</w:t>
            </w:r>
          </w:p>
        </w:tc>
        <w:tc>
          <w:tcPr>
            <w:tcW w:w="1475" w:type="dxa"/>
          </w:tcPr>
          <w:p w14:paraId="7EDBF985">
            <w:pPr>
              <w:spacing w:line="560" w:lineRule="exact"/>
              <w:rPr>
                <w:rFonts w:ascii="仿宋_GB2312" w:eastAsia="仿宋_GB2312"/>
                <w:sz w:val="28"/>
                <w:szCs w:val="28"/>
              </w:rPr>
            </w:pPr>
          </w:p>
        </w:tc>
        <w:tc>
          <w:tcPr>
            <w:tcW w:w="2180" w:type="dxa"/>
          </w:tcPr>
          <w:p w14:paraId="4EB81CB2">
            <w:pPr>
              <w:spacing w:line="560" w:lineRule="exact"/>
              <w:rPr>
                <w:rFonts w:ascii="仿宋_GB2312" w:eastAsia="仿宋_GB2312"/>
                <w:sz w:val="28"/>
                <w:szCs w:val="28"/>
              </w:rPr>
            </w:pPr>
          </w:p>
        </w:tc>
        <w:tc>
          <w:tcPr>
            <w:tcW w:w="1936" w:type="dxa"/>
          </w:tcPr>
          <w:p w14:paraId="21F453DE">
            <w:pPr>
              <w:spacing w:line="560" w:lineRule="exact"/>
              <w:rPr>
                <w:rFonts w:ascii="仿宋_GB2312" w:eastAsia="仿宋_GB2312"/>
                <w:sz w:val="28"/>
                <w:szCs w:val="28"/>
              </w:rPr>
            </w:pPr>
          </w:p>
        </w:tc>
        <w:tc>
          <w:tcPr>
            <w:tcW w:w="1915" w:type="dxa"/>
          </w:tcPr>
          <w:p w14:paraId="2333DCBA">
            <w:pPr>
              <w:spacing w:line="560" w:lineRule="exact"/>
              <w:rPr>
                <w:rFonts w:ascii="仿宋_GB2312" w:eastAsia="仿宋_GB2312"/>
                <w:sz w:val="28"/>
                <w:szCs w:val="28"/>
              </w:rPr>
            </w:pPr>
          </w:p>
        </w:tc>
      </w:tr>
      <w:tr w14:paraId="035E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17" w:type="dxa"/>
          </w:tcPr>
          <w:p w14:paraId="49C949D5">
            <w:pPr>
              <w:spacing w:line="560" w:lineRule="exact"/>
              <w:jc w:val="center"/>
              <w:rPr>
                <w:rFonts w:ascii="仿宋_GB2312" w:eastAsia="仿宋_GB2312"/>
                <w:sz w:val="28"/>
                <w:szCs w:val="28"/>
              </w:rPr>
            </w:pPr>
            <w:r>
              <w:rPr>
                <w:rFonts w:ascii="仿宋_GB2312" w:eastAsia="仿宋_GB2312"/>
                <w:sz w:val="28"/>
                <w:szCs w:val="28"/>
              </w:rPr>
              <w:t>3</w:t>
            </w:r>
          </w:p>
        </w:tc>
        <w:tc>
          <w:tcPr>
            <w:tcW w:w="1475" w:type="dxa"/>
          </w:tcPr>
          <w:p w14:paraId="6206DB9F">
            <w:pPr>
              <w:spacing w:line="560" w:lineRule="exact"/>
              <w:rPr>
                <w:rFonts w:ascii="仿宋_GB2312" w:eastAsia="仿宋_GB2312"/>
                <w:sz w:val="28"/>
                <w:szCs w:val="28"/>
              </w:rPr>
            </w:pPr>
          </w:p>
        </w:tc>
        <w:tc>
          <w:tcPr>
            <w:tcW w:w="2180" w:type="dxa"/>
          </w:tcPr>
          <w:p w14:paraId="2C7B893B">
            <w:pPr>
              <w:spacing w:line="560" w:lineRule="exact"/>
              <w:rPr>
                <w:rFonts w:ascii="仿宋_GB2312" w:eastAsia="仿宋_GB2312"/>
                <w:sz w:val="28"/>
                <w:szCs w:val="28"/>
              </w:rPr>
            </w:pPr>
          </w:p>
        </w:tc>
        <w:tc>
          <w:tcPr>
            <w:tcW w:w="1936" w:type="dxa"/>
          </w:tcPr>
          <w:p w14:paraId="14B6DDA0">
            <w:pPr>
              <w:spacing w:line="560" w:lineRule="exact"/>
              <w:rPr>
                <w:rFonts w:ascii="仿宋_GB2312" w:eastAsia="仿宋_GB2312"/>
                <w:sz w:val="28"/>
                <w:szCs w:val="28"/>
              </w:rPr>
            </w:pPr>
          </w:p>
        </w:tc>
        <w:tc>
          <w:tcPr>
            <w:tcW w:w="1915" w:type="dxa"/>
          </w:tcPr>
          <w:p w14:paraId="27C2F187">
            <w:pPr>
              <w:spacing w:line="560" w:lineRule="exact"/>
              <w:rPr>
                <w:rFonts w:ascii="仿宋_GB2312" w:eastAsia="仿宋_GB2312"/>
                <w:sz w:val="28"/>
                <w:szCs w:val="28"/>
              </w:rPr>
            </w:pPr>
          </w:p>
        </w:tc>
      </w:tr>
      <w:tr w14:paraId="75A09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17" w:type="dxa"/>
          </w:tcPr>
          <w:p w14:paraId="11CB50DD">
            <w:pPr>
              <w:spacing w:line="560" w:lineRule="exact"/>
              <w:jc w:val="center"/>
              <w:rPr>
                <w:rFonts w:ascii="仿宋_GB2312" w:eastAsia="仿宋_GB2312"/>
                <w:sz w:val="28"/>
                <w:szCs w:val="28"/>
              </w:rPr>
            </w:pPr>
            <w:r>
              <w:rPr>
                <w:rFonts w:ascii="仿宋_GB2312" w:eastAsia="仿宋_GB2312"/>
                <w:sz w:val="28"/>
                <w:szCs w:val="28"/>
              </w:rPr>
              <w:t>4</w:t>
            </w:r>
          </w:p>
        </w:tc>
        <w:tc>
          <w:tcPr>
            <w:tcW w:w="1475" w:type="dxa"/>
          </w:tcPr>
          <w:p w14:paraId="5E7B9675">
            <w:pPr>
              <w:spacing w:line="560" w:lineRule="exact"/>
              <w:rPr>
                <w:rFonts w:ascii="仿宋_GB2312" w:eastAsia="仿宋_GB2312"/>
                <w:sz w:val="28"/>
                <w:szCs w:val="28"/>
              </w:rPr>
            </w:pPr>
          </w:p>
        </w:tc>
        <w:tc>
          <w:tcPr>
            <w:tcW w:w="2180" w:type="dxa"/>
          </w:tcPr>
          <w:p w14:paraId="404BE361">
            <w:pPr>
              <w:spacing w:line="560" w:lineRule="exact"/>
              <w:rPr>
                <w:rFonts w:ascii="仿宋_GB2312" w:eastAsia="仿宋_GB2312"/>
                <w:sz w:val="28"/>
                <w:szCs w:val="28"/>
              </w:rPr>
            </w:pPr>
          </w:p>
        </w:tc>
        <w:tc>
          <w:tcPr>
            <w:tcW w:w="1936" w:type="dxa"/>
          </w:tcPr>
          <w:p w14:paraId="7FFC30FB">
            <w:pPr>
              <w:spacing w:line="560" w:lineRule="exact"/>
              <w:rPr>
                <w:rFonts w:ascii="仿宋_GB2312" w:eastAsia="仿宋_GB2312"/>
                <w:sz w:val="28"/>
                <w:szCs w:val="28"/>
              </w:rPr>
            </w:pPr>
          </w:p>
        </w:tc>
        <w:tc>
          <w:tcPr>
            <w:tcW w:w="1915" w:type="dxa"/>
          </w:tcPr>
          <w:p w14:paraId="1BC34478">
            <w:pPr>
              <w:spacing w:line="560" w:lineRule="exact"/>
              <w:rPr>
                <w:rFonts w:ascii="仿宋_GB2312" w:eastAsia="仿宋_GB2312"/>
                <w:sz w:val="28"/>
                <w:szCs w:val="28"/>
              </w:rPr>
            </w:pPr>
          </w:p>
        </w:tc>
      </w:tr>
      <w:tr w14:paraId="15553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17" w:type="dxa"/>
          </w:tcPr>
          <w:p w14:paraId="3E1C563C">
            <w:pPr>
              <w:spacing w:line="560" w:lineRule="exact"/>
              <w:jc w:val="center"/>
              <w:rPr>
                <w:rFonts w:ascii="仿宋_GB2312" w:eastAsia="仿宋_GB2312"/>
                <w:sz w:val="28"/>
                <w:szCs w:val="28"/>
              </w:rPr>
            </w:pPr>
            <w:r>
              <w:rPr>
                <w:rFonts w:ascii="仿宋_GB2312" w:eastAsia="仿宋_GB2312"/>
                <w:sz w:val="28"/>
                <w:szCs w:val="28"/>
              </w:rPr>
              <w:t>5</w:t>
            </w:r>
          </w:p>
        </w:tc>
        <w:tc>
          <w:tcPr>
            <w:tcW w:w="1475" w:type="dxa"/>
          </w:tcPr>
          <w:p w14:paraId="600220D8">
            <w:pPr>
              <w:spacing w:line="560" w:lineRule="exact"/>
              <w:rPr>
                <w:rFonts w:ascii="仿宋_GB2312" w:eastAsia="仿宋_GB2312"/>
                <w:sz w:val="28"/>
                <w:szCs w:val="28"/>
              </w:rPr>
            </w:pPr>
          </w:p>
        </w:tc>
        <w:tc>
          <w:tcPr>
            <w:tcW w:w="2180" w:type="dxa"/>
          </w:tcPr>
          <w:p w14:paraId="06BC2AE1">
            <w:pPr>
              <w:spacing w:line="560" w:lineRule="exact"/>
              <w:rPr>
                <w:rFonts w:ascii="仿宋_GB2312" w:eastAsia="仿宋_GB2312"/>
                <w:sz w:val="28"/>
                <w:szCs w:val="28"/>
              </w:rPr>
            </w:pPr>
          </w:p>
        </w:tc>
        <w:tc>
          <w:tcPr>
            <w:tcW w:w="1936" w:type="dxa"/>
          </w:tcPr>
          <w:p w14:paraId="2ED2F2C4">
            <w:pPr>
              <w:spacing w:line="560" w:lineRule="exact"/>
              <w:rPr>
                <w:rFonts w:ascii="仿宋_GB2312" w:eastAsia="仿宋_GB2312"/>
                <w:sz w:val="28"/>
                <w:szCs w:val="28"/>
              </w:rPr>
            </w:pPr>
          </w:p>
        </w:tc>
        <w:tc>
          <w:tcPr>
            <w:tcW w:w="1915" w:type="dxa"/>
          </w:tcPr>
          <w:p w14:paraId="7D231DB8">
            <w:pPr>
              <w:spacing w:line="560" w:lineRule="exact"/>
              <w:rPr>
                <w:rFonts w:ascii="仿宋_GB2312" w:eastAsia="仿宋_GB2312"/>
                <w:sz w:val="28"/>
                <w:szCs w:val="28"/>
              </w:rPr>
            </w:pPr>
          </w:p>
        </w:tc>
      </w:tr>
      <w:tr w14:paraId="19193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17" w:type="dxa"/>
          </w:tcPr>
          <w:p w14:paraId="4249B15B">
            <w:pPr>
              <w:spacing w:line="560" w:lineRule="exact"/>
              <w:jc w:val="center"/>
              <w:rPr>
                <w:rFonts w:ascii="仿宋_GB2312" w:eastAsia="仿宋_GB2312"/>
                <w:sz w:val="28"/>
                <w:szCs w:val="28"/>
              </w:rPr>
            </w:pPr>
            <w:r>
              <w:rPr>
                <w:rFonts w:ascii="仿宋_GB2312" w:eastAsia="仿宋_GB2312"/>
                <w:sz w:val="28"/>
                <w:szCs w:val="28"/>
              </w:rPr>
              <w:t>……</w:t>
            </w:r>
          </w:p>
        </w:tc>
        <w:tc>
          <w:tcPr>
            <w:tcW w:w="1475" w:type="dxa"/>
          </w:tcPr>
          <w:p w14:paraId="61D1A302">
            <w:pPr>
              <w:spacing w:line="560" w:lineRule="exact"/>
              <w:rPr>
                <w:rFonts w:ascii="仿宋_GB2312" w:eastAsia="仿宋_GB2312"/>
                <w:sz w:val="28"/>
                <w:szCs w:val="28"/>
              </w:rPr>
            </w:pPr>
          </w:p>
        </w:tc>
        <w:tc>
          <w:tcPr>
            <w:tcW w:w="2180" w:type="dxa"/>
          </w:tcPr>
          <w:p w14:paraId="570280E1">
            <w:pPr>
              <w:spacing w:line="560" w:lineRule="exact"/>
              <w:rPr>
                <w:rFonts w:ascii="仿宋_GB2312" w:eastAsia="仿宋_GB2312"/>
                <w:sz w:val="28"/>
                <w:szCs w:val="28"/>
              </w:rPr>
            </w:pPr>
          </w:p>
        </w:tc>
        <w:tc>
          <w:tcPr>
            <w:tcW w:w="1936" w:type="dxa"/>
          </w:tcPr>
          <w:p w14:paraId="53F1B8B6">
            <w:pPr>
              <w:spacing w:line="560" w:lineRule="exact"/>
              <w:rPr>
                <w:rFonts w:ascii="仿宋_GB2312" w:eastAsia="仿宋_GB2312"/>
                <w:sz w:val="28"/>
                <w:szCs w:val="28"/>
              </w:rPr>
            </w:pPr>
          </w:p>
        </w:tc>
        <w:tc>
          <w:tcPr>
            <w:tcW w:w="1915" w:type="dxa"/>
          </w:tcPr>
          <w:p w14:paraId="2C48368D">
            <w:pPr>
              <w:spacing w:line="560" w:lineRule="exact"/>
              <w:rPr>
                <w:rFonts w:ascii="仿宋_GB2312" w:eastAsia="仿宋_GB2312"/>
                <w:sz w:val="28"/>
                <w:szCs w:val="28"/>
              </w:rPr>
            </w:pPr>
          </w:p>
        </w:tc>
      </w:tr>
    </w:tbl>
    <w:p w14:paraId="119E6379">
      <w:pPr>
        <w:spacing w:line="560" w:lineRule="exact"/>
        <w:ind w:left="-708" w:leftChars="-337" w:firstLine="480" w:firstLineChars="200"/>
        <w:rPr>
          <w:rFonts w:ascii="仿宋_GB2312" w:eastAsia="仿宋_GB2312"/>
          <w:sz w:val="24"/>
          <w:szCs w:val="24"/>
        </w:rPr>
      </w:pPr>
      <w:r>
        <w:rPr>
          <w:rFonts w:hint="eastAsia" w:ascii="仿宋_GB2312" w:eastAsia="仿宋_GB2312"/>
          <w:sz w:val="24"/>
          <w:szCs w:val="24"/>
        </w:rPr>
        <w:t>注：</w:t>
      </w:r>
      <w:r>
        <w:rPr>
          <w:rFonts w:ascii="仿宋_GB2312" w:eastAsia="仿宋_GB2312"/>
          <w:sz w:val="24"/>
          <w:szCs w:val="24"/>
        </w:rPr>
        <w:t xml:space="preserve"> 1.</w:t>
      </w:r>
      <w:r>
        <w:rPr>
          <w:rFonts w:hint="eastAsia" w:ascii="仿宋_GB2312" w:eastAsia="仿宋_GB2312"/>
          <w:sz w:val="24"/>
          <w:szCs w:val="24"/>
        </w:rPr>
        <w:t>处置方负责人在备注栏注明。</w:t>
      </w:r>
    </w:p>
    <w:p w14:paraId="2B44A480">
      <w:pPr>
        <w:spacing w:line="560" w:lineRule="exact"/>
        <w:ind w:left="-708" w:leftChars="-337" w:firstLine="1068" w:firstLineChars="445"/>
        <w:rPr>
          <w:rFonts w:ascii="仿宋_GB2312" w:eastAsia="仿宋_GB2312"/>
          <w:sz w:val="24"/>
          <w:szCs w:val="24"/>
        </w:rPr>
      </w:pPr>
      <w:r>
        <w:rPr>
          <w:rFonts w:ascii="仿宋_GB2312" w:eastAsia="仿宋_GB2312"/>
          <w:sz w:val="24"/>
          <w:szCs w:val="24"/>
        </w:rPr>
        <w:t>2.</w:t>
      </w:r>
      <w:r>
        <w:rPr>
          <w:rFonts w:hint="eastAsia" w:ascii="仿宋_GB2312" w:eastAsia="仿宋_GB2312"/>
          <w:sz w:val="24"/>
          <w:szCs w:val="24"/>
        </w:rPr>
        <w:t>参与组织协调、观摩的领导和人员不在本表中填列，可通过电话等方式及时告知上交所。</w:t>
      </w:r>
    </w:p>
    <w:p w14:paraId="0F769696">
      <w:pPr>
        <w:spacing w:line="560" w:lineRule="exact"/>
        <w:ind w:firstLine="360" w:firstLineChars="150"/>
        <w:jc w:val="left"/>
        <w:rPr>
          <w:rFonts w:ascii="仿宋_GB2312" w:eastAsia="仿宋_GB2312"/>
          <w:sz w:val="24"/>
          <w:szCs w:val="24"/>
        </w:rPr>
      </w:pPr>
      <w:r>
        <w:rPr>
          <w:rFonts w:ascii="仿宋_GB2312" w:eastAsia="仿宋_GB2312"/>
          <w:sz w:val="24"/>
          <w:szCs w:val="24"/>
        </w:rPr>
        <w:t>3.</w:t>
      </w:r>
      <w:r>
        <w:rPr>
          <w:rFonts w:hint="eastAsia" w:ascii="仿宋_GB2312" w:eastAsia="仿宋_GB2312"/>
          <w:sz w:val="24"/>
          <w:szCs w:val="24"/>
        </w:rPr>
        <w:t xml:space="preserve"> 注：请处置方于处置日前</w:t>
      </w:r>
      <w:r>
        <w:rPr>
          <w:rFonts w:ascii="仿宋_GB2312" w:eastAsia="仿宋_GB2312"/>
          <w:sz w:val="24"/>
          <w:szCs w:val="24"/>
        </w:rPr>
        <w:t>2</w:t>
      </w:r>
      <w:r>
        <w:rPr>
          <w:rFonts w:hint="eastAsia" w:ascii="仿宋_GB2312" w:eastAsia="仿宋_GB2312"/>
          <w:sz w:val="24"/>
          <w:szCs w:val="24"/>
        </w:rPr>
        <w:t>个工作日内（T-2日），通过邮箱（</w:t>
      </w:r>
      <w:r>
        <w:rPr>
          <w:rFonts w:ascii="仿宋_GB2312" w:eastAsia="仿宋_GB2312"/>
          <w:sz w:val="24"/>
          <w:szCs w:val="24"/>
        </w:rPr>
        <w:t>bond</w:t>
      </w:r>
      <w:r>
        <w:rPr>
          <w:rFonts w:hint="eastAsia" w:ascii="仿宋_GB2312" w:eastAsia="仿宋_GB2312"/>
          <w:sz w:val="24"/>
          <w:szCs w:val="24"/>
          <w:lang w:val="en-US" w:eastAsia="zh-CN"/>
        </w:rPr>
        <w:t>trading</w:t>
      </w:r>
      <w:r>
        <w:rPr>
          <w:rFonts w:ascii="仿宋_GB2312" w:eastAsia="仿宋_GB2312"/>
          <w:sz w:val="24"/>
          <w:szCs w:val="24"/>
        </w:rPr>
        <w:t>@ sse.com.cn</w:t>
      </w:r>
      <w:r>
        <w:rPr>
          <w:rFonts w:hint="eastAsia" w:ascii="仿宋_GB2312" w:eastAsia="仿宋_GB2312"/>
          <w:sz w:val="24"/>
          <w:szCs w:val="24"/>
        </w:rPr>
        <w:t>）方式提供给上交所，并向上交所债券担保品处置服务联系人确认。</w:t>
      </w:r>
    </w:p>
    <w:p w14:paraId="22C48749">
      <w:pPr>
        <w:spacing w:line="560" w:lineRule="exact"/>
        <w:jc w:val="right"/>
        <w:rPr>
          <w:rFonts w:ascii="仿宋_GB2312" w:eastAsia="仿宋_GB2312"/>
          <w:sz w:val="28"/>
          <w:szCs w:val="28"/>
        </w:rPr>
      </w:pPr>
    </w:p>
    <w:p w14:paraId="4E1B66AF">
      <w:pPr>
        <w:wordWrap w:val="0"/>
        <w:spacing w:line="560" w:lineRule="exact"/>
        <w:jc w:val="right"/>
        <w:rPr>
          <w:rFonts w:ascii="仿宋_GB2312" w:eastAsia="仿宋_GB2312"/>
          <w:sz w:val="28"/>
          <w:szCs w:val="28"/>
        </w:rPr>
      </w:pPr>
      <w:r>
        <w:rPr>
          <w:rFonts w:hint="eastAsia" w:ascii="仿宋_GB2312" w:eastAsia="仿宋_GB2312"/>
          <w:sz w:val="28"/>
          <w:szCs w:val="28"/>
        </w:rPr>
        <w:t xml:space="preserve">处置方： </w:t>
      </w:r>
      <w:r>
        <w:rPr>
          <w:rFonts w:ascii="仿宋_GB2312" w:eastAsia="仿宋_GB2312"/>
          <w:sz w:val="28"/>
          <w:szCs w:val="28"/>
        </w:rPr>
        <w:t xml:space="preserve">                       </w:t>
      </w:r>
    </w:p>
    <w:p w14:paraId="7C1D44F7">
      <w:pPr>
        <w:wordWrap w:val="0"/>
        <w:spacing w:line="560" w:lineRule="exact"/>
        <w:ind w:right="560"/>
        <w:jc w:val="right"/>
        <w:rPr>
          <w:rFonts w:ascii="仿宋_GB2312" w:eastAsia="仿宋_GB2312"/>
          <w:sz w:val="28"/>
          <w:szCs w:val="28"/>
        </w:rPr>
      </w:pPr>
      <w:r>
        <w:rPr>
          <w:rFonts w:hint="eastAsia" w:ascii="仿宋_GB2312" w:eastAsia="仿宋_GB2312"/>
          <w:sz w:val="28"/>
          <w:szCs w:val="28"/>
        </w:rPr>
        <w:t>联系人：</w:t>
      </w:r>
      <w:r>
        <w:rPr>
          <w:rFonts w:ascii="仿宋_GB2312" w:eastAsia="仿宋_GB2312"/>
          <w:sz w:val="28"/>
          <w:szCs w:val="28"/>
        </w:rPr>
        <w:t xml:space="preserve">                    </w:t>
      </w:r>
    </w:p>
    <w:p w14:paraId="4E9A5D22">
      <w:pPr>
        <w:spacing w:line="560" w:lineRule="exact"/>
        <w:jc w:val="right"/>
        <w:rPr>
          <w:rFonts w:ascii="仿宋_GB2312" w:hAnsi="仿宋" w:eastAsia="仿宋_GB2312"/>
          <w:b/>
          <w:bCs/>
          <w:sz w:val="30"/>
          <w:szCs w:val="30"/>
        </w:rPr>
      </w:pPr>
      <w:r>
        <w:rPr>
          <w:rFonts w:hint="eastAsia" w:ascii="仿宋_GB2312" w:eastAsia="仿宋_GB2312"/>
          <w:sz w:val="28"/>
          <w:szCs w:val="28"/>
        </w:rPr>
        <w:t xml:space="preserve">联系电话：  </w:t>
      </w:r>
      <w:r>
        <w:rPr>
          <w:rFonts w:ascii="仿宋_GB2312" w:eastAsia="仿宋_GB2312"/>
          <w:sz w:val="28"/>
          <w:szCs w:val="28"/>
        </w:rPr>
        <w:t xml:space="preserve">      </w:t>
      </w:r>
      <w:r>
        <w:rPr>
          <w:rFonts w:hint="eastAsia" w:ascii="仿宋_GB2312" w:eastAsia="仿宋_GB2312"/>
          <w:sz w:val="28"/>
          <w:szCs w:val="28"/>
        </w:rPr>
        <w:t>年</w:t>
      </w:r>
      <w:r>
        <w:rPr>
          <w:rFonts w:ascii="仿宋_GB2312" w:eastAsia="仿宋_GB2312"/>
          <w:sz w:val="28"/>
          <w:szCs w:val="28"/>
        </w:rPr>
        <w:t xml:space="preserve">    </w:t>
      </w:r>
      <w:r>
        <w:rPr>
          <w:rFonts w:hint="eastAsia" w:ascii="仿宋_GB2312" w:eastAsia="仿宋_GB2312"/>
          <w:sz w:val="28"/>
          <w:szCs w:val="28"/>
        </w:rPr>
        <w:t>月</w:t>
      </w:r>
      <w:r>
        <w:rPr>
          <w:rFonts w:ascii="仿宋_GB2312" w:eastAsia="仿宋_GB2312"/>
          <w:sz w:val="28"/>
          <w:szCs w:val="28"/>
        </w:rPr>
        <w:t xml:space="preserve">  </w:t>
      </w: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eastAsia="仿宋_GB2312"/>
          <w:sz w:val="28"/>
          <w:szCs w:val="28"/>
        </w:rPr>
        <w:t>日</w:t>
      </w:r>
    </w:p>
    <w:p w14:paraId="437D68BF">
      <w:pPr>
        <w:widowControl/>
        <w:jc w:val="left"/>
        <w:rPr>
          <w:rFonts w:ascii="仿宋_GB2312" w:hAnsi="仿宋" w:eastAsia="仿宋_GB2312"/>
          <w:b/>
          <w:bCs/>
          <w:sz w:val="30"/>
          <w:szCs w:val="30"/>
        </w:rPr>
      </w:pPr>
      <w:r>
        <w:rPr>
          <w:rFonts w:ascii="仿宋_GB2312" w:hAnsi="仿宋" w:eastAsia="仿宋_GB2312"/>
          <w:b/>
          <w:bCs/>
          <w:sz w:val="30"/>
          <w:szCs w:val="30"/>
        </w:rPr>
        <w:br w:type="page"/>
      </w:r>
    </w:p>
    <w:p w14:paraId="0B5D2721">
      <w:pPr>
        <w:widowControl/>
        <w:jc w:val="left"/>
        <w:outlineLvl w:val="1"/>
        <w:rPr>
          <w:rFonts w:ascii="仿宋_GB2312" w:hAnsi="黑体" w:eastAsia="仿宋_GB2312"/>
          <w:b/>
          <w:sz w:val="30"/>
          <w:szCs w:val="30"/>
        </w:rPr>
      </w:pPr>
      <w:bookmarkStart w:id="4223" w:name="_Toc775020711"/>
      <w:bookmarkStart w:id="4224" w:name="_Toc1982675943"/>
      <w:bookmarkStart w:id="4225" w:name="_Toc1580380693"/>
      <w:bookmarkStart w:id="4226" w:name="_Toc937611856"/>
      <w:bookmarkStart w:id="4227" w:name="_Toc776267735"/>
      <w:bookmarkStart w:id="4228" w:name="_Toc151137120"/>
      <w:bookmarkStart w:id="4229" w:name="_Toc612420595"/>
      <w:r>
        <w:rPr>
          <w:rFonts w:hint="eastAsia" w:ascii="仿宋_GB2312" w:hAnsi="黑体" w:eastAsia="仿宋_GB2312"/>
          <w:b/>
          <w:sz w:val="30"/>
          <w:szCs w:val="30"/>
        </w:rPr>
        <w:t>附件37 上交所债券担保品处置服务联系人</w:t>
      </w:r>
      <w:bookmarkEnd w:id="4223"/>
      <w:bookmarkEnd w:id="4224"/>
      <w:bookmarkEnd w:id="4225"/>
      <w:bookmarkEnd w:id="4226"/>
      <w:bookmarkEnd w:id="4227"/>
      <w:bookmarkEnd w:id="4228"/>
      <w:bookmarkEnd w:id="4229"/>
    </w:p>
    <w:p w14:paraId="5526A2F0">
      <w:pPr>
        <w:spacing w:line="560" w:lineRule="exact"/>
        <w:jc w:val="center"/>
        <w:rPr>
          <w:rFonts w:ascii="黑体" w:hAnsi="黑体" w:eastAsia="黑体"/>
          <w:b/>
          <w:sz w:val="32"/>
          <w:szCs w:val="32"/>
        </w:rPr>
      </w:pPr>
    </w:p>
    <w:p w14:paraId="6C98C732">
      <w:pPr>
        <w:spacing w:line="560" w:lineRule="exact"/>
        <w:jc w:val="center"/>
        <w:rPr>
          <w:rFonts w:ascii="黑体" w:hAnsi="黑体" w:eastAsia="黑体"/>
          <w:b/>
          <w:sz w:val="44"/>
          <w:szCs w:val="44"/>
        </w:rPr>
      </w:pPr>
      <w:r>
        <w:rPr>
          <w:rFonts w:hint="eastAsia" w:ascii="黑体" w:hAnsi="黑体" w:eastAsia="黑体"/>
          <w:b/>
          <w:sz w:val="44"/>
          <w:szCs w:val="44"/>
        </w:rPr>
        <w:t>上交所债券担保品处置服务联系人</w:t>
      </w:r>
    </w:p>
    <w:p w14:paraId="57AE1997">
      <w:pPr>
        <w:spacing w:line="560" w:lineRule="exact"/>
        <w:rPr>
          <w:rFonts w:ascii="黑体" w:hAnsi="黑体" w:eastAsia="黑体"/>
          <w:b/>
          <w:sz w:val="32"/>
          <w:szCs w:val="32"/>
        </w:rPr>
      </w:pP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6E331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9F7FDA2">
            <w:pPr>
              <w:spacing w:line="560" w:lineRule="exact"/>
              <w:ind w:firstLine="360"/>
              <w:jc w:val="right"/>
              <w:rPr>
                <w:rFonts w:ascii="仿宋_GB2312" w:eastAsia="仿宋_GB2312"/>
                <w:sz w:val="28"/>
                <w:szCs w:val="28"/>
                <w:lang w:eastAsia="en-US" w:bidi="en-US"/>
              </w:rPr>
            </w:pPr>
            <w:r>
              <w:rPr>
                <w:rFonts w:hint="eastAsia" w:ascii="仿宋_GB2312" w:eastAsia="仿宋_GB2312"/>
                <w:sz w:val="28"/>
                <w:szCs w:val="28"/>
                <w:lang w:eastAsia="en-US" w:bidi="en-US"/>
              </w:rPr>
              <w:t>姓名</w:t>
            </w:r>
          </w:p>
        </w:tc>
        <w:tc>
          <w:tcPr>
            <w:tcW w:w="2841" w:type="dxa"/>
          </w:tcPr>
          <w:p w14:paraId="257D330F">
            <w:pPr>
              <w:spacing w:line="560" w:lineRule="exact"/>
              <w:ind w:firstLine="360"/>
              <w:jc w:val="right"/>
              <w:rPr>
                <w:rFonts w:ascii="仿宋_GB2312" w:eastAsia="仿宋_GB2312"/>
                <w:sz w:val="28"/>
                <w:szCs w:val="28"/>
                <w:lang w:eastAsia="en-US" w:bidi="en-US"/>
              </w:rPr>
            </w:pPr>
            <w:r>
              <w:rPr>
                <w:rFonts w:hint="eastAsia" w:ascii="仿宋_GB2312" w:eastAsia="仿宋_GB2312"/>
                <w:sz w:val="28"/>
                <w:szCs w:val="28"/>
                <w:lang w:eastAsia="en-US" w:bidi="en-US"/>
              </w:rPr>
              <w:t>部门</w:t>
            </w:r>
          </w:p>
        </w:tc>
        <w:tc>
          <w:tcPr>
            <w:tcW w:w="2841" w:type="dxa"/>
          </w:tcPr>
          <w:p w14:paraId="5BE1C7A3">
            <w:pPr>
              <w:spacing w:line="560" w:lineRule="exact"/>
              <w:ind w:firstLine="360"/>
              <w:jc w:val="right"/>
              <w:rPr>
                <w:rFonts w:ascii="仿宋_GB2312" w:eastAsia="仿宋_GB2312"/>
                <w:sz w:val="28"/>
                <w:szCs w:val="28"/>
                <w:lang w:eastAsia="en-US" w:bidi="en-US"/>
              </w:rPr>
            </w:pPr>
            <w:r>
              <w:rPr>
                <w:rFonts w:hint="eastAsia" w:ascii="仿宋_GB2312" w:eastAsia="仿宋_GB2312"/>
                <w:sz w:val="28"/>
                <w:szCs w:val="28"/>
                <w:lang w:eastAsia="en-US" w:bidi="en-US"/>
              </w:rPr>
              <w:t>联系电话</w:t>
            </w:r>
          </w:p>
        </w:tc>
      </w:tr>
      <w:tr w14:paraId="13DE5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04B399B">
            <w:pPr>
              <w:spacing w:line="560" w:lineRule="exact"/>
              <w:ind w:firstLine="360"/>
              <w:jc w:val="right"/>
              <w:rPr>
                <w:rFonts w:hint="eastAsia" w:ascii="仿宋_GB2312" w:eastAsia="仿宋_GB2312"/>
                <w:sz w:val="28"/>
                <w:szCs w:val="28"/>
                <w:highlight w:val="none"/>
                <w:lang w:eastAsia="zh-CN" w:bidi="en-US"/>
              </w:rPr>
            </w:pPr>
            <w:r>
              <w:rPr>
                <w:rFonts w:hint="eastAsia" w:ascii="仿宋_GB2312" w:eastAsia="仿宋_GB2312"/>
                <w:sz w:val="28"/>
                <w:szCs w:val="28"/>
                <w:highlight w:val="none"/>
                <w:lang w:eastAsia="zh-CN" w:bidi="en-US"/>
              </w:rPr>
              <w:t>周洁</w:t>
            </w:r>
          </w:p>
        </w:tc>
        <w:tc>
          <w:tcPr>
            <w:tcW w:w="2841" w:type="dxa"/>
          </w:tcPr>
          <w:p w14:paraId="36FC670E">
            <w:pPr>
              <w:ind w:firstLine="360"/>
              <w:jc w:val="right"/>
              <w:rPr>
                <w:highlight w:val="none"/>
                <w:lang w:eastAsia="en-US" w:bidi="en-US"/>
              </w:rPr>
            </w:pPr>
            <w:r>
              <w:rPr>
                <w:rFonts w:hint="eastAsia" w:ascii="仿宋_GB2312" w:eastAsia="仿宋_GB2312"/>
                <w:sz w:val="28"/>
                <w:szCs w:val="28"/>
                <w:highlight w:val="none"/>
                <w:lang w:eastAsia="en-US" w:bidi="en-US"/>
              </w:rPr>
              <w:t>债券业务</w:t>
            </w:r>
            <w:r>
              <w:rPr>
                <w:rFonts w:hint="eastAsia" w:ascii="仿宋_GB2312" w:eastAsia="仿宋_GB2312"/>
                <w:sz w:val="28"/>
                <w:szCs w:val="28"/>
                <w:highlight w:val="none"/>
                <w:lang w:eastAsia="zh-CN" w:bidi="en-US"/>
              </w:rPr>
              <w:t>中心</w:t>
            </w:r>
          </w:p>
        </w:tc>
        <w:tc>
          <w:tcPr>
            <w:tcW w:w="2841" w:type="dxa"/>
          </w:tcPr>
          <w:p w14:paraId="6D890CCB">
            <w:pPr>
              <w:spacing w:line="560" w:lineRule="exact"/>
              <w:ind w:firstLine="360"/>
              <w:jc w:val="right"/>
              <w:rPr>
                <w:rFonts w:hint="default" w:ascii="仿宋_GB2312" w:eastAsia="仿宋_GB2312"/>
                <w:sz w:val="28"/>
                <w:szCs w:val="28"/>
                <w:highlight w:val="none"/>
                <w:lang w:eastAsia="zh-CN" w:bidi="en-US"/>
              </w:rPr>
            </w:pPr>
            <w:r>
              <w:rPr>
                <w:rFonts w:ascii="仿宋_GB2312" w:eastAsia="仿宋_GB2312"/>
                <w:sz w:val="30"/>
                <w:szCs w:val="30"/>
                <w:highlight w:val="none"/>
                <w:lang w:eastAsia="en-US" w:bidi="en-US"/>
              </w:rPr>
              <w:t>021-</w:t>
            </w:r>
            <w:r>
              <w:rPr>
                <w:rFonts w:hint="eastAsia" w:ascii="仿宋_GB2312" w:eastAsia="仿宋_GB2312"/>
                <w:sz w:val="30"/>
                <w:szCs w:val="30"/>
                <w:highlight w:val="none"/>
                <w:lang w:eastAsia="en-US" w:bidi="en-US"/>
              </w:rPr>
              <w:t>6860</w:t>
            </w:r>
            <w:r>
              <w:rPr>
                <w:rFonts w:hint="eastAsia" w:ascii="仿宋_GB2312" w:eastAsia="仿宋_GB2312"/>
                <w:sz w:val="30"/>
                <w:szCs w:val="30"/>
                <w:highlight w:val="none"/>
                <w:lang w:eastAsia="zh-CN" w:bidi="en-US"/>
              </w:rPr>
              <w:t>1</w:t>
            </w:r>
            <w:r>
              <w:rPr>
                <w:rFonts w:hint="eastAsia" w:ascii="仿宋_GB2312" w:eastAsia="仿宋_GB2312"/>
                <w:sz w:val="30"/>
                <w:szCs w:val="30"/>
                <w:highlight w:val="none"/>
                <w:lang w:val="en-US" w:eastAsia="zh-CN" w:bidi="en-US"/>
              </w:rPr>
              <w:t>952</w:t>
            </w:r>
          </w:p>
        </w:tc>
      </w:tr>
    </w:tbl>
    <w:p w14:paraId="04AFD9B1">
      <w:pPr>
        <w:spacing w:line="560" w:lineRule="exact"/>
        <w:jc w:val="center"/>
        <w:rPr>
          <w:rFonts w:ascii="黑体" w:hAnsi="黑体" w:eastAsia="黑体"/>
          <w:b/>
          <w:sz w:val="32"/>
          <w:szCs w:val="32"/>
        </w:rPr>
      </w:pPr>
    </w:p>
    <w:p w14:paraId="57DC0C7F">
      <w:pPr>
        <w:widowControl/>
        <w:jc w:val="left"/>
        <w:rPr>
          <w:rFonts w:ascii="仿宋_GB2312" w:hAnsi="仿宋" w:eastAsia="仿宋_GB2312"/>
          <w:b/>
          <w:bCs/>
          <w:sz w:val="30"/>
          <w:szCs w:val="30"/>
        </w:rPr>
      </w:pPr>
      <w:r>
        <w:rPr>
          <w:rFonts w:ascii="仿宋_GB2312" w:hAnsi="仿宋" w:eastAsia="仿宋_GB2312"/>
          <w:b/>
          <w:bCs/>
          <w:sz w:val="30"/>
          <w:szCs w:val="30"/>
        </w:rPr>
        <w:br w:type="page"/>
      </w:r>
    </w:p>
    <w:p w14:paraId="1BBD5F4A">
      <w:pPr>
        <w:widowControl/>
        <w:jc w:val="left"/>
        <w:outlineLvl w:val="1"/>
        <w:rPr>
          <w:rFonts w:ascii="仿宋_GB2312" w:hAnsi="黑体" w:eastAsia="仿宋_GB2312"/>
          <w:b/>
          <w:sz w:val="30"/>
          <w:szCs w:val="30"/>
        </w:rPr>
      </w:pPr>
      <w:bookmarkStart w:id="4230" w:name="_Toc151137121"/>
      <w:bookmarkStart w:id="4231" w:name="_Toc1316642671"/>
      <w:bookmarkStart w:id="4232" w:name="_Toc349258769"/>
      <w:bookmarkStart w:id="4233" w:name="_Toc1117941329"/>
      <w:bookmarkStart w:id="4234" w:name="_Toc76720569"/>
      <w:bookmarkStart w:id="4235" w:name="_Toc976057818"/>
      <w:bookmarkStart w:id="4236" w:name="_Toc2069259081"/>
      <w:r>
        <w:rPr>
          <w:rFonts w:hint="eastAsia" w:ascii="仿宋_GB2312" w:hAnsi="黑体" w:eastAsia="仿宋_GB2312"/>
          <w:b/>
          <w:sz w:val="30"/>
          <w:szCs w:val="30"/>
        </w:rPr>
        <w:t>附件38 处置结果公告（样张）</w:t>
      </w:r>
      <w:bookmarkEnd w:id="4230"/>
      <w:bookmarkEnd w:id="4231"/>
      <w:bookmarkEnd w:id="4232"/>
      <w:bookmarkEnd w:id="4233"/>
      <w:bookmarkEnd w:id="4234"/>
      <w:bookmarkEnd w:id="4235"/>
      <w:bookmarkEnd w:id="4236"/>
    </w:p>
    <w:p w14:paraId="7874DF22">
      <w:pPr>
        <w:spacing w:line="560" w:lineRule="exact"/>
        <w:jc w:val="center"/>
        <w:rPr>
          <w:rFonts w:ascii="黑体" w:hAnsi="黑体" w:eastAsia="黑体"/>
          <w:b/>
          <w:sz w:val="44"/>
          <w:szCs w:val="44"/>
        </w:rPr>
      </w:pPr>
    </w:p>
    <w:p w14:paraId="285BA773">
      <w:pPr>
        <w:widowControl/>
        <w:spacing w:before="62" w:after="100" w:afterAutospacing="1" w:line="600" w:lineRule="exact"/>
        <w:ind w:firstLine="2209" w:firstLineChars="500"/>
        <w:jc w:val="left"/>
        <w:rPr>
          <w:rFonts w:ascii="仿宋_GB2312" w:hAnsi="宋体" w:eastAsia="仿宋_GB2312" w:cs="宋体"/>
          <w:b/>
          <w:color w:val="000000" w:themeColor="text1"/>
          <w:sz w:val="44"/>
          <w:szCs w:val="44"/>
          <w14:textFill>
            <w14:solidFill>
              <w14:schemeClr w14:val="tx1"/>
            </w14:solidFill>
          </w14:textFill>
        </w:rPr>
      </w:pPr>
      <w:r>
        <w:rPr>
          <w:rFonts w:hint="eastAsia" w:ascii="黑体" w:hAnsi="黑体" w:eastAsia="黑体"/>
          <w:b/>
          <w:color w:val="000000" w:themeColor="text1"/>
          <w:sz w:val="44"/>
          <w:szCs w:val="44"/>
          <w14:textFill>
            <w14:solidFill>
              <w14:schemeClr w14:val="tx1"/>
            </w14:solidFill>
          </w14:textFill>
        </w:rPr>
        <w:t>债券担保品处置结果公告</w:t>
      </w:r>
    </w:p>
    <w:p w14:paraId="5E2C1CBE">
      <w:pPr>
        <w:spacing w:before="100" w:beforeAutospacing="1" w:after="100" w:afterAutospacing="1" w:line="560" w:lineRule="exact"/>
        <w:ind w:firstLine="600" w:firstLineChars="200"/>
        <w:rPr>
          <w:rFonts w:ascii="仿宋_GB2312" w:hAnsi="宋体" w:eastAsia="仿宋_GB2312" w:cs="宋体"/>
          <w:color w:val="000000" w:themeColor="text1"/>
          <w:sz w:val="30"/>
          <w:szCs w:val="30"/>
          <w14:textFill>
            <w14:solidFill>
              <w14:schemeClr w14:val="tx1"/>
            </w14:solidFill>
          </w14:textFill>
        </w:rPr>
      </w:pPr>
      <w:r>
        <w:rPr>
          <w:rFonts w:hint="eastAsia" w:ascii="仿宋_GB2312" w:hAnsi="宋体" w:eastAsia="仿宋_GB2312" w:cs="宋体"/>
          <w:color w:val="000000" w:themeColor="text1"/>
          <w:sz w:val="30"/>
          <w:szCs w:val="30"/>
          <w14:textFill>
            <w14:solidFill>
              <w14:schemeClr w14:val="tx1"/>
            </w14:solidFill>
          </w14:textFill>
        </w:rPr>
        <w:t>我司于</w:t>
      </w:r>
      <w:r>
        <w:rPr>
          <w:rFonts w:ascii="仿宋_GB2312" w:hAnsi="宋体" w:eastAsia="仿宋_GB2312" w:cs="宋体"/>
          <w:color w:val="000000" w:themeColor="text1"/>
          <w:sz w:val="30"/>
          <w:szCs w:val="30"/>
          <w14:textFill>
            <w14:solidFill>
              <w14:schemeClr w14:val="tx1"/>
            </w14:solidFill>
          </w14:textFill>
        </w:rPr>
        <w:t>XX年XX月XX日在上海证券交易所债券担保品处置平台进行XX公司XX年（X）期债券担保品处置，本次计划处置规模XX万元，实际处置规模XX万元，处置所得款项XX万元。</w:t>
      </w:r>
    </w:p>
    <w:p w14:paraId="57D69A39">
      <w:pPr>
        <w:pStyle w:val="92"/>
        <w:spacing w:before="62" w:after="100" w:afterAutospacing="1" w:line="252" w:lineRule="atLeast"/>
        <w:ind w:left="1103" w:leftChars="525" w:firstLine="600"/>
        <w:rPr>
          <w:rFonts w:ascii="仿宋_GB2312" w:hAnsi="宋体" w:eastAsia="仿宋_GB2312" w:cs="宋体"/>
          <w:color w:val="auto"/>
          <w:sz w:val="30"/>
          <w:szCs w:val="30"/>
          <w:lang w:eastAsia="zh-CN"/>
        </w:rPr>
      </w:pPr>
    </w:p>
    <w:p w14:paraId="6AF1B81D">
      <w:pPr>
        <w:widowControl/>
        <w:spacing w:before="62" w:after="100" w:afterAutospacing="1" w:line="252" w:lineRule="atLeast"/>
        <w:ind w:firstLine="6150"/>
        <w:jc w:val="right"/>
        <w:rPr>
          <w:rFonts w:ascii="宋体" w:hAnsi="宋体" w:cs="宋体"/>
          <w:color w:val="000000" w:themeColor="text1"/>
          <w:kern w:val="0"/>
          <w14:textFill>
            <w14:solidFill>
              <w14:schemeClr w14:val="tx1"/>
            </w14:solidFill>
          </w14:textFill>
        </w:rPr>
      </w:pPr>
      <w:r>
        <w:rPr>
          <w:rFonts w:ascii="仿宋_GB2312" w:hAnsi="宋体" w:eastAsia="仿宋_GB2312" w:cs="宋体"/>
          <w:color w:val="000000" w:themeColor="text1"/>
          <w:kern w:val="0"/>
          <w:sz w:val="30"/>
          <w:szCs w:val="30"/>
          <w14:textFill>
            <w14:solidFill>
              <w14:schemeClr w14:val="tx1"/>
            </w14:solidFill>
          </w14:textFill>
        </w:rPr>
        <w:t>XX公司</w:t>
      </w:r>
    </w:p>
    <w:p w14:paraId="1511E16B">
      <w:pPr>
        <w:widowControl/>
        <w:jc w:val="right"/>
        <w:rPr>
          <w:rFonts w:ascii="仿宋_GB2312" w:hAnsi="仿宋" w:eastAsia="仿宋_GB2312"/>
          <w:b/>
          <w:bCs/>
          <w:sz w:val="30"/>
          <w:szCs w:val="30"/>
        </w:rPr>
      </w:pPr>
      <w:r>
        <w:rPr>
          <w:rFonts w:ascii="仿宋_GB2312" w:hAnsi="宋体" w:eastAsia="仿宋_GB2312" w:cs="宋体"/>
          <w:color w:val="000000" w:themeColor="text1"/>
          <w:kern w:val="0"/>
          <w:sz w:val="30"/>
          <w:szCs w:val="30"/>
          <w14:textFill>
            <w14:solidFill>
              <w14:schemeClr w14:val="tx1"/>
            </w14:solidFill>
          </w14:textFill>
        </w:rPr>
        <w:t>XX年XX月XX日</w:t>
      </w:r>
    </w:p>
    <w:p w14:paraId="5B2CD95C">
      <w:pPr>
        <w:widowControl/>
        <w:jc w:val="left"/>
        <w:rPr>
          <w:rFonts w:ascii="仿宋_GB2312" w:hAnsi="仿宋" w:eastAsia="仿宋_GB2312"/>
          <w:b/>
          <w:bCs/>
          <w:sz w:val="30"/>
          <w:szCs w:val="30"/>
        </w:rPr>
      </w:pPr>
      <w:r>
        <w:rPr>
          <w:rFonts w:ascii="仿宋_GB2312" w:hAnsi="仿宋" w:eastAsia="仿宋_GB2312"/>
          <w:b/>
          <w:bCs/>
          <w:sz w:val="30"/>
          <w:szCs w:val="30"/>
        </w:rPr>
        <w:br w:type="page"/>
      </w:r>
    </w:p>
    <w:p w14:paraId="31670C05">
      <w:pPr>
        <w:widowControl/>
        <w:jc w:val="left"/>
        <w:outlineLvl w:val="1"/>
        <w:rPr>
          <w:rFonts w:ascii="仿宋_GB2312" w:hAnsi="黑体" w:eastAsia="仿宋_GB2312"/>
          <w:b/>
          <w:sz w:val="30"/>
          <w:szCs w:val="30"/>
        </w:rPr>
      </w:pPr>
      <w:bookmarkStart w:id="4237" w:name="_Toc1927599364"/>
      <w:bookmarkStart w:id="4238" w:name="_Toc151137122"/>
      <w:bookmarkStart w:id="4239" w:name="_Toc793593764"/>
      <w:bookmarkStart w:id="4240" w:name="_Toc1958466796"/>
      <w:bookmarkStart w:id="4241" w:name="_Toc1150409574"/>
      <w:bookmarkStart w:id="4242" w:name="_Toc368381613"/>
      <w:bookmarkStart w:id="4243" w:name="_Toc201577526"/>
      <w:r>
        <w:rPr>
          <w:rFonts w:hint="eastAsia" w:ascii="仿宋_GB2312" w:hAnsi="黑体" w:eastAsia="仿宋_GB2312"/>
          <w:b/>
          <w:sz w:val="30"/>
          <w:szCs w:val="30"/>
        </w:rPr>
        <w:t>附件39 债券交易情况说明表</w:t>
      </w:r>
      <w:bookmarkEnd w:id="4187"/>
      <w:bookmarkEnd w:id="4188"/>
      <w:bookmarkEnd w:id="4237"/>
      <w:bookmarkEnd w:id="4238"/>
      <w:bookmarkEnd w:id="4239"/>
      <w:bookmarkEnd w:id="4240"/>
      <w:bookmarkEnd w:id="4241"/>
      <w:bookmarkEnd w:id="4242"/>
      <w:bookmarkEnd w:id="4243"/>
    </w:p>
    <w:p w14:paraId="1700EB9F">
      <w:pPr>
        <w:snapToGrid w:val="0"/>
        <w:spacing w:line="600" w:lineRule="exact"/>
        <w:jc w:val="center"/>
        <w:rPr>
          <w:rFonts w:ascii="黑体" w:hAnsi="黑体" w:eastAsia="黑体" w:cs="黑体"/>
          <w:b/>
          <w:sz w:val="44"/>
          <w:szCs w:val="44"/>
        </w:rPr>
      </w:pPr>
      <w:r>
        <w:rPr>
          <w:rFonts w:hint="eastAsia" w:ascii="黑体" w:hAnsi="黑体" w:eastAsia="黑体" w:cs="黑体"/>
          <w:b/>
          <w:sz w:val="44"/>
          <w:szCs w:val="44"/>
        </w:rPr>
        <w:t>债券交易情况说明表</w:t>
      </w:r>
    </w:p>
    <w:p w14:paraId="0DEC1A14">
      <w:pPr>
        <w:spacing w:line="600" w:lineRule="exact"/>
        <w:jc w:val="left"/>
        <w:rPr>
          <w:rFonts w:ascii="Calibri" w:hAnsi="Calibri" w:eastAsia="仿宋_GB2312"/>
          <w:sz w:val="24"/>
          <w:szCs w:val="22"/>
        </w:rPr>
      </w:pPr>
      <w:r>
        <w:rPr>
          <w:rFonts w:hint="eastAsia" w:ascii="Calibri" w:hAnsi="Calibri" w:eastAsia="仿宋_GB2312"/>
          <w:sz w:val="24"/>
          <w:szCs w:val="22"/>
        </w:rPr>
        <w:t>机构名称：                              填表人：</w:t>
      </w:r>
    </w:p>
    <w:p w14:paraId="0520B798">
      <w:pPr>
        <w:spacing w:line="600" w:lineRule="exact"/>
        <w:jc w:val="left"/>
        <w:rPr>
          <w:rFonts w:ascii="Calibri" w:hAnsi="Calibri" w:eastAsia="仿宋_GB2312"/>
          <w:sz w:val="24"/>
          <w:szCs w:val="22"/>
        </w:rPr>
      </w:pPr>
      <w:r>
        <w:rPr>
          <w:rFonts w:hint="eastAsia" w:ascii="Calibri" w:hAnsi="Calibri" w:eastAsia="仿宋_GB2312"/>
          <w:sz w:val="24"/>
          <w:szCs w:val="22"/>
        </w:rPr>
        <w:t>联系电话：                              填表日期：</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7"/>
        <w:gridCol w:w="2097"/>
        <w:gridCol w:w="1967"/>
        <w:gridCol w:w="2671"/>
      </w:tblGrid>
      <w:tr w14:paraId="7274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09" w:type="dxa"/>
            <w:vAlign w:val="center"/>
          </w:tcPr>
          <w:p w14:paraId="0A03B417">
            <w:pPr>
              <w:rPr>
                <w:rFonts w:ascii="仿宋_GB2312" w:hAnsi="Calibri" w:eastAsia="仿宋_GB2312"/>
                <w:sz w:val="24"/>
                <w:szCs w:val="22"/>
              </w:rPr>
            </w:pPr>
            <w:r>
              <w:rPr>
                <w:rFonts w:hint="eastAsia" w:ascii="仿宋_GB2312" w:hAnsi="Calibri" w:eastAsia="仿宋_GB2312"/>
                <w:sz w:val="24"/>
                <w:szCs w:val="22"/>
              </w:rPr>
              <w:t>债券名称</w:t>
            </w:r>
          </w:p>
        </w:tc>
        <w:tc>
          <w:tcPr>
            <w:tcW w:w="2127" w:type="dxa"/>
            <w:vAlign w:val="center"/>
          </w:tcPr>
          <w:p w14:paraId="79933645">
            <w:pPr>
              <w:ind w:firstLine="480"/>
              <w:jc w:val="center"/>
              <w:rPr>
                <w:rFonts w:ascii="仿宋_GB2312" w:hAnsi="Calibri" w:eastAsia="仿宋_GB2312"/>
                <w:sz w:val="24"/>
                <w:szCs w:val="22"/>
              </w:rPr>
            </w:pPr>
          </w:p>
        </w:tc>
        <w:tc>
          <w:tcPr>
            <w:tcW w:w="1984" w:type="dxa"/>
            <w:vAlign w:val="center"/>
          </w:tcPr>
          <w:p w14:paraId="17A743A4">
            <w:pPr>
              <w:rPr>
                <w:rFonts w:ascii="仿宋_GB2312" w:hAnsi="Calibri" w:eastAsia="仿宋_GB2312"/>
                <w:sz w:val="24"/>
                <w:szCs w:val="22"/>
              </w:rPr>
            </w:pPr>
            <w:r>
              <w:rPr>
                <w:rFonts w:hint="eastAsia" w:ascii="仿宋_GB2312" w:hAnsi="Calibri" w:eastAsia="仿宋_GB2312"/>
                <w:sz w:val="24"/>
                <w:szCs w:val="22"/>
              </w:rPr>
              <w:t>债券代码</w:t>
            </w:r>
          </w:p>
        </w:tc>
        <w:tc>
          <w:tcPr>
            <w:tcW w:w="2696" w:type="dxa"/>
          </w:tcPr>
          <w:p w14:paraId="0727DF74">
            <w:pPr>
              <w:ind w:firstLine="480"/>
              <w:jc w:val="left"/>
              <w:rPr>
                <w:rFonts w:ascii="仿宋_GB2312" w:hAnsi="Calibri" w:eastAsia="仿宋_GB2312"/>
                <w:sz w:val="24"/>
                <w:szCs w:val="22"/>
              </w:rPr>
            </w:pPr>
          </w:p>
        </w:tc>
      </w:tr>
      <w:tr w14:paraId="3C34D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09" w:type="dxa"/>
            <w:vAlign w:val="center"/>
          </w:tcPr>
          <w:p w14:paraId="2561F486">
            <w:pPr>
              <w:rPr>
                <w:rFonts w:ascii="仿宋_GB2312" w:hAnsi="Calibri" w:eastAsia="仿宋_GB2312"/>
                <w:sz w:val="24"/>
                <w:szCs w:val="22"/>
              </w:rPr>
            </w:pPr>
            <w:r>
              <w:rPr>
                <w:rFonts w:hint="eastAsia" w:ascii="仿宋_GB2312" w:hAnsi="Calibri" w:eastAsia="仿宋_GB2312"/>
                <w:sz w:val="24"/>
                <w:szCs w:val="22"/>
              </w:rPr>
              <w:t>账户名称</w:t>
            </w:r>
          </w:p>
        </w:tc>
        <w:tc>
          <w:tcPr>
            <w:tcW w:w="2127" w:type="dxa"/>
            <w:vAlign w:val="center"/>
          </w:tcPr>
          <w:p w14:paraId="42976708">
            <w:pPr>
              <w:rPr>
                <w:rFonts w:ascii="仿宋_GB2312" w:hAnsi="Calibri" w:eastAsia="仿宋_GB2312"/>
                <w:sz w:val="24"/>
                <w:szCs w:val="22"/>
              </w:rPr>
            </w:pPr>
          </w:p>
        </w:tc>
        <w:tc>
          <w:tcPr>
            <w:tcW w:w="1984" w:type="dxa"/>
            <w:vAlign w:val="center"/>
          </w:tcPr>
          <w:p w14:paraId="7ACE342B">
            <w:pPr>
              <w:rPr>
                <w:rFonts w:ascii="仿宋_GB2312" w:hAnsi="Calibri" w:eastAsia="仿宋_GB2312"/>
                <w:sz w:val="24"/>
                <w:szCs w:val="22"/>
              </w:rPr>
            </w:pPr>
            <w:r>
              <w:rPr>
                <w:rFonts w:hint="eastAsia" w:ascii="仿宋_GB2312" w:hAnsi="Calibri" w:eastAsia="仿宋_GB2312"/>
                <w:sz w:val="24"/>
                <w:szCs w:val="22"/>
              </w:rPr>
              <w:t>证券账号</w:t>
            </w:r>
          </w:p>
        </w:tc>
        <w:tc>
          <w:tcPr>
            <w:tcW w:w="2696" w:type="dxa"/>
          </w:tcPr>
          <w:p w14:paraId="52AC41C1">
            <w:pPr>
              <w:rPr>
                <w:rFonts w:ascii="仿宋_GB2312" w:hAnsi="Calibri" w:eastAsia="仿宋_GB2312"/>
                <w:sz w:val="24"/>
                <w:szCs w:val="22"/>
              </w:rPr>
            </w:pPr>
          </w:p>
        </w:tc>
      </w:tr>
      <w:tr w14:paraId="13735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09" w:type="dxa"/>
            <w:vAlign w:val="center"/>
          </w:tcPr>
          <w:p w14:paraId="5D416DDA">
            <w:pPr>
              <w:rPr>
                <w:rFonts w:ascii="仿宋_GB2312" w:hAnsi="Calibri" w:eastAsia="仿宋_GB2312"/>
                <w:sz w:val="24"/>
                <w:szCs w:val="22"/>
              </w:rPr>
            </w:pPr>
            <w:r>
              <w:rPr>
                <w:rFonts w:hint="eastAsia" w:ascii="仿宋_GB2312" w:hAnsi="Calibri" w:eastAsia="仿宋_GB2312"/>
                <w:sz w:val="24"/>
                <w:szCs w:val="22"/>
              </w:rPr>
              <w:t>委托/申报时间</w:t>
            </w:r>
          </w:p>
        </w:tc>
        <w:tc>
          <w:tcPr>
            <w:tcW w:w="2127" w:type="dxa"/>
            <w:vAlign w:val="center"/>
          </w:tcPr>
          <w:p w14:paraId="2B24D481">
            <w:pPr>
              <w:rPr>
                <w:rFonts w:ascii="仿宋_GB2312" w:hAnsi="Calibri" w:eastAsia="仿宋_GB2312"/>
                <w:sz w:val="24"/>
                <w:szCs w:val="22"/>
              </w:rPr>
            </w:pPr>
          </w:p>
        </w:tc>
        <w:tc>
          <w:tcPr>
            <w:tcW w:w="1984" w:type="dxa"/>
            <w:vAlign w:val="center"/>
          </w:tcPr>
          <w:p w14:paraId="4BCAF481">
            <w:pPr>
              <w:rPr>
                <w:rFonts w:ascii="仿宋_GB2312" w:hAnsi="Calibri" w:eastAsia="仿宋_GB2312"/>
                <w:sz w:val="24"/>
                <w:szCs w:val="22"/>
              </w:rPr>
            </w:pPr>
            <w:r>
              <w:rPr>
                <w:rFonts w:hint="eastAsia" w:ascii="仿宋_GB2312" w:hAnsi="Calibri" w:eastAsia="仿宋_GB2312"/>
                <w:sz w:val="24"/>
                <w:szCs w:val="22"/>
              </w:rPr>
              <w:t>委托/申报方向</w:t>
            </w:r>
          </w:p>
        </w:tc>
        <w:tc>
          <w:tcPr>
            <w:tcW w:w="2696" w:type="dxa"/>
          </w:tcPr>
          <w:p w14:paraId="13F99E81">
            <w:pPr>
              <w:rPr>
                <w:rFonts w:ascii="仿宋_GB2312" w:hAnsi="Calibri" w:eastAsia="仿宋_GB2312"/>
                <w:sz w:val="24"/>
                <w:szCs w:val="22"/>
              </w:rPr>
            </w:pPr>
          </w:p>
        </w:tc>
      </w:tr>
      <w:tr w14:paraId="21981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09" w:type="dxa"/>
            <w:vAlign w:val="center"/>
          </w:tcPr>
          <w:p w14:paraId="68D4A7CE">
            <w:pPr>
              <w:rPr>
                <w:rFonts w:ascii="仿宋_GB2312" w:hAnsi="Calibri" w:eastAsia="仿宋_GB2312"/>
                <w:sz w:val="24"/>
                <w:szCs w:val="22"/>
              </w:rPr>
            </w:pPr>
            <w:r>
              <w:rPr>
                <w:rFonts w:hint="eastAsia" w:ascii="仿宋_GB2312" w:hAnsi="Calibri" w:eastAsia="仿宋_GB2312"/>
                <w:sz w:val="24"/>
                <w:szCs w:val="22"/>
              </w:rPr>
              <w:t>委托/申报数量</w:t>
            </w:r>
          </w:p>
        </w:tc>
        <w:tc>
          <w:tcPr>
            <w:tcW w:w="2127" w:type="dxa"/>
            <w:vAlign w:val="center"/>
          </w:tcPr>
          <w:p w14:paraId="312E410E">
            <w:pPr>
              <w:rPr>
                <w:rFonts w:ascii="仿宋_GB2312" w:hAnsi="Calibri" w:eastAsia="仿宋_GB2312"/>
                <w:sz w:val="24"/>
                <w:szCs w:val="22"/>
              </w:rPr>
            </w:pPr>
          </w:p>
        </w:tc>
        <w:tc>
          <w:tcPr>
            <w:tcW w:w="1984" w:type="dxa"/>
            <w:vAlign w:val="center"/>
          </w:tcPr>
          <w:p w14:paraId="76B19D18">
            <w:pPr>
              <w:rPr>
                <w:rFonts w:ascii="仿宋_GB2312" w:hAnsi="Calibri" w:eastAsia="仿宋_GB2312"/>
                <w:sz w:val="24"/>
                <w:szCs w:val="22"/>
              </w:rPr>
            </w:pPr>
            <w:r>
              <w:rPr>
                <w:rFonts w:hint="eastAsia" w:ascii="仿宋_GB2312" w:hAnsi="Calibri" w:eastAsia="仿宋_GB2312"/>
                <w:sz w:val="24"/>
                <w:szCs w:val="22"/>
              </w:rPr>
              <w:t>委托/申报价格</w:t>
            </w:r>
          </w:p>
        </w:tc>
        <w:tc>
          <w:tcPr>
            <w:tcW w:w="2696" w:type="dxa"/>
          </w:tcPr>
          <w:p w14:paraId="7062DFD2">
            <w:pPr>
              <w:rPr>
                <w:rFonts w:ascii="仿宋_GB2312" w:hAnsi="Calibri" w:eastAsia="仿宋_GB2312"/>
                <w:sz w:val="24"/>
                <w:szCs w:val="22"/>
              </w:rPr>
            </w:pPr>
          </w:p>
        </w:tc>
      </w:tr>
      <w:tr w14:paraId="50A99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09" w:type="dxa"/>
            <w:vAlign w:val="center"/>
          </w:tcPr>
          <w:p w14:paraId="0FF7FB41">
            <w:pPr>
              <w:rPr>
                <w:rFonts w:ascii="仿宋_GB2312" w:hAnsi="Calibri" w:eastAsia="仿宋_GB2312"/>
                <w:sz w:val="24"/>
                <w:szCs w:val="22"/>
              </w:rPr>
            </w:pPr>
            <w:r>
              <w:rPr>
                <w:rFonts w:hint="eastAsia" w:ascii="仿宋_GB2312" w:hAnsi="Calibri" w:eastAsia="仿宋_GB2312"/>
                <w:sz w:val="24"/>
                <w:szCs w:val="22"/>
              </w:rPr>
              <w:t>成交时间</w:t>
            </w:r>
          </w:p>
        </w:tc>
        <w:tc>
          <w:tcPr>
            <w:tcW w:w="2127" w:type="dxa"/>
            <w:vAlign w:val="center"/>
          </w:tcPr>
          <w:p w14:paraId="6AF223AC">
            <w:pPr>
              <w:rPr>
                <w:rFonts w:ascii="仿宋_GB2312" w:hAnsi="Calibri" w:eastAsia="仿宋_GB2312"/>
                <w:sz w:val="24"/>
                <w:szCs w:val="22"/>
              </w:rPr>
            </w:pPr>
          </w:p>
        </w:tc>
        <w:tc>
          <w:tcPr>
            <w:tcW w:w="1984" w:type="dxa"/>
            <w:vAlign w:val="center"/>
          </w:tcPr>
          <w:p w14:paraId="0CF61CAF">
            <w:pPr>
              <w:rPr>
                <w:rFonts w:ascii="仿宋_GB2312" w:hAnsi="Calibri" w:eastAsia="仿宋_GB2312"/>
                <w:sz w:val="24"/>
                <w:szCs w:val="22"/>
              </w:rPr>
            </w:pPr>
            <w:r>
              <w:rPr>
                <w:rFonts w:hint="eastAsia" w:ascii="仿宋_GB2312" w:hAnsi="Calibri" w:eastAsia="仿宋_GB2312"/>
                <w:sz w:val="24"/>
                <w:szCs w:val="22"/>
              </w:rPr>
              <w:t>成交数量</w:t>
            </w:r>
          </w:p>
        </w:tc>
        <w:tc>
          <w:tcPr>
            <w:tcW w:w="2696" w:type="dxa"/>
          </w:tcPr>
          <w:p w14:paraId="5858F8BB">
            <w:pPr>
              <w:rPr>
                <w:rFonts w:ascii="仿宋_GB2312" w:hAnsi="Calibri" w:eastAsia="仿宋_GB2312"/>
                <w:sz w:val="24"/>
                <w:szCs w:val="22"/>
              </w:rPr>
            </w:pPr>
          </w:p>
        </w:tc>
      </w:tr>
      <w:tr w14:paraId="61A5B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09" w:type="dxa"/>
            <w:vAlign w:val="center"/>
          </w:tcPr>
          <w:p w14:paraId="5036B8DB">
            <w:pPr>
              <w:rPr>
                <w:rFonts w:ascii="仿宋_GB2312" w:hAnsi="Calibri" w:eastAsia="仿宋_GB2312"/>
                <w:sz w:val="24"/>
                <w:szCs w:val="22"/>
              </w:rPr>
            </w:pPr>
            <w:r>
              <w:rPr>
                <w:rFonts w:hint="eastAsia" w:ascii="仿宋_GB2312" w:hAnsi="Calibri" w:eastAsia="仿宋_GB2312"/>
                <w:sz w:val="24"/>
                <w:szCs w:val="22"/>
              </w:rPr>
              <w:t>成交价格</w:t>
            </w:r>
          </w:p>
        </w:tc>
        <w:tc>
          <w:tcPr>
            <w:tcW w:w="2127" w:type="dxa"/>
            <w:vAlign w:val="center"/>
          </w:tcPr>
          <w:p w14:paraId="11877FB7">
            <w:pPr>
              <w:rPr>
                <w:rFonts w:ascii="仿宋_GB2312" w:hAnsi="Calibri" w:eastAsia="仿宋_GB2312"/>
                <w:sz w:val="24"/>
                <w:szCs w:val="22"/>
              </w:rPr>
            </w:pPr>
          </w:p>
        </w:tc>
        <w:tc>
          <w:tcPr>
            <w:tcW w:w="1984" w:type="dxa"/>
            <w:vAlign w:val="center"/>
          </w:tcPr>
          <w:p w14:paraId="2018068C">
            <w:pPr>
              <w:rPr>
                <w:rFonts w:ascii="仿宋_GB2312" w:hAnsi="Calibri" w:eastAsia="仿宋_GB2312"/>
                <w:sz w:val="24"/>
                <w:szCs w:val="22"/>
              </w:rPr>
            </w:pPr>
            <w:r>
              <w:rPr>
                <w:rFonts w:hint="eastAsia" w:ascii="仿宋_GB2312" w:hAnsi="Calibri" w:eastAsia="仿宋_GB2312"/>
                <w:sz w:val="24"/>
                <w:szCs w:val="22"/>
              </w:rPr>
              <w:t>成交价格与比较基准（中债估值/ 中证估值）偏离（%）</w:t>
            </w:r>
          </w:p>
        </w:tc>
        <w:tc>
          <w:tcPr>
            <w:tcW w:w="2696" w:type="dxa"/>
          </w:tcPr>
          <w:p w14:paraId="3F5C908C">
            <w:pPr>
              <w:rPr>
                <w:rFonts w:ascii="仿宋_GB2312" w:hAnsi="Calibri" w:eastAsia="仿宋_GB2312"/>
                <w:sz w:val="24"/>
                <w:szCs w:val="22"/>
              </w:rPr>
            </w:pPr>
            <w:r>
              <w:rPr>
                <w:rFonts w:hint="eastAsia" w:ascii="仿宋_GB2312" w:hAnsi="Calibri" w:eastAsia="仿宋_GB2312"/>
                <w:sz w:val="24"/>
                <w:szCs w:val="22"/>
              </w:rPr>
              <w:t>向上偏离：  %</w:t>
            </w:r>
          </w:p>
          <w:p w14:paraId="60C37C0B">
            <w:pPr>
              <w:rPr>
                <w:rFonts w:ascii="仿宋_GB2312" w:hAnsi="Calibri" w:eastAsia="仿宋_GB2312"/>
                <w:sz w:val="24"/>
                <w:szCs w:val="22"/>
              </w:rPr>
            </w:pPr>
            <w:r>
              <w:rPr>
                <w:rFonts w:hint="eastAsia" w:ascii="仿宋_GB2312" w:hAnsi="Calibri" w:eastAsia="仿宋_GB2312"/>
                <w:sz w:val="24"/>
                <w:szCs w:val="22"/>
              </w:rPr>
              <w:t>向下偏离：  %</w:t>
            </w:r>
          </w:p>
        </w:tc>
      </w:tr>
      <w:tr w14:paraId="0C4DB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4" w:hRule="atLeast"/>
        </w:trPr>
        <w:tc>
          <w:tcPr>
            <w:tcW w:w="1809" w:type="dxa"/>
            <w:vAlign w:val="center"/>
          </w:tcPr>
          <w:p w14:paraId="7D2D349F">
            <w:pPr>
              <w:rPr>
                <w:rFonts w:ascii="仿宋_GB2312" w:hAnsi="Calibri" w:eastAsia="仿宋_GB2312"/>
                <w:sz w:val="24"/>
                <w:szCs w:val="22"/>
              </w:rPr>
            </w:pPr>
            <w:r>
              <w:rPr>
                <w:rFonts w:hint="eastAsia" w:ascii="仿宋_GB2312" w:hAnsi="Calibri" w:eastAsia="仿宋_GB2312"/>
                <w:sz w:val="24"/>
                <w:szCs w:val="22"/>
              </w:rPr>
              <w:t>交易情况</w:t>
            </w:r>
          </w:p>
          <w:p w14:paraId="3F4E9A8E">
            <w:pPr>
              <w:rPr>
                <w:rFonts w:ascii="仿宋_GB2312" w:hAnsi="Calibri" w:eastAsia="仿宋_GB2312"/>
                <w:sz w:val="24"/>
                <w:szCs w:val="22"/>
              </w:rPr>
            </w:pPr>
            <w:r>
              <w:rPr>
                <w:rFonts w:hint="eastAsia" w:ascii="仿宋_GB2312" w:hAnsi="Calibri" w:eastAsia="仿宋_GB2312"/>
                <w:sz w:val="24"/>
                <w:szCs w:val="22"/>
              </w:rPr>
              <w:t>及原因</w:t>
            </w:r>
          </w:p>
        </w:tc>
        <w:tc>
          <w:tcPr>
            <w:tcW w:w="6807" w:type="dxa"/>
            <w:gridSpan w:val="3"/>
            <w:vAlign w:val="center"/>
          </w:tcPr>
          <w:p w14:paraId="5C5A1173">
            <w:pPr>
              <w:rPr>
                <w:rFonts w:ascii="仿宋_GB2312" w:hAnsi="Calibri" w:eastAsia="仿宋_GB2312"/>
                <w:sz w:val="24"/>
                <w:szCs w:val="22"/>
              </w:rPr>
            </w:pPr>
          </w:p>
        </w:tc>
      </w:tr>
    </w:tbl>
    <w:p w14:paraId="135B682A">
      <w:pPr>
        <w:spacing w:line="600" w:lineRule="exact"/>
        <w:ind w:firstLine="480"/>
        <w:jc w:val="left"/>
        <w:rPr>
          <w:rFonts w:ascii="仿宋_GB2312" w:hAnsi="仿宋" w:eastAsia="仿宋_GB2312"/>
          <w:sz w:val="24"/>
          <w:szCs w:val="30"/>
        </w:rPr>
      </w:pPr>
      <w:r>
        <w:rPr>
          <w:rFonts w:hint="eastAsia" w:ascii="仿宋_GB2312" w:hAnsi="仿宋" w:eastAsia="仿宋_GB2312"/>
          <w:sz w:val="24"/>
          <w:szCs w:val="30"/>
        </w:rPr>
        <w:t>说明：成交价格同时偏离中债估值和中证估值超过2%（含）的，债券交易参与人应填报本表。债券交易参与人在填写本表时应明确所使用的比较基准。</w:t>
      </w:r>
    </w:p>
    <w:p w14:paraId="5697BBD4">
      <w:pPr>
        <w:spacing w:line="600" w:lineRule="exact"/>
        <w:ind w:firstLine="720" w:firstLineChars="300"/>
        <w:jc w:val="left"/>
        <w:rPr>
          <w:rFonts w:ascii="仿宋_GB2312" w:hAnsi="仿宋" w:eastAsia="仿宋_GB2312"/>
          <w:sz w:val="24"/>
          <w:szCs w:val="30"/>
        </w:rPr>
      </w:pPr>
      <w:r>
        <w:rPr>
          <w:rFonts w:hint="eastAsia" w:ascii="仿宋_GB2312" w:hAnsi="仿宋" w:eastAsia="仿宋_GB2312"/>
          <w:sz w:val="24"/>
          <w:szCs w:val="30"/>
        </w:rPr>
        <w:t xml:space="preserve">                                   机构名称（盖章）： </w:t>
      </w:r>
    </w:p>
    <w:p w14:paraId="4129A21E">
      <w:pPr>
        <w:spacing w:line="600" w:lineRule="exact"/>
        <w:ind w:left="360" w:firstLine="480"/>
        <w:jc w:val="right"/>
        <w:rPr>
          <w:rFonts w:hint="eastAsia" w:ascii="仿宋_GB2312" w:hAnsi="仿宋" w:eastAsia="仿宋_GB2312"/>
          <w:sz w:val="24"/>
          <w:szCs w:val="30"/>
        </w:rPr>
      </w:pPr>
      <w:r>
        <w:rPr>
          <w:rFonts w:hint="eastAsia" w:ascii="仿宋_GB2312" w:hAnsi="仿宋" w:eastAsia="仿宋_GB2312"/>
          <w:sz w:val="24"/>
          <w:szCs w:val="30"/>
        </w:rPr>
        <w:t xml:space="preserve">                                               年  月  日</w:t>
      </w:r>
    </w:p>
    <w:p w14:paraId="021B90E8">
      <w:pPr>
        <w:spacing w:line="600" w:lineRule="exact"/>
        <w:ind w:left="360" w:firstLine="480"/>
        <w:jc w:val="right"/>
        <w:rPr>
          <w:rFonts w:hint="eastAsia" w:ascii="仿宋_GB2312" w:hAnsi="仿宋" w:eastAsia="仿宋_GB2312"/>
          <w:sz w:val="24"/>
          <w:szCs w:val="30"/>
        </w:rPr>
      </w:pPr>
    </w:p>
    <w:p w14:paraId="2F303E92">
      <w:pPr>
        <w:spacing w:line="600" w:lineRule="exact"/>
        <w:ind w:left="360" w:firstLine="480"/>
        <w:jc w:val="right"/>
        <w:rPr>
          <w:rFonts w:hint="eastAsia" w:ascii="仿宋_GB2312" w:hAnsi="仿宋" w:eastAsia="仿宋_GB2312"/>
          <w:sz w:val="24"/>
          <w:szCs w:val="30"/>
        </w:rPr>
      </w:pPr>
    </w:p>
    <w:p w14:paraId="4EADA11E">
      <w:pPr>
        <w:spacing w:line="600" w:lineRule="exact"/>
        <w:ind w:left="360" w:firstLine="480"/>
        <w:jc w:val="center"/>
        <w:rPr>
          <w:rFonts w:hint="eastAsia" w:ascii="仿宋_GB2312" w:hAnsi="仿宋" w:eastAsia="仿宋_GB2312"/>
          <w:sz w:val="24"/>
          <w:szCs w:val="30"/>
        </w:rPr>
      </w:pPr>
    </w:p>
    <w:p w14:paraId="5BD6A5A3">
      <w:pPr>
        <w:widowControl/>
        <w:jc w:val="left"/>
        <w:outlineLvl w:val="1"/>
        <w:rPr>
          <w:rFonts w:ascii="仿宋_GB2312" w:hAnsi="黑体" w:eastAsia="仿宋_GB2312"/>
          <w:b/>
          <w:sz w:val="30"/>
          <w:szCs w:val="30"/>
        </w:rPr>
      </w:pPr>
      <w:bookmarkStart w:id="4244" w:name="_Toc895506355"/>
      <w:bookmarkStart w:id="4245" w:name="_Toc467253446"/>
      <w:bookmarkStart w:id="4246" w:name="_Toc32461"/>
      <w:bookmarkStart w:id="4247" w:name="_Toc1365939225"/>
      <w:bookmarkStart w:id="4248" w:name="_Toc1217922061"/>
      <w:bookmarkStart w:id="4249" w:name="_Toc952659401"/>
      <w:bookmarkStart w:id="4250" w:name="_Toc136356077"/>
      <w:bookmarkStart w:id="4251" w:name="_Toc4068"/>
      <w:bookmarkStart w:id="4252" w:name="_Toc409462621"/>
      <w:bookmarkStart w:id="4253" w:name="_Toc15002"/>
      <w:bookmarkStart w:id="4254" w:name="_Toc25769"/>
      <w:bookmarkStart w:id="4255" w:name="_Toc1301"/>
      <w:bookmarkStart w:id="4256" w:name="_Toc2649"/>
      <w:bookmarkStart w:id="4257" w:name="_Toc8157"/>
      <w:bookmarkStart w:id="4258" w:name="_Toc22887"/>
      <w:r>
        <w:rPr>
          <w:rFonts w:hint="eastAsia" w:ascii="仿宋_GB2312" w:hAnsi="黑体" w:eastAsia="仿宋_GB2312"/>
          <w:b/>
          <w:sz w:val="30"/>
          <w:szCs w:val="30"/>
        </w:rPr>
        <w:t>附件</w:t>
      </w:r>
      <w:r>
        <w:rPr>
          <w:rFonts w:hint="eastAsia" w:ascii="仿宋_GB2312" w:hAnsi="黑体" w:eastAsia="仿宋_GB2312"/>
          <w:b/>
          <w:sz w:val="30"/>
          <w:szCs w:val="30"/>
          <w:lang w:val="en-US" w:eastAsia="zh-CN"/>
        </w:rPr>
        <w:t>40</w:t>
      </w:r>
      <w:r>
        <w:rPr>
          <w:rFonts w:hint="eastAsia" w:ascii="仿宋_GB2312" w:hAnsi="黑体" w:eastAsia="仿宋_GB2312"/>
          <w:b/>
          <w:sz w:val="30"/>
          <w:szCs w:val="30"/>
        </w:rPr>
        <w:t xml:space="preserve"> 上海证券交易所债券转让确认申请表</w:t>
      </w:r>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p>
    <w:p w14:paraId="32A963E7">
      <w:pPr>
        <w:pStyle w:val="18"/>
        <w:spacing w:line="300" w:lineRule="auto"/>
        <w:ind w:firstLine="1606" w:firstLineChars="500"/>
        <w:jc w:val="center"/>
        <w:rPr>
          <w:rFonts w:hint="eastAsia" w:asciiTheme="minorEastAsia" w:hAnsiTheme="minorEastAsia" w:eastAsiaTheme="minorEastAsia" w:cstheme="minorEastAsia"/>
          <w:b/>
          <w:bCs/>
          <w:sz w:val="32"/>
          <w:szCs w:val="32"/>
        </w:rPr>
      </w:pPr>
      <w:bookmarkStart w:id="4259" w:name="_Toc432669539"/>
      <w:r>
        <w:rPr>
          <w:rFonts w:hint="eastAsia" w:asciiTheme="minorEastAsia" w:hAnsiTheme="minorEastAsia" w:eastAsiaTheme="minorEastAsia" w:cstheme="minorEastAsia"/>
          <w:b/>
          <w:bCs/>
          <w:sz w:val="32"/>
          <w:szCs w:val="32"/>
        </w:rPr>
        <w:t>上海证券交易所债券转让确认申请表</w:t>
      </w:r>
      <w:bookmarkEnd w:id="4259"/>
    </w:p>
    <w:p w14:paraId="5D5D865E">
      <w:pPr>
        <w:wordWrap w:val="0"/>
        <w:jc w:val="right"/>
        <w:rPr>
          <w:rFonts w:ascii="黑体" w:eastAsia="黑体"/>
          <w:bCs/>
          <w:szCs w:val="21"/>
        </w:rPr>
      </w:pPr>
      <w:r>
        <w:rPr>
          <w:rFonts w:ascii="仿宋_GB2312" w:eastAsia="仿宋_GB2312"/>
          <w:bCs/>
          <w:szCs w:val="21"/>
        </w:rPr>
        <w:t xml:space="preserve">  </w:t>
      </w:r>
      <w:r>
        <w:rPr>
          <w:rFonts w:hint="eastAsia" w:ascii="黑体" w:eastAsia="黑体"/>
          <w:bCs/>
          <w:szCs w:val="21"/>
        </w:rPr>
        <w:t>上证债转确字[20  ]第</w:t>
      </w:r>
      <w:r>
        <w:rPr>
          <w:rFonts w:ascii="黑体" w:eastAsia="黑体"/>
          <w:bCs/>
          <w:szCs w:val="21"/>
        </w:rPr>
        <w:t xml:space="preserve">       </w:t>
      </w:r>
      <w:r>
        <w:rPr>
          <w:rFonts w:hint="eastAsia" w:ascii="黑体" w:eastAsia="黑体"/>
          <w:bCs/>
          <w:szCs w:val="21"/>
        </w:rPr>
        <w:t>号</w:t>
      </w:r>
    </w:p>
    <w:tbl>
      <w:tblPr>
        <w:tblStyle w:val="43"/>
        <w:tblW w:w="9900" w:type="dxa"/>
        <w:tblInd w:w="-61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9"/>
        <w:gridCol w:w="471"/>
        <w:gridCol w:w="728"/>
        <w:gridCol w:w="642"/>
        <w:gridCol w:w="849"/>
        <w:gridCol w:w="131"/>
        <w:gridCol w:w="1787"/>
        <w:gridCol w:w="426"/>
        <w:gridCol w:w="9"/>
        <w:gridCol w:w="801"/>
        <w:gridCol w:w="577"/>
        <w:gridCol w:w="158"/>
        <w:gridCol w:w="408"/>
        <w:gridCol w:w="15"/>
        <w:gridCol w:w="18"/>
        <w:gridCol w:w="1741"/>
      </w:tblGrid>
      <w:tr w14:paraId="677D46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80" w:hRule="atLeast"/>
        </w:trPr>
        <w:tc>
          <w:tcPr>
            <w:tcW w:w="1139" w:type="dxa"/>
            <w:tcBorders>
              <w:top w:val="single" w:color="auto" w:sz="4" w:space="0"/>
              <w:left w:val="single" w:color="auto" w:sz="4" w:space="0"/>
              <w:bottom w:val="single" w:color="auto" w:sz="4" w:space="0"/>
              <w:right w:val="single" w:color="auto" w:sz="4" w:space="0"/>
            </w:tcBorders>
            <w:noWrap w:val="0"/>
            <w:textDirection w:val="tbRlV"/>
            <w:vAlign w:val="center"/>
          </w:tcPr>
          <w:p w14:paraId="6BDE1CCC">
            <w:pPr>
              <w:adjustRightInd w:val="0"/>
              <w:snapToGrid w:val="0"/>
              <w:ind w:left="113" w:right="113"/>
              <w:jc w:val="center"/>
              <w:rPr>
                <w:rFonts w:hint="eastAsia" w:ascii="黑体" w:eastAsia="黑体"/>
                <w:b/>
              </w:rPr>
            </w:pPr>
            <w:r>
              <w:rPr>
                <w:rFonts w:hint="eastAsia" w:ascii="黑体" w:eastAsia="黑体"/>
                <w:b/>
              </w:rPr>
              <w:t>类型</w:t>
            </w:r>
          </w:p>
          <w:p w14:paraId="559430F0">
            <w:pPr>
              <w:adjustRightInd w:val="0"/>
              <w:snapToGrid w:val="0"/>
              <w:ind w:left="113" w:right="113"/>
              <w:jc w:val="center"/>
              <w:rPr>
                <w:rFonts w:ascii="黑体" w:eastAsia="黑体"/>
                <w:b/>
              </w:rPr>
            </w:pPr>
            <w:r>
              <w:rPr>
                <w:rFonts w:hint="eastAsia" w:ascii="黑体" w:eastAsia="黑体"/>
                <w:b/>
              </w:rPr>
              <w:t>过户</w:t>
            </w:r>
          </w:p>
        </w:tc>
        <w:tc>
          <w:tcPr>
            <w:tcW w:w="1199" w:type="dxa"/>
            <w:gridSpan w:val="2"/>
            <w:tcBorders>
              <w:top w:val="single" w:color="auto" w:sz="4" w:space="0"/>
              <w:left w:val="single" w:color="auto" w:sz="4" w:space="0"/>
              <w:bottom w:val="single" w:color="auto" w:sz="4" w:space="0"/>
              <w:right w:val="single" w:color="auto" w:sz="4" w:space="0"/>
            </w:tcBorders>
            <w:noWrap w:val="0"/>
            <w:vAlign w:val="center"/>
          </w:tcPr>
          <w:p w14:paraId="0EF36351">
            <w:pPr>
              <w:adjustRightInd w:val="0"/>
              <w:snapToGrid w:val="0"/>
              <w:rPr>
                <w:rFonts w:hint="eastAsia" w:ascii="仿宋_GB2312" w:eastAsia="仿宋_GB2312"/>
                <w:bCs/>
                <w:szCs w:val="21"/>
              </w:rPr>
            </w:pPr>
            <w:r>
              <w:rPr>
                <w:rFonts w:hint="eastAsia" w:ascii="仿宋_GB2312" w:hAnsi="宋体" w:eastAsia="仿宋_GB2312"/>
                <w:bCs/>
                <w:szCs w:val="21"/>
              </w:rPr>
              <w:t>过户事由</w:t>
            </w:r>
          </w:p>
        </w:tc>
        <w:tc>
          <w:tcPr>
            <w:tcW w:w="7562" w:type="dxa"/>
            <w:gridSpan w:val="13"/>
            <w:tcBorders>
              <w:top w:val="single" w:color="auto" w:sz="4" w:space="0"/>
              <w:left w:val="single" w:color="auto" w:sz="4" w:space="0"/>
              <w:bottom w:val="single" w:color="auto" w:sz="4" w:space="0"/>
              <w:right w:val="single" w:color="auto" w:sz="4" w:space="0"/>
            </w:tcBorders>
            <w:noWrap w:val="0"/>
            <w:vAlign w:val="center"/>
          </w:tcPr>
          <w:p w14:paraId="58B8AA5E">
            <w:pPr>
              <w:adjustRightInd w:val="0"/>
              <w:snapToGrid w:val="0"/>
              <w:jc w:val="left"/>
              <w:rPr>
                <w:rFonts w:hint="eastAsia" w:ascii="仿宋_GB2312" w:eastAsia="仿宋_GB2312"/>
                <w:bCs/>
                <w:szCs w:val="21"/>
              </w:rPr>
            </w:pPr>
            <w:r>
              <w:rPr>
                <w:rFonts w:ascii="仿宋_GB2312" w:hAnsi="宋体" w:eastAsia="仿宋_GB2312"/>
                <w:bCs/>
                <w:szCs w:val="21"/>
              </w:rPr>
              <w:sym w:font="Wingdings 2" w:char="0051"/>
            </w:r>
            <w:r>
              <w:rPr>
                <w:rFonts w:ascii="仿宋_GB2312" w:hAnsi="宋体" w:eastAsia="仿宋_GB2312"/>
                <w:bCs/>
                <w:szCs w:val="21"/>
              </w:rPr>
              <w:t xml:space="preserve"> </w:t>
            </w:r>
            <w:r>
              <w:rPr>
                <w:rFonts w:hint="eastAsia" w:ascii="仿宋_GB2312" w:hAnsi="宋体" w:eastAsia="仿宋_GB2312"/>
                <w:bCs/>
                <w:szCs w:val="21"/>
              </w:rPr>
              <w:t xml:space="preserve">债券暂停上市  </w:t>
            </w:r>
            <w:r>
              <w:rPr>
                <w:rFonts w:hint="eastAsia" w:ascii="仿宋_GB2312" w:hAnsi="宋体" w:eastAsia="仿宋_GB2312"/>
                <w:bCs/>
                <w:szCs w:val="21"/>
                <w:lang w:eastAsia="zh-CN"/>
              </w:rPr>
              <w:sym w:font="Wingdings 2" w:char="00A3"/>
            </w:r>
            <w:r>
              <w:rPr>
                <w:rFonts w:ascii="仿宋_GB2312" w:hAnsi="宋体" w:eastAsia="仿宋_GB2312"/>
                <w:bCs/>
                <w:szCs w:val="21"/>
              </w:rPr>
              <w:t xml:space="preserve"> </w:t>
            </w:r>
            <w:r>
              <w:rPr>
                <w:rFonts w:hint="eastAsia" w:ascii="仿宋_GB2312" w:hAnsi="宋体" w:eastAsia="仿宋_GB2312"/>
                <w:bCs/>
                <w:szCs w:val="21"/>
              </w:rPr>
              <w:t>回售转售</w:t>
            </w:r>
          </w:p>
          <w:p w14:paraId="59B92F83">
            <w:pPr>
              <w:adjustRightInd w:val="0"/>
              <w:snapToGrid w:val="0"/>
              <w:ind w:left="2520" w:hanging="2520" w:hangingChars="1200"/>
              <w:jc w:val="left"/>
              <w:rPr>
                <w:rFonts w:hint="eastAsia" w:ascii="仿宋_GB2312" w:eastAsia="仿宋_GB2312"/>
                <w:bCs/>
                <w:szCs w:val="21"/>
              </w:rPr>
            </w:pPr>
            <w:r>
              <w:rPr>
                <w:rFonts w:hint="eastAsia" w:ascii="仿宋_GB2312" w:hAnsi="宋体" w:eastAsia="仿宋_GB2312"/>
                <w:bCs/>
                <w:szCs w:val="21"/>
              </w:rPr>
              <w:sym w:font="Wingdings 2" w:char="0051"/>
            </w:r>
            <w:r>
              <w:rPr>
                <w:rFonts w:hint="eastAsia" w:ascii="仿宋_GB2312" w:hAnsi="宋体" w:eastAsia="仿宋_GB2312"/>
                <w:bCs/>
                <w:szCs w:val="21"/>
                <w:lang w:val="en-US" w:eastAsia="zh-CN"/>
              </w:rPr>
              <w:t xml:space="preserve"> </w:t>
            </w:r>
            <w:r>
              <w:rPr>
                <w:rFonts w:hint="eastAsia" w:ascii="仿宋_GB2312" w:hAnsi="宋体" w:eastAsia="仿宋_GB2312"/>
                <w:bCs/>
                <w:szCs w:val="21"/>
              </w:rPr>
              <w:t xml:space="preserve">初始登记有误  </w:t>
            </w:r>
            <w:r>
              <w:rPr>
                <w:rFonts w:hint="eastAsia" w:ascii="仿宋_GB2312" w:hAnsi="宋体" w:eastAsia="仿宋_GB2312"/>
                <w:bCs/>
                <w:szCs w:val="21"/>
                <w:lang w:eastAsia="zh-CN"/>
              </w:rPr>
              <w:sym w:font="Wingdings 2" w:char="00A3"/>
            </w:r>
            <w:r>
              <w:rPr>
                <w:rFonts w:ascii="仿宋_GB2312" w:hAnsi="宋体" w:eastAsia="仿宋_GB2312"/>
                <w:bCs/>
                <w:szCs w:val="21"/>
              </w:rPr>
              <w:t xml:space="preserve"> </w:t>
            </w:r>
            <w:r>
              <w:rPr>
                <w:rFonts w:hint="eastAsia" w:ascii="仿宋_GB2312" w:hAnsi="宋体" w:eastAsia="仿宋_GB2312"/>
                <w:bCs/>
                <w:szCs w:val="21"/>
              </w:rPr>
              <w:t xml:space="preserve">交易通道限制 </w:t>
            </w:r>
          </w:p>
        </w:tc>
      </w:tr>
      <w:tr w14:paraId="409390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9" w:hRule="atLeast"/>
        </w:trPr>
        <w:tc>
          <w:tcPr>
            <w:tcW w:w="1139" w:type="dxa"/>
            <w:vMerge w:val="restart"/>
            <w:tcBorders>
              <w:top w:val="single" w:color="auto" w:sz="4" w:space="0"/>
              <w:left w:val="single" w:color="auto" w:sz="4" w:space="0"/>
              <w:right w:val="single" w:color="auto" w:sz="4" w:space="0"/>
            </w:tcBorders>
            <w:noWrap w:val="0"/>
            <w:textDirection w:val="tbRlV"/>
            <w:vAlign w:val="center"/>
          </w:tcPr>
          <w:p w14:paraId="21EE9168">
            <w:pPr>
              <w:adjustRightInd w:val="0"/>
              <w:snapToGrid w:val="0"/>
              <w:ind w:left="113" w:right="113"/>
              <w:jc w:val="center"/>
              <w:rPr>
                <w:rFonts w:ascii="黑体" w:eastAsia="黑体"/>
                <w:b/>
                <w:szCs w:val="21"/>
              </w:rPr>
            </w:pPr>
            <w:r>
              <w:rPr>
                <w:rFonts w:hint="eastAsia" w:ascii="黑体" w:eastAsia="黑体"/>
                <w:b/>
              </w:rPr>
              <w:t>申请人基本情况</w:t>
            </w:r>
          </w:p>
        </w:tc>
        <w:tc>
          <w:tcPr>
            <w:tcW w:w="471" w:type="dxa"/>
            <w:vMerge w:val="restart"/>
            <w:tcBorders>
              <w:top w:val="single" w:color="auto" w:sz="4" w:space="0"/>
              <w:left w:val="single" w:color="auto" w:sz="4" w:space="0"/>
              <w:right w:val="single" w:color="auto" w:sz="4" w:space="0"/>
            </w:tcBorders>
            <w:noWrap w:val="0"/>
            <w:textDirection w:val="tbRlV"/>
            <w:vAlign w:val="center"/>
          </w:tcPr>
          <w:p w14:paraId="28BFF287">
            <w:pPr>
              <w:adjustRightInd w:val="0"/>
              <w:snapToGrid w:val="0"/>
              <w:jc w:val="center"/>
              <w:rPr>
                <w:rFonts w:ascii="仿宋_GB2312" w:eastAsia="仿宋_GB2312"/>
                <w:bCs/>
                <w:szCs w:val="21"/>
              </w:rPr>
            </w:pPr>
            <w:r>
              <w:rPr>
                <w:rFonts w:hint="eastAsia" w:ascii="仿宋_GB2312" w:eastAsia="仿宋_GB2312"/>
                <w:bCs/>
                <w:szCs w:val="21"/>
              </w:rPr>
              <w:t>转 出 方</w:t>
            </w:r>
          </w:p>
        </w:tc>
        <w:tc>
          <w:tcPr>
            <w:tcW w:w="1370" w:type="dxa"/>
            <w:gridSpan w:val="2"/>
            <w:tcBorders>
              <w:top w:val="single" w:color="auto" w:sz="4" w:space="0"/>
              <w:left w:val="single" w:color="auto" w:sz="4" w:space="0"/>
              <w:bottom w:val="single" w:color="auto" w:sz="4" w:space="0"/>
              <w:right w:val="single" w:color="auto" w:sz="4" w:space="0"/>
            </w:tcBorders>
            <w:noWrap w:val="0"/>
            <w:vAlign w:val="center"/>
          </w:tcPr>
          <w:p w14:paraId="259E7F5C">
            <w:pPr>
              <w:adjustRightInd w:val="0"/>
              <w:snapToGrid w:val="0"/>
              <w:jc w:val="left"/>
              <w:rPr>
                <w:rFonts w:ascii="仿宋_GB2312" w:hAnsi="宋体" w:eastAsia="仿宋_GB2312"/>
                <w:bCs/>
                <w:szCs w:val="21"/>
              </w:rPr>
            </w:pPr>
            <w:r>
              <w:rPr>
                <w:rFonts w:hint="eastAsia" w:ascii="仿宋_GB2312" w:hAnsi="宋体" w:eastAsia="仿宋_GB2312"/>
                <w:bCs/>
                <w:szCs w:val="21"/>
              </w:rPr>
              <w:t>转出方名称</w:t>
            </w:r>
          </w:p>
        </w:tc>
        <w:tc>
          <w:tcPr>
            <w:tcW w:w="6920" w:type="dxa"/>
            <w:gridSpan w:val="12"/>
            <w:tcBorders>
              <w:top w:val="single" w:color="auto" w:sz="4" w:space="0"/>
              <w:left w:val="single" w:color="auto" w:sz="4" w:space="0"/>
              <w:bottom w:val="single" w:color="auto" w:sz="4" w:space="0"/>
              <w:right w:val="single" w:color="auto" w:sz="4" w:space="0"/>
            </w:tcBorders>
            <w:noWrap w:val="0"/>
            <w:vAlign w:val="center"/>
          </w:tcPr>
          <w:p w14:paraId="5B34B241">
            <w:pPr>
              <w:adjustRightInd w:val="0"/>
              <w:snapToGrid w:val="0"/>
              <w:rPr>
                <w:rFonts w:ascii="仿宋_GB2312" w:hAnsi="宋体" w:eastAsia="仿宋_GB2312"/>
                <w:bCs/>
                <w:szCs w:val="21"/>
              </w:rPr>
            </w:pPr>
          </w:p>
        </w:tc>
      </w:tr>
      <w:tr w14:paraId="4DD358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3" w:hRule="atLeast"/>
        </w:trPr>
        <w:tc>
          <w:tcPr>
            <w:tcW w:w="1139" w:type="dxa"/>
            <w:vMerge w:val="continue"/>
            <w:tcBorders>
              <w:left w:val="single" w:color="auto" w:sz="4" w:space="0"/>
              <w:right w:val="single" w:color="auto" w:sz="4" w:space="0"/>
            </w:tcBorders>
            <w:noWrap w:val="0"/>
            <w:vAlign w:val="center"/>
          </w:tcPr>
          <w:p w14:paraId="2D94B4EF">
            <w:pPr>
              <w:widowControl/>
              <w:jc w:val="left"/>
              <w:rPr>
                <w:rFonts w:ascii="仿宋_GB2312" w:eastAsia="仿宋_GB2312"/>
                <w:b/>
                <w:szCs w:val="21"/>
              </w:rPr>
            </w:pPr>
          </w:p>
        </w:tc>
        <w:tc>
          <w:tcPr>
            <w:tcW w:w="471" w:type="dxa"/>
            <w:vMerge w:val="continue"/>
            <w:tcBorders>
              <w:left w:val="single" w:color="auto" w:sz="4" w:space="0"/>
              <w:right w:val="single" w:color="auto" w:sz="4" w:space="0"/>
            </w:tcBorders>
            <w:noWrap w:val="0"/>
            <w:vAlign w:val="center"/>
          </w:tcPr>
          <w:p w14:paraId="035FEB0A">
            <w:pPr>
              <w:widowControl/>
              <w:jc w:val="left"/>
              <w:rPr>
                <w:rFonts w:ascii="仿宋_GB2312" w:eastAsia="仿宋_GB2312"/>
                <w:bCs/>
                <w:szCs w:val="21"/>
              </w:rPr>
            </w:pPr>
          </w:p>
        </w:tc>
        <w:tc>
          <w:tcPr>
            <w:tcW w:w="2219" w:type="dxa"/>
            <w:gridSpan w:val="3"/>
            <w:tcBorders>
              <w:top w:val="single" w:color="auto" w:sz="4" w:space="0"/>
              <w:left w:val="single" w:color="auto" w:sz="4" w:space="0"/>
              <w:bottom w:val="single" w:color="auto" w:sz="4" w:space="0"/>
              <w:right w:val="single" w:color="auto" w:sz="4" w:space="0"/>
            </w:tcBorders>
            <w:noWrap w:val="0"/>
            <w:vAlign w:val="center"/>
          </w:tcPr>
          <w:p w14:paraId="66B98CBB">
            <w:pPr>
              <w:adjustRightInd w:val="0"/>
              <w:snapToGrid w:val="0"/>
              <w:rPr>
                <w:rFonts w:ascii="仿宋_GB2312" w:eastAsia="仿宋_GB2312"/>
                <w:bCs/>
                <w:szCs w:val="21"/>
              </w:rPr>
            </w:pPr>
            <w:r>
              <w:rPr>
                <w:rFonts w:hint="eastAsia" w:ascii="仿宋_GB2312" w:eastAsia="仿宋_GB2312"/>
                <w:bCs/>
                <w:szCs w:val="21"/>
              </w:rPr>
              <w:t>注册号码/身份证号码</w:t>
            </w:r>
          </w:p>
        </w:tc>
        <w:tc>
          <w:tcPr>
            <w:tcW w:w="2344" w:type="dxa"/>
            <w:gridSpan w:val="3"/>
            <w:tcBorders>
              <w:top w:val="single" w:color="auto" w:sz="4" w:space="0"/>
              <w:left w:val="single" w:color="auto" w:sz="4" w:space="0"/>
              <w:bottom w:val="single" w:color="auto" w:sz="4" w:space="0"/>
              <w:right w:val="single" w:color="auto" w:sz="4" w:space="0"/>
            </w:tcBorders>
            <w:noWrap w:val="0"/>
            <w:vAlign w:val="center"/>
          </w:tcPr>
          <w:p w14:paraId="1718136F">
            <w:pPr>
              <w:adjustRightInd w:val="0"/>
              <w:snapToGrid w:val="0"/>
              <w:rPr>
                <w:rFonts w:ascii="仿宋_GB2312" w:eastAsia="仿宋_GB2312"/>
                <w:bCs/>
                <w:szCs w:val="21"/>
              </w:rPr>
            </w:pPr>
          </w:p>
        </w:tc>
        <w:tc>
          <w:tcPr>
            <w:tcW w:w="1545" w:type="dxa"/>
            <w:gridSpan w:val="4"/>
            <w:tcBorders>
              <w:top w:val="single" w:color="auto" w:sz="4" w:space="0"/>
              <w:left w:val="single" w:color="auto" w:sz="4" w:space="0"/>
              <w:bottom w:val="single" w:color="auto" w:sz="4" w:space="0"/>
              <w:right w:val="single" w:color="auto" w:sz="4" w:space="0"/>
            </w:tcBorders>
            <w:noWrap w:val="0"/>
            <w:vAlign w:val="center"/>
          </w:tcPr>
          <w:p w14:paraId="555EE23A">
            <w:pPr>
              <w:adjustRightInd w:val="0"/>
              <w:snapToGrid w:val="0"/>
              <w:rPr>
                <w:rFonts w:ascii="仿宋_GB2312" w:eastAsia="仿宋_GB2312"/>
                <w:bCs/>
                <w:szCs w:val="21"/>
              </w:rPr>
            </w:pPr>
            <w:r>
              <w:rPr>
                <w:rFonts w:hint="eastAsia" w:ascii="仿宋_GB2312" w:eastAsia="仿宋_GB2312"/>
                <w:bCs/>
                <w:szCs w:val="21"/>
              </w:rPr>
              <w:t>证券帐户</w:t>
            </w:r>
          </w:p>
        </w:tc>
        <w:tc>
          <w:tcPr>
            <w:tcW w:w="2182" w:type="dxa"/>
            <w:gridSpan w:val="4"/>
            <w:tcBorders>
              <w:top w:val="single" w:color="auto" w:sz="4" w:space="0"/>
              <w:left w:val="single" w:color="auto" w:sz="4" w:space="0"/>
              <w:bottom w:val="single" w:color="auto" w:sz="4" w:space="0"/>
              <w:right w:val="single" w:color="auto" w:sz="4" w:space="0"/>
            </w:tcBorders>
            <w:noWrap w:val="0"/>
            <w:vAlign w:val="center"/>
          </w:tcPr>
          <w:p w14:paraId="53A6F6DD">
            <w:pPr>
              <w:adjustRightInd w:val="0"/>
              <w:snapToGrid w:val="0"/>
              <w:rPr>
                <w:rFonts w:ascii="仿宋_GB2312" w:eastAsia="仿宋_GB2312"/>
                <w:bCs/>
                <w:szCs w:val="21"/>
              </w:rPr>
            </w:pPr>
          </w:p>
        </w:tc>
      </w:tr>
      <w:tr w14:paraId="754D6D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01" w:hRule="atLeast"/>
        </w:trPr>
        <w:tc>
          <w:tcPr>
            <w:tcW w:w="1139" w:type="dxa"/>
            <w:vMerge w:val="continue"/>
            <w:tcBorders>
              <w:left w:val="single" w:color="auto" w:sz="4" w:space="0"/>
              <w:right w:val="single" w:color="auto" w:sz="4" w:space="0"/>
            </w:tcBorders>
            <w:noWrap w:val="0"/>
            <w:vAlign w:val="center"/>
          </w:tcPr>
          <w:p w14:paraId="6A2C54C3">
            <w:pPr>
              <w:widowControl/>
              <w:jc w:val="left"/>
              <w:rPr>
                <w:rFonts w:ascii="仿宋_GB2312" w:eastAsia="仿宋_GB2312"/>
                <w:b/>
                <w:szCs w:val="21"/>
              </w:rPr>
            </w:pPr>
          </w:p>
        </w:tc>
        <w:tc>
          <w:tcPr>
            <w:tcW w:w="471" w:type="dxa"/>
            <w:vMerge w:val="continue"/>
            <w:tcBorders>
              <w:left w:val="single" w:color="auto" w:sz="4" w:space="0"/>
              <w:right w:val="single" w:color="auto" w:sz="4" w:space="0"/>
            </w:tcBorders>
            <w:noWrap w:val="0"/>
            <w:vAlign w:val="center"/>
          </w:tcPr>
          <w:p w14:paraId="55E62BCF">
            <w:pPr>
              <w:widowControl/>
              <w:jc w:val="left"/>
              <w:rPr>
                <w:rFonts w:ascii="仿宋_GB2312" w:eastAsia="仿宋_GB2312"/>
                <w:bCs/>
                <w:szCs w:val="21"/>
              </w:rPr>
            </w:pPr>
          </w:p>
        </w:tc>
        <w:tc>
          <w:tcPr>
            <w:tcW w:w="2219" w:type="dxa"/>
            <w:gridSpan w:val="3"/>
            <w:tcBorders>
              <w:top w:val="single" w:color="auto" w:sz="4" w:space="0"/>
              <w:left w:val="single" w:color="auto" w:sz="4" w:space="0"/>
              <w:bottom w:val="single" w:color="auto" w:sz="4" w:space="0"/>
              <w:right w:val="single" w:color="auto" w:sz="4" w:space="0"/>
            </w:tcBorders>
            <w:noWrap w:val="0"/>
            <w:vAlign w:val="center"/>
          </w:tcPr>
          <w:p w14:paraId="39B69252">
            <w:pPr>
              <w:adjustRightInd w:val="0"/>
              <w:snapToGrid w:val="0"/>
              <w:rPr>
                <w:rFonts w:ascii="仿宋_GB2312" w:eastAsia="仿宋_GB2312"/>
                <w:bCs/>
                <w:szCs w:val="21"/>
              </w:rPr>
            </w:pPr>
            <w:r>
              <w:rPr>
                <w:rFonts w:hint="eastAsia" w:ascii="仿宋_GB2312" w:eastAsia="仿宋_GB2312"/>
                <w:bCs/>
                <w:szCs w:val="21"/>
              </w:rPr>
              <w:t>经办人及身份证号码</w:t>
            </w:r>
          </w:p>
        </w:tc>
        <w:tc>
          <w:tcPr>
            <w:tcW w:w="3154" w:type="dxa"/>
            <w:gridSpan w:val="5"/>
            <w:tcBorders>
              <w:top w:val="single" w:color="auto" w:sz="4" w:space="0"/>
              <w:left w:val="single" w:color="auto" w:sz="4" w:space="0"/>
              <w:bottom w:val="single" w:color="auto" w:sz="4" w:space="0"/>
              <w:right w:val="single" w:color="auto" w:sz="4" w:space="0"/>
            </w:tcBorders>
            <w:noWrap w:val="0"/>
            <w:vAlign w:val="center"/>
          </w:tcPr>
          <w:p w14:paraId="57F668FF">
            <w:pPr>
              <w:adjustRightInd w:val="0"/>
              <w:snapToGrid w:val="0"/>
              <w:rPr>
                <w:rFonts w:ascii="仿宋_GB2312" w:eastAsia="仿宋_GB2312"/>
                <w:bCs/>
                <w:szCs w:val="18"/>
              </w:rPr>
            </w:pPr>
          </w:p>
        </w:tc>
        <w:tc>
          <w:tcPr>
            <w:tcW w:w="1143" w:type="dxa"/>
            <w:gridSpan w:val="3"/>
            <w:tcBorders>
              <w:top w:val="single" w:color="auto" w:sz="4" w:space="0"/>
              <w:left w:val="single" w:color="auto" w:sz="4" w:space="0"/>
              <w:bottom w:val="single" w:color="auto" w:sz="4" w:space="0"/>
              <w:right w:val="single" w:color="auto" w:sz="4" w:space="0"/>
            </w:tcBorders>
            <w:noWrap w:val="0"/>
            <w:vAlign w:val="center"/>
          </w:tcPr>
          <w:p w14:paraId="233AC2AB">
            <w:pPr>
              <w:adjustRightInd w:val="0"/>
              <w:snapToGrid w:val="0"/>
              <w:rPr>
                <w:rFonts w:ascii="仿宋_GB2312" w:eastAsia="仿宋_GB2312"/>
                <w:bCs/>
                <w:szCs w:val="18"/>
              </w:rPr>
            </w:pPr>
            <w:r>
              <w:rPr>
                <w:rFonts w:hint="eastAsia" w:ascii="仿宋_GB2312" w:eastAsia="仿宋_GB2312"/>
                <w:bCs/>
                <w:szCs w:val="21"/>
              </w:rPr>
              <w:t>联系电话</w:t>
            </w:r>
          </w:p>
        </w:tc>
        <w:tc>
          <w:tcPr>
            <w:tcW w:w="1774" w:type="dxa"/>
            <w:gridSpan w:val="3"/>
            <w:tcBorders>
              <w:top w:val="single" w:color="auto" w:sz="4" w:space="0"/>
              <w:left w:val="single" w:color="auto" w:sz="4" w:space="0"/>
              <w:bottom w:val="single" w:color="auto" w:sz="4" w:space="0"/>
              <w:right w:val="single" w:color="auto" w:sz="4" w:space="0"/>
            </w:tcBorders>
            <w:noWrap w:val="0"/>
            <w:vAlign w:val="center"/>
          </w:tcPr>
          <w:p w14:paraId="7BFEB6E7">
            <w:pPr>
              <w:adjustRightInd w:val="0"/>
              <w:snapToGrid w:val="0"/>
              <w:rPr>
                <w:rFonts w:ascii="仿宋_GB2312" w:eastAsia="仿宋_GB2312"/>
                <w:bCs/>
                <w:szCs w:val="18"/>
              </w:rPr>
            </w:pPr>
          </w:p>
        </w:tc>
      </w:tr>
      <w:tr w14:paraId="571FAD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1" w:hRule="atLeast"/>
        </w:trPr>
        <w:tc>
          <w:tcPr>
            <w:tcW w:w="1139" w:type="dxa"/>
            <w:vMerge w:val="continue"/>
            <w:tcBorders>
              <w:left w:val="single" w:color="auto" w:sz="4" w:space="0"/>
              <w:right w:val="single" w:color="auto" w:sz="4" w:space="0"/>
            </w:tcBorders>
            <w:noWrap w:val="0"/>
            <w:vAlign w:val="center"/>
          </w:tcPr>
          <w:p w14:paraId="50BF8A88">
            <w:pPr>
              <w:widowControl/>
              <w:jc w:val="left"/>
              <w:rPr>
                <w:rFonts w:ascii="仿宋_GB2312" w:eastAsia="仿宋_GB2312"/>
                <w:b/>
                <w:szCs w:val="21"/>
              </w:rPr>
            </w:pPr>
          </w:p>
        </w:tc>
        <w:tc>
          <w:tcPr>
            <w:tcW w:w="471" w:type="dxa"/>
            <w:vMerge w:val="continue"/>
            <w:tcBorders>
              <w:left w:val="single" w:color="auto" w:sz="4" w:space="0"/>
              <w:bottom w:val="single" w:color="auto" w:sz="4" w:space="0"/>
              <w:right w:val="single" w:color="auto" w:sz="4" w:space="0"/>
            </w:tcBorders>
            <w:noWrap w:val="0"/>
            <w:vAlign w:val="center"/>
          </w:tcPr>
          <w:p w14:paraId="2CA9A6A7">
            <w:pPr>
              <w:widowControl/>
              <w:jc w:val="left"/>
              <w:rPr>
                <w:rFonts w:ascii="仿宋_GB2312" w:eastAsia="仿宋_GB2312"/>
                <w:bCs/>
                <w:szCs w:val="21"/>
              </w:rPr>
            </w:pPr>
          </w:p>
        </w:tc>
        <w:tc>
          <w:tcPr>
            <w:tcW w:w="4563" w:type="dxa"/>
            <w:gridSpan w:val="6"/>
            <w:tcBorders>
              <w:top w:val="single" w:color="auto" w:sz="4" w:space="0"/>
              <w:left w:val="single" w:color="auto" w:sz="4" w:space="0"/>
              <w:bottom w:val="single" w:color="auto" w:sz="4" w:space="0"/>
              <w:right w:val="single" w:color="auto" w:sz="4" w:space="0"/>
            </w:tcBorders>
            <w:noWrap w:val="0"/>
            <w:vAlign w:val="center"/>
          </w:tcPr>
          <w:p w14:paraId="574395D0">
            <w:pPr>
              <w:adjustRightInd w:val="0"/>
              <w:snapToGrid w:val="0"/>
              <w:rPr>
                <w:rFonts w:hint="eastAsia" w:ascii="仿宋_GB2312" w:eastAsia="仿宋_GB2312"/>
                <w:bCs/>
                <w:szCs w:val="18"/>
              </w:rPr>
            </w:pPr>
            <w:r>
              <w:rPr>
                <w:rFonts w:hint="eastAsia" w:ascii="仿宋_GB2312" w:eastAsia="仿宋_GB2312"/>
                <w:bCs/>
                <w:szCs w:val="18"/>
              </w:rPr>
              <w:t>转出方是否为国有单位</w:t>
            </w:r>
          </w:p>
        </w:tc>
        <w:tc>
          <w:tcPr>
            <w:tcW w:w="1968" w:type="dxa"/>
            <w:gridSpan w:val="6"/>
            <w:tcBorders>
              <w:top w:val="single" w:color="auto" w:sz="4" w:space="0"/>
              <w:left w:val="single" w:color="auto" w:sz="4" w:space="0"/>
              <w:bottom w:val="single" w:color="auto" w:sz="4" w:space="0"/>
              <w:right w:val="single" w:color="auto" w:sz="4" w:space="0"/>
            </w:tcBorders>
            <w:noWrap w:val="0"/>
            <w:vAlign w:val="center"/>
          </w:tcPr>
          <w:p w14:paraId="7E7D6CF0">
            <w:pPr>
              <w:adjustRightInd w:val="0"/>
              <w:snapToGrid w:val="0"/>
              <w:rPr>
                <w:rFonts w:hint="eastAsia" w:ascii="仿宋_GB2312" w:eastAsia="仿宋_GB2312"/>
                <w:bCs/>
                <w:szCs w:val="21"/>
              </w:rPr>
            </w:pPr>
            <w:r>
              <w:rPr>
                <w:rFonts w:hint="eastAsia" w:ascii="仿宋_GB2312" w:hAnsi="宋体" w:eastAsia="仿宋_GB2312"/>
                <w:bCs/>
                <w:szCs w:val="21"/>
              </w:rPr>
              <w:t>□     是</w:t>
            </w:r>
          </w:p>
        </w:tc>
        <w:tc>
          <w:tcPr>
            <w:tcW w:w="1759" w:type="dxa"/>
            <w:gridSpan w:val="2"/>
            <w:tcBorders>
              <w:top w:val="single" w:color="auto" w:sz="4" w:space="0"/>
              <w:left w:val="single" w:color="auto" w:sz="4" w:space="0"/>
              <w:bottom w:val="single" w:color="auto" w:sz="4" w:space="0"/>
              <w:right w:val="single" w:color="auto" w:sz="4" w:space="0"/>
            </w:tcBorders>
            <w:noWrap w:val="0"/>
            <w:vAlign w:val="center"/>
          </w:tcPr>
          <w:p w14:paraId="21D5C598">
            <w:pPr>
              <w:adjustRightInd w:val="0"/>
              <w:snapToGrid w:val="0"/>
              <w:rPr>
                <w:rFonts w:hint="eastAsia" w:ascii="仿宋_GB2312" w:eastAsia="仿宋_GB2312"/>
                <w:bCs/>
                <w:szCs w:val="18"/>
              </w:rPr>
            </w:pPr>
            <w:r>
              <w:rPr>
                <w:rFonts w:hint="eastAsia" w:ascii="仿宋_GB2312" w:hAnsi="宋体" w:eastAsia="仿宋_GB2312"/>
                <w:bCs/>
                <w:szCs w:val="21"/>
              </w:rPr>
              <w:t>□    否</w:t>
            </w:r>
          </w:p>
        </w:tc>
      </w:tr>
      <w:tr w14:paraId="6447C4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5" w:hRule="atLeast"/>
        </w:trPr>
        <w:tc>
          <w:tcPr>
            <w:tcW w:w="1139" w:type="dxa"/>
            <w:vMerge w:val="continue"/>
            <w:tcBorders>
              <w:left w:val="single" w:color="auto" w:sz="4" w:space="0"/>
              <w:right w:val="single" w:color="auto" w:sz="4" w:space="0"/>
            </w:tcBorders>
            <w:noWrap w:val="0"/>
            <w:vAlign w:val="center"/>
          </w:tcPr>
          <w:p w14:paraId="70EF19B0">
            <w:pPr>
              <w:widowControl/>
              <w:jc w:val="left"/>
              <w:rPr>
                <w:rFonts w:ascii="仿宋_GB2312" w:eastAsia="仿宋_GB2312"/>
                <w:b/>
                <w:szCs w:val="21"/>
              </w:rPr>
            </w:pPr>
          </w:p>
        </w:tc>
        <w:tc>
          <w:tcPr>
            <w:tcW w:w="471" w:type="dxa"/>
            <w:vMerge w:val="restart"/>
            <w:tcBorders>
              <w:top w:val="single" w:color="auto" w:sz="4" w:space="0"/>
              <w:left w:val="single" w:color="auto" w:sz="4" w:space="0"/>
              <w:right w:val="single" w:color="auto" w:sz="4" w:space="0"/>
            </w:tcBorders>
            <w:noWrap w:val="0"/>
            <w:vAlign w:val="center"/>
          </w:tcPr>
          <w:p w14:paraId="7BC861A9">
            <w:pPr>
              <w:adjustRightInd w:val="0"/>
              <w:snapToGrid w:val="0"/>
              <w:rPr>
                <w:rFonts w:ascii="仿宋_GB2312" w:eastAsia="仿宋_GB2312"/>
                <w:bCs/>
                <w:szCs w:val="21"/>
              </w:rPr>
            </w:pPr>
            <w:r>
              <w:rPr>
                <w:rFonts w:hint="eastAsia" w:ascii="仿宋_GB2312" w:eastAsia="仿宋_GB2312"/>
                <w:bCs/>
                <w:szCs w:val="21"/>
              </w:rPr>
              <w:t>转入方</w:t>
            </w:r>
          </w:p>
        </w:tc>
        <w:tc>
          <w:tcPr>
            <w:tcW w:w="1370" w:type="dxa"/>
            <w:gridSpan w:val="2"/>
            <w:tcBorders>
              <w:top w:val="single" w:color="auto" w:sz="4" w:space="0"/>
              <w:left w:val="single" w:color="auto" w:sz="4" w:space="0"/>
              <w:bottom w:val="single" w:color="auto" w:sz="4" w:space="0"/>
              <w:right w:val="single" w:color="auto" w:sz="4" w:space="0"/>
            </w:tcBorders>
            <w:noWrap w:val="0"/>
            <w:vAlign w:val="center"/>
          </w:tcPr>
          <w:p w14:paraId="035FB957">
            <w:pPr>
              <w:adjustRightInd w:val="0"/>
              <w:snapToGrid w:val="0"/>
              <w:jc w:val="left"/>
              <w:rPr>
                <w:rFonts w:ascii="仿宋_GB2312" w:eastAsia="仿宋_GB2312"/>
                <w:bCs/>
                <w:szCs w:val="21"/>
              </w:rPr>
            </w:pPr>
            <w:r>
              <w:rPr>
                <w:rFonts w:hint="eastAsia" w:ascii="仿宋_GB2312" w:eastAsia="仿宋_GB2312"/>
                <w:bCs/>
                <w:szCs w:val="21"/>
              </w:rPr>
              <w:t>转入方名称</w:t>
            </w:r>
          </w:p>
        </w:tc>
        <w:tc>
          <w:tcPr>
            <w:tcW w:w="6920" w:type="dxa"/>
            <w:gridSpan w:val="12"/>
            <w:tcBorders>
              <w:top w:val="single" w:color="auto" w:sz="4" w:space="0"/>
              <w:left w:val="single" w:color="auto" w:sz="4" w:space="0"/>
              <w:bottom w:val="single" w:color="auto" w:sz="4" w:space="0"/>
              <w:right w:val="single" w:color="auto" w:sz="4" w:space="0"/>
            </w:tcBorders>
            <w:noWrap w:val="0"/>
            <w:vAlign w:val="center"/>
          </w:tcPr>
          <w:p w14:paraId="5B4421A0">
            <w:pPr>
              <w:adjustRightInd w:val="0"/>
              <w:snapToGrid w:val="0"/>
              <w:rPr>
                <w:rFonts w:ascii="仿宋_GB2312" w:eastAsia="仿宋_GB2312"/>
                <w:bCs/>
                <w:szCs w:val="21"/>
              </w:rPr>
            </w:pPr>
          </w:p>
        </w:tc>
      </w:tr>
      <w:tr w14:paraId="294C3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9" w:hRule="atLeast"/>
        </w:trPr>
        <w:tc>
          <w:tcPr>
            <w:tcW w:w="1139" w:type="dxa"/>
            <w:vMerge w:val="continue"/>
            <w:tcBorders>
              <w:left w:val="single" w:color="auto" w:sz="4" w:space="0"/>
              <w:right w:val="single" w:color="auto" w:sz="4" w:space="0"/>
            </w:tcBorders>
            <w:noWrap w:val="0"/>
            <w:vAlign w:val="center"/>
          </w:tcPr>
          <w:p w14:paraId="614E8F75">
            <w:pPr>
              <w:widowControl/>
              <w:jc w:val="left"/>
              <w:rPr>
                <w:rFonts w:ascii="仿宋_GB2312" w:eastAsia="仿宋_GB2312"/>
                <w:b/>
                <w:szCs w:val="21"/>
              </w:rPr>
            </w:pPr>
          </w:p>
        </w:tc>
        <w:tc>
          <w:tcPr>
            <w:tcW w:w="471" w:type="dxa"/>
            <w:vMerge w:val="continue"/>
            <w:tcBorders>
              <w:left w:val="single" w:color="auto" w:sz="4" w:space="0"/>
              <w:right w:val="single" w:color="auto" w:sz="4" w:space="0"/>
            </w:tcBorders>
            <w:noWrap w:val="0"/>
            <w:vAlign w:val="center"/>
          </w:tcPr>
          <w:p w14:paraId="3E229A7C">
            <w:pPr>
              <w:widowControl/>
              <w:jc w:val="left"/>
              <w:rPr>
                <w:rFonts w:ascii="仿宋_GB2312" w:eastAsia="仿宋_GB2312"/>
                <w:bCs/>
                <w:szCs w:val="21"/>
              </w:rPr>
            </w:pPr>
          </w:p>
        </w:tc>
        <w:tc>
          <w:tcPr>
            <w:tcW w:w="2350" w:type="dxa"/>
            <w:gridSpan w:val="4"/>
            <w:tcBorders>
              <w:top w:val="single" w:color="auto" w:sz="4" w:space="0"/>
              <w:left w:val="single" w:color="auto" w:sz="4" w:space="0"/>
              <w:bottom w:val="single" w:color="auto" w:sz="4" w:space="0"/>
              <w:right w:val="single" w:color="auto" w:sz="4" w:space="0"/>
            </w:tcBorders>
            <w:noWrap w:val="0"/>
            <w:vAlign w:val="center"/>
          </w:tcPr>
          <w:p w14:paraId="195FECDE">
            <w:pPr>
              <w:adjustRightInd w:val="0"/>
              <w:snapToGrid w:val="0"/>
              <w:rPr>
                <w:rFonts w:ascii="仿宋_GB2312" w:eastAsia="仿宋_GB2312"/>
                <w:bCs/>
                <w:szCs w:val="21"/>
              </w:rPr>
            </w:pPr>
            <w:r>
              <w:rPr>
                <w:rFonts w:hint="eastAsia" w:ascii="仿宋_GB2312" w:eastAsia="仿宋_GB2312"/>
                <w:bCs/>
                <w:szCs w:val="21"/>
              </w:rPr>
              <w:t>注册号码/身份证号码</w:t>
            </w:r>
          </w:p>
        </w:tc>
        <w:tc>
          <w:tcPr>
            <w:tcW w:w="2213" w:type="dxa"/>
            <w:gridSpan w:val="2"/>
            <w:tcBorders>
              <w:top w:val="single" w:color="auto" w:sz="4" w:space="0"/>
              <w:left w:val="single" w:color="auto" w:sz="4" w:space="0"/>
              <w:bottom w:val="single" w:color="auto" w:sz="4" w:space="0"/>
              <w:right w:val="single" w:color="auto" w:sz="4" w:space="0"/>
            </w:tcBorders>
            <w:noWrap w:val="0"/>
            <w:vAlign w:val="center"/>
          </w:tcPr>
          <w:p w14:paraId="2380E7F6">
            <w:pPr>
              <w:adjustRightInd w:val="0"/>
              <w:snapToGrid w:val="0"/>
              <w:rPr>
                <w:rFonts w:ascii="仿宋_GB2312" w:eastAsia="仿宋_GB2312"/>
                <w:bCs/>
                <w:szCs w:val="21"/>
              </w:rPr>
            </w:pPr>
          </w:p>
        </w:tc>
        <w:tc>
          <w:tcPr>
            <w:tcW w:w="1545" w:type="dxa"/>
            <w:gridSpan w:val="4"/>
            <w:tcBorders>
              <w:top w:val="single" w:color="auto" w:sz="4" w:space="0"/>
              <w:left w:val="single" w:color="auto" w:sz="4" w:space="0"/>
              <w:bottom w:val="single" w:color="auto" w:sz="4" w:space="0"/>
              <w:right w:val="single" w:color="auto" w:sz="4" w:space="0"/>
            </w:tcBorders>
            <w:noWrap w:val="0"/>
            <w:vAlign w:val="center"/>
          </w:tcPr>
          <w:p w14:paraId="75763F32">
            <w:pPr>
              <w:adjustRightInd w:val="0"/>
              <w:snapToGrid w:val="0"/>
              <w:rPr>
                <w:rFonts w:ascii="仿宋_GB2312" w:eastAsia="仿宋_GB2312"/>
                <w:bCs/>
                <w:szCs w:val="21"/>
              </w:rPr>
            </w:pPr>
            <w:r>
              <w:rPr>
                <w:rFonts w:hint="eastAsia" w:ascii="仿宋_GB2312" w:eastAsia="仿宋_GB2312"/>
                <w:bCs/>
                <w:szCs w:val="21"/>
              </w:rPr>
              <w:t>证券帐户</w:t>
            </w:r>
          </w:p>
        </w:tc>
        <w:tc>
          <w:tcPr>
            <w:tcW w:w="2182" w:type="dxa"/>
            <w:gridSpan w:val="4"/>
            <w:tcBorders>
              <w:top w:val="single" w:color="auto" w:sz="4" w:space="0"/>
              <w:left w:val="single" w:color="auto" w:sz="4" w:space="0"/>
              <w:bottom w:val="single" w:color="auto" w:sz="4" w:space="0"/>
              <w:right w:val="single" w:color="auto" w:sz="4" w:space="0"/>
            </w:tcBorders>
            <w:noWrap w:val="0"/>
            <w:vAlign w:val="center"/>
          </w:tcPr>
          <w:p w14:paraId="01F55A83">
            <w:pPr>
              <w:adjustRightInd w:val="0"/>
              <w:snapToGrid w:val="0"/>
              <w:rPr>
                <w:rFonts w:ascii="仿宋_GB2312" w:eastAsia="仿宋_GB2312"/>
                <w:bCs/>
                <w:szCs w:val="21"/>
              </w:rPr>
            </w:pPr>
          </w:p>
        </w:tc>
      </w:tr>
      <w:tr w14:paraId="0E0D44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89" w:hRule="atLeast"/>
        </w:trPr>
        <w:tc>
          <w:tcPr>
            <w:tcW w:w="1139" w:type="dxa"/>
            <w:vMerge w:val="continue"/>
            <w:tcBorders>
              <w:left w:val="single" w:color="auto" w:sz="4" w:space="0"/>
              <w:right w:val="single" w:color="auto" w:sz="4" w:space="0"/>
            </w:tcBorders>
            <w:noWrap w:val="0"/>
            <w:vAlign w:val="center"/>
          </w:tcPr>
          <w:p w14:paraId="371E5B37">
            <w:pPr>
              <w:widowControl/>
              <w:jc w:val="left"/>
              <w:rPr>
                <w:rFonts w:ascii="仿宋_GB2312" w:eastAsia="仿宋_GB2312"/>
                <w:b/>
                <w:szCs w:val="21"/>
              </w:rPr>
            </w:pPr>
          </w:p>
        </w:tc>
        <w:tc>
          <w:tcPr>
            <w:tcW w:w="471" w:type="dxa"/>
            <w:vMerge w:val="continue"/>
            <w:tcBorders>
              <w:left w:val="single" w:color="auto" w:sz="4" w:space="0"/>
              <w:right w:val="single" w:color="auto" w:sz="4" w:space="0"/>
            </w:tcBorders>
            <w:noWrap w:val="0"/>
            <w:vAlign w:val="center"/>
          </w:tcPr>
          <w:p w14:paraId="6AA086A0">
            <w:pPr>
              <w:widowControl/>
              <w:jc w:val="left"/>
              <w:rPr>
                <w:rFonts w:ascii="仿宋_GB2312" w:eastAsia="仿宋_GB2312"/>
                <w:bCs/>
                <w:szCs w:val="21"/>
              </w:rPr>
            </w:pPr>
          </w:p>
        </w:tc>
        <w:tc>
          <w:tcPr>
            <w:tcW w:w="2350" w:type="dxa"/>
            <w:gridSpan w:val="4"/>
            <w:tcBorders>
              <w:top w:val="single" w:color="auto" w:sz="4" w:space="0"/>
              <w:left w:val="single" w:color="auto" w:sz="4" w:space="0"/>
              <w:bottom w:val="single" w:color="auto" w:sz="4" w:space="0"/>
              <w:right w:val="nil"/>
            </w:tcBorders>
            <w:noWrap w:val="0"/>
            <w:vAlign w:val="center"/>
          </w:tcPr>
          <w:p w14:paraId="298857EF">
            <w:pPr>
              <w:adjustRightInd w:val="0"/>
              <w:snapToGrid w:val="0"/>
              <w:rPr>
                <w:rFonts w:ascii="仿宋_GB2312" w:eastAsia="仿宋_GB2312"/>
                <w:bCs/>
                <w:szCs w:val="21"/>
              </w:rPr>
            </w:pPr>
            <w:r>
              <w:rPr>
                <w:rFonts w:hint="eastAsia" w:ascii="仿宋_GB2312" w:eastAsia="仿宋_GB2312"/>
                <w:bCs/>
                <w:szCs w:val="21"/>
              </w:rPr>
              <w:t>经办人及身份证号码</w:t>
            </w:r>
          </w:p>
        </w:tc>
        <w:tc>
          <w:tcPr>
            <w:tcW w:w="3023" w:type="dxa"/>
            <w:gridSpan w:val="4"/>
            <w:tcBorders>
              <w:top w:val="single" w:color="auto" w:sz="4" w:space="0"/>
              <w:left w:val="single" w:color="auto" w:sz="4" w:space="0"/>
              <w:bottom w:val="single" w:color="auto" w:sz="4" w:space="0"/>
              <w:right w:val="single" w:color="auto" w:sz="4" w:space="0"/>
            </w:tcBorders>
            <w:noWrap w:val="0"/>
            <w:vAlign w:val="center"/>
          </w:tcPr>
          <w:p w14:paraId="6943D7BA">
            <w:pPr>
              <w:adjustRightInd w:val="0"/>
              <w:snapToGrid w:val="0"/>
              <w:rPr>
                <w:rFonts w:ascii="仿宋_GB2312" w:eastAsia="仿宋_GB2312"/>
                <w:bCs/>
                <w:szCs w:val="21"/>
              </w:rPr>
            </w:pPr>
          </w:p>
        </w:tc>
        <w:tc>
          <w:tcPr>
            <w:tcW w:w="1176" w:type="dxa"/>
            <w:gridSpan w:val="5"/>
            <w:tcBorders>
              <w:top w:val="single" w:color="auto" w:sz="4" w:space="0"/>
              <w:left w:val="single" w:color="auto" w:sz="4" w:space="0"/>
              <w:bottom w:val="single" w:color="auto" w:sz="4" w:space="0"/>
              <w:right w:val="single" w:color="auto" w:sz="4" w:space="0"/>
            </w:tcBorders>
            <w:noWrap w:val="0"/>
            <w:vAlign w:val="center"/>
          </w:tcPr>
          <w:p w14:paraId="62777357">
            <w:pPr>
              <w:adjustRightInd w:val="0"/>
              <w:snapToGrid w:val="0"/>
              <w:rPr>
                <w:rFonts w:ascii="仿宋_GB2312" w:eastAsia="仿宋_GB2312"/>
                <w:bCs/>
                <w:szCs w:val="21"/>
              </w:rPr>
            </w:pPr>
            <w:r>
              <w:rPr>
                <w:rFonts w:hint="eastAsia" w:ascii="仿宋_GB2312" w:eastAsia="仿宋_GB2312"/>
                <w:bCs/>
                <w:szCs w:val="21"/>
              </w:rPr>
              <w:t>联系电话</w:t>
            </w:r>
          </w:p>
        </w:tc>
        <w:tc>
          <w:tcPr>
            <w:tcW w:w="1741" w:type="dxa"/>
            <w:tcBorders>
              <w:top w:val="single" w:color="auto" w:sz="4" w:space="0"/>
              <w:left w:val="single" w:color="auto" w:sz="4" w:space="0"/>
              <w:bottom w:val="single" w:color="auto" w:sz="4" w:space="0"/>
              <w:right w:val="single" w:color="auto" w:sz="4" w:space="0"/>
            </w:tcBorders>
            <w:noWrap w:val="0"/>
            <w:vAlign w:val="center"/>
          </w:tcPr>
          <w:p w14:paraId="607D17C1">
            <w:pPr>
              <w:adjustRightInd w:val="0"/>
              <w:snapToGrid w:val="0"/>
              <w:rPr>
                <w:rFonts w:ascii="仿宋_GB2312" w:eastAsia="仿宋_GB2312"/>
                <w:bCs/>
                <w:szCs w:val="21"/>
              </w:rPr>
            </w:pPr>
          </w:p>
        </w:tc>
      </w:tr>
      <w:tr w14:paraId="32B211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1" w:hRule="atLeast"/>
        </w:trPr>
        <w:tc>
          <w:tcPr>
            <w:tcW w:w="1139" w:type="dxa"/>
            <w:tcBorders>
              <w:left w:val="single" w:color="auto" w:sz="4" w:space="0"/>
              <w:right w:val="single" w:color="auto" w:sz="4" w:space="0"/>
            </w:tcBorders>
            <w:noWrap w:val="0"/>
            <w:vAlign w:val="center"/>
          </w:tcPr>
          <w:p w14:paraId="4B83EF3A">
            <w:pPr>
              <w:widowControl/>
              <w:jc w:val="left"/>
              <w:rPr>
                <w:rFonts w:ascii="仿宋_GB2312" w:eastAsia="仿宋_GB2312"/>
                <w:b/>
                <w:szCs w:val="21"/>
              </w:rPr>
            </w:pPr>
          </w:p>
        </w:tc>
        <w:tc>
          <w:tcPr>
            <w:tcW w:w="471" w:type="dxa"/>
            <w:tcBorders>
              <w:left w:val="single" w:color="auto" w:sz="4" w:space="0"/>
              <w:bottom w:val="single" w:color="auto" w:sz="4" w:space="0"/>
              <w:right w:val="single" w:color="auto" w:sz="4" w:space="0"/>
            </w:tcBorders>
            <w:noWrap w:val="0"/>
            <w:vAlign w:val="center"/>
          </w:tcPr>
          <w:p w14:paraId="1CB1BB71">
            <w:pPr>
              <w:widowControl/>
              <w:jc w:val="left"/>
              <w:rPr>
                <w:rFonts w:ascii="仿宋_GB2312" w:eastAsia="仿宋_GB2312"/>
                <w:bCs/>
                <w:szCs w:val="21"/>
              </w:rPr>
            </w:pPr>
          </w:p>
        </w:tc>
        <w:tc>
          <w:tcPr>
            <w:tcW w:w="4572" w:type="dxa"/>
            <w:gridSpan w:val="7"/>
            <w:tcBorders>
              <w:top w:val="single" w:color="auto" w:sz="4" w:space="0"/>
              <w:left w:val="single" w:color="auto" w:sz="4" w:space="0"/>
              <w:bottom w:val="single" w:color="auto" w:sz="4" w:space="0"/>
              <w:right w:val="nil"/>
            </w:tcBorders>
            <w:noWrap w:val="0"/>
            <w:vAlign w:val="center"/>
          </w:tcPr>
          <w:p w14:paraId="54196BC1">
            <w:pPr>
              <w:adjustRightInd w:val="0"/>
              <w:snapToGrid w:val="0"/>
              <w:rPr>
                <w:rFonts w:hint="eastAsia" w:ascii="仿宋_GB2312" w:hAnsi="宋体" w:eastAsia="仿宋_GB2312"/>
                <w:bCs/>
                <w:szCs w:val="21"/>
              </w:rPr>
            </w:pPr>
            <w:r>
              <w:rPr>
                <w:rFonts w:hint="eastAsia" w:ascii="仿宋_GB2312" w:eastAsia="仿宋_GB2312"/>
                <w:bCs/>
                <w:szCs w:val="18"/>
              </w:rPr>
              <w:t>过入方是否为国有单位</w:t>
            </w:r>
          </w:p>
        </w:tc>
        <w:tc>
          <w:tcPr>
            <w:tcW w:w="1977" w:type="dxa"/>
            <w:gridSpan w:val="6"/>
            <w:tcBorders>
              <w:top w:val="single" w:color="auto" w:sz="4" w:space="0"/>
              <w:left w:val="single" w:color="auto" w:sz="4" w:space="0"/>
              <w:bottom w:val="single" w:color="auto" w:sz="4" w:space="0"/>
              <w:right w:val="nil"/>
            </w:tcBorders>
            <w:noWrap w:val="0"/>
            <w:vAlign w:val="center"/>
          </w:tcPr>
          <w:p w14:paraId="34312596">
            <w:pPr>
              <w:adjustRightInd w:val="0"/>
              <w:snapToGrid w:val="0"/>
              <w:rPr>
                <w:rFonts w:hint="eastAsia" w:ascii="仿宋_GB2312" w:hAnsi="宋体" w:eastAsia="仿宋_GB2312"/>
                <w:bCs/>
                <w:szCs w:val="21"/>
              </w:rPr>
            </w:pPr>
            <w:r>
              <w:rPr>
                <w:rFonts w:hint="eastAsia" w:ascii="仿宋_GB2312" w:hAnsi="宋体" w:eastAsia="仿宋_GB2312"/>
                <w:bCs/>
                <w:szCs w:val="21"/>
              </w:rPr>
              <w:t>□     是</w:t>
            </w:r>
          </w:p>
        </w:tc>
        <w:tc>
          <w:tcPr>
            <w:tcW w:w="1741" w:type="dxa"/>
            <w:tcBorders>
              <w:top w:val="single" w:color="auto" w:sz="4" w:space="0"/>
              <w:left w:val="single" w:color="auto" w:sz="4" w:space="0"/>
              <w:bottom w:val="single" w:color="auto" w:sz="4" w:space="0"/>
              <w:right w:val="single" w:color="auto" w:sz="4" w:space="0"/>
            </w:tcBorders>
            <w:noWrap w:val="0"/>
            <w:vAlign w:val="center"/>
          </w:tcPr>
          <w:p w14:paraId="368EB291">
            <w:pPr>
              <w:adjustRightInd w:val="0"/>
              <w:snapToGrid w:val="0"/>
              <w:rPr>
                <w:rFonts w:hint="eastAsia" w:ascii="仿宋_GB2312" w:hAnsi="宋体" w:eastAsia="仿宋_GB2312"/>
                <w:bCs/>
                <w:szCs w:val="21"/>
              </w:rPr>
            </w:pPr>
            <w:r>
              <w:rPr>
                <w:rFonts w:hint="eastAsia" w:ascii="仿宋_GB2312" w:hAnsi="宋体" w:eastAsia="仿宋_GB2312"/>
                <w:bCs/>
                <w:szCs w:val="21"/>
              </w:rPr>
              <w:t>□    否</w:t>
            </w:r>
          </w:p>
        </w:tc>
      </w:tr>
      <w:tr w14:paraId="14BA34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11" w:hRule="atLeast"/>
        </w:trPr>
        <w:tc>
          <w:tcPr>
            <w:tcW w:w="1139" w:type="dxa"/>
            <w:vMerge w:val="restart"/>
            <w:tcBorders>
              <w:top w:val="single" w:color="auto" w:sz="4" w:space="0"/>
              <w:left w:val="single" w:color="auto" w:sz="4" w:space="0"/>
              <w:bottom w:val="nil"/>
              <w:right w:val="single" w:color="auto" w:sz="4" w:space="0"/>
            </w:tcBorders>
            <w:noWrap w:val="0"/>
            <w:textDirection w:val="tbRlV"/>
            <w:vAlign w:val="center"/>
          </w:tcPr>
          <w:p w14:paraId="5CD192EA">
            <w:pPr>
              <w:adjustRightInd w:val="0"/>
              <w:snapToGrid w:val="0"/>
              <w:ind w:left="113" w:right="113"/>
              <w:jc w:val="center"/>
              <w:rPr>
                <w:rFonts w:hint="eastAsia" w:ascii="黑体" w:eastAsia="黑体"/>
                <w:b/>
              </w:rPr>
            </w:pPr>
            <w:r>
              <w:rPr>
                <w:rFonts w:hint="eastAsia" w:ascii="黑体" w:eastAsia="黑体"/>
                <w:b/>
              </w:rPr>
              <w:t>债券情况</w:t>
            </w:r>
          </w:p>
          <w:p w14:paraId="65D2C19D">
            <w:pPr>
              <w:adjustRightInd w:val="0"/>
              <w:snapToGrid w:val="0"/>
              <w:ind w:left="113" w:right="113"/>
              <w:jc w:val="center"/>
              <w:rPr>
                <w:rFonts w:ascii="黑体" w:eastAsia="黑体"/>
                <w:b/>
              </w:rPr>
            </w:pPr>
            <w:r>
              <w:rPr>
                <w:rFonts w:hint="eastAsia" w:ascii="黑体" w:eastAsia="黑体"/>
                <w:b/>
              </w:rPr>
              <w:t>拟转让</w:t>
            </w:r>
          </w:p>
        </w:tc>
        <w:tc>
          <w:tcPr>
            <w:tcW w:w="1841" w:type="dxa"/>
            <w:gridSpan w:val="3"/>
            <w:tcBorders>
              <w:top w:val="single" w:color="auto" w:sz="4" w:space="0"/>
              <w:left w:val="single" w:color="auto" w:sz="4" w:space="0"/>
              <w:bottom w:val="single" w:color="auto" w:sz="4" w:space="0"/>
              <w:right w:val="single" w:color="auto" w:sz="4" w:space="0"/>
            </w:tcBorders>
            <w:noWrap w:val="0"/>
            <w:vAlign w:val="center"/>
          </w:tcPr>
          <w:p w14:paraId="5F94A09C">
            <w:pPr>
              <w:adjustRightInd w:val="0"/>
              <w:snapToGrid w:val="0"/>
              <w:rPr>
                <w:rFonts w:ascii="仿宋_GB2312" w:eastAsia="仿宋_GB2312"/>
                <w:bCs/>
                <w:szCs w:val="21"/>
              </w:rPr>
            </w:pPr>
            <w:r>
              <w:rPr>
                <w:rFonts w:hint="eastAsia" w:ascii="仿宋_GB2312" w:eastAsia="仿宋_GB2312"/>
                <w:bCs/>
                <w:szCs w:val="21"/>
              </w:rPr>
              <w:t>债券简称</w:t>
            </w:r>
          </w:p>
        </w:tc>
        <w:tc>
          <w:tcPr>
            <w:tcW w:w="2767" w:type="dxa"/>
            <w:gridSpan w:val="3"/>
            <w:tcBorders>
              <w:top w:val="single" w:color="auto" w:sz="4" w:space="0"/>
              <w:left w:val="single" w:color="auto" w:sz="4" w:space="0"/>
              <w:bottom w:val="single" w:color="auto" w:sz="4" w:space="0"/>
              <w:right w:val="single" w:color="auto" w:sz="4" w:space="0"/>
            </w:tcBorders>
            <w:noWrap w:val="0"/>
            <w:vAlign w:val="center"/>
          </w:tcPr>
          <w:p w14:paraId="41BF108F">
            <w:pPr>
              <w:adjustRightInd w:val="0"/>
              <w:snapToGrid w:val="0"/>
              <w:rPr>
                <w:rFonts w:ascii="仿宋_GB2312" w:eastAsia="仿宋_GB2312"/>
                <w:bCs/>
                <w:szCs w:val="21"/>
              </w:rPr>
            </w:pPr>
          </w:p>
        </w:tc>
        <w:tc>
          <w:tcPr>
            <w:tcW w:w="1813" w:type="dxa"/>
            <w:gridSpan w:val="4"/>
            <w:tcBorders>
              <w:top w:val="single" w:color="auto" w:sz="4" w:space="0"/>
              <w:left w:val="single" w:color="auto" w:sz="4" w:space="0"/>
              <w:bottom w:val="single" w:color="auto" w:sz="4" w:space="0"/>
              <w:right w:val="single" w:color="auto" w:sz="4" w:space="0"/>
            </w:tcBorders>
            <w:noWrap w:val="0"/>
            <w:vAlign w:val="center"/>
          </w:tcPr>
          <w:p w14:paraId="19BCB960">
            <w:pPr>
              <w:adjustRightInd w:val="0"/>
              <w:snapToGrid w:val="0"/>
              <w:rPr>
                <w:rFonts w:ascii="仿宋_GB2312" w:eastAsia="仿宋_GB2312"/>
                <w:bCs/>
                <w:szCs w:val="21"/>
              </w:rPr>
            </w:pPr>
            <w:r>
              <w:rPr>
                <w:rFonts w:hint="eastAsia" w:ascii="仿宋_GB2312" w:eastAsia="仿宋_GB2312"/>
                <w:bCs/>
                <w:szCs w:val="21"/>
              </w:rPr>
              <w:t>债券代码</w:t>
            </w:r>
          </w:p>
        </w:tc>
        <w:tc>
          <w:tcPr>
            <w:tcW w:w="2340" w:type="dxa"/>
            <w:gridSpan w:val="5"/>
            <w:tcBorders>
              <w:top w:val="single" w:color="auto" w:sz="4" w:space="0"/>
              <w:left w:val="single" w:color="auto" w:sz="4" w:space="0"/>
              <w:bottom w:val="single" w:color="auto" w:sz="4" w:space="0"/>
              <w:right w:val="single" w:color="auto" w:sz="4" w:space="0"/>
            </w:tcBorders>
            <w:noWrap w:val="0"/>
            <w:vAlign w:val="center"/>
          </w:tcPr>
          <w:p w14:paraId="2E04D072">
            <w:pPr>
              <w:adjustRightInd w:val="0"/>
              <w:snapToGrid w:val="0"/>
              <w:ind w:firstLine="1260" w:firstLineChars="600"/>
              <w:rPr>
                <w:rFonts w:ascii="仿宋_GB2312" w:eastAsia="仿宋_GB2312"/>
                <w:bCs/>
                <w:szCs w:val="21"/>
              </w:rPr>
            </w:pPr>
          </w:p>
        </w:tc>
      </w:tr>
      <w:tr w14:paraId="2D9963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5" w:hRule="atLeast"/>
        </w:trPr>
        <w:tc>
          <w:tcPr>
            <w:tcW w:w="1139" w:type="dxa"/>
            <w:vMerge w:val="continue"/>
            <w:tcBorders>
              <w:top w:val="single" w:color="auto" w:sz="4" w:space="0"/>
              <w:left w:val="single" w:color="auto" w:sz="4" w:space="0"/>
              <w:bottom w:val="nil"/>
              <w:right w:val="single" w:color="auto" w:sz="4" w:space="0"/>
            </w:tcBorders>
            <w:noWrap w:val="0"/>
            <w:vAlign w:val="center"/>
          </w:tcPr>
          <w:p w14:paraId="3C619A41">
            <w:pPr>
              <w:widowControl/>
              <w:jc w:val="left"/>
              <w:rPr>
                <w:rFonts w:ascii="仿宋_GB2312" w:eastAsia="仿宋_GB2312"/>
                <w:b/>
              </w:rPr>
            </w:pPr>
          </w:p>
        </w:tc>
        <w:tc>
          <w:tcPr>
            <w:tcW w:w="1841" w:type="dxa"/>
            <w:gridSpan w:val="3"/>
            <w:tcBorders>
              <w:top w:val="single" w:color="auto" w:sz="4" w:space="0"/>
              <w:left w:val="single" w:color="auto" w:sz="4" w:space="0"/>
              <w:bottom w:val="single" w:color="auto" w:sz="4" w:space="0"/>
              <w:right w:val="single" w:color="auto" w:sz="4" w:space="0"/>
            </w:tcBorders>
            <w:noWrap w:val="0"/>
            <w:vAlign w:val="center"/>
          </w:tcPr>
          <w:p w14:paraId="6957C616">
            <w:pPr>
              <w:adjustRightInd w:val="0"/>
              <w:snapToGrid w:val="0"/>
              <w:rPr>
                <w:rFonts w:ascii="仿宋_GB2312" w:eastAsia="仿宋_GB2312"/>
                <w:bCs/>
                <w:szCs w:val="21"/>
              </w:rPr>
            </w:pPr>
            <w:r>
              <w:rPr>
                <w:rFonts w:hint="eastAsia" w:ascii="仿宋_GB2312" w:eastAsia="仿宋_GB2312"/>
                <w:bCs/>
                <w:szCs w:val="21"/>
              </w:rPr>
              <w:t>转让数量（元）</w:t>
            </w:r>
          </w:p>
        </w:tc>
        <w:tc>
          <w:tcPr>
            <w:tcW w:w="2767" w:type="dxa"/>
            <w:gridSpan w:val="3"/>
            <w:tcBorders>
              <w:top w:val="single" w:color="auto" w:sz="4" w:space="0"/>
              <w:left w:val="single" w:color="auto" w:sz="4" w:space="0"/>
              <w:bottom w:val="single" w:color="auto" w:sz="4" w:space="0"/>
              <w:right w:val="single" w:color="auto" w:sz="4" w:space="0"/>
            </w:tcBorders>
            <w:noWrap w:val="0"/>
            <w:vAlign w:val="center"/>
          </w:tcPr>
          <w:p w14:paraId="04882D8E">
            <w:pPr>
              <w:adjustRightInd w:val="0"/>
              <w:snapToGrid w:val="0"/>
              <w:rPr>
                <w:rFonts w:ascii="仿宋_GB2312" w:eastAsia="仿宋_GB2312"/>
                <w:bCs/>
                <w:szCs w:val="21"/>
              </w:rPr>
            </w:pPr>
            <w:r>
              <w:rPr>
                <w:rFonts w:hint="eastAsia" w:ascii="仿宋_GB2312" w:eastAsia="仿宋_GB2312"/>
                <w:bCs/>
                <w:color w:val="BEBEBE"/>
                <w:szCs w:val="21"/>
              </w:rPr>
              <w:t>张数×100</w:t>
            </w:r>
          </w:p>
        </w:tc>
        <w:tc>
          <w:tcPr>
            <w:tcW w:w="1813" w:type="dxa"/>
            <w:gridSpan w:val="4"/>
            <w:tcBorders>
              <w:top w:val="single" w:color="auto" w:sz="4" w:space="0"/>
              <w:left w:val="single" w:color="auto" w:sz="4" w:space="0"/>
              <w:bottom w:val="single" w:color="auto" w:sz="4" w:space="0"/>
              <w:right w:val="single" w:color="auto" w:sz="4" w:space="0"/>
            </w:tcBorders>
            <w:noWrap w:val="0"/>
            <w:vAlign w:val="center"/>
          </w:tcPr>
          <w:p w14:paraId="3EB299D6">
            <w:pPr>
              <w:adjustRightInd w:val="0"/>
              <w:snapToGrid w:val="0"/>
              <w:rPr>
                <w:rFonts w:ascii="仿宋_GB2312" w:eastAsia="仿宋_GB2312"/>
                <w:bCs/>
                <w:szCs w:val="21"/>
              </w:rPr>
            </w:pPr>
            <w:r>
              <w:rPr>
                <w:rFonts w:hint="eastAsia" w:ascii="仿宋_GB2312" w:eastAsia="仿宋_GB2312"/>
                <w:bCs/>
                <w:szCs w:val="21"/>
              </w:rPr>
              <w:t>每元转让价格（元）</w:t>
            </w:r>
          </w:p>
        </w:tc>
        <w:tc>
          <w:tcPr>
            <w:tcW w:w="2340" w:type="dxa"/>
            <w:gridSpan w:val="5"/>
            <w:tcBorders>
              <w:top w:val="single" w:color="auto" w:sz="4" w:space="0"/>
              <w:left w:val="single" w:color="auto" w:sz="4" w:space="0"/>
              <w:bottom w:val="single" w:color="auto" w:sz="4" w:space="0"/>
              <w:right w:val="single" w:color="auto" w:sz="4" w:space="0"/>
            </w:tcBorders>
            <w:noWrap w:val="0"/>
            <w:vAlign w:val="center"/>
          </w:tcPr>
          <w:p w14:paraId="5E88B911">
            <w:pPr>
              <w:adjustRightInd w:val="0"/>
              <w:snapToGrid w:val="0"/>
              <w:rPr>
                <w:rFonts w:hint="eastAsia" w:ascii="仿宋_GB2312" w:eastAsia="仿宋_GB2312"/>
                <w:bCs/>
                <w:color w:val="BEBEBE"/>
                <w:szCs w:val="21"/>
              </w:rPr>
            </w:pPr>
            <w:r>
              <w:rPr>
                <w:rFonts w:hint="eastAsia" w:ascii="仿宋_GB2312" w:eastAsia="仿宋_GB2312"/>
                <w:bCs/>
                <w:color w:val="BEBEBE"/>
                <w:szCs w:val="21"/>
              </w:rPr>
              <w:t>每张成交价格/100</w:t>
            </w:r>
          </w:p>
          <w:p w14:paraId="73BA617D">
            <w:pPr>
              <w:adjustRightInd w:val="0"/>
              <w:snapToGrid w:val="0"/>
              <w:rPr>
                <w:rFonts w:ascii="仿宋_GB2312" w:eastAsia="仿宋_GB2312"/>
                <w:bCs/>
                <w:szCs w:val="21"/>
              </w:rPr>
            </w:pPr>
            <w:r>
              <w:rPr>
                <w:rFonts w:hint="eastAsia" w:ascii="仿宋_GB2312" w:eastAsia="仿宋_GB2312"/>
                <w:bCs/>
                <w:color w:val="BEBEBE"/>
                <w:szCs w:val="21"/>
              </w:rPr>
              <w:t>(四舍五入，不超过5位小数)</w:t>
            </w:r>
          </w:p>
        </w:tc>
      </w:tr>
      <w:tr w14:paraId="625E22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79" w:hRule="atLeast"/>
        </w:trPr>
        <w:tc>
          <w:tcPr>
            <w:tcW w:w="1139" w:type="dxa"/>
            <w:tcBorders>
              <w:top w:val="single" w:color="auto" w:sz="4" w:space="0"/>
              <w:left w:val="single" w:color="auto" w:sz="4" w:space="0"/>
              <w:bottom w:val="single" w:color="auto" w:sz="4" w:space="0"/>
              <w:right w:val="single" w:color="auto" w:sz="4" w:space="0"/>
            </w:tcBorders>
            <w:noWrap w:val="0"/>
            <w:textDirection w:val="tbRlV"/>
            <w:vAlign w:val="center"/>
          </w:tcPr>
          <w:p w14:paraId="2EDEB444">
            <w:pPr>
              <w:adjustRightInd w:val="0"/>
              <w:snapToGrid w:val="0"/>
              <w:spacing w:line="240" w:lineRule="exact"/>
              <w:ind w:left="113" w:right="113"/>
              <w:jc w:val="center"/>
              <w:rPr>
                <w:rFonts w:hint="eastAsia" w:ascii="黑体" w:eastAsia="黑体"/>
                <w:b/>
              </w:rPr>
            </w:pPr>
            <w:r>
              <w:rPr>
                <w:rFonts w:hint="eastAsia" w:ascii="黑体" w:eastAsia="黑体"/>
                <w:b/>
              </w:rPr>
              <w:t>申请文件</w:t>
            </w:r>
          </w:p>
          <w:p w14:paraId="1D64C556">
            <w:pPr>
              <w:adjustRightInd w:val="0"/>
              <w:snapToGrid w:val="0"/>
              <w:spacing w:line="240" w:lineRule="exact"/>
              <w:ind w:left="113" w:right="113"/>
              <w:jc w:val="center"/>
              <w:rPr>
                <w:rFonts w:ascii="黑体" w:eastAsia="黑体"/>
                <w:b/>
              </w:rPr>
            </w:pPr>
            <w:r>
              <w:rPr>
                <w:rFonts w:hint="eastAsia" w:ascii="黑体" w:eastAsia="黑体"/>
                <w:b/>
              </w:rPr>
              <w:t>申请人提交的</w:t>
            </w:r>
          </w:p>
        </w:tc>
        <w:tc>
          <w:tcPr>
            <w:tcW w:w="8761" w:type="dxa"/>
            <w:gridSpan w:val="15"/>
            <w:tcBorders>
              <w:top w:val="nil"/>
              <w:left w:val="single" w:color="auto" w:sz="4" w:space="0"/>
              <w:bottom w:val="single" w:color="auto" w:sz="4" w:space="0"/>
              <w:right w:val="single" w:color="auto" w:sz="4" w:space="0"/>
            </w:tcBorders>
            <w:noWrap w:val="0"/>
            <w:vAlign w:val="center"/>
          </w:tcPr>
          <w:p w14:paraId="2AF5BE93">
            <w:pPr>
              <w:adjustRightInd w:val="0"/>
              <w:snapToGrid w:val="0"/>
              <w:spacing w:line="240" w:lineRule="exact"/>
              <w:rPr>
                <w:rFonts w:ascii="仿宋_GB2312" w:eastAsia="仿宋_GB2312"/>
              </w:rPr>
            </w:pPr>
            <w:r>
              <w:rPr>
                <w:rFonts w:hint="eastAsia" w:ascii="仿宋_GB2312" w:hAnsi="宋体" w:eastAsia="仿宋_GB2312"/>
                <w:bCs/>
                <w:szCs w:val="21"/>
              </w:rPr>
              <w:sym w:font="Wingdings" w:char="F0FE"/>
            </w:r>
            <w:r>
              <w:rPr>
                <w:rFonts w:hint="eastAsia" w:ascii="仿宋_GB2312" w:eastAsia="仿宋_GB2312"/>
              </w:rPr>
              <w:t>1、转让双方营业执照及复印件；</w:t>
            </w:r>
          </w:p>
          <w:p w14:paraId="019542E8">
            <w:pPr>
              <w:adjustRightInd w:val="0"/>
              <w:snapToGrid w:val="0"/>
              <w:spacing w:line="240" w:lineRule="exact"/>
              <w:rPr>
                <w:rFonts w:ascii="仿宋_GB2312" w:eastAsia="仿宋_GB2312"/>
              </w:rPr>
            </w:pPr>
            <w:r>
              <w:rPr>
                <w:rFonts w:ascii="仿宋_GB2312" w:hAnsi="宋体" w:eastAsia="仿宋_GB2312"/>
                <w:bCs/>
                <w:szCs w:val="21"/>
              </w:rPr>
              <w:sym w:font="Wingdings" w:char="F0FE"/>
            </w:r>
            <w:r>
              <w:rPr>
                <w:rFonts w:hint="eastAsia" w:ascii="仿宋_GB2312" w:eastAsia="仿宋_GB2312"/>
              </w:rPr>
              <w:t>2、转让双方法定代表人证明书及身份证复印件和授权委托书（加盖法定代表人签章）；</w:t>
            </w:r>
          </w:p>
          <w:p w14:paraId="0FF80950">
            <w:pPr>
              <w:adjustRightInd w:val="0"/>
              <w:snapToGrid w:val="0"/>
              <w:spacing w:line="240" w:lineRule="exact"/>
              <w:rPr>
                <w:rFonts w:hint="eastAsia" w:ascii="仿宋_GB2312" w:eastAsia="仿宋_GB2312"/>
              </w:rPr>
            </w:pPr>
            <w:r>
              <w:rPr>
                <w:rFonts w:ascii="仿宋_GB2312" w:hAnsi="宋体" w:eastAsia="仿宋_GB2312"/>
                <w:bCs/>
                <w:szCs w:val="21"/>
              </w:rPr>
              <w:sym w:font="Wingdings" w:char="F0FE"/>
            </w:r>
            <w:r>
              <w:rPr>
                <w:rFonts w:hint="eastAsia" w:ascii="仿宋_GB2312" w:eastAsia="仿宋_GB2312"/>
              </w:rPr>
              <w:t>3、转让双方经办人身份证及复印件；</w:t>
            </w:r>
          </w:p>
          <w:p w14:paraId="1F4BCC88">
            <w:pPr>
              <w:adjustRightInd w:val="0"/>
              <w:snapToGrid w:val="0"/>
              <w:spacing w:line="240" w:lineRule="exact"/>
              <w:rPr>
                <w:rFonts w:hint="eastAsia" w:ascii="仿宋_GB2312" w:eastAsia="仿宋_GB2312"/>
              </w:rPr>
            </w:pPr>
            <w:r>
              <w:rPr>
                <w:rFonts w:ascii="仿宋_GB2312" w:hAnsi="宋体" w:eastAsia="仿宋_GB2312"/>
                <w:bCs/>
                <w:szCs w:val="21"/>
              </w:rPr>
              <w:sym w:font="Wingdings" w:char="F0FE"/>
            </w:r>
            <w:r>
              <w:rPr>
                <w:rFonts w:hint="eastAsia" w:ascii="仿宋_GB2312" w:eastAsia="仿宋_GB2312"/>
              </w:rPr>
              <w:t>4、转让双方的证券账户卡；</w:t>
            </w:r>
          </w:p>
          <w:p w14:paraId="00A14F71">
            <w:pPr>
              <w:adjustRightInd w:val="0"/>
              <w:snapToGrid w:val="0"/>
              <w:spacing w:line="240" w:lineRule="exact"/>
              <w:rPr>
                <w:rFonts w:ascii="仿宋_GB2312" w:eastAsia="仿宋_GB2312"/>
              </w:rPr>
            </w:pPr>
            <w:r>
              <w:rPr>
                <w:rFonts w:ascii="仿宋_GB2312" w:hAnsi="宋体" w:eastAsia="仿宋_GB2312"/>
                <w:bCs/>
                <w:szCs w:val="21"/>
              </w:rPr>
              <w:sym w:font="Wingdings" w:char="F0FE"/>
            </w:r>
            <w:r>
              <w:rPr>
                <w:rFonts w:hint="eastAsia" w:ascii="仿宋_GB2312" w:eastAsia="仿宋_GB2312"/>
              </w:rPr>
              <w:t>5、转让协议或归属证明；</w:t>
            </w:r>
          </w:p>
          <w:p w14:paraId="5367A6C5">
            <w:pPr>
              <w:adjustRightInd w:val="0"/>
              <w:snapToGrid w:val="0"/>
              <w:spacing w:line="240" w:lineRule="exact"/>
              <w:jc w:val="left"/>
              <w:rPr>
                <w:rStyle w:val="156"/>
                <w:rFonts w:ascii="仿宋_GB2312" w:eastAsia="仿宋_GB2312"/>
              </w:rPr>
            </w:pPr>
            <w:r>
              <w:rPr>
                <w:rFonts w:ascii="仿宋_GB2312" w:hAnsi="宋体" w:eastAsia="仿宋_GB2312"/>
                <w:bCs/>
                <w:szCs w:val="21"/>
              </w:rPr>
              <w:sym w:font="Wingdings" w:char="F0FE"/>
            </w:r>
            <w:r>
              <w:rPr>
                <w:rFonts w:hint="eastAsia" w:ascii="仿宋_GB2312" w:eastAsia="仿宋_GB2312"/>
              </w:rPr>
              <w:t>6、本所要求提交的其他文件。</w:t>
            </w:r>
          </w:p>
        </w:tc>
      </w:tr>
      <w:tr w14:paraId="70288E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7" w:hRule="atLeast"/>
        </w:trPr>
        <w:tc>
          <w:tcPr>
            <w:tcW w:w="1139" w:type="dxa"/>
            <w:tcBorders>
              <w:top w:val="single" w:color="auto" w:sz="4" w:space="0"/>
              <w:left w:val="single" w:color="auto" w:sz="4" w:space="0"/>
              <w:bottom w:val="single" w:color="auto" w:sz="4" w:space="0"/>
              <w:right w:val="single" w:color="auto" w:sz="4" w:space="0"/>
            </w:tcBorders>
            <w:noWrap w:val="0"/>
            <w:textDirection w:val="tbRlV"/>
            <w:vAlign w:val="center"/>
          </w:tcPr>
          <w:p w14:paraId="279385B8">
            <w:pPr>
              <w:adjustRightInd w:val="0"/>
              <w:snapToGrid w:val="0"/>
              <w:ind w:left="113" w:right="113"/>
              <w:jc w:val="center"/>
              <w:rPr>
                <w:rFonts w:ascii="黑体" w:eastAsia="黑体"/>
                <w:b/>
                <w:szCs w:val="21"/>
              </w:rPr>
            </w:pPr>
            <w:r>
              <w:rPr>
                <w:rFonts w:hint="eastAsia" w:ascii="黑体" w:eastAsia="黑体"/>
                <w:b/>
                <w:szCs w:val="21"/>
              </w:rPr>
              <w:t>申请人承诺</w:t>
            </w:r>
          </w:p>
        </w:tc>
        <w:tc>
          <w:tcPr>
            <w:tcW w:w="8761" w:type="dxa"/>
            <w:gridSpan w:val="15"/>
            <w:tcBorders>
              <w:top w:val="single" w:color="auto" w:sz="4" w:space="0"/>
              <w:left w:val="single" w:color="auto" w:sz="4" w:space="0"/>
              <w:bottom w:val="single" w:color="auto" w:sz="4" w:space="0"/>
              <w:right w:val="single" w:color="auto" w:sz="4" w:space="0"/>
            </w:tcBorders>
            <w:noWrap w:val="0"/>
            <w:vAlign w:val="center"/>
          </w:tcPr>
          <w:p w14:paraId="6A12E698">
            <w:pPr>
              <w:widowControl/>
              <w:spacing w:before="100" w:beforeAutospacing="1" w:after="100" w:afterAutospacing="1"/>
              <w:jc w:val="left"/>
              <w:rPr>
                <w:rStyle w:val="156"/>
                <w:rFonts w:ascii="黑体" w:hAnsi="宋体" w:eastAsia="宋体" w:cs="宋体"/>
                <w:kern w:val="0"/>
                <w:sz w:val="24"/>
                <w:szCs w:val="24"/>
                <w:lang w:val="en-US" w:eastAsia="en-US" w:bidi="en-US"/>
              </w:rPr>
            </w:pPr>
            <w:r>
              <w:rPr>
                <w:rStyle w:val="156"/>
                <w:rFonts w:ascii="黑体" w:hAnsi="Times New Roman" w:eastAsia="宋体" w:cs="Times New Roman"/>
                <w:b/>
                <w:bCs/>
                <w:kern w:val="2"/>
                <w:lang w:val="en-US" w:eastAsia="zh-CN" w:bidi="ar-SA"/>
              </w:rPr>
              <w:t>申请人承诺</w:t>
            </w:r>
            <w:r>
              <w:rPr>
                <w:rStyle w:val="156"/>
                <w:rFonts w:ascii="黑体" w:hAnsi="Times New Roman" w:eastAsia="宋体" w:cs="Times New Roman"/>
                <w:kern w:val="2"/>
                <w:lang w:val="en-US" w:eastAsia="zh-CN" w:bidi="ar-SA"/>
              </w:rPr>
              <w:t>：</w:t>
            </w:r>
          </w:p>
          <w:p w14:paraId="65415727">
            <w:pPr>
              <w:widowControl/>
              <w:spacing w:before="100" w:beforeAutospacing="1" w:after="100" w:afterAutospacing="1" w:line="240" w:lineRule="exact"/>
              <w:ind w:firstLine="420" w:firstLineChars="200"/>
              <w:jc w:val="left"/>
              <w:rPr>
                <w:rFonts w:hint="eastAsia" w:ascii="宋体" w:hAnsi="Times New Roman" w:eastAsia="宋体" w:cs="Times New Roman"/>
                <w:bCs/>
                <w:kern w:val="2"/>
                <w:sz w:val="24"/>
                <w:szCs w:val="24"/>
                <w:lang w:val="en-US" w:eastAsia="en-US" w:bidi="en-US"/>
              </w:rPr>
            </w:pPr>
            <w:r>
              <w:rPr>
                <w:rFonts w:hint="eastAsia" w:ascii="Times New Roman" w:hAnsi="Times New Roman" w:eastAsia="宋体" w:cs="Times New Roman"/>
                <w:bCs/>
                <w:kern w:val="2"/>
                <w:sz w:val="21"/>
                <w:szCs w:val="20"/>
                <w:lang w:val="en-US" w:eastAsia="en-US" w:bidi="en-US"/>
              </w:rPr>
              <w:t>为保证非交易过户业务的完成，申请人将自愿遵守上海证券交易所及中国证券登记结算有限责任公司上海分公司的要求，如实提供相关材料、保证所陈述的过户事由属实，并承担由于上述非交易过户可能引发的一切连带责任。</w:t>
            </w:r>
          </w:p>
          <w:p w14:paraId="3AA2A776">
            <w:pPr>
              <w:widowControl/>
              <w:spacing w:before="100" w:beforeAutospacing="1" w:after="100" w:afterAutospacing="1" w:line="240" w:lineRule="exact"/>
              <w:ind w:firstLine="480" w:firstLineChars="200"/>
              <w:jc w:val="left"/>
              <w:rPr>
                <w:rFonts w:hint="eastAsia" w:ascii="宋体" w:hAnsi="Times New Roman" w:eastAsia="宋体" w:cs="Times New Roman"/>
                <w:bCs/>
                <w:kern w:val="2"/>
                <w:sz w:val="24"/>
                <w:szCs w:val="24"/>
                <w:lang w:val="en-US" w:eastAsia="en-US" w:bidi="en-US"/>
              </w:rPr>
            </w:pPr>
          </w:p>
          <w:p w14:paraId="18605FEE">
            <w:pPr>
              <w:adjustRightInd w:val="0"/>
              <w:snapToGrid w:val="0"/>
              <w:spacing w:line="300" w:lineRule="exact"/>
              <w:rPr>
                <w:rFonts w:hint="eastAsia" w:ascii="仿宋_GB2312" w:eastAsia="仿宋_GB2312"/>
                <w:bCs/>
                <w:color w:val="000000"/>
                <w:szCs w:val="21"/>
              </w:rPr>
            </w:pPr>
            <w:r>
              <w:rPr>
                <w:rFonts w:hint="eastAsia" w:eastAsia="宋体"/>
                <w:bCs/>
              </w:rPr>
              <w:t>过</w:t>
            </w:r>
            <w:r>
              <w:rPr>
                <w:rFonts w:eastAsia="宋体"/>
                <w:bCs/>
              </w:rPr>
              <w:t>出</w:t>
            </w:r>
            <w:r>
              <w:rPr>
                <w:rFonts w:hint="eastAsia" w:eastAsia="宋体"/>
                <w:bCs/>
              </w:rPr>
              <w:t>方</w:t>
            </w:r>
            <w:r>
              <w:rPr>
                <w:rFonts w:eastAsia="宋体"/>
                <w:bCs/>
              </w:rPr>
              <w:t>或其授权代表</w:t>
            </w:r>
            <w:r>
              <w:rPr>
                <w:rFonts w:hint="eastAsia" w:ascii="仿宋_GB2312" w:eastAsia="仿宋_GB2312"/>
                <w:bCs/>
                <w:color w:val="000000"/>
                <w:szCs w:val="21"/>
              </w:rPr>
              <w:t xml:space="preserve">（签章）                 过入方或其授权代表（签章）  </w:t>
            </w:r>
          </w:p>
          <w:p w14:paraId="728B0FD3">
            <w:pPr>
              <w:spacing w:line="240" w:lineRule="exact"/>
              <w:rPr>
                <w:rFonts w:hint="eastAsia" w:eastAsia="宋体"/>
                <w:bCs/>
              </w:rPr>
            </w:pPr>
          </w:p>
          <w:p w14:paraId="413085C8">
            <w:pPr>
              <w:adjustRightInd w:val="0"/>
              <w:snapToGrid w:val="0"/>
              <w:spacing w:line="300" w:lineRule="exact"/>
              <w:rPr>
                <w:rFonts w:ascii="仿宋_GB2312" w:eastAsia="仿宋_GB2312"/>
                <w:bCs/>
                <w:color w:val="000000"/>
                <w:szCs w:val="21"/>
              </w:rPr>
            </w:pPr>
          </w:p>
          <w:p w14:paraId="42842E8E">
            <w:pPr>
              <w:adjustRightInd w:val="0"/>
              <w:snapToGrid w:val="0"/>
              <w:spacing w:line="300" w:lineRule="exact"/>
              <w:ind w:right="420" w:firstLine="2415" w:firstLineChars="1150"/>
              <w:rPr>
                <w:rFonts w:hint="eastAsia" w:ascii="仿宋_GB2312" w:eastAsia="仿宋_GB2312"/>
                <w:bCs/>
                <w:color w:val="000000"/>
                <w:szCs w:val="21"/>
              </w:rPr>
            </w:pPr>
            <w:r>
              <w:rPr>
                <w:rFonts w:hint="eastAsia" w:ascii="仿宋_GB2312" w:eastAsia="仿宋_GB2312"/>
                <w:bCs/>
                <w:color w:val="000000"/>
                <w:szCs w:val="21"/>
              </w:rPr>
              <w:t>年   月   日                              年   月   日</w:t>
            </w:r>
          </w:p>
        </w:tc>
      </w:tr>
      <w:tr w14:paraId="13F289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765" w:hRule="atLeast"/>
        </w:trPr>
        <w:tc>
          <w:tcPr>
            <w:tcW w:w="1139" w:type="dxa"/>
            <w:tcBorders>
              <w:top w:val="single" w:color="auto" w:sz="4" w:space="0"/>
              <w:left w:val="single" w:color="auto" w:sz="4" w:space="0"/>
              <w:bottom w:val="single" w:color="auto" w:sz="4" w:space="0"/>
              <w:right w:val="single" w:color="auto" w:sz="4" w:space="0"/>
            </w:tcBorders>
            <w:noWrap w:val="0"/>
            <w:textDirection w:val="tbRlV"/>
            <w:vAlign w:val="center"/>
          </w:tcPr>
          <w:p w14:paraId="7A98A8C5">
            <w:pPr>
              <w:adjustRightInd w:val="0"/>
              <w:snapToGrid w:val="0"/>
              <w:ind w:left="113" w:right="113"/>
              <w:jc w:val="center"/>
              <w:rPr>
                <w:rFonts w:hint="eastAsia" w:ascii="黑体" w:eastAsia="黑体"/>
                <w:b/>
              </w:rPr>
            </w:pPr>
            <w:r>
              <w:rPr>
                <w:rFonts w:hint="eastAsia" w:ascii="黑体" w:eastAsia="黑体"/>
                <w:b/>
              </w:rPr>
              <w:t>确认意见</w:t>
            </w:r>
          </w:p>
          <w:p w14:paraId="498BB80B">
            <w:pPr>
              <w:adjustRightInd w:val="0"/>
              <w:snapToGrid w:val="0"/>
              <w:ind w:left="113" w:right="113"/>
              <w:jc w:val="center"/>
              <w:rPr>
                <w:rFonts w:ascii="仿宋_GB2312" w:eastAsia="仿宋_GB2312"/>
                <w:b/>
                <w:szCs w:val="21"/>
              </w:rPr>
            </w:pPr>
            <w:r>
              <w:rPr>
                <w:rFonts w:hint="eastAsia" w:ascii="黑体" w:eastAsia="黑体"/>
                <w:b/>
              </w:rPr>
              <w:t>上证所债券部</w:t>
            </w:r>
          </w:p>
        </w:tc>
        <w:tc>
          <w:tcPr>
            <w:tcW w:w="8761" w:type="dxa"/>
            <w:gridSpan w:val="15"/>
            <w:tcBorders>
              <w:top w:val="single" w:color="auto" w:sz="4" w:space="0"/>
              <w:left w:val="single" w:color="auto" w:sz="4" w:space="0"/>
              <w:bottom w:val="single" w:color="auto" w:sz="4" w:space="0"/>
            </w:tcBorders>
            <w:noWrap w:val="0"/>
            <w:vAlign w:val="center"/>
          </w:tcPr>
          <w:p w14:paraId="6327516A">
            <w:pPr>
              <w:widowControl/>
              <w:spacing w:before="100" w:beforeAutospacing="1" w:after="100" w:afterAutospacing="1" w:line="240" w:lineRule="exact"/>
              <w:ind w:firstLine="480" w:firstLineChars="200"/>
              <w:jc w:val="left"/>
              <w:rPr>
                <w:rFonts w:hint="eastAsia" w:ascii="Times New Roman" w:hAnsi="Times New Roman" w:eastAsia="宋体" w:cs="Times New Roman"/>
                <w:bCs/>
                <w:kern w:val="2"/>
                <w:sz w:val="24"/>
                <w:szCs w:val="20"/>
                <w:lang w:val="en-US" w:eastAsia="en-US" w:bidi="en-US"/>
              </w:rPr>
            </w:pPr>
            <w:r>
              <w:rPr>
                <w:rFonts w:hint="eastAsia" w:ascii="Times New Roman" w:hAnsi="Times New Roman" w:eastAsia="宋体" w:cs="Times New Roman"/>
                <w:bCs/>
                <w:kern w:val="2"/>
                <w:sz w:val="24"/>
                <w:szCs w:val="20"/>
                <w:lang w:val="en-US" w:eastAsia="en-US" w:bidi="en-US"/>
              </w:rPr>
              <w:t>经审阅，我部对上述转让信息无异议，请贵司协助办理相关转让事宜。</w:t>
            </w:r>
          </w:p>
          <w:p w14:paraId="67F8F070">
            <w:pPr>
              <w:adjustRightInd w:val="0"/>
              <w:snapToGrid w:val="0"/>
              <w:ind w:firstLine="630" w:firstLineChars="300"/>
              <w:rPr>
                <w:rFonts w:hint="eastAsia" w:ascii="仿宋_GB2312" w:eastAsia="仿宋_GB2312"/>
                <w:bCs/>
                <w:color w:val="000000"/>
                <w:szCs w:val="21"/>
              </w:rPr>
            </w:pPr>
            <w:r>
              <w:rPr>
                <w:rFonts w:hint="eastAsia" w:ascii="仿宋_GB2312" w:eastAsia="仿宋_GB2312"/>
                <w:bCs/>
                <w:color w:val="000000"/>
                <w:szCs w:val="21"/>
              </w:rPr>
              <w:t xml:space="preserve">初审人：               复核人： </w:t>
            </w:r>
          </w:p>
          <w:p w14:paraId="4C0913A9">
            <w:pPr>
              <w:adjustRightInd w:val="0"/>
              <w:snapToGrid w:val="0"/>
              <w:rPr>
                <w:rFonts w:hint="eastAsia" w:ascii="仿宋_GB2312" w:eastAsia="仿宋_GB2312"/>
                <w:bCs/>
                <w:color w:val="000000"/>
                <w:szCs w:val="21"/>
              </w:rPr>
            </w:pPr>
            <w:r>
              <w:rPr>
                <w:rFonts w:hint="eastAsia" w:ascii="仿宋_GB2312" w:eastAsia="仿宋_GB2312"/>
                <w:bCs/>
                <w:color w:val="000000"/>
                <w:szCs w:val="21"/>
              </w:rPr>
              <w:t xml:space="preserve">                                                                 年   月   日                                                            </w:t>
            </w:r>
          </w:p>
        </w:tc>
      </w:tr>
    </w:tbl>
    <w:p w14:paraId="020332BE">
      <w:pPr>
        <w:adjustRightInd w:val="0"/>
        <w:snapToGrid w:val="0"/>
        <w:spacing w:line="260" w:lineRule="exact"/>
        <w:rPr>
          <w:rFonts w:ascii="仿宋_GB2312" w:eastAsia="仿宋_GB2312"/>
          <w:szCs w:val="21"/>
        </w:rPr>
      </w:pPr>
      <w:r>
        <w:rPr>
          <w:rFonts w:hint="eastAsia" w:ascii="仿宋_GB2312" w:eastAsia="仿宋_GB2312"/>
          <w:szCs w:val="21"/>
        </w:rPr>
        <w:t>注：1、本表中“申请人承诺”栏及以上由申请人员填写；</w:t>
      </w:r>
    </w:p>
    <w:p w14:paraId="12C4E84D">
      <w:pPr>
        <w:spacing w:line="260" w:lineRule="exact"/>
        <w:ind w:firstLine="420" w:firstLineChars="200"/>
        <w:rPr>
          <w:rFonts w:hint="eastAsia" w:ascii="仿宋_GB2312" w:eastAsia="仿宋_GB2312"/>
          <w:szCs w:val="21"/>
        </w:rPr>
      </w:pPr>
      <w:r>
        <w:rPr>
          <w:rFonts w:hint="eastAsia" w:ascii="仿宋_GB2312" w:eastAsia="仿宋_GB2312"/>
          <w:szCs w:val="21"/>
        </w:rPr>
        <w:t>2、本表自本所债券部签字确认之日起三十日内有效。逾期未办理的，须重新申请。</w:t>
      </w:r>
    </w:p>
    <w:p w14:paraId="4391378C">
      <w:pPr>
        <w:spacing w:line="260" w:lineRule="exact"/>
        <w:ind w:firstLine="420" w:firstLineChars="200"/>
        <w:rPr>
          <w:rFonts w:hint="eastAsia" w:ascii="仿宋_GB2312" w:eastAsia="仿宋_GB2312"/>
          <w:szCs w:val="21"/>
        </w:rPr>
      </w:pPr>
      <w:r>
        <w:rPr>
          <w:rFonts w:hint="eastAsia" w:ascii="仿宋_GB2312" w:eastAsia="仿宋_GB2312"/>
          <w:szCs w:val="21"/>
        </w:rPr>
        <w:t>3、本表原件与中国结算公司上海分公司收到的信息核对一致，方可办理过户手续。</w:t>
      </w:r>
    </w:p>
    <w:p w14:paraId="5C11095D">
      <w:pPr>
        <w:spacing w:after="156" w:afterLines="50" w:line="560" w:lineRule="exact"/>
        <w:ind w:firstLine="600" w:firstLineChars="200"/>
        <w:rPr>
          <w:rFonts w:hint="eastAsia" w:ascii="Times New Roman" w:eastAsia="仿宋_GB2312"/>
          <w:sz w:val="30"/>
          <w:szCs w:val="30"/>
        </w:rPr>
      </w:pPr>
      <w:r>
        <w:rPr>
          <w:rFonts w:hint="eastAsia" w:ascii="Times New Roman" w:eastAsia="仿宋_GB2312"/>
          <w:sz w:val="30"/>
          <w:szCs w:val="30"/>
        </w:rPr>
        <w:br w:type="page"/>
      </w:r>
    </w:p>
    <w:p w14:paraId="50A532D6">
      <w:pPr>
        <w:widowControl/>
        <w:spacing w:beforeLines="-2147483648" w:afterLines="-2147483648" w:line="240" w:lineRule="auto"/>
        <w:ind w:firstLine="0" w:firstLineChars="0"/>
        <w:jc w:val="left"/>
        <w:outlineLvl w:val="1"/>
        <w:rPr>
          <w:rFonts w:hint="eastAsia" w:ascii="仿宋_GB2312" w:hAnsi="黑体" w:eastAsia="仿宋_GB2312"/>
          <w:b/>
          <w:sz w:val="30"/>
          <w:szCs w:val="30"/>
        </w:rPr>
      </w:pPr>
      <w:bookmarkStart w:id="4260" w:name="_Toc1540762551"/>
      <w:bookmarkStart w:id="4261" w:name="_Toc1639837925"/>
      <w:bookmarkStart w:id="4262" w:name="_Toc15300"/>
      <w:bookmarkStart w:id="4263" w:name="_Toc23707"/>
      <w:bookmarkStart w:id="4264" w:name="_Toc14552"/>
      <w:bookmarkStart w:id="4265" w:name="_Toc1922240465"/>
      <w:bookmarkStart w:id="4266" w:name="_Toc309394423"/>
      <w:bookmarkStart w:id="4267" w:name="_Toc22165"/>
      <w:bookmarkStart w:id="4268" w:name="_Toc12395"/>
      <w:bookmarkStart w:id="4269" w:name="_Toc1874592336"/>
      <w:bookmarkStart w:id="4270" w:name="_Toc3306"/>
      <w:bookmarkStart w:id="4271" w:name="_Toc17716368"/>
      <w:bookmarkStart w:id="4272" w:name="_Toc62429805"/>
      <w:bookmarkStart w:id="4273" w:name="_Toc7633"/>
      <w:bookmarkStart w:id="4274" w:name="_Toc26948"/>
      <w:r>
        <w:rPr>
          <w:rFonts w:hint="eastAsia" w:ascii="仿宋_GB2312" w:hAnsi="黑体" w:eastAsia="仿宋_GB2312"/>
          <w:b/>
          <w:sz w:val="30"/>
          <w:szCs w:val="30"/>
        </w:rPr>
        <w:t>附件</w:t>
      </w:r>
      <w:r>
        <w:rPr>
          <w:rFonts w:hint="eastAsia" w:ascii="仿宋_GB2312" w:hAnsi="黑体" w:eastAsia="仿宋_GB2312"/>
          <w:b/>
          <w:sz w:val="30"/>
          <w:szCs w:val="30"/>
          <w:lang w:val="en-US" w:eastAsia="zh-CN"/>
        </w:rPr>
        <w:t>41</w:t>
      </w:r>
      <w:r>
        <w:rPr>
          <w:rFonts w:hint="eastAsia" w:ascii="仿宋_GB2312" w:hAnsi="黑体" w:eastAsia="仿宋_GB2312"/>
          <w:b/>
          <w:sz w:val="30"/>
          <w:szCs w:val="30"/>
        </w:rPr>
        <w:t xml:space="preserve"> 关于债券非交易过户的申请</w:t>
      </w:r>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p>
    <w:p w14:paraId="4A8F781B">
      <w:pPr>
        <w:widowControl/>
        <w:spacing w:after="156" w:afterLines="50" w:line="560" w:lineRule="exact"/>
        <w:ind w:firstLine="0" w:firstLineChars="0"/>
        <w:jc w:val="center"/>
        <w:rPr>
          <w:rFonts w:hint="eastAsia" w:ascii="Times New Roman" w:hAnsi="Times New Roman" w:eastAsia="仿宋_GB2312" w:cs="Times New Roman"/>
          <w:kern w:val="2"/>
          <w:sz w:val="30"/>
          <w:szCs w:val="30"/>
          <w:lang w:val="en-US" w:eastAsia="zh-CN" w:bidi="ar-SA"/>
        </w:rPr>
      </w:pPr>
      <w:r>
        <w:rPr>
          <w:rFonts w:hint="eastAsia" w:ascii="Times New Roman" w:hAnsi="Times New Roman" w:eastAsia="仿宋_GB2312" w:cs="Times New Roman"/>
          <w:b w:val="0"/>
          <w:bCs w:val="0"/>
          <w:kern w:val="2"/>
          <w:sz w:val="30"/>
          <w:szCs w:val="30"/>
          <w:lang w:val="en-US" w:eastAsia="zh-CN" w:bidi="ar-SA"/>
        </w:rPr>
        <w:t>关于债券非交易过户的申请</w:t>
      </w:r>
    </w:p>
    <w:p w14:paraId="61920A6E">
      <w:pPr>
        <w:spacing w:beforeLines="-2147483648" w:after="156" w:afterLines="50" w:line="560" w:lineRule="exact"/>
        <w:ind w:firstLine="0" w:firstLineChars="0"/>
        <w:rPr>
          <w:rFonts w:hint="eastAsia" w:ascii="Times New Roman" w:hAnsi="Times New Roman" w:eastAsia="仿宋_GB2312" w:cs="Times New Roman"/>
          <w:sz w:val="30"/>
          <w:szCs w:val="30"/>
        </w:rPr>
      </w:pPr>
      <w:r>
        <w:rPr>
          <w:rFonts w:hint="eastAsia" w:ascii="Times New Roman" w:hAnsi="Times New Roman" w:eastAsia="仿宋_GB2312" w:cs="Times New Roman"/>
          <w:sz w:val="30"/>
          <w:szCs w:val="30"/>
        </w:rPr>
        <w:t>上海证券交易所、中国证券登记结算有限责任公司上海分公司：</w:t>
      </w:r>
    </w:p>
    <w:p w14:paraId="3ACA348D">
      <w:pPr>
        <w:spacing w:beforeLines="-2147483648" w:after="156" w:afterLines="50" w:line="560" w:lineRule="exact"/>
        <w:ind w:firstLine="600" w:firstLineChars="200"/>
        <w:rPr>
          <w:rFonts w:hint="eastAsia" w:ascii="Times New Roman" w:hAnsi="Times New Roman" w:eastAsia="仿宋_GB2312" w:cs="Times New Roman"/>
          <w:sz w:val="30"/>
          <w:szCs w:val="30"/>
        </w:rPr>
      </w:pPr>
      <w:r>
        <w:rPr>
          <w:rFonts w:hint="eastAsia" w:ascii="Times New Roman" w:hAnsi="Times New Roman" w:eastAsia="仿宋_GB2312" w:cs="Times New Roman"/>
          <w:sz w:val="30"/>
          <w:szCs w:val="30"/>
        </w:rPr>
        <w:t>鉴于**原因，导致     情况的发生。现经双方协商一致，拟采取将**债券**</w:t>
      </w:r>
      <w:r>
        <w:rPr>
          <w:rFonts w:hint="eastAsia" w:ascii="Times New Roman" w:hAnsi="Times New Roman" w:eastAsia="仿宋_GB2312" w:cs="Times New Roman"/>
          <w:sz w:val="30"/>
          <w:szCs w:val="30"/>
          <w:lang w:eastAsia="zh-CN"/>
        </w:rPr>
        <w:t>（张数</w:t>
      </w:r>
      <w:r>
        <w:rPr>
          <w:rFonts w:hint="eastAsia" w:ascii="Times New Roman" w:hAnsi="Times New Roman" w:eastAsia="仿宋_GB2312" w:cs="Times New Roman"/>
          <w:sz w:val="30"/>
          <w:szCs w:val="30"/>
          <w:lang w:val="en-US" w:eastAsia="zh-CN"/>
        </w:rPr>
        <w:t>×100</w:t>
      </w:r>
      <w:r>
        <w:rPr>
          <w:rFonts w:hint="eastAsia" w:ascii="Times New Roman" w:hAnsi="Times New Roman" w:eastAsia="仿宋_GB2312" w:cs="Times New Roman"/>
          <w:sz w:val="30"/>
          <w:szCs w:val="30"/>
          <w:lang w:eastAsia="zh-CN"/>
        </w:rPr>
        <w:t>）</w:t>
      </w:r>
      <w:r>
        <w:rPr>
          <w:rFonts w:hint="eastAsia" w:ascii="Times New Roman" w:hAnsi="Times New Roman" w:eastAsia="仿宋_GB2312" w:cs="Times New Roman"/>
          <w:sz w:val="30"/>
          <w:szCs w:val="30"/>
        </w:rPr>
        <w:t>元</w:t>
      </w:r>
      <w:r>
        <w:rPr>
          <w:rFonts w:hint="eastAsia" w:ascii="Times New Roman" w:hAnsi="Times New Roman" w:eastAsia="仿宋_GB2312" w:cs="Times New Roman"/>
          <w:sz w:val="30"/>
          <w:szCs w:val="30"/>
          <w:lang w:eastAsia="zh-CN"/>
        </w:rPr>
        <w:t>（若面值非</w:t>
      </w:r>
      <w:r>
        <w:rPr>
          <w:rFonts w:hint="eastAsia" w:ascii="Times New Roman" w:hAnsi="Times New Roman" w:eastAsia="仿宋_GB2312" w:cs="Times New Roman"/>
          <w:sz w:val="30"/>
          <w:szCs w:val="30"/>
          <w:lang w:val="en-US" w:eastAsia="zh-CN"/>
        </w:rPr>
        <w:t>100，请备注：合XX张，每张面值XX元</w:t>
      </w:r>
      <w:r>
        <w:rPr>
          <w:rFonts w:hint="eastAsia" w:ascii="Times New Roman" w:hAnsi="Times New Roman" w:eastAsia="仿宋_GB2312" w:cs="Times New Roman"/>
          <w:sz w:val="30"/>
          <w:szCs w:val="30"/>
          <w:lang w:eastAsia="zh-CN"/>
        </w:rPr>
        <w:t>）</w:t>
      </w:r>
      <w:r>
        <w:rPr>
          <w:rFonts w:hint="eastAsia" w:ascii="Times New Roman" w:hAnsi="Times New Roman" w:eastAsia="仿宋_GB2312" w:cs="Times New Roman"/>
          <w:sz w:val="30"/>
          <w:szCs w:val="30"/>
        </w:rPr>
        <w:t>以非交易过户方式从**方过户给**方，过户要素及双方账户信息如下：</w:t>
      </w:r>
    </w:p>
    <w:tbl>
      <w:tblPr>
        <w:tblStyle w:val="43"/>
        <w:tblW w:w="83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6"/>
        <w:gridCol w:w="1017"/>
        <w:gridCol w:w="1815"/>
        <w:gridCol w:w="3690"/>
      </w:tblGrid>
      <w:tr w14:paraId="40CF5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exact"/>
        </w:trPr>
        <w:tc>
          <w:tcPr>
            <w:tcW w:w="1866" w:type="dxa"/>
            <w:tcBorders>
              <w:top w:val="single" w:color="auto" w:sz="4" w:space="0"/>
              <w:left w:val="single" w:color="auto" w:sz="4" w:space="0"/>
              <w:bottom w:val="single" w:color="auto" w:sz="4" w:space="0"/>
              <w:right w:val="single" w:color="auto" w:sz="4" w:space="0"/>
            </w:tcBorders>
          </w:tcPr>
          <w:p w14:paraId="719F9393">
            <w:pPr>
              <w:spacing w:line="300" w:lineRule="auto"/>
              <w:rPr>
                <w:rFonts w:eastAsia="宋体"/>
              </w:rPr>
            </w:pPr>
          </w:p>
        </w:tc>
        <w:tc>
          <w:tcPr>
            <w:tcW w:w="1017" w:type="dxa"/>
            <w:tcBorders>
              <w:top w:val="single" w:color="auto" w:sz="4" w:space="0"/>
              <w:left w:val="single" w:color="auto" w:sz="4" w:space="0"/>
              <w:bottom w:val="single" w:color="auto" w:sz="4" w:space="0"/>
              <w:right w:val="single" w:color="auto" w:sz="4" w:space="0"/>
            </w:tcBorders>
          </w:tcPr>
          <w:p w14:paraId="22659DBA">
            <w:pPr>
              <w:spacing w:line="300" w:lineRule="auto"/>
              <w:rPr>
                <w:rFonts w:eastAsia="宋体"/>
              </w:rPr>
            </w:pPr>
          </w:p>
        </w:tc>
        <w:tc>
          <w:tcPr>
            <w:tcW w:w="1815" w:type="dxa"/>
            <w:tcBorders>
              <w:top w:val="single" w:color="auto" w:sz="4" w:space="0"/>
              <w:left w:val="single" w:color="auto" w:sz="4" w:space="0"/>
              <w:bottom w:val="single" w:color="auto" w:sz="4" w:space="0"/>
              <w:right w:val="single" w:color="auto" w:sz="4" w:space="0"/>
            </w:tcBorders>
          </w:tcPr>
          <w:p w14:paraId="41895917">
            <w:pPr>
              <w:spacing w:line="300" w:lineRule="auto"/>
              <w:rPr>
                <w:rFonts w:eastAsia="宋体"/>
              </w:rPr>
            </w:pPr>
          </w:p>
        </w:tc>
        <w:tc>
          <w:tcPr>
            <w:tcW w:w="3690" w:type="dxa"/>
            <w:tcBorders>
              <w:top w:val="single" w:color="auto" w:sz="4" w:space="0"/>
              <w:left w:val="single" w:color="auto" w:sz="4" w:space="0"/>
              <w:bottom w:val="single" w:color="auto" w:sz="4" w:space="0"/>
              <w:right w:val="single" w:color="auto" w:sz="4" w:space="0"/>
            </w:tcBorders>
          </w:tcPr>
          <w:p w14:paraId="6BC102EB">
            <w:pPr>
              <w:spacing w:line="300" w:lineRule="auto"/>
              <w:rPr>
                <w:rFonts w:eastAsia="宋体"/>
              </w:rPr>
            </w:pPr>
          </w:p>
        </w:tc>
      </w:tr>
      <w:tr w14:paraId="74A46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After w:w="6522" w:type="dxa"/>
        </w:trPr>
        <w:tc>
          <w:tcPr>
            <w:tcW w:w="1866" w:type="dxa"/>
            <w:tcBorders>
              <w:top w:val="single" w:color="auto" w:sz="4" w:space="0"/>
              <w:left w:val="single" w:color="auto" w:sz="4" w:space="0"/>
              <w:bottom w:val="single" w:color="auto" w:sz="4" w:space="0"/>
              <w:right w:val="single" w:color="auto" w:sz="4" w:space="0"/>
            </w:tcBorders>
          </w:tcPr>
          <w:p w14:paraId="38503FFA">
            <w:pPr>
              <w:spacing w:line="300" w:lineRule="auto"/>
              <w:rPr>
                <w:rFonts w:eastAsia="宋体"/>
                <w:b/>
              </w:rPr>
            </w:pPr>
            <w:r>
              <w:rPr>
                <w:rFonts w:hint="eastAsia" w:eastAsia="宋体"/>
                <w:b/>
              </w:rPr>
              <w:t>非交易过户要素</w:t>
            </w:r>
          </w:p>
        </w:tc>
      </w:tr>
      <w:tr w14:paraId="2CAB8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6" w:type="dxa"/>
            <w:tcBorders>
              <w:top w:val="single" w:color="auto" w:sz="4" w:space="0"/>
              <w:left w:val="single" w:color="auto" w:sz="4" w:space="0"/>
              <w:bottom w:val="single" w:color="auto" w:sz="4" w:space="0"/>
              <w:right w:val="single" w:color="auto" w:sz="4" w:space="0"/>
            </w:tcBorders>
          </w:tcPr>
          <w:p w14:paraId="783AE27B">
            <w:pPr>
              <w:spacing w:line="300" w:lineRule="auto"/>
              <w:rPr>
                <w:rFonts w:eastAsia="宋体"/>
              </w:rPr>
            </w:pPr>
            <w:r>
              <w:rPr>
                <w:rFonts w:hint="eastAsia" w:eastAsia="宋体"/>
              </w:rPr>
              <w:t>债券名称</w:t>
            </w:r>
          </w:p>
        </w:tc>
        <w:tc>
          <w:tcPr>
            <w:tcW w:w="1017" w:type="dxa"/>
            <w:tcBorders>
              <w:top w:val="single" w:color="auto" w:sz="4" w:space="0"/>
              <w:left w:val="single" w:color="auto" w:sz="4" w:space="0"/>
              <w:bottom w:val="single" w:color="auto" w:sz="4" w:space="0"/>
              <w:right w:val="single" w:color="auto" w:sz="4" w:space="0"/>
            </w:tcBorders>
          </w:tcPr>
          <w:p w14:paraId="737EC903">
            <w:pPr>
              <w:spacing w:line="300" w:lineRule="auto"/>
              <w:rPr>
                <w:rFonts w:eastAsia="宋体"/>
              </w:rPr>
            </w:pPr>
          </w:p>
        </w:tc>
        <w:tc>
          <w:tcPr>
            <w:tcW w:w="1815" w:type="dxa"/>
            <w:tcBorders>
              <w:top w:val="single" w:color="auto" w:sz="4" w:space="0"/>
              <w:left w:val="single" w:color="auto" w:sz="4" w:space="0"/>
              <w:bottom w:val="single" w:color="auto" w:sz="4" w:space="0"/>
              <w:right w:val="single" w:color="auto" w:sz="4" w:space="0"/>
            </w:tcBorders>
          </w:tcPr>
          <w:p w14:paraId="5FDC2DB7">
            <w:pPr>
              <w:spacing w:line="300" w:lineRule="auto"/>
              <w:rPr>
                <w:rFonts w:eastAsia="宋体"/>
              </w:rPr>
            </w:pPr>
            <w:r>
              <w:rPr>
                <w:rFonts w:hint="eastAsia" w:eastAsia="宋体"/>
              </w:rPr>
              <w:t>过户数量（元）</w:t>
            </w:r>
          </w:p>
        </w:tc>
        <w:tc>
          <w:tcPr>
            <w:tcW w:w="3690" w:type="dxa"/>
            <w:tcBorders>
              <w:top w:val="single" w:color="auto" w:sz="4" w:space="0"/>
              <w:left w:val="single" w:color="auto" w:sz="4" w:space="0"/>
              <w:bottom w:val="single" w:color="auto" w:sz="4" w:space="0"/>
              <w:right w:val="single" w:color="auto" w:sz="4" w:space="0"/>
            </w:tcBorders>
          </w:tcPr>
          <w:p w14:paraId="01813C5D">
            <w:pPr>
              <w:spacing w:line="300" w:lineRule="auto"/>
              <w:rPr>
                <w:rFonts w:eastAsia="宋体"/>
              </w:rPr>
            </w:pPr>
            <w:r>
              <w:rPr>
                <w:rFonts w:hint="eastAsia" w:eastAsia="宋体"/>
                <w:color w:val="BFBFBF" w:themeColor="background1" w:themeShade="BF"/>
                <w:sz w:val="24"/>
                <w:lang w:eastAsia="zh-CN"/>
              </w:rPr>
              <w:t>张数</w:t>
            </w:r>
            <w:r>
              <w:rPr>
                <w:rFonts w:hint="eastAsia" w:eastAsia="宋体"/>
                <w:color w:val="BFBFBF" w:themeColor="background1" w:themeShade="BF"/>
                <w:sz w:val="24"/>
                <w:lang w:val="en-US" w:eastAsia="zh-CN"/>
              </w:rPr>
              <w:t>×100（</w:t>
            </w:r>
            <w:r>
              <w:rPr>
                <w:rFonts w:hint="eastAsia" w:eastAsia="宋体"/>
                <w:sz w:val="24"/>
                <w:lang w:eastAsia="zh-CN"/>
              </w:rPr>
              <w:t>若面值非</w:t>
            </w:r>
            <w:r>
              <w:rPr>
                <w:rFonts w:hint="eastAsia" w:eastAsia="宋体"/>
                <w:sz w:val="24"/>
                <w:lang w:val="en-US" w:eastAsia="zh-CN"/>
              </w:rPr>
              <w:t>100，请备注：</w:t>
            </w:r>
            <w:r>
              <w:rPr>
                <w:rFonts w:hint="eastAsia" w:eastAsia="宋体"/>
                <w:color w:val="BFBFBF" w:themeColor="background1" w:themeShade="BF"/>
                <w:sz w:val="24"/>
                <w:lang w:val="en-US" w:eastAsia="zh-CN"/>
              </w:rPr>
              <w:t>合XX张，每张面值XX元）</w:t>
            </w:r>
          </w:p>
        </w:tc>
      </w:tr>
      <w:tr w14:paraId="569C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6" w:type="dxa"/>
            <w:tcBorders>
              <w:top w:val="single" w:color="auto" w:sz="4" w:space="0"/>
              <w:left w:val="single" w:color="auto" w:sz="4" w:space="0"/>
              <w:bottom w:val="single" w:color="auto" w:sz="4" w:space="0"/>
              <w:right w:val="single" w:color="auto" w:sz="4" w:space="0"/>
            </w:tcBorders>
          </w:tcPr>
          <w:p w14:paraId="400197C3">
            <w:pPr>
              <w:spacing w:line="300" w:lineRule="auto"/>
              <w:rPr>
                <w:rFonts w:eastAsia="宋体"/>
              </w:rPr>
            </w:pPr>
            <w:r>
              <w:rPr>
                <w:rFonts w:hint="eastAsia" w:eastAsia="宋体"/>
              </w:rPr>
              <w:t>债券代码</w:t>
            </w:r>
          </w:p>
        </w:tc>
        <w:tc>
          <w:tcPr>
            <w:tcW w:w="1017" w:type="dxa"/>
            <w:tcBorders>
              <w:top w:val="single" w:color="auto" w:sz="4" w:space="0"/>
              <w:left w:val="single" w:color="auto" w:sz="4" w:space="0"/>
              <w:bottom w:val="single" w:color="auto" w:sz="4" w:space="0"/>
              <w:right w:val="single" w:color="auto" w:sz="4" w:space="0"/>
            </w:tcBorders>
          </w:tcPr>
          <w:p w14:paraId="11CB436A">
            <w:pPr>
              <w:spacing w:line="300" w:lineRule="auto"/>
              <w:rPr>
                <w:rFonts w:eastAsia="宋体"/>
              </w:rPr>
            </w:pPr>
          </w:p>
        </w:tc>
        <w:tc>
          <w:tcPr>
            <w:tcW w:w="1815" w:type="dxa"/>
            <w:tcBorders>
              <w:top w:val="single" w:color="auto" w:sz="4" w:space="0"/>
              <w:left w:val="single" w:color="auto" w:sz="4" w:space="0"/>
              <w:bottom w:val="single" w:color="auto" w:sz="4" w:space="0"/>
              <w:right w:val="single" w:color="auto" w:sz="4" w:space="0"/>
            </w:tcBorders>
          </w:tcPr>
          <w:p w14:paraId="31B1FAF1">
            <w:pPr>
              <w:spacing w:line="300" w:lineRule="auto"/>
              <w:rPr>
                <w:rFonts w:eastAsia="宋体"/>
              </w:rPr>
            </w:pPr>
            <w:r>
              <w:rPr>
                <w:rFonts w:hint="eastAsia" w:eastAsia="宋体"/>
              </w:rPr>
              <w:t>债券类别</w:t>
            </w:r>
          </w:p>
        </w:tc>
        <w:tc>
          <w:tcPr>
            <w:tcW w:w="3690" w:type="dxa"/>
            <w:tcBorders>
              <w:top w:val="single" w:color="auto" w:sz="4" w:space="0"/>
              <w:left w:val="single" w:color="auto" w:sz="4" w:space="0"/>
              <w:bottom w:val="single" w:color="auto" w:sz="4" w:space="0"/>
              <w:right w:val="single" w:color="auto" w:sz="4" w:space="0"/>
            </w:tcBorders>
          </w:tcPr>
          <w:p w14:paraId="04CAA23A">
            <w:pPr>
              <w:spacing w:line="300" w:lineRule="auto"/>
              <w:rPr>
                <w:rFonts w:eastAsia="宋体"/>
              </w:rPr>
            </w:pPr>
          </w:p>
        </w:tc>
      </w:tr>
      <w:tr w14:paraId="4316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6" w:type="dxa"/>
            <w:tcBorders>
              <w:top w:val="single" w:color="auto" w:sz="4" w:space="0"/>
              <w:left w:val="single" w:color="auto" w:sz="4" w:space="0"/>
              <w:bottom w:val="single" w:color="auto" w:sz="4" w:space="0"/>
              <w:right w:val="single" w:color="auto" w:sz="4" w:space="0"/>
            </w:tcBorders>
          </w:tcPr>
          <w:p w14:paraId="64B070CD">
            <w:pPr>
              <w:spacing w:line="300" w:lineRule="auto"/>
              <w:rPr>
                <w:rFonts w:eastAsia="宋体"/>
              </w:rPr>
            </w:pPr>
            <w:r>
              <w:rPr>
                <w:rFonts w:hint="eastAsia" w:eastAsia="宋体"/>
              </w:rPr>
              <w:t>过出方名称</w:t>
            </w:r>
          </w:p>
        </w:tc>
        <w:tc>
          <w:tcPr>
            <w:tcW w:w="1017" w:type="dxa"/>
            <w:tcBorders>
              <w:top w:val="single" w:color="auto" w:sz="4" w:space="0"/>
              <w:left w:val="single" w:color="auto" w:sz="4" w:space="0"/>
              <w:bottom w:val="single" w:color="auto" w:sz="4" w:space="0"/>
              <w:right w:val="single" w:color="auto" w:sz="4" w:space="0"/>
            </w:tcBorders>
          </w:tcPr>
          <w:p w14:paraId="215F2376">
            <w:pPr>
              <w:spacing w:line="300" w:lineRule="auto"/>
              <w:rPr>
                <w:rFonts w:eastAsia="宋体"/>
              </w:rPr>
            </w:pPr>
          </w:p>
        </w:tc>
        <w:tc>
          <w:tcPr>
            <w:tcW w:w="1815" w:type="dxa"/>
            <w:tcBorders>
              <w:top w:val="single" w:color="auto" w:sz="4" w:space="0"/>
              <w:left w:val="single" w:color="auto" w:sz="4" w:space="0"/>
              <w:bottom w:val="single" w:color="auto" w:sz="4" w:space="0"/>
              <w:right w:val="single" w:color="auto" w:sz="4" w:space="0"/>
            </w:tcBorders>
          </w:tcPr>
          <w:p w14:paraId="7E2DCF3A">
            <w:pPr>
              <w:spacing w:line="300" w:lineRule="auto"/>
              <w:rPr>
                <w:rFonts w:eastAsia="宋体"/>
              </w:rPr>
            </w:pPr>
            <w:r>
              <w:rPr>
                <w:rFonts w:hint="eastAsia" w:eastAsia="宋体"/>
              </w:rPr>
              <w:t>过出方证券账户</w:t>
            </w:r>
          </w:p>
        </w:tc>
        <w:tc>
          <w:tcPr>
            <w:tcW w:w="3690" w:type="dxa"/>
            <w:tcBorders>
              <w:top w:val="single" w:color="auto" w:sz="4" w:space="0"/>
              <w:left w:val="single" w:color="auto" w:sz="4" w:space="0"/>
              <w:bottom w:val="single" w:color="auto" w:sz="4" w:space="0"/>
              <w:right w:val="single" w:color="auto" w:sz="4" w:space="0"/>
            </w:tcBorders>
          </w:tcPr>
          <w:p w14:paraId="46B031AA">
            <w:pPr>
              <w:spacing w:line="300" w:lineRule="auto"/>
              <w:rPr>
                <w:rFonts w:eastAsia="宋体"/>
              </w:rPr>
            </w:pPr>
          </w:p>
        </w:tc>
      </w:tr>
      <w:tr w14:paraId="279DC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6" w:type="dxa"/>
            <w:tcBorders>
              <w:top w:val="single" w:color="auto" w:sz="4" w:space="0"/>
              <w:left w:val="single" w:color="auto" w:sz="4" w:space="0"/>
              <w:bottom w:val="single" w:color="auto" w:sz="4" w:space="0"/>
              <w:right w:val="single" w:color="auto" w:sz="4" w:space="0"/>
            </w:tcBorders>
          </w:tcPr>
          <w:p w14:paraId="2815C633">
            <w:pPr>
              <w:spacing w:line="300" w:lineRule="auto"/>
              <w:rPr>
                <w:rFonts w:eastAsia="宋体"/>
              </w:rPr>
            </w:pPr>
            <w:r>
              <w:rPr>
                <w:rFonts w:hint="eastAsia" w:eastAsia="宋体"/>
              </w:rPr>
              <w:t>过入方名称</w:t>
            </w:r>
          </w:p>
        </w:tc>
        <w:tc>
          <w:tcPr>
            <w:tcW w:w="1017" w:type="dxa"/>
            <w:tcBorders>
              <w:top w:val="single" w:color="auto" w:sz="4" w:space="0"/>
              <w:left w:val="single" w:color="auto" w:sz="4" w:space="0"/>
              <w:bottom w:val="single" w:color="auto" w:sz="4" w:space="0"/>
              <w:right w:val="single" w:color="auto" w:sz="4" w:space="0"/>
            </w:tcBorders>
          </w:tcPr>
          <w:p w14:paraId="7558FD6A">
            <w:pPr>
              <w:spacing w:line="300" w:lineRule="auto"/>
              <w:rPr>
                <w:rFonts w:eastAsia="宋体"/>
              </w:rPr>
            </w:pPr>
          </w:p>
        </w:tc>
        <w:tc>
          <w:tcPr>
            <w:tcW w:w="1815" w:type="dxa"/>
            <w:tcBorders>
              <w:top w:val="single" w:color="auto" w:sz="4" w:space="0"/>
              <w:left w:val="single" w:color="auto" w:sz="4" w:space="0"/>
              <w:bottom w:val="single" w:color="auto" w:sz="4" w:space="0"/>
              <w:right w:val="single" w:color="auto" w:sz="4" w:space="0"/>
            </w:tcBorders>
          </w:tcPr>
          <w:p w14:paraId="70E0076E">
            <w:pPr>
              <w:spacing w:line="300" w:lineRule="auto"/>
              <w:rPr>
                <w:rFonts w:eastAsia="宋体"/>
              </w:rPr>
            </w:pPr>
            <w:r>
              <w:rPr>
                <w:rFonts w:hint="eastAsia" w:eastAsia="宋体"/>
              </w:rPr>
              <w:t>过入方证券账户</w:t>
            </w:r>
          </w:p>
        </w:tc>
        <w:tc>
          <w:tcPr>
            <w:tcW w:w="3690" w:type="dxa"/>
            <w:tcBorders>
              <w:top w:val="single" w:color="auto" w:sz="4" w:space="0"/>
              <w:left w:val="single" w:color="auto" w:sz="4" w:space="0"/>
              <w:bottom w:val="single" w:color="auto" w:sz="4" w:space="0"/>
              <w:right w:val="single" w:color="auto" w:sz="4" w:space="0"/>
            </w:tcBorders>
          </w:tcPr>
          <w:p w14:paraId="4E217532">
            <w:pPr>
              <w:spacing w:line="300" w:lineRule="auto"/>
              <w:rPr>
                <w:rFonts w:eastAsia="宋体"/>
              </w:rPr>
            </w:pPr>
          </w:p>
        </w:tc>
      </w:tr>
      <w:tr w14:paraId="24375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3" w:type="dxa"/>
            <w:gridSpan w:val="2"/>
            <w:tcBorders>
              <w:top w:val="single" w:color="auto" w:sz="4" w:space="0"/>
              <w:left w:val="single" w:color="auto" w:sz="4" w:space="0"/>
              <w:bottom w:val="single" w:color="auto" w:sz="4" w:space="0"/>
              <w:right w:val="single" w:color="auto" w:sz="4" w:space="0"/>
            </w:tcBorders>
          </w:tcPr>
          <w:p w14:paraId="6109A52E">
            <w:pPr>
              <w:spacing w:line="300" w:lineRule="auto"/>
              <w:rPr>
                <w:rFonts w:eastAsia="宋体"/>
              </w:rPr>
            </w:pPr>
            <w:r>
              <w:rPr>
                <w:rFonts w:hint="eastAsia" w:eastAsia="宋体"/>
              </w:rPr>
              <w:t>成交价格（每元面值）</w:t>
            </w:r>
          </w:p>
        </w:tc>
        <w:tc>
          <w:tcPr>
            <w:tcW w:w="5505" w:type="dxa"/>
            <w:gridSpan w:val="2"/>
            <w:tcBorders>
              <w:top w:val="single" w:color="auto" w:sz="4" w:space="0"/>
              <w:left w:val="single" w:color="auto" w:sz="4" w:space="0"/>
              <w:bottom w:val="single" w:color="auto" w:sz="4" w:space="0"/>
              <w:right w:val="single" w:color="auto" w:sz="4" w:space="0"/>
            </w:tcBorders>
          </w:tcPr>
          <w:p w14:paraId="6A22BBE2">
            <w:pPr>
              <w:spacing w:line="300" w:lineRule="auto"/>
              <w:rPr>
                <w:rFonts w:hint="default" w:eastAsia="宋体"/>
                <w:lang w:val="en-US"/>
              </w:rPr>
            </w:pPr>
            <w:r>
              <w:rPr>
                <w:rFonts w:hint="eastAsia" w:ascii="仿宋_GB2312" w:eastAsia="仿宋_GB2312"/>
                <w:bCs/>
                <w:color w:val="BFBFBF" w:themeColor="background1" w:themeShade="BF"/>
                <w:szCs w:val="21"/>
                <w:lang w:eastAsia="zh-CN"/>
              </w:rPr>
              <w:t>每张成交价格</w:t>
            </w:r>
            <w:r>
              <w:rPr>
                <w:rFonts w:hint="eastAsia" w:ascii="仿宋_GB2312" w:eastAsia="仿宋_GB2312"/>
                <w:bCs/>
                <w:color w:val="BFBFBF" w:themeColor="background1" w:themeShade="BF"/>
                <w:szCs w:val="21"/>
                <w:lang w:val="en-US" w:eastAsia="zh-CN"/>
              </w:rPr>
              <w:t>/100(</w:t>
            </w:r>
            <w:r>
              <w:rPr>
                <w:rFonts w:hint="eastAsia" w:ascii="仿宋_GB2312" w:eastAsia="仿宋_GB2312"/>
                <w:bCs/>
                <w:color w:val="BEBEBE"/>
                <w:szCs w:val="21"/>
                <w:lang w:val="en-US" w:eastAsia="zh-CN"/>
              </w:rPr>
              <w:t>四舍五入，不超过5位小数</w:t>
            </w:r>
            <w:r>
              <w:rPr>
                <w:rFonts w:hint="eastAsia" w:ascii="仿宋_GB2312" w:eastAsia="仿宋_GB2312"/>
                <w:bCs/>
                <w:color w:val="BFBFBF" w:themeColor="background1" w:themeShade="BF"/>
                <w:szCs w:val="21"/>
                <w:lang w:val="en-US" w:eastAsia="zh-CN"/>
              </w:rPr>
              <w:t>)</w:t>
            </w:r>
          </w:p>
        </w:tc>
      </w:tr>
    </w:tbl>
    <w:p w14:paraId="398DE6AF">
      <w:pPr>
        <w:spacing w:beforeLines="-2147483648" w:after="156" w:afterLines="50" w:line="560" w:lineRule="exact"/>
        <w:ind w:firstLine="600" w:firstLineChars="200"/>
        <w:rPr>
          <w:rFonts w:hint="eastAsia" w:ascii="Times New Roman" w:hAnsi="Times New Roman" w:eastAsia="仿宋_GB2312" w:cs="Times New Roman"/>
          <w:sz w:val="30"/>
          <w:szCs w:val="30"/>
        </w:rPr>
      </w:pPr>
      <w:r>
        <w:rPr>
          <w:rFonts w:hint="eastAsia" w:ascii="Times New Roman" w:hAnsi="Times New Roman" w:eastAsia="仿宋_GB2312" w:cs="Times New Roman"/>
          <w:sz w:val="30"/>
          <w:szCs w:val="30"/>
        </w:rPr>
        <w:t>为保证非交易过户业务的完成，申请人将自愿遵守上海证券交易所及中国证券登记结算有限责任公司上海分公司的要求，如实提供相关材料、保证所陈述的过户原因属实，并承担由于上述非交易过户可能引发的一切连带责任。</w:t>
      </w:r>
    </w:p>
    <w:p w14:paraId="59FC4440">
      <w:pPr>
        <w:spacing w:beforeLines="-2147483648" w:after="156" w:afterLines="50" w:line="560" w:lineRule="exact"/>
        <w:ind w:firstLine="600" w:firstLineChars="200"/>
        <w:rPr>
          <w:rFonts w:hint="eastAsia" w:ascii="Times New Roman" w:hAnsi="Times New Roman" w:eastAsia="仿宋_GB2312" w:cs="Times New Roman"/>
          <w:sz w:val="30"/>
          <w:szCs w:val="30"/>
        </w:rPr>
      </w:pPr>
    </w:p>
    <w:p w14:paraId="2A19BD95">
      <w:pPr>
        <w:spacing w:beforeLines="-2147483648" w:after="156" w:afterLines="50" w:line="560" w:lineRule="exact"/>
        <w:ind w:firstLine="600" w:firstLineChars="200"/>
        <w:rPr>
          <w:rFonts w:hint="eastAsia" w:ascii="Times New Roman" w:hAnsi="Times New Roman" w:eastAsia="仿宋_GB2312" w:cs="Times New Roman"/>
          <w:sz w:val="30"/>
          <w:szCs w:val="30"/>
        </w:rPr>
      </w:pPr>
      <w:r>
        <w:rPr>
          <w:rFonts w:hint="eastAsia" w:ascii="Times New Roman" w:hAnsi="Times New Roman" w:eastAsia="仿宋_GB2312" w:cs="Times New Roman"/>
          <w:sz w:val="30"/>
          <w:szCs w:val="30"/>
        </w:rPr>
        <w:t xml:space="preserve">过出方：                       </w:t>
      </w:r>
      <w:r>
        <w:rPr>
          <w:rFonts w:hint="eastAsia" w:ascii="Times New Roman" w:hAnsi="Times New Roman" w:eastAsia="仿宋_GB2312" w:cs="Times New Roman"/>
          <w:sz w:val="30"/>
          <w:szCs w:val="30"/>
          <w:lang w:val="en-US" w:eastAsia="zh-CN"/>
        </w:rPr>
        <w:t xml:space="preserve">   </w:t>
      </w:r>
      <w:r>
        <w:rPr>
          <w:rFonts w:hint="eastAsia" w:ascii="Times New Roman" w:hAnsi="Times New Roman" w:eastAsia="仿宋_GB2312" w:cs="Times New Roman"/>
          <w:sz w:val="30"/>
          <w:szCs w:val="30"/>
        </w:rPr>
        <w:t>过入方：</w:t>
      </w:r>
    </w:p>
    <w:p w14:paraId="4D99214C">
      <w:pPr>
        <w:spacing w:beforeLines="-2147483648" w:after="156" w:afterLines="50" w:line="560" w:lineRule="exact"/>
        <w:ind w:firstLine="0" w:firstLineChars="0"/>
        <w:rPr>
          <w:rFonts w:hint="eastAsia" w:ascii="Times New Roman" w:hAnsi="Times New Roman" w:eastAsia="仿宋_GB2312" w:cs="Times New Roman"/>
          <w:sz w:val="30"/>
          <w:szCs w:val="30"/>
        </w:rPr>
      </w:pPr>
      <w:r>
        <w:rPr>
          <w:rFonts w:hint="eastAsia" w:ascii="Times New Roman" w:hAnsi="Times New Roman" w:eastAsia="仿宋_GB2312" w:cs="Times New Roman"/>
          <w:sz w:val="30"/>
          <w:szCs w:val="30"/>
        </w:rPr>
        <w:t xml:space="preserve">单位公章 （或者个人签名）       </w:t>
      </w:r>
      <w:r>
        <w:rPr>
          <w:rFonts w:hint="eastAsia" w:ascii="Times New Roman" w:hAnsi="Times New Roman" w:eastAsia="仿宋_GB2312" w:cs="Times New Roman"/>
          <w:sz w:val="30"/>
          <w:szCs w:val="30"/>
          <w:lang w:val="en-US" w:eastAsia="zh-CN"/>
        </w:rPr>
        <w:t xml:space="preserve"> </w:t>
      </w:r>
      <w:r>
        <w:rPr>
          <w:rFonts w:hint="eastAsia" w:ascii="Times New Roman" w:hAnsi="Times New Roman" w:eastAsia="仿宋_GB2312" w:cs="Times New Roman"/>
          <w:sz w:val="30"/>
          <w:szCs w:val="30"/>
        </w:rPr>
        <w:t xml:space="preserve">单位公章 （或者个人签名） </w:t>
      </w:r>
    </w:p>
    <w:p w14:paraId="292967E7">
      <w:pPr>
        <w:spacing w:beforeLines="-2147483648" w:after="156" w:afterLines="50" w:line="560" w:lineRule="exact"/>
        <w:ind w:firstLine="300" w:firstLineChars="100"/>
        <w:rPr>
          <w:rFonts w:hint="eastAsia" w:ascii="Times New Roman" w:hAnsi="Times New Roman" w:eastAsia="仿宋_GB2312" w:cs="Times New Roman"/>
          <w:sz w:val="30"/>
          <w:szCs w:val="30"/>
        </w:rPr>
      </w:pPr>
      <w:r>
        <w:rPr>
          <w:rFonts w:hint="eastAsia" w:ascii="Times New Roman" w:hAnsi="Times New Roman" w:eastAsia="仿宋_GB2312" w:cs="Times New Roman"/>
          <w:sz w:val="30"/>
          <w:szCs w:val="30"/>
        </w:rPr>
        <w:t xml:space="preserve">法定代表人签章                  </w:t>
      </w:r>
      <w:r>
        <w:rPr>
          <w:rFonts w:hint="eastAsia" w:ascii="Times New Roman" w:hAnsi="Times New Roman" w:eastAsia="仿宋_GB2312" w:cs="Times New Roman"/>
          <w:sz w:val="30"/>
          <w:szCs w:val="30"/>
          <w:lang w:val="en-US" w:eastAsia="zh-CN"/>
        </w:rPr>
        <w:t xml:space="preserve"> </w:t>
      </w:r>
      <w:r>
        <w:rPr>
          <w:rFonts w:hint="eastAsia" w:ascii="Times New Roman" w:hAnsi="Times New Roman" w:eastAsia="仿宋_GB2312" w:cs="Times New Roman"/>
          <w:sz w:val="30"/>
          <w:szCs w:val="30"/>
        </w:rPr>
        <w:t xml:space="preserve"> 法定代表人签章  </w:t>
      </w:r>
    </w:p>
    <w:p w14:paraId="5BF7E2DE">
      <w:pPr>
        <w:spacing w:beforeLines="-2147483648" w:after="156" w:afterLines="50" w:line="560" w:lineRule="exact"/>
        <w:ind w:firstLine="600" w:firstLineChars="200"/>
        <w:rPr>
          <w:rFonts w:hint="eastAsia" w:ascii="Times New Roman" w:hAnsi="Times New Roman" w:eastAsia="仿宋_GB2312" w:cs="Times New Roman"/>
          <w:sz w:val="30"/>
          <w:szCs w:val="30"/>
        </w:rPr>
      </w:pPr>
      <w:r>
        <w:rPr>
          <w:rFonts w:hint="eastAsia" w:ascii="Times New Roman" w:hAnsi="Times New Roman" w:eastAsia="仿宋_GB2312" w:cs="Times New Roman"/>
          <w:sz w:val="30"/>
          <w:szCs w:val="30"/>
        </w:rPr>
        <w:t>年</w:t>
      </w:r>
      <w:r>
        <w:rPr>
          <w:rFonts w:hint="eastAsia" w:eastAsia="仿宋_GB2312" w:cs="Times New Roman"/>
          <w:sz w:val="30"/>
          <w:szCs w:val="30"/>
          <w:lang w:val="en-US" w:eastAsia="zh-CN"/>
        </w:rPr>
        <w:t xml:space="preserve">  </w:t>
      </w:r>
      <w:r>
        <w:rPr>
          <w:rFonts w:hint="eastAsia" w:ascii="Times New Roman" w:hAnsi="Times New Roman" w:eastAsia="仿宋_GB2312" w:cs="Times New Roman"/>
          <w:sz w:val="30"/>
          <w:szCs w:val="30"/>
        </w:rPr>
        <w:t>月</w:t>
      </w:r>
      <w:r>
        <w:rPr>
          <w:rFonts w:hint="eastAsia" w:eastAsia="仿宋_GB2312" w:cs="Times New Roman"/>
          <w:sz w:val="30"/>
          <w:szCs w:val="30"/>
          <w:lang w:val="en-US" w:eastAsia="zh-CN"/>
        </w:rPr>
        <w:t xml:space="preserve">  </w:t>
      </w:r>
      <w:r>
        <w:rPr>
          <w:rFonts w:hint="eastAsia" w:ascii="Times New Roman" w:hAnsi="Times New Roman" w:eastAsia="仿宋_GB2312" w:cs="Times New Roman"/>
          <w:sz w:val="30"/>
          <w:szCs w:val="30"/>
        </w:rPr>
        <w:t xml:space="preserve">日                         </w:t>
      </w:r>
      <w:r>
        <w:rPr>
          <w:rFonts w:hint="eastAsia" w:ascii="Times New Roman" w:hAnsi="Times New Roman" w:eastAsia="仿宋_GB2312" w:cs="Times New Roman"/>
          <w:sz w:val="30"/>
          <w:szCs w:val="30"/>
          <w:lang w:val="en-US" w:eastAsia="zh-CN"/>
        </w:rPr>
        <w:t xml:space="preserve">  </w:t>
      </w:r>
      <w:r>
        <w:rPr>
          <w:rFonts w:hint="eastAsia" w:ascii="Times New Roman" w:hAnsi="Times New Roman" w:eastAsia="仿宋_GB2312" w:cs="Times New Roman"/>
          <w:sz w:val="30"/>
          <w:szCs w:val="30"/>
        </w:rPr>
        <w:t>年</w:t>
      </w:r>
      <w:r>
        <w:rPr>
          <w:rFonts w:hint="eastAsia" w:eastAsia="仿宋_GB2312" w:cs="Times New Roman"/>
          <w:sz w:val="30"/>
          <w:szCs w:val="30"/>
          <w:lang w:val="en-US" w:eastAsia="zh-CN"/>
        </w:rPr>
        <w:t xml:space="preserve">  </w:t>
      </w:r>
      <w:r>
        <w:rPr>
          <w:rFonts w:hint="eastAsia" w:ascii="Times New Roman" w:hAnsi="Times New Roman" w:eastAsia="仿宋_GB2312" w:cs="Times New Roman"/>
          <w:sz w:val="30"/>
          <w:szCs w:val="30"/>
        </w:rPr>
        <w:t>月</w:t>
      </w:r>
      <w:r>
        <w:rPr>
          <w:rFonts w:hint="eastAsia" w:eastAsia="仿宋_GB2312" w:cs="Times New Roman"/>
          <w:sz w:val="30"/>
          <w:szCs w:val="30"/>
          <w:lang w:val="en-US" w:eastAsia="zh-CN"/>
        </w:rPr>
        <w:t xml:space="preserve"> </w:t>
      </w:r>
      <w:r>
        <w:rPr>
          <w:rFonts w:hint="eastAsia" w:ascii="Times New Roman" w:hAnsi="Times New Roman" w:eastAsia="仿宋_GB2312" w:cs="Times New Roman"/>
          <w:sz w:val="30"/>
          <w:szCs w:val="30"/>
        </w:rPr>
        <w:t>日</w:t>
      </w:r>
    </w:p>
    <w:p w14:paraId="7176A936">
      <w:pPr>
        <w:spacing w:beforeLines="-2147483648" w:afterLines="-2147483648" w:line="240" w:lineRule="auto"/>
        <w:ind w:firstLine="0" w:firstLineChars="0"/>
        <w:rPr>
          <w:rFonts w:hint="eastAsia" w:eastAsia="宋体"/>
          <w:sz w:val="24"/>
        </w:rPr>
      </w:pPr>
      <w:r>
        <w:rPr>
          <w:rFonts w:hint="eastAsia" w:eastAsia="宋体"/>
          <w:sz w:val="24"/>
        </w:rPr>
        <w:br w:type="page"/>
      </w:r>
    </w:p>
    <w:p w14:paraId="0C4AB322">
      <w:pPr>
        <w:widowControl/>
        <w:spacing w:beforeLines="-2147483648" w:afterLines="-2147483648" w:line="240" w:lineRule="auto"/>
        <w:ind w:firstLine="0" w:firstLineChars="0"/>
        <w:jc w:val="left"/>
        <w:outlineLvl w:val="1"/>
        <w:rPr>
          <w:rFonts w:hint="eastAsia" w:ascii="仿宋_GB2312" w:hAnsi="黑体" w:eastAsia="仿宋_GB2312"/>
          <w:b/>
          <w:sz w:val="30"/>
          <w:szCs w:val="30"/>
        </w:rPr>
      </w:pPr>
      <w:bookmarkStart w:id="4275" w:name="_Toc717169510"/>
      <w:bookmarkStart w:id="4276" w:name="_Toc1934523525"/>
      <w:bookmarkStart w:id="4277" w:name="_Toc6767"/>
      <w:bookmarkStart w:id="4278" w:name="_Toc1962040110"/>
      <w:bookmarkStart w:id="4279" w:name="_Toc17055"/>
      <w:bookmarkStart w:id="4280" w:name="_Toc24339"/>
      <w:bookmarkStart w:id="4281" w:name="_Toc1993754311"/>
      <w:bookmarkStart w:id="4282" w:name="_Toc14724"/>
      <w:bookmarkStart w:id="4283" w:name="_Toc503087819"/>
      <w:bookmarkStart w:id="4284" w:name="_Toc6581"/>
      <w:bookmarkStart w:id="4285" w:name="_Toc1398829643"/>
      <w:bookmarkStart w:id="4286" w:name="_Toc27226"/>
      <w:bookmarkStart w:id="4287" w:name="_Toc2124341401"/>
      <w:bookmarkStart w:id="4288" w:name="_Toc8167"/>
      <w:r>
        <w:rPr>
          <w:rFonts w:hint="eastAsia" w:ascii="仿宋_GB2312" w:hAnsi="黑体" w:eastAsia="仿宋_GB2312"/>
          <w:b/>
          <w:sz w:val="30"/>
          <w:szCs w:val="30"/>
        </w:rPr>
        <w:t>附件</w:t>
      </w:r>
      <w:r>
        <w:rPr>
          <w:rFonts w:hint="eastAsia" w:ascii="仿宋_GB2312" w:hAnsi="黑体" w:eastAsia="仿宋_GB2312"/>
          <w:b/>
          <w:sz w:val="30"/>
          <w:szCs w:val="30"/>
          <w:lang w:val="en-US" w:eastAsia="zh-CN"/>
        </w:rPr>
        <w:t>42</w:t>
      </w:r>
      <w:r>
        <w:rPr>
          <w:rFonts w:hint="eastAsia" w:ascii="仿宋_GB2312" w:hAnsi="黑体" w:eastAsia="仿宋_GB2312"/>
          <w:b/>
          <w:sz w:val="30"/>
          <w:szCs w:val="30"/>
        </w:rPr>
        <w:t xml:space="preserve"> 授权委托书</w:t>
      </w:r>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p>
    <w:p w14:paraId="45148E23">
      <w:pPr>
        <w:jc w:val="center"/>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授权委托书</w:t>
      </w:r>
    </w:p>
    <w:p w14:paraId="53FA39CC">
      <w:pPr>
        <w:jc w:val="center"/>
        <w:rPr>
          <w:rFonts w:hint="eastAsia" w:ascii="仿宋_GB2312" w:hAnsi="仿宋_GB2312" w:eastAsia="仿宋_GB2312" w:cs="仿宋_GB2312"/>
          <w:b/>
          <w:color w:val="808080" w:themeColor="background1" w:themeShade="80"/>
          <w:sz w:val="30"/>
          <w:szCs w:val="30"/>
        </w:rPr>
      </w:pPr>
      <w:r>
        <w:rPr>
          <w:rFonts w:hint="eastAsia" w:ascii="仿宋_GB2312" w:hAnsi="仿宋_GB2312" w:eastAsia="仿宋_GB2312" w:cs="仿宋_GB2312"/>
          <w:b/>
          <w:color w:val="808080" w:themeColor="background1" w:themeShade="80"/>
          <w:sz w:val="30"/>
          <w:szCs w:val="30"/>
        </w:rPr>
        <w:t>（样张）</w:t>
      </w:r>
    </w:p>
    <w:p w14:paraId="09D7D41B">
      <w:pPr>
        <w:spacing w:line="360" w:lineRule="auto"/>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上海证券交易所、中国证券登记结算有限责任公司上海分公司：</w:t>
      </w:r>
    </w:p>
    <w:p w14:paraId="6CC55707">
      <w:pPr>
        <w:spacing w:line="360" w:lineRule="auto"/>
        <w:rPr>
          <w:rFonts w:hint="eastAsia" w:ascii="仿宋_GB2312" w:hAnsi="仿宋_GB2312" w:eastAsia="仿宋_GB2312" w:cs="仿宋_GB2312"/>
          <w:b/>
          <w:bCs/>
          <w:sz w:val="30"/>
          <w:szCs w:val="30"/>
        </w:rPr>
      </w:pPr>
    </w:p>
    <w:p w14:paraId="6CBFED82">
      <w:pPr>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我单位兹授权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（身份证号：</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）办理</w:t>
      </w:r>
      <w:r>
        <w:rPr>
          <w:rFonts w:hint="eastAsia" w:ascii="仿宋_GB2312" w:hAnsi="仿宋_GB2312" w:eastAsia="仿宋_GB2312" w:cs="仿宋_GB2312"/>
          <w:color w:val="808080" w:themeColor="background1" w:themeShade="80"/>
          <w:sz w:val="30"/>
          <w:szCs w:val="30"/>
          <w:u w:val="single"/>
        </w:rPr>
        <w:t>证券简称（证券代码）</w:t>
      </w:r>
      <w:r>
        <w:rPr>
          <w:rFonts w:hint="eastAsia" w:ascii="仿宋_GB2312" w:hAnsi="仿宋_GB2312" w:eastAsia="仿宋_GB2312" w:cs="仿宋_GB2312"/>
          <w:sz w:val="30"/>
          <w:szCs w:val="30"/>
        </w:rPr>
        <w:t>债券非交易过户相关业务。</w:t>
      </w:r>
    </w:p>
    <w:p w14:paraId="33FB6DDB">
      <w:pPr>
        <w:spacing w:line="360"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有效期限：自</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日至</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14:paraId="5F3FFCB9">
      <w:pPr>
        <w:rPr>
          <w:rFonts w:hint="eastAsia" w:ascii="仿宋_GB2312" w:hAnsi="仿宋_GB2312" w:eastAsia="仿宋_GB2312" w:cs="仿宋_GB2312"/>
          <w:sz w:val="30"/>
          <w:szCs w:val="30"/>
        </w:rPr>
      </w:pPr>
    </w:p>
    <w:p w14:paraId="2CBB61AB">
      <w:pPr>
        <w:ind w:firstLine="4431" w:firstLineChars="1477"/>
        <w:rPr>
          <w:rFonts w:hint="eastAsia" w:ascii="仿宋_GB2312" w:hAnsi="仿宋_GB2312" w:eastAsia="仿宋_GB2312" w:cs="仿宋_GB2312"/>
          <w:sz w:val="30"/>
          <w:szCs w:val="30"/>
        </w:rPr>
      </w:pPr>
    </w:p>
    <w:p w14:paraId="227E0366">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授权人（法定代表人）：              被授权人： </w:t>
      </w:r>
    </w:p>
    <w:p w14:paraId="4DBF39D0">
      <w:pPr>
        <w:spacing w:line="360" w:lineRule="auto"/>
        <w:ind w:firstLine="600" w:firstLineChars="200"/>
        <w:rPr>
          <w:rFonts w:hint="eastAsia" w:ascii="仿宋_GB2312" w:hAnsi="仿宋_GB2312" w:eastAsia="仿宋_GB2312" w:cs="仿宋_GB2312"/>
          <w:sz w:val="30"/>
          <w:szCs w:val="30"/>
        </w:rPr>
      </w:pPr>
    </w:p>
    <w:p w14:paraId="4B753078">
      <w:pPr>
        <w:spacing w:line="360" w:lineRule="auto"/>
        <w:ind w:firstLine="5400" w:firstLineChars="1800"/>
        <w:rPr>
          <w:rFonts w:hint="eastAsia" w:ascii="仿宋_GB2312" w:hAnsi="仿宋_GB2312" w:eastAsia="仿宋_GB2312" w:cs="仿宋_GB2312"/>
          <w:sz w:val="30"/>
          <w:szCs w:val="30"/>
        </w:rPr>
      </w:pPr>
    </w:p>
    <w:p w14:paraId="59774DA7">
      <w:pPr>
        <w:spacing w:line="360" w:lineRule="auto"/>
        <w:ind w:firstLine="4200" w:firstLineChars="14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单位签章： </w:t>
      </w:r>
    </w:p>
    <w:p w14:paraId="0EE88FFF">
      <w:pPr>
        <w:spacing w:beforeLines="-2147483648" w:afterLines="-2147483648" w:line="560" w:lineRule="exact"/>
        <w:ind w:firstLine="5700" w:firstLineChars="19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年    月    日</w:t>
      </w:r>
    </w:p>
    <w:p w14:paraId="7848E263">
      <w:pPr>
        <w:spacing w:beforeLines="-2147483648" w:afterLines="-2147483648" w:line="240" w:lineRule="auto"/>
        <w:ind w:firstLine="0" w:firstLineChars="0"/>
        <w:rPr>
          <w:rFonts w:hint="eastAsia" w:eastAsia="宋体"/>
          <w:sz w:val="28"/>
        </w:rPr>
      </w:pPr>
      <w:r>
        <w:rPr>
          <w:rFonts w:hint="eastAsia" w:eastAsia="宋体"/>
          <w:sz w:val="28"/>
        </w:rPr>
        <w:br w:type="page"/>
      </w:r>
    </w:p>
    <w:p w14:paraId="18D725C4">
      <w:pPr>
        <w:widowControl/>
        <w:spacing w:beforeLines="-2147483648" w:afterLines="-2147483648" w:line="240" w:lineRule="auto"/>
        <w:ind w:firstLine="0" w:firstLineChars="0"/>
        <w:jc w:val="left"/>
        <w:outlineLvl w:val="1"/>
        <w:rPr>
          <w:rFonts w:hint="eastAsia" w:ascii="仿宋_GB2312" w:hAnsi="黑体" w:eastAsia="仿宋_GB2312"/>
          <w:b/>
          <w:sz w:val="30"/>
          <w:szCs w:val="30"/>
        </w:rPr>
      </w:pPr>
      <w:bookmarkStart w:id="4289" w:name="_Toc2065255416"/>
      <w:bookmarkStart w:id="4290" w:name="_Toc54291000"/>
      <w:bookmarkStart w:id="4291" w:name="_Toc108"/>
      <w:bookmarkStart w:id="4292" w:name="_Toc348304577"/>
      <w:bookmarkStart w:id="4293" w:name="_Toc15288"/>
      <w:bookmarkStart w:id="4294" w:name="_Toc1688601225"/>
      <w:bookmarkStart w:id="4295" w:name="_Toc3595"/>
      <w:bookmarkStart w:id="4296" w:name="_Toc849127958"/>
      <w:bookmarkStart w:id="4297" w:name="_Toc1788427289"/>
      <w:bookmarkStart w:id="4298" w:name="_Toc9187"/>
      <w:bookmarkStart w:id="4299" w:name="_Toc27876"/>
      <w:bookmarkStart w:id="4300" w:name="_Toc454350904"/>
      <w:r>
        <w:rPr>
          <w:rFonts w:hint="eastAsia" w:ascii="仿宋_GB2312" w:hAnsi="黑体" w:eastAsia="仿宋_GB2312"/>
          <w:b/>
          <w:sz w:val="30"/>
          <w:szCs w:val="30"/>
        </w:rPr>
        <w:t>附件</w:t>
      </w:r>
      <w:r>
        <w:rPr>
          <w:rFonts w:hint="eastAsia" w:ascii="仿宋_GB2312" w:hAnsi="黑体" w:eastAsia="仿宋_GB2312"/>
          <w:b/>
          <w:sz w:val="30"/>
          <w:szCs w:val="30"/>
          <w:lang w:val="en-US" w:eastAsia="zh-CN"/>
        </w:rPr>
        <w:t>43</w:t>
      </w:r>
      <w:r>
        <w:rPr>
          <w:rFonts w:hint="eastAsia" w:ascii="仿宋_GB2312" w:hAnsi="黑体" w:eastAsia="仿宋_GB2312"/>
          <w:b/>
          <w:sz w:val="30"/>
          <w:szCs w:val="30"/>
        </w:rPr>
        <w:t xml:space="preserve"> 关于转让合规性核查的说明</w:t>
      </w:r>
      <w:bookmarkEnd w:id="4289"/>
      <w:bookmarkEnd w:id="4290"/>
      <w:bookmarkEnd w:id="4291"/>
      <w:bookmarkEnd w:id="4292"/>
      <w:bookmarkEnd w:id="4293"/>
      <w:bookmarkEnd w:id="4294"/>
      <w:bookmarkEnd w:id="4295"/>
      <w:bookmarkEnd w:id="4296"/>
      <w:bookmarkEnd w:id="4297"/>
      <w:bookmarkEnd w:id="4298"/>
      <w:bookmarkEnd w:id="4299"/>
      <w:bookmarkEnd w:id="4300"/>
    </w:p>
    <w:p w14:paraId="4EFC3C86">
      <w:pPr>
        <w:jc w:val="center"/>
        <w:rPr>
          <w:rFonts w:hint="eastAsia" w:ascii="仿宋_GB2312" w:hAnsi="仿宋_GB2312" w:eastAsia="仿宋_GB2312" w:cs="仿宋_GB2312"/>
          <w:b/>
          <w:bCs/>
          <w:sz w:val="30"/>
          <w:szCs w:val="30"/>
          <w:lang w:val="en-US" w:eastAsia="zh-CN"/>
        </w:rPr>
      </w:pPr>
    </w:p>
    <w:p w14:paraId="498FAF88">
      <w:pPr>
        <w:jc w:val="cente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b/>
          <w:bCs/>
          <w:sz w:val="30"/>
          <w:szCs w:val="30"/>
          <w:lang w:val="en-US" w:eastAsia="zh-CN"/>
        </w:rPr>
        <w:t>关于转让合规性核查的说明</w:t>
      </w:r>
    </w:p>
    <w:p w14:paraId="5EA6B533">
      <w:pPr>
        <w:jc w:val="center"/>
        <w:rPr>
          <w:rFonts w:hint="eastAsia" w:ascii="仿宋_GB2312" w:hAnsi="仿宋_GB2312" w:eastAsia="仿宋_GB2312" w:cs="仿宋_GB2312"/>
          <w:sz w:val="30"/>
          <w:szCs w:val="30"/>
          <w:lang w:val="en-US" w:eastAsia="zh-CN"/>
        </w:rPr>
      </w:pPr>
    </w:p>
    <w:p w14:paraId="3A7F8A3C">
      <w:pPr>
        <w:keepNext w:val="0"/>
        <w:keepLines w:val="0"/>
        <w:pageBreakBefore w:val="0"/>
        <w:widowControl/>
        <w:kinsoku/>
        <w:wordWrap/>
        <w:overflowPunct/>
        <w:topLinePunct w:val="0"/>
        <w:autoSpaceDE/>
        <w:autoSpaceDN/>
        <w:bidi w:val="0"/>
        <w:adjustRightInd/>
        <w:snapToGrid/>
        <w:spacing w:after="156" w:afterLines="50" w:line="560" w:lineRule="exact"/>
        <w:ind w:firstLine="600" w:firstLineChars="200"/>
        <w:jc w:val="left"/>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___________________________（以下简称“发行人”）于_______年发行__________________________________（债券代码：_______，债券简称：_______），债券总规模_____亿元，期限____年，在第___年末附有投资人回售选择权。回售登记期内共有_____亿元（合_____张）申报回售行权，将于_______年____月____日兑付。</w:t>
      </w:r>
    </w:p>
    <w:p w14:paraId="2CEE684F">
      <w:pPr>
        <w:keepNext w:val="0"/>
        <w:keepLines w:val="0"/>
        <w:pageBreakBefore w:val="0"/>
        <w:widowControl/>
        <w:kinsoku/>
        <w:wordWrap/>
        <w:overflowPunct/>
        <w:topLinePunct w:val="0"/>
        <w:autoSpaceDE/>
        <w:autoSpaceDN/>
        <w:bidi w:val="0"/>
        <w:adjustRightInd/>
        <w:snapToGrid/>
        <w:spacing w:after="156" w:afterLines="50" w:line="560" w:lineRule="exact"/>
        <w:ind w:firstLine="600" w:firstLineChars="200"/>
        <w:jc w:val="left"/>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发行人决定对本期债券进行转售，已____________（过入方）签订协议，相关转售资金已划付。</w:t>
      </w:r>
    </w:p>
    <w:p w14:paraId="3F599AAE">
      <w:pPr>
        <w:keepNext w:val="0"/>
        <w:keepLines w:val="0"/>
        <w:pageBreakBefore w:val="0"/>
        <w:widowControl/>
        <w:kinsoku/>
        <w:wordWrap/>
        <w:overflowPunct/>
        <w:topLinePunct w:val="0"/>
        <w:autoSpaceDE/>
        <w:autoSpaceDN/>
        <w:bidi w:val="0"/>
        <w:adjustRightInd/>
        <w:snapToGrid/>
        <w:spacing w:after="156" w:afterLines="50" w:line="560" w:lineRule="exact"/>
        <w:ind w:firstLine="600" w:firstLineChars="200"/>
        <w:jc w:val="left"/>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经核查，受托管理人确认：相关债券进行非交易过户符合相关法律法规的要求，不违反募集说明书约定及相关承诺，转让对价合理，不存在利益输送或破坏市场秩序等行为。</w:t>
      </w:r>
    </w:p>
    <w:p w14:paraId="7923A414">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sz w:val="30"/>
          <w:szCs w:val="30"/>
          <w:lang w:val="en-US" w:eastAsia="zh-CN"/>
        </w:rPr>
      </w:pPr>
    </w:p>
    <w:p w14:paraId="300C3876">
      <w:pPr>
        <w:keepNext w:val="0"/>
        <w:keepLines w:val="0"/>
        <w:pageBreakBefore w:val="0"/>
        <w:widowControl/>
        <w:kinsoku/>
        <w:wordWrap/>
        <w:overflowPunct/>
        <w:topLinePunct w:val="0"/>
        <w:autoSpaceDE/>
        <w:autoSpaceDN/>
        <w:bidi w:val="0"/>
        <w:adjustRightInd/>
        <w:snapToGrid/>
        <w:spacing w:after="156" w:afterLines="50" w:line="560" w:lineRule="exact"/>
        <w:ind w:firstLine="600" w:firstLineChars="200"/>
        <w:jc w:val="left"/>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 xml:space="preserve">                         受托管理人：     </w:t>
      </w:r>
    </w:p>
    <w:p w14:paraId="6F63D84E">
      <w:pPr>
        <w:keepNext w:val="0"/>
        <w:keepLines w:val="0"/>
        <w:pageBreakBefore w:val="0"/>
        <w:widowControl/>
        <w:kinsoku/>
        <w:wordWrap/>
        <w:overflowPunct/>
        <w:topLinePunct w:val="0"/>
        <w:autoSpaceDE/>
        <w:autoSpaceDN/>
        <w:bidi w:val="0"/>
        <w:adjustRightInd/>
        <w:snapToGrid/>
        <w:spacing w:after="156" w:afterLines="50" w:line="560" w:lineRule="exact"/>
        <w:ind w:firstLine="600" w:firstLineChars="200"/>
        <w:jc w:val="left"/>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 xml:space="preserve">                             _______年____月____日</w:t>
      </w:r>
    </w:p>
    <w:p w14:paraId="38A95275">
      <w:pPr>
        <w:spacing w:line="240" w:lineRule="auto"/>
        <w:ind w:left="0" w:firstLine="0"/>
        <w:jc w:val="left"/>
        <w:rPr>
          <w:rFonts w:hint="eastAsia" w:ascii="仿宋_GB2312" w:hAnsi="仿宋" w:eastAsia="仿宋_GB2312"/>
          <w:sz w:val="24"/>
          <w:szCs w:val="30"/>
        </w:rPr>
      </w:pPr>
      <w:r>
        <w:rPr>
          <w:rFonts w:hint="eastAsia" w:ascii="仿宋_GB2312" w:hAnsi="仿宋" w:eastAsia="仿宋_GB2312"/>
          <w:sz w:val="24"/>
          <w:szCs w:val="30"/>
        </w:rPr>
        <w:br w:type="page"/>
      </w:r>
    </w:p>
    <w:p w14:paraId="6F0D1547">
      <w:pPr>
        <w:widowControl/>
        <w:spacing w:beforeLines="-2147483648" w:afterLines="-2147483648" w:line="240" w:lineRule="auto"/>
        <w:ind w:firstLine="0" w:firstLineChars="0"/>
        <w:jc w:val="left"/>
        <w:outlineLvl w:val="1"/>
        <w:rPr>
          <w:rFonts w:hint="eastAsia" w:ascii="仿宋_GB2312" w:hAnsi="黑体" w:eastAsia="仿宋_GB2312"/>
          <w:b/>
          <w:sz w:val="30"/>
          <w:szCs w:val="30"/>
          <w:lang w:eastAsia="zh-CN"/>
        </w:rPr>
      </w:pPr>
      <w:bookmarkStart w:id="4301" w:name="_Toc1527115420"/>
      <w:bookmarkStart w:id="4302" w:name="_Toc893112945"/>
      <w:bookmarkStart w:id="4303" w:name="_Toc783776719"/>
      <w:bookmarkStart w:id="4304" w:name="_Toc925977786"/>
      <w:bookmarkStart w:id="4305" w:name="_Toc46809291"/>
      <w:r>
        <w:rPr>
          <w:rFonts w:hint="eastAsia" w:ascii="仿宋_GB2312" w:hAnsi="黑体" w:eastAsia="仿宋_GB2312"/>
          <w:b/>
          <w:sz w:val="30"/>
          <w:szCs w:val="30"/>
        </w:rPr>
        <w:t>附件</w:t>
      </w:r>
      <w:r>
        <w:rPr>
          <w:rFonts w:hint="eastAsia" w:ascii="仿宋_GB2312" w:hAnsi="黑体" w:eastAsia="仿宋_GB2312"/>
          <w:b/>
          <w:sz w:val="30"/>
          <w:szCs w:val="30"/>
          <w:lang w:val="en-US" w:eastAsia="zh-CN"/>
        </w:rPr>
        <w:t>44</w:t>
      </w:r>
      <w:r>
        <w:rPr>
          <w:rFonts w:hint="eastAsia" w:ascii="仿宋_GB2312" w:hAnsi="黑体" w:eastAsia="仿宋_GB2312"/>
          <w:b/>
          <w:sz w:val="30"/>
          <w:szCs w:val="30"/>
        </w:rPr>
        <w:t xml:space="preserve"> 债券做市商做市证券划转</w:t>
      </w:r>
      <w:r>
        <w:rPr>
          <w:rFonts w:hint="eastAsia" w:ascii="仿宋_GB2312" w:hAnsi="黑体" w:eastAsia="仿宋_GB2312"/>
          <w:b/>
          <w:sz w:val="30"/>
          <w:szCs w:val="30"/>
          <w:lang w:eastAsia="zh-CN"/>
        </w:rPr>
        <w:t>登记</w:t>
      </w:r>
      <w:r>
        <w:rPr>
          <w:rFonts w:hint="eastAsia" w:ascii="仿宋_GB2312" w:hAnsi="黑体" w:eastAsia="仿宋_GB2312"/>
          <w:b/>
          <w:sz w:val="30"/>
          <w:szCs w:val="30"/>
        </w:rPr>
        <w:t>表</w:t>
      </w:r>
      <w:r>
        <w:rPr>
          <w:rFonts w:hint="eastAsia" w:ascii="仿宋_GB2312" w:hAnsi="黑体" w:eastAsia="仿宋_GB2312"/>
          <w:b/>
          <w:sz w:val="30"/>
          <w:szCs w:val="30"/>
          <w:lang w:eastAsia="zh-CN"/>
        </w:rPr>
        <w:t>（模板）</w:t>
      </w:r>
      <w:bookmarkEnd w:id="4301"/>
      <w:bookmarkEnd w:id="4302"/>
      <w:bookmarkEnd w:id="4303"/>
      <w:bookmarkEnd w:id="4304"/>
      <w:bookmarkEnd w:id="4305"/>
    </w:p>
    <w:tbl>
      <w:tblPr>
        <w:tblStyle w:val="43"/>
        <w:tblW w:w="97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41"/>
        <w:gridCol w:w="1860"/>
        <w:gridCol w:w="1110"/>
        <w:gridCol w:w="1138"/>
        <w:gridCol w:w="1383"/>
        <w:gridCol w:w="1250"/>
        <w:gridCol w:w="1498"/>
      </w:tblGrid>
      <w:tr w14:paraId="00CD1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9780" w:type="dxa"/>
            <w:gridSpan w:val="7"/>
            <w:tcBorders>
              <w:top w:val="nil"/>
              <w:left w:val="nil"/>
              <w:bottom w:val="single" w:color="auto" w:sz="4" w:space="0"/>
              <w:right w:val="nil"/>
            </w:tcBorders>
            <w:noWrap/>
            <w:vAlign w:val="center"/>
          </w:tcPr>
          <w:p w14:paraId="585183B5">
            <w:pPr>
              <w:keepNext w:val="0"/>
              <w:keepLines w:val="0"/>
              <w:widowControl/>
              <w:suppressLineNumbers w:val="0"/>
              <w:jc w:val="center"/>
              <w:textAlignment w:val="center"/>
              <w:rPr>
                <w:rFonts w:hint="eastAsia" w:ascii="黑体" w:hAnsi="宋体" w:eastAsia="黑体" w:cs="黑体"/>
                <w:i w:val="0"/>
                <w:iCs w:val="0"/>
                <w:color w:val="000000"/>
                <w:kern w:val="0"/>
                <w:sz w:val="44"/>
                <w:szCs w:val="44"/>
                <w:u w:val="none"/>
                <w:lang w:val="en-US" w:eastAsia="zh-CN" w:bidi="ar"/>
              </w:rPr>
            </w:pPr>
          </w:p>
          <w:p w14:paraId="1A5C40B0">
            <w:pPr>
              <w:keepNext w:val="0"/>
              <w:keepLines w:val="0"/>
              <w:widowControl/>
              <w:suppressLineNumbers w:val="0"/>
              <w:jc w:val="center"/>
              <w:textAlignment w:val="center"/>
              <w:rPr>
                <w:rFonts w:hint="eastAsia" w:ascii="黑体" w:hAnsi="宋体" w:eastAsia="黑体" w:cs="黑体"/>
                <w:i w:val="0"/>
                <w:iCs w:val="0"/>
                <w:color w:val="000000"/>
                <w:kern w:val="0"/>
                <w:sz w:val="30"/>
                <w:szCs w:val="30"/>
                <w:u w:val="none"/>
                <w:lang w:val="en-US" w:eastAsia="zh-CN" w:bidi="ar"/>
              </w:rPr>
            </w:pPr>
            <w:r>
              <w:rPr>
                <w:rFonts w:hint="eastAsia" w:ascii="黑体" w:hAnsi="宋体" w:eastAsia="黑体" w:cs="黑体"/>
                <w:i w:val="0"/>
                <w:iCs w:val="0"/>
                <w:color w:val="000000"/>
                <w:kern w:val="0"/>
                <w:sz w:val="30"/>
                <w:szCs w:val="30"/>
                <w:u w:val="none"/>
                <w:lang w:val="en-US" w:eastAsia="zh-CN" w:bidi="ar"/>
              </w:rPr>
              <w:t>债券做市商做市证券划转登记表</w:t>
            </w:r>
            <w:r>
              <w:rPr>
                <w:rStyle w:val="53"/>
                <w:rFonts w:hint="eastAsia" w:ascii="黑体" w:hAnsi="宋体" w:eastAsia="黑体" w:cs="黑体"/>
                <w:i w:val="0"/>
                <w:iCs w:val="0"/>
                <w:color w:val="000000"/>
                <w:kern w:val="0"/>
                <w:sz w:val="30"/>
                <w:szCs w:val="30"/>
                <w:u w:val="none"/>
                <w:lang w:val="en-US" w:eastAsia="zh-CN" w:bidi="ar"/>
              </w:rPr>
              <w:footnoteReference w:id="4"/>
            </w:r>
          </w:p>
          <w:p w14:paraId="1D319B23">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30"/>
                <w:szCs w:val="30"/>
                <w:u w:val="none"/>
                <w:lang w:val="en-US" w:eastAsia="zh-CN" w:bidi="ar"/>
              </w:rPr>
            </w:pPr>
          </w:p>
          <w:p w14:paraId="68A4CE5E">
            <w:pPr>
              <w:keepNext w:val="0"/>
              <w:keepLines w:val="0"/>
              <w:widowControl/>
              <w:suppressLineNumbers w:val="0"/>
              <w:jc w:val="left"/>
              <w:textAlignment w:val="center"/>
              <w:rPr>
                <w:rFonts w:hint="default" w:ascii="仿宋_GB2312" w:hAnsi="仿宋_GB2312" w:eastAsia="仿宋_GB2312" w:cs="仿宋_GB2312"/>
                <w:i w:val="0"/>
                <w:iCs w:val="0"/>
                <w:color w:val="000000"/>
                <w:kern w:val="0"/>
                <w:sz w:val="24"/>
                <w:szCs w:val="24"/>
                <w:u w:val="none"/>
                <w:lang w:val="en-US" w:eastAsia="zh-CN" w:bidi="ar"/>
              </w:rPr>
            </w:pPr>
          </w:p>
        </w:tc>
      </w:tr>
      <w:tr w14:paraId="5E4C5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4" w:hRule="atLeast"/>
          <w:jc w:val="center"/>
        </w:trPr>
        <w:tc>
          <w:tcPr>
            <w:tcW w:w="1541" w:type="dxa"/>
            <w:vMerge w:val="restart"/>
            <w:tcBorders>
              <w:top w:val="single" w:color="auto" w:sz="4" w:space="0"/>
              <w:left w:val="single" w:color="auto" w:sz="4" w:space="0"/>
              <w:bottom w:val="single" w:color="auto" w:sz="4" w:space="0"/>
              <w:right w:val="single" w:color="auto" w:sz="4" w:space="0"/>
            </w:tcBorders>
            <w:noWrap w:val="0"/>
            <w:vAlign w:val="center"/>
          </w:tcPr>
          <w:p w14:paraId="260C033F">
            <w:pPr>
              <w:keepNext w:val="0"/>
              <w:keepLines w:val="0"/>
              <w:widowControl/>
              <w:suppressLineNumbers w:val="0"/>
              <w:spacing w:line="240" w:lineRule="exact"/>
              <w:jc w:val="center"/>
              <w:textAlignment w:val="center"/>
              <w:rPr>
                <w:rFonts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做市商名称</w:t>
            </w:r>
          </w:p>
        </w:tc>
        <w:tc>
          <w:tcPr>
            <w:tcW w:w="1860" w:type="dxa"/>
            <w:vMerge w:val="restart"/>
            <w:tcBorders>
              <w:top w:val="single" w:color="auto" w:sz="4" w:space="0"/>
              <w:left w:val="single" w:color="auto" w:sz="4" w:space="0"/>
              <w:bottom w:val="single" w:color="auto" w:sz="4" w:space="0"/>
              <w:right w:val="single" w:color="auto" w:sz="4" w:space="0"/>
            </w:tcBorders>
            <w:noWrap w:val="0"/>
            <w:vAlign w:val="center"/>
          </w:tcPr>
          <w:p w14:paraId="622C845A">
            <w:pPr>
              <w:keepNext w:val="0"/>
              <w:keepLines w:val="0"/>
              <w:widowControl/>
              <w:suppressLineNumbers w:val="0"/>
              <w:spacing w:line="240" w:lineRule="exact"/>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划转类型</w:t>
            </w:r>
            <w:r>
              <w:rPr>
                <w:rFonts w:hint="eastAsia" w:ascii="仿宋_GB2312" w:hAnsi="宋体" w:eastAsia="仿宋_GB2312" w:cs="仿宋_GB2312"/>
                <w:b/>
                <w:bCs/>
                <w:i w:val="0"/>
                <w:iCs w:val="0"/>
                <w:color w:val="000000"/>
                <w:kern w:val="0"/>
                <w:sz w:val="24"/>
                <w:szCs w:val="24"/>
                <w:u w:val="none"/>
                <w:lang w:val="en-US" w:eastAsia="zh-CN" w:bidi="ar"/>
              </w:rPr>
              <w:br w:type="textWrapping"/>
            </w:r>
            <w:r>
              <w:rPr>
                <w:rFonts w:hint="eastAsia" w:ascii="仿宋_GB2312" w:hAnsi="宋体" w:eastAsia="仿宋_GB2312" w:cs="仿宋_GB2312"/>
                <w:b/>
                <w:bCs/>
                <w:i w:val="0"/>
                <w:iCs w:val="0"/>
                <w:color w:val="000000"/>
                <w:kern w:val="0"/>
                <w:sz w:val="24"/>
                <w:szCs w:val="24"/>
                <w:u w:val="none"/>
                <w:lang w:val="en-US" w:eastAsia="zh-CN" w:bidi="ar"/>
              </w:rPr>
              <w:t>1.自营至做市；2.做市至自营</w:t>
            </w:r>
          </w:p>
        </w:tc>
        <w:tc>
          <w:tcPr>
            <w:tcW w:w="2248" w:type="dxa"/>
            <w:gridSpan w:val="2"/>
            <w:tcBorders>
              <w:top w:val="single" w:color="auto" w:sz="4" w:space="0"/>
              <w:left w:val="single" w:color="auto" w:sz="4" w:space="0"/>
              <w:bottom w:val="single" w:color="auto" w:sz="4" w:space="0"/>
              <w:right w:val="single" w:color="auto" w:sz="4" w:space="0"/>
            </w:tcBorders>
            <w:noWrap w:val="0"/>
            <w:vAlign w:val="center"/>
          </w:tcPr>
          <w:p w14:paraId="337353F2">
            <w:pPr>
              <w:keepNext w:val="0"/>
              <w:keepLines w:val="0"/>
              <w:widowControl/>
              <w:suppressLineNumbers w:val="0"/>
              <w:spacing w:line="240" w:lineRule="exact"/>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划转证券信息</w:t>
            </w:r>
          </w:p>
        </w:tc>
        <w:tc>
          <w:tcPr>
            <w:tcW w:w="1383" w:type="dxa"/>
            <w:tcBorders>
              <w:top w:val="single" w:color="auto" w:sz="4" w:space="0"/>
              <w:left w:val="single" w:color="auto" w:sz="4" w:space="0"/>
              <w:bottom w:val="single" w:color="auto" w:sz="4" w:space="0"/>
              <w:right w:val="single" w:color="auto" w:sz="4" w:space="0"/>
            </w:tcBorders>
            <w:noWrap w:val="0"/>
            <w:vAlign w:val="center"/>
          </w:tcPr>
          <w:p w14:paraId="7CEE636D">
            <w:pPr>
              <w:keepNext w:val="0"/>
              <w:keepLines w:val="0"/>
              <w:widowControl/>
              <w:suppressLineNumbers w:val="0"/>
              <w:spacing w:line="240" w:lineRule="exact"/>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划出账户相关信息</w:t>
            </w:r>
          </w:p>
        </w:tc>
        <w:tc>
          <w:tcPr>
            <w:tcW w:w="1250" w:type="dxa"/>
            <w:tcBorders>
              <w:top w:val="single" w:color="auto" w:sz="4" w:space="0"/>
              <w:left w:val="single" w:color="auto" w:sz="4" w:space="0"/>
              <w:bottom w:val="single" w:color="auto" w:sz="4" w:space="0"/>
              <w:right w:val="single" w:color="auto" w:sz="4" w:space="0"/>
            </w:tcBorders>
            <w:noWrap w:val="0"/>
            <w:vAlign w:val="center"/>
          </w:tcPr>
          <w:p w14:paraId="1855EF7E">
            <w:pPr>
              <w:keepNext w:val="0"/>
              <w:keepLines w:val="0"/>
              <w:widowControl/>
              <w:suppressLineNumbers w:val="0"/>
              <w:spacing w:line="240" w:lineRule="exact"/>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划入账户相关信息</w:t>
            </w:r>
          </w:p>
        </w:tc>
        <w:tc>
          <w:tcPr>
            <w:tcW w:w="1498" w:type="dxa"/>
            <w:vMerge w:val="restart"/>
            <w:tcBorders>
              <w:top w:val="single" w:color="auto" w:sz="4" w:space="0"/>
              <w:left w:val="single" w:color="auto" w:sz="4" w:space="0"/>
              <w:bottom w:val="single" w:color="auto" w:sz="4" w:space="0"/>
              <w:right w:val="single" w:color="auto" w:sz="4" w:space="0"/>
            </w:tcBorders>
            <w:noWrap/>
            <w:vAlign w:val="center"/>
          </w:tcPr>
          <w:p w14:paraId="5DDD7D84">
            <w:pPr>
              <w:keepNext w:val="0"/>
              <w:keepLines w:val="0"/>
              <w:widowControl/>
              <w:suppressLineNumbers w:val="0"/>
              <w:spacing w:line="240" w:lineRule="exact"/>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划转数量（千元面额）</w:t>
            </w:r>
          </w:p>
        </w:tc>
      </w:tr>
      <w:tr w14:paraId="0CA01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4" w:hRule="atLeast"/>
          <w:jc w:val="center"/>
        </w:trPr>
        <w:tc>
          <w:tcPr>
            <w:tcW w:w="1541" w:type="dxa"/>
            <w:vMerge w:val="continue"/>
            <w:tcBorders>
              <w:top w:val="single" w:color="auto" w:sz="4" w:space="0"/>
              <w:left w:val="single" w:color="auto" w:sz="4" w:space="0"/>
              <w:bottom w:val="single" w:color="000000" w:sz="4" w:space="0"/>
              <w:right w:val="single" w:color="000000" w:sz="4" w:space="0"/>
            </w:tcBorders>
            <w:noWrap w:val="0"/>
            <w:vAlign w:val="center"/>
          </w:tcPr>
          <w:p w14:paraId="2FEB3AA0">
            <w:pPr>
              <w:spacing w:line="240" w:lineRule="exact"/>
              <w:jc w:val="center"/>
              <w:rPr>
                <w:rFonts w:hint="eastAsia" w:ascii="仿宋_GB2312" w:hAnsi="宋体" w:eastAsia="仿宋_GB2312" w:cs="仿宋_GB2312"/>
                <w:b/>
                <w:bCs/>
                <w:i w:val="0"/>
                <w:iCs w:val="0"/>
                <w:color w:val="000000"/>
                <w:sz w:val="24"/>
                <w:szCs w:val="24"/>
                <w:u w:val="none"/>
              </w:rPr>
            </w:pPr>
          </w:p>
        </w:tc>
        <w:tc>
          <w:tcPr>
            <w:tcW w:w="1860" w:type="dxa"/>
            <w:vMerge w:val="continue"/>
            <w:tcBorders>
              <w:top w:val="single" w:color="auto" w:sz="4" w:space="0"/>
              <w:left w:val="single" w:color="000000" w:sz="4" w:space="0"/>
              <w:bottom w:val="single" w:color="000000" w:sz="4" w:space="0"/>
              <w:right w:val="single" w:color="000000" w:sz="4" w:space="0"/>
            </w:tcBorders>
            <w:noWrap w:val="0"/>
            <w:vAlign w:val="center"/>
          </w:tcPr>
          <w:p w14:paraId="1221D9A7">
            <w:pPr>
              <w:spacing w:line="240" w:lineRule="exact"/>
              <w:jc w:val="center"/>
              <w:rPr>
                <w:rFonts w:hint="eastAsia" w:ascii="仿宋_GB2312" w:hAnsi="宋体" w:eastAsia="仿宋_GB2312" w:cs="仿宋_GB2312"/>
                <w:b/>
                <w:bCs/>
                <w:i w:val="0"/>
                <w:iCs w:val="0"/>
                <w:color w:val="000000"/>
                <w:sz w:val="24"/>
                <w:szCs w:val="24"/>
                <w:u w:val="none"/>
              </w:rPr>
            </w:pPr>
          </w:p>
        </w:tc>
        <w:tc>
          <w:tcPr>
            <w:tcW w:w="1110" w:type="dxa"/>
            <w:tcBorders>
              <w:top w:val="single" w:color="auto" w:sz="4" w:space="0"/>
              <w:left w:val="single" w:color="000000" w:sz="4" w:space="0"/>
              <w:bottom w:val="single" w:color="000000" w:sz="4" w:space="0"/>
              <w:right w:val="single" w:color="000000" w:sz="4" w:space="0"/>
            </w:tcBorders>
            <w:noWrap/>
            <w:vAlign w:val="center"/>
          </w:tcPr>
          <w:p w14:paraId="187265D8">
            <w:pPr>
              <w:keepNext w:val="0"/>
              <w:keepLines w:val="0"/>
              <w:widowControl/>
              <w:suppressLineNumbers w:val="0"/>
              <w:spacing w:line="240" w:lineRule="exact"/>
              <w:jc w:val="left"/>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证券代码</w:t>
            </w:r>
          </w:p>
        </w:tc>
        <w:tc>
          <w:tcPr>
            <w:tcW w:w="1138" w:type="dxa"/>
            <w:tcBorders>
              <w:top w:val="single" w:color="auto" w:sz="4" w:space="0"/>
              <w:left w:val="single" w:color="000000" w:sz="4" w:space="0"/>
              <w:bottom w:val="single" w:color="000000" w:sz="4" w:space="0"/>
              <w:right w:val="single" w:color="000000" w:sz="4" w:space="0"/>
            </w:tcBorders>
            <w:noWrap/>
            <w:vAlign w:val="center"/>
          </w:tcPr>
          <w:p w14:paraId="54612883">
            <w:pPr>
              <w:keepNext w:val="0"/>
              <w:keepLines w:val="0"/>
              <w:widowControl/>
              <w:suppressLineNumbers w:val="0"/>
              <w:spacing w:line="240" w:lineRule="exact"/>
              <w:jc w:val="left"/>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证券简称</w:t>
            </w:r>
          </w:p>
        </w:tc>
        <w:tc>
          <w:tcPr>
            <w:tcW w:w="1383" w:type="dxa"/>
            <w:tcBorders>
              <w:top w:val="single" w:color="auto" w:sz="4" w:space="0"/>
              <w:left w:val="single" w:color="000000" w:sz="4" w:space="0"/>
              <w:bottom w:val="single" w:color="000000" w:sz="4" w:space="0"/>
              <w:right w:val="single" w:color="000000" w:sz="4" w:space="0"/>
            </w:tcBorders>
            <w:noWrap/>
            <w:vAlign w:val="center"/>
          </w:tcPr>
          <w:p w14:paraId="40B711E6">
            <w:pPr>
              <w:keepNext w:val="0"/>
              <w:keepLines w:val="0"/>
              <w:widowControl/>
              <w:suppressLineNumbers w:val="0"/>
              <w:spacing w:line="240" w:lineRule="exact"/>
              <w:jc w:val="left"/>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证券账户号码</w:t>
            </w:r>
          </w:p>
        </w:tc>
        <w:tc>
          <w:tcPr>
            <w:tcW w:w="1250" w:type="dxa"/>
            <w:tcBorders>
              <w:top w:val="single" w:color="auto" w:sz="4" w:space="0"/>
              <w:left w:val="single" w:color="000000" w:sz="4" w:space="0"/>
              <w:bottom w:val="single" w:color="000000" w:sz="4" w:space="0"/>
              <w:right w:val="single" w:color="000000" w:sz="4" w:space="0"/>
            </w:tcBorders>
            <w:noWrap/>
            <w:vAlign w:val="center"/>
          </w:tcPr>
          <w:p w14:paraId="6880E636">
            <w:pPr>
              <w:keepNext w:val="0"/>
              <w:keepLines w:val="0"/>
              <w:widowControl/>
              <w:suppressLineNumbers w:val="0"/>
              <w:spacing w:line="240" w:lineRule="exact"/>
              <w:jc w:val="left"/>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证券账户号码</w:t>
            </w:r>
          </w:p>
        </w:tc>
        <w:tc>
          <w:tcPr>
            <w:tcW w:w="1498" w:type="dxa"/>
            <w:vMerge w:val="continue"/>
            <w:tcBorders>
              <w:top w:val="single" w:color="auto" w:sz="4" w:space="0"/>
              <w:left w:val="single" w:color="000000" w:sz="4" w:space="0"/>
              <w:bottom w:val="single" w:color="000000" w:sz="4" w:space="0"/>
              <w:right w:val="single" w:color="auto" w:sz="4" w:space="0"/>
            </w:tcBorders>
            <w:noWrap/>
            <w:vAlign w:val="center"/>
          </w:tcPr>
          <w:p w14:paraId="73FAEFBA">
            <w:pPr>
              <w:spacing w:line="240" w:lineRule="exact"/>
              <w:jc w:val="center"/>
              <w:rPr>
                <w:rFonts w:hint="eastAsia" w:ascii="仿宋_GB2312" w:hAnsi="宋体" w:eastAsia="仿宋_GB2312" w:cs="仿宋_GB2312"/>
                <w:b/>
                <w:bCs/>
                <w:i w:val="0"/>
                <w:iCs w:val="0"/>
                <w:color w:val="000000"/>
                <w:sz w:val="24"/>
                <w:szCs w:val="24"/>
                <w:u w:val="none"/>
              </w:rPr>
            </w:pPr>
          </w:p>
        </w:tc>
      </w:tr>
      <w:tr w14:paraId="47A24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1541" w:type="dxa"/>
            <w:tcBorders>
              <w:top w:val="single" w:color="000000" w:sz="4" w:space="0"/>
              <w:left w:val="single" w:color="000000" w:sz="4" w:space="0"/>
              <w:bottom w:val="single" w:color="000000" w:sz="4" w:space="0"/>
              <w:right w:val="single" w:color="000000" w:sz="4" w:space="0"/>
            </w:tcBorders>
            <w:noWrap/>
            <w:vAlign w:val="center"/>
          </w:tcPr>
          <w:p w14:paraId="3196BC4B">
            <w:pPr>
              <w:spacing w:line="240" w:lineRule="exact"/>
              <w:rPr>
                <w:rFonts w:hint="eastAsia" w:ascii="宋体" w:hAnsi="宋体" w:eastAsia="宋体" w:cs="宋体"/>
                <w:i w:val="0"/>
                <w:iCs w:val="0"/>
                <w:color w:val="000000"/>
                <w:sz w:val="24"/>
                <w:szCs w:val="24"/>
                <w:u w:val="none"/>
              </w:rPr>
            </w:pPr>
          </w:p>
        </w:tc>
        <w:tc>
          <w:tcPr>
            <w:tcW w:w="1860" w:type="dxa"/>
            <w:tcBorders>
              <w:top w:val="single" w:color="000000" w:sz="4" w:space="0"/>
              <w:left w:val="single" w:color="000000" w:sz="4" w:space="0"/>
              <w:bottom w:val="single" w:color="000000" w:sz="4" w:space="0"/>
              <w:right w:val="single" w:color="000000" w:sz="4" w:space="0"/>
            </w:tcBorders>
            <w:noWrap/>
            <w:vAlign w:val="center"/>
          </w:tcPr>
          <w:p w14:paraId="2AB7CE03">
            <w:pPr>
              <w:spacing w:line="240" w:lineRule="exact"/>
              <w:rPr>
                <w:rFonts w:hint="eastAsia" w:ascii="宋体" w:hAnsi="宋体" w:eastAsia="宋体" w:cs="宋体"/>
                <w:i w:val="0"/>
                <w:iCs w:val="0"/>
                <w:color w:val="000000"/>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42DCF9CC">
            <w:pPr>
              <w:spacing w:line="240" w:lineRule="exact"/>
              <w:rPr>
                <w:rFonts w:hint="eastAsia" w:ascii="宋体" w:hAnsi="宋体" w:eastAsia="宋体" w:cs="宋体"/>
                <w:i w:val="0"/>
                <w:iCs w:val="0"/>
                <w:color w:val="000000"/>
                <w:sz w:val="24"/>
                <w:szCs w:val="24"/>
                <w:u w:val="none"/>
              </w:rPr>
            </w:pPr>
          </w:p>
        </w:tc>
        <w:tc>
          <w:tcPr>
            <w:tcW w:w="1138" w:type="dxa"/>
            <w:tcBorders>
              <w:top w:val="single" w:color="000000" w:sz="4" w:space="0"/>
              <w:left w:val="single" w:color="000000" w:sz="4" w:space="0"/>
              <w:bottom w:val="single" w:color="000000" w:sz="4" w:space="0"/>
              <w:right w:val="single" w:color="000000" w:sz="4" w:space="0"/>
            </w:tcBorders>
            <w:noWrap/>
            <w:vAlign w:val="center"/>
          </w:tcPr>
          <w:p w14:paraId="5E0D34E5">
            <w:pPr>
              <w:spacing w:line="240" w:lineRule="exact"/>
              <w:rPr>
                <w:rFonts w:hint="eastAsia" w:ascii="宋体" w:hAnsi="宋体" w:eastAsia="宋体" w:cs="宋体"/>
                <w:i w:val="0"/>
                <w:iCs w:val="0"/>
                <w:color w:val="000000"/>
                <w:sz w:val="24"/>
                <w:szCs w:val="24"/>
                <w:u w:val="none"/>
              </w:rPr>
            </w:pP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06091377">
            <w:pPr>
              <w:spacing w:line="240" w:lineRule="exact"/>
              <w:rPr>
                <w:rFonts w:hint="eastAsia" w:ascii="宋体" w:hAnsi="宋体" w:eastAsia="宋体" w:cs="宋体"/>
                <w:i w:val="0"/>
                <w:iCs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43D8C38D">
            <w:pPr>
              <w:spacing w:line="240" w:lineRule="exact"/>
              <w:rPr>
                <w:rFonts w:hint="eastAsia" w:ascii="宋体" w:hAnsi="宋体" w:eastAsia="宋体" w:cs="宋体"/>
                <w:i w:val="0"/>
                <w:iCs w:val="0"/>
                <w:color w:val="000000"/>
                <w:sz w:val="24"/>
                <w:szCs w:val="24"/>
                <w:u w:val="none"/>
              </w:rPr>
            </w:pPr>
          </w:p>
        </w:tc>
        <w:tc>
          <w:tcPr>
            <w:tcW w:w="1498" w:type="dxa"/>
            <w:tcBorders>
              <w:top w:val="single" w:color="000000" w:sz="4" w:space="0"/>
              <w:left w:val="single" w:color="000000" w:sz="4" w:space="0"/>
              <w:bottom w:val="single" w:color="000000" w:sz="4" w:space="0"/>
              <w:right w:val="single" w:color="000000" w:sz="4" w:space="0"/>
            </w:tcBorders>
            <w:noWrap/>
            <w:vAlign w:val="center"/>
          </w:tcPr>
          <w:p w14:paraId="2ED54865">
            <w:pPr>
              <w:spacing w:line="240" w:lineRule="exact"/>
              <w:rPr>
                <w:rFonts w:hint="eastAsia" w:ascii="宋体" w:hAnsi="宋体" w:eastAsia="宋体" w:cs="宋体"/>
                <w:i w:val="0"/>
                <w:iCs w:val="0"/>
                <w:color w:val="000000"/>
                <w:sz w:val="24"/>
                <w:szCs w:val="24"/>
                <w:u w:val="none"/>
              </w:rPr>
            </w:pPr>
          </w:p>
        </w:tc>
      </w:tr>
      <w:tr w14:paraId="325E2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1541" w:type="dxa"/>
            <w:tcBorders>
              <w:top w:val="single" w:color="000000" w:sz="4" w:space="0"/>
              <w:left w:val="single" w:color="000000" w:sz="4" w:space="0"/>
              <w:bottom w:val="single" w:color="000000" w:sz="4" w:space="0"/>
              <w:right w:val="single" w:color="000000" w:sz="4" w:space="0"/>
            </w:tcBorders>
            <w:noWrap/>
            <w:vAlign w:val="center"/>
          </w:tcPr>
          <w:p w14:paraId="4A6CAB01">
            <w:pPr>
              <w:spacing w:line="240" w:lineRule="exact"/>
              <w:rPr>
                <w:rFonts w:hint="eastAsia" w:ascii="宋体" w:hAnsi="宋体" w:eastAsia="宋体" w:cs="宋体"/>
                <w:i w:val="0"/>
                <w:iCs w:val="0"/>
                <w:color w:val="000000"/>
                <w:sz w:val="24"/>
                <w:szCs w:val="24"/>
                <w:u w:val="none"/>
              </w:rPr>
            </w:pPr>
          </w:p>
        </w:tc>
        <w:tc>
          <w:tcPr>
            <w:tcW w:w="1860" w:type="dxa"/>
            <w:tcBorders>
              <w:top w:val="single" w:color="000000" w:sz="4" w:space="0"/>
              <w:left w:val="single" w:color="000000" w:sz="4" w:space="0"/>
              <w:bottom w:val="single" w:color="000000" w:sz="4" w:space="0"/>
              <w:right w:val="single" w:color="000000" w:sz="4" w:space="0"/>
            </w:tcBorders>
            <w:noWrap/>
            <w:vAlign w:val="center"/>
          </w:tcPr>
          <w:p w14:paraId="0BA8827F">
            <w:pPr>
              <w:spacing w:line="240" w:lineRule="exact"/>
              <w:rPr>
                <w:rFonts w:hint="eastAsia" w:ascii="宋体" w:hAnsi="宋体" w:eastAsia="宋体" w:cs="宋体"/>
                <w:i w:val="0"/>
                <w:iCs w:val="0"/>
                <w:color w:val="000000"/>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341F4A4A">
            <w:pPr>
              <w:spacing w:line="240" w:lineRule="exact"/>
              <w:rPr>
                <w:rFonts w:hint="eastAsia" w:ascii="宋体" w:hAnsi="宋体" w:eastAsia="宋体" w:cs="宋体"/>
                <w:i w:val="0"/>
                <w:iCs w:val="0"/>
                <w:color w:val="000000"/>
                <w:sz w:val="24"/>
                <w:szCs w:val="24"/>
                <w:u w:val="none"/>
              </w:rPr>
            </w:pPr>
          </w:p>
        </w:tc>
        <w:tc>
          <w:tcPr>
            <w:tcW w:w="1138" w:type="dxa"/>
            <w:tcBorders>
              <w:top w:val="single" w:color="000000" w:sz="4" w:space="0"/>
              <w:left w:val="single" w:color="000000" w:sz="4" w:space="0"/>
              <w:bottom w:val="single" w:color="000000" w:sz="4" w:space="0"/>
              <w:right w:val="single" w:color="000000" w:sz="4" w:space="0"/>
            </w:tcBorders>
            <w:noWrap/>
            <w:vAlign w:val="center"/>
          </w:tcPr>
          <w:p w14:paraId="4BB2080C">
            <w:pPr>
              <w:spacing w:line="240" w:lineRule="exact"/>
              <w:rPr>
                <w:rFonts w:hint="eastAsia" w:ascii="宋体" w:hAnsi="宋体" w:eastAsia="宋体" w:cs="宋体"/>
                <w:i w:val="0"/>
                <w:iCs w:val="0"/>
                <w:color w:val="000000"/>
                <w:sz w:val="24"/>
                <w:szCs w:val="24"/>
                <w:u w:val="none"/>
              </w:rPr>
            </w:pP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76370222">
            <w:pPr>
              <w:spacing w:line="240" w:lineRule="exact"/>
              <w:rPr>
                <w:rFonts w:hint="eastAsia" w:ascii="宋体" w:hAnsi="宋体" w:eastAsia="宋体" w:cs="宋体"/>
                <w:i w:val="0"/>
                <w:iCs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DA01885">
            <w:pPr>
              <w:spacing w:line="240" w:lineRule="exact"/>
              <w:rPr>
                <w:rFonts w:hint="eastAsia" w:ascii="宋体" w:hAnsi="宋体" w:eastAsia="宋体" w:cs="宋体"/>
                <w:i w:val="0"/>
                <w:iCs w:val="0"/>
                <w:color w:val="000000"/>
                <w:sz w:val="24"/>
                <w:szCs w:val="24"/>
                <w:u w:val="none"/>
              </w:rPr>
            </w:pPr>
          </w:p>
        </w:tc>
        <w:tc>
          <w:tcPr>
            <w:tcW w:w="1498" w:type="dxa"/>
            <w:tcBorders>
              <w:top w:val="single" w:color="000000" w:sz="4" w:space="0"/>
              <w:left w:val="single" w:color="000000" w:sz="4" w:space="0"/>
              <w:bottom w:val="single" w:color="000000" w:sz="4" w:space="0"/>
              <w:right w:val="single" w:color="000000" w:sz="4" w:space="0"/>
            </w:tcBorders>
            <w:noWrap/>
            <w:vAlign w:val="center"/>
          </w:tcPr>
          <w:p w14:paraId="100BAD4C">
            <w:pPr>
              <w:spacing w:line="240" w:lineRule="exact"/>
              <w:rPr>
                <w:rFonts w:hint="eastAsia" w:ascii="宋体" w:hAnsi="宋体" w:eastAsia="宋体" w:cs="宋体"/>
                <w:i w:val="0"/>
                <w:iCs w:val="0"/>
                <w:color w:val="000000"/>
                <w:sz w:val="24"/>
                <w:szCs w:val="24"/>
                <w:u w:val="none"/>
              </w:rPr>
            </w:pPr>
          </w:p>
        </w:tc>
      </w:tr>
      <w:tr w14:paraId="41403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1541" w:type="dxa"/>
            <w:tcBorders>
              <w:top w:val="single" w:color="000000" w:sz="4" w:space="0"/>
              <w:left w:val="single" w:color="000000" w:sz="4" w:space="0"/>
              <w:bottom w:val="single" w:color="000000" w:sz="4" w:space="0"/>
              <w:right w:val="single" w:color="000000" w:sz="4" w:space="0"/>
            </w:tcBorders>
            <w:noWrap/>
            <w:vAlign w:val="center"/>
          </w:tcPr>
          <w:p w14:paraId="6AD2FA0F">
            <w:pPr>
              <w:spacing w:line="240" w:lineRule="exact"/>
              <w:rPr>
                <w:rFonts w:hint="eastAsia" w:ascii="宋体" w:hAnsi="宋体" w:eastAsia="宋体" w:cs="宋体"/>
                <w:i w:val="0"/>
                <w:iCs w:val="0"/>
                <w:color w:val="000000"/>
                <w:sz w:val="24"/>
                <w:szCs w:val="24"/>
                <w:u w:val="none"/>
              </w:rPr>
            </w:pPr>
          </w:p>
        </w:tc>
        <w:tc>
          <w:tcPr>
            <w:tcW w:w="1860" w:type="dxa"/>
            <w:tcBorders>
              <w:top w:val="single" w:color="000000" w:sz="4" w:space="0"/>
              <w:left w:val="single" w:color="000000" w:sz="4" w:space="0"/>
              <w:bottom w:val="single" w:color="000000" w:sz="4" w:space="0"/>
              <w:right w:val="single" w:color="000000" w:sz="4" w:space="0"/>
            </w:tcBorders>
            <w:noWrap/>
            <w:vAlign w:val="center"/>
          </w:tcPr>
          <w:p w14:paraId="3941B7C9">
            <w:pPr>
              <w:spacing w:line="240" w:lineRule="exact"/>
              <w:rPr>
                <w:rFonts w:hint="eastAsia" w:ascii="宋体" w:hAnsi="宋体" w:eastAsia="宋体" w:cs="宋体"/>
                <w:i w:val="0"/>
                <w:iCs w:val="0"/>
                <w:color w:val="000000"/>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6E6A52B5">
            <w:pPr>
              <w:spacing w:line="240" w:lineRule="exact"/>
              <w:rPr>
                <w:rFonts w:hint="eastAsia" w:ascii="宋体" w:hAnsi="宋体" w:eastAsia="宋体" w:cs="宋体"/>
                <w:i w:val="0"/>
                <w:iCs w:val="0"/>
                <w:color w:val="000000"/>
                <w:sz w:val="24"/>
                <w:szCs w:val="24"/>
                <w:u w:val="none"/>
              </w:rPr>
            </w:pPr>
          </w:p>
        </w:tc>
        <w:tc>
          <w:tcPr>
            <w:tcW w:w="1138" w:type="dxa"/>
            <w:tcBorders>
              <w:top w:val="single" w:color="000000" w:sz="4" w:space="0"/>
              <w:left w:val="single" w:color="000000" w:sz="4" w:space="0"/>
              <w:bottom w:val="single" w:color="000000" w:sz="4" w:space="0"/>
              <w:right w:val="single" w:color="000000" w:sz="4" w:space="0"/>
            </w:tcBorders>
            <w:noWrap/>
            <w:vAlign w:val="center"/>
          </w:tcPr>
          <w:p w14:paraId="2E7D56C3">
            <w:pPr>
              <w:spacing w:line="240" w:lineRule="exact"/>
              <w:rPr>
                <w:rFonts w:hint="eastAsia" w:ascii="宋体" w:hAnsi="宋体" w:eastAsia="宋体" w:cs="宋体"/>
                <w:i w:val="0"/>
                <w:iCs w:val="0"/>
                <w:color w:val="000000"/>
                <w:sz w:val="24"/>
                <w:szCs w:val="24"/>
                <w:u w:val="none"/>
              </w:rPr>
            </w:pP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3A726F99">
            <w:pPr>
              <w:spacing w:line="240" w:lineRule="exact"/>
              <w:rPr>
                <w:rFonts w:hint="eastAsia" w:ascii="宋体" w:hAnsi="宋体" w:eastAsia="宋体" w:cs="宋体"/>
                <w:i w:val="0"/>
                <w:iCs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2B468FE">
            <w:pPr>
              <w:spacing w:line="240" w:lineRule="exact"/>
              <w:rPr>
                <w:rFonts w:hint="eastAsia" w:ascii="宋体" w:hAnsi="宋体" w:eastAsia="宋体" w:cs="宋体"/>
                <w:i w:val="0"/>
                <w:iCs w:val="0"/>
                <w:color w:val="000000"/>
                <w:sz w:val="24"/>
                <w:szCs w:val="24"/>
                <w:u w:val="none"/>
              </w:rPr>
            </w:pPr>
          </w:p>
        </w:tc>
        <w:tc>
          <w:tcPr>
            <w:tcW w:w="1498" w:type="dxa"/>
            <w:tcBorders>
              <w:top w:val="single" w:color="000000" w:sz="4" w:space="0"/>
              <w:left w:val="single" w:color="000000" w:sz="4" w:space="0"/>
              <w:bottom w:val="single" w:color="000000" w:sz="4" w:space="0"/>
              <w:right w:val="single" w:color="000000" w:sz="4" w:space="0"/>
            </w:tcBorders>
            <w:noWrap/>
            <w:vAlign w:val="center"/>
          </w:tcPr>
          <w:p w14:paraId="3414B229">
            <w:pPr>
              <w:spacing w:line="240" w:lineRule="exact"/>
              <w:rPr>
                <w:rFonts w:hint="eastAsia" w:ascii="宋体" w:hAnsi="宋体" w:eastAsia="宋体" w:cs="宋体"/>
                <w:i w:val="0"/>
                <w:iCs w:val="0"/>
                <w:color w:val="000000"/>
                <w:sz w:val="24"/>
                <w:szCs w:val="24"/>
                <w:u w:val="none"/>
              </w:rPr>
            </w:pPr>
          </w:p>
        </w:tc>
      </w:tr>
      <w:tr w14:paraId="76C96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1541" w:type="dxa"/>
            <w:tcBorders>
              <w:top w:val="single" w:color="000000" w:sz="4" w:space="0"/>
              <w:left w:val="single" w:color="000000" w:sz="4" w:space="0"/>
              <w:bottom w:val="single" w:color="000000" w:sz="4" w:space="0"/>
              <w:right w:val="single" w:color="000000" w:sz="4" w:space="0"/>
            </w:tcBorders>
            <w:noWrap/>
            <w:vAlign w:val="center"/>
          </w:tcPr>
          <w:p w14:paraId="3E59E3E4">
            <w:pPr>
              <w:spacing w:line="240" w:lineRule="exact"/>
              <w:rPr>
                <w:rFonts w:hint="eastAsia" w:ascii="宋体" w:hAnsi="宋体" w:eastAsia="宋体" w:cs="宋体"/>
                <w:i w:val="0"/>
                <w:iCs w:val="0"/>
                <w:color w:val="000000"/>
                <w:sz w:val="24"/>
                <w:szCs w:val="24"/>
                <w:u w:val="none"/>
              </w:rPr>
            </w:pPr>
          </w:p>
        </w:tc>
        <w:tc>
          <w:tcPr>
            <w:tcW w:w="1860" w:type="dxa"/>
            <w:tcBorders>
              <w:top w:val="single" w:color="000000" w:sz="4" w:space="0"/>
              <w:left w:val="single" w:color="000000" w:sz="4" w:space="0"/>
              <w:bottom w:val="single" w:color="000000" w:sz="4" w:space="0"/>
              <w:right w:val="single" w:color="000000" w:sz="4" w:space="0"/>
            </w:tcBorders>
            <w:noWrap/>
            <w:vAlign w:val="center"/>
          </w:tcPr>
          <w:p w14:paraId="472FE8AF">
            <w:pPr>
              <w:spacing w:line="240" w:lineRule="exact"/>
              <w:rPr>
                <w:rFonts w:hint="eastAsia" w:ascii="宋体" w:hAnsi="宋体" w:eastAsia="宋体" w:cs="宋体"/>
                <w:i w:val="0"/>
                <w:iCs w:val="0"/>
                <w:color w:val="000000"/>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00E0399B">
            <w:pPr>
              <w:spacing w:line="240" w:lineRule="exact"/>
              <w:rPr>
                <w:rFonts w:hint="eastAsia" w:ascii="宋体" w:hAnsi="宋体" w:eastAsia="宋体" w:cs="宋体"/>
                <w:i w:val="0"/>
                <w:iCs w:val="0"/>
                <w:color w:val="000000"/>
                <w:sz w:val="24"/>
                <w:szCs w:val="24"/>
                <w:u w:val="none"/>
              </w:rPr>
            </w:pPr>
          </w:p>
        </w:tc>
        <w:tc>
          <w:tcPr>
            <w:tcW w:w="1138" w:type="dxa"/>
            <w:tcBorders>
              <w:top w:val="single" w:color="000000" w:sz="4" w:space="0"/>
              <w:left w:val="single" w:color="000000" w:sz="4" w:space="0"/>
              <w:bottom w:val="single" w:color="000000" w:sz="4" w:space="0"/>
              <w:right w:val="single" w:color="000000" w:sz="4" w:space="0"/>
            </w:tcBorders>
            <w:noWrap/>
            <w:vAlign w:val="center"/>
          </w:tcPr>
          <w:p w14:paraId="2C3D43B0">
            <w:pPr>
              <w:spacing w:line="240" w:lineRule="exact"/>
              <w:rPr>
                <w:rFonts w:hint="eastAsia" w:ascii="宋体" w:hAnsi="宋体" w:eastAsia="宋体" w:cs="宋体"/>
                <w:i w:val="0"/>
                <w:iCs w:val="0"/>
                <w:color w:val="000000"/>
                <w:sz w:val="24"/>
                <w:szCs w:val="24"/>
                <w:u w:val="none"/>
              </w:rPr>
            </w:pP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79C678B3">
            <w:pPr>
              <w:spacing w:line="240" w:lineRule="exact"/>
              <w:rPr>
                <w:rFonts w:hint="eastAsia" w:ascii="宋体" w:hAnsi="宋体" w:eastAsia="宋体" w:cs="宋体"/>
                <w:i w:val="0"/>
                <w:iCs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250B9A60">
            <w:pPr>
              <w:spacing w:line="240" w:lineRule="exact"/>
              <w:rPr>
                <w:rFonts w:hint="eastAsia" w:ascii="宋体" w:hAnsi="宋体" w:eastAsia="宋体" w:cs="宋体"/>
                <w:i w:val="0"/>
                <w:iCs w:val="0"/>
                <w:color w:val="000000"/>
                <w:sz w:val="24"/>
                <w:szCs w:val="24"/>
                <w:u w:val="none"/>
              </w:rPr>
            </w:pPr>
          </w:p>
        </w:tc>
        <w:tc>
          <w:tcPr>
            <w:tcW w:w="1498" w:type="dxa"/>
            <w:tcBorders>
              <w:top w:val="single" w:color="000000" w:sz="4" w:space="0"/>
              <w:left w:val="single" w:color="000000" w:sz="4" w:space="0"/>
              <w:bottom w:val="single" w:color="000000" w:sz="4" w:space="0"/>
              <w:right w:val="single" w:color="000000" w:sz="4" w:space="0"/>
            </w:tcBorders>
            <w:noWrap/>
            <w:vAlign w:val="center"/>
          </w:tcPr>
          <w:p w14:paraId="64E13915">
            <w:pPr>
              <w:spacing w:line="240" w:lineRule="exact"/>
              <w:rPr>
                <w:rFonts w:hint="eastAsia" w:ascii="宋体" w:hAnsi="宋体" w:eastAsia="宋体" w:cs="宋体"/>
                <w:i w:val="0"/>
                <w:iCs w:val="0"/>
                <w:color w:val="000000"/>
                <w:sz w:val="24"/>
                <w:szCs w:val="24"/>
                <w:u w:val="none"/>
              </w:rPr>
            </w:pPr>
          </w:p>
        </w:tc>
      </w:tr>
      <w:tr w14:paraId="78E9F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1541" w:type="dxa"/>
            <w:tcBorders>
              <w:top w:val="single" w:color="000000" w:sz="4" w:space="0"/>
              <w:left w:val="single" w:color="000000" w:sz="4" w:space="0"/>
              <w:bottom w:val="single" w:color="000000" w:sz="4" w:space="0"/>
              <w:right w:val="single" w:color="000000" w:sz="4" w:space="0"/>
            </w:tcBorders>
            <w:noWrap/>
            <w:vAlign w:val="center"/>
          </w:tcPr>
          <w:p w14:paraId="0A336333">
            <w:pPr>
              <w:spacing w:line="240" w:lineRule="exact"/>
              <w:rPr>
                <w:rFonts w:hint="eastAsia" w:ascii="宋体" w:hAnsi="宋体" w:eastAsia="宋体" w:cs="宋体"/>
                <w:i w:val="0"/>
                <w:iCs w:val="0"/>
                <w:color w:val="000000"/>
                <w:sz w:val="24"/>
                <w:szCs w:val="24"/>
                <w:u w:val="none"/>
              </w:rPr>
            </w:pPr>
          </w:p>
        </w:tc>
        <w:tc>
          <w:tcPr>
            <w:tcW w:w="1860" w:type="dxa"/>
            <w:tcBorders>
              <w:top w:val="single" w:color="000000" w:sz="4" w:space="0"/>
              <w:left w:val="single" w:color="000000" w:sz="4" w:space="0"/>
              <w:bottom w:val="single" w:color="000000" w:sz="4" w:space="0"/>
              <w:right w:val="single" w:color="000000" w:sz="4" w:space="0"/>
            </w:tcBorders>
            <w:noWrap/>
            <w:vAlign w:val="center"/>
          </w:tcPr>
          <w:p w14:paraId="6FE45D77">
            <w:pPr>
              <w:spacing w:line="240" w:lineRule="exact"/>
              <w:rPr>
                <w:rFonts w:hint="eastAsia" w:ascii="宋体" w:hAnsi="宋体" w:eastAsia="宋体" w:cs="宋体"/>
                <w:i w:val="0"/>
                <w:iCs w:val="0"/>
                <w:color w:val="000000"/>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74B7EDAC">
            <w:pPr>
              <w:spacing w:line="240" w:lineRule="exact"/>
              <w:rPr>
                <w:rFonts w:hint="eastAsia" w:ascii="宋体" w:hAnsi="宋体" w:eastAsia="宋体" w:cs="宋体"/>
                <w:i w:val="0"/>
                <w:iCs w:val="0"/>
                <w:color w:val="000000"/>
                <w:sz w:val="24"/>
                <w:szCs w:val="24"/>
                <w:u w:val="none"/>
              </w:rPr>
            </w:pPr>
          </w:p>
        </w:tc>
        <w:tc>
          <w:tcPr>
            <w:tcW w:w="1138" w:type="dxa"/>
            <w:tcBorders>
              <w:top w:val="single" w:color="000000" w:sz="4" w:space="0"/>
              <w:left w:val="single" w:color="000000" w:sz="4" w:space="0"/>
              <w:bottom w:val="single" w:color="000000" w:sz="4" w:space="0"/>
              <w:right w:val="single" w:color="000000" w:sz="4" w:space="0"/>
            </w:tcBorders>
            <w:noWrap/>
            <w:vAlign w:val="center"/>
          </w:tcPr>
          <w:p w14:paraId="402C1537">
            <w:pPr>
              <w:spacing w:line="240" w:lineRule="exact"/>
              <w:rPr>
                <w:rFonts w:hint="eastAsia" w:ascii="宋体" w:hAnsi="宋体" w:eastAsia="宋体" w:cs="宋体"/>
                <w:i w:val="0"/>
                <w:iCs w:val="0"/>
                <w:color w:val="000000"/>
                <w:sz w:val="24"/>
                <w:szCs w:val="24"/>
                <w:u w:val="none"/>
              </w:rPr>
            </w:pP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3F9AC83B">
            <w:pPr>
              <w:spacing w:line="240" w:lineRule="exact"/>
              <w:rPr>
                <w:rFonts w:hint="eastAsia" w:ascii="宋体" w:hAnsi="宋体" w:eastAsia="宋体" w:cs="宋体"/>
                <w:i w:val="0"/>
                <w:iCs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0E045954">
            <w:pPr>
              <w:spacing w:line="240" w:lineRule="exact"/>
              <w:rPr>
                <w:rFonts w:hint="eastAsia" w:ascii="宋体" w:hAnsi="宋体" w:eastAsia="宋体" w:cs="宋体"/>
                <w:i w:val="0"/>
                <w:iCs w:val="0"/>
                <w:color w:val="000000"/>
                <w:sz w:val="24"/>
                <w:szCs w:val="24"/>
                <w:u w:val="none"/>
              </w:rPr>
            </w:pPr>
          </w:p>
        </w:tc>
        <w:tc>
          <w:tcPr>
            <w:tcW w:w="1498" w:type="dxa"/>
            <w:tcBorders>
              <w:top w:val="single" w:color="000000" w:sz="4" w:space="0"/>
              <w:left w:val="single" w:color="000000" w:sz="4" w:space="0"/>
              <w:bottom w:val="single" w:color="000000" w:sz="4" w:space="0"/>
              <w:right w:val="single" w:color="000000" w:sz="4" w:space="0"/>
            </w:tcBorders>
            <w:noWrap/>
            <w:vAlign w:val="center"/>
          </w:tcPr>
          <w:p w14:paraId="57629B95">
            <w:pPr>
              <w:spacing w:line="240" w:lineRule="exact"/>
              <w:rPr>
                <w:rFonts w:hint="eastAsia" w:ascii="宋体" w:hAnsi="宋体" w:eastAsia="宋体" w:cs="宋体"/>
                <w:i w:val="0"/>
                <w:iCs w:val="0"/>
                <w:color w:val="000000"/>
                <w:sz w:val="24"/>
                <w:szCs w:val="24"/>
                <w:u w:val="none"/>
              </w:rPr>
            </w:pPr>
          </w:p>
        </w:tc>
      </w:tr>
      <w:tr w14:paraId="3E0AC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1541" w:type="dxa"/>
            <w:tcBorders>
              <w:top w:val="single" w:color="000000" w:sz="4" w:space="0"/>
              <w:left w:val="single" w:color="000000" w:sz="4" w:space="0"/>
              <w:bottom w:val="single" w:color="000000" w:sz="4" w:space="0"/>
              <w:right w:val="single" w:color="000000" w:sz="4" w:space="0"/>
            </w:tcBorders>
            <w:noWrap/>
            <w:vAlign w:val="center"/>
          </w:tcPr>
          <w:p w14:paraId="5C56B438">
            <w:pPr>
              <w:spacing w:line="240" w:lineRule="exact"/>
              <w:rPr>
                <w:rFonts w:hint="eastAsia" w:ascii="宋体" w:hAnsi="宋体" w:eastAsia="宋体" w:cs="宋体"/>
                <w:i w:val="0"/>
                <w:iCs w:val="0"/>
                <w:color w:val="000000"/>
                <w:sz w:val="24"/>
                <w:szCs w:val="24"/>
                <w:u w:val="none"/>
              </w:rPr>
            </w:pPr>
          </w:p>
        </w:tc>
        <w:tc>
          <w:tcPr>
            <w:tcW w:w="1860" w:type="dxa"/>
            <w:tcBorders>
              <w:top w:val="single" w:color="000000" w:sz="4" w:space="0"/>
              <w:left w:val="single" w:color="000000" w:sz="4" w:space="0"/>
              <w:bottom w:val="single" w:color="000000" w:sz="4" w:space="0"/>
              <w:right w:val="single" w:color="000000" w:sz="4" w:space="0"/>
            </w:tcBorders>
            <w:noWrap/>
            <w:vAlign w:val="center"/>
          </w:tcPr>
          <w:p w14:paraId="6232F089">
            <w:pPr>
              <w:spacing w:line="240" w:lineRule="exact"/>
              <w:rPr>
                <w:rFonts w:hint="eastAsia" w:ascii="宋体" w:hAnsi="宋体" w:eastAsia="宋体" w:cs="宋体"/>
                <w:i w:val="0"/>
                <w:iCs w:val="0"/>
                <w:color w:val="000000"/>
                <w:sz w:val="24"/>
                <w:szCs w:val="24"/>
                <w:u w:val="none"/>
              </w:rPr>
            </w:pP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55E42B4D">
            <w:pPr>
              <w:spacing w:line="240" w:lineRule="exact"/>
              <w:rPr>
                <w:rFonts w:hint="eastAsia" w:ascii="宋体" w:hAnsi="宋体" w:eastAsia="宋体" w:cs="宋体"/>
                <w:i w:val="0"/>
                <w:iCs w:val="0"/>
                <w:color w:val="000000"/>
                <w:sz w:val="24"/>
                <w:szCs w:val="24"/>
                <w:u w:val="none"/>
              </w:rPr>
            </w:pPr>
          </w:p>
        </w:tc>
        <w:tc>
          <w:tcPr>
            <w:tcW w:w="1138" w:type="dxa"/>
            <w:tcBorders>
              <w:top w:val="single" w:color="000000" w:sz="4" w:space="0"/>
              <w:left w:val="single" w:color="000000" w:sz="4" w:space="0"/>
              <w:bottom w:val="single" w:color="000000" w:sz="4" w:space="0"/>
              <w:right w:val="single" w:color="000000" w:sz="4" w:space="0"/>
            </w:tcBorders>
            <w:noWrap/>
            <w:vAlign w:val="center"/>
          </w:tcPr>
          <w:p w14:paraId="700D9835">
            <w:pPr>
              <w:spacing w:line="240" w:lineRule="exact"/>
              <w:rPr>
                <w:rFonts w:hint="eastAsia" w:ascii="宋体" w:hAnsi="宋体" w:eastAsia="宋体" w:cs="宋体"/>
                <w:i w:val="0"/>
                <w:iCs w:val="0"/>
                <w:color w:val="000000"/>
                <w:sz w:val="24"/>
                <w:szCs w:val="24"/>
                <w:u w:val="none"/>
              </w:rPr>
            </w:pPr>
          </w:p>
        </w:tc>
        <w:tc>
          <w:tcPr>
            <w:tcW w:w="1383" w:type="dxa"/>
            <w:tcBorders>
              <w:top w:val="single" w:color="000000" w:sz="4" w:space="0"/>
              <w:left w:val="single" w:color="000000" w:sz="4" w:space="0"/>
              <w:bottom w:val="single" w:color="000000" w:sz="4" w:space="0"/>
              <w:right w:val="single" w:color="000000" w:sz="4" w:space="0"/>
            </w:tcBorders>
            <w:noWrap/>
            <w:vAlign w:val="center"/>
          </w:tcPr>
          <w:p w14:paraId="55902166">
            <w:pPr>
              <w:spacing w:line="240" w:lineRule="exact"/>
              <w:rPr>
                <w:rFonts w:hint="eastAsia" w:ascii="宋体" w:hAnsi="宋体" w:eastAsia="宋体" w:cs="宋体"/>
                <w:i w:val="0"/>
                <w:iCs w:val="0"/>
                <w:color w:val="000000"/>
                <w:sz w:val="24"/>
                <w:szCs w:val="24"/>
                <w:u w:val="none"/>
              </w:rPr>
            </w:pPr>
          </w:p>
        </w:tc>
        <w:tc>
          <w:tcPr>
            <w:tcW w:w="1250" w:type="dxa"/>
            <w:tcBorders>
              <w:top w:val="single" w:color="000000" w:sz="4" w:space="0"/>
              <w:left w:val="single" w:color="000000" w:sz="4" w:space="0"/>
              <w:bottom w:val="single" w:color="000000" w:sz="4" w:space="0"/>
              <w:right w:val="single" w:color="000000" w:sz="4" w:space="0"/>
            </w:tcBorders>
            <w:noWrap/>
            <w:vAlign w:val="center"/>
          </w:tcPr>
          <w:p w14:paraId="5614CBFF">
            <w:pPr>
              <w:spacing w:line="240" w:lineRule="exact"/>
              <w:rPr>
                <w:rFonts w:hint="eastAsia" w:ascii="宋体" w:hAnsi="宋体" w:eastAsia="宋体" w:cs="宋体"/>
                <w:i w:val="0"/>
                <w:iCs w:val="0"/>
                <w:color w:val="000000"/>
                <w:sz w:val="24"/>
                <w:szCs w:val="24"/>
                <w:u w:val="none"/>
              </w:rPr>
            </w:pPr>
          </w:p>
        </w:tc>
        <w:tc>
          <w:tcPr>
            <w:tcW w:w="1498" w:type="dxa"/>
            <w:tcBorders>
              <w:top w:val="single" w:color="000000" w:sz="4" w:space="0"/>
              <w:left w:val="single" w:color="000000" w:sz="4" w:space="0"/>
              <w:bottom w:val="single" w:color="000000" w:sz="4" w:space="0"/>
              <w:right w:val="single" w:color="000000" w:sz="4" w:space="0"/>
            </w:tcBorders>
            <w:noWrap/>
            <w:vAlign w:val="center"/>
          </w:tcPr>
          <w:p w14:paraId="67CBD021">
            <w:pPr>
              <w:spacing w:line="240" w:lineRule="exact"/>
              <w:rPr>
                <w:rFonts w:hint="eastAsia" w:ascii="宋体" w:hAnsi="宋体" w:eastAsia="宋体" w:cs="宋体"/>
                <w:i w:val="0"/>
                <w:iCs w:val="0"/>
                <w:color w:val="000000"/>
                <w:sz w:val="24"/>
                <w:szCs w:val="24"/>
                <w:u w:val="none"/>
              </w:rPr>
            </w:pPr>
          </w:p>
        </w:tc>
      </w:tr>
    </w:tbl>
    <w:p w14:paraId="193ADDCC">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center"/>
        <w:rPr>
          <w:rFonts w:hint="eastAsia" w:ascii="仿宋_GB2312" w:hAnsi="仿宋_GB2312" w:eastAsia="仿宋_GB2312" w:cs="仿宋_GB2312"/>
          <w:b w:val="0"/>
          <w:bCs w:val="0"/>
          <w:color w:val="000000"/>
          <w:kern w:val="0"/>
          <w:sz w:val="32"/>
          <w:szCs w:val="32"/>
          <w:lang w:val="en-US" w:eastAsia="zh-CN" w:bidi="ar"/>
        </w:rPr>
      </w:pPr>
    </w:p>
    <w:p w14:paraId="149F2B46">
      <w:pPr>
        <w:keepNext w:val="0"/>
        <w:keepLines w:val="0"/>
        <w:pageBreakBefore w:val="0"/>
        <w:widowControl/>
        <w:kinsoku/>
        <w:wordWrap/>
        <w:overflowPunct/>
        <w:topLinePunct w:val="0"/>
        <w:autoSpaceDE/>
        <w:autoSpaceDN/>
        <w:bidi w:val="0"/>
        <w:adjustRightInd/>
        <w:snapToGrid/>
        <w:spacing w:line="240" w:lineRule="auto"/>
        <w:ind w:firstLine="600" w:firstLineChars="200"/>
        <w:jc w:val="both"/>
        <w:textAlignment w:val="center"/>
        <w:rPr>
          <w:rFonts w:hint="eastAsia" w:ascii="仿宋_GB2312" w:hAnsi="仿宋_GB2312" w:eastAsia="仿宋_GB2312" w:cs="仿宋_GB2312"/>
          <w:b w:val="0"/>
          <w:bCs w:val="0"/>
          <w:color w:val="000000"/>
          <w:kern w:val="0"/>
          <w:sz w:val="30"/>
          <w:szCs w:val="30"/>
          <w:lang w:val="en-US" w:eastAsia="zh-CN" w:bidi="ar"/>
        </w:rPr>
      </w:pPr>
      <w:r>
        <w:rPr>
          <w:rFonts w:hint="eastAsia" w:ascii="仿宋_GB2312" w:hAnsi="仿宋_GB2312" w:eastAsia="仿宋_GB2312" w:cs="仿宋_GB2312"/>
          <w:b w:val="0"/>
          <w:bCs w:val="0"/>
          <w:color w:val="000000"/>
          <w:kern w:val="0"/>
          <w:sz w:val="30"/>
          <w:szCs w:val="30"/>
          <w:lang w:val="en-US" w:eastAsia="zh-CN" w:bidi="ar"/>
        </w:rPr>
        <w:t>我公司在此郑重承诺：</w:t>
      </w:r>
    </w:p>
    <w:p w14:paraId="5502D2A5">
      <w:pPr>
        <w:keepNext w:val="0"/>
        <w:keepLines w:val="0"/>
        <w:pageBreakBefore w:val="0"/>
        <w:widowControl/>
        <w:numPr>
          <w:ilvl w:val="0"/>
          <w:numId w:val="31"/>
        </w:numPr>
        <w:kinsoku/>
        <w:wordWrap/>
        <w:overflowPunct/>
        <w:topLinePunct w:val="0"/>
        <w:autoSpaceDE/>
        <w:autoSpaceDN/>
        <w:bidi w:val="0"/>
        <w:adjustRightInd/>
        <w:snapToGrid/>
        <w:spacing w:line="240" w:lineRule="auto"/>
        <w:ind w:firstLine="600" w:firstLineChars="200"/>
        <w:jc w:val="both"/>
        <w:textAlignment w:val="center"/>
        <w:rPr>
          <w:rFonts w:hint="eastAsia" w:ascii="仿宋_GB2312" w:hAnsi="仿宋_GB2312" w:eastAsia="仿宋_GB2312" w:cs="仿宋_GB2312"/>
          <w:b w:val="0"/>
          <w:bCs w:val="0"/>
          <w:color w:val="000000"/>
          <w:kern w:val="0"/>
          <w:sz w:val="30"/>
          <w:szCs w:val="30"/>
          <w:highlight w:val="none"/>
          <w:lang w:val="en-US" w:eastAsia="zh-CN" w:bidi="ar"/>
        </w:rPr>
      </w:pPr>
      <w:r>
        <w:rPr>
          <w:rFonts w:hint="eastAsia" w:ascii="仿宋_GB2312" w:hAnsi="仿宋_GB2312" w:eastAsia="仿宋_GB2312" w:cs="仿宋_GB2312"/>
          <w:b w:val="0"/>
          <w:bCs w:val="0"/>
          <w:color w:val="000000"/>
          <w:kern w:val="0"/>
          <w:sz w:val="30"/>
          <w:szCs w:val="30"/>
          <w:highlight w:val="none"/>
          <w:lang w:val="en-US" w:eastAsia="zh-CN" w:bidi="ar"/>
        </w:rPr>
        <w:t>本次做市证券划转的目的是为开展债券做市业务而进行做市债券管理，本次划转不涉及利益输送及任何违反法律法规的情形。</w:t>
      </w:r>
    </w:p>
    <w:p w14:paraId="01730A00">
      <w:pPr>
        <w:keepNext w:val="0"/>
        <w:keepLines w:val="0"/>
        <w:pageBreakBefore w:val="0"/>
        <w:widowControl/>
        <w:numPr>
          <w:ilvl w:val="0"/>
          <w:numId w:val="31"/>
        </w:numPr>
        <w:kinsoku/>
        <w:wordWrap/>
        <w:overflowPunct/>
        <w:topLinePunct w:val="0"/>
        <w:autoSpaceDE/>
        <w:autoSpaceDN/>
        <w:bidi w:val="0"/>
        <w:adjustRightInd/>
        <w:snapToGrid/>
        <w:spacing w:line="240" w:lineRule="auto"/>
        <w:ind w:firstLine="600" w:firstLineChars="200"/>
        <w:jc w:val="both"/>
        <w:textAlignment w:val="center"/>
        <w:rPr>
          <w:rFonts w:hint="eastAsia" w:ascii="仿宋_GB2312" w:hAnsi="仿宋_GB2312" w:eastAsia="仿宋_GB2312" w:cs="仿宋_GB2312"/>
          <w:b w:val="0"/>
          <w:bCs w:val="0"/>
          <w:color w:val="000000"/>
          <w:kern w:val="0"/>
          <w:sz w:val="30"/>
          <w:szCs w:val="30"/>
          <w:highlight w:val="none"/>
          <w:lang w:val="en-US" w:eastAsia="zh-CN" w:bidi="ar"/>
        </w:rPr>
      </w:pPr>
      <w:r>
        <w:rPr>
          <w:rFonts w:hint="eastAsia" w:ascii="仿宋_GB2312" w:hAnsi="仿宋_GB2312" w:eastAsia="仿宋_GB2312" w:cs="仿宋_GB2312"/>
          <w:b w:val="0"/>
          <w:bCs w:val="0"/>
          <w:color w:val="000000"/>
          <w:kern w:val="0"/>
          <w:sz w:val="30"/>
          <w:szCs w:val="30"/>
          <w:highlight w:val="none"/>
          <w:lang w:val="en-US" w:eastAsia="zh-CN" w:bidi="ar"/>
        </w:rPr>
        <w:t>上表中划入</w:t>
      </w:r>
      <w:r>
        <w:rPr>
          <w:rFonts w:hint="eastAsia" w:ascii="仿宋_GB2312" w:hAnsi="仿宋_GB2312" w:eastAsia="仿宋_GB2312" w:cs="仿宋_GB2312"/>
          <w:b w:val="0"/>
          <w:bCs w:val="0"/>
          <w:color w:val="000000"/>
          <w:kern w:val="0"/>
          <w:sz w:val="30"/>
          <w:szCs w:val="30"/>
          <w:highlight w:val="none"/>
          <w:u w:val="none"/>
          <w:lang w:val="en-US" w:eastAsia="zh-CN" w:bidi="ar"/>
        </w:rPr>
        <w:t>划出</w:t>
      </w:r>
      <w:r>
        <w:rPr>
          <w:rFonts w:hint="eastAsia" w:ascii="仿宋_GB2312" w:hAnsi="仿宋_GB2312" w:eastAsia="仿宋_GB2312" w:cs="仿宋_GB2312"/>
          <w:b w:val="0"/>
          <w:bCs w:val="0"/>
          <w:color w:val="000000"/>
          <w:kern w:val="0"/>
          <w:sz w:val="30"/>
          <w:szCs w:val="30"/>
          <w:highlight w:val="none"/>
          <w:lang w:val="en-US" w:eastAsia="zh-CN" w:bidi="ar"/>
        </w:rPr>
        <w:t>证券账户一方为我公司已完成报备的债券做市账户，另一方为我公司自营账户。</w:t>
      </w:r>
    </w:p>
    <w:p w14:paraId="44F22739">
      <w:pPr>
        <w:keepNext w:val="0"/>
        <w:keepLines w:val="0"/>
        <w:pageBreakBefore w:val="0"/>
        <w:widowControl/>
        <w:numPr>
          <w:ilvl w:val="0"/>
          <w:numId w:val="31"/>
        </w:numPr>
        <w:kinsoku/>
        <w:wordWrap/>
        <w:overflowPunct/>
        <w:topLinePunct w:val="0"/>
        <w:autoSpaceDE/>
        <w:autoSpaceDN/>
        <w:bidi w:val="0"/>
        <w:adjustRightInd/>
        <w:snapToGrid/>
        <w:spacing w:line="240" w:lineRule="auto"/>
        <w:ind w:firstLine="600" w:firstLineChars="200"/>
        <w:jc w:val="both"/>
        <w:textAlignment w:val="center"/>
        <w:rPr>
          <w:rFonts w:hint="eastAsia" w:ascii="仿宋_GB2312" w:hAnsi="仿宋_GB2312" w:eastAsia="仿宋_GB2312" w:cs="仿宋_GB2312"/>
          <w:b w:val="0"/>
          <w:bCs w:val="0"/>
          <w:color w:val="000000"/>
          <w:kern w:val="0"/>
          <w:sz w:val="30"/>
          <w:szCs w:val="30"/>
          <w:highlight w:val="none"/>
          <w:lang w:val="en-US" w:eastAsia="zh-CN" w:bidi="ar"/>
        </w:rPr>
      </w:pPr>
      <w:r>
        <w:rPr>
          <w:rFonts w:hint="eastAsia" w:ascii="仿宋_GB2312" w:hAnsi="仿宋_GB2312" w:eastAsia="仿宋_GB2312" w:cs="仿宋_GB2312"/>
          <w:b w:val="0"/>
          <w:bCs w:val="0"/>
          <w:color w:val="000000"/>
          <w:kern w:val="0"/>
          <w:sz w:val="30"/>
          <w:szCs w:val="30"/>
          <w:highlight w:val="none"/>
          <w:lang w:val="en-US" w:eastAsia="zh-CN" w:bidi="ar"/>
        </w:rPr>
        <w:t>如因信息填写有误、划出证券账户持仓不足等导致划转失败，承担由此产生的一切后果与责任。</w:t>
      </w:r>
    </w:p>
    <w:p w14:paraId="270EFB87">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0" w:firstLineChars="0"/>
        <w:jc w:val="both"/>
        <w:textAlignment w:val="center"/>
        <w:rPr>
          <w:rFonts w:hint="default" w:ascii="仿宋_GB2312" w:hAnsi="仿宋_GB2312" w:eastAsia="仿宋_GB2312" w:cs="仿宋_GB2312"/>
          <w:b w:val="0"/>
          <w:bCs w:val="0"/>
          <w:color w:val="000000"/>
          <w:kern w:val="0"/>
          <w:sz w:val="30"/>
          <w:szCs w:val="30"/>
          <w:lang w:val="en-US" w:eastAsia="zh-CN" w:bidi="ar"/>
        </w:rPr>
      </w:pPr>
      <w:r>
        <w:rPr>
          <w:rFonts w:hint="eastAsia" w:ascii="仿宋_GB2312" w:hAnsi="仿宋_GB2312" w:eastAsia="仿宋_GB2312" w:cs="仿宋_GB2312"/>
          <w:b w:val="0"/>
          <w:bCs w:val="0"/>
          <w:color w:val="000000"/>
          <w:kern w:val="0"/>
          <w:sz w:val="30"/>
          <w:szCs w:val="30"/>
          <w:lang w:val="en-US" w:eastAsia="zh-CN" w:bidi="ar"/>
        </w:rPr>
        <w:t xml:space="preserve">    我公司保证向上交所提供的书面和电子资料真实、准确、完整与合法。</w:t>
      </w:r>
    </w:p>
    <w:p w14:paraId="07A4E0C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center"/>
        <w:rPr>
          <w:rFonts w:hint="eastAsia" w:ascii="仿宋_GB2312" w:hAnsi="仿宋_GB2312" w:eastAsia="仿宋_GB2312" w:cs="仿宋_GB2312"/>
          <w:b w:val="0"/>
          <w:bCs w:val="0"/>
          <w:color w:val="000000"/>
          <w:kern w:val="0"/>
          <w:sz w:val="30"/>
          <w:szCs w:val="30"/>
          <w:lang w:val="en-US" w:eastAsia="zh-CN" w:bidi="ar"/>
        </w:rPr>
      </w:pPr>
    </w:p>
    <w:p w14:paraId="1D527079">
      <w:pPr>
        <w:widowControl w:val="0"/>
        <w:spacing w:line="600" w:lineRule="exact"/>
        <w:ind w:firstLine="600" w:firstLineChars="200"/>
        <w:jc w:val="right"/>
        <w:rPr>
          <w:rFonts w:ascii="仿宋_GB2312" w:hAnsi="Times New Roman" w:eastAsia="仿宋_GB2312" w:cs="Times New Roman"/>
          <w:kern w:val="0"/>
          <w:sz w:val="30"/>
          <w:szCs w:val="30"/>
          <w:lang w:val="en-US" w:eastAsia="zh-CN" w:bidi="ar-SA"/>
        </w:rPr>
      </w:pPr>
      <w:r>
        <w:rPr>
          <w:rFonts w:hint="eastAsia" w:ascii="仿宋_GB2312" w:eastAsia="仿宋_GB2312" w:cs="Times New Roman"/>
          <w:kern w:val="0"/>
          <w:sz w:val="30"/>
          <w:szCs w:val="30"/>
          <w:lang w:val="en-US" w:eastAsia="zh-CN" w:bidi="ar-SA"/>
        </w:rPr>
        <w:t>做市商</w:t>
      </w:r>
      <w:r>
        <w:rPr>
          <w:rFonts w:hint="eastAsia" w:ascii="仿宋_GB2312" w:hAnsi="Times New Roman" w:eastAsia="仿宋_GB2312" w:cs="Times New Roman"/>
          <w:kern w:val="0"/>
          <w:sz w:val="30"/>
          <w:szCs w:val="30"/>
          <w:lang w:val="en-US" w:eastAsia="zh-CN" w:bidi="ar-SA"/>
        </w:rPr>
        <w:t>：_____________________</w:t>
      </w:r>
      <w:r>
        <w:rPr>
          <w:rFonts w:ascii="仿宋_GB2312" w:hAnsi="Times New Roman" w:eastAsia="仿宋_GB2312" w:cs="Times New Roman"/>
          <w:kern w:val="0"/>
          <w:sz w:val="30"/>
          <w:szCs w:val="30"/>
          <w:lang w:val="en-US" w:eastAsia="zh-CN" w:bidi="ar-SA"/>
        </w:rPr>
        <w:t xml:space="preserve">   </w:t>
      </w:r>
      <w:r>
        <w:rPr>
          <w:rFonts w:hint="eastAsia" w:ascii="仿宋_GB2312" w:hAnsi="Times New Roman" w:eastAsia="仿宋_GB2312" w:cs="Times New Roman"/>
          <w:kern w:val="0"/>
          <w:sz w:val="30"/>
          <w:szCs w:val="30"/>
          <w:lang w:val="en-US" w:eastAsia="zh-CN" w:bidi="ar-SA"/>
        </w:rPr>
        <w:t>（加盖公章或部门章）</w:t>
      </w:r>
    </w:p>
    <w:p w14:paraId="688A23EA">
      <w:pPr>
        <w:widowControl w:val="0"/>
        <w:spacing w:line="600" w:lineRule="exact"/>
        <w:ind w:firstLine="600" w:firstLineChars="200"/>
        <w:jc w:val="center"/>
        <w:rPr>
          <w:rFonts w:ascii="仿宋_GB2312" w:hAnsi="Times New Roman" w:eastAsia="仿宋_GB2312" w:cs="Times New Roman"/>
          <w:kern w:val="0"/>
          <w:sz w:val="30"/>
          <w:szCs w:val="30"/>
          <w:lang w:val="en-US" w:eastAsia="zh-CN" w:bidi="ar-SA"/>
        </w:rPr>
      </w:pPr>
      <w:r>
        <w:rPr>
          <w:rFonts w:hint="eastAsia" w:ascii="仿宋_GB2312" w:eastAsia="仿宋_GB2312" w:cs="Times New Roman"/>
          <w:kern w:val="0"/>
          <w:sz w:val="30"/>
          <w:szCs w:val="30"/>
          <w:lang w:val="en-US" w:eastAsia="zh-CN" w:bidi="ar-SA"/>
        </w:rPr>
        <w:t xml:space="preserve">                      </w:t>
      </w:r>
      <w:r>
        <w:rPr>
          <w:rFonts w:hint="eastAsia" w:ascii="仿宋_GB2312" w:hAnsi="Times New Roman" w:eastAsia="仿宋_GB2312" w:cs="Times New Roman"/>
          <w:kern w:val="0"/>
          <w:sz w:val="30"/>
          <w:szCs w:val="30"/>
          <w:lang w:val="en-US" w:eastAsia="zh-CN" w:bidi="ar-SA"/>
        </w:rPr>
        <w:t>经办人（签字）：</w:t>
      </w:r>
    </w:p>
    <w:p w14:paraId="241533E3">
      <w:pPr>
        <w:widowControl w:val="0"/>
        <w:spacing w:line="600" w:lineRule="exact"/>
        <w:ind w:firstLine="600" w:firstLineChars="200"/>
        <w:jc w:val="center"/>
        <w:rPr>
          <w:rFonts w:hint="eastAsia" w:ascii="仿宋_GB2312" w:hAnsi="Times New Roman" w:eastAsia="仿宋_GB2312" w:cs="Times New Roman"/>
          <w:kern w:val="0"/>
          <w:sz w:val="30"/>
          <w:szCs w:val="30"/>
          <w:lang w:val="en-US" w:eastAsia="zh-CN" w:bidi="ar-SA"/>
        </w:rPr>
      </w:pPr>
      <w:r>
        <w:rPr>
          <w:rFonts w:hint="eastAsia" w:ascii="仿宋_GB2312" w:eastAsia="仿宋_GB2312" w:cs="Times New Roman"/>
          <w:kern w:val="0"/>
          <w:sz w:val="30"/>
          <w:szCs w:val="30"/>
          <w:lang w:val="en-US" w:eastAsia="zh-CN" w:bidi="ar-SA"/>
        </w:rPr>
        <w:t xml:space="preserve">            </w:t>
      </w:r>
      <w:r>
        <w:rPr>
          <w:rFonts w:hint="eastAsia" w:ascii="仿宋_GB2312" w:hAnsi="Times New Roman" w:eastAsia="仿宋_GB2312" w:cs="Times New Roman"/>
          <w:kern w:val="0"/>
          <w:sz w:val="30"/>
          <w:szCs w:val="30"/>
          <w:lang w:val="en-US" w:eastAsia="zh-CN" w:bidi="ar-SA"/>
        </w:rPr>
        <w:t>日期：</w:t>
      </w:r>
    </w:p>
    <w:p w14:paraId="3FA1C30E">
      <w:pPr>
        <w:widowControl w:val="0"/>
        <w:spacing w:beforeLines="-2147483648" w:afterLines="-2147483648" w:line="600" w:lineRule="exact"/>
        <w:ind w:firstLine="0" w:firstLineChars="0"/>
        <w:jc w:val="both"/>
        <w:outlineLvl w:val="9"/>
        <w:rPr>
          <w:rFonts w:hint="eastAsia" w:ascii="仿宋_GB2312" w:hAnsi="Times New Roman" w:eastAsia="仿宋_GB2312"/>
          <w:b w:val="0"/>
          <w:kern w:val="0"/>
          <w:sz w:val="30"/>
          <w:szCs w:val="30"/>
        </w:rPr>
      </w:pPr>
      <w:r>
        <w:rPr>
          <w:rFonts w:hint="eastAsia" w:ascii="仿宋_GB2312" w:hAnsi="Times New Roman" w:eastAsia="仿宋_GB2312" w:cs="Times New Roman"/>
          <w:kern w:val="0"/>
          <w:sz w:val="30"/>
          <w:szCs w:val="30"/>
          <w:lang w:val="en-US" w:eastAsia="zh-CN" w:bidi="ar-SA"/>
        </w:rPr>
        <w:t xml:space="preserve"> </w:t>
      </w:r>
      <w:r>
        <w:rPr>
          <w:rFonts w:hint="eastAsia" w:ascii="仿宋_GB2312" w:eastAsia="仿宋_GB2312" w:cs="Times New Roman"/>
          <w:kern w:val="0"/>
          <w:sz w:val="30"/>
          <w:szCs w:val="30"/>
          <w:lang w:val="en-US" w:eastAsia="zh-CN" w:bidi="ar-SA"/>
        </w:rPr>
        <w:t xml:space="preserve">                               </w:t>
      </w:r>
      <w:bookmarkStart w:id="4306" w:name="_Toc768777776"/>
      <w:bookmarkStart w:id="4307" w:name="_Toc1545721065"/>
      <w:r>
        <w:rPr>
          <w:rFonts w:hint="eastAsia" w:ascii="仿宋_GB2312" w:hAnsi="Times New Roman" w:eastAsia="仿宋_GB2312" w:cs="Times New Roman"/>
          <w:kern w:val="0"/>
          <w:sz w:val="30"/>
          <w:szCs w:val="30"/>
          <w:lang w:val="en-US" w:eastAsia="zh-CN" w:bidi="ar-SA"/>
        </w:rPr>
        <w:t>联系电话：</w:t>
      </w:r>
      <w:bookmarkEnd w:id="4306"/>
      <w:bookmarkEnd w:id="4307"/>
    </w:p>
    <w:p w14:paraId="37578ADF">
      <w:pPr>
        <w:keepNext w:val="0"/>
        <w:keepLines w:val="0"/>
        <w:pageBreakBefore w:val="0"/>
        <w:widowControl/>
        <w:kinsoku/>
        <w:wordWrap/>
        <w:overflowPunct/>
        <w:topLinePunct w:val="0"/>
        <w:autoSpaceDE/>
        <w:autoSpaceDN/>
        <w:bidi w:val="0"/>
        <w:adjustRightInd/>
        <w:snapToGrid/>
        <w:spacing w:after="0" w:afterLines="-2147483648" w:line="240" w:lineRule="auto"/>
        <w:ind w:firstLine="0" w:firstLineChars="0"/>
        <w:jc w:val="left"/>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br w:type="page"/>
      </w:r>
    </w:p>
    <w:p w14:paraId="3FBBEC44">
      <w:pPr>
        <w:keepNext w:val="0"/>
        <w:keepLines w:val="0"/>
        <w:pageBreakBefore w:val="0"/>
        <w:widowControl/>
        <w:kinsoku/>
        <w:wordWrap/>
        <w:overflowPunct/>
        <w:topLinePunct w:val="0"/>
        <w:bidi w:val="0"/>
        <w:snapToGrid/>
        <w:spacing w:beforeLines="-2147483648" w:afterLines="-2147483648" w:line="240" w:lineRule="auto"/>
        <w:jc w:val="left"/>
        <w:textAlignment w:val="auto"/>
        <w:outlineLvl w:val="1"/>
        <w:rPr>
          <w:rFonts w:hint="eastAsia" w:ascii="仿宋_GB2312" w:hAnsi="黑体" w:eastAsia="仿宋_GB2312" w:cs="Times New Roman"/>
          <w:b/>
          <w:bCs w:val="0"/>
          <w:sz w:val="30"/>
          <w:szCs w:val="30"/>
          <w:lang w:val="en-US" w:eastAsia="zh-CN"/>
        </w:rPr>
      </w:pPr>
      <w:bookmarkStart w:id="4308" w:name="_Toc531703668"/>
      <w:bookmarkStart w:id="4309" w:name="_Toc536632274"/>
      <w:bookmarkStart w:id="4310" w:name="_Toc1926905575"/>
      <w:bookmarkStart w:id="4311" w:name="_Toc188765182"/>
      <w:r>
        <w:rPr>
          <w:rFonts w:hint="eastAsia" w:ascii="仿宋_GB2312" w:hAnsi="黑体" w:eastAsia="仿宋_GB2312" w:cs="Times New Roman"/>
          <w:b/>
          <w:bCs w:val="0"/>
          <w:sz w:val="30"/>
          <w:szCs w:val="30"/>
          <w:lang w:eastAsia="zh-CN"/>
        </w:rPr>
        <w:t>附件</w:t>
      </w:r>
      <w:r>
        <w:rPr>
          <w:rFonts w:hint="eastAsia" w:ascii="仿宋_GB2312" w:hAnsi="黑体" w:eastAsia="仿宋_GB2312" w:cs="Times New Roman"/>
          <w:b/>
          <w:bCs w:val="0"/>
          <w:sz w:val="30"/>
          <w:szCs w:val="30"/>
          <w:lang w:val="en-US" w:eastAsia="zh-CN"/>
        </w:rPr>
        <w:t>45 上海证券交易所债券质押式协议回购/三方回购质押债券处置过户申报材料及填写说明</w:t>
      </w:r>
      <w:bookmarkEnd w:id="4308"/>
      <w:bookmarkEnd w:id="4309"/>
      <w:bookmarkEnd w:id="4310"/>
      <w:bookmarkEnd w:id="4311"/>
    </w:p>
    <w:p w14:paraId="2336C36E">
      <w:pPr>
        <w:keepNext w:val="0"/>
        <w:keepLines w:val="0"/>
        <w:pageBreakBefore w:val="0"/>
        <w:widowControl w:val="0"/>
        <w:kinsoku/>
        <w:wordWrap/>
        <w:overflowPunct/>
        <w:topLinePunct w:val="0"/>
        <w:bidi w:val="0"/>
        <w:snapToGrid/>
        <w:spacing w:line="560" w:lineRule="exact"/>
        <w:jc w:val="left"/>
        <w:textAlignment w:val="auto"/>
        <w:rPr>
          <w:rFonts w:hint="eastAsia" w:ascii="仿宋_GB2312" w:hAnsi="仿宋_GB2312" w:eastAsia="仿宋_GB2312" w:cs="仿宋_GB2312"/>
          <w:b/>
          <w:bCs w:val="0"/>
          <w:sz w:val="30"/>
          <w:szCs w:val="30"/>
          <w:lang w:val="en-US" w:eastAsia="zh-CN"/>
        </w:rPr>
      </w:pPr>
    </w:p>
    <w:p w14:paraId="3B7031E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大标宋简体" w:hAnsi="方正大标宋简体" w:eastAsia="方正大标宋简体" w:cs="方正大标宋简体"/>
          <w:b w:val="0"/>
          <w:bCs/>
          <w:sz w:val="40"/>
          <w:szCs w:val="40"/>
          <w:lang w:eastAsia="zh-CN"/>
        </w:rPr>
      </w:pPr>
      <w:r>
        <w:rPr>
          <w:rFonts w:hint="eastAsia" w:ascii="方正大标宋简体" w:hAnsi="方正大标宋简体" w:eastAsia="方正大标宋简体" w:cs="方正大标宋简体"/>
          <w:b w:val="0"/>
          <w:bCs/>
          <w:sz w:val="40"/>
          <w:szCs w:val="40"/>
        </w:rPr>
        <w:t>上海证券交易所债券质押式协议回购/三方回购质押债券处置过户申报</w:t>
      </w:r>
      <w:r>
        <w:rPr>
          <w:rFonts w:hint="eastAsia" w:ascii="方正大标宋简体" w:hAnsi="方正大标宋简体" w:eastAsia="方正大标宋简体" w:cs="方正大标宋简体"/>
          <w:b w:val="0"/>
          <w:bCs/>
          <w:sz w:val="40"/>
          <w:szCs w:val="40"/>
          <w:lang w:eastAsia="zh-CN"/>
        </w:rPr>
        <w:t>材料及填写说明</w:t>
      </w:r>
    </w:p>
    <w:p w14:paraId="2402A83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sz w:val="30"/>
          <w:szCs w:val="30"/>
          <w:lang w:eastAsia="zh-CN"/>
        </w:rPr>
      </w:pPr>
    </w:p>
    <w:p w14:paraId="03D270EE">
      <w:pPr>
        <w:keepNext w:val="0"/>
        <w:keepLines w:val="0"/>
        <w:pageBreakBefore w:val="0"/>
        <w:widowControl w:val="0"/>
        <w:kinsoku/>
        <w:wordWrap/>
        <w:overflowPunct/>
        <w:topLinePunct w:val="0"/>
        <w:bidi w:val="0"/>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因债券质押式协议回购、债券质押式三方回购违约等，经双方平等协商，自愿达成质押债券处置过户协议的，可以申请债券违约处置申报进行债券过户，经上海证券交易所（以下简称本所）审核通过，完成质押债券处置过户。</w:t>
      </w:r>
    </w:p>
    <w:p w14:paraId="4384FD02">
      <w:pPr>
        <w:keepNext w:val="0"/>
        <w:keepLines w:val="0"/>
        <w:pageBreakBefore w:val="0"/>
        <w:widowControl w:val="0"/>
        <w:kinsoku/>
        <w:wordWrap/>
        <w:overflowPunct/>
        <w:topLinePunct w:val="0"/>
        <w:bidi w:val="0"/>
        <w:snapToGrid/>
        <w:spacing w:line="560" w:lineRule="exact"/>
        <w:ind w:firstLine="600" w:firstLineChars="200"/>
        <w:jc w:val="left"/>
        <w:textAlignment w:val="auto"/>
        <w:rPr>
          <w:rFonts w:hint="eastAsia" w:ascii="黑体" w:hAnsi="黑体" w:eastAsia="黑体" w:cs="黑体"/>
          <w:color w:val="auto"/>
          <w:sz w:val="30"/>
          <w:szCs w:val="30"/>
        </w:rPr>
      </w:pPr>
      <w:r>
        <w:rPr>
          <w:rFonts w:hint="eastAsia" w:ascii="黑体" w:hAnsi="黑体" w:eastAsia="黑体" w:cs="黑体"/>
          <w:color w:val="auto"/>
          <w:sz w:val="30"/>
          <w:szCs w:val="30"/>
        </w:rPr>
        <w:t>一、申请步骤：</w:t>
      </w:r>
    </w:p>
    <w:p w14:paraId="3FEAE02F">
      <w:pPr>
        <w:keepNext w:val="0"/>
        <w:keepLines w:val="0"/>
        <w:pageBreakBefore w:val="0"/>
        <w:widowControl w:val="0"/>
        <w:kinsoku/>
        <w:wordWrap/>
        <w:overflowPunct/>
        <w:topLinePunct w:val="0"/>
        <w:bidi w:val="0"/>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rPr>
        <w:t>材料原件：申请人将债券质押式协议回购/三方回购违约质押债券处置申报所需材料原件邮寄至上海市浦东新区杨高南路388号债券</w:t>
      </w:r>
      <w:r>
        <w:rPr>
          <w:rFonts w:hint="eastAsia" w:ascii="仿宋_GB2312" w:hAnsi="仿宋_GB2312" w:eastAsia="仿宋_GB2312" w:cs="仿宋_GB2312"/>
          <w:sz w:val="30"/>
          <w:szCs w:val="30"/>
          <w:lang w:eastAsia="zh-CN"/>
        </w:rPr>
        <w:t>业务中心</w:t>
      </w:r>
      <w:r>
        <w:rPr>
          <w:rFonts w:hint="eastAsia" w:ascii="仿宋_GB2312" w:hAnsi="仿宋_GB2312" w:eastAsia="仿宋_GB2312" w:cs="仿宋_GB2312"/>
          <w:sz w:val="30"/>
          <w:szCs w:val="30"/>
        </w:rPr>
        <w:t>，联系电话021-686019</w:t>
      </w:r>
      <w:r>
        <w:rPr>
          <w:rFonts w:hint="eastAsia" w:ascii="仿宋_GB2312" w:hAnsi="仿宋_GB2312" w:eastAsia="仿宋_GB2312" w:cs="仿宋_GB2312"/>
          <w:sz w:val="30"/>
          <w:szCs w:val="30"/>
          <w:lang w:val="en-US" w:eastAsia="zh-CN"/>
        </w:rPr>
        <w:t>52</w:t>
      </w:r>
      <w:r>
        <w:rPr>
          <w:rFonts w:hint="eastAsia" w:ascii="仿宋_GB2312" w:hAnsi="仿宋_GB2312" w:eastAsia="仿宋_GB2312" w:cs="仿宋_GB2312"/>
          <w:sz w:val="30"/>
          <w:szCs w:val="30"/>
        </w:rPr>
        <w:t>；</w:t>
      </w:r>
    </w:p>
    <w:p w14:paraId="337BA906">
      <w:pPr>
        <w:keepNext w:val="0"/>
        <w:keepLines w:val="0"/>
        <w:pageBreakBefore w:val="0"/>
        <w:widowControl w:val="0"/>
        <w:kinsoku/>
        <w:wordWrap/>
        <w:overflowPunct/>
        <w:topLinePunct w:val="0"/>
        <w:bidi w:val="0"/>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rPr>
        <w:t>材料扫描件：申请人将材料扫描件通过电子邮箱发送至本所债券业务部业务邮箱（bondtrading@sse.com.cn），邮件标题为《【质押债券处置过户】XX（过入方）就XX（债券名称）的质押债券处置过户申请》；</w:t>
      </w:r>
    </w:p>
    <w:p w14:paraId="3EC3ADC9">
      <w:pPr>
        <w:keepNext w:val="0"/>
        <w:keepLines w:val="0"/>
        <w:pageBreakBefore w:val="0"/>
        <w:widowControl w:val="0"/>
        <w:kinsoku/>
        <w:wordWrap/>
        <w:overflowPunct/>
        <w:topLinePunct w:val="0"/>
        <w:bidi w:val="0"/>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rPr>
        <w:t>本所收到材料原件和扫描件，确认相关材料齐备无误后，办理相关质押债券过户。</w:t>
      </w:r>
    </w:p>
    <w:p w14:paraId="2DBAD05A">
      <w:pPr>
        <w:keepNext w:val="0"/>
        <w:keepLines w:val="0"/>
        <w:pageBreakBefore w:val="0"/>
        <w:widowControl w:val="0"/>
        <w:kinsoku/>
        <w:wordWrap/>
        <w:overflowPunct/>
        <w:topLinePunct w:val="0"/>
        <w:bidi w:val="0"/>
        <w:snapToGrid/>
        <w:spacing w:line="560" w:lineRule="exact"/>
        <w:ind w:firstLine="600" w:firstLineChars="200"/>
        <w:jc w:val="left"/>
        <w:textAlignment w:val="auto"/>
        <w:rPr>
          <w:rFonts w:hint="eastAsia" w:ascii="黑体" w:hAnsi="黑体" w:eastAsia="黑体" w:cs="黑体"/>
          <w:color w:val="auto"/>
          <w:sz w:val="30"/>
          <w:szCs w:val="30"/>
        </w:rPr>
      </w:pPr>
      <w:r>
        <w:rPr>
          <w:rFonts w:hint="eastAsia" w:ascii="黑体" w:hAnsi="黑体" w:eastAsia="黑体" w:cs="黑体"/>
          <w:color w:val="auto"/>
          <w:sz w:val="30"/>
          <w:szCs w:val="30"/>
        </w:rPr>
        <w:t>二、所需材料（原件+复印件）：</w:t>
      </w:r>
    </w:p>
    <w:p w14:paraId="730B822F">
      <w:pPr>
        <w:keepNext w:val="0"/>
        <w:keepLines w:val="0"/>
        <w:pageBreakBefore w:val="0"/>
        <w:widowControl w:val="0"/>
        <w:kinsoku/>
        <w:wordWrap/>
        <w:overflowPunct/>
        <w:topLinePunct w:val="0"/>
        <w:bidi w:val="0"/>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rPr>
        <w:t>上海证券交易所债券质押式协议回购/三方回购违约处置申报、成交确认表(模板见附件</w:t>
      </w:r>
      <w:r>
        <w:rPr>
          <w:rFonts w:hint="eastAsia" w:ascii="仿宋_GB2312" w:hAnsi="仿宋_GB2312" w:eastAsia="仿宋_GB2312" w:cs="仿宋_GB2312"/>
          <w:sz w:val="30"/>
          <w:szCs w:val="30"/>
          <w:lang w:val="en-US" w:eastAsia="zh-CN"/>
        </w:rPr>
        <w:t>45-1</w:t>
      </w:r>
      <w:r>
        <w:rPr>
          <w:rFonts w:hint="eastAsia" w:ascii="仿宋_GB2312" w:hAnsi="仿宋_GB2312" w:eastAsia="仿宋_GB2312" w:cs="仿宋_GB2312"/>
          <w:sz w:val="30"/>
          <w:szCs w:val="30"/>
        </w:rPr>
        <w:t>) ；</w:t>
      </w:r>
    </w:p>
    <w:p w14:paraId="6B42BC03">
      <w:pPr>
        <w:keepNext w:val="0"/>
        <w:keepLines w:val="0"/>
        <w:pageBreakBefore w:val="0"/>
        <w:widowControl w:val="0"/>
        <w:kinsoku/>
        <w:wordWrap/>
        <w:overflowPunct/>
        <w:topLinePunct w:val="0"/>
        <w:bidi w:val="0"/>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rPr>
        <w:t>质押证券处置过户申请（模板见附件</w:t>
      </w:r>
      <w:r>
        <w:rPr>
          <w:rFonts w:hint="eastAsia" w:ascii="仿宋_GB2312" w:hAnsi="仿宋_GB2312" w:eastAsia="仿宋_GB2312" w:cs="仿宋_GB2312"/>
          <w:sz w:val="30"/>
          <w:szCs w:val="30"/>
          <w:lang w:val="en-US" w:eastAsia="zh-CN"/>
        </w:rPr>
        <w:t>45-2</w:t>
      </w:r>
      <w:r>
        <w:rPr>
          <w:rFonts w:hint="eastAsia" w:ascii="仿宋_GB2312" w:hAnsi="仿宋_GB2312" w:eastAsia="仿宋_GB2312" w:cs="仿宋_GB2312"/>
          <w:sz w:val="30"/>
          <w:szCs w:val="30"/>
        </w:rPr>
        <w:t>）（涉及托管人的，申请需经托管人签章确认（加盖托管部章））；</w:t>
      </w:r>
    </w:p>
    <w:p w14:paraId="59356CB0">
      <w:pPr>
        <w:keepNext w:val="0"/>
        <w:keepLines w:val="0"/>
        <w:pageBreakBefore w:val="0"/>
        <w:widowControl w:val="0"/>
        <w:kinsoku/>
        <w:wordWrap/>
        <w:overflowPunct/>
        <w:topLinePunct w:val="0"/>
        <w:bidi w:val="0"/>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rPr>
        <w:t>质押债券处置协议原件（加盖公章），协议内容因包括质押债券相关情况（债券数量、债券代码等），质押债券处置过户原因（债务人不履行到期债务、到期未清偿债务金额等），申请处置过户的质押债券数量等；</w:t>
      </w:r>
    </w:p>
    <w:p w14:paraId="3C03DCE3">
      <w:pPr>
        <w:keepNext w:val="0"/>
        <w:keepLines w:val="0"/>
        <w:pageBreakBefore w:val="0"/>
        <w:widowControl w:val="0"/>
        <w:kinsoku/>
        <w:wordWrap/>
        <w:overflowPunct/>
        <w:topLinePunct w:val="0"/>
        <w:bidi w:val="0"/>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rPr>
        <w:t>转让双方营业执照复印件（加盖公章）；</w:t>
      </w:r>
    </w:p>
    <w:p w14:paraId="5EB7635C">
      <w:pPr>
        <w:keepNext w:val="0"/>
        <w:keepLines w:val="0"/>
        <w:pageBreakBefore w:val="0"/>
        <w:widowControl w:val="0"/>
        <w:kinsoku/>
        <w:wordWrap/>
        <w:overflowPunct/>
        <w:topLinePunct w:val="0"/>
        <w:bidi w:val="0"/>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rPr>
        <w:t>转让双方法定代表人证明书及身份证复印件和授权委托书（加盖法定代表人签章）；</w:t>
      </w:r>
    </w:p>
    <w:p w14:paraId="023674EF">
      <w:pPr>
        <w:keepNext w:val="0"/>
        <w:keepLines w:val="0"/>
        <w:pageBreakBefore w:val="0"/>
        <w:widowControl w:val="0"/>
        <w:kinsoku/>
        <w:wordWrap/>
        <w:overflowPunct/>
        <w:topLinePunct w:val="0"/>
        <w:bidi w:val="0"/>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rPr>
        <w:t>转让双方经办人身份证及复印件（加盖公章）；</w:t>
      </w:r>
    </w:p>
    <w:p w14:paraId="7C39237C">
      <w:pPr>
        <w:keepNext w:val="0"/>
        <w:keepLines w:val="0"/>
        <w:pageBreakBefore w:val="0"/>
        <w:widowControl w:val="0"/>
        <w:kinsoku/>
        <w:wordWrap/>
        <w:overflowPunct/>
        <w:topLinePunct w:val="0"/>
        <w:bidi w:val="0"/>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rPr>
        <w:t>转让双方的证券账户卡复印件（加盖公章）；</w:t>
      </w:r>
    </w:p>
    <w:p w14:paraId="2CFF0942">
      <w:pPr>
        <w:keepNext w:val="0"/>
        <w:keepLines w:val="0"/>
        <w:pageBreakBefore w:val="0"/>
        <w:widowControl w:val="0"/>
        <w:kinsoku/>
        <w:wordWrap/>
        <w:overflowPunct/>
        <w:topLinePunct w:val="0"/>
        <w:bidi w:val="0"/>
        <w:snapToGrid/>
        <w:spacing w:line="560" w:lineRule="exact"/>
        <w:ind w:firstLine="600" w:firstLineChars="200"/>
        <w:jc w:val="left"/>
        <w:textAlignment w:val="auto"/>
        <w:rPr>
          <w:rFonts w:hint="eastAsia" w:ascii="仿宋_GB2312" w:hAnsi="仿宋_GB2312" w:eastAsia="仿宋_GB2312" w:cs="仿宋_GB2312"/>
          <w:sz w:val="30"/>
          <w:szCs w:val="30"/>
          <w:highlight w:val="none"/>
          <w:lang w:eastAsia="zh-CN"/>
        </w:rPr>
      </w:pPr>
      <w:r>
        <w:rPr>
          <w:rFonts w:hint="eastAsia" w:ascii="仿宋_GB2312" w:hAnsi="仿宋_GB2312" w:eastAsia="仿宋_GB2312" w:cs="仿宋_GB2312"/>
          <w:sz w:val="30"/>
          <w:szCs w:val="30"/>
        </w:rPr>
        <w:t>8</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highlight w:val="none"/>
          <w:lang w:val="en-US" w:eastAsia="zh-CN"/>
        </w:rPr>
        <w:t>质押券处置价格的合规性说明（如有，加盖公章），处置</w:t>
      </w:r>
      <w:r>
        <w:rPr>
          <w:rFonts w:hint="eastAsia" w:ascii="仿宋_GB2312" w:hAnsi="仿宋_GB2312" w:eastAsia="仿宋_GB2312" w:cs="仿宋_GB2312"/>
          <w:sz w:val="30"/>
          <w:szCs w:val="30"/>
          <w:highlight w:val="none"/>
        </w:rPr>
        <w:t>价格同时偏离</w:t>
      </w:r>
      <w:r>
        <w:rPr>
          <w:rFonts w:hint="eastAsia" w:ascii="仿宋_GB2312" w:hAnsi="仿宋_GB2312" w:eastAsia="仿宋_GB2312" w:cs="仿宋_GB2312"/>
          <w:sz w:val="30"/>
          <w:szCs w:val="30"/>
          <w:highlight w:val="none"/>
          <w:lang w:eastAsia="zh-CN"/>
        </w:rPr>
        <w:t>申请日</w:t>
      </w:r>
      <w:r>
        <w:rPr>
          <w:rFonts w:hint="eastAsia" w:ascii="仿宋_GB2312" w:hAnsi="仿宋_GB2312" w:eastAsia="仿宋_GB2312" w:cs="仿宋_GB2312"/>
          <w:sz w:val="30"/>
          <w:szCs w:val="30"/>
          <w:highlight w:val="none"/>
        </w:rPr>
        <w:t>中债估值和中证估值超过2%（含）的，</w:t>
      </w:r>
      <w:r>
        <w:rPr>
          <w:rFonts w:hint="eastAsia" w:ascii="仿宋_GB2312" w:hAnsi="仿宋_GB2312" w:eastAsia="仿宋_GB2312" w:cs="仿宋_GB2312"/>
          <w:sz w:val="30"/>
          <w:szCs w:val="30"/>
          <w:highlight w:val="none"/>
          <w:lang w:eastAsia="zh-CN"/>
        </w:rPr>
        <w:t>应当额外提供；</w:t>
      </w:r>
    </w:p>
    <w:p w14:paraId="1E84AFBD">
      <w:pPr>
        <w:keepNext w:val="0"/>
        <w:keepLines w:val="0"/>
        <w:pageBreakBefore w:val="0"/>
        <w:widowControl w:val="0"/>
        <w:kinsoku/>
        <w:wordWrap/>
        <w:overflowPunct/>
        <w:topLinePunct w:val="0"/>
        <w:bidi w:val="0"/>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highlight w:val="none"/>
          <w:lang w:val="en-US" w:eastAsia="zh-CN"/>
        </w:rPr>
        <w:t>9</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rPr>
        <w:t>本所要求的其他证明材料。</w:t>
      </w:r>
    </w:p>
    <w:p w14:paraId="5311FAF8">
      <w:pPr>
        <w:keepNext w:val="0"/>
        <w:keepLines w:val="0"/>
        <w:pageBreakBefore w:val="0"/>
        <w:widowControl w:val="0"/>
        <w:kinsoku/>
        <w:wordWrap/>
        <w:overflowPunct/>
        <w:topLinePunct w:val="0"/>
        <w:bidi w:val="0"/>
        <w:snapToGrid/>
        <w:spacing w:line="560" w:lineRule="exact"/>
        <w:ind w:firstLine="600" w:firstLineChars="200"/>
        <w:jc w:val="left"/>
        <w:textAlignment w:val="auto"/>
        <w:rPr>
          <w:rFonts w:hint="eastAsia" w:ascii="黑体" w:hAnsi="黑体" w:eastAsia="黑体" w:cs="黑体"/>
          <w:color w:val="auto"/>
          <w:sz w:val="30"/>
          <w:szCs w:val="30"/>
        </w:rPr>
      </w:pPr>
      <w:r>
        <w:rPr>
          <w:rFonts w:hint="eastAsia" w:ascii="黑体" w:hAnsi="黑体" w:eastAsia="黑体" w:cs="黑体"/>
          <w:color w:val="auto"/>
          <w:sz w:val="30"/>
          <w:szCs w:val="30"/>
        </w:rPr>
        <w:t>三、申请人的身份材料说明：</w:t>
      </w:r>
    </w:p>
    <w:p w14:paraId="52F984BF">
      <w:pPr>
        <w:keepNext w:val="0"/>
        <w:keepLines w:val="0"/>
        <w:pageBreakBefore w:val="0"/>
        <w:widowControl w:val="0"/>
        <w:kinsoku/>
        <w:wordWrap/>
        <w:overflowPunct/>
        <w:topLinePunct w:val="0"/>
        <w:autoSpaceDE w:val="0"/>
        <w:autoSpaceDN w:val="0"/>
        <w:bidi w:val="0"/>
        <w:adjustRightInd w:val="0"/>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rPr>
        <w:t>境内法人需提供营业执照及复印件（涉及事业单位等其他法人的，需提供法人登记证书及复印件）、法定代表人证明书、法定代表人身份证复印件、法定代表人授权委托书（加盖法定代表人签章）、经办人身份证及复印件。</w:t>
      </w:r>
    </w:p>
    <w:p w14:paraId="3DE7719B">
      <w:pPr>
        <w:keepNext w:val="0"/>
        <w:keepLines w:val="0"/>
        <w:pageBreakBefore w:val="0"/>
        <w:widowControl w:val="0"/>
        <w:kinsoku/>
        <w:wordWrap/>
        <w:overflowPunct/>
        <w:topLinePunct w:val="0"/>
        <w:autoSpaceDE w:val="0"/>
        <w:autoSpaceDN w:val="0"/>
        <w:bidi w:val="0"/>
        <w:adjustRightInd w:val="0"/>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rPr>
        <w:t>境内自然人需提供中华人民共和国居民身份证及复印件，委托他人代办的，还应提供经公证的授权委托书、代办人身份证明文件。</w:t>
      </w:r>
    </w:p>
    <w:p w14:paraId="65864622">
      <w:pPr>
        <w:keepNext w:val="0"/>
        <w:keepLines w:val="0"/>
        <w:pageBreakBefore w:val="0"/>
        <w:widowControl w:val="0"/>
        <w:kinsoku/>
        <w:wordWrap/>
        <w:overflowPunct/>
        <w:topLinePunct w:val="0"/>
        <w:autoSpaceDE w:val="0"/>
        <w:autoSpaceDN w:val="0"/>
        <w:bidi w:val="0"/>
        <w:adjustRightInd w:val="0"/>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rPr>
        <w:t>境外法人需提供所在国（地区）有权机关核发的证明境外法人主体资格的证明文件（如该证明文件未包含该法人合法存续内容，还需提供该法人合法存续证明），授权人签署的授权委托书，境外机构或有权机关出具的能够证明授权人有权签署授权委托书的证明文件，授权人身份证明文件复印件，经办人身份证明文件原件及复印件。</w:t>
      </w:r>
    </w:p>
    <w:p w14:paraId="52EB4F77">
      <w:pPr>
        <w:keepNext w:val="0"/>
        <w:keepLines w:val="0"/>
        <w:pageBreakBefore w:val="0"/>
        <w:widowControl w:val="0"/>
        <w:kinsoku/>
        <w:wordWrap/>
        <w:overflowPunct/>
        <w:topLinePunct w:val="0"/>
        <w:autoSpaceDE w:val="0"/>
        <w:autoSpaceDN w:val="0"/>
        <w:bidi w:val="0"/>
        <w:adjustRightInd w:val="0"/>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境外自然人需提供境外自然人身份证明文件原件及复印件；委托他人代办的，还需提交申请人签署的授权委托书，经办人身份证明文件原件及复印件。境外自然人身份证明文件包括：外国（地区）公民身份证或护照；有外国（地区）永久居留权的中国公民的永久居留证明及中国护照；台湾居民来往大陆通行证；香港永久性居民身份证、澳门永久性居民身份证。</w:t>
      </w:r>
    </w:p>
    <w:p w14:paraId="7ED02ECE">
      <w:pPr>
        <w:keepNext w:val="0"/>
        <w:keepLines w:val="0"/>
        <w:pageBreakBefore w:val="0"/>
        <w:widowControl w:val="0"/>
        <w:kinsoku/>
        <w:wordWrap/>
        <w:overflowPunct/>
        <w:topLinePunct w:val="0"/>
        <w:bidi w:val="0"/>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除中国护照、台湾居民来往大陆通行证、以及办妥签证和入境手续的外国（地区）投资者持有的护照外，上述涉及境外投资者的身份证明文件、授权委托书以及授权人有权授权的证明文件等还需符合以下规定：①外国（地区）投资者提交的文件，需经我国驻该国使、领馆认证，或者履行我国与该所在国订立的有关条约中规定的身份证明手续。如投资者所在国（地区）与我国无外交关系，其提供的文件，需先经该国（地区）外交机构或其授权机构和与我国有外交关系国家驻该国（地区）使、领馆认证后，再办理我国驻该第三国使、领馆认证。②香港投资者提交的文件，应当经我国司法部委托的香港公证人公证，并盖有中国法律服务(香港)有限公司转递香港公证文书专用章。③澳门投资者提交的文件，应经过澳门政府公证部门或我国司法部委托的公证人公证，并经中国法律服务(澳门)公司加盖核验章。④台湾投资者提交的文件，应当经台湾地区的公证部门公证，并由台湾海峡交流基金会按照1993年《海峡两岸公证书使用查证协议》寄送公证书副本。台湾投资者还应提供接收台湾公证书的内地公证协会出具的公证书正本与台湾海峡交流基金会寄送该会的副本一致的核对证明。</w:t>
      </w:r>
    </w:p>
    <w:p w14:paraId="40A869FD">
      <w:pPr>
        <w:keepNext w:val="0"/>
        <w:keepLines w:val="0"/>
        <w:pageBreakBefore w:val="0"/>
        <w:widowControl w:val="0"/>
        <w:kinsoku/>
        <w:wordWrap/>
        <w:overflowPunct/>
        <w:topLinePunct w:val="0"/>
        <w:bidi w:val="0"/>
        <w:snapToGrid/>
        <w:spacing w:line="56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rPr>
        <w:t>涉及合伙企业、非法人创投企业等非法人组织的，需提供营业执照（或其他国家有权机关颁发的合伙组织成立证书）及复印件；执行事务合伙人或负责人证明书（需加盖企业公章），执行事务合伙人或负责人身份证明文件及复印件，加盖企业公章的执行事务合伙人或负责人对经办人的授权委托书；经办人身份证及复印件。</w:t>
      </w:r>
    </w:p>
    <w:p w14:paraId="28BB77B8">
      <w:pPr>
        <w:keepNext w:val="0"/>
        <w:keepLines w:val="0"/>
        <w:pageBreakBefore w:val="0"/>
        <w:widowControl w:val="0"/>
        <w:kinsoku/>
        <w:wordWrap/>
        <w:overflowPunct/>
        <w:topLinePunct w:val="0"/>
        <w:autoSpaceDE w:val="0"/>
        <w:autoSpaceDN w:val="0"/>
        <w:bidi w:val="0"/>
        <w:adjustRightInd w:val="0"/>
        <w:snapToGrid/>
        <w:spacing w:line="560" w:lineRule="exact"/>
        <w:ind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w:t>
      </w:r>
      <w:r>
        <w:rPr>
          <w:rFonts w:hint="eastAsia" w:ascii="仿宋_GB2312" w:hAnsi="仿宋_GB2312" w:eastAsia="仿宋_GB2312" w:cs="仿宋_GB2312"/>
          <w:sz w:val="30"/>
          <w:szCs w:val="30"/>
          <w:lang w:val="en-US" w:eastAsia="zh-CN"/>
        </w:rPr>
        <w:t>.</w:t>
      </w:r>
      <w:r>
        <w:rPr>
          <w:rFonts w:hint="eastAsia" w:ascii="仿宋_GB2312" w:hAnsi="仿宋_GB2312" w:eastAsia="仿宋_GB2312" w:cs="仿宋_GB2312"/>
          <w:sz w:val="30"/>
          <w:szCs w:val="30"/>
        </w:rPr>
        <w:t>涉及清算组（含合伙企业清算人）的，需提供工商行政管理部门或其他有权机关出具的清算组成立的证明文件、清算组负责人证明文件、清算组负责人授权委托书、经办人身份证及复印件。</w:t>
      </w:r>
    </w:p>
    <w:p w14:paraId="28D308DC">
      <w:pPr>
        <w:keepNext w:val="0"/>
        <w:keepLines w:val="0"/>
        <w:pageBreakBefore w:val="0"/>
        <w:widowControl w:val="0"/>
        <w:kinsoku/>
        <w:wordWrap/>
        <w:overflowPunct/>
        <w:topLinePunct w:val="0"/>
        <w:bidi w:val="0"/>
        <w:snapToGrid/>
        <w:spacing w:line="56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br w:type="page"/>
      </w:r>
    </w:p>
    <w:p w14:paraId="55768419">
      <w:pPr>
        <w:keepNext w:val="0"/>
        <w:keepLines w:val="0"/>
        <w:pageBreakBefore w:val="0"/>
        <w:widowControl/>
        <w:kinsoku/>
        <w:wordWrap/>
        <w:overflowPunct/>
        <w:topLinePunct w:val="0"/>
        <w:bidi w:val="0"/>
        <w:snapToGrid/>
        <w:spacing w:beforeLines="-2147483648" w:afterLines="-2147483648" w:line="240" w:lineRule="auto"/>
        <w:jc w:val="left"/>
        <w:textAlignment w:val="auto"/>
        <w:outlineLvl w:val="1"/>
        <w:rPr>
          <w:rFonts w:hint="eastAsia" w:ascii="仿宋_GB2312" w:hAnsi="黑体" w:eastAsia="仿宋_GB2312" w:cs="Times New Roman"/>
          <w:b/>
          <w:bCs w:val="0"/>
          <w:sz w:val="30"/>
          <w:szCs w:val="30"/>
          <w:lang w:val="en-US" w:eastAsia="zh-CN"/>
        </w:rPr>
      </w:pPr>
      <w:bookmarkStart w:id="4312" w:name="_Toc18812687"/>
      <w:bookmarkStart w:id="4313" w:name="_Toc1632950360"/>
      <w:bookmarkStart w:id="4314" w:name="_Toc1358302324"/>
      <w:bookmarkStart w:id="4315" w:name="_Toc1518114587"/>
      <w:r>
        <w:rPr>
          <w:rFonts w:hint="eastAsia" w:ascii="仿宋_GB2312" w:hAnsi="黑体" w:eastAsia="仿宋_GB2312" w:cs="Times New Roman"/>
          <w:b/>
          <w:bCs w:val="0"/>
          <w:sz w:val="30"/>
          <w:szCs w:val="30"/>
          <w:lang w:eastAsia="zh-CN"/>
        </w:rPr>
        <w:t>附件</w:t>
      </w:r>
      <w:r>
        <w:rPr>
          <w:rFonts w:hint="eastAsia" w:ascii="仿宋_GB2312" w:hAnsi="黑体" w:eastAsia="仿宋_GB2312" w:cs="Times New Roman"/>
          <w:b/>
          <w:bCs w:val="0"/>
          <w:sz w:val="30"/>
          <w:szCs w:val="30"/>
          <w:lang w:val="en-US" w:eastAsia="zh-CN"/>
        </w:rPr>
        <w:t>45-1 上海证券交易所债券质押式协议回购/三方回购违约处置申报、成交确认表</w:t>
      </w:r>
      <w:bookmarkEnd w:id="4312"/>
      <w:bookmarkEnd w:id="4313"/>
      <w:bookmarkEnd w:id="4314"/>
      <w:bookmarkEnd w:id="4315"/>
    </w:p>
    <w:p w14:paraId="1A521D60">
      <w:pPr>
        <w:adjustRightInd w:val="0"/>
        <w:snapToGrid w:val="0"/>
        <w:spacing w:line="560" w:lineRule="exact"/>
        <w:jc w:val="both"/>
        <w:rPr>
          <w:rFonts w:hint="eastAsia" w:ascii="方正大标宋简体" w:eastAsia="方正大标宋简体"/>
          <w:sz w:val="42"/>
          <w:szCs w:val="42"/>
        </w:rPr>
      </w:pPr>
    </w:p>
    <w:p w14:paraId="1DAC774E">
      <w:pPr>
        <w:adjustRightInd w:val="0"/>
        <w:snapToGrid w:val="0"/>
        <w:spacing w:line="560" w:lineRule="exact"/>
        <w:jc w:val="center"/>
        <w:rPr>
          <w:rFonts w:ascii="方正大标宋简体" w:eastAsia="方正大标宋简体"/>
          <w:sz w:val="42"/>
          <w:szCs w:val="42"/>
        </w:rPr>
      </w:pPr>
      <w:r>
        <w:rPr>
          <w:rFonts w:hint="eastAsia" w:ascii="方正大标宋简体" w:eastAsia="方正大标宋简体"/>
          <w:sz w:val="42"/>
          <w:szCs w:val="42"/>
        </w:rPr>
        <w:t>上海证券交易所债券质押式协议回购</w:t>
      </w:r>
      <w:r>
        <w:rPr>
          <w:rFonts w:ascii="方正大标宋简体" w:eastAsia="方正大标宋简体"/>
          <w:sz w:val="42"/>
          <w:szCs w:val="42"/>
        </w:rPr>
        <w:t>/</w:t>
      </w:r>
    </w:p>
    <w:p w14:paraId="190C0F29">
      <w:pPr>
        <w:adjustRightInd w:val="0"/>
        <w:snapToGrid w:val="0"/>
        <w:spacing w:line="560" w:lineRule="exact"/>
        <w:jc w:val="center"/>
        <w:rPr>
          <w:rFonts w:ascii="方正大标宋简体" w:eastAsia="方正大标宋简体"/>
          <w:sz w:val="42"/>
          <w:szCs w:val="42"/>
        </w:rPr>
      </w:pPr>
      <w:r>
        <w:rPr>
          <w:rFonts w:hint="eastAsia" w:ascii="方正大标宋简体" w:eastAsia="方正大标宋简体"/>
          <w:sz w:val="42"/>
          <w:szCs w:val="42"/>
        </w:rPr>
        <w:t>三方回购违约处置申报、成交确认表</w:t>
      </w:r>
    </w:p>
    <w:p w14:paraId="54F8C2E9">
      <w:pPr>
        <w:adjustRightInd w:val="0"/>
        <w:snapToGrid w:val="0"/>
        <w:spacing w:line="560" w:lineRule="exact"/>
        <w:jc w:val="center"/>
        <w:rPr>
          <w:rFonts w:ascii="方正大标宋简体" w:eastAsia="方正大标宋简体"/>
          <w:sz w:val="42"/>
          <w:szCs w:val="42"/>
        </w:rPr>
      </w:pPr>
    </w:p>
    <w:p w14:paraId="1FB19599">
      <w:pPr>
        <w:wordWrap w:val="0"/>
        <w:jc w:val="right"/>
        <w:rPr>
          <w:rFonts w:ascii="黑体" w:eastAsia="黑体"/>
          <w:bCs/>
          <w:szCs w:val="21"/>
        </w:rPr>
      </w:pPr>
      <w:r>
        <w:rPr>
          <w:rFonts w:ascii="仿宋_GB2312" w:eastAsia="仿宋_GB2312"/>
          <w:bCs/>
          <w:szCs w:val="21"/>
        </w:rPr>
        <w:t xml:space="preserve">  </w:t>
      </w:r>
      <w:r>
        <w:rPr>
          <w:rFonts w:hint="eastAsia" w:ascii="黑体" w:eastAsia="黑体"/>
          <w:bCs/>
          <w:szCs w:val="21"/>
        </w:rPr>
        <w:t>上证债转确字[20  ]第</w:t>
      </w:r>
      <w:r>
        <w:rPr>
          <w:rFonts w:ascii="黑体" w:eastAsia="黑体"/>
          <w:bCs/>
          <w:szCs w:val="21"/>
        </w:rPr>
        <w:t xml:space="preserve">       </w:t>
      </w:r>
      <w:r>
        <w:rPr>
          <w:rFonts w:hint="eastAsia" w:ascii="黑体" w:eastAsia="黑体"/>
          <w:bCs/>
          <w:szCs w:val="21"/>
        </w:rPr>
        <w:t>号</w:t>
      </w:r>
    </w:p>
    <w:tbl>
      <w:tblPr>
        <w:tblStyle w:val="43"/>
        <w:tblW w:w="9889" w:type="dxa"/>
        <w:tblInd w:w="-60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28"/>
        <w:gridCol w:w="1141"/>
        <w:gridCol w:w="700"/>
        <w:gridCol w:w="150"/>
        <w:gridCol w:w="709"/>
        <w:gridCol w:w="1908"/>
        <w:gridCol w:w="426"/>
        <w:gridCol w:w="9"/>
        <w:gridCol w:w="801"/>
        <w:gridCol w:w="577"/>
        <w:gridCol w:w="158"/>
        <w:gridCol w:w="408"/>
        <w:gridCol w:w="15"/>
        <w:gridCol w:w="18"/>
        <w:gridCol w:w="1741"/>
      </w:tblGrid>
      <w:tr w14:paraId="5D317F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134" w:hRule="atLeast"/>
        </w:trPr>
        <w:tc>
          <w:tcPr>
            <w:tcW w:w="1128" w:type="dxa"/>
            <w:tcBorders>
              <w:top w:val="single" w:color="auto" w:sz="4" w:space="0"/>
              <w:left w:val="single" w:color="auto" w:sz="4" w:space="0"/>
              <w:bottom w:val="single" w:color="auto" w:sz="4" w:space="0"/>
              <w:right w:val="single" w:color="auto" w:sz="4" w:space="0"/>
            </w:tcBorders>
            <w:vAlign w:val="center"/>
          </w:tcPr>
          <w:p w14:paraId="1B6D9E84">
            <w:pPr>
              <w:adjustRightInd w:val="0"/>
              <w:snapToGrid w:val="0"/>
              <w:jc w:val="center"/>
              <w:rPr>
                <w:rFonts w:ascii="黑体" w:eastAsia="黑体"/>
                <w:b/>
              </w:rPr>
            </w:pPr>
            <w:r>
              <w:rPr>
                <w:rFonts w:hint="eastAsia" w:ascii="黑体" w:eastAsia="黑体"/>
                <w:b/>
              </w:rPr>
              <w:t>类型</w:t>
            </w:r>
          </w:p>
          <w:p w14:paraId="2F94F4C7">
            <w:pPr>
              <w:adjustRightInd w:val="0"/>
              <w:snapToGrid w:val="0"/>
              <w:jc w:val="center"/>
              <w:rPr>
                <w:rFonts w:ascii="黑体" w:eastAsia="黑体"/>
                <w:b/>
              </w:rPr>
            </w:pPr>
            <w:r>
              <w:rPr>
                <w:rFonts w:hint="eastAsia" w:ascii="黑体" w:eastAsia="黑体"/>
                <w:b/>
              </w:rPr>
              <w:t>申报</w:t>
            </w:r>
          </w:p>
        </w:tc>
        <w:tc>
          <w:tcPr>
            <w:tcW w:w="1141" w:type="dxa"/>
            <w:tcBorders>
              <w:top w:val="single" w:color="auto" w:sz="4" w:space="0"/>
              <w:left w:val="single" w:color="auto" w:sz="4" w:space="0"/>
              <w:bottom w:val="single" w:color="auto" w:sz="4" w:space="0"/>
              <w:right w:val="single" w:color="auto" w:sz="4" w:space="0"/>
            </w:tcBorders>
            <w:vAlign w:val="center"/>
          </w:tcPr>
          <w:p w14:paraId="620D8605">
            <w:pPr>
              <w:adjustRightInd w:val="0"/>
              <w:snapToGrid w:val="0"/>
              <w:jc w:val="center"/>
              <w:rPr>
                <w:rFonts w:ascii="仿宋_GB2312" w:hAnsi="宋体" w:eastAsia="仿宋_GB2312"/>
                <w:bCs/>
                <w:szCs w:val="21"/>
              </w:rPr>
            </w:pPr>
            <w:r>
              <w:rPr>
                <w:rFonts w:hint="eastAsia" w:ascii="仿宋_GB2312" w:hAnsi="宋体" w:eastAsia="仿宋_GB2312"/>
                <w:bCs/>
                <w:szCs w:val="21"/>
              </w:rPr>
              <w:t>申报</w:t>
            </w:r>
          </w:p>
          <w:p w14:paraId="7A0ED29B">
            <w:pPr>
              <w:adjustRightInd w:val="0"/>
              <w:snapToGrid w:val="0"/>
              <w:jc w:val="center"/>
              <w:rPr>
                <w:rFonts w:ascii="仿宋_GB2312" w:eastAsia="仿宋_GB2312"/>
                <w:bCs/>
                <w:szCs w:val="21"/>
              </w:rPr>
            </w:pPr>
            <w:r>
              <w:rPr>
                <w:rFonts w:hint="eastAsia" w:ascii="仿宋_GB2312" w:hAnsi="宋体" w:eastAsia="仿宋_GB2312"/>
                <w:bCs/>
                <w:szCs w:val="21"/>
              </w:rPr>
              <w:t>事由</w:t>
            </w:r>
          </w:p>
        </w:tc>
        <w:tc>
          <w:tcPr>
            <w:tcW w:w="7620" w:type="dxa"/>
            <w:gridSpan w:val="13"/>
            <w:tcBorders>
              <w:top w:val="single" w:color="auto" w:sz="4" w:space="0"/>
              <w:left w:val="single" w:color="auto" w:sz="4" w:space="0"/>
              <w:bottom w:val="single" w:color="auto" w:sz="4" w:space="0"/>
              <w:right w:val="single" w:color="auto" w:sz="4" w:space="0"/>
            </w:tcBorders>
            <w:vAlign w:val="center"/>
          </w:tcPr>
          <w:p w14:paraId="64F1DA12">
            <w:pPr>
              <w:adjustRightInd w:val="0"/>
              <w:snapToGrid w:val="0"/>
              <w:ind w:left="2520" w:hanging="2520" w:hangingChars="1200"/>
              <w:jc w:val="left"/>
              <w:rPr>
                <w:rFonts w:ascii="仿宋_GB2312" w:eastAsia="仿宋_GB2312"/>
                <w:bCs/>
                <w:szCs w:val="21"/>
              </w:rPr>
            </w:pPr>
            <w:r>
              <w:rPr>
                <w:rFonts w:hint="eastAsia" w:ascii="仿宋_GB2312" w:hAnsi="宋体" w:eastAsia="仿宋_GB2312"/>
                <w:bCs/>
                <w:szCs w:val="21"/>
              </w:rPr>
              <w:t>□协议回购违约处置      □三方回购违约处置</w:t>
            </w:r>
          </w:p>
        </w:tc>
      </w:tr>
      <w:tr w14:paraId="3ACB7E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trPr>
        <w:tc>
          <w:tcPr>
            <w:tcW w:w="1128" w:type="dxa"/>
            <w:vMerge w:val="restart"/>
            <w:tcBorders>
              <w:top w:val="single" w:color="auto" w:sz="4" w:space="0"/>
              <w:left w:val="single" w:color="auto" w:sz="4" w:space="0"/>
              <w:right w:val="single" w:color="auto" w:sz="4" w:space="0"/>
            </w:tcBorders>
            <w:vAlign w:val="center"/>
          </w:tcPr>
          <w:p w14:paraId="0A32A1B8">
            <w:pPr>
              <w:adjustRightInd w:val="0"/>
              <w:snapToGrid w:val="0"/>
              <w:jc w:val="center"/>
              <w:rPr>
                <w:rFonts w:ascii="黑体" w:eastAsia="黑体"/>
                <w:b/>
              </w:rPr>
            </w:pPr>
            <w:r>
              <w:rPr>
                <w:rFonts w:hint="eastAsia" w:ascii="黑体" w:eastAsia="黑体"/>
                <w:b/>
              </w:rPr>
              <w:t>申报人</w:t>
            </w:r>
          </w:p>
          <w:p w14:paraId="7F9173CC">
            <w:pPr>
              <w:adjustRightInd w:val="0"/>
              <w:snapToGrid w:val="0"/>
              <w:jc w:val="center"/>
              <w:rPr>
                <w:rFonts w:ascii="黑体" w:eastAsia="黑体"/>
                <w:b/>
              </w:rPr>
            </w:pPr>
            <w:r>
              <w:rPr>
                <w:rFonts w:hint="eastAsia" w:ascii="黑体" w:eastAsia="黑体"/>
                <w:b/>
              </w:rPr>
              <w:t>基本</w:t>
            </w:r>
          </w:p>
          <w:p w14:paraId="6EF669C4">
            <w:pPr>
              <w:adjustRightInd w:val="0"/>
              <w:snapToGrid w:val="0"/>
              <w:jc w:val="center"/>
              <w:rPr>
                <w:rFonts w:ascii="黑体" w:eastAsia="黑体"/>
                <w:b/>
                <w:szCs w:val="21"/>
              </w:rPr>
            </w:pPr>
            <w:r>
              <w:rPr>
                <w:rFonts w:hint="eastAsia" w:ascii="黑体" w:eastAsia="黑体"/>
                <w:b/>
              </w:rPr>
              <w:t>情况</w:t>
            </w:r>
          </w:p>
        </w:tc>
        <w:tc>
          <w:tcPr>
            <w:tcW w:w="1141" w:type="dxa"/>
            <w:vMerge w:val="restart"/>
            <w:tcBorders>
              <w:top w:val="single" w:color="auto" w:sz="4" w:space="0"/>
              <w:left w:val="single" w:color="auto" w:sz="4" w:space="0"/>
              <w:right w:val="single" w:color="auto" w:sz="4" w:space="0"/>
            </w:tcBorders>
            <w:vAlign w:val="center"/>
          </w:tcPr>
          <w:p w14:paraId="59A3F677">
            <w:pPr>
              <w:adjustRightInd w:val="0"/>
              <w:snapToGrid w:val="0"/>
              <w:jc w:val="center"/>
              <w:rPr>
                <w:rFonts w:ascii="仿宋_GB2312" w:eastAsia="仿宋_GB2312"/>
                <w:bCs/>
                <w:szCs w:val="21"/>
              </w:rPr>
            </w:pPr>
            <w:r>
              <w:rPr>
                <w:rFonts w:hint="eastAsia" w:ascii="仿宋_GB2312" w:eastAsia="仿宋_GB2312"/>
                <w:bCs/>
                <w:szCs w:val="21"/>
              </w:rPr>
              <w:t>转出方</w:t>
            </w:r>
          </w:p>
          <w:p w14:paraId="723C67AF">
            <w:pPr>
              <w:adjustRightInd w:val="0"/>
              <w:snapToGrid w:val="0"/>
              <w:jc w:val="center"/>
              <w:rPr>
                <w:rFonts w:ascii="仿宋_GB2312" w:eastAsia="仿宋_GB2312"/>
                <w:bCs/>
                <w:szCs w:val="21"/>
              </w:rPr>
            </w:pPr>
            <w:r>
              <w:rPr>
                <w:rFonts w:hint="eastAsia" w:ascii="仿宋_GB2312" w:eastAsia="仿宋_GB2312"/>
                <w:bCs/>
                <w:szCs w:val="21"/>
              </w:rPr>
              <w:t>（出质人）</w:t>
            </w:r>
          </w:p>
        </w:tc>
        <w:tc>
          <w:tcPr>
            <w:tcW w:w="1559" w:type="dxa"/>
            <w:gridSpan w:val="3"/>
            <w:tcBorders>
              <w:top w:val="single" w:color="auto" w:sz="4" w:space="0"/>
              <w:left w:val="single" w:color="auto" w:sz="4" w:space="0"/>
              <w:bottom w:val="single" w:color="auto" w:sz="4" w:space="0"/>
              <w:right w:val="single" w:color="auto" w:sz="4" w:space="0"/>
            </w:tcBorders>
            <w:vAlign w:val="center"/>
          </w:tcPr>
          <w:p w14:paraId="2E07A39F">
            <w:pPr>
              <w:adjustRightInd w:val="0"/>
              <w:snapToGrid w:val="0"/>
              <w:jc w:val="center"/>
              <w:rPr>
                <w:rFonts w:ascii="仿宋_GB2312" w:hAnsi="宋体" w:eastAsia="仿宋_GB2312"/>
                <w:bCs/>
                <w:szCs w:val="21"/>
              </w:rPr>
            </w:pPr>
            <w:r>
              <w:rPr>
                <w:rFonts w:hint="eastAsia" w:ascii="仿宋_GB2312" w:hAnsi="宋体" w:eastAsia="仿宋_GB2312"/>
                <w:bCs/>
                <w:szCs w:val="21"/>
              </w:rPr>
              <w:t>转出方名称</w:t>
            </w:r>
          </w:p>
        </w:tc>
        <w:tc>
          <w:tcPr>
            <w:tcW w:w="6061" w:type="dxa"/>
            <w:gridSpan w:val="10"/>
            <w:tcBorders>
              <w:top w:val="single" w:color="auto" w:sz="4" w:space="0"/>
              <w:left w:val="single" w:color="auto" w:sz="4" w:space="0"/>
              <w:bottom w:val="single" w:color="auto" w:sz="4" w:space="0"/>
              <w:right w:val="single" w:color="auto" w:sz="4" w:space="0"/>
            </w:tcBorders>
            <w:vAlign w:val="center"/>
          </w:tcPr>
          <w:p w14:paraId="530DEF01">
            <w:pPr>
              <w:adjustRightInd w:val="0"/>
              <w:snapToGrid w:val="0"/>
              <w:rPr>
                <w:rFonts w:ascii="仿宋_GB2312" w:hAnsi="宋体" w:eastAsia="仿宋_GB2312"/>
                <w:bCs/>
                <w:szCs w:val="21"/>
              </w:rPr>
            </w:pPr>
          </w:p>
        </w:tc>
      </w:tr>
      <w:tr w14:paraId="4305BC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trPr>
        <w:tc>
          <w:tcPr>
            <w:tcW w:w="1128" w:type="dxa"/>
            <w:vMerge w:val="continue"/>
            <w:tcBorders>
              <w:left w:val="single" w:color="auto" w:sz="4" w:space="0"/>
              <w:right w:val="single" w:color="auto" w:sz="4" w:space="0"/>
            </w:tcBorders>
            <w:vAlign w:val="center"/>
          </w:tcPr>
          <w:p w14:paraId="109D9895">
            <w:pPr>
              <w:widowControl/>
              <w:jc w:val="center"/>
              <w:rPr>
                <w:rFonts w:ascii="仿宋_GB2312" w:eastAsia="仿宋_GB2312"/>
                <w:b/>
                <w:szCs w:val="21"/>
              </w:rPr>
            </w:pPr>
          </w:p>
        </w:tc>
        <w:tc>
          <w:tcPr>
            <w:tcW w:w="1141" w:type="dxa"/>
            <w:vMerge w:val="continue"/>
            <w:tcBorders>
              <w:left w:val="single" w:color="auto" w:sz="4" w:space="0"/>
              <w:right w:val="single" w:color="auto" w:sz="4" w:space="0"/>
            </w:tcBorders>
            <w:vAlign w:val="center"/>
          </w:tcPr>
          <w:p w14:paraId="4AB7B353">
            <w:pPr>
              <w:widowControl/>
              <w:jc w:val="center"/>
              <w:rPr>
                <w:rFonts w:ascii="仿宋_GB2312" w:eastAsia="仿宋_GB2312"/>
                <w:bCs/>
                <w:szCs w:val="21"/>
              </w:rPr>
            </w:pPr>
          </w:p>
        </w:tc>
        <w:tc>
          <w:tcPr>
            <w:tcW w:w="1559" w:type="dxa"/>
            <w:gridSpan w:val="3"/>
            <w:tcBorders>
              <w:top w:val="single" w:color="auto" w:sz="4" w:space="0"/>
              <w:left w:val="single" w:color="auto" w:sz="4" w:space="0"/>
              <w:bottom w:val="single" w:color="auto" w:sz="4" w:space="0"/>
              <w:right w:val="single" w:color="auto" w:sz="4" w:space="0"/>
            </w:tcBorders>
            <w:vAlign w:val="center"/>
          </w:tcPr>
          <w:p w14:paraId="56DB2413">
            <w:pPr>
              <w:adjustRightInd w:val="0"/>
              <w:snapToGrid w:val="0"/>
              <w:jc w:val="center"/>
              <w:rPr>
                <w:rFonts w:ascii="仿宋_GB2312" w:eastAsia="仿宋_GB2312"/>
                <w:bCs/>
                <w:szCs w:val="21"/>
              </w:rPr>
            </w:pPr>
            <w:r>
              <w:rPr>
                <w:rFonts w:hint="eastAsia" w:ascii="仿宋_GB2312" w:eastAsia="仿宋_GB2312"/>
                <w:bCs/>
                <w:szCs w:val="21"/>
              </w:rPr>
              <w:t>注册号码/</w:t>
            </w:r>
          </w:p>
          <w:p w14:paraId="72762063">
            <w:pPr>
              <w:adjustRightInd w:val="0"/>
              <w:snapToGrid w:val="0"/>
              <w:jc w:val="center"/>
              <w:rPr>
                <w:rFonts w:ascii="仿宋_GB2312" w:eastAsia="仿宋_GB2312"/>
                <w:bCs/>
                <w:szCs w:val="21"/>
              </w:rPr>
            </w:pPr>
            <w:r>
              <w:rPr>
                <w:rFonts w:hint="eastAsia" w:ascii="仿宋_GB2312" w:eastAsia="仿宋_GB2312"/>
                <w:bCs/>
                <w:szCs w:val="21"/>
              </w:rPr>
              <w:t>身份证号码</w:t>
            </w:r>
          </w:p>
        </w:tc>
        <w:tc>
          <w:tcPr>
            <w:tcW w:w="2334" w:type="dxa"/>
            <w:gridSpan w:val="2"/>
            <w:tcBorders>
              <w:top w:val="single" w:color="auto" w:sz="4" w:space="0"/>
              <w:left w:val="single" w:color="auto" w:sz="4" w:space="0"/>
              <w:bottom w:val="single" w:color="auto" w:sz="4" w:space="0"/>
              <w:right w:val="single" w:color="auto" w:sz="4" w:space="0"/>
            </w:tcBorders>
            <w:vAlign w:val="center"/>
          </w:tcPr>
          <w:p w14:paraId="0DBC60D7">
            <w:pPr>
              <w:adjustRightInd w:val="0"/>
              <w:snapToGrid w:val="0"/>
              <w:rPr>
                <w:rFonts w:ascii="仿宋_GB2312" w:eastAsia="仿宋_GB2312"/>
                <w:bCs/>
                <w:szCs w:val="21"/>
              </w:rPr>
            </w:pPr>
          </w:p>
        </w:tc>
        <w:tc>
          <w:tcPr>
            <w:tcW w:w="1545" w:type="dxa"/>
            <w:gridSpan w:val="4"/>
            <w:tcBorders>
              <w:top w:val="single" w:color="auto" w:sz="4" w:space="0"/>
              <w:left w:val="single" w:color="auto" w:sz="4" w:space="0"/>
              <w:bottom w:val="single" w:color="auto" w:sz="4" w:space="0"/>
              <w:right w:val="single" w:color="auto" w:sz="4" w:space="0"/>
            </w:tcBorders>
            <w:vAlign w:val="center"/>
          </w:tcPr>
          <w:p w14:paraId="34BE8E11">
            <w:pPr>
              <w:adjustRightInd w:val="0"/>
              <w:snapToGrid w:val="0"/>
              <w:rPr>
                <w:rFonts w:ascii="仿宋_GB2312" w:eastAsia="仿宋_GB2312"/>
                <w:bCs/>
                <w:szCs w:val="21"/>
              </w:rPr>
            </w:pPr>
            <w:r>
              <w:rPr>
                <w:rFonts w:hint="eastAsia" w:ascii="仿宋_GB2312" w:eastAsia="仿宋_GB2312"/>
                <w:bCs/>
                <w:szCs w:val="21"/>
              </w:rPr>
              <w:t>证券账户</w:t>
            </w:r>
          </w:p>
        </w:tc>
        <w:tc>
          <w:tcPr>
            <w:tcW w:w="2182" w:type="dxa"/>
            <w:gridSpan w:val="4"/>
            <w:tcBorders>
              <w:top w:val="single" w:color="auto" w:sz="4" w:space="0"/>
              <w:left w:val="single" w:color="auto" w:sz="4" w:space="0"/>
              <w:bottom w:val="single" w:color="auto" w:sz="4" w:space="0"/>
              <w:right w:val="single" w:color="auto" w:sz="4" w:space="0"/>
            </w:tcBorders>
            <w:vAlign w:val="center"/>
          </w:tcPr>
          <w:p w14:paraId="646DD5C5">
            <w:pPr>
              <w:adjustRightInd w:val="0"/>
              <w:snapToGrid w:val="0"/>
              <w:rPr>
                <w:rFonts w:ascii="仿宋_GB2312" w:eastAsia="仿宋_GB2312"/>
                <w:bCs/>
                <w:szCs w:val="21"/>
              </w:rPr>
            </w:pPr>
          </w:p>
        </w:tc>
      </w:tr>
      <w:tr w14:paraId="3BA114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trPr>
        <w:tc>
          <w:tcPr>
            <w:tcW w:w="1128" w:type="dxa"/>
            <w:vMerge w:val="continue"/>
            <w:tcBorders>
              <w:left w:val="single" w:color="auto" w:sz="4" w:space="0"/>
              <w:right w:val="single" w:color="auto" w:sz="4" w:space="0"/>
            </w:tcBorders>
            <w:vAlign w:val="center"/>
          </w:tcPr>
          <w:p w14:paraId="1794447B">
            <w:pPr>
              <w:widowControl/>
              <w:jc w:val="center"/>
              <w:rPr>
                <w:rFonts w:ascii="仿宋_GB2312" w:eastAsia="仿宋_GB2312"/>
                <w:b/>
                <w:szCs w:val="21"/>
              </w:rPr>
            </w:pPr>
          </w:p>
        </w:tc>
        <w:tc>
          <w:tcPr>
            <w:tcW w:w="1141" w:type="dxa"/>
            <w:vMerge w:val="continue"/>
            <w:tcBorders>
              <w:left w:val="single" w:color="auto" w:sz="4" w:space="0"/>
              <w:right w:val="single" w:color="auto" w:sz="4" w:space="0"/>
            </w:tcBorders>
            <w:vAlign w:val="center"/>
          </w:tcPr>
          <w:p w14:paraId="57765C20">
            <w:pPr>
              <w:widowControl/>
              <w:jc w:val="center"/>
              <w:rPr>
                <w:rFonts w:ascii="仿宋_GB2312" w:eastAsia="仿宋_GB2312"/>
                <w:bCs/>
                <w:szCs w:val="21"/>
              </w:rPr>
            </w:pPr>
          </w:p>
        </w:tc>
        <w:tc>
          <w:tcPr>
            <w:tcW w:w="1559" w:type="dxa"/>
            <w:gridSpan w:val="3"/>
            <w:tcBorders>
              <w:top w:val="single" w:color="auto" w:sz="4" w:space="0"/>
              <w:left w:val="single" w:color="auto" w:sz="4" w:space="0"/>
              <w:bottom w:val="single" w:color="auto" w:sz="4" w:space="0"/>
              <w:right w:val="single" w:color="auto" w:sz="4" w:space="0"/>
            </w:tcBorders>
            <w:vAlign w:val="center"/>
          </w:tcPr>
          <w:p w14:paraId="4E19F145">
            <w:pPr>
              <w:adjustRightInd w:val="0"/>
              <w:snapToGrid w:val="0"/>
              <w:jc w:val="center"/>
              <w:rPr>
                <w:rFonts w:ascii="仿宋_GB2312" w:eastAsia="仿宋_GB2312"/>
                <w:bCs/>
                <w:szCs w:val="21"/>
              </w:rPr>
            </w:pPr>
            <w:r>
              <w:rPr>
                <w:rFonts w:hint="eastAsia" w:ascii="仿宋_GB2312" w:eastAsia="仿宋_GB2312"/>
                <w:bCs/>
                <w:szCs w:val="21"/>
              </w:rPr>
              <w:t>经办人及</w:t>
            </w:r>
          </w:p>
          <w:p w14:paraId="298C0B56">
            <w:pPr>
              <w:adjustRightInd w:val="0"/>
              <w:snapToGrid w:val="0"/>
              <w:jc w:val="center"/>
              <w:rPr>
                <w:rFonts w:ascii="仿宋_GB2312" w:eastAsia="仿宋_GB2312"/>
                <w:bCs/>
                <w:szCs w:val="21"/>
              </w:rPr>
            </w:pPr>
            <w:r>
              <w:rPr>
                <w:rFonts w:hint="eastAsia" w:ascii="仿宋_GB2312" w:eastAsia="仿宋_GB2312"/>
                <w:bCs/>
                <w:szCs w:val="21"/>
              </w:rPr>
              <w:t>身份证号码</w:t>
            </w:r>
          </w:p>
        </w:tc>
        <w:tc>
          <w:tcPr>
            <w:tcW w:w="3144" w:type="dxa"/>
            <w:gridSpan w:val="4"/>
            <w:tcBorders>
              <w:top w:val="single" w:color="auto" w:sz="4" w:space="0"/>
              <w:left w:val="single" w:color="auto" w:sz="4" w:space="0"/>
              <w:bottom w:val="single" w:color="auto" w:sz="4" w:space="0"/>
              <w:right w:val="single" w:color="auto" w:sz="4" w:space="0"/>
            </w:tcBorders>
            <w:vAlign w:val="center"/>
          </w:tcPr>
          <w:p w14:paraId="44CFCD04">
            <w:pPr>
              <w:adjustRightInd w:val="0"/>
              <w:snapToGrid w:val="0"/>
              <w:rPr>
                <w:rFonts w:ascii="仿宋_GB2312" w:eastAsia="仿宋_GB2312"/>
                <w:bCs/>
                <w:szCs w:val="18"/>
              </w:rPr>
            </w:pPr>
          </w:p>
        </w:tc>
        <w:tc>
          <w:tcPr>
            <w:tcW w:w="1143" w:type="dxa"/>
            <w:gridSpan w:val="3"/>
            <w:tcBorders>
              <w:top w:val="single" w:color="auto" w:sz="4" w:space="0"/>
              <w:left w:val="single" w:color="auto" w:sz="4" w:space="0"/>
              <w:bottom w:val="single" w:color="auto" w:sz="4" w:space="0"/>
              <w:right w:val="single" w:color="auto" w:sz="4" w:space="0"/>
            </w:tcBorders>
            <w:vAlign w:val="center"/>
          </w:tcPr>
          <w:p w14:paraId="7F2FD14D">
            <w:pPr>
              <w:adjustRightInd w:val="0"/>
              <w:snapToGrid w:val="0"/>
              <w:rPr>
                <w:rFonts w:ascii="仿宋_GB2312" w:eastAsia="仿宋_GB2312"/>
                <w:bCs/>
                <w:szCs w:val="18"/>
              </w:rPr>
            </w:pPr>
            <w:r>
              <w:rPr>
                <w:rFonts w:hint="eastAsia" w:ascii="仿宋_GB2312" w:eastAsia="仿宋_GB2312"/>
                <w:bCs/>
                <w:szCs w:val="21"/>
              </w:rPr>
              <w:t>联系电话</w:t>
            </w:r>
          </w:p>
        </w:tc>
        <w:tc>
          <w:tcPr>
            <w:tcW w:w="1774" w:type="dxa"/>
            <w:gridSpan w:val="3"/>
            <w:tcBorders>
              <w:top w:val="single" w:color="auto" w:sz="4" w:space="0"/>
              <w:left w:val="single" w:color="auto" w:sz="4" w:space="0"/>
              <w:bottom w:val="single" w:color="auto" w:sz="4" w:space="0"/>
              <w:right w:val="single" w:color="auto" w:sz="4" w:space="0"/>
            </w:tcBorders>
            <w:vAlign w:val="center"/>
          </w:tcPr>
          <w:p w14:paraId="51F40861">
            <w:pPr>
              <w:adjustRightInd w:val="0"/>
              <w:snapToGrid w:val="0"/>
              <w:rPr>
                <w:rFonts w:ascii="仿宋_GB2312" w:eastAsia="仿宋_GB2312"/>
                <w:bCs/>
                <w:szCs w:val="18"/>
              </w:rPr>
            </w:pPr>
          </w:p>
        </w:tc>
      </w:tr>
      <w:tr w14:paraId="126970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trPr>
        <w:tc>
          <w:tcPr>
            <w:tcW w:w="1128" w:type="dxa"/>
            <w:vMerge w:val="continue"/>
            <w:tcBorders>
              <w:left w:val="single" w:color="auto" w:sz="4" w:space="0"/>
              <w:right w:val="single" w:color="auto" w:sz="4" w:space="0"/>
            </w:tcBorders>
            <w:vAlign w:val="center"/>
          </w:tcPr>
          <w:p w14:paraId="77619CCF">
            <w:pPr>
              <w:widowControl/>
              <w:jc w:val="center"/>
              <w:rPr>
                <w:rFonts w:ascii="仿宋_GB2312" w:eastAsia="仿宋_GB2312"/>
                <w:b/>
                <w:szCs w:val="21"/>
              </w:rPr>
            </w:pPr>
          </w:p>
        </w:tc>
        <w:tc>
          <w:tcPr>
            <w:tcW w:w="1141" w:type="dxa"/>
            <w:vMerge w:val="continue"/>
            <w:tcBorders>
              <w:left w:val="single" w:color="auto" w:sz="4" w:space="0"/>
              <w:bottom w:val="single" w:color="auto" w:sz="4" w:space="0"/>
              <w:right w:val="single" w:color="auto" w:sz="4" w:space="0"/>
            </w:tcBorders>
            <w:vAlign w:val="center"/>
          </w:tcPr>
          <w:p w14:paraId="659EB8FA">
            <w:pPr>
              <w:widowControl/>
              <w:jc w:val="center"/>
              <w:rPr>
                <w:rFonts w:ascii="仿宋_GB2312" w:eastAsia="仿宋_GB2312"/>
                <w:bCs/>
                <w:szCs w:val="21"/>
              </w:rPr>
            </w:pPr>
          </w:p>
        </w:tc>
        <w:tc>
          <w:tcPr>
            <w:tcW w:w="3893" w:type="dxa"/>
            <w:gridSpan w:val="5"/>
            <w:tcBorders>
              <w:top w:val="single" w:color="auto" w:sz="4" w:space="0"/>
              <w:left w:val="single" w:color="auto" w:sz="4" w:space="0"/>
              <w:bottom w:val="single" w:color="auto" w:sz="4" w:space="0"/>
              <w:right w:val="single" w:color="auto" w:sz="4" w:space="0"/>
            </w:tcBorders>
            <w:vAlign w:val="center"/>
          </w:tcPr>
          <w:p w14:paraId="45E18D2E">
            <w:pPr>
              <w:adjustRightInd w:val="0"/>
              <w:snapToGrid w:val="0"/>
              <w:rPr>
                <w:rFonts w:ascii="仿宋_GB2312" w:eastAsia="仿宋_GB2312"/>
                <w:bCs/>
                <w:szCs w:val="18"/>
              </w:rPr>
            </w:pPr>
            <w:r>
              <w:rPr>
                <w:rFonts w:hint="eastAsia" w:ascii="仿宋_GB2312" w:eastAsia="仿宋_GB2312"/>
                <w:bCs/>
                <w:szCs w:val="18"/>
              </w:rPr>
              <w:t>转出方是否为国有单位</w:t>
            </w:r>
          </w:p>
        </w:tc>
        <w:tc>
          <w:tcPr>
            <w:tcW w:w="1968" w:type="dxa"/>
            <w:gridSpan w:val="6"/>
            <w:tcBorders>
              <w:top w:val="single" w:color="auto" w:sz="4" w:space="0"/>
              <w:left w:val="single" w:color="auto" w:sz="4" w:space="0"/>
              <w:bottom w:val="single" w:color="auto" w:sz="4" w:space="0"/>
              <w:right w:val="single" w:color="auto" w:sz="4" w:space="0"/>
            </w:tcBorders>
            <w:vAlign w:val="center"/>
          </w:tcPr>
          <w:p w14:paraId="5CDC0413">
            <w:pPr>
              <w:adjustRightInd w:val="0"/>
              <w:snapToGrid w:val="0"/>
              <w:rPr>
                <w:rFonts w:ascii="仿宋_GB2312" w:eastAsia="仿宋_GB2312"/>
                <w:bCs/>
                <w:szCs w:val="21"/>
              </w:rPr>
            </w:pPr>
            <w:r>
              <w:rPr>
                <w:rFonts w:hint="eastAsia" w:ascii="仿宋_GB2312" w:hAnsi="宋体" w:eastAsia="仿宋_GB2312"/>
                <w:bCs/>
                <w:szCs w:val="21"/>
              </w:rPr>
              <w:t>□</w:t>
            </w:r>
            <w:r>
              <w:rPr>
                <w:rFonts w:ascii="仿宋_GB2312" w:hAnsi="宋体" w:eastAsia="仿宋_GB2312"/>
                <w:bCs/>
                <w:szCs w:val="21"/>
              </w:rPr>
              <w:t xml:space="preserve">     </w:t>
            </w:r>
            <w:r>
              <w:rPr>
                <w:rFonts w:hint="eastAsia" w:ascii="仿宋_GB2312" w:hAnsi="宋体" w:eastAsia="仿宋_GB2312"/>
                <w:bCs/>
                <w:szCs w:val="21"/>
              </w:rPr>
              <w:t>是</w:t>
            </w:r>
          </w:p>
        </w:tc>
        <w:tc>
          <w:tcPr>
            <w:tcW w:w="1759" w:type="dxa"/>
            <w:gridSpan w:val="2"/>
            <w:tcBorders>
              <w:top w:val="single" w:color="auto" w:sz="4" w:space="0"/>
              <w:left w:val="single" w:color="auto" w:sz="4" w:space="0"/>
              <w:bottom w:val="single" w:color="auto" w:sz="4" w:space="0"/>
              <w:right w:val="single" w:color="auto" w:sz="4" w:space="0"/>
            </w:tcBorders>
            <w:vAlign w:val="center"/>
          </w:tcPr>
          <w:p w14:paraId="69B99E66">
            <w:pPr>
              <w:adjustRightInd w:val="0"/>
              <w:snapToGrid w:val="0"/>
              <w:rPr>
                <w:rFonts w:ascii="仿宋_GB2312" w:eastAsia="仿宋_GB2312"/>
                <w:bCs/>
                <w:szCs w:val="18"/>
                <w:highlight w:val="yellow"/>
              </w:rPr>
            </w:pPr>
            <w:r>
              <w:rPr>
                <w:rFonts w:hint="eastAsia" w:ascii="仿宋_GB2312" w:hAnsi="宋体" w:eastAsia="仿宋_GB2312"/>
                <w:bCs/>
                <w:szCs w:val="21"/>
              </w:rPr>
              <w:t>□</w:t>
            </w:r>
            <w:r>
              <w:rPr>
                <w:rFonts w:ascii="仿宋_GB2312" w:hAnsi="宋体" w:eastAsia="仿宋_GB2312"/>
                <w:bCs/>
                <w:szCs w:val="21"/>
              </w:rPr>
              <w:t xml:space="preserve">    </w:t>
            </w:r>
            <w:r>
              <w:rPr>
                <w:rFonts w:hint="eastAsia" w:ascii="仿宋_GB2312" w:hAnsi="宋体" w:eastAsia="仿宋_GB2312"/>
                <w:bCs/>
                <w:szCs w:val="21"/>
              </w:rPr>
              <w:t>否</w:t>
            </w:r>
          </w:p>
        </w:tc>
      </w:tr>
      <w:tr w14:paraId="69CDC9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trPr>
        <w:tc>
          <w:tcPr>
            <w:tcW w:w="1128" w:type="dxa"/>
            <w:vMerge w:val="continue"/>
            <w:tcBorders>
              <w:left w:val="single" w:color="auto" w:sz="4" w:space="0"/>
              <w:right w:val="single" w:color="auto" w:sz="4" w:space="0"/>
            </w:tcBorders>
            <w:vAlign w:val="center"/>
          </w:tcPr>
          <w:p w14:paraId="31FDB6CF">
            <w:pPr>
              <w:widowControl/>
              <w:jc w:val="center"/>
              <w:rPr>
                <w:rFonts w:ascii="仿宋_GB2312" w:eastAsia="仿宋_GB2312"/>
                <w:b/>
                <w:szCs w:val="21"/>
              </w:rPr>
            </w:pPr>
          </w:p>
        </w:tc>
        <w:tc>
          <w:tcPr>
            <w:tcW w:w="1141" w:type="dxa"/>
            <w:vMerge w:val="restart"/>
            <w:tcBorders>
              <w:top w:val="single" w:color="auto" w:sz="4" w:space="0"/>
              <w:left w:val="single" w:color="auto" w:sz="4" w:space="0"/>
              <w:right w:val="single" w:color="auto" w:sz="4" w:space="0"/>
            </w:tcBorders>
            <w:vAlign w:val="center"/>
          </w:tcPr>
          <w:p w14:paraId="4166A5BD">
            <w:pPr>
              <w:adjustRightInd w:val="0"/>
              <w:snapToGrid w:val="0"/>
              <w:jc w:val="center"/>
              <w:rPr>
                <w:rFonts w:ascii="仿宋_GB2312" w:eastAsia="仿宋_GB2312"/>
                <w:bCs/>
                <w:szCs w:val="21"/>
              </w:rPr>
            </w:pPr>
            <w:r>
              <w:rPr>
                <w:rFonts w:hint="eastAsia" w:ascii="仿宋_GB2312" w:eastAsia="仿宋_GB2312"/>
                <w:bCs/>
                <w:szCs w:val="21"/>
              </w:rPr>
              <w:t>转入方</w:t>
            </w:r>
          </w:p>
          <w:p w14:paraId="13E040D7">
            <w:pPr>
              <w:adjustRightInd w:val="0"/>
              <w:snapToGrid w:val="0"/>
              <w:jc w:val="center"/>
              <w:rPr>
                <w:rFonts w:ascii="仿宋_GB2312" w:eastAsia="仿宋_GB2312"/>
                <w:bCs/>
                <w:szCs w:val="21"/>
              </w:rPr>
            </w:pPr>
            <w:r>
              <w:rPr>
                <w:rFonts w:hint="eastAsia" w:ascii="仿宋_GB2312" w:eastAsia="仿宋_GB2312"/>
                <w:bCs/>
                <w:szCs w:val="21"/>
              </w:rPr>
              <w:t>（质权人）</w:t>
            </w:r>
          </w:p>
        </w:tc>
        <w:tc>
          <w:tcPr>
            <w:tcW w:w="1559" w:type="dxa"/>
            <w:gridSpan w:val="3"/>
            <w:tcBorders>
              <w:top w:val="single" w:color="auto" w:sz="4" w:space="0"/>
              <w:left w:val="single" w:color="auto" w:sz="4" w:space="0"/>
              <w:bottom w:val="single" w:color="auto" w:sz="4" w:space="0"/>
              <w:right w:val="single" w:color="auto" w:sz="4" w:space="0"/>
            </w:tcBorders>
            <w:vAlign w:val="center"/>
          </w:tcPr>
          <w:p w14:paraId="3610459F">
            <w:pPr>
              <w:adjustRightInd w:val="0"/>
              <w:snapToGrid w:val="0"/>
              <w:jc w:val="center"/>
              <w:rPr>
                <w:rFonts w:ascii="仿宋_GB2312" w:eastAsia="仿宋_GB2312"/>
                <w:bCs/>
                <w:szCs w:val="21"/>
              </w:rPr>
            </w:pPr>
            <w:r>
              <w:rPr>
                <w:rFonts w:hint="eastAsia" w:ascii="仿宋_GB2312" w:eastAsia="仿宋_GB2312"/>
                <w:bCs/>
                <w:szCs w:val="21"/>
              </w:rPr>
              <w:t>转入方名称</w:t>
            </w:r>
          </w:p>
        </w:tc>
        <w:tc>
          <w:tcPr>
            <w:tcW w:w="6061" w:type="dxa"/>
            <w:gridSpan w:val="10"/>
            <w:tcBorders>
              <w:top w:val="single" w:color="auto" w:sz="4" w:space="0"/>
              <w:left w:val="single" w:color="auto" w:sz="4" w:space="0"/>
              <w:bottom w:val="single" w:color="auto" w:sz="4" w:space="0"/>
              <w:right w:val="single" w:color="auto" w:sz="4" w:space="0"/>
            </w:tcBorders>
            <w:vAlign w:val="center"/>
          </w:tcPr>
          <w:p w14:paraId="6A10BF64">
            <w:pPr>
              <w:adjustRightInd w:val="0"/>
              <w:snapToGrid w:val="0"/>
              <w:rPr>
                <w:rFonts w:ascii="仿宋_GB2312" w:eastAsia="仿宋_GB2312"/>
                <w:bCs/>
                <w:szCs w:val="21"/>
              </w:rPr>
            </w:pPr>
          </w:p>
        </w:tc>
      </w:tr>
      <w:tr w14:paraId="5A4F88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trPr>
        <w:tc>
          <w:tcPr>
            <w:tcW w:w="1128" w:type="dxa"/>
            <w:vMerge w:val="continue"/>
            <w:tcBorders>
              <w:left w:val="single" w:color="auto" w:sz="4" w:space="0"/>
              <w:right w:val="single" w:color="auto" w:sz="4" w:space="0"/>
            </w:tcBorders>
            <w:vAlign w:val="center"/>
          </w:tcPr>
          <w:p w14:paraId="1E36C288">
            <w:pPr>
              <w:widowControl/>
              <w:jc w:val="center"/>
              <w:rPr>
                <w:rFonts w:ascii="仿宋_GB2312" w:eastAsia="仿宋_GB2312"/>
                <w:b/>
                <w:szCs w:val="21"/>
              </w:rPr>
            </w:pPr>
          </w:p>
        </w:tc>
        <w:tc>
          <w:tcPr>
            <w:tcW w:w="1141" w:type="dxa"/>
            <w:vMerge w:val="continue"/>
            <w:tcBorders>
              <w:left w:val="single" w:color="auto" w:sz="4" w:space="0"/>
              <w:right w:val="single" w:color="auto" w:sz="4" w:space="0"/>
            </w:tcBorders>
            <w:vAlign w:val="center"/>
          </w:tcPr>
          <w:p w14:paraId="103A6A96">
            <w:pPr>
              <w:widowControl/>
              <w:jc w:val="left"/>
              <w:rPr>
                <w:rFonts w:ascii="仿宋_GB2312" w:eastAsia="仿宋_GB2312"/>
                <w:bCs/>
                <w:szCs w:val="21"/>
              </w:rPr>
            </w:pPr>
          </w:p>
        </w:tc>
        <w:tc>
          <w:tcPr>
            <w:tcW w:w="1559" w:type="dxa"/>
            <w:gridSpan w:val="3"/>
            <w:tcBorders>
              <w:top w:val="single" w:color="auto" w:sz="4" w:space="0"/>
              <w:left w:val="single" w:color="auto" w:sz="4" w:space="0"/>
              <w:bottom w:val="single" w:color="auto" w:sz="4" w:space="0"/>
              <w:right w:val="single" w:color="auto" w:sz="4" w:space="0"/>
            </w:tcBorders>
            <w:vAlign w:val="center"/>
          </w:tcPr>
          <w:p w14:paraId="538D2C03">
            <w:pPr>
              <w:adjustRightInd w:val="0"/>
              <w:snapToGrid w:val="0"/>
              <w:jc w:val="center"/>
              <w:rPr>
                <w:rFonts w:ascii="仿宋_GB2312" w:eastAsia="仿宋_GB2312"/>
                <w:bCs/>
                <w:szCs w:val="21"/>
              </w:rPr>
            </w:pPr>
            <w:r>
              <w:rPr>
                <w:rFonts w:hint="eastAsia" w:ascii="仿宋_GB2312" w:eastAsia="仿宋_GB2312"/>
                <w:bCs/>
                <w:szCs w:val="21"/>
              </w:rPr>
              <w:t>注册号码/</w:t>
            </w:r>
          </w:p>
          <w:p w14:paraId="0B6B2EEC">
            <w:pPr>
              <w:adjustRightInd w:val="0"/>
              <w:snapToGrid w:val="0"/>
              <w:jc w:val="center"/>
              <w:rPr>
                <w:rFonts w:ascii="仿宋_GB2312" w:eastAsia="仿宋_GB2312"/>
                <w:bCs/>
                <w:szCs w:val="21"/>
              </w:rPr>
            </w:pPr>
            <w:r>
              <w:rPr>
                <w:rFonts w:hint="eastAsia" w:ascii="仿宋_GB2312" w:eastAsia="仿宋_GB2312"/>
                <w:bCs/>
                <w:szCs w:val="21"/>
              </w:rPr>
              <w:t>身份证号码</w:t>
            </w:r>
          </w:p>
        </w:tc>
        <w:tc>
          <w:tcPr>
            <w:tcW w:w="2334" w:type="dxa"/>
            <w:gridSpan w:val="2"/>
            <w:tcBorders>
              <w:top w:val="single" w:color="auto" w:sz="4" w:space="0"/>
              <w:left w:val="single" w:color="auto" w:sz="4" w:space="0"/>
              <w:bottom w:val="single" w:color="auto" w:sz="4" w:space="0"/>
              <w:right w:val="single" w:color="auto" w:sz="4" w:space="0"/>
            </w:tcBorders>
            <w:vAlign w:val="center"/>
          </w:tcPr>
          <w:p w14:paraId="09BB6B69">
            <w:pPr>
              <w:adjustRightInd w:val="0"/>
              <w:snapToGrid w:val="0"/>
              <w:rPr>
                <w:rFonts w:ascii="仿宋_GB2312" w:eastAsia="仿宋_GB2312"/>
                <w:bCs/>
                <w:szCs w:val="21"/>
              </w:rPr>
            </w:pPr>
          </w:p>
        </w:tc>
        <w:tc>
          <w:tcPr>
            <w:tcW w:w="1545" w:type="dxa"/>
            <w:gridSpan w:val="4"/>
            <w:tcBorders>
              <w:top w:val="single" w:color="auto" w:sz="4" w:space="0"/>
              <w:left w:val="single" w:color="auto" w:sz="4" w:space="0"/>
              <w:bottom w:val="single" w:color="auto" w:sz="4" w:space="0"/>
              <w:right w:val="single" w:color="auto" w:sz="4" w:space="0"/>
            </w:tcBorders>
            <w:vAlign w:val="center"/>
          </w:tcPr>
          <w:p w14:paraId="454D0BFB">
            <w:pPr>
              <w:adjustRightInd w:val="0"/>
              <w:snapToGrid w:val="0"/>
              <w:rPr>
                <w:rFonts w:ascii="仿宋_GB2312" w:eastAsia="仿宋_GB2312"/>
                <w:bCs/>
                <w:szCs w:val="21"/>
              </w:rPr>
            </w:pPr>
            <w:r>
              <w:rPr>
                <w:rFonts w:hint="eastAsia" w:ascii="仿宋_GB2312" w:eastAsia="仿宋_GB2312"/>
                <w:bCs/>
                <w:szCs w:val="21"/>
              </w:rPr>
              <w:t>证券账户</w:t>
            </w:r>
          </w:p>
        </w:tc>
        <w:tc>
          <w:tcPr>
            <w:tcW w:w="2182" w:type="dxa"/>
            <w:gridSpan w:val="4"/>
            <w:tcBorders>
              <w:top w:val="single" w:color="auto" w:sz="4" w:space="0"/>
              <w:left w:val="single" w:color="auto" w:sz="4" w:space="0"/>
              <w:bottom w:val="single" w:color="auto" w:sz="4" w:space="0"/>
              <w:right w:val="single" w:color="auto" w:sz="4" w:space="0"/>
            </w:tcBorders>
            <w:vAlign w:val="center"/>
          </w:tcPr>
          <w:p w14:paraId="3BE49022">
            <w:pPr>
              <w:adjustRightInd w:val="0"/>
              <w:snapToGrid w:val="0"/>
              <w:rPr>
                <w:rFonts w:ascii="仿宋_GB2312" w:eastAsia="仿宋_GB2312"/>
                <w:bCs/>
                <w:szCs w:val="21"/>
              </w:rPr>
            </w:pPr>
          </w:p>
        </w:tc>
      </w:tr>
      <w:tr w14:paraId="6593EF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trPr>
        <w:tc>
          <w:tcPr>
            <w:tcW w:w="1128" w:type="dxa"/>
            <w:vMerge w:val="continue"/>
            <w:tcBorders>
              <w:left w:val="single" w:color="auto" w:sz="4" w:space="0"/>
              <w:right w:val="single" w:color="auto" w:sz="4" w:space="0"/>
            </w:tcBorders>
            <w:vAlign w:val="center"/>
          </w:tcPr>
          <w:p w14:paraId="180CA5D4">
            <w:pPr>
              <w:widowControl/>
              <w:jc w:val="center"/>
              <w:rPr>
                <w:rFonts w:ascii="仿宋_GB2312" w:eastAsia="仿宋_GB2312"/>
                <w:b/>
                <w:szCs w:val="21"/>
              </w:rPr>
            </w:pPr>
          </w:p>
        </w:tc>
        <w:tc>
          <w:tcPr>
            <w:tcW w:w="1141" w:type="dxa"/>
            <w:vMerge w:val="continue"/>
            <w:tcBorders>
              <w:left w:val="single" w:color="auto" w:sz="4" w:space="0"/>
              <w:right w:val="single" w:color="auto" w:sz="4" w:space="0"/>
            </w:tcBorders>
            <w:vAlign w:val="center"/>
          </w:tcPr>
          <w:p w14:paraId="351B5A61">
            <w:pPr>
              <w:widowControl/>
              <w:jc w:val="left"/>
              <w:rPr>
                <w:rFonts w:ascii="仿宋_GB2312" w:eastAsia="仿宋_GB2312"/>
                <w:bCs/>
                <w:szCs w:val="21"/>
              </w:rPr>
            </w:pPr>
          </w:p>
        </w:tc>
        <w:tc>
          <w:tcPr>
            <w:tcW w:w="1559" w:type="dxa"/>
            <w:gridSpan w:val="3"/>
            <w:tcBorders>
              <w:top w:val="single" w:color="auto" w:sz="4" w:space="0"/>
              <w:left w:val="single" w:color="auto" w:sz="4" w:space="0"/>
              <w:bottom w:val="single" w:color="auto" w:sz="4" w:space="0"/>
              <w:right w:val="nil"/>
            </w:tcBorders>
            <w:vAlign w:val="center"/>
          </w:tcPr>
          <w:p w14:paraId="14DA6283">
            <w:pPr>
              <w:adjustRightInd w:val="0"/>
              <w:snapToGrid w:val="0"/>
              <w:jc w:val="center"/>
              <w:rPr>
                <w:rFonts w:ascii="仿宋_GB2312" w:eastAsia="仿宋_GB2312"/>
                <w:bCs/>
                <w:szCs w:val="21"/>
              </w:rPr>
            </w:pPr>
            <w:r>
              <w:rPr>
                <w:rFonts w:hint="eastAsia" w:ascii="仿宋_GB2312" w:eastAsia="仿宋_GB2312"/>
                <w:bCs/>
                <w:szCs w:val="21"/>
              </w:rPr>
              <w:t>经办人及</w:t>
            </w:r>
          </w:p>
          <w:p w14:paraId="57E6C85B">
            <w:pPr>
              <w:adjustRightInd w:val="0"/>
              <w:snapToGrid w:val="0"/>
              <w:jc w:val="center"/>
              <w:rPr>
                <w:rFonts w:ascii="仿宋_GB2312" w:eastAsia="仿宋_GB2312"/>
                <w:bCs/>
                <w:szCs w:val="21"/>
              </w:rPr>
            </w:pPr>
            <w:r>
              <w:rPr>
                <w:rFonts w:hint="eastAsia" w:ascii="仿宋_GB2312" w:eastAsia="仿宋_GB2312"/>
                <w:bCs/>
                <w:szCs w:val="21"/>
              </w:rPr>
              <w:t>身份证号码</w:t>
            </w:r>
          </w:p>
        </w:tc>
        <w:tc>
          <w:tcPr>
            <w:tcW w:w="3144" w:type="dxa"/>
            <w:gridSpan w:val="4"/>
            <w:tcBorders>
              <w:top w:val="single" w:color="auto" w:sz="4" w:space="0"/>
              <w:left w:val="single" w:color="auto" w:sz="4" w:space="0"/>
              <w:bottom w:val="single" w:color="auto" w:sz="4" w:space="0"/>
              <w:right w:val="single" w:color="auto" w:sz="4" w:space="0"/>
            </w:tcBorders>
            <w:vAlign w:val="center"/>
          </w:tcPr>
          <w:p w14:paraId="50D45B88">
            <w:pPr>
              <w:adjustRightInd w:val="0"/>
              <w:snapToGrid w:val="0"/>
              <w:rPr>
                <w:rFonts w:ascii="仿宋_GB2312" w:eastAsia="仿宋_GB2312"/>
                <w:bCs/>
                <w:szCs w:val="21"/>
              </w:rPr>
            </w:pPr>
          </w:p>
        </w:tc>
        <w:tc>
          <w:tcPr>
            <w:tcW w:w="1176" w:type="dxa"/>
            <w:gridSpan w:val="5"/>
            <w:tcBorders>
              <w:top w:val="single" w:color="auto" w:sz="4" w:space="0"/>
              <w:left w:val="single" w:color="auto" w:sz="4" w:space="0"/>
              <w:bottom w:val="single" w:color="auto" w:sz="4" w:space="0"/>
              <w:right w:val="single" w:color="auto" w:sz="4" w:space="0"/>
            </w:tcBorders>
            <w:vAlign w:val="center"/>
          </w:tcPr>
          <w:p w14:paraId="0AD70DA4">
            <w:pPr>
              <w:adjustRightInd w:val="0"/>
              <w:snapToGrid w:val="0"/>
              <w:rPr>
                <w:rFonts w:ascii="仿宋_GB2312" w:eastAsia="仿宋_GB2312"/>
                <w:bCs/>
                <w:szCs w:val="21"/>
              </w:rPr>
            </w:pPr>
            <w:r>
              <w:rPr>
                <w:rFonts w:hint="eastAsia" w:ascii="仿宋_GB2312" w:eastAsia="仿宋_GB2312"/>
                <w:bCs/>
                <w:szCs w:val="21"/>
              </w:rPr>
              <w:t>联系电话</w:t>
            </w:r>
          </w:p>
        </w:tc>
        <w:tc>
          <w:tcPr>
            <w:tcW w:w="1741" w:type="dxa"/>
            <w:tcBorders>
              <w:top w:val="single" w:color="auto" w:sz="4" w:space="0"/>
              <w:left w:val="single" w:color="auto" w:sz="4" w:space="0"/>
              <w:bottom w:val="single" w:color="auto" w:sz="4" w:space="0"/>
              <w:right w:val="single" w:color="auto" w:sz="4" w:space="0"/>
            </w:tcBorders>
            <w:vAlign w:val="center"/>
          </w:tcPr>
          <w:p w14:paraId="1AF0F5BF">
            <w:pPr>
              <w:adjustRightInd w:val="0"/>
              <w:snapToGrid w:val="0"/>
              <w:rPr>
                <w:rFonts w:ascii="仿宋_GB2312" w:eastAsia="仿宋_GB2312"/>
                <w:bCs/>
                <w:szCs w:val="21"/>
              </w:rPr>
            </w:pPr>
          </w:p>
        </w:tc>
      </w:tr>
      <w:tr w14:paraId="3CF0A2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4" w:hRule="atLeast"/>
        </w:trPr>
        <w:tc>
          <w:tcPr>
            <w:tcW w:w="1128" w:type="dxa"/>
            <w:vMerge w:val="continue"/>
            <w:tcBorders>
              <w:left w:val="single" w:color="auto" w:sz="4" w:space="0"/>
              <w:right w:val="single" w:color="auto" w:sz="4" w:space="0"/>
            </w:tcBorders>
            <w:vAlign w:val="center"/>
          </w:tcPr>
          <w:p w14:paraId="5F78A038">
            <w:pPr>
              <w:widowControl/>
              <w:jc w:val="center"/>
              <w:rPr>
                <w:rFonts w:ascii="仿宋_GB2312" w:eastAsia="仿宋_GB2312"/>
                <w:b/>
                <w:szCs w:val="21"/>
              </w:rPr>
            </w:pPr>
          </w:p>
        </w:tc>
        <w:tc>
          <w:tcPr>
            <w:tcW w:w="1141" w:type="dxa"/>
            <w:vMerge w:val="continue"/>
            <w:tcBorders>
              <w:left w:val="single" w:color="auto" w:sz="4" w:space="0"/>
              <w:bottom w:val="single" w:color="auto" w:sz="4" w:space="0"/>
              <w:right w:val="single" w:color="auto" w:sz="4" w:space="0"/>
            </w:tcBorders>
            <w:vAlign w:val="center"/>
          </w:tcPr>
          <w:p w14:paraId="479294A6">
            <w:pPr>
              <w:widowControl/>
              <w:jc w:val="left"/>
              <w:rPr>
                <w:rFonts w:ascii="仿宋_GB2312" w:eastAsia="仿宋_GB2312"/>
                <w:bCs/>
                <w:szCs w:val="21"/>
              </w:rPr>
            </w:pPr>
          </w:p>
        </w:tc>
        <w:tc>
          <w:tcPr>
            <w:tcW w:w="3902" w:type="dxa"/>
            <w:gridSpan w:val="6"/>
            <w:tcBorders>
              <w:top w:val="single" w:color="auto" w:sz="4" w:space="0"/>
              <w:left w:val="single" w:color="auto" w:sz="4" w:space="0"/>
              <w:bottom w:val="single" w:color="auto" w:sz="4" w:space="0"/>
              <w:right w:val="nil"/>
            </w:tcBorders>
            <w:vAlign w:val="center"/>
          </w:tcPr>
          <w:p w14:paraId="7A5D8B77">
            <w:pPr>
              <w:adjustRightInd w:val="0"/>
              <w:snapToGrid w:val="0"/>
              <w:rPr>
                <w:rFonts w:ascii="仿宋_GB2312" w:hAnsi="宋体" w:eastAsia="仿宋_GB2312"/>
                <w:bCs/>
                <w:szCs w:val="21"/>
              </w:rPr>
            </w:pPr>
            <w:r>
              <w:rPr>
                <w:rFonts w:hint="eastAsia" w:ascii="仿宋_GB2312" w:eastAsia="仿宋_GB2312"/>
                <w:bCs/>
                <w:szCs w:val="18"/>
              </w:rPr>
              <w:t>过入方是否为国有单位</w:t>
            </w:r>
          </w:p>
        </w:tc>
        <w:tc>
          <w:tcPr>
            <w:tcW w:w="1977" w:type="dxa"/>
            <w:gridSpan w:val="6"/>
            <w:tcBorders>
              <w:top w:val="single" w:color="auto" w:sz="4" w:space="0"/>
              <w:left w:val="single" w:color="auto" w:sz="4" w:space="0"/>
              <w:bottom w:val="single" w:color="auto" w:sz="4" w:space="0"/>
              <w:right w:val="nil"/>
            </w:tcBorders>
            <w:vAlign w:val="center"/>
          </w:tcPr>
          <w:p w14:paraId="32C7F59B">
            <w:pPr>
              <w:adjustRightInd w:val="0"/>
              <w:snapToGrid w:val="0"/>
              <w:rPr>
                <w:rFonts w:ascii="仿宋_GB2312" w:hAnsi="宋体" w:eastAsia="仿宋_GB2312"/>
                <w:bCs/>
                <w:szCs w:val="21"/>
              </w:rPr>
            </w:pPr>
            <w:r>
              <w:rPr>
                <w:rFonts w:hint="eastAsia" w:ascii="仿宋_GB2312" w:hAnsi="宋体" w:eastAsia="仿宋_GB2312"/>
                <w:bCs/>
                <w:szCs w:val="21"/>
              </w:rPr>
              <w:t>□     是</w:t>
            </w:r>
          </w:p>
        </w:tc>
        <w:tc>
          <w:tcPr>
            <w:tcW w:w="1741" w:type="dxa"/>
            <w:tcBorders>
              <w:top w:val="single" w:color="auto" w:sz="4" w:space="0"/>
              <w:left w:val="single" w:color="auto" w:sz="4" w:space="0"/>
              <w:bottom w:val="single" w:color="auto" w:sz="4" w:space="0"/>
              <w:right w:val="single" w:color="auto" w:sz="4" w:space="0"/>
            </w:tcBorders>
            <w:vAlign w:val="center"/>
          </w:tcPr>
          <w:p w14:paraId="76FFE0BE">
            <w:pPr>
              <w:adjustRightInd w:val="0"/>
              <w:snapToGrid w:val="0"/>
              <w:rPr>
                <w:rFonts w:ascii="仿宋_GB2312" w:hAnsi="宋体" w:eastAsia="仿宋_GB2312"/>
                <w:bCs/>
                <w:szCs w:val="21"/>
              </w:rPr>
            </w:pPr>
            <w:r>
              <w:rPr>
                <w:rFonts w:hint="eastAsia" w:ascii="仿宋_GB2312" w:hAnsi="宋体" w:eastAsia="仿宋_GB2312"/>
                <w:bCs/>
                <w:szCs w:val="21"/>
              </w:rPr>
              <w:t>□    否</w:t>
            </w:r>
          </w:p>
        </w:tc>
      </w:tr>
      <w:tr w14:paraId="1952EC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6" w:hRule="atLeast"/>
        </w:trPr>
        <w:tc>
          <w:tcPr>
            <w:tcW w:w="1128" w:type="dxa"/>
            <w:vMerge w:val="restart"/>
            <w:tcBorders>
              <w:top w:val="single" w:color="auto" w:sz="4" w:space="0"/>
              <w:left w:val="single" w:color="auto" w:sz="4" w:space="0"/>
              <w:bottom w:val="nil"/>
              <w:right w:val="single" w:color="auto" w:sz="4" w:space="0"/>
            </w:tcBorders>
            <w:vAlign w:val="center"/>
          </w:tcPr>
          <w:p w14:paraId="5F18AB74">
            <w:pPr>
              <w:adjustRightInd w:val="0"/>
              <w:snapToGrid w:val="0"/>
              <w:jc w:val="center"/>
              <w:rPr>
                <w:rFonts w:ascii="黑体" w:eastAsia="黑体"/>
                <w:b/>
              </w:rPr>
            </w:pPr>
            <w:r>
              <w:rPr>
                <w:rFonts w:hint="eastAsia" w:ascii="黑体" w:eastAsia="黑体"/>
                <w:b/>
              </w:rPr>
              <w:t>拟转让</w:t>
            </w:r>
          </w:p>
          <w:p w14:paraId="036BA735">
            <w:pPr>
              <w:adjustRightInd w:val="0"/>
              <w:snapToGrid w:val="0"/>
              <w:jc w:val="center"/>
              <w:rPr>
                <w:rFonts w:ascii="黑体" w:eastAsia="黑体"/>
                <w:b/>
              </w:rPr>
            </w:pPr>
            <w:r>
              <w:rPr>
                <w:rFonts w:hint="eastAsia" w:ascii="黑体" w:eastAsia="黑体"/>
                <w:b/>
              </w:rPr>
              <w:t>债券</w:t>
            </w:r>
          </w:p>
          <w:p w14:paraId="617055DA">
            <w:pPr>
              <w:adjustRightInd w:val="0"/>
              <w:snapToGrid w:val="0"/>
              <w:jc w:val="center"/>
              <w:rPr>
                <w:rFonts w:ascii="黑体" w:eastAsia="黑体"/>
                <w:b/>
              </w:rPr>
            </w:pPr>
            <w:r>
              <w:rPr>
                <w:rFonts w:hint="eastAsia" w:ascii="黑体" w:eastAsia="黑体"/>
                <w:b/>
              </w:rPr>
              <w:t>情况</w:t>
            </w:r>
          </w:p>
        </w:tc>
        <w:tc>
          <w:tcPr>
            <w:tcW w:w="1991" w:type="dxa"/>
            <w:gridSpan w:val="3"/>
            <w:tcBorders>
              <w:top w:val="single" w:color="auto" w:sz="4" w:space="0"/>
              <w:left w:val="single" w:color="auto" w:sz="4" w:space="0"/>
              <w:bottom w:val="single" w:color="auto" w:sz="4" w:space="0"/>
              <w:right w:val="single" w:color="auto" w:sz="4" w:space="0"/>
            </w:tcBorders>
            <w:vAlign w:val="center"/>
          </w:tcPr>
          <w:p w14:paraId="6625456C">
            <w:pPr>
              <w:adjustRightInd w:val="0"/>
              <w:snapToGrid w:val="0"/>
              <w:jc w:val="center"/>
              <w:rPr>
                <w:rFonts w:ascii="仿宋_GB2312" w:eastAsia="仿宋_GB2312"/>
                <w:bCs/>
                <w:szCs w:val="21"/>
              </w:rPr>
            </w:pPr>
            <w:r>
              <w:rPr>
                <w:rFonts w:hint="eastAsia" w:ascii="仿宋_GB2312" w:eastAsia="仿宋_GB2312"/>
                <w:bCs/>
                <w:szCs w:val="21"/>
              </w:rPr>
              <w:t>债券简称</w:t>
            </w:r>
          </w:p>
        </w:tc>
        <w:tc>
          <w:tcPr>
            <w:tcW w:w="2617" w:type="dxa"/>
            <w:gridSpan w:val="2"/>
            <w:tcBorders>
              <w:top w:val="single" w:color="auto" w:sz="4" w:space="0"/>
              <w:left w:val="single" w:color="auto" w:sz="4" w:space="0"/>
              <w:bottom w:val="single" w:color="auto" w:sz="4" w:space="0"/>
              <w:right w:val="single" w:color="auto" w:sz="4" w:space="0"/>
            </w:tcBorders>
            <w:vAlign w:val="center"/>
          </w:tcPr>
          <w:p w14:paraId="2452779C">
            <w:pPr>
              <w:adjustRightInd w:val="0"/>
              <w:snapToGrid w:val="0"/>
              <w:jc w:val="center"/>
              <w:rPr>
                <w:rFonts w:ascii="仿宋_GB2312" w:eastAsia="仿宋_GB2312"/>
                <w:b/>
                <w:bCs/>
                <w:kern w:val="44"/>
                <w:sz w:val="44"/>
                <w:szCs w:val="21"/>
              </w:rPr>
            </w:pPr>
          </w:p>
        </w:tc>
        <w:tc>
          <w:tcPr>
            <w:tcW w:w="1813" w:type="dxa"/>
            <w:gridSpan w:val="4"/>
            <w:tcBorders>
              <w:top w:val="single" w:color="auto" w:sz="4" w:space="0"/>
              <w:left w:val="single" w:color="auto" w:sz="4" w:space="0"/>
              <w:bottom w:val="single" w:color="auto" w:sz="4" w:space="0"/>
              <w:right w:val="single" w:color="auto" w:sz="4" w:space="0"/>
            </w:tcBorders>
            <w:vAlign w:val="center"/>
          </w:tcPr>
          <w:p w14:paraId="769AC94D">
            <w:pPr>
              <w:adjustRightInd w:val="0"/>
              <w:snapToGrid w:val="0"/>
              <w:jc w:val="center"/>
              <w:rPr>
                <w:rFonts w:ascii="仿宋_GB2312" w:eastAsia="仿宋_GB2312"/>
                <w:bCs/>
                <w:szCs w:val="21"/>
              </w:rPr>
            </w:pPr>
            <w:r>
              <w:rPr>
                <w:rFonts w:hint="eastAsia" w:ascii="仿宋_GB2312" w:eastAsia="仿宋_GB2312"/>
                <w:bCs/>
                <w:szCs w:val="21"/>
              </w:rPr>
              <w:t>债券代码</w:t>
            </w:r>
          </w:p>
        </w:tc>
        <w:tc>
          <w:tcPr>
            <w:tcW w:w="2340" w:type="dxa"/>
            <w:gridSpan w:val="5"/>
            <w:tcBorders>
              <w:top w:val="single" w:color="auto" w:sz="4" w:space="0"/>
              <w:left w:val="single" w:color="auto" w:sz="4" w:space="0"/>
              <w:bottom w:val="single" w:color="auto" w:sz="4" w:space="0"/>
              <w:right w:val="single" w:color="auto" w:sz="4" w:space="0"/>
            </w:tcBorders>
            <w:vAlign w:val="center"/>
          </w:tcPr>
          <w:p w14:paraId="0BC71517">
            <w:pPr>
              <w:adjustRightInd w:val="0"/>
              <w:snapToGrid w:val="0"/>
              <w:ind w:firstLine="1260" w:firstLineChars="600"/>
              <w:rPr>
                <w:rFonts w:ascii="仿宋_GB2312" w:eastAsia="仿宋_GB2312"/>
                <w:bCs/>
                <w:szCs w:val="21"/>
              </w:rPr>
            </w:pPr>
          </w:p>
        </w:tc>
      </w:tr>
      <w:tr w14:paraId="6A58A3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2" w:hRule="atLeast"/>
        </w:trPr>
        <w:tc>
          <w:tcPr>
            <w:tcW w:w="1128" w:type="dxa"/>
            <w:vMerge w:val="continue"/>
            <w:tcBorders>
              <w:top w:val="single" w:color="auto" w:sz="4" w:space="0"/>
              <w:left w:val="single" w:color="auto" w:sz="4" w:space="0"/>
              <w:bottom w:val="nil"/>
              <w:right w:val="single" w:color="auto" w:sz="4" w:space="0"/>
            </w:tcBorders>
            <w:vAlign w:val="center"/>
          </w:tcPr>
          <w:p w14:paraId="24AC7127">
            <w:pPr>
              <w:widowControl/>
              <w:jc w:val="center"/>
              <w:rPr>
                <w:rFonts w:ascii="仿宋_GB2312" w:eastAsia="仿宋_GB2312"/>
                <w:b/>
              </w:rPr>
            </w:pPr>
          </w:p>
        </w:tc>
        <w:tc>
          <w:tcPr>
            <w:tcW w:w="1991" w:type="dxa"/>
            <w:gridSpan w:val="3"/>
            <w:tcBorders>
              <w:top w:val="single" w:color="auto" w:sz="4" w:space="0"/>
              <w:left w:val="single" w:color="auto" w:sz="4" w:space="0"/>
              <w:bottom w:val="single" w:color="auto" w:sz="4" w:space="0"/>
              <w:right w:val="single" w:color="auto" w:sz="4" w:space="0"/>
            </w:tcBorders>
            <w:vAlign w:val="center"/>
          </w:tcPr>
          <w:p w14:paraId="1B936E47">
            <w:pPr>
              <w:adjustRightInd w:val="0"/>
              <w:snapToGrid w:val="0"/>
              <w:jc w:val="center"/>
              <w:rPr>
                <w:rFonts w:ascii="仿宋_GB2312" w:eastAsia="仿宋_GB2312"/>
                <w:bCs/>
                <w:szCs w:val="21"/>
              </w:rPr>
            </w:pPr>
            <w:r>
              <w:rPr>
                <w:rFonts w:hint="eastAsia" w:ascii="仿宋_GB2312" w:eastAsia="仿宋_GB2312"/>
                <w:bCs/>
                <w:szCs w:val="21"/>
              </w:rPr>
              <w:t>转让数量</w:t>
            </w:r>
          </w:p>
          <w:p w14:paraId="2E37B4C5">
            <w:pPr>
              <w:adjustRightInd w:val="0"/>
              <w:snapToGrid w:val="0"/>
              <w:jc w:val="center"/>
              <w:rPr>
                <w:rFonts w:ascii="仿宋_GB2312" w:eastAsia="仿宋_GB2312"/>
                <w:bCs/>
                <w:szCs w:val="21"/>
              </w:rPr>
            </w:pPr>
            <w:r>
              <w:rPr>
                <w:rFonts w:hint="eastAsia" w:ascii="仿宋_GB2312" w:eastAsia="仿宋_GB2312"/>
                <w:bCs/>
                <w:szCs w:val="21"/>
              </w:rPr>
              <w:t>（元）</w:t>
            </w:r>
          </w:p>
        </w:tc>
        <w:tc>
          <w:tcPr>
            <w:tcW w:w="2617" w:type="dxa"/>
            <w:gridSpan w:val="2"/>
            <w:tcBorders>
              <w:top w:val="single" w:color="auto" w:sz="4" w:space="0"/>
              <w:left w:val="single" w:color="auto" w:sz="4" w:space="0"/>
              <w:bottom w:val="single" w:color="auto" w:sz="4" w:space="0"/>
              <w:right w:val="single" w:color="auto" w:sz="4" w:space="0"/>
            </w:tcBorders>
            <w:vAlign w:val="center"/>
          </w:tcPr>
          <w:p w14:paraId="744D9676">
            <w:pPr>
              <w:adjustRightInd w:val="0"/>
              <w:snapToGrid w:val="0"/>
              <w:ind w:firstLine="3524" w:firstLineChars="800"/>
              <w:jc w:val="center"/>
              <w:rPr>
                <w:rFonts w:ascii="仿宋_GB2312" w:eastAsia="仿宋_GB2312"/>
                <w:b/>
                <w:bCs/>
                <w:kern w:val="44"/>
                <w:sz w:val="44"/>
                <w:szCs w:val="21"/>
              </w:rPr>
            </w:pPr>
          </w:p>
        </w:tc>
        <w:tc>
          <w:tcPr>
            <w:tcW w:w="1813" w:type="dxa"/>
            <w:gridSpan w:val="4"/>
            <w:tcBorders>
              <w:top w:val="single" w:color="auto" w:sz="4" w:space="0"/>
              <w:left w:val="single" w:color="auto" w:sz="4" w:space="0"/>
              <w:bottom w:val="single" w:color="auto" w:sz="4" w:space="0"/>
              <w:right w:val="single" w:color="auto" w:sz="4" w:space="0"/>
            </w:tcBorders>
            <w:vAlign w:val="center"/>
          </w:tcPr>
          <w:p w14:paraId="7805ABA8">
            <w:pPr>
              <w:adjustRightInd w:val="0"/>
              <w:snapToGrid w:val="0"/>
              <w:jc w:val="center"/>
              <w:rPr>
                <w:rFonts w:ascii="仿宋_GB2312" w:eastAsia="仿宋_GB2312"/>
                <w:bCs/>
                <w:szCs w:val="21"/>
              </w:rPr>
            </w:pPr>
            <w:r>
              <w:rPr>
                <w:rFonts w:hint="eastAsia" w:ascii="仿宋_GB2312" w:eastAsia="仿宋_GB2312"/>
                <w:bCs/>
                <w:szCs w:val="21"/>
              </w:rPr>
              <w:t>每元转让价格（元）</w:t>
            </w:r>
          </w:p>
        </w:tc>
        <w:tc>
          <w:tcPr>
            <w:tcW w:w="2340" w:type="dxa"/>
            <w:gridSpan w:val="5"/>
            <w:tcBorders>
              <w:top w:val="single" w:color="auto" w:sz="4" w:space="0"/>
              <w:left w:val="single" w:color="auto" w:sz="4" w:space="0"/>
              <w:bottom w:val="single" w:color="auto" w:sz="4" w:space="0"/>
              <w:right w:val="single" w:color="auto" w:sz="4" w:space="0"/>
            </w:tcBorders>
            <w:vAlign w:val="center"/>
          </w:tcPr>
          <w:p w14:paraId="161853BE">
            <w:pPr>
              <w:adjustRightInd w:val="0"/>
              <w:snapToGrid w:val="0"/>
              <w:ind w:firstLine="1260" w:firstLineChars="600"/>
              <w:rPr>
                <w:rFonts w:ascii="仿宋_GB2312" w:eastAsia="仿宋_GB2312"/>
                <w:bCs/>
                <w:szCs w:val="21"/>
              </w:rPr>
            </w:pPr>
          </w:p>
        </w:tc>
      </w:tr>
      <w:tr w14:paraId="4BC20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8" w:hRule="atLeast"/>
        </w:trPr>
        <w:tc>
          <w:tcPr>
            <w:tcW w:w="1128" w:type="dxa"/>
            <w:tcBorders>
              <w:top w:val="single" w:color="auto" w:sz="4" w:space="0"/>
              <w:left w:val="single" w:color="auto" w:sz="4" w:space="0"/>
              <w:bottom w:val="nil"/>
              <w:right w:val="single" w:color="auto" w:sz="4" w:space="0"/>
            </w:tcBorders>
            <w:vAlign w:val="center"/>
          </w:tcPr>
          <w:p w14:paraId="7A9D990F">
            <w:pPr>
              <w:widowControl/>
              <w:jc w:val="center"/>
              <w:rPr>
                <w:rFonts w:ascii="仿宋_GB2312" w:eastAsia="仿宋_GB2312"/>
                <w:b/>
              </w:rPr>
            </w:pPr>
            <w:r>
              <w:rPr>
                <w:rFonts w:hint="eastAsia" w:ascii="黑体" w:eastAsia="黑体"/>
                <w:b/>
              </w:rPr>
              <w:t>回购交易基本情况</w:t>
            </w:r>
          </w:p>
        </w:tc>
        <w:tc>
          <w:tcPr>
            <w:tcW w:w="1991" w:type="dxa"/>
            <w:gridSpan w:val="3"/>
            <w:tcBorders>
              <w:top w:val="single" w:color="auto" w:sz="4" w:space="0"/>
              <w:left w:val="single" w:color="auto" w:sz="4" w:space="0"/>
              <w:bottom w:val="single" w:color="auto" w:sz="4" w:space="0"/>
              <w:right w:val="single" w:color="auto" w:sz="4" w:space="0"/>
            </w:tcBorders>
            <w:vAlign w:val="center"/>
          </w:tcPr>
          <w:p w14:paraId="7994CD1A">
            <w:pPr>
              <w:adjustRightInd w:val="0"/>
              <w:snapToGrid w:val="0"/>
              <w:jc w:val="center"/>
              <w:rPr>
                <w:rFonts w:ascii="仿宋_GB2312" w:eastAsia="仿宋_GB2312"/>
                <w:bCs/>
                <w:szCs w:val="21"/>
              </w:rPr>
            </w:pPr>
            <w:r>
              <w:rPr>
                <w:rFonts w:hint="eastAsia" w:ascii="仿宋_GB2312" w:eastAsia="仿宋_GB2312"/>
                <w:bCs/>
                <w:szCs w:val="21"/>
              </w:rPr>
              <w:t>回购业务</w:t>
            </w:r>
          </w:p>
          <w:p w14:paraId="373EB300">
            <w:pPr>
              <w:adjustRightInd w:val="0"/>
              <w:snapToGrid w:val="0"/>
              <w:jc w:val="center"/>
              <w:rPr>
                <w:rFonts w:ascii="仿宋_GB2312" w:eastAsia="仿宋_GB2312"/>
                <w:bCs/>
                <w:szCs w:val="21"/>
              </w:rPr>
            </w:pPr>
            <w:r>
              <w:rPr>
                <w:rFonts w:hint="eastAsia" w:ascii="仿宋_GB2312" w:eastAsia="仿宋_GB2312"/>
                <w:bCs/>
                <w:szCs w:val="21"/>
              </w:rPr>
              <w:t>成交代码</w:t>
            </w:r>
          </w:p>
        </w:tc>
        <w:tc>
          <w:tcPr>
            <w:tcW w:w="2617" w:type="dxa"/>
            <w:gridSpan w:val="2"/>
            <w:tcBorders>
              <w:top w:val="single" w:color="auto" w:sz="4" w:space="0"/>
              <w:left w:val="single" w:color="auto" w:sz="4" w:space="0"/>
              <w:bottom w:val="single" w:color="auto" w:sz="4" w:space="0"/>
              <w:right w:val="single" w:color="auto" w:sz="4" w:space="0"/>
            </w:tcBorders>
            <w:vAlign w:val="center"/>
          </w:tcPr>
          <w:p w14:paraId="184C12E1">
            <w:pPr>
              <w:adjustRightInd w:val="0"/>
              <w:snapToGrid w:val="0"/>
              <w:ind w:firstLine="3524" w:firstLineChars="800"/>
              <w:jc w:val="center"/>
              <w:rPr>
                <w:rFonts w:ascii="仿宋_GB2312" w:eastAsia="仿宋_GB2312"/>
                <w:b/>
                <w:bCs/>
                <w:kern w:val="44"/>
                <w:sz w:val="44"/>
                <w:szCs w:val="21"/>
              </w:rPr>
            </w:pPr>
          </w:p>
        </w:tc>
        <w:tc>
          <w:tcPr>
            <w:tcW w:w="1813" w:type="dxa"/>
            <w:gridSpan w:val="4"/>
            <w:tcBorders>
              <w:top w:val="single" w:color="auto" w:sz="4" w:space="0"/>
              <w:left w:val="single" w:color="auto" w:sz="4" w:space="0"/>
              <w:bottom w:val="single" w:color="auto" w:sz="4" w:space="0"/>
              <w:right w:val="single" w:color="auto" w:sz="4" w:space="0"/>
            </w:tcBorders>
            <w:vAlign w:val="center"/>
          </w:tcPr>
          <w:p w14:paraId="05A51829">
            <w:pPr>
              <w:adjustRightInd w:val="0"/>
              <w:snapToGrid w:val="0"/>
              <w:jc w:val="center"/>
              <w:rPr>
                <w:rFonts w:ascii="仿宋_GB2312" w:eastAsia="仿宋_GB2312"/>
                <w:b/>
                <w:bCs/>
                <w:kern w:val="44"/>
                <w:sz w:val="44"/>
                <w:szCs w:val="21"/>
              </w:rPr>
            </w:pPr>
            <w:r>
              <w:rPr>
                <w:rFonts w:hint="eastAsia" w:ascii="仿宋_GB2312" w:eastAsia="仿宋_GB2312"/>
                <w:bCs/>
                <w:szCs w:val="21"/>
              </w:rPr>
              <w:t>成交日期</w:t>
            </w:r>
          </w:p>
        </w:tc>
        <w:tc>
          <w:tcPr>
            <w:tcW w:w="2340" w:type="dxa"/>
            <w:gridSpan w:val="5"/>
            <w:tcBorders>
              <w:top w:val="single" w:color="auto" w:sz="4" w:space="0"/>
              <w:left w:val="single" w:color="auto" w:sz="4" w:space="0"/>
              <w:bottom w:val="single" w:color="auto" w:sz="4" w:space="0"/>
              <w:right w:val="single" w:color="auto" w:sz="4" w:space="0"/>
            </w:tcBorders>
            <w:vAlign w:val="center"/>
          </w:tcPr>
          <w:p w14:paraId="493A553A">
            <w:pPr>
              <w:widowControl/>
              <w:jc w:val="left"/>
            </w:pPr>
          </w:p>
        </w:tc>
      </w:tr>
      <w:tr w14:paraId="184D96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5" w:hRule="atLeast"/>
        </w:trPr>
        <w:tc>
          <w:tcPr>
            <w:tcW w:w="1128" w:type="dxa"/>
            <w:tcBorders>
              <w:top w:val="single" w:color="auto" w:sz="4" w:space="0"/>
              <w:left w:val="single" w:color="auto" w:sz="4" w:space="0"/>
              <w:bottom w:val="nil"/>
              <w:right w:val="single" w:color="auto" w:sz="4" w:space="0"/>
            </w:tcBorders>
            <w:vAlign w:val="center"/>
          </w:tcPr>
          <w:p w14:paraId="6A0670FB">
            <w:pPr>
              <w:widowControl/>
              <w:jc w:val="center"/>
              <w:rPr>
                <w:rFonts w:ascii="黑体" w:eastAsia="黑体"/>
                <w:b/>
              </w:rPr>
            </w:pPr>
            <w:r>
              <w:rPr>
                <w:rFonts w:hint="eastAsia" w:ascii="黑体" w:eastAsia="黑体"/>
                <w:b/>
              </w:rPr>
              <w:t>转让</w:t>
            </w:r>
          </w:p>
          <w:p w14:paraId="5DE177B1">
            <w:pPr>
              <w:widowControl/>
              <w:jc w:val="center"/>
              <w:rPr>
                <w:rFonts w:ascii="黑体" w:eastAsia="黑体"/>
                <w:b/>
              </w:rPr>
            </w:pPr>
            <w:r>
              <w:rPr>
                <w:rFonts w:hint="eastAsia" w:ascii="黑体" w:eastAsia="黑体"/>
                <w:b/>
              </w:rPr>
              <w:t>双方</w:t>
            </w:r>
          </w:p>
          <w:p w14:paraId="49CAF529">
            <w:pPr>
              <w:widowControl/>
              <w:jc w:val="center"/>
              <w:rPr>
                <w:rFonts w:ascii="黑体" w:eastAsia="黑体"/>
                <w:b/>
              </w:rPr>
            </w:pPr>
            <w:r>
              <w:rPr>
                <w:rFonts w:hint="eastAsia" w:ascii="黑体" w:eastAsia="黑体"/>
                <w:b/>
              </w:rPr>
              <w:t>承诺</w:t>
            </w:r>
          </w:p>
        </w:tc>
        <w:tc>
          <w:tcPr>
            <w:tcW w:w="8761" w:type="dxa"/>
            <w:gridSpan w:val="14"/>
            <w:tcBorders>
              <w:top w:val="single" w:color="auto" w:sz="4" w:space="0"/>
              <w:left w:val="single" w:color="auto" w:sz="4" w:space="0"/>
              <w:bottom w:val="single" w:color="auto" w:sz="4" w:space="0"/>
              <w:right w:val="single" w:color="auto" w:sz="4" w:space="0"/>
            </w:tcBorders>
            <w:vAlign w:val="center"/>
          </w:tcPr>
          <w:p w14:paraId="12B9439C">
            <w:pPr>
              <w:adjustRightInd w:val="0"/>
              <w:snapToGrid w:val="0"/>
              <w:ind w:firstLine="412" w:firstLineChars="196"/>
              <w:rPr>
                <w:rFonts w:ascii="仿宋_GB2312" w:eastAsia="仿宋_GB2312"/>
                <w:b/>
                <w:bCs/>
                <w:szCs w:val="21"/>
              </w:rPr>
            </w:pPr>
            <w:r>
              <w:rPr>
                <w:rFonts w:hint="eastAsia" w:ascii="仿宋_GB2312" w:eastAsia="仿宋_GB2312"/>
                <w:b/>
                <w:bCs/>
                <w:szCs w:val="21"/>
              </w:rPr>
              <w:t>1.本次申报系转让双方因回购交易业务发生违约之后，经双方另行协商并达成一致，就质押券处置事宜申报转让;</w:t>
            </w:r>
          </w:p>
          <w:p w14:paraId="3F0C199F">
            <w:pPr>
              <w:adjustRightInd w:val="0"/>
              <w:snapToGrid w:val="0"/>
              <w:ind w:firstLine="412" w:firstLineChars="196"/>
              <w:rPr>
                <w:rFonts w:ascii="仿宋_GB2312" w:eastAsia="仿宋_GB2312"/>
                <w:b/>
                <w:bCs/>
                <w:szCs w:val="21"/>
              </w:rPr>
            </w:pPr>
            <w:r>
              <w:rPr>
                <w:rFonts w:hint="eastAsia" w:ascii="仿宋_GB2312" w:eastAsia="仿宋_GB2312"/>
                <w:b/>
                <w:bCs/>
                <w:szCs w:val="21"/>
              </w:rPr>
              <w:t>2.转让双方承诺本次转让申报符合法律、行政法规、部门规章、规范性文件等规定，系双方真实意思表示；</w:t>
            </w:r>
          </w:p>
          <w:p w14:paraId="4D06FC62">
            <w:pPr>
              <w:adjustRightInd w:val="0"/>
              <w:snapToGrid w:val="0"/>
              <w:ind w:firstLine="412" w:firstLineChars="196"/>
              <w:rPr>
                <w:rFonts w:ascii="仿宋_GB2312" w:eastAsia="仿宋_GB2312"/>
                <w:b/>
                <w:bCs/>
                <w:szCs w:val="21"/>
              </w:rPr>
            </w:pPr>
            <w:r>
              <w:rPr>
                <w:rFonts w:hint="eastAsia" w:ascii="仿宋_GB2312" w:eastAsia="仿宋_GB2312"/>
                <w:b/>
                <w:bCs/>
                <w:szCs w:val="21"/>
              </w:rPr>
              <w:t>3.转让双方已核对本确认表所填写的全部要素，并已确认无误，双方自愿承担因本次转让申报产生的一切法律后果。</w:t>
            </w:r>
          </w:p>
          <w:p w14:paraId="4731E96A">
            <w:pPr>
              <w:adjustRightInd w:val="0"/>
              <w:snapToGrid w:val="0"/>
              <w:ind w:firstLine="412" w:firstLineChars="196"/>
              <w:rPr>
                <w:rFonts w:ascii="仿宋_GB2312" w:eastAsia="仿宋_GB2312"/>
                <w:bCs/>
                <w:szCs w:val="21"/>
              </w:rPr>
            </w:pPr>
            <w:r>
              <w:rPr>
                <w:rFonts w:hint="eastAsia" w:ascii="仿宋_GB2312" w:eastAsia="仿宋_GB2312"/>
                <w:b/>
                <w:bCs/>
                <w:szCs w:val="21"/>
              </w:rPr>
              <w:t>4.转让双方承诺在完成处置过户并确认无误后，及时在交易系统中完成相关解除质押操作。</w:t>
            </w:r>
          </w:p>
        </w:tc>
      </w:tr>
      <w:tr w14:paraId="5368D7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81" w:hRule="atLeast"/>
        </w:trPr>
        <w:tc>
          <w:tcPr>
            <w:tcW w:w="1128" w:type="dxa"/>
            <w:tcBorders>
              <w:top w:val="single" w:color="auto" w:sz="4" w:space="0"/>
              <w:left w:val="single" w:color="auto" w:sz="4" w:space="0"/>
              <w:bottom w:val="nil"/>
              <w:right w:val="single" w:color="auto" w:sz="4" w:space="0"/>
            </w:tcBorders>
            <w:vAlign w:val="center"/>
          </w:tcPr>
          <w:p w14:paraId="759AA1C4">
            <w:pPr>
              <w:widowControl/>
              <w:jc w:val="center"/>
              <w:rPr>
                <w:rFonts w:ascii="黑体" w:eastAsia="黑体"/>
                <w:b/>
              </w:rPr>
            </w:pPr>
            <w:r>
              <w:rPr>
                <w:rFonts w:hint="eastAsia" w:ascii="黑体" w:eastAsia="黑体"/>
                <w:b/>
              </w:rPr>
              <w:t>转让双方确认</w:t>
            </w:r>
          </w:p>
          <w:p w14:paraId="6CBE4406">
            <w:pPr>
              <w:widowControl/>
              <w:jc w:val="center"/>
              <w:rPr>
                <w:rFonts w:ascii="黑体" w:eastAsia="黑体"/>
                <w:b/>
              </w:rPr>
            </w:pPr>
            <w:r>
              <w:rPr>
                <w:rFonts w:hint="eastAsia" w:ascii="黑体" w:eastAsia="黑体"/>
                <w:b/>
              </w:rPr>
              <w:t>（签字、盖章）</w:t>
            </w:r>
          </w:p>
        </w:tc>
        <w:tc>
          <w:tcPr>
            <w:tcW w:w="1841" w:type="dxa"/>
            <w:gridSpan w:val="2"/>
            <w:tcBorders>
              <w:top w:val="single" w:color="auto" w:sz="4" w:space="0"/>
              <w:left w:val="single" w:color="auto" w:sz="4" w:space="0"/>
              <w:bottom w:val="single" w:color="auto" w:sz="4" w:space="0"/>
              <w:right w:val="single" w:color="auto" w:sz="4" w:space="0"/>
            </w:tcBorders>
            <w:vAlign w:val="center"/>
          </w:tcPr>
          <w:p w14:paraId="3DFCE93C">
            <w:pPr>
              <w:adjustRightInd w:val="0"/>
              <w:snapToGrid w:val="0"/>
              <w:jc w:val="center"/>
              <w:rPr>
                <w:rFonts w:ascii="仿宋_GB2312" w:eastAsia="仿宋_GB2312"/>
                <w:bCs/>
                <w:szCs w:val="21"/>
              </w:rPr>
            </w:pPr>
            <w:r>
              <w:rPr>
                <w:rFonts w:hint="eastAsia" w:ascii="仿宋_GB2312" w:eastAsia="仿宋_GB2312"/>
                <w:bCs/>
                <w:szCs w:val="21"/>
              </w:rPr>
              <w:t>转出方确认</w:t>
            </w:r>
          </w:p>
          <w:p w14:paraId="78843C2A">
            <w:pPr>
              <w:adjustRightInd w:val="0"/>
              <w:snapToGrid w:val="0"/>
              <w:jc w:val="center"/>
              <w:rPr>
                <w:rFonts w:ascii="仿宋_GB2312" w:eastAsia="仿宋_GB2312"/>
                <w:bCs/>
                <w:szCs w:val="21"/>
              </w:rPr>
            </w:pPr>
            <w:r>
              <w:rPr>
                <w:rFonts w:hint="eastAsia" w:ascii="仿宋_GB2312" w:eastAsia="仿宋_GB2312"/>
                <w:bCs/>
                <w:szCs w:val="21"/>
              </w:rPr>
              <w:t>（签字、盖章）</w:t>
            </w:r>
          </w:p>
        </w:tc>
        <w:tc>
          <w:tcPr>
            <w:tcW w:w="2767" w:type="dxa"/>
            <w:gridSpan w:val="3"/>
            <w:tcBorders>
              <w:top w:val="single" w:color="auto" w:sz="4" w:space="0"/>
              <w:left w:val="single" w:color="auto" w:sz="4" w:space="0"/>
              <w:bottom w:val="single" w:color="auto" w:sz="4" w:space="0"/>
              <w:right w:val="single" w:color="auto" w:sz="4" w:space="0"/>
            </w:tcBorders>
            <w:vAlign w:val="center"/>
          </w:tcPr>
          <w:p w14:paraId="61F23E37">
            <w:pPr>
              <w:adjustRightInd w:val="0"/>
              <w:snapToGrid w:val="0"/>
              <w:ind w:firstLine="3524" w:firstLineChars="800"/>
              <w:jc w:val="center"/>
              <w:rPr>
                <w:rFonts w:ascii="仿宋_GB2312" w:eastAsia="仿宋_GB2312"/>
                <w:b/>
                <w:bCs/>
                <w:kern w:val="44"/>
                <w:sz w:val="44"/>
                <w:szCs w:val="21"/>
              </w:rPr>
            </w:pPr>
          </w:p>
        </w:tc>
        <w:tc>
          <w:tcPr>
            <w:tcW w:w="1813" w:type="dxa"/>
            <w:gridSpan w:val="4"/>
            <w:tcBorders>
              <w:top w:val="single" w:color="auto" w:sz="4" w:space="0"/>
              <w:left w:val="single" w:color="auto" w:sz="4" w:space="0"/>
              <w:bottom w:val="single" w:color="auto" w:sz="4" w:space="0"/>
              <w:right w:val="single" w:color="auto" w:sz="4" w:space="0"/>
            </w:tcBorders>
            <w:vAlign w:val="center"/>
          </w:tcPr>
          <w:p w14:paraId="152C422F">
            <w:pPr>
              <w:adjustRightInd w:val="0"/>
              <w:snapToGrid w:val="0"/>
              <w:jc w:val="center"/>
              <w:rPr>
                <w:rFonts w:ascii="仿宋_GB2312" w:eastAsia="仿宋_GB2312"/>
                <w:bCs/>
                <w:szCs w:val="21"/>
              </w:rPr>
            </w:pPr>
            <w:r>
              <w:rPr>
                <w:rFonts w:hint="eastAsia" w:ascii="仿宋_GB2312" w:eastAsia="仿宋_GB2312"/>
                <w:bCs/>
                <w:szCs w:val="21"/>
              </w:rPr>
              <w:t>转入方确认</w:t>
            </w:r>
          </w:p>
          <w:p w14:paraId="09FFA655">
            <w:pPr>
              <w:adjustRightInd w:val="0"/>
              <w:snapToGrid w:val="0"/>
              <w:jc w:val="center"/>
              <w:rPr>
                <w:rFonts w:ascii="仿宋_GB2312" w:eastAsia="仿宋_GB2312"/>
                <w:bCs/>
                <w:szCs w:val="21"/>
              </w:rPr>
            </w:pPr>
            <w:r>
              <w:rPr>
                <w:rFonts w:hint="eastAsia" w:ascii="仿宋_GB2312" w:eastAsia="仿宋_GB2312"/>
                <w:bCs/>
                <w:szCs w:val="21"/>
              </w:rPr>
              <w:t>（签字、盖章）</w:t>
            </w:r>
          </w:p>
        </w:tc>
        <w:tc>
          <w:tcPr>
            <w:tcW w:w="2340" w:type="dxa"/>
            <w:gridSpan w:val="5"/>
            <w:tcBorders>
              <w:top w:val="single" w:color="auto" w:sz="4" w:space="0"/>
              <w:left w:val="single" w:color="auto" w:sz="4" w:space="0"/>
              <w:bottom w:val="single" w:color="auto" w:sz="4" w:space="0"/>
              <w:right w:val="single" w:color="auto" w:sz="4" w:space="0"/>
            </w:tcBorders>
            <w:vAlign w:val="center"/>
          </w:tcPr>
          <w:p w14:paraId="35D25CB3">
            <w:pPr>
              <w:adjustRightInd w:val="0"/>
              <w:snapToGrid w:val="0"/>
              <w:ind w:firstLine="1260" w:firstLineChars="600"/>
              <w:rPr>
                <w:rFonts w:ascii="仿宋_GB2312" w:eastAsia="仿宋_GB2312"/>
                <w:bCs/>
                <w:szCs w:val="21"/>
              </w:rPr>
            </w:pPr>
          </w:p>
        </w:tc>
      </w:tr>
      <w:tr w14:paraId="2BDC4F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55" w:hRule="atLeast"/>
        </w:trPr>
        <w:tc>
          <w:tcPr>
            <w:tcW w:w="1128" w:type="dxa"/>
            <w:tcBorders>
              <w:top w:val="single" w:color="auto" w:sz="4" w:space="0"/>
              <w:left w:val="single" w:color="auto" w:sz="4" w:space="0"/>
              <w:bottom w:val="single" w:color="auto" w:sz="4" w:space="0"/>
              <w:right w:val="single" w:color="auto" w:sz="4" w:space="0"/>
            </w:tcBorders>
            <w:vAlign w:val="center"/>
          </w:tcPr>
          <w:p w14:paraId="3CF8F193">
            <w:pPr>
              <w:adjustRightInd w:val="0"/>
              <w:snapToGrid w:val="0"/>
              <w:jc w:val="center"/>
              <w:rPr>
                <w:rFonts w:ascii="黑体" w:eastAsia="黑体"/>
                <w:b/>
              </w:rPr>
            </w:pPr>
            <w:r>
              <w:rPr>
                <w:rFonts w:hint="eastAsia" w:ascii="黑体" w:eastAsia="黑体"/>
                <w:b/>
              </w:rPr>
              <w:t>上交所</w:t>
            </w:r>
          </w:p>
          <w:p w14:paraId="577EB57A">
            <w:pPr>
              <w:adjustRightInd w:val="0"/>
              <w:snapToGrid w:val="0"/>
              <w:jc w:val="center"/>
              <w:rPr>
                <w:rFonts w:ascii="黑体" w:eastAsia="黑体"/>
                <w:b/>
              </w:rPr>
            </w:pPr>
            <w:r>
              <w:rPr>
                <w:rFonts w:hint="eastAsia" w:ascii="黑体" w:eastAsia="黑体"/>
                <w:b/>
              </w:rPr>
              <w:t>债券业务中心</w:t>
            </w:r>
          </w:p>
          <w:p w14:paraId="2D650BC2">
            <w:pPr>
              <w:adjustRightInd w:val="0"/>
              <w:snapToGrid w:val="0"/>
              <w:jc w:val="center"/>
              <w:rPr>
                <w:rFonts w:ascii="仿宋_GB2312" w:eastAsia="仿宋_GB2312"/>
                <w:b/>
                <w:szCs w:val="21"/>
              </w:rPr>
            </w:pPr>
            <w:r>
              <w:rPr>
                <w:rFonts w:hint="eastAsia" w:ascii="黑体" w:eastAsia="黑体"/>
                <w:b/>
              </w:rPr>
              <w:t>（盖章）</w:t>
            </w:r>
          </w:p>
        </w:tc>
        <w:tc>
          <w:tcPr>
            <w:tcW w:w="8761" w:type="dxa"/>
            <w:gridSpan w:val="14"/>
            <w:tcBorders>
              <w:top w:val="single" w:color="auto" w:sz="4" w:space="0"/>
              <w:left w:val="single" w:color="auto" w:sz="4" w:space="0"/>
              <w:bottom w:val="single" w:color="auto" w:sz="4" w:space="0"/>
            </w:tcBorders>
            <w:vAlign w:val="center"/>
          </w:tcPr>
          <w:p w14:paraId="5E184245">
            <w:pPr>
              <w:adjustRightInd w:val="0"/>
              <w:snapToGrid w:val="0"/>
              <w:ind w:firstLine="630" w:firstLineChars="300"/>
              <w:rPr>
                <w:rFonts w:ascii="仿宋_GB2312" w:eastAsia="仿宋_GB2312"/>
                <w:bCs/>
                <w:color w:val="000000"/>
                <w:szCs w:val="21"/>
              </w:rPr>
            </w:pPr>
          </w:p>
          <w:p w14:paraId="3C065DDA">
            <w:pPr>
              <w:adjustRightInd w:val="0"/>
              <w:snapToGrid w:val="0"/>
              <w:rPr>
                <w:rFonts w:ascii="仿宋_GB2312" w:eastAsia="仿宋_GB2312"/>
                <w:bCs/>
                <w:color w:val="000000"/>
                <w:szCs w:val="21"/>
              </w:rPr>
            </w:pPr>
            <w:r>
              <w:rPr>
                <w:rFonts w:hint="eastAsia" w:ascii="仿宋_GB2312" w:eastAsia="仿宋_GB2312"/>
                <w:bCs/>
                <w:color w:val="000000"/>
                <w:szCs w:val="21"/>
              </w:rPr>
              <w:t xml:space="preserve">                                                                  </w:t>
            </w:r>
          </w:p>
          <w:p w14:paraId="04790681">
            <w:pPr>
              <w:adjustRightInd w:val="0"/>
              <w:snapToGrid w:val="0"/>
              <w:rPr>
                <w:rFonts w:ascii="仿宋_GB2312" w:eastAsia="仿宋_GB2312"/>
                <w:bCs/>
                <w:color w:val="000000"/>
                <w:szCs w:val="21"/>
              </w:rPr>
            </w:pPr>
            <w:r>
              <w:rPr>
                <w:rFonts w:hint="eastAsia" w:ascii="仿宋_GB2312" w:eastAsia="仿宋_GB2312"/>
                <w:bCs/>
                <w:color w:val="000000"/>
                <w:szCs w:val="21"/>
              </w:rPr>
              <w:t xml:space="preserve">                                                                  </w:t>
            </w:r>
          </w:p>
          <w:p w14:paraId="5764EDA7">
            <w:pPr>
              <w:adjustRightInd w:val="0"/>
              <w:snapToGrid w:val="0"/>
              <w:rPr>
                <w:rFonts w:ascii="仿宋_GB2312" w:eastAsia="仿宋_GB2312"/>
                <w:bCs/>
                <w:color w:val="000000"/>
                <w:szCs w:val="21"/>
              </w:rPr>
            </w:pPr>
            <w:r>
              <w:rPr>
                <w:rFonts w:hint="eastAsia" w:ascii="仿宋_GB2312" w:eastAsia="仿宋_GB2312"/>
                <w:bCs/>
                <w:color w:val="000000"/>
                <w:szCs w:val="21"/>
              </w:rPr>
              <w:t xml:space="preserve">                                                                 年   月   日                                                            </w:t>
            </w:r>
          </w:p>
        </w:tc>
      </w:tr>
    </w:tbl>
    <w:p w14:paraId="10B4A2AB">
      <w:pPr>
        <w:adjustRightInd w:val="0"/>
        <w:snapToGrid w:val="0"/>
        <w:spacing w:line="260" w:lineRule="exact"/>
      </w:pPr>
      <w:r>
        <w:rPr>
          <w:rFonts w:hint="eastAsia" w:ascii="仿宋_GB2312" w:eastAsia="仿宋_GB2312"/>
          <w:szCs w:val="21"/>
        </w:rPr>
        <w:t>注：本表自上交所债券业务中心盖章确认之日起30日内有效。转让双方逾期未申请过户的，须由上交所重新确认。</w:t>
      </w:r>
    </w:p>
    <w:p w14:paraId="2C08711E"/>
    <w:p w14:paraId="76EF8609">
      <w:r>
        <w:br w:type="page"/>
      </w:r>
    </w:p>
    <w:p w14:paraId="61860F20">
      <w:pPr>
        <w:keepNext w:val="0"/>
        <w:keepLines w:val="0"/>
        <w:pageBreakBefore w:val="0"/>
        <w:widowControl/>
        <w:kinsoku/>
        <w:wordWrap/>
        <w:overflowPunct/>
        <w:topLinePunct w:val="0"/>
        <w:bidi w:val="0"/>
        <w:snapToGrid/>
        <w:spacing w:beforeLines="-2147483648" w:afterLines="-2147483648" w:line="240" w:lineRule="auto"/>
        <w:jc w:val="left"/>
        <w:textAlignment w:val="auto"/>
        <w:outlineLvl w:val="1"/>
        <w:rPr>
          <w:rFonts w:hint="eastAsia" w:ascii="仿宋_GB2312" w:hAnsi="黑体" w:eastAsia="仿宋_GB2312" w:cs="Times New Roman"/>
          <w:b/>
          <w:bCs w:val="0"/>
          <w:sz w:val="30"/>
          <w:szCs w:val="30"/>
          <w:lang w:val="en-US" w:eastAsia="zh-CN"/>
        </w:rPr>
      </w:pPr>
      <w:bookmarkStart w:id="4316" w:name="_Toc287333350"/>
      <w:bookmarkStart w:id="4317" w:name="_Toc2113495404"/>
      <w:bookmarkStart w:id="4318" w:name="_Toc1058651279"/>
      <w:bookmarkStart w:id="4319" w:name="_Toc1612351141"/>
      <w:r>
        <w:rPr>
          <w:rFonts w:hint="eastAsia" w:ascii="仿宋_GB2312" w:hAnsi="黑体" w:eastAsia="仿宋_GB2312" w:cs="Times New Roman"/>
          <w:b/>
          <w:bCs w:val="0"/>
          <w:sz w:val="30"/>
          <w:szCs w:val="30"/>
          <w:lang w:eastAsia="zh-CN"/>
        </w:rPr>
        <w:t>附件</w:t>
      </w:r>
      <w:r>
        <w:rPr>
          <w:rFonts w:hint="eastAsia" w:ascii="仿宋_GB2312" w:hAnsi="黑体" w:eastAsia="仿宋_GB2312" w:cs="Times New Roman"/>
          <w:b/>
          <w:bCs w:val="0"/>
          <w:sz w:val="30"/>
          <w:szCs w:val="30"/>
          <w:lang w:val="en-US" w:eastAsia="zh-CN"/>
        </w:rPr>
        <w:t>45-2 质押证券处置过户申请</w:t>
      </w:r>
      <w:bookmarkEnd w:id="4316"/>
      <w:bookmarkEnd w:id="4317"/>
      <w:bookmarkEnd w:id="4318"/>
      <w:bookmarkEnd w:id="4319"/>
    </w:p>
    <w:p w14:paraId="3C715CFB">
      <w:pPr>
        <w:keepNext w:val="0"/>
        <w:keepLines w:val="0"/>
        <w:pageBreakBefore w:val="0"/>
        <w:widowControl w:val="0"/>
        <w:kinsoku/>
        <w:wordWrap/>
        <w:overflowPunct/>
        <w:topLinePunct w:val="0"/>
        <w:bidi w:val="0"/>
        <w:snapToGrid/>
        <w:spacing w:line="560" w:lineRule="exact"/>
        <w:jc w:val="left"/>
        <w:textAlignment w:val="auto"/>
        <w:rPr>
          <w:rFonts w:hint="eastAsia" w:ascii="仿宋_GB2312" w:hAnsi="仿宋_GB2312" w:eastAsia="仿宋_GB2312" w:cs="仿宋_GB2312"/>
          <w:b/>
          <w:bCs w:val="0"/>
          <w:sz w:val="30"/>
          <w:szCs w:val="30"/>
          <w:lang w:val="en-US" w:eastAsia="zh-CN"/>
        </w:rPr>
      </w:pPr>
    </w:p>
    <w:p w14:paraId="17AD14D5">
      <w:pPr>
        <w:jc w:val="center"/>
        <w:rPr>
          <w:rFonts w:hint="eastAsia" w:ascii="方正大标宋简体" w:hAnsi="方正大标宋简体" w:eastAsia="方正大标宋简体" w:cs="方正大标宋简体"/>
          <w:b w:val="0"/>
          <w:bCs/>
          <w:sz w:val="44"/>
          <w:szCs w:val="44"/>
        </w:rPr>
      </w:pPr>
      <w:r>
        <w:rPr>
          <w:rFonts w:hint="eastAsia" w:ascii="方正大标宋简体" w:hAnsi="方正大标宋简体" w:eastAsia="方正大标宋简体" w:cs="方正大标宋简体"/>
          <w:b w:val="0"/>
          <w:bCs/>
          <w:sz w:val="44"/>
          <w:szCs w:val="44"/>
        </w:rPr>
        <w:t>质押证券处置过户申请</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992"/>
        <w:gridCol w:w="709"/>
        <w:gridCol w:w="567"/>
        <w:gridCol w:w="850"/>
        <w:gridCol w:w="426"/>
        <w:gridCol w:w="1583"/>
        <w:gridCol w:w="1218"/>
        <w:gridCol w:w="1218"/>
      </w:tblGrid>
      <w:tr w14:paraId="6ED7E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gridSpan w:val="3"/>
          </w:tcPr>
          <w:p w14:paraId="17E4D102">
            <w:pPr>
              <w:pStyle w:val="100"/>
              <w:ind w:firstLine="0"/>
              <w:jc w:val="both"/>
              <w:rPr>
                <w:rFonts w:hint="eastAsia" w:asciiTheme="minorEastAsia" w:hAnsiTheme="minorEastAsia" w:eastAsiaTheme="minorEastAsia"/>
                <w:sz w:val="23"/>
                <w:szCs w:val="23"/>
              </w:rPr>
            </w:pPr>
            <w:r>
              <w:rPr>
                <w:rFonts w:hint="eastAsia" w:asciiTheme="minorEastAsia" w:hAnsiTheme="minorEastAsia" w:eastAsiaTheme="minorEastAsia"/>
                <w:sz w:val="23"/>
                <w:szCs w:val="23"/>
              </w:rPr>
              <w:t>出质人姓名/全称</w:t>
            </w:r>
          </w:p>
          <w:p w14:paraId="71F1616F">
            <w:pPr>
              <w:ind w:firstLine="0"/>
              <w:rPr>
                <w:rFonts w:hint="eastAsia" w:asciiTheme="minorEastAsia" w:hAnsiTheme="minorEastAsia"/>
              </w:rPr>
            </w:pPr>
            <w:r>
              <w:rPr>
                <w:rFonts w:hint="eastAsia" w:asciiTheme="minorEastAsia" w:hAnsiTheme="minorEastAsia"/>
                <w:sz w:val="23"/>
                <w:szCs w:val="23"/>
              </w:rPr>
              <w:t>（过出方）</w:t>
            </w:r>
          </w:p>
        </w:tc>
        <w:tc>
          <w:tcPr>
            <w:tcW w:w="5862" w:type="dxa"/>
            <w:gridSpan w:val="6"/>
          </w:tcPr>
          <w:p w14:paraId="5C741845">
            <w:pPr>
              <w:ind w:firstLine="0"/>
              <w:rPr>
                <w:rFonts w:hint="eastAsia" w:asciiTheme="minorEastAsia" w:hAnsiTheme="minorEastAsia"/>
              </w:rPr>
            </w:pPr>
          </w:p>
        </w:tc>
      </w:tr>
      <w:tr w14:paraId="5EDF2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gridSpan w:val="3"/>
          </w:tcPr>
          <w:p w14:paraId="78F3D83A">
            <w:pPr>
              <w:pStyle w:val="100"/>
              <w:ind w:firstLine="0"/>
              <w:jc w:val="both"/>
              <w:rPr>
                <w:rFonts w:hint="eastAsia" w:asciiTheme="minorEastAsia" w:hAnsiTheme="minorEastAsia" w:eastAsiaTheme="minorEastAsia"/>
                <w:sz w:val="23"/>
                <w:szCs w:val="23"/>
              </w:rPr>
            </w:pPr>
            <w:r>
              <w:rPr>
                <w:rFonts w:hint="eastAsia" w:asciiTheme="minorEastAsia" w:hAnsiTheme="minorEastAsia" w:eastAsiaTheme="minorEastAsia"/>
                <w:sz w:val="23"/>
                <w:szCs w:val="23"/>
              </w:rPr>
              <w:t>质权人姓名/全称</w:t>
            </w:r>
          </w:p>
          <w:p w14:paraId="3A3A6ADB">
            <w:pPr>
              <w:ind w:firstLine="0"/>
              <w:rPr>
                <w:rFonts w:hint="eastAsia" w:asciiTheme="minorEastAsia" w:hAnsiTheme="minorEastAsia"/>
              </w:rPr>
            </w:pPr>
            <w:r>
              <w:rPr>
                <w:rFonts w:hint="eastAsia" w:asciiTheme="minorEastAsia" w:hAnsiTheme="minorEastAsia"/>
                <w:sz w:val="23"/>
                <w:szCs w:val="23"/>
              </w:rPr>
              <w:t>（过入方）</w:t>
            </w:r>
          </w:p>
        </w:tc>
        <w:tc>
          <w:tcPr>
            <w:tcW w:w="5862" w:type="dxa"/>
            <w:gridSpan w:val="6"/>
          </w:tcPr>
          <w:p w14:paraId="397D15F0">
            <w:pPr>
              <w:ind w:firstLine="0"/>
              <w:rPr>
                <w:rFonts w:hint="eastAsia" w:asciiTheme="minorEastAsia" w:hAnsiTheme="minorEastAsia"/>
              </w:rPr>
            </w:pPr>
          </w:p>
        </w:tc>
      </w:tr>
      <w:tr w14:paraId="346A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gridSpan w:val="3"/>
          </w:tcPr>
          <w:p w14:paraId="3BA439EE">
            <w:pPr>
              <w:pStyle w:val="100"/>
              <w:ind w:firstLine="0"/>
              <w:jc w:val="both"/>
              <w:rPr>
                <w:rFonts w:hint="eastAsia" w:asciiTheme="minorEastAsia" w:hAnsiTheme="minorEastAsia" w:eastAsiaTheme="minorEastAsia"/>
                <w:sz w:val="23"/>
                <w:szCs w:val="23"/>
              </w:rPr>
            </w:pPr>
            <w:r>
              <w:rPr>
                <w:rFonts w:hint="eastAsia" w:asciiTheme="minorEastAsia" w:hAnsiTheme="minorEastAsia" w:eastAsiaTheme="minorEastAsia"/>
                <w:sz w:val="23"/>
                <w:szCs w:val="23"/>
              </w:rPr>
              <w:t>出质人证券账户号</w:t>
            </w:r>
          </w:p>
        </w:tc>
        <w:tc>
          <w:tcPr>
            <w:tcW w:w="5862" w:type="dxa"/>
            <w:gridSpan w:val="6"/>
          </w:tcPr>
          <w:p w14:paraId="4F322591">
            <w:pPr>
              <w:ind w:firstLine="0"/>
              <w:rPr>
                <w:rFonts w:hint="eastAsia" w:asciiTheme="minorEastAsia" w:hAnsiTheme="minorEastAsia"/>
              </w:rPr>
            </w:pPr>
          </w:p>
        </w:tc>
      </w:tr>
      <w:tr w14:paraId="266D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60" w:type="dxa"/>
            <w:gridSpan w:val="3"/>
          </w:tcPr>
          <w:p w14:paraId="1FC4A1CC">
            <w:pPr>
              <w:pStyle w:val="100"/>
              <w:ind w:firstLine="0"/>
              <w:jc w:val="both"/>
              <w:rPr>
                <w:rFonts w:hint="eastAsia" w:asciiTheme="minorEastAsia" w:hAnsiTheme="minorEastAsia" w:eastAsiaTheme="minorEastAsia"/>
                <w:sz w:val="23"/>
                <w:szCs w:val="23"/>
              </w:rPr>
            </w:pPr>
            <w:r>
              <w:rPr>
                <w:rFonts w:hint="eastAsia" w:asciiTheme="minorEastAsia" w:hAnsiTheme="minorEastAsia" w:eastAsiaTheme="minorEastAsia"/>
                <w:sz w:val="23"/>
                <w:szCs w:val="23"/>
              </w:rPr>
              <w:t>质权人证券账户号</w:t>
            </w:r>
          </w:p>
        </w:tc>
        <w:tc>
          <w:tcPr>
            <w:tcW w:w="5862" w:type="dxa"/>
            <w:gridSpan w:val="6"/>
          </w:tcPr>
          <w:p w14:paraId="6807B217">
            <w:pPr>
              <w:ind w:firstLine="0"/>
              <w:rPr>
                <w:rFonts w:hint="eastAsia" w:asciiTheme="minorEastAsia" w:hAnsiTheme="minorEastAsia"/>
              </w:rPr>
            </w:pPr>
          </w:p>
        </w:tc>
      </w:tr>
      <w:tr w14:paraId="508FF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gridSpan w:val="3"/>
          </w:tcPr>
          <w:p w14:paraId="2E08F46F">
            <w:pPr>
              <w:pStyle w:val="100"/>
              <w:ind w:firstLine="0"/>
              <w:jc w:val="both"/>
              <w:rPr>
                <w:rFonts w:hint="eastAsia" w:asciiTheme="minorEastAsia" w:hAnsiTheme="minorEastAsia" w:eastAsiaTheme="minorEastAsia"/>
                <w:sz w:val="23"/>
                <w:szCs w:val="23"/>
              </w:rPr>
            </w:pPr>
            <w:r>
              <w:rPr>
                <w:rFonts w:hint="eastAsia" w:asciiTheme="minorEastAsia" w:hAnsiTheme="minorEastAsia" w:eastAsiaTheme="minorEastAsia"/>
                <w:sz w:val="23"/>
                <w:szCs w:val="23"/>
              </w:rPr>
              <w:t>质押合同编号</w:t>
            </w:r>
          </w:p>
        </w:tc>
        <w:tc>
          <w:tcPr>
            <w:tcW w:w="5862" w:type="dxa"/>
            <w:gridSpan w:val="6"/>
          </w:tcPr>
          <w:p w14:paraId="6D867BCA">
            <w:pPr>
              <w:ind w:firstLine="0"/>
              <w:rPr>
                <w:rFonts w:hint="eastAsia" w:asciiTheme="minorEastAsia" w:hAnsiTheme="minorEastAsia"/>
              </w:rPr>
            </w:pPr>
          </w:p>
        </w:tc>
      </w:tr>
      <w:tr w14:paraId="577AB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gridSpan w:val="3"/>
          </w:tcPr>
          <w:p w14:paraId="3D59F66F">
            <w:pPr>
              <w:pStyle w:val="100"/>
              <w:ind w:firstLine="0"/>
              <w:jc w:val="both"/>
              <w:rPr>
                <w:rFonts w:hint="eastAsia" w:asciiTheme="minorEastAsia" w:hAnsiTheme="minorEastAsia" w:eastAsiaTheme="minorEastAsia"/>
                <w:sz w:val="23"/>
                <w:szCs w:val="23"/>
              </w:rPr>
            </w:pPr>
            <w:r>
              <w:rPr>
                <w:rFonts w:hint="eastAsia" w:asciiTheme="minorEastAsia" w:hAnsiTheme="minorEastAsia" w:eastAsiaTheme="minorEastAsia"/>
                <w:sz w:val="23"/>
                <w:szCs w:val="23"/>
              </w:rPr>
              <w:t>质押登记编号</w:t>
            </w:r>
          </w:p>
        </w:tc>
        <w:tc>
          <w:tcPr>
            <w:tcW w:w="5862" w:type="dxa"/>
            <w:gridSpan w:val="6"/>
          </w:tcPr>
          <w:p w14:paraId="77E4477C">
            <w:pPr>
              <w:ind w:firstLine="0"/>
              <w:rPr>
                <w:rFonts w:hint="eastAsia" w:asciiTheme="minorEastAsia" w:hAnsiTheme="minorEastAsia"/>
              </w:rPr>
            </w:pPr>
          </w:p>
        </w:tc>
      </w:tr>
      <w:tr w14:paraId="01FC4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gridSpan w:val="3"/>
          </w:tcPr>
          <w:p w14:paraId="00814657">
            <w:pPr>
              <w:pStyle w:val="100"/>
              <w:ind w:firstLine="0"/>
              <w:jc w:val="both"/>
              <w:rPr>
                <w:rFonts w:hint="eastAsia" w:asciiTheme="minorEastAsia" w:hAnsiTheme="minorEastAsia" w:eastAsiaTheme="minorEastAsia"/>
                <w:sz w:val="23"/>
                <w:szCs w:val="23"/>
              </w:rPr>
            </w:pPr>
            <w:r>
              <w:rPr>
                <w:rFonts w:hint="eastAsia" w:asciiTheme="minorEastAsia" w:hAnsiTheme="minorEastAsia" w:eastAsiaTheme="minorEastAsia"/>
                <w:sz w:val="23"/>
                <w:szCs w:val="23"/>
              </w:rPr>
              <w:t>质押证券处置协议编号</w:t>
            </w:r>
          </w:p>
        </w:tc>
        <w:tc>
          <w:tcPr>
            <w:tcW w:w="5862" w:type="dxa"/>
            <w:gridSpan w:val="6"/>
          </w:tcPr>
          <w:p w14:paraId="2FB422C4">
            <w:pPr>
              <w:ind w:firstLine="0"/>
              <w:rPr>
                <w:rFonts w:hint="eastAsia" w:asciiTheme="minorEastAsia" w:hAnsiTheme="minorEastAsia"/>
              </w:rPr>
            </w:pPr>
          </w:p>
        </w:tc>
      </w:tr>
      <w:tr w14:paraId="3DAA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gridSpan w:val="9"/>
          </w:tcPr>
          <w:p w14:paraId="68526C20">
            <w:pPr>
              <w:pStyle w:val="100"/>
              <w:ind w:firstLine="0"/>
              <w:jc w:val="center"/>
              <w:rPr>
                <w:rFonts w:hint="eastAsia" w:asciiTheme="minorEastAsia" w:hAnsiTheme="minorEastAsia" w:eastAsiaTheme="minorEastAsia"/>
                <w:b/>
                <w:sz w:val="23"/>
                <w:szCs w:val="23"/>
              </w:rPr>
            </w:pPr>
            <w:r>
              <w:rPr>
                <w:rFonts w:hint="eastAsia" w:asciiTheme="minorEastAsia" w:hAnsiTheme="minorEastAsia" w:eastAsiaTheme="minorEastAsia"/>
                <w:b/>
                <w:sz w:val="23"/>
                <w:szCs w:val="23"/>
              </w:rPr>
              <w:t>质押证券处置过户明细表</w:t>
            </w:r>
          </w:p>
        </w:tc>
      </w:tr>
      <w:tr w14:paraId="4089B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062C755">
            <w:pPr>
              <w:pStyle w:val="100"/>
              <w:ind w:firstLine="0"/>
              <w:jc w:val="both"/>
              <w:rPr>
                <w:rFonts w:hint="eastAsia" w:asciiTheme="minorEastAsia" w:hAnsiTheme="minorEastAsia" w:eastAsiaTheme="minorEastAsia"/>
                <w:sz w:val="23"/>
                <w:szCs w:val="23"/>
              </w:rPr>
            </w:pPr>
            <w:r>
              <w:rPr>
                <w:rFonts w:hint="eastAsia" w:asciiTheme="minorEastAsia" w:hAnsiTheme="minorEastAsia" w:eastAsiaTheme="minorEastAsia"/>
                <w:sz w:val="23"/>
                <w:szCs w:val="23"/>
              </w:rPr>
              <w:t>证券</w:t>
            </w:r>
          </w:p>
          <w:p w14:paraId="0498C162">
            <w:pPr>
              <w:pStyle w:val="100"/>
              <w:ind w:firstLine="0"/>
              <w:jc w:val="both"/>
              <w:rPr>
                <w:rFonts w:hint="eastAsia" w:asciiTheme="minorEastAsia" w:hAnsiTheme="minorEastAsia" w:eastAsiaTheme="minorEastAsia"/>
              </w:rPr>
            </w:pPr>
            <w:r>
              <w:rPr>
                <w:rFonts w:hint="eastAsia" w:asciiTheme="minorEastAsia" w:hAnsiTheme="minorEastAsia" w:eastAsiaTheme="minorEastAsia"/>
                <w:sz w:val="23"/>
                <w:szCs w:val="23"/>
              </w:rPr>
              <w:t xml:space="preserve">代码 </w:t>
            </w:r>
          </w:p>
        </w:tc>
        <w:tc>
          <w:tcPr>
            <w:tcW w:w="992" w:type="dxa"/>
          </w:tcPr>
          <w:p w14:paraId="017D76DA">
            <w:pPr>
              <w:pStyle w:val="100"/>
              <w:ind w:firstLine="0"/>
              <w:jc w:val="both"/>
              <w:rPr>
                <w:rFonts w:hint="eastAsia" w:asciiTheme="minorEastAsia" w:hAnsiTheme="minorEastAsia" w:eastAsiaTheme="minorEastAsia"/>
                <w:sz w:val="23"/>
                <w:szCs w:val="23"/>
              </w:rPr>
            </w:pPr>
            <w:r>
              <w:rPr>
                <w:rFonts w:hint="eastAsia" w:asciiTheme="minorEastAsia" w:hAnsiTheme="minorEastAsia" w:eastAsiaTheme="minorEastAsia"/>
                <w:sz w:val="23"/>
                <w:szCs w:val="23"/>
              </w:rPr>
              <w:t>证券</w:t>
            </w:r>
          </w:p>
          <w:p w14:paraId="1BDC853D">
            <w:pPr>
              <w:ind w:firstLine="0"/>
              <w:rPr>
                <w:rFonts w:hint="eastAsia" w:asciiTheme="minorEastAsia" w:hAnsiTheme="minorEastAsia"/>
              </w:rPr>
            </w:pPr>
            <w:r>
              <w:rPr>
                <w:rFonts w:hint="eastAsia" w:asciiTheme="minorEastAsia" w:hAnsiTheme="minorEastAsia"/>
                <w:sz w:val="23"/>
                <w:szCs w:val="23"/>
              </w:rPr>
              <w:t>简称</w:t>
            </w:r>
          </w:p>
        </w:tc>
        <w:tc>
          <w:tcPr>
            <w:tcW w:w="1276" w:type="dxa"/>
            <w:gridSpan w:val="2"/>
          </w:tcPr>
          <w:p w14:paraId="4B4CCB51">
            <w:pPr>
              <w:pStyle w:val="100"/>
              <w:ind w:firstLine="0"/>
              <w:jc w:val="both"/>
              <w:rPr>
                <w:rFonts w:hint="eastAsia" w:asciiTheme="minorEastAsia" w:hAnsiTheme="minorEastAsia" w:eastAsiaTheme="minorEastAsia"/>
                <w:sz w:val="23"/>
                <w:szCs w:val="23"/>
              </w:rPr>
            </w:pPr>
            <w:r>
              <w:rPr>
                <w:rFonts w:hint="eastAsia" w:asciiTheme="minorEastAsia" w:hAnsiTheme="minorEastAsia" w:eastAsiaTheme="minorEastAsia"/>
                <w:sz w:val="23"/>
                <w:szCs w:val="23"/>
              </w:rPr>
              <w:t xml:space="preserve">出质人交易单元 </w:t>
            </w:r>
          </w:p>
          <w:p w14:paraId="3246F894">
            <w:pPr>
              <w:ind w:firstLine="0"/>
              <w:rPr>
                <w:rFonts w:hint="eastAsia" w:asciiTheme="minorEastAsia" w:hAnsiTheme="minorEastAsia"/>
              </w:rPr>
            </w:pPr>
            <w:r>
              <w:rPr>
                <w:rFonts w:hint="eastAsia" w:asciiTheme="minorEastAsia" w:hAnsiTheme="minorEastAsia"/>
                <w:sz w:val="23"/>
                <w:szCs w:val="23"/>
              </w:rPr>
              <w:t xml:space="preserve">（托管单元） </w:t>
            </w:r>
          </w:p>
        </w:tc>
        <w:tc>
          <w:tcPr>
            <w:tcW w:w="1276" w:type="dxa"/>
            <w:gridSpan w:val="2"/>
          </w:tcPr>
          <w:p w14:paraId="28A21B68">
            <w:pPr>
              <w:pStyle w:val="100"/>
              <w:ind w:firstLine="0"/>
              <w:jc w:val="both"/>
              <w:rPr>
                <w:rFonts w:hint="eastAsia" w:asciiTheme="minorEastAsia" w:hAnsiTheme="minorEastAsia" w:eastAsiaTheme="minorEastAsia"/>
                <w:sz w:val="23"/>
                <w:szCs w:val="23"/>
              </w:rPr>
            </w:pPr>
            <w:r>
              <w:rPr>
                <w:rFonts w:hint="eastAsia" w:asciiTheme="minorEastAsia" w:hAnsiTheme="minorEastAsia" w:eastAsiaTheme="minorEastAsia"/>
                <w:sz w:val="23"/>
                <w:szCs w:val="23"/>
              </w:rPr>
              <w:t xml:space="preserve">质权人交易单元 </w:t>
            </w:r>
          </w:p>
          <w:p w14:paraId="47212760">
            <w:pPr>
              <w:ind w:firstLine="0"/>
              <w:rPr>
                <w:rFonts w:hint="eastAsia" w:asciiTheme="minorEastAsia" w:hAnsiTheme="minorEastAsia"/>
              </w:rPr>
            </w:pPr>
            <w:r>
              <w:rPr>
                <w:rFonts w:hint="eastAsia" w:asciiTheme="minorEastAsia" w:hAnsiTheme="minorEastAsia"/>
                <w:sz w:val="23"/>
                <w:szCs w:val="23"/>
              </w:rPr>
              <w:t xml:space="preserve">（托管单元） </w:t>
            </w:r>
          </w:p>
        </w:tc>
        <w:tc>
          <w:tcPr>
            <w:tcW w:w="1583" w:type="dxa"/>
          </w:tcPr>
          <w:p w14:paraId="3155D939">
            <w:pPr>
              <w:pStyle w:val="100"/>
              <w:ind w:firstLine="0"/>
              <w:jc w:val="both"/>
              <w:rPr>
                <w:rFonts w:hint="eastAsia" w:asciiTheme="minorEastAsia" w:hAnsiTheme="minorEastAsia" w:eastAsiaTheme="minorEastAsia"/>
                <w:sz w:val="23"/>
                <w:szCs w:val="23"/>
              </w:rPr>
            </w:pPr>
            <w:r>
              <w:rPr>
                <w:rFonts w:hint="eastAsia" w:asciiTheme="minorEastAsia" w:hAnsiTheme="minorEastAsia" w:eastAsiaTheme="minorEastAsia"/>
                <w:sz w:val="23"/>
                <w:szCs w:val="23"/>
              </w:rPr>
              <w:t>过户质押</w:t>
            </w:r>
          </w:p>
          <w:p w14:paraId="75C3042A">
            <w:pPr>
              <w:pStyle w:val="100"/>
              <w:ind w:firstLine="0"/>
              <w:jc w:val="both"/>
              <w:rPr>
                <w:rFonts w:hint="eastAsia" w:asciiTheme="minorEastAsia" w:hAnsiTheme="minorEastAsia" w:eastAsiaTheme="minorEastAsia"/>
                <w:sz w:val="23"/>
                <w:szCs w:val="23"/>
              </w:rPr>
            </w:pPr>
            <w:r>
              <w:rPr>
                <w:rFonts w:hint="eastAsia" w:asciiTheme="minorEastAsia" w:hAnsiTheme="minorEastAsia" w:eastAsiaTheme="minorEastAsia"/>
                <w:sz w:val="23"/>
                <w:szCs w:val="23"/>
              </w:rPr>
              <w:t>证券数量</w:t>
            </w:r>
          </w:p>
          <w:p w14:paraId="4DC9D062">
            <w:pPr>
              <w:ind w:firstLine="0"/>
              <w:rPr>
                <w:rFonts w:hint="eastAsia" w:asciiTheme="minorEastAsia" w:hAnsiTheme="minorEastAsia"/>
              </w:rPr>
            </w:pPr>
            <w:r>
              <w:rPr>
                <w:rFonts w:hint="eastAsia" w:asciiTheme="minorEastAsia" w:hAnsiTheme="minorEastAsia"/>
                <w:sz w:val="23"/>
                <w:szCs w:val="23"/>
              </w:rPr>
              <w:t>（元）</w:t>
            </w:r>
          </w:p>
        </w:tc>
        <w:tc>
          <w:tcPr>
            <w:tcW w:w="1218" w:type="dxa"/>
          </w:tcPr>
          <w:p w14:paraId="4C15236B">
            <w:pPr>
              <w:pStyle w:val="100"/>
              <w:ind w:firstLine="0"/>
              <w:jc w:val="both"/>
              <w:rPr>
                <w:rFonts w:hint="eastAsia" w:asciiTheme="minorEastAsia" w:hAnsiTheme="minorEastAsia" w:eastAsiaTheme="minorEastAsia"/>
                <w:sz w:val="23"/>
                <w:szCs w:val="23"/>
              </w:rPr>
            </w:pPr>
            <w:r>
              <w:rPr>
                <w:rFonts w:hint="eastAsia" w:asciiTheme="minorEastAsia" w:hAnsiTheme="minorEastAsia" w:eastAsiaTheme="minorEastAsia"/>
                <w:sz w:val="23"/>
                <w:szCs w:val="23"/>
              </w:rPr>
              <w:t>处置单价</w:t>
            </w:r>
          </w:p>
        </w:tc>
        <w:tc>
          <w:tcPr>
            <w:tcW w:w="1218" w:type="dxa"/>
          </w:tcPr>
          <w:p w14:paraId="2090B0B2">
            <w:pPr>
              <w:pStyle w:val="100"/>
              <w:ind w:firstLine="0"/>
              <w:jc w:val="both"/>
              <w:rPr>
                <w:rFonts w:hint="eastAsia" w:asciiTheme="minorEastAsia" w:hAnsiTheme="minorEastAsia" w:eastAsiaTheme="minorEastAsia"/>
                <w:sz w:val="23"/>
                <w:szCs w:val="23"/>
              </w:rPr>
            </w:pPr>
            <w:r>
              <w:rPr>
                <w:rFonts w:hint="eastAsia" w:asciiTheme="minorEastAsia" w:hAnsiTheme="minorEastAsia" w:eastAsiaTheme="minorEastAsia"/>
                <w:sz w:val="23"/>
                <w:szCs w:val="23"/>
              </w:rPr>
              <w:t>处置总价</w:t>
            </w:r>
          </w:p>
        </w:tc>
      </w:tr>
      <w:tr w14:paraId="09C52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778AF45">
            <w:pPr>
              <w:ind w:firstLine="0"/>
              <w:rPr>
                <w:rFonts w:hint="eastAsia" w:asciiTheme="minorEastAsia" w:hAnsiTheme="minorEastAsia"/>
              </w:rPr>
            </w:pPr>
          </w:p>
        </w:tc>
        <w:tc>
          <w:tcPr>
            <w:tcW w:w="992" w:type="dxa"/>
          </w:tcPr>
          <w:p w14:paraId="7D4E9CD6">
            <w:pPr>
              <w:ind w:firstLine="0"/>
              <w:rPr>
                <w:rFonts w:hint="eastAsia" w:asciiTheme="minorEastAsia" w:hAnsiTheme="minorEastAsia"/>
              </w:rPr>
            </w:pPr>
          </w:p>
        </w:tc>
        <w:tc>
          <w:tcPr>
            <w:tcW w:w="1276" w:type="dxa"/>
            <w:gridSpan w:val="2"/>
          </w:tcPr>
          <w:p w14:paraId="657BF19A">
            <w:pPr>
              <w:ind w:firstLine="0"/>
              <w:rPr>
                <w:rFonts w:hint="eastAsia" w:asciiTheme="minorEastAsia" w:hAnsiTheme="minorEastAsia"/>
              </w:rPr>
            </w:pPr>
          </w:p>
        </w:tc>
        <w:tc>
          <w:tcPr>
            <w:tcW w:w="1276" w:type="dxa"/>
            <w:gridSpan w:val="2"/>
          </w:tcPr>
          <w:p w14:paraId="66B2B4F7">
            <w:pPr>
              <w:ind w:firstLine="0"/>
              <w:rPr>
                <w:rFonts w:hint="eastAsia" w:asciiTheme="minorEastAsia" w:hAnsiTheme="minorEastAsia"/>
              </w:rPr>
            </w:pPr>
          </w:p>
        </w:tc>
        <w:tc>
          <w:tcPr>
            <w:tcW w:w="1583" w:type="dxa"/>
          </w:tcPr>
          <w:p w14:paraId="30D908C9">
            <w:pPr>
              <w:ind w:firstLine="0"/>
              <w:rPr>
                <w:rFonts w:hint="eastAsia" w:asciiTheme="minorEastAsia" w:hAnsiTheme="minorEastAsia"/>
              </w:rPr>
            </w:pPr>
          </w:p>
        </w:tc>
        <w:tc>
          <w:tcPr>
            <w:tcW w:w="1218" w:type="dxa"/>
          </w:tcPr>
          <w:p w14:paraId="4E633BC9">
            <w:pPr>
              <w:ind w:firstLine="0"/>
              <w:rPr>
                <w:rFonts w:hint="eastAsia" w:asciiTheme="minorEastAsia" w:hAnsiTheme="minorEastAsia"/>
              </w:rPr>
            </w:pPr>
          </w:p>
        </w:tc>
        <w:tc>
          <w:tcPr>
            <w:tcW w:w="1218" w:type="dxa"/>
          </w:tcPr>
          <w:p w14:paraId="71F82642">
            <w:pPr>
              <w:ind w:firstLine="0"/>
              <w:rPr>
                <w:rFonts w:hint="eastAsia" w:asciiTheme="minorEastAsia" w:hAnsiTheme="minorEastAsia"/>
              </w:rPr>
            </w:pPr>
          </w:p>
        </w:tc>
      </w:tr>
      <w:tr w14:paraId="2091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E858D7E">
            <w:pPr>
              <w:ind w:firstLine="0"/>
              <w:rPr>
                <w:rFonts w:hint="eastAsia" w:asciiTheme="minorEastAsia" w:hAnsiTheme="minorEastAsia"/>
              </w:rPr>
            </w:pPr>
          </w:p>
        </w:tc>
        <w:tc>
          <w:tcPr>
            <w:tcW w:w="992" w:type="dxa"/>
          </w:tcPr>
          <w:p w14:paraId="31AD912C">
            <w:pPr>
              <w:ind w:firstLine="0"/>
              <w:rPr>
                <w:rFonts w:hint="eastAsia" w:asciiTheme="minorEastAsia" w:hAnsiTheme="minorEastAsia"/>
              </w:rPr>
            </w:pPr>
          </w:p>
        </w:tc>
        <w:tc>
          <w:tcPr>
            <w:tcW w:w="1276" w:type="dxa"/>
            <w:gridSpan w:val="2"/>
          </w:tcPr>
          <w:p w14:paraId="11CD6978">
            <w:pPr>
              <w:ind w:firstLine="0"/>
              <w:rPr>
                <w:rFonts w:hint="eastAsia" w:asciiTheme="minorEastAsia" w:hAnsiTheme="minorEastAsia"/>
              </w:rPr>
            </w:pPr>
          </w:p>
        </w:tc>
        <w:tc>
          <w:tcPr>
            <w:tcW w:w="1276" w:type="dxa"/>
            <w:gridSpan w:val="2"/>
          </w:tcPr>
          <w:p w14:paraId="3C6CB875">
            <w:pPr>
              <w:ind w:firstLine="0"/>
              <w:rPr>
                <w:rFonts w:hint="eastAsia" w:asciiTheme="minorEastAsia" w:hAnsiTheme="minorEastAsia"/>
              </w:rPr>
            </w:pPr>
          </w:p>
        </w:tc>
        <w:tc>
          <w:tcPr>
            <w:tcW w:w="1583" w:type="dxa"/>
          </w:tcPr>
          <w:p w14:paraId="65D6AF0F">
            <w:pPr>
              <w:ind w:firstLine="0"/>
              <w:rPr>
                <w:rFonts w:hint="eastAsia" w:asciiTheme="minorEastAsia" w:hAnsiTheme="minorEastAsia"/>
              </w:rPr>
            </w:pPr>
          </w:p>
        </w:tc>
        <w:tc>
          <w:tcPr>
            <w:tcW w:w="1218" w:type="dxa"/>
          </w:tcPr>
          <w:p w14:paraId="4ECE959E">
            <w:pPr>
              <w:ind w:firstLine="0"/>
              <w:rPr>
                <w:rFonts w:hint="eastAsia" w:asciiTheme="minorEastAsia" w:hAnsiTheme="minorEastAsia"/>
              </w:rPr>
            </w:pPr>
          </w:p>
        </w:tc>
        <w:tc>
          <w:tcPr>
            <w:tcW w:w="1218" w:type="dxa"/>
          </w:tcPr>
          <w:p w14:paraId="2E39EF38">
            <w:pPr>
              <w:ind w:firstLine="0"/>
              <w:rPr>
                <w:rFonts w:hint="eastAsia" w:asciiTheme="minorEastAsia" w:hAnsiTheme="minorEastAsia"/>
              </w:rPr>
            </w:pPr>
          </w:p>
        </w:tc>
      </w:tr>
      <w:tr w14:paraId="471E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gridSpan w:val="9"/>
          </w:tcPr>
          <w:p w14:paraId="04918A40">
            <w:pPr>
              <w:pStyle w:val="100"/>
              <w:ind w:firstLine="0"/>
              <w:jc w:val="center"/>
              <w:rPr>
                <w:rFonts w:hint="eastAsia" w:asciiTheme="minorEastAsia" w:hAnsiTheme="minorEastAsia" w:eastAsiaTheme="minorEastAsia"/>
                <w:b/>
                <w:sz w:val="23"/>
                <w:szCs w:val="23"/>
              </w:rPr>
            </w:pPr>
            <w:r>
              <w:rPr>
                <w:rFonts w:hint="eastAsia" w:asciiTheme="minorEastAsia" w:hAnsiTheme="minorEastAsia" w:eastAsiaTheme="minorEastAsia"/>
                <w:b/>
                <w:sz w:val="23"/>
                <w:szCs w:val="23"/>
              </w:rPr>
              <w:t>终止回购明细表</w:t>
            </w:r>
          </w:p>
          <w:p w14:paraId="6BBBA753">
            <w:pPr>
              <w:ind w:firstLine="0"/>
              <w:jc w:val="center"/>
              <w:rPr>
                <w:rFonts w:hint="eastAsia" w:asciiTheme="minorEastAsia" w:hAnsiTheme="minorEastAsia"/>
              </w:rPr>
            </w:pPr>
            <w:r>
              <w:rPr>
                <w:rFonts w:hint="eastAsia" w:asciiTheme="minorEastAsia" w:hAnsiTheme="minorEastAsia"/>
                <w:sz w:val="23"/>
                <w:szCs w:val="23"/>
              </w:rPr>
              <w:t>（通过上交所申报解除质押的，无须填写）</w:t>
            </w:r>
          </w:p>
        </w:tc>
      </w:tr>
      <w:tr w14:paraId="239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8E3EE85">
            <w:pPr>
              <w:pStyle w:val="100"/>
              <w:ind w:firstLine="0"/>
              <w:jc w:val="both"/>
              <w:rPr>
                <w:rFonts w:hint="eastAsia" w:asciiTheme="minorEastAsia" w:hAnsiTheme="minorEastAsia" w:eastAsiaTheme="minorEastAsia"/>
                <w:sz w:val="23"/>
                <w:szCs w:val="23"/>
              </w:rPr>
            </w:pPr>
            <w:r>
              <w:rPr>
                <w:rFonts w:hint="eastAsia" w:asciiTheme="minorEastAsia" w:hAnsiTheme="minorEastAsia" w:eastAsiaTheme="minorEastAsia"/>
                <w:sz w:val="23"/>
                <w:szCs w:val="23"/>
              </w:rPr>
              <w:t xml:space="preserve">成交 </w:t>
            </w:r>
          </w:p>
          <w:p w14:paraId="4F997341">
            <w:pPr>
              <w:ind w:firstLine="0"/>
              <w:rPr>
                <w:rFonts w:hint="eastAsia" w:asciiTheme="minorEastAsia" w:hAnsiTheme="minorEastAsia"/>
              </w:rPr>
            </w:pPr>
            <w:r>
              <w:rPr>
                <w:rFonts w:hint="eastAsia" w:asciiTheme="minorEastAsia" w:hAnsiTheme="minorEastAsia"/>
                <w:sz w:val="23"/>
                <w:szCs w:val="23"/>
              </w:rPr>
              <w:t xml:space="preserve">日期 </w:t>
            </w:r>
          </w:p>
        </w:tc>
        <w:tc>
          <w:tcPr>
            <w:tcW w:w="992" w:type="dxa"/>
          </w:tcPr>
          <w:p w14:paraId="2FFF27B8">
            <w:pPr>
              <w:pStyle w:val="100"/>
              <w:ind w:firstLine="0"/>
              <w:jc w:val="both"/>
              <w:rPr>
                <w:rFonts w:hint="eastAsia" w:asciiTheme="minorEastAsia" w:hAnsiTheme="minorEastAsia" w:eastAsiaTheme="minorEastAsia"/>
                <w:sz w:val="23"/>
                <w:szCs w:val="23"/>
              </w:rPr>
            </w:pPr>
            <w:r>
              <w:rPr>
                <w:rFonts w:hint="eastAsia" w:asciiTheme="minorEastAsia" w:hAnsiTheme="minorEastAsia" w:eastAsiaTheme="minorEastAsia"/>
                <w:sz w:val="23"/>
                <w:szCs w:val="23"/>
              </w:rPr>
              <w:t xml:space="preserve">成交 </w:t>
            </w:r>
          </w:p>
          <w:p w14:paraId="4C43B304">
            <w:pPr>
              <w:ind w:firstLine="0"/>
              <w:rPr>
                <w:rFonts w:hint="eastAsia" w:asciiTheme="minorEastAsia" w:hAnsiTheme="minorEastAsia"/>
              </w:rPr>
            </w:pPr>
            <w:r>
              <w:rPr>
                <w:rFonts w:hint="eastAsia" w:asciiTheme="minorEastAsia" w:hAnsiTheme="minorEastAsia"/>
                <w:sz w:val="23"/>
                <w:szCs w:val="23"/>
              </w:rPr>
              <w:t xml:space="preserve">编号 </w:t>
            </w:r>
          </w:p>
        </w:tc>
        <w:tc>
          <w:tcPr>
            <w:tcW w:w="1276" w:type="dxa"/>
            <w:gridSpan w:val="2"/>
          </w:tcPr>
          <w:p w14:paraId="0BCAEFBD">
            <w:pPr>
              <w:pStyle w:val="100"/>
              <w:ind w:firstLine="0"/>
              <w:jc w:val="both"/>
              <w:rPr>
                <w:rFonts w:hint="eastAsia" w:asciiTheme="minorEastAsia" w:hAnsiTheme="minorEastAsia" w:eastAsiaTheme="minorEastAsia"/>
                <w:sz w:val="23"/>
                <w:szCs w:val="23"/>
              </w:rPr>
            </w:pPr>
            <w:r>
              <w:rPr>
                <w:rFonts w:hint="eastAsia" w:asciiTheme="minorEastAsia" w:hAnsiTheme="minorEastAsia" w:eastAsiaTheme="minorEastAsia"/>
                <w:sz w:val="23"/>
                <w:szCs w:val="23"/>
              </w:rPr>
              <w:t>业务类型</w:t>
            </w:r>
          </w:p>
        </w:tc>
        <w:tc>
          <w:tcPr>
            <w:tcW w:w="1276" w:type="dxa"/>
            <w:gridSpan w:val="2"/>
          </w:tcPr>
          <w:p w14:paraId="2415940B">
            <w:pPr>
              <w:pStyle w:val="100"/>
              <w:ind w:firstLine="0"/>
              <w:jc w:val="both"/>
              <w:rPr>
                <w:rFonts w:hint="eastAsia" w:asciiTheme="minorEastAsia" w:hAnsiTheme="minorEastAsia" w:eastAsiaTheme="minorEastAsia"/>
                <w:sz w:val="23"/>
                <w:szCs w:val="23"/>
              </w:rPr>
            </w:pPr>
            <w:r>
              <w:rPr>
                <w:rFonts w:hint="eastAsia" w:asciiTheme="minorEastAsia" w:hAnsiTheme="minorEastAsia" w:eastAsiaTheme="minorEastAsia"/>
                <w:sz w:val="23"/>
                <w:szCs w:val="23"/>
              </w:rPr>
              <w:t xml:space="preserve">买方证券账号 </w:t>
            </w:r>
          </w:p>
        </w:tc>
        <w:tc>
          <w:tcPr>
            <w:tcW w:w="1583" w:type="dxa"/>
          </w:tcPr>
          <w:p w14:paraId="5174CEAD">
            <w:pPr>
              <w:pStyle w:val="100"/>
              <w:ind w:firstLine="0"/>
              <w:jc w:val="both"/>
              <w:rPr>
                <w:rFonts w:hint="eastAsia" w:asciiTheme="minorEastAsia" w:hAnsiTheme="minorEastAsia" w:eastAsiaTheme="minorEastAsia"/>
                <w:sz w:val="23"/>
                <w:szCs w:val="23"/>
              </w:rPr>
            </w:pPr>
            <w:r>
              <w:rPr>
                <w:rFonts w:hint="eastAsia" w:asciiTheme="minorEastAsia" w:hAnsiTheme="minorEastAsia" w:eastAsiaTheme="minorEastAsia"/>
                <w:sz w:val="23"/>
                <w:szCs w:val="23"/>
              </w:rPr>
              <w:t>卖方证券账号</w:t>
            </w:r>
          </w:p>
        </w:tc>
        <w:tc>
          <w:tcPr>
            <w:tcW w:w="1218" w:type="dxa"/>
          </w:tcPr>
          <w:p w14:paraId="4EA6A1C1">
            <w:pPr>
              <w:pStyle w:val="100"/>
              <w:ind w:firstLine="0"/>
              <w:jc w:val="both"/>
              <w:rPr>
                <w:rFonts w:hint="eastAsia" w:asciiTheme="minorEastAsia" w:hAnsiTheme="minorEastAsia" w:eastAsiaTheme="minorEastAsia"/>
                <w:sz w:val="23"/>
                <w:szCs w:val="23"/>
              </w:rPr>
            </w:pPr>
            <w:r>
              <w:rPr>
                <w:rFonts w:hint="eastAsia" w:asciiTheme="minorEastAsia" w:hAnsiTheme="minorEastAsia" w:eastAsiaTheme="minorEastAsia"/>
                <w:sz w:val="23"/>
                <w:szCs w:val="23"/>
              </w:rPr>
              <w:t>托管代码</w:t>
            </w:r>
          </w:p>
        </w:tc>
        <w:tc>
          <w:tcPr>
            <w:tcW w:w="1218" w:type="dxa"/>
          </w:tcPr>
          <w:p w14:paraId="1CD7D617">
            <w:pPr>
              <w:pStyle w:val="100"/>
              <w:ind w:firstLine="0"/>
              <w:jc w:val="both"/>
              <w:rPr>
                <w:rFonts w:hint="eastAsia" w:asciiTheme="minorEastAsia" w:hAnsiTheme="minorEastAsia" w:eastAsiaTheme="minorEastAsia"/>
                <w:sz w:val="23"/>
                <w:szCs w:val="23"/>
              </w:rPr>
            </w:pPr>
            <w:r>
              <w:rPr>
                <w:rFonts w:hint="eastAsia" w:asciiTheme="minorEastAsia" w:hAnsiTheme="minorEastAsia" w:eastAsiaTheme="minorEastAsia"/>
                <w:sz w:val="23"/>
                <w:szCs w:val="23"/>
              </w:rPr>
              <w:t>成交数量</w:t>
            </w:r>
          </w:p>
          <w:p w14:paraId="7AB85339">
            <w:pPr>
              <w:ind w:firstLine="0"/>
              <w:rPr>
                <w:rFonts w:hint="eastAsia" w:asciiTheme="minorEastAsia" w:hAnsiTheme="minorEastAsia"/>
              </w:rPr>
            </w:pPr>
            <w:r>
              <w:rPr>
                <w:rFonts w:hint="eastAsia" w:asciiTheme="minorEastAsia" w:hAnsiTheme="minorEastAsia"/>
                <w:sz w:val="23"/>
                <w:szCs w:val="23"/>
              </w:rPr>
              <w:t>（元）</w:t>
            </w:r>
          </w:p>
        </w:tc>
      </w:tr>
      <w:tr w14:paraId="3FCA9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56B2571">
            <w:pPr>
              <w:ind w:firstLine="0"/>
              <w:rPr>
                <w:rFonts w:hint="eastAsia" w:asciiTheme="minorEastAsia" w:hAnsiTheme="minorEastAsia"/>
              </w:rPr>
            </w:pPr>
          </w:p>
        </w:tc>
        <w:tc>
          <w:tcPr>
            <w:tcW w:w="992" w:type="dxa"/>
          </w:tcPr>
          <w:p w14:paraId="559F88E8">
            <w:pPr>
              <w:ind w:firstLine="0"/>
              <w:rPr>
                <w:rFonts w:hint="eastAsia" w:asciiTheme="minorEastAsia" w:hAnsiTheme="minorEastAsia"/>
              </w:rPr>
            </w:pPr>
          </w:p>
        </w:tc>
        <w:tc>
          <w:tcPr>
            <w:tcW w:w="1276" w:type="dxa"/>
            <w:gridSpan w:val="2"/>
          </w:tcPr>
          <w:p w14:paraId="5F766D89">
            <w:pPr>
              <w:ind w:firstLine="0"/>
              <w:rPr>
                <w:rFonts w:hint="eastAsia" w:asciiTheme="minorEastAsia" w:hAnsiTheme="minorEastAsia"/>
              </w:rPr>
            </w:pPr>
          </w:p>
        </w:tc>
        <w:tc>
          <w:tcPr>
            <w:tcW w:w="1276" w:type="dxa"/>
            <w:gridSpan w:val="2"/>
          </w:tcPr>
          <w:p w14:paraId="4143E47D">
            <w:pPr>
              <w:ind w:firstLine="0"/>
              <w:rPr>
                <w:rFonts w:hint="eastAsia" w:asciiTheme="minorEastAsia" w:hAnsiTheme="minorEastAsia"/>
              </w:rPr>
            </w:pPr>
          </w:p>
        </w:tc>
        <w:tc>
          <w:tcPr>
            <w:tcW w:w="1583" w:type="dxa"/>
          </w:tcPr>
          <w:p w14:paraId="74768116">
            <w:pPr>
              <w:ind w:firstLine="0"/>
              <w:rPr>
                <w:rFonts w:hint="eastAsia" w:asciiTheme="minorEastAsia" w:hAnsiTheme="minorEastAsia"/>
              </w:rPr>
            </w:pPr>
          </w:p>
        </w:tc>
        <w:tc>
          <w:tcPr>
            <w:tcW w:w="1218" w:type="dxa"/>
          </w:tcPr>
          <w:p w14:paraId="334BF07B">
            <w:pPr>
              <w:ind w:firstLine="0"/>
              <w:rPr>
                <w:rFonts w:hint="eastAsia" w:asciiTheme="minorEastAsia" w:hAnsiTheme="minorEastAsia"/>
              </w:rPr>
            </w:pPr>
          </w:p>
        </w:tc>
        <w:tc>
          <w:tcPr>
            <w:tcW w:w="1218" w:type="dxa"/>
          </w:tcPr>
          <w:p w14:paraId="140BFDB1">
            <w:pPr>
              <w:ind w:firstLine="0"/>
              <w:rPr>
                <w:rFonts w:hint="eastAsia" w:asciiTheme="minorEastAsia" w:hAnsiTheme="minorEastAsia"/>
              </w:rPr>
            </w:pPr>
          </w:p>
        </w:tc>
      </w:tr>
      <w:tr w14:paraId="549E9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bottom w:val="single" w:color="auto" w:sz="4" w:space="0"/>
            </w:tcBorders>
          </w:tcPr>
          <w:p w14:paraId="2ADD412A">
            <w:pPr>
              <w:ind w:firstLine="0"/>
              <w:rPr>
                <w:rFonts w:hint="eastAsia" w:asciiTheme="minorEastAsia" w:hAnsiTheme="minorEastAsia"/>
              </w:rPr>
            </w:pPr>
          </w:p>
        </w:tc>
        <w:tc>
          <w:tcPr>
            <w:tcW w:w="992" w:type="dxa"/>
            <w:tcBorders>
              <w:bottom w:val="single" w:color="auto" w:sz="4" w:space="0"/>
            </w:tcBorders>
          </w:tcPr>
          <w:p w14:paraId="5C9C185B">
            <w:pPr>
              <w:ind w:firstLine="0"/>
              <w:rPr>
                <w:rFonts w:hint="eastAsia" w:asciiTheme="minorEastAsia" w:hAnsiTheme="minorEastAsia"/>
              </w:rPr>
            </w:pPr>
          </w:p>
        </w:tc>
        <w:tc>
          <w:tcPr>
            <w:tcW w:w="1276" w:type="dxa"/>
            <w:gridSpan w:val="2"/>
            <w:tcBorders>
              <w:bottom w:val="single" w:color="auto" w:sz="4" w:space="0"/>
            </w:tcBorders>
          </w:tcPr>
          <w:p w14:paraId="34AA06B6">
            <w:pPr>
              <w:ind w:firstLine="0"/>
              <w:rPr>
                <w:rFonts w:hint="eastAsia" w:asciiTheme="minorEastAsia" w:hAnsiTheme="minorEastAsia"/>
              </w:rPr>
            </w:pPr>
          </w:p>
        </w:tc>
        <w:tc>
          <w:tcPr>
            <w:tcW w:w="1276" w:type="dxa"/>
            <w:gridSpan w:val="2"/>
            <w:tcBorders>
              <w:bottom w:val="single" w:color="auto" w:sz="4" w:space="0"/>
            </w:tcBorders>
          </w:tcPr>
          <w:p w14:paraId="27B2EAE9">
            <w:pPr>
              <w:ind w:firstLine="0"/>
              <w:rPr>
                <w:rFonts w:hint="eastAsia" w:asciiTheme="minorEastAsia" w:hAnsiTheme="minorEastAsia"/>
              </w:rPr>
            </w:pPr>
          </w:p>
        </w:tc>
        <w:tc>
          <w:tcPr>
            <w:tcW w:w="1583" w:type="dxa"/>
            <w:tcBorders>
              <w:bottom w:val="single" w:color="auto" w:sz="4" w:space="0"/>
            </w:tcBorders>
          </w:tcPr>
          <w:p w14:paraId="4094082D">
            <w:pPr>
              <w:ind w:firstLine="0"/>
              <w:rPr>
                <w:rFonts w:hint="eastAsia" w:asciiTheme="minorEastAsia" w:hAnsiTheme="minorEastAsia"/>
              </w:rPr>
            </w:pPr>
          </w:p>
        </w:tc>
        <w:tc>
          <w:tcPr>
            <w:tcW w:w="1218" w:type="dxa"/>
            <w:tcBorders>
              <w:bottom w:val="single" w:color="auto" w:sz="4" w:space="0"/>
            </w:tcBorders>
          </w:tcPr>
          <w:p w14:paraId="5131EAD0">
            <w:pPr>
              <w:ind w:firstLine="0"/>
              <w:rPr>
                <w:rFonts w:hint="eastAsia" w:asciiTheme="minorEastAsia" w:hAnsiTheme="minorEastAsia"/>
              </w:rPr>
            </w:pPr>
          </w:p>
        </w:tc>
        <w:tc>
          <w:tcPr>
            <w:tcW w:w="1218" w:type="dxa"/>
            <w:tcBorders>
              <w:bottom w:val="single" w:color="auto" w:sz="4" w:space="0"/>
            </w:tcBorders>
          </w:tcPr>
          <w:p w14:paraId="33106CDD">
            <w:pPr>
              <w:ind w:firstLine="0"/>
              <w:rPr>
                <w:rFonts w:hint="eastAsia" w:asciiTheme="minorEastAsia" w:hAnsiTheme="minorEastAsia"/>
              </w:rPr>
            </w:pPr>
          </w:p>
        </w:tc>
      </w:tr>
      <w:tr w14:paraId="08332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gridSpan w:val="9"/>
            <w:tcBorders>
              <w:bottom w:val="nil"/>
            </w:tcBorders>
          </w:tcPr>
          <w:p w14:paraId="316FEA9E">
            <w:pPr>
              <w:pStyle w:val="100"/>
              <w:ind w:firstLine="360"/>
              <w:jc w:val="both"/>
              <w:rPr>
                <w:rFonts w:hint="eastAsia" w:asciiTheme="minorEastAsia" w:hAnsiTheme="minorEastAsia" w:eastAsiaTheme="minorEastAsia"/>
                <w:sz w:val="23"/>
                <w:szCs w:val="23"/>
              </w:rPr>
            </w:pPr>
            <w:r>
              <w:rPr>
                <w:rFonts w:hint="eastAsia" w:asciiTheme="minorEastAsia" w:hAnsiTheme="minorEastAsia" w:eastAsiaTheme="minorEastAsia"/>
                <w:sz w:val="23"/>
                <w:szCs w:val="23"/>
              </w:rPr>
              <w:t xml:space="preserve">申请人声明： </w:t>
            </w:r>
          </w:p>
          <w:p w14:paraId="0CF6A53E">
            <w:pPr>
              <w:pStyle w:val="100"/>
              <w:ind w:firstLine="360"/>
              <w:jc w:val="both"/>
              <w:rPr>
                <w:rFonts w:hint="eastAsia" w:asciiTheme="minorEastAsia" w:hAnsiTheme="minorEastAsia" w:eastAsiaTheme="minorEastAsia"/>
                <w:sz w:val="23"/>
                <w:szCs w:val="23"/>
              </w:rPr>
            </w:pPr>
            <w:r>
              <w:rPr>
                <w:rFonts w:hint="eastAsia" w:asciiTheme="minorEastAsia" w:hAnsiTheme="minorEastAsia" w:eastAsiaTheme="minorEastAsia"/>
                <w:sz w:val="23"/>
                <w:szCs w:val="23"/>
              </w:rPr>
              <w:t>1.本质押双方已达成一致意见，现特向中国证券登记结算有限责任公司（以下简称“中国结算”）申请将上述质押证券过户给质权人。</w:t>
            </w:r>
          </w:p>
          <w:p w14:paraId="6D306BD4">
            <w:pPr>
              <w:pStyle w:val="100"/>
              <w:ind w:firstLine="360"/>
              <w:jc w:val="both"/>
              <w:rPr>
                <w:rFonts w:hint="eastAsia" w:asciiTheme="minorEastAsia" w:hAnsiTheme="minorEastAsia" w:eastAsiaTheme="minorEastAsia"/>
                <w:sz w:val="23"/>
                <w:szCs w:val="23"/>
              </w:rPr>
            </w:pPr>
            <w:r>
              <w:rPr>
                <w:rFonts w:hint="eastAsia" w:asciiTheme="minorEastAsia" w:hAnsiTheme="minorEastAsia" w:eastAsiaTheme="minorEastAsia"/>
                <w:sz w:val="23"/>
                <w:szCs w:val="23"/>
              </w:rPr>
              <w:t>2.本质押双方已达成一致意见，上述处置过户完成后确认相应回购已全部了结。过户完成后，本质押双方将及时通过券商向上交所申报解除质押以终止该笔回购交易；如不通过上交所申报解除质押的，本质押双方向中国结算申请将《终止回购明细表》中的回购交易进行终止处理。</w:t>
            </w:r>
          </w:p>
          <w:p w14:paraId="03671BE0">
            <w:pPr>
              <w:ind w:firstLine="360"/>
              <w:rPr>
                <w:rFonts w:hint="eastAsia" w:asciiTheme="minorEastAsia" w:hAnsiTheme="minorEastAsia"/>
              </w:rPr>
            </w:pPr>
            <w:r>
              <w:rPr>
                <w:rFonts w:hint="eastAsia" w:asciiTheme="minorEastAsia" w:hAnsiTheme="minorEastAsia"/>
                <w:sz w:val="23"/>
                <w:szCs w:val="23"/>
              </w:rPr>
              <w:t>3.本质押双方保证所提交的质押证券处置协议等申请材料真实、准确、完整、合法，以及申请办理质押证券处置过户业务的行为、内容、程序符合法律、行政法规、部门规章和中国结算业务规则等有关规定。因申请材料不符合上述要求所引起的一切法律责任由本质押双方自行承担，与中国结算无关。</w:t>
            </w:r>
          </w:p>
        </w:tc>
      </w:tr>
      <w:tr w14:paraId="2F395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gridSpan w:val="5"/>
            <w:tcBorders>
              <w:top w:val="nil"/>
              <w:bottom w:val="single" w:color="auto" w:sz="4" w:space="0"/>
              <w:right w:val="nil"/>
            </w:tcBorders>
          </w:tcPr>
          <w:p w14:paraId="18647AE0">
            <w:pPr>
              <w:pStyle w:val="100"/>
              <w:ind w:firstLine="360"/>
              <w:rPr>
                <w:rFonts w:hint="eastAsia" w:asciiTheme="minorEastAsia" w:hAnsiTheme="minorEastAsia" w:eastAsiaTheme="minorEastAsia"/>
                <w:sz w:val="23"/>
                <w:szCs w:val="23"/>
              </w:rPr>
            </w:pPr>
            <w:r>
              <w:rPr>
                <w:rFonts w:hint="eastAsia" w:asciiTheme="minorEastAsia" w:hAnsiTheme="minorEastAsia" w:eastAsiaTheme="minorEastAsia"/>
                <w:sz w:val="23"/>
                <w:szCs w:val="23"/>
              </w:rPr>
              <w:t xml:space="preserve">出质人（签章） </w:t>
            </w:r>
          </w:p>
          <w:p w14:paraId="2B172800">
            <w:pPr>
              <w:pStyle w:val="100"/>
              <w:ind w:firstLine="360"/>
              <w:rPr>
                <w:rFonts w:hint="eastAsia" w:asciiTheme="minorEastAsia" w:hAnsiTheme="minorEastAsia" w:eastAsiaTheme="minorEastAsia"/>
                <w:sz w:val="23"/>
                <w:szCs w:val="23"/>
              </w:rPr>
            </w:pPr>
            <w:r>
              <w:rPr>
                <w:rFonts w:hint="eastAsia" w:asciiTheme="minorEastAsia" w:hAnsiTheme="minorEastAsia" w:eastAsiaTheme="minorEastAsia"/>
                <w:sz w:val="23"/>
                <w:szCs w:val="23"/>
              </w:rPr>
              <w:t>法定代表人或授权代表（签章）</w:t>
            </w:r>
          </w:p>
          <w:p w14:paraId="046208D9">
            <w:pPr>
              <w:pStyle w:val="100"/>
              <w:ind w:firstLine="360"/>
              <w:rPr>
                <w:rFonts w:hint="eastAsia" w:asciiTheme="minorEastAsia" w:hAnsiTheme="minorEastAsia" w:eastAsiaTheme="minorEastAsia"/>
                <w:sz w:val="23"/>
                <w:szCs w:val="23"/>
              </w:rPr>
            </w:pPr>
            <w:r>
              <w:rPr>
                <w:rFonts w:hint="eastAsia" w:asciiTheme="minorEastAsia" w:hAnsiTheme="minorEastAsia" w:eastAsiaTheme="minorEastAsia"/>
                <w:sz w:val="23"/>
                <w:szCs w:val="23"/>
              </w:rPr>
              <w:t xml:space="preserve">经办人（签字） </w:t>
            </w:r>
          </w:p>
          <w:p w14:paraId="35A7F26C">
            <w:pPr>
              <w:pStyle w:val="100"/>
              <w:ind w:firstLine="360"/>
              <w:rPr>
                <w:rFonts w:hint="eastAsia" w:asciiTheme="minorEastAsia" w:hAnsiTheme="minorEastAsia" w:eastAsiaTheme="minorEastAsia"/>
                <w:sz w:val="23"/>
                <w:szCs w:val="23"/>
              </w:rPr>
            </w:pPr>
            <w:r>
              <w:rPr>
                <w:rFonts w:hint="eastAsia" w:asciiTheme="minorEastAsia" w:hAnsiTheme="minorEastAsia" w:eastAsiaTheme="minorEastAsia"/>
                <w:sz w:val="23"/>
                <w:szCs w:val="23"/>
              </w:rPr>
              <w:t xml:space="preserve">联系电话： </w:t>
            </w:r>
          </w:p>
          <w:p w14:paraId="7FAF8D34">
            <w:pPr>
              <w:pStyle w:val="100"/>
              <w:ind w:firstLine="345" w:firstLineChars="150"/>
              <w:rPr>
                <w:rFonts w:hint="eastAsia" w:asciiTheme="minorEastAsia" w:hAnsiTheme="minorEastAsia" w:eastAsiaTheme="minorEastAsia"/>
                <w:sz w:val="23"/>
                <w:szCs w:val="23"/>
              </w:rPr>
            </w:pPr>
            <w:r>
              <w:rPr>
                <w:rFonts w:hint="eastAsia" w:asciiTheme="minorEastAsia" w:hAnsiTheme="minorEastAsia" w:eastAsiaTheme="minorEastAsia"/>
                <w:sz w:val="23"/>
                <w:szCs w:val="23"/>
              </w:rPr>
              <w:t xml:space="preserve">年   月   日 </w:t>
            </w:r>
          </w:p>
        </w:tc>
        <w:tc>
          <w:tcPr>
            <w:tcW w:w="4445" w:type="dxa"/>
            <w:gridSpan w:val="4"/>
            <w:tcBorders>
              <w:top w:val="nil"/>
              <w:left w:val="nil"/>
              <w:bottom w:val="single" w:color="auto" w:sz="4" w:space="0"/>
            </w:tcBorders>
          </w:tcPr>
          <w:p w14:paraId="7019009F">
            <w:pPr>
              <w:pStyle w:val="100"/>
              <w:ind w:firstLine="360"/>
              <w:rPr>
                <w:rFonts w:hint="eastAsia" w:asciiTheme="minorEastAsia" w:hAnsiTheme="minorEastAsia" w:eastAsiaTheme="minorEastAsia"/>
                <w:sz w:val="23"/>
                <w:szCs w:val="23"/>
              </w:rPr>
            </w:pPr>
            <w:r>
              <w:rPr>
                <w:rFonts w:hint="eastAsia" w:asciiTheme="minorEastAsia" w:hAnsiTheme="minorEastAsia" w:eastAsiaTheme="minorEastAsia"/>
                <w:sz w:val="23"/>
                <w:szCs w:val="23"/>
              </w:rPr>
              <w:t xml:space="preserve">质权人（签章） </w:t>
            </w:r>
          </w:p>
          <w:p w14:paraId="563F7BDD">
            <w:pPr>
              <w:pStyle w:val="100"/>
              <w:ind w:firstLine="360"/>
              <w:rPr>
                <w:rFonts w:hint="eastAsia" w:asciiTheme="minorEastAsia" w:hAnsiTheme="minorEastAsia" w:eastAsiaTheme="minorEastAsia"/>
                <w:sz w:val="23"/>
                <w:szCs w:val="23"/>
              </w:rPr>
            </w:pPr>
            <w:r>
              <w:rPr>
                <w:rFonts w:hint="eastAsia" w:asciiTheme="minorEastAsia" w:hAnsiTheme="minorEastAsia" w:eastAsiaTheme="minorEastAsia"/>
                <w:sz w:val="23"/>
                <w:szCs w:val="23"/>
              </w:rPr>
              <w:t xml:space="preserve">法定代表人或授权代表（签章） </w:t>
            </w:r>
          </w:p>
          <w:p w14:paraId="49B6CCCA">
            <w:pPr>
              <w:pStyle w:val="100"/>
              <w:ind w:firstLine="360"/>
              <w:rPr>
                <w:rFonts w:hint="eastAsia" w:asciiTheme="minorEastAsia" w:hAnsiTheme="minorEastAsia" w:eastAsiaTheme="minorEastAsia"/>
                <w:sz w:val="23"/>
                <w:szCs w:val="23"/>
              </w:rPr>
            </w:pPr>
            <w:r>
              <w:rPr>
                <w:rFonts w:hint="eastAsia" w:asciiTheme="minorEastAsia" w:hAnsiTheme="minorEastAsia" w:eastAsiaTheme="minorEastAsia"/>
                <w:sz w:val="23"/>
                <w:szCs w:val="23"/>
              </w:rPr>
              <w:t xml:space="preserve">经办人（签字） </w:t>
            </w:r>
          </w:p>
          <w:p w14:paraId="2E63E2A3">
            <w:pPr>
              <w:pStyle w:val="100"/>
              <w:ind w:firstLine="360"/>
              <w:rPr>
                <w:rFonts w:hint="eastAsia" w:asciiTheme="minorEastAsia" w:hAnsiTheme="minorEastAsia" w:eastAsiaTheme="minorEastAsia"/>
                <w:sz w:val="23"/>
                <w:szCs w:val="23"/>
              </w:rPr>
            </w:pPr>
            <w:r>
              <w:rPr>
                <w:rFonts w:hint="eastAsia" w:asciiTheme="minorEastAsia" w:hAnsiTheme="minorEastAsia" w:eastAsiaTheme="minorEastAsia"/>
                <w:sz w:val="23"/>
                <w:szCs w:val="23"/>
              </w:rPr>
              <w:t xml:space="preserve">联系电话： </w:t>
            </w:r>
          </w:p>
          <w:p w14:paraId="51869B2E">
            <w:pPr>
              <w:pStyle w:val="100"/>
              <w:ind w:firstLine="230" w:firstLineChars="100"/>
              <w:rPr>
                <w:rFonts w:hint="eastAsia" w:asciiTheme="minorEastAsia" w:hAnsiTheme="minorEastAsia" w:eastAsiaTheme="minorEastAsia"/>
                <w:sz w:val="23"/>
                <w:szCs w:val="23"/>
              </w:rPr>
            </w:pPr>
            <w:r>
              <w:rPr>
                <w:rFonts w:hint="eastAsia" w:asciiTheme="minorEastAsia" w:hAnsiTheme="minorEastAsia" w:eastAsiaTheme="minorEastAsia"/>
                <w:sz w:val="23"/>
                <w:szCs w:val="23"/>
              </w:rPr>
              <w:t xml:space="preserve">年   月   日 </w:t>
            </w:r>
          </w:p>
        </w:tc>
      </w:tr>
    </w:tbl>
    <w:p w14:paraId="2E931784"/>
    <w:p w14:paraId="0956780E"/>
    <w:p w14:paraId="48213CBA"/>
    <w:sectPr>
      <w:footerReference r:id="rId10" w:type="default"/>
      <w:footnotePr>
        <w:numFmt w:val="decimal"/>
        <w:numRestart w:val="eachPage"/>
      </w:footnote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00500000000000000"/>
    <w:charset w:val="86"/>
    <w:family w:val="modern"/>
    <w:pitch w:val="default"/>
    <w:sig w:usb0="A00002BF" w:usb1="584F6CFA" w:usb2="00000012" w:usb3="00000000" w:csb0="00040001"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大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Futura Bk">
    <w:altName w:val="阿里巴巴普惠体 R"/>
    <w:panose1 w:val="00000000000000000000"/>
    <w:charset w:val="00"/>
    <w:family w:val="swiss"/>
    <w:pitch w:val="default"/>
    <w:sig w:usb0="00000000" w:usb1="00000000" w:usb2="00000000" w:usb3="00000000" w:csb0="0000009F" w:csb1="00000000"/>
  </w:font>
  <w:font w:name="阿里巴巴普惠体 R">
    <w:panose1 w:val="00020600040101010101"/>
    <w:charset w:val="86"/>
    <w:family w:val="auto"/>
    <w:pitch w:val="default"/>
    <w:sig w:usb0="A00002FF" w:usb1="7ACF7CFB" w:usb2="0000001E" w:usb3="00000000" w:csb0="0004009F" w:csb1="00000000"/>
  </w:font>
  <w:font w:name="Tahoma">
    <w:altName w:val="DejaVu Sans"/>
    <w:panose1 w:val="020B0604030504040204"/>
    <w:charset w:val="00"/>
    <w:family w:val="swiss"/>
    <w:pitch w:val="default"/>
    <w:sig w:usb0="00000000" w:usb1="00000000" w:usb2="00000029" w:usb3="00000000" w:csb0="200101FF" w:csb1="20280000"/>
  </w:font>
  <w:font w:name="华文细黑">
    <w:altName w:val="汉仪中等线简"/>
    <w:panose1 w:val="02010600040101010101"/>
    <w:charset w:val="86"/>
    <w:family w:val="auto"/>
    <w:pitch w:val="default"/>
    <w:sig w:usb0="00000000" w:usb1="00000000" w:usb2="00000000" w:usb3="00000000" w:csb0="0004009F" w:csb1="DFD70000"/>
  </w:font>
  <w:font w:name="汉仪中等线简">
    <w:panose1 w:val="02010600000101010101"/>
    <w:charset w:val="86"/>
    <w:family w:val="auto"/>
    <w:pitch w:val="default"/>
    <w:sig w:usb0="00000001" w:usb1="080E0800" w:usb2="00000002" w:usb3="00000000" w:csb0="00040000" w:csb1="00000000"/>
  </w:font>
  <w:font w:name="Cambria Math">
    <w:altName w:val="DejaVu Math TeX Gyre"/>
    <w:panose1 w:val="02040503050406030204"/>
    <w:charset w:val="00"/>
    <w:family w:val="roman"/>
    <w:pitch w:val="default"/>
    <w:sig w:usb0="00000000" w:usb1="00000000" w:usb2="00000000" w:usb3="00000000" w:csb0="2000019F" w:csb1="00000000"/>
  </w:font>
  <w:font w:name="DejaVu Math TeX Gyre">
    <w:panose1 w:val="02000503000000000000"/>
    <w:charset w:val="00"/>
    <w:family w:val="auto"/>
    <w:pitch w:val="default"/>
    <w:sig w:usb0="A10000EF" w:usb1="4201F9EE" w:usb2="02000000" w:usb3="00000000" w:csb0="60000193" w:csb1="0DD40000"/>
  </w:font>
  <w:font w:name="Times">
    <w:altName w:val="Times New Roman"/>
    <w:panose1 w:val="02020603050405020304"/>
    <w:charset w:val="00"/>
    <w:family w:val="roman"/>
    <w:pitch w:val="default"/>
    <w:sig w:usb0="00000000" w:usb1="00000000" w:usb2="00000009" w:usb3="00000000" w:csb0="000001FF" w:csb1="00000000"/>
  </w:font>
  <w:font w:name="华文仿宋">
    <w:altName w:val="汉仪仿宋简"/>
    <w:panose1 w:val="02010600040101010101"/>
    <w:charset w:val="86"/>
    <w:family w:val="auto"/>
    <w:pitch w:val="default"/>
    <w:sig w:usb0="00000000" w:usb1="00000000" w:usb2="00000000" w:usb3="00000000" w:csb0="0004009F" w:csb1="DFD70000"/>
  </w:font>
  <w:font w:name="汉仪仿宋简">
    <w:panose1 w:val="02010600000101010101"/>
    <w:charset w:val="86"/>
    <w:family w:val="auto"/>
    <w:pitch w:val="default"/>
    <w:sig w:usb0="00000001" w:usb1="080E0800" w:usb2="00000002" w:usb3="00000000" w:csb0="00040000" w:csb1="00000000"/>
  </w:font>
  <w:font w:name="新宋体">
    <w:panose1 w:val="02010609030101010101"/>
    <w:charset w:val="86"/>
    <w:family w:val="modern"/>
    <w:pitch w:val="default"/>
    <w:sig w:usb0="00000003" w:usb1="288F0000" w:usb2="0000000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华文楷体">
    <w:altName w:val="方正楷体_GBK"/>
    <w:panose1 w:val="02010600040101010101"/>
    <w:charset w:val="86"/>
    <w:family w:val="auto"/>
    <w:pitch w:val="default"/>
    <w:sig w:usb0="00000000" w:usb1="0000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52036">
    <w:pPr>
      <w:pStyle w:val="28"/>
      <w:jc w:val="right"/>
    </w:pPr>
    <w:r>
      <w:rPr>
        <w:rFonts w:hint="eastAsia" w:ascii="仿宋_GB2312" w:eastAsia="仿宋_GB2312"/>
        <w:bCs/>
        <w:sz w:val="28"/>
      </w:rPr>
      <w:t>－</w:t>
    </w:r>
    <w:r>
      <w:rPr>
        <w:sz w:val="28"/>
      </w:rPr>
      <w:fldChar w:fldCharType="begin"/>
    </w:r>
    <w:r>
      <w:rPr>
        <w:sz w:val="28"/>
      </w:rPr>
      <w:instrText xml:space="preserve"> PAGE </w:instrText>
    </w:r>
    <w:r>
      <w:rPr>
        <w:sz w:val="28"/>
      </w:rPr>
      <w:fldChar w:fldCharType="separate"/>
    </w:r>
    <w:r>
      <w:rPr>
        <w:sz w:val="28"/>
      </w:rPr>
      <w:t>5</w:t>
    </w:r>
    <w:r>
      <w:rPr>
        <w:sz w:val="28"/>
      </w:rPr>
      <w:fldChar w:fldCharType="end"/>
    </w:r>
    <w:r>
      <w:rPr>
        <w:rFonts w:hint="eastAsia" w:ascii="仿宋_GB2312" w:eastAsia="仿宋_GB2312"/>
        <w:bCs/>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8A909">
    <w:pPr>
      <w:pStyle w:val="28"/>
    </w:pPr>
    <w:r>
      <w:rPr>
        <w:rFonts w:hint="eastAsia" w:ascii="仿宋_GB2312" w:eastAsia="仿宋_GB2312"/>
        <w:bCs/>
        <w:sz w:val="28"/>
      </w:rPr>
      <w:t>－</w:t>
    </w:r>
    <w:r>
      <w:rPr>
        <w:sz w:val="28"/>
      </w:rPr>
      <w:fldChar w:fldCharType="begin"/>
    </w:r>
    <w:r>
      <w:rPr>
        <w:sz w:val="28"/>
      </w:rPr>
      <w:instrText xml:space="preserve"> PAGE </w:instrText>
    </w:r>
    <w:r>
      <w:rPr>
        <w:sz w:val="28"/>
      </w:rPr>
      <w:fldChar w:fldCharType="separate"/>
    </w:r>
    <w:r>
      <w:rPr>
        <w:sz w:val="28"/>
      </w:rPr>
      <w:t>6</w:t>
    </w:r>
    <w:r>
      <w:rPr>
        <w:sz w:val="28"/>
      </w:rPr>
      <w:fldChar w:fldCharType="end"/>
    </w:r>
    <w:r>
      <w:rPr>
        <w:rFonts w:hint="eastAsia" w:ascii="仿宋_GB2312" w:eastAsia="仿宋_GB2312"/>
        <w:bCs/>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AB003">
    <w:pPr>
      <w:pStyle w:val="28"/>
      <w:ind w:left="360" w:right="90"/>
      <w:jc w:val="right"/>
      <w:rPr>
        <w:rFonts w:ascii="仿宋_GB2312" w:eastAsia="仿宋_GB2312"/>
        <w:bCs/>
        <w:sz w:val="28"/>
        <w:szCs w:val="28"/>
      </w:rPr>
    </w:pPr>
    <w:sdt>
      <w:sdtPr>
        <w:id w:val="-1"/>
      </w:sdtPr>
      <w:sdtEndPr>
        <w:rPr>
          <w:rFonts w:ascii="仿宋_GB2312" w:eastAsia="仿宋_GB2312"/>
          <w:bCs/>
          <w:sz w:val="28"/>
          <w:szCs w:val="28"/>
        </w:rPr>
      </w:sdtEndPr>
      <w:sdtContent>
        <w:r>
          <w:rPr>
            <w:rFonts w:asciiTheme="minorEastAsia" w:hAnsiTheme="minorEastAsia" w:eastAsiaTheme="minorEastAsia"/>
            <w:sz w:val="28"/>
            <w:szCs w:val="28"/>
          </w:rPr>
          <w:t>-</w:t>
        </w:r>
        <w:r>
          <w:rPr>
            <w:rFonts w:ascii="仿宋_GB2312" w:eastAsia="仿宋_GB2312"/>
            <w:bCs/>
            <w:sz w:val="28"/>
            <w:szCs w:val="28"/>
          </w:rPr>
          <w:fldChar w:fldCharType="begin"/>
        </w:r>
        <w:r>
          <w:rPr>
            <w:rFonts w:ascii="仿宋_GB2312" w:eastAsia="仿宋_GB2312"/>
            <w:bCs/>
            <w:sz w:val="28"/>
            <w:szCs w:val="28"/>
          </w:rPr>
          <w:instrText xml:space="preserve">PAGE   \* MERGEFORMAT</w:instrText>
        </w:r>
        <w:r>
          <w:rPr>
            <w:rFonts w:ascii="仿宋_GB2312" w:eastAsia="仿宋_GB2312"/>
            <w:bCs/>
            <w:sz w:val="28"/>
            <w:szCs w:val="28"/>
          </w:rPr>
          <w:fldChar w:fldCharType="separate"/>
        </w:r>
        <w:r>
          <w:rPr>
            <w:rFonts w:ascii="仿宋_GB2312" w:eastAsia="仿宋_GB2312"/>
            <w:bCs/>
            <w:sz w:val="28"/>
            <w:szCs w:val="28"/>
          </w:rPr>
          <w:t>401</w:t>
        </w:r>
        <w:r>
          <w:rPr>
            <w:rFonts w:ascii="仿宋_GB2312" w:eastAsia="仿宋_GB2312"/>
            <w:bCs/>
            <w:sz w:val="28"/>
            <w:szCs w:val="28"/>
          </w:rPr>
          <w:fldChar w:fldCharType="end"/>
        </w:r>
      </w:sdtContent>
    </w:sdt>
    <w:r>
      <w:rPr>
        <w:rFonts w:ascii="仿宋_GB2312" w:eastAsia="仿宋_GB2312"/>
        <w:bCs/>
        <w:sz w:val="28"/>
        <w:szCs w:val="28"/>
      </w:rPr>
      <w:t>-</w:t>
    </w:r>
  </w:p>
  <w:p w14:paraId="2355D982">
    <w:pPr>
      <w:pStyle w:val="2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8B3B1">
    <w:pPr>
      <w:pStyle w:val="28"/>
      <w:ind w:left="360" w:right="90"/>
      <w:rPr>
        <w:rFonts w:ascii="仿宋_GB2312" w:eastAsia="仿宋_GB2312"/>
        <w:bCs/>
        <w:sz w:val="28"/>
        <w:szCs w:val="28"/>
      </w:rPr>
    </w:pPr>
    <w:sdt>
      <w:sdtPr>
        <w:id w:val="147463297"/>
      </w:sdtPr>
      <w:sdtEndPr>
        <w:rPr>
          <w:rFonts w:ascii="仿宋_GB2312" w:eastAsia="仿宋_GB2312"/>
          <w:bCs/>
          <w:sz w:val="28"/>
          <w:szCs w:val="28"/>
        </w:rPr>
      </w:sdtEndPr>
      <w:sdtContent>
        <w:r>
          <w:rPr>
            <w:rFonts w:asciiTheme="minorEastAsia" w:hAnsiTheme="minorEastAsia" w:eastAsiaTheme="minorEastAsia"/>
            <w:sz w:val="28"/>
            <w:szCs w:val="28"/>
          </w:rPr>
          <w:t>-</w:t>
        </w:r>
        <w:r>
          <w:rPr>
            <w:rFonts w:ascii="仿宋_GB2312" w:eastAsia="仿宋_GB2312"/>
            <w:bCs/>
            <w:sz w:val="28"/>
            <w:szCs w:val="28"/>
          </w:rPr>
          <w:fldChar w:fldCharType="begin"/>
        </w:r>
        <w:r>
          <w:rPr>
            <w:rFonts w:ascii="仿宋_GB2312" w:eastAsia="仿宋_GB2312"/>
            <w:bCs/>
            <w:sz w:val="28"/>
            <w:szCs w:val="28"/>
          </w:rPr>
          <w:instrText xml:space="preserve">PAGE   \* MERGEFORMAT</w:instrText>
        </w:r>
        <w:r>
          <w:rPr>
            <w:rFonts w:ascii="仿宋_GB2312" w:eastAsia="仿宋_GB2312"/>
            <w:bCs/>
            <w:sz w:val="28"/>
            <w:szCs w:val="28"/>
          </w:rPr>
          <w:fldChar w:fldCharType="separate"/>
        </w:r>
        <w:r>
          <w:rPr>
            <w:rFonts w:ascii="仿宋_GB2312" w:eastAsia="仿宋_GB2312"/>
            <w:bCs/>
            <w:sz w:val="28"/>
            <w:szCs w:val="28"/>
          </w:rPr>
          <w:t>408</w:t>
        </w:r>
        <w:r>
          <w:rPr>
            <w:rFonts w:ascii="仿宋_GB2312" w:eastAsia="仿宋_GB2312"/>
            <w:bCs/>
            <w:sz w:val="28"/>
            <w:szCs w:val="28"/>
          </w:rPr>
          <w:fldChar w:fldCharType="end"/>
        </w:r>
      </w:sdtContent>
    </w:sdt>
    <w:r>
      <w:rPr>
        <w:rFonts w:ascii="仿宋_GB2312" w:eastAsia="仿宋_GB2312"/>
        <w:bCs/>
        <w:sz w:val="28"/>
        <w:szCs w:val="28"/>
      </w:rPr>
      <w:t>-</w:t>
    </w:r>
  </w:p>
  <w:p w14:paraId="35E0BA01">
    <w:pPr>
      <w:pStyle w:val="28"/>
      <w:jc w:val="both"/>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2D71E">
    <w:pPr>
      <w:pStyle w:val="28"/>
      <w:ind w:left="360" w:right="90"/>
      <w:jc w:val="right"/>
    </w:pPr>
    <w:sdt>
      <w:sdtPr>
        <w:id w:val="1082801306"/>
      </w:sdtPr>
      <w:sdtEndPr>
        <w:rPr>
          <w:rFonts w:ascii="仿宋_GB2312" w:eastAsia="仿宋_GB2312"/>
          <w:bCs/>
          <w:sz w:val="28"/>
          <w:szCs w:val="28"/>
        </w:rPr>
      </w:sdtEndPr>
      <w:sdtContent>
        <w:r>
          <w:rPr>
            <w:rFonts w:asciiTheme="minorEastAsia" w:hAnsiTheme="minorEastAsia" w:eastAsiaTheme="minorEastAsia"/>
            <w:sz w:val="28"/>
            <w:szCs w:val="28"/>
          </w:rPr>
          <w:t>-</w:t>
        </w:r>
        <w:r>
          <w:rPr>
            <w:rFonts w:ascii="仿宋_GB2312" w:eastAsia="仿宋_GB2312"/>
            <w:bCs/>
            <w:sz w:val="28"/>
            <w:szCs w:val="28"/>
          </w:rPr>
          <w:fldChar w:fldCharType="begin"/>
        </w:r>
        <w:r>
          <w:rPr>
            <w:rFonts w:ascii="仿宋_GB2312" w:eastAsia="仿宋_GB2312"/>
            <w:bCs/>
            <w:sz w:val="28"/>
            <w:szCs w:val="28"/>
          </w:rPr>
          <w:instrText xml:space="preserve">PAGE   \* MERGEFORMAT</w:instrText>
        </w:r>
        <w:r>
          <w:rPr>
            <w:rFonts w:ascii="仿宋_GB2312" w:eastAsia="仿宋_GB2312"/>
            <w:bCs/>
            <w:sz w:val="28"/>
            <w:szCs w:val="28"/>
          </w:rPr>
          <w:fldChar w:fldCharType="separate"/>
        </w:r>
        <w:r>
          <w:rPr>
            <w:rFonts w:ascii="仿宋_GB2312" w:eastAsia="仿宋_GB2312"/>
            <w:bCs/>
            <w:sz w:val="28"/>
            <w:szCs w:val="28"/>
          </w:rPr>
          <w:t>407</w:t>
        </w:r>
        <w:r>
          <w:rPr>
            <w:rFonts w:ascii="仿宋_GB2312" w:eastAsia="仿宋_GB2312"/>
            <w:bCs/>
            <w:sz w:val="28"/>
            <w:szCs w:val="28"/>
          </w:rPr>
          <w:fldChar w:fldCharType="end"/>
        </w:r>
      </w:sdtContent>
    </w:sdt>
    <w:r>
      <w:rPr>
        <w:rFonts w:ascii="仿宋_GB2312" w:eastAsia="仿宋_GB2312"/>
        <w:bCs/>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0">
    <w:p>
      <w:r>
        <w:separator/>
      </w:r>
    </w:p>
  </w:footnote>
  <w:footnote w:type="continuationSeparator" w:id="11">
    <w:p>
      <w:r>
        <w:continuationSeparator/>
      </w:r>
    </w:p>
  </w:footnote>
  <w:footnote w:id="0">
    <w:p w14:paraId="3C6D99C1">
      <w:pPr>
        <w:pStyle w:val="33"/>
        <w:ind w:firstLine="0" w:firstLineChars="0"/>
        <w:rPr>
          <w:rFonts w:ascii="宋体" w:hAnsi="宋体" w:cs="宋体"/>
          <w:sz w:val="21"/>
          <w:szCs w:val="21"/>
        </w:rPr>
      </w:pPr>
      <w:r>
        <w:rPr>
          <w:rStyle w:val="53"/>
          <w:rFonts w:hint="eastAsia" w:ascii="宋体" w:hAnsi="宋体" w:cs="宋体"/>
          <w:sz w:val="21"/>
          <w:szCs w:val="21"/>
        </w:rPr>
        <w:footnoteRef/>
      </w:r>
      <w:r>
        <w:rPr>
          <w:rFonts w:hint="eastAsia" w:ascii="宋体" w:hAnsi="宋体" w:cs="宋体"/>
          <w:sz w:val="21"/>
          <w:szCs w:val="21"/>
        </w:rPr>
        <w:t xml:space="preserve"> 此为根据实践情况推荐的交易结算方式，部分投资者（如符合相关条件的财务公司及其他机构）经申请成为债券交易参与人的，亦可选择直接入场的交易参与方式。</w:t>
      </w:r>
    </w:p>
  </w:footnote>
  <w:footnote w:id="1">
    <w:p w14:paraId="47447659">
      <w:pPr>
        <w:pStyle w:val="33"/>
        <w:ind w:firstLine="360"/>
      </w:pPr>
      <w:r>
        <w:rPr>
          <w:rStyle w:val="53"/>
        </w:rPr>
        <w:footnoteRef/>
      </w:r>
      <w:r>
        <w:t xml:space="preserve"> </w:t>
      </w:r>
      <w:r>
        <w:rPr>
          <w:rFonts w:hint="eastAsia" w:ascii="仿宋_GB2312" w:eastAsia="仿宋_GB2312"/>
        </w:rPr>
        <w:t>详见《上海证券交易所会员管理业务指南第2号——风险揭示书必备条款》，全文可至本所官方网站（http://www.sse.com.cn）“规则”下的“本所业务指南与流程”栏目查询。</w:t>
      </w:r>
    </w:p>
  </w:footnote>
  <w:footnote w:id="2">
    <w:p w14:paraId="276867B6">
      <w:pPr>
        <w:pStyle w:val="33"/>
        <w:ind w:firstLine="360"/>
      </w:pPr>
      <w:r>
        <w:rPr>
          <w:rStyle w:val="53"/>
        </w:rPr>
        <w:footnoteRef/>
      </w:r>
      <w:r>
        <w:rPr>
          <w:vertAlign w:val="superscript"/>
        </w:rPr>
        <w:t xml:space="preserve"> </w:t>
      </w:r>
      <w:r>
        <w:rPr>
          <w:rFonts w:hint="eastAsia" w:ascii="仿宋_GB2312" w:eastAsia="仿宋_GB2312"/>
        </w:rPr>
        <w:t>此处请填写参考实体简称。</w:t>
      </w:r>
    </w:p>
  </w:footnote>
  <w:footnote w:id="3">
    <w:p w14:paraId="682D24E7">
      <w:pPr>
        <w:pStyle w:val="33"/>
        <w:ind w:firstLine="360"/>
        <w:rPr>
          <w:rFonts w:ascii="仿宋_GB2312" w:eastAsia="仿宋_GB2312"/>
        </w:rPr>
      </w:pPr>
      <w:r>
        <w:rPr>
          <w:rStyle w:val="53"/>
          <w:rFonts w:ascii="仿宋_GB2312" w:eastAsia="仿宋_GB2312"/>
        </w:rPr>
        <w:footnoteRef/>
      </w:r>
      <w:r>
        <w:rPr>
          <w:rFonts w:hint="eastAsia" w:ascii="仿宋_GB2312" w:eastAsia="仿宋_GB2312"/>
        </w:rPr>
        <w:t>此处请填写参考实体简称。</w:t>
      </w:r>
    </w:p>
  </w:footnote>
  <w:footnote w:id="4">
    <w:p w14:paraId="49D87A49">
      <w:pPr>
        <w:pStyle w:val="33"/>
        <w:snapToGrid w:val="0"/>
      </w:pPr>
      <w:r>
        <w:rPr>
          <w:rStyle w:val="53"/>
        </w:rPr>
        <w:footnoteRef/>
      </w:r>
      <w:r>
        <w:t xml:space="preserve"> </w:t>
      </w:r>
      <w:r>
        <w:rPr>
          <w:rFonts w:hint="eastAsia"/>
        </w:rPr>
        <w:t>备注：请将</w:t>
      </w:r>
      <w:r>
        <w:rPr>
          <w:rFonts w:hint="eastAsia"/>
          <w:lang w:eastAsia="zh-CN"/>
        </w:rPr>
        <w:t>登记表</w:t>
      </w:r>
      <w:r>
        <w:rPr>
          <w:rFonts w:hint="eastAsia"/>
        </w:rPr>
        <w:t>用印版扫描件、</w:t>
      </w:r>
      <w:r>
        <w:rPr>
          <w:rFonts w:hint="eastAsia"/>
          <w:lang w:eastAsia="zh-CN"/>
        </w:rPr>
        <w:t>未用印版</w:t>
      </w:r>
      <w:r>
        <w:rPr>
          <w:rFonts w:hint="eastAsia"/>
        </w:rPr>
        <w:t>word文档同时提交至邮箱bondtrading@sse.com.cn。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81142">
    <w:pPr>
      <w:pStyle w:val="2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F9FF9">
    <w:pPr>
      <w:pStyle w:val="2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393533"/>
    <w:multiLevelType w:val="singleLevel"/>
    <w:tmpl w:val="8B393533"/>
    <w:lvl w:ilvl="0" w:tentative="0">
      <w:start w:val="1"/>
      <w:numFmt w:val="decimal"/>
      <w:lvlText w:val="%1."/>
      <w:lvlJc w:val="left"/>
      <w:pPr>
        <w:tabs>
          <w:tab w:val="left" w:pos="312"/>
        </w:tabs>
      </w:pPr>
    </w:lvl>
  </w:abstractNum>
  <w:abstractNum w:abstractNumId="1">
    <w:nsid w:val="967F9668"/>
    <w:multiLevelType w:val="singleLevel"/>
    <w:tmpl w:val="967F9668"/>
    <w:lvl w:ilvl="0" w:tentative="0">
      <w:start w:val="2"/>
      <w:numFmt w:val="decimal"/>
      <w:suff w:val="nothing"/>
      <w:lvlText w:val="%1、"/>
      <w:lvlJc w:val="left"/>
    </w:lvl>
  </w:abstractNum>
  <w:abstractNum w:abstractNumId="2">
    <w:nsid w:val="D369BD06"/>
    <w:multiLevelType w:val="singleLevel"/>
    <w:tmpl w:val="D369BD06"/>
    <w:lvl w:ilvl="0" w:tentative="0">
      <w:start w:val="1"/>
      <w:numFmt w:val="decimal"/>
      <w:lvlText w:val="%1."/>
      <w:lvlJc w:val="left"/>
      <w:pPr>
        <w:tabs>
          <w:tab w:val="left" w:pos="312"/>
        </w:tabs>
      </w:pPr>
    </w:lvl>
  </w:abstractNum>
  <w:abstractNum w:abstractNumId="3">
    <w:nsid w:val="F76FA29C"/>
    <w:multiLevelType w:val="singleLevel"/>
    <w:tmpl w:val="F76FA29C"/>
    <w:lvl w:ilvl="0" w:tentative="0">
      <w:start w:val="1"/>
      <w:numFmt w:val="chineseCounting"/>
      <w:suff w:val="nothing"/>
      <w:lvlText w:val="%1、"/>
      <w:lvlJc w:val="left"/>
      <w:rPr>
        <w:rFonts w:hint="eastAsia"/>
      </w:rPr>
    </w:lvl>
  </w:abstractNum>
  <w:abstractNum w:abstractNumId="4">
    <w:nsid w:val="FDE6E37C"/>
    <w:multiLevelType w:val="singleLevel"/>
    <w:tmpl w:val="FDE6E37C"/>
    <w:lvl w:ilvl="0" w:tentative="0">
      <w:start w:val="1"/>
      <w:numFmt w:val="decimal"/>
      <w:lvlText w:val="%1."/>
      <w:lvlJc w:val="left"/>
      <w:pPr>
        <w:tabs>
          <w:tab w:val="left" w:pos="312"/>
        </w:tabs>
      </w:pPr>
    </w:lvl>
  </w:abstractNum>
  <w:abstractNum w:abstractNumId="5">
    <w:nsid w:val="00015B7C"/>
    <w:multiLevelType w:val="multilevel"/>
    <w:tmpl w:val="00015B7C"/>
    <w:lvl w:ilvl="0" w:tentative="0">
      <w:start w:val="9"/>
      <w:numFmt w:val="decimal"/>
      <w:pStyle w:val="79"/>
      <w:suff w:val="space"/>
      <w:lvlText w:val="%1"/>
      <w:lvlJc w:val="left"/>
      <w:pPr>
        <w:ind w:left="567" w:firstLine="0"/>
      </w:pPr>
      <w:rPr>
        <w:rFonts w:hint="default" w:ascii="黑体" w:hAnsi="黑体" w:eastAsia="黑体"/>
        <w:sz w:val="30"/>
        <w:szCs w:val="30"/>
      </w:rPr>
    </w:lvl>
    <w:lvl w:ilvl="1" w:tentative="0">
      <w:start w:val="1"/>
      <w:numFmt w:val="decimal"/>
      <w:pStyle w:val="3"/>
      <w:suff w:val="space"/>
      <w:lvlText w:val="%1.%2"/>
      <w:lvlJc w:val="left"/>
      <w:pPr>
        <w:ind w:left="567" w:firstLine="0"/>
      </w:pPr>
      <w:rPr>
        <w:rFonts w:hint="eastAsia"/>
      </w:rPr>
    </w:lvl>
    <w:lvl w:ilvl="2" w:tentative="0">
      <w:start w:val="1"/>
      <w:numFmt w:val="decimal"/>
      <w:lvlText w:val="12.1.%3"/>
      <w:lvlJc w:val="left"/>
      <w:pPr>
        <w:ind w:left="567" w:firstLine="0"/>
      </w:pPr>
      <w:rPr>
        <w:rFonts w:hint="eastAsia" w:ascii="仿宋_GB2312" w:eastAsia="仿宋_GB2312"/>
        <w:b w:val="0"/>
        <w:i w:val="0"/>
        <w:sz w:val="30"/>
      </w:rPr>
    </w:lvl>
    <w:lvl w:ilvl="3" w:tentative="0">
      <w:start w:val="1"/>
      <w:numFmt w:val="decimal"/>
      <w:pStyle w:val="5"/>
      <w:suff w:val="space"/>
      <w:lvlText w:val="%1.%2.%3.%4"/>
      <w:lvlJc w:val="left"/>
      <w:pPr>
        <w:ind w:left="567" w:firstLine="0"/>
      </w:pPr>
      <w:rPr>
        <w:rFonts w:hint="eastAsia"/>
      </w:rPr>
    </w:lvl>
    <w:lvl w:ilvl="4" w:tentative="0">
      <w:start w:val="1"/>
      <w:numFmt w:val="decimal"/>
      <w:pStyle w:val="6"/>
      <w:suff w:val="space"/>
      <w:lvlText w:val="%1.%2.%3.%4.%5"/>
      <w:lvlJc w:val="left"/>
      <w:pPr>
        <w:ind w:left="567" w:firstLine="567"/>
      </w:pPr>
      <w:rPr>
        <w:rFonts w:hint="eastAsia"/>
      </w:rPr>
    </w:lvl>
    <w:lvl w:ilvl="5" w:tentative="0">
      <w:start w:val="1"/>
      <w:numFmt w:val="decimal"/>
      <w:pStyle w:val="7"/>
      <w:lvlText w:val="%1.%2.%3.%4.%5.%6"/>
      <w:lvlJc w:val="left"/>
      <w:pPr>
        <w:ind w:left="567" w:firstLine="567"/>
      </w:pPr>
      <w:rPr>
        <w:rFonts w:hint="eastAsia"/>
      </w:rPr>
    </w:lvl>
    <w:lvl w:ilvl="6" w:tentative="0">
      <w:start w:val="1"/>
      <w:numFmt w:val="decimal"/>
      <w:pStyle w:val="8"/>
      <w:lvlText w:val="%1.%2.%3.%4.%5.%6.%7"/>
      <w:lvlJc w:val="left"/>
      <w:pPr>
        <w:ind w:left="567" w:firstLine="0"/>
      </w:pPr>
      <w:rPr>
        <w:rFonts w:hint="eastAsia"/>
      </w:rPr>
    </w:lvl>
    <w:lvl w:ilvl="7" w:tentative="0">
      <w:start w:val="1"/>
      <w:numFmt w:val="decimal"/>
      <w:pStyle w:val="9"/>
      <w:lvlText w:val="%1.%2.%3.%4.%5.%6.%7.%8"/>
      <w:lvlJc w:val="left"/>
      <w:pPr>
        <w:ind w:left="567" w:firstLine="0"/>
      </w:pPr>
      <w:rPr>
        <w:rFonts w:hint="eastAsia"/>
      </w:rPr>
    </w:lvl>
    <w:lvl w:ilvl="8" w:tentative="0">
      <w:start w:val="1"/>
      <w:numFmt w:val="decimal"/>
      <w:pStyle w:val="10"/>
      <w:lvlText w:val="%1.%2.%3.%4.%5.%6.%7.%8.%9"/>
      <w:lvlJc w:val="left"/>
      <w:pPr>
        <w:ind w:left="567" w:firstLine="0"/>
      </w:pPr>
      <w:rPr>
        <w:rFonts w:hint="eastAsia"/>
      </w:rPr>
    </w:lvl>
  </w:abstractNum>
  <w:abstractNum w:abstractNumId="6">
    <w:nsid w:val="051F275D"/>
    <w:multiLevelType w:val="multilevel"/>
    <w:tmpl w:val="051F275D"/>
    <w:lvl w:ilvl="0" w:tentative="0">
      <w:start w:val="1"/>
      <w:numFmt w:val="decimal"/>
      <w:lvlText w:val="%1."/>
      <w:lvlJc w:val="left"/>
      <w:pPr>
        <w:ind w:left="425" w:hanging="425"/>
      </w:pPr>
      <w:rPr>
        <w:rFonts w:hint="eastAsia" w:ascii="黑体" w:hAnsi="黑体" w:eastAsia="黑体"/>
        <w:b/>
        <w:sz w:val="36"/>
        <w:szCs w:val="36"/>
      </w:rPr>
    </w:lvl>
    <w:lvl w:ilvl="1" w:tentative="0">
      <w:start w:val="1"/>
      <w:numFmt w:val="decimal"/>
      <w:lvlText w:val="%1.%2."/>
      <w:lvlJc w:val="left"/>
      <w:pPr>
        <w:ind w:left="567" w:hanging="567"/>
      </w:pPr>
      <w:rPr>
        <w:rFonts w:hint="eastAsia" w:ascii="仿宋_GB2312" w:eastAsia="仿宋_GB2312"/>
      </w:rPr>
    </w:lvl>
    <w:lvl w:ilvl="2" w:tentative="0">
      <w:start w:val="1"/>
      <w:numFmt w:val="decimal"/>
      <w:lvlText w:val="%1.%2.%3."/>
      <w:lvlJc w:val="left"/>
      <w:pPr>
        <w:ind w:left="709" w:hanging="709"/>
      </w:pPr>
      <w:rPr>
        <w:rFonts w:hint="eastAsia" w:ascii="仿宋_GB2312" w:eastAsia="仿宋_GB2312"/>
        <w:b/>
      </w:rPr>
    </w:lvl>
    <w:lvl w:ilvl="3" w:tentative="0">
      <w:start w:val="1"/>
      <w:numFmt w:val="decimal"/>
      <w:lvlText w:val="%1.%2.%3.%4."/>
      <w:lvlJc w:val="left"/>
      <w:pPr>
        <w:ind w:left="1418" w:hanging="851"/>
      </w:pPr>
      <w:rPr>
        <w:rFonts w:hint="eastAsia" w:ascii="仿宋_GB2312" w:eastAsia="仿宋_GB2312"/>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7">
    <w:nsid w:val="0A091EDD"/>
    <w:multiLevelType w:val="multilevel"/>
    <w:tmpl w:val="0A091EDD"/>
    <w:lvl w:ilvl="0" w:tentative="0">
      <w:start w:val="1"/>
      <w:numFmt w:val="bullet"/>
      <w:lvlText w:val=""/>
      <w:lvlJc w:val="left"/>
      <w:pPr>
        <w:tabs>
          <w:tab w:val="left" w:pos="420"/>
        </w:tabs>
        <w:ind w:left="420" w:hanging="420"/>
      </w:pPr>
      <w:rPr>
        <w:rFonts w:hint="default" w:ascii="Wingdings" w:hAnsi="Wingdings"/>
        <w:color w:val="auto"/>
      </w:rPr>
    </w:lvl>
    <w:lvl w:ilvl="1" w:tentative="0">
      <w:start w:val="0"/>
      <w:numFmt w:val="bullet"/>
      <w:lvlText w:val="●"/>
      <w:lvlJc w:val="left"/>
      <w:pPr>
        <w:tabs>
          <w:tab w:val="left" w:pos="780"/>
        </w:tabs>
        <w:ind w:left="780" w:hanging="360"/>
      </w:pPr>
      <w:rPr>
        <w:rFonts w:hint="eastAsia" w:ascii="宋体" w:hAnsi="宋体" w:eastAsia="宋体" w:cs="Times New Roman"/>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BC24116"/>
    <w:multiLevelType w:val="multilevel"/>
    <w:tmpl w:val="0BC24116"/>
    <w:lvl w:ilvl="0" w:tentative="0">
      <w:start w:val="1"/>
      <w:numFmt w:val="decimal"/>
      <w:lvlText w:val="%1）"/>
      <w:lvlJc w:val="left"/>
      <w:pPr>
        <w:ind w:left="846" w:hanging="420"/>
      </w:pPr>
      <w:rPr>
        <w:rFonts w:hint="eastAsia"/>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9">
    <w:nsid w:val="0E906EF4"/>
    <w:multiLevelType w:val="multilevel"/>
    <w:tmpl w:val="0E906EF4"/>
    <w:lvl w:ilvl="0" w:tentative="0">
      <w:start w:val="1"/>
      <w:numFmt w:val="decimal"/>
      <w:lvlText w:val="%1）"/>
      <w:lvlJc w:val="left"/>
      <w:pPr>
        <w:ind w:left="1647" w:hanging="1080"/>
      </w:pPr>
      <w:rPr>
        <w:rFonts w:ascii="仿宋_GB2312" w:hAnsi="Cambria" w:eastAsia="仿宋_GB2312" w:cs="Times New Roman"/>
        <w:lang w:val="en-US"/>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0">
    <w:nsid w:val="12D22E01"/>
    <w:multiLevelType w:val="multilevel"/>
    <w:tmpl w:val="12D22E01"/>
    <w:lvl w:ilvl="0" w:tentative="0">
      <w:start w:val="1"/>
      <w:numFmt w:val="decimal"/>
      <w:lvlText w:val="%1）"/>
      <w:lvlJc w:val="left"/>
      <w:pPr>
        <w:ind w:left="1555" w:hanging="420"/>
      </w:pPr>
      <w:rPr>
        <w:rFonts w:hint="eastAsia"/>
      </w:rPr>
    </w:lvl>
    <w:lvl w:ilvl="1" w:tentative="0">
      <w:start w:val="1"/>
      <w:numFmt w:val="lowerLetter"/>
      <w:lvlText w:val="%2)"/>
      <w:lvlJc w:val="left"/>
      <w:pPr>
        <w:ind w:left="1975" w:hanging="420"/>
      </w:pPr>
    </w:lvl>
    <w:lvl w:ilvl="2" w:tentative="0">
      <w:start w:val="1"/>
      <w:numFmt w:val="lowerRoman"/>
      <w:lvlText w:val="%3."/>
      <w:lvlJc w:val="right"/>
      <w:pPr>
        <w:ind w:left="2395" w:hanging="420"/>
      </w:pPr>
    </w:lvl>
    <w:lvl w:ilvl="3" w:tentative="0">
      <w:start w:val="1"/>
      <w:numFmt w:val="decimal"/>
      <w:lvlText w:val="%4."/>
      <w:lvlJc w:val="left"/>
      <w:pPr>
        <w:ind w:left="2815" w:hanging="420"/>
      </w:pPr>
    </w:lvl>
    <w:lvl w:ilvl="4" w:tentative="0">
      <w:start w:val="1"/>
      <w:numFmt w:val="lowerLetter"/>
      <w:lvlText w:val="%5)"/>
      <w:lvlJc w:val="left"/>
      <w:pPr>
        <w:ind w:left="3235" w:hanging="420"/>
      </w:pPr>
    </w:lvl>
    <w:lvl w:ilvl="5" w:tentative="0">
      <w:start w:val="1"/>
      <w:numFmt w:val="lowerRoman"/>
      <w:lvlText w:val="%6."/>
      <w:lvlJc w:val="right"/>
      <w:pPr>
        <w:ind w:left="3655" w:hanging="420"/>
      </w:pPr>
    </w:lvl>
    <w:lvl w:ilvl="6" w:tentative="0">
      <w:start w:val="1"/>
      <w:numFmt w:val="decimal"/>
      <w:lvlText w:val="%7."/>
      <w:lvlJc w:val="left"/>
      <w:pPr>
        <w:ind w:left="4075" w:hanging="420"/>
      </w:pPr>
    </w:lvl>
    <w:lvl w:ilvl="7" w:tentative="0">
      <w:start w:val="1"/>
      <w:numFmt w:val="lowerLetter"/>
      <w:lvlText w:val="%8)"/>
      <w:lvlJc w:val="left"/>
      <w:pPr>
        <w:ind w:left="4495" w:hanging="420"/>
      </w:pPr>
    </w:lvl>
    <w:lvl w:ilvl="8" w:tentative="0">
      <w:start w:val="1"/>
      <w:numFmt w:val="lowerRoman"/>
      <w:lvlText w:val="%9."/>
      <w:lvlJc w:val="right"/>
      <w:pPr>
        <w:ind w:left="4915" w:hanging="420"/>
      </w:pPr>
    </w:lvl>
  </w:abstractNum>
  <w:abstractNum w:abstractNumId="11">
    <w:nsid w:val="15DC4BC2"/>
    <w:multiLevelType w:val="multilevel"/>
    <w:tmpl w:val="15DC4BC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225F4449"/>
    <w:multiLevelType w:val="multilevel"/>
    <w:tmpl w:val="225F4449"/>
    <w:lvl w:ilvl="0" w:tentative="0">
      <w:start w:val="1"/>
      <w:numFmt w:val="decimal"/>
      <w:lvlText w:val="(%1)"/>
      <w:lvlJc w:val="left"/>
      <w:pPr>
        <w:ind w:left="495" w:hanging="360"/>
      </w:pPr>
      <w:rPr>
        <w:rFonts w:hint="default"/>
        <w:b w:val="0"/>
      </w:rPr>
    </w:lvl>
    <w:lvl w:ilvl="1" w:tentative="0">
      <w:start w:val="1"/>
      <w:numFmt w:val="lowerLetter"/>
      <w:lvlText w:val="%2)"/>
      <w:lvlJc w:val="left"/>
      <w:pPr>
        <w:ind w:left="975" w:hanging="420"/>
      </w:pPr>
    </w:lvl>
    <w:lvl w:ilvl="2" w:tentative="0">
      <w:start w:val="1"/>
      <w:numFmt w:val="lowerRoman"/>
      <w:lvlText w:val="%3."/>
      <w:lvlJc w:val="right"/>
      <w:pPr>
        <w:ind w:left="1395" w:hanging="420"/>
      </w:pPr>
    </w:lvl>
    <w:lvl w:ilvl="3" w:tentative="0">
      <w:start w:val="1"/>
      <w:numFmt w:val="decimal"/>
      <w:lvlText w:val="%4."/>
      <w:lvlJc w:val="left"/>
      <w:pPr>
        <w:ind w:left="1815" w:hanging="420"/>
      </w:pPr>
    </w:lvl>
    <w:lvl w:ilvl="4" w:tentative="0">
      <w:start w:val="1"/>
      <w:numFmt w:val="lowerLetter"/>
      <w:lvlText w:val="%5)"/>
      <w:lvlJc w:val="left"/>
      <w:pPr>
        <w:ind w:left="2235" w:hanging="420"/>
      </w:pPr>
    </w:lvl>
    <w:lvl w:ilvl="5" w:tentative="0">
      <w:start w:val="1"/>
      <w:numFmt w:val="lowerRoman"/>
      <w:lvlText w:val="%6."/>
      <w:lvlJc w:val="right"/>
      <w:pPr>
        <w:ind w:left="2655" w:hanging="420"/>
      </w:pPr>
    </w:lvl>
    <w:lvl w:ilvl="6" w:tentative="0">
      <w:start w:val="1"/>
      <w:numFmt w:val="decimal"/>
      <w:lvlText w:val="%7."/>
      <w:lvlJc w:val="left"/>
      <w:pPr>
        <w:ind w:left="3075" w:hanging="420"/>
      </w:pPr>
    </w:lvl>
    <w:lvl w:ilvl="7" w:tentative="0">
      <w:start w:val="1"/>
      <w:numFmt w:val="lowerLetter"/>
      <w:lvlText w:val="%8)"/>
      <w:lvlJc w:val="left"/>
      <w:pPr>
        <w:ind w:left="3495" w:hanging="420"/>
      </w:pPr>
    </w:lvl>
    <w:lvl w:ilvl="8" w:tentative="0">
      <w:start w:val="1"/>
      <w:numFmt w:val="lowerRoman"/>
      <w:lvlText w:val="%9."/>
      <w:lvlJc w:val="right"/>
      <w:pPr>
        <w:ind w:left="3915" w:hanging="420"/>
      </w:pPr>
    </w:lvl>
  </w:abstractNum>
  <w:abstractNum w:abstractNumId="13">
    <w:nsid w:val="27B50E36"/>
    <w:multiLevelType w:val="multilevel"/>
    <w:tmpl w:val="27B50E36"/>
    <w:lvl w:ilvl="0" w:tentative="0">
      <w:start w:val="1"/>
      <w:numFmt w:val="decimal"/>
      <w:lvlText w:val="%1）"/>
      <w:lvlJc w:val="left"/>
      <w:pPr>
        <w:ind w:left="980" w:hanging="42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4">
    <w:nsid w:val="2AB87EC7"/>
    <w:multiLevelType w:val="multilevel"/>
    <w:tmpl w:val="2AB87EC7"/>
    <w:lvl w:ilvl="0" w:tentative="0">
      <w:start w:val="1"/>
      <w:numFmt w:val="decimal"/>
      <w:lvlText w:val="(%1)"/>
      <w:lvlJc w:val="left"/>
      <w:pPr>
        <w:ind w:left="840" w:hanging="420"/>
      </w:pPr>
      <w:rPr>
        <w:rFonts w:hint="eastAsia" w:eastAsia="仿宋_GB2312"/>
      </w:rPr>
    </w:lvl>
    <w:lvl w:ilvl="1" w:tentative="0">
      <w:start w:val="1"/>
      <w:numFmt w:val="decimal"/>
      <w:lvlText w:val="（%2）"/>
      <w:lvlJc w:val="left"/>
      <w:pPr>
        <w:ind w:left="420" w:hanging="420"/>
      </w:pPr>
      <w:rPr>
        <w:rFonts w:hint="eastAsia" w:eastAsia="仿宋_GB2312"/>
      </w:rPr>
    </w:lvl>
    <w:lvl w:ilvl="2" w:tentative="0">
      <w:start w:val="2"/>
      <w:numFmt w:val="decimal"/>
      <w:lvlText w:val="（%3）"/>
      <w:lvlJc w:val="left"/>
      <w:pPr>
        <w:ind w:left="1920" w:hanging="108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30AC058E"/>
    <w:multiLevelType w:val="multilevel"/>
    <w:tmpl w:val="30AC058E"/>
    <w:lvl w:ilvl="0" w:tentative="0">
      <w:start w:val="2"/>
      <w:numFmt w:val="decimal"/>
      <w:lvlText w:val="（%1）"/>
      <w:lvlJc w:val="left"/>
      <w:pPr>
        <w:ind w:left="1917" w:hanging="1080"/>
      </w:pPr>
      <w:rPr>
        <w:rFonts w:hint="default"/>
      </w:rPr>
    </w:lvl>
    <w:lvl w:ilvl="1" w:tentative="0">
      <w:start w:val="1"/>
      <w:numFmt w:val="lowerLetter"/>
      <w:lvlText w:val="%2)"/>
      <w:lvlJc w:val="left"/>
      <w:pPr>
        <w:ind w:left="1677" w:hanging="420"/>
      </w:pPr>
    </w:lvl>
    <w:lvl w:ilvl="2" w:tentative="0">
      <w:start w:val="1"/>
      <w:numFmt w:val="lowerRoman"/>
      <w:lvlText w:val="%3."/>
      <w:lvlJc w:val="right"/>
      <w:pPr>
        <w:ind w:left="2097" w:hanging="420"/>
      </w:pPr>
    </w:lvl>
    <w:lvl w:ilvl="3" w:tentative="0">
      <w:start w:val="1"/>
      <w:numFmt w:val="decimal"/>
      <w:lvlText w:val="%4."/>
      <w:lvlJc w:val="left"/>
      <w:pPr>
        <w:ind w:left="2517" w:hanging="420"/>
      </w:pPr>
    </w:lvl>
    <w:lvl w:ilvl="4" w:tentative="0">
      <w:start w:val="1"/>
      <w:numFmt w:val="lowerLetter"/>
      <w:lvlText w:val="%5)"/>
      <w:lvlJc w:val="left"/>
      <w:pPr>
        <w:ind w:left="2937" w:hanging="420"/>
      </w:pPr>
    </w:lvl>
    <w:lvl w:ilvl="5" w:tentative="0">
      <w:start w:val="1"/>
      <w:numFmt w:val="lowerRoman"/>
      <w:lvlText w:val="%6."/>
      <w:lvlJc w:val="right"/>
      <w:pPr>
        <w:ind w:left="3357" w:hanging="420"/>
      </w:pPr>
    </w:lvl>
    <w:lvl w:ilvl="6" w:tentative="0">
      <w:start w:val="1"/>
      <w:numFmt w:val="decimal"/>
      <w:lvlText w:val="%7."/>
      <w:lvlJc w:val="left"/>
      <w:pPr>
        <w:ind w:left="3777" w:hanging="420"/>
      </w:pPr>
    </w:lvl>
    <w:lvl w:ilvl="7" w:tentative="0">
      <w:start w:val="1"/>
      <w:numFmt w:val="lowerLetter"/>
      <w:lvlText w:val="%8)"/>
      <w:lvlJc w:val="left"/>
      <w:pPr>
        <w:ind w:left="4197" w:hanging="420"/>
      </w:pPr>
    </w:lvl>
    <w:lvl w:ilvl="8" w:tentative="0">
      <w:start w:val="1"/>
      <w:numFmt w:val="lowerRoman"/>
      <w:lvlText w:val="%9."/>
      <w:lvlJc w:val="right"/>
      <w:pPr>
        <w:ind w:left="4617" w:hanging="420"/>
      </w:pPr>
    </w:lvl>
  </w:abstractNum>
  <w:abstractNum w:abstractNumId="16">
    <w:nsid w:val="33615EC8"/>
    <w:multiLevelType w:val="multilevel"/>
    <w:tmpl w:val="33615EC8"/>
    <w:lvl w:ilvl="0" w:tentative="0">
      <w:start w:val="1"/>
      <w:numFmt w:val="decimal"/>
      <w:lvlText w:val="（%1）"/>
      <w:lvlJc w:val="left"/>
      <w:pPr>
        <w:ind w:left="1020" w:hanging="420"/>
      </w:pPr>
      <w:rPr>
        <w:rFonts w:hint="eastAsia" w:eastAsia="仿宋_GB2312"/>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7">
    <w:nsid w:val="33A334C7"/>
    <w:multiLevelType w:val="multilevel"/>
    <w:tmpl w:val="33A334C7"/>
    <w:lvl w:ilvl="0" w:tentative="0">
      <w:start w:val="1"/>
      <w:numFmt w:val="chineseCountingThousand"/>
      <w:lvlText w:val="第%1条"/>
      <w:lvlJc w:val="left"/>
      <w:pPr>
        <w:ind w:left="420" w:hanging="420"/>
      </w:pPr>
      <w:rPr>
        <w:rFonts w:hint="default" w:ascii="Calibri" w:hAnsi="Calibri" w:eastAsia="仿宋_GB2312" w:cs="Times New Roman"/>
        <w:b/>
        <w:i w:val="0"/>
        <w:color w:val="auto"/>
        <w:sz w:val="30"/>
      </w:rPr>
    </w:lvl>
    <w:lvl w:ilvl="1" w:tentative="0">
      <w:start w:val="1"/>
      <w:numFmt w:val="japaneseCounting"/>
      <w:lvlText w:val="（%2）"/>
      <w:lvlJc w:val="left"/>
      <w:pPr>
        <w:ind w:left="1890" w:hanging="147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3E0F73B1"/>
    <w:multiLevelType w:val="multilevel"/>
    <w:tmpl w:val="3E0F73B1"/>
    <w:lvl w:ilvl="0" w:tentative="0">
      <w:start w:val="1"/>
      <w:numFmt w:val="decimal"/>
      <w:lvlText w:val="%1)"/>
      <w:lvlJc w:val="left"/>
      <w:pPr>
        <w:ind w:left="1020" w:hanging="420"/>
      </w:pPr>
    </w:lvl>
    <w:lvl w:ilvl="1" w:tentative="0">
      <w:start w:val="1"/>
      <w:numFmt w:val="decimal"/>
      <w:lvlText w:val="（%2）"/>
      <w:lvlJc w:val="left"/>
      <w:pPr>
        <w:ind w:left="2100" w:hanging="1080"/>
      </w:pPr>
      <w:rPr>
        <w:rFonts w:hint="default" w:hAnsi="黑体"/>
      </w:rPr>
    </w:lvl>
    <w:lvl w:ilvl="2" w:tentative="0">
      <w:start w:val="2"/>
      <w:numFmt w:val="decimal"/>
      <w:lvlText w:val="（%3）"/>
      <w:lvlJc w:val="left"/>
      <w:pPr>
        <w:ind w:left="2520" w:hanging="1080"/>
      </w:pPr>
      <w:rPr>
        <w:rFonts w:hint="default"/>
      </w:r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9">
    <w:nsid w:val="40F12327"/>
    <w:multiLevelType w:val="multilevel"/>
    <w:tmpl w:val="40F1232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502566B9"/>
    <w:multiLevelType w:val="multilevel"/>
    <w:tmpl w:val="502566B9"/>
    <w:lvl w:ilvl="0" w:tentative="0">
      <w:start w:val="1"/>
      <w:numFmt w:val="decimal"/>
      <w:lvlText w:val="%1）"/>
      <w:lvlJc w:val="left"/>
      <w:pPr>
        <w:ind w:left="1129" w:hanging="420"/>
      </w:pPr>
      <w:rPr>
        <w:rFonts w:ascii="仿宋_GB2312" w:hAnsi="仿宋" w:eastAsia="仿宋_GB2312" w:cs="Times New Roman"/>
        <w:lang w:val="en-US"/>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21">
    <w:nsid w:val="530F1FD9"/>
    <w:multiLevelType w:val="multilevel"/>
    <w:tmpl w:val="530F1FD9"/>
    <w:lvl w:ilvl="0" w:tentative="0">
      <w:start w:val="1"/>
      <w:numFmt w:val="decimal"/>
      <w:lvlText w:val="(%1)"/>
      <w:lvlJc w:val="left"/>
      <w:pPr>
        <w:ind w:left="495" w:hanging="360"/>
      </w:pPr>
      <w:rPr>
        <w:rFonts w:hint="default"/>
        <w:b w:val="0"/>
      </w:rPr>
    </w:lvl>
    <w:lvl w:ilvl="1" w:tentative="0">
      <w:start w:val="1"/>
      <w:numFmt w:val="lowerLetter"/>
      <w:lvlText w:val="%2)"/>
      <w:lvlJc w:val="left"/>
      <w:pPr>
        <w:ind w:left="975" w:hanging="420"/>
      </w:pPr>
    </w:lvl>
    <w:lvl w:ilvl="2" w:tentative="0">
      <w:start w:val="1"/>
      <w:numFmt w:val="lowerRoman"/>
      <w:lvlText w:val="%3."/>
      <w:lvlJc w:val="right"/>
      <w:pPr>
        <w:ind w:left="1395" w:hanging="420"/>
      </w:pPr>
    </w:lvl>
    <w:lvl w:ilvl="3" w:tentative="0">
      <w:start w:val="1"/>
      <w:numFmt w:val="decimal"/>
      <w:lvlText w:val="%4."/>
      <w:lvlJc w:val="left"/>
      <w:pPr>
        <w:ind w:left="1815" w:hanging="420"/>
      </w:pPr>
    </w:lvl>
    <w:lvl w:ilvl="4" w:tentative="0">
      <w:start w:val="1"/>
      <w:numFmt w:val="lowerLetter"/>
      <w:lvlText w:val="%5)"/>
      <w:lvlJc w:val="left"/>
      <w:pPr>
        <w:ind w:left="2235" w:hanging="420"/>
      </w:pPr>
    </w:lvl>
    <w:lvl w:ilvl="5" w:tentative="0">
      <w:start w:val="1"/>
      <w:numFmt w:val="lowerRoman"/>
      <w:lvlText w:val="%6."/>
      <w:lvlJc w:val="right"/>
      <w:pPr>
        <w:ind w:left="2655" w:hanging="420"/>
      </w:pPr>
    </w:lvl>
    <w:lvl w:ilvl="6" w:tentative="0">
      <w:start w:val="1"/>
      <w:numFmt w:val="decimal"/>
      <w:lvlText w:val="%7."/>
      <w:lvlJc w:val="left"/>
      <w:pPr>
        <w:ind w:left="3075" w:hanging="420"/>
      </w:pPr>
    </w:lvl>
    <w:lvl w:ilvl="7" w:tentative="0">
      <w:start w:val="1"/>
      <w:numFmt w:val="lowerLetter"/>
      <w:lvlText w:val="%8)"/>
      <w:lvlJc w:val="left"/>
      <w:pPr>
        <w:ind w:left="3495" w:hanging="420"/>
      </w:pPr>
    </w:lvl>
    <w:lvl w:ilvl="8" w:tentative="0">
      <w:start w:val="1"/>
      <w:numFmt w:val="lowerRoman"/>
      <w:lvlText w:val="%9."/>
      <w:lvlJc w:val="right"/>
      <w:pPr>
        <w:ind w:left="3915" w:hanging="420"/>
      </w:pPr>
    </w:lvl>
  </w:abstractNum>
  <w:abstractNum w:abstractNumId="22">
    <w:nsid w:val="5EA656DE"/>
    <w:multiLevelType w:val="multilevel"/>
    <w:tmpl w:val="5EA656DE"/>
    <w:lvl w:ilvl="0" w:tentative="0">
      <w:start w:val="1"/>
      <w:numFmt w:val="japaneseCounting"/>
      <w:pStyle w:val="108"/>
      <w:lvlText w:val="第%1条"/>
      <w:lvlJc w:val="left"/>
      <w:pPr>
        <w:ind w:left="3045" w:hanging="420"/>
      </w:pPr>
      <w:rPr>
        <w:rFonts w:hint="eastAsia" w:ascii="仿宋_GB2312" w:eastAsia="仿宋_GB2312" w:cs="Times New Roman"/>
        <w:b/>
        <w:sz w:val="30"/>
        <w:szCs w:val="30"/>
      </w:rPr>
    </w:lvl>
    <w:lvl w:ilvl="1" w:tentative="0">
      <w:start w:val="1"/>
      <w:numFmt w:val="chineseCountingThousand"/>
      <w:lvlText w:val="第%2条"/>
      <w:lvlJc w:val="left"/>
      <w:pPr>
        <w:tabs>
          <w:tab w:val="left" w:pos="3856"/>
        </w:tabs>
        <w:ind w:left="1928" w:firstLine="567"/>
      </w:pPr>
      <w:rPr>
        <w:rFonts w:hint="eastAsia" w:ascii="仿宋_GB2312" w:eastAsia="仿宋_GB2312" w:cs="Times New Roman"/>
        <w:b w:val="0"/>
        <w:i w:val="0"/>
        <w:strike w:val="0"/>
        <w:dstrike w:val="0"/>
        <w:spacing w:val="0"/>
        <w:w w:val="100"/>
        <w:kern w:val="0"/>
        <w:position w:val="0"/>
        <w:sz w:val="32"/>
        <w:szCs w:val="32"/>
        <w:u w:val="none"/>
      </w:rPr>
    </w:lvl>
    <w:lvl w:ilvl="2" w:tentative="0">
      <w:start w:val="1"/>
      <w:numFmt w:val="decimal"/>
      <w:lvlText w:val="%3."/>
      <w:lvlJc w:val="left"/>
      <w:pPr>
        <w:tabs>
          <w:tab w:val="left" w:pos="3595"/>
        </w:tabs>
        <w:ind w:left="3595" w:hanging="360"/>
      </w:pPr>
      <w:rPr>
        <w:rFonts w:cs="Times New Roman"/>
      </w:rPr>
    </w:lvl>
    <w:lvl w:ilvl="3" w:tentative="0">
      <w:start w:val="1"/>
      <w:numFmt w:val="decimal"/>
      <w:lvlText w:val="%4."/>
      <w:lvlJc w:val="left"/>
      <w:pPr>
        <w:tabs>
          <w:tab w:val="left" w:pos="4315"/>
        </w:tabs>
        <w:ind w:left="4315" w:hanging="360"/>
      </w:pPr>
      <w:rPr>
        <w:rFonts w:cs="Times New Roman"/>
      </w:rPr>
    </w:lvl>
    <w:lvl w:ilvl="4" w:tentative="0">
      <w:start w:val="1"/>
      <w:numFmt w:val="decimal"/>
      <w:lvlText w:val="%5."/>
      <w:lvlJc w:val="left"/>
      <w:pPr>
        <w:tabs>
          <w:tab w:val="left" w:pos="5035"/>
        </w:tabs>
        <w:ind w:left="5035" w:hanging="360"/>
      </w:pPr>
      <w:rPr>
        <w:rFonts w:cs="Times New Roman"/>
      </w:rPr>
    </w:lvl>
    <w:lvl w:ilvl="5" w:tentative="0">
      <w:start w:val="1"/>
      <w:numFmt w:val="decimal"/>
      <w:lvlText w:val="%6."/>
      <w:lvlJc w:val="left"/>
      <w:pPr>
        <w:tabs>
          <w:tab w:val="left" w:pos="5755"/>
        </w:tabs>
        <w:ind w:left="5755" w:hanging="360"/>
      </w:pPr>
      <w:rPr>
        <w:rFonts w:cs="Times New Roman"/>
      </w:rPr>
    </w:lvl>
    <w:lvl w:ilvl="6" w:tentative="0">
      <w:start w:val="1"/>
      <w:numFmt w:val="decimal"/>
      <w:lvlText w:val="%7."/>
      <w:lvlJc w:val="left"/>
      <w:pPr>
        <w:tabs>
          <w:tab w:val="left" w:pos="6475"/>
        </w:tabs>
        <w:ind w:left="6475" w:hanging="360"/>
      </w:pPr>
      <w:rPr>
        <w:rFonts w:cs="Times New Roman"/>
      </w:rPr>
    </w:lvl>
    <w:lvl w:ilvl="7" w:tentative="0">
      <w:start w:val="1"/>
      <w:numFmt w:val="decimal"/>
      <w:lvlText w:val="%8."/>
      <w:lvlJc w:val="left"/>
      <w:pPr>
        <w:tabs>
          <w:tab w:val="left" w:pos="7195"/>
        </w:tabs>
        <w:ind w:left="7195" w:hanging="360"/>
      </w:pPr>
      <w:rPr>
        <w:rFonts w:cs="Times New Roman"/>
      </w:rPr>
    </w:lvl>
    <w:lvl w:ilvl="8" w:tentative="0">
      <w:start w:val="1"/>
      <w:numFmt w:val="decimal"/>
      <w:lvlText w:val="%9."/>
      <w:lvlJc w:val="left"/>
      <w:pPr>
        <w:tabs>
          <w:tab w:val="left" w:pos="7915"/>
        </w:tabs>
        <w:ind w:left="7915" w:hanging="360"/>
      </w:pPr>
      <w:rPr>
        <w:rFonts w:cs="Times New Roman"/>
      </w:rPr>
    </w:lvl>
  </w:abstractNum>
  <w:abstractNum w:abstractNumId="23">
    <w:nsid w:val="61000131"/>
    <w:multiLevelType w:val="multilevel"/>
    <w:tmpl w:val="61000131"/>
    <w:lvl w:ilvl="0" w:tentative="0">
      <w:start w:val="1"/>
      <w:numFmt w:val="decimal"/>
      <w:lvlText w:val="%1)"/>
      <w:lvlJc w:val="left"/>
      <w:pPr>
        <w:ind w:left="1020" w:hanging="420"/>
      </w:p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4">
    <w:nsid w:val="61F756AC"/>
    <w:multiLevelType w:val="singleLevel"/>
    <w:tmpl w:val="61F756AC"/>
    <w:lvl w:ilvl="0" w:tentative="0">
      <w:start w:val="1"/>
      <w:numFmt w:val="decimal"/>
      <w:suff w:val="nothing"/>
      <w:lvlText w:val="（%1）"/>
      <w:lvlJc w:val="left"/>
    </w:lvl>
  </w:abstractNum>
  <w:abstractNum w:abstractNumId="25">
    <w:nsid w:val="6A8418B2"/>
    <w:multiLevelType w:val="multilevel"/>
    <w:tmpl w:val="6A8418B2"/>
    <w:lvl w:ilvl="0" w:tentative="0">
      <w:start w:val="1"/>
      <w:numFmt w:val="decimal"/>
      <w:lvlText w:val="（%1）"/>
      <w:lvlJc w:val="left"/>
      <w:pPr>
        <w:ind w:left="987" w:hanging="420"/>
      </w:pPr>
      <w:rPr>
        <w:rFonts w:hint="eastAsia" w:eastAsia="仿宋_GB2312"/>
        <w:b w:val="0"/>
        <w:i w:val="0"/>
        <w:sz w:val="30"/>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6">
    <w:nsid w:val="75BD12CA"/>
    <w:multiLevelType w:val="multilevel"/>
    <w:tmpl w:val="75BD12CA"/>
    <w:lvl w:ilvl="0" w:tentative="0">
      <w:start w:val="1"/>
      <w:numFmt w:val="decimal"/>
      <w:pStyle w:val="2"/>
      <w:lvlText w:val="%1"/>
      <w:lvlJc w:val="left"/>
      <w:pPr>
        <w:ind w:left="420" w:hanging="420"/>
      </w:pPr>
      <w:rPr>
        <w:rFonts w:hint="eastAsia" w:eastAsia="仿宋_GB2312"/>
        <w:lang w:eastAsia="zh-C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78C74745"/>
    <w:multiLevelType w:val="multilevel"/>
    <w:tmpl w:val="78C74745"/>
    <w:lvl w:ilvl="0" w:tentative="0">
      <w:start w:val="6"/>
      <w:numFmt w:val="decimal"/>
      <w:lvlText w:val="（%1）"/>
      <w:lvlJc w:val="left"/>
      <w:pPr>
        <w:ind w:left="30" w:hanging="1080"/>
      </w:pPr>
      <w:rPr>
        <w:rFonts w:hint="default"/>
      </w:rPr>
    </w:lvl>
    <w:lvl w:ilvl="1" w:tentative="0">
      <w:start w:val="1"/>
      <w:numFmt w:val="lowerLetter"/>
      <w:lvlText w:val="%2)"/>
      <w:lvlJc w:val="left"/>
      <w:pPr>
        <w:ind w:left="-210" w:hanging="420"/>
      </w:pPr>
    </w:lvl>
    <w:lvl w:ilvl="2" w:tentative="0">
      <w:start w:val="1"/>
      <w:numFmt w:val="lowerRoman"/>
      <w:lvlText w:val="%3."/>
      <w:lvlJc w:val="right"/>
      <w:pPr>
        <w:ind w:left="210" w:hanging="420"/>
      </w:pPr>
    </w:lvl>
    <w:lvl w:ilvl="3" w:tentative="0">
      <w:start w:val="1"/>
      <w:numFmt w:val="decimal"/>
      <w:lvlText w:val="%4."/>
      <w:lvlJc w:val="left"/>
      <w:pPr>
        <w:ind w:left="630" w:hanging="420"/>
      </w:pPr>
    </w:lvl>
    <w:lvl w:ilvl="4" w:tentative="0">
      <w:start w:val="1"/>
      <w:numFmt w:val="lowerLetter"/>
      <w:lvlText w:val="%5)"/>
      <w:lvlJc w:val="left"/>
      <w:pPr>
        <w:ind w:left="1050" w:hanging="420"/>
      </w:pPr>
    </w:lvl>
    <w:lvl w:ilvl="5" w:tentative="0">
      <w:start w:val="1"/>
      <w:numFmt w:val="lowerRoman"/>
      <w:lvlText w:val="%6."/>
      <w:lvlJc w:val="right"/>
      <w:pPr>
        <w:ind w:left="1470" w:hanging="420"/>
      </w:pPr>
    </w:lvl>
    <w:lvl w:ilvl="6" w:tentative="0">
      <w:start w:val="1"/>
      <w:numFmt w:val="decimal"/>
      <w:lvlText w:val="%7."/>
      <w:lvlJc w:val="left"/>
      <w:pPr>
        <w:ind w:left="1890" w:hanging="420"/>
      </w:pPr>
    </w:lvl>
    <w:lvl w:ilvl="7" w:tentative="0">
      <w:start w:val="1"/>
      <w:numFmt w:val="lowerLetter"/>
      <w:lvlText w:val="%8)"/>
      <w:lvlJc w:val="left"/>
      <w:pPr>
        <w:ind w:left="2310" w:hanging="420"/>
      </w:pPr>
    </w:lvl>
    <w:lvl w:ilvl="8" w:tentative="0">
      <w:start w:val="1"/>
      <w:numFmt w:val="lowerRoman"/>
      <w:lvlText w:val="%9."/>
      <w:lvlJc w:val="right"/>
      <w:pPr>
        <w:ind w:left="2730" w:hanging="420"/>
      </w:pPr>
    </w:lvl>
  </w:abstractNum>
  <w:abstractNum w:abstractNumId="28">
    <w:nsid w:val="7BA54873"/>
    <w:multiLevelType w:val="multilevel"/>
    <w:tmpl w:val="7BA54873"/>
    <w:lvl w:ilvl="0" w:tentative="0">
      <w:start w:val="1"/>
      <w:numFmt w:val="decimal"/>
      <w:lvlText w:val="%1）"/>
      <w:lvlJc w:val="left"/>
      <w:pPr>
        <w:ind w:left="1020" w:hanging="420"/>
      </w:pPr>
      <w:rPr>
        <w:rFonts w:hint="eastAsia"/>
        <w:lang w:val="en-US"/>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9">
    <w:nsid w:val="7EFD7C5C"/>
    <w:multiLevelType w:val="multilevel"/>
    <w:tmpl w:val="7EFD7C5C"/>
    <w:lvl w:ilvl="0" w:tentative="0">
      <w:start w:val="1"/>
      <w:numFmt w:val="decimal"/>
      <w:lvlText w:val="（%1）"/>
      <w:lvlJc w:val="left"/>
      <w:pPr>
        <w:ind w:left="980" w:hanging="420"/>
      </w:pPr>
      <w:rPr>
        <w:rFonts w:hint="eastAsia"/>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0">
    <w:nsid w:val="7F066573"/>
    <w:multiLevelType w:val="multilevel"/>
    <w:tmpl w:val="7F066573"/>
    <w:lvl w:ilvl="0" w:tentative="0">
      <w:start w:val="1"/>
      <w:numFmt w:val="bullet"/>
      <w:lvlText w:val=""/>
      <w:lvlJc w:val="left"/>
      <w:pPr>
        <w:ind w:left="987" w:hanging="420"/>
      </w:pPr>
      <w:rPr>
        <w:rFonts w:hint="default" w:ascii="Wingdings" w:hAnsi="Wingdings"/>
      </w:rPr>
    </w:lvl>
    <w:lvl w:ilvl="1" w:tentative="0">
      <w:start w:val="1"/>
      <w:numFmt w:val="bullet"/>
      <w:lvlText w:val=""/>
      <w:lvlJc w:val="left"/>
      <w:pPr>
        <w:ind w:left="1407" w:hanging="420"/>
      </w:pPr>
      <w:rPr>
        <w:rFonts w:hint="default" w:ascii="Wingdings" w:hAnsi="Wingdings"/>
      </w:rPr>
    </w:lvl>
    <w:lvl w:ilvl="2" w:tentative="0">
      <w:start w:val="1"/>
      <w:numFmt w:val="bullet"/>
      <w:lvlText w:val=""/>
      <w:lvlJc w:val="left"/>
      <w:pPr>
        <w:ind w:left="1827" w:hanging="420"/>
      </w:pPr>
      <w:rPr>
        <w:rFonts w:hint="default" w:ascii="Wingdings" w:hAnsi="Wingdings"/>
      </w:rPr>
    </w:lvl>
    <w:lvl w:ilvl="3" w:tentative="0">
      <w:start w:val="1"/>
      <w:numFmt w:val="bullet"/>
      <w:lvlText w:val=""/>
      <w:lvlJc w:val="left"/>
      <w:pPr>
        <w:ind w:left="2247" w:hanging="420"/>
      </w:pPr>
      <w:rPr>
        <w:rFonts w:hint="default" w:ascii="Wingdings" w:hAnsi="Wingdings"/>
      </w:rPr>
    </w:lvl>
    <w:lvl w:ilvl="4" w:tentative="0">
      <w:start w:val="1"/>
      <w:numFmt w:val="bullet"/>
      <w:lvlText w:val=""/>
      <w:lvlJc w:val="left"/>
      <w:pPr>
        <w:ind w:left="2667" w:hanging="420"/>
      </w:pPr>
      <w:rPr>
        <w:rFonts w:hint="default" w:ascii="Wingdings" w:hAnsi="Wingdings"/>
      </w:rPr>
    </w:lvl>
    <w:lvl w:ilvl="5" w:tentative="0">
      <w:start w:val="1"/>
      <w:numFmt w:val="bullet"/>
      <w:lvlText w:val=""/>
      <w:lvlJc w:val="left"/>
      <w:pPr>
        <w:ind w:left="3087" w:hanging="420"/>
      </w:pPr>
      <w:rPr>
        <w:rFonts w:hint="default" w:ascii="Wingdings" w:hAnsi="Wingdings"/>
      </w:rPr>
    </w:lvl>
    <w:lvl w:ilvl="6" w:tentative="0">
      <w:start w:val="1"/>
      <w:numFmt w:val="bullet"/>
      <w:lvlText w:val=""/>
      <w:lvlJc w:val="left"/>
      <w:pPr>
        <w:ind w:left="3507" w:hanging="420"/>
      </w:pPr>
      <w:rPr>
        <w:rFonts w:hint="default" w:ascii="Wingdings" w:hAnsi="Wingdings"/>
      </w:rPr>
    </w:lvl>
    <w:lvl w:ilvl="7" w:tentative="0">
      <w:start w:val="1"/>
      <w:numFmt w:val="bullet"/>
      <w:lvlText w:val=""/>
      <w:lvlJc w:val="left"/>
      <w:pPr>
        <w:ind w:left="3927" w:hanging="420"/>
      </w:pPr>
      <w:rPr>
        <w:rFonts w:hint="default" w:ascii="Wingdings" w:hAnsi="Wingdings"/>
      </w:rPr>
    </w:lvl>
    <w:lvl w:ilvl="8" w:tentative="0">
      <w:start w:val="1"/>
      <w:numFmt w:val="bullet"/>
      <w:lvlText w:val=""/>
      <w:lvlJc w:val="left"/>
      <w:pPr>
        <w:ind w:left="4347" w:hanging="420"/>
      </w:pPr>
      <w:rPr>
        <w:rFonts w:hint="default" w:ascii="Wingdings" w:hAnsi="Wingdings"/>
      </w:rPr>
    </w:lvl>
  </w:abstractNum>
  <w:num w:numId="1">
    <w:abstractNumId w:val="26"/>
  </w:num>
  <w:num w:numId="2">
    <w:abstractNumId w:val="5"/>
  </w:num>
  <w:num w:numId="3">
    <w:abstractNumId w:val="22"/>
  </w:num>
  <w:num w:numId="4">
    <w:abstractNumId w:val="6"/>
  </w:num>
  <w:num w:numId="5">
    <w:abstractNumId w:val="28"/>
  </w:num>
  <w:num w:numId="6">
    <w:abstractNumId w:val="11"/>
  </w:num>
  <w:num w:numId="7">
    <w:abstractNumId w:val="19"/>
  </w:num>
  <w:num w:numId="8">
    <w:abstractNumId w:val="30"/>
  </w:num>
  <w:num w:numId="9">
    <w:abstractNumId w:val="23"/>
  </w:num>
  <w:num w:numId="10">
    <w:abstractNumId w:val="18"/>
  </w:num>
  <w:num w:numId="11">
    <w:abstractNumId w:val="27"/>
  </w:num>
  <w:num w:numId="12">
    <w:abstractNumId w:val="16"/>
  </w:num>
  <w:num w:numId="13">
    <w:abstractNumId w:val="14"/>
  </w:num>
  <w:num w:numId="14">
    <w:abstractNumId w:val="20"/>
  </w:num>
  <w:num w:numId="15">
    <w:abstractNumId w:val="10"/>
  </w:num>
  <w:num w:numId="16">
    <w:abstractNumId w:val="8"/>
  </w:num>
  <w:num w:numId="17">
    <w:abstractNumId w:val="0"/>
  </w:num>
  <w:num w:numId="18">
    <w:abstractNumId w:val="4"/>
  </w:num>
  <w:num w:numId="19">
    <w:abstractNumId w:val="15"/>
  </w:num>
  <w:num w:numId="20">
    <w:abstractNumId w:val="24"/>
  </w:num>
  <w:num w:numId="21">
    <w:abstractNumId w:val="2"/>
  </w:num>
  <w:num w:numId="22">
    <w:abstractNumId w:val="25"/>
  </w:num>
  <w:num w:numId="23">
    <w:abstractNumId w:val="29"/>
  </w:num>
  <w:num w:numId="24">
    <w:abstractNumId w:val="13"/>
  </w:num>
  <w:num w:numId="25">
    <w:abstractNumId w:val="9"/>
  </w:num>
  <w:num w:numId="26">
    <w:abstractNumId w:val="1"/>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21"/>
  </w:num>
  <w:num w:numId="30">
    <w:abstractNumId w:val="7"/>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0"/>
  <w:bordersDoNotSurroundFooter w:val="0"/>
  <w:hideSpellingErrors/>
  <w:hideGrammaticalErrors/>
  <w:trackRevisions w:val="1"/>
  <w:documentProtection w:enforcement="0"/>
  <w:defaultTabStop w:val="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10"/>
    <w:footnote w:id="1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FhMDY5ZWZkMjNhZjM4OTRjYWYwMzNiOWM2NWVmNDMifQ=="/>
  </w:docVars>
  <w:rsids>
    <w:rsidRoot w:val="00054864"/>
    <w:rsid w:val="00000111"/>
    <w:rsid w:val="000003F9"/>
    <w:rsid w:val="00002001"/>
    <w:rsid w:val="000022F0"/>
    <w:rsid w:val="000023D2"/>
    <w:rsid w:val="00002E7D"/>
    <w:rsid w:val="00003560"/>
    <w:rsid w:val="00003EA7"/>
    <w:rsid w:val="0000401B"/>
    <w:rsid w:val="00005F62"/>
    <w:rsid w:val="00006128"/>
    <w:rsid w:val="00007151"/>
    <w:rsid w:val="000108FD"/>
    <w:rsid w:val="00011ED6"/>
    <w:rsid w:val="0001287D"/>
    <w:rsid w:val="000131A8"/>
    <w:rsid w:val="000141CC"/>
    <w:rsid w:val="000144EB"/>
    <w:rsid w:val="00015C78"/>
    <w:rsid w:val="00016CF1"/>
    <w:rsid w:val="00017C70"/>
    <w:rsid w:val="00021CEB"/>
    <w:rsid w:val="00021E00"/>
    <w:rsid w:val="00022762"/>
    <w:rsid w:val="000231E7"/>
    <w:rsid w:val="000237B2"/>
    <w:rsid w:val="00023ABC"/>
    <w:rsid w:val="00023CFF"/>
    <w:rsid w:val="00024225"/>
    <w:rsid w:val="000252B8"/>
    <w:rsid w:val="0002547C"/>
    <w:rsid w:val="000274E7"/>
    <w:rsid w:val="00030718"/>
    <w:rsid w:val="000318E0"/>
    <w:rsid w:val="00031C19"/>
    <w:rsid w:val="00032AA2"/>
    <w:rsid w:val="00032F7A"/>
    <w:rsid w:val="00033DE6"/>
    <w:rsid w:val="0003459E"/>
    <w:rsid w:val="000349B2"/>
    <w:rsid w:val="00036F41"/>
    <w:rsid w:val="0003709B"/>
    <w:rsid w:val="00040748"/>
    <w:rsid w:val="00040F89"/>
    <w:rsid w:val="000412D2"/>
    <w:rsid w:val="000414DC"/>
    <w:rsid w:val="00043325"/>
    <w:rsid w:val="00044191"/>
    <w:rsid w:val="000448FF"/>
    <w:rsid w:val="00044EF2"/>
    <w:rsid w:val="000450B9"/>
    <w:rsid w:val="00045921"/>
    <w:rsid w:val="00045AAE"/>
    <w:rsid w:val="00045BEF"/>
    <w:rsid w:val="000475C8"/>
    <w:rsid w:val="000512C3"/>
    <w:rsid w:val="00051D58"/>
    <w:rsid w:val="0005203C"/>
    <w:rsid w:val="000533A4"/>
    <w:rsid w:val="000536FF"/>
    <w:rsid w:val="00053980"/>
    <w:rsid w:val="00054864"/>
    <w:rsid w:val="00054B19"/>
    <w:rsid w:val="00055D22"/>
    <w:rsid w:val="00056058"/>
    <w:rsid w:val="00057952"/>
    <w:rsid w:val="0006046C"/>
    <w:rsid w:val="00060C5C"/>
    <w:rsid w:val="0006157D"/>
    <w:rsid w:val="00062B12"/>
    <w:rsid w:val="00062E78"/>
    <w:rsid w:val="00063801"/>
    <w:rsid w:val="00063E4F"/>
    <w:rsid w:val="00063EED"/>
    <w:rsid w:val="00064386"/>
    <w:rsid w:val="00065663"/>
    <w:rsid w:val="000661BD"/>
    <w:rsid w:val="000666F6"/>
    <w:rsid w:val="00066A09"/>
    <w:rsid w:val="00066BBA"/>
    <w:rsid w:val="0006753E"/>
    <w:rsid w:val="000675F8"/>
    <w:rsid w:val="00067D1E"/>
    <w:rsid w:val="0007161D"/>
    <w:rsid w:val="00072043"/>
    <w:rsid w:val="000727E8"/>
    <w:rsid w:val="000742D6"/>
    <w:rsid w:val="000743C4"/>
    <w:rsid w:val="00074581"/>
    <w:rsid w:val="0007535A"/>
    <w:rsid w:val="00076703"/>
    <w:rsid w:val="0008097A"/>
    <w:rsid w:val="00082111"/>
    <w:rsid w:val="00083711"/>
    <w:rsid w:val="00083D32"/>
    <w:rsid w:val="000848A2"/>
    <w:rsid w:val="00084991"/>
    <w:rsid w:val="00084D03"/>
    <w:rsid w:val="00084FFC"/>
    <w:rsid w:val="000854D9"/>
    <w:rsid w:val="000856D8"/>
    <w:rsid w:val="000860E5"/>
    <w:rsid w:val="00086322"/>
    <w:rsid w:val="00086815"/>
    <w:rsid w:val="00087538"/>
    <w:rsid w:val="00087D04"/>
    <w:rsid w:val="00087F5C"/>
    <w:rsid w:val="00090822"/>
    <w:rsid w:val="00090BA4"/>
    <w:rsid w:val="0009153B"/>
    <w:rsid w:val="00092F9F"/>
    <w:rsid w:val="00093625"/>
    <w:rsid w:val="000943A6"/>
    <w:rsid w:val="00095760"/>
    <w:rsid w:val="00095866"/>
    <w:rsid w:val="00096282"/>
    <w:rsid w:val="000A0529"/>
    <w:rsid w:val="000A0CCF"/>
    <w:rsid w:val="000A11BC"/>
    <w:rsid w:val="000A1BB8"/>
    <w:rsid w:val="000A1C9D"/>
    <w:rsid w:val="000A341A"/>
    <w:rsid w:val="000A3421"/>
    <w:rsid w:val="000A3787"/>
    <w:rsid w:val="000A3B74"/>
    <w:rsid w:val="000A40E8"/>
    <w:rsid w:val="000A446E"/>
    <w:rsid w:val="000A4626"/>
    <w:rsid w:val="000A507A"/>
    <w:rsid w:val="000A5F28"/>
    <w:rsid w:val="000A5F76"/>
    <w:rsid w:val="000A6751"/>
    <w:rsid w:val="000A744F"/>
    <w:rsid w:val="000A768F"/>
    <w:rsid w:val="000B0A0F"/>
    <w:rsid w:val="000B2597"/>
    <w:rsid w:val="000B40D6"/>
    <w:rsid w:val="000B66E4"/>
    <w:rsid w:val="000B6C27"/>
    <w:rsid w:val="000C0143"/>
    <w:rsid w:val="000C0D62"/>
    <w:rsid w:val="000C1E2B"/>
    <w:rsid w:val="000C2879"/>
    <w:rsid w:val="000C3A11"/>
    <w:rsid w:val="000C3CFB"/>
    <w:rsid w:val="000C4855"/>
    <w:rsid w:val="000C5203"/>
    <w:rsid w:val="000C56B2"/>
    <w:rsid w:val="000C5DF1"/>
    <w:rsid w:val="000C6C57"/>
    <w:rsid w:val="000D0511"/>
    <w:rsid w:val="000D1314"/>
    <w:rsid w:val="000D2AB6"/>
    <w:rsid w:val="000D330B"/>
    <w:rsid w:val="000D4686"/>
    <w:rsid w:val="000D50D2"/>
    <w:rsid w:val="000D5891"/>
    <w:rsid w:val="000D5B3D"/>
    <w:rsid w:val="000D5FB2"/>
    <w:rsid w:val="000D63CC"/>
    <w:rsid w:val="000D69B1"/>
    <w:rsid w:val="000D6A2F"/>
    <w:rsid w:val="000D6E23"/>
    <w:rsid w:val="000E0018"/>
    <w:rsid w:val="000E0330"/>
    <w:rsid w:val="000E1F5B"/>
    <w:rsid w:val="000E3401"/>
    <w:rsid w:val="000E3B3D"/>
    <w:rsid w:val="000E4D13"/>
    <w:rsid w:val="000E4DDF"/>
    <w:rsid w:val="000E5BB3"/>
    <w:rsid w:val="000E70C3"/>
    <w:rsid w:val="000E725C"/>
    <w:rsid w:val="000F0B3A"/>
    <w:rsid w:val="000F24A8"/>
    <w:rsid w:val="000F3B47"/>
    <w:rsid w:val="000F40AA"/>
    <w:rsid w:val="000F4BA5"/>
    <w:rsid w:val="000F776E"/>
    <w:rsid w:val="000F7B0B"/>
    <w:rsid w:val="001009CE"/>
    <w:rsid w:val="00101785"/>
    <w:rsid w:val="00101CB4"/>
    <w:rsid w:val="00104600"/>
    <w:rsid w:val="001047D9"/>
    <w:rsid w:val="00104C76"/>
    <w:rsid w:val="0010525E"/>
    <w:rsid w:val="00105926"/>
    <w:rsid w:val="001059B6"/>
    <w:rsid w:val="001066A0"/>
    <w:rsid w:val="00110A66"/>
    <w:rsid w:val="00111668"/>
    <w:rsid w:val="00112167"/>
    <w:rsid w:val="00112518"/>
    <w:rsid w:val="00112A43"/>
    <w:rsid w:val="00114336"/>
    <w:rsid w:val="00115352"/>
    <w:rsid w:val="00116F79"/>
    <w:rsid w:val="00120417"/>
    <w:rsid w:val="0012107B"/>
    <w:rsid w:val="00121187"/>
    <w:rsid w:val="00122A27"/>
    <w:rsid w:val="00122E49"/>
    <w:rsid w:val="00122EF3"/>
    <w:rsid w:val="00124738"/>
    <w:rsid w:val="00124A32"/>
    <w:rsid w:val="001259B3"/>
    <w:rsid w:val="00125BB3"/>
    <w:rsid w:val="00126803"/>
    <w:rsid w:val="0012719B"/>
    <w:rsid w:val="001307D5"/>
    <w:rsid w:val="0013246A"/>
    <w:rsid w:val="00134133"/>
    <w:rsid w:val="00135054"/>
    <w:rsid w:val="001352B3"/>
    <w:rsid w:val="00135A8A"/>
    <w:rsid w:val="00137699"/>
    <w:rsid w:val="00137B92"/>
    <w:rsid w:val="00140582"/>
    <w:rsid w:val="001405CD"/>
    <w:rsid w:val="00141D82"/>
    <w:rsid w:val="00142B0B"/>
    <w:rsid w:val="00144360"/>
    <w:rsid w:val="00144678"/>
    <w:rsid w:val="001450B1"/>
    <w:rsid w:val="00145EE6"/>
    <w:rsid w:val="0014669F"/>
    <w:rsid w:val="00146F5F"/>
    <w:rsid w:val="00147A94"/>
    <w:rsid w:val="00147DBC"/>
    <w:rsid w:val="00147EA9"/>
    <w:rsid w:val="00147ECD"/>
    <w:rsid w:val="00150640"/>
    <w:rsid w:val="00150EE2"/>
    <w:rsid w:val="0015156D"/>
    <w:rsid w:val="00151C5C"/>
    <w:rsid w:val="00151C68"/>
    <w:rsid w:val="00151F6D"/>
    <w:rsid w:val="001522EB"/>
    <w:rsid w:val="00153529"/>
    <w:rsid w:val="00153F52"/>
    <w:rsid w:val="00156340"/>
    <w:rsid w:val="00157FFA"/>
    <w:rsid w:val="00161BAE"/>
    <w:rsid w:val="00162385"/>
    <w:rsid w:val="00162DDB"/>
    <w:rsid w:val="00163D21"/>
    <w:rsid w:val="00164859"/>
    <w:rsid w:val="00164A85"/>
    <w:rsid w:val="0017017E"/>
    <w:rsid w:val="00171A21"/>
    <w:rsid w:val="00171C0D"/>
    <w:rsid w:val="00172284"/>
    <w:rsid w:val="00172EBB"/>
    <w:rsid w:val="00173455"/>
    <w:rsid w:val="00173A4F"/>
    <w:rsid w:val="00173F39"/>
    <w:rsid w:val="001744B9"/>
    <w:rsid w:val="001764CD"/>
    <w:rsid w:val="00176D3B"/>
    <w:rsid w:val="00181349"/>
    <w:rsid w:val="00181DCC"/>
    <w:rsid w:val="001834DA"/>
    <w:rsid w:val="00183A29"/>
    <w:rsid w:val="00183DDD"/>
    <w:rsid w:val="0018449F"/>
    <w:rsid w:val="001844CC"/>
    <w:rsid w:val="00184759"/>
    <w:rsid w:val="0018570B"/>
    <w:rsid w:val="00185D04"/>
    <w:rsid w:val="00186F41"/>
    <w:rsid w:val="00190427"/>
    <w:rsid w:val="00191734"/>
    <w:rsid w:val="00191BD6"/>
    <w:rsid w:val="00192ACD"/>
    <w:rsid w:val="00192B8B"/>
    <w:rsid w:val="00193AAA"/>
    <w:rsid w:val="001945FA"/>
    <w:rsid w:val="00194C4B"/>
    <w:rsid w:val="001959C0"/>
    <w:rsid w:val="001959C9"/>
    <w:rsid w:val="0019620E"/>
    <w:rsid w:val="00196853"/>
    <w:rsid w:val="00197C1C"/>
    <w:rsid w:val="001A04C9"/>
    <w:rsid w:val="001A19B5"/>
    <w:rsid w:val="001A299D"/>
    <w:rsid w:val="001A392C"/>
    <w:rsid w:val="001A3B21"/>
    <w:rsid w:val="001A4972"/>
    <w:rsid w:val="001A4B36"/>
    <w:rsid w:val="001A5B65"/>
    <w:rsid w:val="001A5D1A"/>
    <w:rsid w:val="001A6BF6"/>
    <w:rsid w:val="001A6D3E"/>
    <w:rsid w:val="001A71D7"/>
    <w:rsid w:val="001B1010"/>
    <w:rsid w:val="001B2182"/>
    <w:rsid w:val="001B3F0E"/>
    <w:rsid w:val="001B458F"/>
    <w:rsid w:val="001B51A0"/>
    <w:rsid w:val="001B575E"/>
    <w:rsid w:val="001B5B85"/>
    <w:rsid w:val="001B5E01"/>
    <w:rsid w:val="001B6333"/>
    <w:rsid w:val="001B698C"/>
    <w:rsid w:val="001B7165"/>
    <w:rsid w:val="001C252E"/>
    <w:rsid w:val="001C2985"/>
    <w:rsid w:val="001C2D57"/>
    <w:rsid w:val="001C35D7"/>
    <w:rsid w:val="001C41AF"/>
    <w:rsid w:val="001C43C4"/>
    <w:rsid w:val="001C4DA8"/>
    <w:rsid w:val="001C5AC1"/>
    <w:rsid w:val="001C5C09"/>
    <w:rsid w:val="001C6021"/>
    <w:rsid w:val="001C6990"/>
    <w:rsid w:val="001C6EF4"/>
    <w:rsid w:val="001C70CB"/>
    <w:rsid w:val="001C735E"/>
    <w:rsid w:val="001C74E7"/>
    <w:rsid w:val="001D045C"/>
    <w:rsid w:val="001D0C6F"/>
    <w:rsid w:val="001D0E23"/>
    <w:rsid w:val="001D1933"/>
    <w:rsid w:val="001D1DBB"/>
    <w:rsid w:val="001D1F7F"/>
    <w:rsid w:val="001D21CC"/>
    <w:rsid w:val="001D32D5"/>
    <w:rsid w:val="001D4663"/>
    <w:rsid w:val="001D48FC"/>
    <w:rsid w:val="001D4CF4"/>
    <w:rsid w:val="001D4ED6"/>
    <w:rsid w:val="001D6751"/>
    <w:rsid w:val="001D6F62"/>
    <w:rsid w:val="001D7803"/>
    <w:rsid w:val="001D7BD0"/>
    <w:rsid w:val="001E0EFD"/>
    <w:rsid w:val="001E433F"/>
    <w:rsid w:val="001E43DC"/>
    <w:rsid w:val="001F004E"/>
    <w:rsid w:val="001F02DF"/>
    <w:rsid w:val="001F11BF"/>
    <w:rsid w:val="001F1EFA"/>
    <w:rsid w:val="001F2479"/>
    <w:rsid w:val="001F42BF"/>
    <w:rsid w:val="001F46D9"/>
    <w:rsid w:val="001F47A1"/>
    <w:rsid w:val="001F4901"/>
    <w:rsid w:val="001F4A3C"/>
    <w:rsid w:val="001F5B90"/>
    <w:rsid w:val="001F5C7A"/>
    <w:rsid w:val="001F5C82"/>
    <w:rsid w:val="00200A9D"/>
    <w:rsid w:val="00200C9C"/>
    <w:rsid w:val="00200FC9"/>
    <w:rsid w:val="00202359"/>
    <w:rsid w:val="00202429"/>
    <w:rsid w:val="00202661"/>
    <w:rsid w:val="00202C50"/>
    <w:rsid w:val="00202D46"/>
    <w:rsid w:val="00203D01"/>
    <w:rsid w:val="002049CC"/>
    <w:rsid w:val="002065F8"/>
    <w:rsid w:val="002066C6"/>
    <w:rsid w:val="00206803"/>
    <w:rsid w:val="00206C71"/>
    <w:rsid w:val="00210F5E"/>
    <w:rsid w:val="002114EA"/>
    <w:rsid w:val="002130AE"/>
    <w:rsid w:val="0021359C"/>
    <w:rsid w:val="002141E0"/>
    <w:rsid w:val="00217AE4"/>
    <w:rsid w:val="00217B71"/>
    <w:rsid w:val="00221B8B"/>
    <w:rsid w:val="002229D4"/>
    <w:rsid w:val="00222DA7"/>
    <w:rsid w:val="00223D97"/>
    <w:rsid w:val="00224251"/>
    <w:rsid w:val="0022492D"/>
    <w:rsid w:val="00224DAB"/>
    <w:rsid w:val="002250B2"/>
    <w:rsid w:val="00227057"/>
    <w:rsid w:val="00227FA4"/>
    <w:rsid w:val="002308EF"/>
    <w:rsid w:val="00230FCE"/>
    <w:rsid w:val="0023233D"/>
    <w:rsid w:val="002375B4"/>
    <w:rsid w:val="00237694"/>
    <w:rsid w:val="00237C96"/>
    <w:rsid w:val="00237E42"/>
    <w:rsid w:val="00240AA0"/>
    <w:rsid w:val="00241F9A"/>
    <w:rsid w:val="002423A3"/>
    <w:rsid w:val="002447B2"/>
    <w:rsid w:val="00244A0C"/>
    <w:rsid w:val="00244E44"/>
    <w:rsid w:val="002454B4"/>
    <w:rsid w:val="00245764"/>
    <w:rsid w:val="00245B14"/>
    <w:rsid w:val="0024664B"/>
    <w:rsid w:val="00246ECB"/>
    <w:rsid w:val="002479C3"/>
    <w:rsid w:val="00247FF4"/>
    <w:rsid w:val="00250223"/>
    <w:rsid w:val="00250945"/>
    <w:rsid w:val="0025132E"/>
    <w:rsid w:val="00251E73"/>
    <w:rsid w:val="00252BDC"/>
    <w:rsid w:val="00253B81"/>
    <w:rsid w:val="00253F11"/>
    <w:rsid w:val="00255DA1"/>
    <w:rsid w:val="00256479"/>
    <w:rsid w:val="00256A69"/>
    <w:rsid w:val="00257D18"/>
    <w:rsid w:val="00257EC9"/>
    <w:rsid w:val="002601A0"/>
    <w:rsid w:val="00260379"/>
    <w:rsid w:val="002604AD"/>
    <w:rsid w:val="00260C7C"/>
    <w:rsid w:val="002626A5"/>
    <w:rsid w:val="00263128"/>
    <w:rsid w:val="002636C2"/>
    <w:rsid w:val="00264786"/>
    <w:rsid w:val="00265487"/>
    <w:rsid w:val="002656D4"/>
    <w:rsid w:val="002700F9"/>
    <w:rsid w:val="00270471"/>
    <w:rsid w:val="002712B1"/>
    <w:rsid w:val="00273125"/>
    <w:rsid w:val="00275162"/>
    <w:rsid w:val="00275820"/>
    <w:rsid w:val="00277433"/>
    <w:rsid w:val="00280A6B"/>
    <w:rsid w:val="00280CAF"/>
    <w:rsid w:val="00282176"/>
    <w:rsid w:val="002827CD"/>
    <w:rsid w:val="00284FCD"/>
    <w:rsid w:val="00284FEE"/>
    <w:rsid w:val="00291864"/>
    <w:rsid w:val="0029231B"/>
    <w:rsid w:val="00292AC6"/>
    <w:rsid w:val="00293BDD"/>
    <w:rsid w:val="00293F40"/>
    <w:rsid w:val="00293F99"/>
    <w:rsid w:val="002956DF"/>
    <w:rsid w:val="00295DAD"/>
    <w:rsid w:val="0029687D"/>
    <w:rsid w:val="002968F5"/>
    <w:rsid w:val="0029708F"/>
    <w:rsid w:val="002A0A39"/>
    <w:rsid w:val="002A0AD3"/>
    <w:rsid w:val="002A1844"/>
    <w:rsid w:val="002A220C"/>
    <w:rsid w:val="002A2376"/>
    <w:rsid w:val="002A274D"/>
    <w:rsid w:val="002A37BD"/>
    <w:rsid w:val="002A43F6"/>
    <w:rsid w:val="002A4869"/>
    <w:rsid w:val="002A59FD"/>
    <w:rsid w:val="002A5F23"/>
    <w:rsid w:val="002A5FDD"/>
    <w:rsid w:val="002A71A2"/>
    <w:rsid w:val="002A7431"/>
    <w:rsid w:val="002A7680"/>
    <w:rsid w:val="002A7FF4"/>
    <w:rsid w:val="002B06F1"/>
    <w:rsid w:val="002B0F43"/>
    <w:rsid w:val="002B1333"/>
    <w:rsid w:val="002B1766"/>
    <w:rsid w:val="002B1FA9"/>
    <w:rsid w:val="002B2368"/>
    <w:rsid w:val="002B346F"/>
    <w:rsid w:val="002B36D0"/>
    <w:rsid w:val="002B3E22"/>
    <w:rsid w:val="002B4857"/>
    <w:rsid w:val="002B5F8F"/>
    <w:rsid w:val="002B6104"/>
    <w:rsid w:val="002B7F28"/>
    <w:rsid w:val="002C123A"/>
    <w:rsid w:val="002C1931"/>
    <w:rsid w:val="002C1D0A"/>
    <w:rsid w:val="002C1DCA"/>
    <w:rsid w:val="002C2979"/>
    <w:rsid w:val="002C3693"/>
    <w:rsid w:val="002C49DB"/>
    <w:rsid w:val="002C54C1"/>
    <w:rsid w:val="002C5A28"/>
    <w:rsid w:val="002D0604"/>
    <w:rsid w:val="002D0C26"/>
    <w:rsid w:val="002D1011"/>
    <w:rsid w:val="002D19DF"/>
    <w:rsid w:val="002D1A6C"/>
    <w:rsid w:val="002D1E8E"/>
    <w:rsid w:val="002D25E2"/>
    <w:rsid w:val="002D37A7"/>
    <w:rsid w:val="002D6BF3"/>
    <w:rsid w:val="002D74F3"/>
    <w:rsid w:val="002D7B93"/>
    <w:rsid w:val="002E13D9"/>
    <w:rsid w:val="002E210E"/>
    <w:rsid w:val="002E21A3"/>
    <w:rsid w:val="002E2DBA"/>
    <w:rsid w:val="002E3C03"/>
    <w:rsid w:val="002E41D2"/>
    <w:rsid w:val="002E5F6D"/>
    <w:rsid w:val="002E615B"/>
    <w:rsid w:val="002E6409"/>
    <w:rsid w:val="002E6ACC"/>
    <w:rsid w:val="002E7780"/>
    <w:rsid w:val="002F026D"/>
    <w:rsid w:val="002F1560"/>
    <w:rsid w:val="002F17E9"/>
    <w:rsid w:val="002F1919"/>
    <w:rsid w:val="002F3167"/>
    <w:rsid w:val="002F5EF2"/>
    <w:rsid w:val="002F798A"/>
    <w:rsid w:val="003006DB"/>
    <w:rsid w:val="00302CC5"/>
    <w:rsid w:val="00303A34"/>
    <w:rsid w:val="00304A19"/>
    <w:rsid w:val="00304A37"/>
    <w:rsid w:val="00304C60"/>
    <w:rsid w:val="00306250"/>
    <w:rsid w:val="00306CED"/>
    <w:rsid w:val="003072C6"/>
    <w:rsid w:val="0030781D"/>
    <w:rsid w:val="0030786D"/>
    <w:rsid w:val="00310934"/>
    <w:rsid w:val="00310B3D"/>
    <w:rsid w:val="003111F8"/>
    <w:rsid w:val="003151B8"/>
    <w:rsid w:val="00317425"/>
    <w:rsid w:val="00320079"/>
    <w:rsid w:val="003203B0"/>
    <w:rsid w:val="003213CC"/>
    <w:rsid w:val="00321829"/>
    <w:rsid w:val="00321E44"/>
    <w:rsid w:val="0032283C"/>
    <w:rsid w:val="003229FD"/>
    <w:rsid w:val="00323340"/>
    <w:rsid w:val="003244E4"/>
    <w:rsid w:val="00324543"/>
    <w:rsid w:val="00325475"/>
    <w:rsid w:val="00325B99"/>
    <w:rsid w:val="00326631"/>
    <w:rsid w:val="00326D65"/>
    <w:rsid w:val="00326FC6"/>
    <w:rsid w:val="00326FD6"/>
    <w:rsid w:val="003271A6"/>
    <w:rsid w:val="003271F6"/>
    <w:rsid w:val="00331564"/>
    <w:rsid w:val="003318B7"/>
    <w:rsid w:val="00331E3E"/>
    <w:rsid w:val="00332366"/>
    <w:rsid w:val="003324B8"/>
    <w:rsid w:val="003327C5"/>
    <w:rsid w:val="00333A2A"/>
    <w:rsid w:val="00334449"/>
    <w:rsid w:val="003351F3"/>
    <w:rsid w:val="00336205"/>
    <w:rsid w:val="00341C10"/>
    <w:rsid w:val="00343C36"/>
    <w:rsid w:val="00345049"/>
    <w:rsid w:val="00345065"/>
    <w:rsid w:val="00345F81"/>
    <w:rsid w:val="00347E47"/>
    <w:rsid w:val="003509C1"/>
    <w:rsid w:val="00351C60"/>
    <w:rsid w:val="00352108"/>
    <w:rsid w:val="00354822"/>
    <w:rsid w:val="00356707"/>
    <w:rsid w:val="00356C27"/>
    <w:rsid w:val="00357681"/>
    <w:rsid w:val="00360A4C"/>
    <w:rsid w:val="00361148"/>
    <w:rsid w:val="003616E2"/>
    <w:rsid w:val="003624C5"/>
    <w:rsid w:val="00362A12"/>
    <w:rsid w:val="003630A3"/>
    <w:rsid w:val="00363265"/>
    <w:rsid w:val="003639EB"/>
    <w:rsid w:val="00367640"/>
    <w:rsid w:val="00371C3D"/>
    <w:rsid w:val="00372472"/>
    <w:rsid w:val="00372BCF"/>
    <w:rsid w:val="0037325A"/>
    <w:rsid w:val="00374DA6"/>
    <w:rsid w:val="00375F5B"/>
    <w:rsid w:val="00376CA1"/>
    <w:rsid w:val="00381BEC"/>
    <w:rsid w:val="00381DDF"/>
    <w:rsid w:val="003825C8"/>
    <w:rsid w:val="00382746"/>
    <w:rsid w:val="003852E3"/>
    <w:rsid w:val="00385A70"/>
    <w:rsid w:val="00386357"/>
    <w:rsid w:val="00391216"/>
    <w:rsid w:val="00392494"/>
    <w:rsid w:val="00393884"/>
    <w:rsid w:val="003948A0"/>
    <w:rsid w:val="00394E58"/>
    <w:rsid w:val="003953F1"/>
    <w:rsid w:val="003955FF"/>
    <w:rsid w:val="00397C3D"/>
    <w:rsid w:val="003A0005"/>
    <w:rsid w:val="003A1062"/>
    <w:rsid w:val="003A2FB2"/>
    <w:rsid w:val="003A564E"/>
    <w:rsid w:val="003A5E5F"/>
    <w:rsid w:val="003A6148"/>
    <w:rsid w:val="003A666F"/>
    <w:rsid w:val="003A6AC6"/>
    <w:rsid w:val="003A6B66"/>
    <w:rsid w:val="003A6E7F"/>
    <w:rsid w:val="003A78E1"/>
    <w:rsid w:val="003A7D6F"/>
    <w:rsid w:val="003B15BC"/>
    <w:rsid w:val="003B234B"/>
    <w:rsid w:val="003B24CA"/>
    <w:rsid w:val="003B2E83"/>
    <w:rsid w:val="003B45C8"/>
    <w:rsid w:val="003B4675"/>
    <w:rsid w:val="003B5A07"/>
    <w:rsid w:val="003B5AAA"/>
    <w:rsid w:val="003B65E8"/>
    <w:rsid w:val="003B7205"/>
    <w:rsid w:val="003B7924"/>
    <w:rsid w:val="003B7C4C"/>
    <w:rsid w:val="003C02C3"/>
    <w:rsid w:val="003C0543"/>
    <w:rsid w:val="003C4D04"/>
    <w:rsid w:val="003C5224"/>
    <w:rsid w:val="003C6897"/>
    <w:rsid w:val="003C7E99"/>
    <w:rsid w:val="003D026F"/>
    <w:rsid w:val="003D089B"/>
    <w:rsid w:val="003D2EBD"/>
    <w:rsid w:val="003D2F98"/>
    <w:rsid w:val="003D715B"/>
    <w:rsid w:val="003D735D"/>
    <w:rsid w:val="003E0397"/>
    <w:rsid w:val="003E0968"/>
    <w:rsid w:val="003E12DB"/>
    <w:rsid w:val="003E18B3"/>
    <w:rsid w:val="003E3D42"/>
    <w:rsid w:val="003E4038"/>
    <w:rsid w:val="003E5EFE"/>
    <w:rsid w:val="003E65D9"/>
    <w:rsid w:val="003E722D"/>
    <w:rsid w:val="003E74FE"/>
    <w:rsid w:val="003E762A"/>
    <w:rsid w:val="003F23EE"/>
    <w:rsid w:val="003F277E"/>
    <w:rsid w:val="003F2EEE"/>
    <w:rsid w:val="003F3FB0"/>
    <w:rsid w:val="003F4A66"/>
    <w:rsid w:val="003F4D48"/>
    <w:rsid w:val="003F5948"/>
    <w:rsid w:val="003F774E"/>
    <w:rsid w:val="00400958"/>
    <w:rsid w:val="00400C65"/>
    <w:rsid w:val="004014B7"/>
    <w:rsid w:val="00401C84"/>
    <w:rsid w:val="004021D3"/>
    <w:rsid w:val="0040265D"/>
    <w:rsid w:val="00402A72"/>
    <w:rsid w:val="004037DA"/>
    <w:rsid w:val="00406099"/>
    <w:rsid w:val="00410732"/>
    <w:rsid w:val="004110D1"/>
    <w:rsid w:val="00411EBD"/>
    <w:rsid w:val="00413427"/>
    <w:rsid w:val="00414833"/>
    <w:rsid w:val="00415A9F"/>
    <w:rsid w:val="004161AA"/>
    <w:rsid w:val="00420178"/>
    <w:rsid w:val="0042038A"/>
    <w:rsid w:val="004204C0"/>
    <w:rsid w:val="004219BC"/>
    <w:rsid w:val="00421EDF"/>
    <w:rsid w:val="0042414A"/>
    <w:rsid w:val="00424AA3"/>
    <w:rsid w:val="00425528"/>
    <w:rsid w:val="00425F91"/>
    <w:rsid w:val="00426195"/>
    <w:rsid w:val="00426F8B"/>
    <w:rsid w:val="004274F3"/>
    <w:rsid w:val="00427776"/>
    <w:rsid w:val="00427CA2"/>
    <w:rsid w:val="00427E57"/>
    <w:rsid w:val="00431DCB"/>
    <w:rsid w:val="004322F5"/>
    <w:rsid w:val="004322FF"/>
    <w:rsid w:val="00433EAF"/>
    <w:rsid w:val="00434C6B"/>
    <w:rsid w:val="004352A5"/>
    <w:rsid w:val="004372F7"/>
    <w:rsid w:val="004379DF"/>
    <w:rsid w:val="00440FCA"/>
    <w:rsid w:val="00441245"/>
    <w:rsid w:val="0044142E"/>
    <w:rsid w:val="00444945"/>
    <w:rsid w:val="00445569"/>
    <w:rsid w:val="004464C1"/>
    <w:rsid w:val="00450098"/>
    <w:rsid w:val="0045016D"/>
    <w:rsid w:val="00450268"/>
    <w:rsid w:val="004507D1"/>
    <w:rsid w:val="00450B02"/>
    <w:rsid w:val="00450F0F"/>
    <w:rsid w:val="00453C0B"/>
    <w:rsid w:val="004543DA"/>
    <w:rsid w:val="00454791"/>
    <w:rsid w:val="00454ECF"/>
    <w:rsid w:val="0045562D"/>
    <w:rsid w:val="00455FE0"/>
    <w:rsid w:val="00457ADF"/>
    <w:rsid w:val="00460A91"/>
    <w:rsid w:val="00461AAE"/>
    <w:rsid w:val="004621AA"/>
    <w:rsid w:val="00462513"/>
    <w:rsid w:val="00462A78"/>
    <w:rsid w:val="004631C5"/>
    <w:rsid w:val="004647D7"/>
    <w:rsid w:val="00464EDE"/>
    <w:rsid w:val="004664DC"/>
    <w:rsid w:val="004677E3"/>
    <w:rsid w:val="00467B70"/>
    <w:rsid w:val="00470A8A"/>
    <w:rsid w:val="004711B8"/>
    <w:rsid w:val="00471471"/>
    <w:rsid w:val="00471E44"/>
    <w:rsid w:val="00472B2E"/>
    <w:rsid w:val="00472C7B"/>
    <w:rsid w:val="004741FE"/>
    <w:rsid w:val="00474296"/>
    <w:rsid w:val="004748DE"/>
    <w:rsid w:val="00474F00"/>
    <w:rsid w:val="00474F74"/>
    <w:rsid w:val="004755E9"/>
    <w:rsid w:val="00475607"/>
    <w:rsid w:val="004756F5"/>
    <w:rsid w:val="00475C6F"/>
    <w:rsid w:val="0047629A"/>
    <w:rsid w:val="00476EC9"/>
    <w:rsid w:val="00477B74"/>
    <w:rsid w:val="00477EA7"/>
    <w:rsid w:val="0048081F"/>
    <w:rsid w:val="00480C77"/>
    <w:rsid w:val="00483754"/>
    <w:rsid w:val="0048417F"/>
    <w:rsid w:val="0048462C"/>
    <w:rsid w:val="00485243"/>
    <w:rsid w:val="00487410"/>
    <w:rsid w:val="00490B91"/>
    <w:rsid w:val="0049179F"/>
    <w:rsid w:val="00491ABB"/>
    <w:rsid w:val="00491F26"/>
    <w:rsid w:val="00493340"/>
    <w:rsid w:val="00493489"/>
    <w:rsid w:val="004935F0"/>
    <w:rsid w:val="00496234"/>
    <w:rsid w:val="004A0794"/>
    <w:rsid w:val="004A0FB4"/>
    <w:rsid w:val="004A3EB0"/>
    <w:rsid w:val="004A422F"/>
    <w:rsid w:val="004A4B4E"/>
    <w:rsid w:val="004A4E6E"/>
    <w:rsid w:val="004A5DBC"/>
    <w:rsid w:val="004A71D3"/>
    <w:rsid w:val="004A77E8"/>
    <w:rsid w:val="004A796F"/>
    <w:rsid w:val="004A7F0A"/>
    <w:rsid w:val="004B033C"/>
    <w:rsid w:val="004B2B5D"/>
    <w:rsid w:val="004B37E7"/>
    <w:rsid w:val="004B3BEC"/>
    <w:rsid w:val="004B4083"/>
    <w:rsid w:val="004B470F"/>
    <w:rsid w:val="004B65B3"/>
    <w:rsid w:val="004B6AC8"/>
    <w:rsid w:val="004B6F9C"/>
    <w:rsid w:val="004B7D4E"/>
    <w:rsid w:val="004C000D"/>
    <w:rsid w:val="004C00DF"/>
    <w:rsid w:val="004C122A"/>
    <w:rsid w:val="004C153B"/>
    <w:rsid w:val="004C1E26"/>
    <w:rsid w:val="004C2554"/>
    <w:rsid w:val="004C25B3"/>
    <w:rsid w:val="004C2CB7"/>
    <w:rsid w:val="004C31BD"/>
    <w:rsid w:val="004C48C5"/>
    <w:rsid w:val="004C57D7"/>
    <w:rsid w:val="004C5D9E"/>
    <w:rsid w:val="004C61F4"/>
    <w:rsid w:val="004C7A43"/>
    <w:rsid w:val="004C7DA2"/>
    <w:rsid w:val="004D059A"/>
    <w:rsid w:val="004D0D43"/>
    <w:rsid w:val="004D0F05"/>
    <w:rsid w:val="004D1F9F"/>
    <w:rsid w:val="004D25B8"/>
    <w:rsid w:val="004D32F7"/>
    <w:rsid w:val="004D3D8D"/>
    <w:rsid w:val="004D3DAD"/>
    <w:rsid w:val="004D3DC9"/>
    <w:rsid w:val="004D52C8"/>
    <w:rsid w:val="004D5D83"/>
    <w:rsid w:val="004D6521"/>
    <w:rsid w:val="004E126C"/>
    <w:rsid w:val="004E1ED8"/>
    <w:rsid w:val="004E1FAE"/>
    <w:rsid w:val="004E29ED"/>
    <w:rsid w:val="004E2C00"/>
    <w:rsid w:val="004E3AAD"/>
    <w:rsid w:val="004E3DF7"/>
    <w:rsid w:val="004E3E61"/>
    <w:rsid w:val="004E428E"/>
    <w:rsid w:val="004E4E9B"/>
    <w:rsid w:val="004E5995"/>
    <w:rsid w:val="004F0044"/>
    <w:rsid w:val="004F0E6E"/>
    <w:rsid w:val="004F117B"/>
    <w:rsid w:val="004F17B3"/>
    <w:rsid w:val="004F2793"/>
    <w:rsid w:val="004F4143"/>
    <w:rsid w:val="004F4814"/>
    <w:rsid w:val="004F5736"/>
    <w:rsid w:val="004F6047"/>
    <w:rsid w:val="004F7E37"/>
    <w:rsid w:val="004F7EC8"/>
    <w:rsid w:val="00500218"/>
    <w:rsid w:val="00502567"/>
    <w:rsid w:val="00502815"/>
    <w:rsid w:val="00502AE7"/>
    <w:rsid w:val="00503CB8"/>
    <w:rsid w:val="005047ED"/>
    <w:rsid w:val="00505CB2"/>
    <w:rsid w:val="0050679B"/>
    <w:rsid w:val="00506C37"/>
    <w:rsid w:val="005076EE"/>
    <w:rsid w:val="00507E64"/>
    <w:rsid w:val="005109E9"/>
    <w:rsid w:val="0051202A"/>
    <w:rsid w:val="00512FDD"/>
    <w:rsid w:val="00513F11"/>
    <w:rsid w:val="00514772"/>
    <w:rsid w:val="00514FEA"/>
    <w:rsid w:val="00515833"/>
    <w:rsid w:val="0051725C"/>
    <w:rsid w:val="00517CE3"/>
    <w:rsid w:val="00521087"/>
    <w:rsid w:val="0052262E"/>
    <w:rsid w:val="0052472F"/>
    <w:rsid w:val="005258D6"/>
    <w:rsid w:val="00527CDC"/>
    <w:rsid w:val="00527E53"/>
    <w:rsid w:val="00531671"/>
    <w:rsid w:val="00532DC3"/>
    <w:rsid w:val="00534676"/>
    <w:rsid w:val="0053511D"/>
    <w:rsid w:val="00535A00"/>
    <w:rsid w:val="00535A10"/>
    <w:rsid w:val="00535EC5"/>
    <w:rsid w:val="00536748"/>
    <w:rsid w:val="005379B6"/>
    <w:rsid w:val="00542CE9"/>
    <w:rsid w:val="00544619"/>
    <w:rsid w:val="00547D0B"/>
    <w:rsid w:val="00550027"/>
    <w:rsid w:val="005502BE"/>
    <w:rsid w:val="00550BC4"/>
    <w:rsid w:val="005513B4"/>
    <w:rsid w:val="005514C2"/>
    <w:rsid w:val="00552387"/>
    <w:rsid w:val="00552BAA"/>
    <w:rsid w:val="005533DC"/>
    <w:rsid w:val="00554291"/>
    <w:rsid w:val="00554440"/>
    <w:rsid w:val="0055452A"/>
    <w:rsid w:val="00554C94"/>
    <w:rsid w:val="00556C52"/>
    <w:rsid w:val="00557816"/>
    <w:rsid w:val="00560970"/>
    <w:rsid w:val="00560D6A"/>
    <w:rsid w:val="005618F9"/>
    <w:rsid w:val="00561EC6"/>
    <w:rsid w:val="005622F4"/>
    <w:rsid w:val="00562B7D"/>
    <w:rsid w:val="005631DD"/>
    <w:rsid w:val="00564E40"/>
    <w:rsid w:val="00565469"/>
    <w:rsid w:val="005671D1"/>
    <w:rsid w:val="00567DC5"/>
    <w:rsid w:val="005711A1"/>
    <w:rsid w:val="005717DB"/>
    <w:rsid w:val="00571D53"/>
    <w:rsid w:val="00571F3F"/>
    <w:rsid w:val="00572AB4"/>
    <w:rsid w:val="0057380B"/>
    <w:rsid w:val="0057393E"/>
    <w:rsid w:val="00573BD9"/>
    <w:rsid w:val="0057480F"/>
    <w:rsid w:val="00574C3D"/>
    <w:rsid w:val="00576296"/>
    <w:rsid w:val="00576986"/>
    <w:rsid w:val="00577E5B"/>
    <w:rsid w:val="00580D9E"/>
    <w:rsid w:val="00581C43"/>
    <w:rsid w:val="00581C45"/>
    <w:rsid w:val="00582130"/>
    <w:rsid w:val="00583B24"/>
    <w:rsid w:val="00583F81"/>
    <w:rsid w:val="005841A3"/>
    <w:rsid w:val="00585E0F"/>
    <w:rsid w:val="0058656F"/>
    <w:rsid w:val="005872D9"/>
    <w:rsid w:val="00587C24"/>
    <w:rsid w:val="00590934"/>
    <w:rsid w:val="00591AD6"/>
    <w:rsid w:val="00592DBB"/>
    <w:rsid w:val="00594D47"/>
    <w:rsid w:val="0059649C"/>
    <w:rsid w:val="00596851"/>
    <w:rsid w:val="00596DC9"/>
    <w:rsid w:val="005971A8"/>
    <w:rsid w:val="005A0F77"/>
    <w:rsid w:val="005A1148"/>
    <w:rsid w:val="005A1381"/>
    <w:rsid w:val="005A2038"/>
    <w:rsid w:val="005A44A4"/>
    <w:rsid w:val="005A50C2"/>
    <w:rsid w:val="005A5C49"/>
    <w:rsid w:val="005A5F3E"/>
    <w:rsid w:val="005A62DE"/>
    <w:rsid w:val="005A6413"/>
    <w:rsid w:val="005A74A4"/>
    <w:rsid w:val="005A7646"/>
    <w:rsid w:val="005B0949"/>
    <w:rsid w:val="005B09DC"/>
    <w:rsid w:val="005B2505"/>
    <w:rsid w:val="005B2571"/>
    <w:rsid w:val="005B25DA"/>
    <w:rsid w:val="005B268B"/>
    <w:rsid w:val="005B2C3F"/>
    <w:rsid w:val="005B3046"/>
    <w:rsid w:val="005B56B7"/>
    <w:rsid w:val="005B574E"/>
    <w:rsid w:val="005B5A2E"/>
    <w:rsid w:val="005B5F1F"/>
    <w:rsid w:val="005B5F85"/>
    <w:rsid w:val="005B6851"/>
    <w:rsid w:val="005B6924"/>
    <w:rsid w:val="005B6C5E"/>
    <w:rsid w:val="005B7730"/>
    <w:rsid w:val="005B7AF4"/>
    <w:rsid w:val="005B7D6B"/>
    <w:rsid w:val="005C083F"/>
    <w:rsid w:val="005C098C"/>
    <w:rsid w:val="005C0C8F"/>
    <w:rsid w:val="005C140D"/>
    <w:rsid w:val="005C18FE"/>
    <w:rsid w:val="005C3BB9"/>
    <w:rsid w:val="005C43C7"/>
    <w:rsid w:val="005C4D93"/>
    <w:rsid w:val="005C4FBC"/>
    <w:rsid w:val="005C6073"/>
    <w:rsid w:val="005C7C39"/>
    <w:rsid w:val="005D0832"/>
    <w:rsid w:val="005D0BB9"/>
    <w:rsid w:val="005D1C02"/>
    <w:rsid w:val="005D372D"/>
    <w:rsid w:val="005D4CCC"/>
    <w:rsid w:val="005D4D3D"/>
    <w:rsid w:val="005D4E9B"/>
    <w:rsid w:val="005D653E"/>
    <w:rsid w:val="005D7ABE"/>
    <w:rsid w:val="005E020D"/>
    <w:rsid w:val="005E0502"/>
    <w:rsid w:val="005E0BBD"/>
    <w:rsid w:val="005E0CCD"/>
    <w:rsid w:val="005E1B26"/>
    <w:rsid w:val="005E245D"/>
    <w:rsid w:val="005E2C99"/>
    <w:rsid w:val="005E36E8"/>
    <w:rsid w:val="005E4294"/>
    <w:rsid w:val="005E4417"/>
    <w:rsid w:val="005E4890"/>
    <w:rsid w:val="005E4A38"/>
    <w:rsid w:val="005E50CD"/>
    <w:rsid w:val="005E5420"/>
    <w:rsid w:val="005E6F35"/>
    <w:rsid w:val="005E7019"/>
    <w:rsid w:val="005E7A55"/>
    <w:rsid w:val="005E7C4C"/>
    <w:rsid w:val="005F0C2F"/>
    <w:rsid w:val="005F118C"/>
    <w:rsid w:val="005F13F1"/>
    <w:rsid w:val="005F2143"/>
    <w:rsid w:val="005F48F9"/>
    <w:rsid w:val="005F4BFE"/>
    <w:rsid w:val="00600609"/>
    <w:rsid w:val="00601711"/>
    <w:rsid w:val="00601DE5"/>
    <w:rsid w:val="00601EDF"/>
    <w:rsid w:val="00602125"/>
    <w:rsid w:val="006035D7"/>
    <w:rsid w:val="00604BBA"/>
    <w:rsid w:val="006056F9"/>
    <w:rsid w:val="006058C6"/>
    <w:rsid w:val="0060797A"/>
    <w:rsid w:val="0061077D"/>
    <w:rsid w:val="00610E2B"/>
    <w:rsid w:val="00612469"/>
    <w:rsid w:val="006125F4"/>
    <w:rsid w:val="00613E27"/>
    <w:rsid w:val="006148AC"/>
    <w:rsid w:val="00615E30"/>
    <w:rsid w:val="006169CB"/>
    <w:rsid w:val="00620465"/>
    <w:rsid w:val="006211A2"/>
    <w:rsid w:val="00621706"/>
    <w:rsid w:val="00621B86"/>
    <w:rsid w:val="0062322E"/>
    <w:rsid w:val="00624063"/>
    <w:rsid w:val="006249DA"/>
    <w:rsid w:val="00625C87"/>
    <w:rsid w:val="00626FFD"/>
    <w:rsid w:val="00627899"/>
    <w:rsid w:val="00627A3E"/>
    <w:rsid w:val="006312C6"/>
    <w:rsid w:val="00632080"/>
    <w:rsid w:val="00633826"/>
    <w:rsid w:val="00633DE6"/>
    <w:rsid w:val="00633EEB"/>
    <w:rsid w:val="00636CA9"/>
    <w:rsid w:val="00640B8B"/>
    <w:rsid w:val="00642F17"/>
    <w:rsid w:val="00643250"/>
    <w:rsid w:val="00644700"/>
    <w:rsid w:val="00646BB2"/>
    <w:rsid w:val="00647740"/>
    <w:rsid w:val="00650667"/>
    <w:rsid w:val="00650B58"/>
    <w:rsid w:val="00650B62"/>
    <w:rsid w:val="00651591"/>
    <w:rsid w:val="006516B3"/>
    <w:rsid w:val="00652523"/>
    <w:rsid w:val="006525B3"/>
    <w:rsid w:val="00652BAA"/>
    <w:rsid w:val="006532C6"/>
    <w:rsid w:val="0065389B"/>
    <w:rsid w:val="00657157"/>
    <w:rsid w:val="00657479"/>
    <w:rsid w:val="006577CC"/>
    <w:rsid w:val="0066139E"/>
    <w:rsid w:val="006643BE"/>
    <w:rsid w:val="006654CE"/>
    <w:rsid w:val="00666978"/>
    <w:rsid w:val="00666CC2"/>
    <w:rsid w:val="0066759B"/>
    <w:rsid w:val="00667B13"/>
    <w:rsid w:val="00671875"/>
    <w:rsid w:val="006735F5"/>
    <w:rsid w:val="00673947"/>
    <w:rsid w:val="0067412C"/>
    <w:rsid w:val="00675DC8"/>
    <w:rsid w:val="00675E5F"/>
    <w:rsid w:val="006767E7"/>
    <w:rsid w:val="00677A26"/>
    <w:rsid w:val="006803AB"/>
    <w:rsid w:val="00680902"/>
    <w:rsid w:val="00680A5C"/>
    <w:rsid w:val="006811D8"/>
    <w:rsid w:val="00682412"/>
    <w:rsid w:val="00682499"/>
    <w:rsid w:val="00683059"/>
    <w:rsid w:val="006833E0"/>
    <w:rsid w:val="00683958"/>
    <w:rsid w:val="00683A25"/>
    <w:rsid w:val="00684641"/>
    <w:rsid w:val="00685238"/>
    <w:rsid w:val="00685838"/>
    <w:rsid w:val="00686B04"/>
    <w:rsid w:val="006877AB"/>
    <w:rsid w:val="006877F8"/>
    <w:rsid w:val="00687844"/>
    <w:rsid w:val="00687E34"/>
    <w:rsid w:val="00693407"/>
    <w:rsid w:val="00693440"/>
    <w:rsid w:val="006940DD"/>
    <w:rsid w:val="006948D5"/>
    <w:rsid w:val="00694A49"/>
    <w:rsid w:val="00694F76"/>
    <w:rsid w:val="0069585D"/>
    <w:rsid w:val="00696CA4"/>
    <w:rsid w:val="00696DCD"/>
    <w:rsid w:val="006974A3"/>
    <w:rsid w:val="00697A6D"/>
    <w:rsid w:val="006A07DE"/>
    <w:rsid w:val="006A14E8"/>
    <w:rsid w:val="006A177C"/>
    <w:rsid w:val="006A2855"/>
    <w:rsid w:val="006A3295"/>
    <w:rsid w:val="006A43D3"/>
    <w:rsid w:val="006B0B7F"/>
    <w:rsid w:val="006B0C5D"/>
    <w:rsid w:val="006B0E9C"/>
    <w:rsid w:val="006B155B"/>
    <w:rsid w:val="006B1860"/>
    <w:rsid w:val="006B1C54"/>
    <w:rsid w:val="006B208F"/>
    <w:rsid w:val="006B24D3"/>
    <w:rsid w:val="006B264A"/>
    <w:rsid w:val="006B3840"/>
    <w:rsid w:val="006B449B"/>
    <w:rsid w:val="006B4770"/>
    <w:rsid w:val="006B4B8C"/>
    <w:rsid w:val="006B60A4"/>
    <w:rsid w:val="006B6629"/>
    <w:rsid w:val="006B75D3"/>
    <w:rsid w:val="006C0633"/>
    <w:rsid w:val="006C082B"/>
    <w:rsid w:val="006C2044"/>
    <w:rsid w:val="006C3CD0"/>
    <w:rsid w:val="006C3F56"/>
    <w:rsid w:val="006C6CB4"/>
    <w:rsid w:val="006C6D61"/>
    <w:rsid w:val="006C76A7"/>
    <w:rsid w:val="006C7946"/>
    <w:rsid w:val="006D0EAB"/>
    <w:rsid w:val="006D2198"/>
    <w:rsid w:val="006D36F1"/>
    <w:rsid w:val="006D3A03"/>
    <w:rsid w:val="006D5487"/>
    <w:rsid w:val="006D5DBF"/>
    <w:rsid w:val="006D6021"/>
    <w:rsid w:val="006D6505"/>
    <w:rsid w:val="006D6AEF"/>
    <w:rsid w:val="006E0449"/>
    <w:rsid w:val="006E0D35"/>
    <w:rsid w:val="006E1114"/>
    <w:rsid w:val="006E19B3"/>
    <w:rsid w:val="006E1C44"/>
    <w:rsid w:val="006E1D0A"/>
    <w:rsid w:val="006E2CAE"/>
    <w:rsid w:val="006E3C21"/>
    <w:rsid w:val="006E462E"/>
    <w:rsid w:val="006E486F"/>
    <w:rsid w:val="006E5345"/>
    <w:rsid w:val="006E554D"/>
    <w:rsid w:val="006E59C8"/>
    <w:rsid w:val="006E7ED1"/>
    <w:rsid w:val="006F1606"/>
    <w:rsid w:val="006F190A"/>
    <w:rsid w:val="006F2017"/>
    <w:rsid w:val="006F2A18"/>
    <w:rsid w:val="006F3FC1"/>
    <w:rsid w:val="006F49AD"/>
    <w:rsid w:val="006F506D"/>
    <w:rsid w:val="006F5365"/>
    <w:rsid w:val="006F67C0"/>
    <w:rsid w:val="006F76F4"/>
    <w:rsid w:val="007003DD"/>
    <w:rsid w:val="00700824"/>
    <w:rsid w:val="00701470"/>
    <w:rsid w:val="00701CD2"/>
    <w:rsid w:val="00704882"/>
    <w:rsid w:val="00704EF5"/>
    <w:rsid w:val="007051E1"/>
    <w:rsid w:val="007054BC"/>
    <w:rsid w:val="007068F4"/>
    <w:rsid w:val="00707C59"/>
    <w:rsid w:val="00710150"/>
    <w:rsid w:val="00710411"/>
    <w:rsid w:val="00710528"/>
    <w:rsid w:val="0071189D"/>
    <w:rsid w:val="0071195F"/>
    <w:rsid w:val="00711A01"/>
    <w:rsid w:val="00711AE6"/>
    <w:rsid w:val="00713762"/>
    <w:rsid w:val="007150F7"/>
    <w:rsid w:val="00715691"/>
    <w:rsid w:val="00715E1A"/>
    <w:rsid w:val="00716414"/>
    <w:rsid w:val="00720078"/>
    <w:rsid w:val="00720116"/>
    <w:rsid w:val="007205A7"/>
    <w:rsid w:val="00720F69"/>
    <w:rsid w:val="0072328C"/>
    <w:rsid w:val="007239E1"/>
    <w:rsid w:val="00723B0B"/>
    <w:rsid w:val="00725D12"/>
    <w:rsid w:val="00730572"/>
    <w:rsid w:val="00730B42"/>
    <w:rsid w:val="00730D47"/>
    <w:rsid w:val="00731DD6"/>
    <w:rsid w:val="00733DB9"/>
    <w:rsid w:val="007342CA"/>
    <w:rsid w:val="007353CD"/>
    <w:rsid w:val="007354C5"/>
    <w:rsid w:val="00735532"/>
    <w:rsid w:val="00735B5A"/>
    <w:rsid w:val="007364C3"/>
    <w:rsid w:val="007368B6"/>
    <w:rsid w:val="00737480"/>
    <w:rsid w:val="00737962"/>
    <w:rsid w:val="00737C4D"/>
    <w:rsid w:val="00737CDA"/>
    <w:rsid w:val="007416D2"/>
    <w:rsid w:val="007446F8"/>
    <w:rsid w:val="00744883"/>
    <w:rsid w:val="00744BFA"/>
    <w:rsid w:val="00745295"/>
    <w:rsid w:val="007459C6"/>
    <w:rsid w:val="007464C1"/>
    <w:rsid w:val="00754CF1"/>
    <w:rsid w:val="0075504A"/>
    <w:rsid w:val="00755B00"/>
    <w:rsid w:val="00755C91"/>
    <w:rsid w:val="007564AC"/>
    <w:rsid w:val="00757D6E"/>
    <w:rsid w:val="00761CC7"/>
    <w:rsid w:val="00761DE7"/>
    <w:rsid w:val="007621F8"/>
    <w:rsid w:val="0076252E"/>
    <w:rsid w:val="0076271B"/>
    <w:rsid w:val="007634C1"/>
    <w:rsid w:val="00763F4E"/>
    <w:rsid w:val="0076470F"/>
    <w:rsid w:val="00764D1E"/>
    <w:rsid w:val="007660D1"/>
    <w:rsid w:val="007666B4"/>
    <w:rsid w:val="0076677C"/>
    <w:rsid w:val="0077081E"/>
    <w:rsid w:val="00770E53"/>
    <w:rsid w:val="0077169B"/>
    <w:rsid w:val="007719BE"/>
    <w:rsid w:val="00771B2E"/>
    <w:rsid w:val="00771D49"/>
    <w:rsid w:val="007725AD"/>
    <w:rsid w:val="00772A31"/>
    <w:rsid w:val="00773F6B"/>
    <w:rsid w:val="00774092"/>
    <w:rsid w:val="007748C0"/>
    <w:rsid w:val="007749BA"/>
    <w:rsid w:val="00774F97"/>
    <w:rsid w:val="00775043"/>
    <w:rsid w:val="00775255"/>
    <w:rsid w:val="00776D92"/>
    <w:rsid w:val="00776F8F"/>
    <w:rsid w:val="00777F88"/>
    <w:rsid w:val="00781172"/>
    <w:rsid w:val="00781318"/>
    <w:rsid w:val="007813C5"/>
    <w:rsid w:val="00782784"/>
    <w:rsid w:val="00783590"/>
    <w:rsid w:val="00784190"/>
    <w:rsid w:val="007852F7"/>
    <w:rsid w:val="007853B4"/>
    <w:rsid w:val="007869D9"/>
    <w:rsid w:val="00787DDE"/>
    <w:rsid w:val="00787DFE"/>
    <w:rsid w:val="00790A74"/>
    <w:rsid w:val="00791462"/>
    <w:rsid w:val="007915A4"/>
    <w:rsid w:val="00791C9C"/>
    <w:rsid w:val="00791FCF"/>
    <w:rsid w:val="00792837"/>
    <w:rsid w:val="00793314"/>
    <w:rsid w:val="00793457"/>
    <w:rsid w:val="007934E4"/>
    <w:rsid w:val="0079404A"/>
    <w:rsid w:val="00794059"/>
    <w:rsid w:val="00794449"/>
    <w:rsid w:val="00795A9A"/>
    <w:rsid w:val="00795D6F"/>
    <w:rsid w:val="00795FE7"/>
    <w:rsid w:val="00796007"/>
    <w:rsid w:val="007979AE"/>
    <w:rsid w:val="007A03D7"/>
    <w:rsid w:val="007A2B23"/>
    <w:rsid w:val="007A2EF9"/>
    <w:rsid w:val="007A3204"/>
    <w:rsid w:val="007A3453"/>
    <w:rsid w:val="007A34BF"/>
    <w:rsid w:val="007A3DCF"/>
    <w:rsid w:val="007A42F3"/>
    <w:rsid w:val="007A5A28"/>
    <w:rsid w:val="007A74C7"/>
    <w:rsid w:val="007B02F9"/>
    <w:rsid w:val="007B0309"/>
    <w:rsid w:val="007B08C7"/>
    <w:rsid w:val="007B0905"/>
    <w:rsid w:val="007B0EF3"/>
    <w:rsid w:val="007B1618"/>
    <w:rsid w:val="007B4813"/>
    <w:rsid w:val="007B7121"/>
    <w:rsid w:val="007C006E"/>
    <w:rsid w:val="007C0E48"/>
    <w:rsid w:val="007C1CC3"/>
    <w:rsid w:val="007C4E0D"/>
    <w:rsid w:val="007C4FB9"/>
    <w:rsid w:val="007C5E33"/>
    <w:rsid w:val="007C70AB"/>
    <w:rsid w:val="007C7B84"/>
    <w:rsid w:val="007C7B85"/>
    <w:rsid w:val="007C7BE3"/>
    <w:rsid w:val="007D0427"/>
    <w:rsid w:val="007D16F7"/>
    <w:rsid w:val="007D22D8"/>
    <w:rsid w:val="007D255B"/>
    <w:rsid w:val="007D30A7"/>
    <w:rsid w:val="007D393A"/>
    <w:rsid w:val="007D3941"/>
    <w:rsid w:val="007D470C"/>
    <w:rsid w:val="007D5B86"/>
    <w:rsid w:val="007D5D2F"/>
    <w:rsid w:val="007D65BA"/>
    <w:rsid w:val="007D7408"/>
    <w:rsid w:val="007D77BD"/>
    <w:rsid w:val="007E04BD"/>
    <w:rsid w:val="007E1199"/>
    <w:rsid w:val="007E12E8"/>
    <w:rsid w:val="007E22BA"/>
    <w:rsid w:val="007E3431"/>
    <w:rsid w:val="007E4372"/>
    <w:rsid w:val="007E4667"/>
    <w:rsid w:val="007E494B"/>
    <w:rsid w:val="007E55C9"/>
    <w:rsid w:val="007E576D"/>
    <w:rsid w:val="007E6400"/>
    <w:rsid w:val="007E6EB3"/>
    <w:rsid w:val="007E78B4"/>
    <w:rsid w:val="007E78FC"/>
    <w:rsid w:val="007F05F2"/>
    <w:rsid w:val="007F1924"/>
    <w:rsid w:val="007F280C"/>
    <w:rsid w:val="007F298F"/>
    <w:rsid w:val="007F2A45"/>
    <w:rsid w:val="007F2F05"/>
    <w:rsid w:val="007F3DEA"/>
    <w:rsid w:val="007F49E8"/>
    <w:rsid w:val="007F4A21"/>
    <w:rsid w:val="007F5D81"/>
    <w:rsid w:val="007F6276"/>
    <w:rsid w:val="007F6327"/>
    <w:rsid w:val="007F67AE"/>
    <w:rsid w:val="007F7599"/>
    <w:rsid w:val="007F763D"/>
    <w:rsid w:val="007F7775"/>
    <w:rsid w:val="00800180"/>
    <w:rsid w:val="00800F6C"/>
    <w:rsid w:val="00801F4C"/>
    <w:rsid w:val="00802DD2"/>
    <w:rsid w:val="00802F06"/>
    <w:rsid w:val="00804643"/>
    <w:rsid w:val="00807A44"/>
    <w:rsid w:val="00807F0C"/>
    <w:rsid w:val="00807FBC"/>
    <w:rsid w:val="00810931"/>
    <w:rsid w:val="00810C14"/>
    <w:rsid w:val="0081260F"/>
    <w:rsid w:val="00812C18"/>
    <w:rsid w:val="008135D7"/>
    <w:rsid w:val="00813743"/>
    <w:rsid w:val="00814967"/>
    <w:rsid w:val="00815D59"/>
    <w:rsid w:val="00816614"/>
    <w:rsid w:val="00820676"/>
    <w:rsid w:val="00820937"/>
    <w:rsid w:val="00820FF1"/>
    <w:rsid w:val="0082105B"/>
    <w:rsid w:val="0082109D"/>
    <w:rsid w:val="00821945"/>
    <w:rsid w:val="0082347C"/>
    <w:rsid w:val="00823AFC"/>
    <w:rsid w:val="008272F9"/>
    <w:rsid w:val="008277BC"/>
    <w:rsid w:val="00830113"/>
    <w:rsid w:val="00830D5B"/>
    <w:rsid w:val="00831FF0"/>
    <w:rsid w:val="00832021"/>
    <w:rsid w:val="00832D5D"/>
    <w:rsid w:val="00832F41"/>
    <w:rsid w:val="008337CE"/>
    <w:rsid w:val="00834E24"/>
    <w:rsid w:val="00835027"/>
    <w:rsid w:val="008357AE"/>
    <w:rsid w:val="00835EF6"/>
    <w:rsid w:val="00837201"/>
    <w:rsid w:val="00840466"/>
    <w:rsid w:val="00840AC7"/>
    <w:rsid w:val="00841AF5"/>
    <w:rsid w:val="008429A9"/>
    <w:rsid w:val="00842ED0"/>
    <w:rsid w:val="00843310"/>
    <w:rsid w:val="008458E5"/>
    <w:rsid w:val="00845C1A"/>
    <w:rsid w:val="00846EA7"/>
    <w:rsid w:val="00847036"/>
    <w:rsid w:val="00847809"/>
    <w:rsid w:val="00852546"/>
    <w:rsid w:val="00852843"/>
    <w:rsid w:val="00852A6F"/>
    <w:rsid w:val="008553BD"/>
    <w:rsid w:val="00855B48"/>
    <w:rsid w:val="00855C18"/>
    <w:rsid w:val="00860634"/>
    <w:rsid w:val="00860D2E"/>
    <w:rsid w:val="008619D7"/>
    <w:rsid w:val="00862195"/>
    <w:rsid w:val="008640B5"/>
    <w:rsid w:val="00864C06"/>
    <w:rsid w:val="008662B4"/>
    <w:rsid w:val="00866BFD"/>
    <w:rsid w:val="00867A74"/>
    <w:rsid w:val="00870DEC"/>
    <w:rsid w:val="00871DC9"/>
    <w:rsid w:val="00872522"/>
    <w:rsid w:val="00872CE7"/>
    <w:rsid w:val="00872DF0"/>
    <w:rsid w:val="008743E3"/>
    <w:rsid w:val="00874A37"/>
    <w:rsid w:val="0087554F"/>
    <w:rsid w:val="00875796"/>
    <w:rsid w:val="00875A14"/>
    <w:rsid w:val="00876F42"/>
    <w:rsid w:val="0087725F"/>
    <w:rsid w:val="00877E25"/>
    <w:rsid w:val="00880B33"/>
    <w:rsid w:val="00881866"/>
    <w:rsid w:val="00881A6F"/>
    <w:rsid w:val="00882AF2"/>
    <w:rsid w:val="008836BD"/>
    <w:rsid w:val="00884031"/>
    <w:rsid w:val="00885AE3"/>
    <w:rsid w:val="00885B49"/>
    <w:rsid w:val="008864B1"/>
    <w:rsid w:val="00886A91"/>
    <w:rsid w:val="00886AFB"/>
    <w:rsid w:val="00887A55"/>
    <w:rsid w:val="00890063"/>
    <w:rsid w:val="008912A8"/>
    <w:rsid w:val="00891E3F"/>
    <w:rsid w:val="008921A2"/>
    <w:rsid w:val="008923BF"/>
    <w:rsid w:val="008926D6"/>
    <w:rsid w:val="00892A02"/>
    <w:rsid w:val="008937BE"/>
    <w:rsid w:val="00893E1B"/>
    <w:rsid w:val="00894862"/>
    <w:rsid w:val="00894D1D"/>
    <w:rsid w:val="00894D63"/>
    <w:rsid w:val="00895971"/>
    <w:rsid w:val="00895BA6"/>
    <w:rsid w:val="00896194"/>
    <w:rsid w:val="00896346"/>
    <w:rsid w:val="00896C09"/>
    <w:rsid w:val="00897FE6"/>
    <w:rsid w:val="008A13C4"/>
    <w:rsid w:val="008A170A"/>
    <w:rsid w:val="008A230F"/>
    <w:rsid w:val="008A2769"/>
    <w:rsid w:val="008A2F06"/>
    <w:rsid w:val="008A360D"/>
    <w:rsid w:val="008A36D5"/>
    <w:rsid w:val="008A4DFA"/>
    <w:rsid w:val="008A5534"/>
    <w:rsid w:val="008A555F"/>
    <w:rsid w:val="008A5B18"/>
    <w:rsid w:val="008A634A"/>
    <w:rsid w:val="008A63E3"/>
    <w:rsid w:val="008A6CAE"/>
    <w:rsid w:val="008B0567"/>
    <w:rsid w:val="008B0623"/>
    <w:rsid w:val="008B1068"/>
    <w:rsid w:val="008B3090"/>
    <w:rsid w:val="008B3994"/>
    <w:rsid w:val="008B3A59"/>
    <w:rsid w:val="008B5F31"/>
    <w:rsid w:val="008B6610"/>
    <w:rsid w:val="008B6A9A"/>
    <w:rsid w:val="008B6B04"/>
    <w:rsid w:val="008B73F2"/>
    <w:rsid w:val="008C10C2"/>
    <w:rsid w:val="008C1379"/>
    <w:rsid w:val="008C17C3"/>
    <w:rsid w:val="008C1F42"/>
    <w:rsid w:val="008C2750"/>
    <w:rsid w:val="008C2BF0"/>
    <w:rsid w:val="008C35F0"/>
    <w:rsid w:val="008C3709"/>
    <w:rsid w:val="008C3CE3"/>
    <w:rsid w:val="008C4600"/>
    <w:rsid w:val="008C46CA"/>
    <w:rsid w:val="008C52BE"/>
    <w:rsid w:val="008C5DB0"/>
    <w:rsid w:val="008C64BA"/>
    <w:rsid w:val="008C74D8"/>
    <w:rsid w:val="008C7D09"/>
    <w:rsid w:val="008D049C"/>
    <w:rsid w:val="008D197E"/>
    <w:rsid w:val="008D1DAC"/>
    <w:rsid w:val="008D27BD"/>
    <w:rsid w:val="008D3C22"/>
    <w:rsid w:val="008D3C6B"/>
    <w:rsid w:val="008D5A01"/>
    <w:rsid w:val="008D77BB"/>
    <w:rsid w:val="008E1CFB"/>
    <w:rsid w:val="008E1ED8"/>
    <w:rsid w:val="008E294D"/>
    <w:rsid w:val="008E2BB8"/>
    <w:rsid w:val="008E32C8"/>
    <w:rsid w:val="008E3535"/>
    <w:rsid w:val="008E3CE0"/>
    <w:rsid w:val="008E3CFB"/>
    <w:rsid w:val="008E4039"/>
    <w:rsid w:val="008E52C4"/>
    <w:rsid w:val="008E52EE"/>
    <w:rsid w:val="008E5D7C"/>
    <w:rsid w:val="008E7385"/>
    <w:rsid w:val="008F0707"/>
    <w:rsid w:val="008F08D2"/>
    <w:rsid w:val="008F0BA2"/>
    <w:rsid w:val="008F34C5"/>
    <w:rsid w:val="008F3D24"/>
    <w:rsid w:val="008F3D43"/>
    <w:rsid w:val="008F5599"/>
    <w:rsid w:val="008F58D5"/>
    <w:rsid w:val="008F5FA4"/>
    <w:rsid w:val="008F6CF2"/>
    <w:rsid w:val="008F7391"/>
    <w:rsid w:val="008F7881"/>
    <w:rsid w:val="008F7DAD"/>
    <w:rsid w:val="008F7DC1"/>
    <w:rsid w:val="009008BE"/>
    <w:rsid w:val="0090243B"/>
    <w:rsid w:val="00902E44"/>
    <w:rsid w:val="0090310B"/>
    <w:rsid w:val="009036AD"/>
    <w:rsid w:val="0090535E"/>
    <w:rsid w:val="009053DF"/>
    <w:rsid w:val="00905E99"/>
    <w:rsid w:val="009079DE"/>
    <w:rsid w:val="00910D77"/>
    <w:rsid w:val="00911F37"/>
    <w:rsid w:val="00912EA4"/>
    <w:rsid w:val="009133D8"/>
    <w:rsid w:val="00914ABC"/>
    <w:rsid w:val="00914D90"/>
    <w:rsid w:val="0091661E"/>
    <w:rsid w:val="009167A0"/>
    <w:rsid w:val="0091694A"/>
    <w:rsid w:val="00920BAE"/>
    <w:rsid w:val="0092240D"/>
    <w:rsid w:val="009227F6"/>
    <w:rsid w:val="00923E3A"/>
    <w:rsid w:val="0092410D"/>
    <w:rsid w:val="0092470D"/>
    <w:rsid w:val="00924C13"/>
    <w:rsid w:val="00924D7F"/>
    <w:rsid w:val="00925322"/>
    <w:rsid w:val="00925382"/>
    <w:rsid w:val="00930AAD"/>
    <w:rsid w:val="00931049"/>
    <w:rsid w:val="00932419"/>
    <w:rsid w:val="009330BA"/>
    <w:rsid w:val="00933F7F"/>
    <w:rsid w:val="00934786"/>
    <w:rsid w:val="009357B8"/>
    <w:rsid w:val="00936B23"/>
    <w:rsid w:val="00937E63"/>
    <w:rsid w:val="009410B9"/>
    <w:rsid w:val="00941C7E"/>
    <w:rsid w:val="009428B0"/>
    <w:rsid w:val="009428BF"/>
    <w:rsid w:val="00942A00"/>
    <w:rsid w:val="00942D50"/>
    <w:rsid w:val="009433CB"/>
    <w:rsid w:val="00944B2B"/>
    <w:rsid w:val="00946596"/>
    <w:rsid w:val="00946B08"/>
    <w:rsid w:val="00946B84"/>
    <w:rsid w:val="0095042E"/>
    <w:rsid w:val="009518AE"/>
    <w:rsid w:val="00951951"/>
    <w:rsid w:val="00951BED"/>
    <w:rsid w:val="0095362F"/>
    <w:rsid w:val="009543D9"/>
    <w:rsid w:val="00956683"/>
    <w:rsid w:val="00956A66"/>
    <w:rsid w:val="00956CDA"/>
    <w:rsid w:val="00957252"/>
    <w:rsid w:val="00957709"/>
    <w:rsid w:val="00957C40"/>
    <w:rsid w:val="0096112C"/>
    <w:rsid w:val="00961A46"/>
    <w:rsid w:val="00961D22"/>
    <w:rsid w:val="00962477"/>
    <w:rsid w:val="00962484"/>
    <w:rsid w:val="009635DF"/>
    <w:rsid w:val="00964B61"/>
    <w:rsid w:val="00965243"/>
    <w:rsid w:val="00965B66"/>
    <w:rsid w:val="00965B8E"/>
    <w:rsid w:val="009670E6"/>
    <w:rsid w:val="00967548"/>
    <w:rsid w:val="00970DFD"/>
    <w:rsid w:val="00972AA8"/>
    <w:rsid w:val="009743E4"/>
    <w:rsid w:val="00975F40"/>
    <w:rsid w:val="0097611D"/>
    <w:rsid w:val="00976396"/>
    <w:rsid w:val="00976C29"/>
    <w:rsid w:val="0097704D"/>
    <w:rsid w:val="00977068"/>
    <w:rsid w:val="00977991"/>
    <w:rsid w:val="00980995"/>
    <w:rsid w:val="00981115"/>
    <w:rsid w:val="00981427"/>
    <w:rsid w:val="00982767"/>
    <w:rsid w:val="00983414"/>
    <w:rsid w:val="00984112"/>
    <w:rsid w:val="0098422A"/>
    <w:rsid w:val="0098477B"/>
    <w:rsid w:val="009860AE"/>
    <w:rsid w:val="0098685D"/>
    <w:rsid w:val="009902F2"/>
    <w:rsid w:val="00990637"/>
    <w:rsid w:val="0099118E"/>
    <w:rsid w:val="009918C8"/>
    <w:rsid w:val="00992FEF"/>
    <w:rsid w:val="0099375D"/>
    <w:rsid w:val="009937AD"/>
    <w:rsid w:val="00993ABC"/>
    <w:rsid w:val="00993D88"/>
    <w:rsid w:val="0099422F"/>
    <w:rsid w:val="00994762"/>
    <w:rsid w:val="009957CF"/>
    <w:rsid w:val="0099597C"/>
    <w:rsid w:val="00995FE9"/>
    <w:rsid w:val="009966E0"/>
    <w:rsid w:val="009967FD"/>
    <w:rsid w:val="00996FC5"/>
    <w:rsid w:val="00997091"/>
    <w:rsid w:val="00997E6C"/>
    <w:rsid w:val="009A114C"/>
    <w:rsid w:val="009A154E"/>
    <w:rsid w:val="009A1AAA"/>
    <w:rsid w:val="009A2653"/>
    <w:rsid w:val="009A38D0"/>
    <w:rsid w:val="009A41BA"/>
    <w:rsid w:val="009A5679"/>
    <w:rsid w:val="009A5EE0"/>
    <w:rsid w:val="009A62E2"/>
    <w:rsid w:val="009A64BE"/>
    <w:rsid w:val="009A70F1"/>
    <w:rsid w:val="009A767E"/>
    <w:rsid w:val="009B13DA"/>
    <w:rsid w:val="009B452F"/>
    <w:rsid w:val="009B4F9B"/>
    <w:rsid w:val="009B54FE"/>
    <w:rsid w:val="009B5E45"/>
    <w:rsid w:val="009B701C"/>
    <w:rsid w:val="009C176E"/>
    <w:rsid w:val="009C1E6C"/>
    <w:rsid w:val="009C3C48"/>
    <w:rsid w:val="009C5DD4"/>
    <w:rsid w:val="009C6230"/>
    <w:rsid w:val="009C662A"/>
    <w:rsid w:val="009C6A23"/>
    <w:rsid w:val="009C7BAB"/>
    <w:rsid w:val="009D009F"/>
    <w:rsid w:val="009D0656"/>
    <w:rsid w:val="009D12A6"/>
    <w:rsid w:val="009D24AF"/>
    <w:rsid w:val="009D2734"/>
    <w:rsid w:val="009D3B53"/>
    <w:rsid w:val="009D497D"/>
    <w:rsid w:val="009D49F8"/>
    <w:rsid w:val="009D4C6A"/>
    <w:rsid w:val="009D555F"/>
    <w:rsid w:val="009D5881"/>
    <w:rsid w:val="009D6AFB"/>
    <w:rsid w:val="009D7A0B"/>
    <w:rsid w:val="009E1503"/>
    <w:rsid w:val="009E1EA5"/>
    <w:rsid w:val="009E26A4"/>
    <w:rsid w:val="009E2730"/>
    <w:rsid w:val="009E35F7"/>
    <w:rsid w:val="009E371B"/>
    <w:rsid w:val="009E3D3D"/>
    <w:rsid w:val="009E4374"/>
    <w:rsid w:val="009E47F1"/>
    <w:rsid w:val="009E5BB7"/>
    <w:rsid w:val="009E7115"/>
    <w:rsid w:val="009F0229"/>
    <w:rsid w:val="009F0B2E"/>
    <w:rsid w:val="009F0CBA"/>
    <w:rsid w:val="009F40B6"/>
    <w:rsid w:val="009F41EE"/>
    <w:rsid w:val="009F4680"/>
    <w:rsid w:val="009F5973"/>
    <w:rsid w:val="009F5CAE"/>
    <w:rsid w:val="009F5FAF"/>
    <w:rsid w:val="009F63DF"/>
    <w:rsid w:val="009F6EC3"/>
    <w:rsid w:val="009F7661"/>
    <w:rsid w:val="00A00315"/>
    <w:rsid w:val="00A01546"/>
    <w:rsid w:val="00A019A2"/>
    <w:rsid w:val="00A02682"/>
    <w:rsid w:val="00A0368E"/>
    <w:rsid w:val="00A054CD"/>
    <w:rsid w:val="00A067AF"/>
    <w:rsid w:val="00A1059B"/>
    <w:rsid w:val="00A11423"/>
    <w:rsid w:val="00A11857"/>
    <w:rsid w:val="00A125C9"/>
    <w:rsid w:val="00A12D46"/>
    <w:rsid w:val="00A1306A"/>
    <w:rsid w:val="00A137B5"/>
    <w:rsid w:val="00A14BAB"/>
    <w:rsid w:val="00A14D13"/>
    <w:rsid w:val="00A1511C"/>
    <w:rsid w:val="00A15241"/>
    <w:rsid w:val="00A1576B"/>
    <w:rsid w:val="00A163D8"/>
    <w:rsid w:val="00A16D2C"/>
    <w:rsid w:val="00A179A3"/>
    <w:rsid w:val="00A20D9B"/>
    <w:rsid w:val="00A212D0"/>
    <w:rsid w:val="00A21F59"/>
    <w:rsid w:val="00A2216E"/>
    <w:rsid w:val="00A2219D"/>
    <w:rsid w:val="00A22326"/>
    <w:rsid w:val="00A2395D"/>
    <w:rsid w:val="00A24C77"/>
    <w:rsid w:val="00A2538E"/>
    <w:rsid w:val="00A256E9"/>
    <w:rsid w:val="00A25701"/>
    <w:rsid w:val="00A2591E"/>
    <w:rsid w:val="00A26647"/>
    <w:rsid w:val="00A26D94"/>
    <w:rsid w:val="00A27137"/>
    <w:rsid w:val="00A301FB"/>
    <w:rsid w:val="00A302C7"/>
    <w:rsid w:val="00A3119C"/>
    <w:rsid w:val="00A312DD"/>
    <w:rsid w:val="00A314CC"/>
    <w:rsid w:val="00A31F1E"/>
    <w:rsid w:val="00A3393B"/>
    <w:rsid w:val="00A3420F"/>
    <w:rsid w:val="00A34409"/>
    <w:rsid w:val="00A345B1"/>
    <w:rsid w:val="00A34CA6"/>
    <w:rsid w:val="00A3582D"/>
    <w:rsid w:val="00A37494"/>
    <w:rsid w:val="00A376CE"/>
    <w:rsid w:val="00A412FF"/>
    <w:rsid w:val="00A41352"/>
    <w:rsid w:val="00A4197A"/>
    <w:rsid w:val="00A430F1"/>
    <w:rsid w:val="00A454FA"/>
    <w:rsid w:val="00A458B2"/>
    <w:rsid w:val="00A46DFE"/>
    <w:rsid w:val="00A479E9"/>
    <w:rsid w:val="00A47C78"/>
    <w:rsid w:val="00A50B99"/>
    <w:rsid w:val="00A51249"/>
    <w:rsid w:val="00A524A3"/>
    <w:rsid w:val="00A52AEE"/>
    <w:rsid w:val="00A52E65"/>
    <w:rsid w:val="00A531B7"/>
    <w:rsid w:val="00A537AF"/>
    <w:rsid w:val="00A54023"/>
    <w:rsid w:val="00A54E99"/>
    <w:rsid w:val="00A55B55"/>
    <w:rsid w:val="00A5631B"/>
    <w:rsid w:val="00A568AB"/>
    <w:rsid w:val="00A573C8"/>
    <w:rsid w:val="00A6052C"/>
    <w:rsid w:val="00A61BB2"/>
    <w:rsid w:val="00A61ECB"/>
    <w:rsid w:val="00A624E8"/>
    <w:rsid w:val="00A63033"/>
    <w:rsid w:val="00A64091"/>
    <w:rsid w:val="00A656DF"/>
    <w:rsid w:val="00A66262"/>
    <w:rsid w:val="00A67034"/>
    <w:rsid w:val="00A67229"/>
    <w:rsid w:val="00A675C3"/>
    <w:rsid w:val="00A67B89"/>
    <w:rsid w:val="00A70127"/>
    <w:rsid w:val="00A703D5"/>
    <w:rsid w:val="00A7067C"/>
    <w:rsid w:val="00A712D3"/>
    <w:rsid w:val="00A7174B"/>
    <w:rsid w:val="00A722E8"/>
    <w:rsid w:val="00A7262C"/>
    <w:rsid w:val="00A72D7F"/>
    <w:rsid w:val="00A7376C"/>
    <w:rsid w:val="00A73771"/>
    <w:rsid w:val="00A741FB"/>
    <w:rsid w:val="00A745F8"/>
    <w:rsid w:val="00A7526D"/>
    <w:rsid w:val="00A76D6C"/>
    <w:rsid w:val="00A77685"/>
    <w:rsid w:val="00A778DF"/>
    <w:rsid w:val="00A805D8"/>
    <w:rsid w:val="00A808D1"/>
    <w:rsid w:val="00A808D9"/>
    <w:rsid w:val="00A81275"/>
    <w:rsid w:val="00A84172"/>
    <w:rsid w:val="00A8659D"/>
    <w:rsid w:val="00A868CF"/>
    <w:rsid w:val="00A86F4E"/>
    <w:rsid w:val="00A90630"/>
    <w:rsid w:val="00A92C0A"/>
    <w:rsid w:val="00A96537"/>
    <w:rsid w:val="00A96622"/>
    <w:rsid w:val="00A96A65"/>
    <w:rsid w:val="00A96EB4"/>
    <w:rsid w:val="00A9721D"/>
    <w:rsid w:val="00A974AD"/>
    <w:rsid w:val="00A97C88"/>
    <w:rsid w:val="00AA01E0"/>
    <w:rsid w:val="00AA08DA"/>
    <w:rsid w:val="00AA0B09"/>
    <w:rsid w:val="00AA16F3"/>
    <w:rsid w:val="00AA1E96"/>
    <w:rsid w:val="00AA231E"/>
    <w:rsid w:val="00AA4DB8"/>
    <w:rsid w:val="00AA5359"/>
    <w:rsid w:val="00AA59CD"/>
    <w:rsid w:val="00AA626A"/>
    <w:rsid w:val="00AA6A58"/>
    <w:rsid w:val="00AA704A"/>
    <w:rsid w:val="00AA7AC8"/>
    <w:rsid w:val="00AB15EA"/>
    <w:rsid w:val="00AB2540"/>
    <w:rsid w:val="00AB2959"/>
    <w:rsid w:val="00AB3530"/>
    <w:rsid w:val="00AB6C96"/>
    <w:rsid w:val="00AB6DA4"/>
    <w:rsid w:val="00AB7D23"/>
    <w:rsid w:val="00AB7F2C"/>
    <w:rsid w:val="00AC1DB3"/>
    <w:rsid w:val="00AC1E50"/>
    <w:rsid w:val="00AC2401"/>
    <w:rsid w:val="00AC25AB"/>
    <w:rsid w:val="00AC2C16"/>
    <w:rsid w:val="00AC362D"/>
    <w:rsid w:val="00AC5357"/>
    <w:rsid w:val="00AC566C"/>
    <w:rsid w:val="00AC5A2F"/>
    <w:rsid w:val="00AC5E1E"/>
    <w:rsid w:val="00AC6DF9"/>
    <w:rsid w:val="00AC77D7"/>
    <w:rsid w:val="00AC79BF"/>
    <w:rsid w:val="00AC7C13"/>
    <w:rsid w:val="00AD07F7"/>
    <w:rsid w:val="00AD0DBF"/>
    <w:rsid w:val="00AD147D"/>
    <w:rsid w:val="00AD1E6A"/>
    <w:rsid w:val="00AD2564"/>
    <w:rsid w:val="00AD2ABC"/>
    <w:rsid w:val="00AD2F98"/>
    <w:rsid w:val="00AD3B07"/>
    <w:rsid w:val="00AD4936"/>
    <w:rsid w:val="00AD49D3"/>
    <w:rsid w:val="00AD4D03"/>
    <w:rsid w:val="00AD59CC"/>
    <w:rsid w:val="00AD6381"/>
    <w:rsid w:val="00AE0BE5"/>
    <w:rsid w:val="00AE1623"/>
    <w:rsid w:val="00AE292D"/>
    <w:rsid w:val="00AE4E5E"/>
    <w:rsid w:val="00AE5317"/>
    <w:rsid w:val="00AE5E54"/>
    <w:rsid w:val="00AE60E9"/>
    <w:rsid w:val="00AE6451"/>
    <w:rsid w:val="00AE6609"/>
    <w:rsid w:val="00AE6DD4"/>
    <w:rsid w:val="00AF067C"/>
    <w:rsid w:val="00AF0B02"/>
    <w:rsid w:val="00AF14FB"/>
    <w:rsid w:val="00AF1FC8"/>
    <w:rsid w:val="00AF2C89"/>
    <w:rsid w:val="00AF48CC"/>
    <w:rsid w:val="00AF4D51"/>
    <w:rsid w:val="00AF4EF2"/>
    <w:rsid w:val="00AF5DAC"/>
    <w:rsid w:val="00AF5F84"/>
    <w:rsid w:val="00AF7885"/>
    <w:rsid w:val="00B00EC3"/>
    <w:rsid w:val="00B0186D"/>
    <w:rsid w:val="00B01DD8"/>
    <w:rsid w:val="00B02227"/>
    <w:rsid w:val="00B02578"/>
    <w:rsid w:val="00B0356E"/>
    <w:rsid w:val="00B03D79"/>
    <w:rsid w:val="00B04637"/>
    <w:rsid w:val="00B050C8"/>
    <w:rsid w:val="00B0545C"/>
    <w:rsid w:val="00B05BE5"/>
    <w:rsid w:val="00B061D8"/>
    <w:rsid w:val="00B063CC"/>
    <w:rsid w:val="00B10BF8"/>
    <w:rsid w:val="00B1176E"/>
    <w:rsid w:val="00B11FB8"/>
    <w:rsid w:val="00B1314E"/>
    <w:rsid w:val="00B1318E"/>
    <w:rsid w:val="00B133CA"/>
    <w:rsid w:val="00B14825"/>
    <w:rsid w:val="00B20B8B"/>
    <w:rsid w:val="00B2183C"/>
    <w:rsid w:val="00B2187C"/>
    <w:rsid w:val="00B21A8E"/>
    <w:rsid w:val="00B2383E"/>
    <w:rsid w:val="00B23CFF"/>
    <w:rsid w:val="00B25ED9"/>
    <w:rsid w:val="00B30CB3"/>
    <w:rsid w:val="00B3112F"/>
    <w:rsid w:val="00B3194E"/>
    <w:rsid w:val="00B32670"/>
    <w:rsid w:val="00B32E23"/>
    <w:rsid w:val="00B33015"/>
    <w:rsid w:val="00B3327A"/>
    <w:rsid w:val="00B332B8"/>
    <w:rsid w:val="00B3333E"/>
    <w:rsid w:val="00B33554"/>
    <w:rsid w:val="00B3474B"/>
    <w:rsid w:val="00B34FA8"/>
    <w:rsid w:val="00B35879"/>
    <w:rsid w:val="00B3590D"/>
    <w:rsid w:val="00B363B5"/>
    <w:rsid w:val="00B370F1"/>
    <w:rsid w:val="00B375A4"/>
    <w:rsid w:val="00B37803"/>
    <w:rsid w:val="00B37917"/>
    <w:rsid w:val="00B416D7"/>
    <w:rsid w:val="00B41ED9"/>
    <w:rsid w:val="00B43D82"/>
    <w:rsid w:val="00B44581"/>
    <w:rsid w:val="00B44C96"/>
    <w:rsid w:val="00B4534E"/>
    <w:rsid w:val="00B46263"/>
    <w:rsid w:val="00B50BF2"/>
    <w:rsid w:val="00B50E4F"/>
    <w:rsid w:val="00B50FFB"/>
    <w:rsid w:val="00B52918"/>
    <w:rsid w:val="00B536A7"/>
    <w:rsid w:val="00B54472"/>
    <w:rsid w:val="00B553D1"/>
    <w:rsid w:val="00B561C9"/>
    <w:rsid w:val="00B57E74"/>
    <w:rsid w:val="00B60DA0"/>
    <w:rsid w:val="00B613B6"/>
    <w:rsid w:val="00B627E8"/>
    <w:rsid w:val="00B62E62"/>
    <w:rsid w:val="00B63588"/>
    <w:rsid w:val="00B63A4F"/>
    <w:rsid w:val="00B63BE2"/>
    <w:rsid w:val="00B65371"/>
    <w:rsid w:val="00B66868"/>
    <w:rsid w:val="00B66A12"/>
    <w:rsid w:val="00B67585"/>
    <w:rsid w:val="00B67B07"/>
    <w:rsid w:val="00B67F6D"/>
    <w:rsid w:val="00B67FE0"/>
    <w:rsid w:val="00B708C2"/>
    <w:rsid w:val="00B7249B"/>
    <w:rsid w:val="00B72B6E"/>
    <w:rsid w:val="00B72E4A"/>
    <w:rsid w:val="00B730F4"/>
    <w:rsid w:val="00B738F6"/>
    <w:rsid w:val="00B73A6E"/>
    <w:rsid w:val="00B741D0"/>
    <w:rsid w:val="00B752DC"/>
    <w:rsid w:val="00B75ADE"/>
    <w:rsid w:val="00B7608A"/>
    <w:rsid w:val="00B76AF3"/>
    <w:rsid w:val="00B77007"/>
    <w:rsid w:val="00B779E2"/>
    <w:rsid w:val="00B8018F"/>
    <w:rsid w:val="00B802DC"/>
    <w:rsid w:val="00B805FE"/>
    <w:rsid w:val="00B80FD0"/>
    <w:rsid w:val="00B81A59"/>
    <w:rsid w:val="00B81E38"/>
    <w:rsid w:val="00B83908"/>
    <w:rsid w:val="00B8409C"/>
    <w:rsid w:val="00B84798"/>
    <w:rsid w:val="00B85077"/>
    <w:rsid w:val="00B85B63"/>
    <w:rsid w:val="00B85FC9"/>
    <w:rsid w:val="00B8740E"/>
    <w:rsid w:val="00B87641"/>
    <w:rsid w:val="00B879F5"/>
    <w:rsid w:val="00B87DBD"/>
    <w:rsid w:val="00B9082D"/>
    <w:rsid w:val="00B91E79"/>
    <w:rsid w:val="00B92527"/>
    <w:rsid w:val="00B928D0"/>
    <w:rsid w:val="00B930E3"/>
    <w:rsid w:val="00B93F2A"/>
    <w:rsid w:val="00B94DE4"/>
    <w:rsid w:val="00B95731"/>
    <w:rsid w:val="00B95C39"/>
    <w:rsid w:val="00B961F6"/>
    <w:rsid w:val="00B96AC5"/>
    <w:rsid w:val="00B9734C"/>
    <w:rsid w:val="00B97965"/>
    <w:rsid w:val="00BA03F5"/>
    <w:rsid w:val="00BA10FA"/>
    <w:rsid w:val="00BA1EA5"/>
    <w:rsid w:val="00BA3690"/>
    <w:rsid w:val="00BA3F97"/>
    <w:rsid w:val="00BA4076"/>
    <w:rsid w:val="00BA4C1E"/>
    <w:rsid w:val="00BA4E20"/>
    <w:rsid w:val="00BA4E9D"/>
    <w:rsid w:val="00BA4F1E"/>
    <w:rsid w:val="00BA521C"/>
    <w:rsid w:val="00BA5D2D"/>
    <w:rsid w:val="00BA61AF"/>
    <w:rsid w:val="00BA6513"/>
    <w:rsid w:val="00BA6654"/>
    <w:rsid w:val="00BA687F"/>
    <w:rsid w:val="00BB111C"/>
    <w:rsid w:val="00BB329D"/>
    <w:rsid w:val="00BB33CD"/>
    <w:rsid w:val="00BB3590"/>
    <w:rsid w:val="00BB492B"/>
    <w:rsid w:val="00BB4F65"/>
    <w:rsid w:val="00BB6D9F"/>
    <w:rsid w:val="00BB71B6"/>
    <w:rsid w:val="00BB73B1"/>
    <w:rsid w:val="00BC2262"/>
    <w:rsid w:val="00BC31D3"/>
    <w:rsid w:val="00BC3DE2"/>
    <w:rsid w:val="00BC47BC"/>
    <w:rsid w:val="00BC4853"/>
    <w:rsid w:val="00BC4FED"/>
    <w:rsid w:val="00BC6499"/>
    <w:rsid w:val="00BC73D7"/>
    <w:rsid w:val="00BC74F8"/>
    <w:rsid w:val="00BC76CB"/>
    <w:rsid w:val="00BC7A31"/>
    <w:rsid w:val="00BD1272"/>
    <w:rsid w:val="00BD1E8D"/>
    <w:rsid w:val="00BD3078"/>
    <w:rsid w:val="00BD387C"/>
    <w:rsid w:val="00BD39C5"/>
    <w:rsid w:val="00BD3FBA"/>
    <w:rsid w:val="00BD4014"/>
    <w:rsid w:val="00BD4FC5"/>
    <w:rsid w:val="00BD711D"/>
    <w:rsid w:val="00BD739E"/>
    <w:rsid w:val="00BE0C72"/>
    <w:rsid w:val="00BE12B1"/>
    <w:rsid w:val="00BE19AB"/>
    <w:rsid w:val="00BE1BD1"/>
    <w:rsid w:val="00BE2A41"/>
    <w:rsid w:val="00BE2B49"/>
    <w:rsid w:val="00BE31B4"/>
    <w:rsid w:val="00BE3637"/>
    <w:rsid w:val="00BE49C6"/>
    <w:rsid w:val="00BE4F76"/>
    <w:rsid w:val="00BE53EA"/>
    <w:rsid w:val="00BE5F22"/>
    <w:rsid w:val="00BE72AA"/>
    <w:rsid w:val="00BF2054"/>
    <w:rsid w:val="00BF2AC7"/>
    <w:rsid w:val="00BF355C"/>
    <w:rsid w:val="00BF44DA"/>
    <w:rsid w:val="00BF4D35"/>
    <w:rsid w:val="00BF4E22"/>
    <w:rsid w:val="00BF5B2E"/>
    <w:rsid w:val="00BF5D47"/>
    <w:rsid w:val="00BF7F51"/>
    <w:rsid w:val="00C00CF0"/>
    <w:rsid w:val="00C018CF"/>
    <w:rsid w:val="00C022FE"/>
    <w:rsid w:val="00C0246B"/>
    <w:rsid w:val="00C0252E"/>
    <w:rsid w:val="00C02DC4"/>
    <w:rsid w:val="00C03EC5"/>
    <w:rsid w:val="00C05051"/>
    <w:rsid w:val="00C0606A"/>
    <w:rsid w:val="00C07347"/>
    <w:rsid w:val="00C077CB"/>
    <w:rsid w:val="00C1102C"/>
    <w:rsid w:val="00C1104C"/>
    <w:rsid w:val="00C11B2D"/>
    <w:rsid w:val="00C11EF6"/>
    <w:rsid w:val="00C12461"/>
    <w:rsid w:val="00C129A4"/>
    <w:rsid w:val="00C13C0C"/>
    <w:rsid w:val="00C14224"/>
    <w:rsid w:val="00C1428A"/>
    <w:rsid w:val="00C14B91"/>
    <w:rsid w:val="00C16130"/>
    <w:rsid w:val="00C20E0A"/>
    <w:rsid w:val="00C21EF9"/>
    <w:rsid w:val="00C22006"/>
    <w:rsid w:val="00C238BC"/>
    <w:rsid w:val="00C238FB"/>
    <w:rsid w:val="00C24A9B"/>
    <w:rsid w:val="00C24F1D"/>
    <w:rsid w:val="00C3016C"/>
    <w:rsid w:val="00C30E14"/>
    <w:rsid w:val="00C31FA2"/>
    <w:rsid w:val="00C34C9A"/>
    <w:rsid w:val="00C34E9C"/>
    <w:rsid w:val="00C364BC"/>
    <w:rsid w:val="00C366B9"/>
    <w:rsid w:val="00C378A0"/>
    <w:rsid w:val="00C37A4D"/>
    <w:rsid w:val="00C40B94"/>
    <w:rsid w:val="00C4121E"/>
    <w:rsid w:val="00C41587"/>
    <w:rsid w:val="00C45D62"/>
    <w:rsid w:val="00C461FE"/>
    <w:rsid w:val="00C464A8"/>
    <w:rsid w:val="00C4669C"/>
    <w:rsid w:val="00C46760"/>
    <w:rsid w:val="00C4701F"/>
    <w:rsid w:val="00C47334"/>
    <w:rsid w:val="00C47362"/>
    <w:rsid w:val="00C47B26"/>
    <w:rsid w:val="00C5067E"/>
    <w:rsid w:val="00C50AFD"/>
    <w:rsid w:val="00C51C6D"/>
    <w:rsid w:val="00C521FF"/>
    <w:rsid w:val="00C52871"/>
    <w:rsid w:val="00C5309E"/>
    <w:rsid w:val="00C530CF"/>
    <w:rsid w:val="00C53497"/>
    <w:rsid w:val="00C54390"/>
    <w:rsid w:val="00C54416"/>
    <w:rsid w:val="00C544BA"/>
    <w:rsid w:val="00C54789"/>
    <w:rsid w:val="00C549D8"/>
    <w:rsid w:val="00C54E9E"/>
    <w:rsid w:val="00C55424"/>
    <w:rsid w:val="00C563DE"/>
    <w:rsid w:val="00C5685D"/>
    <w:rsid w:val="00C56D7D"/>
    <w:rsid w:val="00C63865"/>
    <w:rsid w:val="00C645FD"/>
    <w:rsid w:val="00C64DF1"/>
    <w:rsid w:val="00C65887"/>
    <w:rsid w:val="00C65E0F"/>
    <w:rsid w:val="00C70D0E"/>
    <w:rsid w:val="00C714A2"/>
    <w:rsid w:val="00C72181"/>
    <w:rsid w:val="00C72CF1"/>
    <w:rsid w:val="00C74094"/>
    <w:rsid w:val="00C741EA"/>
    <w:rsid w:val="00C74201"/>
    <w:rsid w:val="00C742AB"/>
    <w:rsid w:val="00C7579C"/>
    <w:rsid w:val="00C75912"/>
    <w:rsid w:val="00C76B67"/>
    <w:rsid w:val="00C77662"/>
    <w:rsid w:val="00C804D1"/>
    <w:rsid w:val="00C810AA"/>
    <w:rsid w:val="00C8124E"/>
    <w:rsid w:val="00C81CFD"/>
    <w:rsid w:val="00C81F2E"/>
    <w:rsid w:val="00C82D5A"/>
    <w:rsid w:val="00C82E39"/>
    <w:rsid w:val="00C82F2E"/>
    <w:rsid w:val="00C83240"/>
    <w:rsid w:val="00C83D59"/>
    <w:rsid w:val="00C84360"/>
    <w:rsid w:val="00C85DF1"/>
    <w:rsid w:val="00C86A29"/>
    <w:rsid w:val="00C9005C"/>
    <w:rsid w:val="00C91095"/>
    <w:rsid w:val="00C91304"/>
    <w:rsid w:val="00C91317"/>
    <w:rsid w:val="00C91E94"/>
    <w:rsid w:val="00C91F07"/>
    <w:rsid w:val="00C92199"/>
    <w:rsid w:val="00C92BAA"/>
    <w:rsid w:val="00C9379D"/>
    <w:rsid w:val="00C93F22"/>
    <w:rsid w:val="00C94B8A"/>
    <w:rsid w:val="00C9506B"/>
    <w:rsid w:val="00C95462"/>
    <w:rsid w:val="00C963D6"/>
    <w:rsid w:val="00C96B78"/>
    <w:rsid w:val="00C96D13"/>
    <w:rsid w:val="00C96F19"/>
    <w:rsid w:val="00C97710"/>
    <w:rsid w:val="00C97CDF"/>
    <w:rsid w:val="00CA0555"/>
    <w:rsid w:val="00CA0B4C"/>
    <w:rsid w:val="00CA0BAF"/>
    <w:rsid w:val="00CA0E77"/>
    <w:rsid w:val="00CA1264"/>
    <w:rsid w:val="00CA12A2"/>
    <w:rsid w:val="00CA1E44"/>
    <w:rsid w:val="00CA2049"/>
    <w:rsid w:val="00CA2BFE"/>
    <w:rsid w:val="00CA2EB8"/>
    <w:rsid w:val="00CA418B"/>
    <w:rsid w:val="00CA5D91"/>
    <w:rsid w:val="00CA6AB7"/>
    <w:rsid w:val="00CA6B04"/>
    <w:rsid w:val="00CA7CA5"/>
    <w:rsid w:val="00CA7EA9"/>
    <w:rsid w:val="00CB09DF"/>
    <w:rsid w:val="00CB2B64"/>
    <w:rsid w:val="00CB32D0"/>
    <w:rsid w:val="00CB3687"/>
    <w:rsid w:val="00CB378B"/>
    <w:rsid w:val="00CB4199"/>
    <w:rsid w:val="00CB53E2"/>
    <w:rsid w:val="00CB577B"/>
    <w:rsid w:val="00CB58A6"/>
    <w:rsid w:val="00CB5D80"/>
    <w:rsid w:val="00CB681D"/>
    <w:rsid w:val="00CB6EFF"/>
    <w:rsid w:val="00CB7263"/>
    <w:rsid w:val="00CB7890"/>
    <w:rsid w:val="00CC1556"/>
    <w:rsid w:val="00CC274D"/>
    <w:rsid w:val="00CC313B"/>
    <w:rsid w:val="00CC3E08"/>
    <w:rsid w:val="00CC5A43"/>
    <w:rsid w:val="00CC65FE"/>
    <w:rsid w:val="00CC74AF"/>
    <w:rsid w:val="00CD169F"/>
    <w:rsid w:val="00CD45A1"/>
    <w:rsid w:val="00CD6C20"/>
    <w:rsid w:val="00CD77B8"/>
    <w:rsid w:val="00CD7D45"/>
    <w:rsid w:val="00CD7F4C"/>
    <w:rsid w:val="00CE0375"/>
    <w:rsid w:val="00CE083F"/>
    <w:rsid w:val="00CE139F"/>
    <w:rsid w:val="00CE164F"/>
    <w:rsid w:val="00CE25D5"/>
    <w:rsid w:val="00CE2B99"/>
    <w:rsid w:val="00CE350E"/>
    <w:rsid w:val="00CE5795"/>
    <w:rsid w:val="00CE6AE5"/>
    <w:rsid w:val="00CF0388"/>
    <w:rsid w:val="00CF22BA"/>
    <w:rsid w:val="00CF2324"/>
    <w:rsid w:val="00CF3008"/>
    <w:rsid w:val="00CF3EBC"/>
    <w:rsid w:val="00CF492B"/>
    <w:rsid w:val="00CF4A19"/>
    <w:rsid w:val="00CF4A90"/>
    <w:rsid w:val="00D01D77"/>
    <w:rsid w:val="00D02DC5"/>
    <w:rsid w:val="00D0308C"/>
    <w:rsid w:val="00D030C8"/>
    <w:rsid w:val="00D03221"/>
    <w:rsid w:val="00D037EA"/>
    <w:rsid w:val="00D0393B"/>
    <w:rsid w:val="00D03A42"/>
    <w:rsid w:val="00D04305"/>
    <w:rsid w:val="00D04932"/>
    <w:rsid w:val="00D04A2B"/>
    <w:rsid w:val="00D04C21"/>
    <w:rsid w:val="00D05C4B"/>
    <w:rsid w:val="00D06621"/>
    <w:rsid w:val="00D10B91"/>
    <w:rsid w:val="00D119B1"/>
    <w:rsid w:val="00D11C03"/>
    <w:rsid w:val="00D13E02"/>
    <w:rsid w:val="00D140F4"/>
    <w:rsid w:val="00D143EF"/>
    <w:rsid w:val="00D14D9C"/>
    <w:rsid w:val="00D151FE"/>
    <w:rsid w:val="00D15D59"/>
    <w:rsid w:val="00D16928"/>
    <w:rsid w:val="00D1714E"/>
    <w:rsid w:val="00D20729"/>
    <w:rsid w:val="00D20E89"/>
    <w:rsid w:val="00D2106A"/>
    <w:rsid w:val="00D23F96"/>
    <w:rsid w:val="00D24555"/>
    <w:rsid w:val="00D24C58"/>
    <w:rsid w:val="00D263F5"/>
    <w:rsid w:val="00D267DE"/>
    <w:rsid w:val="00D26B2C"/>
    <w:rsid w:val="00D30F21"/>
    <w:rsid w:val="00D3319C"/>
    <w:rsid w:val="00D332A9"/>
    <w:rsid w:val="00D33BFE"/>
    <w:rsid w:val="00D344ED"/>
    <w:rsid w:val="00D34B35"/>
    <w:rsid w:val="00D36658"/>
    <w:rsid w:val="00D36CAC"/>
    <w:rsid w:val="00D40175"/>
    <w:rsid w:val="00D40559"/>
    <w:rsid w:val="00D407DA"/>
    <w:rsid w:val="00D41576"/>
    <w:rsid w:val="00D417C0"/>
    <w:rsid w:val="00D41890"/>
    <w:rsid w:val="00D426A3"/>
    <w:rsid w:val="00D432CB"/>
    <w:rsid w:val="00D44573"/>
    <w:rsid w:val="00D44600"/>
    <w:rsid w:val="00D45DB1"/>
    <w:rsid w:val="00D46173"/>
    <w:rsid w:val="00D471E6"/>
    <w:rsid w:val="00D47785"/>
    <w:rsid w:val="00D50995"/>
    <w:rsid w:val="00D5157E"/>
    <w:rsid w:val="00D51639"/>
    <w:rsid w:val="00D51837"/>
    <w:rsid w:val="00D52BBB"/>
    <w:rsid w:val="00D52C9F"/>
    <w:rsid w:val="00D52EAD"/>
    <w:rsid w:val="00D53623"/>
    <w:rsid w:val="00D53B49"/>
    <w:rsid w:val="00D54953"/>
    <w:rsid w:val="00D54D74"/>
    <w:rsid w:val="00D55530"/>
    <w:rsid w:val="00D55BBC"/>
    <w:rsid w:val="00D57911"/>
    <w:rsid w:val="00D600A8"/>
    <w:rsid w:val="00D6022C"/>
    <w:rsid w:val="00D62A76"/>
    <w:rsid w:val="00D6346B"/>
    <w:rsid w:val="00D63561"/>
    <w:rsid w:val="00D639AA"/>
    <w:rsid w:val="00D639FD"/>
    <w:rsid w:val="00D64214"/>
    <w:rsid w:val="00D64A65"/>
    <w:rsid w:val="00D67BAB"/>
    <w:rsid w:val="00D67DF2"/>
    <w:rsid w:val="00D67F34"/>
    <w:rsid w:val="00D7094C"/>
    <w:rsid w:val="00D70C31"/>
    <w:rsid w:val="00D71133"/>
    <w:rsid w:val="00D72320"/>
    <w:rsid w:val="00D737AC"/>
    <w:rsid w:val="00D76367"/>
    <w:rsid w:val="00D770E6"/>
    <w:rsid w:val="00D7725A"/>
    <w:rsid w:val="00D77995"/>
    <w:rsid w:val="00D779C4"/>
    <w:rsid w:val="00D801DF"/>
    <w:rsid w:val="00D80427"/>
    <w:rsid w:val="00D8042D"/>
    <w:rsid w:val="00D80775"/>
    <w:rsid w:val="00D812D4"/>
    <w:rsid w:val="00D817AF"/>
    <w:rsid w:val="00D81D89"/>
    <w:rsid w:val="00D822AC"/>
    <w:rsid w:val="00D823C6"/>
    <w:rsid w:val="00D8281D"/>
    <w:rsid w:val="00D83431"/>
    <w:rsid w:val="00D8608F"/>
    <w:rsid w:val="00D8651C"/>
    <w:rsid w:val="00D86C15"/>
    <w:rsid w:val="00D870D1"/>
    <w:rsid w:val="00D87324"/>
    <w:rsid w:val="00D87443"/>
    <w:rsid w:val="00D87CFC"/>
    <w:rsid w:val="00D9081D"/>
    <w:rsid w:val="00D90D5B"/>
    <w:rsid w:val="00D90EBB"/>
    <w:rsid w:val="00D91142"/>
    <w:rsid w:val="00D9281E"/>
    <w:rsid w:val="00D94DA0"/>
    <w:rsid w:val="00D9740C"/>
    <w:rsid w:val="00DA1EA6"/>
    <w:rsid w:val="00DA1F6F"/>
    <w:rsid w:val="00DA4A89"/>
    <w:rsid w:val="00DA589E"/>
    <w:rsid w:val="00DA71AD"/>
    <w:rsid w:val="00DA732A"/>
    <w:rsid w:val="00DB198C"/>
    <w:rsid w:val="00DB1E07"/>
    <w:rsid w:val="00DB32E1"/>
    <w:rsid w:val="00DB5CF1"/>
    <w:rsid w:val="00DB5E63"/>
    <w:rsid w:val="00DB5F8A"/>
    <w:rsid w:val="00DB755E"/>
    <w:rsid w:val="00DB7E8F"/>
    <w:rsid w:val="00DC1111"/>
    <w:rsid w:val="00DC162E"/>
    <w:rsid w:val="00DC3B2A"/>
    <w:rsid w:val="00DC3CC1"/>
    <w:rsid w:val="00DC4AEF"/>
    <w:rsid w:val="00DC51FC"/>
    <w:rsid w:val="00DC7CD3"/>
    <w:rsid w:val="00DC7D7B"/>
    <w:rsid w:val="00DD0463"/>
    <w:rsid w:val="00DD067F"/>
    <w:rsid w:val="00DD0ED7"/>
    <w:rsid w:val="00DD18E0"/>
    <w:rsid w:val="00DD19A6"/>
    <w:rsid w:val="00DD2972"/>
    <w:rsid w:val="00DD2E46"/>
    <w:rsid w:val="00DD46CE"/>
    <w:rsid w:val="00DD4DC5"/>
    <w:rsid w:val="00DD5341"/>
    <w:rsid w:val="00DD5630"/>
    <w:rsid w:val="00DD5AFF"/>
    <w:rsid w:val="00DD6091"/>
    <w:rsid w:val="00DD6122"/>
    <w:rsid w:val="00DD74DD"/>
    <w:rsid w:val="00DD7833"/>
    <w:rsid w:val="00DD792C"/>
    <w:rsid w:val="00DE0F50"/>
    <w:rsid w:val="00DE3631"/>
    <w:rsid w:val="00DE37BC"/>
    <w:rsid w:val="00DE4030"/>
    <w:rsid w:val="00DE41F3"/>
    <w:rsid w:val="00DE4503"/>
    <w:rsid w:val="00DE461C"/>
    <w:rsid w:val="00DE53AD"/>
    <w:rsid w:val="00DE6227"/>
    <w:rsid w:val="00DE6E76"/>
    <w:rsid w:val="00DE771A"/>
    <w:rsid w:val="00DF134D"/>
    <w:rsid w:val="00DF170C"/>
    <w:rsid w:val="00DF3F59"/>
    <w:rsid w:val="00DF4D46"/>
    <w:rsid w:val="00DF5A75"/>
    <w:rsid w:val="00DF6D5A"/>
    <w:rsid w:val="00DF6F82"/>
    <w:rsid w:val="00E002FC"/>
    <w:rsid w:val="00E0058D"/>
    <w:rsid w:val="00E00600"/>
    <w:rsid w:val="00E0074C"/>
    <w:rsid w:val="00E00BE1"/>
    <w:rsid w:val="00E00EE1"/>
    <w:rsid w:val="00E0174B"/>
    <w:rsid w:val="00E02F07"/>
    <w:rsid w:val="00E048CB"/>
    <w:rsid w:val="00E049C8"/>
    <w:rsid w:val="00E069EA"/>
    <w:rsid w:val="00E074D1"/>
    <w:rsid w:val="00E102FE"/>
    <w:rsid w:val="00E105BE"/>
    <w:rsid w:val="00E11370"/>
    <w:rsid w:val="00E12257"/>
    <w:rsid w:val="00E12877"/>
    <w:rsid w:val="00E12BC6"/>
    <w:rsid w:val="00E13384"/>
    <w:rsid w:val="00E136B6"/>
    <w:rsid w:val="00E14450"/>
    <w:rsid w:val="00E15CE7"/>
    <w:rsid w:val="00E16170"/>
    <w:rsid w:val="00E16318"/>
    <w:rsid w:val="00E16B63"/>
    <w:rsid w:val="00E174A0"/>
    <w:rsid w:val="00E179B0"/>
    <w:rsid w:val="00E17B4E"/>
    <w:rsid w:val="00E21703"/>
    <w:rsid w:val="00E21741"/>
    <w:rsid w:val="00E223C6"/>
    <w:rsid w:val="00E22E05"/>
    <w:rsid w:val="00E251AB"/>
    <w:rsid w:val="00E30005"/>
    <w:rsid w:val="00E30BAE"/>
    <w:rsid w:val="00E30BAF"/>
    <w:rsid w:val="00E3187C"/>
    <w:rsid w:val="00E31886"/>
    <w:rsid w:val="00E334A9"/>
    <w:rsid w:val="00E35E63"/>
    <w:rsid w:val="00E36159"/>
    <w:rsid w:val="00E36303"/>
    <w:rsid w:val="00E369E6"/>
    <w:rsid w:val="00E36A68"/>
    <w:rsid w:val="00E37831"/>
    <w:rsid w:val="00E40CAF"/>
    <w:rsid w:val="00E40DE7"/>
    <w:rsid w:val="00E41698"/>
    <w:rsid w:val="00E43478"/>
    <w:rsid w:val="00E44697"/>
    <w:rsid w:val="00E471EC"/>
    <w:rsid w:val="00E506AD"/>
    <w:rsid w:val="00E50B92"/>
    <w:rsid w:val="00E518E3"/>
    <w:rsid w:val="00E54645"/>
    <w:rsid w:val="00E5593F"/>
    <w:rsid w:val="00E560B6"/>
    <w:rsid w:val="00E575B1"/>
    <w:rsid w:val="00E57715"/>
    <w:rsid w:val="00E60371"/>
    <w:rsid w:val="00E606F7"/>
    <w:rsid w:val="00E61CF1"/>
    <w:rsid w:val="00E62922"/>
    <w:rsid w:val="00E62CFB"/>
    <w:rsid w:val="00E64A84"/>
    <w:rsid w:val="00E64B15"/>
    <w:rsid w:val="00E662DA"/>
    <w:rsid w:val="00E66C24"/>
    <w:rsid w:val="00E70EF6"/>
    <w:rsid w:val="00E710E1"/>
    <w:rsid w:val="00E71255"/>
    <w:rsid w:val="00E71310"/>
    <w:rsid w:val="00E72B4D"/>
    <w:rsid w:val="00E72EE1"/>
    <w:rsid w:val="00E73B79"/>
    <w:rsid w:val="00E747A2"/>
    <w:rsid w:val="00E74BC6"/>
    <w:rsid w:val="00E75520"/>
    <w:rsid w:val="00E75670"/>
    <w:rsid w:val="00E75C41"/>
    <w:rsid w:val="00E768C5"/>
    <w:rsid w:val="00E77A33"/>
    <w:rsid w:val="00E80545"/>
    <w:rsid w:val="00E81483"/>
    <w:rsid w:val="00E81B0A"/>
    <w:rsid w:val="00E82C33"/>
    <w:rsid w:val="00E85629"/>
    <w:rsid w:val="00E85833"/>
    <w:rsid w:val="00E86243"/>
    <w:rsid w:val="00E87157"/>
    <w:rsid w:val="00E900AB"/>
    <w:rsid w:val="00E91D93"/>
    <w:rsid w:val="00E92471"/>
    <w:rsid w:val="00E93E0A"/>
    <w:rsid w:val="00E96593"/>
    <w:rsid w:val="00E96933"/>
    <w:rsid w:val="00E96978"/>
    <w:rsid w:val="00E96BA7"/>
    <w:rsid w:val="00E97C6D"/>
    <w:rsid w:val="00EA0CE0"/>
    <w:rsid w:val="00EA2768"/>
    <w:rsid w:val="00EA2987"/>
    <w:rsid w:val="00EA3363"/>
    <w:rsid w:val="00EA3A49"/>
    <w:rsid w:val="00EA4667"/>
    <w:rsid w:val="00EA4A10"/>
    <w:rsid w:val="00EA5C14"/>
    <w:rsid w:val="00EA63F1"/>
    <w:rsid w:val="00EA772A"/>
    <w:rsid w:val="00EA7BDE"/>
    <w:rsid w:val="00EB211D"/>
    <w:rsid w:val="00EB2243"/>
    <w:rsid w:val="00EB2ACE"/>
    <w:rsid w:val="00EB2D2F"/>
    <w:rsid w:val="00EB3374"/>
    <w:rsid w:val="00EB35B1"/>
    <w:rsid w:val="00EB3913"/>
    <w:rsid w:val="00EB3CB3"/>
    <w:rsid w:val="00EB5C7E"/>
    <w:rsid w:val="00EB6476"/>
    <w:rsid w:val="00EB695A"/>
    <w:rsid w:val="00EB7ABB"/>
    <w:rsid w:val="00EC0286"/>
    <w:rsid w:val="00EC028D"/>
    <w:rsid w:val="00EC0699"/>
    <w:rsid w:val="00EC1333"/>
    <w:rsid w:val="00EC293B"/>
    <w:rsid w:val="00EC2EDA"/>
    <w:rsid w:val="00EC34F3"/>
    <w:rsid w:val="00EC394D"/>
    <w:rsid w:val="00EC4FDE"/>
    <w:rsid w:val="00EC7739"/>
    <w:rsid w:val="00ED01DA"/>
    <w:rsid w:val="00ED0A45"/>
    <w:rsid w:val="00ED14D1"/>
    <w:rsid w:val="00ED3618"/>
    <w:rsid w:val="00ED3A4A"/>
    <w:rsid w:val="00ED4537"/>
    <w:rsid w:val="00ED4968"/>
    <w:rsid w:val="00ED5A5D"/>
    <w:rsid w:val="00ED6C33"/>
    <w:rsid w:val="00EE2A9C"/>
    <w:rsid w:val="00EE4382"/>
    <w:rsid w:val="00EE5254"/>
    <w:rsid w:val="00EE65BF"/>
    <w:rsid w:val="00EE7149"/>
    <w:rsid w:val="00EE74EC"/>
    <w:rsid w:val="00EE78B1"/>
    <w:rsid w:val="00EE7B8A"/>
    <w:rsid w:val="00EF0163"/>
    <w:rsid w:val="00EF05E2"/>
    <w:rsid w:val="00EF06DF"/>
    <w:rsid w:val="00EF1919"/>
    <w:rsid w:val="00EF1C25"/>
    <w:rsid w:val="00EF2617"/>
    <w:rsid w:val="00F01A46"/>
    <w:rsid w:val="00F02E9F"/>
    <w:rsid w:val="00F03056"/>
    <w:rsid w:val="00F053E5"/>
    <w:rsid w:val="00F058D6"/>
    <w:rsid w:val="00F07C10"/>
    <w:rsid w:val="00F105F8"/>
    <w:rsid w:val="00F11387"/>
    <w:rsid w:val="00F115A5"/>
    <w:rsid w:val="00F11690"/>
    <w:rsid w:val="00F11ABD"/>
    <w:rsid w:val="00F127CC"/>
    <w:rsid w:val="00F128DE"/>
    <w:rsid w:val="00F12E8E"/>
    <w:rsid w:val="00F1409D"/>
    <w:rsid w:val="00F15528"/>
    <w:rsid w:val="00F16727"/>
    <w:rsid w:val="00F17334"/>
    <w:rsid w:val="00F17A05"/>
    <w:rsid w:val="00F17A3A"/>
    <w:rsid w:val="00F2006C"/>
    <w:rsid w:val="00F21C31"/>
    <w:rsid w:val="00F21FAF"/>
    <w:rsid w:val="00F23BBD"/>
    <w:rsid w:val="00F23CEA"/>
    <w:rsid w:val="00F2506C"/>
    <w:rsid w:val="00F2556B"/>
    <w:rsid w:val="00F25C73"/>
    <w:rsid w:val="00F31398"/>
    <w:rsid w:val="00F32CAC"/>
    <w:rsid w:val="00F32D3D"/>
    <w:rsid w:val="00F33825"/>
    <w:rsid w:val="00F34B5C"/>
    <w:rsid w:val="00F34F77"/>
    <w:rsid w:val="00F354D2"/>
    <w:rsid w:val="00F36608"/>
    <w:rsid w:val="00F3660A"/>
    <w:rsid w:val="00F36F9F"/>
    <w:rsid w:val="00F37F64"/>
    <w:rsid w:val="00F401F1"/>
    <w:rsid w:val="00F40473"/>
    <w:rsid w:val="00F4077D"/>
    <w:rsid w:val="00F40A74"/>
    <w:rsid w:val="00F42CD2"/>
    <w:rsid w:val="00F43A0F"/>
    <w:rsid w:val="00F44161"/>
    <w:rsid w:val="00F44F95"/>
    <w:rsid w:val="00F45003"/>
    <w:rsid w:val="00F454BA"/>
    <w:rsid w:val="00F50476"/>
    <w:rsid w:val="00F50956"/>
    <w:rsid w:val="00F50DDF"/>
    <w:rsid w:val="00F510AA"/>
    <w:rsid w:val="00F525FA"/>
    <w:rsid w:val="00F52ABD"/>
    <w:rsid w:val="00F52D5A"/>
    <w:rsid w:val="00F53973"/>
    <w:rsid w:val="00F539AE"/>
    <w:rsid w:val="00F53C62"/>
    <w:rsid w:val="00F54593"/>
    <w:rsid w:val="00F54A6A"/>
    <w:rsid w:val="00F54B3A"/>
    <w:rsid w:val="00F552DF"/>
    <w:rsid w:val="00F555D6"/>
    <w:rsid w:val="00F55CF0"/>
    <w:rsid w:val="00F568F2"/>
    <w:rsid w:val="00F569AC"/>
    <w:rsid w:val="00F56EDB"/>
    <w:rsid w:val="00F57621"/>
    <w:rsid w:val="00F57CCF"/>
    <w:rsid w:val="00F60C1B"/>
    <w:rsid w:val="00F60F42"/>
    <w:rsid w:val="00F61AE8"/>
    <w:rsid w:val="00F63DF0"/>
    <w:rsid w:val="00F63E5C"/>
    <w:rsid w:val="00F658EA"/>
    <w:rsid w:val="00F65B68"/>
    <w:rsid w:val="00F71117"/>
    <w:rsid w:val="00F712C3"/>
    <w:rsid w:val="00F71E5E"/>
    <w:rsid w:val="00F724DA"/>
    <w:rsid w:val="00F73CA8"/>
    <w:rsid w:val="00F7510C"/>
    <w:rsid w:val="00F757E2"/>
    <w:rsid w:val="00F75968"/>
    <w:rsid w:val="00F76805"/>
    <w:rsid w:val="00F76873"/>
    <w:rsid w:val="00F76AEC"/>
    <w:rsid w:val="00F80437"/>
    <w:rsid w:val="00F80A09"/>
    <w:rsid w:val="00F82A13"/>
    <w:rsid w:val="00F83621"/>
    <w:rsid w:val="00F83B38"/>
    <w:rsid w:val="00F847FB"/>
    <w:rsid w:val="00F84C22"/>
    <w:rsid w:val="00F866C9"/>
    <w:rsid w:val="00F87410"/>
    <w:rsid w:val="00F87650"/>
    <w:rsid w:val="00F907CF"/>
    <w:rsid w:val="00F90A63"/>
    <w:rsid w:val="00F91B39"/>
    <w:rsid w:val="00F91C86"/>
    <w:rsid w:val="00F91CD5"/>
    <w:rsid w:val="00F91F71"/>
    <w:rsid w:val="00F93E04"/>
    <w:rsid w:val="00F94BA9"/>
    <w:rsid w:val="00F94C83"/>
    <w:rsid w:val="00F94FF1"/>
    <w:rsid w:val="00F95B90"/>
    <w:rsid w:val="00F96654"/>
    <w:rsid w:val="00F97DC5"/>
    <w:rsid w:val="00FA1ADB"/>
    <w:rsid w:val="00FA2D53"/>
    <w:rsid w:val="00FA4A6E"/>
    <w:rsid w:val="00FA5064"/>
    <w:rsid w:val="00FA5367"/>
    <w:rsid w:val="00FA6CAC"/>
    <w:rsid w:val="00FA6E43"/>
    <w:rsid w:val="00FA736E"/>
    <w:rsid w:val="00FA759B"/>
    <w:rsid w:val="00FB216F"/>
    <w:rsid w:val="00FB21EF"/>
    <w:rsid w:val="00FB25B5"/>
    <w:rsid w:val="00FB34EA"/>
    <w:rsid w:val="00FB3BCF"/>
    <w:rsid w:val="00FB3CFB"/>
    <w:rsid w:val="00FB41AB"/>
    <w:rsid w:val="00FB4C06"/>
    <w:rsid w:val="00FB55EC"/>
    <w:rsid w:val="00FB5E4E"/>
    <w:rsid w:val="00FB6A33"/>
    <w:rsid w:val="00FB719D"/>
    <w:rsid w:val="00FB7821"/>
    <w:rsid w:val="00FB7B02"/>
    <w:rsid w:val="00FC048B"/>
    <w:rsid w:val="00FC09DC"/>
    <w:rsid w:val="00FC2A02"/>
    <w:rsid w:val="00FC3399"/>
    <w:rsid w:val="00FC3A5C"/>
    <w:rsid w:val="00FC5A31"/>
    <w:rsid w:val="00FC5D02"/>
    <w:rsid w:val="00FC69A9"/>
    <w:rsid w:val="00FC7A75"/>
    <w:rsid w:val="00FD0BA9"/>
    <w:rsid w:val="00FD266F"/>
    <w:rsid w:val="00FD43AE"/>
    <w:rsid w:val="00FD527E"/>
    <w:rsid w:val="00FD5728"/>
    <w:rsid w:val="00FD6555"/>
    <w:rsid w:val="00FD775B"/>
    <w:rsid w:val="00FE04BC"/>
    <w:rsid w:val="00FE0E37"/>
    <w:rsid w:val="00FE1998"/>
    <w:rsid w:val="00FE2702"/>
    <w:rsid w:val="00FE3250"/>
    <w:rsid w:val="00FE3485"/>
    <w:rsid w:val="00FE348B"/>
    <w:rsid w:val="00FE4106"/>
    <w:rsid w:val="00FE4630"/>
    <w:rsid w:val="00FE4777"/>
    <w:rsid w:val="00FE5407"/>
    <w:rsid w:val="00FE6440"/>
    <w:rsid w:val="00FE6FBA"/>
    <w:rsid w:val="00FE7923"/>
    <w:rsid w:val="00FE7F55"/>
    <w:rsid w:val="00FF2A62"/>
    <w:rsid w:val="00FF46BB"/>
    <w:rsid w:val="00FF4BA3"/>
    <w:rsid w:val="00FF7252"/>
    <w:rsid w:val="00FF7638"/>
    <w:rsid w:val="010C0502"/>
    <w:rsid w:val="01277C69"/>
    <w:rsid w:val="013B2B96"/>
    <w:rsid w:val="015B6D94"/>
    <w:rsid w:val="016C71F3"/>
    <w:rsid w:val="016D6AC7"/>
    <w:rsid w:val="01D64122"/>
    <w:rsid w:val="01F66ABD"/>
    <w:rsid w:val="01FD7E4B"/>
    <w:rsid w:val="02293F32"/>
    <w:rsid w:val="02300221"/>
    <w:rsid w:val="024A62FC"/>
    <w:rsid w:val="025B2DC4"/>
    <w:rsid w:val="02884B29"/>
    <w:rsid w:val="02B04EBD"/>
    <w:rsid w:val="02C92FE9"/>
    <w:rsid w:val="02D212D8"/>
    <w:rsid w:val="02D74B40"/>
    <w:rsid w:val="03033783"/>
    <w:rsid w:val="031B2C7F"/>
    <w:rsid w:val="031C69F7"/>
    <w:rsid w:val="032558AB"/>
    <w:rsid w:val="03304250"/>
    <w:rsid w:val="03355182"/>
    <w:rsid w:val="03500260"/>
    <w:rsid w:val="0371289F"/>
    <w:rsid w:val="03833C7A"/>
    <w:rsid w:val="03B16FD7"/>
    <w:rsid w:val="03B42718"/>
    <w:rsid w:val="03CD1071"/>
    <w:rsid w:val="03E7444B"/>
    <w:rsid w:val="04245B63"/>
    <w:rsid w:val="04262EDA"/>
    <w:rsid w:val="04277401"/>
    <w:rsid w:val="042B6AEB"/>
    <w:rsid w:val="0430275A"/>
    <w:rsid w:val="043D09D3"/>
    <w:rsid w:val="04425FE9"/>
    <w:rsid w:val="044C0B85"/>
    <w:rsid w:val="04510922"/>
    <w:rsid w:val="049D7357"/>
    <w:rsid w:val="04A10F62"/>
    <w:rsid w:val="04A42D6D"/>
    <w:rsid w:val="04A61D6F"/>
    <w:rsid w:val="04B05649"/>
    <w:rsid w:val="04D70E27"/>
    <w:rsid w:val="04E56DE7"/>
    <w:rsid w:val="05121E5F"/>
    <w:rsid w:val="051E6A56"/>
    <w:rsid w:val="053E16EE"/>
    <w:rsid w:val="055C30DB"/>
    <w:rsid w:val="057606BA"/>
    <w:rsid w:val="058645FB"/>
    <w:rsid w:val="058F525E"/>
    <w:rsid w:val="05AC4062"/>
    <w:rsid w:val="05ED01D7"/>
    <w:rsid w:val="0616772D"/>
    <w:rsid w:val="062260D2"/>
    <w:rsid w:val="063B3638"/>
    <w:rsid w:val="063D4CBA"/>
    <w:rsid w:val="06400C4E"/>
    <w:rsid w:val="06436049"/>
    <w:rsid w:val="06850C3E"/>
    <w:rsid w:val="06A77A96"/>
    <w:rsid w:val="06A905A2"/>
    <w:rsid w:val="06B55198"/>
    <w:rsid w:val="06B56F46"/>
    <w:rsid w:val="06C86EDF"/>
    <w:rsid w:val="06D3561E"/>
    <w:rsid w:val="06DF5D71"/>
    <w:rsid w:val="06FC4B75"/>
    <w:rsid w:val="070852B7"/>
    <w:rsid w:val="071874D5"/>
    <w:rsid w:val="07484D47"/>
    <w:rsid w:val="075C5614"/>
    <w:rsid w:val="077A5294"/>
    <w:rsid w:val="077B723E"/>
    <w:rsid w:val="078A26D8"/>
    <w:rsid w:val="07A52007"/>
    <w:rsid w:val="07B76CEE"/>
    <w:rsid w:val="07C22A40"/>
    <w:rsid w:val="07F93C1E"/>
    <w:rsid w:val="080B2B96"/>
    <w:rsid w:val="081D1247"/>
    <w:rsid w:val="082F4AD6"/>
    <w:rsid w:val="084C5688"/>
    <w:rsid w:val="084E1401"/>
    <w:rsid w:val="085F5FBF"/>
    <w:rsid w:val="086504F8"/>
    <w:rsid w:val="0865674A"/>
    <w:rsid w:val="086724C2"/>
    <w:rsid w:val="087D7F38"/>
    <w:rsid w:val="08877BE0"/>
    <w:rsid w:val="088D745B"/>
    <w:rsid w:val="08987DAC"/>
    <w:rsid w:val="08A2174C"/>
    <w:rsid w:val="08CA47FF"/>
    <w:rsid w:val="090441B5"/>
    <w:rsid w:val="091650F7"/>
    <w:rsid w:val="09212671"/>
    <w:rsid w:val="09385C0D"/>
    <w:rsid w:val="093A3733"/>
    <w:rsid w:val="0969226A"/>
    <w:rsid w:val="0980632C"/>
    <w:rsid w:val="098826F0"/>
    <w:rsid w:val="09C97BB6"/>
    <w:rsid w:val="09D122E9"/>
    <w:rsid w:val="09E638BB"/>
    <w:rsid w:val="0A0338DA"/>
    <w:rsid w:val="0A3E54A5"/>
    <w:rsid w:val="0A586566"/>
    <w:rsid w:val="0A701077"/>
    <w:rsid w:val="0A710C84"/>
    <w:rsid w:val="0A7315F2"/>
    <w:rsid w:val="0A740EC6"/>
    <w:rsid w:val="0A7B2255"/>
    <w:rsid w:val="0A801619"/>
    <w:rsid w:val="0AA25A34"/>
    <w:rsid w:val="0ABF2205"/>
    <w:rsid w:val="0B0D6C7C"/>
    <w:rsid w:val="0B21104E"/>
    <w:rsid w:val="0B2428ED"/>
    <w:rsid w:val="0B3F3282"/>
    <w:rsid w:val="0B3F7726"/>
    <w:rsid w:val="0B552AA6"/>
    <w:rsid w:val="0B6D26FA"/>
    <w:rsid w:val="0B8769D7"/>
    <w:rsid w:val="0B8B471A"/>
    <w:rsid w:val="0B927856"/>
    <w:rsid w:val="0BBA0B5B"/>
    <w:rsid w:val="0BBF2615"/>
    <w:rsid w:val="0BD75BB1"/>
    <w:rsid w:val="0BF16C73"/>
    <w:rsid w:val="0BF56037"/>
    <w:rsid w:val="0C061FF2"/>
    <w:rsid w:val="0C1B5AE1"/>
    <w:rsid w:val="0C216E2C"/>
    <w:rsid w:val="0C3721AC"/>
    <w:rsid w:val="0C5114BF"/>
    <w:rsid w:val="0C564D28"/>
    <w:rsid w:val="0C767178"/>
    <w:rsid w:val="0C7DFBDB"/>
    <w:rsid w:val="0C85560D"/>
    <w:rsid w:val="0C931AD8"/>
    <w:rsid w:val="0C965124"/>
    <w:rsid w:val="0C9F46C4"/>
    <w:rsid w:val="0CA51ED6"/>
    <w:rsid w:val="0CAE4666"/>
    <w:rsid w:val="0CC46FA3"/>
    <w:rsid w:val="0CE3721B"/>
    <w:rsid w:val="0CF307C8"/>
    <w:rsid w:val="0CF956B3"/>
    <w:rsid w:val="0D1471FC"/>
    <w:rsid w:val="0D1621AD"/>
    <w:rsid w:val="0D447276"/>
    <w:rsid w:val="0D4B23B2"/>
    <w:rsid w:val="0D4F46D6"/>
    <w:rsid w:val="0D5D3E94"/>
    <w:rsid w:val="0D6C3A29"/>
    <w:rsid w:val="0D7A1104"/>
    <w:rsid w:val="0DA47D15"/>
    <w:rsid w:val="0DA87805"/>
    <w:rsid w:val="0DBA3094"/>
    <w:rsid w:val="0DBC505E"/>
    <w:rsid w:val="0DC4170C"/>
    <w:rsid w:val="0DCE7C62"/>
    <w:rsid w:val="0DD02BF2"/>
    <w:rsid w:val="0DED346A"/>
    <w:rsid w:val="0DFA5B87"/>
    <w:rsid w:val="0DFC36AD"/>
    <w:rsid w:val="0DFC6A1D"/>
    <w:rsid w:val="0E012A71"/>
    <w:rsid w:val="0E0213F2"/>
    <w:rsid w:val="0E07732B"/>
    <w:rsid w:val="0E26697C"/>
    <w:rsid w:val="0E2A69C7"/>
    <w:rsid w:val="0E323572"/>
    <w:rsid w:val="0E414D0F"/>
    <w:rsid w:val="0E4A08BC"/>
    <w:rsid w:val="0E626CA5"/>
    <w:rsid w:val="0E63197E"/>
    <w:rsid w:val="0E960052"/>
    <w:rsid w:val="0EA855E3"/>
    <w:rsid w:val="0EAA3109"/>
    <w:rsid w:val="0EB9159E"/>
    <w:rsid w:val="0EE04D7C"/>
    <w:rsid w:val="0EFB3964"/>
    <w:rsid w:val="0F07055B"/>
    <w:rsid w:val="0F0F62AD"/>
    <w:rsid w:val="0F227143"/>
    <w:rsid w:val="0F31382A"/>
    <w:rsid w:val="0F73799F"/>
    <w:rsid w:val="0F87344A"/>
    <w:rsid w:val="0F913406"/>
    <w:rsid w:val="0FA45DAA"/>
    <w:rsid w:val="0FAC2EB1"/>
    <w:rsid w:val="0FB87AA7"/>
    <w:rsid w:val="0FE663C2"/>
    <w:rsid w:val="0FF02D9D"/>
    <w:rsid w:val="0FF860F6"/>
    <w:rsid w:val="0FFE195E"/>
    <w:rsid w:val="0FFF4507"/>
    <w:rsid w:val="10042CED"/>
    <w:rsid w:val="100F5919"/>
    <w:rsid w:val="10270194"/>
    <w:rsid w:val="10357AE2"/>
    <w:rsid w:val="103C2486"/>
    <w:rsid w:val="104F21BA"/>
    <w:rsid w:val="104F3F68"/>
    <w:rsid w:val="106043C7"/>
    <w:rsid w:val="106D43EE"/>
    <w:rsid w:val="10725EA8"/>
    <w:rsid w:val="107B4D5D"/>
    <w:rsid w:val="107B5A6F"/>
    <w:rsid w:val="107E3167"/>
    <w:rsid w:val="109A0961"/>
    <w:rsid w:val="10B822C3"/>
    <w:rsid w:val="10BE4C49"/>
    <w:rsid w:val="10BE733F"/>
    <w:rsid w:val="10D87AE7"/>
    <w:rsid w:val="10DF0E3F"/>
    <w:rsid w:val="10E250B3"/>
    <w:rsid w:val="10EC085B"/>
    <w:rsid w:val="112F3D99"/>
    <w:rsid w:val="11357601"/>
    <w:rsid w:val="113917C7"/>
    <w:rsid w:val="11503CCA"/>
    <w:rsid w:val="115769FC"/>
    <w:rsid w:val="116577BB"/>
    <w:rsid w:val="11677ADA"/>
    <w:rsid w:val="116F4196"/>
    <w:rsid w:val="117B1695"/>
    <w:rsid w:val="1193257A"/>
    <w:rsid w:val="11967974"/>
    <w:rsid w:val="11B27829"/>
    <w:rsid w:val="11C97D4A"/>
    <w:rsid w:val="11FB2294"/>
    <w:rsid w:val="12350C2A"/>
    <w:rsid w:val="123553DF"/>
    <w:rsid w:val="125735A8"/>
    <w:rsid w:val="126E58D4"/>
    <w:rsid w:val="1280578A"/>
    <w:rsid w:val="128879FC"/>
    <w:rsid w:val="128B259E"/>
    <w:rsid w:val="129E11D6"/>
    <w:rsid w:val="129F64F0"/>
    <w:rsid w:val="12A3059B"/>
    <w:rsid w:val="12D9220E"/>
    <w:rsid w:val="130D347A"/>
    <w:rsid w:val="131E17F3"/>
    <w:rsid w:val="13315BA7"/>
    <w:rsid w:val="136D0E51"/>
    <w:rsid w:val="13715411"/>
    <w:rsid w:val="13795061"/>
    <w:rsid w:val="139B3968"/>
    <w:rsid w:val="139B69DE"/>
    <w:rsid w:val="13B567D8"/>
    <w:rsid w:val="13B76062"/>
    <w:rsid w:val="13D33102"/>
    <w:rsid w:val="13E56991"/>
    <w:rsid w:val="14103C2C"/>
    <w:rsid w:val="14221993"/>
    <w:rsid w:val="14551D69"/>
    <w:rsid w:val="145A1E9B"/>
    <w:rsid w:val="1468616B"/>
    <w:rsid w:val="1472086C"/>
    <w:rsid w:val="147F6DE6"/>
    <w:rsid w:val="14A16D5C"/>
    <w:rsid w:val="14AA6775"/>
    <w:rsid w:val="14B940A6"/>
    <w:rsid w:val="14C01F6E"/>
    <w:rsid w:val="14C667C2"/>
    <w:rsid w:val="14E629C1"/>
    <w:rsid w:val="14FA380C"/>
    <w:rsid w:val="14FB646C"/>
    <w:rsid w:val="15015A4D"/>
    <w:rsid w:val="15076514"/>
    <w:rsid w:val="151B08BC"/>
    <w:rsid w:val="151D2886"/>
    <w:rsid w:val="152A0AFF"/>
    <w:rsid w:val="152F25BA"/>
    <w:rsid w:val="153320AA"/>
    <w:rsid w:val="154D0C92"/>
    <w:rsid w:val="154E3A52"/>
    <w:rsid w:val="155E2E9F"/>
    <w:rsid w:val="15714980"/>
    <w:rsid w:val="159B37AB"/>
    <w:rsid w:val="15A5287C"/>
    <w:rsid w:val="15AC3C0A"/>
    <w:rsid w:val="15B036FB"/>
    <w:rsid w:val="15C03212"/>
    <w:rsid w:val="15CA3CDD"/>
    <w:rsid w:val="15D3486C"/>
    <w:rsid w:val="15E2762C"/>
    <w:rsid w:val="161F618A"/>
    <w:rsid w:val="16247C45"/>
    <w:rsid w:val="162C539E"/>
    <w:rsid w:val="166C4E41"/>
    <w:rsid w:val="1675166E"/>
    <w:rsid w:val="16881F81"/>
    <w:rsid w:val="16A843D2"/>
    <w:rsid w:val="16AB2114"/>
    <w:rsid w:val="16CA189C"/>
    <w:rsid w:val="16CE51E9"/>
    <w:rsid w:val="16F13FCB"/>
    <w:rsid w:val="16F74D42"/>
    <w:rsid w:val="17081314"/>
    <w:rsid w:val="170D4E5D"/>
    <w:rsid w:val="171323D2"/>
    <w:rsid w:val="17255A22"/>
    <w:rsid w:val="173159F1"/>
    <w:rsid w:val="173B70FD"/>
    <w:rsid w:val="17503446"/>
    <w:rsid w:val="17555BDC"/>
    <w:rsid w:val="175E3CFD"/>
    <w:rsid w:val="175E3E19"/>
    <w:rsid w:val="175E43D3"/>
    <w:rsid w:val="17611D6A"/>
    <w:rsid w:val="17636F90"/>
    <w:rsid w:val="177469AA"/>
    <w:rsid w:val="179761F4"/>
    <w:rsid w:val="17AC6144"/>
    <w:rsid w:val="17C214C3"/>
    <w:rsid w:val="17C34EE7"/>
    <w:rsid w:val="17E06F0D"/>
    <w:rsid w:val="17E838C7"/>
    <w:rsid w:val="17E841F0"/>
    <w:rsid w:val="17EE187A"/>
    <w:rsid w:val="180F4434"/>
    <w:rsid w:val="181D0DEF"/>
    <w:rsid w:val="18475E6C"/>
    <w:rsid w:val="18477C1A"/>
    <w:rsid w:val="1853036D"/>
    <w:rsid w:val="1854459C"/>
    <w:rsid w:val="1870071C"/>
    <w:rsid w:val="18736C61"/>
    <w:rsid w:val="18A961DF"/>
    <w:rsid w:val="18AC53DF"/>
    <w:rsid w:val="18AF0101"/>
    <w:rsid w:val="18C474BD"/>
    <w:rsid w:val="18DA1DC8"/>
    <w:rsid w:val="18EF453A"/>
    <w:rsid w:val="18F25DD8"/>
    <w:rsid w:val="18F733EE"/>
    <w:rsid w:val="19020A55"/>
    <w:rsid w:val="1907517C"/>
    <w:rsid w:val="190B731E"/>
    <w:rsid w:val="191F64A1"/>
    <w:rsid w:val="193F0930"/>
    <w:rsid w:val="19832ED4"/>
    <w:rsid w:val="19882298"/>
    <w:rsid w:val="198A4263"/>
    <w:rsid w:val="19962C07"/>
    <w:rsid w:val="199B6470"/>
    <w:rsid w:val="19A26E60"/>
    <w:rsid w:val="19CC03D7"/>
    <w:rsid w:val="19DE1BE9"/>
    <w:rsid w:val="19E014E6"/>
    <w:rsid w:val="19EE47F1"/>
    <w:rsid w:val="19F5712E"/>
    <w:rsid w:val="19FD744C"/>
    <w:rsid w:val="1A0069EE"/>
    <w:rsid w:val="1A1678A4"/>
    <w:rsid w:val="1A267911"/>
    <w:rsid w:val="1A514D80"/>
    <w:rsid w:val="1A686394"/>
    <w:rsid w:val="1A766595"/>
    <w:rsid w:val="1A930EF5"/>
    <w:rsid w:val="1A9B78E3"/>
    <w:rsid w:val="1A9D1D74"/>
    <w:rsid w:val="1AE1489F"/>
    <w:rsid w:val="1AE856E5"/>
    <w:rsid w:val="1AE94FB9"/>
    <w:rsid w:val="1B154000"/>
    <w:rsid w:val="1B283D33"/>
    <w:rsid w:val="1B326960"/>
    <w:rsid w:val="1B362FB2"/>
    <w:rsid w:val="1B7444D0"/>
    <w:rsid w:val="1BA3160C"/>
    <w:rsid w:val="1BB750B7"/>
    <w:rsid w:val="1BBFB0A1"/>
    <w:rsid w:val="1BCA1716"/>
    <w:rsid w:val="1BCD03EF"/>
    <w:rsid w:val="1BEC2850"/>
    <w:rsid w:val="1BF53B0B"/>
    <w:rsid w:val="1C191753"/>
    <w:rsid w:val="1C273FEB"/>
    <w:rsid w:val="1C32160C"/>
    <w:rsid w:val="1C450915"/>
    <w:rsid w:val="1C4F677C"/>
    <w:rsid w:val="1C8651B5"/>
    <w:rsid w:val="1C8B6F24"/>
    <w:rsid w:val="1C980A44"/>
    <w:rsid w:val="1C9F1DD3"/>
    <w:rsid w:val="1CC77DA9"/>
    <w:rsid w:val="1CD53A47"/>
    <w:rsid w:val="1CD852E5"/>
    <w:rsid w:val="1CE13E99"/>
    <w:rsid w:val="1CE40584"/>
    <w:rsid w:val="1CF739BD"/>
    <w:rsid w:val="1D091942"/>
    <w:rsid w:val="1D2C234D"/>
    <w:rsid w:val="1D2D3883"/>
    <w:rsid w:val="1D352737"/>
    <w:rsid w:val="1D4604A0"/>
    <w:rsid w:val="1D7FE4CC"/>
    <w:rsid w:val="1D864D41"/>
    <w:rsid w:val="1DA5166B"/>
    <w:rsid w:val="1DC16D85"/>
    <w:rsid w:val="1DCD2970"/>
    <w:rsid w:val="1DED3012"/>
    <w:rsid w:val="1DFC3255"/>
    <w:rsid w:val="1E05035C"/>
    <w:rsid w:val="1E0A5972"/>
    <w:rsid w:val="1E3F177C"/>
    <w:rsid w:val="1E4D69E5"/>
    <w:rsid w:val="1E7948A6"/>
    <w:rsid w:val="1E935967"/>
    <w:rsid w:val="1E9E3B55"/>
    <w:rsid w:val="1EA20F54"/>
    <w:rsid w:val="1EA27958"/>
    <w:rsid w:val="1EB107C7"/>
    <w:rsid w:val="1EB3600A"/>
    <w:rsid w:val="1EBF4740"/>
    <w:rsid w:val="1EBF584C"/>
    <w:rsid w:val="1ED5486E"/>
    <w:rsid w:val="1EDD7BF3"/>
    <w:rsid w:val="1EE00481"/>
    <w:rsid w:val="1EF87EC0"/>
    <w:rsid w:val="1F0979D8"/>
    <w:rsid w:val="1F1B03F8"/>
    <w:rsid w:val="1F205CCE"/>
    <w:rsid w:val="1F7019FE"/>
    <w:rsid w:val="1F705CA9"/>
    <w:rsid w:val="1F8C2552"/>
    <w:rsid w:val="1F9A0F77"/>
    <w:rsid w:val="1FBA4E04"/>
    <w:rsid w:val="1FBF278C"/>
    <w:rsid w:val="1FE8583F"/>
    <w:rsid w:val="1FFC40E1"/>
    <w:rsid w:val="1FFD6CDA"/>
    <w:rsid w:val="20450EE3"/>
    <w:rsid w:val="20476A09"/>
    <w:rsid w:val="20582F84"/>
    <w:rsid w:val="20767191"/>
    <w:rsid w:val="20B10327"/>
    <w:rsid w:val="20BF3588"/>
    <w:rsid w:val="20D81D57"/>
    <w:rsid w:val="20FB267F"/>
    <w:rsid w:val="21050673"/>
    <w:rsid w:val="210C7C53"/>
    <w:rsid w:val="210D399D"/>
    <w:rsid w:val="211C0882"/>
    <w:rsid w:val="2144119B"/>
    <w:rsid w:val="21621621"/>
    <w:rsid w:val="21751354"/>
    <w:rsid w:val="21845A3B"/>
    <w:rsid w:val="219C4B33"/>
    <w:rsid w:val="21A25EC1"/>
    <w:rsid w:val="21B06830"/>
    <w:rsid w:val="21BF6CED"/>
    <w:rsid w:val="21D56297"/>
    <w:rsid w:val="21FA5CFD"/>
    <w:rsid w:val="222D5373"/>
    <w:rsid w:val="222E3A1A"/>
    <w:rsid w:val="224A27E1"/>
    <w:rsid w:val="226F3DF9"/>
    <w:rsid w:val="228026A7"/>
    <w:rsid w:val="228201CD"/>
    <w:rsid w:val="228F6446"/>
    <w:rsid w:val="229E741D"/>
    <w:rsid w:val="22A55C69"/>
    <w:rsid w:val="22B67B82"/>
    <w:rsid w:val="22CA3922"/>
    <w:rsid w:val="22D14673"/>
    <w:rsid w:val="22D95913"/>
    <w:rsid w:val="22DF73CD"/>
    <w:rsid w:val="22E4624E"/>
    <w:rsid w:val="22F97D63"/>
    <w:rsid w:val="23007343"/>
    <w:rsid w:val="2322731E"/>
    <w:rsid w:val="232E3EB1"/>
    <w:rsid w:val="233A4603"/>
    <w:rsid w:val="23611AE3"/>
    <w:rsid w:val="237733D9"/>
    <w:rsid w:val="23810484"/>
    <w:rsid w:val="23966C6F"/>
    <w:rsid w:val="23A55DA4"/>
    <w:rsid w:val="23A61C99"/>
    <w:rsid w:val="23A81EB5"/>
    <w:rsid w:val="23CD1928"/>
    <w:rsid w:val="240D1D18"/>
    <w:rsid w:val="241F1A4B"/>
    <w:rsid w:val="2443398C"/>
    <w:rsid w:val="24520CA3"/>
    <w:rsid w:val="24660589"/>
    <w:rsid w:val="247B55C5"/>
    <w:rsid w:val="24822706"/>
    <w:rsid w:val="24861ACA"/>
    <w:rsid w:val="24883A94"/>
    <w:rsid w:val="24A24B56"/>
    <w:rsid w:val="24C70EF2"/>
    <w:rsid w:val="24DB3BC4"/>
    <w:rsid w:val="24FA50EA"/>
    <w:rsid w:val="24FF2E71"/>
    <w:rsid w:val="25071D86"/>
    <w:rsid w:val="250A26FB"/>
    <w:rsid w:val="250C0222"/>
    <w:rsid w:val="25175517"/>
    <w:rsid w:val="25317C88"/>
    <w:rsid w:val="25387269"/>
    <w:rsid w:val="25513E86"/>
    <w:rsid w:val="256D0462"/>
    <w:rsid w:val="257F6C45"/>
    <w:rsid w:val="25902C01"/>
    <w:rsid w:val="2593449F"/>
    <w:rsid w:val="25A8248F"/>
    <w:rsid w:val="25B659A0"/>
    <w:rsid w:val="25DC2065"/>
    <w:rsid w:val="25E82A3D"/>
    <w:rsid w:val="26045C60"/>
    <w:rsid w:val="26280FB8"/>
    <w:rsid w:val="2628108B"/>
    <w:rsid w:val="264458DF"/>
    <w:rsid w:val="264834DB"/>
    <w:rsid w:val="265E2CFF"/>
    <w:rsid w:val="26753BA5"/>
    <w:rsid w:val="26891D15"/>
    <w:rsid w:val="268F4733"/>
    <w:rsid w:val="26993D37"/>
    <w:rsid w:val="26A60202"/>
    <w:rsid w:val="26BE379D"/>
    <w:rsid w:val="26CF59AB"/>
    <w:rsid w:val="26D94B49"/>
    <w:rsid w:val="26DB004C"/>
    <w:rsid w:val="26EA27E4"/>
    <w:rsid w:val="270218DC"/>
    <w:rsid w:val="270C62B7"/>
    <w:rsid w:val="270D202F"/>
    <w:rsid w:val="27111B1F"/>
    <w:rsid w:val="272D0F38"/>
    <w:rsid w:val="2737519E"/>
    <w:rsid w:val="273B094A"/>
    <w:rsid w:val="27443084"/>
    <w:rsid w:val="27581276"/>
    <w:rsid w:val="278510AA"/>
    <w:rsid w:val="278D7BBD"/>
    <w:rsid w:val="27AC1848"/>
    <w:rsid w:val="27AC700D"/>
    <w:rsid w:val="27B32BD6"/>
    <w:rsid w:val="27C052F3"/>
    <w:rsid w:val="27ED433A"/>
    <w:rsid w:val="28072F22"/>
    <w:rsid w:val="28313741"/>
    <w:rsid w:val="283830DC"/>
    <w:rsid w:val="2859377E"/>
    <w:rsid w:val="28623F84"/>
    <w:rsid w:val="2867707F"/>
    <w:rsid w:val="28724840"/>
    <w:rsid w:val="28771E56"/>
    <w:rsid w:val="28893937"/>
    <w:rsid w:val="28944BAE"/>
    <w:rsid w:val="28956F38"/>
    <w:rsid w:val="28C11323"/>
    <w:rsid w:val="28D6498F"/>
    <w:rsid w:val="28F60FCD"/>
    <w:rsid w:val="29015BC3"/>
    <w:rsid w:val="290870F3"/>
    <w:rsid w:val="292A4F60"/>
    <w:rsid w:val="29323FCF"/>
    <w:rsid w:val="2939710B"/>
    <w:rsid w:val="2944442E"/>
    <w:rsid w:val="29453D02"/>
    <w:rsid w:val="294A30C6"/>
    <w:rsid w:val="295D729E"/>
    <w:rsid w:val="29844A21"/>
    <w:rsid w:val="29A07F2C"/>
    <w:rsid w:val="29C92DE2"/>
    <w:rsid w:val="29D82462"/>
    <w:rsid w:val="29DB01C2"/>
    <w:rsid w:val="29E72052"/>
    <w:rsid w:val="29E96D83"/>
    <w:rsid w:val="29FB319D"/>
    <w:rsid w:val="2A0B0AA8"/>
    <w:rsid w:val="2A175AF9"/>
    <w:rsid w:val="2A383867"/>
    <w:rsid w:val="2A3B6ADF"/>
    <w:rsid w:val="2A3E2317"/>
    <w:rsid w:val="2A6428AE"/>
    <w:rsid w:val="2A66642C"/>
    <w:rsid w:val="2A6F54DA"/>
    <w:rsid w:val="2A7725E1"/>
    <w:rsid w:val="2A830F86"/>
    <w:rsid w:val="2A8B7E3A"/>
    <w:rsid w:val="2A900FAD"/>
    <w:rsid w:val="2A930A9D"/>
    <w:rsid w:val="2ABC6246"/>
    <w:rsid w:val="2AC05D36"/>
    <w:rsid w:val="2ACB0237"/>
    <w:rsid w:val="2AD1624A"/>
    <w:rsid w:val="2AE412F9"/>
    <w:rsid w:val="2AE80DE9"/>
    <w:rsid w:val="2AF3387C"/>
    <w:rsid w:val="2AFB6D6E"/>
    <w:rsid w:val="2B065713"/>
    <w:rsid w:val="2B3F23E7"/>
    <w:rsid w:val="2B572D95"/>
    <w:rsid w:val="2B7408CF"/>
    <w:rsid w:val="2B807273"/>
    <w:rsid w:val="2B8247D2"/>
    <w:rsid w:val="2B872ED7"/>
    <w:rsid w:val="2BC7343E"/>
    <w:rsid w:val="2BD1187D"/>
    <w:rsid w:val="2BD20463"/>
    <w:rsid w:val="2BD25CD1"/>
    <w:rsid w:val="2BD63337"/>
    <w:rsid w:val="2BE42114"/>
    <w:rsid w:val="2BEC66B7"/>
    <w:rsid w:val="2BF05768"/>
    <w:rsid w:val="2BF832AE"/>
    <w:rsid w:val="2C0307A3"/>
    <w:rsid w:val="2C21378B"/>
    <w:rsid w:val="2C4958B7"/>
    <w:rsid w:val="2C5875CB"/>
    <w:rsid w:val="2C640943"/>
    <w:rsid w:val="2C6E6C8C"/>
    <w:rsid w:val="2C7212B2"/>
    <w:rsid w:val="2C730BBA"/>
    <w:rsid w:val="2CDC497D"/>
    <w:rsid w:val="2CDC7A4B"/>
    <w:rsid w:val="2CF41CC7"/>
    <w:rsid w:val="2D6911F0"/>
    <w:rsid w:val="2D7E652C"/>
    <w:rsid w:val="2D8E795D"/>
    <w:rsid w:val="2D9432B6"/>
    <w:rsid w:val="2D980FAF"/>
    <w:rsid w:val="2DD41AF8"/>
    <w:rsid w:val="2E04632A"/>
    <w:rsid w:val="2E0949AC"/>
    <w:rsid w:val="2E175BCA"/>
    <w:rsid w:val="2E206AEC"/>
    <w:rsid w:val="2E383E35"/>
    <w:rsid w:val="2E3D31FA"/>
    <w:rsid w:val="2E5F13C2"/>
    <w:rsid w:val="2E6E7857"/>
    <w:rsid w:val="2E786928"/>
    <w:rsid w:val="2E901010"/>
    <w:rsid w:val="2E965B15"/>
    <w:rsid w:val="2ED27DE6"/>
    <w:rsid w:val="2EE67CD4"/>
    <w:rsid w:val="2EEE2746"/>
    <w:rsid w:val="2EF30CD1"/>
    <w:rsid w:val="2F0C331C"/>
    <w:rsid w:val="2F177EEF"/>
    <w:rsid w:val="2F1E6C0C"/>
    <w:rsid w:val="2F4033C5"/>
    <w:rsid w:val="2F416D1A"/>
    <w:rsid w:val="2F503ECF"/>
    <w:rsid w:val="2F522CD5"/>
    <w:rsid w:val="2F5606BB"/>
    <w:rsid w:val="2F662C24"/>
    <w:rsid w:val="2F6D62A6"/>
    <w:rsid w:val="2F8F217B"/>
    <w:rsid w:val="2FAD43AF"/>
    <w:rsid w:val="2FB614B6"/>
    <w:rsid w:val="2FD14541"/>
    <w:rsid w:val="2FD908D5"/>
    <w:rsid w:val="2FE04785"/>
    <w:rsid w:val="2FE36023"/>
    <w:rsid w:val="2FED3DE1"/>
    <w:rsid w:val="2FEE6C2B"/>
    <w:rsid w:val="2FFF929E"/>
    <w:rsid w:val="2FFFB3AB"/>
    <w:rsid w:val="2FFFDE38"/>
    <w:rsid w:val="30090A4C"/>
    <w:rsid w:val="3020552E"/>
    <w:rsid w:val="30230610"/>
    <w:rsid w:val="30403475"/>
    <w:rsid w:val="304212B8"/>
    <w:rsid w:val="30647164"/>
    <w:rsid w:val="306B59C4"/>
    <w:rsid w:val="307373A7"/>
    <w:rsid w:val="30803872"/>
    <w:rsid w:val="309D2676"/>
    <w:rsid w:val="30A05CC2"/>
    <w:rsid w:val="30A9101A"/>
    <w:rsid w:val="30CC4D09"/>
    <w:rsid w:val="30E6401D"/>
    <w:rsid w:val="30F1651D"/>
    <w:rsid w:val="30FA1876"/>
    <w:rsid w:val="30FD34B3"/>
    <w:rsid w:val="311961A0"/>
    <w:rsid w:val="31224929"/>
    <w:rsid w:val="312468F3"/>
    <w:rsid w:val="31570A76"/>
    <w:rsid w:val="315F792B"/>
    <w:rsid w:val="31682C84"/>
    <w:rsid w:val="318F0210"/>
    <w:rsid w:val="319D5A1B"/>
    <w:rsid w:val="319F398A"/>
    <w:rsid w:val="31AD77A6"/>
    <w:rsid w:val="31C34087"/>
    <w:rsid w:val="31F14A27"/>
    <w:rsid w:val="31FE7144"/>
    <w:rsid w:val="321B7CF6"/>
    <w:rsid w:val="321D3A6E"/>
    <w:rsid w:val="323B2146"/>
    <w:rsid w:val="32594346"/>
    <w:rsid w:val="3260630E"/>
    <w:rsid w:val="326E7E26"/>
    <w:rsid w:val="327318E0"/>
    <w:rsid w:val="32851613"/>
    <w:rsid w:val="328B5B25"/>
    <w:rsid w:val="32902492"/>
    <w:rsid w:val="3296737C"/>
    <w:rsid w:val="32AE7C54"/>
    <w:rsid w:val="32C043F9"/>
    <w:rsid w:val="32E203C0"/>
    <w:rsid w:val="32E427DE"/>
    <w:rsid w:val="32EE12BF"/>
    <w:rsid w:val="33182487"/>
    <w:rsid w:val="3337290D"/>
    <w:rsid w:val="335222DF"/>
    <w:rsid w:val="336E6E75"/>
    <w:rsid w:val="337D170B"/>
    <w:rsid w:val="338C5C79"/>
    <w:rsid w:val="339C70EE"/>
    <w:rsid w:val="33C6541B"/>
    <w:rsid w:val="33E61686"/>
    <w:rsid w:val="33EFE83E"/>
    <w:rsid w:val="33F407FF"/>
    <w:rsid w:val="340440DB"/>
    <w:rsid w:val="341E1017"/>
    <w:rsid w:val="342A2472"/>
    <w:rsid w:val="342F5CDB"/>
    <w:rsid w:val="3442156A"/>
    <w:rsid w:val="346E53C6"/>
    <w:rsid w:val="3481782D"/>
    <w:rsid w:val="349F0D00"/>
    <w:rsid w:val="34E938F8"/>
    <w:rsid w:val="351F7AFD"/>
    <w:rsid w:val="35313DB7"/>
    <w:rsid w:val="353A66E5"/>
    <w:rsid w:val="355377A7"/>
    <w:rsid w:val="357C4F4F"/>
    <w:rsid w:val="35814314"/>
    <w:rsid w:val="35906305"/>
    <w:rsid w:val="35BC359E"/>
    <w:rsid w:val="35BE7938"/>
    <w:rsid w:val="35CF32D1"/>
    <w:rsid w:val="35D609C2"/>
    <w:rsid w:val="35ED7BFB"/>
    <w:rsid w:val="360C1C1F"/>
    <w:rsid w:val="362353CB"/>
    <w:rsid w:val="36260A17"/>
    <w:rsid w:val="36401AD9"/>
    <w:rsid w:val="36657792"/>
    <w:rsid w:val="36853990"/>
    <w:rsid w:val="3699743B"/>
    <w:rsid w:val="36B62E57"/>
    <w:rsid w:val="36C71D39"/>
    <w:rsid w:val="36D509BD"/>
    <w:rsid w:val="36D6068F"/>
    <w:rsid w:val="371B60A2"/>
    <w:rsid w:val="37411FAD"/>
    <w:rsid w:val="375021F0"/>
    <w:rsid w:val="375B08FF"/>
    <w:rsid w:val="375F2433"/>
    <w:rsid w:val="377C467F"/>
    <w:rsid w:val="379245B6"/>
    <w:rsid w:val="379508A6"/>
    <w:rsid w:val="379A3A9E"/>
    <w:rsid w:val="37A472BB"/>
    <w:rsid w:val="37B44180"/>
    <w:rsid w:val="37C60704"/>
    <w:rsid w:val="37CF2144"/>
    <w:rsid w:val="3810372D"/>
    <w:rsid w:val="381A30F5"/>
    <w:rsid w:val="382D2531"/>
    <w:rsid w:val="38305B7D"/>
    <w:rsid w:val="38412978"/>
    <w:rsid w:val="384977AD"/>
    <w:rsid w:val="3851753C"/>
    <w:rsid w:val="385B0E4C"/>
    <w:rsid w:val="38C033A5"/>
    <w:rsid w:val="38CA7D80"/>
    <w:rsid w:val="38CD2F41"/>
    <w:rsid w:val="38D16F80"/>
    <w:rsid w:val="38DB4964"/>
    <w:rsid w:val="38EA7CFE"/>
    <w:rsid w:val="38EE1CC0"/>
    <w:rsid w:val="38F0269B"/>
    <w:rsid w:val="38F207D6"/>
    <w:rsid w:val="38FD0155"/>
    <w:rsid w:val="393260E7"/>
    <w:rsid w:val="393D49F6"/>
    <w:rsid w:val="39537D75"/>
    <w:rsid w:val="397321C6"/>
    <w:rsid w:val="398E69FC"/>
    <w:rsid w:val="399860D0"/>
    <w:rsid w:val="39BB0DEF"/>
    <w:rsid w:val="39EB599F"/>
    <w:rsid w:val="39EE7A9E"/>
    <w:rsid w:val="39F86974"/>
    <w:rsid w:val="39FD01AF"/>
    <w:rsid w:val="39FE7CD2"/>
    <w:rsid w:val="3A3F96C5"/>
    <w:rsid w:val="3A64183E"/>
    <w:rsid w:val="3A6A35C8"/>
    <w:rsid w:val="3A773F37"/>
    <w:rsid w:val="3A813937"/>
    <w:rsid w:val="3A823F5C"/>
    <w:rsid w:val="3A914FF9"/>
    <w:rsid w:val="3A9952B8"/>
    <w:rsid w:val="3AA36ADA"/>
    <w:rsid w:val="3AA61025"/>
    <w:rsid w:val="3ABF721B"/>
    <w:rsid w:val="3ACC532D"/>
    <w:rsid w:val="3AD4138A"/>
    <w:rsid w:val="3ADD1FEC"/>
    <w:rsid w:val="3AE27603"/>
    <w:rsid w:val="3B3140E6"/>
    <w:rsid w:val="3B392F9B"/>
    <w:rsid w:val="3B7D557D"/>
    <w:rsid w:val="3B926229"/>
    <w:rsid w:val="3B9A7EDD"/>
    <w:rsid w:val="3BA82A38"/>
    <w:rsid w:val="3BB15227"/>
    <w:rsid w:val="3BB70A8F"/>
    <w:rsid w:val="3BD32474"/>
    <w:rsid w:val="3BE21884"/>
    <w:rsid w:val="3BE41159"/>
    <w:rsid w:val="3BE44269"/>
    <w:rsid w:val="3C083348"/>
    <w:rsid w:val="3C20265B"/>
    <w:rsid w:val="3C2C521D"/>
    <w:rsid w:val="3C2D6FA3"/>
    <w:rsid w:val="3C3B72FF"/>
    <w:rsid w:val="3C3E10BB"/>
    <w:rsid w:val="3CB1259C"/>
    <w:rsid w:val="3CCD01CF"/>
    <w:rsid w:val="3CE05DC4"/>
    <w:rsid w:val="3CF17FD1"/>
    <w:rsid w:val="3CF40F67"/>
    <w:rsid w:val="3CFE26EE"/>
    <w:rsid w:val="3D1729DA"/>
    <w:rsid w:val="3D1912D6"/>
    <w:rsid w:val="3D3808F7"/>
    <w:rsid w:val="3D3D6D72"/>
    <w:rsid w:val="3D436353"/>
    <w:rsid w:val="3D4520CB"/>
    <w:rsid w:val="3D5854BC"/>
    <w:rsid w:val="3D631F35"/>
    <w:rsid w:val="3D651D55"/>
    <w:rsid w:val="3D734E8A"/>
    <w:rsid w:val="3DAF631F"/>
    <w:rsid w:val="3DBF00CF"/>
    <w:rsid w:val="3DC94AAA"/>
    <w:rsid w:val="3DD0408A"/>
    <w:rsid w:val="3DD75419"/>
    <w:rsid w:val="3DDA2813"/>
    <w:rsid w:val="3DDD2AD7"/>
    <w:rsid w:val="3DE713D4"/>
    <w:rsid w:val="3E06185A"/>
    <w:rsid w:val="3E063608"/>
    <w:rsid w:val="3E0728CE"/>
    <w:rsid w:val="3E0E6961"/>
    <w:rsid w:val="3E167085"/>
    <w:rsid w:val="3E1F0B6E"/>
    <w:rsid w:val="3E1F46CA"/>
    <w:rsid w:val="3E263682"/>
    <w:rsid w:val="3E3363C7"/>
    <w:rsid w:val="3E344619"/>
    <w:rsid w:val="3E3762AA"/>
    <w:rsid w:val="3E410AE4"/>
    <w:rsid w:val="3E412892"/>
    <w:rsid w:val="3E622809"/>
    <w:rsid w:val="3E6842C3"/>
    <w:rsid w:val="3E773E46"/>
    <w:rsid w:val="3EAB2402"/>
    <w:rsid w:val="3EB2553E"/>
    <w:rsid w:val="3EB72464"/>
    <w:rsid w:val="3EBE2135"/>
    <w:rsid w:val="3EC16814"/>
    <w:rsid w:val="3ED92ACB"/>
    <w:rsid w:val="3EF23B8C"/>
    <w:rsid w:val="3EFCF153"/>
    <w:rsid w:val="3EFE4B5C"/>
    <w:rsid w:val="3EFFF245"/>
    <w:rsid w:val="3F022566"/>
    <w:rsid w:val="3F283A52"/>
    <w:rsid w:val="3F40206E"/>
    <w:rsid w:val="3F520ACF"/>
    <w:rsid w:val="3F5C4D83"/>
    <w:rsid w:val="3F610664"/>
    <w:rsid w:val="3F7F477A"/>
    <w:rsid w:val="3F8769CB"/>
    <w:rsid w:val="3FB672B0"/>
    <w:rsid w:val="3FBAAA6A"/>
    <w:rsid w:val="3FC419CD"/>
    <w:rsid w:val="3FC8246F"/>
    <w:rsid w:val="3FF43934"/>
    <w:rsid w:val="3FF5710E"/>
    <w:rsid w:val="40063F3B"/>
    <w:rsid w:val="4010076E"/>
    <w:rsid w:val="401A4D5C"/>
    <w:rsid w:val="403E188E"/>
    <w:rsid w:val="40550877"/>
    <w:rsid w:val="40662A84"/>
    <w:rsid w:val="40842F0A"/>
    <w:rsid w:val="40925627"/>
    <w:rsid w:val="4099122F"/>
    <w:rsid w:val="40AB0497"/>
    <w:rsid w:val="40B90E06"/>
    <w:rsid w:val="40C559FD"/>
    <w:rsid w:val="40D65AC5"/>
    <w:rsid w:val="40F605C1"/>
    <w:rsid w:val="40F96CE8"/>
    <w:rsid w:val="40FB7778"/>
    <w:rsid w:val="41200E85"/>
    <w:rsid w:val="413063AB"/>
    <w:rsid w:val="41316F34"/>
    <w:rsid w:val="414508EB"/>
    <w:rsid w:val="415428DD"/>
    <w:rsid w:val="41676AB4"/>
    <w:rsid w:val="419D447B"/>
    <w:rsid w:val="419E0AA1"/>
    <w:rsid w:val="41C71300"/>
    <w:rsid w:val="41DC2347"/>
    <w:rsid w:val="41FA23F0"/>
    <w:rsid w:val="420C1409"/>
    <w:rsid w:val="42166F4E"/>
    <w:rsid w:val="421B7C1E"/>
    <w:rsid w:val="422E312E"/>
    <w:rsid w:val="424741EF"/>
    <w:rsid w:val="42622A3F"/>
    <w:rsid w:val="42686DAA"/>
    <w:rsid w:val="426B4382"/>
    <w:rsid w:val="426B6130"/>
    <w:rsid w:val="42823479"/>
    <w:rsid w:val="42846E8E"/>
    <w:rsid w:val="42871AEA"/>
    <w:rsid w:val="42975177"/>
    <w:rsid w:val="42BF022A"/>
    <w:rsid w:val="42CC3426"/>
    <w:rsid w:val="42D44BBD"/>
    <w:rsid w:val="42DE4F84"/>
    <w:rsid w:val="431E13F4"/>
    <w:rsid w:val="4320516C"/>
    <w:rsid w:val="43234C5C"/>
    <w:rsid w:val="43452E25"/>
    <w:rsid w:val="43496F4C"/>
    <w:rsid w:val="434A21E9"/>
    <w:rsid w:val="4364501E"/>
    <w:rsid w:val="4365306C"/>
    <w:rsid w:val="439671DC"/>
    <w:rsid w:val="43D321DE"/>
    <w:rsid w:val="43EE1136"/>
    <w:rsid w:val="443C4228"/>
    <w:rsid w:val="44466E54"/>
    <w:rsid w:val="445552E9"/>
    <w:rsid w:val="446D4262"/>
    <w:rsid w:val="44890AEF"/>
    <w:rsid w:val="44D34460"/>
    <w:rsid w:val="44EE0237"/>
    <w:rsid w:val="44F01B54"/>
    <w:rsid w:val="44FA379B"/>
    <w:rsid w:val="45027F52"/>
    <w:rsid w:val="452B429C"/>
    <w:rsid w:val="455B3BBA"/>
    <w:rsid w:val="45603DD6"/>
    <w:rsid w:val="45612673"/>
    <w:rsid w:val="4585575A"/>
    <w:rsid w:val="45B20A0F"/>
    <w:rsid w:val="45B846D6"/>
    <w:rsid w:val="45C7751F"/>
    <w:rsid w:val="45D20F7D"/>
    <w:rsid w:val="45E47879"/>
    <w:rsid w:val="45EC57D9"/>
    <w:rsid w:val="45F11042"/>
    <w:rsid w:val="45FE72BB"/>
    <w:rsid w:val="46072613"/>
    <w:rsid w:val="46252A99"/>
    <w:rsid w:val="463158E2"/>
    <w:rsid w:val="46380A1F"/>
    <w:rsid w:val="46685890"/>
    <w:rsid w:val="46761547"/>
    <w:rsid w:val="4690085B"/>
    <w:rsid w:val="4698326B"/>
    <w:rsid w:val="469E0229"/>
    <w:rsid w:val="46B1257F"/>
    <w:rsid w:val="46D5626E"/>
    <w:rsid w:val="46E841F3"/>
    <w:rsid w:val="46F549B4"/>
    <w:rsid w:val="46FA5CD4"/>
    <w:rsid w:val="470152B5"/>
    <w:rsid w:val="470C01AE"/>
    <w:rsid w:val="471042CE"/>
    <w:rsid w:val="4723522B"/>
    <w:rsid w:val="47264D1B"/>
    <w:rsid w:val="473476FC"/>
    <w:rsid w:val="47431429"/>
    <w:rsid w:val="47492772"/>
    <w:rsid w:val="47573126"/>
    <w:rsid w:val="477C1EAB"/>
    <w:rsid w:val="478B4B7E"/>
    <w:rsid w:val="478D7141"/>
    <w:rsid w:val="47940560"/>
    <w:rsid w:val="47981849"/>
    <w:rsid w:val="47B440D5"/>
    <w:rsid w:val="47C25E39"/>
    <w:rsid w:val="47CF4628"/>
    <w:rsid w:val="47DD1AF7"/>
    <w:rsid w:val="48063096"/>
    <w:rsid w:val="48074089"/>
    <w:rsid w:val="480F3A01"/>
    <w:rsid w:val="482B7945"/>
    <w:rsid w:val="483A1140"/>
    <w:rsid w:val="483A4554"/>
    <w:rsid w:val="484E277B"/>
    <w:rsid w:val="486C72C0"/>
    <w:rsid w:val="489155C8"/>
    <w:rsid w:val="489A151D"/>
    <w:rsid w:val="48B00D40"/>
    <w:rsid w:val="48BB76E5"/>
    <w:rsid w:val="48E00EFA"/>
    <w:rsid w:val="48EC5AF0"/>
    <w:rsid w:val="48F84470"/>
    <w:rsid w:val="4904531A"/>
    <w:rsid w:val="491F6F81"/>
    <w:rsid w:val="4922704D"/>
    <w:rsid w:val="494D47E1"/>
    <w:rsid w:val="49673F35"/>
    <w:rsid w:val="49747FC0"/>
    <w:rsid w:val="497F36BE"/>
    <w:rsid w:val="4997621F"/>
    <w:rsid w:val="49A53698"/>
    <w:rsid w:val="49C12AD9"/>
    <w:rsid w:val="49D0319A"/>
    <w:rsid w:val="4A031344"/>
    <w:rsid w:val="4A21665E"/>
    <w:rsid w:val="4A8D34C0"/>
    <w:rsid w:val="4A8E0ECE"/>
    <w:rsid w:val="4AD7205D"/>
    <w:rsid w:val="4ADD6D8E"/>
    <w:rsid w:val="4B02325D"/>
    <w:rsid w:val="4B0825DD"/>
    <w:rsid w:val="4B0D48B0"/>
    <w:rsid w:val="4B143B2C"/>
    <w:rsid w:val="4B1D6435"/>
    <w:rsid w:val="4B2E0642"/>
    <w:rsid w:val="4B671FA9"/>
    <w:rsid w:val="4B7103C2"/>
    <w:rsid w:val="4B771FE9"/>
    <w:rsid w:val="4B7F2C4C"/>
    <w:rsid w:val="4B8B4DEE"/>
    <w:rsid w:val="4B9E420D"/>
    <w:rsid w:val="4BA40904"/>
    <w:rsid w:val="4BAD77B9"/>
    <w:rsid w:val="4BB328F5"/>
    <w:rsid w:val="4BBA1ED6"/>
    <w:rsid w:val="4BBA3C84"/>
    <w:rsid w:val="4BD16D6F"/>
    <w:rsid w:val="4BE11211"/>
    <w:rsid w:val="4BE156B5"/>
    <w:rsid w:val="4BE44D06"/>
    <w:rsid w:val="4BF54CBC"/>
    <w:rsid w:val="4C1930A0"/>
    <w:rsid w:val="4C24269D"/>
    <w:rsid w:val="4C431ECB"/>
    <w:rsid w:val="4C45481B"/>
    <w:rsid w:val="4C4579F1"/>
    <w:rsid w:val="4C465518"/>
    <w:rsid w:val="4C6A145D"/>
    <w:rsid w:val="4CBB7CB4"/>
    <w:rsid w:val="4CC96874"/>
    <w:rsid w:val="4CCE3E8B"/>
    <w:rsid w:val="4CE4720A"/>
    <w:rsid w:val="4CEA67EB"/>
    <w:rsid w:val="4CF02261"/>
    <w:rsid w:val="4CFB6302"/>
    <w:rsid w:val="4D0F6379"/>
    <w:rsid w:val="4D1760B7"/>
    <w:rsid w:val="4D2770F7"/>
    <w:rsid w:val="4D41354B"/>
    <w:rsid w:val="4D445EFB"/>
    <w:rsid w:val="4D626381"/>
    <w:rsid w:val="4D84279B"/>
    <w:rsid w:val="4DBF1A26"/>
    <w:rsid w:val="4DC4528E"/>
    <w:rsid w:val="4DDE00FE"/>
    <w:rsid w:val="4DE81C5E"/>
    <w:rsid w:val="4DE91067"/>
    <w:rsid w:val="4DF711BF"/>
    <w:rsid w:val="4E375DDA"/>
    <w:rsid w:val="4E571C5E"/>
    <w:rsid w:val="4E594E5D"/>
    <w:rsid w:val="4E6661CA"/>
    <w:rsid w:val="4E704ADB"/>
    <w:rsid w:val="4E76551D"/>
    <w:rsid w:val="4E797E26"/>
    <w:rsid w:val="4E920EE8"/>
    <w:rsid w:val="4E994F3D"/>
    <w:rsid w:val="4EA2112B"/>
    <w:rsid w:val="4EC372F3"/>
    <w:rsid w:val="4EC54E1A"/>
    <w:rsid w:val="4ECB7DF8"/>
    <w:rsid w:val="4EDF237F"/>
    <w:rsid w:val="4F1A59B8"/>
    <w:rsid w:val="4F2D4021"/>
    <w:rsid w:val="4F367AC5"/>
    <w:rsid w:val="4F457D08"/>
    <w:rsid w:val="4F562811"/>
    <w:rsid w:val="4F6F20D3"/>
    <w:rsid w:val="4F730D1A"/>
    <w:rsid w:val="4F74628A"/>
    <w:rsid w:val="4F8627FB"/>
    <w:rsid w:val="4F8B7E11"/>
    <w:rsid w:val="4F9273F2"/>
    <w:rsid w:val="4FD95020"/>
    <w:rsid w:val="4FE739C4"/>
    <w:rsid w:val="4FE85264"/>
    <w:rsid w:val="4FEE03A0"/>
    <w:rsid w:val="4FF97471"/>
    <w:rsid w:val="4FFFC8A6"/>
    <w:rsid w:val="50081462"/>
    <w:rsid w:val="501F74AB"/>
    <w:rsid w:val="50325D21"/>
    <w:rsid w:val="50334005"/>
    <w:rsid w:val="503A0AC9"/>
    <w:rsid w:val="50586EC8"/>
    <w:rsid w:val="506574C6"/>
    <w:rsid w:val="5076286F"/>
    <w:rsid w:val="507C1E50"/>
    <w:rsid w:val="509727E6"/>
    <w:rsid w:val="509E3B74"/>
    <w:rsid w:val="50BE6A7A"/>
    <w:rsid w:val="50C01D3C"/>
    <w:rsid w:val="50DD469C"/>
    <w:rsid w:val="50E579F5"/>
    <w:rsid w:val="50EA57CF"/>
    <w:rsid w:val="50F33EC0"/>
    <w:rsid w:val="5127467D"/>
    <w:rsid w:val="514A5AAA"/>
    <w:rsid w:val="515A41E2"/>
    <w:rsid w:val="51644DBE"/>
    <w:rsid w:val="516B68C8"/>
    <w:rsid w:val="5176064D"/>
    <w:rsid w:val="51836B3F"/>
    <w:rsid w:val="51954F77"/>
    <w:rsid w:val="51B573C7"/>
    <w:rsid w:val="51BF3DA2"/>
    <w:rsid w:val="51BF5961"/>
    <w:rsid w:val="51D320A3"/>
    <w:rsid w:val="51E7154B"/>
    <w:rsid w:val="51EE6435"/>
    <w:rsid w:val="5223678D"/>
    <w:rsid w:val="522C7F68"/>
    <w:rsid w:val="522D1654"/>
    <w:rsid w:val="52392F23"/>
    <w:rsid w:val="52405F5A"/>
    <w:rsid w:val="527340EA"/>
    <w:rsid w:val="527E5C95"/>
    <w:rsid w:val="52A66D10"/>
    <w:rsid w:val="52B47EF4"/>
    <w:rsid w:val="52B72CCB"/>
    <w:rsid w:val="52D63A99"/>
    <w:rsid w:val="52DA35C6"/>
    <w:rsid w:val="52F42171"/>
    <w:rsid w:val="530028C4"/>
    <w:rsid w:val="5305612D"/>
    <w:rsid w:val="5311687F"/>
    <w:rsid w:val="532F31A9"/>
    <w:rsid w:val="532F3457"/>
    <w:rsid w:val="5334256E"/>
    <w:rsid w:val="53427A1B"/>
    <w:rsid w:val="53430A03"/>
    <w:rsid w:val="53487E20"/>
    <w:rsid w:val="534B31D2"/>
    <w:rsid w:val="534C5B09"/>
    <w:rsid w:val="53566988"/>
    <w:rsid w:val="536A41E2"/>
    <w:rsid w:val="53706852"/>
    <w:rsid w:val="538E6122"/>
    <w:rsid w:val="53B84F4D"/>
    <w:rsid w:val="53C2131D"/>
    <w:rsid w:val="53C2401E"/>
    <w:rsid w:val="53CF0730"/>
    <w:rsid w:val="53D22A0C"/>
    <w:rsid w:val="53D31D87"/>
    <w:rsid w:val="53F44044"/>
    <w:rsid w:val="53F47D47"/>
    <w:rsid w:val="53FA78AB"/>
    <w:rsid w:val="5415239F"/>
    <w:rsid w:val="54274BF4"/>
    <w:rsid w:val="5428561B"/>
    <w:rsid w:val="542E3166"/>
    <w:rsid w:val="543C348C"/>
    <w:rsid w:val="54413194"/>
    <w:rsid w:val="54556C40"/>
    <w:rsid w:val="54596730"/>
    <w:rsid w:val="546450D5"/>
    <w:rsid w:val="546D5D37"/>
    <w:rsid w:val="5484657D"/>
    <w:rsid w:val="54962A1D"/>
    <w:rsid w:val="54990292"/>
    <w:rsid w:val="54A656ED"/>
    <w:rsid w:val="54B716A8"/>
    <w:rsid w:val="54BE34CB"/>
    <w:rsid w:val="54CB6F02"/>
    <w:rsid w:val="54E1305C"/>
    <w:rsid w:val="54EA0F6C"/>
    <w:rsid w:val="54F31E22"/>
    <w:rsid w:val="54FC70BB"/>
    <w:rsid w:val="55006BAB"/>
    <w:rsid w:val="550A5C7C"/>
    <w:rsid w:val="55180399"/>
    <w:rsid w:val="554A067A"/>
    <w:rsid w:val="556F788D"/>
    <w:rsid w:val="5579695E"/>
    <w:rsid w:val="5586381E"/>
    <w:rsid w:val="559317CE"/>
    <w:rsid w:val="55A25EB5"/>
    <w:rsid w:val="55B13095"/>
    <w:rsid w:val="55BB0D24"/>
    <w:rsid w:val="55BF57CF"/>
    <w:rsid w:val="55C7591B"/>
    <w:rsid w:val="55CC1183"/>
    <w:rsid w:val="55D51F06"/>
    <w:rsid w:val="55D93123"/>
    <w:rsid w:val="55E62245"/>
    <w:rsid w:val="55E825E8"/>
    <w:rsid w:val="55F169BF"/>
    <w:rsid w:val="5606092B"/>
    <w:rsid w:val="56095F34"/>
    <w:rsid w:val="560A5808"/>
    <w:rsid w:val="561B6BEB"/>
    <w:rsid w:val="561D378D"/>
    <w:rsid w:val="5621502B"/>
    <w:rsid w:val="562A2B7D"/>
    <w:rsid w:val="564C7BCE"/>
    <w:rsid w:val="56510DF0"/>
    <w:rsid w:val="566E6115"/>
    <w:rsid w:val="56925F29"/>
    <w:rsid w:val="56A33C92"/>
    <w:rsid w:val="56C65BD3"/>
    <w:rsid w:val="56F20776"/>
    <w:rsid w:val="56F269C8"/>
    <w:rsid w:val="56F86492"/>
    <w:rsid w:val="570C3708"/>
    <w:rsid w:val="573043AD"/>
    <w:rsid w:val="57305CD9"/>
    <w:rsid w:val="575136EE"/>
    <w:rsid w:val="5753390A"/>
    <w:rsid w:val="57592280"/>
    <w:rsid w:val="576CA0E4"/>
    <w:rsid w:val="57702786"/>
    <w:rsid w:val="577613A7"/>
    <w:rsid w:val="57974F35"/>
    <w:rsid w:val="579B203A"/>
    <w:rsid w:val="579B66F9"/>
    <w:rsid w:val="57AA2DFF"/>
    <w:rsid w:val="57AC4DC9"/>
    <w:rsid w:val="57C33EC0"/>
    <w:rsid w:val="57DF67F9"/>
    <w:rsid w:val="57F66683"/>
    <w:rsid w:val="57FBD331"/>
    <w:rsid w:val="580C3AB9"/>
    <w:rsid w:val="58270C9E"/>
    <w:rsid w:val="587753D7"/>
    <w:rsid w:val="58791ABD"/>
    <w:rsid w:val="587B479B"/>
    <w:rsid w:val="58A106A5"/>
    <w:rsid w:val="58EB36CF"/>
    <w:rsid w:val="59034EBC"/>
    <w:rsid w:val="590A1327"/>
    <w:rsid w:val="591075D9"/>
    <w:rsid w:val="59140E77"/>
    <w:rsid w:val="591C5F7E"/>
    <w:rsid w:val="59360753"/>
    <w:rsid w:val="593E2DA3"/>
    <w:rsid w:val="59563B77"/>
    <w:rsid w:val="59617CF6"/>
    <w:rsid w:val="59B77A55"/>
    <w:rsid w:val="59D620C4"/>
    <w:rsid w:val="59D81EA5"/>
    <w:rsid w:val="59DD570D"/>
    <w:rsid w:val="59E051FD"/>
    <w:rsid w:val="59F367F2"/>
    <w:rsid w:val="5A032C9A"/>
    <w:rsid w:val="5A3B2D8E"/>
    <w:rsid w:val="5A4237C2"/>
    <w:rsid w:val="5A4E03B9"/>
    <w:rsid w:val="5A625C12"/>
    <w:rsid w:val="5A6F196A"/>
    <w:rsid w:val="5A8A4156"/>
    <w:rsid w:val="5A9B1124"/>
    <w:rsid w:val="5AB04BD0"/>
    <w:rsid w:val="5AB67D0C"/>
    <w:rsid w:val="5ADA4C20"/>
    <w:rsid w:val="5AEB4AF6"/>
    <w:rsid w:val="5AF977F4"/>
    <w:rsid w:val="5AFE3B8D"/>
    <w:rsid w:val="5B046CCA"/>
    <w:rsid w:val="5B266C40"/>
    <w:rsid w:val="5B3752F1"/>
    <w:rsid w:val="5B484E08"/>
    <w:rsid w:val="5B6069B3"/>
    <w:rsid w:val="5B8A3673"/>
    <w:rsid w:val="5B9462A0"/>
    <w:rsid w:val="5B9B13DC"/>
    <w:rsid w:val="5BB22DA2"/>
    <w:rsid w:val="5BDB3ECE"/>
    <w:rsid w:val="5BE31E0F"/>
    <w:rsid w:val="5BEF1728"/>
    <w:rsid w:val="5BF64864"/>
    <w:rsid w:val="5BFAF69C"/>
    <w:rsid w:val="5C273E95"/>
    <w:rsid w:val="5C3354F2"/>
    <w:rsid w:val="5C3A2094"/>
    <w:rsid w:val="5C4F02C9"/>
    <w:rsid w:val="5C62014C"/>
    <w:rsid w:val="5C661155"/>
    <w:rsid w:val="5C7779C1"/>
    <w:rsid w:val="5C805DFE"/>
    <w:rsid w:val="5C964BDC"/>
    <w:rsid w:val="5CA42512"/>
    <w:rsid w:val="5CCD61CB"/>
    <w:rsid w:val="5CDC1CAC"/>
    <w:rsid w:val="5CF04837"/>
    <w:rsid w:val="5CF353A3"/>
    <w:rsid w:val="5CF80AB0"/>
    <w:rsid w:val="5D1A27D4"/>
    <w:rsid w:val="5D563A15"/>
    <w:rsid w:val="5D5A0E23"/>
    <w:rsid w:val="5D6A375C"/>
    <w:rsid w:val="5D9407D9"/>
    <w:rsid w:val="5DB20C5F"/>
    <w:rsid w:val="5DBC1ADE"/>
    <w:rsid w:val="5DC41746"/>
    <w:rsid w:val="5DED0B88"/>
    <w:rsid w:val="5E1B2CA8"/>
    <w:rsid w:val="5E1C257C"/>
    <w:rsid w:val="5E2F43F8"/>
    <w:rsid w:val="5E373AEB"/>
    <w:rsid w:val="5E39312E"/>
    <w:rsid w:val="5E47584B"/>
    <w:rsid w:val="5E4A533B"/>
    <w:rsid w:val="5E624433"/>
    <w:rsid w:val="5E7A5C21"/>
    <w:rsid w:val="5E7D126D"/>
    <w:rsid w:val="5E93283E"/>
    <w:rsid w:val="5E954808"/>
    <w:rsid w:val="5EB033F0"/>
    <w:rsid w:val="5EB6477F"/>
    <w:rsid w:val="5EC06CB8"/>
    <w:rsid w:val="5ED05841"/>
    <w:rsid w:val="5EF7640B"/>
    <w:rsid w:val="5EFEC723"/>
    <w:rsid w:val="5EFF81BA"/>
    <w:rsid w:val="5F1514A5"/>
    <w:rsid w:val="5F1B26E1"/>
    <w:rsid w:val="5F351B48"/>
    <w:rsid w:val="5F571ABE"/>
    <w:rsid w:val="5F990328"/>
    <w:rsid w:val="5F9E593F"/>
    <w:rsid w:val="5FA40A7B"/>
    <w:rsid w:val="5FB567E4"/>
    <w:rsid w:val="5FBB161E"/>
    <w:rsid w:val="5FBBC701"/>
    <w:rsid w:val="5FD5C020"/>
    <w:rsid w:val="5FDB26EF"/>
    <w:rsid w:val="5FE315A4"/>
    <w:rsid w:val="5FE86BBA"/>
    <w:rsid w:val="5FEB0458"/>
    <w:rsid w:val="5FFF7F65"/>
    <w:rsid w:val="60024395"/>
    <w:rsid w:val="60107EBF"/>
    <w:rsid w:val="60261FB8"/>
    <w:rsid w:val="604A0FC0"/>
    <w:rsid w:val="604C403E"/>
    <w:rsid w:val="60593614"/>
    <w:rsid w:val="606F1089"/>
    <w:rsid w:val="607F642D"/>
    <w:rsid w:val="60805044"/>
    <w:rsid w:val="60830691"/>
    <w:rsid w:val="608C39E9"/>
    <w:rsid w:val="60BB2A43"/>
    <w:rsid w:val="60BD1DF5"/>
    <w:rsid w:val="60CC05C6"/>
    <w:rsid w:val="60DD4245"/>
    <w:rsid w:val="60EB5CEF"/>
    <w:rsid w:val="60F46535"/>
    <w:rsid w:val="61023CAB"/>
    <w:rsid w:val="61056F12"/>
    <w:rsid w:val="610C4B2A"/>
    <w:rsid w:val="610C68D8"/>
    <w:rsid w:val="61146CF4"/>
    <w:rsid w:val="6129748A"/>
    <w:rsid w:val="613B0E5A"/>
    <w:rsid w:val="613E3A52"/>
    <w:rsid w:val="61554044"/>
    <w:rsid w:val="61665FE8"/>
    <w:rsid w:val="61772197"/>
    <w:rsid w:val="61891CD7"/>
    <w:rsid w:val="6189617B"/>
    <w:rsid w:val="619F7C50"/>
    <w:rsid w:val="61AE798F"/>
    <w:rsid w:val="61CE1DDF"/>
    <w:rsid w:val="61D261ED"/>
    <w:rsid w:val="61EA7522"/>
    <w:rsid w:val="61F1708C"/>
    <w:rsid w:val="61F77588"/>
    <w:rsid w:val="62214605"/>
    <w:rsid w:val="6223212B"/>
    <w:rsid w:val="62415366"/>
    <w:rsid w:val="624D3BE8"/>
    <w:rsid w:val="6260512D"/>
    <w:rsid w:val="626562A0"/>
    <w:rsid w:val="62792AF3"/>
    <w:rsid w:val="6280132C"/>
    <w:rsid w:val="62950339"/>
    <w:rsid w:val="62C51434"/>
    <w:rsid w:val="62D358FF"/>
    <w:rsid w:val="62E80C7F"/>
    <w:rsid w:val="62F56D26"/>
    <w:rsid w:val="62FB3153"/>
    <w:rsid w:val="63057A83"/>
    <w:rsid w:val="63100901"/>
    <w:rsid w:val="631A1780"/>
    <w:rsid w:val="631C55EA"/>
    <w:rsid w:val="634E142A"/>
    <w:rsid w:val="63586994"/>
    <w:rsid w:val="63612F0B"/>
    <w:rsid w:val="636C18B0"/>
    <w:rsid w:val="636E5628"/>
    <w:rsid w:val="63771075"/>
    <w:rsid w:val="638B7F88"/>
    <w:rsid w:val="63A04400"/>
    <w:rsid w:val="63D80CF3"/>
    <w:rsid w:val="63DA2CBD"/>
    <w:rsid w:val="63E2651A"/>
    <w:rsid w:val="63EDB039"/>
    <w:rsid w:val="643E0066"/>
    <w:rsid w:val="646F3406"/>
    <w:rsid w:val="6481138B"/>
    <w:rsid w:val="648F32AC"/>
    <w:rsid w:val="649B6C42"/>
    <w:rsid w:val="64A22188"/>
    <w:rsid w:val="64BE5B27"/>
    <w:rsid w:val="64CD637E"/>
    <w:rsid w:val="64E01116"/>
    <w:rsid w:val="64FD4EB5"/>
    <w:rsid w:val="65247C56"/>
    <w:rsid w:val="652A557F"/>
    <w:rsid w:val="653359CE"/>
    <w:rsid w:val="653B59DE"/>
    <w:rsid w:val="654725D5"/>
    <w:rsid w:val="654F4FE5"/>
    <w:rsid w:val="655645C6"/>
    <w:rsid w:val="655F347A"/>
    <w:rsid w:val="656767D3"/>
    <w:rsid w:val="656942F9"/>
    <w:rsid w:val="65842EE1"/>
    <w:rsid w:val="658E3D60"/>
    <w:rsid w:val="659D0AB0"/>
    <w:rsid w:val="659FFA37"/>
    <w:rsid w:val="65B512EC"/>
    <w:rsid w:val="65BB267B"/>
    <w:rsid w:val="65D73958"/>
    <w:rsid w:val="65D82226"/>
    <w:rsid w:val="65DF6369"/>
    <w:rsid w:val="65F862ED"/>
    <w:rsid w:val="66046B2A"/>
    <w:rsid w:val="6612673F"/>
    <w:rsid w:val="661E407A"/>
    <w:rsid w:val="6621000F"/>
    <w:rsid w:val="66246472"/>
    <w:rsid w:val="66263F98"/>
    <w:rsid w:val="6646293E"/>
    <w:rsid w:val="664F7993"/>
    <w:rsid w:val="6657757A"/>
    <w:rsid w:val="665E73A6"/>
    <w:rsid w:val="66807B4C"/>
    <w:rsid w:val="66AE3D23"/>
    <w:rsid w:val="66B27E30"/>
    <w:rsid w:val="66BA61C2"/>
    <w:rsid w:val="66BB6DD6"/>
    <w:rsid w:val="66BD7716"/>
    <w:rsid w:val="66BE7ED8"/>
    <w:rsid w:val="66C814F3"/>
    <w:rsid w:val="66CF4630"/>
    <w:rsid w:val="66D103A8"/>
    <w:rsid w:val="66EC2AFF"/>
    <w:rsid w:val="66F70FB4"/>
    <w:rsid w:val="66F83B86"/>
    <w:rsid w:val="66FF003E"/>
    <w:rsid w:val="670E33AA"/>
    <w:rsid w:val="671F7C23"/>
    <w:rsid w:val="67310E46"/>
    <w:rsid w:val="6731167B"/>
    <w:rsid w:val="6738382B"/>
    <w:rsid w:val="67566AFF"/>
    <w:rsid w:val="676477F6"/>
    <w:rsid w:val="676E1F1A"/>
    <w:rsid w:val="677A35E9"/>
    <w:rsid w:val="678A1D07"/>
    <w:rsid w:val="678A67A9"/>
    <w:rsid w:val="679A2E90"/>
    <w:rsid w:val="67DC79EA"/>
    <w:rsid w:val="67EB5499"/>
    <w:rsid w:val="67F02AB0"/>
    <w:rsid w:val="67F84128"/>
    <w:rsid w:val="67F87BB6"/>
    <w:rsid w:val="67FA7C0D"/>
    <w:rsid w:val="68071BA7"/>
    <w:rsid w:val="68112A26"/>
    <w:rsid w:val="68150768"/>
    <w:rsid w:val="68180E35"/>
    <w:rsid w:val="68190258"/>
    <w:rsid w:val="68774BB2"/>
    <w:rsid w:val="68993AC2"/>
    <w:rsid w:val="689C49E5"/>
    <w:rsid w:val="68B73552"/>
    <w:rsid w:val="68B97345"/>
    <w:rsid w:val="68D27D9D"/>
    <w:rsid w:val="68D9058B"/>
    <w:rsid w:val="68E048D2"/>
    <w:rsid w:val="68EA786C"/>
    <w:rsid w:val="68EF4566"/>
    <w:rsid w:val="68FE2FAA"/>
    <w:rsid w:val="68FFB949"/>
    <w:rsid w:val="690B665C"/>
    <w:rsid w:val="691E26C3"/>
    <w:rsid w:val="69272501"/>
    <w:rsid w:val="695B664F"/>
    <w:rsid w:val="698536CB"/>
    <w:rsid w:val="699441C6"/>
    <w:rsid w:val="699DD310"/>
    <w:rsid w:val="69A1521B"/>
    <w:rsid w:val="69BD2E65"/>
    <w:rsid w:val="69BF0109"/>
    <w:rsid w:val="69D72179"/>
    <w:rsid w:val="69E228CC"/>
    <w:rsid w:val="69EA2868"/>
    <w:rsid w:val="69F525FF"/>
    <w:rsid w:val="6A0C7949"/>
    <w:rsid w:val="6A162576"/>
    <w:rsid w:val="6A3B0848"/>
    <w:rsid w:val="6A553A32"/>
    <w:rsid w:val="6A641533"/>
    <w:rsid w:val="6A681023"/>
    <w:rsid w:val="6A694D9B"/>
    <w:rsid w:val="6A6D6639"/>
    <w:rsid w:val="6A6D7C61"/>
    <w:rsid w:val="6A7C687C"/>
    <w:rsid w:val="6ACD742A"/>
    <w:rsid w:val="6B0C5E52"/>
    <w:rsid w:val="6B105217"/>
    <w:rsid w:val="6B106FC5"/>
    <w:rsid w:val="6B204D59"/>
    <w:rsid w:val="6B2A6220"/>
    <w:rsid w:val="6B3158B9"/>
    <w:rsid w:val="6B3715F5"/>
    <w:rsid w:val="6B3A3AE0"/>
    <w:rsid w:val="6B421874"/>
    <w:rsid w:val="6B431148"/>
    <w:rsid w:val="6B4F3F91"/>
    <w:rsid w:val="6B5F71E4"/>
    <w:rsid w:val="6B6123A4"/>
    <w:rsid w:val="6B6C069F"/>
    <w:rsid w:val="6B6C68F1"/>
    <w:rsid w:val="6B7834E8"/>
    <w:rsid w:val="6BB34520"/>
    <w:rsid w:val="6BCF6E80"/>
    <w:rsid w:val="6BD91777"/>
    <w:rsid w:val="6BE742BF"/>
    <w:rsid w:val="6BF47465"/>
    <w:rsid w:val="6BF56C52"/>
    <w:rsid w:val="6C041279"/>
    <w:rsid w:val="6C123E23"/>
    <w:rsid w:val="6C25217A"/>
    <w:rsid w:val="6C2B055A"/>
    <w:rsid w:val="6C315445"/>
    <w:rsid w:val="6C627CF4"/>
    <w:rsid w:val="6C703B78"/>
    <w:rsid w:val="6C771A14"/>
    <w:rsid w:val="6C884442"/>
    <w:rsid w:val="6CA0308B"/>
    <w:rsid w:val="6CAB5E11"/>
    <w:rsid w:val="6CC45CF8"/>
    <w:rsid w:val="6CDF1345"/>
    <w:rsid w:val="6CF44DF0"/>
    <w:rsid w:val="6D21195D"/>
    <w:rsid w:val="6D282CEC"/>
    <w:rsid w:val="6D431C0C"/>
    <w:rsid w:val="6D434A7C"/>
    <w:rsid w:val="6D51565A"/>
    <w:rsid w:val="6D57537F"/>
    <w:rsid w:val="6D5E04BB"/>
    <w:rsid w:val="6D604233"/>
    <w:rsid w:val="6D741A8D"/>
    <w:rsid w:val="6D80338A"/>
    <w:rsid w:val="6D8F2D6B"/>
    <w:rsid w:val="6D9143ED"/>
    <w:rsid w:val="6D9306D3"/>
    <w:rsid w:val="6D9D5BEC"/>
    <w:rsid w:val="6DA85BDA"/>
    <w:rsid w:val="6DA94D04"/>
    <w:rsid w:val="6DD32C57"/>
    <w:rsid w:val="6DDF784E"/>
    <w:rsid w:val="6DFF5BC2"/>
    <w:rsid w:val="6E0F17B6"/>
    <w:rsid w:val="6E276AFF"/>
    <w:rsid w:val="6E3631E6"/>
    <w:rsid w:val="6E364F94"/>
    <w:rsid w:val="6E4A5F9F"/>
    <w:rsid w:val="6E5673E4"/>
    <w:rsid w:val="6E600263"/>
    <w:rsid w:val="6E7F4B8D"/>
    <w:rsid w:val="6E963C85"/>
    <w:rsid w:val="6EB02F99"/>
    <w:rsid w:val="6ECC44C5"/>
    <w:rsid w:val="6EEF2168"/>
    <w:rsid w:val="6EFD834F"/>
    <w:rsid w:val="6F0926A9"/>
    <w:rsid w:val="6F33E4C3"/>
    <w:rsid w:val="6F44E7F4"/>
    <w:rsid w:val="6F4A519B"/>
    <w:rsid w:val="6F4D6A39"/>
    <w:rsid w:val="6F504CAD"/>
    <w:rsid w:val="6F6B4531"/>
    <w:rsid w:val="6F6B5112"/>
    <w:rsid w:val="6F6E34E9"/>
    <w:rsid w:val="6F735C64"/>
    <w:rsid w:val="6F7E3097"/>
    <w:rsid w:val="6F900316"/>
    <w:rsid w:val="6F992E66"/>
    <w:rsid w:val="6F9D5C29"/>
    <w:rsid w:val="6FB506AC"/>
    <w:rsid w:val="6FB767E8"/>
    <w:rsid w:val="6FC7059A"/>
    <w:rsid w:val="6FCF56A0"/>
    <w:rsid w:val="6FE078AE"/>
    <w:rsid w:val="6FE3114C"/>
    <w:rsid w:val="6FE80510"/>
    <w:rsid w:val="6FEF1874"/>
    <w:rsid w:val="6FFF6CC3"/>
    <w:rsid w:val="7012558D"/>
    <w:rsid w:val="7020414E"/>
    <w:rsid w:val="70640CCF"/>
    <w:rsid w:val="70652184"/>
    <w:rsid w:val="706E4EB9"/>
    <w:rsid w:val="707B1384"/>
    <w:rsid w:val="708159DE"/>
    <w:rsid w:val="70840239"/>
    <w:rsid w:val="70932B72"/>
    <w:rsid w:val="709E580C"/>
    <w:rsid w:val="70A64653"/>
    <w:rsid w:val="70AC7790"/>
    <w:rsid w:val="70C81183"/>
    <w:rsid w:val="70CE69DE"/>
    <w:rsid w:val="70D50A94"/>
    <w:rsid w:val="70E61887"/>
    <w:rsid w:val="70F25AEA"/>
    <w:rsid w:val="7104581E"/>
    <w:rsid w:val="710650F2"/>
    <w:rsid w:val="71233EF6"/>
    <w:rsid w:val="712A5284"/>
    <w:rsid w:val="71356763"/>
    <w:rsid w:val="71357785"/>
    <w:rsid w:val="715220E5"/>
    <w:rsid w:val="716B31A7"/>
    <w:rsid w:val="71704C61"/>
    <w:rsid w:val="717B788E"/>
    <w:rsid w:val="71804EA4"/>
    <w:rsid w:val="71926B20"/>
    <w:rsid w:val="71BE0B66"/>
    <w:rsid w:val="71CC00E9"/>
    <w:rsid w:val="71E72C94"/>
    <w:rsid w:val="71FB277D"/>
    <w:rsid w:val="720535FB"/>
    <w:rsid w:val="72086C48"/>
    <w:rsid w:val="721245BB"/>
    <w:rsid w:val="72190E55"/>
    <w:rsid w:val="72522E7D"/>
    <w:rsid w:val="726631BE"/>
    <w:rsid w:val="72710C91"/>
    <w:rsid w:val="727453D2"/>
    <w:rsid w:val="72874010"/>
    <w:rsid w:val="729B5F95"/>
    <w:rsid w:val="729C76E2"/>
    <w:rsid w:val="72A70371"/>
    <w:rsid w:val="72B172DF"/>
    <w:rsid w:val="72C15774"/>
    <w:rsid w:val="72C54C9C"/>
    <w:rsid w:val="72EE0533"/>
    <w:rsid w:val="72FD1442"/>
    <w:rsid w:val="731004AA"/>
    <w:rsid w:val="73295287"/>
    <w:rsid w:val="73302372"/>
    <w:rsid w:val="73487C44"/>
    <w:rsid w:val="734B1EBB"/>
    <w:rsid w:val="736600CA"/>
    <w:rsid w:val="736E51D0"/>
    <w:rsid w:val="736F9745"/>
    <w:rsid w:val="73B110E9"/>
    <w:rsid w:val="73C92407"/>
    <w:rsid w:val="73CD6DE1"/>
    <w:rsid w:val="73D5156F"/>
    <w:rsid w:val="73DCFBB8"/>
    <w:rsid w:val="73DF5372"/>
    <w:rsid w:val="73EB5F85"/>
    <w:rsid w:val="73F751C6"/>
    <w:rsid w:val="73FF8618"/>
    <w:rsid w:val="74055312"/>
    <w:rsid w:val="74123DAE"/>
    <w:rsid w:val="74235FBB"/>
    <w:rsid w:val="743B1556"/>
    <w:rsid w:val="743B3F87"/>
    <w:rsid w:val="743C0E2B"/>
    <w:rsid w:val="74404DBF"/>
    <w:rsid w:val="74420FDF"/>
    <w:rsid w:val="744A3547"/>
    <w:rsid w:val="7453031D"/>
    <w:rsid w:val="74561EEC"/>
    <w:rsid w:val="746C5BB4"/>
    <w:rsid w:val="747A00A6"/>
    <w:rsid w:val="74A94712"/>
    <w:rsid w:val="74B17885"/>
    <w:rsid w:val="74BB1C18"/>
    <w:rsid w:val="74E136FC"/>
    <w:rsid w:val="74F65FDA"/>
    <w:rsid w:val="7500577B"/>
    <w:rsid w:val="751A116C"/>
    <w:rsid w:val="7533222E"/>
    <w:rsid w:val="75383CE8"/>
    <w:rsid w:val="753FC764"/>
    <w:rsid w:val="75500FC5"/>
    <w:rsid w:val="755A1EB0"/>
    <w:rsid w:val="7562285A"/>
    <w:rsid w:val="757A1C0A"/>
    <w:rsid w:val="758D4034"/>
    <w:rsid w:val="759451BD"/>
    <w:rsid w:val="759A405B"/>
    <w:rsid w:val="75AD38A2"/>
    <w:rsid w:val="75BEED0A"/>
    <w:rsid w:val="75BF6CB4"/>
    <w:rsid w:val="75D94B83"/>
    <w:rsid w:val="75E023B5"/>
    <w:rsid w:val="75E75B41"/>
    <w:rsid w:val="75F06371"/>
    <w:rsid w:val="75F56F60"/>
    <w:rsid w:val="75FB71EF"/>
    <w:rsid w:val="76067942"/>
    <w:rsid w:val="76317661"/>
    <w:rsid w:val="7634625D"/>
    <w:rsid w:val="76404C02"/>
    <w:rsid w:val="764D5571"/>
    <w:rsid w:val="764F63A3"/>
    <w:rsid w:val="765C6A8D"/>
    <w:rsid w:val="76636B42"/>
    <w:rsid w:val="767D564A"/>
    <w:rsid w:val="76866AB1"/>
    <w:rsid w:val="76911902"/>
    <w:rsid w:val="7691736B"/>
    <w:rsid w:val="76992D10"/>
    <w:rsid w:val="76A56115"/>
    <w:rsid w:val="76DD68F5"/>
    <w:rsid w:val="76ED00B3"/>
    <w:rsid w:val="76EF1037"/>
    <w:rsid w:val="76F265F0"/>
    <w:rsid w:val="76F9DE60"/>
    <w:rsid w:val="76FA1255"/>
    <w:rsid w:val="76FF4B26"/>
    <w:rsid w:val="77043E82"/>
    <w:rsid w:val="77072E6C"/>
    <w:rsid w:val="770F2826"/>
    <w:rsid w:val="77324E93"/>
    <w:rsid w:val="77387FCF"/>
    <w:rsid w:val="773A0865"/>
    <w:rsid w:val="773D84E4"/>
    <w:rsid w:val="77530949"/>
    <w:rsid w:val="77575D2B"/>
    <w:rsid w:val="77610F13"/>
    <w:rsid w:val="776115E9"/>
    <w:rsid w:val="776B5CAF"/>
    <w:rsid w:val="77982CD4"/>
    <w:rsid w:val="77BD2282"/>
    <w:rsid w:val="77C81353"/>
    <w:rsid w:val="77CF26E1"/>
    <w:rsid w:val="77E65C7D"/>
    <w:rsid w:val="77E65CFA"/>
    <w:rsid w:val="780D6D66"/>
    <w:rsid w:val="781C344D"/>
    <w:rsid w:val="781D0955"/>
    <w:rsid w:val="782E5589"/>
    <w:rsid w:val="783C589D"/>
    <w:rsid w:val="7844229D"/>
    <w:rsid w:val="784A599C"/>
    <w:rsid w:val="7871654C"/>
    <w:rsid w:val="78827754"/>
    <w:rsid w:val="788334CC"/>
    <w:rsid w:val="789254BD"/>
    <w:rsid w:val="78943D73"/>
    <w:rsid w:val="78AA0A59"/>
    <w:rsid w:val="78AF8127"/>
    <w:rsid w:val="78D15FE5"/>
    <w:rsid w:val="79073671"/>
    <w:rsid w:val="790E548B"/>
    <w:rsid w:val="79110AD8"/>
    <w:rsid w:val="79231B0D"/>
    <w:rsid w:val="792D2178"/>
    <w:rsid w:val="796230E1"/>
    <w:rsid w:val="79635895"/>
    <w:rsid w:val="79655D92"/>
    <w:rsid w:val="796D4C26"/>
    <w:rsid w:val="797D662C"/>
    <w:rsid w:val="798B4E50"/>
    <w:rsid w:val="79AE4579"/>
    <w:rsid w:val="79B34AB5"/>
    <w:rsid w:val="79C23068"/>
    <w:rsid w:val="79C40804"/>
    <w:rsid w:val="79C8563A"/>
    <w:rsid w:val="79D57D57"/>
    <w:rsid w:val="79D6843A"/>
    <w:rsid w:val="79FAD981"/>
    <w:rsid w:val="7A04638F"/>
    <w:rsid w:val="7A4D3D91"/>
    <w:rsid w:val="7A4F7B0A"/>
    <w:rsid w:val="7A5353B6"/>
    <w:rsid w:val="7A6448CE"/>
    <w:rsid w:val="7A7E219D"/>
    <w:rsid w:val="7A85352B"/>
    <w:rsid w:val="7AAD4A7F"/>
    <w:rsid w:val="7AC8166A"/>
    <w:rsid w:val="7AEB1F89"/>
    <w:rsid w:val="7AF91823"/>
    <w:rsid w:val="7AF97A75"/>
    <w:rsid w:val="7AFE5C58"/>
    <w:rsid w:val="7B1E128A"/>
    <w:rsid w:val="7B1F572E"/>
    <w:rsid w:val="7B2C1BF9"/>
    <w:rsid w:val="7B304553"/>
    <w:rsid w:val="7B31720F"/>
    <w:rsid w:val="7B4B7FFB"/>
    <w:rsid w:val="7B51340D"/>
    <w:rsid w:val="7B542EFE"/>
    <w:rsid w:val="7B584B03"/>
    <w:rsid w:val="7B5B24DE"/>
    <w:rsid w:val="7B6A2721"/>
    <w:rsid w:val="7B740B29"/>
    <w:rsid w:val="7B8B2DD5"/>
    <w:rsid w:val="7BA305F1"/>
    <w:rsid w:val="7BA41A8B"/>
    <w:rsid w:val="7BB2A11B"/>
    <w:rsid w:val="7BCB1412"/>
    <w:rsid w:val="7BE1712F"/>
    <w:rsid w:val="7BE44282"/>
    <w:rsid w:val="7BF79009"/>
    <w:rsid w:val="7BFD4A7B"/>
    <w:rsid w:val="7BFF8EBF"/>
    <w:rsid w:val="7C077F70"/>
    <w:rsid w:val="7C0B2ED7"/>
    <w:rsid w:val="7C250134"/>
    <w:rsid w:val="7C553B09"/>
    <w:rsid w:val="7C715C38"/>
    <w:rsid w:val="7C75137E"/>
    <w:rsid w:val="7C7C44BA"/>
    <w:rsid w:val="7C8438B9"/>
    <w:rsid w:val="7C8A3FBC"/>
    <w:rsid w:val="7C8D4919"/>
    <w:rsid w:val="7CB71996"/>
    <w:rsid w:val="7CCFBBFF"/>
    <w:rsid w:val="7CD42548"/>
    <w:rsid w:val="7D034BDB"/>
    <w:rsid w:val="7D142945"/>
    <w:rsid w:val="7D1B3CD3"/>
    <w:rsid w:val="7D3870F7"/>
    <w:rsid w:val="7D3B25C7"/>
    <w:rsid w:val="7D4A280A"/>
    <w:rsid w:val="7D5176F5"/>
    <w:rsid w:val="7D62250F"/>
    <w:rsid w:val="7D625DA6"/>
    <w:rsid w:val="7D6C2034"/>
    <w:rsid w:val="7D7F73D1"/>
    <w:rsid w:val="7D8442E1"/>
    <w:rsid w:val="7D893333"/>
    <w:rsid w:val="7D8A0E59"/>
    <w:rsid w:val="7D951CD7"/>
    <w:rsid w:val="7DAE5A58"/>
    <w:rsid w:val="7DDB06D8"/>
    <w:rsid w:val="7DED3943"/>
    <w:rsid w:val="7DED6602"/>
    <w:rsid w:val="7DFFBC96"/>
    <w:rsid w:val="7E6D4A02"/>
    <w:rsid w:val="7E7D4F24"/>
    <w:rsid w:val="7E8B290D"/>
    <w:rsid w:val="7E8B6C36"/>
    <w:rsid w:val="7E8C3035"/>
    <w:rsid w:val="7E8F4979"/>
    <w:rsid w:val="7E953F59"/>
    <w:rsid w:val="7ED625A7"/>
    <w:rsid w:val="7EDE8158"/>
    <w:rsid w:val="7EEEEA13"/>
    <w:rsid w:val="7EF26CB5"/>
    <w:rsid w:val="7EF46ED2"/>
    <w:rsid w:val="7EF7BD76"/>
    <w:rsid w:val="7F0569E9"/>
    <w:rsid w:val="7F15E591"/>
    <w:rsid w:val="7F2FE73A"/>
    <w:rsid w:val="7F3F6275"/>
    <w:rsid w:val="7F3FC7A6"/>
    <w:rsid w:val="7F431965"/>
    <w:rsid w:val="7F572FBC"/>
    <w:rsid w:val="7F765940"/>
    <w:rsid w:val="7F8F2756"/>
    <w:rsid w:val="7F916D83"/>
    <w:rsid w:val="7F9935D5"/>
    <w:rsid w:val="7FBB79EF"/>
    <w:rsid w:val="7FC4519B"/>
    <w:rsid w:val="7FC82093"/>
    <w:rsid w:val="7FD9144C"/>
    <w:rsid w:val="7FDF9202"/>
    <w:rsid w:val="7FE65FC0"/>
    <w:rsid w:val="7FE78BEB"/>
    <w:rsid w:val="7FEF4436"/>
    <w:rsid w:val="7FF60D50"/>
    <w:rsid w:val="7FF69D5F"/>
    <w:rsid w:val="7FFC393F"/>
    <w:rsid w:val="7FFC8C5E"/>
    <w:rsid w:val="7FFD3D62"/>
    <w:rsid w:val="7FFD4A8E"/>
    <w:rsid w:val="7FFF8AB3"/>
    <w:rsid w:val="86FF70C7"/>
    <w:rsid w:val="87793A54"/>
    <w:rsid w:val="9BFD9049"/>
    <w:rsid w:val="9CFCB9B5"/>
    <w:rsid w:val="9DEBF739"/>
    <w:rsid w:val="9EBE3DFC"/>
    <w:rsid w:val="9FF9143D"/>
    <w:rsid w:val="A53FA666"/>
    <w:rsid w:val="A7FF6BC3"/>
    <w:rsid w:val="AF574EB6"/>
    <w:rsid w:val="B1FEE3D1"/>
    <w:rsid w:val="B2657248"/>
    <w:rsid w:val="B3F42EAB"/>
    <w:rsid w:val="B6F37DE3"/>
    <w:rsid w:val="B7763D73"/>
    <w:rsid w:val="B7B201D2"/>
    <w:rsid w:val="B7ED9442"/>
    <w:rsid w:val="B7F3E359"/>
    <w:rsid w:val="B9EE7CE2"/>
    <w:rsid w:val="BBDE8D3C"/>
    <w:rsid w:val="BCBFC77E"/>
    <w:rsid w:val="BEF3D33D"/>
    <w:rsid w:val="BFA36FCB"/>
    <w:rsid w:val="BFE939BD"/>
    <w:rsid w:val="BFFB99BB"/>
    <w:rsid w:val="BFFF968E"/>
    <w:rsid w:val="C6FA0E32"/>
    <w:rsid w:val="CDDD3E6F"/>
    <w:rsid w:val="CFBD4955"/>
    <w:rsid w:val="D2347910"/>
    <w:rsid w:val="D56B6558"/>
    <w:rsid w:val="DC7FD4DF"/>
    <w:rsid w:val="DDD508DB"/>
    <w:rsid w:val="DEDD38E4"/>
    <w:rsid w:val="DEE9ED91"/>
    <w:rsid w:val="DEFB853F"/>
    <w:rsid w:val="DF9FB883"/>
    <w:rsid w:val="DFA158F6"/>
    <w:rsid w:val="DFBBF82D"/>
    <w:rsid w:val="DFBF603E"/>
    <w:rsid w:val="DFBF6E1F"/>
    <w:rsid w:val="DFCF15FC"/>
    <w:rsid w:val="DFEF78AB"/>
    <w:rsid w:val="DFF38177"/>
    <w:rsid w:val="E1FFAE58"/>
    <w:rsid w:val="E6F9E5E0"/>
    <w:rsid w:val="EA9F164E"/>
    <w:rsid w:val="EBBDC3FB"/>
    <w:rsid w:val="EBCE2EF6"/>
    <w:rsid w:val="EBF7CD2E"/>
    <w:rsid w:val="EDBA8B80"/>
    <w:rsid w:val="EDFF943B"/>
    <w:rsid w:val="EE775745"/>
    <w:rsid w:val="EF573C9C"/>
    <w:rsid w:val="EF9BA747"/>
    <w:rsid w:val="EFCFD31E"/>
    <w:rsid w:val="EFEF4FBF"/>
    <w:rsid w:val="EFF9989D"/>
    <w:rsid w:val="EFFF4835"/>
    <w:rsid w:val="EFFFEEAE"/>
    <w:rsid w:val="F13E96B6"/>
    <w:rsid w:val="F2B5CA28"/>
    <w:rsid w:val="F385A9DE"/>
    <w:rsid w:val="F6496424"/>
    <w:rsid w:val="F6FEF632"/>
    <w:rsid w:val="F7423A8A"/>
    <w:rsid w:val="F773521A"/>
    <w:rsid w:val="F77F1B22"/>
    <w:rsid w:val="F7ED9346"/>
    <w:rsid w:val="F7FE93D6"/>
    <w:rsid w:val="FAAF0ABC"/>
    <w:rsid w:val="FABF627D"/>
    <w:rsid w:val="FB8E0CDB"/>
    <w:rsid w:val="FB9EBACA"/>
    <w:rsid w:val="FBA6219D"/>
    <w:rsid w:val="FCBFCBF9"/>
    <w:rsid w:val="FDB915CF"/>
    <w:rsid w:val="FDEFE880"/>
    <w:rsid w:val="FE77ECAF"/>
    <w:rsid w:val="FE7D003F"/>
    <w:rsid w:val="FECE44FB"/>
    <w:rsid w:val="FED3A087"/>
    <w:rsid w:val="FEF3D345"/>
    <w:rsid w:val="FF5922DB"/>
    <w:rsid w:val="FF7F9BC2"/>
    <w:rsid w:val="FFBD1C85"/>
    <w:rsid w:val="FFBE212E"/>
    <w:rsid w:val="FFD56578"/>
    <w:rsid w:val="FFE67729"/>
    <w:rsid w:val="FFF78D4A"/>
    <w:rsid w:val="FFFBD1D6"/>
    <w:rsid w:val="FFFBD236"/>
    <w:rsid w:val="FFFF5D7D"/>
    <w:rsid w:val="FFFF9D45"/>
    <w:rsid w:val="FFFFCB7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1"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qFormat="1" w:unhideWhenUsed="0" w:uiPriority="99" w:semiHidden="0" w:name="footnote reference"/>
    <w:lsdException w:qFormat="1" w:uiPriority="99"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55"/>
    <w:qFormat/>
    <w:uiPriority w:val="1"/>
    <w:pPr>
      <w:widowControl/>
      <w:numPr>
        <w:ilvl w:val="0"/>
        <w:numId w:val="1"/>
      </w:numPr>
      <w:jc w:val="left"/>
      <w:outlineLvl w:val="0"/>
    </w:pPr>
    <w:rPr>
      <w:b/>
      <w:bCs/>
      <w:kern w:val="0"/>
      <w:sz w:val="30"/>
      <w:szCs w:val="24"/>
      <w:lang w:bidi="en-US"/>
    </w:rPr>
  </w:style>
  <w:style w:type="paragraph" w:styleId="3">
    <w:name w:val="heading 2"/>
    <w:basedOn w:val="1"/>
    <w:next w:val="1"/>
    <w:link w:val="56"/>
    <w:qFormat/>
    <w:uiPriority w:val="9"/>
    <w:pPr>
      <w:widowControl/>
      <w:numPr>
        <w:ilvl w:val="1"/>
        <w:numId w:val="2"/>
      </w:numPr>
      <w:pBdr>
        <w:bottom w:val="single" w:color="4F81BD" w:sz="8" w:space="1"/>
      </w:pBdr>
      <w:spacing w:before="200" w:after="80"/>
      <w:jc w:val="left"/>
      <w:outlineLvl w:val="1"/>
    </w:pPr>
    <w:rPr>
      <w:color w:val="365F91"/>
      <w:kern w:val="0"/>
      <w:sz w:val="24"/>
      <w:szCs w:val="24"/>
      <w:lang w:eastAsia="en-US" w:bidi="en-US"/>
    </w:rPr>
  </w:style>
  <w:style w:type="paragraph" w:styleId="4">
    <w:name w:val="heading 3"/>
    <w:basedOn w:val="1"/>
    <w:next w:val="1"/>
    <w:link w:val="57"/>
    <w:qFormat/>
    <w:uiPriority w:val="9"/>
    <w:pPr>
      <w:widowControl/>
      <w:pBdr>
        <w:bottom w:val="single" w:color="95B3D7" w:sz="4" w:space="1"/>
      </w:pBdr>
      <w:spacing w:before="200" w:after="80"/>
      <w:jc w:val="left"/>
      <w:outlineLvl w:val="2"/>
    </w:pPr>
    <w:rPr>
      <w:color w:val="4F81BD"/>
      <w:kern w:val="0"/>
      <w:sz w:val="24"/>
      <w:szCs w:val="24"/>
      <w:lang w:eastAsia="en-US" w:bidi="en-US"/>
    </w:rPr>
  </w:style>
  <w:style w:type="paragraph" w:styleId="5">
    <w:name w:val="heading 4"/>
    <w:basedOn w:val="1"/>
    <w:next w:val="1"/>
    <w:link w:val="58"/>
    <w:qFormat/>
    <w:uiPriority w:val="9"/>
    <w:pPr>
      <w:widowControl/>
      <w:numPr>
        <w:ilvl w:val="3"/>
        <w:numId w:val="2"/>
      </w:numPr>
      <w:pBdr>
        <w:bottom w:val="single" w:color="B8CCE4" w:sz="4" w:space="2"/>
      </w:pBdr>
      <w:spacing w:before="200" w:after="80"/>
      <w:jc w:val="left"/>
      <w:outlineLvl w:val="3"/>
    </w:pPr>
    <w:rPr>
      <w:i/>
      <w:iCs/>
      <w:color w:val="4F81BD"/>
      <w:kern w:val="0"/>
      <w:sz w:val="24"/>
      <w:szCs w:val="24"/>
      <w:lang w:eastAsia="en-US" w:bidi="en-US"/>
    </w:rPr>
  </w:style>
  <w:style w:type="paragraph" w:styleId="6">
    <w:name w:val="heading 5"/>
    <w:basedOn w:val="1"/>
    <w:next w:val="1"/>
    <w:link w:val="59"/>
    <w:qFormat/>
    <w:uiPriority w:val="1"/>
    <w:pPr>
      <w:widowControl/>
      <w:numPr>
        <w:ilvl w:val="4"/>
        <w:numId w:val="2"/>
      </w:numPr>
      <w:spacing w:before="200" w:after="80"/>
      <w:jc w:val="left"/>
      <w:outlineLvl w:val="4"/>
    </w:pPr>
    <w:rPr>
      <w:color w:val="4F81BD"/>
      <w:kern w:val="0"/>
      <w:sz w:val="22"/>
      <w:lang w:eastAsia="en-US" w:bidi="en-US"/>
    </w:rPr>
  </w:style>
  <w:style w:type="paragraph" w:styleId="7">
    <w:name w:val="heading 6"/>
    <w:basedOn w:val="1"/>
    <w:next w:val="1"/>
    <w:link w:val="60"/>
    <w:qFormat/>
    <w:uiPriority w:val="9"/>
    <w:pPr>
      <w:widowControl/>
      <w:numPr>
        <w:ilvl w:val="5"/>
        <w:numId w:val="2"/>
      </w:numPr>
      <w:spacing w:before="280" w:after="100"/>
      <w:jc w:val="left"/>
      <w:outlineLvl w:val="5"/>
    </w:pPr>
    <w:rPr>
      <w:i/>
      <w:iCs/>
      <w:color w:val="4F81BD"/>
      <w:kern w:val="0"/>
      <w:sz w:val="22"/>
      <w:lang w:eastAsia="en-US" w:bidi="en-US"/>
    </w:rPr>
  </w:style>
  <w:style w:type="paragraph" w:styleId="8">
    <w:name w:val="heading 7"/>
    <w:basedOn w:val="1"/>
    <w:next w:val="1"/>
    <w:link w:val="61"/>
    <w:qFormat/>
    <w:uiPriority w:val="9"/>
    <w:pPr>
      <w:widowControl/>
      <w:numPr>
        <w:ilvl w:val="6"/>
        <w:numId w:val="2"/>
      </w:numPr>
      <w:spacing w:before="320" w:after="100"/>
      <w:jc w:val="left"/>
      <w:outlineLvl w:val="6"/>
    </w:pPr>
    <w:rPr>
      <w:b/>
      <w:bCs/>
      <w:color w:val="9BBB59"/>
      <w:kern w:val="0"/>
      <w:sz w:val="20"/>
      <w:szCs w:val="20"/>
      <w:lang w:eastAsia="en-US" w:bidi="en-US"/>
    </w:rPr>
  </w:style>
  <w:style w:type="paragraph" w:styleId="9">
    <w:name w:val="heading 8"/>
    <w:basedOn w:val="1"/>
    <w:next w:val="1"/>
    <w:link w:val="62"/>
    <w:qFormat/>
    <w:uiPriority w:val="9"/>
    <w:pPr>
      <w:widowControl/>
      <w:numPr>
        <w:ilvl w:val="7"/>
        <w:numId w:val="2"/>
      </w:numPr>
      <w:spacing w:before="320" w:after="100"/>
      <w:jc w:val="left"/>
      <w:outlineLvl w:val="7"/>
    </w:pPr>
    <w:rPr>
      <w:b/>
      <w:bCs/>
      <w:i/>
      <w:iCs/>
      <w:color w:val="9BBB59"/>
      <w:kern w:val="0"/>
      <w:sz w:val="20"/>
      <w:szCs w:val="20"/>
      <w:lang w:eastAsia="en-US" w:bidi="en-US"/>
    </w:rPr>
  </w:style>
  <w:style w:type="paragraph" w:styleId="10">
    <w:name w:val="heading 9"/>
    <w:basedOn w:val="1"/>
    <w:next w:val="1"/>
    <w:link w:val="63"/>
    <w:qFormat/>
    <w:uiPriority w:val="9"/>
    <w:pPr>
      <w:widowControl/>
      <w:numPr>
        <w:ilvl w:val="8"/>
        <w:numId w:val="2"/>
      </w:numPr>
      <w:spacing w:before="320" w:after="100"/>
      <w:jc w:val="left"/>
      <w:outlineLvl w:val="8"/>
    </w:pPr>
    <w:rPr>
      <w:i/>
      <w:iCs/>
      <w:color w:val="9BBB59"/>
      <w:kern w:val="0"/>
      <w:sz w:val="20"/>
      <w:szCs w:val="20"/>
      <w:lang w:eastAsia="en-US" w:bidi="en-US"/>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1260"/>
      <w:jc w:val="left"/>
    </w:pPr>
    <w:rPr>
      <w:rFonts w:ascii="Calibri" w:hAnsi="Calibri"/>
      <w:sz w:val="18"/>
      <w:szCs w:val="18"/>
    </w:rPr>
  </w:style>
  <w:style w:type="paragraph" w:styleId="12">
    <w:name w:val="Normal Indent"/>
    <w:basedOn w:val="1"/>
    <w:qFormat/>
    <w:uiPriority w:val="0"/>
    <w:pPr>
      <w:spacing w:line="300" w:lineRule="auto"/>
      <w:ind w:firstLine="420" w:firstLineChars="200"/>
    </w:pPr>
    <w:rPr>
      <w:sz w:val="24"/>
      <w:szCs w:val="24"/>
    </w:rPr>
  </w:style>
  <w:style w:type="paragraph" w:styleId="13">
    <w:name w:val="caption"/>
    <w:basedOn w:val="1"/>
    <w:next w:val="1"/>
    <w:qFormat/>
    <w:uiPriority w:val="99"/>
    <w:pPr>
      <w:spacing w:line="360" w:lineRule="auto"/>
      <w:ind w:firstLine="200" w:firstLineChars="200"/>
    </w:pPr>
    <w:rPr>
      <w:rFonts w:ascii="Cambria" w:hAnsi="Cambria"/>
      <w:sz w:val="20"/>
      <w:szCs w:val="20"/>
    </w:rPr>
  </w:style>
  <w:style w:type="paragraph" w:styleId="14">
    <w:name w:val="Document Map"/>
    <w:basedOn w:val="1"/>
    <w:link w:val="64"/>
    <w:unhideWhenUsed/>
    <w:qFormat/>
    <w:uiPriority w:val="99"/>
    <w:rPr>
      <w:rFonts w:ascii="宋体"/>
      <w:kern w:val="0"/>
      <w:sz w:val="18"/>
      <w:szCs w:val="18"/>
    </w:rPr>
  </w:style>
  <w:style w:type="paragraph" w:styleId="15">
    <w:name w:val="annotation text"/>
    <w:basedOn w:val="1"/>
    <w:link w:val="54"/>
    <w:unhideWhenUsed/>
    <w:qFormat/>
    <w:uiPriority w:val="99"/>
    <w:pPr>
      <w:widowControl/>
      <w:spacing w:line="560" w:lineRule="exact"/>
      <w:ind w:firstLine="360"/>
      <w:jc w:val="left"/>
    </w:pPr>
    <w:rPr>
      <w:kern w:val="0"/>
      <w:sz w:val="28"/>
      <w:szCs w:val="20"/>
      <w:lang w:eastAsia="en-US" w:bidi="en-US"/>
    </w:rPr>
  </w:style>
  <w:style w:type="paragraph" w:styleId="16">
    <w:name w:val="Body Text 3"/>
    <w:basedOn w:val="1"/>
    <w:link w:val="127"/>
    <w:qFormat/>
    <w:uiPriority w:val="0"/>
    <w:pPr>
      <w:spacing w:line="840" w:lineRule="exact"/>
      <w:jc w:val="center"/>
    </w:pPr>
    <w:rPr>
      <w:rFonts w:ascii="方正大标宋简体" w:hAnsi="宋体" w:eastAsia="方正大标宋简体"/>
      <w:bCs/>
      <w:sz w:val="42"/>
      <w:szCs w:val="42"/>
    </w:rPr>
  </w:style>
  <w:style w:type="paragraph" w:styleId="17">
    <w:name w:val="Body Text"/>
    <w:basedOn w:val="1"/>
    <w:link w:val="65"/>
    <w:qFormat/>
    <w:uiPriority w:val="0"/>
    <w:pPr>
      <w:spacing w:after="120"/>
    </w:pPr>
    <w:rPr>
      <w:kern w:val="0"/>
      <w:sz w:val="20"/>
      <w:szCs w:val="20"/>
    </w:rPr>
  </w:style>
  <w:style w:type="paragraph" w:styleId="18">
    <w:name w:val="Body Text Indent"/>
    <w:basedOn w:val="1"/>
    <w:link w:val="66"/>
    <w:qFormat/>
    <w:uiPriority w:val="0"/>
    <w:pPr>
      <w:tabs>
        <w:tab w:val="left" w:pos="7020"/>
      </w:tabs>
      <w:spacing w:line="600" w:lineRule="exact"/>
      <w:ind w:firstLine="600" w:firstLineChars="200"/>
    </w:pPr>
    <w:rPr>
      <w:rFonts w:ascii="仿宋_GB2312" w:eastAsia="仿宋_GB2312"/>
      <w:kern w:val="0"/>
      <w:sz w:val="30"/>
      <w:szCs w:val="24"/>
    </w:rPr>
  </w:style>
  <w:style w:type="paragraph" w:styleId="19">
    <w:name w:val="Block Text"/>
    <w:basedOn w:val="1"/>
    <w:qFormat/>
    <w:uiPriority w:val="0"/>
    <w:pPr>
      <w:spacing w:line="360" w:lineRule="auto"/>
      <w:ind w:left="840" w:right="840"/>
      <w:jc w:val="center"/>
    </w:pPr>
    <w:rPr>
      <w:sz w:val="36"/>
      <w:szCs w:val="20"/>
    </w:rPr>
  </w:style>
  <w:style w:type="paragraph" w:styleId="20">
    <w:name w:val="toc 5"/>
    <w:basedOn w:val="1"/>
    <w:next w:val="1"/>
    <w:unhideWhenUsed/>
    <w:qFormat/>
    <w:uiPriority w:val="39"/>
    <w:pPr>
      <w:ind w:left="840"/>
      <w:jc w:val="left"/>
    </w:pPr>
    <w:rPr>
      <w:rFonts w:ascii="Calibri" w:hAnsi="Calibri"/>
      <w:sz w:val="18"/>
      <w:szCs w:val="18"/>
    </w:rPr>
  </w:style>
  <w:style w:type="paragraph" w:styleId="21">
    <w:name w:val="toc 3"/>
    <w:basedOn w:val="1"/>
    <w:next w:val="1"/>
    <w:unhideWhenUsed/>
    <w:qFormat/>
    <w:uiPriority w:val="39"/>
    <w:pPr>
      <w:ind w:left="420"/>
      <w:jc w:val="left"/>
    </w:pPr>
    <w:rPr>
      <w:rFonts w:ascii="Calibri" w:hAnsi="Calibri"/>
      <w:i/>
      <w:iCs/>
      <w:sz w:val="20"/>
      <w:szCs w:val="20"/>
    </w:rPr>
  </w:style>
  <w:style w:type="paragraph" w:styleId="22">
    <w:name w:val="Plain Text"/>
    <w:basedOn w:val="1"/>
    <w:link w:val="122"/>
    <w:qFormat/>
    <w:uiPriority w:val="0"/>
    <w:rPr>
      <w:rFonts w:ascii="宋体" w:hAnsi="Courier New"/>
      <w:szCs w:val="20"/>
    </w:rPr>
  </w:style>
  <w:style w:type="paragraph" w:styleId="23">
    <w:name w:val="toc 8"/>
    <w:basedOn w:val="1"/>
    <w:next w:val="1"/>
    <w:unhideWhenUsed/>
    <w:qFormat/>
    <w:uiPriority w:val="39"/>
    <w:pPr>
      <w:ind w:left="1470"/>
      <w:jc w:val="left"/>
    </w:pPr>
    <w:rPr>
      <w:rFonts w:ascii="Calibri" w:hAnsi="Calibri"/>
      <w:sz w:val="18"/>
      <w:szCs w:val="18"/>
    </w:rPr>
  </w:style>
  <w:style w:type="paragraph" w:styleId="24">
    <w:name w:val="Date"/>
    <w:basedOn w:val="1"/>
    <w:next w:val="1"/>
    <w:link w:val="67"/>
    <w:unhideWhenUsed/>
    <w:qFormat/>
    <w:uiPriority w:val="99"/>
    <w:pPr>
      <w:ind w:left="100" w:leftChars="2500"/>
    </w:pPr>
  </w:style>
  <w:style w:type="paragraph" w:styleId="25">
    <w:name w:val="Body Text Indent 2"/>
    <w:basedOn w:val="1"/>
    <w:link w:val="124"/>
    <w:qFormat/>
    <w:uiPriority w:val="0"/>
    <w:pPr>
      <w:spacing w:line="600" w:lineRule="exact"/>
      <w:ind w:firstLine="600" w:firstLineChars="200"/>
    </w:pPr>
    <w:rPr>
      <w:rFonts w:ascii="仿宋_GB2312" w:hAnsi="宋体" w:eastAsia="仿宋_GB2312"/>
      <w:sz w:val="30"/>
      <w:szCs w:val="30"/>
    </w:rPr>
  </w:style>
  <w:style w:type="paragraph" w:styleId="26">
    <w:name w:val="endnote text"/>
    <w:basedOn w:val="1"/>
    <w:link w:val="143"/>
    <w:unhideWhenUsed/>
    <w:qFormat/>
    <w:uiPriority w:val="99"/>
    <w:pPr>
      <w:snapToGrid w:val="0"/>
      <w:jc w:val="left"/>
    </w:pPr>
    <w:rPr>
      <w:rFonts w:ascii="Calibri" w:hAnsi="Calibri"/>
      <w:szCs w:val="22"/>
    </w:rPr>
  </w:style>
  <w:style w:type="paragraph" w:styleId="27">
    <w:name w:val="Balloon Text"/>
    <w:basedOn w:val="1"/>
    <w:link w:val="68"/>
    <w:unhideWhenUsed/>
    <w:qFormat/>
    <w:uiPriority w:val="99"/>
    <w:rPr>
      <w:kern w:val="0"/>
      <w:sz w:val="18"/>
      <w:szCs w:val="18"/>
    </w:rPr>
  </w:style>
  <w:style w:type="paragraph" w:styleId="28">
    <w:name w:val="footer"/>
    <w:basedOn w:val="1"/>
    <w:link w:val="69"/>
    <w:unhideWhenUsed/>
    <w:qFormat/>
    <w:uiPriority w:val="99"/>
    <w:pPr>
      <w:tabs>
        <w:tab w:val="center" w:pos="4153"/>
        <w:tab w:val="right" w:pos="8306"/>
      </w:tabs>
      <w:snapToGrid w:val="0"/>
      <w:jc w:val="left"/>
    </w:pPr>
    <w:rPr>
      <w:kern w:val="0"/>
      <w:sz w:val="18"/>
      <w:szCs w:val="18"/>
    </w:rPr>
  </w:style>
  <w:style w:type="paragraph" w:styleId="29">
    <w:name w:val="header"/>
    <w:basedOn w:val="1"/>
    <w:link w:val="70"/>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0">
    <w:name w:val="toc 1"/>
    <w:basedOn w:val="1"/>
    <w:next w:val="1"/>
    <w:unhideWhenUsed/>
    <w:qFormat/>
    <w:uiPriority w:val="39"/>
    <w:pPr>
      <w:spacing w:before="120" w:after="120"/>
      <w:jc w:val="left"/>
    </w:pPr>
    <w:rPr>
      <w:rFonts w:ascii="Calibri" w:hAnsi="Calibri"/>
      <w:b/>
      <w:bCs/>
      <w:caps/>
      <w:sz w:val="20"/>
      <w:szCs w:val="20"/>
    </w:rPr>
  </w:style>
  <w:style w:type="paragraph" w:styleId="31">
    <w:name w:val="toc 4"/>
    <w:basedOn w:val="1"/>
    <w:next w:val="1"/>
    <w:unhideWhenUsed/>
    <w:qFormat/>
    <w:uiPriority w:val="39"/>
    <w:pPr>
      <w:ind w:left="630"/>
      <w:jc w:val="left"/>
    </w:pPr>
    <w:rPr>
      <w:rFonts w:ascii="Calibri" w:hAnsi="Calibri"/>
      <w:sz w:val="18"/>
      <w:szCs w:val="18"/>
    </w:rPr>
  </w:style>
  <w:style w:type="paragraph" w:styleId="32">
    <w:name w:val="Subtitle"/>
    <w:basedOn w:val="1"/>
    <w:next w:val="1"/>
    <w:link w:val="71"/>
    <w:qFormat/>
    <w:uiPriority w:val="11"/>
    <w:pPr>
      <w:widowControl/>
      <w:spacing w:before="200" w:after="900"/>
      <w:jc w:val="right"/>
    </w:pPr>
    <w:rPr>
      <w:i/>
      <w:iCs/>
      <w:kern w:val="0"/>
      <w:sz w:val="24"/>
      <w:szCs w:val="24"/>
      <w:lang w:eastAsia="en-US" w:bidi="en-US"/>
    </w:rPr>
  </w:style>
  <w:style w:type="paragraph" w:styleId="33">
    <w:name w:val="footnote text"/>
    <w:basedOn w:val="1"/>
    <w:link w:val="72"/>
    <w:qFormat/>
    <w:uiPriority w:val="99"/>
    <w:pPr>
      <w:snapToGrid w:val="0"/>
      <w:spacing w:line="360" w:lineRule="auto"/>
      <w:ind w:firstLine="200" w:firstLineChars="200"/>
      <w:jc w:val="left"/>
    </w:pPr>
    <w:rPr>
      <w:kern w:val="0"/>
      <w:sz w:val="18"/>
      <w:szCs w:val="18"/>
    </w:rPr>
  </w:style>
  <w:style w:type="paragraph" w:styleId="34">
    <w:name w:val="toc 6"/>
    <w:basedOn w:val="1"/>
    <w:next w:val="1"/>
    <w:unhideWhenUsed/>
    <w:qFormat/>
    <w:uiPriority w:val="39"/>
    <w:pPr>
      <w:ind w:left="1050"/>
      <w:jc w:val="left"/>
    </w:pPr>
    <w:rPr>
      <w:rFonts w:ascii="Calibri" w:hAnsi="Calibri"/>
      <w:sz w:val="18"/>
      <w:szCs w:val="18"/>
    </w:rPr>
  </w:style>
  <w:style w:type="paragraph" w:styleId="35">
    <w:name w:val="Body Text Indent 3"/>
    <w:basedOn w:val="1"/>
    <w:link w:val="126"/>
    <w:qFormat/>
    <w:uiPriority w:val="0"/>
    <w:pPr>
      <w:autoSpaceDE w:val="0"/>
      <w:autoSpaceDN w:val="0"/>
      <w:adjustRightInd w:val="0"/>
      <w:spacing w:line="760" w:lineRule="exact"/>
      <w:ind w:firstLine="560"/>
      <w:jc w:val="left"/>
    </w:pPr>
    <w:rPr>
      <w:rFonts w:ascii="仿宋_GB2312" w:eastAsia="仿宋_GB2312"/>
      <w:kern w:val="0"/>
      <w:sz w:val="30"/>
      <w:szCs w:val="28"/>
      <w:lang w:val="zh-CN"/>
    </w:rPr>
  </w:style>
  <w:style w:type="paragraph" w:styleId="36">
    <w:name w:val="toc 2"/>
    <w:basedOn w:val="1"/>
    <w:next w:val="1"/>
    <w:unhideWhenUsed/>
    <w:qFormat/>
    <w:uiPriority w:val="39"/>
    <w:pPr>
      <w:ind w:left="210"/>
      <w:jc w:val="left"/>
    </w:pPr>
    <w:rPr>
      <w:rFonts w:ascii="Calibri" w:hAnsi="Calibri"/>
      <w:smallCaps/>
      <w:sz w:val="20"/>
      <w:szCs w:val="20"/>
    </w:rPr>
  </w:style>
  <w:style w:type="paragraph" w:styleId="37">
    <w:name w:val="toc 9"/>
    <w:basedOn w:val="1"/>
    <w:next w:val="1"/>
    <w:unhideWhenUsed/>
    <w:qFormat/>
    <w:uiPriority w:val="39"/>
    <w:pPr>
      <w:ind w:left="1680"/>
      <w:jc w:val="left"/>
    </w:pPr>
    <w:rPr>
      <w:rFonts w:ascii="Calibri" w:hAnsi="Calibri"/>
      <w:sz w:val="18"/>
      <w:szCs w:val="18"/>
    </w:rPr>
  </w:style>
  <w:style w:type="paragraph" w:styleId="38">
    <w:name w:val="Body Text 2"/>
    <w:basedOn w:val="1"/>
    <w:link w:val="125"/>
    <w:qFormat/>
    <w:uiPriority w:val="0"/>
    <w:pPr>
      <w:spacing w:line="840" w:lineRule="exact"/>
      <w:jc w:val="center"/>
    </w:pPr>
    <w:rPr>
      <w:rFonts w:ascii="黑体" w:hAnsi="宋体" w:eastAsia="黑体"/>
      <w:b/>
      <w:sz w:val="44"/>
      <w:szCs w:val="42"/>
    </w:rPr>
  </w:style>
  <w:style w:type="paragraph" w:styleId="39">
    <w:name w:val="Normal (Web)"/>
    <w:basedOn w:val="1"/>
    <w:link w:val="73"/>
    <w:unhideWhenUsed/>
    <w:qFormat/>
    <w:uiPriority w:val="0"/>
    <w:pPr>
      <w:widowControl/>
      <w:spacing w:before="100" w:beforeAutospacing="1" w:after="100" w:afterAutospacing="1"/>
      <w:jc w:val="left"/>
    </w:pPr>
    <w:rPr>
      <w:rFonts w:ascii="宋体" w:hAnsi="宋体" w:cs="宋体"/>
      <w:kern w:val="0"/>
      <w:sz w:val="24"/>
      <w:szCs w:val="24"/>
      <w:lang w:eastAsia="en-US" w:bidi="en-US"/>
    </w:rPr>
  </w:style>
  <w:style w:type="paragraph" w:styleId="40">
    <w:name w:val="Title"/>
    <w:basedOn w:val="1"/>
    <w:next w:val="1"/>
    <w:link w:val="74"/>
    <w:qFormat/>
    <w:uiPriority w:val="0"/>
    <w:pPr>
      <w:widowControl/>
      <w:pBdr>
        <w:top w:val="single" w:color="A7BFDE" w:sz="8" w:space="10"/>
        <w:bottom w:val="single" w:color="9BBB59" w:sz="24" w:space="15"/>
      </w:pBdr>
      <w:jc w:val="center"/>
    </w:pPr>
    <w:rPr>
      <w:i/>
      <w:iCs/>
      <w:color w:val="243F60"/>
      <w:kern w:val="0"/>
      <w:sz w:val="60"/>
      <w:szCs w:val="60"/>
      <w:lang w:eastAsia="en-US" w:bidi="en-US"/>
    </w:rPr>
  </w:style>
  <w:style w:type="paragraph" w:styleId="41">
    <w:name w:val="annotation subject"/>
    <w:basedOn w:val="15"/>
    <w:next w:val="15"/>
    <w:link w:val="75"/>
    <w:unhideWhenUsed/>
    <w:qFormat/>
    <w:uiPriority w:val="99"/>
    <w:pPr>
      <w:spacing w:line="240" w:lineRule="auto"/>
    </w:pPr>
    <w:rPr>
      <w:b/>
      <w:bCs/>
      <w:sz w:val="30"/>
    </w:rPr>
  </w:style>
  <w:style w:type="paragraph" w:styleId="42">
    <w:name w:val="Body Text First Indent"/>
    <w:basedOn w:val="1"/>
    <w:link w:val="76"/>
    <w:qFormat/>
    <w:uiPriority w:val="0"/>
    <w:pPr>
      <w:tabs>
        <w:tab w:val="left" w:pos="900"/>
        <w:tab w:val="left" w:pos="1320"/>
      </w:tabs>
      <w:spacing w:afterLines="30"/>
      <w:jc w:val="left"/>
    </w:pPr>
    <w:rPr>
      <w:bCs/>
      <w:iCs/>
      <w:kern w:val="0"/>
      <w:sz w:val="24"/>
      <w:szCs w:val="24"/>
    </w:rPr>
  </w:style>
  <w:style w:type="table" w:styleId="44">
    <w:name w:val="Table Grid"/>
    <w:basedOn w:val="43"/>
    <w:qFormat/>
    <w:uiPriority w:val="59"/>
    <w:pPr>
      <w:ind w:firstLine="360"/>
    </w:pPr>
    <w:rPr>
      <w:sz w:val="22"/>
      <w:lang w:eastAsia="en-US" w:bidi="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22"/>
    <w:rPr>
      <w:b/>
      <w:bCs/>
      <w:spacing w:val="0"/>
    </w:rPr>
  </w:style>
  <w:style w:type="character" w:styleId="47">
    <w:name w:val="endnote reference"/>
    <w:basedOn w:val="45"/>
    <w:unhideWhenUsed/>
    <w:qFormat/>
    <w:uiPriority w:val="99"/>
    <w:rPr>
      <w:vertAlign w:val="superscript"/>
    </w:rPr>
  </w:style>
  <w:style w:type="character" w:styleId="48">
    <w:name w:val="page number"/>
    <w:basedOn w:val="45"/>
    <w:qFormat/>
    <w:uiPriority w:val="0"/>
  </w:style>
  <w:style w:type="character" w:styleId="49">
    <w:name w:val="FollowedHyperlink"/>
    <w:unhideWhenUsed/>
    <w:qFormat/>
    <w:uiPriority w:val="99"/>
    <w:rPr>
      <w:color w:val="800080"/>
      <w:u w:val="single"/>
    </w:rPr>
  </w:style>
  <w:style w:type="character" w:styleId="50">
    <w:name w:val="Emphasis"/>
    <w:qFormat/>
    <w:uiPriority w:val="20"/>
    <w:rPr>
      <w:b/>
      <w:bCs/>
      <w:i/>
      <w:iCs/>
      <w:color w:val="5A5A5A"/>
    </w:rPr>
  </w:style>
  <w:style w:type="character" w:styleId="51">
    <w:name w:val="Hyperlink"/>
    <w:unhideWhenUsed/>
    <w:qFormat/>
    <w:uiPriority w:val="99"/>
    <w:rPr>
      <w:color w:val="0000FF"/>
      <w:u w:val="single"/>
    </w:rPr>
  </w:style>
  <w:style w:type="character" w:styleId="52">
    <w:name w:val="annotation reference"/>
    <w:unhideWhenUsed/>
    <w:qFormat/>
    <w:uiPriority w:val="99"/>
    <w:rPr>
      <w:sz w:val="21"/>
      <w:szCs w:val="21"/>
    </w:rPr>
  </w:style>
  <w:style w:type="character" w:styleId="53">
    <w:name w:val="footnote reference"/>
    <w:qFormat/>
    <w:uiPriority w:val="99"/>
    <w:rPr>
      <w:rFonts w:cs="Times New Roman"/>
      <w:vertAlign w:val="superscript"/>
    </w:rPr>
  </w:style>
  <w:style w:type="character" w:customStyle="1" w:styleId="54">
    <w:name w:val="批注文字 字符"/>
    <w:link w:val="15"/>
    <w:qFormat/>
    <w:uiPriority w:val="99"/>
    <w:rPr>
      <w:kern w:val="0"/>
      <w:sz w:val="28"/>
      <w:lang w:eastAsia="en-US" w:bidi="en-US"/>
    </w:rPr>
  </w:style>
  <w:style w:type="character" w:customStyle="1" w:styleId="55">
    <w:name w:val="标题 1 字符"/>
    <w:link w:val="2"/>
    <w:qFormat/>
    <w:uiPriority w:val="1"/>
    <w:rPr>
      <w:b/>
      <w:bCs/>
      <w:sz w:val="30"/>
      <w:szCs w:val="24"/>
      <w:lang w:bidi="en-US"/>
    </w:rPr>
  </w:style>
  <w:style w:type="character" w:customStyle="1" w:styleId="56">
    <w:name w:val="标题 2 字符"/>
    <w:link w:val="3"/>
    <w:qFormat/>
    <w:uiPriority w:val="9"/>
    <w:rPr>
      <w:color w:val="365F91"/>
      <w:sz w:val="24"/>
      <w:szCs w:val="24"/>
      <w:lang w:eastAsia="en-US" w:bidi="en-US"/>
    </w:rPr>
  </w:style>
  <w:style w:type="character" w:customStyle="1" w:styleId="57">
    <w:name w:val="标题 3 字符"/>
    <w:link w:val="4"/>
    <w:qFormat/>
    <w:uiPriority w:val="9"/>
    <w:rPr>
      <w:color w:val="4F81BD"/>
      <w:sz w:val="24"/>
      <w:szCs w:val="24"/>
      <w:lang w:eastAsia="en-US" w:bidi="en-US"/>
    </w:rPr>
  </w:style>
  <w:style w:type="character" w:customStyle="1" w:styleId="58">
    <w:name w:val="标题 4 字符"/>
    <w:link w:val="5"/>
    <w:qFormat/>
    <w:uiPriority w:val="9"/>
    <w:rPr>
      <w:i/>
      <w:iCs/>
      <w:color w:val="4F81BD"/>
      <w:sz w:val="24"/>
      <w:szCs w:val="24"/>
      <w:lang w:eastAsia="en-US" w:bidi="en-US"/>
    </w:rPr>
  </w:style>
  <w:style w:type="character" w:customStyle="1" w:styleId="59">
    <w:name w:val="标题 5 字符"/>
    <w:link w:val="6"/>
    <w:qFormat/>
    <w:uiPriority w:val="1"/>
    <w:rPr>
      <w:color w:val="4F81BD"/>
      <w:sz w:val="22"/>
      <w:szCs w:val="21"/>
      <w:lang w:eastAsia="en-US" w:bidi="en-US"/>
    </w:rPr>
  </w:style>
  <w:style w:type="character" w:customStyle="1" w:styleId="60">
    <w:name w:val="标题 6 字符"/>
    <w:link w:val="7"/>
    <w:qFormat/>
    <w:uiPriority w:val="9"/>
    <w:rPr>
      <w:i/>
      <w:iCs/>
      <w:color w:val="4F81BD"/>
      <w:sz w:val="22"/>
      <w:szCs w:val="21"/>
      <w:lang w:eastAsia="en-US" w:bidi="en-US"/>
    </w:rPr>
  </w:style>
  <w:style w:type="character" w:customStyle="1" w:styleId="61">
    <w:name w:val="标题 7 字符"/>
    <w:link w:val="8"/>
    <w:qFormat/>
    <w:uiPriority w:val="9"/>
    <w:rPr>
      <w:b/>
      <w:bCs/>
      <w:color w:val="9BBB59"/>
      <w:lang w:eastAsia="en-US" w:bidi="en-US"/>
    </w:rPr>
  </w:style>
  <w:style w:type="character" w:customStyle="1" w:styleId="62">
    <w:name w:val="标题 8 字符"/>
    <w:link w:val="9"/>
    <w:qFormat/>
    <w:uiPriority w:val="9"/>
    <w:rPr>
      <w:b/>
      <w:bCs/>
      <w:i/>
      <w:iCs/>
      <w:color w:val="9BBB59"/>
      <w:lang w:eastAsia="en-US" w:bidi="en-US"/>
    </w:rPr>
  </w:style>
  <w:style w:type="character" w:customStyle="1" w:styleId="63">
    <w:name w:val="标题 9 字符"/>
    <w:link w:val="10"/>
    <w:qFormat/>
    <w:uiPriority w:val="9"/>
    <w:rPr>
      <w:i/>
      <w:iCs/>
      <w:color w:val="9BBB59"/>
      <w:lang w:eastAsia="en-US" w:bidi="en-US"/>
    </w:rPr>
  </w:style>
  <w:style w:type="character" w:customStyle="1" w:styleId="64">
    <w:name w:val="文档结构图 字符"/>
    <w:link w:val="14"/>
    <w:qFormat/>
    <w:uiPriority w:val="99"/>
    <w:rPr>
      <w:rFonts w:ascii="宋体" w:eastAsia="宋体"/>
      <w:sz w:val="18"/>
      <w:szCs w:val="18"/>
    </w:rPr>
  </w:style>
  <w:style w:type="character" w:customStyle="1" w:styleId="65">
    <w:name w:val="正文文本 字符"/>
    <w:link w:val="17"/>
    <w:qFormat/>
    <w:uiPriority w:val="0"/>
    <w:rPr>
      <w:rFonts w:ascii="Times New Roman" w:hAnsi="Times New Roman" w:eastAsia="宋体" w:cs="Times New Roman"/>
      <w:szCs w:val="20"/>
    </w:rPr>
  </w:style>
  <w:style w:type="character" w:customStyle="1" w:styleId="66">
    <w:name w:val="正文文本缩进 字符"/>
    <w:link w:val="18"/>
    <w:qFormat/>
    <w:uiPriority w:val="0"/>
    <w:rPr>
      <w:rFonts w:ascii="仿宋_GB2312" w:hAnsi="Times New Roman" w:eastAsia="仿宋_GB2312" w:cs="Times New Roman"/>
      <w:sz w:val="30"/>
      <w:szCs w:val="24"/>
    </w:rPr>
  </w:style>
  <w:style w:type="character" w:customStyle="1" w:styleId="67">
    <w:name w:val="日期 字符"/>
    <w:basedOn w:val="45"/>
    <w:link w:val="24"/>
    <w:qFormat/>
    <w:uiPriority w:val="99"/>
  </w:style>
  <w:style w:type="character" w:customStyle="1" w:styleId="68">
    <w:name w:val="批注框文本 字符"/>
    <w:link w:val="27"/>
    <w:qFormat/>
    <w:uiPriority w:val="99"/>
    <w:rPr>
      <w:sz w:val="18"/>
      <w:szCs w:val="18"/>
    </w:rPr>
  </w:style>
  <w:style w:type="character" w:customStyle="1" w:styleId="69">
    <w:name w:val="页脚 字符"/>
    <w:link w:val="28"/>
    <w:qFormat/>
    <w:uiPriority w:val="99"/>
    <w:rPr>
      <w:sz w:val="18"/>
      <w:szCs w:val="18"/>
    </w:rPr>
  </w:style>
  <w:style w:type="character" w:customStyle="1" w:styleId="70">
    <w:name w:val="页眉 字符"/>
    <w:link w:val="29"/>
    <w:qFormat/>
    <w:uiPriority w:val="99"/>
    <w:rPr>
      <w:sz w:val="18"/>
      <w:szCs w:val="18"/>
    </w:rPr>
  </w:style>
  <w:style w:type="character" w:customStyle="1" w:styleId="71">
    <w:name w:val="副标题 字符"/>
    <w:link w:val="32"/>
    <w:qFormat/>
    <w:uiPriority w:val="11"/>
    <w:rPr>
      <w:i/>
      <w:iCs/>
      <w:kern w:val="0"/>
      <w:sz w:val="24"/>
      <w:szCs w:val="24"/>
      <w:lang w:eastAsia="en-US" w:bidi="en-US"/>
    </w:rPr>
  </w:style>
  <w:style w:type="character" w:customStyle="1" w:styleId="72">
    <w:name w:val="脚注文本 字符1"/>
    <w:link w:val="33"/>
    <w:qFormat/>
    <w:uiPriority w:val="99"/>
    <w:rPr>
      <w:rFonts w:ascii="Times New Roman" w:hAnsi="Times New Roman" w:eastAsia="宋体" w:cs="Times New Roman"/>
      <w:sz w:val="18"/>
      <w:szCs w:val="18"/>
    </w:rPr>
  </w:style>
  <w:style w:type="character" w:customStyle="1" w:styleId="73">
    <w:name w:val="普通(网站) 字符1"/>
    <w:link w:val="39"/>
    <w:qFormat/>
    <w:uiPriority w:val="99"/>
    <w:rPr>
      <w:rFonts w:ascii="宋体" w:hAnsi="宋体" w:eastAsia="宋体" w:cs="宋体"/>
      <w:kern w:val="0"/>
      <w:sz w:val="24"/>
      <w:szCs w:val="24"/>
      <w:lang w:eastAsia="en-US" w:bidi="en-US"/>
    </w:rPr>
  </w:style>
  <w:style w:type="character" w:customStyle="1" w:styleId="74">
    <w:name w:val="标题 字符"/>
    <w:link w:val="40"/>
    <w:qFormat/>
    <w:uiPriority w:val="0"/>
    <w:rPr>
      <w:rFonts w:ascii="Arial" w:hAnsi="Arial" w:eastAsia="黑体" w:cs="Times New Roman"/>
      <w:i/>
      <w:iCs/>
      <w:color w:val="243F60"/>
      <w:kern w:val="0"/>
      <w:sz w:val="60"/>
      <w:szCs w:val="60"/>
      <w:lang w:eastAsia="en-US" w:bidi="en-US"/>
    </w:rPr>
  </w:style>
  <w:style w:type="character" w:customStyle="1" w:styleId="75">
    <w:name w:val="批注主题 字符"/>
    <w:link w:val="41"/>
    <w:qFormat/>
    <w:uiPriority w:val="99"/>
    <w:rPr>
      <w:b/>
      <w:bCs/>
      <w:kern w:val="0"/>
      <w:sz w:val="30"/>
      <w:lang w:eastAsia="en-US" w:bidi="en-US"/>
    </w:rPr>
  </w:style>
  <w:style w:type="character" w:customStyle="1" w:styleId="76">
    <w:name w:val="正文首行缩进 字符"/>
    <w:link w:val="42"/>
    <w:qFormat/>
    <w:uiPriority w:val="0"/>
    <w:rPr>
      <w:rFonts w:ascii="Times New Roman" w:hAnsi="Times New Roman" w:eastAsia="宋体" w:cs="Times New Roman"/>
      <w:bCs/>
      <w:iCs/>
      <w:kern w:val="0"/>
      <w:sz w:val="24"/>
      <w:szCs w:val="24"/>
    </w:rPr>
  </w:style>
  <w:style w:type="character" w:customStyle="1" w:styleId="77">
    <w:name w:val="_Style 67"/>
    <w:qFormat/>
    <w:uiPriority w:val="21"/>
    <w:rPr>
      <w:b/>
      <w:bCs/>
      <w:i/>
      <w:iCs/>
      <w:color w:val="4F81BD"/>
      <w:sz w:val="22"/>
      <w:szCs w:val="22"/>
    </w:rPr>
  </w:style>
  <w:style w:type="character" w:customStyle="1" w:styleId="78">
    <w:name w:val="第一级标题 Char"/>
    <w:link w:val="79"/>
    <w:qFormat/>
    <w:uiPriority w:val="0"/>
    <w:rPr>
      <w:rFonts w:ascii="黑体" w:hAnsi="黑体"/>
      <w:b/>
      <w:bCs/>
      <w:kern w:val="44"/>
      <w:sz w:val="36"/>
      <w:szCs w:val="32"/>
      <w:lang w:bidi="en-US"/>
    </w:rPr>
  </w:style>
  <w:style w:type="paragraph" w:customStyle="1" w:styleId="79">
    <w:name w:val="第一级标题"/>
    <w:basedOn w:val="2"/>
    <w:link w:val="78"/>
    <w:qFormat/>
    <w:uiPriority w:val="0"/>
    <w:pPr>
      <w:widowControl w:val="0"/>
      <w:numPr>
        <w:numId w:val="2"/>
      </w:numPr>
      <w:spacing w:before="120" w:after="120" w:line="560" w:lineRule="exact"/>
    </w:pPr>
    <w:rPr>
      <w:rFonts w:ascii="黑体" w:hAnsi="黑体"/>
      <w:kern w:val="44"/>
      <w:sz w:val="36"/>
      <w:szCs w:val="32"/>
    </w:rPr>
  </w:style>
  <w:style w:type="character" w:customStyle="1" w:styleId="80">
    <w:name w:val="apple-style-span"/>
    <w:basedOn w:val="45"/>
    <w:qFormat/>
    <w:uiPriority w:val="0"/>
  </w:style>
  <w:style w:type="character" w:customStyle="1" w:styleId="81">
    <w:name w:val="脚注文本 字符"/>
    <w:qFormat/>
    <w:uiPriority w:val="99"/>
    <w:rPr>
      <w:rFonts w:ascii="Times New Roman" w:hAnsi="Times New Roman" w:eastAsia="宋体" w:cs="Times New Roman"/>
      <w:sz w:val="18"/>
      <w:szCs w:val="18"/>
    </w:rPr>
  </w:style>
  <w:style w:type="character" w:styleId="82">
    <w:name w:val="Placeholder Text"/>
    <w:semiHidden/>
    <w:qFormat/>
    <w:uiPriority w:val="99"/>
    <w:rPr>
      <w:color w:val="808080"/>
    </w:rPr>
  </w:style>
  <w:style w:type="character" w:customStyle="1" w:styleId="83">
    <w:name w:val="明显引用 字符"/>
    <w:link w:val="84"/>
    <w:qFormat/>
    <w:uiPriority w:val="30"/>
    <w:rPr>
      <w:rFonts w:ascii="Arial" w:hAnsi="Arial" w:eastAsia="黑体" w:cs="Times New Roman"/>
      <w:i/>
      <w:iCs/>
      <w:color w:val="FFFFFF"/>
      <w:kern w:val="0"/>
      <w:sz w:val="24"/>
      <w:szCs w:val="24"/>
      <w:shd w:val="clear" w:color="auto" w:fill="4F81BD"/>
      <w:lang w:eastAsia="en-US" w:bidi="en-US"/>
    </w:rPr>
  </w:style>
  <w:style w:type="paragraph" w:styleId="84">
    <w:name w:val="Intense Quote"/>
    <w:basedOn w:val="1"/>
    <w:next w:val="1"/>
    <w:link w:val="83"/>
    <w:qFormat/>
    <w:uiPriority w:val="30"/>
    <w:pPr>
      <w:widowControl/>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firstLine="360"/>
      <w:jc w:val="left"/>
    </w:pPr>
    <w:rPr>
      <w:i/>
      <w:iCs/>
      <w:color w:val="FFFFFF"/>
      <w:kern w:val="0"/>
      <w:sz w:val="24"/>
      <w:szCs w:val="24"/>
      <w:lang w:eastAsia="en-US" w:bidi="en-US"/>
    </w:rPr>
  </w:style>
  <w:style w:type="character" w:customStyle="1" w:styleId="85">
    <w:name w:val="引用 字符"/>
    <w:link w:val="86"/>
    <w:qFormat/>
    <w:uiPriority w:val="29"/>
    <w:rPr>
      <w:rFonts w:ascii="Arial" w:hAnsi="Arial" w:eastAsia="黑体" w:cs="Times New Roman"/>
      <w:i/>
      <w:iCs/>
      <w:color w:val="5A5A5A"/>
      <w:kern w:val="0"/>
      <w:sz w:val="22"/>
      <w:lang w:eastAsia="en-US" w:bidi="en-US"/>
    </w:rPr>
  </w:style>
  <w:style w:type="paragraph" w:styleId="86">
    <w:name w:val="Quote"/>
    <w:basedOn w:val="1"/>
    <w:next w:val="1"/>
    <w:link w:val="85"/>
    <w:qFormat/>
    <w:uiPriority w:val="29"/>
    <w:pPr>
      <w:widowControl/>
      <w:ind w:firstLine="360"/>
      <w:jc w:val="left"/>
    </w:pPr>
    <w:rPr>
      <w:i/>
      <w:iCs/>
      <w:color w:val="5A5A5A"/>
      <w:kern w:val="0"/>
      <w:sz w:val="22"/>
      <w:szCs w:val="20"/>
      <w:lang w:eastAsia="en-US" w:bidi="en-US"/>
    </w:rPr>
  </w:style>
  <w:style w:type="character" w:customStyle="1" w:styleId="87">
    <w:name w:val="普通(网站) 字符"/>
    <w:qFormat/>
    <w:uiPriority w:val="99"/>
    <w:rPr>
      <w:rFonts w:ascii="宋体" w:hAnsi="宋体" w:eastAsia="宋体" w:cs="宋体"/>
      <w:kern w:val="0"/>
      <w:sz w:val="24"/>
      <w:szCs w:val="24"/>
    </w:rPr>
  </w:style>
  <w:style w:type="character" w:customStyle="1" w:styleId="88">
    <w:name w:val="_Style 78"/>
    <w:qFormat/>
    <w:uiPriority w:val="33"/>
    <w:rPr>
      <w:rFonts w:ascii="Arial" w:hAnsi="Arial" w:eastAsia="黑体" w:cs="Times New Roman"/>
      <w:b/>
      <w:bCs/>
      <w:i/>
      <w:iCs/>
      <w:color w:val="auto"/>
    </w:rPr>
  </w:style>
  <w:style w:type="character" w:customStyle="1" w:styleId="89">
    <w:name w:val="条 Char"/>
    <w:link w:val="90"/>
    <w:qFormat/>
    <w:uiPriority w:val="0"/>
    <w:rPr>
      <w:rFonts w:ascii="仿宋_GB2312" w:hAnsi="仿宋" w:eastAsia="仿宋_GB2312" w:cs="Times New Roman"/>
      <w:sz w:val="32"/>
      <w:szCs w:val="32"/>
    </w:rPr>
  </w:style>
  <w:style w:type="paragraph" w:customStyle="1" w:styleId="90">
    <w:name w:val="条"/>
    <w:basedOn w:val="1"/>
    <w:link w:val="89"/>
    <w:qFormat/>
    <w:uiPriority w:val="0"/>
    <w:pPr>
      <w:spacing w:line="560" w:lineRule="exact"/>
      <w:ind w:firstLine="640" w:firstLineChars="200"/>
    </w:pPr>
    <w:rPr>
      <w:rFonts w:ascii="仿宋_GB2312" w:hAnsi="仿宋" w:eastAsia="仿宋_GB2312"/>
      <w:kern w:val="0"/>
      <w:sz w:val="32"/>
      <w:szCs w:val="32"/>
    </w:rPr>
  </w:style>
  <w:style w:type="character" w:customStyle="1" w:styleId="91">
    <w:name w:val="列出段落 字符"/>
    <w:link w:val="92"/>
    <w:qFormat/>
    <w:uiPriority w:val="99"/>
    <w:rPr>
      <w:kern w:val="0"/>
      <w:sz w:val="22"/>
      <w:lang w:eastAsia="en-US" w:bidi="en-US"/>
    </w:rPr>
  </w:style>
  <w:style w:type="paragraph" w:styleId="92">
    <w:name w:val="List Paragraph"/>
    <w:basedOn w:val="1"/>
    <w:link w:val="91"/>
    <w:qFormat/>
    <w:uiPriority w:val="0"/>
    <w:pPr>
      <w:widowControl/>
      <w:ind w:left="720" w:firstLine="360"/>
      <w:contextualSpacing/>
      <w:jc w:val="left"/>
    </w:pPr>
    <w:rPr>
      <w:kern w:val="0"/>
      <w:sz w:val="22"/>
      <w:szCs w:val="20"/>
      <w:lang w:eastAsia="en-US" w:bidi="en-US"/>
    </w:rPr>
  </w:style>
  <w:style w:type="character" w:customStyle="1" w:styleId="93">
    <w:name w:val="apple-converted-space"/>
    <w:basedOn w:val="45"/>
    <w:qFormat/>
    <w:uiPriority w:val="0"/>
  </w:style>
  <w:style w:type="character" w:customStyle="1" w:styleId="94">
    <w:name w:val="msoins"/>
    <w:basedOn w:val="45"/>
    <w:qFormat/>
    <w:uiPriority w:val="0"/>
  </w:style>
  <w:style w:type="character" w:customStyle="1" w:styleId="95">
    <w:name w:val="无间隔 字符"/>
    <w:link w:val="96"/>
    <w:qFormat/>
    <w:uiPriority w:val="1"/>
    <w:rPr>
      <w:kern w:val="0"/>
      <w:sz w:val="22"/>
      <w:lang w:eastAsia="en-US" w:bidi="en-US"/>
    </w:rPr>
  </w:style>
  <w:style w:type="paragraph" w:styleId="96">
    <w:name w:val="No Spacing"/>
    <w:basedOn w:val="1"/>
    <w:link w:val="95"/>
    <w:qFormat/>
    <w:uiPriority w:val="1"/>
    <w:pPr>
      <w:widowControl/>
      <w:jc w:val="left"/>
    </w:pPr>
    <w:rPr>
      <w:kern w:val="0"/>
      <w:sz w:val="22"/>
      <w:szCs w:val="20"/>
      <w:lang w:eastAsia="en-US" w:bidi="en-US"/>
    </w:rPr>
  </w:style>
  <w:style w:type="character" w:customStyle="1" w:styleId="97">
    <w:name w:val="_Style 87"/>
    <w:qFormat/>
    <w:uiPriority w:val="19"/>
    <w:rPr>
      <w:i/>
      <w:iCs/>
      <w:color w:val="5A5A5A"/>
    </w:rPr>
  </w:style>
  <w:style w:type="character" w:customStyle="1" w:styleId="98">
    <w:name w:val="_Style 88"/>
    <w:qFormat/>
    <w:uiPriority w:val="31"/>
    <w:rPr>
      <w:color w:val="auto"/>
      <w:u w:val="single" w:color="9BBB59"/>
    </w:rPr>
  </w:style>
  <w:style w:type="character" w:customStyle="1" w:styleId="99">
    <w:name w:val="_Style 89"/>
    <w:qFormat/>
    <w:uiPriority w:val="32"/>
    <w:rPr>
      <w:b/>
      <w:bCs/>
      <w:color w:val="76923C"/>
      <w:u w:val="single" w:color="9BBB59"/>
    </w:rPr>
  </w:style>
  <w:style w:type="paragraph" w:customStyle="1" w:styleId="100">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01">
    <w:name w:val="TOC 标题1"/>
    <w:basedOn w:val="2"/>
    <w:next w:val="1"/>
    <w:unhideWhenUsed/>
    <w:qFormat/>
    <w:uiPriority w:val="39"/>
    <w:pPr>
      <w:keepNext/>
      <w:keepLines/>
      <w:numPr>
        <w:numId w:val="0"/>
      </w:numPr>
      <w:spacing w:before="480" w:line="276" w:lineRule="auto"/>
      <w:outlineLvl w:val="9"/>
    </w:pPr>
    <w:rPr>
      <w:sz w:val="28"/>
      <w:szCs w:val="28"/>
      <w:lang w:bidi="ar-SA"/>
    </w:rPr>
  </w:style>
  <w:style w:type="paragraph" w:customStyle="1" w:styleId="102">
    <w:name w:val="修订1"/>
    <w:semiHidden/>
    <w:qFormat/>
    <w:uiPriority w:val="99"/>
    <w:rPr>
      <w:rFonts w:ascii="Times New Roman" w:hAnsi="Times New Roman" w:eastAsia="宋体" w:cs="Times New Roman"/>
      <w:kern w:val="2"/>
      <w:sz w:val="21"/>
      <w:szCs w:val="21"/>
      <w:lang w:val="en-US" w:eastAsia="zh-CN" w:bidi="ar-SA"/>
    </w:rPr>
  </w:style>
  <w:style w:type="paragraph" w:customStyle="1" w:styleId="103">
    <w:name w:val="一级标题"/>
    <w:basedOn w:val="1"/>
    <w:qFormat/>
    <w:uiPriority w:val="0"/>
    <w:pPr>
      <w:ind w:firstLine="602" w:firstLineChars="200"/>
    </w:pPr>
    <w:rPr>
      <w:rFonts w:ascii="黑体" w:hAnsi="黑体"/>
      <w:b/>
      <w:sz w:val="30"/>
      <w:szCs w:val="30"/>
    </w:rPr>
  </w:style>
  <w:style w:type="paragraph" w:customStyle="1" w:styleId="104">
    <w:name w:val="_Style 94"/>
    <w:qFormat/>
    <w:uiPriority w:val="99"/>
    <w:pPr>
      <w:ind w:firstLine="360"/>
    </w:pPr>
    <w:rPr>
      <w:rFonts w:ascii="仿宋_GB2312" w:hAnsi="微软雅黑" w:eastAsia="仿宋_GB2312" w:cs="Times New Roman"/>
      <w:sz w:val="30"/>
      <w:szCs w:val="30"/>
      <w:shd w:val="clear" w:color="auto" w:fill="FFFF00"/>
      <w:lang w:val="en-US" w:eastAsia="en-US" w:bidi="en-US"/>
    </w:rPr>
  </w:style>
  <w:style w:type="paragraph" w:customStyle="1" w:styleId="105">
    <w:name w:val="_Style 95"/>
    <w:basedOn w:val="2"/>
    <w:next w:val="1"/>
    <w:qFormat/>
    <w:uiPriority w:val="39"/>
    <w:pPr>
      <w:numPr>
        <w:numId w:val="0"/>
      </w:numPr>
      <w:outlineLvl w:val="9"/>
    </w:pPr>
  </w:style>
  <w:style w:type="paragraph" w:customStyle="1" w:styleId="106">
    <w:name w:val="Char Char Char1 Char Char Char"/>
    <w:basedOn w:val="1"/>
    <w:qFormat/>
    <w:uiPriority w:val="0"/>
    <w:pPr>
      <w:widowControl/>
      <w:pBdr>
        <w:bottom w:val="single" w:color="auto" w:sz="6" w:space="1"/>
      </w:pBdr>
      <w:jc w:val="left"/>
    </w:pPr>
    <w:rPr>
      <w:rFonts w:ascii="Futura Bk" w:hAnsi="Futura Bk"/>
      <w:kern w:val="0"/>
      <w:sz w:val="20"/>
      <w:szCs w:val="20"/>
      <w:lang w:val="en-GB" w:eastAsia="en-US"/>
    </w:rPr>
  </w:style>
  <w:style w:type="paragraph" w:customStyle="1" w:styleId="107">
    <w:name w:val="Table Paragraph"/>
    <w:basedOn w:val="1"/>
    <w:qFormat/>
    <w:uiPriority w:val="1"/>
    <w:pPr>
      <w:jc w:val="left"/>
    </w:pPr>
    <w:rPr>
      <w:rFonts w:ascii="Calibri" w:hAnsi="Calibri"/>
      <w:kern w:val="0"/>
      <w:sz w:val="22"/>
      <w:szCs w:val="22"/>
      <w:lang w:eastAsia="en-US"/>
    </w:rPr>
  </w:style>
  <w:style w:type="paragraph" w:customStyle="1" w:styleId="108">
    <w:name w:val="样式1"/>
    <w:basedOn w:val="1"/>
    <w:link w:val="134"/>
    <w:qFormat/>
    <w:uiPriority w:val="0"/>
    <w:pPr>
      <w:numPr>
        <w:ilvl w:val="0"/>
        <w:numId w:val="3"/>
      </w:numPr>
      <w:tabs>
        <w:tab w:val="left" w:pos="2127"/>
      </w:tabs>
      <w:adjustRightInd w:val="0"/>
      <w:snapToGrid w:val="0"/>
      <w:spacing w:line="540" w:lineRule="exact"/>
    </w:pPr>
    <w:rPr>
      <w:rFonts w:ascii="仿宋_GB2312" w:hAnsi="宋体" w:eastAsia="仿宋_GB2312"/>
      <w:kern w:val="0"/>
      <w:sz w:val="30"/>
      <w:szCs w:val="30"/>
    </w:rPr>
  </w:style>
  <w:style w:type="table" w:customStyle="1" w:styleId="109">
    <w:name w:val="网格型2"/>
    <w:basedOn w:val="43"/>
    <w:unhideWhenUsed/>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0">
    <w:name w:val="网格型1"/>
    <w:basedOn w:val="43"/>
    <w:qFormat/>
    <w:uiPriority w:val="39"/>
    <w:pPr>
      <w:widowControl w:val="0"/>
      <w:spacing w:line="30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
    <w:name w:val="网格型3"/>
    <w:basedOn w:val="43"/>
    <w:unhideWhenUsed/>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
    <w:name w:val="网格型4"/>
    <w:basedOn w:val="43"/>
    <w:unhideWhenUsed/>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
    <w:name w:val="网格型5"/>
    <w:basedOn w:val="43"/>
    <w:unhideWhenUsed/>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4">
    <w:name w:val="修订2"/>
    <w:hidden/>
    <w:semiHidden/>
    <w:qFormat/>
    <w:uiPriority w:val="99"/>
    <w:rPr>
      <w:rFonts w:ascii="Times New Roman" w:hAnsi="Times New Roman" w:eastAsia="宋体" w:cs="Times New Roman"/>
      <w:kern w:val="2"/>
      <w:sz w:val="21"/>
      <w:szCs w:val="21"/>
      <w:lang w:val="en-US" w:eastAsia="zh-CN" w:bidi="ar-SA"/>
    </w:rPr>
  </w:style>
  <w:style w:type="character" w:customStyle="1" w:styleId="115">
    <w:name w:val="未处理的提及1"/>
    <w:basedOn w:val="45"/>
    <w:semiHidden/>
    <w:unhideWhenUsed/>
    <w:qFormat/>
    <w:uiPriority w:val="99"/>
    <w:rPr>
      <w:color w:val="605E5C"/>
      <w:shd w:val="clear" w:color="auto" w:fill="E1DFDD"/>
    </w:rPr>
  </w:style>
  <w:style w:type="paragraph" w:customStyle="1" w:styleId="116">
    <w:name w:val="修订3"/>
    <w:hidden/>
    <w:semiHidden/>
    <w:qFormat/>
    <w:uiPriority w:val="99"/>
    <w:rPr>
      <w:rFonts w:ascii="Times New Roman" w:hAnsi="Times New Roman" w:eastAsia="宋体" w:cs="Times New Roman"/>
      <w:kern w:val="2"/>
      <w:sz w:val="21"/>
      <w:szCs w:val="21"/>
      <w:lang w:val="en-US" w:eastAsia="zh-CN" w:bidi="ar-SA"/>
    </w:rPr>
  </w:style>
  <w:style w:type="character" w:customStyle="1" w:styleId="117">
    <w:name w:val="未处理的提及2"/>
    <w:basedOn w:val="45"/>
    <w:semiHidden/>
    <w:unhideWhenUsed/>
    <w:qFormat/>
    <w:uiPriority w:val="99"/>
    <w:rPr>
      <w:color w:val="605E5C"/>
      <w:shd w:val="clear" w:color="auto" w:fill="E1DFDD"/>
    </w:rPr>
  </w:style>
  <w:style w:type="character" w:customStyle="1" w:styleId="118">
    <w:name w:val="未处理的提及3"/>
    <w:basedOn w:val="45"/>
    <w:semiHidden/>
    <w:unhideWhenUsed/>
    <w:qFormat/>
    <w:uiPriority w:val="99"/>
    <w:rPr>
      <w:color w:val="605E5C"/>
      <w:shd w:val="clear" w:color="auto" w:fill="E1DFDD"/>
    </w:rPr>
  </w:style>
  <w:style w:type="paragraph" w:customStyle="1" w:styleId="119">
    <w:name w:val="SSE正文"/>
    <w:basedOn w:val="1"/>
    <w:link w:val="120"/>
    <w:qFormat/>
    <w:uiPriority w:val="0"/>
    <w:pPr>
      <w:ind w:firstLine="200" w:firstLineChars="200"/>
    </w:pPr>
    <w:rPr>
      <w:rFonts w:eastAsia="仿宋_GB2312"/>
      <w:kern w:val="0"/>
      <w:sz w:val="28"/>
      <w:szCs w:val="28"/>
    </w:rPr>
  </w:style>
  <w:style w:type="character" w:customStyle="1" w:styleId="120">
    <w:name w:val="SSE正文 Char"/>
    <w:link w:val="119"/>
    <w:qFormat/>
    <w:locked/>
    <w:uiPriority w:val="0"/>
    <w:rPr>
      <w:rFonts w:eastAsia="仿宋_GB2312"/>
      <w:sz w:val="28"/>
      <w:szCs w:val="28"/>
    </w:rPr>
  </w:style>
  <w:style w:type="character" w:customStyle="1" w:styleId="121">
    <w:name w:val="不明显强调1"/>
    <w:basedOn w:val="45"/>
    <w:qFormat/>
    <w:uiPriority w:val="19"/>
    <w:rPr>
      <w:i/>
      <w:iCs/>
      <w:color w:val="404040" w:themeColor="text1" w:themeTint="BF"/>
      <w14:textFill>
        <w14:solidFill>
          <w14:schemeClr w14:val="tx1">
            <w14:lumMod w14:val="75000"/>
            <w14:lumOff w14:val="25000"/>
          </w14:schemeClr>
        </w14:solidFill>
      </w14:textFill>
    </w:rPr>
  </w:style>
  <w:style w:type="character" w:customStyle="1" w:styleId="122">
    <w:name w:val="纯文本 字符"/>
    <w:basedOn w:val="45"/>
    <w:link w:val="22"/>
    <w:qFormat/>
    <w:uiPriority w:val="0"/>
    <w:rPr>
      <w:rFonts w:ascii="宋体" w:hAnsi="Courier New"/>
      <w:kern w:val="2"/>
      <w:sz w:val="21"/>
    </w:rPr>
  </w:style>
  <w:style w:type="character" w:customStyle="1" w:styleId="123">
    <w:name w:val="afont1"/>
    <w:basedOn w:val="45"/>
    <w:qFormat/>
    <w:uiPriority w:val="0"/>
  </w:style>
  <w:style w:type="character" w:customStyle="1" w:styleId="124">
    <w:name w:val="正文文本缩进 2 字符"/>
    <w:basedOn w:val="45"/>
    <w:link w:val="25"/>
    <w:qFormat/>
    <w:uiPriority w:val="0"/>
    <w:rPr>
      <w:rFonts w:ascii="仿宋_GB2312" w:hAnsi="宋体" w:eastAsia="仿宋_GB2312"/>
      <w:kern w:val="2"/>
      <w:sz w:val="30"/>
      <w:szCs w:val="30"/>
    </w:rPr>
  </w:style>
  <w:style w:type="character" w:customStyle="1" w:styleId="125">
    <w:name w:val="正文文本 2 字符"/>
    <w:basedOn w:val="45"/>
    <w:link w:val="38"/>
    <w:qFormat/>
    <w:uiPriority w:val="0"/>
    <w:rPr>
      <w:rFonts w:ascii="黑体" w:hAnsi="宋体" w:eastAsia="黑体"/>
      <w:b/>
      <w:kern w:val="2"/>
      <w:sz w:val="44"/>
      <w:szCs w:val="42"/>
    </w:rPr>
  </w:style>
  <w:style w:type="character" w:customStyle="1" w:styleId="126">
    <w:name w:val="正文文本缩进 3 字符"/>
    <w:basedOn w:val="45"/>
    <w:link w:val="35"/>
    <w:qFormat/>
    <w:uiPriority w:val="0"/>
    <w:rPr>
      <w:rFonts w:ascii="仿宋_GB2312" w:eastAsia="仿宋_GB2312"/>
      <w:sz w:val="30"/>
      <w:szCs w:val="28"/>
      <w:lang w:val="zh-CN"/>
    </w:rPr>
  </w:style>
  <w:style w:type="character" w:customStyle="1" w:styleId="127">
    <w:name w:val="正文文本 3 字符"/>
    <w:basedOn w:val="45"/>
    <w:link w:val="16"/>
    <w:qFormat/>
    <w:uiPriority w:val="0"/>
    <w:rPr>
      <w:rFonts w:ascii="方正大标宋简体" w:hAnsi="宋体" w:eastAsia="方正大标宋简体"/>
      <w:bCs/>
      <w:kern w:val="2"/>
      <w:sz w:val="42"/>
      <w:szCs w:val="42"/>
    </w:rPr>
  </w:style>
  <w:style w:type="paragraph" w:customStyle="1" w:styleId="128">
    <w:name w:val="Char1"/>
    <w:basedOn w:val="1"/>
    <w:qFormat/>
    <w:uiPriority w:val="0"/>
    <w:pPr>
      <w:widowControl/>
      <w:pBdr>
        <w:bottom w:val="single" w:color="auto" w:sz="6" w:space="1"/>
      </w:pBdr>
      <w:jc w:val="left"/>
    </w:pPr>
    <w:rPr>
      <w:rFonts w:ascii="Futura Bk" w:hAnsi="Futura Bk"/>
      <w:kern w:val="0"/>
      <w:sz w:val="20"/>
      <w:szCs w:val="20"/>
      <w:lang w:val="en-GB" w:eastAsia="en-US"/>
    </w:rPr>
  </w:style>
  <w:style w:type="paragraph" w:customStyle="1" w:styleId="129">
    <w:name w:val="段 Char Char Char"/>
    <w:basedOn w:val="1"/>
    <w:qFormat/>
    <w:uiPriority w:val="0"/>
    <w:pPr>
      <w:widowControl/>
      <w:spacing w:beforeLines="2" w:afterLines="2" w:line="320" w:lineRule="exact"/>
      <w:ind w:firstLine="360" w:firstLineChars="200"/>
      <w:jc w:val="left"/>
    </w:pPr>
    <w:rPr>
      <w:rFonts w:ascii="宋体" w:hAnsi="Tahoma"/>
    </w:rPr>
  </w:style>
  <w:style w:type="paragraph" w:customStyle="1" w:styleId="130">
    <w:name w:val="xl2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18"/>
      <w:szCs w:val="18"/>
    </w:rPr>
  </w:style>
  <w:style w:type="paragraph" w:customStyle="1" w:styleId="131">
    <w:name w:val="a"/>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2">
    <w:name w:val="列出段落1"/>
    <w:basedOn w:val="1"/>
    <w:qFormat/>
    <w:uiPriority w:val="34"/>
    <w:pPr>
      <w:ind w:firstLine="420" w:firstLineChars="200"/>
    </w:pPr>
    <w:rPr>
      <w:rFonts w:ascii="Calibri" w:hAnsi="Calibri" w:cs="Calibri"/>
    </w:rPr>
  </w:style>
  <w:style w:type="paragraph" w:customStyle="1" w:styleId="133">
    <w:name w:val="Char Char Char Char Char Char Char"/>
    <w:basedOn w:val="1"/>
    <w:qFormat/>
    <w:uiPriority w:val="0"/>
    <w:pPr>
      <w:tabs>
        <w:tab w:val="left" w:pos="360"/>
      </w:tabs>
    </w:pPr>
    <w:rPr>
      <w:sz w:val="24"/>
      <w:szCs w:val="24"/>
    </w:rPr>
  </w:style>
  <w:style w:type="character" w:customStyle="1" w:styleId="134">
    <w:name w:val="样式1 Char"/>
    <w:link w:val="108"/>
    <w:qFormat/>
    <w:uiPriority w:val="0"/>
    <w:rPr>
      <w:rFonts w:ascii="仿宋_GB2312" w:hAnsi="宋体" w:eastAsia="仿宋_GB2312"/>
      <w:sz w:val="30"/>
      <w:szCs w:val="30"/>
    </w:rPr>
  </w:style>
  <w:style w:type="paragraph" w:customStyle="1" w:styleId="135">
    <w:name w:val="msolistparagraph"/>
    <w:basedOn w:val="1"/>
    <w:qFormat/>
    <w:uiPriority w:val="0"/>
    <w:pPr>
      <w:widowControl/>
      <w:ind w:firstLine="420"/>
    </w:pPr>
    <w:rPr>
      <w:rFonts w:ascii="Calibri" w:hAnsi="Calibri" w:cs="宋体"/>
      <w:kern w:val="0"/>
    </w:rPr>
  </w:style>
  <w:style w:type="paragraph" w:customStyle="1" w:styleId="136">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137">
    <w:name w:val="列出段落2"/>
    <w:basedOn w:val="1"/>
    <w:qFormat/>
    <w:uiPriority w:val="0"/>
    <w:pPr>
      <w:ind w:firstLine="420" w:firstLineChars="200"/>
    </w:pPr>
    <w:rPr>
      <w:rFonts w:ascii="Calibri" w:hAnsi="Calibri"/>
      <w:szCs w:val="22"/>
    </w:rPr>
  </w:style>
  <w:style w:type="paragraph" w:customStyle="1" w:styleId="138">
    <w:name w:val="default"/>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39">
    <w:name w:val="fontstyle01"/>
    <w:basedOn w:val="45"/>
    <w:qFormat/>
    <w:uiPriority w:val="0"/>
    <w:rPr>
      <w:rFonts w:hint="eastAsia" w:ascii="仿宋_GB2312" w:eastAsia="仿宋_GB2312"/>
      <w:color w:val="000000"/>
      <w:sz w:val="30"/>
      <w:szCs w:val="30"/>
    </w:rPr>
  </w:style>
  <w:style w:type="paragraph" w:customStyle="1" w:styleId="140">
    <w:name w:val="列出段落11"/>
    <w:basedOn w:val="1"/>
    <w:qFormat/>
    <w:uiPriority w:val="0"/>
    <w:pPr>
      <w:ind w:firstLine="420" w:firstLineChars="200"/>
    </w:pPr>
    <w:rPr>
      <w:szCs w:val="24"/>
    </w:rPr>
  </w:style>
  <w:style w:type="character" w:customStyle="1" w:styleId="141">
    <w:name w:val="fontstyle21"/>
    <w:basedOn w:val="45"/>
    <w:qFormat/>
    <w:uiPriority w:val="0"/>
    <w:rPr>
      <w:rFonts w:hint="default" w:ascii="Calibri" w:hAnsi="Calibri"/>
      <w:color w:val="000000"/>
      <w:sz w:val="30"/>
      <w:szCs w:val="30"/>
    </w:rPr>
  </w:style>
  <w:style w:type="character" w:customStyle="1" w:styleId="142">
    <w:name w:val="fontstyle11"/>
    <w:basedOn w:val="45"/>
    <w:qFormat/>
    <w:uiPriority w:val="0"/>
    <w:rPr>
      <w:rFonts w:hint="default" w:ascii="Calibri" w:hAnsi="Calibri"/>
      <w:color w:val="000000"/>
      <w:sz w:val="30"/>
      <w:szCs w:val="30"/>
    </w:rPr>
  </w:style>
  <w:style w:type="character" w:customStyle="1" w:styleId="143">
    <w:name w:val="尾注文本 字符"/>
    <w:basedOn w:val="45"/>
    <w:link w:val="26"/>
    <w:qFormat/>
    <w:uiPriority w:val="99"/>
    <w:rPr>
      <w:rFonts w:ascii="Calibri" w:hAnsi="Calibri"/>
      <w:kern w:val="2"/>
      <w:sz w:val="21"/>
      <w:szCs w:val="22"/>
    </w:rPr>
  </w:style>
  <w:style w:type="paragraph" w:customStyle="1" w:styleId="144">
    <w:name w:val="SSE标题2"/>
    <w:basedOn w:val="3"/>
    <w:link w:val="145"/>
    <w:qFormat/>
    <w:uiPriority w:val="0"/>
    <w:pPr>
      <w:keepNext/>
      <w:keepLines/>
      <w:widowControl w:val="0"/>
      <w:numPr>
        <w:ilvl w:val="0"/>
        <w:numId w:val="0"/>
      </w:numPr>
      <w:pBdr>
        <w:bottom w:val="none" w:color="auto" w:sz="0" w:space="0"/>
      </w:pBdr>
      <w:spacing w:before="0" w:after="120"/>
      <w:ind w:firstLine="643"/>
    </w:pPr>
    <w:rPr>
      <w:rFonts w:eastAsia="仿宋_GB2312"/>
      <w:b/>
      <w:bCs/>
      <w:color w:val="auto"/>
      <w:sz w:val="28"/>
      <w:szCs w:val="28"/>
      <w:lang w:eastAsia="zh-CN" w:bidi="ar-SA"/>
    </w:rPr>
  </w:style>
  <w:style w:type="character" w:customStyle="1" w:styleId="145">
    <w:name w:val="SSE标题2 Char"/>
    <w:link w:val="144"/>
    <w:qFormat/>
    <w:locked/>
    <w:uiPriority w:val="0"/>
    <w:rPr>
      <w:rFonts w:eastAsia="仿宋_GB2312"/>
      <w:b/>
      <w:bCs/>
      <w:sz w:val="28"/>
      <w:szCs w:val="28"/>
    </w:rPr>
  </w:style>
  <w:style w:type="paragraph" w:customStyle="1" w:styleId="146">
    <w:name w:val="SSE标题1"/>
    <w:basedOn w:val="2"/>
    <w:link w:val="147"/>
    <w:qFormat/>
    <w:uiPriority w:val="99"/>
    <w:pPr>
      <w:keepNext/>
      <w:keepLines/>
      <w:widowControl w:val="0"/>
      <w:numPr>
        <w:numId w:val="0"/>
      </w:numPr>
      <w:spacing w:after="120"/>
      <w:jc w:val="both"/>
    </w:pPr>
    <w:rPr>
      <w:rFonts w:eastAsia="黑体"/>
      <w:kern w:val="44"/>
      <w:szCs w:val="30"/>
      <w:lang w:bidi="ar-SA"/>
    </w:rPr>
  </w:style>
  <w:style w:type="character" w:customStyle="1" w:styleId="147">
    <w:name w:val="SSE标题1 Char"/>
    <w:link w:val="146"/>
    <w:qFormat/>
    <w:locked/>
    <w:uiPriority w:val="99"/>
    <w:rPr>
      <w:rFonts w:eastAsia="黑体"/>
      <w:b/>
      <w:bCs/>
      <w:kern w:val="44"/>
      <w:sz w:val="30"/>
      <w:szCs w:val="30"/>
    </w:rPr>
  </w:style>
  <w:style w:type="paragraph" w:customStyle="1" w:styleId="148">
    <w:name w:val="SSE表格文字"/>
    <w:basedOn w:val="1"/>
    <w:link w:val="149"/>
    <w:qFormat/>
    <w:uiPriority w:val="99"/>
    <w:pPr>
      <w:widowControl/>
      <w:jc w:val="center"/>
    </w:pPr>
    <w:rPr>
      <w:rFonts w:eastAsia="仿宋_GB2312"/>
      <w:color w:val="000000"/>
      <w:kern w:val="0"/>
      <w:sz w:val="24"/>
      <w:szCs w:val="24"/>
    </w:rPr>
  </w:style>
  <w:style w:type="character" w:customStyle="1" w:styleId="149">
    <w:name w:val="SSE表格文字 Char"/>
    <w:link w:val="148"/>
    <w:qFormat/>
    <w:locked/>
    <w:uiPriority w:val="99"/>
    <w:rPr>
      <w:rFonts w:eastAsia="仿宋_GB2312"/>
      <w:color w:val="000000"/>
      <w:sz w:val="24"/>
      <w:szCs w:val="24"/>
    </w:rPr>
  </w:style>
  <w:style w:type="table" w:customStyle="1" w:styleId="150">
    <w:name w:val="Table Normal"/>
    <w:unhideWhenUsed/>
    <w:qFormat/>
    <w:uiPriority w:val="2"/>
    <w:pPr>
      <w:widowControl w:val="0"/>
    </w:pPr>
    <w:rPr>
      <w:rFonts w:ascii="Calibri" w:hAnsi="Calibri"/>
      <w:sz w:val="22"/>
      <w:lang w:eastAsia="en-US"/>
    </w:rPr>
    <w:tblPr>
      <w:tblCellMar>
        <w:top w:w="0" w:type="dxa"/>
        <w:left w:w="0" w:type="dxa"/>
        <w:bottom w:w="0" w:type="dxa"/>
        <w:right w:w="0" w:type="dxa"/>
      </w:tblCellMar>
    </w:tblPr>
  </w:style>
  <w:style w:type="table" w:customStyle="1" w:styleId="151">
    <w:name w:val="中等深浅底纹 1 - 着色 11"/>
    <w:basedOn w:val="43"/>
    <w:qFormat/>
    <w:uiPriority w:val="63"/>
    <w:rPr>
      <w:rFonts w:ascii="Calibri" w:hAnsi="Calibri"/>
    </w:rPr>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cPr>
        <w:shd w:val="clear" w:color="auto" w:fill="D3DFEE"/>
      </w:tcPr>
    </w:tblStylePr>
    <w:tblStylePr w:type="band1Horz">
      <w:tcPr>
        <w:tcBorders>
          <w:insideH w:val="nil"/>
          <w:insideV w:val="nil"/>
        </w:tcBorders>
        <w:shd w:val="clear" w:color="auto" w:fill="D3DFEE"/>
      </w:tcPr>
    </w:tblStylePr>
    <w:tblStylePr w:type="band2Horz">
      <w:tcPr>
        <w:tcBorders>
          <w:insideH w:val="nil"/>
          <w:insideV w:val="nil"/>
        </w:tcBorders>
      </w:tcPr>
    </w:tblStylePr>
  </w:style>
  <w:style w:type="character" w:customStyle="1" w:styleId="152">
    <w:name w:val="不明显强调11"/>
    <w:basedOn w:val="45"/>
    <w:qFormat/>
    <w:uiPriority w:val="19"/>
    <w:rPr>
      <w:i/>
      <w:iCs/>
      <w:color w:val="404040" w:themeColor="text1" w:themeTint="BF"/>
      <w14:textFill>
        <w14:solidFill>
          <w14:schemeClr w14:val="tx1">
            <w14:lumMod w14:val="75000"/>
            <w14:lumOff w14:val="25000"/>
          </w14:schemeClr>
        </w14:solidFill>
      </w14:textFill>
    </w:rPr>
  </w:style>
  <w:style w:type="paragraph" w:customStyle="1" w:styleId="153">
    <w:name w:val="修订41"/>
    <w:hidden/>
    <w:semiHidden/>
    <w:qFormat/>
    <w:uiPriority w:val="99"/>
    <w:rPr>
      <w:rFonts w:ascii="Times New Roman" w:hAnsi="Times New Roman" w:eastAsia="宋体" w:cs="Times New Roman"/>
      <w:kern w:val="2"/>
      <w:sz w:val="21"/>
      <w:szCs w:val="24"/>
      <w:lang w:val="en-US" w:eastAsia="zh-CN" w:bidi="ar-SA"/>
    </w:rPr>
  </w:style>
  <w:style w:type="paragraph" w:customStyle="1" w:styleId="154">
    <w:name w:val="修订5"/>
    <w:hidden/>
    <w:semiHidden/>
    <w:qFormat/>
    <w:uiPriority w:val="99"/>
    <w:rPr>
      <w:rFonts w:ascii="Times New Roman" w:hAnsi="Times New Roman" w:eastAsia="宋体" w:cs="Times New Roman"/>
      <w:kern w:val="2"/>
      <w:sz w:val="21"/>
      <w:szCs w:val="21"/>
      <w:lang w:val="en-US" w:eastAsia="zh-CN" w:bidi="ar-SA"/>
    </w:rPr>
  </w:style>
  <w:style w:type="paragraph" w:customStyle="1" w:styleId="155">
    <w:name w:val="修订6"/>
    <w:hidden/>
    <w:semiHidden/>
    <w:qFormat/>
    <w:uiPriority w:val="99"/>
    <w:rPr>
      <w:rFonts w:ascii="Times New Roman" w:hAnsi="Times New Roman" w:eastAsia="宋体" w:cs="Times New Roman"/>
      <w:kern w:val="2"/>
      <w:sz w:val="21"/>
      <w:szCs w:val="21"/>
      <w:lang w:val="en-US" w:eastAsia="zh-CN" w:bidi="ar-SA"/>
    </w:rPr>
  </w:style>
  <w:style w:type="character" w:customStyle="1" w:styleId="156">
    <w:name w:val="da1"/>
    <w:qFormat/>
    <w:uiPriority w:val="0"/>
    <w:rPr>
      <w:color w:val="000000"/>
      <w:spacing w:val="36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wmf"/><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447</Pages>
  <Words>174171</Words>
  <Characters>181796</Characters>
  <Lines>1432</Lines>
  <Paragraphs>403</Paragraphs>
  <TotalTime>52</TotalTime>
  <ScaleCrop>false</ScaleCrop>
  <LinksUpToDate>false</LinksUpToDate>
  <CharactersWithSpaces>185606</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2024-09-28T06:33:00Z</dcterms:created>
  <cp:lastPrinted>2023-11-11T17:13:00Z</cp:lastPrinted>
  <dcterms:modified xsi:type="dcterms:W3CDTF">2026-08-21T08:54:28Z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45CC1CAAE486AB0E7B8E686AB8B328E3_43</vt:lpwstr>
  </property>
</Properties>
</file>