
<file path=[Content_Types].xml><?xml version="1.0" encoding="utf-8"?>
<Types xmlns="http://schemas.openxmlformats.org/package/2006/content-types">
  <Default Extension="xml" ContentType="application/xml"/>
  <Default Extension="bin" ContentType="application/vnd.openxmlformats-officedocument.oleObject"/>
  <Default Extension="wmf" ContentType="image/x-wmf"/>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D8999BC">
      <w:pPr>
        <w:ind w:firstLine="562"/>
        <w:jc w:val="center"/>
        <w:rPr>
          <w:rFonts w:ascii="Times New Roman" w:hAnsi="Times New Roman"/>
          <w:b/>
          <w:sz w:val="72"/>
          <w:szCs w:val="72"/>
        </w:rPr>
      </w:pPr>
      <w:bookmarkStart w:id="84" w:name="_GoBack"/>
      <w:bookmarkEnd w:id="84"/>
      <w:bookmarkStart w:id="0" w:name="_1595761539"/>
      <w:bookmarkEnd w:id="0"/>
      <w:bookmarkStart w:id="1" w:name="_Toc328024869"/>
      <w:bookmarkEnd w:id="1"/>
      <w:r>
        <w:rPr>
          <w:rFonts w:ascii="Times New Roman" w:hAnsi="Times New Roman"/>
          <w:b/>
          <w:sz w:val="28"/>
          <w:szCs w:val="28"/>
        </w:rPr>
        <w:pict>
          <v:shape id="_x0000_s2248" o:spid="_x0000_s2248" o:spt="75" type="#_x0000_t75" style="position:absolute;left:0pt;margin-left:194.9pt;margin-top:75.35pt;height:41pt;width:211pt;mso-position-horizontal-relative:page;mso-position-vertical-relative:page;z-index:-251637760;mso-width-relative:page;mso-height-relative:page;" o:ole="t" fillcolor="#6D6D6D" filled="f" o:preferrelative="t" stroked="f" coordsize="21600,21600">
            <v:path/>
            <v:fill on="f" focussize="0,0"/>
            <v:stroke on="f" joinstyle="miter"/>
            <v:imagedata r:id="rId15" o:title=""/>
            <o:lock v:ext="edit" aspectratio="t"/>
          </v:shape>
          <o:OLEObject Type="Embed" ProgID="Word.Picture.8" ShapeID="_x0000_s2248" DrawAspect="Content" ObjectID="_1468075725" r:id="rId14">
            <o:LockedField>false</o:LockedField>
          </o:OLEObject>
        </w:pict>
      </w:r>
    </w:p>
    <w:p w14:paraId="62DB8781">
      <w:pPr>
        <w:ind w:firstLine="0" w:firstLineChars="0"/>
        <w:rPr>
          <w:rFonts w:ascii="Times New Roman" w:hAnsi="Times New Roman"/>
          <w:b/>
          <w:bCs/>
          <w:sz w:val="36"/>
        </w:rPr>
      </w:pPr>
    </w:p>
    <w:p w14:paraId="1AEA4146">
      <w:pPr>
        <w:ind w:firstLine="0" w:firstLineChars="0"/>
        <w:rPr>
          <w:rFonts w:ascii="Times New Roman" w:hAnsi="Times New Roman"/>
          <w:b/>
          <w:bCs/>
          <w:sz w:val="36"/>
        </w:rPr>
      </w:pPr>
    </w:p>
    <w:p w14:paraId="27D6D301">
      <w:pPr>
        <w:ind w:firstLine="0" w:firstLineChars="0"/>
        <w:rPr>
          <w:rFonts w:ascii="Times New Roman" w:hAnsi="Times New Roman"/>
          <w:b/>
          <w:bCs/>
          <w:sz w:val="36"/>
        </w:rPr>
      </w:pPr>
    </w:p>
    <w:p w14:paraId="77698628">
      <w:pPr>
        <w:spacing w:line="720" w:lineRule="auto"/>
        <w:ind w:firstLine="0" w:firstLineChars="0"/>
        <w:rPr>
          <w:rFonts w:ascii="Times New Roman" w:hAnsi="Times New Roman" w:eastAsia="黑体"/>
          <w:b/>
          <w:bCs/>
          <w:sz w:val="44"/>
          <w:szCs w:val="44"/>
        </w:rPr>
      </w:pPr>
    </w:p>
    <w:p w14:paraId="264CA099">
      <w:pPr>
        <w:spacing w:line="720" w:lineRule="auto"/>
        <w:ind w:firstLine="0" w:firstLineChars="0"/>
        <w:jc w:val="center"/>
        <w:rPr>
          <w:rFonts w:ascii="Arial" w:hAnsi="Arial" w:eastAsia="黑体" w:cs="Arial"/>
          <w:b/>
          <w:bCs/>
          <w:sz w:val="44"/>
          <w:szCs w:val="44"/>
        </w:rPr>
      </w:pPr>
      <w:r>
        <w:rPr>
          <w:rFonts w:ascii="Arial" w:hAnsi="Arial" w:eastAsia="黑体" w:cs="Arial"/>
          <w:b/>
          <w:bCs/>
          <w:sz w:val="44"/>
          <w:szCs w:val="44"/>
        </w:rPr>
        <w:t>上海证券交易所公开募集不动产投资</w:t>
      </w:r>
    </w:p>
    <w:p w14:paraId="64B9CEFE">
      <w:pPr>
        <w:spacing w:line="720" w:lineRule="auto"/>
        <w:ind w:firstLine="0" w:firstLineChars="0"/>
        <w:jc w:val="center"/>
        <w:rPr>
          <w:rFonts w:ascii="Arial" w:hAnsi="Arial" w:eastAsia="黑体" w:cs="Arial"/>
          <w:b/>
          <w:bCs/>
          <w:sz w:val="44"/>
          <w:szCs w:val="44"/>
        </w:rPr>
      </w:pPr>
      <w:r>
        <w:rPr>
          <w:rFonts w:ascii="Arial" w:hAnsi="Arial" w:eastAsia="黑体" w:cs="Arial"/>
          <w:b/>
          <w:bCs/>
          <w:sz w:val="44"/>
          <w:szCs w:val="44"/>
        </w:rPr>
        <w:t>信托基金（</w:t>
      </w:r>
      <w:r>
        <w:rPr>
          <w:rFonts w:ascii="Times New Roman" w:hAnsi="Times New Roman" w:eastAsia="黑体" w:cs="Arial"/>
          <w:b/>
          <w:bCs/>
          <w:sz w:val="44"/>
          <w:szCs w:val="44"/>
        </w:rPr>
        <w:t>REITs</w:t>
      </w:r>
      <w:r>
        <w:rPr>
          <w:rFonts w:ascii="Arial" w:hAnsi="Arial" w:eastAsia="黑体" w:cs="Arial"/>
          <w:b/>
          <w:bCs/>
          <w:sz w:val="44"/>
          <w:szCs w:val="44"/>
        </w:rPr>
        <w:t>）业务指南第</w:t>
      </w:r>
      <w:r>
        <w:rPr>
          <w:rFonts w:ascii="Times New Roman" w:hAnsi="Times New Roman" w:eastAsia="黑体" w:cs="Arial"/>
          <w:b/>
          <w:bCs/>
          <w:sz w:val="44"/>
          <w:szCs w:val="44"/>
        </w:rPr>
        <w:t>2</w:t>
      </w:r>
      <w:r>
        <w:rPr>
          <w:rFonts w:ascii="Arial" w:hAnsi="Arial" w:eastAsia="黑体" w:cs="Arial"/>
          <w:b/>
          <w:bCs/>
          <w:sz w:val="44"/>
          <w:szCs w:val="44"/>
        </w:rPr>
        <w:t>号</w:t>
      </w:r>
    </w:p>
    <w:p w14:paraId="4746D611">
      <w:pPr>
        <w:spacing w:line="720" w:lineRule="auto"/>
        <w:ind w:firstLine="0" w:firstLineChars="0"/>
        <w:jc w:val="center"/>
        <w:rPr>
          <w:rFonts w:ascii="Arial" w:hAnsi="Arial" w:eastAsia="黑体" w:cs="Arial"/>
          <w:b/>
          <w:bCs/>
          <w:sz w:val="44"/>
          <w:szCs w:val="44"/>
        </w:rPr>
      </w:pPr>
      <w:r>
        <w:rPr>
          <w:rFonts w:ascii="Arial" w:hAnsi="Arial" w:eastAsia="黑体" w:cs="Arial"/>
          <w:b/>
          <w:bCs/>
          <w:sz w:val="44"/>
          <w:szCs w:val="44"/>
        </w:rPr>
        <w:t>——存续业务</w:t>
      </w:r>
    </w:p>
    <w:p w14:paraId="038F2452">
      <w:pPr>
        <w:ind w:firstLine="0" w:firstLineChars="0"/>
        <w:rPr>
          <w:rFonts w:ascii="Times New Roman" w:hAnsi="Times New Roman"/>
          <w:b/>
          <w:bCs/>
          <w:sz w:val="36"/>
        </w:rPr>
      </w:pPr>
    </w:p>
    <w:p w14:paraId="2570FE9C">
      <w:pPr>
        <w:ind w:firstLine="0" w:firstLineChars="0"/>
        <w:rPr>
          <w:rFonts w:ascii="Times New Roman" w:hAnsi="Times New Roman"/>
          <w:b/>
          <w:bCs/>
          <w:sz w:val="36"/>
        </w:rPr>
      </w:pPr>
    </w:p>
    <w:p w14:paraId="7AE46F93">
      <w:pPr>
        <w:ind w:firstLine="0" w:firstLineChars="0"/>
        <w:rPr>
          <w:rFonts w:ascii="Times New Roman" w:hAnsi="Times New Roman"/>
          <w:b/>
          <w:bCs/>
          <w:sz w:val="36"/>
        </w:rPr>
      </w:pPr>
    </w:p>
    <w:p w14:paraId="2899507E">
      <w:pPr>
        <w:ind w:firstLine="0" w:firstLineChars="0"/>
        <w:jc w:val="center"/>
        <w:outlineLvl w:val="1"/>
        <w:rPr>
          <w:rFonts w:ascii="Times New Roman" w:hAnsi="Times New Roman"/>
          <w:b/>
          <w:sz w:val="84"/>
          <w:szCs w:val="84"/>
        </w:rPr>
      </w:pPr>
    </w:p>
    <w:p w14:paraId="1CB1AF71">
      <w:pPr>
        <w:ind w:firstLine="0" w:firstLineChars="0"/>
        <w:jc w:val="center"/>
        <w:outlineLvl w:val="1"/>
        <w:rPr>
          <w:rFonts w:ascii="Times New Roman" w:hAnsi="Times New Roman"/>
          <w:b/>
          <w:sz w:val="84"/>
          <w:szCs w:val="84"/>
        </w:rPr>
      </w:pPr>
    </w:p>
    <w:p w14:paraId="67A44855">
      <w:pPr>
        <w:pStyle w:val="32"/>
        <w:widowControl w:val="0"/>
        <w:spacing w:after="120"/>
        <w:jc w:val="center"/>
        <w:rPr>
          <w:rFonts w:eastAsia="华文楷体"/>
          <w:b/>
          <w:bCs/>
          <w:sz w:val="32"/>
          <w:szCs w:val="32"/>
          <w:lang w:eastAsia="zh-CN"/>
        </w:rPr>
      </w:pPr>
      <w:r>
        <w:rPr>
          <w:rFonts w:hAnsi="华文楷体" w:eastAsia="华文楷体"/>
          <w:b/>
          <w:bCs/>
          <w:sz w:val="32"/>
          <w:szCs w:val="32"/>
          <w:lang w:eastAsia="zh-CN"/>
        </w:rPr>
        <w:t>上海证券交易所</w:t>
      </w:r>
    </w:p>
    <w:p w14:paraId="2477CD42">
      <w:pPr>
        <w:pStyle w:val="32"/>
        <w:widowControl w:val="0"/>
        <w:spacing w:after="120"/>
        <w:jc w:val="center"/>
        <w:rPr>
          <w:rFonts w:eastAsia="华文楷体"/>
          <w:b/>
          <w:bCs/>
          <w:sz w:val="32"/>
          <w:szCs w:val="32"/>
          <w:lang w:eastAsia="zh-CN"/>
        </w:rPr>
      </w:pPr>
      <w:r>
        <w:rPr>
          <w:rFonts w:eastAsia="华文楷体"/>
          <w:b/>
          <w:bCs/>
          <w:sz w:val="32"/>
          <w:szCs w:val="32"/>
          <w:lang w:eastAsia="zh-CN"/>
        </w:rPr>
        <w:t>202</w:t>
      </w:r>
      <w:r>
        <w:rPr>
          <w:rFonts w:hint="eastAsia" w:eastAsia="华文楷体"/>
          <w:b/>
          <w:bCs/>
          <w:sz w:val="32"/>
          <w:szCs w:val="32"/>
          <w:lang w:val="en-US" w:eastAsia="zh-CN"/>
        </w:rPr>
        <w:t>6</w:t>
      </w:r>
      <w:r>
        <w:rPr>
          <w:rFonts w:hAnsi="华文楷体" w:eastAsia="华文楷体"/>
          <w:b/>
          <w:bCs/>
          <w:sz w:val="32"/>
          <w:szCs w:val="32"/>
          <w:lang w:eastAsia="zh-CN"/>
        </w:rPr>
        <w:t>年</w:t>
      </w:r>
      <w:r>
        <w:rPr>
          <w:rFonts w:hint="eastAsia" w:hAnsi="华文楷体" w:eastAsia="华文楷体"/>
          <w:b/>
          <w:bCs/>
          <w:sz w:val="32"/>
          <w:szCs w:val="32"/>
          <w:lang w:val="en-US" w:eastAsia="zh-CN"/>
        </w:rPr>
        <w:t>8</w:t>
      </w:r>
      <w:r>
        <w:rPr>
          <w:rFonts w:hAnsi="华文楷体" w:eastAsia="华文楷体"/>
          <w:b/>
          <w:bCs/>
          <w:sz w:val="32"/>
          <w:szCs w:val="32"/>
          <w:lang w:eastAsia="zh-CN"/>
        </w:rPr>
        <w:t>月</w:t>
      </w:r>
    </w:p>
    <w:p w14:paraId="230A116E">
      <w:pPr>
        <w:ind w:firstLine="562"/>
        <w:jc w:val="center"/>
        <w:rPr>
          <w:rFonts w:ascii="Times New Roman" w:hAnsi="Times New Roman"/>
          <w:b/>
          <w:bCs/>
          <w:sz w:val="28"/>
          <w:szCs w:val="28"/>
        </w:rPr>
      </w:pPr>
    </w:p>
    <w:p w14:paraId="544B6221">
      <w:pPr>
        <w:widowControl/>
        <w:ind w:firstLine="562"/>
        <w:jc w:val="left"/>
        <w:rPr>
          <w:rFonts w:ascii="Times New Roman" w:hAnsi="Times New Roman"/>
          <w:b/>
          <w:bCs/>
          <w:sz w:val="28"/>
          <w:szCs w:val="28"/>
        </w:rPr>
      </w:pPr>
      <w:r>
        <w:rPr>
          <w:rFonts w:ascii="Times New Roman" w:hAnsi="Times New Roman"/>
          <w:b/>
          <w:bCs/>
          <w:sz w:val="28"/>
          <w:szCs w:val="28"/>
        </w:rPr>
        <w:br w:type="page"/>
      </w:r>
    </w:p>
    <w:p w14:paraId="6B007C87">
      <w:pPr>
        <w:pStyle w:val="33"/>
        <w:spacing w:before="156" w:after="156"/>
        <w:ind w:firstLine="0" w:firstLineChars="0"/>
        <w:jc w:val="center"/>
        <w:rPr>
          <w:rFonts w:ascii="Times New Roman" w:hAnsi="Times New Roman"/>
        </w:rPr>
      </w:pPr>
      <w:r>
        <w:rPr>
          <w:rFonts w:ascii="Times New Roman"/>
          <w:lang w:val="zh-CN"/>
        </w:rPr>
        <w:t>目</w:t>
      </w:r>
      <w:r>
        <w:rPr>
          <w:rFonts w:ascii="Times New Roman" w:hAnsi="Times New Roman"/>
          <w:lang w:val="zh-CN"/>
        </w:rPr>
        <w:t xml:space="preserve">  </w:t>
      </w:r>
      <w:r>
        <w:rPr>
          <w:rFonts w:ascii="Times New Roman"/>
          <w:lang w:val="zh-CN"/>
        </w:rPr>
        <w:t>录</w:t>
      </w:r>
    </w:p>
    <w:p w14:paraId="7AE8B82C">
      <w:pPr>
        <w:pStyle w:val="13"/>
        <w:tabs>
          <w:tab w:val="right" w:leader="dot" w:pos="8312"/>
        </w:tabs>
      </w:pPr>
      <w:r>
        <w:rPr>
          <w:rFonts w:ascii="Times New Roman" w:hAnsi="Times New Roman"/>
          <w:sz w:val="28"/>
          <w:szCs w:val="28"/>
        </w:rPr>
        <w:fldChar w:fldCharType="begin"/>
      </w:r>
      <w:r>
        <w:rPr>
          <w:rFonts w:ascii="Times New Roman" w:hAnsi="Times New Roman"/>
          <w:sz w:val="28"/>
          <w:szCs w:val="28"/>
        </w:rPr>
        <w:instrText xml:space="preserve"> TOC \o "1-2" \h \z \u </w:instrText>
      </w:r>
      <w:r>
        <w:rPr>
          <w:rFonts w:ascii="Times New Roman" w:hAnsi="Times New Roman"/>
          <w:sz w:val="28"/>
          <w:szCs w:val="28"/>
        </w:rPr>
        <w:fldChar w:fldCharType="separate"/>
      </w:r>
      <w:r>
        <w:rPr>
          <w:rFonts w:ascii="Times New Roman" w:hAnsi="Times New Roman"/>
          <w:szCs w:val="28"/>
        </w:rPr>
        <w:fldChar w:fldCharType="begin"/>
      </w:r>
      <w:r>
        <w:rPr>
          <w:rFonts w:ascii="Times New Roman" w:hAnsi="Times New Roman"/>
          <w:szCs w:val="28"/>
        </w:rPr>
        <w:instrText xml:space="preserve"> HYPERLINK \l _Toc1573835552 </w:instrText>
      </w:r>
      <w:r>
        <w:rPr>
          <w:rFonts w:ascii="Times New Roman" w:hAnsi="Times New Roman"/>
          <w:szCs w:val="28"/>
        </w:rPr>
        <w:fldChar w:fldCharType="separate"/>
      </w:r>
      <w:r>
        <w:rPr>
          <w:rFonts w:ascii="Times New Roman" w:hAnsi="黑体"/>
          <w:szCs w:val="36"/>
        </w:rPr>
        <w:t>引</w:t>
      </w:r>
      <w:r>
        <w:rPr>
          <w:rFonts w:hint="eastAsia" w:ascii="Times New Roman" w:hAnsi="黑体"/>
          <w:szCs w:val="36"/>
        </w:rPr>
        <w:t xml:space="preserve">  </w:t>
      </w:r>
      <w:r>
        <w:rPr>
          <w:rFonts w:ascii="Times New Roman" w:hAnsi="黑体"/>
          <w:szCs w:val="36"/>
        </w:rPr>
        <w:t>言</w:t>
      </w:r>
      <w:r>
        <w:tab/>
      </w:r>
      <w:r>
        <w:fldChar w:fldCharType="begin"/>
      </w:r>
      <w:r>
        <w:instrText xml:space="preserve"> PAGEREF _Toc1573835552 \h </w:instrText>
      </w:r>
      <w:r>
        <w:fldChar w:fldCharType="separate"/>
      </w:r>
      <w:r>
        <w:t>4</w:t>
      </w:r>
      <w:r>
        <w:fldChar w:fldCharType="end"/>
      </w:r>
      <w:r>
        <w:rPr>
          <w:rFonts w:ascii="Times New Roman" w:hAnsi="Times New Roman"/>
          <w:szCs w:val="28"/>
        </w:rPr>
        <w:fldChar w:fldCharType="end"/>
      </w:r>
    </w:p>
    <w:p w14:paraId="71551083">
      <w:pPr>
        <w:pStyle w:val="13"/>
        <w:tabs>
          <w:tab w:val="right" w:leader="dot" w:pos="8312"/>
        </w:tabs>
      </w:pPr>
      <w:r>
        <w:rPr>
          <w:rFonts w:ascii="Times New Roman" w:hAnsi="Times New Roman"/>
          <w:szCs w:val="28"/>
        </w:rPr>
        <w:fldChar w:fldCharType="begin"/>
      </w:r>
      <w:r>
        <w:rPr>
          <w:rFonts w:ascii="Times New Roman" w:hAnsi="Times New Roman"/>
          <w:szCs w:val="28"/>
        </w:rPr>
        <w:instrText xml:space="preserve"> HYPERLINK \l _Toc244581559 </w:instrText>
      </w:r>
      <w:r>
        <w:rPr>
          <w:rFonts w:ascii="Times New Roman" w:hAnsi="Times New Roman"/>
          <w:szCs w:val="28"/>
        </w:rPr>
        <w:fldChar w:fldCharType="separate"/>
      </w:r>
      <w:r>
        <w:rPr>
          <w:rFonts w:ascii="Times New Roman"/>
        </w:rPr>
        <w:t>第一章</w:t>
      </w:r>
      <w:r>
        <w:rPr>
          <w:rFonts w:ascii="Times New Roman" w:hAnsi="Times New Roman"/>
        </w:rPr>
        <w:t xml:space="preserve">  </w:t>
      </w:r>
      <w:r>
        <w:rPr>
          <w:rFonts w:ascii="Times New Roman"/>
        </w:rPr>
        <w:t>交易业务安排</w:t>
      </w:r>
      <w:r>
        <w:tab/>
      </w:r>
      <w:r>
        <w:fldChar w:fldCharType="begin"/>
      </w:r>
      <w:r>
        <w:instrText xml:space="preserve"> PAGEREF _Toc244581559 \h </w:instrText>
      </w:r>
      <w:r>
        <w:fldChar w:fldCharType="separate"/>
      </w:r>
      <w:r>
        <w:t>5</w:t>
      </w:r>
      <w:r>
        <w:fldChar w:fldCharType="end"/>
      </w:r>
      <w:r>
        <w:rPr>
          <w:rFonts w:ascii="Times New Roman" w:hAnsi="Times New Roman"/>
          <w:szCs w:val="28"/>
        </w:rPr>
        <w:fldChar w:fldCharType="end"/>
      </w:r>
    </w:p>
    <w:p w14:paraId="0C2EE317">
      <w:pPr>
        <w:pStyle w:val="15"/>
        <w:tabs>
          <w:tab w:val="right" w:leader="dot" w:pos="8312"/>
        </w:tabs>
      </w:pPr>
      <w:r>
        <w:rPr>
          <w:rFonts w:ascii="Times New Roman" w:hAnsi="Times New Roman"/>
          <w:szCs w:val="28"/>
        </w:rPr>
        <w:fldChar w:fldCharType="begin"/>
      </w:r>
      <w:r>
        <w:rPr>
          <w:rFonts w:ascii="Times New Roman" w:hAnsi="Times New Roman"/>
          <w:szCs w:val="28"/>
        </w:rPr>
        <w:instrText xml:space="preserve"> HYPERLINK \l _Toc241421495 </w:instrText>
      </w:r>
      <w:r>
        <w:rPr>
          <w:rFonts w:ascii="Times New Roman" w:hAnsi="Times New Roman"/>
          <w:szCs w:val="28"/>
        </w:rPr>
        <w:fldChar w:fldCharType="separate"/>
      </w:r>
      <w:r>
        <w:rPr>
          <w:rFonts w:ascii="Times New Roman"/>
        </w:rPr>
        <w:t>一、现券交易</w:t>
      </w:r>
      <w:r>
        <w:tab/>
      </w:r>
      <w:r>
        <w:fldChar w:fldCharType="begin"/>
      </w:r>
      <w:r>
        <w:instrText xml:space="preserve"> PAGEREF _Toc241421495 \h </w:instrText>
      </w:r>
      <w:r>
        <w:fldChar w:fldCharType="separate"/>
      </w:r>
      <w:r>
        <w:t>5</w:t>
      </w:r>
      <w:r>
        <w:fldChar w:fldCharType="end"/>
      </w:r>
      <w:r>
        <w:rPr>
          <w:rFonts w:ascii="Times New Roman" w:hAnsi="Times New Roman"/>
          <w:szCs w:val="28"/>
        </w:rPr>
        <w:fldChar w:fldCharType="end"/>
      </w:r>
    </w:p>
    <w:p w14:paraId="11E88032">
      <w:pPr>
        <w:pStyle w:val="15"/>
        <w:tabs>
          <w:tab w:val="right" w:leader="dot" w:pos="8312"/>
        </w:tabs>
      </w:pPr>
      <w:r>
        <w:rPr>
          <w:rFonts w:ascii="Times New Roman" w:hAnsi="Times New Roman"/>
          <w:szCs w:val="28"/>
        </w:rPr>
        <w:fldChar w:fldCharType="begin"/>
      </w:r>
      <w:r>
        <w:rPr>
          <w:rFonts w:ascii="Times New Roman" w:hAnsi="Times New Roman"/>
          <w:szCs w:val="28"/>
        </w:rPr>
        <w:instrText xml:space="preserve"> HYPERLINK \l _Toc400941659 </w:instrText>
      </w:r>
      <w:r>
        <w:rPr>
          <w:rFonts w:ascii="Times New Roman" w:hAnsi="Times New Roman"/>
          <w:szCs w:val="28"/>
        </w:rPr>
        <w:fldChar w:fldCharType="separate"/>
      </w:r>
      <w:r>
        <w:rPr>
          <w:rFonts w:ascii="Times New Roman"/>
        </w:rPr>
        <w:t>二、融资业务</w:t>
      </w:r>
      <w:r>
        <w:tab/>
      </w:r>
      <w:r>
        <w:fldChar w:fldCharType="begin"/>
      </w:r>
      <w:r>
        <w:instrText xml:space="preserve"> PAGEREF _Toc400941659 \h </w:instrText>
      </w:r>
      <w:r>
        <w:fldChar w:fldCharType="separate"/>
      </w:r>
      <w:r>
        <w:t>7</w:t>
      </w:r>
      <w:r>
        <w:fldChar w:fldCharType="end"/>
      </w:r>
      <w:r>
        <w:rPr>
          <w:rFonts w:ascii="Times New Roman" w:hAnsi="Times New Roman"/>
          <w:szCs w:val="28"/>
        </w:rPr>
        <w:fldChar w:fldCharType="end"/>
      </w:r>
    </w:p>
    <w:p w14:paraId="747BFEF5">
      <w:pPr>
        <w:pStyle w:val="13"/>
        <w:tabs>
          <w:tab w:val="right" w:leader="dot" w:pos="8312"/>
        </w:tabs>
      </w:pPr>
      <w:r>
        <w:rPr>
          <w:rFonts w:ascii="Times New Roman" w:hAnsi="Times New Roman"/>
          <w:szCs w:val="28"/>
        </w:rPr>
        <w:fldChar w:fldCharType="begin"/>
      </w:r>
      <w:r>
        <w:rPr>
          <w:rFonts w:ascii="Times New Roman" w:hAnsi="Times New Roman"/>
          <w:szCs w:val="28"/>
        </w:rPr>
        <w:instrText xml:space="preserve"> HYPERLINK \l _Toc1646591229 </w:instrText>
      </w:r>
      <w:r>
        <w:rPr>
          <w:rFonts w:ascii="Times New Roman" w:hAnsi="Times New Roman"/>
          <w:szCs w:val="28"/>
        </w:rPr>
        <w:fldChar w:fldCharType="separate"/>
      </w:r>
      <w:r>
        <w:rPr>
          <w:rFonts w:ascii="Times New Roman"/>
        </w:rPr>
        <w:t>第二章</w:t>
      </w:r>
      <w:r>
        <w:rPr>
          <w:rFonts w:ascii="Times New Roman" w:hAnsi="Times New Roman"/>
        </w:rPr>
        <w:t xml:space="preserve">  </w:t>
      </w:r>
      <w:r>
        <w:rPr>
          <w:rFonts w:ascii="Times New Roman"/>
        </w:rPr>
        <w:t>日常运作业务</w:t>
      </w:r>
      <w:r>
        <w:tab/>
      </w:r>
      <w:r>
        <w:fldChar w:fldCharType="begin"/>
      </w:r>
      <w:r>
        <w:instrText xml:space="preserve"> PAGEREF _Toc1646591229 \h </w:instrText>
      </w:r>
      <w:r>
        <w:fldChar w:fldCharType="separate"/>
      </w:r>
      <w:r>
        <w:t>10</w:t>
      </w:r>
      <w:r>
        <w:fldChar w:fldCharType="end"/>
      </w:r>
      <w:r>
        <w:rPr>
          <w:rFonts w:ascii="Times New Roman" w:hAnsi="Times New Roman"/>
          <w:szCs w:val="28"/>
        </w:rPr>
        <w:fldChar w:fldCharType="end"/>
      </w:r>
    </w:p>
    <w:p w14:paraId="294E021D">
      <w:pPr>
        <w:pStyle w:val="15"/>
        <w:tabs>
          <w:tab w:val="right" w:leader="dot" w:pos="8312"/>
        </w:tabs>
      </w:pPr>
      <w:r>
        <w:rPr>
          <w:rFonts w:ascii="Times New Roman" w:hAnsi="Times New Roman"/>
          <w:szCs w:val="28"/>
        </w:rPr>
        <w:fldChar w:fldCharType="begin"/>
      </w:r>
      <w:r>
        <w:rPr>
          <w:rFonts w:ascii="Times New Roman" w:hAnsi="Times New Roman"/>
          <w:szCs w:val="28"/>
        </w:rPr>
        <w:instrText xml:space="preserve"> HYPERLINK \l _Toc598139661 </w:instrText>
      </w:r>
      <w:r>
        <w:rPr>
          <w:rFonts w:ascii="Times New Roman" w:hAnsi="Times New Roman"/>
          <w:szCs w:val="28"/>
        </w:rPr>
        <w:fldChar w:fldCharType="separate"/>
      </w:r>
      <w:r>
        <w:rPr>
          <w:rFonts w:ascii="Times New Roman"/>
        </w:rPr>
        <w:t>一、一般规定</w:t>
      </w:r>
      <w:r>
        <w:tab/>
      </w:r>
      <w:r>
        <w:fldChar w:fldCharType="begin"/>
      </w:r>
      <w:r>
        <w:instrText xml:space="preserve"> PAGEREF _Toc598139661 \h </w:instrText>
      </w:r>
      <w:r>
        <w:fldChar w:fldCharType="separate"/>
      </w:r>
      <w:r>
        <w:t>10</w:t>
      </w:r>
      <w:r>
        <w:fldChar w:fldCharType="end"/>
      </w:r>
      <w:r>
        <w:rPr>
          <w:rFonts w:ascii="Times New Roman" w:hAnsi="Times New Roman"/>
          <w:szCs w:val="28"/>
        </w:rPr>
        <w:fldChar w:fldCharType="end"/>
      </w:r>
    </w:p>
    <w:p w14:paraId="2C361CD7">
      <w:pPr>
        <w:pStyle w:val="15"/>
        <w:tabs>
          <w:tab w:val="right" w:leader="dot" w:pos="8312"/>
        </w:tabs>
      </w:pPr>
      <w:r>
        <w:rPr>
          <w:rFonts w:ascii="Times New Roman" w:hAnsi="Times New Roman"/>
          <w:szCs w:val="28"/>
        </w:rPr>
        <w:fldChar w:fldCharType="begin"/>
      </w:r>
      <w:r>
        <w:rPr>
          <w:rFonts w:ascii="Times New Roman" w:hAnsi="Times New Roman"/>
          <w:szCs w:val="28"/>
        </w:rPr>
        <w:instrText xml:space="preserve"> HYPERLINK \l _Toc1853416798 </w:instrText>
      </w:r>
      <w:r>
        <w:rPr>
          <w:rFonts w:ascii="Times New Roman" w:hAnsi="Times New Roman"/>
          <w:szCs w:val="28"/>
        </w:rPr>
        <w:fldChar w:fldCharType="separate"/>
      </w:r>
      <w:r>
        <w:rPr>
          <w:rFonts w:ascii="Times New Roman"/>
        </w:rPr>
        <w:t>二、暂停（恢复）转托管</w:t>
      </w:r>
      <w:r>
        <w:tab/>
      </w:r>
      <w:r>
        <w:fldChar w:fldCharType="begin"/>
      </w:r>
      <w:r>
        <w:instrText xml:space="preserve"> PAGEREF _Toc1853416798 \h </w:instrText>
      </w:r>
      <w:r>
        <w:fldChar w:fldCharType="separate"/>
      </w:r>
      <w:r>
        <w:t>11</w:t>
      </w:r>
      <w:r>
        <w:fldChar w:fldCharType="end"/>
      </w:r>
      <w:r>
        <w:rPr>
          <w:rFonts w:ascii="Times New Roman" w:hAnsi="Times New Roman"/>
          <w:szCs w:val="28"/>
        </w:rPr>
        <w:fldChar w:fldCharType="end"/>
      </w:r>
    </w:p>
    <w:p w14:paraId="35D77757">
      <w:pPr>
        <w:pStyle w:val="15"/>
        <w:tabs>
          <w:tab w:val="right" w:leader="dot" w:pos="8312"/>
        </w:tabs>
      </w:pPr>
      <w:r>
        <w:rPr>
          <w:rFonts w:ascii="Times New Roman" w:hAnsi="Times New Roman"/>
          <w:szCs w:val="28"/>
        </w:rPr>
        <w:fldChar w:fldCharType="begin"/>
      </w:r>
      <w:r>
        <w:rPr>
          <w:rFonts w:ascii="Times New Roman" w:hAnsi="Times New Roman"/>
          <w:szCs w:val="28"/>
        </w:rPr>
        <w:instrText xml:space="preserve"> HYPERLINK \l _Toc1889788448 </w:instrText>
      </w:r>
      <w:r>
        <w:rPr>
          <w:rFonts w:ascii="Times New Roman" w:hAnsi="Times New Roman"/>
          <w:szCs w:val="28"/>
        </w:rPr>
        <w:fldChar w:fldCharType="separate"/>
      </w:r>
      <w:r>
        <w:rPr>
          <w:rFonts w:ascii="Times New Roman"/>
        </w:rPr>
        <w:t>三、常规停复牌</w:t>
      </w:r>
      <w:r>
        <w:tab/>
      </w:r>
      <w:r>
        <w:fldChar w:fldCharType="begin"/>
      </w:r>
      <w:r>
        <w:instrText xml:space="preserve"> PAGEREF _Toc1889788448 \h </w:instrText>
      </w:r>
      <w:r>
        <w:fldChar w:fldCharType="separate"/>
      </w:r>
      <w:r>
        <w:t>13</w:t>
      </w:r>
      <w:r>
        <w:fldChar w:fldCharType="end"/>
      </w:r>
      <w:r>
        <w:rPr>
          <w:rFonts w:ascii="Times New Roman" w:hAnsi="Times New Roman"/>
          <w:szCs w:val="28"/>
        </w:rPr>
        <w:fldChar w:fldCharType="end"/>
      </w:r>
    </w:p>
    <w:p w14:paraId="18C57D07">
      <w:pPr>
        <w:pStyle w:val="15"/>
        <w:tabs>
          <w:tab w:val="right" w:leader="dot" w:pos="8312"/>
        </w:tabs>
      </w:pPr>
      <w:r>
        <w:rPr>
          <w:rFonts w:ascii="Times New Roman" w:hAnsi="Times New Roman"/>
          <w:szCs w:val="28"/>
        </w:rPr>
        <w:fldChar w:fldCharType="begin"/>
      </w:r>
      <w:r>
        <w:rPr>
          <w:rFonts w:ascii="Times New Roman" w:hAnsi="Times New Roman"/>
          <w:szCs w:val="28"/>
        </w:rPr>
        <w:instrText xml:space="preserve"> HYPERLINK \l _Toc317797455 </w:instrText>
      </w:r>
      <w:r>
        <w:rPr>
          <w:rFonts w:ascii="Times New Roman" w:hAnsi="Times New Roman"/>
          <w:szCs w:val="28"/>
        </w:rPr>
        <w:fldChar w:fldCharType="separate"/>
      </w:r>
      <w:r>
        <w:rPr>
          <w:rFonts w:ascii="Times New Roman"/>
        </w:rPr>
        <w:t>四、分红</w:t>
      </w:r>
      <w:r>
        <w:tab/>
      </w:r>
      <w:r>
        <w:fldChar w:fldCharType="begin"/>
      </w:r>
      <w:r>
        <w:instrText xml:space="preserve"> PAGEREF _Toc317797455 \h </w:instrText>
      </w:r>
      <w:r>
        <w:fldChar w:fldCharType="separate"/>
      </w:r>
      <w:r>
        <w:t>16</w:t>
      </w:r>
      <w:r>
        <w:fldChar w:fldCharType="end"/>
      </w:r>
      <w:r>
        <w:rPr>
          <w:rFonts w:ascii="Times New Roman" w:hAnsi="Times New Roman"/>
          <w:szCs w:val="28"/>
        </w:rPr>
        <w:fldChar w:fldCharType="end"/>
      </w:r>
    </w:p>
    <w:p w14:paraId="058DE7D4">
      <w:pPr>
        <w:pStyle w:val="15"/>
        <w:tabs>
          <w:tab w:val="right" w:leader="dot" w:pos="8312"/>
        </w:tabs>
      </w:pPr>
      <w:r>
        <w:rPr>
          <w:rFonts w:ascii="Times New Roman" w:hAnsi="Times New Roman"/>
          <w:szCs w:val="28"/>
        </w:rPr>
        <w:fldChar w:fldCharType="begin"/>
      </w:r>
      <w:r>
        <w:rPr>
          <w:rFonts w:ascii="Times New Roman" w:hAnsi="Times New Roman"/>
          <w:szCs w:val="28"/>
        </w:rPr>
        <w:instrText xml:space="preserve"> HYPERLINK \l _Toc402938032 </w:instrText>
      </w:r>
      <w:r>
        <w:rPr>
          <w:rFonts w:ascii="Times New Roman" w:hAnsi="Times New Roman"/>
          <w:szCs w:val="28"/>
        </w:rPr>
        <w:fldChar w:fldCharType="separate"/>
      </w:r>
      <w:r>
        <w:rPr>
          <w:rFonts w:ascii="Times New Roman" w:hAnsi="Times New Roman"/>
        </w:rPr>
        <w:t>五、更名</w:t>
      </w:r>
      <w:r>
        <w:tab/>
      </w:r>
      <w:r>
        <w:fldChar w:fldCharType="begin"/>
      </w:r>
      <w:r>
        <w:instrText xml:space="preserve"> PAGEREF _Toc402938032 \h </w:instrText>
      </w:r>
      <w:r>
        <w:fldChar w:fldCharType="separate"/>
      </w:r>
      <w:r>
        <w:t>16</w:t>
      </w:r>
      <w:r>
        <w:fldChar w:fldCharType="end"/>
      </w:r>
      <w:r>
        <w:rPr>
          <w:rFonts w:ascii="Times New Roman" w:hAnsi="Times New Roman"/>
          <w:szCs w:val="28"/>
        </w:rPr>
        <w:fldChar w:fldCharType="end"/>
      </w:r>
    </w:p>
    <w:p w14:paraId="04181000">
      <w:pPr>
        <w:pStyle w:val="15"/>
        <w:tabs>
          <w:tab w:val="right" w:leader="dot" w:pos="8312"/>
        </w:tabs>
      </w:pPr>
      <w:r>
        <w:rPr>
          <w:rFonts w:ascii="Times New Roman" w:hAnsi="Times New Roman"/>
          <w:szCs w:val="28"/>
        </w:rPr>
        <w:fldChar w:fldCharType="begin"/>
      </w:r>
      <w:r>
        <w:rPr>
          <w:rFonts w:ascii="Times New Roman" w:hAnsi="Times New Roman"/>
          <w:szCs w:val="28"/>
        </w:rPr>
        <w:instrText xml:space="preserve"> HYPERLINK \l _Toc966315983 </w:instrText>
      </w:r>
      <w:r>
        <w:rPr>
          <w:rFonts w:ascii="Times New Roman" w:hAnsi="Times New Roman"/>
          <w:szCs w:val="28"/>
        </w:rPr>
        <w:fldChar w:fldCharType="separate"/>
      </w:r>
      <w:r>
        <w:rPr>
          <w:rFonts w:ascii="Times New Roman" w:hAnsi="Times New Roman"/>
        </w:rPr>
        <w:t>六、定期和临时报告信息披露</w:t>
      </w:r>
      <w:r>
        <w:tab/>
      </w:r>
      <w:r>
        <w:fldChar w:fldCharType="begin"/>
      </w:r>
      <w:r>
        <w:instrText xml:space="preserve"> PAGEREF _Toc966315983 \h </w:instrText>
      </w:r>
      <w:r>
        <w:fldChar w:fldCharType="separate"/>
      </w:r>
      <w:r>
        <w:t>18</w:t>
      </w:r>
      <w:r>
        <w:fldChar w:fldCharType="end"/>
      </w:r>
      <w:r>
        <w:rPr>
          <w:rFonts w:ascii="Times New Roman" w:hAnsi="Times New Roman"/>
          <w:szCs w:val="28"/>
        </w:rPr>
        <w:fldChar w:fldCharType="end"/>
      </w:r>
    </w:p>
    <w:p w14:paraId="207646DF">
      <w:pPr>
        <w:pStyle w:val="15"/>
        <w:tabs>
          <w:tab w:val="right" w:leader="dot" w:pos="8312"/>
        </w:tabs>
      </w:pPr>
      <w:r>
        <w:rPr>
          <w:rFonts w:ascii="Times New Roman" w:hAnsi="Times New Roman"/>
          <w:szCs w:val="28"/>
        </w:rPr>
        <w:fldChar w:fldCharType="begin"/>
      </w:r>
      <w:r>
        <w:rPr>
          <w:rFonts w:ascii="Times New Roman" w:hAnsi="Times New Roman"/>
          <w:szCs w:val="28"/>
        </w:rPr>
        <w:instrText xml:space="preserve"> HYPERLINK \l _Toc1782800043 </w:instrText>
      </w:r>
      <w:r>
        <w:rPr>
          <w:rFonts w:ascii="Times New Roman" w:hAnsi="Times New Roman"/>
          <w:szCs w:val="28"/>
        </w:rPr>
        <w:fldChar w:fldCharType="separate"/>
      </w:r>
      <w:r>
        <w:rPr>
          <w:rFonts w:ascii="Times New Roman" w:hAnsi="Times New Roman"/>
        </w:rPr>
        <w:t>七、摘牌</w:t>
      </w:r>
      <w:r>
        <w:tab/>
      </w:r>
      <w:r>
        <w:fldChar w:fldCharType="begin"/>
      </w:r>
      <w:r>
        <w:instrText xml:space="preserve"> PAGEREF _Toc1782800043 \h </w:instrText>
      </w:r>
      <w:r>
        <w:fldChar w:fldCharType="separate"/>
      </w:r>
      <w:r>
        <w:t>20</w:t>
      </w:r>
      <w:r>
        <w:fldChar w:fldCharType="end"/>
      </w:r>
      <w:r>
        <w:rPr>
          <w:rFonts w:ascii="Times New Roman" w:hAnsi="Times New Roman"/>
          <w:szCs w:val="28"/>
        </w:rPr>
        <w:fldChar w:fldCharType="end"/>
      </w:r>
    </w:p>
    <w:p w14:paraId="7E6A42DB">
      <w:pPr>
        <w:pStyle w:val="15"/>
        <w:tabs>
          <w:tab w:val="right" w:leader="dot" w:pos="8312"/>
        </w:tabs>
      </w:pPr>
      <w:r>
        <w:rPr>
          <w:rFonts w:ascii="Times New Roman" w:hAnsi="Times New Roman"/>
          <w:szCs w:val="28"/>
        </w:rPr>
        <w:fldChar w:fldCharType="begin"/>
      </w:r>
      <w:r>
        <w:rPr>
          <w:rFonts w:ascii="Times New Roman" w:hAnsi="Times New Roman"/>
          <w:szCs w:val="28"/>
        </w:rPr>
        <w:instrText xml:space="preserve"> HYPERLINK \l _Toc1657413512 </w:instrText>
      </w:r>
      <w:r>
        <w:rPr>
          <w:rFonts w:ascii="Times New Roman" w:hAnsi="Times New Roman"/>
          <w:szCs w:val="28"/>
        </w:rPr>
        <w:fldChar w:fldCharType="separate"/>
      </w:r>
      <w:r>
        <w:rPr>
          <w:rFonts w:ascii="Times New Roman" w:hAnsi="Times New Roman"/>
        </w:rPr>
        <w:t>八、解除限售/锁定</w:t>
      </w:r>
      <w:r>
        <w:tab/>
      </w:r>
      <w:r>
        <w:fldChar w:fldCharType="begin"/>
      </w:r>
      <w:r>
        <w:instrText xml:space="preserve"> PAGEREF _Toc1657413512 \h </w:instrText>
      </w:r>
      <w:r>
        <w:fldChar w:fldCharType="separate"/>
      </w:r>
      <w:r>
        <w:t>20</w:t>
      </w:r>
      <w:r>
        <w:fldChar w:fldCharType="end"/>
      </w:r>
      <w:r>
        <w:rPr>
          <w:rFonts w:ascii="Times New Roman" w:hAnsi="Times New Roman"/>
          <w:szCs w:val="28"/>
        </w:rPr>
        <w:fldChar w:fldCharType="end"/>
      </w:r>
    </w:p>
    <w:p w14:paraId="549D49F8">
      <w:pPr>
        <w:pStyle w:val="15"/>
        <w:tabs>
          <w:tab w:val="right" w:leader="dot" w:pos="8312"/>
        </w:tabs>
      </w:pPr>
      <w:r>
        <w:rPr>
          <w:rFonts w:ascii="Times New Roman" w:hAnsi="Times New Roman"/>
          <w:szCs w:val="28"/>
        </w:rPr>
        <w:fldChar w:fldCharType="begin"/>
      </w:r>
      <w:r>
        <w:rPr>
          <w:rFonts w:ascii="Times New Roman" w:hAnsi="Times New Roman"/>
          <w:szCs w:val="28"/>
        </w:rPr>
        <w:instrText xml:space="preserve"> HYPERLINK \l _Toc1200382457 </w:instrText>
      </w:r>
      <w:r>
        <w:rPr>
          <w:rFonts w:ascii="Times New Roman" w:hAnsi="Times New Roman"/>
          <w:szCs w:val="28"/>
        </w:rPr>
        <w:fldChar w:fldCharType="separate"/>
      </w:r>
      <w:r>
        <w:rPr>
          <w:rFonts w:ascii="Times New Roman" w:hAnsi="Times New Roman"/>
        </w:rPr>
        <w:t>九、一致行动人信息填报及披露</w:t>
      </w:r>
      <w:r>
        <w:tab/>
      </w:r>
      <w:r>
        <w:fldChar w:fldCharType="begin"/>
      </w:r>
      <w:r>
        <w:instrText xml:space="preserve"> PAGEREF _Toc1200382457 \h </w:instrText>
      </w:r>
      <w:r>
        <w:fldChar w:fldCharType="separate"/>
      </w:r>
      <w:r>
        <w:t>21</w:t>
      </w:r>
      <w:r>
        <w:fldChar w:fldCharType="end"/>
      </w:r>
      <w:r>
        <w:rPr>
          <w:rFonts w:ascii="Times New Roman" w:hAnsi="Times New Roman"/>
          <w:szCs w:val="28"/>
        </w:rPr>
        <w:fldChar w:fldCharType="end"/>
      </w:r>
    </w:p>
    <w:p w14:paraId="7A1A01B1">
      <w:pPr>
        <w:pStyle w:val="13"/>
        <w:tabs>
          <w:tab w:val="right" w:leader="dot" w:pos="8312"/>
        </w:tabs>
      </w:pPr>
      <w:r>
        <w:rPr>
          <w:rFonts w:ascii="Times New Roman" w:hAnsi="Times New Roman"/>
          <w:szCs w:val="28"/>
        </w:rPr>
        <w:fldChar w:fldCharType="begin"/>
      </w:r>
      <w:r>
        <w:rPr>
          <w:rFonts w:ascii="Times New Roman" w:hAnsi="Times New Roman"/>
          <w:szCs w:val="28"/>
        </w:rPr>
        <w:instrText xml:space="preserve"> HYPERLINK \l _Toc980149237 </w:instrText>
      </w:r>
      <w:r>
        <w:rPr>
          <w:rFonts w:ascii="Times New Roman" w:hAnsi="Times New Roman"/>
          <w:szCs w:val="28"/>
        </w:rPr>
        <w:fldChar w:fldCharType="separate"/>
      </w:r>
      <w:r>
        <w:rPr>
          <w:rFonts w:ascii="Times New Roman" w:hAnsi="Times New Roman"/>
        </w:rPr>
        <w:t xml:space="preserve">第三章 </w:t>
      </w:r>
      <w:r>
        <w:rPr>
          <w:rFonts w:hint="eastAsia" w:ascii="Times New Roman" w:hAnsi="Times New Roman"/>
        </w:rPr>
        <w:t xml:space="preserve"> </w:t>
      </w:r>
      <w:r>
        <w:rPr>
          <w:rFonts w:ascii="Times New Roman" w:hAnsi="Times New Roman"/>
        </w:rPr>
        <w:t>模板及附件</w:t>
      </w:r>
      <w:r>
        <w:tab/>
      </w:r>
      <w:r>
        <w:fldChar w:fldCharType="begin"/>
      </w:r>
      <w:r>
        <w:instrText xml:space="preserve"> PAGEREF _Toc980149237 \h </w:instrText>
      </w:r>
      <w:r>
        <w:fldChar w:fldCharType="separate"/>
      </w:r>
      <w:r>
        <w:t>22</w:t>
      </w:r>
      <w:r>
        <w:fldChar w:fldCharType="end"/>
      </w:r>
      <w:r>
        <w:rPr>
          <w:rFonts w:ascii="Times New Roman" w:hAnsi="Times New Roman"/>
          <w:szCs w:val="28"/>
        </w:rPr>
        <w:fldChar w:fldCharType="end"/>
      </w:r>
    </w:p>
    <w:p w14:paraId="4E39D22B">
      <w:pPr>
        <w:pStyle w:val="15"/>
        <w:tabs>
          <w:tab w:val="right" w:leader="dot" w:pos="8312"/>
        </w:tabs>
      </w:pPr>
      <w:r>
        <w:rPr>
          <w:rFonts w:ascii="Times New Roman" w:hAnsi="Times New Roman"/>
          <w:szCs w:val="28"/>
        </w:rPr>
        <w:fldChar w:fldCharType="begin"/>
      </w:r>
      <w:r>
        <w:rPr>
          <w:rFonts w:ascii="Times New Roman" w:hAnsi="Times New Roman"/>
          <w:szCs w:val="28"/>
        </w:rPr>
        <w:instrText xml:space="preserve"> HYPERLINK \l _Toc943859670 </w:instrText>
      </w:r>
      <w:r>
        <w:rPr>
          <w:rFonts w:ascii="Times New Roman" w:hAnsi="Times New Roman"/>
          <w:szCs w:val="28"/>
        </w:rPr>
        <w:fldChar w:fldCharType="separate"/>
      </w:r>
      <w:r>
        <w:rPr>
          <w:rFonts w:hint="eastAsia" w:ascii="Times New Roman" w:hAnsi="Times New Roman"/>
        </w:rPr>
        <w:t xml:space="preserve">附件1  </w:t>
      </w:r>
      <w:r>
        <w:rPr>
          <w:rFonts w:hint="eastAsia" w:ascii="Times New Roman" w:hAnsi="Times New Roman"/>
          <w:kern w:val="0"/>
        </w:rPr>
        <w:t>信息披露</w:t>
      </w:r>
      <w:r>
        <w:rPr>
          <w:rFonts w:ascii="Times New Roman"/>
          <w:kern w:val="0"/>
        </w:rPr>
        <w:t>公告类别</w:t>
      </w:r>
      <w:r>
        <w:tab/>
      </w:r>
      <w:r>
        <w:fldChar w:fldCharType="begin"/>
      </w:r>
      <w:r>
        <w:instrText xml:space="preserve"> PAGEREF _Toc943859670 \h </w:instrText>
      </w:r>
      <w:r>
        <w:fldChar w:fldCharType="separate"/>
      </w:r>
      <w:r>
        <w:t>22</w:t>
      </w:r>
      <w:r>
        <w:fldChar w:fldCharType="end"/>
      </w:r>
      <w:r>
        <w:rPr>
          <w:rFonts w:ascii="Times New Roman" w:hAnsi="Times New Roman"/>
          <w:szCs w:val="28"/>
        </w:rPr>
        <w:fldChar w:fldCharType="end"/>
      </w:r>
    </w:p>
    <w:p w14:paraId="7414FF2D">
      <w:pPr>
        <w:pStyle w:val="15"/>
        <w:tabs>
          <w:tab w:val="right" w:leader="dot" w:pos="8312"/>
        </w:tabs>
      </w:pPr>
      <w:r>
        <w:rPr>
          <w:rFonts w:ascii="Times New Roman" w:hAnsi="Times New Roman"/>
          <w:szCs w:val="28"/>
        </w:rPr>
        <w:fldChar w:fldCharType="begin"/>
      </w:r>
      <w:r>
        <w:rPr>
          <w:rFonts w:ascii="Times New Roman" w:hAnsi="Times New Roman"/>
          <w:szCs w:val="28"/>
        </w:rPr>
        <w:instrText xml:space="preserve"> HYPERLINK \l _Toc1428624239 </w:instrText>
      </w:r>
      <w:r>
        <w:rPr>
          <w:rFonts w:ascii="Times New Roman" w:hAnsi="Times New Roman"/>
          <w:szCs w:val="28"/>
        </w:rPr>
        <w:fldChar w:fldCharType="separate"/>
      </w:r>
      <w:r>
        <w:rPr>
          <w:rFonts w:ascii="Times New Roman" w:hAnsi="Times New Roman"/>
          <w:kern w:val="0"/>
        </w:rPr>
        <w:t>附件</w:t>
      </w:r>
      <w:r>
        <w:rPr>
          <w:rFonts w:hint="eastAsia" w:ascii="Times New Roman" w:hAnsi="Times New Roman"/>
          <w:kern w:val="0"/>
        </w:rPr>
        <w:t>2</w:t>
      </w:r>
      <w:r>
        <w:rPr>
          <w:rFonts w:ascii="Times New Roman" w:hAnsi="Times New Roman"/>
          <w:kern w:val="0"/>
        </w:rPr>
        <w:t xml:space="preserve">  暂停（恢复）转托管公告模板</w:t>
      </w:r>
      <w:r>
        <w:tab/>
      </w:r>
      <w:r>
        <w:fldChar w:fldCharType="begin"/>
      </w:r>
      <w:r>
        <w:instrText xml:space="preserve"> PAGEREF _Toc1428624239 \h </w:instrText>
      </w:r>
      <w:r>
        <w:fldChar w:fldCharType="separate"/>
      </w:r>
      <w:r>
        <w:t>25</w:t>
      </w:r>
      <w:r>
        <w:fldChar w:fldCharType="end"/>
      </w:r>
      <w:r>
        <w:rPr>
          <w:rFonts w:ascii="Times New Roman" w:hAnsi="Times New Roman"/>
          <w:szCs w:val="28"/>
        </w:rPr>
        <w:fldChar w:fldCharType="end"/>
      </w:r>
    </w:p>
    <w:p w14:paraId="2A1DD864">
      <w:pPr>
        <w:pStyle w:val="15"/>
        <w:tabs>
          <w:tab w:val="right" w:leader="dot" w:pos="8312"/>
        </w:tabs>
      </w:pPr>
      <w:r>
        <w:rPr>
          <w:rFonts w:ascii="Times New Roman" w:hAnsi="Times New Roman"/>
          <w:szCs w:val="28"/>
        </w:rPr>
        <w:fldChar w:fldCharType="begin"/>
      </w:r>
      <w:r>
        <w:rPr>
          <w:rFonts w:ascii="Times New Roman" w:hAnsi="Times New Roman"/>
          <w:szCs w:val="28"/>
        </w:rPr>
        <w:instrText xml:space="preserve"> HYPERLINK \l _Toc1297725362 </w:instrText>
      </w:r>
      <w:r>
        <w:rPr>
          <w:rFonts w:ascii="Times New Roman" w:hAnsi="Times New Roman"/>
          <w:szCs w:val="28"/>
        </w:rPr>
        <w:fldChar w:fldCharType="separate"/>
      </w:r>
      <w:r>
        <w:rPr>
          <w:rFonts w:ascii="Times New Roman" w:hAnsi="Times New Roman"/>
        </w:rPr>
        <w:t>附件</w:t>
      </w:r>
      <w:r>
        <w:rPr>
          <w:rFonts w:hint="eastAsia" w:ascii="Times New Roman" w:hAnsi="Times New Roman"/>
        </w:rPr>
        <w:t>3</w:t>
      </w:r>
      <w:r>
        <w:rPr>
          <w:rFonts w:ascii="Times New Roman" w:hAnsi="Times New Roman"/>
        </w:rPr>
        <w:t xml:space="preserve">  停复牌公告模板</w:t>
      </w:r>
      <w:r>
        <w:tab/>
      </w:r>
      <w:r>
        <w:fldChar w:fldCharType="begin"/>
      </w:r>
      <w:r>
        <w:instrText xml:space="preserve"> PAGEREF _Toc1297725362 \h </w:instrText>
      </w:r>
      <w:r>
        <w:fldChar w:fldCharType="separate"/>
      </w:r>
      <w:r>
        <w:t>26</w:t>
      </w:r>
      <w:r>
        <w:fldChar w:fldCharType="end"/>
      </w:r>
      <w:r>
        <w:rPr>
          <w:rFonts w:ascii="Times New Roman" w:hAnsi="Times New Roman"/>
          <w:szCs w:val="28"/>
        </w:rPr>
        <w:fldChar w:fldCharType="end"/>
      </w:r>
    </w:p>
    <w:p w14:paraId="19F26DCC">
      <w:pPr>
        <w:pStyle w:val="15"/>
        <w:tabs>
          <w:tab w:val="right" w:leader="dot" w:pos="8312"/>
        </w:tabs>
      </w:pPr>
      <w:r>
        <w:rPr>
          <w:rFonts w:ascii="Times New Roman" w:hAnsi="Times New Roman"/>
          <w:szCs w:val="28"/>
        </w:rPr>
        <w:fldChar w:fldCharType="begin"/>
      </w:r>
      <w:r>
        <w:rPr>
          <w:rFonts w:ascii="Times New Roman" w:hAnsi="Times New Roman"/>
          <w:szCs w:val="28"/>
        </w:rPr>
        <w:instrText xml:space="preserve"> HYPERLINK \l _Toc554616245 </w:instrText>
      </w:r>
      <w:r>
        <w:rPr>
          <w:rFonts w:ascii="Times New Roman" w:hAnsi="Times New Roman"/>
          <w:szCs w:val="28"/>
        </w:rPr>
        <w:fldChar w:fldCharType="separate"/>
      </w:r>
      <w:r>
        <w:rPr>
          <w:rFonts w:ascii="Times New Roman" w:hAnsi="Times New Roman"/>
        </w:rPr>
        <w:t>附件</w:t>
      </w:r>
      <w:r>
        <w:rPr>
          <w:rFonts w:hint="eastAsia" w:ascii="Times New Roman" w:hAnsi="Times New Roman"/>
        </w:rPr>
        <w:t>4</w:t>
      </w:r>
      <w:r>
        <w:rPr>
          <w:rFonts w:ascii="Times New Roman" w:hAnsi="Times New Roman"/>
        </w:rPr>
        <w:t xml:space="preserve">  分红公告模板</w:t>
      </w:r>
      <w:r>
        <w:tab/>
      </w:r>
      <w:r>
        <w:fldChar w:fldCharType="begin"/>
      </w:r>
      <w:r>
        <w:instrText xml:space="preserve"> PAGEREF _Toc554616245 \h </w:instrText>
      </w:r>
      <w:r>
        <w:fldChar w:fldCharType="separate"/>
      </w:r>
      <w:r>
        <w:t>27</w:t>
      </w:r>
      <w:r>
        <w:fldChar w:fldCharType="end"/>
      </w:r>
      <w:r>
        <w:rPr>
          <w:rFonts w:ascii="Times New Roman" w:hAnsi="Times New Roman"/>
          <w:szCs w:val="28"/>
        </w:rPr>
        <w:fldChar w:fldCharType="end"/>
      </w:r>
    </w:p>
    <w:p w14:paraId="33A21486">
      <w:pPr>
        <w:pStyle w:val="15"/>
        <w:tabs>
          <w:tab w:val="right" w:leader="dot" w:pos="8312"/>
        </w:tabs>
      </w:pPr>
      <w:r>
        <w:rPr>
          <w:rFonts w:ascii="Times New Roman" w:hAnsi="Times New Roman"/>
          <w:szCs w:val="28"/>
        </w:rPr>
        <w:fldChar w:fldCharType="begin"/>
      </w:r>
      <w:r>
        <w:rPr>
          <w:rFonts w:ascii="Times New Roman" w:hAnsi="Times New Roman"/>
          <w:szCs w:val="28"/>
        </w:rPr>
        <w:instrText xml:space="preserve"> HYPERLINK \l _Toc932039210 </w:instrText>
      </w:r>
      <w:r>
        <w:rPr>
          <w:rFonts w:ascii="Times New Roman" w:hAnsi="Times New Roman"/>
          <w:szCs w:val="28"/>
        </w:rPr>
        <w:fldChar w:fldCharType="separate"/>
      </w:r>
      <w:r>
        <w:rPr>
          <w:rFonts w:ascii="Times New Roman" w:hAnsi="Times New Roman"/>
        </w:rPr>
        <w:t>附件</w:t>
      </w:r>
      <w:r>
        <w:rPr>
          <w:rFonts w:hint="eastAsia" w:ascii="Times New Roman" w:hAnsi="Times New Roman"/>
        </w:rPr>
        <w:t>5</w:t>
      </w:r>
      <w:r>
        <w:rPr>
          <w:rFonts w:ascii="Times New Roman" w:hAnsi="Times New Roman"/>
        </w:rPr>
        <w:t xml:space="preserve">  更名公告模板</w:t>
      </w:r>
      <w:r>
        <w:tab/>
      </w:r>
      <w:r>
        <w:fldChar w:fldCharType="begin"/>
      </w:r>
      <w:r>
        <w:instrText xml:space="preserve"> PAGEREF _Toc932039210 \h </w:instrText>
      </w:r>
      <w:r>
        <w:fldChar w:fldCharType="separate"/>
      </w:r>
      <w:r>
        <w:t>29</w:t>
      </w:r>
      <w:r>
        <w:fldChar w:fldCharType="end"/>
      </w:r>
      <w:r>
        <w:rPr>
          <w:rFonts w:ascii="Times New Roman" w:hAnsi="Times New Roman"/>
          <w:szCs w:val="28"/>
        </w:rPr>
        <w:fldChar w:fldCharType="end"/>
      </w:r>
    </w:p>
    <w:p w14:paraId="696BCF19">
      <w:pPr>
        <w:pStyle w:val="15"/>
        <w:tabs>
          <w:tab w:val="right" w:leader="dot" w:pos="8312"/>
        </w:tabs>
      </w:pPr>
      <w:r>
        <w:rPr>
          <w:rFonts w:ascii="Times New Roman" w:hAnsi="Times New Roman"/>
          <w:szCs w:val="28"/>
        </w:rPr>
        <w:fldChar w:fldCharType="begin"/>
      </w:r>
      <w:r>
        <w:rPr>
          <w:rFonts w:ascii="Times New Roman" w:hAnsi="Times New Roman"/>
          <w:szCs w:val="28"/>
        </w:rPr>
        <w:instrText xml:space="preserve"> HYPERLINK \l _Toc692999880 </w:instrText>
      </w:r>
      <w:r>
        <w:rPr>
          <w:rFonts w:ascii="Times New Roman" w:hAnsi="Times New Roman"/>
          <w:szCs w:val="28"/>
        </w:rPr>
        <w:fldChar w:fldCharType="separate"/>
      </w:r>
      <w:r>
        <w:rPr>
          <w:rFonts w:ascii="Times New Roman" w:hAnsi="Times New Roman"/>
        </w:rPr>
        <w:t>附件</w:t>
      </w:r>
      <w:r>
        <w:rPr>
          <w:rFonts w:hint="eastAsia" w:ascii="Times New Roman" w:hAnsi="Times New Roman"/>
        </w:rPr>
        <w:t xml:space="preserve">6  </w:t>
      </w:r>
      <w:r>
        <w:rPr>
          <w:rFonts w:ascii="Times New Roman" w:hAnsi="Times New Roman"/>
        </w:rPr>
        <w:t>限售公募REIT</w:t>
      </w:r>
      <w:r>
        <w:rPr>
          <w:rFonts w:hint="eastAsia" w:ascii="Times New Roman" w:hAnsi="Times New Roman"/>
        </w:rPr>
        <w:t>s</w:t>
      </w:r>
      <w:r>
        <w:rPr>
          <w:rFonts w:ascii="Times New Roman" w:hAnsi="Times New Roman"/>
        </w:rPr>
        <w:t>解除限售申请表</w:t>
      </w:r>
      <w:r>
        <w:tab/>
      </w:r>
      <w:r>
        <w:fldChar w:fldCharType="begin"/>
      </w:r>
      <w:r>
        <w:instrText xml:space="preserve"> PAGEREF _Toc692999880 \h </w:instrText>
      </w:r>
      <w:r>
        <w:fldChar w:fldCharType="separate"/>
      </w:r>
      <w:r>
        <w:t>31</w:t>
      </w:r>
      <w:r>
        <w:fldChar w:fldCharType="end"/>
      </w:r>
      <w:r>
        <w:rPr>
          <w:rFonts w:ascii="Times New Roman" w:hAnsi="Times New Roman"/>
          <w:szCs w:val="28"/>
        </w:rPr>
        <w:fldChar w:fldCharType="end"/>
      </w:r>
    </w:p>
    <w:p w14:paraId="0B9729FB">
      <w:pPr>
        <w:pStyle w:val="15"/>
        <w:tabs>
          <w:tab w:val="right" w:leader="dot" w:pos="8312"/>
        </w:tabs>
      </w:pPr>
      <w:r>
        <w:rPr>
          <w:rFonts w:ascii="Times New Roman" w:hAnsi="Times New Roman"/>
          <w:szCs w:val="28"/>
        </w:rPr>
        <w:fldChar w:fldCharType="begin"/>
      </w:r>
      <w:r>
        <w:rPr>
          <w:rFonts w:ascii="Times New Roman" w:hAnsi="Times New Roman"/>
          <w:szCs w:val="28"/>
        </w:rPr>
        <w:instrText xml:space="preserve"> HYPERLINK \l _Toc978472937 </w:instrText>
      </w:r>
      <w:r>
        <w:rPr>
          <w:rFonts w:ascii="Times New Roman" w:hAnsi="Times New Roman"/>
          <w:szCs w:val="28"/>
        </w:rPr>
        <w:fldChar w:fldCharType="separate"/>
      </w:r>
      <w:r>
        <w:rPr>
          <w:rFonts w:ascii="Times New Roman" w:hAnsi="Times New Roman"/>
        </w:rPr>
        <w:t>附件</w:t>
      </w:r>
      <w:r>
        <w:rPr>
          <w:rFonts w:hint="eastAsia" w:ascii="Times New Roman" w:hAnsi="Times New Roman"/>
        </w:rPr>
        <w:t>7  公募</w:t>
      </w:r>
      <w:r>
        <w:rPr>
          <w:rFonts w:ascii="Times New Roman" w:hAnsi="Times New Roman"/>
        </w:rPr>
        <w:t>REITs场外份额解锁申请表</w:t>
      </w:r>
      <w:r>
        <w:tab/>
      </w:r>
      <w:r>
        <w:fldChar w:fldCharType="begin"/>
      </w:r>
      <w:r>
        <w:instrText xml:space="preserve"> PAGEREF _Toc978472937 \h </w:instrText>
      </w:r>
      <w:r>
        <w:fldChar w:fldCharType="separate"/>
      </w:r>
      <w:r>
        <w:t>34</w:t>
      </w:r>
      <w:r>
        <w:fldChar w:fldCharType="end"/>
      </w:r>
      <w:r>
        <w:rPr>
          <w:rFonts w:ascii="Times New Roman" w:hAnsi="Times New Roman"/>
          <w:szCs w:val="28"/>
        </w:rPr>
        <w:fldChar w:fldCharType="end"/>
      </w:r>
    </w:p>
    <w:p w14:paraId="3B20CF86">
      <w:pPr>
        <w:pStyle w:val="15"/>
        <w:tabs>
          <w:tab w:val="right" w:leader="dot" w:pos="8312"/>
        </w:tabs>
      </w:pPr>
      <w:r>
        <w:rPr>
          <w:rFonts w:ascii="Times New Roman" w:hAnsi="Times New Roman"/>
          <w:szCs w:val="28"/>
        </w:rPr>
        <w:fldChar w:fldCharType="begin"/>
      </w:r>
      <w:r>
        <w:rPr>
          <w:rFonts w:ascii="Times New Roman" w:hAnsi="Times New Roman"/>
          <w:szCs w:val="28"/>
        </w:rPr>
        <w:instrText xml:space="preserve"> HYPERLINK \l _Toc1681956635 </w:instrText>
      </w:r>
      <w:r>
        <w:rPr>
          <w:rFonts w:ascii="Times New Roman" w:hAnsi="Times New Roman"/>
          <w:szCs w:val="28"/>
        </w:rPr>
        <w:fldChar w:fldCharType="separate"/>
      </w:r>
      <w:r>
        <w:rPr>
          <w:rFonts w:ascii="Times New Roman" w:hAnsi="Times New Roman"/>
        </w:rPr>
        <w:t>附件</w:t>
      </w:r>
      <w:r>
        <w:rPr>
          <w:rFonts w:hint="eastAsia" w:ascii="Times New Roman" w:hAnsi="Times New Roman"/>
        </w:rPr>
        <w:t xml:space="preserve">8 </w:t>
      </w:r>
      <w:r>
        <w:rPr>
          <w:rFonts w:ascii="Times New Roman" w:hAnsi="Times New Roman"/>
        </w:rPr>
        <w:t>《</w:t>
      </w:r>
      <w:r>
        <w:rPr>
          <w:rFonts w:hint="eastAsia" w:ascii="Times New Roman" w:hAnsi="Times New Roman"/>
        </w:rPr>
        <w:t>公募</w:t>
      </w:r>
      <w:r>
        <w:rPr>
          <w:rFonts w:ascii="Times New Roman" w:hAnsi="Times New Roman"/>
        </w:rPr>
        <w:t>REIT</w:t>
      </w:r>
      <w:r>
        <w:rPr>
          <w:rFonts w:hint="eastAsia" w:ascii="Times New Roman" w:hAnsi="Times New Roman"/>
        </w:rPr>
        <w:t>s</w:t>
      </w:r>
      <w:r>
        <w:rPr>
          <w:rFonts w:ascii="Times New Roman" w:hAnsi="Times New Roman"/>
        </w:rPr>
        <w:t>份额解除限售/解锁的公告》必备要素</w:t>
      </w:r>
      <w:r>
        <w:tab/>
      </w:r>
      <w:r>
        <w:fldChar w:fldCharType="begin"/>
      </w:r>
      <w:r>
        <w:instrText xml:space="preserve"> PAGEREF _Toc1681956635 \h </w:instrText>
      </w:r>
      <w:r>
        <w:fldChar w:fldCharType="separate"/>
      </w:r>
      <w:r>
        <w:t>35</w:t>
      </w:r>
      <w:r>
        <w:fldChar w:fldCharType="end"/>
      </w:r>
      <w:r>
        <w:rPr>
          <w:rFonts w:ascii="Times New Roman" w:hAnsi="Times New Roman"/>
          <w:szCs w:val="28"/>
        </w:rPr>
        <w:fldChar w:fldCharType="end"/>
      </w:r>
    </w:p>
    <w:p w14:paraId="4ED0DD09">
      <w:pPr>
        <w:pStyle w:val="15"/>
        <w:tabs>
          <w:tab w:val="right" w:leader="dot" w:pos="8312"/>
        </w:tabs>
      </w:pPr>
      <w:r>
        <w:rPr>
          <w:rFonts w:ascii="Times New Roman" w:hAnsi="Times New Roman"/>
          <w:szCs w:val="28"/>
        </w:rPr>
        <w:fldChar w:fldCharType="begin"/>
      </w:r>
      <w:r>
        <w:rPr>
          <w:rFonts w:ascii="Times New Roman" w:hAnsi="Times New Roman"/>
          <w:szCs w:val="28"/>
        </w:rPr>
        <w:instrText xml:space="preserve"> HYPERLINK \l _Toc432977948 </w:instrText>
      </w:r>
      <w:r>
        <w:rPr>
          <w:rFonts w:ascii="Times New Roman" w:hAnsi="Times New Roman"/>
          <w:szCs w:val="28"/>
        </w:rPr>
        <w:fldChar w:fldCharType="separate"/>
      </w:r>
      <w:r>
        <w:t>相关业务联系电话</w:t>
      </w:r>
      <w:r>
        <w:tab/>
      </w:r>
      <w:r>
        <w:fldChar w:fldCharType="begin"/>
      </w:r>
      <w:r>
        <w:instrText xml:space="preserve"> PAGEREF _Toc432977948 \h </w:instrText>
      </w:r>
      <w:r>
        <w:fldChar w:fldCharType="separate"/>
      </w:r>
      <w:r>
        <w:t>38</w:t>
      </w:r>
      <w:r>
        <w:fldChar w:fldCharType="end"/>
      </w:r>
      <w:r>
        <w:rPr>
          <w:rFonts w:ascii="Times New Roman" w:hAnsi="Times New Roman"/>
          <w:szCs w:val="28"/>
        </w:rPr>
        <w:fldChar w:fldCharType="end"/>
      </w:r>
    </w:p>
    <w:p w14:paraId="298ECB3B">
      <w:pPr>
        <w:spacing w:line="400" w:lineRule="exact"/>
        <w:ind w:firstLine="0" w:firstLineChars="0"/>
        <w:rPr>
          <w:rFonts w:ascii="Times New Roman" w:hAnsi="Times New Roman"/>
          <w:sz w:val="28"/>
          <w:szCs w:val="28"/>
        </w:rPr>
      </w:pPr>
      <w:r>
        <w:rPr>
          <w:rFonts w:ascii="Times New Roman" w:hAnsi="Times New Roman"/>
          <w:sz w:val="28"/>
          <w:szCs w:val="28"/>
        </w:rPr>
        <w:fldChar w:fldCharType="end"/>
      </w:r>
    </w:p>
    <w:p w14:paraId="661768C7">
      <w:pPr>
        <w:widowControl/>
        <w:spacing w:line="400" w:lineRule="exact"/>
        <w:ind w:firstLine="0" w:firstLineChars="0"/>
        <w:jc w:val="left"/>
        <w:rPr>
          <w:rFonts w:ascii="Times New Roman" w:hAnsi="Times New Roman"/>
          <w:b/>
          <w:bCs/>
          <w:sz w:val="28"/>
          <w:szCs w:val="28"/>
        </w:rPr>
      </w:pPr>
    </w:p>
    <w:p w14:paraId="2B1B8C09">
      <w:pPr>
        <w:pStyle w:val="2"/>
        <w:spacing w:before="156" w:after="156"/>
        <w:ind w:firstLine="0" w:firstLineChars="0"/>
        <w:rPr>
          <w:rFonts w:ascii="Times New Roman" w:hAnsi="Times New Roman"/>
          <w:szCs w:val="36"/>
        </w:rPr>
      </w:pPr>
      <w:r>
        <w:rPr>
          <w:rFonts w:ascii="Times New Roman" w:hAnsi="Times New Roman"/>
          <w:b w:val="0"/>
          <w:bCs w:val="0"/>
          <w:sz w:val="28"/>
          <w:szCs w:val="28"/>
        </w:rPr>
        <w:br w:type="page"/>
      </w:r>
      <w:bookmarkStart w:id="2" w:name="_Toc217484326"/>
      <w:bookmarkStart w:id="3" w:name="_Toc1573835552"/>
      <w:r>
        <w:rPr>
          <w:rFonts w:ascii="Times New Roman" w:hAnsi="黑体"/>
          <w:szCs w:val="36"/>
        </w:rPr>
        <w:t>引</w:t>
      </w:r>
      <w:r>
        <w:rPr>
          <w:rFonts w:hint="eastAsia" w:ascii="Times New Roman" w:hAnsi="黑体"/>
          <w:szCs w:val="36"/>
        </w:rPr>
        <w:t xml:space="preserve">  </w:t>
      </w:r>
      <w:r>
        <w:rPr>
          <w:rFonts w:ascii="Times New Roman" w:hAnsi="黑体"/>
          <w:szCs w:val="36"/>
        </w:rPr>
        <w:t>言</w:t>
      </w:r>
      <w:bookmarkEnd w:id="2"/>
      <w:bookmarkEnd w:id="3"/>
    </w:p>
    <w:p w14:paraId="5AD804C4">
      <w:pPr>
        <w:ind w:firstLine="600"/>
        <w:rPr>
          <w:rFonts w:ascii="Times New Roman" w:hAnsi="Times New Roman"/>
          <w:szCs w:val="30"/>
        </w:rPr>
      </w:pPr>
      <w:r>
        <w:rPr>
          <w:rFonts w:ascii="Times New Roman" w:hAnsi="Times New Roman"/>
          <w:szCs w:val="30"/>
        </w:rPr>
        <w:t>为</w:t>
      </w:r>
      <w:r>
        <w:rPr>
          <w:rFonts w:hint="eastAsia" w:ascii="Times New Roman" w:hAnsi="Times New Roman"/>
          <w:szCs w:val="30"/>
        </w:rPr>
        <w:t>了</w:t>
      </w:r>
      <w:r>
        <w:rPr>
          <w:rFonts w:ascii="Times New Roman" w:hAnsi="Times New Roman"/>
          <w:szCs w:val="30"/>
        </w:rPr>
        <w:t>规范上海证券交易所（以下简称本所）公开募集不动产投资信托基金（以下简称公募REITs）的交易、分红、停复牌、摘牌、暂停转托管、更名、信息披露公告等存续业务，便利基金管理人等市场参与人开展相关业务操作，根据《上海证券交易所证券投资基金上市规则（修订稿）》《上海证券交易所公开募集不动产投资信托基金（REITs）业务办法（试行）》等</w:t>
      </w:r>
      <w:r>
        <w:rPr>
          <w:rFonts w:hint="eastAsia" w:ascii="Times New Roman" w:hAnsi="Times New Roman"/>
          <w:szCs w:val="30"/>
        </w:rPr>
        <w:t>业务规则</w:t>
      </w:r>
      <w:r>
        <w:rPr>
          <w:rFonts w:ascii="Times New Roman" w:hAnsi="Times New Roman"/>
          <w:szCs w:val="30"/>
        </w:rPr>
        <w:t>，制定本指南。本指南未尽事宜，按照证监会和本所相关要求执行。</w:t>
      </w:r>
    </w:p>
    <w:p w14:paraId="2C3BC8B1">
      <w:pPr>
        <w:ind w:firstLine="600"/>
        <w:rPr>
          <w:rFonts w:ascii="Times New Roman"/>
        </w:rPr>
      </w:pPr>
      <w:r>
        <w:rPr>
          <w:rFonts w:ascii="Times New Roman"/>
        </w:rPr>
        <w:t>基金管理人应</w:t>
      </w:r>
      <w:r>
        <w:rPr>
          <w:rFonts w:hint="eastAsia" w:ascii="Times New Roman"/>
        </w:rPr>
        <w:t>当</w:t>
      </w:r>
      <w:r>
        <w:rPr>
          <w:rFonts w:ascii="Times New Roman"/>
        </w:rPr>
        <w:t>认真按照相关规定、本指南及本所其他要求编制、报送申请文件并办理</w:t>
      </w:r>
      <w:r>
        <w:rPr>
          <w:rFonts w:hint="eastAsia" w:ascii="Times New Roman"/>
        </w:rPr>
        <w:t>存续</w:t>
      </w:r>
      <w:r>
        <w:rPr>
          <w:rFonts w:ascii="Times New Roman"/>
        </w:rPr>
        <w:t>业务。基金管理人应</w:t>
      </w:r>
      <w:r>
        <w:rPr>
          <w:rFonts w:ascii="Times New Roman" w:hAnsi="Times New Roman"/>
        </w:rPr>
        <w:t>当指定专人负责存续业务相关材料的制作、递交及业务联络</w:t>
      </w:r>
      <w:r>
        <w:rPr>
          <w:rFonts w:hint="eastAsia" w:ascii="Times New Roman" w:hAnsi="Times New Roman"/>
        </w:rPr>
        <w:t>；</w:t>
      </w:r>
      <w:r>
        <w:rPr>
          <w:rFonts w:ascii="Times New Roman" w:hAnsi="Times New Roman"/>
        </w:rPr>
        <w:t>指定专人变更的，应当及时</w:t>
      </w:r>
      <w:r>
        <w:rPr>
          <w:rFonts w:ascii="Times New Roman"/>
        </w:rPr>
        <w:t>与本所债券业务中心专管员沟通。</w:t>
      </w:r>
    </w:p>
    <w:p w14:paraId="0C8F00F3">
      <w:pPr>
        <w:ind w:firstLine="600"/>
        <w:rPr>
          <w:rFonts w:ascii="Times New Roman" w:hAnsi="Times New Roman"/>
        </w:rPr>
      </w:pPr>
      <w:r>
        <w:rPr>
          <w:rFonts w:hint="eastAsia" w:ascii="Times New Roman" w:hAnsi="Times New Roman"/>
        </w:rPr>
        <w:t>投资者应</w:t>
      </w:r>
      <w:r>
        <w:rPr>
          <w:rFonts w:ascii="Times New Roman"/>
        </w:rPr>
        <w:t>按照相关规定、本指南及本所其他要求</w:t>
      </w:r>
      <w:r>
        <w:rPr>
          <w:rFonts w:hint="eastAsia" w:ascii="Times New Roman" w:hAnsi="Times New Roman"/>
        </w:rPr>
        <w:t>参与</w:t>
      </w:r>
      <w:r>
        <w:rPr>
          <w:rFonts w:ascii="Times New Roman"/>
        </w:rPr>
        <w:t>公募</w:t>
      </w:r>
      <w:r>
        <w:rPr>
          <w:rFonts w:ascii="Times New Roman" w:hAnsi="Times New Roman"/>
        </w:rPr>
        <w:t>REITs</w:t>
      </w:r>
      <w:r>
        <w:rPr>
          <w:rFonts w:hint="eastAsia" w:ascii="Times New Roman" w:hAnsi="Times New Roman"/>
        </w:rPr>
        <w:t>相关业务，熟悉</w:t>
      </w:r>
      <w:r>
        <w:rPr>
          <w:rFonts w:ascii="Times New Roman"/>
        </w:rPr>
        <w:t>公募</w:t>
      </w:r>
      <w:r>
        <w:rPr>
          <w:rFonts w:ascii="Times New Roman" w:hAnsi="Times New Roman"/>
        </w:rPr>
        <w:t>REITs</w:t>
      </w:r>
      <w:r>
        <w:rPr>
          <w:rFonts w:hint="eastAsia" w:ascii="Times New Roman" w:hAnsi="Times New Roman"/>
        </w:rPr>
        <w:t>现券交易</w:t>
      </w:r>
      <w:r>
        <w:rPr>
          <w:rFonts w:ascii="Times New Roman" w:hAnsi="Times New Roman"/>
        </w:rPr>
        <w:t>及融资</w:t>
      </w:r>
      <w:r>
        <w:rPr>
          <w:rFonts w:hint="eastAsia" w:ascii="Times New Roman" w:hAnsi="Times New Roman"/>
        </w:rPr>
        <w:t>业务，</w:t>
      </w:r>
      <w:r>
        <w:rPr>
          <w:rFonts w:ascii="Times New Roman" w:hAnsi="Times New Roman"/>
        </w:rPr>
        <w:t>并</w:t>
      </w:r>
      <w:r>
        <w:rPr>
          <w:rFonts w:hint="eastAsia" w:ascii="Times New Roman" w:hAnsi="Times New Roman"/>
        </w:rPr>
        <w:t>事先认真阅读基金合同、招募说明书等法律文件。</w:t>
      </w:r>
    </w:p>
    <w:p w14:paraId="65242B2A">
      <w:pPr>
        <w:ind w:firstLine="600"/>
        <w:rPr>
          <w:rFonts w:ascii="Times New Roman" w:hAnsi="Times New Roman"/>
        </w:rPr>
      </w:pPr>
      <w:r>
        <w:rPr>
          <w:rFonts w:ascii="Times New Roman"/>
        </w:rPr>
        <w:t>本所将</w:t>
      </w:r>
      <w:r>
        <w:rPr>
          <w:rFonts w:hint="eastAsia" w:ascii="Times New Roman"/>
        </w:rPr>
        <w:t>对本指南进行适时</w:t>
      </w:r>
      <w:r>
        <w:rPr>
          <w:rFonts w:ascii="Times New Roman"/>
        </w:rPr>
        <w:t>修订</w:t>
      </w:r>
      <w:r>
        <w:rPr>
          <w:rFonts w:hint="eastAsia" w:ascii="Times New Roman"/>
        </w:rPr>
        <w:t>，</w:t>
      </w:r>
      <w:r>
        <w:rPr>
          <w:rFonts w:ascii="Times New Roman"/>
        </w:rPr>
        <w:t>并发布更新版本。</w:t>
      </w:r>
      <w:r>
        <w:rPr>
          <w:rFonts w:hint="eastAsia" w:ascii="Times New Roman"/>
        </w:rPr>
        <w:t>本指南由本所负责解释，</w:t>
      </w:r>
      <w:r>
        <w:rPr>
          <w:rFonts w:ascii="Times New Roman"/>
        </w:rPr>
        <w:t>如对本指南有任何疑义，基金管理人等相关机构可与本所债券业务中心联系。</w:t>
      </w:r>
    </w:p>
    <w:p w14:paraId="3798CFA3">
      <w:pPr>
        <w:pStyle w:val="16"/>
        <w:snapToGrid w:val="0"/>
        <w:spacing w:before="0" w:beforeAutospacing="0" w:after="0" w:afterAutospacing="0" w:line="360" w:lineRule="auto"/>
        <w:ind w:firstLine="643"/>
        <w:rPr>
          <w:rFonts w:ascii="Times New Roman" w:hAnsi="Times New Roman" w:eastAsia="黑体" w:cs="Times New Roman"/>
          <w:b/>
          <w:sz w:val="32"/>
          <w:szCs w:val="32"/>
        </w:rPr>
      </w:pPr>
    </w:p>
    <w:p w14:paraId="7C6270D6">
      <w:pPr>
        <w:pStyle w:val="2"/>
        <w:spacing w:before="156" w:after="156"/>
        <w:ind w:firstLine="0" w:firstLineChars="0"/>
        <w:rPr>
          <w:rFonts w:ascii="Times New Roman" w:hAnsi="Times New Roman"/>
        </w:rPr>
      </w:pPr>
      <w:r>
        <w:rPr>
          <w:rFonts w:ascii="Times New Roman" w:hAnsi="Times New Roman"/>
        </w:rPr>
        <w:br w:type="page"/>
      </w:r>
      <w:bookmarkStart w:id="4" w:name="_Toc244581559"/>
      <w:bookmarkStart w:id="5" w:name="_Toc217484327"/>
      <w:r>
        <w:rPr>
          <w:rFonts w:ascii="Times New Roman"/>
        </w:rPr>
        <w:t>第一章</w:t>
      </w:r>
      <w:r>
        <w:rPr>
          <w:rFonts w:ascii="Times New Roman" w:hAnsi="Times New Roman"/>
        </w:rPr>
        <w:t xml:space="preserve">  </w:t>
      </w:r>
      <w:r>
        <w:rPr>
          <w:rFonts w:ascii="Times New Roman"/>
        </w:rPr>
        <w:t>交易业务安排</w:t>
      </w:r>
      <w:bookmarkEnd w:id="4"/>
      <w:bookmarkEnd w:id="5"/>
    </w:p>
    <w:p w14:paraId="678FACAA">
      <w:pPr>
        <w:pStyle w:val="3"/>
        <w:spacing w:before="156" w:after="156"/>
        <w:ind w:firstLine="643"/>
        <w:rPr>
          <w:rFonts w:ascii="Times New Roman" w:hAnsi="Times New Roman"/>
        </w:rPr>
      </w:pPr>
      <w:bookmarkStart w:id="6" w:name="_Toc241421495"/>
      <w:bookmarkStart w:id="7" w:name="_Toc217484328"/>
      <w:r>
        <w:rPr>
          <w:rFonts w:ascii="Times New Roman"/>
        </w:rPr>
        <w:t>一、现券交易</w:t>
      </w:r>
      <w:bookmarkEnd w:id="6"/>
      <w:bookmarkEnd w:id="7"/>
    </w:p>
    <w:p w14:paraId="0DDFD765">
      <w:pPr>
        <w:pStyle w:val="4"/>
        <w:ind w:firstLine="602"/>
        <w:rPr>
          <w:rFonts w:ascii="Times New Roman" w:hAnsi="Times New Roman"/>
        </w:rPr>
      </w:pPr>
      <w:r>
        <w:rPr>
          <w:rFonts w:ascii="Times New Roman"/>
        </w:rPr>
        <w:t>（一）竞价交易机制</w:t>
      </w:r>
    </w:p>
    <w:p w14:paraId="5F56E4CD">
      <w:pPr>
        <w:ind w:firstLine="600"/>
        <w:rPr>
          <w:rFonts w:ascii="Times New Roman" w:hAnsi="Times New Roman"/>
        </w:rPr>
      </w:pPr>
      <w:r>
        <w:rPr>
          <w:rFonts w:ascii="Times New Roman" w:hAnsi="Times New Roman"/>
        </w:rPr>
        <w:t>1.</w:t>
      </w:r>
      <w:r>
        <w:rPr>
          <w:rFonts w:ascii="Times New Roman"/>
        </w:rPr>
        <w:t>每个交易日的集合竞价</w:t>
      </w:r>
      <w:r>
        <w:rPr>
          <w:rFonts w:hint="eastAsia" w:ascii="Times New Roman"/>
          <w:lang w:eastAsia="zh-CN"/>
        </w:rPr>
        <w:t>、连续竞价</w:t>
      </w:r>
      <w:r>
        <w:rPr>
          <w:rFonts w:ascii="Times New Roman"/>
        </w:rPr>
        <w:t>时间</w:t>
      </w:r>
      <w:r>
        <w:rPr>
          <w:rFonts w:hint="eastAsia" w:ascii="Times New Roman"/>
          <w:lang w:eastAsia="zh-CN"/>
        </w:rPr>
        <w:t>安排适用《上海证券交易所交易规则》相关规定</w:t>
      </w:r>
      <w:r>
        <w:rPr>
          <w:rFonts w:ascii="Times New Roman"/>
        </w:rPr>
        <w:t>。</w:t>
      </w:r>
    </w:p>
    <w:p w14:paraId="239485A2">
      <w:pPr>
        <w:ind w:firstLine="600"/>
        <w:rPr>
          <w:rFonts w:ascii="Times New Roman" w:hAnsi="Times New Roman"/>
        </w:rPr>
      </w:pPr>
      <w:r>
        <w:rPr>
          <w:rFonts w:ascii="Times New Roman" w:hAnsi="Times New Roman"/>
        </w:rPr>
        <w:t>2.</w:t>
      </w:r>
      <w:r>
        <w:rPr>
          <w:rFonts w:hint="eastAsia" w:ascii="Times New Roman" w:hAnsi="Times New Roman"/>
        </w:rPr>
        <w:t>公募</w:t>
      </w:r>
      <w:r>
        <w:rPr>
          <w:rFonts w:ascii="Times New Roman" w:hAnsi="Times New Roman"/>
        </w:rPr>
        <w:t>REITs</w:t>
      </w:r>
      <w:r>
        <w:rPr>
          <w:rFonts w:ascii="Times New Roman"/>
        </w:rPr>
        <w:t>竞价交易申报数量应当为</w:t>
      </w:r>
      <w:r>
        <w:rPr>
          <w:rFonts w:ascii="Times New Roman" w:hAnsi="Times New Roman"/>
        </w:rPr>
        <w:t>100</w:t>
      </w:r>
      <w:r>
        <w:rPr>
          <w:rFonts w:ascii="Times New Roman"/>
        </w:rPr>
        <w:t>份或其整数倍</w:t>
      </w:r>
      <w:r>
        <w:rPr>
          <w:rFonts w:hint="eastAsia" w:ascii="Times New Roman"/>
        </w:rPr>
        <w:t>。卖出余额不足</w:t>
      </w:r>
      <w:r>
        <w:rPr>
          <w:rFonts w:hint="eastAsia" w:ascii="Times New Roman" w:hAnsi="Times New Roman"/>
        </w:rPr>
        <w:t>100</w:t>
      </w:r>
      <w:r>
        <w:rPr>
          <w:rFonts w:hint="eastAsia" w:ascii="Times New Roman"/>
        </w:rPr>
        <w:t>份的，应当一次申报卖出。</w:t>
      </w:r>
      <w:r>
        <w:rPr>
          <w:rFonts w:ascii="Times New Roman"/>
        </w:rPr>
        <w:t>交易系统支持单笔申报的最大数量上限为</w:t>
      </w:r>
      <w:r>
        <w:rPr>
          <w:rFonts w:ascii="Times New Roman" w:hAnsi="Times New Roman"/>
        </w:rPr>
        <w:t>99,999,900</w:t>
      </w:r>
      <w:r>
        <w:rPr>
          <w:rFonts w:ascii="Times New Roman"/>
        </w:rPr>
        <w:t>份（含）。</w:t>
      </w:r>
    </w:p>
    <w:p w14:paraId="13D766AE">
      <w:pPr>
        <w:ind w:firstLine="600"/>
        <w:rPr>
          <w:rFonts w:ascii="Times New Roman" w:hAnsi="Times New Roman"/>
        </w:rPr>
      </w:pPr>
      <w:r>
        <w:rPr>
          <w:rFonts w:ascii="Times New Roman" w:hAnsi="Times New Roman"/>
        </w:rPr>
        <w:t>3.</w:t>
      </w:r>
      <w:r>
        <w:rPr>
          <w:rFonts w:hint="eastAsia" w:ascii="Times New Roman" w:hAnsi="Times New Roman"/>
        </w:rPr>
        <w:t>公募</w:t>
      </w:r>
      <w:r>
        <w:rPr>
          <w:rFonts w:ascii="Times New Roman" w:hAnsi="Times New Roman"/>
        </w:rPr>
        <w:t>REITs</w:t>
      </w:r>
      <w:r>
        <w:rPr>
          <w:rFonts w:ascii="Times New Roman"/>
        </w:rPr>
        <w:t>竞价交易申报价格最小变动单位为</w:t>
      </w:r>
      <w:r>
        <w:rPr>
          <w:rFonts w:ascii="Times New Roman" w:hAnsi="Times New Roman"/>
        </w:rPr>
        <w:t>0.001</w:t>
      </w:r>
      <w:r>
        <w:rPr>
          <w:rFonts w:ascii="Times New Roman"/>
        </w:rPr>
        <w:t>元人民币。</w:t>
      </w:r>
    </w:p>
    <w:p w14:paraId="498AD7FC">
      <w:pPr>
        <w:ind w:firstLine="600"/>
        <w:rPr>
          <w:rFonts w:ascii="Times New Roman" w:hAnsi="Times New Roman"/>
        </w:rPr>
      </w:pPr>
      <w:r>
        <w:rPr>
          <w:rFonts w:ascii="Times New Roman" w:hAnsi="Times New Roman"/>
        </w:rPr>
        <w:t>4.</w:t>
      </w:r>
      <w:r>
        <w:rPr>
          <w:rFonts w:hint="eastAsia" w:ascii="Times New Roman" w:hAnsi="Times New Roman"/>
        </w:rPr>
        <w:t>公募</w:t>
      </w:r>
      <w:r>
        <w:rPr>
          <w:rFonts w:ascii="Times New Roman" w:hAnsi="Times New Roman"/>
        </w:rPr>
        <w:t>REITs</w:t>
      </w:r>
      <w:r>
        <w:rPr>
          <w:rFonts w:ascii="Times New Roman"/>
        </w:rPr>
        <w:t>开盘价</w:t>
      </w:r>
      <w:r>
        <w:rPr>
          <w:rFonts w:hint="eastAsia" w:ascii="Times New Roman"/>
          <w:lang w:eastAsia="zh-CN"/>
        </w:rPr>
        <w:t>、收盘价的产生方式适用《上海证券交易所交易规则》相关规定</w:t>
      </w:r>
      <w:r>
        <w:rPr>
          <w:rFonts w:ascii="Times New Roman"/>
        </w:rPr>
        <w:t>。</w:t>
      </w:r>
      <w:r>
        <w:rPr>
          <w:rFonts w:hint="eastAsia" w:ascii="Times New Roman" w:hAnsi="Times New Roman"/>
        </w:rPr>
        <w:t>公募</w:t>
      </w:r>
      <w:r>
        <w:rPr>
          <w:rFonts w:ascii="Times New Roman" w:hAnsi="Times New Roman"/>
        </w:rPr>
        <w:t>REITs</w:t>
      </w:r>
      <w:r>
        <w:rPr>
          <w:rFonts w:ascii="Times New Roman"/>
        </w:rPr>
        <w:t>份额上市首日，其即时行情显示的前收盘价为</w:t>
      </w:r>
      <w:r>
        <w:rPr>
          <w:rFonts w:hint="eastAsia" w:ascii="Times New Roman" w:hAnsi="Times New Roman"/>
        </w:rPr>
        <w:t>公募</w:t>
      </w:r>
      <w:r>
        <w:rPr>
          <w:rFonts w:ascii="Times New Roman" w:hAnsi="Times New Roman"/>
        </w:rPr>
        <w:t>REITs</w:t>
      </w:r>
      <w:r>
        <w:rPr>
          <w:rFonts w:ascii="Times New Roman"/>
        </w:rPr>
        <w:t>发售价格。</w:t>
      </w:r>
    </w:p>
    <w:p w14:paraId="2597D3AC">
      <w:pPr>
        <w:ind w:firstLine="600"/>
        <w:rPr>
          <w:rFonts w:ascii="Times New Roman"/>
          <w:color w:val="000000"/>
          <w:kern w:val="0"/>
        </w:rPr>
      </w:pPr>
      <w:r>
        <w:rPr>
          <w:rFonts w:ascii="Times New Roman" w:hAnsi="Times New Roman"/>
        </w:rPr>
        <w:t>5.</w:t>
      </w:r>
      <w:r>
        <w:rPr>
          <w:rFonts w:hint="eastAsia" w:ascii="Times New Roman" w:hAnsi="Times New Roman"/>
        </w:rPr>
        <w:t>公募</w:t>
      </w:r>
      <w:r>
        <w:rPr>
          <w:rFonts w:ascii="Times New Roman" w:hAnsi="Times New Roman"/>
        </w:rPr>
        <w:t>REITs</w:t>
      </w:r>
      <w:r>
        <w:rPr>
          <w:rFonts w:ascii="Times New Roman"/>
        </w:rPr>
        <w:t>实行价格涨跌幅限制，上市首日涨跌幅限制比例为</w:t>
      </w:r>
      <w:r>
        <w:rPr>
          <w:rFonts w:ascii="Times New Roman" w:hAnsi="Times New Roman"/>
        </w:rPr>
        <w:t>30%</w:t>
      </w:r>
      <w:r>
        <w:rPr>
          <w:rFonts w:ascii="Times New Roman"/>
        </w:rPr>
        <w:t>，非上市首日涨跌幅限制比例为</w:t>
      </w:r>
      <w:r>
        <w:rPr>
          <w:rFonts w:ascii="Times New Roman" w:hAnsi="Times New Roman"/>
        </w:rPr>
        <w:t>10%</w:t>
      </w:r>
      <w:r>
        <w:rPr>
          <w:rFonts w:ascii="Times New Roman"/>
        </w:rPr>
        <w:t>，本所另有规定的除外。涨跌幅价格的计算公式为：涨跌幅价格＝前收盘价</w:t>
      </w:r>
      <w:r>
        <w:rPr>
          <w:rFonts w:ascii="Times New Roman" w:hAnsi="Times New Roman"/>
        </w:rPr>
        <w:t>×</w:t>
      </w:r>
      <w:r>
        <w:rPr>
          <w:rFonts w:ascii="Times New Roman"/>
        </w:rPr>
        <w:t>（</w:t>
      </w:r>
      <w:r>
        <w:rPr>
          <w:rFonts w:ascii="Times New Roman" w:hAnsi="Times New Roman"/>
        </w:rPr>
        <w:t>1±</w:t>
      </w:r>
      <w:r>
        <w:rPr>
          <w:rFonts w:ascii="Times New Roman"/>
        </w:rPr>
        <w:t>涨跌幅比例）。</w:t>
      </w:r>
    </w:p>
    <w:p w14:paraId="235E6F2D">
      <w:pPr>
        <w:ind w:firstLine="600"/>
        <w:rPr>
          <w:rFonts w:hint="default" w:ascii="Times New Roman" w:eastAsia="仿宋_GB2312"/>
          <w:color w:val="000000"/>
          <w:kern w:val="0"/>
          <w:lang w:val="en-US" w:eastAsia="zh-CN"/>
        </w:rPr>
      </w:pPr>
      <w:r>
        <w:rPr>
          <w:rFonts w:hint="eastAsia" w:ascii="Times New Roman"/>
          <w:color w:val="000000"/>
          <w:kern w:val="0"/>
          <w:lang w:val="en-US" w:eastAsia="zh-CN"/>
        </w:rPr>
        <w:t>6.公募REITs停复牌期间的申报、撤销申报、成交等机制安排适用</w:t>
      </w:r>
      <w:r>
        <w:rPr>
          <w:rFonts w:hint="eastAsia" w:ascii="Times New Roman"/>
          <w:lang w:eastAsia="zh-CN"/>
        </w:rPr>
        <w:t>《上海证券交易所交易规则》相关规定。</w:t>
      </w:r>
      <w:r>
        <w:rPr>
          <w:rFonts w:ascii="Times New Roman"/>
        </w:rPr>
        <w:t>当日</w:t>
      </w:r>
      <w:r>
        <w:rPr>
          <w:rFonts w:ascii="Times New Roman"/>
          <w:color w:val="000000"/>
          <w:kern w:val="0"/>
        </w:rPr>
        <w:t>无交易的，前收盘价格视为最新成交价格。</w:t>
      </w:r>
    </w:p>
    <w:p w14:paraId="5A3AAC08">
      <w:pPr>
        <w:pStyle w:val="4"/>
        <w:ind w:firstLine="602"/>
        <w:rPr>
          <w:rFonts w:ascii="Times New Roman" w:hAnsi="Times New Roman"/>
        </w:rPr>
      </w:pPr>
      <w:r>
        <w:rPr>
          <w:rFonts w:ascii="Times New Roman"/>
        </w:rPr>
        <w:t>（二）大宗交易机制</w:t>
      </w:r>
    </w:p>
    <w:p w14:paraId="17E6A67F">
      <w:pPr>
        <w:ind w:firstLine="600"/>
        <w:rPr>
          <w:rFonts w:ascii="Times New Roman" w:hAnsi="Times New Roman"/>
          <w:kern w:val="0"/>
        </w:rPr>
      </w:pPr>
      <w:r>
        <w:rPr>
          <w:rFonts w:ascii="Times New Roman" w:hAnsi="Times New Roman"/>
          <w:kern w:val="0"/>
        </w:rPr>
        <w:t>1.</w:t>
      </w:r>
      <w:r>
        <w:rPr>
          <w:rFonts w:ascii="Times New Roman"/>
          <w:kern w:val="0"/>
        </w:rPr>
        <w:t>大宗交易申报包括意向申报、成交申报。</w:t>
      </w:r>
    </w:p>
    <w:p w14:paraId="068E05B8">
      <w:pPr>
        <w:ind w:firstLine="600"/>
        <w:rPr>
          <w:rFonts w:ascii="Times New Roman" w:hAnsi="Times New Roman"/>
        </w:rPr>
      </w:pPr>
      <w:r>
        <w:rPr>
          <w:rFonts w:ascii="Times New Roman" w:hAnsi="Times New Roman"/>
          <w:kern w:val="0"/>
        </w:rPr>
        <w:t>2.</w:t>
      </w:r>
      <w:r>
        <w:rPr>
          <w:rFonts w:ascii="Times New Roman"/>
          <w:kern w:val="0"/>
        </w:rPr>
        <w:t>本所每个交易日</w:t>
      </w:r>
      <w:r>
        <w:rPr>
          <w:rFonts w:ascii="Times New Roman" w:hAnsi="Times New Roman"/>
          <w:kern w:val="0"/>
        </w:rPr>
        <w:t>9:30</w:t>
      </w:r>
      <w:r>
        <w:rPr>
          <w:rFonts w:ascii="Times New Roman"/>
          <w:kern w:val="0"/>
        </w:rPr>
        <w:t>至</w:t>
      </w:r>
      <w:r>
        <w:rPr>
          <w:rFonts w:ascii="Times New Roman" w:hAnsi="Times New Roman"/>
          <w:kern w:val="0"/>
        </w:rPr>
        <w:t>11:30</w:t>
      </w:r>
      <w:r>
        <w:rPr>
          <w:rFonts w:ascii="Times New Roman"/>
          <w:kern w:val="0"/>
        </w:rPr>
        <w:t>、</w:t>
      </w:r>
      <w:r>
        <w:rPr>
          <w:rFonts w:ascii="Times New Roman" w:hAnsi="Times New Roman"/>
          <w:kern w:val="0"/>
        </w:rPr>
        <w:t>13:00</w:t>
      </w:r>
      <w:r>
        <w:rPr>
          <w:rFonts w:ascii="Times New Roman"/>
          <w:kern w:val="0"/>
        </w:rPr>
        <w:t>至</w:t>
      </w:r>
      <w:r>
        <w:rPr>
          <w:rFonts w:ascii="Times New Roman" w:hAnsi="Times New Roman"/>
          <w:kern w:val="0"/>
        </w:rPr>
        <w:t>15:30</w:t>
      </w:r>
      <w:r>
        <w:rPr>
          <w:rFonts w:ascii="Times New Roman"/>
          <w:kern w:val="0"/>
        </w:rPr>
        <w:t>接受意向申报</w:t>
      </w:r>
      <w:r>
        <w:rPr>
          <w:rFonts w:hint="eastAsia" w:ascii="Times New Roman"/>
          <w:kern w:val="0"/>
          <w:lang w:eastAsia="zh-CN"/>
        </w:rPr>
        <w:t>、成交申报。大宗交易的成交申报确认时间为每个交易日</w:t>
      </w:r>
      <w:r>
        <w:rPr>
          <w:rFonts w:ascii="Times New Roman" w:hAnsi="Times New Roman"/>
        </w:rPr>
        <w:t>15:00</w:t>
      </w:r>
      <w:r>
        <w:rPr>
          <w:rFonts w:ascii="Times New Roman"/>
        </w:rPr>
        <w:t>至</w:t>
      </w:r>
      <w:r>
        <w:rPr>
          <w:rFonts w:ascii="Times New Roman" w:hAnsi="Times New Roman"/>
        </w:rPr>
        <w:t>15:30</w:t>
      </w:r>
      <w:r>
        <w:rPr>
          <w:rFonts w:ascii="Times New Roman"/>
        </w:rPr>
        <w:t>。</w:t>
      </w:r>
    </w:p>
    <w:p w14:paraId="117E246F">
      <w:pPr>
        <w:ind w:firstLine="600"/>
        <w:rPr>
          <w:rFonts w:ascii="Times New Roman" w:hAnsi="Times New Roman"/>
        </w:rPr>
      </w:pPr>
      <w:r>
        <w:rPr>
          <w:rFonts w:ascii="Times New Roman" w:hAnsi="Times New Roman"/>
        </w:rPr>
        <w:t>3.</w:t>
      </w:r>
      <w:r>
        <w:rPr>
          <w:rFonts w:hint="eastAsia" w:ascii="Times New Roman" w:hAnsi="Times New Roman"/>
        </w:rPr>
        <w:t>公募</w:t>
      </w:r>
      <w:r>
        <w:rPr>
          <w:rFonts w:ascii="Times New Roman" w:hAnsi="Times New Roman"/>
        </w:rPr>
        <w:t>REITs</w:t>
      </w:r>
      <w:r>
        <w:rPr>
          <w:rFonts w:ascii="Times New Roman"/>
        </w:rPr>
        <w:t>大宗交易单笔申报数量应当为</w:t>
      </w:r>
      <w:r>
        <w:rPr>
          <w:rFonts w:ascii="Times New Roman" w:hAnsi="Times New Roman"/>
        </w:rPr>
        <w:t>1000</w:t>
      </w:r>
      <w:r>
        <w:rPr>
          <w:rFonts w:ascii="Times New Roman"/>
        </w:rPr>
        <w:t>份或者其整数倍。</w:t>
      </w:r>
    </w:p>
    <w:p w14:paraId="2F487FD5">
      <w:pPr>
        <w:ind w:firstLine="600"/>
        <w:rPr>
          <w:rFonts w:ascii="Times New Roman" w:hAnsi="Times New Roman"/>
        </w:rPr>
      </w:pPr>
      <w:r>
        <w:rPr>
          <w:rFonts w:ascii="Times New Roman" w:hAnsi="Times New Roman"/>
        </w:rPr>
        <w:t>4.</w:t>
      </w:r>
      <w:r>
        <w:rPr>
          <w:rFonts w:hint="eastAsia" w:ascii="Times New Roman" w:hAnsi="Times New Roman"/>
        </w:rPr>
        <w:t>公募</w:t>
      </w:r>
      <w:r>
        <w:rPr>
          <w:rFonts w:ascii="Times New Roman" w:hAnsi="Times New Roman"/>
        </w:rPr>
        <w:t>REITs</w:t>
      </w:r>
      <w:r>
        <w:rPr>
          <w:rFonts w:ascii="Times New Roman"/>
        </w:rPr>
        <w:t>大宗交易申报价格最小变动单位为</w:t>
      </w:r>
      <w:r>
        <w:rPr>
          <w:rFonts w:ascii="Times New Roman" w:hAnsi="Times New Roman"/>
        </w:rPr>
        <w:t>0.001</w:t>
      </w:r>
      <w:r>
        <w:rPr>
          <w:rFonts w:ascii="Times New Roman"/>
        </w:rPr>
        <w:t>元人民币。</w:t>
      </w:r>
    </w:p>
    <w:p w14:paraId="0B5CC920">
      <w:pPr>
        <w:ind w:firstLine="600"/>
        <w:rPr>
          <w:rFonts w:ascii="Times New Roman" w:hAnsi="Times New Roman"/>
        </w:rPr>
      </w:pPr>
      <w:r>
        <w:rPr>
          <w:rFonts w:ascii="Times New Roman" w:hAnsi="Times New Roman"/>
        </w:rPr>
        <w:t>5.</w:t>
      </w:r>
      <w:r>
        <w:rPr>
          <w:rFonts w:hint="eastAsia" w:ascii="Times New Roman" w:hAnsi="Times New Roman"/>
        </w:rPr>
        <w:t>公募</w:t>
      </w:r>
      <w:r>
        <w:rPr>
          <w:rFonts w:ascii="Times New Roman" w:hAnsi="Times New Roman"/>
        </w:rPr>
        <w:t>REITs</w:t>
      </w:r>
      <w:r>
        <w:rPr>
          <w:rFonts w:ascii="Times New Roman"/>
        </w:rPr>
        <w:t>大宗交易成交申报价格，由买方和卖方在当日价格涨跌幅限制范围内确定。</w:t>
      </w:r>
    </w:p>
    <w:p w14:paraId="019C93B1">
      <w:pPr>
        <w:ind w:firstLine="600"/>
        <w:rPr>
          <w:rFonts w:ascii="Times New Roman" w:hAnsi="Times New Roman"/>
          <w:kern w:val="0"/>
        </w:rPr>
      </w:pPr>
      <w:r>
        <w:rPr>
          <w:rFonts w:ascii="Times New Roman" w:hAnsi="Times New Roman"/>
        </w:rPr>
        <w:t>6.</w:t>
      </w:r>
      <w:r>
        <w:rPr>
          <w:rFonts w:ascii="Times New Roman"/>
        </w:rPr>
        <w:t>大宗交</w:t>
      </w:r>
      <w:r>
        <w:rPr>
          <w:rFonts w:ascii="Times New Roman"/>
          <w:kern w:val="0"/>
        </w:rPr>
        <w:t>易不纳入本所即时行情和指数的计算，成交量在大宗交易结束后计入该证券成交总量。</w:t>
      </w:r>
    </w:p>
    <w:p w14:paraId="6EDA9037">
      <w:pPr>
        <w:pStyle w:val="4"/>
        <w:ind w:firstLine="602"/>
        <w:rPr>
          <w:rFonts w:ascii="Times New Roman" w:hAnsi="Times New Roman"/>
        </w:rPr>
      </w:pPr>
      <w:r>
        <w:rPr>
          <w:rFonts w:ascii="Times New Roman"/>
        </w:rPr>
        <w:t>（三）</w:t>
      </w:r>
      <w:r>
        <w:rPr>
          <w:rFonts w:hint="eastAsia" w:ascii="Times New Roman"/>
          <w:lang w:eastAsia="zh-CN"/>
        </w:rPr>
        <w:t>协商成交</w:t>
      </w:r>
      <w:r>
        <w:rPr>
          <w:rFonts w:ascii="Times New Roman"/>
        </w:rPr>
        <w:t>等交易机制</w:t>
      </w:r>
    </w:p>
    <w:p w14:paraId="51DB808C">
      <w:pPr>
        <w:ind w:firstLine="600"/>
        <w:rPr>
          <w:rFonts w:ascii="Times New Roman" w:hAnsi="Times New Roman"/>
        </w:rPr>
      </w:pPr>
      <w:r>
        <w:rPr>
          <w:rFonts w:ascii="Times New Roman" w:hAnsi="Times New Roman"/>
          <w:color w:val="000000"/>
          <w:kern w:val="0"/>
        </w:rPr>
        <w:t>1.</w:t>
      </w:r>
      <w:r>
        <w:rPr>
          <w:rFonts w:hint="eastAsia" w:ascii="Times New Roman" w:hAnsi="Times New Roman"/>
        </w:rPr>
        <w:t>公募</w:t>
      </w:r>
      <w:r>
        <w:rPr>
          <w:rFonts w:ascii="Times New Roman" w:hAnsi="Times New Roman"/>
          <w:color w:val="000000"/>
          <w:kern w:val="0"/>
        </w:rPr>
        <w:t>REITs</w:t>
      </w:r>
      <w:r>
        <w:rPr>
          <w:rFonts w:ascii="Times New Roman"/>
        </w:rPr>
        <w:t>的</w:t>
      </w:r>
      <w:r>
        <w:rPr>
          <w:rFonts w:hint="eastAsia" w:ascii="Times New Roman"/>
          <w:lang w:eastAsia="zh-CN"/>
        </w:rPr>
        <w:t>点击成交</w:t>
      </w:r>
      <w:r>
        <w:rPr>
          <w:rFonts w:ascii="Times New Roman"/>
        </w:rPr>
        <w:t>、询价</w:t>
      </w:r>
      <w:r>
        <w:rPr>
          <w:rFonts w:hint="eastAsia" w:ascii="Times New Roman"/>
          <w:lang w:eastAsia="zh-CN"/>
        </w:rPr>
        <w:t>成交</w:t>
      </w:r>
      <w:r>
        <w:rPr>
          <w:rFonts w:ascii="Times New Roman"/>
        </w:rPr>
        <w:t>、</w:t>
      </w:r>
      <w:r>
        <w:rPr>
          <w:rFonts w:hint="eastAsia" w:ascii="Times New Roman"/>
          <w:lang w:eastAsia="zh-CN"/>
        </w:rPr>
        <w:t>协商成交</w:t>
      </w:r>
      <w:r>
        <w:rPr>
          <w:rFonts w:ascii="Times New Roman"/>
        </w:rPr>
        <w:t>等交易方式在上海证券交易所</w:t>
      </w:r>
      <w:r>
        <w:rPr>
          <w:rFonts w:hint="eastAsia" w:ascii="Times New Roman"/>
          <w:lang w:eastAsia="zh-CN"/>
        </w:rPr>
        <w:t>新固定收益系统</w:t>
      </w:r>
      <w:r>
        <w:rPr>
          <w:rFonts w:ascii="Times New Roman"/>
        </w:rPr>
        <w:t>（下称</w:t>
      </w:r>
      <w:r>
        <w:rPr>
          <w:rFonts w:hint="eastAsia" w:ascii="Times New Roman"/>
          <w:lang w:eastAsia="zh-CN"/>
        </w:rPr>
        <w:t>新固收系统</w:t>
      </w:r>
      <w:r>
        <w:rPr>
          <w:rFonts w:ascii="Times New Roman"/>
        </w:rPr>
        <w:t>）开展。</w:t>
      </w:r>
    </w:p>
    <w:p w14:paraId="4EEF26A1">
      <w:pPr>
        <w:ind w:firstLine="600"/>
        <w:rPr>
          <w:rFonts w:ascii="Times New Roman"/>
        </w:rPr>
      </w:pPr>
      <w:r>
        <w:rPr>
          <w:rFonts w:hint="eastAsia" w:ascii="Times New Roman" w:hAnsi="Times New Roman"/>
          <w:lang w:val="en-US" w:eastAsia="zh-CN"/>
        </w:rPr>
        <w:t>2</w:t>
      </w:r>
      <w:r>
        <w:rPr>
          <w:rFonts w:ascii="Times New Roman" w:hAnsi="Times New Roman"/>
        </w:rPr>
        <w:t>.</w:t>
      </w:r>
      <w:r>
        <w:rPr>
          <w:rFonts w:ascii="Times New Roman"/>
        </w:rPr>
        <w:t>本所每个交易日</w:t>
      </w:r>
      <w:r>
        <w:rPr>
          <w:rFonts w:ascii="Times New Roman" w:hAnsi="Times New Roman"/>
        </w:rPr>
        <w:t>9:30</w:t>
      </w:r>
      <w:r>
        <w:rPr>
          <w:rFonts w:ascii="Times New Roman"/>
        </w:rPr>
        <w:t>至</w:t>
      </w:r>
      <w:r>
        <w:rPr>
          <w:rFonts w:ascii="Times New Roman" w:hAnsi="Times New Roman"/>
        </w:rPr>
        <w:t>11:30</w:t>
      </w:r>
      <w:r>
        <w:rPr>
          <w:rFonts w:ascii="Times New Roman"/>
        </w:rPr>
        <w:t>、</w:t>
      </w:r>
      <w:r>
        <w:rPr>
          <w:rFonts w:ascii="Times New Roman" w:hAnsi="Times New Roman"/>
        </w:rPr>
        <w:t>13:00</w:t>
      </w:r>
      <w:r>
        <w:rPr>
          <w:rFonts w:ascii="Times New Roman"/>
        </w:rPr>
        <w:t>至</w:t>
      </w:r>
      <w:r>
        <w:rPr>
          <w:rFonts w:ascii="Times New Roman" w:hAnsi="Times New Roman"/>
        </w:rPr>
        <w:t>15:30</w:t>
      </w:r>
      <w:r>
        <w:rPr>
          <w:rFonts w:ascii="Times New Roman"/>
        </w:rPr>
        <w:t>为</w:t>
      </w:r>
      <w:r>
        <w:rPr>
          <w:rFonts w:hint="eastAsia" w:ascii="Times New Roman"/>
          <w:lang w:eastAsia="zh-CN"/>
        </w:rPr>
        <w:t>新固收系统公募</w:t>
      </w:r>
      <w:r>
        <w:rPr>
          <w:rFonts w:hint="eastAsia" w:ascii="Times New Roman"/>
          <w:lang w:val="en-US" w:eastAsia="zh-CN"/>
        </w:rPr>
        <w:t>REITs</w:t>
      </w:r>
      <w:r>
        <w:rPr>
          <w:rFonts w:ascii="Times New Roman"/>
        </w:rPr>
        <w:t>交易时间。</w:t>
      </w:r>
    </w:p>
    <w:p w14:paraId="47A9D2D1">
      <w:pPr>
        <w:ind w:firstLine="600"/>
        <w:rPr>
          <w:rFonts w:ascii="Times New Roman" w:hAnsi="Times New Roman"/>
        </w:rPr>
      </w:pPr>
      <w:r>
        <w:rPr>
          <w:rFonts w:hint="eastAsia" w:ascii="Times New Roman"/>
          <w:lang w:val="en-US" w:eastAsia="zh-CN"/>
        </w:rPr>
        <w:t>3.</w:t>
      </w:r>
      <w:r>
        <w:rPr>
          <w:rFonts w:ascii="Times New Roman" w:hAnsi="Times New Roman"/>
        </w:rPr>
        <w:t>公募REITs</w:t>
      </w:r>
      <w:r>
        <w:rPr>
          <w:rFonts w:hint="eastAsia" w:ascii="Times New Roman" w:hAnsi="Times New Roman"/>
          <w:lang w:eastAsia="zh-CN"/>
        </w:rPr>
        <w:t>点击成交</w:t>
      </w:r>
      <w:r>
        <w:rPr>
          <w:rFonts w:ascii="Times New Roman" w:hAnsi="Times New Roman"/>
        </w:rPr>
        <w:t>单笔申报数量应当为1000份或者其整数倍</w:t>
      </w:r>
      <w:r>
        <w:rPr>
          <w:rFonts w:hint="eastAsia" w:ascii="Times New Roman" w:hAnsi="Times New Roman"/>
          <w:lang w:eastAsia="zh-CN"/>
        </w:rPr>
        <w:t>；</w:t>
      </w:r>
      <w:r>
        <w:rPr>
          <w:rFonts w:ascii="Times New Roman" w:hAnsi="Times New Roman"/>
        </w:rPr>
        <w:t>询价</w:t>
      </w:r>
      <w:r>
        <w:rPr>
          <w:rFonts w:hint="eastAsia" w:ascii="Times New Roman" w:hAnsi="Times New Roman"/>
          <w:lang w:eastAsia="zh-CN"/>
        </w:rPr>
        <w:t>成交</w:t>
      </w:r>
      <w:r>
        <w:rPr>
          <w:rFonts w:ascii="Times New Roman" w:hAnsi="Times New Roman"/>
        </w:rPr>
        <w:t>、</w:t>
      </w:r>
      <w:r>
        <w:rPr>
          <w:rFonts w:hint="eastAsia" w:ascii="Times New Roman" w:hAnsi="Times New Roman"/>
          <w:lang w:eastAsia="zh-CN"/>
        </w:rPr>
        <w:t>协商成交</w:t>
      </w:r>
      <w:r>
        <w:rPr>
          <w:rFonts w:ascii="Times New Roman" w:hAnsi="Times New Roman"/>
        </w:rPr>
        <w:t>单笔申报数量最小为100000份，且为1000份</w:t>
      </w:r>
      <w:r>
        <w:rPr>
          <w:rFonts w:hint="eastAsia" w:ascii="Times New Roman" w:hAnsi="Times New Roman"/>
          <w:lang w:eastAsia="zh-CN"/>
        </w:rPr>
        <w:t>的</w:t>
      </w:r>
      <w:r>
        <w:rPr>
          <w:rFonts w:ascii="Times New Roman" w:hAnsi="Times New Roman"/>
        </w:rPr>
        <w:t>整数倍。</w:t>
      </w:r>
    </w:p>
    <w:p w14:paraId="59097E15">
      <w:pPr>
        <w:ind w:firstLine="600"/>
        <w:rPr>
          <w:rFonts w:ascii="Times New Roman" w:hAnsi="Times New Roman"/>
        </w:rPr>
      </w:pPr>
      <w:r>
        <w:rPr>
          <w:rFonts w:hint="eastAsia" w:ascii="Times New Roman" w:hAnsi="Times New Roman"/>
          <w:lang w:val="en-US" w:eastAsia="zh-CN"/>
        </w:rPr>
        <w:t>4.</w:t>
      </w:r>
      <w:r>
        <w:rPr>
          <w:rFonts w:hint="eastAsia" w:ascii="Times New Roman" w:hAnsi="Times New Roman"/>
        </w:rPr>
        <w:t>公募</w:t>
      </w:r>
      <w:r>
        <w:rPr>
          <w:rFonts w:ascii="Times New Roman" w:hAnsi="Times New Roman"/>
        </w:rPr>
        <w:t>REITs</w:t>
      </w:r>
      <w:r>
        <w:rPr>
          <w:rFonts w:hint="eastAsia" w:ascii="Times New Roman"/>
          <w:lang w:eastAsia="zh-CN"/>
        </w:rPr>
        <w:t>点击成交</w:t>
      </w:r>
      <w:r>
        <w:rPr>
          <w:rFonts w:hint="eastAsia" w:ascii="Times New Roman"/>
        </w:rPr>
        <w:t>等</w:t>
      </w:r>
      <w:r>
        <w:rPr>
          <w:rFonts w:ascii="Times New Roman"/>
        </w:rPr>
        <w:t>交易申报价格最小变动单位为</w:t>
      </w:r>
      <w:r>
        <w:rPr>
          <w:rFonts w:ascii="Times New Roman" w:hAnsi="Times New Roman"/>
        </w:rPr>
        <w:t>0.001</w:t>
      </w:r>
      <w:r>
        <w:rPr>
          <w:rFonts w:ascii="Times New Roman"/>
        </w:rPr>
        <w:t>元人民币。</w:t>
      </w:r>
    </w:p>
    <w:p w14:paraId="5C36C385">
      <w:pPr>
        <w:ind w:firstLine="600"/>
        <w:rPr>
          <w:rFonts w:ascii="Times New Roman"/>
        </w:rPr>
      </w:pPr>
      <w:r>
        <w:rPr>
          <w:rFonts w:hint="eastAsia" w:ascii="Times New Roman" w:hAnsi="Times New Roman"/>
          <w:lang w:val="en-US" w:eastAsia="zh-CN"/>
        </w:rPr>
        <w:t>5</w:t>
      </w:r>
      <w:r>
        <w:rPr>
          <w:rFonts w:ascii="Times New Roman" w:hAnsi="Times New Roman"/>
        </w:rPr>
        <w:t>.</w:t>
      </w:r>
      <w:r>
        <w:rPr>
          <w:rFonts w:hint="eastAsia" w:ascii="Times New Roman" w:hAnsi="Times New Roman"/>
        </w:rPr>
        <w:t>公募</w:t>
      </w:r>
      <w:r>
        <w:rPr>
          <w:rFonts w:ascii="Times New Roman" w:hAnsi="Times New Roman"/>
        </w:rPr>
        <w:t>REITs</w:t>
      </w:r>
      <w:r>
        <w:rPr>
          <w:rFonts w:hint="eastAsia" w:ascii="Times New Roman"/>
          <w:lang w:eastAsia="zh-CN"/>
        </w:rPr>
        <w:t>点击成交</w:t>
      </w:r>
      <w:r>
        <w:rPr>
          <w:rFonts w:hint="eastAsia" w:ascii="Times New Roman"/>
        </w:rPr>
        <w:t>等</w:t>
      </w:r>
      <w:r>
        <w:rPr>
          <w:rFonts w:ascii="Times New Roman"/>
        </w:rPr>
        <w:t>交易成交申报价格，由买方和卖方在当日价格涨跌幅限制范围内确定</w:t>
      </w:r>
      <w:r>
        <w:rPr>
          <w:rFonts w:hint="eastAsia" w:ascii="Times New Roman"/>
          <w:lang w:eastAsia="zh-CN"/>
        </w:rPr>
        <w:t>，并以竞价交易产生的前收盘价为涨跌幅控制基准</w:t>
      </w:r>
      <w:r>
        <w:rPr>
          <w:rFonts w:ascii="Times New Roman"/>
        </w:rPr>
        <w:t>。</w:t>
      </w:r>
    </w:p>
    <w:p w14:paraId="3BF7A1A1">
      <w:pPr>
        <w:widowControl/>
        <w:spacing w:line="240" w:lineRule="auto"/>
        <w:ind w:firstLine="0" w:firstLineChars="0"/>
        <w:jc w:val="left"/>
        <w:rPr>
          <w:rFonts w:ascii="Times New Roman"/>
        </w:rPr>
      </w:pPr>
      <w:r>
        <w:rPr>
          <w:rFonts w:ascii="Times New Roman"/>
        </w:rPr>
        <w:br w:type="page"/>
      </w:r>
    </w:p>
    <w:p w14:paraId="26006EF0">
      <w:pPr>
        <w:pStyle w:val="3"/>
        <w:spacing w:before="156" w:after="156"/>
        <w:ind w:firstLine="643"/>
        <w:rPr>
          <w:rFonts w:ascii="Times New Roman" w:hAnsi="Times New Roman"/>
        </w:rPr>
      </w:pPr>
      <w:bookmarkStart w:id="8" w:name="_Toc217484329"/>
      <w:bookmarkStart w:id="9" w:name="_Toc400941659"/>
      <w:r>
        <w:rPr>
          <w:rFonts w:ascii="Times New Roman"/>
        </w:rPr>
        <w:t>二、融资业务</w:t>
      </w:r>
      <w:bookmarkEnd w:id="8"/>
      <w:bookmarkEnd w:id="9"/>
    </w:p>
    <w:p w14:paraId="79ACB1AB">
      <w:pPr>
        <w:ind w:firstLine="600"/>
        <w:rPr>
          <w:rFonts w:ascii="Times New Roman" w:hAnsi="Times New Roman"/>
          <w:kern w:val="0"/>
        </w:rPr>
      </w:pPr>
      <w:r>
        <w:rPr>
          <w:rFonts w:ascii="Times New Roman" w:hAnsi="Times New Roman"/>
          <w:kern w:val="0"/>
        </w:rPr>
        <w:t>根据《上海证券交易所公开募集不动产投资信托基金（REITs）业务办法》规</w:t>
      </w:r>
      <w:r>
        <w:rPr>
          <w:rFonts w:hint="eastAsia" w:ascii="Times New Roman" w:hAnsi="Times New Roman"/>
          <w:kern w:val="0"/>
        </w:rPr>
        <w:t>定</w:t>
      </w:r>
      <w:r>
        <w:rPr>
          <w:rFonts w:ascii="Times New Roman" w:hAnsi="Times New Roman"/>
          <w:kern w:val="0"/>
        </w:rPr>
        <w:t>，原始权益人或其同一控制下的关联方战略配售部分份额（下称原始权益人限售份额）在限售期内不能参与质押；专业机构投资者战略配售部分（下称战略配售份额）在限售期内能够参与质押。</w:t>
      </w:r>
    </w:p>
    <w:p w14:paraId="7128EE12">
      <w:pPr>
        <w:ind w:firstLine="600"/>
        <w:rPr>
          <w:rFonts w:ascii="Times New Roman" w:hAnsi="Times New Roman"/>
          <w:kern w:val="0"/>
        </w:rPr>
      </w:pPr>
      <w:r>
        <w:rPr>
          <w:rFonts w:ascii="Times New Roman"/>
          <w:kern w:val="0"/>
        </w:rPr>
        <w:t>公募</w:t>
      </w:r>
      <w:r>
        <w:rPr>
          <w:rFonts w:ascii="Times New Roman" w:hAnsi="Times New Roman"/>
          <w:kern w:val="0"/>
        </w:rPr>
        <w:t>REITs</w:t>
      </w:r>
      <w:r>
        <w:rPr>
          <w:rFonts w:ascii="Times New Roman"/>
          <w:kern w:val="0"/>
        </w:rPr>
        <w:t>可以在</w:t>
      </w:r>
      <w:r>
        <w:rPr>
          <w:rFonts w:hint="eastAsia" w:ascii="Times New Roman"/>
          <w:kern w:val="0"/>
          <w:lang w:eastAsia="zh-CN"/>
        </w:rPr>
        <w:t>新固收系统</w:t>
      </w:r>
      <w:r>
        <w:rPr>
          <w:rFonts w:ascii="Times New Roman"/>
          <w:kern w:val="0"/>
        </w:rPr>
        <w:t>上参与债券质押式协议回购。其中非限售份额可以参与交易、质押式协议回购，战略配售份额可参与债券质押式协议回购。</w:t>
      </w:r>
    </w:p>
    <w:p w14:paraId="4A42199B">
      <w:pPr>
        <w:pStyle w:val="4"/>
        <w:ind w:firstLine="602"/>
        <w:rPr>
          <w:rFonts w:ascii="Times New Roman" w:hAnsi="Times New Roman"/>
        </w:rPr>
      </w:pPr>
      <w:r>
        <w:rPr>
          <w:rFonts w:ascii="Times New Roman"/>
        </w:rPr>
        <w:t>（一）债券质押式协议回购交易</w:t>
      </w:r>
    </w:p>
    <w:p w14:paraId="64DD2CE4">
      <w:pPr>
        <w:ind w:firstLine="600"/>
        <w:rPr>
          <w:rFonts w:ascii="Times New Roman" w:hAnsi="Times New Roman"/>
        </w:rPr>
      </w:pPr>
      <w:r>
        <w:rPr>
          <w:rFonts w:ascii="Times New Roman"/>
          <w:color w:val="000000"/>
          <w:kern w:val="0"/>
        </w:rPr>
        <w:t>债券质押式协议回购交易</w:t>
      </w:r>
      <w:r>
        <w:rPr>
          <w:rFonts w:ascii="Times New Roman"/>
        </w:rPr>
        <w:t>（以下简称协议回购）是指回购双方自主协商约定，由资金融入方（以下简称正回购方</w:t>
      </w:r>
      <w:r>
        <w:rPr>
          <w:rFonts w:ascii="Times New Roman" w:hAnsi="Times New Roman"/>
        </w:rPr>
        <w:t>）</w:t>
      </w:r>
      <w:r>
        <w:rPr>
          <w:rFonts w:ascii="Times New Roman"/>
        </w:rPr>
        <w:t>将债券出质给资金融出方（以下简称逆回购方</w:t>
      </w:r>
      <w:r>
        <w:rPr>
          <w:rFonts w:ascii="Times New Roman" w:hAnsi="Times New Roman"/>
        </w:rPr>
        <w:t>）</w:t>
      </w:r>
      <w:r>
        <w:rPr>
          <w:rFonts w:ascii="Times New Roman"/>
        </w:rPr>
        <w:t>融入资金，并在未来返还资金和支付回购利息，同时解除债券质押登记的交易。</w:t>
      </w:r>
    </w:p>
    <w:p w14:paraId="14102203">
      <w:pPr>
        <w:ind w:firstLine="600"/>
        <w:rPr>
          <w:rFonts w:ascii="Times New Roman" w:hAnsi="Times New Roman"/>
        </w:rPr>
      </w:pPr>
      <w:r>
        <w:rPr>
          <w:rFonts w:ascii="Times New Roman" w:hAnsi="Times New Roman"/>
        </w:rPr>
        <w:t>投资者参与债券质押式协议回购融资，应</w:t>
      </w:r>
      <w:r>
        <w:rPr>
          <w:rFonts w:hint="eastAsia" w:ascii="Times New Roman" w:hAnsi="Times New Roman"/>
        </w:rPr>
        <w:t>当</w:t>
      </w:r>
      <w:r>
        <w:rPr>
          <w:rFonts w:ascii="Times New Roman" w:hAnsi="Times New Roman"/>
        </w:rPr>
        <w:t>遵守《上海证券交易所债券质押式协议回购交易暂行办法》中对于投资者适当性、违约处置、签署主协议的相关要求，相关交易方式如下：</w:t>
      </w:r>
    </w:p>
    <w:p w14:paraId="49F5983E">
      <w:pPr>
        <w:ind w:firstLine="600"/>
        <w:rPr>
          <w:rFonts w:ascii="Times New Roman" w:hAnsi="Times New Roman"/>
        </w:rPr>
      </w:pPr>
      <w:r>
        <w:rPr>
          <w:rFonts w:ascii="Times New Roman" w:hAnsi="Times New Roman"/>
        </w:rPr>
        <w:t>1.</w:t>
      </w:r>
      <w:r>
        <w:rPr>
          <w:rFonts w:ascii="Times New Roman"/>
        </w:rPr>
        <w:t>协议回购交易通过本所</w:t>
      </w:r>
      <w:r>
        <w:rPr>
          <w:rFonts w:hint="eastAsia" w:ascii="Times New Roman"/>
          <w:lang w:eastAsia="zh-CN"/>
        </w:rPr>
        <w:t>新固收系统</w:t>
      </w:r>
      <w:r>
        <w:rPr>
          <w:rFonts w:ascii="Times New Roman"/>
        </w:rPr>
        <w:t>进行，各类账户已设置具备协议回购交易权限。</w:t>
      </w:r>
    </w:p>
    <w:p w14:paraId="6DDE637A">
      <w:pPr>
        <w:ind w:firstLine="600"/>
        <w:rPr>
          <w:rFonts w:ascii="Times New Roman" w:hAnsi="Times New Roman"/>
        </w:rPr>
      </w:pPr>
      <w:r>
        <w:rPr>
          <w:rFonts w:ascii="Times New Roman" w:hAnsi="Times New Roman"/>
        </w:rPr>
        <w:t>2.</w:t>
      </w:r>
      <w:r>
        <w:rPr>
          <w:rFonts w:ascii="Times New Roman"/>
        </w:rPr>
        <w:t>协议回购申报的时间为每个交易日的</w:t>
      </w:r>
      <w:r>
        <w:rPr>
          <w:rFonts w:ascii="Times New Roman" w:hAnsi="Times New Roman"/>
        </w:rPr>
        <w:t>9:</w:t>
      </w:r>
      <w:r>
        <w:rPr>
          <w:rFonts w:hint="eastAsia" w:ascii="Times New Roman" w:hAnsi="Times New Roman"/>
          <w:lang w:val="en-US" w:eastAsia="zh-CN"/>
        </w:rPr>
        <w:t>0</w:t>
      </w:r>
      <w:r>
        <w:rPr>
          <w:rFonts w:ascii="Times New Roman" w:hAnsi="Times New Roman"/>
        </w:rPr>
        <w:t>0</w:t>
      </w:r>
      <w:r>
        <w:rPr>
          <w:rFonts w:ascii="Times New Roman"/>
        </w:rPr>
        <w:t>至</w:t>
      </w:r>
      <w:r>
        <w:rPr>
          <w:rFonts w:ascii="Times New Roman" w:hAnsi="Times New Roman"/>
        </w:rPr>
        <w:t>11:30</w:t>
      </w:r>
      <w:r>
        <w:rPr>
          <w:rFonts w:ascii="Times New Roman"/>
        </w:rPr>
        <w:t>，</w:t>
      </w:r>
      <w:r>
        <w:rPr>
          <w:rFonts w:ascii="Times New Roman" w:hAnsi="Times New Roman"/>
        </w:rPr>
        <w:t>13:00</w:t>
      </w:r>
      <w:r>
        <w:rPr>
          <w:rFonts w:ascii="Times New Roman"/>
        </w:rPr>
        <w:t>至</w:t>
      </w:r>
      <w:r>
        <w:rPr>
          <w:rFonts w:ascii="Times New Roman" w:hAnsi="Times New Roman"/>
        </w:rPr>
        <w:t>15:30</w:t>
      </w:r>
      <w:r>
        <w:rPr>
          <w:rFonts w:ascii="Times New Roman"/>
        </w:rPr>
        <w:t>。</w:t>
      </w:r>
    </w:p>
    <w:p w14:paraId="079B412D">
      <w:pPr>
        <w:ind w:firstLine="600"/>
        <w:rPr>
          <w:rFonts w:ascii="Times New Roman" w:hAnsi="Times New Roman"/>
        </w:rPr>
      </w:pPr>
      <w:r>
        <w:rPr>
          <w:rFonts w:ascii="Times New Roman" w:hAnsi="Times New Roman"/>
        </w:rPr>
        <w:t>3.</w:t>
      </w:r>
      <w:r>
        <w:rPr>
          <w:rFonts w:ascii="Times New Roman"/>
        </w:rPr>
        <w:t>协议回购的交易要素包括但不限于回购方向、回购利率、质押券名称、质押券代码、质押券数量、质押券面值总额</w:t>
      </w:r>
      <w:r>
        <w:rPr>
          <w:rStyle w:val="23"/>
          <w:rFonts w:ascii="Times New Roman" w:hAnsi="Times New Roman"/>
          <w:szCs w:val="30"/>
        </w:rPr>
        <w:footnoteReference w:id="0"/>
      </w:r>
      <w:r>
        <w:rPr>
          <w:rFonts w:ascii="Times New Roman"/>
        </w:rPr>
        <w:t>、</w:t>
      </w:r>
      <w:r>
        <w:rPr>
          <w:rFonts w:hint="eastAsia" w:ascii="Times New Roman"/>
          <w:lang w:eastAsia="zh-CN"/>
        </w:rPr>
        <w:t>正逆回购方、</w:t>
      </w:r>
      <w:r>
        <w:rPr>
          <w:rFonts w:ascii="Times New Roman"/>
        </w:rPr>
        <w:t>成交金额、折算比例</w:t>
      </w:r>
      <w:r>
        <w:rPr>
          <w:rStyle w:val="23"/>
          <w:rFonts w:ascii="Times New Roman" w:hAnsi="Times New Roman"/>
          <w:szCs w:val="30"/>
        </w:rPr>
        <w:footnoteReference w:id="1"/>
      </w:r>
      <w:r>
        <w:rPr>
          <w:rFonts w:ascii="Times New Roman"/>
        </w:rPr>
        <w:t>、首次结算日、回购到期日、回购期限、到期结算日、实际占款天数、到期结算金额等。</w:t>
      </w:r>
    </w:p>
    <w:p w14:paraId="6A200694">
      <w:pPr>
        <w:ind w:firstLine="600"/>
        <w:rPr>
          <w:rFonts w:ascii="Times New Roman" w:hAnsi="Times New Roman"/>
        </w:rPr>
      </w:pPr>
      <w:r>
        <w:rPr>
          <w:rFonts w:ascii="Times New Roman" w:hAnsi="Times New Roman"/>
        </w:rPr>
        <w:t>4.</w:t>
      </w:r>
      <w:r>
        <w:rPr>
          <w:rFonts w:ascii="Times New Roman"/>
        </w:rPr>
        <w:t>协议回购的期限不得超过</w:t>
      </w:r>
      <w:r>
        <w:rPr>
          <w:rFonts w:ascii="Times New Roman" w:hAnsi="Times New Roman"/>
        </w:rPr>
        <w:t>365</w:t>
      </w:r>
      <w:r>
        <w:rPr>
          <w:rFonts w:ascii="Times New Roman"/>
        </w:rPr>
        <w:t>天，且不得超过质押券的存续期间。协议回购的利率和折算比例不得超过</w:t>
      </w:r>
      <w:r>
        <w:rPr>
          <w:rFonts w:ascii="Times New Roman" w:hAnsi="Times New Roman"/>
        </w:rPr>
        <w:t>100%</w:t>
      </w:r>
      <w:r>
        <w:rPr>
          <w:rFonts w:ascii="Times New Roman"/>
        </w:rPr>
        <w:t>。</w:t>
      </w:r>
    </w:p>
    <w:p w14:paraId="69A9548C">
      <w:pPr>
        <w:ind w:firstLine="600"/>
        <w:rPr>
          <w:rFonts w:ascii="Times New Roman" w:hAnsi="Times New Roman"/>
        </w:rPr>
      </w:pPr>
      <w:r>
        <w:rPr>
          <w:rFonts w:ascii="Times New Roman" w:hAnsi="Times New Roman"/>
        </w:rPr>
        <w:t>5.</w:t>
      </w:r>
      <w:r>
        <w:rPr>
          <w:rFonts w:ascii="Times New Roman"/>
        </w:rPr>
        <w:t>协议回购交易经双方协商一致后，由正回购方发起成交申报，填妥交易要素后发送到逆回购方，经逆回购方确认后成交。</w:t>
      </w:r>
    </w:p>
    <w:p w14:paraId="201D7792">
      <w:pPr>
        <w:ind w:firstLine="600"/>
        <w:rPr>
          <w:rFonts w:ascii="Times New Roman" w:hAnsi="Times New Roman"/>
        </w:rPr>
      </w:pPr>
      <w:r>
        <w:rPr>
          <w:rFonts w:ascii="Times New Roman" w:hAnsi="Times New Roman"/>
        </w:rPr>
        <w:t>6.</w:t>
      </w:r>
      <w:r>
        <w:rPr>
          <w:rFonts w:ascii="Times New Roman"/>
        </w:rPr>
        <w:t>正回购方当日买入的公募</w:t>
      </w:r>
      <w:r>
        <w:rPr>
          <w:rFonts w:ascii="Times New Roman" w:hAnsi="Times New Roman"/>
        </w:rPr>
        <w:t>REITs</w:t>
      </w:r>
      <w:r>
        <w:rPr>
          <w:rFonts w:ascii="Times New Roman"/>
        </w:rPr>
        <w:t>，属于净额结算券种的，当日不得作为协议回购的质押券。正回购方已经申报用于协议回购的公募</w:t>
      </w:r>
      <w:r>
        <w:rPr>
          <w:rFonts w:ascii="Times New Roman" w:hAnsi="Times New Roman"/>
        </w:rPr>
        <w:t>REITs</w:t>
      </w:r>
      <w:r>
        <w:rPr>
          <w:rFonts w:ascii="Times New Roman"/>
        </w:rPr>
        <w:t>，当日不得申报卖出。</w:t>
      </w:r>
    </w:p>
    <w:p w14:paraId="2580E76B">
      <w:pPr>
        <w:ind w:firstLine="600"/>
        <w:rPr>
          <w:rFonts w:ascii="Times New Roman" w:hAnsi="Times New Roman"/>
        </w:rPr>
      </w:pPr>
      <w:r>
        <w:rPr>
          <w:rFonts w:ascii="Times New Roman" w:hAnsi="Times New Roman"/>
        </w:rPr>
        <w:t>7.</w:t>
      </w:r>
      <w:r>
        <w:rPr>
          <w:rFonts w:ascii="Times New Roman"/>
        </w:rPr>
        <w:t>正回购方可以通过成交申报批量提交多个质押券，经逆回购方确认申报后，交易系统按质押券种分拆逐笔成交。</w:t>
      </w:r>
    </w:p>
    <w:p w14:paraId="5D3AC35E">
      <w:pPr>
        <w:ind w:firstLine="600"/>
        <w:rPr>
          <w:rFonts w:ascii="Times New Roman" w:hAnsi="Times New Roman"/>
        </w:rPr>
      </w:pPr>
      <w:r>
        <w:rPr>
          <w:rFonts w:ascii="Times New Roman" w:hAnsi="Times New Roman"/>
        </w:rPr>
        <w:t>8.</w:t>
      </w:r>
      <w:r>
        <w:rPr>
          <w:rFonts w:ascii="Times New Roman"/>
        </w:rPr>
        <w:t>协议回购到期结算日，正回购方应当通过交易系统进行到期确认申报或者到期续做申报。</w:t>
      </w:r>
    </w:p>
    <w:p w14:paraId="3265E2A3">
      <w:pPr>
        <w:ind w:firstLine="600"/>
        <w:rPr>
          <w:rFonts w:ascii="Times New Roman" w:hAnsi="Times New Roman"/>
        </w:rPr>
      </w:pPr>
      <w:r>
        <w:rPr>
          <w:rFonts w:ascii="Times New Roman" w:hAnsi="Times New Roman"/>
        </w:rPr>
        <w:t>9.</w:t>
      </w:r>
      <w:r>
        <w:rPr>
          <w:rFonts w:ascii="Times New Roman"/>
        </w:rPr>
        <w:t>到期确认申报是指正回购方确认履行到期回购义务的申报。到期确认申报由正回购方发起，交易系统予以确认，逆回购方无需进行确认申报。</w:t>
      </w:r>
    </w:p>
    <w:p w14:paraId="09B459DD">
      <w:pPr>
        <w:ind w:firstLine="600"/>
        <w:rPr>
          <w:rFonts w:ascii="Times New Roman" w:hAnsi="Times New Roman"/>
        </w:rPr>
      </w:pPr>
      <w:r>
        <w:rPr>
          <w:rFonts w:ascii="Times New Roman" w:hAnsi="Times New Roman"/>
        </w:rPr>
        <w:t>10.</w:t>
      </w:r>
      <w:r>
        <w:rPr>
          <w:rFonts w:ascii="Times New Roman"/>
        </w:rPr>
        <w:t>到期续做是指正回购方在回购到期日，基于到期回购的质押券与原交易对手或其他第三方达成一笔新的回购交易，是两笔单独的回购交易；但在结算环节正回购方的回购续做应收资金和到期回购的应付资金可以轧差结算。到期续做申报由正回购方发起，经续做逆回购方进行确认申报后，由交易系统确认成交。</w:t>
      </w:r>
    </w:p>
    <w:p w14:paraId="66E8342C">
      <w:pPr>
        <w:ind w:firstLine="600"/>
        <w:rPr>
          <w:rFonts w:ascii="Times New Roman" w:hAnsi="Times New Roman"/>
        </w:rPr>
      </w:pPr>
      <w:r>
        <w:rPr>
          <w:rFonts w:ascii="Times New Roman" w:hAnsi="Times New Roman"/>
        </w:rPr>
        <w:t>11.</w:t>
      </w:r>
      <w:r>
        <w:rPr>
          <w:rFonts w:ascii="Times New Roman"/>
        </w:rPr>
        <w:t>协议回购存续期间（不含首次结算日和到期结算日），经双方协商一致，可以对质押券进行变更。质押券变更申报由正回购方发起，经逆回购方进行确认申报后，由交易系统予以确认。</w:t>
      </w:r>
    </w:p>
    <w:p w14:paraId="7526615C">
      <w:pPr>
        <w:ind w:firstLine="600"/>
        <w:rPr>
          <w:rFonts w:ascii="Times New Roman" w:hAnsi="Times New Roman"/>
        </w:rPr>
      </w:pPr>
      <w:r>
        <w:rPr>
          <w:rFonts w:ascii="Times New Roman" w:hAnsi="Times New Roman"/>
        </w:rPr>
        <w:t>12.</w:t>
      </w:r>
      <w:r>
        <w:rPr>
          <w:rFonts w:ascii="Times New Roman"/>
        </w:rPr>
        <w:t>协议回购存续期间（不含首次结算日和到期结算日），经双方协商一致，协议回购可以提前终止，并按照双方重新商定的回购利率进行结算。提前终止申报由正回购方或者逆回购方发起，经对手方进行确认申报后，由交易系统予以确认。</w:t>
      </w:r>
    </w:p>
    <w:p w14:paraId="5C71FD68">
      <w:pPr>
        <w:ind w:firstLine="600"/>
        <w:rPr>
          <w:rFonts w:ascii="Times New Roman" w:hAnsi="Times New Roman"/>
        </w:rPr>
      </w:pPr>
      <w:r>
        <w:rPr>
          <w:rFonts w:ascii="Times New Roman" w:hAnsi="Times New Roman"/>
        </w:rPr>
        <w:t>13.</w:t>
      </w:r>
      <w:r>
        <w:rPr>
          <w:rFonts w:hint="eastAsia" w:ascii="Times New Roman" w:hAnsi="Times New Roman"/>
        </w:rPr>
        <w:t>公募</w:t>
      </w:r>
      <w:r>
        <w:rPr>
          <w:rFonts w:ascii="Times New Roman" w:hAnsi="Times New Roman"/>
        </w:rPr>
        <w:t>REITs</w:t>
      </w:r>
      <w:r>
        <w:rPr>
          <w:rFonts w:ascii="Times New Roman"/>
        </w:rPr>
        <w:t>在质押期间发生分红等事项，参照《上海证券交易所债券质押式协议回购交易主协议》约定，其中</w:t>
      </w:r>
      <w:r>
        <w:rPr>
          <w:rFonts w:hint="eastAsia" w:ascii="Times New Roman" w:hAnsi="Times New Roman"/>
        </w:rPr>
        <w:t>公募</w:t>
      </w:r>
      <w:r>
        <w:rPr>
          <w:rFonts w:ascii="Times New Roman" w:hAnsi="Times New Roman"/>
        </w:rPr>
        <w:t>REITs</w:t>
      </w:r>
      <w:r>
        <w:rPr>
          <w:rFonts w:ascii="Times New Roman"/>
        </w:rPr>
        <w:t>分红款项归正回购方所有，协议回购发生违约后的协商、担保品处置参照债券标的的相关约定执行。</w:t>
      </w:r>
    </w:p>
    <w:p w14:paraId="1C1369B5">
      <w:pPr>
        <w:pStyle w:val="4"/>
        <w:ind w:firstLine="602"/>
        <w:rPr>
          <w:rFonts w:ascii="Times New Roman" w:hAnsi="Times New Roman"/>
        </w:rPr>
      </w:pPr>
      <w:r>
        <w:rPr>
          <w:rFonts w:ascii="Times New Roman"/>
        </w:rPr>
        <w:t>（二）限售份额融资管理</w:t>
      </w:r>
    </w:p>
    <w:p w14:paraId="2FCAFFF3">
      <w:pPr>
        <w:ind w:firstLine="600"/>
        <w:rPr>
          <w:rFonts w:ascii="Times New Roman" w:hAnsi="Times New Roman"/>
        </w:rPr>
      </w:pPr>
      <w:r>
        <w:rPr>
          <w:rFonts w:hint="eastAsia" w:ascii="Times New Roman"/>
        </w:rPr>
        <w:t>不动产</w:t>
      </w:r>
      <w:r>
        <w:rPr>
          <w:rFonts w:ascii="Times New Roman"/>
        </w:rPr>
        <w:t>项目原始权益人或其同一控制下的关联方，向本所申请办理质押式协议回购，应确保其质押行为符合《公开募集基础设施证券投资基金指引（试行）》的有关规定以及其他相关约定。</w:t>
      </w:r>
    </w:p>
    <w:p w14:paraId="19C9D3CA">
      <w:pPr>
        <w:ind w:firstLine="600"/>
        <w:rPr>
          <w:rFonts w:ascii="Times New Roman" w:hAnsi="Times New Roman"/>
        </w:rPr>
      </w:pPr>
      <w:r>
        <w:rPr>
          <w:rFonts w:ascii="Times New Roman"/>
        </w:rPr>
        <w:t>公募</w:t>
      </w:r>
      <w:r>
        <w:rPr>
          <w:rFonts w:ascii="Times New Roman" w:hAnsi="Times New Roman"/>
        </w:rPr>
        <w:t>REITs</w:t>
      </w:r>
      <w:r>
        <w:rPr>
          <w:rFonts w:ascii="Times New Roman"/>
        </w:rPr>
        <w:t>投资者使用</w:t>
      </w:r>
      <w:r>
        <w:rPr>
          <w:rFonts w:hint="eastAsia" w:ascii="Times New Roman" w:hAnsi="Times New Roman"/>
        </w:rPr>
        <w:t>公募</w:t>
      </w:r>
      <w:r>
        <w:rPr>
          <w:rFonts w:ascii="Times New Roman" w:hAnsi="Times New Roman"/>
        </w:rPr>
        <w:t>REITs</w:t>
      </w:r>
      <w:r>
        <w:rPr>
          <w:rFonts w:ascii="Times New Roman"/>
        </w:rPr>
        <w:t>基金限售份额作为担保品参加质押式协议回购的，其回购到期日不得早于《公开募集基础设施证券投资基金指引（试行）》及本所相关规则规定的公募</w:t>
      </w:r>
      <w:r>
        <w:rPr>
          <w:rFonts w:ascii="Times New Roman" w:hAnsi="Times New Roman"/>
        </w:rPr>
        <w:t>REITs</w:t>
      </w:r>
      <w:r>
        <w:rPr>
          <w:rFonts w:ascii="Times New Roman"/>
        </w:rPr>
        <w:t>基金份额限售期间、锁定期间。</w:t>
      </w:r>
    </w:p>
    <w:p w14:paraId="6ECE9CEF">
      <w:pPr>
        <w:ind w:firstLine="600"/>
        <w:rPr>
          <w:rFonts w:ascii="Times New Roman" w:hAnsi="Times New Roman"/>
          <w:color w:val="000000"/>
          <w:kern w:val="0"/>
        </w:rPr>
      </w:pPr>
      <w:r>
        <w:rPr>
          <w:rFonts w:ascii="Times New Roman"/>
          <w:color w:val="000000"/>
          <w:kern w:val="0"/>
        </w:rPr>
        <w:t>原始权益人或其同一控制下的关联方在限售</w:t>
      </w:r>
      <w:r>
        <w:rPr>
          <w:rFonts w:hint="eastAsia" w:ascii="Times New Roman"/>
          <w:color w:val="000000"/>
          <w:kern w:val="0"/>
          <w:lang w:eastAsia="zh-CN"/>
        </w:rPr>
        <w:t>期</w:t>
      </w:r>
      <w:r>
        <w:rPr>
          <w:rFonts w:ascii="Times New Roman"/>
          <w:color w:val="000000"/>
          <w:kern w:val="0"/>
        </w:rPr>
        <w:t>届满后参与质押式协议回购等业务的，质押的战略配售取得的</w:t>
      </w:r>
      <w:r>
        <w:rPr>
          <w:rFonts w:hint="eastAsia" w:ascii="Times New Roman"/>
          <w:color w:val="000000"/>
          <w:kern w:val="0"/>
        </w:rPr>
        <w:t>不动产</w:t>
      </w:r>
      <w:r>
        <w:rPr>
          <w:rFonts w:ascii="Times New Roman"/>
          <w:color w:val="000000"/>
          <w:kern w:val="0"/>
        </w:rPr>
        <w:t>基金份额累计不得超过其所持全部该类份额的</w:t>
      </w:r>
      <w:r>
        <w:rPr>
          <w:rFonts w:ascii="Times New Roman" w:hAnsi="Times New Roman"/>
          <w:color w:val="000000"/>
          <w:kern w:val="0"/>
        </w:rPr>
        <w:t>50%</w:t>
      </w:r>
      <w:r>
        <w:rPr>
          <w:rFonts w:ascii="Times New Roman"/>
          <w:color w:val="000000"/>
          <w:kern w:val="0"/>
        </w:rPr>
        <w:t>，本所另有规定除外。</w:t>
      </w:r>
    </w:p>
    <w:p w14:paraId="076771A4">
      <w:pPr>
        <w:pStyle w:val="4"/>
        <w:ind w:firstLine="602"/>
        <w:rPr>
          <w:rFonts w:ascii="Times New Roman" w:hAnsi="Times New Roman"/>
        </w:rPr>
      </w:pPr>
      <w:r>
        <w:rPr>
          <w:rFonts w:ascii="Times New Roman"/>
        </w:rPr>
        <w:t>（三）其他融资业务</w:t>
      </w:r>
    </w:p>
    <w:p w14:paraId="267F5AF3">
      <w:pPr>
        <w:ind w:firstLine="600"/>
        <w:rPr>
          <w:rFonts w:ascii="Times New Roman" w:hAnsi="Times New Roman"/>
        </w:rPr>
      </w:pPr>
      <w:r>
        <w:rPr>
          <w:rFonts w:ascii="Times New Roman"/>
        </w:rPr>
        <w:t>本所竞价交易系统上市的允许质押的公募</w:t>
      </w:r>
      <w:r>
        <w:rPr>
          <w:rFonts w:ascii="Times New Roman" w:hAnsi="Times New Roman"/>
        </w:rPr>
        <w:t>REITs</w:t>
      </w:r>
      <w:r>
        <w:rPr>
          <w:rFonts w:ascii="Times New Roman"/>
        </w:rPr>
        <w:t>份额，可以作为股票质押式回购交易补充质押的标的证券。</w:t>
      </w:r>
    </w:p>
    <w:p w14:paraId="7ED0E2DB">
      <w:pPr>
        <w:ind w:firstLine="600"/>
        <w:rPr>
          <w:rFonts w:ascii="Times New Roman" w:hAnsi="Times New Roman"/>
        </w:rPr>
      </w:pPr>
      <w:r>
        <w:rPr>
          <w:rFonts w:ascii="Times New Roman"/>
        </w:rPr>
        <w:t>会员应当加强交易前端控制，不得将公募</w:t>
      </w:r>
      <w:r>
        <w:rPr>
          <w:rFonts w:ascii="Times New Roman" w:hAnsi="Times New Roman"/>
        </w:rPr>
        <w:t>REITs</w:t>
      </w:r>
      <w:r>
        <w:rPr>
          <w:rFonts w:ascii="Times New Roman"/>
        </w:rPr>
        <w:t>份额作为股票质押式回购的初始交易标的证券，不得将不允许质押的公募</w:t>
      </w:r>
      <w:r>
        <w:rPr>
          <w:rFonts w:ascii="Times New Roman" w:hAnsi="Times New Roman"/>
        </w:rPr>
        <w:t>REITs</w:t>
      </w:r>
      <w:r>
        <w:rPr>
          <w:rFonts w:ascii="Times New Roman"/>
        </w:rPr>
        <w:t>份额开展股票质押式回购。如因不当操作导致相关交易完成的，会员应及时要求融入方提前购回</w:t>
      </w:r>
      <w:r>
        <w:rPr>
          <w:rFonts w:hint="eastAsia" w:ascii="Times New Roman"/>
        </w:rPr>
        <w:t>，</w:t>
      </w:r>
      <w:r>
        <w:rPr>
          <w:rFonts w:ascii="Times New Roman"/>
        </w:rPr>
        <w:t>本所将视情况对相关会员采取监管措施或纪律处分。</w:t>
      </w:r>
    </w:p>
    <w:p w14:paraId="2E9BEFCF">
      <w:pPr>
        <w:ind w:firstLine="600"/>
        <w:rPr>
          <w:rFonts w:ascii="Times New Roman"/>
        </w:rPr>
      </w:pPr>
      <w:r>
        <w:rPr>
          <w:rFonts w:ascii="Times New Roman"/>
        </w:rPr>
        <w:t>本所竞价交易系统上市的非限售公募</w:t>
      </w:r>
      <w:r>
        <w:rPr>
          <w:rFonts w:ascii="Times New Roman" w:hAnsi="Times New Roman"/>
        </w:rPr>
        <w:t>REITs</w:t>
      </w:r>
      <w:r>
        <w:rPr>
          <w:rFonts w:hint="eastAsia" w:ascii="Times New Roman" w:hAnsi="Times New Roman"/>
        </w:rPr>
        <w:t>份额</w:t>
      </w:r>
      <w:r>
        <w:rPr>
          <w:rFonts w:ascii="Times New Roman"/>
        </w:rPr>
        <w:t>，可以作为约定购回式证券交易业务的标的证券</w:t>
      </w:r>
      <w:r>
        <w:rPr>
          <w:rFonts w:hint="eastAsia" w:ascii="Times New Roman"/>
        </w:rPr>
        <w:t>。</w:t>
      </w:r>
    </w:p>
    <w:p w14:paraId="2F4BA29B">
      <w:pPr>
        <w:ind w:firstLine="600"/>
        <w:rPr>
          <w:rFonts w:ascii="Times New Roman" w:hAnsi="Times New Roman"/>
        </w:rPr>
      </w:pPr>
      <w:r>
        <w:rPr>
          <w:rFonts w:ascii="Times New Roman"/>
        </w:rPr>
        <w:t>本所竞价交易系统上市的非限售公募</w:t>
      </w:r>
      <w:r>
        <w:rPr>
          <w:rFonts w:ascii="Times New Roman" w:hAnsi="Times New Roman"/>
        </w:rPr>
        <w:t>REITs</w:t>
      </w:r>
      <w:r>
        <w:rPr>
          <w:rFonts w:hint="eastAsia" w:ascii="Times New Roman" w:hAnsi="Times New Roman"/>
        </w:rPr>
        <w:t>份额</w:t>
      </w:r>
      <w:r>
        <w:rPr>
          <w:rFonts w:ascii="Times New Roman"/>
        </w:rPr>
        <w:t>，可以作为融资融券业务的可充抵保证金证券</w:t>
      </w:r>
      <w:r>
        <w:rPr>
          <w:rFonts w:hint="eastAsia" w:ascii="Times New Roman"/>
        </w:rPr>
        <w:t>及担保物</w:t>
      </w:r>
      <w:r>
        <w:rPr>
          <w:rFonts w:ascii="Times New Roman"/>
        </w:rPr>
        <w:t>，折算率上限按照《上海证券交易所融资融券交易实施细则》规定的其他上市证券投资基金实施管理。</w:t>
      </w:r>
    </w:p>
    <w:p w14:paraId="03A9D5F3">
      <w:pPr>
        <w:pStyle w:val="2"/>
        <w:spacing w:before="156" w:after="156"/>
        <w:ind w:firstLine="0" w:firstLineChars="0"/>
        <w:rPr>
          <w:rFonts w:ascii="Times New Roman" w:hAnsi="Times New Roman"/>
        </w:rPr>
      </w:pPr>
      <w:bookmarkStart w:id="10" w:name="_Toc217484330"/>
      <w:bookmarkStart w:id="11" w:name="_Toc1646591229"/>
      <w:r>
        <w:rPr>
          <w:rFonts w:ascii="Times New Roman"/>
        </w:rPr>
        <w:t>第二章</w:t>
      </w:r>
      <w:r>
        <w:rPr>
          <w:rFonts w:ascii="Times New Roman" w:hAnsi="Times New Roman"/>
        </w:rPr>
        <w:t xml:space="preserve">  </w:t>
      </w:r>
      <w:r>
        <w:rPr>
          <w:rFonts w:ascii="Times New Roman"/>
        </w:rPr>
        <w:t>日常运作业务</w:t>
      </w:r>
      <w:bookmarkEnd w:id="10"/>
      <w:bookmarkEnd w:id="11"/>
    </w:p>
    <w:p w14:paraId="25818340">
      <w:pPr>
        <w:pStyle w:val="3"/>
        <w:spacing w:before="156" w:after="156"/>
        <w:ind w:firstLine="643"/>
        <w:rPr>
          <w:rFonts w:ascii="Times New Roman" w:hAnsi="Times New Roman"/>
        </w:rPr>
      </w:pPr>
      <w:bookmarkStart w:id="12" w:name="_Toc217484331"/>
      <w:bookmarkStart w:id="13" w:name="_Toc598139661"/>
      <w:r>
        <w:rPr>
          <w:rFonts w:ascii="Times New Roman"/>
        </w:rPr>
        <w:t>一、一般规定</w:t>
      </w:r>
      <w:bookmarkEnd w:id="12"/>
      <w:bookmarkEnd w:id="13"/>
    </w:p>
    <w:p w14:paraId="7494FC06">
      <w:pPr>
        <w:pStyle w:val="4"/>
        <w:ind w:firstLine="602"/>
        <w:rPr>
          <w:rFonts w:ascii="Times New Roman" w:hAnsi="Times New Roman"/>
        </w:rPr>
      </w:pPr>
      <w:bookmarkStart w:id="14" w:name="_Toc66805555"/>
      <w:r>
        <w:rPr>
          <w:rFonts w:ascii="Times New Roman"/>
        </w:rPr>
        <w:t>（一）业务申请和信息披露平台</w:t>
      </w:r>
      <w:bookmarkEnd w:id="14"/>
    </w:p>
    <w:p w14:paraId="129560DA">
      <w:pPr>
        <w:ind w:firstLine="600"/>
        <w:rPr>
          <w:rFonts w:ascii="Times New Roman" w:hAnsi="Times New Roman"/>
          <w:kern w:val="0"/>
        </w:rPr>
      </w:pPr>
      <w:r>
        <w:rPr>
          <w:rFonts w:ascii="Times New Roman"/>
          <w:kern w:val="0"/>
        </w:rPr>
        <w:t>基金管理人应通过本所业务管理系统平台提交公募</w:t>
      </w:r>
      <w:r>
        <w:rPr>
          <w:rFonts w:ascii="Times New Roman" w:hAnsi="Times New Roman"/>
          <w:kern w:val="0"/>
        </w:rPr>
        <w:t>REITs</w:t>
      </w:r>
      <w:r>
        <w:rPr>
          <w:rFonts w:ascii="Times New Roman"/>
          <w:kern w:val="0"/>
        </w:rPr>
        <w:t>上市后业务申请及办理信息披露业务。基金管理人可以使用上交所衍生品与基金业务平台</w:t>
      </w:r>
      <w:r>
        <w:rPr>
          <w:rFonts w:ascii="Times New Roman" w:hAnsi="Times New Roman"/>
          <w:kern w:val="0"/>
        </w:rPr>
        <w:t>CA</w:t>
      </w:r>
      <w:r>
        <w:rPr>
          <w:rFonts w:ascii="Times New Roman"/>
          <w:kern w:val="0"/>
        </w:rPr>
        <w:t>证书登录衍生品</w:t>
      </w:r>
      <w:r>
        <w:rPr>
          <w:rFonts w:hint="eastAsia" w:ascii="Times New Roman"/>
          <w:kern w:val="0"/>
        </w:rPr>
        <w:t>与基</w:t>
      </w:r>
      <w:r>
        <w:rPr>
          <w:rFonts w:ascii="Times New Roman"/>
          <w:kern w:val="0"/>
        </w:rPr>
        <w:t>金业务平台</w:t>
      </w:r>
      <w:r>
        <w:rPr>
          <w:rFonts w:hint="eastAsia" w:ascii="Times New Roman"/>
          <w:kern w:val="0"/>
        </w:rPr>
        <w:t>后</w:t>
      </w:r>
      <w:r>
        <w:rPr>
          <w:rFonts w:ascii="Times New Roman"/>
          <w:kern w:val="0"/>
        </w:rPr>
        <w:t>点击</w:t>
      </w:r>
      <w:r>
        <w:rPr>
          <w:rFonts w:ascii="Times New Roman" w:hAnsi="Times New Roman"/>
          <w:kern w:val="0"/>
        </w:rPr>
        <w:t>“</w:t>
      </w:r>
      <w:r>
        <w:rPr>
          <w:rFonts w:ascii="Times New Roman"/>
          <w:kern w:val="0"/>
        </w:rPr>
        <w:t>上市后业务</w:t>
      </w:r>
      <w:r>
        <w:rPr>
          <w:rFonts w:ascii="Times New Roman" w:hAnsi="Times New Roman"/>
          <w:kern w:val="0"/>
        </w:rPr>
        <w:t>”</w:t>
      </w:r>
      <w:r>
        <w:rPr>
          <w:rFonts w:ascii="Times New Roman"/>
          <w:kern w:val="0"/>
        </w:rPr>
        <w:t>跳转，或者使用该</w:t>
      </w:r>
      <w:r>
        <w:rPr>
          <w:rFonts w:ascii="Times New Roman" w:hAnsi="Times New Roman"/>
          <w:kern w:val="0"/>
        </w:rPr>
        <w:t>CA</w:t>
      </w:r>
      <w:r>
        <w:rPr>
          <w:rFonts w:ascii="Times New Roman"/>
          <w:kern w:val="0"/>
        </w:rPr>
        <w:t>证书直接访问</w:t>
      </w:r>
      <w:r>
        <w:rPr>
          <w:rFonts w:hint="eastAsia" w:ascii="Times New Roman"/>
          <w:kern w:val="0"/>
        </w:rPr>
        <w:t>网址</w:t>
      </w:r>
      <w:r>
        <w:fldChar w:fldCharType="begin"/>
      </w:r>
      <w:r>
        <w:instrText xml:space="preserve"> HYPERLINK "https://bmsp.uap.sse.com.cn/" </w:instrText>
      </w:r>
      <w:r>
        <w:fldChar w:fldCharType="separate"/>
      </w:r>
      <w:r>
        <w:rPr>
          <w:rFonts w:ascii="Times New Roman" w:hAnsi="Times New Roman"/>
          <w:kern w:val="0"/>
        </w:rPr>
        <w:t>https://bmsp.uap.sse.com.cn/</w:t>
      </w:r>
      <w:r>
        <w:rPr>
          <w:rFonts w:ascii="Times New Roman" w:hAnsi="Times New Roman"/>
          <w:kern w:val="0"/>
        </w:rPr>
        <w:fldChar w:fldCharType="end"/>
      </w:r>
      <w:r>
        <w:rPr>
          <w:rFonts w:ascii="Times New Roman"/>
          <w:kern w:val="0"/>
        </w:rPr>
        <w:t>选择债券业务模板</w:t>
      </w:r>
      <w:r>
        <w:rPr>
          <w:rFonts w:hint="eastAsia" w:ascii="Times New Roman"/>
          <w:kern w:val="0"/>
        </w:rPr>
        <w:t>，进入</w:t>
      </w:r>
      <w:r>
        <w:rPr>
          <w:rFonts w:ascii="Times New Roman"/>
          <w:kern w:val="0"/>
        </w:rPr>
        <w:t>本所业务管理系统平台</w:t>
      </w:r>
      <w:r>
        <w:rPr>
          <w:rFonts w:ascii="Times New Roman" w:hAnsi="Times New Roman"/>
        </w:rPr>
        <w:t>办理</w:t>
      </w:r>
      <w:r>
        <w:rPr>
          <w:rFonts w:ascii="Times New Roman"/>
          <w:kern w:val="0"/>
        </w:rPr>
        <w:t>公募</w:t>
      </w:r>
      <w:r>
        <w:rPr>
          <w:rFonts w:ascii="Times New Roman" w:hAnsi="Times New Roman"/>
          <w:kern w:val="0"/>
        </w:rPr>
        <w:t>REITs</w:t>
      </w:r>
      <w:r>
        <w:rPr>
          <w:rFonts w:hint="eastAsia" w:ascii="Times New Roman"/>
          <w:kern w:val="0"/>
        </w:rPr>
        <w:t>存续</w:t>
      </w:r>
      <w:r>
        <w:rPr>
          <w:rFonts w:ascii="Times New Roman"/>
          <w:kern w:val="0"/>
        </w:rPr>
        <w:t>业务。基金管理人登录衍生品与基金业务平台使用的</w:t>
      </w:r>
      <w:r>
        <w:rPr>
          <w:rFonts w:ascii="Times New Roman" w:hAnsi="Times New Roman"/>
          <w:kern w:val="0"/>
        </w:rPr>
        <w:t>CA</w:t>
      </w:r>
      <w:r>
        <w:rPr>
          <w:rFonts w:ascii="Times New Roman"/>
          <w:kern w:val="0"/>
        </w:rPr>
        <w:t>证书与发售上市阶段一致，无需重新办理</w:t>
      </w:r>
      <w:r>
        <w:rPr>
          <w:rFonts w:ascii="Times New Roman" w:hAnsi="Times New Roman"/>
          <w:kern w:val="0"/>
        </w:rPr>
        <w:t>CA</w:t>
      </w:r>
      <w:r>
        <w:rPr>
          <w:rFonts w:ascii="Times New Roman"/>
          <w:kern w:val="0"/>
        </w:rPr>
        <w:t>证书。</w:t>
      </w:r>
    </w:p>
    <w:p w14:paraId="07B1499D">
      <w:pPr>
        <w:pStyle w:val="4"/>
        <w:ind w:firstLine="602"/>
        <w:rPr>
          <w:rFonts w:ascii="Times New Roman" w:hAnsi="Times New Roman"/>
        </w:rPr>
      </w:pPr>
      <w:bookmarkStart w:id="15" w:name="_Toc66805556"/>
      <w:r>
        <w:rPr>
          <w:rFonts w:ascii="Times New Roman"/>
        </w:rPr>
        <w:t>（二）信息披露方式</w:t>
      </w:r>
      <w:bookmarkEnd w:id="15"/>
      <w:r>
        <w:rPr>
          <w:rFonts w:ascii="Times New Roman"/>
        </w:rPr>
        <w:t>和公告类别</w:t>
      </w:r>
    </w:p>
    <w:p w14:paraId="3761CB47">
      <w:pPr>
        <w:ind w:firstLine="600"/>
        <w:rPr>
          <w:rFonts w:ascii="Times New Roman" w:hAnsi="Times New Roman"/>
          <w:kern w:val="0"/>
        </w:rPr>
      </w:pPr>
      <w:r>
        <w:rPr>
          <w:rFonts w:ascii="Times New Roman"/>
          <w:kern w:val="0"/>
        </w:rPr>
        <w:t>本所对公开披露的公募</w:t>
      </w:r>
      <w:r>
        <w:rPr>
          <w:rFonts w:ascii="Times New Roman" w:hAnsi="Times New Roman"/>
          <w:kern w:val="0"/>
        </w:rPr>
        <w:t>REITs</w:t>
      </w:r>
      <w:r>
        <w:rPr>
          <w:rFonts w:ascii="Times New Roman"/>
          <w:kern w:val="0"/>
        </w:rPr>
        <w:t>信息进行事前核对或者事前登记、事后核对，其中事前核对是指基金管理人提交的公告经本所形式核对后方可予以披露的方式；事前登记、事后核对是指基金管理人登记上传公告后直接通过本所网站披露，本所</w:t>
      </w:r>
      <w:r>
        <w:rPr>
          <w:rFonts w:ascii="Times New Roman"/>
        </w:rPr>
        <w:t>不对公告</w:t>
      </w:r>
      <w:r>
        <w:rPr>
          <w:rFonts w:ascii="Times New Roman"/>
          <w:kern w:val="0"/>
        </w:rPr>
        <w:t>进行事前形式</w:t>
      </w:r>
      <w:r>
        <w:rPr>
          <w:rFonts w:hint="eastAsia" w:ascii="Times New Roman"/>
          <w:kern w:val="0"/>
          <w:lang w:eastAsia="zh-CN"/>
        </w:rPr>
        <w:t>核对</w:t>
      </w:r>
      <w:r>
        <w:rPr>
          <w:rFonts w:ascii="Times New Roman"/>
          <w:kern w:val="0"/>
        </w:rPr>
        <w:t>的方式。</w:t>
      </w:r>
    </w:p>
    <w:p w14:paraId="3DC021F5">
      <w:pPr>
        <w:ind w:firstLine="600"/>
        <w:rPr>
          <w:rFonts w:ascii="Times New Roman" w:hAnsi="Times New Roman"/>
          <w:kern w:val="0"/>
        </w:rPr>
      </w:pPr>
      <w:r>
        <w:rPr>
          <w:rFonts w:ascii="Times New Roman"/>
          <w:kern w:val="0"/>
        </w:rPr>
        <w:t>基金管理人应根据信息披露事项的内容，按照公募</w:t>
      </w:r>
      <w:r>
        <w:rPr>
          <w:rFonts w:ascii="Times New Roman" w:hAnsi="Times New Roman"/>
          <w:kern w:val="0"/>
        </w:rPr>
        <w:t>REITs</w:t>
      </w:r>
      <w:r>
        <w:rPr>
          <w:rFonts w:ascii="Times New Roman"/>
          <w:kern w:val="0"/>
        </w:rPr>
        <w:t>公告类别（详见附件</w:t>
      </w:r>
      <w:r>
        <w:rPr>
          <w:rFonts w:ascii="Times New Roman" w:hAnsi="Times New Roman"/>
          <w:kern w:val="0"/>
        </w:rPr>
        <w:t>1</w:t>
      </w:r>
      <w:r>
        <w:rPr>
          <w:rFonts w:ascii="Times New Roman"/>
          <w:kern w:val="0"/>
        </w:rPr>
        <w:t>）提交信息披露文件。由于不同的信息披露公告类别对应不同的披露模式、审核流程以及业务操作等，基金管理人务必准确选择信息披露公告类型。</w:t>
      </w:r>
    </w:p>
    <w:p w14:paraId="0EE39291">
      <w:pPr>
        <w:pStyle w:val="4"/>
        <w:ind w:firstLine="602"/>
        <w:rPr>
          <w:rFonts w:ascii="Times New Roman" w:hAnsi="Times New Roman"/>
        </w:rPr>
      </w:pPr>
      <w:bookmarkStart w:id="16" w:name="_Toc66805557"/>
      <w:r>
        <w:rPr>
          <w:rFonts w:ascii="Times New Roman"/>
        </w:rPr>
        <w:t>（三）信息披露文件发布</w:t>
      </w:r>
      <w:r>
        <w:rPr>
          <w:rFonts w:hint="eastAsia" w:ascii="Times New Roman"/>
        </w:rPr>
        <w:t>和提交</w:t>
      </w:r>
      <w:r>
        <w:rPr>
          <w:rFonts w:ascii="Times New Roman"/>
        </w:rPr>
        <w:t>时间</w:t>
      </w:r>
      <w:bookmarkEnd w:id="16"/>
    </w:p>
    <w:p w14:paraId="4B7A80FE">
      <w:pPr>
        <w:ind w:firstLine="600"/>
        <w:rPr>
          <w:rFonts w:ascii="Times New Roman"/>
          <w:kern w:val="0"/>
        </w:rPr>
      </w:pPr>
      <w:r>
        <w:rPr>
          <w:rFonts w:ascii="Times New Roman"/>
          <w:kern w:val="0"/>
        </w:rPr>
        <w:t>原则上，基金管理人应当在当日</w:t>
      </w:r>
      <w:r>
        <w:rPr>
          <w:rFonts w:ascii="Times New Roman" w:hAnsi="Times New Roman"/>
          <w:kern w:val="0"/>
        </w:rPr>
        <w:t>15</w:t>
      </w:r>
      <w:r>
        <w:rPr>
          <w:rFonts w:ascii="Times New Roman"/>
          <w:kern w:val="0"/>
        </w:rPr>
        <w:t>:</w:t>
      </w:r>
      <w:r>
        <w:rPr>
          <w:rFonts w:ascii="Times New Roman" w:hAnsi="Times New Roman"/>
          <w:kern w:val="0"/>
        </w:rPr>
        <w:t>30</w:t>
      </w:r>
      <w:r>
        <w:rPr>
          <w:rFonts w:ascii="Times New Roman"/>
          <w:kern w:val="0"/>
        </w:rPr>
        <w:t>之前提交信息披露申请，经本所事前核对或基金管理人完成登记的公告将自交易日</w:t>
      </w:r>
      <w:r>
        <w:rPr>
          <w:rFonts w:hint="eastAsia" w:ascii="Times New Roman"/>
          <w:kern w:val="0"/>
        </w:rPr>
        <w:t>或单一非交易日/连续非交易日的最后一日</w:t>
      </w:r>
      <w:r>
        <w:rPr>
          <w:rFonts w:ascii="Times New Roman" w:hAnsi="Times New Roman"/>
          <w:kern w:val="0"/>
        </w:rPr>
        <w:t>15</w:t>
      </w:r>
      <w:r>
        <w:rPr>
          <w:rFonts w:ascii="Times New Roman"/>
          <w:kern w:val="0"/>
        </w:rPr>
        <w:t>:</w:t>
      </w:r>
      <w:r>
        <w:rPr>
          <w:rFonts w:ascii="Times New Roman" w:hAnsi="Times New Roman"/>
          <w:kern w:val="0"/>
        </w:rPr>
        <w:t>30</w:t>
      </w:r>
      <w:r>
        <w:rPr>
          <w:rFonts w:ascii="Times New Roman"/>
          <w:kern w:val="0"/>
        </w:rPr>
        <w:t>以后通过本所网站披露。</w:t>
      </w:r>
      <w:r>
        <w:rPr>
          <w:rFonts w:hint="eastAsia" w:ascii="Times New Roman"/>
          <w:kern w:val="0"/>
        </w:rPr>
        <w:t>基金管理人应当按照本所有关要求，在交易日早间披露时段（</w:t>
      </w:r>
      <w:r>
        <w:rPr>
          <w:rFonts w:ascii="Times New Roman" w:hAnsi="Times New Roman"/>
          <w:kern w:val="0"/>
        </w:rPr>
        <w:t>7</w:t>
      </w:r>
      <w:r>
        <w:rPr>
          <w:rFonts w:ascii="Times New Roman"/>
          <w:kern w:val="0"/>
        </w:rPr>
        <w:t>:</w:t>
      </w:r>
      <w:r>
        <w:rPr>
          <w:rFonts w:ascii="Times New Roman" w:hAnsi="Times New Roman"/>
          <w:kern w:val="0"/>
        </w:rPr>
        <w:t>30</w:t>
      </w:r>
      <w:r>
        <w:rPr>
          <w:rFonts w:ascii="Times New Roman"/>
          <w:kern w:val="0"/>
        </w:rPr>
        <w:t>-</w:t>
      </w:r>
      <w:r>
        <w:rPr>
          <w:rFonts w:ascii="Times New Roman" w:hAnsi="Times New Roman"/>
          <w:kern w:val="0"/>
        </w:rPr>
        <w:t>8</w:t>
      </w:r>
      <w:r>
        <w:rPr>
          <w:rFonts w:ascii="Times New Roman"/>
          <w:kern w:val="0"/>
        </w:rPr>
        <w:t>:</w:t>
      </w:r>
      <w:r>
        <w:rPr>
          <w:rFonts w:ascii="Times New Roman" w:hAnsi="Times New Roman"/>
          <w:kern w:val="0"/>
        </w:rPr>
        <w:t>30</w:t>
      </w:r>
      <w:r>
        <w:rPr>
          <w:rFonts w:hint="eastAsia" w:ascii="Times New Roman"/>
          <w:kern w:val="0"/>
        </w:rPr>
        <w:t>）或午间披露时段（</w:t>
      </w:r>
      <w:r>
        <w:rPr>
          <w:rFonts w:ascii="Times New Roman" w:hAnsi="Times New Roman"/>
          <w:kern w:val="0"/>
        </w:rPr>
        <w:t>11</w:t>
      </w:r>
      <w:r>
        <w:rPr>
          <w:rFonts w:ascii="Times New Roman"/>
          <w:kern w:val="0"/>
        </w:rPr>
        <w:t>:</w:t>
      </w:r>
      <w:r>
        <w:rPr>
          <w:rFonts w:ascii="Times New Roman" w:hAnsi="Times New Roman"/>
          <w:kern w:val="0"/>
        </w:rPr>
        <w:t>30</w:t>
      </w:r>
      <w:r>
        <w:rPr>
          <w:rFonts w:ascii="Times New Roman"/>
          <w:kern w:val="0"/>
        </w:rPr>
        <w:t>-</w:t>
      </w:r>
      <w:r>
        <w:rPr>
          <w:rFonts w:ascii="Times New Roman" w:hAnsi="Times New Roman"/>
          <w:kern w:val="0"/>
        </w:rPr>
        <w:t>12</w:t>
      </w:r>
      <w:r>
        <w:rPr>
          <w:rFonts w:ascii="Times New Roman"/>
          <w:kern w:val="0"/>
        </w:rPr>
        <w:t>:</w:t>
      </w:r>
      <w:r>
        <w:rPr>
          <w:rFonts w:ascii="Times New Roman" w:hAnsi="Times New Roman"/>
          <w:kern w:val="0"/>
        </w:rPr>
        <w:t>30</w:t>
      </w:r>
      <w:r>
        <w:rPr>
          <w:rFonts w:hint="eastAsia" w:ascii="Times New Roman"/>
          <w:kern w:val="0"/>
        </w:rPr>
        <w:t>）内，披露澄清公告和紧急停牌公告。</w:t>
      </w:r>
    </w:p>
    <w:p w14:paraId="35B37295">
      <w:pPr>
        <w:pStyle w:val="3"/>
        <w:spacing w:before="156" w:after="156"/>
        <w:ind w:firstLine="643"/>
        <w:rPr>
          <w:rFonts w:ascii="Times New Roman" w:hAnsi="Times New Roman"/>
        </w:rPr>
      </w:pPr>
      <w:bookmarkStart w:id="17" w:name="_Toc1853416798"/>
      <w:bookmarkStart w:id="18" w:name="_Toc217484332"/>
      <w:bookmarkStart w:id="19" w:name="_Toc72419509"/>
      <w:r>
        <w:rPr>
          <w:rFonts w:ascii="Times New Roman"/>
        </w:rPr>
        <w:t>二、暂停（恢复）转托管</w:t>
      </w:r>
      <w:bookmarkEnd w:id="17"/>
      <w:bookmarkEnd w:id="18"/>
      <w:bookmarkEnd w:id="19"/>
    </w:p>
    <w:p w14:paraId="403F7D98">
      <w:pPr>
        <w:pStyle w:val="4"/>
        <w:ind w:firstLine="602"/>
        <w:rPr>
          <w:rFonts w:ascii="Times New Roman" w:hAnsi="Times New Roman"/>
        </w:rPr>
      </w:pPr>
      <w:bookmarkStart w:id="20" w:name="_Toc72419510"/>
      <w:r>
        <w:rPr>
          <w:rFonts w:ascii="Times New Roman"/>
        </w:rPr>
        <w:t>（一）适用情形</w:t>
      </w:r>
      <w:bookmarkEnd w:id="20"/>
    </w:p>
    <w:p w14:paraId="5EC20449">
      <w:pPr>
        <w:ind w:firstLine="600"/>
        <w:rPr>
          <w:rFonts w:ascii="Times New Roman"/>
        </w:rPr>
      </w:pPr>
      <w:r>
        <w:rPr>
          <w:rFonts w:ascii="Times New Roman"/>
        </w:rPr>
        <w:t>本流程适用于公募</w:t>
      </w:r>
      <w:r>
        <w:rPr>
          <w:rFonts w:ascii="Times New Roman" w:hAnsi="Times New Roman"/>
        </w:rPr>
        <w:t>REITs</w:t>
      </w:r>
      <w:r>
        <w:rPr>
          <w:rFonts w:ascii="Times New Roman"/>
        </w:rPr>
        <w:t>上市后转托管的暂停及恢复业务。</w:t>
      </w:r>
    </w:p>
    <w:p w14:paraId="542B5D14">
      <w:pPr>
        <w:widowControl/>
        <w:spacing w:line="240" w:lineRule="auto"/>
        <w:ind w:firstLine="0" w:firstLineChars="0"/>
        <w:jc w:val="left"/>
        <w:rPr>
          <w:rFonts w:ascii="Times New Roman"/>
        </w:rPr>
      </w:pPr>
      <w:r>
        <w:rPr>
          <w:rFonts w:ascii="Times New Roman"/>
        </w:rPr>
        <w:br w:type="page"/>
      </w:r>
    </w:p>
    <w:p w14:paraId="1E9EAC13">
      <w:pPr>
        <w:pStyle w:val="4"/>
        <w:ind w:firstLine="602"/>
        <w:rPr>
          <w:rFonts w:ascii="Times New Roman" w:hAnsi="Times New Roman"/>
        </w:rPr>
      </w:pPr>
      <w:bookmarkStart w:id="21" w:name="_Toc72419511"/>
      <w:r>
        <w:rPr>
          <w:rFonts w:ascii="Times New Roman" w:hAnsi="Times New Roman"/>
        </w:rPr>
        <w:t>（二）办理时间</w:t>
      </w:r>
      <w:bookmarkEnd w:id="21"/>
    </w:p>
    <w:p w14:paraId="483C0648">
      <w:pPr>
        <w:spacing w:line="400" w:lineRule="exact"/>
        <w:ind w:firstLine="0" w:firstLineChars="0"/>
        <w:rPr>
          <w:rFonts w:ascii="Times New Roman" w:hAnsi="Times New Roman"/>
          <w:sz w:val="28"/>
        </w:rPr>
      </w:pPr>
      <w:r>
        <w:rPr>
          <w:rFonts w:ascii="Times New Roman" w:hAnsi="Times New Roman"/>
          <w:sz w:val="28"/>
        </w:rPr>
        <mc:AlternateContent>
          <mc:Choice Requires="wpg">
            <w:drawing>
              <wp:anchor distT="0" distB="0" distL="114300" distR="114300" simplePos="0" relativeHeight="251659264" behindDoc="0" locked="0" layoutInCell="1" allowOverlap="1">
                <wp:simplePos x="0" y="0"/>
                <wp:positionH relativeFrom="column">
                  <wp:posOffset>680085</wp:posOffset>
                </wp:positionH>
                <wp:positionV relativeFrom="paragraph">
                  <wp:posOffset>-8255</wp:posOffset>
                </wp:positionV>
                <wp:extent cx="4319905" cy="923290"/>
                <wp:effectExtent l="0" t="0" r="4445" b="0"/>
                <wp:wrapNone/>
                <wp:docPr id="242" name="Group 238"/>
                <wp:cNvGraphicFramePr/>
                <a:graphic xmlns:a="http://schemas.openxmlformats.org/drawingml/2006/main">
                  <a:graphicData uri="http://schemas.microsoft.com/office/word/2010/wordprocessingGroup">
                    <wpg:wgp>
                      <wpg:cNvGrpSpPr/>
                      <wpg:grpSpPr>
                        <a:xfrm>
                          <a:off x="0" y="0"/>
                          <a:ext cx="4319905" cy="923290"/>
                          <a:chOff x="2815" y="4269"/>
                          <a:chExt cx="6803" cy="1454"/>
                        </a:xfrm>
                        <a:effectLst/>
                      </wpg:grpSpPr>
                      <wps:wsp>
                        <wps:cNvPr id="243" name="AutoShape 239"/>
                        <wps:cNvCnPr>
                          <a:cxnSpLocks noChangeShapeType="1"/>
                        </wps:cNvCnPr>
                        <wps:spPr bwMode="auto">
                          <a:xfrm>
                            <a:off x="2815" y="5276"/>
                            <a:ext cx="6803" cy="0"/>
                          </a:xfrm>
                          <a:prstGeom prst="straightConnector1">
                            <a:avLst/>
                          </a:prstGeom>
                          <a:noFill/>
                          <a:ln w="19050">
                            <a:solidFill>
                              <a:srgbClr val="000000"/>
                            </a:solidFill>
                            <a:miter lim="800000"/>
                            <a:tailEnd type="triangle" w="med" len="med"/>
                          </a:ln>
                          <a:effectLst/>
                        </wps:spPr>
                        <wps:bodyPr/>
                      </wps:wsp>
                      <wps:wsp>
                        <wps:cNvPr id="244" name="Line 240"/>
                        <wps:cNvCnPr>
                          <a:cxnSpLocks noChangeShapeType="1"/>
                        </wps:cNvCnPr>
                        <wps:spPr bwMode="auto">
                          <a:xfrm>
                            <a:off x="4665" y="5097"/>
                            <a:ext cx="0" cy="170"/>
                          </a:xfrm>
                          <a:prstGeom prst="line">
                            <a:avLst/>
                          </a:prstGeom>
                          <a:noFill/>
                          <a:ln w="19050">
                            <a:solidFill>
                              <a:srgbClr val="000000"/>
                            </a:solidFill>
                            <a:miter lim="800000"/>
                          </a:ln>
                          <a:effectLst/>
                        </wps:spPr>
                        <wps:bodyPr/>
                      </wps:wsp>
                      <wps:wsp>
                        <wps:cNvPr id="245" name="Line 241"/>
                        <wps:cNvCnPr>
                          <a:cxnSpLocks noChangeShapeType="1"/>
                        </wps:cNvCnPr>
                        <wps:spPr bwMode="auto">
                          <a:xfrm>
                            <a:off x="7504" y="5109"/>
                            <a:ext cx="0" cy="170"/>
                          </a:xfrm>
                          <a:prstGeom prst="line">
                            <a:avLst/>
                          </a:prstGeom>
                          <a:noFill/>
                          <a:ln w="19050">
                            <a:solidFill>
                              <a:srgbClr val="000000"/>
                            </a:solidFill>
                            <a:miter lim="800000"/>
                          </a:ln>
                          <a:effectLst/>
                        </wps:spPr>
                        <wps:bodyPr/>
                      </wps:wsp>
                      <wps:wsp>
                        <wps:cNvPr id="247" name="Text Box 242"/>
                        <wps:cNvSpPr txBox="1">
                          <a:spLocks noChangeArrowheads="1"/>
                        </wps:cNvSpPr>
                        <wps:spPr bwMode="auto">
                          <a:xfrm>
                            <a:off x="3784" y="5279"/>
                            <a:ext cx="1740" cy="444"/>
                          </a:xfrm>
                          <a:prstGeom prst="rect">
                            <a:avLst/>
                          </a:prstGeom>
                          <a:noFill/>
                          <a:ln>
                            <a:noFill/>
                          </a:ln>
                          <a:effectLst/>
                        </wps:spPr>
                        <wps:txbx>
                          <w:txbxContent>
                            <w:p w14:paraId="1B42E701">
                              <w:pPr>
                                <w:pStyle w:val="16"/>
                                <w:spacing w:before="0" w:beforeAutospacing="0" w:after="0" w:afterAutospacing="0" w:line="300" w:lineRule="exact"/>
                                <w:ind w:firstLine="0" w:firstLineChars="0"/>
                                <w:rPr>
                                  <w:rFonts w:ascii="Times New Roman" w:hAnsi="Times New Roman" w:cs="Times New Roman" w:eastAsiaTheme="minorEastAsia"/>
                                  <w:sz w:val="21"/>
                                  <w:szCs w:val="21"/>
                                </w:rPr>
                              </w:pPr>
                              <w:r>
                                <w:rPr>
                                  <w:rFonts w:ascii="Times New Roman" w:hAnsi="Times New Roman" w:cs="Times New Roman" w:eastAsiaTheme="minorEastAsia"/>
                                  <w:kern w:val="24"/>
                                  <w:sz w:val="21"/>
                                  <w:szCs w:val="21"/>
                                </w:rPr>
                                <w:t>T-2 12点前</w:t>
                              </w:r>
                            </w:p>
                          </w:txbxContent>
                        </wps:txbx>
                        <wps:bodyPr rot="0" vert="horz" wrap="square" lIns="91440" tIns="45720" rIns="91440" bIns="45720" anchor="t" anchorCtr="0" upright="1">
                          <a:spAutoFit/>
                        </wps:bodyPr>
                      </wps:wsp>
                      <wps:wsp>
                        <wps:cNvPr id="248" name="Text Box 243"/>
                        <wps:cNvSpPr txBox="1">
                          <a:spLocks noChangeArrowheads="1"/>
                        </wps:cNvSpPr>
                        <wps:spPr bwMode="auto">
                          <a:xfrm>
                            <a:off x="7077" y="5266"/>
                            <a:ext cx="853" cy="444"/>
                          </a:xfrm>
                          <a:prstGeom prst="rect">
                            <a:avLst/>
                          </a:prstGeom>
                          <a:noFill/>
                          <a:ln>
                            <a:noFill/>
                          </a:ln>
                          <a:effectLst/>
                        </wps:spPr>
                        <wps:txbx>
                          <w:txbxContent>
                            <w:p w14:paraId="7C739A06">
                              <w:pPr>
                                <w:pStyle w:val="16"/>
                                <w:spacing w:before="0" w:beforeAutospacing="0" w:after="0" w:afterAutospacing="0" w:line="300" w:lineRule="exact"/>
                                <w:ind w:firstLine="210" w:firstLineChars="100"/>
                                <w:rPr>
                                  <w:rFonts w:ascii="Times New Roman" w:hAnsi="Times New Roman" w:cs="Times New Roman"/>
                                  <w:sz w:val="21"/>
                                  <w:szCs w:val="21"/>
                                </w:rPr>
                              </w:pPr>
                              <w:r>
                                <w:rPr>
                                  <w:rFonts w:ascii="Times New Roman" w:hAnsi="Times New Roman" w:cs="Times New Roman"/>
                                  <w:kern w:val="24"/>
                                  <w:sz w:val="21"/>
                                  <w:szCs w:val="21"/>
                                </w:rPr>
                                <w:t>T</w:t>
                              </w:r>
                            </w:p>
                          </w:txbxContent>
                        </wps:txbx>
                        <wps:bodyPr rot="0" vert="horz" wrap="square" lIns="91440" tIns="45720" rIns="91440" bIns="45720" anchor="t" anchorCtr="0" upright="1">
                          <a:spAutoFit/>
                        </wps:bodyPr>
                      </wps:wsp>
                      <wps:wsp>
                        <wps:cNvPr id="249" name="Text Box 244"/>
                        <wps:cNvSpPr txBox="1">
                          <a:spLocks noChangeArrowheads="1"/>
                        </wps:cNvSpPr>
                        <wps:spPr bwMode="auto">
                          <a:xfrm>
                            <a:off x="6534" y="4269"/>
                            <a:ext cx="1871" cy="744"/>
                          </a:xfrm>
                          <a:prstGeom prst="rect">
                            <a:avLst/>
                          </a:prstGeom>
                          <a:noFill/>
                          <a:ln>
                            <a:noFill/>
                          </a:ln>
                          <a:effectLst/>
                        </wps:spPr>
                        <wps:txbx>
                          <w:txbxContent>
                            <w:p w14:paraId="740A019F">
                              <w:pPr>
                                <w:pStyle w:val="16"/>
                                <w:spacing w:before="0" w:beforeAutospacing="0" w:after="0" w:afterAutospacing="0" w:line="300" w:lineRule="exact"/>
                                <w:ind w:firstLine="0" w:firstLineChars="0"/>
                                <w:jc w:val="center"/>
                                <w:rPr>
                                  <w:rFonts w:hint="eastAsia"/>
                                  <w:sz w:val="21"/>
                                  <w:szCs w:val="21"/>
                                </w:rPr>
                              </w:pPr>
                              <w:r>
                                <w:rPr>
                                  <w:rFonts w:ascii="仿宋_GB2312" w:hAnsi="仿宋"/>
                                  <w:sz w:val="21"/>
                                  <w:szCs w:val="21"/>
                                </w:rPr>
                                <w:t>暂停</w:t>
                              </w:r>
                              <w:r>
                                <w:rPr>
                                  <w:rFonts w:hint="eastAsia" w:ascii="仿宋_GB2312" w:hAnsi="仿宋"/>
                                  <w:sz w:val="21"/>
                                  <w:szCs w:val="21"/>
                                </w:rPr>
                                <w:t>（恢复）</w:t>
                              </w:r>
                              <w:r>
                                <w:rPr>
                                  <w:rFonts w:ascii="仿宋_GB2312" w:hAnsi="仿宋"/>
                                  <w:sz w:val="21"/>
                                  <w:szCs w:val="21"/>
                                </w:rPr>
                                <w:t>转托管</w:t>
                              </w:r>
                              <w:r>
                                <w:rPr>
                                  <w:rFonts w:hint="eastAsia" w:ascii="仿宋_GB2312" w:hAnsi="仿宋"/>
                                  <w:sz w:val="21"/>
                                  <w:szCs w:val="21"/>
                                </w:rPr>
                                <w:t>起始日</w:t>
                              </w:r>
                            </w:p>
                          </w:txbxContent>
                        </wps:txbx>
                        <wps:bodyPr rot="0" vert="horz" wrap="square" lIns="91440" tIns="45720" rIns="91440" bIns="45720" anchor="t" anchorCtr="0" upright="1">
                          <a:spAutoFit/>
                        </wps:bodyPr>
                      </wps:wsp>
                      <wps:wsp>
                        <wps:cNvPr id="250" name="Text Box 245"/>
                        <wps:cNvSpPr txBox="1">
                          <a:spLocks noChangeArrowheads="1"/>
                        </wps:cNvSpPr>
                        <wps:spPr bwMode="auto">
                          <a:xfrm>
                            <a:off x="3784" y="4269"/>
                            <a:ext cx="1889" cy="744"/>
                          </a:xfrm>
                          <a:prstGeom prst="rect">
                            <a:avLst/>
                          </a:prstGeom>
                          <a:noFill/>
                          <a:ln>
                            <a:noFill/>
                          </a:ln>
                          <a:effectLst/>
                        </wps:spPr>
                        <wps:txbx>
                          <w:txbxContent>
                            <w:p w14:paraId="2CC14260">
                              <w:pPr>
                                <w:pStyle w:val="16"/>
                                <w:spacing w:before="0" w:beforeAutospacing="0" w:after="0" w:afterAutospacing="0" w:line="300" w:lineRule="exact"/>
                                <w:ind w:firstLine="0" w:firstLineChars="0"/>
                                <w:jc w:val="center"/>
                                <w:rPr>
                                  <w:rFonts w:hint="eastAsia"/>
                                  <w:sz w:val="21"/>
                                  <w:szCs w:val="21"/>
                                </w:rPr>
                              </w:pPr>
                              <w:r>
                                <w:rPr>
                                  <w:rFonts w:hint="eastAsia" w:cs="Times New Roman"/>
                                  <w:kern w:val="24"/>
                                  <w:sz w:val="21"/>
                                  <w:szCs w:val="21"/>
                                </w:rPr>
                                <w:t>提交暂停（恢复）转托管公告</w:t>
                              </w:r>
                            </w:p>
                          </w:txbxContent>
                        </wps:txbx>
                        <wps:bodyPr rot="0" vert="horz" wrap="square" lIns="91440" tIns="45720" rIns="91440" bIns="45720" anchor="t" anchorCtr="0" upright="1">
                          <a:spAutoFit/>
                        </wps:bodyPr>
                      </wps:wsp>
                    </wpg:wgp>
                  </a:graphicData>
                </a:graphic>
              </wp:anchor>
            </w:drawing>
          </mc:Choice>
          <mc:Fallback>
            <w:pict>
              <v:group id="Group 238" o:spid="_x0000_s1026" o:spt="203" style="position:absolute;left:0pt;margin-left:53.55pt;margin-top:-0.65pt;height:72.7pt;width:340.15pt;z-index:251659264;mso-width-relative:page;mso-height-relative:page;" coordorigin="2815,4269" coordsize="6803,1454" o:gfxdata="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">
                <o:lock v:ext="edit" aspectratio="f"/>
                <v:shape id="AutoShape 239" o:spid="_x0000_s1026" o:spt="32" type="#_x0000_t32" style="position:absolute;left:2815;top:5276;height:0;width:6803;" filled="f" stroked="t" coordsize="21600,21600" o:gfxdata="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KAp1ZC/&#10;AAAA3AAAAA8AAAAAAAAAAQAgAAAAIgAAAGRycy9kb3ducmV2LnhtbFBLAQIUABQAAAAIAIdO4kAz&#10;LwWeOwAAADkAAAAQAAAAAAAAAAEAIAAAAA4BAABkcnMvc2hhcGV4bWwueG1sUEsFBgAAAAAGAAYA&#10;WwEAALgDAAAAAA==&#10;">
                  <v:fill on="f" focussize="0,0"/>
                  <v:stroke weight="1.5pt" color="#000000" miterlimit="8" joinstyle="miter" endarrow="block"/>
                  <v:imagedata o:title=""/>
                  <o:lock v:ext="edit" aspectratio="f"/>
                </v:shape>
                <v:line id="Line 240" o:spid="_x0000_s1026" o:spt="20" style="position:absolute;left:4665;top:5097;height:170;width:0;" filled="f" stroked="t" coordsize="21600,21600" o:gfxdata="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EduFMS/&#10;AAAA3AAAAA8AAAAAAAAAAQAgAAAAIgAAAGRycy9kb3ducmV2LnhtbFBLAQIUABQAAAAIAIdO4kAz&#10;LwWeOwAAADkAAAAQAAAAAAAAAAEAIAAAAA4BAABkcnMvc2hhcGV4bWwueG1sUEsFBgAAAAAGAAYA&#10;WwEAALgDAAAAAA==&#10;">
                  <v:fill on="f" focussize="0,0"/>
                  <v:stroke weight="1.5pt" color="#000000" miterlimit="8" joinstyle="miter"/>
                  <v:imagedata o:title=""/>
                  <o:lock v:ext="edit" aspectratio="f"/>
                </v:line>
                <v:line id="Line 241" o:spid="_x0000_s1026" o:spt="20" style="position:absolute;left:7504;top:5109;height:170;width:0;" filled="f" stroked="t" coordsize="21600,21600" o:gfxdata="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CgisV+/&#10;AAAA3AAAAA8AAAAAAAAAAQAgAAAAIgAAAGRycy9kb3ducmV2LnhtbFBLAQIUABQAAAAIAIdO4kAz&#10;LwWeOwAAADkAAAAQAAAAAAAAAAEAIAAAAA4BAABkcnMvc2hhcGV4bWwueG1sUEsFBgAAAAAGAAYA&#10;WwEAALgDAAAAAA==&#10;">
                  <v:fill on="f" focussize="0,0"/>
                  <v:stroke weight="1.5pt" color="#000000" miterlimit="8" joinstyle="miter"/>
                  <v:imagedata o:title=""/>
                  <o:lock v:ext="edit" aspectratio="f"/>
                </v:line>
                <v:shape id="Text Box 242" o:spid="_x0000_s1026" o:spt="202" type="#_x0000_t202" style="position:absolute;left:3784;top:5279;height:444;width:1740;" filled="f" stroked="f" coordsize="21600,21600" o:gfxdata="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Jos9by8AAAA&#10;3AAAAA8AAAAAAAAAAQAgAAAAIgAAAGRycy9kb3ducmV2LnhtbFBLAQIUABQAAAAIAIdO4kAzLwWe&#10;OwAAADkAAAAQAAAAAAAAAAEAIAAAAAsBAABkcnMvc2hhcGV4bWwueG1sUEsFBgAAAAAGAAYAWwEA&#10;ALUDAAAAAA==&#10;">
                  <v:fill on="f" focussize="0,0"/>
                  <v:stroke on="f"/>
                  <v:imagedata o:title=""/>
                  <o:lock v:ext="edit" aspectratio="f"/>
                  <v:textbox style="mso-fit-shape-to-text:t;">
                    <w:txbxContent>
                      <w:p w14:paraId="1B42E701">
                        <w:pPr>
                          <w:pStyle w:val="16"/>
                          <w:spacing w:before="0" w:beforeAutospacing="0" w:after="0" w:afterAutospacing="0" w:line="300" w:lineRule="exact"/>
                          <w:ind w:firstLine="0" w:firstLineChars="0"/>
                          <w:rPr>
                            <w:rFonts w:ascii="Times New Roman" w:hAnsi="Times New Roman" w:cs="Times New Roman" w:eastAsiaTheme="minorEastAsia"/>
                            <w:sz w:val="21"/>
                            <w:szCs w:val="21"/>
                          </w:rPr>
                        </w:pPr>
                        <w:r>
                          <w:rPr>
                            <w:rFonts w:ascii="Times New Roman" w:hAnsi="Times New Roman" w:cs="Times New Roman" w:eastAsiaTheme="minorEastAsia"/>
                            <w:kern w:val="24"/>
                            <w:sz w:val="21"/>
                            <w:szCs w:val="21"/>
                          </w:rPr>
                          <w:t>T-2 12点前</w:t>
                        </w:r>
                      </w:p>
                    </w:txbxContent>
                  </v:textbox>
                </v:shape>
                <v:shape id="Text Box 243" o:spid="_x0000_s1026" o:spt="202" type="#_x0000_t202" style="position:absolute;left:7077;top:5266;height:444;width:853;" filled="f" stroked="f" coordsize="21600,21600" o:gfxdata="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OuzYc65AAAA3AAA&#10;AA8AAAAAAAAAAQAgAAAAIgAAAGRycy9kb3ducmV2LnhtbFBLAQIUABQAAAAIAIdO4kAzLwWeOwAA&#10;ADkAAAAQAAAAAAAAAAEAIAAAAAgBAABkcnMvc2hhcGV4bWwueG1sUEsFBgAAAAAGAAYAWwEAALID&#10;AAAAAA==&#10;">
                  <v:fill on="f" focussize="0,0"/>
                  <v:stroke on="f"/>
                  <v:imagedata o:title=""/>
                  <o:lock v:ext="edit" aspectratio="f"/>
                  <v:textbox style="mso-fit-shape-to-text:t;">
                    <w:txbxContent>
                      <w:p w14:paraId="7C739A06">
                        <w:pPr>
                          <w:pStyle w:val="16"/>
                          <w:spacing w:before="0" w:beforeAutospacing="0" w:after="0" w:afterAutospacing="0" w:line="300" w:lineRule="exact"/>
                          <w:ind w:firstLine="210" w:firstLineChars="100"/>
                          <w:rPr>
                            <w:rFonts w:ascii="Times New Roman" w:hAnsi="Times New Roman" w:cs="Times New Roman"/>
                            <w:sz w:val="21"/>
                            <w:szCs w:val="21"/>
                          </w:rPr>
                        </w:pPr>
                        <w:r>
                          <w:rPr>
                            <w:rFonts w:ascii="Times New Roman" w:hAnsi="Times New Roman" w:cs="Times New Roman"/>
                            <w:kern w:val="24"/>
                            <w:sz w:val="21"/>
                            <w:szCs w:val="21"/>
                          </w:rPr>
                          <w:t>T</w:t>
                        </w:r>
                      </w:p>
                    </w:txbxContent>
                  </v:textbox>
                </v:shape>
                <v:shape id="Text Box 244" o:spid="_x0000_s1026" o:spt="202" type="#_x0000_t202" style="position:absolute;left:6534;top:4269;height:744;width:1871;" filled="f" stroked="f" coordsize="21600,21600" o:gfxdata="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IT/xFW8AAAA&#10;3AAAAA8AAAAAAAAAAQAgAAAAIgAAAGRycy9kb3ducmV2LnhtbFBLAQIUABQAAAAIAIdO4kAzLwWe&#10;OwAAADkAAAAQAAAAAAAAAAEAIAAAAAsBAABkcnMvc2hhcGV4bWwueG1sUEsFBgAAAAAGAAYAWwEA&#10;ALUDAAAAAA==&#10;">
                  <v:fill on="f" focussize="0,0"/>
                  <v:stroke on="f"/>
                  <v:imagedata o:title=""/>
                  <o:lock v:ext="edit" aspectratio="f"/>
                  <v:textbox style="mso-fit-shape-to-text:t;">
                    <w:txbxContent>
                      <w:p w14:paraId="740A019F">
                        <w:pPr>
                          <w:pStyle w:val="16"/>
                          <w:spacing w:before="0" w:beforeAutospacing="0" w:after="0" w:afterAutospacing="0" w:line="300" w:lineRule="exact"/>
                          <w:ind w:firstLine="0" w:firstLineChars="0"/>
                          <w:jc w:val="center"/>
                          <w:rPr>
                            <w:rFonts w:hint="eastAsia"/>
                            <w:sz w:val="21"/>
                            <w:szCs w:val="21"/>
                          </w:rPr>
                        </w:pPr>
                        <w:r>
                          <w:rPr>
                            <w:rFonts w:ascii="仿宋_GB2312" w:hAnsi="仿宋"/>
                            <w:sz w:val="21"/>
                            <w:szCs w:val="21"/>
                          </w:rPr>
                          <w:t>暂停</w:t>
                        </w:r>
                        <w:r>
                          <w:rPr>
                            <w:rFonts w:hint="eastAsia" w:ascii="仿宋_GB2312" w:hAnsi="仿宋"/>
                            <w:sz w:val="21"/>
                            <w:szCs w:val="21"/>
                          </w:rPr>
                          <w:t>（恢复）</w:t>
                        </w:r>
                        <w:r>
                          <w:rPr>
                            <w:rFonts w:ascii="仿宋_GB2312" w:hAnsi="仿宋"/>
                            <w:sz w:val="21"/>
                            <w:szCs w:val="21"/>
                          </w:rPr>
                          <w:t>转托管</w:t>
                        </w:r>
                        <w:r>
                          <w:rPr>
                            <w:rFonts w:hint="eastAsia" w:ascii="仿宋_GB2312" w:hAnsi="仿宋"/>
                            <w:sz w:val="21"/>
                            <w:szCs w:val="21"/>
                          </w:rPr>
                          <w:t>起始日</w:t>
                        </w:r>
                      </w:p>
                    </w:txbxContent>
                  </v:textbox>
                </v:shape>
                <v:shape id="Text Box 245" o:spid="_x0000_s1026" o:spt="202" type="#_x0000_t202" style="position:absolute;left:3784;top:4269;height:744;width:1889;" filled="f" stroked="f" coordsize="21600,21600" o:gfxdata="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JAc+xW5AAAA3AAA&#10;AA8AAAAAAAAAAQAgAAAAIgAAAGRycy9kb3ducmV2LnhtbFBLAQIUABQAAAAIAIdO4kAzLwWeOwAA&#10;ADkAAAAQAAAAAAAAAAEAIAAAAAgBAABkcnMvc2hhcGV4bWwueG1sUEsFBgAAAAAGAAYAWwEAALID&#10;AAAAAA==&#10;">
                  <v:fill on="f" focussize="0,0"/>
                  <v:stroke on="f"/>
                  <v:imagedata o:title=""/>
                  <o:lock v:ext="edit" aspectratio="f"/>
                  <v:textbox style="mso-fit-shape-to-text:t;">
                    <w:txbxContent>
                      <w:p w14:paraId="2CC14260">
                        <w:pPr>
                          <w:pStyle w:val="16"/>
                          <w:spacing w:before="0" w:beforeAutospacing="0" w:after="0" w:afterAutospacing="0" w:line="300" w:lineRule="exact"/>
                          <w:ind w:firstLine="0" w:firstLineChars="0"/>
                          <w:jc w:val="center"/>
                          <w:rPr>
                            <w:rFonts w:hint="eastAsia"/>
                            <w:sz w:val="21"/>
                            <w:szCs w:val="21"/>
                          </w:rPr>
                        </w:pPr>
                        <w:r>
                          <w:rPr>
                            <w:rFonts w:hint="eastAsia" w:cs="Times New Roman"/>
                            <w:kern w:val="24"/>
                            <w:sz w:val="21"/>
                            <w:szCs w:val="21"/>
                          </w:rPr>
                          <w:t>提交暂停（恢复）转托管公告</w:t>
                        </w:r>
                      </w:p>
                    </w:txbxContent>
                  </v:textbox>
                </v:shape>
              </v:group>
            </w:pict>
          </mc:Fallback>
        </mc:AlternateContent>
      </w:r>
    </w:p>
    <w:p w14:paraId="41C9C688">
      <w:pPr>
        <w:widowControl/>
        <w:snapToGrid w:val="0"/>
        <w:spacing w:line="300" w:lineRule="exact"/>
        <w:ind w:firstLine="0" w:firstLineChars="0"/>
        <w:jc w:val="center"/>
        <w:rPr>
          <w:rFonts w:ascii="Times New Roman" w:hAnsi="Times New Roman" w:eastAsiaTheme="minorEastAsia"/>
          <w:sz w:val="21"/>
          <w:szCs w:val="21"/>
        </w:rPr>
      </w:pPr>
    </w:p>
    <w:p w14:paraId="74D22918">
      <w:pPr>
        <w:widowControl/>
        <w:snapToGrid w:val="0"/>
        <w:spacing w:line="300" w:lineRule="exact"/>
        <w:ind w:firstLine="0" w:firstLineChars="0"/>
        <w:jc w:val="center"/>
        <w:rPr>
          <w:rFonts w:ascii="Times New Roman" w:hAnsi="Times New Roman" w:eastAsiaTheme="minorEastAsia"/>
          <w:sz w:val="21"/>
          <w:szCs w:val="21"/>
        </w:rPr>
      </w:pPr>
    </w:p>
    <w:p w14:paraId="3D7F67D1">
      <w:pPr>
        <w:widowControl/>
        <w:snapToGrid w:val="0"/>
        <w:spacing w:line="300" w:lineRule="exact"/>
        <w:ind w:firstLine="0" w:firstLineChars="0"/>
        <w:jc w:val="center"/>
        <w:rPr>
          <w:rFonts w:ascii="Times New Roman" w:hAnsi="Times New Roman" w:eastAsiaTheme="minorEastAsia"/>
          <w:sz w:val="21"/>
          <w:szCs w:val="21"/>
        </w:rPr>
      </w:pPr>
    </w:p>
    <w:p w14:paraId="5BBE9E8E">
      <w:pPr>
        <w:widowControl/>
        <w:snapToGrid w:val="0"/>
        <w:spacing w:line="300" w:lineRule="exact"/>
        <w:ind w:firstLine="0" w:firstLineChars="0"/>
        <w:jc w:val="center"/>
        <w:rPr>
          <w:rFonts w:ascii="Times New Roman" w:hAnsi="Times New Roman" w:eastAsiaTheme="minorEastAsia"/>
          <w:sz w:val="21"/>
          <w:szCs w:val="21"/>
        </w:rPr>
      </w:pPr>
    </w:p>
    <w:p w14:paraId="3AD5A16D">
      <w:pPr>
        <w:widowControl/>
        <w:snapToGrid w:val="0"/>
        <w:spacing w:line="300" w:lineRule="exact"/>
        <w:ind w:firstLine="422"/>
        <w:jc w:val="center"/>
        <w:rPr>
          <w:rFonts w:ascii="Times New Roman" w:hAnsi="Times New Roman" w:eastAsiaTheme="minorEastAsia"/>
          <w:b/>
          <w:bCs/>
          <w:sz w:val="21"/>
          <w:szCs w:val="21"/>
        </w:rPr>
      </w:pPr>
      <w:r>
        <w:rPr>
          <w:rFonts w:ascii="Times New Roman" w:hAnsi="Times New Roman" w:eastAsiaTheme="minorEastAsia"/>
          <w:b/>
          <w:bCs/>
          <w:sz w:val="21"/>
          <w:szCs w:val="21"/>
        </w:rPr>
        <w:t>图2-2-1 公募REITs暂停（恢复）转托管业务办理时间</w:t>
      </w:r>
    </w:p>
    <w:p w14:paraId="309EA565">
      <w:pPr>
        <w:ind w:firstLine="600"/>
        <w:rPr>
          <w:rFonts w:ascii="Times New Roman" w:hAnsi="Times New Roman"/>
        </w:rPr>
      </w:pPr>
      <w:r>
        <w:rPr>
          <w:rFonts w:ascii="Times New Roman"/>
        </w:rPr>
        <w:t>基金管理人需至少在暂停（恢复）转托管起始日前</w:t>
      </w:r>
      <w:r>
        <w:rPr>
          <w:rFonts w:ascii="Times New Roman" w:hAnsi="Times New Roman"/>
        </w:rPr>
        <w:t>2</w:t>
      </w:r>
      <w:r>
        <w:rPr>
          <w:rFonts w:ascii="Times New Roman"/>
        </w:rPr>
        <w:t>个交易日提交暂停（恢复）转托管公告（格式参考附件</w:t>
      </w:r>
      <w:r>
        <w:rPr>
          <w:rFonts w:hint="eastAsia" w:ascii="Times New Roman" w:hAnsi="Times New Roman"/>
        </w:rPr>
        <w:t>2</w:t>
      </w:r>
      <w:r>
        <w:rPr>
          <w:rFonts w:ascii="Times New Roman"/>
        </w:rPr>
        <w:t>）。</w:t>
      </w:r>
    </w:p>
    <w:p w14:paraId="513BE284">
      <w:pPr>
        <w:pStyle w:val="4"/>
        <w:ind w:firstLine="602"/>
        <w:rPr>
          <w:rFonts w:ascii="Times New Roman" w:hAnsi="Times New Roman"/>
        </w:rPr>
      </w:pPr>
      <w:bookmarkStart w:id="22" w:name="_Toc72419512"/>
      <w:r>
        <w:rPr>
          <w:rFonts w:ascii="Times New Roman"/>
        </w:rPr>
        <w:t>（三）</w:t>
      </w:r>
      <w:bookmarkEnd w:id="22"/>
      <w:bookmarkStart w:id="23" w:name="_Toc72419513"/>
      <w:r>
        <w:rPr>
          <w:rFonts w:ascii="Times New Roman"/>
        </w:rPr>
        <w:t>具体操作</w:t>
      </w:r>
      <w:bookmarkEnd w:id="23"/>
    </w:p>
    <w:p w14:paraId="016DBF18">
      <w:pPr>
        <w:ind w:firstLine="600"/>
        <w:rPr>
          <w:rFonts w:ascii="Times New Roman" w:hAnsi="Times New Roman"/>
        </w:rPr>
      </w:pPr>
      <w:r>
        <w:rPr>
          <w:rFonts w:ascii="Times New Roman"/>
        </w:rPr>
        <w:t>基金管理人通过业务管理系统平台的</w:t>
      </w:r>
      <w:r>
        <w:rPr>
          <w:rFonts w:ascii="Times New Roman" w:hAnsi="Times New Roman"/>
        </w:rPr>
        <w:t>“REITs-</w:t>
      </w:r>
      <w:r>
        <w:rPr>
          <w:rFonts w:ascii="Times New Roman"/>
        </w:rPr>
        <w:t>暂停恢复转托管</w:t>
      </w:r>
      <w:r>
        <w:rPr>
          <w:rFonts w:ascii="Times New Roman" w:hAnsi="Times New Roman"/>
        </w:rPr>
        <w:t>-</w:t>
      </w:r>
      <w:r>
        <w:rPr>
          <w:rFonts w:ascii="Times New Roman"/>
        </w:rPr>
        <w:t>新建业务申请</w:t>
      </w:r>
      <w:r>
        <w:rPr>
          <w:rFonts w:ascii="Times New Roman" w:hAnsi="Times New Roman"/>
        </w:rPr>
        <w:t>”</w:t>
      </w:r>
      <w:r>
        <w:rPr>
          <w:rFonts w:ascii="Times New Roman"/>
        </w:rPr>
        <w:t>进入暂停（恢复）转托管申请表（见图</w:t>
      </w:r>
      <w:r>
        <w:rPr>
          <w:rFonts w:hint="eastAsia" w:ascii="Times New Roman" w:hAnsi="Times New Roman"/>
        </w:rPr>
        <w:t>2</w:t>
      </w:r>
      <w:r>
        <w:rPr>
          <w:rFonts w:ascii="Times New Roman" w:hAnsi="Times New Roman"/>
        </w:rPr>
        <w:t>-</w:t>
      </w:r>
      <w:r>
        <w:rPr>
          <w:rFonts w:hint="eastAsia" w:ascii="Times New Roman" w:hAnsi="Times New Roman"/>
        </w:rPr>
        <w:t>2</w:t>
      </w:r>
      <w:r>
        <w:rPr>
          <w:rFonts w:ascii="Times New Roman" w:hAnsi="Times New Roman"/>
        </w:rPr>
        <w:t>-</w:t>
      </w:r>
      <w:r>
        <w:rPr>
          <w:rFonts w:hint="eastAsia" w:ascii="Times New Roman" w:hAnsi="Times New Roman"/>
        </w:rPr>
        <w:t>2</w:t>
      </w:r>
      <w:r>
        <w:rPr>
          <w:rFonts w:ascii="Times New Roman"/>
        </w:rPr>
        <w:t>），填写证券代码、暂停转托管起始日、恢复转托管起始日等要素信息，并上传暂停（恢复）转托管公告等材料。上传材料均以</w:t>
      </w:r>
      <w:r>
        <w:rPr>
          <w:rFonts w:ascii="Times New Roman" w:hAnsi="Times New Roman"/>
        </w:rPr>
        <w:t>PDF</w:t>
      </w:r>
      <w:r>
        <w:rPr>
          <w:rFonts w:ascii="Times New Roman"/>
        </w:rPr>
        <w:t>格式的电子文件提交。</w:t>
      </w:r>
    </w:p>
    <w:p w14:paraId="6A48A6BA">
      <w:pPr>
        <w:widowControl/>
        <w:snapToGrid w:val="0"/>
        <w:spacing w:line="240" w:lineRule="auto"/>
        <w:ind w:firstLine="0" w:firstLineChars="0"/>
        <w:jc w:val="center"/>
        <w:rPr>
          <w:rFonts w:ascii="Times New Roman" w:hAnsi="Times New Roman"/>
          <w:sz w:val="28"/>
          <w:szCs w:val="28"/>
        </w:rPr>
      </w:pPr>
      <w:r>
        <w:rPr>
          <w:rFonts w:ascii="Times New Roman"/>
        </w:rPr>
        <w:drawing>
          <wp:inline distT="0" distB="0" distL="0" distR="0">
            <wp:extent cx="5243830" cy="3572510"/>
            <wp:effectExtent l="0" t="0" r="0" b="0"/>
            <wp:docPr id="246"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6" name="图片 19"/>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a:xfrm>
                      <a:off x="0" y="0"/>
                      <a:ext cx="5243830" cy="3572510"/>
                    </a:xfrm>
                    <a:prstGeom prst="rect">
                      <a:avLst/>
                    </a:prstGeom>
                    <a:noFill/>
                    <a:ln w="9525">
                      <a:noFill/>
                      <a:miter lim="800000"/>
                      <a:headEnd/>
                      <a:tailEnd/>
                    </a:ln>
                  </pic:spPr>
                </pic:pic>
              </a:graphicData>
            </a:graphic>
          </wp:inline>
        </w:drawing>
      </w:r>
    </w:p>
    <w:p w14:paraId="00311175">
      <w:pPr>
        <w:widowControl/>
        <w:snapToGrid w:val="0"/>
        <w:spacing w:line="300" w:lineRule="exact"/>
        <w:ind w:firstLine="422"/>
        <w:jc w:val="center"/>
        <w:rPr>
          <w:rFonts w:ascii="Times New Roman" w:hAnsi="Times New Roman" w:eastAsiaTheme="minorEastAsia"/>
          <w:b/>
          <w:bCs/>
          <w:sz w:val="21"/>
          <w:szCs w:val="21"/>
        </w:rPr>
      </w:pPr>
      <w:bookmarkStart w:id="24" w:name="_Toc72419514"/>
      <w:r>
        <w:rPr>
          <w:rFonts w:ascii="Times New Roman" w:hAnsi="Times New Roman" w:eastAsiaTheme="minorEastAsia"/>
          <w:b/>
          <w:bCs/>
          <w:sz w:val="21"/>
          <w:szCs w:val="21"/>
        </w:rPr>
        <w:t>图2-2-2 公募REITs暂停（恢复）转托管业务新建申请页面</w:t>
      </w:r>
    </w:p>
    <w:bookmarkEnd w:id="24"/>
    <w:p w14:paraId="757752F3">
      <w:pPr>
        <w:pStyle w:val="3"/>
        <w:spacing w:before="156" w:after="156"/>
        <w:ind w:firstLine="643"/>
        <w:rPr>
          <w:rFonts w:ascii="Times New Roman" w:hAnsi="Times New Roman"/>
        </w:rPr>
      </w:pPr>
      <w:bookmarkStart w:id="25" w:name="_Toc217484333"/>
      <w:bookmarkStart w:id="26" w:name="_Toc1889788448"/>
      <w:r>
        <w:rPr>
          <w:rFonts w:ascii="Times New Roman"/>
        </w:rPr>
        <w:t>三、常规停复牌</w:t>
      </w:r>
      <w:bookmarkEnd w:id="25"/>
      <w:bookmarkEnd w:id="26"/>
    </w:p>
    <w:p w14:paraId="7DB61CE0">
      <w:pPr>
        <w:pStyle w:val="4"/>
        <w:ind w:firstLine="602"/>
        <w:rPr>
          <w:rFonts w:ascii="Times New Roman" w:hAnsi="Times New Roman"/>
        </w:rPr>
      </w:pPr>
      <w:bookmarkStart w:id="27" w:name="_Toc72514096"/>
      <w:r>
        <w:rPr>
          <w:rFonts w:ascii="Times New Roman"/>
        </w:rPr>
        <w:t>（一）临时停牌</w:t>
      </w:r>
      <w:r>
        <w:rPr>
          <w:rFonts w:ascii="Times New Roman" w:hAnsi="Times New Roman"/>
        </w:rPr>
        <w:t>/</w:t>
      </w:r>
      <w:r>
        <w:rPr>
          <w:rFonts w:ascii="Times New Roman"/>
        </w:rPr>
        <w:t>连续停牌</w:t>
      </w:r>
      <w:bookmarkEnd w:id="27"/>
    </w:p>
    <w:p w14:paraId="4E7EBB7B">
      <w:pPr>
        <w:ind w:firstLine="602"/>
        <w:rPr>
          <w:rFonts w:ascii="Times New Roman" w:hAnsi="Times New Roman"/>
          <w:b/>
          <w:szCs w:val="30"/>
        </w:rPr>
      </w:pPr>
      <w:r>
        <w:rPr>
          <w:rFonts w:ascii="Times New Roman" w:hAnsi="Times New Roman"/>
          <w:b/>
          <w:szCs w:val="30"/>
        </w:rPr>
        <w:t>1.适用情形</w:t>
      </w:r>
    </w:p>
    <w:p w14:paraId="6EEB2C22">
      <w:pPr>
        <w:ind w:firstLine="600"/>
        <w:rPr>
          <w:rFonts w:ascii="Times New Roman" w:hAnsi="Times New Roman"/>
        </w:rPr>
      </w:pPr>
      <w:r>
        <w:rPr>
          <w:rFonts w:ascii="Times New Roman"/>
        </w:rPr>
        <w:t>临时停牌是指停牌时间为一天且停牌日期明确的停牌操作。连续停牌是指停牌时间超过一天或停牌终止日不确定的长时间连续停牌操作。</w:t>
      </w:r>
    </w:p>
    <w:p w14:paraId="4F08F502">
      <w:pPr>
        <w:ind w:firstLine="602"/>
        <w:rPr>
          <w:rFonts w:ascii="Times New Roman" w:hAnsi="Times New Roman"/>
          <w:b/>
          <w:szCs w:val="30"/>
        </w:rPr>
      </w:pPr>
      <w:r>
        <w:rPr>
          <w:rFonts w:ascii="Times New Roman" w:hAnsi="Times New Roman"/>
          <w:b/>
          <w:szCs w:val="30"/>
        </w:rPr>
        <w:t>2.办理时间</w:t>
      </w:r>
    </w:p>
    <w:p w14:paraId="25AC33DB">
      <w:pPr>
        <w:keepNext/>
        <w:keepLines/>
        <w:spacing w:before="156" w:beforeLines="50" w:after="156" w:afterLines="50" w:line="400" w:lineRule="exact"/>
        <w:ind w:firstLine="560"/>
        <w:jc w:val="left"/>
        <w:rPr>
          <w:rFonts w:ascii="Times New Roman" w:hAnsi="Times New Roman"/>
          <w:b/>
          <w:bCs/>
          <w:sz w:val="28"/>
          <w:szCs w:val="32"/>
        </w:rPr>
      </w:pPr>
      <w:bookmarkStart w:id="28" w:name="_Toc215591077"/>
      <w:bookmarkStart w:id="29" w:name="_Toc215590640"/>
      <w:bookmarkStart w:id="30" w:name="_Toc215591052"/>
      <w:bookmarkStart w:id="31" w:name="_Toc215590665"/>
      <w:r>
        <w:rPr>
          <w:rFonts w:ascii="Times New Roman" w:hAnsi="Times New Roman"/>
          <w:sz w:val="28"/>
          <w:szCs w:val="28"/>
        </w:rPr>
        <mc:AlternateContent>
          <mc:Choice Requires="wpg">
            <w:drawing>
              <wp:anchor distT="0" distB="0" distL="114300" distR="114300" simplePos="0" relativeHeight="251660288" behindDoc="1" locked="0" layoutInCell="1" allowOverlap="1">
                <wp:simplePos x="0" y="0"/>
                <wp:positionH relativeFrom="column">
                  <wp:posOffset>695325</wp:posOffset>
                </wp:positionH>
                <wp:positionV relativeFrom="paragraph">
                  <wp:posOffset>129540</wp:posOffset>
                </wp:positionV>
                <wp:extent cx="4319905" cy="1042670"/>
                <wp:effectExtent l="0" t="0" r="4445" b="0"/>
                <wp:wrapNone/>
                <wp:docPr id="234" name="Group 247"/>
                <wp:cNvGraphicFramePr/>
                <a:graphic xmlns:a="http://schemas.openxmlformats.org/drawingml/2006/main">
                  <a:graphicData uri="http://schemas.microsoft.com/office/word/2010/wordprocessingGroup">
                    <wpg:wgp>
                      <wpg:cNvGrpSpPr/>
                      <wpg:grpSpPr>
                        <a:xfrm>
                          <a:off x="0" y="0"/>
                          <a:ext cx="4319905" cy="1042670"/>
                          <a:chOff x="2675" y="10432"/>
                          <a:chExt cx="6803" cy="1642"/>
                        </a:xfrm>
                        <a:effectLst/>
                      </wpg:grpSpPr>
                      <wps:wsp>
                        <wps:cNvPr id="235" name="AutoShape 248"/>
                        <wps:cNvCnPr>
                          <a:cxnSpLocks noChangeShapeType="1"/>
                        </wps:cNvCnPr>
                        <wps:spPr bwMode="auto">
                          <a:xfrm>
                            <a:off x="2675" y="11367"/>
                            <a:ext cx="6803" cy="0"/>
                          </a:xfrm>
                          <a:prstGeom prst="straightConnector1">
                            <a:avLst/>
                          </a:prstGeom>
                          <a:noFill/>
                          <a:ln w="19050">
                            <a:solidFill>
                              <a:srgbClr val="000000"/>
                            </a:solidFill>
                            <a:miter lim="800000"/>
                            <a:tailEnd type="triangle" w="med" len="med"/>
                          </a:ln>
                          <a:effectLst/>
                        </wps:spPr>
                        <wps:bodyPr/>
                      </wps:wsp>
                      <wps:wsp>
                        <wps:cNvPr id="236" name="Line 249"/>
                        <wps:cNvCnPr>
                          <a:cxnSpLocks noChangeShapeType="1"/>
                        </wps:cNvCnPr>
                        <wps:spPr bwMode="auto">
                          <a:xfrm>
                            <a:off x="4525" y="11188"/>
                            <a:ext cx="0" cy="170"/>
                          </a:xfrm>
                          <a:prstGeom prst="line">
                            <a:avLst/>
                          </a:prstGeom>
                          <a:noFill/>
                          <a:ln w="19050">
                            <a:solidFill>
                              <a:srgbClr val="000000"/>
                            </a:solidFill>
                            <a:miter lim="800000"/>
                          </a:ln>
                          <a:effectLst/>
                        </wps:spPr>
                        <wps:bodyPr/>
                      </wps:wsp>
                      <wps:wsp>
                        <wps:cNvPr id="237" name="Line 250"/>
                        <wps:cNvCnPr>
                          <a:cxnSpLocks noChangeShapeType="1"/>
                        </wps:cNvCnPr>
                        <wps:spPr bwMode="auto">
                          <a:xfrm>
                            <a:off x="7364" y="11200"/>
                            <a:ext cx="0" cy="170"/>
                          </a:xfrm>
                          <a:prstGeom prst="line">
                            <a:avLst/>
                          </a:prstGeom>
                          <a:noFill/>
                          <a:ln w="19050">
                            <a:solidFill>
                              <a:srgbClr val="000000"/>
                            </a:solidFill>
                            <a:miter lim="800000"/>
                          </a:ln>
                          <a:effectLst/>
                        </wps:spPr>
                        <wps:bodyPr/>
                      </wps:wsp>
                      <wps:wsp>
                        <wps:cNvPr id="238" name="Text Box 251"/>
                        <wps:cNvSpPr txBox="1">
                          <a:spLocks noChangeArrowheads="1"/>
                        </wps:cNvSpPr>
                        <wps:spPr bwMode="auto">
                          <a:xfrm>
                            <a:off x="3644" y="11370"/>
                            <a:ext cx="1740" cy="704"/>
                          </a:xfrm>
                          <a:prstGeom prst="rect">
                            <a:avLst/>
                          </a:prstGeom>
                          <a:noFill/>
                          <a:ln>
                            <a:noFill/>
                          </a:ln>
                          <a:effectLst/>
                        </wps:spPr>
                        <wps:txbx>
                          <w:txbxContent>
                            <w:p w14:paraId="0C13172F">
                              <w:pPr>
                                <w:pStyle w:val="16"/>
                                <w:spacing w:before="0" w:beforeAutospacing="0" w:after="0" w:afterAutospacing="0"/>
                                <w:ind w:firstLine="0" w:firstLineChars="0"/>
                                <w:jc w:val="center"/>
                                <w:rPr>
                                  <w:rFonts w:ascii="Times New Roman" w:hAnsi="Times New Roman" w:cs="Times New Roman" w:eastAsiaTheme="minorEastAsia"/>
                                  <w:sz w:val="21"/>
                                  <w:szCs w:val="21"/>
                                </w:rPr>
                              </w:pPr>
                              <w:r>
                                <w:rPr>
                                  <w:rFonts w:ascii="Times New Roman" w:hAnsi="Times New Roman" w:cs="Times New Roman" w:eastAsiaTheme="minorEastAsia"/>
                                  <w:kern w:val="24"/>
                                  <w:sz w:val="21"/>
                                  <w:szCs w:val="21"/>
                                </w:rPr>
                                <w:t>T-1 15:30点前</w:t>
                              </w:r>
                            </w:p>
                          </w:txbxContent>
                        </wps:txbx>
                        <wps:bodyPr rot="0" vert="horz" wrap="square" lIns="91440" tIns="45720" rIns="91440" bIns="45720" anchor="t" anchorCtr="0" upright="1">
                          <a:spAutoFit/>
                        </wps:bodyPr>
                      </wps:wsp>
                      <wps:wsp>
                        <wps:cNvPr id="239" name="Text Box 252"/>
                        <wps:cNvSpPr txBox="1">
                          <a:spLocks noChangeArrowheads="1"/>
                        </wps:cNvSpPr>
                        <wps:spPr bwMode="auto">
                          <a:xfrm>
                            <a:off x="6937" y="11357"/>
                            <a:ext cx="853" cy="704"/>
                          </a:xfrm>
                          <a:prstGeom prst="rect">
                            <a:avLst/>
                          </a:prstGeom>
                          <a:noFill/>
                          <a:ln>
                            <a:noFill/>
                          </a:ln>
                          <a:effectLst/>
                        </wps:spPr>
                        <wps:txbx>
                          <w:txbxContent>
                            <w:p w14:paraId="1E00CACC">
                              <w:pPr>
                                <w:pStyle w:val="16"/>
                                <w:spacing w:before="0" w:beforeAutospacing="0" w:after="0" w:afterAutospacing="0"/>
                                <w:ind w:firstLine="174" w:firstLineChars="83"/>
                                <w:rPr>
                                  <w:rFonts w:ascii="Times New Roman" w:hAnsi="Times New Roman" w:cs="Times New Roman" w:eastAsiaTheme="minorEastAsia"/>
                                  <w:sz w:val="21"/>
                                  <w:szCs w:val="21"/>
                                </w:rPr>
                              </w:pPr>
                              <w:r>
                                <w:rPr>
                                  <w:rFonts w:ascii="Times New Roman" w:hAnsi="Times New Roman" w:cs="Times New Roman" w:eastAsiaTheme="minorEastAsia"/>
                                  <w:kern w:val="24"/>
                                  <w:sz w:val="21"/>
                                  <w:szCs w:val="21"/>
                                </w:rPr>
                                <w:t>T</w:t>
                              </w:r>
                            </w:p>
                          </w:txbxContent>
                        </wps:txbx>
                        <wps:bodyPr rot="0" vert="horz" wrap="square" lIns="91440" tIns="45720" rIns="91440" bIns="45720" anchor="t" anchorCtr="0" upright="1">
                          <a:spAutoFit/>
                        </wps:bodyPr>
                      </wps:wsp>
                      <wps:wsp>
                        <wps:cNvPr id="240" name="Text Box 253"/>
                        <wps:cNvSpPr txBox="1">
                          <a:spLocks noChangeArrowheads="1"/>
                        </wps:cNvSpPr>
                        <wps:spPr bwMode="auto">
                          <a:xfrm>
                            <a:off x="6394" y="10672"/>
                            <a:ext cx="1871" cy="444"/>
                          </a:xfrm>
                          <a:prstGeom prst="rect">
                            <a:avLst/>
                          </a:prstGeom>
                          <a:noFill/>
                          <a:ln>
                            <a:noFill/>
                          </a:ln>
                          <a:effectLst/>
                        </wps:spPr>
                        <wps:txbx>
                          <w:txbxContent>
                            <w:p w14:paraId="448E60FA">
                              <w:pPr>
                                <w:pStyle w:val="16"/>
                                <w:spacing w:before="0" w:beforeAutospacing="0" w:after="0" w:afterAutospacing="0" w:line="300" w:lineRule="exact"/>
                                <w:ind w:firstLine="0" w:firstLineChars="0"/>
                                <w:jc w:val="center"/>
                                <w:rPr>
                                  <w:rFonts w:hint="eastAsia"/>
                                  <w:sz w:val="21"/>
                                  <w:szCs w:val="21"/>
                                </w:rPr>
                              </w:pPr>
                              <w:r>
                                <w:rPr>
                                  <w:rFonts w:hint="eastAsia" w:ascii="仿宋_GB2312" w:hAnsi="仿宋"/>
                                  <w:sz w:val="21"/>
                                  <w:szCs w:val="21"/>
                                </w:rPr>
                                <w:t>停牌</w:t>
                              </w:r>
                              <w:r>
                                <w:rPr>
                                  <w:rFonts w:ascii="仿宋_GB2312" w:hAnsi="仿宋"/>
                                  <w:sz w:val="21"/>
                                  <w:szCs w:val="21"/>
                                </w:rPr>
                                <w:t>日</w:t>
                              </w:r>
                            </w:p>
                          </w:txbxContent>
                        </wps:txbx>
                        <wps:bodyPr rot="0" vert="horz" wrap="square" lIns="91440" tIns="45720" rIns="91440" bIns="45720" anchor="t" anchorCtr="0" upright="1">
                          <a:spAutoFit/>
                        </wps:bodyPr>
                      </wps:wsp>
                      <wps:wsp>
                        <wps:cNvPr id="241" name="Text Box 254"/>
                        <wps:cNvSpPr txBox="1">
                          <a:spLocks noChangeArrowheads="1"/>
                        </wps:cNvSpPr>
                        <wps:spPr bwMode="auto">
                          <a:xfrm>
                            <a:off x="3644" y="10432"/>
                            <a:ext cx="1889" cy="444"/>
                          </a:xfrm>
                          <a:prstGeom prst="rect">
                            <a:avLst/>
                          </a:prstGeom>
                          <a:noFill/>
                          <a:ln>
                            <a:noFill/>
                          </a:ln>
                          <a:effectLst/>
                        </wps:spPr>
                        <wps:txbx>
                          <w:txbxContent>
                            <w:p w14:paraId="04D6F67E">
                              <w:pPr>
                                <w:pStyle w:val="16"/>
                                <w:spacing w:before="0" w:beforeAutospacing="0" w:after="0" w:afterAutospacing="0" w:line="300" w:lineRule="exact"/>
                                <w:ind w:firstLine="0" w:firstLineChars="0"/>
                                <w:jc w:val="center"/>
                                <w:rPr>
                                  <w:rFonts w:hint="eastAsia"/>
                                  <w:sz w:val="21"/>
                                  <w:szCs w:val="21"/>
                                </w:rPr>
                              </w:pPr>
                              <w:r>
                                <w:rPr>
                                  <w:rFonts w:hint="eastAsia" w:cs="Times New Roman"/>
                                  <w:kern w:val="24"/>
                                  <w:sz w:val="21"/>
                                  <w:szCs w:val="21"/>
                                </w:rPr>
                                <w:t>提交停牌公告</w:t>
                              </w:r>
                            </w:p>
                          </w:txbxContent>
                        </wps:txbx>
                        <wps:bodyPr rot="0" vert="horz" wrap="square" lIns="91440" tIns="45720" rIns="91440" bIns="45720" anchor="t" anchorCtr="0" upright="1">
                          <a:spAutoFit/>
                        </wps:bodyPr>
                      </wps:wsp>
                    </wpg:wgp>
                  </a:graphicData>
                </a:graphic>
              </wp:anchor>
            </w:drawing>
          </mc:Choice>
          <mc:Fallback>
            <w:pict>
              <v:group id="Group 247" o:spid="_x0000_s1026" o:spt="203" style="position:absolute;left:0pt;margin-left:54.75pt;margin-top:10.2pt;height:82.1pt;width:340.15pt;z-index:-251656192;mso-width-relative:page;mso-height-relative:page;" coordorigin="2675,10432" coordsize="6803,1642" o:gfxdata="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">
                <o:lock v:ext="edit" aspectratio="f"/>
                <v:shape id="AutoShape 248" o:spid="_x0000_s1026" o:spt="32" type="#_x0000_t32" style="position:absolute;left:2675;top:11367;height:0;width:6803;" filled="f" stroked="t" coordsize="21600,21600" o:gfxdata="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BiKmwK/&#10;AAAA3AAAAA8AAAAAAAAAAQAgAAAAIgAAAGRycy9kb3ducmV2LnhtbFBLAQIUABQAAAAIAIdO4kAz&#10;LwWeOwAAADkAAAAQAAAAAAAAAAEAIAAAAA4BAABkcnMvc2hhcGV4bWwueG1sUEsFBgAAAAAGAAYA&#10;WwEAALgDAAAAAA==&#10;">
                  <v:fill on="f" focussize="0,0"/>
                  <v:stroke weight="1.5pt" color="#000000" miterlimit="8" joinstyle="miter" endarrow="block"/>
                  <v:imagedata o:title=""/>
                  <o:lock v:ext="edit" aspectratio="f"/>
                </v:shape>
                <v:line id="Line 249" o:spid="_x0000_s1026" o:spt="20" style="position:absolute;left:4525;top:11188;height:170;width:0;" filled="f" stroked="t" coordsize="21600,21600" o:gfxdata="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ID2XFW/&#10;AAAA3AAAAA8AAAAAAAAAAQAgAAAAIgAAAGRycy9kb3ducmV2LnhtbFBLAQIUABQAAAAIAIdO4kAz&#10;LwWeOwAAADkAAAAQAAAAAAAAAAEAIAAAAA4BAABkcnMvc2hhcGV4bWwueG1sUEsFBgAAAAAGAAYA&#10;WwEAALgDAAAAAA==&#10;">
                  <v:fill on="f" focussize="0,0"/>
                  <v:stroke weight="1.5pt" color="#000000" miterlimit="8" joinstyle="miter"/>
                  <v:imagedata o:title=""/>
                  <o:lock v:ext="edit" aspectratio="f"/>
                </v:line>
                <v:line id="Line 250" o:spid="_x0000_s1026" o:spt="20" style="position:absolute;left:7364;top:11200;height:170;width:0;" filled="f" stroked="t" coordsize="21600,21600" o:gfxdata="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77r5zr4A&#10;AADcAAAADwAAAAAAAAABACAAAAAiAAAAZHJzL2Rvd25yZXYueG1sUEsBAhQAFAAAAAgAh07iQDMv&#10;BZ47AAAAOQAAABAAAAAAAAAAAQAgAAAADQEAAGRycy9zaGFwZXhtbC54bWxQSwUGAAAAAAYABgBb&#10;AQAAtwMAAAAA&#10;">
                  <v:fill on="f" focussize="0,0"/>
                  <v:stroke weight="1.5pt" color="#000000" miterlimit="8" joinstyle="miter"/>
                  <v:imagedata o:title=""/>
                  <o:lock v:ext="edit" aspectratio="f"/>
                </v:line>
                <v:shape id="Text Box 251" o:spid="_x0000_s1026" o:spt="202" type="#_x0000_t202" style="position:absolute;left:3644;top:11370;height:704;width:1740;" filled="f" stroked="f" coordsize="21600,21600" o:gfxdata="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LO1ErO5AAAA3AAA&#10;AA8AAAAAAAAAAQAgAAAAIgAAAGRycy9kb3ducmV2LnhtbFBLAQIUABQAAAAIAIdO4kAzLwWeOwAA&#10;ADkAAAAQAAAAAAAAAAEAIAAAAAgBAABkcnMvc2hhcGV4bWwueG1sUEsFBgAAAAAGAAYAWwEAALID&#10;AAAAAA==&#10;">
                  <v:fill on="f" focussize="0,0"/>
                  <v:stroke on="f"/>
                  <v:imagedata o:title=""/>
                  <o:lock v:ext="edit" aspectratio="f"/>
                  <v:textbox style="mso-fit-shape-to-text:t;">
                    <w:txbxContent>
                      <w:p w14:paraId="0C13172F">
                        <w:pPr>
                          <w:pStyle w:val="16"/>
                          <w:spacing w:before="0" w:beforeAutospacing="0" w:after="0" w:afterAutospacing="0"/>
                          <w:ind w:firstLine="0" w:firstLineChars="0"/>
                          <w:jc w:val="center"/>
                          <w:rPr>
                            <w:rFonts w:ascii="Times New Roman" w:hAnsi="Times New Roman" w:cs="Times New Roman" w:eastAsiaTheme="minorEastAsia"/>
                            <w:sz w:val="21"/>
                            <w:szCs w:val="21"/>
                          </w:rPr>
                        </w:pPr>
                        <w:r>
                          <w:rPr>
                            <w:rFonts w:ascii="Times New Roman" w:hAnsi="Times New Roman" w:cs="Times New Roman" w:eastAsiaTheme="minorEastAsia"/>
                            <w:kern w:val="24"/>
                            <w:sz w:val="21"/>
                            <w:szCs w:val="21"/>
                          </w:rPr>
                          <w:t>T-1 15:30点前</w:t>
                        </w:r>
                      </w:p>
                    </w:txbxContent>
                  </v:textbox>
                </v:shape>
                <v:shape id="Text Box 252" o:spid="_x0000_s1026" o:spt="202" type="#_x0000_t202" style="position:absolute;left:6937;top:11357;height:704;width:853;" filled="f" stroked="f" coordsize="21600,21600" o:gfxdata="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Nz5tyi8AAAA&#10;3AAAAA8AAAAAAAAAAQAgAAAAIgAAAGRycy9kb3ducmV2LnhtbFBLAQIUABQAAAAIAIdO4kAzLwWe&#10;OwAAADkAAAAQAAAAAAAAAAEAIAAAAAsBAABkcnMvc2hhcGV4bWwueG1sUEsFBgAAAAAGAAYAWwEA&#10;ALUDAAAAAA==&#10;">
                  <v:fill on="f" focussize="0,0"/>
                  <v:stroke on="f"/>
                  <v:imagedata o:title=""/>
                  <o:lock v:ext="edit" aspectratio="f"/>
                  <v:textbox style="mso-fit-shape-to-text:t;">
                    <w:txbxContent>
                      <w:p w14:paraId="1E00CACC">
                        <w:pPr>
                          <w:pStyle w:val="16"/>
                          <w:spacing w:before="0" w:beforeAutospacing="0" w:after="0" w:afterAutospacing="0"/>
                          <w:ind w:firstLine="174" w:firstLineChars="83"/>
                          <w:rPr>
                            <w:rFonts w:ascii="Times New Roman" w:hAnsi="Times New Roman" w:cs="Times New Roman" w:eastAsiaTheme="minorEastAsia"/>
                            <w:sz w:val="21"/>
                            <w:szCs w:val="21"/>
                          </w:rPr>
                        </w:pPr>
                        <w:r>
                          <w:rPr>
                            <w:rFonts w:ascii="Times New Roman" w:hAnsi="Times New Roman" w:cs="Times New Roman" w:eastAsiaTheme="minorEastAsia"/>
                            <w:kern w:val="24"/>
                            <w:sz w:val="21"/>
                            <w:szCs w:val="21"/>
                          </w:rPr>
                          <w:t>T</w:t>
                        </w:r>
                      </w:p>
                    </w:txbxContent>
                  </v:textbox>
                </v:shape>
                <v:shape id="Text Box 253" o:spid="_x0000_s1026" o:spt="202" type="#_x0000_t202" style="position:absolute;left:6394;top:10672;height:444;width:1871;" filled="f" stroked="f" coordsize="21600,21600" o:gfxdata="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BXFbci5AAAA3AAA&#10;AA8AAAAAAAAAAQAgAAAAIgAAAGRycy9kb3ducmV2LnhtbFBLAQIUABQAAAAIAIdO4kAzLwWeOwAA&#10;ADkAAAAQAAAAAAAAAAEAIAAAAAgBAABkcnMvc2hhcGV4bWwueG1sUEsFBgAAAAAGAAYAWwEAALID&#10;AAAAAA==&#10;">
                  <v:fill on="f" focussize="0,0"/>
                  <v:stroke on="f"/>
                  <v:imagedata o:title=""/>
                  <o:lock v:ext="edit" aspectratio="f"/>
                  <v:textbox style="mso-fit-shape-to-text:t;">
                    <w:txbxContent>
                      <w:p w14:paraId="448E60FA">
                        <w:pPr>
                          <w:pStyle w:val="16"/>
                          <w:spacing w:before="0" w:beforeAutospacing="0" w:after="0" w:afterAutospacing="0" w:line="300" w:lineRule="exact"/>
                          <w:ind w:firstLine="0" w:firstLineChars="0"/>
                          <w:jc w:val="center"/>
                          <w:rPr>
                            <w:rFonts w:hint="eastAsia"/>
                            <w:sz w:val="21"/>
                            <w:szCs w:val="21"/>
                          </w:rPr>
                        </w:pPr>
                        <w:r>
                          <w:rPr>
                            <w:rFonts w:hint="eastAsia" w:ascii="仿宋_GB2312" w:hAnsi="仿宋"/>
                            <w:sz w:val="21"/>
                            <w:szCs w:val="21"/>
                          </w:rPr>
                          <w:t>停牌</w:t>
                        </w:r>
                        <w:r>
                          <w:rPr>
                            <w:rFonts w:ascii="仿宋_GB2312" w:hAnsi="仿宋"/>
                            <w:sz w:val="21"/>
                            <w:szCs w:val="21"/>
                          </w:rPr>
                          <w:t>日</w:t>
                        </w:r>
                      </w:p>
                    </w:txbxContent>
                  </v:textbox>
                </v:shape>
                <v:shape id="Text Box 254" o:spid="_x0000_s1026" o:spt="202" type="#_x0000_t202" style="position:absolute;left:3644;top:10432;height:444;width:1889;" filled="f" stroked="f" coordsize="21600,21600" o:gfxdata="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HqJyFO8AAAA&#10;3AAAAA8AAAAAAAAAAQAgAAAAIgAAAGRycy9kb3ducmV2LnhtbFBLAQIUABQAAAAIAIdO4kAzLwWe&#10;OwAAADkAAAAQAAAAAAAAAAEAIAAAAAsBAABkcnMvc2hhcGV4bWwueG1sUEsFBgAAAAAGAAYAWwEA&#10;ALUDAAAAAA==&#10;">
                  <v:fill on="f" focussize="0,0"/>
                  <v:stroke on="f"/>
                  <v:imagedata o:title=""/>
                  <o:lock v:ext="edit" aspectratio="f"/>
                  <v:textbox style="mso-fit-shape-to-text:t;">
                    <w:txbxContent>
                      <w:p w14:paraId="04D6F67E">
                        <w:pPr>
                          <w:pStyle w:val="16"/>
                          <w:spacing w:before="0" w:beforeAutospacing="0" w:after="0" w:afterAutospacing="0" w:line="300" w:lineRule="exact"/>
                          <w:ind w:firstLine="0" w:firstLineChars="0"/>
                          <w:jc w:val="center"/>
                          <w:rPr>
                            <w:rFonts w:hint="eastAsia"/>
                            <w:sz w:val="21"/>
                            <w:szCs w:val="21"/>
                          </w:rPr>
                        </w:pPr>
                        <w:r>
                          <w:rPr>
                            <w:rFonts w:hint="eastAsia" w:cs="Times New Roman"/>
                            <w:kern w:val="24"/>
                            <w:sz w:val="21"/>
                            <w:szCs w:val="21"/>
                          </w:rPr>
                          <w:t>提交停牌公告</w:t>
                        </w:r>
                      </w:p>
                    </w:txbxContent>
                  </v:textbox>
                </v:shape>
              </v:group>
            </w:pict>
          </mc:Fallback>
        </mc:AlternateContent>
      </w:r>
      <w:bookmarkEnd w:id="28"/>
      <w:bookmarkEnd w:id="29"/>
      <w:bookmarkEnd w:id="30"/>
      <w:bookmarkEnd w:id="31"/>
    </w:p>
    <w:p w14:paraId="5A4E2223">
      <w:pPr>
        <w:spacing w:line="400" w:lineRule="exact"/>
        <w:ind w:firstLine="560"/>
        <w:rPr>
          <w:rFonts w:ascii="Times New Roman" w:hAnsi="Times New Roman"/>
          <w:sz w:val="28"/>
          <w:szCs w:val="28"/>
        </w:rPr>
      </w:pPr>
    </w:p>
    <w:p w14:paraId="028080CB">
      <w:pPr>
        <w:spacing w:line="400" w:lineRule="exact"/>
        <w:ind w:firstLine="560"/>
        <w:rPr>
          <w:rFonts w:ascii="Times New Roman" w:hAnsi="Times New Roman"/>
          <w:sz w:val="28"/>
          <w:szCs w:val="28"/>
        </w:rPr>
      </w:pPr>
    </w:p>
    <w:p w14:paraId="16D9AAB0">
      <w:pPr>
        <w:spacing w:line="400" w:lineRule="exact"/>
        <w:ind w:firstLine="560"/>
        <w:rPr>
          <w:rFonts w:ascii="Times New Roman" w:hAnsi="Times New Roman"/>
          <w:sz w:val="28"/>
          <w:szCs w:val="28"/>
        </w:rPr>
      </w:pPr>
    </w:p>
    <w:p w14:paraId="3775EB98">
      <w:pPr>
        <w:widowControl/>
        <w:snapToGrid w:val="0"/>
        <w:spacing w:line="300" w:lineRule="exact"/>
        <w:ind w:firstLine="422"/>
        <w:jc w:val="center"/>
        <w:rPr>
          <w:rFonts w:ascii="Times New Roman" w:hAnsi="Times New Roman" w:eastAsiaTheme="minorEastAsia"/>
          <w:b/>
          <w:bCs/>
          <w:sz w:val="21"/>
          <w:szCs w:val="21"/>
        </w:rPr>
      </w:pPr>
      <w:r>
        <w:rPr>
          <w:rFonts w:ascii="Times New Roman" w:hAnsi="Times New Roman" w:eastAsiaTheme="minorEastAsia"/>
          <w:b/>
          <w:bCs/>
          <w:sz w:val="21"/>
          <w:szCs w:val="21"/>
        </w:rPr>
        <w:t>图2-3-1 公募REITs临时/连续停复牌业务办理时间</w:t>
      </w:r>
    </w:p>
    <w:p w14:paraId="41DC05E7">
      <w:pPr>
        <w:ind w:firstLine="600"/>
        <w:rPr>
          <w:rFonts w:ascii="Times New Roman" w:hAnsi="Times New Roman"/>
        </w:rPr>
      </w:pPr>
      <w:r>
        <w:rPr>
          <w:rFonts w:ascii="Times New Roman"/>
          <w:kern w:val="0"/>
        </w:rPr>
        <w:t>基金管理人需至少在停牌（复牌）日前</w:t>
      </w:r>
      <w:r>
        <w:rPr>
          <w:rFonts w:ascii="Times New Roman" w:hAnsi="Times New Roman"/>
          <w:kern w:val="0"/>
        </w:rPr>
        <w:t>1</w:t>
      </w:r>
      <w:r>
        <w:rPr>
          <w:rFonts w:ascii="Times New Roman"/>
          <w:kern w:val="0"/>
        </w:rPr>
        <w:t>个交易日提交停复牌公告（格式参考附件</w:t>
      </w:r>
      <w:r>
        <w:rPr>
          <w:rFonts w:hint="eastAsia" w:ascii="Times New Roman" w:hAnsi="Times New Roman"/>
          <w:kern w:val="0"/>
        </w:rPr>
        <w:t>3</w:t>
      </w:r>
      <w:r>
        <w:rPr>
          <w:rFonts w:ascii="Times New Roman"/>
          <w:kern w:val="0"/>
        </w:rPr>
        <w:t>）</w:t>
      </w:r>
      <w:r>
        <w:rPr>
          <w:rFonts w:ascii="Times New Roman" w:hAnsi="Times New Roman"/>
        </w:rPr>
        <w:t>。</w:t>
      </w:r>
    </w:p>
    <w:p w14:paraId="30DB4709">
      <w:pPr>
        <w:ind w:firstLine="602"/>
        <w:rPr>
          <w:rFonts w:ascii="Times New Roman" w:hAnsi="Times New Roman"/>
          <w:b/>
        </w:rPr>
      </w:pPr>
      <w:r>
        <w:rPr>
          <w:rFonts w:ascii="Times New Roman" w:hAnsi="Times New Roman"/>
          <w:b/>
        </w:rPr>
        <w:t>3.</w:t>
      </w:r>
      <w:r>
        <w:rPr>
          <w:rFonts w:ascii="Times New Roman"/>
          <w:b/>
        </w:rPr>
        <w:t>具体操作</w:t>
      </w:r>
    </w:p>
    <w:p w14:paraId="6740EF1F">
      <w:pPr>
        <w:ind w:firstLine="600"/>
        <w:rPr>
          <w:rFonts w:ascii="Times New Roman" w:hAnsi="Times New Roman"/>
        </w:rPr>
      </w:pPr>
      <w:r>
        <w:rPr>
          <w:rFonts w:ascii="Times New Roman" w:hAnsi="Times New Roman"/>
        </w:rPr>
        <w:t>基金管理人通过业务管理系统平台的“REITs-常规停复牌-新建业务申请”进入</w:t>
      </w:r>
      <w:r>
        <w:rPr>
          <w:rFonts w:ascii="Times New Roman"/>
          <w:kern w:val="0"/>
        </w:rPr>
        <w:t>停复牌</w:t>
      </w:r>
      <w:r>
        <w:rPr>
          <w:rFonts w:ascii="Times New Roman" w:hAnsi="Times New Roman"/>
        </w:rPr>
        <w:t>申请表（见图2-</w:t>
      </w:r>
      <w:r>
        <w:rPr>
          <w:rFonts w:hint="eastAsia" w:ascii="Times New Roman" w:hAnsi="Times New Roman"/>
        </w:rPr>
        <w:t>3</w:t>
      </w:r>
      <w:r>
        <w:rPr>
          <w:rFonts w:ascii="Times New Roman" w:hAnsi="Times New Roman"/>
        </w:rPr>
        <w:t>-2），填写证券代码、停牌原因、停牌起始日、停牌终止日、停牌类型等要素信息，并上传停牌公告等材料，上传材料均以PDF格式的电子文件提交。同时，基金管理人需要及时联系</w:t>
      </w:r>
      <w:r>
        <w:rPr>
          <w:rFonts w:ascii="Times New Roman"/>
        </w:rPr>
        <w:t>本所债券业务</w:t>
      </w:r>
      <w:r>
        <w:rPr>
          <w:rFonts w:hint="eastAsia" w:ascii="Times New Roman" w:hAnsi="Times New Roman"/>
        </w:rPr>
        <w:t>中心专管员</w:t>
      </w:r>
      <w:r>
        <w:rPr>
          <w:rFonts w:ascii="Times New Roman" w:hAnsi="Times New Roman"/>
        </w:rPr>
        <w:t>，确保流程按时完结。</w:t>
      </w:r>
    </w:p>
    <w:p w14:paraId="412263B6">
      <w:pPr>
        <w:ind w:firstLine="600"/>
        <w:rPr>
          <w:rFonts w:ascii="Times New Roman" w:hAnsi="Times New Roman"/>
        </w:rPr>
      </w:pPr>
      <w:r>
        <w:rPr>
          <w:rFonts w:ascii="Times New Roman" w:hAnsi="Times New Roman"/>
        </w:rPr>
        <w:t>连续停牌时，若无需复牌或复牌日不确定的，停牌终止日可不填；临时停牌时，停牌起始日、停牌终止日为同一天。</w:t>
      </w:r>
    </w:p>
    <w:p w14:paraId="5F5802B9">
      <w:pPr>
        <w:spacing w:line="240" w:lineRule="auto"/>
        <w:ind w:firstLine="0" w:firstLineChars="0"/>
        <w:jc w:val="center"/>
        <w:rPr>
          <w:rFonts w:ascii="Times New Roman" w:hAnsi="Times New Roman"/>
          <w:sz w:val="28"/>
          <w:szCs w:val="28"/>
        </w:rPr>
      </w:pPr>
      <w:r>
        <w:rPr>
          <w:rFonts w:ascii="Times New Roman" w:hAnsi="Times New Roman"/>
          <w:sz w:val="28"/>
          <w:szCs w:val="28"/>
        </w:rPr>
        <w:drawing>
          <wp:inline distT="0" distB="0" distL="0" distR="0">
            <wp:extent cx="5243830" cy="4040505"/>
            <wp:effectExtent l="0" t="0" r="0" b="0"/>
            <wp:docPr id="255"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5" name="图片 7"/>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a:xfrm>
                      <a:off x="0" y="0"/>
                      <a:ext cx="5244066" cy="4040372"/>
                    </a:xfrm>
                    <a:prstGeom prst="rect">
                      <a:avLst/>
                    </a:prstGeom>
                    <a:noFill/>
                    <a:ln w="9525">
                      <a:noFill/>
                      <a:miter lim="800000"/>
                      <a:headEnd/>
                      <a:tailEnd/>
                    </a:ln>
                  </pic:spPr>
                </pic:pic>
              </a:graphicData>
            </a:graphic>
          </wp:inline>
        </w:drawing>
      </w:r>
    </w:p>
    <w:p w14:paraId="4E6D6998">
      <w:pPr>
        <w:widowControl/>
        <w:snapToGrid w:val="0"/>
        <w:spacing w:line="300" w:lineRule="exact"/>
        <w:ind w:firstLine="422"/>
        <w:jc w:val="center"/>
        <w:rPr>
          <w:rFonts w:ascii="Times New Roman" w:hAnsi="Times New Roman" w:eastAsiaTheme="minorEastAsia"/>
          <w:b/>
          <w:bCs/>
          <w:sz w:val="21"/>
          <w:szCs w:val="21"/>
        </w:rPr>
      </w:pPr>
      <w:r>
        <w:rPr>
          <w:rFonts w:ascii="Times New Roman" w:hAnsi="Times New Roman" w:eastAsiaTheme="minorEastAsia"/>
          <w:b/>
          <w:bCs/>
          <w:sz w:val="21"/>
          <w:szCs w:val="21"/>
        </w:rPr>
        <w:t>图2-3-2 公募REITs常规停复牌业务新建申请页面</w:t>
      </w:r>
      <w:bookmarkStart w:id="32" w:name="_Toc72514097"/>
    </w:p>
    <w:p w14:paraId="5678C5C2">
      <w:pPr>
        <w:pStyle w:val="4"/>
        <w:ind w:firstLine="602"/>
        <w:rPr>
          <w:rFonts w:ascii="Times New Roman" w:hAnsi="Times New Roman"/>
        </w:rPr>
      </w:pPr>
      <w:r>
        <w:rPr>
          <w:rFonts w:ascii="Times New Roman"/>
        </w:rPr>
        <w:t>（二）复牌</w:t>
      </w:r>
      <w:bookmarkEnd w:id="32"/>
    </w:p>
    <w:p w14:paraId="72477FA3">
      <w:pPr>
        <w:ind w:firstLine="602"/>
        <w:rPr>
          <w:rFonts w:ascii="Times New Roman" w:hAnsi="Times New Roman"/>
          <w:b/>
          <w:szCs w:val="30"/>
        </w:rPr>
      </w:pPr>
      <w:r>
        <w:rPr>
          <w:rFonts w:ascii="Times New Roman" w:hAnsi="Times New Roman"/>
          <w:b/>
          <w:szCs w:val="30"/>
        </w:rPr>
        <w:t>1.适用情形</w:t>
      </w:r>
    </w:p>
    <w:p w14:paraId="3BF87A17">
      <w:pPr>
        <w:ind w:firstLine="600"/>
        <w:rPr>
          <w:rFonts w:ascii="Times New Roman" w:hAnsi="Times New Roman"/>
          <w:szCs w:val="30"/>
        </w:rPr>
      </w:pPr>
      <w:r>
        <w:rPr>
          <w:rFonts w:ascii="Times New Roman" w:hAnsi="Times New Roman"/>
          <w:szCs w:val="30"/>
        </w:rPr>
        <w:t>复牌是指连续停牌后基金管理人申请的复牌操作。通常情况下连续停牌后才有复牌操作，临时停牌和紧急停牌流程不需要复牌操作。</w:t>
      </w:r>
    </w:p>
    <w:p w14:paraId="46709128">
      <w:pPr>
        <w:ind w:firstLine="560"/>
        <w:rPr>
          <w:rFonts w:ascii="Times New Roman" w:hAnsi="Times New Roman"/>
          <w:b/>
          <w:szCs w:val="30"/>
        </w:rPr>
      </w:pPr>
      <w:r>
        <w:rPr>
          <w:rFonts w:ascii="Times New Roman" w:hAnsi="Times New Roman"/>
          <w:color w:val="000000"/>
          <w:kern w:val="0"/>
          <w:sz w:val="28"/>
          <w:szCs w:val="28"/>
        </w:rPr>
        <mc:AlternateContent>
          <mc:Choice Requires="wpg">
            <w:drawing>
              <wp:anchor distT="0" distB="0" distL="114300" distR="114300" simplePos="0" relativeHeight="251661312" behindDoc="0" locked="0" layoutInCell="1" allowOverlap="1">
                <wp:simplePos x="0" y="0"/>
                <wp:positionH relativeFrom="column">
                  <wp:posOffset>654050</wp:posOffset>
                </wp:positionH>
                <wp:positionV relativeFrom="paragraph">
                  <wp:posOffset>344170</wp:posOffset>
                </wp:positionV>
                <wp:extent cx="4319905" cy="877570"/>
                <wp:effectExtent l="0" t="0" r="4445" b="0"/>
                <wp:wrapNone/>
                <wp:docPr id="226" name="Group 264"/>
                <wp:cNvGraphicFramePr/>
                <a:graphic xmlns:a="http://schemas.openxmlformats.org/drawingml/2006/main">
                  <a:graphicData uri="http://schemas.microsoft.com/office/word/2010/wordprocessingGroup">
                    <wpg:wgp>
                      <wpg:cNvGrpSpPr/>
                      <wpg:grpSpPr>
                        <a:xfrm>
                          <a:off x="0" y="0"/>
                          <a:ext cx="4319905" cy="877570"/>
                          <a:chOff x="2675" y="10432"/>
                          <a:chExt cx="6803" cy="1382"/>
                        </a:xfrm>
                        <a:effectLst/>
                      </wpg:grpSpPr>
                      <wps:wsp>
                        <wps:cNvPr id="227" name="AutoShape 265"/>
                        <wps:cNvCnPr>
                          <a:cxnSpLocks noChangeShapeType="1"/>
                        </wps:cNvCnPr>
                        <wps:spPr bwMode="auto">
                          <a:xfrm>
                            <a:off x="2675" y="11367"/>
                            <a:ext cx="6803" cy="0"/>
                          </a:xfrm>
                          <a:prstGeom prst="straightConnector1">
                            <a:avLst/>
                          </a:prstGeom>
                          <a:noFill/>
                          <a:ln w="19050">
                            <a:solidFill>
                              <a:srgbClr val="000000"/>
                            </a:solidFill>
                            <a:miter lim="800000"/>
                            <a:tailEnd type="triangle" w="med" len="med"/>
                          </a:ln>
                          <a:effectLst/>
                        </wps:spPr>
                        <wps:bodyPr/>
                      </wps:wsp>
                      <wps:wsp>
                        <wps:cNvPr id="228" name="Line 266"/>
                        <wps:cNvCnPr>
                          <a:cxnSpLocks noChangeShapeType="1"/>
                        </wps:cNvCnPr>
                        <wps:spPr bwMode="auto">
                          <a:xfrm>
                            <a:off x="4525" y="11188"/>
                            <a:ext cx="0" cy="170"/>
                          </a:xfrm>
                          <a:prstGeom prst="line">
                            <a:avLst/>
                          </a:prstGeom>
                          <a:noFill/>
                          <a:ln w="19050">
                            <a:solidFill>
                              <a:srgbClr val="000000"/>
                            </a:solidFill>
                            <a:miter lim="800000"/>
                          </a:ln>
                          <a:effectLst/>
                        </wps:spPr>
                        <wps:bodyPr/>
                      </wps:wsp>
                      <wps:wsp>
                        <wps:cNvPr id="229" name="Line 267"/>
                        <wps:cNvCnPr>
                          <a:cxnSpLocks noChangeShapeType="1"/>
                        </wps:cNvCnPr>
                        <wps:spPr bwMode="auto">
                          <a:xfrm>
                            <a:off x="7364" y="11200"/>
                            <a:ext cx="0" cy="170"/>
                          </a:xfrm>
                          <a:prstGeom prst="line">
                            <a:avLst/>
                          </a:prstGeom>
                          <a:noFill/>
                          <a:ln w="19050">
                            <a:solidFill>
                              <a:srgbClr val="000000"/>
                            </a:solidFill>
                            <a:miter lim="800000"/>
                          </a:ln>
                          <a:effectLst/>
                        </wps:spPr>
                        <wps:bodyPr/>
                      </wps:wsp>
                      <wps:wsp>
                        <wps:cNvPr id="230" name="Text Box 268"/>
                        <wps:cNvSpPr txBox="1">
                          <a:spLocks noChangeArrowheads="1"/>
                        </wps:cNvSpPr>
                        <wps:spPr bwMode="auto">
                          <a:xfrm>
                            <a:off x="3644" y="11370"/>
                            <a:ext cx="1740" cy="444"/>
                          </a:xfrm>
                          <a:prstGeom prst="rect">
                            <a:avLst/>
                          </a:prstGeom>
                          <a:noFill/>
                          <a:ln>
                            <a:noFill/>
                          </a:ln>
                          <a:effectLst/>
                        </wps:spPr>
                        <wps:txbx>
                          <w:txbxContent>
                            <w:p w14:paraId="310CC4AC">
                              <w:pPr>
                                <w:pStyle w:val="16"/>
                                <w:spacing w:before="0" w:beforeAutospacing="0" w:after="0" w:afterAutospacing="0" w:line="300" w:lineRule="exact"/>
                                <w:ind w:firstLine="0" w:firstLineChars="0"/>
                                <w:jc w:val="center"/>
                                <w:rPr>
                                  <w:rFonts w:ascii="Times New Roman" w:hAnsi="Times New Roman" w:cs="Times New Roman" w:eastAsiaTheme="minorEastAsia"/>
                                  <w:sz w:val="21"/>
                                  <w:szCs w:val="21"/>
                                </w:rPr>
                              </w:pPr>
                              <w:r>
                                <w:rPr>
                                  <w:rFonts w:ascii="Times New Roman" w:hAnsi="Times New Roman" w:cs="Times New Roman" w:eastAsiaTheme="minorEastAsia"/>
                                  <w:kern w:val="24"/>
                                  <w:sz w:val="21"/>
                                  <w:szCs w:val="21"/>
                                </w:rPr>
                                <w:t>T-1 15:30点前</w:t>
                              </w:r>
                            </w:p>
                          </w:txbxContent>
                        </wps:txbx>
                        <wps:bodyPr rot="0" vert="horz" wrap="square" lIns="91440" tIns="45720" rIns="91440" bIns="45720" anchor="t" anchorCtr="0" upright="1">
                          <a:spAutoFit/>
                        </wps:bodyPr>
                      </wps:wsp>
                      <wps:wsp>
                        <wps:cNvPr id="231" name="Text Box 269"/>
                        <wps:cNvSpPr txBox="1">
                          <a:spLocks noChangeArrowheads="1"/>
                        </wps:cNvSpPr>
                        <wps:spPr bwMode="auto">
                          <a:xfrm>
                            <a:off x="6937" y="11357"/>
                            <a:ext cx="853" cy="444"/>
                          </a:xfrm>
                          <a:prstGeom prst="rect">
                            <a:avLst/>
                          </a:prstGeom>
                          <a:noFill/>
                          <a:ln>
                            <a:noFill/>
                          </a:ln>
                          <a:effectLst/>
                        </wps:spPr>
                        <wps:txbx>
                          <w:txbxContent>
                            <w:p w14:paraId="5D8D3D7D">
                              <w:pPr>
                                <w:pStyle w:val="16"/>
                                <w:spacing w:before="0" w:beforeAutospacing="0" w:after="0" w:afterAutospacing="0" w:line="300" w:lineRule="exact"/>
                                <w:ind w:firstLine="174" w:firstLineChars="83"/>
                                <w:rPr>
                                  <w:rFonts w:ascii="Times New Roman" w:hAnsi="Times New Roman" w:cs="Times New Roman"/>
                                  <w:sz w:val="21"/>
                                  <w:szCs w:val="21"/>
                                </w:rPr>
                              </w:pPr>
                              <w:r>
                                <w:rPr>
                                  <w:rFonts w:ascii="Times New Roman" w:hAnsi="Times New Roman" w:cs="Times New Roman"/>
                                  <w:kern w:val="24"/>
                                  <w:sz w:val="21"/>
                                  <w:szCs w:val="21"/>
                                </w:rPr>
                                <w:t>T</w:t>
                              </w:r>
                            </w:p>
                          </w:txbxContent>
                        </wps:txbx>
                        <wps:bodyPr rot="0" vert="horz" wrap="square" lIns="91440" tIns="45720" rIns="91440" bIns="45720" anchor="t" anchorCtr="0" upright="1">
                          <a:spAutoFit/>
                        </wps:bodyPr>
                      </wps:wsp>
                      <wps:wsp>
                        <wps:cNvPr id="232" name="Text Box 270"/>
                        <wps:cNvSpPr txBox="1">
                          <a:spLocks noChangeArrowheads="1"/>
                        </wps:cNvSpPr>
                        <wps:spPr bwMode="auto">
                          <a:xfrm>
                            <a:off x="6394" y="10672"/>
                            <a:ext cx="1871" cy="444"/>
                          </a:xfrm>
                          <a:prstGeom prst="rect">
                            <a:avLst/>
                          </a:prstGeom>
                          <a:noFill/>
                          <a:ln>
                            <a:noFill/>
                          </a:ln>
                          <a:effectLst/>
                        </wps:spPr>
                        <wps:txbx>
                          <w:txbxContent>
                            <w:p w14:paraId="6652E41D">
                              <w:pPr>
                                <w:pStyle w:val="16"/>
                                <w:spacing w:before="0" w:beforeAutospacing="0" w:after="0" w:afterAutospacing="0" w:line="300" w:lineRule="exact"/>
                                <w:ind w:firstLine="420"/>
                                <w:rPr>
                                  <w:rFonts w:hint="eastAsia"/>
                                  <w:sz w:val="21"/>
                                  <w:szCs w:val="21"/>
                                </w:rPr>
                              </w:pPr>
                              <w:r>
                                <w:rPr>
                                  <w:rFonts w:hint="eastAsia" w:ascii="仿宋_GB2312" w:hAnsi="仿宋"/>
                                  <w:sz w:val="21"/>
                                  <w:szCs w:val="21"/>
                                </w:rPr>
                                <w:t>复牌</w:t>
                              </w:r>
                              <w:r>
                                <w:rPr>
                                  <w:rFonts w:ascii="仿宋_GB2312" w:hAnsi="仿宋"/>
                                  <w:sz w:val="21"/>
                                  <w:szCs w:val="21"/>
                                </w:rPr>
                                <w:t>日</w:t>
                              </w:r>
                            </w:p>
                          </w:txbxContent>
                        </wps:txbx>
                        <wps:bodyPr rot="0" vert="horz" wrap="square" lIns="91440" tIns="45720" rIns="91440" bIns="45720" anchor="t" anchorCtr="0" upright="1">
                          <a:spAutoFit/>
                        </wps:bodyPr>
                      </wps:wsp>
                      <wps:wsp>
                        <wps:cNvPr id="233" name="Text Box 271"/>
                        <wps:cNvSpPr txBox="1">
                          <a:spLocks noChangeArrowheads="1"/>
                        </wps:cNvSpPr>
                        <wps:spPr bwMode="auto">
                          <a:xfrm>
                            <a:off x="3644" y="10432"/>
                            <a:ext cx="1889" cy="444"/>
                          </a:xfrm>
                          <a:prstGeom prst="rect">
                            <a:avLst/>
                          </a:prstGeom>
                          <a:noFill/>
                          <a:ln>
                            <a:noFill/>
                          </a:ln>
                          <a:effectLst/>
                        </wps:spPr>
                        <wps:txbx>
                          <w:txbxContent>
                            <w:p w14:paraId="25AAA5F8">
                              <w:pPr>
                                <w:pStyle w:val="16"/>
                                <w:spacing w:before="0" w:beforeAutospacing="0" w:after="0" w:afterAutospacing="0" w:line="300" w:lineRule="exact"/>
                                <w:ind w:firstLine="0" w:firstLineChars="0"/>
                                <w:rPr>
                                  <w:rFonts w:hint="eastAsia"/>
                                  <w:sz w:val="21"/>
                                  <w:szCs w:val="21"/>
                                </w:rPr>
                              </w:pPr>
                              <w:r>
                                <w:rPr>
                                  <w:rFonts w:hint="eastAsia" w:cs="Times New Roman"/>
                                  <w:kern w:val="24"/>
                                  <w:sz w:val="21"/>
                                  <w:szCs w:val="21"/>
                                </w:rPr>
                                <w:t>提交复牌公告</w:t>
                              </w:r>
                            </w:p>
                          </w:txbxContent>
                        </wps:txbx>
                        <wps:bodyPr rot="0" vert="horz" wrap="square" lIns="91440" tIns="45720" rIns="91440" bIns="45720" anchor="t" anchorCtr="0" upright="1">
                          <a:spAutoFit/>
                        </wps:bodyPr>
                      </wps:wsp>
                    </wpg:wgp>
                  </a:graphicData>
                </a:graphic>
              </wp:anchor>
            </w:drawing>
          </mc:Choice>
          <mc:Fallback>
            <w:pict>
              <v:group id="Group 264" o:spid="_x0000_s1026" o:spt="203" style="position:absolute;left:0pt;margin-left:51.5pt;margin-top:27.1pt;height:69.1pt;width:340.15pt;z-index:251661312;mso-width-relative:page;mso-height-relative:page;" coordorigin="2675,10432" coordsize="6803,1382" o:gfxdata="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">
                <o:lock v:ext="edit" aspectratio="f"/>
                <v:shape id="AutoShape 265" o:spid="_x0000_s1026" o:spt="32" type="#_x0000_t32" style="position:absolute;left:2675;top:11367;height:0;width:6803;" filled="f" stroked="t" coordsize="21600,21600" o:gfxdata="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ALNNjO/&#10;AAAA3AAAAA8AAAAAAAAAAQAgAAAAIgAAAGRycy9kb3ducmV2LnhtbFBLAQIUABQAAAAIAIdO4kAz&#10;LwWeOwAAADkAAAAQAAAAAAAAAAEAIAAAAA4BAABkcnMvc2hhcGV4bWwueG1sUEsFBgAAAAAGAAYA&#10;WwEAALgDAAAAAA==&#10;">
                  <v:fill on="f" focussize="0,0"/>
                  <v:stroke weight="1.5pt" color="#000000" miterlimit="8" joinstyle="miter" endarrow="block"/>
                  <v:imagedata o:title=""/>
                  <o:lock v:ext="edit" aspectratio="f"/>
                </v:shape>
                <v:line id="Line 266" o:spid="_x0000_s1026" o:spt="20" style="position:absolute;left:4525;top:11188;height:170;width:0;" filled="f" stroked="t" coordsize="21600,21600" o:gfxdata="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Bv8+2G8AAAA&#10;3AAAAA8AAAAAAAAAAQAgAAAAIgAAAGRycy9kb3ducmV2LnhtbFBLAQIUABQAAAAIAIdO4kAzLwWe&#10;OwAAADkAAAAQAAAAAAAAAAEAIAAAAAsBAABkcnMvc2hhcGV4bWwueG1sUEsFBgAAAAAGAAYAWwEA&#10;ALUDAAAAAA==&#10;">
                  <v:fill on="f" focussize="0,0"/>
                  <v:stroke weight="1.5pt" color="#000000" miterlimit="8" joinstyle="miter"/>
                  <v:imagedata o:title=""/>
                  <o:lock v:ext="edit" aspectratio="f"/>
                </v:line>
                <v:line id="Line 267" o:spid="_x0000_s1026" o:spt="20" style="position:absolute;left:7364;top:11200;height:170;width:0;" filled="f" stroked="t" coordsize="21600,21600" o:gfxdata="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HSwXvq/&#10;AAAA3AAAAA8AAAAAAAAAAQAgAAAAIgAAAGRycy9kb3ducmV2LnhtbFBLAQIUABQAAAAIAIdO4kAz&#10;LwWeOwAAADkAAAAQAAAAAAAAAAEAIAAAAA4BAABkcnMvc2hhcGV4bWwueG1sUEsFBgAAAAAGAAYA&#10;WwEAALgDAAAAAA==&#10;">
                  <v:fill on="f" focussize="0,0"/>
                  <v:stroke weight="1.5pt" color="#000000" miterlimit="8" joinstyle="miter"/>
                  <v:imagedata o:title=""/>
                  <o:lock v:ext="edit" aspectratio="f"/>
                </v:line>
                <v:shape id="Text Box 268" o:spid="_x0000_s1026" o:spt="202" type="#_x0000_t202" style="position:absolute;left:3644;top:11370;height:444;width:1740;" filled="f" stroked="f" coordsize="21600,21600" o:gfxdata="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E3DHrW5AAAA3AAA&#10;AA8AAAAAAAAAAQAgAAAAIgAAAGRycy9kb3ducmV2LnhtbFBLAQIUABQAAAAIAIdO4kAzLwWeOwAA&#10;ADkAAAAQAAAAAAAAAAEAIAAAAAgBAABkcnMvc2hhcGV4bWwueG1sUEsFBgAAAAAGAAYAWwEAALID&#10;AAAAAA==&#10;">
                  <v:fill on="f" focussize="0,0"/>
                  <v:stroke on="f"/>
                  <v:imagedata o:title=""/>
                  <o:lock v:ext="edit" aspectratio="f"/>
                  <v:textbox style="mso-fit-shape-to-text:t;">
                    <w:txbxContent>
                      <w:p w14:paraId="310CC4AC">
                        <w:pPr>
                          <w:pStyle w:val="16"/>
                          <w:spacing w:before="0" w:beforeAutospacing="0" w:after="0" w:afterAutospacing="0" w:line="300" w:lineRule="exact"/>
                          <w:ind w:firstLine="0" w:firstLineChars="0"/>
                          <w:jc w:val="center"/>
                          <w:rPr>
                            <w:rFonts w:ascii="Times New Roman" w:hAnsi="Times New Roman" w:cs="Times New Roman" w:eastAsiaTheme="minorEastAsia"/>
                            <w:sz w:val="21"/>
                            <w:szCs w:val="21"/>
                          </w:rPr>
                        </w:pPr>
                        <w:r>
                          <w:rPr>
                            <w:rFonts w:ascii="Times New Roman" w:hAnsi="Times New Roman" w:cs="Times New Roman" w:eastAsiaTheme="minorEastAsia"/>
                            <w:kern w:val="24"/>
                            <w:sz w:val="21"/>
                            <w:szCs w:val="21"/>
                          </w:rPr>
                          <w:t>T-1 15:30点前</w:t>
                        </w:r>
                      </w:p>
                    </w:txbxContent>
                  </v:textbox>
                </v:shape>
                <v:shape id="Text Box 269" o:spid="_x0000_s1026" o:spt="202" type="#_x0000_t202" style="position:absolute;left:6937;top:11357;height:444;width:853;" filled="f" stroked="f" coordsize="21600,21600" o:gfxdata="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CKPuy68AAAA&#10;3AAAAA8AAAAAAAAAAQAgAAAAIgAAAGRycy9kb3ducmV2LnhtbFBLAQIUABQAAAAIAIdO4kAzLwWe&#10;OwAAADkAAAAQAAAAAAAAAAEAIAAAAAsBAABkcnMvc2hhcGV4bWwueG1sUEsFBgAAAAAGAAYAWwEA&#10;ALUDAAAAAA==&#10;">
                  <v:fill on="f" focussize="0,0"/>
                  <v:stroke on="f"/>
                  <v:imagedata o:title=""/>
                  <o:lock v:ext="edit" aspectratio="f"/>
                  <v:textbox style="mso-fit-shape-to-text:t;">
                    <w:txbxContent>
                      <w:p w14:paraId="5D8D3D7D">
                        <w:pPr>
                          <w:pStyle w:val="16"/>
                          <w:spacing w:before="0" w:beforeAutospacing="0" w:after="0" w:afterAutospacing="0" w:line="300" w:lineRule="exact"/>
                          <w:ind w:firstLine="174" w:firstLineChars="83"/>
                          <w:rPr>
                            <w:rFonts w:ascii="Times New Roman" w:hAnsi="Times New Roman" w:cs="Times New Roman"/>
                            <w:sz w:val="21"/>
                            <w:szCs w:val="21"/>
                          </w:rPr>
                        </w:pPr>
                        <w:r>
                          <w:rPr>
                            <w:rFonts w:ascii="Times New Roman" w:hAnsi="Times New Roman" w:cs="Times New Roman"/>
                            <w:kern w:val="24"/>
                            <w:sz w:val="21"/>
                            <w:szCs w:val="21"/>
                          </w:rPr>
                          <w:t>T</w:t>
                        </w:r>
                      </w:p>
                    </w:txbxContent>
                  </v:textbox>
                </v:shape>
                <v:shape id="Text Box 270" o:spid="_x0000_s1026" o:spt="202" type="#_x0000_t202" style="position:absolute;left:6394;top:10672;height:444;width:1871;" filled="f" stroked="f" coordsize="21600,21600" o:gfxdata="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NJdJVm8AAAA&#10;3AAAAA8AAAAAAAAAAQAgAAAAIgAAAGRycy9kb3ducmV2LnhtbFBLAQIUABQAAAAIAIdO4kAzLwWe&#10;OwAAADkAAAAQAAAAAAAAAAEAIAAAAAsBAABkcnMvc2hhcGV4bWwueG1sUEsFBgAAAAAGAAYAWwEA&#10;ALUDAAAAAA==&#10;">
                  <v:fill on="f" focussize="0,0"/>
                  <v:stroke on="f"/>
                  <v:imagedata o:title=""/>
                  <o:lock v:ext="edit" aspectratio="f"/>
                  <v:textbox style="mso-fit-shape-to-text:t;">
                    <w:txbxContent>
                      <w:p w14:paraId="6652E41D">
                        <w:pPr>
                          <w:pStyle w:val="16"/>
                          <w:spacing w:before="0" w:beforeAutospacing="0" w:after="0" w:afterAutospacing="0" w:line="300" w:lineRule="exact"/>
                          <w:ind w:firstLine="420"/>
                          <w:rPr>
                            <w:rFonts w:hint="eastAsia"/>
                            <w:sz w:val="21"/>
                            <w:szCs w:val="21"/>
                          </w:rPr>
                        </w:pPr>
                        <w:r>
                          <w:rPr>
                            <w:rFonts w:hint="eastAsia" w:ascii="仿宋_GB2312" w:hAnsi="仿宋"/>
                            <w:sz w:val="21"/>
                            <w:szCs w:val="21"/>
                          </w:rPr>
                          <w:t>复牌</w:t>
                        </w:r>
                        <w:r>
                          <w:rPr>
                            <w:rFonts w:ascii="仿宋_GB2312" w:hAnsi="仿宋"/>
                            <w:sz w:val="21"/>
                            <w:szCs w:val="21"/>
                          </w:rPr>
                          <w:t>日</w:t>
                        </w:r>
                      </w:p>
                    </w:txbxContent>
                  </v:textbox>
                </v:shape>
                <v:shape id="Text Box 271" o:spid="_x0000_s1026" o:spt="202" type="#_x0000_t202" style="position:absolute;left:3644;top:10432;height:444;width:1889;" filled="f" stroked="f" coordsize="21600,21600" o:gfxdata="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L0RgMK8AAAA&#10;3AAAAA8AAAAAAAAAAQAgAAAAIgAAAGRycy9kb3ducmV2LnhtbFBLAQIUABQAAAAIAIdO4kAzLwWe&#10;OwAAADkAAAAQAAAAAAAAAAEAIAAAAAsBAABkcnMvc2hhcGV4bWwueG1sUEsFBgAAAAAGAAYAWwEA&#10;ALUDAAAAAA==&#10;">
                  <v:fill on="f" focussize="0,0"/>
                  <v:stroke on="f"/>
                  <v:imagedata o:title=""/>
                  <o:lock v:ext="edit" aspectratio="f"/>
                  <v:textbox style="mso-fit-shape-to-text:t;">
                    <w:txbxContent>
                      <w:p w14:paraId="25AAA5F8">
                        <w:pPr>
                          <w:pStyle w:val="16"/>
                          <w:spacing w:before="0" w:beforeAutospacing="0" w:after="0" w:afterAutospacing="0" w:line="300" w:lineRule="exact"/>
                          <w:ind w:firstLine="0" w:firstLineChars="0"/>
                          <w:rPr>
                            <w:rFonts w:hint="eastAsia"/>
                            <w:sz w:val="21"/>
                            <w:szCs w:val="21"/>
                          </w:rPr>
                        </w:pPr>
                        <w:r>
                          <w:rPr>
                            <w:rFonts w:hint="eastAsia" w:cs="Times New Roman"/>
                            <w:kern w:val="24"/>
                            <w:sz w:val="21"/>
                            <w:szCs w:val="21"/>
                          </w:rPr>
                          <w:t>提交复牌公告</w:t>
                        </w:r>
                      </w:p>
                    </w:txbxContent>
                  </v:textbox>
                </v:shape>
              </v:group>
            </w:pict>
          </mc:Fallback>
        </mc:AlternateContent>
      </w:r>
      <w:r>
        <w:rPr>
          <w:rFonts w:ascii="Times New Roman" w:hAnsi="Times New Roman"/>
          <w:b/>
          <w:szCs w:val="30"/>
        </w:rPr>
        <w:t>2.办理时间</w:t>
      </w:r>
    </w:p>
    <w:p w14:paraId="677D8C56">
      <w:pPr>
        <w:snapToGrid w:val="0"/>
        <w:spacing w:line="360" w:lineRule="auto"/>
        <w:ind w:firstLine="600"/>
        <w:rPr>
          <w:rFonts w:ascii="Times New Roman" w:hAnsi="Times New Roman"/>
          <w:color w:val="000000"/>
          <w:kern w:val="0"/>
          <w:szCs w:val="30"/>
        </w:rPr>
      </w:pPr>
    </w:p>
    <w:p w14:paraId="567DB328">
      <w:pPr>
        <w:spacing w:line="400" w:lineRule="exact"/>
        <w:ind w:firstLine="560"/>
        <w:rPr>
          <w:rFonts w:ascii="Times New Roman" w:hAnsi="Times New Roman"/>
          <w:color w:val="000000"/>
          <w:kern w:val="0"/>
          <w:sz w:val="28"/>
          <w:szCs w:val="28"/>
        </w:rPr>
      </w:pPr>
    </w:p>
    <w:p w14:paraId="2F4EDF4C">
      <w:pPr>
        <w:spacing w:line="400" w:lineRule="exact"/>
        <w:ind w:firstLine="0" w:firstLineChars="0"/>
        <w:rPr>
          <w:rFonts w:ascii="Times New Roman" w:hAnsi="Times New Roman"/>
          <w:color w:val="000000"/>
          <w:kern w:val="0"/>
          <w:sz w:val="28"/>
          <w:szCs w:val="28"/>
        </w:rPr>
      </w:pPr>
    </w:p>
    <w:p w14:paraId="7FD9314F">
      <w:pPr>
        <w:widowControl/>
        <w:snapToGrid w:val="0"/>
        <w:spacing w:line="300" w:lineRule="exact"/>
        <w:ind w:firstLine="422"/>
        <w:jc w:val="center"/>
        <w:rPr>
          <w:rFonts w:ascii="Times New Roman" w:hAnsi="Times New Roman" w:eastAsiaTheme="minorEastAsia"/>
          <w:b/>
          <w:bCs/>
          <w:sz w:val="21"/>
          <w:szCs w:val="21"/>
        </w:rPr>
      </w:pPr>
      <w:r>
        <w:rPr>
          <w:rFonts w:ascii="Times New Roman" w:hAnsi="Times New Roman" w:eastAsiaTheme="minorEastAsia"/>
          <w:b/>
          <w:bCs/>
          <w:sz w:val="21"/>
          <w:szCs w:val="21"/>
        </w:rPr>
        <w:t>图2-3-3 公募REITs复牌业务办理时间</w:t>
      </w:r>
    </w:p>
    <w:p w14:paraId="4A45A793">
      <w:pPr>
        <w:ind w:firstLine="600"/>
        <w:rPr>
          <w:rFonts w:ascii="Times New Roman"/>
          <w:kern w:val="0"/>
        </w:rPr>
      </w:pPr>
      <w:r>
        <w:rPr>
          <w:rFonts w:ascii="Times New Roman"/>
          <w:kern w:val="0"/>
        </w:rPr>
        <w:t>基金管理人需至少在复牌日前</w:t>
      </w:r>
      <w:r>
        <w:rPr>
          <w:rFonts w:ascii="Times New Roman" w:hAnsi="Times New Roman"/>
          <w:kern w:val="0"/>
        </w:rPr>
        <w:t>1</w:t>
      </w:r>
      <w:r>
        <w:rPr>
          <w:rFonts w:ascii="Times New Roman"/>
          <w:kern w:val="0"/>
        </w:rPr>
        <w:t>个交易日提交复牌公告（格式参考附件</w:t>
      </w:r>
      <w:r>
        <w:rPr>
          <w:rFonts w:hint="eastAsia" w:ascii="Times New Roman" w:hAnsi="Times New Roman"/>
          <w:kern w:val="0"/>
        </w:rPr>
        <w:t>3</w:t>
      </w:r>
      <w:r>
        <w:rPr>
          <w:rFonts w:ascii="Times New Roman"/>
          <w:kern w:val="0"/>
        </w:rPr>
        <w:t>）。</w:t>
      </w:r>
    </w:p>
    <w:p w14:paraId="6D3A8040">
      <w:pPr>
        <w:widowControl/>
        <w:spacing w:line="240" w:lineRule="auto"/>
        <w:ind w:firstLine="0" w:firstLineChars="0"/>
        <w:jc w:val="left"/>
        <w:rPr>
          <w:rFonts w:ascii="Times New Roman"/>
          <w:kern w:val="0"/>
        </w:rPr>
      </w:pPr>
      <w:r>
        <w:rPr>
          <w:rFonts w:ascii="Times New Roman"/>
          <w:kern w:val="0"/>
        </w:rPr>
        <w:br w:type="page"/>
      </w:r>
    </w:p>
    <w:p w14:paraId="78570CE2">
      <w:pPr>
        <w:ind w:firstLine="602"/>
        <w:rPr>
          <w:rFonts w:ascii="Times New Roman" w:hAnsi="Times New Roman"/>
          <w:b/>
          <w:szCs w:val="30"/>
        </w:rPr>
      </w:pPr>
      <w:r>
        <w:rPr>
          <w:rFonts w:ascii="Times New Roman" w:hAnsi="Times New Roman"/>
          <w:b/>
          <w:szCs w:val="30"/>
        </w:rPr>
        <w:t>3.具体操作</w:t>
      </w:r>
    </w:p>
    <w:p w14:paraId="3E964133">
      <w:pPr>
        <w:ind w:firstLine="600"/>
        <w:rPr>
          <w:rFonts w:ascii="Times New Roman" w:hAnsi="Times New Roman"/>
        </w:rPr>
      </w:pPr>
      <w:r>
        <w:rPr>
          <w:rFonts w:ascii="Times New Roman"/>
        </w:rPr>
        <w:t>复牌流程和连续停牌流程基本一致，不同点在于无需填写停牌起始日，只填写停牌终止日即可。停牌终止日次一交易日为复牌日。</w:t>
      </w:r>
    </w:p>
    <w:p w14:paraId="25500830">
      <w:pPr>
        <w:ind w:firstLine="600"/>
        <w:rPr>
          <w:rFonts w:ascii="Times New Roman" w:hAnsi="Times New Roman"/>
        </w:rPr>
      </w:pPr>
      <w:r>
        <w:rPr>
          <w:rFonts w:ascii="Times New Roman"/>
        </w:rPr>
        <w:t>基金管理人通过业务管理系统平台的</w:t>
      </w:r>
      <w:r>
        <w:rPr>
          <w:rFonts w:ascii="Times New Roman" w:hAnsi="Times New Roman"/>
        </w:rPr>
        <w:t>“REITs-</w:t>
      </w:r>
      <w:r>
        <w:rPr>
          <w:rFonts w:ascii="Times New Roman"/>
        </w:rPr>
        <w:t>常规停复牌</w:t>
      </w:r>
      <w:r>
        <w:rPr>
          <w:rFonts w:ascii="Times New Roman" w:hAnsi="Times New Roman"/>
        </w:rPr>
        <w:t>”</w:t>
      </w:r>
      <w:r>
        <w:rPr>
          <w:rFonts w:ascii="Times New Roman"/>
        </w:rPr>
        <w:t>通道，进入</w:t>
      </w:r>
      <w:r>
        <w:rPr>
          <w:rFonts w:ascii="Times New Roman" w:hAnsi="Times New Roman"/>
          <w:color w:val="000000"/>
          <w:kern w:val="0"/>
        </w:rPr>
        <w:t>停复牌</w:t>
      </w:r>
      <w:r>
        <w:rPr>
          <w:rFonts w:ascii="Times New Roman"/>
        </w:rPr>
        <w:t>申请表（见上图</w:t>
      </w:r>
      <w:r>
        <w:rPr>
          <w:rFonts w:ascii="Times New Roman" w:hAnsi="Times New Roman"/>
        </w:rPr>
        <w:t>2-</w:t>
      </w:r>
      <w:r>
        <w:rPr>
          <w:rFonts w:hint="eastAsia" w:ascii="Times New Roman" w:hAnsi="Times New Roman"/>
        </w:rPr>
        <w:t>3</w:t>
      </w:r>
      <w:r>
        <w:rPr>
          <w:rFonts w:ascii="Times New Roman" w:hAnsi="Times New Roman"/>
        </w:rPr>
        <w:t>-2</w:t>
      </w:r>
      <w:r>
        <w:rPr>
          <w:rFonts w:ascii="Times New Roman"/>
        </w:rPr>
        <w:t>）。在申请表中填写证券代码，选择停牌类型为</w:t>
      </w:r>
      <w:r>
        <w:rPr>
          <w:rFonts w:ascii="Times New Roman" w:hAnsi="Times New Roman"/>
        </w:rPr>
        <w:t>“</w:t>
      </w:r>
      <w:r>
        <w:rPr>
          <w:rFonts w:ascii="Times New Roman"/>
        </w:rPr>
        <w:t>连续停牌</w:t>
      </w:r>
      <w:r>
        <w:rPr>
          <w:rFonts w:ascii="Times New Roman" w:hAnsi="Times New Roman"/>
        </w:rPr>
        <w:t>”</w:t>
      </w:r>
      <w:r>
        <w:rPr>
          <w:rFonts w:ascii="Times New Roman"/>
        </w:rPr>
        <w:t>，同时填写停牌终止日（停牌起始日为空），停牌原因一般为</w:t>
      </w:r>
      <w:r>
        <w:rPr>
          <w:rFonts w:ascii="Times New Roman" w:hAnsi="Times New Roman"/>
        </w:rPr>
        <w:t>“</w:t>
      </w:r>
      <w:r>
        <w:rPr>
          <w:rFonts w:ascii="Times New Roman"/>
        </w:rPr>
        <w:t>基金管理人申请</w:t>
      </w:r>
      <w:r>
        <w:rPr>
          <w:rFonts w:ascii="Times New Roman" w:hAnsi="Times New Roman"/>
        </w:rPr>
        <w:t>”</w:t>
      </w:r>
      <w:r>
        <w:rPr>
          <w:rFonts w:ascii="Times New Roman"/>
        </w:rPr>
        <w:t>，并上传复牌公告等材料，上传材料均以</w:t>
      </w:r>
      <w:r>
        <w:rPr>
          <w:rFonts w:ascii="Times New Roman" w:hAnsi="Times New Roman"/>
        </w:rPr>
        <w:t>PDF</w:t>
      </w:r>
      <w:r>
        <w:rPr>
          <w:rFonts w:ascii="Times New Roman"/>
        </w:rPr>
        <w:t>格式的电子文件提交。同时，基金管理人需要及时联系本所债券业务</w:t>
      </w:r>
      <w:r>
        <w:rPr>
          <w:rFonts w:hint="eastAsia" w:ascii="Times New Roman" w:hAnsi="Times New Roman"/>
        </w:rPr>
        <w:t>中心专管员</w:t>
      </w:r>
      <w:r>
        <w:rPr>
          <w:rFonts w:ascii="Times New Roman"/>
        </w:rPr>
        <w:t>，确保流程按时完结。</w:t>
      </w:r>
    </w:p>
    <w:p w14:paraId="0A56D7EE">
      <w:pPr>
        <w:pStyle w:val="4"/>
        <w:ind w:firstLine="602"/>
        <w:rPr>
          <w:rFonts w:ascii="Times New Roman" w:hAnsi="Times New Roman"/>
        </w:rPr>
      </w:pPr>
      <w:bookmarkStart w:id="33" w:name="_Toc72324912"/>
      <w:r>
        <w:rPr>
          <w:rFonts w:ascii="Times New Roman"/>
        </w:rPr>
        <w:t>（三）紧急停牌</w:t>
      </w:r>
      <w:bookmarkEnd w:id="33"/>
    </w:p>
    <w:p w14:paraId="40A68BAB">
      <w:pPr>
        <w:ind w:firstLine="602"/>
        <w:rPr>
          <w:rFonts w:ascii="Times New Roman" w:hAnsi="Times New Roman"/>
          <w:b/>
        </w:rPr>
      </w:pPr>
      <w:r>
        <w:rPr>
          <w:rFonts w:ascii="Times New Roman" w:hAnsi="Times New Roman"/>
          <w:b/>
        </w:rPr>
        <w:t>1.</w:t>
      </w:r>
      <w:r>
        <w:rPr>
          <w:rFonts w:ascii="Times New Roman"/>
          <w:b/>
        </w:rPr>
        <w:t>适用情形</w:t>
      </w:r>
    </w:p>
    <w:p w14:paraId="50490087">
      <w:pPr>
        <w:ind w:firstLine="600"/>
        <w:rPr>
          <w:rFonts w:ascii="Times New Roman" w:hAnsi="Times New Roman"/>
        </w:rPr>
      </w:pPr>
      <w:r>
        <w:rPr>
          <w:rFonts w:ascii="Times New Roman"/>
        </w:rPr>
        <w:t>本流程适用于基金管理人申请的公募</w:t>
      </w:r>
      <w:r>
        <w:rPr>
          <w:rFonts w:ascii="Times New Roman" w:hAnsi="Times New Roman"/>
        </w:rPr>
        <w:t>REITs</w:t>
      </w:r>
      <w:r>
        <w:rPr>
          <w:rFonts w:ascii="Times New Roman"/>
        </w:rPr>
        <w:t>二级市场交易当日紧急暂停的情形。</w:t>
      </w:r>
    </w:p>
    <w:p w14:paraId="1BA619FB">
      <w:pPr>
        <w:ind w:firstLine="602"/>
        <w:rPr>
          <w:rFonts w:ascii="Times New Roman" w:hAnsi="Times New Roman"/>
          <w:b/>
        </w:rPr>
      </w:pPr>
      <w:r>
        <w:rPr>
          <w:rFonts w:ascii="Times New Roman" w:hAnsi="Times New Roman"/>
          <w:b/>
        </w:rPr>
        <w:t>2.</w:t>
      </w:r>
      <w:r>
        <w:rPr>
          <w:rFonts w:ascii="Times New Roman"/>
          <w:b/>
        </w:rPr>
        <w:t>办理时间</w:t>
      </w:r>
    </w:p>
    <w:p w14:paraId="4E3F6AFB">
      <w:pPr>
        <w:ind w:firstLine="600"/>
        <w:rPr>
          <w:rFonts w:ascii="Times New Roman" w:hAnsi="Times New Roman"/>
        </w:rPr>
      </w:pPr>
      <w:r>
        <w:rPr>
          <w:rFonts w:ascii="Times New Roman"/>
          <w:color w:val="000000"/>
          <w:kern w:val="0"/>
        </w:rPr>
        <w:t>基金管理人选择当日停牌时间为</w:t>
      </w:r>
      <w:r>
        <w:rPr>
          <w:rFonts w:ascii="Times New Roman" w:hAnsi="Times New Roman"/>
          <w:color w:val="000000"/>
          <w:kern w:val="0"/>
        </w:rPr>
        <w:t>“</w:t>
      </w:r>
      <w:r>
        <w:rPr>
          <w:rFonts w:ascii="Times New Roman"/>
          <w:color w:val="000000"/>
          <w:kern w:val="0"/>
        </w:rPr>
        <w:t>全天</w:t>
      </w:r>
      <w:r>
        <w:rPr>
          <w:rFonts w:ascii="Times New Roman" w:hAnsi="Times New Roman"/>
          <w:color w:val="000000"/>
          <w:kern w:val="0"/>
        </w:rPr>
        <w:t>”</w:t>
      </w:r>
      <w:r>
        <w:rPr>
          <w:rFonts w:ascii="Times New Roman"/>
          <w:color w:val="000000"/>
          <w:kern w:val="0"/>
        </w:rPr>
        <w:t>或</w:t>
      </w:r>
      <w:r>
        <w:rPr>
          <w:rFonts w:ascii="Times New Roman" w:hAnsi="Times New Roman"/>
          <w:color w:val="000000"/>
          <w:kern w:val="0"/>
        </w:rPr>
        <w:t>“</w:t>
      </w:r>
      <w:r>
        <w:rPr>
          <w:rFonts w:ascii="Times New Roman"/>
          <w:color w:val="000000"/>
          <w:kern w:val="0"/>
        </w:rPr>
        <w:t>上午</w:t>
      </w:r>
      <w:r>
        <w:rPr>
          <w:rFonts w:ascii="Times New Roman" w:hAnsi="Times New Roman"/>
          <w:color w:val="000000"/>
          <w:kern w:val="0"/>
        </w:rPr>
        <w:t>”</w:t>
      </w:r>
      <w:r>
        <w:rPr>
          <w:rFonts w:ascii="Times New Roman"/>
          <w:color w:val="000000"/>
          <w:kern w:val="0"/>
        </w:rPr>
        <w:t>的，应当至少在</w:t>
      </w:r>
      <w:r>
        <w:rPr>
          <w:rFonts w:ascii="Times New Roman" w:hAnsi="Times New Roman"/>
          <w:color w:val="000000"/>
          <w:kern w:val="0"/>
        </w:rPr>
        <w:t>8:00</w:t>
      </w:r>
      <w:r>
        <w:rPr>
          <w:rFonts w:ascii="Times New Roman"/>
          <w:color w:val="000000"/>
          <w:kern w:val="0"/>
        </w:rPr>
        <w:t>之前完成提交；选择停牌时间为</w:t>
      </w:r>
      <w:r>
        <w:rPr>
          <w:rFonts w:ascii="Times New Roman" w:hAnsi="Times New Roman"/>
          <w:color w:val="000000"/>
          <w:kern w:val="0"/>
        </w:rPr>
        <w:t>“</w:t>
      </w:r>
      <w:r>
        <w:rPr>
          <w:rFonts w:ascii="Times New Roman"/>
          <w:color w:val="000000"/>
          <w:kern w:val="0"/>
        </w:rPr>
        <w:t>下午</w:t>
      </w:r>
      <w:r>
        <w:rPr>
          <w:rFonts w:ascii="Times New Roman" w:hAnsi="Times New Roman"/>
          <w:color w:val="000000"/>
          <w:kern w:val="0"/>
        </w:rPr>
        <w:t>”</w:t>
      </w:r>
      <w:r>
        <w:rPr>
          <w:rFonts w:ascii="Times New Roman"/>
          <w:color w:val="000000"/>
          <w:kern w:val="0"/>
        </w:rPr>
        <w:t>的，则需在</w:t>
      </w:r>
      <w:r>
        <w:rPr>
          <w:rFonts w:ascii="Times New Roman" w:hAnsi="Times New Roman"/>
          <w:color w:val="000000"/>
          <w:kern w:val="0"/>
        </w:rPr>
        <w:t>12:00</w:t>
      </w:r>
      <w:r>
        <w:rPr>
          <w:rFonts w:ascii="Times New Roman"/>
          <w:color w:val="000000"/>
          <w:kern w:val="0"/>
        </w:rPr>
        <w:t>之前完成提交</w:t>
      </w:r>
      <w:r>
        <w:rPr>
          <w:rFonts w:hint="eastAsia" w:ascii="Times New Roman"/>
          <w:color w:val="000000"/>
          <w:kern w:val="0"/>
        </w:rPr>
        <w:t>；选择停牌时间为交易时间内的具体时间段的，需在拟停牌时间段之前及时完成提交，并为后续流程处理预留充足时间</w:t>
      </w:r>
      <w:r>
        <w:rPr>
          <w:rFonts w:ascii="Times New Roman"/>
          <w:color w:val="000000"/>
          <w:kern w:val="0"/>
        </w:rPr>
        <w:t>。</w:t>
      </w:r>
    </w:p>
    <w:p w14:paraId="71F7ECE2">
      <w:pPr>
        <w:ind w:firstLine="602"/>
        <w:rPr>
          <w:rFonts w:ascii="Times New Roman" w:hAnsi="Times New Roman"/>
          <w:b/>
        </w:rPr>
      </w:pPr>
      <w:r>
        <w:rPr>
          <w:rFonts w:ascii="Times New Roman" w:hAnsi="Times New Roman"/>
          <w:b/>
        </w:rPr>
        <w:t>3.</w:t>
      </w:r>
      <w:r>
        <w:rPr>
          <w:rFonts w:ascii="Times New Roman"/>
          <w:b/>
        </w:rPr>
        <w:t>具体操作</w:t>
      </w:r>
    </w:p>
    <w:p w14:paraId="4F4781CD">
      <w:pPr>
        <w:ind w:firstLine="600"/>
        <w:rPr>
          <w:rFonts w:ascii="Times New Roman" w:hAnsi="Times New Roman"/>
          <w:color w:val="000000"/>
          <w:kern w:val="0"/>
        </w:rPr>
      </w:pPr>
      <w:r>
        <w:rPr>
          <w:rFonts w:ascii="Times New Roman"/>
          <w:color w:val="000000"/>
          <w:kern w:val="0"/>
        </w:rPr>
        <w:t>基金管理人如需申请紧急停牌，应在第一时间电话通知本所债券业务中心专管人员，确认相关流程后，通过</w:t>
      </w:r>
      <w:r>
        <w:rPr>
          <w:rFonts w:ascii="Times New Roman" w:hAnsi="Times New Roman"/>
        </w:rPr>
        <w:t>业务管理系统平台</w:t>
      </w:r>
      <w:r>
        <w:rPr>
          <w:rFonts w:ascii="Times New Roman" w:hAnsi="Times New Roman"/>
          <w:color w:val="000000"/>
          <w:kern w:val="0"/>
        </w:rPr>
        <w:t>“REITs-</w:t>
      </w:r>
      <w:r>
        <w:rPr>
          <w:rFonts w:ascii="Times New Roman"/>
          <w:color w:val="000000"/>
          <w:kern w:val="0"/>
        </w:rPr>
        <w:t>紧急停牌</w:t>
      </w:r>
      <w:r>
        <w:rPr>
          <w:rFonts w:ascii="Times New Roman" w:hAnsi="Times New Roman"/>
          <w:color w:val="000000"/>
          <w:kern w:val="0"/>
        </w:rPr>
        <w:t>”</w:t>
      </w:r>
      <w:r>
        <w:rPr>
          <w:rFonts w:ascii="Times New Roman"/>
          <w:color w:val="000000"/>
          <w:kern w:val="0"/>
        </w:rPr>
        <w:t>流程上传紧急停牌公告（格式参考附件</w:t>
      </w:r>
      <w:r>
        <w:rPr>
          <w:rFonts w:hint="eastAsia" w:ascii="Times New Roman" w:hAnsi="Times New Roman"/>
          <w:color w:val="000000"/>
          <w:kern w:val="0"/>
        </w:rPr>
        <w:t>3</w:t>
      </w:r>
      <w:r>
        <w:rPr>
          <w:rFonts w:ascii="Times New Roman"/>
          <w:color w:val="000000"/>
          <w:kern w:val="0"/>
        </w:rPr>
        <w:t>）等材料，上传材料均以</w:t>
      </w:r>
      <w:r>
        <w:rPr>
          <w:rFonts w:ascii="Times New Roman" w:hAnsi="Times New Roman"/>
          <w:color w:val="000000"/>
          <w:kern w:val="0"/>
        </w:rPr>
        <w:t>PDF</w:t>
      </w:r>
      <w:r>
        <w:rPr>
          <w:rFonts w:ascii="Times New Roman"/>
          <w:color w:val="000000"/>
          <w:kern w:val="0"/>
        </w:rPr>
        <w:t>格式的电子文件提交。</w:t>
      </w:r>
    </w:p>
    <w:p w14:paraId="054B7E4D">
      <w:pPr>
        <w:pStyle w:val="3"/>
        <w:spacing w:before="156" w:after="156"/>
        <w:ind w:firstLine="643"/>
        <w:rPr>
          <w:rFonts w:ascii="Times New Roman" w:hAnsi="Times New Roman"/>
        </w:rPr>
      </w:pPr>
      <w:bookmarkStart w:id="34" w:name="_Toc317797455"/>
      <w:bookmarkStart w:id="35" w:name="_Toc217484334"/>
      <w:bookmarkStart w:id="36" w:name="_Toc72419519"/>
      <w:r>
        <w:rPr>
          <w:rFonts w:ascii="Times New Roman"/>
        </w:rPr>
        <w:t>四、</w:t>
      </w:r>
      <w:bookmarkStart w:id="37" w:name="_Toc72324913"/>
      <w:r>
        <w:rPr>
          <w:rFonts w:ascii="Times New Roman"/>
        </w:rPr>
        <w:t>分红</w:t>
      </w:r>
      <w:bookmarkEnd w:id="34"/>
      <w:bookmarkEnd w:id="35"/>
      <w:bookmarkEnd w:id="37"/>
      <w:r>
        <w:rPr>
          <w:rFonts w:ascii="Times New Roman" w:hAnsi="Times New Roman"/>
        </w:rPr>
        <w:tab/>
      </w:r>
    </w:p>
    <w:p w14:paraId="3C3907DF">
      <w:pPr>
        <w:pStyle w:val="4"/>
        <w:ind w:firstLine="602"/>
        <w:rPr>
          <w:rFonts w:ascii="Times New Roman" w:hAnsi="Times New Roman"/>
        </w:rPr>
      </w:pPr>
      <w:r>
        <w:rPr>
          <w:rFonts w:ascii="Times New Roman"/>
        </w:rPr>
        <w:t>（一）适用情形</w:t>
      </w:r>
    </w:p>
    <w:p w14:paraId="72EFBCD1">
      <w:pPr>
        <w:ind w:firstLine="600"/>
        <w:rPr>
          <w:rFonts w:ascii="Times New Roman" w:hAnsi="Times New Roman"/>
          <w:b/>
        </w:rPr>
      </w:pPr>
      <w:r>
        <w:rPr>
          <w:rFonts w:ascii="Times New Roman" w:hAnsi="Times New Roman"/>
        </w:rPr>
        <w:t>本流程适用于公募REITs分红业务的情形。</w:t>
      </w:r>
    </w:p>
    <w:p w14:paraId="722B90B7">
      <w:pPr>
        <w:pStyle w:val="4"/>
        <w:ind w:firstLine="602"/>
        <w:rPr>
          <w:rFonts w:ascii="Times New Roman" w:hAnsi="Times New Roman"/>
        </w:rPr>
      </w:pPr>
      <w:r>
        <w:rPr>
          <w:rFonts w:ascii="Times New Roman" w:hAnsi="Times New Roman"/>
          <w:szCs w:val="30"/>
        </w:rPr>
        <mc:AlternateContent>
          <mc:Choice Requires="wps">
            <w:drawing>
              <wp:anchor distT="0" distB="0" distL="114300" distR="114300" simplePos="0" relativeHeight="251672576" behindDoc="0" locked="0" layoutInCell="1" allowOverlap="1">
                <wp:simplePos x="0" y="0"/>
                <wp:positionH relativeFrom="column">
                  <wp:posOffset>233680</wp:posOffset>
                </wp:positionH>
                <wp:positionV relativeFrom="paragraph">
                  <wp:posOffset>354330</wp:posOffset>
                </wp:positionV>
                <wp:extent cx="1180465" cy="472440"/>
                <wp:effectExtent l="0" t="0" r="0" b="0"/>
                <wp:wrapNone/>
                <wp:docPr id="224" name="Text Box 283"/>
                <wp:cNvGraphicFramePr/>
                <a:graphic xmlns:a="http://schemas.openxmlformats.org/drawingml/2006/main">
                  <a:graphicData uri="http://schemas.microsoft.com/office/word/2010/wordprocessingShape">
                    <wps:wsp>
                      <wps:cNvSpPr txBox="1">
                        <a:spLocks noChangeArrowheads="1"/>
                      </wps:cNvSpPr>
                      <wps:spPr bwMode="auto">
                        <a:xfrm>
                          <a:off x="0" y="0"/>
                          <a:ext cx="1180465" cy="472440"/>
                        </a:xfrm>
                        <a:prstGeom prst="rect">
                          <a:avLst/>
                        </a:prstGeom>
                        <a:noFill/>
                        <a:ln>
                          <a:noFill/>
                        </a:ln>
                        <a:effectLst/>
                      </wps:spPr>
                      <wps:txbx>
                        <w:txbxContent>
                          <w:p w14:paraId="0E47984A">
                            <w:pPr>
                              <w:pStyle w:val="16"/>
                              <w:spacing w:before="0" w:beforeAutospacing="0" w:after="0" w:afterAutospacing="0" w:line="300" w:lineRule="exact"/>
                              <w:ind w:firstLine="420"/>
                              <w:jc w:val="center"/>
                              <w:rPr>
                                <w:rFonts w:ascii="Times New Roman" w:hAnsi="Times New Roman" w:cs="Times New Roman" w:eastAsiaTheme="minorEastAsia"/>
                                <w:sz w:val="21"/>
                                <w:szCs w:val="21"/>
                              </w:rPr>
                            </w:pPr>
                            <w:r>
                              <w:rPr>
                                <w:rFonts w:ascii="Times New Roman" w:hAnsi="Times New Roman" w:cs="Times New Roman" w:eastAsiaTheme="minorEastAsia"/>
                                <w:sz w:val="21"/>
                                <w:szCs w:val="21"/>
                              </w:rPr>
                              <w:t>提交REITs分红业务申请</w:t>
                            </w:r>
                          </w:p>
                        </w:txbxContent>
                      </wps:txbx>
                      <wps:bodyPr rot="0" vert="horz" wrap="square" lIns="91440" tIns="45720" rIns="91440" bIns="45720" anchor="t" anchorCtr="0" upright="1">
                        <a:spAutoFit/>
                      </wps:bodyPr>
                    </wps:wsp>
                  </a:graphicData>
                </a:graphic>
              </wp:anchor>
            </w:drawing>
          </mc:Choice>
          <mc:Fallback>
            <w:pict>
              <v:shape id="Text Box 283" o:spid="_x0000_s1026" o:spt="202" type="#_x0000_t202" style="position:absolute;left:0pt;margin-left:18.4pt;margin-top:27.9pt;height:37.2pt;width:92.95pt;z-index:251672576;mso-width-relative:page;mso-height-relative:page;" filled="f" stroked="f" coordsize="21600,21600" o:gfxdata="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y7ub91gAAAAkBAAAPAAAAAAAAAAEAIAAA&#10;ACIAAABkcnMvZG93bnJldi54bWxQSwECFAAUAAAACACHTuJAs+ZSeA4CAAAmBAAADgAAAAAAAAAB&#10;ACAAAAAlAQAAZHJzL2Uyb0RvYy54bWxQSwUGAAAAAAYABgBZAQAApQUAAAAA&#10;">
                <v:fill on="f" focussize="0,0"/>
                <v:stroke on="f"/>
                <v:imagedata o:title=""/>
                <o:lock v:ext="edit" aspectratio="f"/>
                <v:textbox style="mso-fit-shape-to-text:t;">
                  <w:txbxContent>
                    <w:p w14:paraId="0E47984A">
                      <w:pPr>
                        <w:pStyle w:val="16"/>
                        <w:spacing w:before="0" w:beforeAutospacing="0" w:after="0" w:afterAutospacing="0" w:line="300" w:lineRule="exact"/>
                        <w:ind w:firstLine="420"/>
                        <w:jc w:val="center"/>
                        <w:rPr>
                          <w:rFonts w:ascii="Times New Roman" w:hAnsi="Times New Roman" w:cs="Times New Roman" w:eastAsiaTheme="minorEastAsia"/>
                          <w:sz w:val="21"/>
                          <w:szCs w:val="21"/>
                        </w:rPr>
                      </w:pPr>
                      <w:r>
                        <w:rPr>
                          <w:rFonts w:ascii="Times New Roman" w:hAnsi="Times New Roman" w:cs="Times New Roman" w:eastAsiaTheme="minorEastAsia"/>
                          <w:sz w:val="21"/>
                          <w:szCs w:val="21"/>
                        </w:rPr>
                        <w:t>提交REITs分红业务申请</w:t>
                      </w:r>
                    </w:p>
                  </w:txbxContent>
                </v:textbox>
              </v:shape>
            </w:pict>
          </mc:Fallback>
        </mc:AlternateContent>
      </w:r>
      <w:r>
        <w:rPr>
          <w:rFonts w:ascii="Times New Roman" w:hAnsi="Times New Roman"/>
        </w:rPr>
        <w:t>（二）办理时间</w:t>
      </w:r>
    </w:p>
    <w:p w14:paraId="0C5BA0D0">
      <w:pPr>
        <w:pStyle w:val="16"/>
        <w:snapToGrid w:val="0"/>
        <w:spacing w:before="0" w:beforeAutospacing="0" w:after="0" w:afterAutospacing="0" w:line="360" w:lineRule="auto"/>
        <w:ind w:left="420" w:firstLine="600"/>
        <w:jc w:val="both"/>
        <w:rPr>
          <w:rFonts w:ascii="Times New Roman" w:hAnsi="Times New Roman" w:eastAsia="仿宋_GB2312" w:cs="Times New Roman"/>
          <w:sz w:val="30"/>
          <w:szCs w:val="30"/>
        </w:rPr>
      </w:pPr>
      <w:r>
        <w:rPr>
          <w:rFonts w:ascii="Times New Roman" w:hAnsi="Times New Roman" w:eastAsia="仿宋_GB2312" w:cs="Times New Roman"/>
          <w:sz w:val="30"/>
          <w:szCs w:val="30"/>
        </w:rPr>
        <mc:AlternateContent>
          <mc:Choice Requires="wps">
            <w:drawing>
              <wp:anchor distT="0" distB="0" distL="114300" distR="114300" simplePos="0" relativeHeight="251675648" behindDoc="0" locked="0" layoutInCell="1" allowOverlap="1">
                <wp:simplePos x="0" y="0"/>
                <wp:positionH relativeFrom="column">
                  <wp:posOffset>2264410</wp:posOffset>
                </wp:positionH>
                <wp:positionV relativeFrom="paragraph">
                  <wp:posOffset>70485</wp:posOffset>
                </wp:positionV>
                <wp:extent cx="1158240" cy="281940"/>
                <wp:effectExtent l="0" t="0" r="0" b="0"/>
                <wp:wrapNone/>
                <wp:docPr id="225" name="Text Box 289"/>
                <wp:cNvGraphicFramePr/>
                <a:graphic xmlns:a="http://schemas.openxmlformats.org/drawingml/2006/main">
                  <a:graphicData uri="http://schemas.microsoft.com/office/word/2010/wordprocessingShape">
                    <wps:wsp>
                      <wps:cNvSpPr txBox="1">
                        <a:spLocks noChangeArrowheads="1"/>
                      </wps:cNvSpPr>
                      <wps:spPr bwMode="auto">
                        <a:xfrm>
                          <a:off x="0" y="0"/>
                          <a:ext cx="1158240" cy="281940"/>
                        </a:xfrm>
                        <a:prstGeom prst="rect">
                          <a:avLst/>
                        </a:prstGeom>
                        <a:noFill/>
                        <a:ln>
                          <a:noFill/>
                        </a:ln>
                        <a:effectLst/>
                      </wps:spPr>
                      <wps:txbx>
                        <w:txbxContent>
                          <w:p w14:paraId="76261E33">
                            <w:pPr>
                              <w:pStyle w:val="16"/>
                              <w:spacing w:before="0" w:beforeAutospacing="0" w:after="0" w:afterAutospacing="0" w:line="300" w:lineRule="exact"/>
                              <w:ind w:firstLine="0" w:firstLineChars="0"/>
                              <w:jc w:val="center"/>
                              <w:rPr>
                                <w:rFonts w:hint="eastAsia" w:asciiTheme="minorEastAsia" w:hAnsiTheme="minorEastAsia" w:eastAsiaTheme="minorEastAsia"/>
                                <w:sz w:val="21"/>
                                <w:szCs w:val="21"/>
                              </w:rPr>
                            </w:pPr>
                            <w:r>
                              <w:rPr>
                                <w:rFonts w:hint="eastAsia" w:cs="Times New Roman" w:asciiTheme="minorEastAsia" w:hAnsiTheme="minorEastAsia" w:eastAsiaTheme="minorEastAsia"/>
                                <w:kern w:val="24"/>
                                <w:sz w:val="21"/>
                                <w:szCs w:val="21"/>
                              </w:rPr>
                              <w:t>转托管业务暂停</w:t>
                            </w:r>
                          </w:p>
                        </w:txbxContent>
                      </wps:txbx>
                      <wps:bodyPr rot="0" vert="horz" wrap="square" lIns="91440" tIns="45720" rIns="91440" bIns="45720" anchor="t" anchorCtr="0" upright="1">
                        <a:spAutoFit/>
                      </wps:bodyPr>
                    </wps:wsp>
                  </a:graphicData>
                </a:graphic>
              </wp:anchor>
            </w:drawing>
          </mc:Choice>
          <mc:Fallback>
            <w:pict>
              <v:shape id="Text Box 289" o:spid="_x0000_s1026" o:spt="202" type="#_x0000_t202" style="position:absolute;left:0pt;margin-left:178.3pt;margin-top:5.55pt;height:22.2pt;width:91.2pt;z-index:251675648;mso-width-relative:page;mso-height-relative:page;" filled="f" stroked="f" coordsize="21600,21600" o:gfxdata="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CwMndB1gAAAAkBAAAPAAAAAAAAAAEAIAAAACIA&#10;AABkcnMvZG93bnJldi54bWxQSwECFAAUAAAACACHTuJApJuC2wsCAAAmBAAADgAAAAAAAAABACAA&#10;AAAlAQAAZHJzL2Uyb0RvYy54bWxQSwUGAAAAAAYABgBZAQAAogUAAAAA&#10;">
                <v:fill on="f" focussize="0,0"/>
                <v:stroke on="f"/>
                <v:imagedata o:title=""/>
                <o:lock v:ext="edit" aspectratio="f"/>
                <v:textbox style="mso-fit-shape-to-text:t;">
                  <w:txbxContent>
                    <w:p w14:paraId="76261E33">
                      <w:pPr>
                        <w:pStyle w:val="16"/>
                        <w:spacing w:before="0" w:beforeAutospacing="0" w:after="0" w:afterAutospacing="0" w:line="300" w:lineRule="exact"/>
                        <w:ind w:firstLine="0" w:firstLineChars="0"/>
                        <w:jc w:val="center"/>
                        <w:rPr>
                          <w:rFonts w:hint="eastAsia" w:asciiTheme="minorEastAsia" w:hAnsiTheme="minorEastAsia" w:eastAsiaTheme="minorEastAsia"/>
                          <w:sz w:val="21"/>
                          <w:szCs w:val="21"/>
                        </w:rPr>
                      </w:pPr>
                      <w:r>
                        <w:rPr>
                          <w:rFonts w:hint="eastAsia" w:cs="Times New Roman" w:asciiTheme="minorEastAsia" w:hAnsiTheme="minorEastAsia" w:eastAsiaTheme="minorEastAsia"/>
                          <w:kern w:val="24"/>
                          <w:sz w:val="21"/>
                          <w:szCs w:val="21"/>
                        </w:rPr>
                        <w:t>转托管业务暂停</w:t>
                      </w:r>
                    </w:p>
                  </w:txbxContent>
                </v:textbox>
              </v:shape>
            </w:pict>
          </mc:Fallback>
        </mc:AlternateContent>
      </w:r>
    </w:p>
    <w:p w14:paraId="3235076E">
      <w:pPr>
        <w:pStyle w:val="16"/>
        <w:snapToGrid w:val="0"/>
        <w:spacing w:before="0" w:beforeAutospacing="0" w:after="0" w:afterAutospacing="0" w:line="360" w:lineRule="auto"/>
        <w:ind w:left="420" w:firstLine="600"/>
        <w:jc w:val="both"/>
        <w:rPr>
          <w:rFonts w:ascii="Times New Roman" w:hAnsi="Times New Roman" w:eastAsia="仿宋_GB2312" w:cs="Times New Roman"/>
          <w:sz w:val="30"/>
          <w:szCs w:val="30"/>
        </w:rPr>
      </w:pPr>
      <w:r>
        <w:rPr>
          <w:rFonts w:ascii="Times New Roman" w:hAnsi="Times New Roman" w:eastAsia="仿宋_GB2312" w:cs="Times New Roman"/>
          <w:sz w:val="30"/>
          <w:szCs w:val="30"/>
        </w:rPr>
        <mc:AlternateContent>
          <mc:Choice Requires="wps">
            <w:drawing>
              <wp:anchor distT="0" distB="0" distL="114300" distR="114300" simplePos="0" relativeHeight="251670528" behindDoc="0" locked="0" layoutInCell="1" allowOverlap="1">
                <wp:simplePos x="0" y="0"/>
                <wp:positionH relativeFrom="column">
                  <wp:posOffset>3620135</wp:posOffset>
                </wp:positionH>
                <wp:positionV relativeFrom="paragraph">
                  <wp:posOffset>212090</wp:posOffset>
                </wp:positionV>
                <wp:extent cx="370205" cy="281940"/>
                <wp:effectExtent l="0" t="0" r="0" b="0"/>
                <wp:wrapNone/>
                <wp:docPr id="28" name="Text Box 281"/>
                <wp:cNvGraphicFramePr/>
                <a:graphic xmlns:a="http://schemas.openxmlformats.org/drawingml/2006/main">
                  <a:graphicData uri="http://schemas.microsoft.com/office/word/2010/wordprocessingShape">
                    <wps:wsp>
                      <wps:cNvSpPr txBox="1">
                        <a:spLocks noChangeArrowheads="1"/>
                      </wps:cNvSpPr>
                      <wps:spPr bwMode="auto">
                        <a:xfrm>
                          <a:off x="0" y="0"/>
                          <a:ext cx="541655" cy="281940"/>
                        </a:xfrm>
                        <a:prstGeom prst="rect">
                          <a:avLst/>
                        </a:prstGeom>
                        <a:noFill/>
                        <a:ln>
                          <a:noFill/>
                        </a:ln>
                        <a:effectLst/>
                      </wps:spPr>
                      <wps:txbx>
                        <w:txbxContent>
                          <w:p w14:paraId="4BF17B3B">
                            <w:pPr>
                              <w:pStyle w:val="16"/>
                              <w:spacing w:before="0" w:beforeAutospacing="0" w:after="0" w:afterAutospacing="0" w:line="300" w:lineRule="exact"/>
                              <w:ind w:firstLine="0" w:firstLineChars="0"/>
                              <w:rPr>
                                <w:rFonts w:ascii="Times New Roman" w:hAnsi="Times New Roman" w:cs="Times New Roman" w:eastAsiaTheme="minorEastAsia"/>
                                <w:sz w:val="21"/>
                                <w:szCs w:val="21"/>
                              </w:rPr>
                            </w:pPr>
                            <w:r>
                              <w:rPr>
                                <w:rFonts w:ascii="Times New Roman" w:hAnsi="Times New Roman" w:cs="Times New Roman" w:eastAsiaTheme="minorEastAsia"/>
                                <w:kern w:val="24"/>
                                <w:sz w:val="21"/>
                                <w:szCs w:val="21"/>
                              </w:rPr>
                              <w:t>T</w:t>
                            </w:r>
                          </w:p>
                        </w:txbxContent>
                      </wps:txbx>
                      <wps:bodyPr rot="0" vert="horz" wrap="square" lIns="91440" tIns="45720" rIns="91440" bIns="45720" anchor="t" anchorCtr="0" upright="1">
                        <a:spAutoFit/>
                      </wps:bodyPr>
                    </wps:wsp>
                  </a:graphicData>
                </a:graphic>
              </wp:anchor>
            </w:drawing>
          </mc:Choice>
          <mc:Fallback>
            <w:pict>
              <v:shape id="Text Box 281" o:spid="_x0000_s1026" o:spt="202" type="#_x0000_t202" style="position:absolute;left:0pt;margin-left:285.05pt;margin-top:16.7pt;height:22.2pt;width:29.15pt;z-index:251670528;mso-width-relative:page;mso-height-relative:page;" filled="f" stroked="f" coordsize="21600,21600" o:gfxdata="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DfuG9S2AAAAAkBAAAPAAAAAAAAAAEAIAAA&#10;ACIAAABkcnMvZG93bnJldi54bWxQSwECFAAUAAAACACHTuJATQHS3gwCAAAkBAAADgAAAAAAAAAB&#10;ACAAAAAnAQAAZHJzL2Uyb0RvYy54bWxQSwUGAAAAAAYABgBZAQAApQUAAAAA&#10;">
                <v:fill on="f" focussize="0,0"/>
                <v:stroke on="f"/>
                <v:imagedata o:title=""/>
                <o:lock v:ext="edit" aspectratio="f"/>
                <v:textbox style="mso-fit-shape-to-text:t;">
                  <w:txbxContent>
                    <w:p w14:paraId="4BF17B3B">
                      <w:pPr>
                        <w:pStyle w:val="16"/>
                        <w:spacing w:before="0" w:beforeAutospacing="0" w:after="0" w:afterAutospacing="0" w:line="300" w:lineRule="exact"/>
                        <w:ind w:firstLine="0" w:firstLineChars="0"/>
                        <w:rPr>
                          <w:rFonts w:ascii="Times New Roman" w:hAnsi="Times New Roman" w:cs="Times New Roman" w:eastAsiaTheme="minorEastAsia"/>
                          <w:sz w:val="21"/>
                          <w:szCs w:val="21"/>
                        </w:rPr>
                      </w:pPr>
                      <w:r>
                        <w:rPr>
                          <w:rFonts w:ascii="Times New Roman" w:hAnsi="Times New Roman" w:cs="Times New Roman" w:eastAsiaTheme="minorEastAsia"/>
                          <w:kern w:val="24"/>
                          <w:sz w:val="21"/>
                          <w:szCs w:val="21"/>
                        </w:rPr>
                        <w:t>T</w:t>
                      </w:r>
                    </w:p>
                  </w:txbxContent>
                </v:textbox>
              </v:shape>
            </w:pict>
          </mc:Fallback>
        </mc:AlternateContent>
      </w:r>
      <w:r>
        <w:rPr>
          <w:rFonts w:ascii="Times New Roman" w:hAnsi="Times New Roman" w:eastAsia="仿宋_GB2312" w:cs="Times New Roman"/>
          <w:sz w:val="30"/>
          <w:szCs w:val="30"/>
        </w:rPr>
        <mc:AlternateContent>
          <mc:Choice Requires="wps">
            <w:drawing>
              <wp:anchor distT="0" distB="0" distL="114300" distR="114300" simplePos="0" relativeHeight="251671552" behindDoc="0" locked="0" layoutInCell="1" allowOverlap="1">
                <wp:simplePos x="0" y="0"/>
                <wp:positionH relativeFrom="column">
                  <wp:posOffset>4320540</wp:posOffset>
                </wp:positionH>
                <wp:positionV relativeFrom="paragraph">
                  <wp:posOffset>228600</wp:posOffset>
                </wp:positionV>
                <wp:extent cx="541655" cy="281940"/>
                <wp:effectExtent l="0" t="0" r="0" b="0"/>
                <wp:wrapNone/>
                <wp:docPr id="29" name="Text Box 282"/>
                <wp:cNvGraphicFramePr/>
                <a:graphic xmlns:a="http://schemas.openxmlformats.org/drawingml/2006/main">
                  <a:graphicData uri="http://schemas.microsoft.com/office/word/2010/wordprocessingShape">
                    <wps:wsp>
                      <wps:cNvSpPr txBox="1">
                        <a:spLocks noChangeArrowheads="1"/>
                      </wps:cNvSpPr>
                      <wps:spPr bwMode="auto">
                        <a:xfrm>
                          <a:off x="0" y="0"/>
                          <a:ext cx="541655" cy="281940"/>
                        </a:xfrm>
                        <a:prstGeom prst="rect">
                          <a:avLst/>
                        </a:prstGeom>
                        <a:noFill/>
                        <a:ln>
                          <a:noFill/>
                        </a:ln>
                        <a:effectLst/>
                      </wps:spPr>
                      <wps:txbx>
                        <w:txbxContent>
                          <w:p w14:paraId="5A4AB0B5">
                            <w:pPr>
                              <w:pStyle w:val="16"/>
                              <w:spacing w:before="0" w:beforeAutospacing="0" w:after="0" w:afterAutospacing="0" w:line="300" w:lineRule="exact"/>
                              <w:ind w:firstLine="0" w:firstLineChars="0"/>
                              <w:rPr>
                                <w:rFonts w:ascii="Times New Roman" w:hAnsi="Times New Roman" w:cs="Times New Roman" w:eastAsiaTheme="minorEastAsia"/>
                                <w:sz w:val="21"/>
                                <w:szCs w:val="21"/>
                              </w:rPr>
                            </w:pPr>
                            <w:r>
                              <w:rPr>
                                <w:rFonts w:ascii="Times New Roman" w:hAnsi="Times New Roman" w:cs="Times New Roman" w:eastAsiaTheme="minorEastAsia"/>
                                <w:kern w:val="24"/>
                                <w:sz w:val="21"/>
                                <w:szCs w:val="21"/>
                              </w:rPr>
                              <w:t>T+1</w:t>
                            </w:r>
                          </w:p>
                        </w:txbxContent>
                      </wps:txbx>
                      <wps:bodyPr rot="0" vert="horz" wrap="square" lIns="91440" tIns="45720" rIns="91440" bIns="45720" anchor="t" anchorCtr="0" upright="1">
                        <a:spAutoFit/>
                      </wps:bodyPr>
                    </wps:wsp>
                  </a:graphicData>
                </a:graphic>
              </wp:anchor>
            </w:drawing>
          </mc:Choice>
          <mc:Fallback>
            <w:pict>
              <v:shape id="Text Box 282" o:spid="_x0000_s1026" o:spt="202" type="#_x0000_t202" style="position:absolute;left:0pt;margin-left:340.2pt;margin-top:18pt;height:22.2pt;width:42.65pt;z-index:251671552;mso-width-relative:page;mso-height-relative:page;" filled="f" stroked="f" coordsize="21600,21600" o:gfxdata="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BOBfPO1gAAAAkBAAAPAAAAAAAAAAEAIAAA&#10;ACIAAABkcnMvZG93bnJldi54bWxQSwECFAAUAAAACACHTuJA3re42w4CAAAkBAAADgAAAAAAAAAB&#10;ACAAAAAlAQAAZHJzL2Uyb0RvYy54bWxQSwUGAAAAAAYABgBZAQAApQUAAAAA&#10;">
                <v:fill on="f" focussize="0,0"/>
                <v:stroke on="f"/>
                <v:imagedata o:title=""/>
                <o:lock v:ext="edit" aspectratio="f"/>
                <v:textbox style="mso-fit-shape-to-text:t;">
                  <w:txbxContent>
                    <w:p w14:paraId="5A4AB0B5">
                      <w:pPr>
                        <w:pStyle w:val="16"/>
                        <w:spacing w:before="0" w:beforeAutospacing="0" w:after="0" w:afterAutospacing="0" w:line="300" w:lineRule="exact"/>
                        <w:ind w:firstLine="0" w:firstLineChars="0"/>
                        <w:rPr>
                          <w:rFonts w:ascii="Times New Roman" w:hAnsi="Times New Roman" w:cs="Times New Roman" w:eastAsiaTheme="minorEastAsia"/>
                          <w:sz w:val="21"/>
                          <w:szCs w:val="21"/>
                        </w:rPr>
                      </w:pPr>
                      <w:r>
                        <w:rPr>
                          <w:rFonts w:ascii="Times New Roman" w:hAnsi="Times New Roman" w:cs="Times New Roman" w:eastAsiaTheme="minorEastAsia"/>
                          <w:kern w:val="24"/>
                          <w:sz w:val="21"/>
                          <w:szCs w:val="21"/>
                        </w:rPr>
                        <w:t>T+1</w:t>
                      </w:r>
                    </w:p>
                  </w:txbxContent>
                </v:textbox>
              </v:shape>
            </w:pict>
          </mc:Fallback>
        </mc:AlternateContent>
      </w:r>
      <w:r>
        <w:rPr>
          <w:rFonts w:ascii="Times New Roman" w:hAnsi="Times New Roman" w:eastAsia="仿宋_GB2312" w:cs="Times New Roman"/>
          <w:sz w:val="30"/>
          <w:szCs w:val="30"/>
        </w:rPr>
        <mc:AlternateContent>
          <mc:Choice Requires="wps">
            <w:drawing>
              <wp:anchor distT="0" distB="0" distL="114300" distR="114300" simplePos="0" relativeHeight="251674624" behindDoc="0" locked="0" layoutInCell="1" allowOverlap="1">
                <wp:simplePos x="0" y="0"/>
                <wp:positionH relativeFrom="column">
                  <wp:posOffset>2694305</wp:posOffset>
                </wp:positionH>
                <wp:positionV relativeFrom="paragraph">
                  <wp:posOffset>220345</wp:posOffset>
                </wp:positionV>
                <wp:extent cx="541655" cy="281940"/>
                <wp:effectExtent l="0" t="0" r="0" b="0"/>
                <wp:wrapNone/>
                <wp:docPr id="31" name="Text Box 288"/>
                <wp:cNvGraphicFramePr/>
                <a:graphic xmlns:a="http://schemas.openxmlformats.org/drawingml/2006/main">
                  <a:graphicData uri="http://schemas.microsoft.com/office/word/2010/wordprocessingShape">
                    <wps:wsp>
                      <wps:cNvSpPr txBox="1">
                        <a:spLocks noChangeArrowheads="1"/>
                      </wps:cNvSpPr>
                      <wps:spPr bwMode="auto">
                        <a:xfrm>
                          <a:off x="0" y="0"/>
                          <a:ext cx="541655" cy="281940"/>
                        </a:xfrm>
                        <a:prstGeom prst="rect">
                          <a:avLst/>
                        </a:prstGeom>
                        <a:noFill/>
                        <a:ln>
                          <a:noFill/>
                        </a:ln>
                        <a:effectLst/>
                      </wps:spPr>
                      <wps:txbx>
                        <w:txbxContent>
                          <w:p w14:paraId="447A6C9E">
                            <w:pPr>
                              <w:pStyle w:val="16"/>
                              <w:spacing w:before="0" w:beforeAutospacing="0" w:after="0" w:afterAutospacing="0" w:line="300" w:lineRule="exact"/>
                              <w:ind w:firstLine="0" w:firstLineChars="0"/>
                              <w:rPr>
                                <w:rFonts w:ascii="Times New Roman" w:hAnsi="Times New Roman" w:cs="Times New Roman" w:eastAsiaTheme="minorEastAsia"/>
                                <w:sz w:val="21"/>
                                <w:szCs w:val="21"/>
                              </w:rPr>
                            </w:pPr>
                            <w:r>
                              <w:rPr>
                                <w:rFonts w:ascii="Times New Roman" w:hAnsi="Times New Roman" w:cs="Times New Roman" w:eastAsiaTheme="minorEastAsia"/>
                                <w:kern w:val="24"/>
                                <w:sz w:val="21"/>
                                <w:szCs w:val="21"/>
                              </w:rPr>
                              <w:t>R-2</w:t>
                            </w:r>
                          </w:p>
                        </w:txbxContent>
                      </wps:txbx>
                      <wps:bodyPr rot="0" vert="horz" wrap="square" lIns="91440" tIns="45720" rIns="91440" bIns="45720" anchor="t" anchorCtr="0" upright="1">
                        <a:spAutoFit/>
                      </wps:bodyPr>
                    </wps:wsp>
                  </a:graphicData>
                </a:graphic>
              </wp:anchor>
            </w:drawing>
          </mc:Choice>
          <mc:Fallback>
            <w:pict>
              <v:shape id="Text Box 288" o:spid="_x0000_s1026" o:spt="202" type="#_x0000_t202" style="position:absolute;left:0pt;margin-left:212.15pt;margin-top:17.35pt;height:22.2pt;width:42.65pt;z-index:251674624;mso-width-relative:page;mso-height-relative:page;" filled="f" stroked="f" coordsize="21600,21600" o:gfxdata="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">
                <v:fill on="f" focussize="0,0"/>
                <v:stroke on="f"/>
                <v:imagedata o:title=""/>
                <o:lock v:ext="edit" aspectratio="f"/>
                <v:textbox style="mso-fit-shape-to-text:t;">
                  <w:txbxContent>
                    <w:p w14:paraId="447A6C9E">
                      <w:pPr>
                        <w:pStyle w:val="16"/>
                        <w:spacing w:before="0" w:beforeAutospacing="0" w:after="0" w:afterAutospacing="0" w:line="300" w:lineRule="exact"/>
                        <w:ind w:firstLine="0" w:firstLineChars="0"/>
                        <w:rPr>
                          <w:rFonts w:ascii="Times New Roman" w:hAnsi="Times New Roman" w:cs="Times New Roman" w:eastAsiaTheme="minorEastAsia"/>
                          <w:sz w:val="21"/>
                          <w:szCs w:val="21"/>
                        </w:rPr>
                      </w:pPr>
                      <w:r>
                        <w:rPr>
                          <w:rFonts w:ascii="Times New Roman" w:hAnsi="Times New Roman" w:cs="Times New Roman" w:eastAsiaTheme="minorEastAsia"/>
                          <w:kern w:val="24"/>
                          <w:sz w:val="21"/>
                          <w:szCs w:val="21"/>
                        </w:rPr>
                        <w:t>R-2</w:t>
                      </w:r>
                    </w:p>
                  </w:txbxContent>
                </v:textbox>
              </v:shape>
            </w:pict>
          </mc:Fallback>
        </mc:AlternateContent>
      </w:r>
      <w:r>
        <w:rPr>
          <w:rFonts w:ascii="Times New Roman" w:hAnsi="Times New Roman" w:eastAsia="仿宋_GB2312" w:cs="Times New Roman"/>
          <w:sz w:val="30"/>
          <w:szCs w:val="30"/>
        </w:rPr>
        <mc:AlternateContent>
          <mc:Choice Requires="wps">
            <w:drawing>
              <wp:anchor distT="0" distB="0" distL="114300" distR="114300" simplePos="0" relativeHeight="251668480" behindDoc="0" locked="0" layoutInCell="1" allowOverlap="1">
                <wp:simplePos x="0" y="0"/>
                <wp:positionH relativeFrom="column">
                  <wp:posOffset>544195</wp:posOffset>
                </wp:positionH>
                <wp:positionV relativeFrom="paragraph">
                  <wp:posOffset>240665</wp:posOffset>
                </wp:positionV>
                <wp:extent cx="699770" cy="281940"/>
                <wp:effectExtent l="0" t="0" r="0" b="0"/>
                <wp:wrapNone/>
                <wp:docPr id="26" name="Text Box 279"/>
                <wp:cNvGraphicFramePr/>
                <a:graphic xmlns:a="http://schemas.openxmlformats.org/drawingml/2006/main">
                  <a:graphicData uri="http://schemas.microsoft.com/office/word/2010/wordprocessingShape">
                    <wps:wsp>
                      <wps:cNvSpPr txBox="1">
                        <a:spLocks noChangeArrowheads="1"/>
                      </wps:cNvSpPr>
                      <wps:spPr bwMode="auto">
                        <a:xfrm>
                          <a:off x="0" y="0"/>
                          <a:ext cx="699770" cy="281940"/>
                        </a:xfrm>
                        <a:prstGeom prst="rect">
                          <a:avLst/>
                        </a:prstGeom>
                        <a:noFill/>
                        <a:ln>
                          <a:noFill/>
                        </a:ln>
                        <a:effectLst/>
                      </wps:spPr>
                      <wps:txbx>
                        <w:txbxContent>
                          <w:p w14:paraId="1D9BC8B2">
                            <w:pPr>
                              <w:pStyle w:val="16"/>
                              <w:spacing w:before="0" w:beforeAutospacing="0" w:after="0" w:afterAutospacing="0" w:line="300" w:lineRule="exact"/>
                              <w:ind w:firstLine="0" w:firstLineChars="0"/>
                              <w:rPr>
                                <w:rFonts w:ascii="Times New Roman" w:hAnsi="Times New Roman" w:cs="Times New Roman" w:eastAsiaTheme="minorEastAsia"/>
                                <w:sz w:val="21"/>
                                <w:szCs w:val="21"/>
                              </w:rPr>
                            </w:pPr>
                            <w:r>
                              <w:rPr>
                                <w:rFonts w:ascii="Times New Roman" w:hAnsi="Times New Roman" w:cs="Times New Roman" w:eastAsiaTheme="minorEastAsia"/>
                                <w:kern w:val="24"/>
                                <w:sz w:val="21"/>
                                <w:szCs w:val="21"/>
                              </w:rPr>
                              <w:t>R-6前</w:t>
                            </w:r>
                          </w:p>
                        </w:txbxContent>
                      </wps:txbx>
                      <wps:bodyPr rot="0" vert="horz" wrap="square" lIns="91440" tIns="45720" rIns="91440" bIns="45720" anchor="t" anchorCtr="0" upright="1">
                        <a:spAutoFit/>
                      </wps:bodyPr>
                    </wps:wsp>
                  </a:graphicData>
                </a:graphic>
              </wp:anchor>
            </w:drawing>
          </mc:Choice>
          <mc:Fallback>
            <w:pict>
              <v:shape id="Text Box 279" o:spid="_x0000_s1026" o:spt="202" type="#_x0000_t202" style="position:absolute;left:0pt;margin-left:42.85pt;margin-top:18.95pt;height:22.2pt;width:55.1pt;z-index:251668480;mso-width-relative:page;mso-height-relative:page;" filled="f" stroked="f" coordsize="21600,21600" o:gfxdata="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OAALl/WAAAACAEAAA8AAAAAAAAAAQAgAAAA&#10;IgAAAGRycy9kb3ducmV2LnhtbFBLAQIUABQAAAAIAIdO4kCK2ZW6DQIAACQEAAAOAAAAAAAAAAEA&#10;IAAAACUBAABkcnMvZTJvRG9jLnhtbFBLBQYAAAAABgAGAFkBAACkBQAAAAA=&#10;">
                <v:fill on="f" focussize="0,0"/>
                <v:stroke on="f"/>
                <v:imagedata o:title=""/>
                <o:lock v:ext="edit" aspectratio="f"/>
                <v:textbox style="mso-fit-shape-to-text:t;">
                  <w:txbxContent>
                    <w:p w14:paraId="1D9BC8B2">
                      <w:pPr>
                        <w:pStyle w:val="16"/>
                        <w:spacing w:before="0" w:beforeAutospacing="0" w:after="0" w:afterAutospacing="0" w:line="300" w:lineRule="exact"/>
                        <w:ind w:firstLine="0" w:firstLineChars="0"/>
                        <w:rPr>
                          <w:rFonts w:ascii="Times New Roman" w:hAnsi="Times New Roman" w:cs="Times New Roman" w:eastAsiaTheme="minorEastAsia"/>
                          <w:sz w:val="21"/>
                          <w:szCs w:val="21"/>
                        </w:rPr>
                      </w:pPr>
                      <w:r>
                        <w:rPr>
                          <w:rFonts w:ascii="Times New Roman" w:hAnsi="Times New Roman" w:cs="Times New Roman" w:eastAsiaTheme="minorEastAsia"/>
                          <w:kern w:val="24"/>
                          <w:sz w:val="21"/>
                          <w:szCs w:val="21"/>
                        </w:rPr>
                        <w:t>R-6前</w:t>
                      </w:r>
                    </w:p>
                  </w:txbxContent>
                </v:textbox>
              </v:shape>
            </w:pict>
          </mc:Fallback>
        </mc:AlternateContent>
      </w:r>
      <w:r>
        <w:rPr>
          <w:rFonts w:ascii="Times New Roman" w:hAnsi="Times New Roman" w:eastAsia="仿宋_GB2312" w:cs="Times New Roman"/>
          <w:sz w:val="30"/>
          <w:szCs w:val="30"/>
        </w:rPr>
        <mc:AlternateContent>
          <mc:Choice Requires="wps">
            <w:drawing>
              <wp:anchor distT="0" distB="0" distL="114300" distR="114300" simplePos="0" relativeHeight="251673600" behindDoc="0" locked="0" layoutInCell="1" allowOverlap="1">
                <wp:simplePos x="0" y="0"/>
                <wp:positionH relativeFrom="column">
                  <wp:posOffset>2863215</wp:posOffset>
                </wp:positionH>
                <wp:positionV relativeFrom="paragraph">
                  <wp:posOffset>104140</wp:posOffset>
                </wp:positionV>
                <wp:extent cx="0" cy="107950"/>
                <wp:effectExtent l="9525" t="0" r="9525" b="6350"/>
                <wp:wrapNone/>
                <wp:docPr id="30" name="Line 287"/>
                <wp:cNvGraphicFramePr/>
                <a:graphic xmlns:a="http://schemas.openxmlformats.org/drawingml/2006/main">
                  <a:graphicData uri="http://schemas.microsoft.com/office/word/2010/wordprocessingShape">
                    <wps:wsp>
                      <wps:cNvCnPr>
                        <a:cxnSpLocks noChangeShapeType="1"/>
                      </wps:cNvCnPr>
                      <wps:spPr bwMode="auto">
                        <a:xfrm>
                          <a:off x="0" y="0"/>
                          <a:ext cx="0" cy="107950"/>
                        </a:xfrm>
                        <a:prstGeom prst="line">
                          <a:avLst/>
                        </a:prstGeom>
                        <a:noFill/>
                        <a:ln w="19050">
                          <a:solidFill>
                            <a:srgbClr val="000000"/>
                          </a:solidFill>
                          <a:miter lim="800000"/>
                        </a:ln>
                        <a:effectLst/>
                      </wps:spPr>
                      <wps:bodyPr/>
                    </wps:wsp>
                  </a:graphicData>
                </a:graphic>
              </wp:anchor>
            </w:drawing>
          </mc:Choice>
          <mc:Fallback>
            <w:pict>
              <v:line id="Line 287" o:spid="_x0000_s1026" o:spt="20" style="position:absolute;left:0pt;margin-left:225.45pt;margin-top:8.2pt;height:8.5pt;width:0pt;z-index:251673600;mso-width-relative:page;mso-height-relative:page;" filled="f" stroked="t" coordsize="21600,21600" o:gfxdata="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">
                <v:fill on="f" focussize="0,0"/>
                <v:stroke weight="1.5pt" color="#000000" miterlimit="8" joinstyle="miter"/>
                <v:imagedata o:title=""/>
                <o:lock v:ext="edit" aspectratio="f"/>
              </v:line>
            </w:pict>
          </mc:Fallback>
        </mc:AlternateContent>
      </w:r>
      <w:r>
        <w:rPr>
          <w:rFonts w:ascii="Times New Roman" w:hAnsi="Times New Roman" w:eastAsia="仿宋_GB2312" w:cs="Times New Roman"/>
          <w:sz w:val="30"/>
          <w:szCs w:val="30"/>
        </w:rPr>
        <mc:AlternateContent>
          <mc:Choice Requires="wps">
            <w:drawing>
              <wp:anchor distT="0" distB="0" distL="114300" distR="114300" simplePos="0" relativeHeight="251669504" behindDoc="0" locked="0" layoutInCell="1" allowOverlap="1">
                <wp:simplePos x="0" y="0"/>
                <wp:positionH relativeFrom="column">
                  <wp:posOffset>1457325</wp:posOffset>
                </wp:positionH>
                <wp:positionV relativeFrom="paragraph">
                  <wp:posOffset>228600</wp:posOffset>
                </wp:positionV>
                <wp:extent cx="948690" cy="281940"/>
                <wp:effectExtent l="0" t="0" r="0" b="0"/>
                <wp:wrapNone/>
                <wp:docPr id="27" name="Text Box 280"/>
                <wp:cNvGraphicFramePr/>
                <a:graphic xmlns:a="http://schemas.openxmlformats.org/drawingml/2006/main">
                  <a:graphicData uri="http://schemas.microsoft.com/office/word/2010/wordprocessingShape">
                    <wps:wsp>
                      <wps:cNvSpPr txBox="1">
                        <a:spLocks noChangeArrowheads="1"/>
                      </wps:cNvSpPr>
                      <wps:spPr bwMode="auto">
                        <a:xfrm>
                          <a:off x="0" y="0"/>
                          <a:ext cx="948690" cy="281940"/>
                        </a:xfrm>
                        <a:prstGeom prst="rect">
                          <a:avLst/>
                        </a:prstGeom>
                        <a:noFill/>
                        <a:ln>
                          <a:noFill/>
                        </a:ln>
                        <a:effectLst/>
                      </wps:spPr>
                      <wps:txbx>
                        <w:txbxContent>
                          <w:p w14:paraId="4DC2BA48">
                            <w:pPr>
                              <w:pStyle w:val="16"/>
                              <w:spacing w:before="0" w:beforeAutospacing="0" w:after="0" w:afterAutospacing="0" w:line="300" w:lineRule="exact"/>
                              <w:ind w:firstLine="0" w:firstLineChars="0"/>
                              <w:rPr>
                                <w:rFonts w:ascii="Times New Roman" w:hAnsi="Times New Roman" w:cs="Times New Roman" w:eastAsiaTheme="minorEastAsia"/>
                                <w:sz w:val="21"/>
                                <w:szCs w:val="21"/>
                              </w:rPr>
                            </w:pPr>
                            <w:r>
                              <w:rPr>
                                <w:rFonts w:ascii="Times New Roman" w:hAnsi="Times New Roman" w:cs="Times New Roman" w:eastAsiaTheme="minorEastAsia"/>
                                <w:kern w:val="24"/>
                                <w:sz w:val="21"/>
                                <w:szCs w:val="21"/>
                              </w:rPr>
                              <w:t>R-4 12点前</w:t>
                            </w:r>
                          </w:p>
                        </w:txbxContent>
                      </wps:txbx>
                      <wps:bodyPr rot="0" vert="horz" wrap="square" lIns="91440" tIns="45720" rIns="91440" bIns="45720" anchor="t" anchorCtr="0" upright="1">
                        <a:spAutoFit/>
                      </wps:bodyPr>
                    </wps:wsp>
                  </a:graphicData>
                </a:graphic>
              </wp:anchor>
            </w:drawing>
          </mc:Choice>
          <mc:Fallback>
            <w:pict>
              <v:shape id="Text Box 280" o:spid="_x0000_s1026" o:spt="202" type="#_x0000_t202" style="position:absolute;left:0pt;margin-left:114.75pt;margin-top:18pt;height:22.2pt;width:74.7pt;z-index:251669504;mso-width-relative:page;mso-height-relative:page;" filled="f" stroked="f" coordsize="21600,21600" o:gfxdata="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5reRdNcAAAAJAQAADwAAAAAAAAABACAAAAAi&#10;AAAAZHJzL2Rvd25yZXYueG1sUEsBAhQAFAAAAAgAh07iQHU+kqgLAgAAJAQAAA4AAAAAAAAAAQAg&#10;AAAAJgEAAGRycy9lMm9Eb2MueG1sUEsFBgAAAAAGAAYAWQEAAKMFAAAAAA==&#10;">
                <v:fill on="f" focussize="0,0"/>
                <v:stroke on="f"/>
                <v:imagedata o:title=""/>
                <o:lock v:ext="edit" aspectratio="f"/>
                <v:textbox style="mso-fit-shape-to-text:t;">
                  <w:txbxContent>
                    <w:p w14:paraId="4DC2BA48">
                      <w:pPr>
                        <w:pStyle w:val="16"/>
                        <w:spacing w:before="0" w:beforeAutospacing="0" w:after="0" w:afterAutospacing="0" w:line="300" w:lineRule="exact"/>
                        <w:ind w:firstLine="0" w:firstLineChars="0"/>
                        <w:rPr>
                          <w:rFonts w:ascii="Times New Roman" w:hAnsi="Times New Roman" w:cs="Times New Roman" w:eastAsiaTheme="minorEastAsia"/>
                          <w:sz w:val="21"/>
                          <w:szCs w:val="21"/>
                        </w:rPr>
                      </w:pPr>
                      <w:r>
                        <w:rPr>
                          <w:rFonts w:ascii="Times New Roman" w:hAnsi="Times New Roman" w:cs="Times New Roman" w:eastAsiaTheme="minorEastAsia"/>
                          <w:kern w:val="24"/>
                          <w:sz w:val="21"/>
                          <w:szCs w:val="21"/>
                        </w:rPr>
                        <w:t>R-4 12点前</w:t>
                      </w:r>
                    </w:p>
                  </w:txbxContent>
                </v:textbox>
              </v:shape>
            </w:pict>
          </mc:Fallback>
        </mc:AlternateContent>
      </w:r>
      <w:r>
        <w:rPr>
          <w:rFonts w:ascii="Times New Roman" w:hAnsi="Times New Roman" w:eastAsia="仿宋_GB2312" w:cs="Times New Roman"/>
          <w:sz w:val="30"/>
          <w:szCs w:val="30"/>
        </w:rPr>
        <mc:AlternateContent>
          <mc:Choice Requires="wps">
            <w:drawing>
              <wp:anchor distT="0" distB="0" distL="114300" distR="114300" simplePos="0" relativeHeight="251667456" behindDoc="0" locked="0" layoutInCell="1" allowOverlap="1">
                <wp:simplePos x="0" y="0"/>
                <wp:positionH relativeFrom="column">
                  <wp:posOffset>4526280</wp:posOffset>
                </wp:positionH>
                <wp:positionV relativeFrom="paragraph">
                  <wp:posOffset>120650</wp:posOffset>
                </wp:positionV>
                <wp:extent cx="0" cy="107950"/>
                <wp:effectExtent l="9525" t="0" r="9525" b="6350"/>
                <wp:wrapNone/>
                <wp:docPr id="24" name="Line 278"/>
                <wp:cNvGraphicFramePr/>
                <a:graphic xmlns:a="http://schemas.openxmlformats.org/drawingml/2006/main">
                  <a:graphicData uri="http://schemas.microsoft.com/office/word/2010/wordprocessingShape">
                    <wps:wsp>
                      <wps:cNvCnPr>
                        <a:cxnSpLocks noChangeShapeType="1"/>
                      </wps:cNvCnPr>
                      <wps:spPr bwMode="auto">
                        <a:xfrm>
                          <a:off x="0" y="0"/>
                          <a:ext cx="0" cy="107950"/>
                        </a:xfrm>
                        <a:prstGeom prst="line">
                          <a:avLst/>
                        </a:prstGeom>
                        <a:noFill/>
                        <a:ln w="19050">
                          <a:solidFill>
                            <a:srgbClr val="000000"/>
                          </a:solidFill>
                          <a:miter lim="800000"/>
                        </a:ln>
                        <a:effectLst/>
                      </wps:spPr>
                      <wps:bodyPr/>
                    </wps:wsp>
                  </a:graphicData>
                </a:graphic>
              </wp:anchor>
            </w:drawing>
          </mc:Choice>
          <mc:Fallback>
            <w:pict>
              <v:line id="Line 278" o:spid="_x0000_s1026" o:spt="20" style="position:absolute;left:0pt;margin-left:356.4pt;margin-top:9.5pt;height:8.5pt;width:0pt;z-index:251667456;mso-width-relative:page;mso-height-relative:page;" filled="f" stroked="t" coordsize="21600,21600" o:gfxdata="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">
                <v:fill on="f" focussize="0,0"/>
                <v:stroke weight="1.5pt" color="#000000" miterlimit="8" joinstyle="miter"/>
                <v:imagedata o:title=""/>
                <o:lock v:ext="edit" aspectratio="f"/>
              </v:line>
            </w:pict>
          </mc:Fallback>
        </mc:AlternateContent>
      </w:r>
      <w:r>
        <w:rPr>
          <w:rFonts w:ascii="Times New Roman" w:hAnsi="Times New Roman" w:eastAsia="仿宋_GB2312" w:cs="Times New Roman"/>
          <w:sz w:val="30"/>
          <w:szCs w:val="30"/>
        </w:rPr>
        <mc:AlternateContent>
          <mc:Choice Requires="wps">
            <w:drawing>
              <wp:anchor distT="0" distB="0" distL="114300" distR="114300" simplePos="0" relativeHeight="251666432" behindDoc="0" locked="0" layoutInCell="1" allowOverlap="1">
                <wp:simplePos x="0" y="0"/>
                <wp:positionH relativeFrom="column">
                  <wp:posOffset>3782060</wp:posOffset>
                </wp:positionH>
                <wp:positionV relativeFrom="paragraph">
                  <wp:posOffset>120650</wp:posOffset>
                </wp:positionV>
                <wp:extent cx="0" cy="107950"/>
                <wp:effectExtent l="9525" t="0" r="9525" b="6350"/>
                <wp:wrapNone/>
                <wp:docPr id="23" name="Line 277"/>
                <wp:cNvGraphicFramePr/>
                <a:graphic xmlns:a="http://schemas.openxmlformats.org/drawingml/2006/main">
                  <a:graphicData uri="http://schemas.microsoft.com/office/word/2010/wordprocessingShape">
                    <wps:wsp>
                      <wps:cNvCnPr>
                        <a:cxnSpLocks noChangeShapeType="1"/>
                      </wps:cNvCnPr>
                      <wps:spPr bwMode="auto">
                        <a:xfrm>
                          <a:off x="0" y="0"/>
                          <a:ext cx="0" cy="107950"/>
                        </a:xfrm>
                        <a:prstGeom prst="line">
                          <a:avLst/>
                        </a:prstGeom>
                        <a:noFill/>
                        <a:ln w="19050">
                          <a:solidFill>
                            <a:srgbClr val="000000"/>
                          </a:solidFill>
                          <a:miter lim="800000"/>
                        </a:ln>
                        <a:effectLst/>
                      </wps:spPr>
                      <wps:bodyPr/>
                    </wps:wsp>
                  </a:graphicData>
                </a:graphic>
              </wp:anchor>
            </w:drawing>
          </mc:Choice>
          <mc:Fallback>
            <w:pict>
              <v:line id="Line 277" o:spid="_x0000_s1026" o:spt="20" style="position:absolute;left:0pt;margin-left:297.8pt;margin-top:9.5pt;height:8.5pt;width:0pt;z-index:251666432;mso-width-relative:page;mso-height-relative:page;" filled="f" stroked="t" coordsize="21600,21600" o:gfxdata="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">
                <v:fill on="f" focussize="0,0"/>
                <v:stroke weight="1.5pt" color="#000000" miterlimit="8" joinstyle="miter"/>
                <v:imagedata o:title=""/>
                <o:lock v:ext="edit" aspectratio="f"/>
              </v:line>
            </w:pict>
          </mc:Fallback>
        </mc:AlternateContent>
      </w:r>
      <w:r>
        <w:rPr>
          <w:rFonts w:ascii="Times New Roman" w:hAnsi="Times New Roman" w:eastAsia="仿宋_GB2312" w:cs="Times New Roman"/>
          <w:sz w:val="30"/>
          <w:szCs w:val="30"/>
        </w:rPr>
        <mc:AlternateContent>
          <mc:Choice Requires="wps">
            <w:drawing>
              <wp:anchor distT="0" distB="0" distL="114300" distR="114300" simplePos="0" relativeHeight="251665408" behindDoc="0" locked="0" layoutInCell="1" allowOverlap="1">
                <wp:simplePos x="0" y="0"/>
                <wp:positionH relativeFrom="column">
                  <wp:posOffset>1904365</wp:posOffset>
                </wp:positionH>
                <wp:positionV relativeFrom="paragraph">
                  <wp:posOffset>120650</wp:posOffset>
                </wp:positionV>
                <wp:extent cx="0" cy="107950"/>
                <wp:effectExtent l="9525" t="0" r="9525" b="6350"/>
                <wp:wrapNone/>
                <wp:docPr id="22" name="Line 276"/>
                <wp:cNvGraphicFramePr/>
                <a:graphic xmlns:a="http://schemas.openxmlformats.org/drawingml/2006/main">
                  <a:graphicData uri="http://schemas.microsoft.com/office/word/2010/wordprocessingShape">
                    <wps:wsp>
                      <wps:cNvCnPr>
                        <a:cxnSpLocks noChangeShapeType="1"/>
                      </wps:cNvCnPr>
                      <wps:spPr bwMode="auto">
                        <a:xfrm>
                          <a:off x="0" y="0"/>
                          <a:ext cx="0" cy="107950"/>
                        </a:xfrm>
                        <a:prstGeom prst="line">
                          <a:avLst/>
                        </a:prstGeom>
                        <a:noFill/>
                        <a:ln w="19050">
                          <a:solidFill>
                            <a:srgbClr val="000000"/>
                          </a:solidFill>
                          <a:miter lim="800000"/>
                        </a:ln>
                        <a:effectLst/>
                      </wps:spPr>
                      <wps:bodyPr/>
                    </wps:wsp>
                  </a:graphicData>
                </a:graphic>
              </wp:anchor>
            </w:drawing>
          </mc:Choice>
          <mc:Fallback>
            <w:pict>
              <v:line id="Line 276" o:spid="_x0000_s1026" o:spt="20" style="position:absolute;left:0pt;margin-left:149.95pt;margin-top:9.5pt;height:8.5pt;width:0pt;z-index:251665408;mso-width-relative:page;mso-height-relative:page;" filled="f" stroked="t" coordsize="21600,21600" o:gfxdata="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">
                <v:fill on="f" focussize="0,0"/>
                <v:stroke weight="1.5pt" color="#000000" miterlimit="8" joinstyle="miter"/>
                <v:imagedata o:title=""/>
                <o:lock v:ext="edit" aspectratio="f"/>
              </v:line>
            </w:pict>
          </mc:Fallback>
        </mc:AlternateContent>
      </w:r>
      <w:r>
        <w:rPr>
          <w:rFonts w:ascii="Times New Roman" w:hAnsi="Times New Roman" w:eastAsia="仿宋_GB2312" w:cs="Times New Roman"/>
          <w:sz w:val="30"/>
          <w:szCs w:val="30"/>
        </w:rPr>
        <mc:AlternateContent>
          <mc:Choice Requires="wps">
            <w:drawing>
              <wp:anchor distT="0" distB="0" distL="114300" distR="114300" simplePos="0" relativeHeight="251664384" behindDoc="0" locked="0" layoutInCell="1" allowOverlap="1">
                <wp:simplePos x="0" y="0"/>
                <wp:positionH relativeFrom="column">
                  <wp:posOffset>812165</wp:posOffset>
                </wp:positionH>
                <wp:positionV relativeFrom="paragraph">
                  <wp:posOffset>220345</wp:posOffset>
                </wp:positionV>
                <wp:extent cx="4319905" cy="0"/>
                <wp:effectExtent l="0" t="38100" r="4445" b="38100"/>
                <wp:wrapNone/>
                <wp:docPr id="21" name="AutoShape 275"/>
                <wp:cNvGraphicFramePr/>
                <a:graphic xmlns:a="http://schemas.openxmlformats.org/drawingml/2006/main">
                  <a:graphicData uri="http://schemas.microsoft.com/office/word/2010/wordprocessingShape">
                    <wps:wsp>
                      <wps:cNvCnPr>
                        <a:cxnSpLocks noChangeShapeType="1"/>
                      </wps:cNvCnPr>
                      <wps:spPr bwMode="auto">
                        <a:xfrm>
                          <a:off x="0" y="0"/>
                          <a:ext cx="4319905" cy="0"/>
                        </a:xfrm>
                        <a:prstGeom prst="straightConnector1">
                          <a:avLst/>
                        </a:prstGeom>
                        <a:noFill/>
                        <a:ln w="19050">
                          <a:solidFill>
                            <a:srgbClr val="000000"/>
                          </a:solidFill>
                          <a:miter lim="800000"/>
                          <a:tailEnd type="triangle" w="med" len="med"/>
                        </a:ln>
                        <a:effectLst/>
                      </wps:spPr>
                      <wps:bodyPr/>
                    </wps:wsp>
                  </a:graphicData>
                </a:graphic>
              </wp:anchor>
            </w:drawing>
          </mc:Choice>
          <mc:Fallback>
            <w:pict>
              <v:shape id="AutoShape 275" o:spid="_x0000_s1026" o:spt="32" type="#_x0000_t32" style="position:absolute;left:0pt;margin-left:63.95pt;margin-top:17.35pt;height:0pt;width:340.15pt;z-index:251664384;mso-width-relative:page;mso-height-relative:page;" filled="f" stroked="t" coordsize="21600,21600" o:gfxdata="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">
                <v:fill on="f" focussize="0,0"/>
                <v:stroke weight="1.5pt" color="#000000" miterlimit="8" joinstyle="miter" endarrow="block"/>
                <v:imagedata o:title=""/>
                <o:lock v:ext="edit" aspectratio="f"/>
              </v:shape>
            </w:pict>
          </mc:Fallback>
        </mc:AlternateContent>
      </w:r>
      <w:r>
        <w:rPr>
          <w:rFonts w:ascii="Times New Roman" w:hAnsi="Times New Roman" w:eastAsia="仿宋_GB2312" w:cs="Times New Roman"/>
          <w:sz w:val="30"/>
          <w:szCs w:val="30"/>
        </w:rPr>
        <mc:AlternateContent>
          <mc:Choice Requires="wps">
            <w:drawing>
              <wp:anchor distT="0" distB="0" distL="114300" distR="114300" simplePos="0" relativeHeight="251663360" behindDoc="0" locked="0" layoutInCell="1" allowOverlap="1">
                <wp:simplePos x="0" y="0"/>
                <wp:positionH relativeFrom="column">
                  <wp:posOffset>812165</wp:posOffset>
                </wp:positionH>
                <wp:positionV relativeFrom="paragraph">
                  <wp:posOffset>120650</wp:posOffset>
                </wp:positionV>
                <wp:extent cx="0" cy="107950"/>
                <wp:effectExtent l="9525" t="0" r="9525" b="6350"/>
                <wp:wrapNone/>
                <wp:docPr id="20" name="Line 274"/>
                <wp:cNvGraphicFramePr/>
                <a:graphic xmlns:a="http://schemas.openxmlformats.org/drawingml/2006/main">
                  <a:graphicData uri="http://schemas.microsoft.com/office/word/2010/wordprocessingShape">
                    <wps:wsp>
                      <wps:cNvCnPr>
                        <a:cxnSpLocks noChangeShapeType="1"/>
                      </wps:cNvCnPr>
                      <wps:spPr bwMode="auto">
                        <a:xfrm>
                          <a:off x="0" y="0"/>
                          <a:ext cx="0" cy="107950"/>
                        </a:xfrm>
                        <a:prstGeom prst="line">
                          <a:avLst/>
                        </a:prstGeom>
                        <a:noFill/>
                        <a:ln w="19050">
                          <a:solidFill>
                            <a:srgbClr val="000000"/>
                          </a:solidFill>
                          <a:miter lim="800000"/>
                        </a:ln>
                        <a:effectLst/>
                      </wps:spPr>
                      <wps:bodyPr/>
                    </wps:wsp>
                  </a:graphicData>
                </a:graphic>
              </wp:anchor>
            </w:drawing>
          </mc:Choice>
          <mc:Fallback>
            <w:pict>
              <v:line id="Line 274" o:spid="_x0000_s1026" o:spt="20" style="position:absolute;left:0pt;margin-left:63.95pt;margin-top:9.5pt;height:8.5pt;width:0pt;z-index:251663360;mso-width-relative:page;mso-height-relative:page;" filled="f" stroked="t" coordsize="21600,21600" o:gfxdata="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">
                <v:fill on="f" focussize="0,0"/>
                <v:stroke weight="1.5pt" color="#000000" miterlimit="8" joinstyle="miter"/>
                <v:imagedata o:title=""/>
                <o:lock v:ext="edit" aspectratio="f"/>
              </v:line>
            </w:pict>
          </mc:Fallback>
        </mc:AlternateContent>
      </w:r>
      <w:r>
        <w:rPr>
          <w:rFonts w:ascii="Times New Roman" w:hAnsi="Times New Roman" w:eastAsia="仿宋_GB2312" w:cs="Times New Roman"/>
          <w:sz w:val="30"/>
          <w:szCs w:val="30"/>
        </w:rPr>
        <mc:AlternateContent>
          <mc:Choice Requires="wps">
            <w:drawing>
              <wp:anchor distT="0" distB="0" distL="114300" distR="114300" simplePos="0" relativeHeight="251662336" behindDoc="0" locked="0" layoutInCell="1" allowOverlap="1">
                <wp:simplePos x="0" y="0"/>
                <wp:positionH relativeFrom="column">
                  <wp:posOffset>2981325</wp:posOffset>
                </wp:positionH>
                <wp:positionV relativeFrom="paragraph">
                  <wp:posOffset>327025</wp:posOffset>
                </wp:positionV>
                <wp:extent cx="541655" cy="447040"/>
                <wp:effectExtent l="0" t="0" r="0" b="0"/>
                <wp:wrapNone/>
                <wp:docPr id="19" name="Text Box 273"/>
                <wp:cNvGraphicFramePr/>
                <a:graphic xmlns:a="http://schemas.openxmlformats.org/drawingml/2006/main">
                  <a:graphicData uri="http://schemas.microsoft.com/office/word/2010/wordprocessingShape">
                    <wps:wsp>
                      <wps:cNvSpPr txBox="1">
                        <a:spLocks noChangeArrowheads="1"/>
                      </wps:cNvSpPr>
                      <wps:spPr bwMode="auto">
                        <a:xfrm>
                          <a:off x="0" y="0"/>
                          <a:ext cx="541655" cy="447040"/>
                        </a:xfrm>
                        <a:prstGeom prst="rect">
                          <a:avLst/>
                        </a:prstGeom>
                        <a:noFill/>
                        <a:ln>
                          <a:noFill/>
                        </a:ln>
                        <a:effectLst/>
                      </wps:spPr>
                      <wps:txbx>
                        <w:txbxContent>
                          <w:p w14:paraId="0A70DD7D">
                            <w:pPr>
                              <w:pStyle w:val="16"/>
                              <w:spacing w:before="0" w:beforeAutospacing="0" w:after="0" w:afterAutospacing="0"/>
                              <w:ind w:firstLine="480"/>
                              <w:rPr>
                                <w:rFonts w:hint="eastAsia"/>
                              </w:rPr>
                            </w:pPr>
                          </w:p>
                        </w:txbxContent>
                      </wps:txbx>
                      <wps:bodyPr rot="0" vert="horz" wrap="square" lIns="91440" tIns="45720" rIns="91440" bIns="45720" anchor="t" anchorCtr="0" upright="1">
                        <a:spAutoFit/>
                      </wps:bodyPr>
                    </wps:wsp>
                  </a:graphicData>
                </a:graphic>
              </wp:anchor>
            </w:drawing>
          </mc:Choice>
          <mc:Fallback>
            <w:pict>
              <v:shape id="Text Box 273" o:spid="_x0000_s1026" o:spt="202" type="#_x0000_t202" style="position:absolute;left:0pt;margin-left:234.75pt;margin-top:25.75pt;height:35.2pt;width:42.65pt;z-index:251662336;mso-width-relative:page;mso-height-relative:page;" filled="f" stroked="f" coordsize="21600,21600" o:gfxdata="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5Bj8/1wAAAAoBAAAPAAAAAAAAAAEAIAAA&#10;ACIAAABkcnMvZG93bnJldi54bWxQSwECFAAUAAAACACHTuJAYFBDDQ0CAAAkBAAADgAAAAAAAAAB&#10;ACAAAAAmAQAAZHJzL2Uyb0RvYy54bWxQSwUGAAAAAAYABgBZAQAApQUAAAAA&#10;">
                <v:fill on="f" focussize="0,0"/>
                <v:stroke on="f"/>
                <v:imagedata o:title=""/>
                <o:lock v:ext="edit" aspectratio="f"/>
                <v:textbox style="mso-fit-shape-to-text:t;">
                  <w:txbxContent>
                    <w:p w14:paraId="0A70DD7D">
                      <w:pPr>
                        <w:pStyle w:val="16"/>
                        <w:spacing w:before="0" w:beforeAutospacing="0" w:after="0" w:afterAutospacing="0"/>
                        <w:ind w:firstLine="480"/>
                        <w:rPr>
                          <w:rFonts w:hint="eastAsia"/>
                        </w:rPr>
                      </w:pPr>
                    </w:p>
                  </w:txbxContent>
                </v:textbox>
              </v:shape>
            </w:pict>
          </mc:Fallback>
        </mc:AlternateContent>
      </w:r>
    </w:p>
    <w:p w14:paraId="376AE5D2">
      <w:pPr>
        <w:snapToGrid w:val="0"/>
        <w:spacing w:line="360" w:lineRule="auto"/>
        <w:ind w:firstLine="600"/>
        <w:rPr>
          <w:rFonts w:ascii="Times New Roman" w:hAnsi="Times New Roman"/>
          <w:color w:val="000000"/>
          <w:kern w:val="0"/>
          <w:szCs w:val="30"/>
        </w:rPr>
      </w:pPr>
    </w:p>
    <w:p w14:paraId="1AFF817B">
      <w:pPr>
        <w:widowControl/>
        <w:snapToGrid w:val="0"/>
        <w:spacing w:line="300" w:lineRule="exact"/>
        <w:ind w:firstLine="422"/>
        <w:jc w:val="center"/>
        <w:rPr>
          <w:rFonts w:ascii="Times New Roman" w:hAnsi="Times New Roman" w:eastAsiaTheme="minorEastAsia"/>
          <w:b/>
          <w:bCs/>
          <w:sz w:val="21"/>
          <w:szCs w:val="21"/>
        </w:rPr>
      </w:pPr>
      <w:r>
        <w:rPr>
          <w:rFonts w:ascii="Times New Roman" w:hAnsi="Times New Roman" w:eastAsiaTheme="minorEastAsia"/>
          <w:b/>
          <w:bCs/>
          <w:sz w:val="21"/>
          <w:szCs w:val="21"/>
        </w:rPr>
        <w:t>图2-4-1 公募REITs分红业务办理时间</w:t>
      </w:r>
    </w:p>
    <w:p w14:paraId="57171D81">
      <w:pPr>
        <w:ind w:firstLine="600"/>
        <w:rPr>
          <w:rFonts w:ascii="Times New Roman" w:hAnsi="Times New Roman"/>
          <w:kern w:val="0"/>
        </w:rPr>
      </w:pPr>
      <w:r>
        <w:rPr>
          <w:rFonts w:ascii="Times New Roman" w:hAnsi="Times New Roman"/>
          <w:kern w:val="0"/>
        </w:rPr>
        <w:t>基金管理人需至少在权益登记日</w:t>
      </w:r>
      <w:r>
        <w:rPr>
          <w:rFonts w:hint="eastAsia" w:ascii="Times New Roman" w:hAnsi="Times New Roman"/>
          <w:kern w:val="0"/>
        </w:rPr>
        <w:t>R</w:t>
      </w:r>
      <w:r>
        <w:rPr>
          <w:rFonts w:ascii="Times New Roman" w:hAnsi="Times New Roman"/>
          <w:kern w:val="0"/>
        </w:rPr>
        <w:t>前6个交易日根据中国结算相关要求，向中国结算上海分公司相关业务部提交</w:t>
      </w:r>
      <w:r>
        <w:rPr>
          <w:rFonts w:hint="eastAsia" w:ascii="Times New Roman" w:hAnsi="Times New Roman"/>
        </w:rPr>
        <w:t>公募</w:t>
      </w:r>
      <w:r>
        <w:rPr>
          <w:rFonts w:ascii="Times New Roman" w:hAnsi="Times New Roman"/>
          <w:kern w:val="0"/>
        </w:rPr>
        <w:t>REITs分红业务申请。</w:t>
      </w:r>
    </w:p>
    <w:p w14:paraId="2CD3C531">
      <w:pPr>
        <w:ind w:firstLine="600"/>
        <w:rPr>
          <w:rFonts w:ascii="Times New Roman" w:hAnsi="Times New Roman"/>
        </w:rPr>
      </w:pPr>
      <w:r>
        <w:rPr>
          <w:rFonts w:ascii="Times New Roman" w:hAnsi="Times New Roman"/>
          <w:kern w:val="0"/>
        </w:rPr>
        <w:t>基金管理人需至少在权益登记日</w:t>
      </w:r>
      <w:r>
        <w:rPr>
          <w:rFonts w:hint="eastAsia" w:ascii="Times New Roman" w:hAnsi="Times New Roman"/>
          <w:kern w:val="0"/>
        </w:rPr>
        <w:t>R</w:t>
      </w:r>
      <w:r>
        <w:rPr>
          <w:rFonts w:ascii="Times New Roman" w:hAnsi="Times New Roman"/>
          <w:kern w:val="0"/>
        </w:rPr>
        <w:t>前4个交易日提交分红公告（格式参考附件</w:t>
      </w:r>
      <w:r>
        <w:rPr>
          <w:rFonts w:hint="eastAsia" w:ascii="Times New Roman" w:hAnsi="Times New Roman"/>
          <w:kern w:val="0"/>
        </w:rPr>
        <w:t>4</w:t>
      </w:r>
      <w:r>
        <w:rPr>
          <w:rFonts w:ascii="Times New Roman" w:hAnsi="Times New Roman"/>
          <w:kern w:val="0"/>
        </w:rPr>
        <w:t>）</w:t>
      </w:r>
      <w:r>
        <w:rPr>
          <w:rFonts w:hint="eastAsia" w:ascii="Times New Roman" w:hAnsi="Times New Roman"/>
          <w:kern w:val="0"/>
        </w:rPr>
        <w:t>，并在公告中明确暂停恢复转托管事宜</w:t>
      </w:r>
      <w:r>
        <w:rPr>
          <w:rFonts w:ascii="Times New Roman" w:hAnsi="Times New Roman"/>
        </w:rPr>
        <w:t>。</w:t>
      </w:r>
    </w:p>
    <w:p w14:paraId="5340AEC8">
      <w:pPr>
        <w:pStyle w:val="4"/>
        <w:ind w:firstLine="602"/>
        <w:rPr>
          <w:rFonts w:ascii="Times New Roman" w:hAnsi="Times New Roman"/>
        </w:rPr>
      </w:pPr>
      <w:r>
        <w:rPr>
          <w:rFonts w:ascii="Times New Roman" w:hAnsi="Times New Roman"/>
        </w:rPr>
        <w:t>（三）具体操作</w:t>
      </w:r>
    </w:p>
    <w:p w14:paraId="737E2185">
      <w:pPr>
        <w:ind w:firstLine="600"/>
        <w:rPr>
          <w:rFonts w:ascii="Times New Roman" w:hAnsi="Times New Roman"/>
          <w:kern w:val="0"/>
        </w:rPr>
      </w:pPr>
      <w:r>
        <w:rPr>
          <w:rFonts w:ascii="Times New Roman" w:hAnsi="Times New Roman"/>
          <w:kern w:val="0"/>
        </w:rPr>
        <w:t>基金管理人通过</w:t>
      </w:r>
      <w:r>
        <w:rPr>
          <w:rFonts w:ascii="Times New Roman" w:hAnsi="Times New Roman"/>
        </w:rPr>
        <w:t>业务管理系统平台</w:t>
      </w:r>
      <w:r>
        <w:rPr>
          <w:rFonts w:ascii="Times New Roman" w:hAnsi="Times New Roman"/>
          <w:kern w:val="0"/>
        </w:rPr>
        <w:t>“REITs-分红”流程提交分红申请，填写业务要素相关信息，上传分红公告，上传材料均以PDF格式的电子文件提交。</w:t>
      </w:r>
    </w:p>
    <w:p w14:paraId="48D8D69D">
      <w:pPr>
        <w:pStyle w:val="3"/>
        <w:spacing w:before="156" w:after="156"/>
        <w:ind w:firstLine="643"/>
        <w:rPr>
          <w:rFonts w:ascii="Times New Roman" w:hAnsi="Times New Roman"/>
        </w:rPr>
      </w:pPr>
      <w:bookmarkStart w:id="38" w:name="_Toc217484335"/>
      <w:bookmarkStart w:id="39" w:name="_Toc402938032"/>
      <w:r>
        <w:rPr>
          <w:rFonts w:ascii="Times New Roman" w:hAnsi="Times New Roman"/>
        </w:rPr>
        <w:t>五、更名</w:t>
      </w:r>
      <w:bookmarkEnd w:id="36"/>
      <w:bookmarkEnd w:id="38"/>
      <w:bookmarkEnd w:id="39"/>
    </w:p>
    <w:p w14:paraId="41AE2312">
      <w:pPr>
        <w:pStyle w:val="4"/>
        <w:ind w:firstLine="602"/>
        <w:rPr>
          <w:rFonts w:ascii="Times New Roman" w:hAnsi="Times New Roman"/>
        </w:rPr>
      </w:pPr>
      <w:bookmarkStart w:id="40" w:name="_Toc72419520"/>
      <w:r>
        <w:rPr>
          <w:rFonts w:ascii="Times New Roman" w:hAnsi="Times New Roman"/>
        </w:rPr>
        <w:t>（一）适用情形</w:t>
      </w:r>
      <w:bookmarkEnd w:id="40"/>
    </w:p>
    <w:p w14:paraId="508441CE">
      <w:pPr>
        <w:widowControl/>
        <w:snapToGrid w:val="0"/>
        <w:ind w:firstLine="600"/>
        <w:rPr>
          <w:rFonts w:ascii="Times New Roman" w:hAnsi="Times New Roman"/>
          <w:kern w:val="0"/>
          <w:szCs w:val="30"/>
        </w:rPr>
      </w:pPr>
      <w:r>
        <w:rPr>
          <w:rFonts w:ascii="Times New Roman" w:hAnsi="Times New Roman"/>
          <w:kern w:val="0"/>
          <w:szCs w:val="30"/>
        </w:rPr>
        <w:t>本流程适用于公募REITs全称、</w:t>
      </w:r>
      <w:r>
        <w:rPr>
          <w:rFonts w:hint="eastAsia" w:ascii="Times New Roman" w:hAnsi="Times New Roman"/>
          <w:kern w:val="0"/>
          <w:szCs w:val="30"/>
        </w:rPr>
        <w:t>证券</w:t>
      </w:r>
      <w:r>
        <w:rPr>
          <w:rFonts w:ascii="Times New Roman" w:hAnsi="Times New Roman"/>
          <w:kern w:val="0"/>
          <w:szCs w:val="30"/>
        </w:rPr>
        <w:t>简称（场内短简称）、扩位简称的更名业务。</w:t>
      </w:r>
    </w:p>
    <w:p w14:paraId="7CDD549F">
      <w:pPr>
        <w:pStyle w:val="4"/>
        <w:ind w:firstLine="602"/>
        <w:rPr>
          <w:rFonts w:ascii="Times New Roman" w:hAnsi="Times New Roman"/>
        </w:rPr>
      </w:pPr>
      <w:bookmarkStart w:id="41" w:name="_Toc72419521"/>
      <w:r>
        <w:rPr>
          <w:rFonts w:ascii="Times New Roman" w:hAnsi="Times New Roman"/>
        </w:rPr>
        <mc:AlternateContent>
          <mc:Choice Requires="wps">
            <w:drawing>
              <wp:anchor distT="0" distB="0" distL="114300" distR="114300" simplePos="0" relativeHeight="251693056" behindDoc="1" locked="0" layoutInCell="1" allowOverlap="1">
                <wp:simplePos x="0" y="0"/>
                <wp:positionH relativeFrom="column">
                  <wp:posOffset>3181350</wp:posOffset>
                </wp:positionH>
                <wp:positionV relativeFrom="paragraph">
                  <wp:posOffset>351790</wp:posOffset>
                </wp:positionV>
                <wp:extent cx="1188085" cy="281940"/>
                <wp:effectExtent l="0" t="0" r="0" b="0"/>
                <wp:wrapNone/>
                <wp:docPr id="16" name="Text Box 296"/>
                <wp:cNvGraphicFramePr/>
                <a:graphic xmlns:a="http://schemas.openxmlformats.org/drawingml/2006/main">
                  <a:graphicData uri="http://schemas.microsoft.com/office/word/2010/wordprocessingShape">
                    <wps:wsp>
                      <wps:cNvSpPr txBox="1"/>
                      <wps:spPr>
                        <a:xfrm>
                          <a:off x="0" y="0"/>
                          <a:ext cx="1188085" cy="281940"/>
                        </a:xfrm>
                        <a:prstGeom prst="rect">
                          <a:avLst/>
                        </a:prstGeom>
                        <a:noFill/>
                        <a:ln>
                          <a:noFill/>
                        </a:ln>
                      </wps:spPr>
                      <wps:txbx>
                        <w:txbxContent>
                          <w:p w14:paraId="073EA1F4">
                            <w:pPr>
                              <w:pStyle w:val="16"/>
                              <w:spacing w:before="0" w:beforeAutospacing="0" w:after="0" w:afterAutospacing="0" w:line="300" w:lineRule="exact"/>
                              <w:ind w:firstLine="0" w:firstLineChars="0"/>
                              <w:rPr>
                                <w:rFonts w:hint="eastAsia"/>
                                <w:sz w:val="21"/>
                                <w:szCs w:val="21"/>
                              </w:rPr>
                            </w:pPr>
                            <w:r>
                              <w:rPr>
                                <w:rFonts w:hint="eastAsia" w:ascii="仿宋_GB2312" w:hAnsi="仿宋"/>
                                <w:sz w:val="21"/>
                                <w:szCs w:val="21"/>
                              </w:rPr>
                              <w:t>更名生效</w:t>
                            </w:r>
                            <w:r>
                              <w:rPr>
                                <w:rFonts w:ascii="仿宋_GB2312" w:hAnsi="仿宋"/>
                                <w:sz w:val="21"/>
                                <w:szCs w:val="21"/>
                              </w:rPr>
                              <w:t>日</w:t>
                            </w:r>
                          </w:p>
                        </w:txbxContent>
                      </wps:txbx>
                      <wps:bodyPr upright="1">
                        <a:spAutoFit/>
                      </wps:bodyPr>
                    </wps:wsp>
                  </a:graphicData>
                </a:graphic>
              </wp:anchor>
            </w:drawing>
          </mc:Choice>
          <mc:Fallback>
            <w:pict>
              <v:shape id="Text Box 296" o:spid="_x0000_s1026" o:spt="202" type="#_x0000_t202" style="position:absolute;left:0pt;margin-left:250.5pt;margin-top:27.7pt;height:22.2pt;width:93.55pt;z-index:-251623424;mso-width-relative:page;mso-height-relative:page;" filled="f" stroked="f" coordsize="21600,21600" o:gfxdata="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">
                <v:fill on="f" focussize="0,0"/>
                <v:stroke on="f"/>
                <v:imagedata o:title=""/>
                <o:lock v:ext="edit" aspectratio="f"/>
                <v:textbox style="mso-fit-shape-to-text:t;">
                  <w:txbxContent>
                    <w:p w14:paraId="073EA1F4">
                      <w:pPr>
                        <w:pStyle w:val="16"/>
                        <w:spacing w:before="0" w:beforeAutospacing="0" w:after="0" w:afterAutospacing="0" w:line="300" w:lineRule="exact"/>
                        <w:ind w:firstLine="0" w:firstLineChars="0"/>
                        <w:rPr>
                          <w:rFonts w:hint="eastAsia"/>
                          <w:sz w:val="21"/>
                          <w:szCs w:val="21"/>
                        </w:rPr>
                      </w:pPr>
                      <w:r>
                        <w:rPr>
                          <w:rFonts w:hint="eastAsia" w:ascii="仿宋_GB2312" w:hAnsi="仿宋"/>
                          <w:sz w:val="21"/>
                          <w:szCs w:val="21"/>
                        </w:rPr>
                        <w:t>更名生效</w:t>
                      </w:r>
                      <w:r>
                        <w:rPr>
                          <w:rFonts w:ascii="仿宋_GB2312" w:hAnsi="仿宋"/>
                          <w:sz w:val="21"/>
                          <w:szCs w:val="21"/>
                        </w:rPr>
                        <w:t>日</w:t>
                      </w:r>
                    </w:p>
                  </w:txbxContent>
                </v:textbox>
              </v:shape>
            </w:pict>
          </mc:Fallback>
        </mc:AlternateContent>
      </w:r>
      <w:r>
        <w:rPr>
          <w:rFonts w:ascii="Times New Roman" w:hAnsi="Times New Roman"/>
        </w:rPr>
        <mc:AlternateContent>
          <mc:Choice Requires="wps">
            <w:drawing>
              <wp:anchor distT="0" distB="0" distL="114300" distR="114300" simplePos="0" relativeHeight="251694080" behindDoc="1" locked="0" layoutInCell="1" allowOverlap="1">
                <wp:simplePos x="0" y="0"/>
                <wp:positionH relativeFrom="column">
                  <wp:posOffset>1312545</wp:posOffset>
                </wp:positionH>
                <wp:positionV relativeFrom="paragraph">
                  <wp:posOffset>313690</wp:posOffset>
                </wp:positionV>
                <wp:extent cx="1199515" cy="281940"/>
                <wp:effectExtent l="0" t="0" r="0" b="0"/>
                <wp:wrapNone/>
                <wp:docPr id="17" name="Text Box 297"/>
                <wp:cNvGraphicFramePr/>
                <a:graphic xmlns:a="http://schemas.openxmlformats.org/drawingml/2006/main">
                  <a:graphicData uri="http://schemas.microsoft.com/office/word/2010/wordprocessingShape">
                    <wps:wsp>
                      <wps:cNvSpPr txBox="1"/>
                      <wps:spPr>
                        <a:xfrm>
                          <a:off x="0" y="0"/>
                          <a:ext cx="1199515" cy="281940"/>
                        </a:xfrm>
                        <a:prstGeom prst="rect">
                          <a:avLst/>
                        </a:prstGeom>
                        <a:noFill/>
                        <a:ln>
                          <a:noFill/>
                        </a:ln>
                      </wps:spPr>
                      <wps:txbx>
                        <w:txbxContent>
                          <w:p w14:paraId="57D370AC">
                            <w:pPr>
                              <w:pStyle w:val="16"/>
                              <w:spacing w:before="0" w:beforeAutospacing="0" w:after="0" w:afterAutospacing="0" w:line="300" w:lineRule="exact"/>
                              <w:ind w:firstLine="0" w:firstLineChars="0"/>
                              <w:rPr>
                                <w:rFonts w:hint="eastAsia"/>
                                <w:sz w:val="21"/>
                                <w:szCs w:val="21"/>
                              </w:rPr>
                            </w:pPr>
                            <w:r>
                              <w:rPr>
                                <w:rFonts w:hint="eastAsia" w:cs="Times New Roman"/>
                                <w:kern w:val="24"/>
                                <w:sz w:val="21"/>
                                <w:szCs w:val="21"/>
                              </w:rPr>
                              <w:t>提交更名公告</w:t>
                            </w:r>
                          </w:p>
                        </w:txbxContent>
                      </wps:txbx>
                      <wps:bodyPr upright="1">
                        <a:spAutoFit/>
                      </wps:bodyPr>
                    </wps:wsp>
                  </a:graphicData>
                </a:graphic>
              </wp:anchor>
            </w:drawing>
          </mc:Choice>
          <mc:Fallback>
            <w:pict>
              <v:shape id="Text Box 297" o:spid="_x0000_s1026" o:spt="202" type="#_x0000_t202" style="position:absolute;left:0pt;margin-left:103.35pt;margin-top:24.7pt;height:22.2pt;width:94.45pt;z-index:-251622400;mso-width-relative:page;mso-height-relative:page;" filled="f" stroked="f" coordsize="21600,21600" o:gfxdata="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">
                <v:fill on="f" focussize="0,0"/>
                <v:stroke on="f"/>
                <v:imagedata o:title=""/>
                <o:lock v:ext="edit" aspectratio="f"/>
                <v:textbox style="mso-fit-shape-to-text:t;">
                  <w:txbxContent>
                    <w:p w14:paraId="57D370AC">
                      <w:pPr>
                        <w:pStyle w:val="16"/>
                        <w:spacing w:before="0" w:beforeAutospacing="0" w:after="0" w:afterAutospacing="0" w:line="300" w:lineRule="exact"/>
                        <w:ind w:firstLine="0" w:firstLineChars="0"/>
                        <w:rPr>
                          <w:rFonts w:hint="eastAsia"/>
                          <w:sz w:val="21"/>
                          <w:szCs w:val="21"/>
                        </w:rPr>
                      </w:pPr>
                      <w:r>
                        <w:rPr>
                          <w:rFonts w:hint="eastAsia" w:cs="Times New Roman"/>
                          <w:kern w:val="24"/>
                          <w:sz w:val="21"/>
                          <w:szCs w:val="21"/>
                        </w:rPr>
                        <w:t>提交更名公告</w:t>
                      </w:r>
                    </w:p>
                  </w:txbxContent>
                </v:textbox>
              </v:shape>
            </w:pict>
          </mc:Fallback>
        </mc:AlternateContent>
      </w:r>
      <w:r>
        <w:rPr>
          <w:rFonts w:ascii="Times New Roman" w:hAnsi="Times New Roman"/>
        </w:rPr>
        <w:t>（二）办理时间</w:t>
      </w:r>
      <w:bookmarkEnd w:id="41"/>
    </w:p>
    <w:p w14:paraId="52046154">
      <w:pPr>
        <w:adjustRightInd w:val="0"/>
        <w:snapToGrid w:val="0"/>
        <w:spacing w:line="400" w:lineRule="exact"/>
        <w:ind w:firstLine="560"/>
        <w:rPr>
          <w:rFonts w:ascii="Times New Roman" w:hAnsi="Times New Roman"/>
          <w:color w:val="000000"/>
          <w:kern w:val="0"/>
          <w:sz w:val="28"/>
          <w:szCs w:val="28"/>
        </w:rPr>
      </w:pPr>
    </w:p>
    <w:p w14:paraId="0D16C03D">
      <w:pPr>
        <w:adjustRightInd w:val="0"/>
        <w:snapToGrid w:val="0"/>
        <w:spacing w:line="400" w:lineRule="exact"/>
        <w:ind w:firstLine="560"/>
        <w:rPr>
          <w:rFonts w:ascii="Times New Roman" w:hAnsi="Times New Roman"/>
          <w:color w:val="000000"/>
          <w:kern w:val="0"/>
          <w:sz w:val="28"/>
          <w:szCs w:val="28"/>
        </w:rPr>
      </w:pPr>
      <w:r>
        <w:rPr>
          <w:rFonts w:ascii="Times New Roman" w:hAnsi="Times New Roman"/>
          <w:color w:val="000000"/>
          <w:kern w:val="0"/>
          <w:sz w:val="28"/>
          <w:szCs w:val="28"/>
        </w:rPr>
        <mc:AlternateContent>
          <mc:Choice Requires="wps">
            <w:drawing>
              <wp:anchor distT="0" distB="0" distL="114300" distR="114300" simplePos="0" relativeHeight="251692032" behindDoc="1" locked="0" layoutInCell="1" allowOverlap="1">
                <wp:simplePos x="0" y="0"/>
                <wp:positionH relativeFrom="column">
                  <wp:posOffset>3555365</wp:posOffset>
                </wp:positionH>
                <wp:positionV relativeFrom="paragraph">
                  <wp:posOffset>120015</wp:posOffset>
                </wp:positionV>
                <wp:extent cx="541655" cy="281940"/>
                <wp:effectExtent l="0" t="0" r="0" b="0"/>
                <wp:wrapNone/>
                <wp:docPr id="15" name="Text Box 295"/>
                <wp:cNvGraphicFramePr/>
                <a:graphic xmlns:a="http://schemas.openxmlformats.org/drawingml/2006/main">
                  <a:graphicData uri="http://schemas.microsoft.com/office/word/2010/wordprocessingShape">
                    <wps:wsp>
                      <wps:cNvSpPr txBox="1"/>
                      <wps:spPr>
                        <a:xfrm>
                          <a:off x="0" y="0"/>
                          <a:ext cx="541655" cy="281940"/>
                        </a:xfrm>
                        <a:prstGeom prst="rect">
                          <a:avLst/>
                        </a:prstGeom>
                        <a:noFill/>
                        <a:ln>
                          <a:noFill/>
                        </a:ln>
                      </wps:spPr>
                      <wps:txbx>
                        <w:txbxContent>
                          <w:p w14:paraId="55D5EC52">
                            <w:pPr>
                              <w:pStyle w:val="16"/>
                              <w:spacing w:before="0" w:beforeAutospacing="0" w:after="0" w:afterAutospacing="0" w:line="300" w:lineRule="exact"/>
                              <w:ind w:firstLine="0" w:firstLineChars="0"/>
                              <w:rPr>
                                <w:rFonts w:ascii="Times New Roman" w:hAnsi="Times New Roman" w:cs="Times New Roman" w:eastAsiaTheme="minorEastAsia"/>
                                <w:sz w:val="21"/>
                                <w:szCs w:val="21"/>
                              </w:rPr>
                            </w:pPr>
                            <w:r>
                              <w:rPr>
                                <w:rFonts w:ascii="Times New Roman" w:hAnsi="Times New Roman" w:cs="Times New Roman" w:eastAsiaTheme="minorEastAsia"/>
                                <w:kern w:val="24"/>
                                <w:sz w:val="21"/>
                                <w:szCs w:val="21"/>
                              </w:rPr>
                              <w:t>T</w:t>
                            </w:r>
                          </w:p>
                        </w:txbxContent>
                      </wps:txbx>
                      <wps:bodyPr upright="1">
                        <a:spAutoFit/>
                      </wps:bodyPr>
                    </wps:wsp>
                  </a:graphicData>
                </a:graphic>
              </wp:anchor>
            </w:drawing>
          </mc:Choice>
          <mc:Fallback>
            <w:pict>
              <v:shape id="Text Box 295" o:spid="_x0000_s1026" o:spt="202" type="#_x0000_t202" style="position:absolute;left:0pt;margin-left:279.95pt;margin-top:9.45pt;height:22.2pt;width:42.65pt;z-index:-251624448;mso-width-relative:page;mso-height-relative:page;" filled="f" stroked="f" coordsize="21600,21600" o:gfxdata="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">
                <v:fill on="f" focussize="0,0"/>
                <v:stroke on="f"/>
                <v:imagedata o:title=""/>
                <o:lock v:ext="edit" aspectratio="f"/>
                <v:textbox style="mso-fit-shape-to-text:t;">
                  <w:txbxContent>
                    <w:p w14:paraId="55D5EC52">
                      <w:pPr>
                        <w:pStyle w:val="16"/>
                        <w:spacing w:before="0" w:beforeAutospacing="0" w:after="0" w:afterAutospacing="0" w:line="300" w:lineRule="exact"/>
                        <w:ind w:firstLine="0" w:firstLineChars="0"/>
                        <w:rPr>
                          <w:rFonts w:ascii="Times New Roman" w:hAnsi="Times New Roman" w:cs="Times New Roman" w:eastAsiaTheme="minorEastAsia"/>
                          <w:sz w:val="21"/>
                          <w:szCs w:val="21"/>
                        </w:rPr>
                      </w:pPr>
                      <w:r>
                        <w:rPr>
                          <w:rFonts w:ascii="Times New Roman" w:hAnsi="Times New Roman" w:cs="Times New Roman" w:eastAsiaTheme="minorEastAsia"/>
                          <w:kern w:val="24"/>
                          <w:sz w:val="21"/>
                          <w:szCs w:val="21"/>
                        </w:rPr>
                        <w:t>T</w:t>
                      </w:r>
                    </w:p>
                  </w:txbxContent>
                </v:textbox>
              </v:shape>
            </w:pict>
          </mc:Fallback>
        </mc:AlternateContent>
      </w:r>
      <w:r>
        <w:rPr>
          <w:rFonts w:ascii="Times New Roman" w:hAnsi="Times New Roman"/>
          <w:color w:val="000000"/>
          <w:kern w:val="0"/>
          <w:sz w:val="28"/>
          <w:szCs w:val="28"/>
        </w:rPr>
        <mc:AlternateContent>
          <mc:Choice Requires="wps">
            <w:drawing>
              <wp:anchor distT="0" distB="0" distL="114300" distR="114300" simplePos="0" relativeHeight="251691008" behindDoc="1" locked="0" layoutInCell="1" allowOverlap="1">
                <wp:simplePos x="0" y="0"/>
                <wp:positionH relativeFrom="column">
                  <wp:posOffset>1416050</wp:posOffset>
                </wp:positionH>
                <wp:positionV relativeFrom="paragraph">
                  <wp:posOffset>139065</wp:posOffset>
                </wp:positionV>
                <wp:extent cx="1104900" cy="281940"/>
                <wp:effectExtent l="0" t="0" r="0" b="0"/>
                <wp:wrapNone/>
                <wp:docPr id="14" name="Text Box 294"/>
                <wp:cNvGraphicFramePr/>
                <a:graphic xmlns:a="http://schemas.openxmlformats.org/drawingml/2006/main">
                  <a:graphicData uri="http://schemas.microsoft.com/office/word/2010/wordprocessingShape">
                    <wps:wsp>
                      <wps:cNvSpPr txBox="1"/>
                      <wps:spPr>
                        <a:xfrm>
                          <a:off x="0" y="0"/>
                          <a:ext cx="1104900" cy="281940"/>
                        </a:xfrm>
                        <a:prstGeom prst="rect">
                          <a:avLst/>
                        </a:prstGeom>
                        <a:noFill/>
                        <a:ln>
                          <a:noFill/>
                        </a:ln>
                      </wps:spPr>
                      <wps:txbx>
                        <w:txbxContent>
                          <w:p w14:paraId="15B98007">
                            <w:pPr>
                              <w:pStyle w:val="16"/>
                              <w:spacing w:before="0" w:beforeAutospacing="0" w:after="0" w:afterAutospacing="0" w:line="300" w:lineRule="exact"/>
                              <w:ind w:firstLine="0" w:firstLineChars="0"/>
                              <w:rPr>
                                <w:rFonts w:ascii="Times New Roman" w:hAnsi="Times New Roman" w:cs="Times New Roman" w:eastAsiaTheme="minorEastAsia"/>
                                <w:sz w:val="21"/>
                                <w:szCs w:val="21"/>
                              </w:rPr>
                            </w:pPr>
                            <w:r>
                              <w:rPr>
                                <w:rFonts w:ascii="Times New Roman" w:hAnsi="Times New Roman" w:cs="Times New Roman" w:eastAsiaTheme="minorEastAsia"/>
                                <w:kern w:val="24"/>
                                <w:sz w:val="21"/>
                                <w:szCs w:val="21"/>
                              </w:rPr>
                              <w:t>T-3 12点前</w:t>
                            </w:r>
                          </w:p>
                        </w:txbxContent>
                      </wps:txbx>
                      <wps:bodyPr upright="1">
                        <a:spAutoFit/>
                      </wps:bodyPr>
                    </wps:wsp>
                  </a:graphicData>
                </a:graphic>
              </wp:anchor>
            </w:drawing>
          </mc:Choice>
          <mc:Fallback>
            <w:pict>
              <v:shape id="Text Box 294" o:spid="_x0000_s1026" o:spt="202" type="#_x0000_t202" style="position:absolute;left:0pt;margin-left:111.5pt;margin-top:10.95pt;height:22.2pt;width:87pt;z-index:-251625472;mso-width-relative:page;mso-height-relative:page;" filled="f" stroked="f" coordsize="21600,21600" o:gfxdata="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">
                <v:fill on="f" focussize="0,0"/>
                <v:stroke on="f"/>
                <v:imagedata o:title=""/>
                <o:lock v:ext="edit" aspectratio="f"/>
                <v:textbox style="mso-fit-shape-to-text:t;">
                  <w:txbxContent>
                    <w:p w14:paraId="15B98007">
                      <w:pPr>
                        <w:pStyle w:val="16"/>
                        <w:spacing w:before="0" w:beforeAutospacing="0" w:after="0" w:afterAutospacing="0" w:line="300" w:lineRule="exact"/>
                        <w:ind w:firstLine="0" w:firstLineChars="0"/>
                        <w:rPr>
                          <w:rFonts w:ascii="Times New Roman" w:hAnsi="Times New Roman" w:cs="Times New Roman" w:eastAsiaTheme="minorEastAsia"/>
                          <w:sz w:val="21"/>
                          <w:szCs w:val="21"/>
                        </w:rPr>
                      </w:pPr>
                      <w:r>
                        <w:rPr>
                          <w:rFonts w:ascii="Times New Roman" w:hAnsi="Times New Roman" w:cs="Times New Roman" w:eastAsiaTheme="minorEastAsia"/>
                          <w:kern w:val="24"/>
                          <w:sz w:val="21"/>
                          <w:szCs w:val="21"/>
                        </w:rPr>
                        <w:t>T-3 12点前</w:t>
                      </w:r>
                    </w:p>
                  </w:txbxContent>
                </v:textbox>
              </v:shape>
            </w:pict>
          </mc:Fallback>
        </mc:AlternateContent>
      </w:r>
      <w:r>
        <w:rPr>
          <w:rFonts w:ascii="Times New Roman" w:hAnsi="Times New Roman"/>
          <w:color w:val="000000"/>
          <w:kern w:val="0"/>
          <w:sz w:val="28"/>
          <w:szCs w:val="28"/>
        </w:rPr>
        <mc:AlternateContent>
          <mc:Choice Requires="wps">
            <w:drawing>
              <wp:anchor distT="0" distB="0" distL="114300" distR="114300" simplePos="0" relativeHeight="251689984" behindDoc="1" locked="0" layoutInCell="1" allowOverlap="1">
                <wp:simplePos x="0" y="0"/>
                <wp:positionH relativeFrom="column">
                  <wp:posOffset>3659505</wp:posOffset>
                </wp:positionH>
                <wp:positionV relativeFrom="paragraph">
                  <wp:posOffset>39370</wp:posOffset>
                </wp:positionV>
                <wp:extent cx="0" cy="107950"/>
                <wp:effectExtent l="9525" t="0" r="9525" b="6350"/>
                <wp:wrapNone/>
                <wp:docPr id="13" name="Line 293"/>
                <wp:cNvGraphicFramePr/>
                <a:graphic xmlns:a="http://schemas.openxmlformats.org/drawingml/2006/main">
                  <a:graphicData uri="http://schemas.microsoft.com/office/word/2010/wordprocessingShape">
                    <wps:wsp>
                      <wps:cNvCnPr/>
                      <wps:spPr>
                        <a:xfrm>
                          <a:off x="0" y="0"/>
                          <a:ext cx="0" cy="107950"/>
                        </a:xfrm>
                        <a:prstGeom prst="line">
                          <a:avLst/>
                        </a:prstGeom>
                        <a:ln w="19050" cap="flat" cmpd="sng">
                          <a:solidFill>
                            <a:srgbClr val="000000"/>
                          </a:solidFill>
                          <a:prstDash val="solid"/>
                          <a:miter/>
                          <a:headEnd type="none" w="med" len="med"/>
                          <a:tailEnd type="none" w="med" len="med"/>
                        </a:ln>
                      </wps:spPr>
                      <wps:bodyPr/>
                    </wps:wsp>
                  </a:graphicData>
                </a:graphic>
              </wp:anchor>
            </w:drawing>
          </mc:Choice>
          <mc:Fallback>
            <w:pict>
              <v:line id="Line 293" o:spid="_x0000_s1026" o:spt="20" style="position:absolute;left:0pt;margin-left:288.15pt;margin-top:3.1pt;height:8.5pt;width:0pt;z-index:-251626496;mso-width-relative:page;mso-height-relative:page;" filled="f" stroked="t" coordsize="21600,21600" o:gfxdata="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">
                <v:fill on="f" focussize="0,0"/>
                <v:stroke weight="1.5pt" color="#000000" joinstyle="miter"/>
                <v:imagedata o:title=""/>
                <o:lock v:ext="edit" aspectratio="f"/>
              </v:line>
            </w:pict>
          </mc:Fallback>
        </mc:AlternateContent>
      </w:r>
      <w:r>
        <w:rPr>
          <w:rFonts w:ascii="Times New Roman" w:hAnsi="Times New Roman"/>
          <w:color w:val="000000"/>
          <w:kern w:val="0"/>
          <w:sz w:val="28"/>
          <w:szCs w:val="28"/>
        </w:rPr>
        <mc:AlternateContent>
          <mc:Choice Requires="wps">
            <w:drawing>
              <wp:anchor distT="0" distB="0" distL="114300" distR="114300" simplePos="0" relativeHeight="251688960" behindDoc="1" locked="0" layoutInCell="1" allowOverlap="1">
                <wp:simplePos x="0" y="0"/>
                <wp:positionH relativeFrom="column">
                  <wp:posOffset>1856740</wp:posOffset>
                </wp:positionH>
                <wp:positionV relativeFrom="paragraph">
                  <wp:posOffset>31750</wp:posOffset>
                </wp:positionV>
                <wp:extent cx="0" cy="107950"/>
                <wp:effectExtent l="9525" t="0" r="9525" b="6350"/>
                <wp:wrapNone/>
                <wp:docPr id="12" name="Line 292"/>
                <wp:cNvGraphicFramePr/>
                <a:graphic xmlns:a="http://schemas.openxmlformats.org/drawingml/2006/main">
                  <a:graphicData uri="http://schemas.microsoft.com/office/word/2010/wordprocessingShape">
                    <wps:wsp>
                      <wps:cNvCnPr/>
                      <wps:spPr>
                        <a:xfrm>
                          <a:off x="0" y="0"/>
                          <a:ext cx="0" cy="107950"/>
                        </a:xfrm>
                        <a:prstGeom prst="line">
                          <a:avLst/>
                        </a:prstGeom>
                        <a:ln w="19050" cap="flat" cmpd="sng">
                          <a:solidFill>
                            <a:srgbClr val="000000"/>
                          </a:solidFill>
                          <a:prstDash val="solid"/>
                          <a:miter/>
                          <a:headEnd type="none" w="med" len="med"/>
                          <a:tailEnd type="none" w="med" len="med"/>
                        </a:ln>
                      </wps:spPr>
                      <wps:bodyPr/>
                    </wps:wsp>
                  </a:graphicData>
                </a:graphic>
              </wp:anchor>
            </w:drawing>
          </mc:Choice>
          <mc:Fallback>
            <w:pict>
              <v:line id="Line 292" o:spid="_x0000_s1026" o:spt="20" style="position:absolute;left:0pt;margin-left:146.2pt;margin-top:2.5pt;height:8.5pt;width:0pt;z-index:-251627520;mso-width-relative:page;mso-height-relative:page;" filled="f" stroked="t" coordsize="21600,21600" o:gfxdata="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">
                <v:fill on="f" focussize="0,0"/>
                <v:stroke weight="1.5pt" color="#000000" joinstyle="miter"/>
                <v:imagedata o:title=""/>
                <o:lock v:ext="edit" aspectratio="f"/>
              </v:line>
            </w:pict>
          </mc:Fallback>
        </mc:AlternateContent>
      </w:r>
      <w:r>
        <w:rPr>
          <w:rFonts w:ascii="Times New Roman" w:hAnsi="Times New Roman"/>
          <w:color w:val="000000"/>
          <w:kern w:val="0"/>
          <w:sz w:val="28"/>
          <w:szCs w:val="28"/>
        </w:rPr>
        <mc:AlternateContent>
          <mc:Choice Requires="wps">
            <w:drawing>
              <wp:anchor distT="0" distB="0" distL="114300" distR="114300" simplePos="0" relativeHeight="251687936" behindDoc="1" locked="0" layoutInCell="1" allowOverlap="1">
                <wp:simplePos x="0" y="0"/>
                <wp:positionH relativeFrom="column">
                  <wp:posOffset>681990</wp:posOffset>
                </wp:positionH>
                <wp:positionV relativeFrom="paragraph">
                  <wp:posOffset>145415</wp:posOffset>
                </wp:positionV>
                <wp:extent cx="4319905" cy="0"/>
                <wp:effectExtent l="0" t="38100" r="4445" b="38100"/>
                <wp:wrapNone/>
                <wp:docPr id="11" name="AutoShape 291"/>
                <wp:cNvGraphicFramePr/>
                <a:graphic xmlns:a="http://schemas.openxmlformats.org/drawingml/2006/main">
                  <a:graphicData uri="http://schemas.microsoft.com/office/word/2010/wordprocessingShape">
                    <wps:wsp>
                      <wps:cNvCnPr/>
                      <wps:spPr>
                        <a:xfrm>
                          <a:off x="0" y="0"/>
                          <a:ext cx="4319905" cy="0"/>
                        </a:xfrm>
                        <a:prstGeom prst="straightConnector1">
                          <a:avLst/>
                        </a:prstGeom>
                        <a:ln w="19050" cap="flat" cmpd="sng">
                          <a:solidFill>
                            <a:srgbClr val="000000"/>
                          </a:solidFill>
                          <a:prstDash val="solid"/>
                          <a:miter/>
                          <a:headEnd type="none" w="med" len="med"/>
                          <a:tailEnd type="triangle" w="med" len="med"/>
                        </a:ln>
                      </wps:spPr>
                      <wps:bodyPr/>
                    </wps:wsp>
                  </a:graphicData>
                </a:graphic>
              </wp:anchor>
            </w:drawing>
          </mc:Choice>
          <mc:Fallback>
            <w:pict>
              <v:shape id="AutoShape 291" o:spid="_x0000_s1026" o:spt="32" type="#_x0000_t32" style="position:absolute;left:0pt;margin-left:53.7pt;margin-top:11.45pt;height:0pt;width:340.15pt;z-index:-251628544;mso-width-relative:page;mso-height-relative:page;" filled="f" stroked="t" coordsize="21600,21600" o:gfxdata="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">
                <v:fill on="f" focussize="0,0"/>
                <v:stroke weight="1.5pt" color="#000000" joinstyle="miter" endarrow="block"/>
                <v:imagedata o:title=""/>
                <o:lock v:ext="edit" aspectratio="f"/>
              </v:shape>
            </w:pict>
          </mc:Fallback>
        </mc:AlternateContent>
      </w:r>
    </w:p>
    <w:p w14:paraId="3CD9AD24">
      <w:pPr>
        <w:adjustRightInd w:val="0"/>
        <w:snapToGrid w:val="0"/>
        <w:spacing w:line="400" w:lineRule="exact"/>
        <w:ind w:firstLine="560"/>
        <w:rPr>
          <w:rFonts w:ascii="Times New Roman" w:hAnsi="Times New Roman"/>
          <w:color w:val="000000"/>
          <w:kern w:val="0"/>
          <w:sz w:val="28"/>
          <w:szCs w:val="28"/>
        </w:rPr>
      </w:pPr>
    </w:p>
    <w:p w14:paraId="05D414C6">
      <w:pPr>
        <w:widowControl/>
        <w:snapToGrid w:val="0"/>
        <w:spacing w:line="300" w:lineRule="exact"/>
        <w:ind w:firstLine="422"/>
        <w:jc w:val="center"/>
        <w:rPr>
          <w:rFonts w:ascii="Times New Roman" w:hAnsi="Times New Roman" w:eastAsiaTheme="minorEastAsia"/>
          <w:b/>
          <w:bCs/>
          <w:sz w:val="21"/>
          <w:szCs w:val="21"/>
        </w:rPr>
      </w:pPr>
      <w:r>
        <w:rPr>
          <w:rFonts w:ascii="Times New Roman" w:hAnsi="Times New Roman" w:eastAsiaTheme="minorEastAsia"/>
          <w:b/>
          <w:bCs/>
          <w:sz w:val="21"/>
          <w:szCs w:val="21"/>
        </w:rPr>
        <w:t>图2-5-1 公募REITs更名业务办理时间</w:t>
      </w:r>
    </w:p>
    <w:p w14:paraId="342DA97A">
      <w:pPr>
        <w:ind w:firstLine="600"/>
        <w:rPr>
          <w:rFonts w:ascii="Times New Roman" w:hAnsi="Times New Roman"/>
          <w:b/>
          <w:kern w:val="0"/>
        </w:rPr>
      </w:pPr>
      <w:r>
        <w:rPr>
          <w:rFonts w:ascii="Times New Roman" w:hAnsi="Times New Roman"/>
          <w:kern w:val="0"/>
        </w:rPr>
        <w:t>基金管理人需至少在更名生效日前3个交易日提交公告。</w:t>
      </w:r>
    </w:p>
    <w:p w14:paraId="56CB73FA">
      <w:pPr>
        <w:pStyle w:val="4"/>
        <w:ind w:firstLine="602"/>
        <w:rPr>
          <w:rFonts w:ascii="Times New Roman" w:hAnsi="Times New Roman"/>
        </w:rPr>
      </w:pPr>
      <w:bookmarkStart w:id="42" w:name="_Toc72419522"/>
      <w:r>
        <w:rPr>
          <w:rFonts w:ascii="Times New Roman" w:hAnsi="Times New Roman"/>
        </w:rPr>
        <w:t>（三）</w:t>
      </w:r>
      <w:bookmarkEnd w:id="42"/>
      <w:bookmarkStart w:id="43" w:name="_Toc72419523"/>
      <w:r>
        <w:rPr>
          <w:rFonts w:ascii="Times New Roman" w:hAnsi="Times New Roman"/>
        </w:rPr>
        <w:t>具体操作</w:t>
      </w:r>
      <w:bookmarkEnd w:id="43"/>
    </w:p>
    <w:p w14:paraId="562D22AC">
      <w:pPr>
        <w:ind w:firstLine="600"/>
        <w:rPr>
          <w:rFonts w:ascii="Times New Roman" w:hAnsi="Times New Roman"/>
          <w:kern w:val="0"/>
        </w:rPr>
      </w:pPr>
      <w:r>
        <w:rPr>
          <w:rFonts w:ascii="Times New Roman" w:hAnsi="Times New Roman"/>
          <w:kern w:val="0"/>
        </w:rPr>
        <w:t>基金管理人通过业务管理系统平台“REITs-更名”通道，进入更名申请表（见图</w:t>
      </w:r>
      <w:r>
        <w:rPr>
          <w:rFonts w:hint="eastAsia" w:ascii="Times New Roman" w:hAnsi="Times New Roman"/>
          <w:kern w:val="0"/>
        </w:rPr>
        <w:t>2-5-2</w:t>
      </w:r>
      <w:r>
        <w:rPr>
          <w:rFonts w:ascii="Times New Roman" w:hAnsi="Times New Roman"/>
          <w:kern w:val="0"/>
        </w:rPr>
        <w:t>）填写业务要素相关信息，并上传更名公告（格式参考附件</w:t>
      </w:r>
      <w:r>
        <w:rPr>
          <w:rFonts w:hint="eastAsia" w:ascii="Times New Roman" w:hAnsi="Times New Roman"/>
          <w:kern w:val="0"/>
        </w:rPr>
        <w:t>5</w:t>
      </w:r>
      <w:r>
        <w:rPr>
          <w:rFonts w:ascii="Times New Roman" w:hAnsi="Times New Roman"/>
          <w:kern w:val="0"/>
        </w:rPr>
        <w:t>），上传材料均以PDF格式电子文件提交。</w:t>
      </w:r>
    </w:p>
    <w:p w14:paraId="1C980D0F">
      <w:pPr>
        <w:spacing w:line="240" w:lineRule="auto"/>
        <w:ind w:firstLine="0" w:firstLineChars="0"/>
        <w:jc w:val="center"/>
        <w:rPr>
          <w:rFonts w:ascii="Times New Roman" w:hAnsi="Times New Roman"/>
          <w:kern w:val="0"/>
        </w:rPr>
      </w:pPr>
      <w:r>
        <w:rPr>
          <w:rFonts w:ascii="Times New Roman" w:hAnsi="Times New Roman"/>
          <w:kern w:val="0"/>
        </w:rPr>
        <w:drawing>
          <wp:inline distT="0" distB="0" distL="0" distR="0">
            <wp:extent cx="5414010" cy="4879975"/>
            <wp:effectExtent l="0" t="0" r="0" b="0"/>
            <wp:docPr id="29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9" name="图片 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a:xfrm>
                      <a:off x="0" y="0"/>
                      <a:ext cx="5414010" cy="4879975"/>
                    </a:xfrm>
                    <a:prstGeom prst="rect">
                      <a:avLst/>
                    </a:prstGeom>
                    <a:noFill/>
                    <a:ln w="9525">
                      <a:noFill/>
                      <a:miter lim="800000"/>
                      <a:headEnd/>
                      <a:tailEnd/>
                    </a:ln>
                  </pic:spPr>
                </pic:pic>
              </a:graphicData>
            </a:graphic>
          </wp:inline>
        </w:drawing>
      </w:r>
    </w:p>
    <w:p w14:paraId="1039B37F">
      <w:pPr>
        <w:widowControl/>
        <w:snapToGrid w:val="0"/>
        <w:spacing w:line="300" w:lineRule="exact"/>
        <w:ind w:firstLine="422"/>
        <w:jc w:val="center"/>
        <w:rPr>
          <w:rFonts w:ascii="Times New Roman" w:hAnsi="Times New Roman" w:eastAsiaTheme="minorEastAsia"/>
          <w:b/>
          <w:bCs/>
          <w:sz w:val="21"/>
          <w:szCs w:val="21"/>
        </w:rPr>
      </w:pPr>
      <w:r>
        <w:rPr>
          <w:rFonts w:ascii="Times New Roman" w:hAnsi="Times New Roman" w:eastAsiaTheme="minorEastAsia"/>
          <w:b/>
          <w:bCs/>
          <w:sz w:val="21"/>
          <w:szCs w:val="21"/>
        </w:rPr>
        <w:t>图2-5-2 公募REITs更名业务新建申请页面</w:t>
      </w:r>
      <w:bookmarkStart w:id="44" w:name="_Toc72419525"/>
      <w:bookmarkStart w:id="45" w:name="_Toc71646030"/>
    </w:p>
    <w:p w14:paraId="10A7C7B6">
      <w:pPr>
        <w:pStyle w:val="3"/>
        <w:spacing w:before="156" w:after="156"/>
        <w:ind w:firstLine="643"/>
        <w:rPr>
          <w:rFonts w:ascii="Times New Roman" w:hAnsi="Times New Roman"/>
        </w:rPr>
      </w:pPr>
      <w:bookmarkStart w:id="46" w:name="_Toc966315983"/>
      <w:bookmarkStart w:id="47" w:name="_Toc217484336"/>
      <w:r>
        <w:rPr>
          <w:rFonts w:ascii="Times New Roman" w:hAnsi="Times New Roman"/>
        </w:rPr>
        <w:t>六、定期和临时报告信息披露</w:t>
      </w:r>
      <w:bookmarkEnd w:id="44"/>
      <w:bookmarkEnd w:id="45"/>
      <w:bookmarkEnd w:id="46"/>
      <w:bookmarkEnd w:id="47"/>
    </w:p>
    <w:p w14:paraId="0FA549EB">
      <w:pPr>
        <w:pStyle w:val="4"/>
        <w:ind w:firstLine="602"/>
        <w:rPr>
          <w:rFonts w:ascii="Times New Roman" w:hAnsi="Times New Roman"/>
        </w:rPr>
      </w:pPr>
      <w:bookmarkStart w:id="48" w:name="_Toc72419526"/>
      <w:r>
        <w:rPr>
          <w:rFonts w:ascii="Times New Roman" w:hAnsi="Times New Roman"/>
        </w:rPr>
        <w:t>（一）适用情形</w:t>
      </w:r>
      <w:bookmarkEnd w:id="48"/>
    </w:p>
    <w:p w14:paraId="531163B5">
      <w:pPr>
        <w:ind w:firstLine="600"/>
        <w:rPr>
          <w:rFonts w:ascii="Times New Roman" w:hAnsi="Times New Roman"/>
          <w:kern w:val="0"/>
        </w:rPr>
      </w:pPr>
      <w:r>
        <w:rPr>
          <w:rFonts w:ascii="Times New Roman" w:hAnsi="Times New Roman"/>
          <w:kern w:val="0"/>
        </w:rPr>
        <w:t>适用于公募REITs上市后基金管理人、基金托管人等信息披露义务人披露</w:t>
      </w:r>
      <w:r>
        <w:rPr>
          <w:rFonts w:hint="eastAsia" w:ascii="Times New Roman" w:hAnsi="Times New Roman"/>
          <w:kern w:val="0"/>
        </w:rPr>
        <w:t>不动产</w:t>
      </w:r>
      <w:r>
        <w:rPr>
          <w:rFonts w:ascii="Times New Roman" w:hAnsi="Times New Roman"/>
          <w:kern w:val="0"/>
        </w:rPr>
        <w:t>基金定期报告或临时报告的业务。</w:t>
      </w:r>
    </w:p>
    <w:p w14:paraId="5D2AFE74">
      <w:pPr>
        <w:ind w:firstLine="602"/>
        <w:rPr>
          <w:rFonts w:ascii="Times New Roman" w:hAnsi="Times New Roman"/>
        </w:rPr>
      </w:pPr>
      <w:r>
        <w:rPr>
          <w:rFonts w:ascii="Times New Roman" w:hAnsi="Times New Roman"/>
          <w:b/>
        </w:rPr>
        <w:t>1.定期报告。</w:t>
      </w:r>
      <w:r>
        <w:rPr>
          <w:rFonts w:ascii="Times New Roman" w:hAnsi="Times New Roman"/>
        </w:rPr>
        <w:t>基金管理人应当在每年结束之日起三个月内，披露基金年度报告正文及摘要，年度报告的财务会计报告应当经过审计。基金管理人应当在上半年结束之日起两个月内，披露基金中期报告。基金管理人应当在季度结束之日起十五个工作日内，披露基金季度报告。</w:t>
      </w:r>
    </w:p>
    <w:p w14:paraId="557090F7">
      <w:pPr>
        <w:ind w:firstLine="602"/>
        <w:rPr>
          <w:rFonts w:ascii="Times New Roman" w:hAnsi="Times New Roman"/>
          <w:szCs w:val="30"/>
        </w:rPr>
      </w:pPr>
      <w:r>
        <w:rPr>
          <w:rFonts w:ascii="Times New Roman" w:hAnsi="Times New Roman"/>
          <w:b/>
          <w:szCs w:val="30"/>
        </w:rPr>
        <w:t>2.临时报告。</w:t>
      </w:r>
      <w:r>
        <w:rPr>
          <w:rFonts w:ascii="Times New Roman" w:hAnsi="Times New Roman"/>
          <w:szCs w:val="30"/>
        </w:rPr>
        <w:t>不动产基金发生重大事件时，基金管理人应当按照《上海证券交易所公开募集不动产投资信托基金（REITs）业务办法（试行）》《上海证券交易所公开募集不动产投资信托基金（REITs）规则适用指引第5号</w:t>
      </w:r>
      <w:r>
        <w:rPr>
          <w:rFonts w:hint="eastAsia" w:ascii="Times New Roman" w:hAnsi="Times New Roman"/>
          <w:szCs w:val="30"/>
        </w:rPr>
        <w:t>——</w:t>
      </w:r>
      <w:r>
        <w:rPr>
          <w:rFonts w:ascii="Times New Roman" w:hAnsi="Times New Roman"/>
          <w:szCs w:val="30"/>
        </w:rPr>
        <w:t>临时报告（试行）》等相关规定在两日内编制并披露临时报告。</w:t>
      </w:r>
    </w:p>
    <w:p w14:paraId="5A7631FD">
      <w:pPr>
        <w:pStyle w:val="4"/>
        <w:ind w:firstLine="602"/>
        <w:rPr>
          <w:rFonts w:ascii="Times New Roman" w:hAnsi="Times New Roman"/>
          <w:szCs w:val="30"/>
        </w:rPr>
      </w:pPr>
      <w:bookmarkStart w:id="49" w:name="_Toc72419527"/>
      <w:r>
        <w:rPr>
          <w:rFonts w:ascii="Times New Roman" w:hAnsi="Times New Roman"/>
          <w:szCs w:val="30"/>
        </w:rPr>
        <w:t>（二）办理时间</w:t>
      </w:r>
      <w:bookmarkEnd w:id="49"/>
    </w:p>
    <w:p w14:paraId="0368A416">
      <w:pPr>
        <w:widowControl/>
        <w:snapToGrid w:val="0"/>
        <w:ind w:firstLine="600"/>
        <w:rPr>
          <w:rFonts w:ascii="Times New Roman" w:hAnsi="Times New Roman"/>
          <w:kern w:val="0"/>
          <w:szCs w:val="30"/>
        </w:rPr>
      </w:pPr>
      <w:r>
        <w:rPr>
          <w:rFonts w:ascii="Times New Roman" w:hAnsi="Times New Roman"/>
          <w:kern w:val="0"/>
          <w:szCs w:val="30"/>
        </w:rPr>
        <w:t>基金管理人应当至少在公告日</w:t>
      </w:r>
      <w:r>
        <w:rPr>
          <w:rFonts w:hint="eastAsia" w:ascii="Times New Roman" w:hAnsi="Times New Roman"/>
          <w:kern w:val="0"/>
          <w:szCs w:val="30"/>
        </w:rPr>
        <w:t>15：30</w:t>
      </w:r>
      <w:r>
        <w:rPr>
          <w:rFonts w:ascii="Times New Roman" w:hAnsi="Times New Roman"/>
          <w:kern w:val="0"/>
          <w:szCs w:val="30"/>
        </w:rPr>
        <w:t>前通过业务管理系统平台流程上传信息披露文件。</w:t>
      </w:r>
      <w:r>
        <w:rPr>
          <w:rFonts w:hint="eastAsia" w:ascii="Times New Roman" w:hAnsi="Times New Roman"/>
          <w:kern w:val="0"/>
          <w:szCs w:val="30"/>
        </w:rPr>
        <w:t>交易日17：00之后上传的信息披露文件，最早仅可于第2个交易日予以披露。</w:t>
      </w:r>
    </w:p>
    <w:p w14:paraId="606B860E">
      <w:pPr>
        <w:pStyle w:val="4"/>
        <w:ind w:firstLine="602"/>
        <w:rPr>
          <w:rFonts w:ascii="Times New Roman" w:hAnsi="Times New Roman"/>
        </w:rPr>
      </w:pPr>
      <w:bookmarkStart w:id="50" w:name="_Toc72419528"/>
      <w:r>
        <w:rPr>
          <w:rFonts w:ascii="Times New Roman" w:hAnsi="Times New Roman"/>
          <w:szCs w:val="30"/>
        </w:rPr>
        <w:t>（三）</w:t>
      </w:r>
      <w:bookmarkEnd w:id="50"/>
      <w:bookmarkStart w:id="51" w:name="_Toc72419529"/>
      <w:r>
        <w:rPr>
          <w:rFonts w:ascii="Times New Roman" w:hAnsi="Times New Roman"/>
        </w:rPr>
        <w:t>具体操作</w:t>
      </w:r>
      <w:bookmarkEnd w:id="51"/>
    </w:p>
    <w:p w14:paraId="1802AB6B">
      <w:pPr>
        <w:ind w:firstLine="600"/>
        <w:rPr>
          <w:rFonts w:ascii="Times New Roman" w:hAnsi="Times New Roman"/>
          <w:kern w:val="0"/>
        </w:rPr>
      </w:pPr>
      <w:r>
        <w:rPr>
          <w:rFonts w:ascii="Times New Roman" w:hAnsi="Times New Roman"/>
          <w:kern w:val="0"/>
        </w:rPr>
        <w:t>基金管理人通过业务管理系统平台的“REITs-信息披露”流程，选择公告类型并上传信息披露文件。公告类型包括定期报告、临时报告、基金运作、基金管理人公告、其他公告，信息披露文件包括公告和附件。</w:t>
      </w:r>
    </w:p>
    <w:p w14:paraId="3976E3AA">
      <w:pPr>
        <w:ind w:firstLine="600"/>
        <w:rPr>
          <w:rFonts w:ascii="Times New Roman" w:hAnsi="Times New Roman"/>
        </w:rPr>
      </w:pPr>
      <w:r>
        <w:rPr>
          <w:rFonts w:ascii="Times New Roman" w:hAnsi="Times New Roman"/>
        </w:rPr>
        <w:t>基金托管人涉及的信息披露文件应当委托基金管理人通过上述流程上传。</w:t>
      </w:r>
      <w:r>
        <w:rPr>
          <w:rFonts w:ascii="Times New Roman" w:hAnsi="Times New Roman"/>
          <w:kern w:val="0"/>
        </w:rPr>
        <w:t>基金管理人需注意：</w:t>
      </w:r>
    </w:p>
    <w:p w14:paraId="2108C8A7">
      <w:pPr>
        <w:ind w:firstLine="600"/>
        <w:rPr>
          <w:rFonts w:ascii="Times New Roman" w:hAnsi="Times New Roman"/>
          <w:kern w:val="0"/>
        </w:rPr>
      </w:pPr>
      <w:r>
        <w:rPr>
          <w:rFonts w:ascii="Times New Roman" w:hAnsi="Times New Roman"/>
          <w:kern w:val="0"/>
        </w:rPr>
        <w:t>1.确认上传信息披露文件时已准确填写公募REITs证券代码、公告类型、公告标题、公告日期、登报选择、是否发布、是否登报等信息；</w:t>
      </w:r>
    </w:p>
    <w:p w14:paraId="6906649D">
      <w:pPr>
        <w:ind w:firstLine="600"/>
        <w:rPr>
          <w:rFonts w:ascii="Times New Roman" w:hAnsi="Times New Roman"/>
          <w:kern w:val="0"/>
        </w:rPr>
      </w:pPr>
      <w:r>
        <w:rPr>
          <w:rFonts w:ascii="Times New Roman" w:hAnsi="Times New Roman"/>
          <w:kern w:val="0"/>
        </w:rPr>
        <w:t>2.确认“公告标题”和“文件标题”填写的是拟发布公告的上网标题，即与公告文档所显示的标题一致，不得包含特殊符号。基金管理人应当正确选择文件是否发布，对于备查文件或其他非公告上网文件，应当选择“否”。</w:t>
      </w:r>
    </w:p>
    <w:p w14:paraId="354ED2D9">
      <w:pPr>
        <w:spacing w:line="240" w:lineRule="auto"/>
        <w:ind w:firstLine="0" w:firstLineChars="0"/>
        <w:jc w:val="center"/>
        <w:rPr>
          <w:rFonts w:ascii="Times New Roman" w:hAnsi="Times New Roman"/>
          <w:kern w:val="0"/>
        </w:rPr>
      </w:pPr>
      <w:r>
        <w:rPr>
          <w:rFonts w:ascii="Times New Roman" w:hAnsi="Times New Roman"/>
          <w:kern w:val="0"/>
        </w:rPr>
        <w:drawing>
          <wp:inline distT="0" distB="0" distL="0" distR="0">
            <wp:extent cx="5361305" cy="4040505"/>
            <wp:effectExtent l="0" t="0" r="0" b="0"/>
            <wp:docPr id="25"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a:xfrm>
                      <a:off x="0" y="0"/>
                      <a:ext cx="5360359" cy="4039870"/>
                    </a:xfrm>
                    <a:prstGeom prst="rect">
                      <a:avLst/>
                    </a:prstGeom>
                    <a:noFill/>
                    <a:ln w="9525">
                      <a:noFill/>
                      <a:miter lim="800000"/>
                      <a:headEnd/>
                      <a:tailEnd/>
                    </a:ln>
                  </pic:spPr>
                </pic:pic>
              </a:graphicData>
            </a:graphic>
          </wp:inline>
        </w:drawing>
      </w:r>
    </w:p>
    <w:p w14:paraId="2BFB9351">
      <w:pPr>
        <w:widowControl/>
        <w:snapToGrid w:val="0"/>
        <w:spacing w:line="300" w:lineRule="exact"/>
        <w:ind w:firstLine="422"/>
        <w:jc w:val="center"/>
        <w:rPr>
          <w:rFonts w:ascii="Times New Roman" w:hAnsi="Times New Roman" w:eastAsiaTheme="minorEastAsia"/>
          <w:b/>
          <w:bCs/>
          <w:sz w:val="21"/>
          <w:szCs w:val="21"/>
        </w:rPr>
      </w:pPr>
      <w:r>
        <w:rPr>
          <w:rFonts w:ascii="Times New Roman" w:hAnsi="Times New Roman" w:eastAsiaTheme="minorEastAsia"/>
          <w:b/>
          <w:bCs/>
          <w:sz w:val="21"/>
          <w:szCs w:val="21"/>
        </w:rPr>
        <w:t>图2-6-</w:t>
      </w:r>
      <w:r>
        <w:rPr>
          <w:rFonts w:hint="eastAsia" w:ascii="Times New Roman" w:hAnsi="Times New Roman" w:eastAsiaTheme="minorEastAsia"/>
          <w:b/>
          <w:bCs/>
          <w:sz w:val="21"/>
          <w:szCs w:val="21"/>
        </w:rPr>
        <w:t>1</w:t>
      </w:r>
      <w:r>
        <w:rPr>
          <w:rFonts w:ascii="Times New Roman" w:hAnsi="Times New Roman" w:eastAsiaTheme="minorEastAsia"/>
          <w:b/>
          <w:bCs/>
          <w:sz w:val="21"/>
          <w:szCs w:val="21"/>
        </w:rPr>
        <w:t xml:space="preserve"> 公募REITs定期报告和临时报告业务新建申请页面</w:t>
      </w:r>
    </w:p>
    <w:p w14:paraId="6D4F6503">
      <w:pPr>
        <w:widowControl/>
        <w:spacing w:line="240" w:lineRule="auto"/>
        <w:ind w:firstLine="0" w:firstLineChars="0"/>
        <w:jc w:val="left"/>
        <w:rPr>
          <w:rFonts w:ascii="Times New Roman" w:hAnsi="Times New Roman" w:eastAsiaTheme="minorEastAsia"/>
          <w:b/>
          <w:bCs/>
          <w:sz w:val="21"/>
          <w:szCs w:val="21"/>
        </w:rPr>
      </w:pPr>
      <w:r>
        <w:rPr>
          <w:rFonts w:ascii="Times New Roman" w:hAnsi="Times New Roman" w:eastAsiaTheme="minorEastAsia"/>
          <w:b/>
          <w:bCs/>
          <w:sz w:val="21"/>
          <w:szCs w:val="21"/>
        </w:rPr>
        <w:br w:type="page"/>
      </w:r>
    </w:p>
    <w:p w14:paraId="19E31516">
      <w:pPr>
        <w:pStyle w:val="3"/>
        <w:spacing w:before="156" w:after="156"/>
        <w:ind w:firstLine="643"/>
        <w:rPr>
          <w:rFonts w:ascii="Times New Roman" w:hAnsi="Times New Roman"/>
        </w:rPr>
      </w:pPr>
      <w:bookmarkStart w:id="52" w:name="_Toc1782800043"/>
      <w:bookmarkStart w:id="53" w:name="_Toc217484337"/>
      <w:r>
        <w:rPr>
          <w:rFonts w:ascii="Times New Roman" w:hAnsi="Times New Roman"/>
        </w:rPr>
        <w:t>七、</w:t>
      </w:r>
      <w:bookmarkStart w:id="54" w:name="_Toc72324915"/>
      <w:r>
        <w:rPr>
          <w:rFonts w:ascii="Times New Roman" w:hAnsi="Times New Roman"/>
        </w:rPr>
        <w:t>摘牌</w:t>
      </w:r>
      <w:bookmarkEnd w:id="52"/>
      <w:bookmarkEnd w:id="53"/>
      <w:bookmarkEnd w:id="54"/>
    </w:p>
    <w:p w14:paraId="37AC9D2C">
      <w:pPr>
        <w:ind w:firstLine="600"/>
        <w:rPr>
          <w:rFonts w:ascii="Times New Roman" w:hAnsi="Times New Roman"/>
        </w:rPr>
      </w:pPr>
      <w:r>
        <w:rPr>
          <w:rFonts w:ascii="Times New Roman" w:hAnsi="Times New Roman"/>
        </w:rPr>
        <w:t>公募REITs出现上市规则规定的终止上市情形时，基金管理人应及时向本所报告并提出摘牌申请。</w:t>
      </w:r>
    </w:p>
    <w:p w14:paraId="741672F4">
      <w:pPr>
        <w:pStyle w:val="3"/>
        <w:spacing w:before="156" w:after="156"/>
        <w:ind w:firstLine="643"/>
        <w:rPr>
          <w:rFonts w:ascii="Times New Roman" w:hAnsi="Times New Roman"/>
        </w:rPr>
      </w:pPr>
      <w:bookmarkStart w:id="55" w:name="_Toc217484338"/>
      <w:bookmarkStart w:id="56" w:name="_Toc72324917"/>
      <w:bookmarkStart w:id="57" w:name="_Toc1657413512"/>
      <w:r>
        <w:rPr>
          <w:rFonts w:ascii="Times New Roman" w:hAnsi="Times New Roman"/>
        </w:rPr>
        <w:t>八、解除限售/锁定</w:t>
      </w:r>
      <w:bookmarkEnd w:id="55"/>
      <w:bookmarkEnd w:id="56"/>
      <w:bookmarkEnd w:id="57"/>
    </w:p>
    <w:p w14:paraId="1C44EFE8">
      <w:pPr>
        <w:pStyle w:val="4"/>
        <w:ind w:firstLine="602"/>
        <w:rPr>
          <w:rFonts w:ascii="Times New Roman" w:hAnsi="Times New Roman"/>
        </w:rPr>
      </w:pPr>
      <w:r>
        <w:rPr>
          <w:rFonts w:ascii="Times New Roman" w:hAnsi="Times New Roman"/>
        </w:rPr>
        <w:t>（一）适用情形</w:t>
      </w:r>
    </w:p>
    <w:p w14:paraId="1BB4551A">
      <w:pPr>
        <w:ind w:firstLine="600"/>
        <w:rPr>
          <w:rFonts w:ascii="Times New Roman" w:hAnsi="Times New Roman"/>
        </w:rPr>
      </w:pPr>
      <w:r>
        <w:rPr>
          <w:rFonts w:ascii="Times New Roman" w:hAnsi="Times New Roman"/>
        </w:rPr>
        <w:t>本流程适用于公募REITs上市后解除限售/锁定的业务。</w:t>
      </w:r>
    </w:p>
    <w:p w14:paraId="7031744C">
      <w:pPr>
        <w:pStyle w:val="4"/>
        <w:ind w:firstLine="602"/>
        <w:rPr>
          <w:rFonts w:ascii="Times New Roman" w:hAnsi="Times New Roman"/>
        </w:rPr>
      </w:pPr>
      <w:r>
        <w:rPr>
          <w:rFonts w:ascii="Times New Roman" w:hAnsi="Times New Roman"/>
        </w:rPr>
        <mc:AlternateContent>
          <mc:Choice Requires="wps">
            <w:drawing>
              <wp:anchor distT="0" distB="0" distL="114300" distR="114300" simplePos="0" relativeHeight="251685888" behindDoc="0" locked="0" layoutInCell="1" allowOverlap="1">
                <wp:simplePos x="0" y="0"/>
                <wp:positionH relativeFrom="column">
                  <wp:posOffset>1779905</wp:posOffset>
                </wp:positionH>
                <wp:positionV relativeFrom="paragraph">
                  <wp:posOffset>353695</wp:posOffset>
                </wp:positionV>
                <wp:extent cx="904875" cy="472440"/>
                <wp:effectExtent l="0" t="0" r="0" b="0"/>
                <wp:wrapNone/>
                <wp:docPr id="10" name="Text Box 318"/>
                <wp:cNvGraphicFramePr/>
                <a:graphic xmlns:a="http://schemas.openxmlformats.org/drawingml/2006/main">
                  <a:graphicData uri="http://schemas.microsoft.com/office/word/2010/wordprocessingShape">
                    <wps:wsp>
                      <wps:cNvSpPr txBox="1">
                        <a:spLocks noChangeArrowheads="1"/>
                      </wps:cNvSpPr>
                      <wps:spPr bwMode="auto">
                        <a:xfrm>
                          <a:off x="0" y="0"/>
                          <a:ext cx="904875" cy="472440"/>
                        </a:xfrm>
                        <a:prstGeom prst="rect">
                          <a:avLst/>
                        </a:prstGeom>
                        <a:noFill/>
                        <a:ln>
                          <a:noFill/>
                        </a:ln>
                        <a:effectLst/>
                      </wps:spPr>
                      <wps:txbx>
                        <w:txbxContent>
                          <w:p w14:paraId="7BC310B5">
                            <w:pPr>
                              <w:pStyle w:val="16"/>
                              <w:spacing w:before="0" w:beforeAutospacing="0" w:after="0" w:afterAutospacing="0" w:line="300" w:lineRule="exact"/>
                              <w:ind w:firstLine="0" w:firstLineChars="0"/>
                              <w:jc w:val="center"/>
                              <w:rPr>
                                <w:rFonts w:hint="eastAsia" w:asciiTheme="minorEastAsia" w:hAnsiTheme="minorEastAsia" w:eastAsiaTheme="minorEastAsia"/>
                                <w:sz w:val="21"/>
                                <w:szCs w:val="21"/>
                              </w:rPr>
                            </w:pPr>
                            <w:r>
                              <w:rPr>
                                <w:rFonts w:hint="eastAsia" w:cs="Times New Roman" w:asciiTheme="minorEastAsia" w:hAnsiTheme="minorEastAsia" w:eastAsiaTheme="minorEastAsia"/>
                                <w:kern w:val="24"/>
                                <w:sz w:val="21"/>
                                <w:szCs w:val="21"/>
                              </w:rPr>
                              <w:t>确认申请已通过</w:t>
                            </w:r>
                          </w:p>
                        </w:txbxContent>
                      </wps:txbx>
                      <wps:bodyPr rot="0" vert="horz" wrap="square" lIns="91440" tIns="45720" rIns="91440" bIns="45720" anchor="t" anchorCtr="0" upright="1">
                        <a:spAutoFit/>
                      </wps:bodyPr>
                    </wps:wsp>
                  </a:graphicData>
                </a:graphic>
              </wp:anchor>
            </w:drawing>
          </mc:Choice>
          <mc:Fallback>
            <w:pict>
              <v:shape id="Text Box 318" o:spid="_x0000_s1026" o:spt="202" type="#_x0000_t202" style="position:absolute;left:0pt;margin-left:140.15pt;margin-top:27.85pt;height:37.2pt;width:71.25pt;z-index:251685888;mso-width-relative:page;mso-height-relative:page;" filled="f" stroked="f" coordsize="21600,21600" o:gfxdata="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H5RvvPXAAAACgEAAA8AAAAAAAAAAQAgAAAA&#10;IgAAAGRycy9kb3ducmV2LnhtbFBLAQIUABQAAAAIAIdO4kAD20VkDAIAACQEAAAOAAAAAAAAAAEA&#10;IAAAACYBAABkcnMvZTJvRG9jLnhtbFBLBQYAAAAABgAGAFkBAACkBQAAAAA=&#10;">
                <v:fill on="f" focussize="0,0"/>
                <v:stroke on="f"/>
                <v:imagedata o:title=""/>
                <o:lock v:ext="edit" aspectratio="f"/>
                <v:textbox style="mso-fit-shape-to-text:t;">
                  <w:txbxContent>
                    <w:p w14:paraId="7BC310B5">
                      <w:pPr>
                        <w:pStyle w:val="16"/>
                        <w:spacing w:before="0" w:beforeAutospacing="0" w:after="0" w:afterAutospacing="0" w:line="300" w:lineRule="exact"/>
                        <w:ind w:firstLine="0" w:firstLineChars="0"/>
                        <w:jc w:val="center"/>
                        <w:rPr>
                          <w:rFonts w:hint="eastAsia" w:asciiTheme="minorEastAsia" w:hAnsiTheme="minorEastAsia" w:eastAsiaTheme="minorEastAsia"/>
                          <w:sz w:val="21"/>
                          <w:szCs w:val="21"/>
                        </w:rPr>
                      </w:pPr>
                      <w:r>
                        <w:rPr>
                          <w:rFonts w:hint="eastAsia" w:cs="Times New Roman" w:asciiTheme="minorEastAsia" w:hAnsiTheme="minorEastAsia" w:eastAsiaTheme="minorEastAsia"/>
                          <w:kern w:val="24"/>
                          <w:sz w:val="21"/>
                          <w:szCs w:val="21"/>
                        </w:rPr>
                        <w:t>确认申请已通过</w:t>
                      </w:r>
                    </w:p>
                  </w:txbxContent>
                </v:textbox>
              </v:shape>
            </w:pict>
          </mc:Fallback>
        </mc:AlternateContent>
      </w:r>
      <w:r>
        <w:rPr>
          <w:rFonts w:ascii="Times New Roman" w:hAnsi="Times New Roman"/>
        </w:rPr>
        <mc:AlternateContent>
          <mc:Choice Requires="wps">
            <w:drawing>
              <wp:anchor distT="0" distB="0" distL="114300" distR="114300" simplePos="0" relativeHeight="251682816" behindDoc="0" locked="0" layoutInCell="1" allowOverlap="1">
                <wp:simplePos x="0" y="0"/>
                <wp:positionH relativeFrom="column">
                  <wp:posOffset>3288665</wp:posOffset>
                </wp:positionH>
                <wp:positionV relativeFrom="paragraph">
                  <wp:posOffset>353695</wp:posOffset>
                </wp:positionV>
                <wp:extent cx="978535" cy="472440"/>
                <wp:effectExtent l="0" t="0" r="0" b="0"/>
                <wp:wrapNone/>
                <wp:docPr id="9" name="Text Box 315"/>
                <wp:cNvGraphicFramePr/>
                <a:graphic xmlns:a="http://schemas.openxmlformats.org/drawingml/2006/main">
                  <a:graphicData uri="http://schemas.microsoft.com/office/word/2010/wordprocessingShape">
                    <wps:wsp>
                      <wps:cNvSpPr txBox="1">
                        <a:spLocks noChangeArrowheads="1"/>
                      </wps:cNvSpPr>
                      <wps:spPr bwMode="auto">
                        <a:xfrm>
                          <a:off x="0" y="0"/>
                          <a:ext cx="978535" cy="472440"/>
                        </a:xfrm>
                        <a:prstGeom prst="rect">
                          <a:avLst/>
                        </a:prstGeom>
                        <a:noFill/>
                        <a:ln>
                          <a:noFill/>
                        </a:ln>
                        <a:effectLst/>
                      </wps:spPr>
                      <wps:txbx>
                        <w:txbxContent>
                          <w:p w14:paraId="0E5044FE">
                            <w:pPr>
                              <w:pStyle w:val="16"/>
                              <w:spacing w:before="0" w:beforeAutospacing="0" w:after="0" w:afterAutospacing="0" w:line="300" w:lineRule="exact"/>
                              <w:ind w:firstLine="0" w:firstLineChars="0"/>
                              <w:jc w:val="center"/>
                              <w:rPr>
                                <w:rFonts w:hint="eastAsia" w:asciiTheme="minorEastAsia" w:hAnsiTheme="minorEastAsia" w:eastAsiaTheme="minorEastAsia"/>
                                <w:sz w:val="21"/>
                                <w:szCs w:val="21"/>
                              </w:rPr>
                            </w:pPr>
                            <w:r>
                              <w:rPr>
                                <w:rFonts w:hint="eastAsia" w:asciiTheme="minorEastAsia" w:hAnsiTheme="minorEastAsia" w:eastAsiaTheme="minorEastAsia"/>
                                <w:sz w:val="21"/>
                                <w:szCs w:val="21"/>
                              </w:rPr>
                              <w:t>解除限售/冻结日</w:t>
                            </w:r>
                          </w:p>
                        </w:txbxContent>
                      </wps:txbx>
                      <wps:bodyPr rot="0" vert="horz" wrap="square" lIns="91440" tIns="45720" rIns="91440" bIns="45720" anchor="t" anchorCtr="0" upright="1">
                        <a:spAutoFit/>
                      </wps:bodyPr>
                    </wps:wsp>
                  </a:graphicData>
                </a:graphic>
              </wp:anchor>
            </w:drawing>
          </mc:Choice>
          <mc:Fallback>
            <w:pict>
              <v:shape id="Text Box 315" o:spid="_x0000_s1026" o:spt="202" type="#_x0000_t202" style="position:absolute;left:0pt;margin-left:258.95pt;margin-top:27.85pt;height:37.2pt;width:77.05pt;z-index:251682816;mso-width-relative:page;mso-height-relative:page;" filled="f" stroked="f" coordsize="21600,21600" o:gfxdata="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AEezS7XAAAACgEAAA8AAAAAAAAAAQAgAAAA&#10;IgAAAGRycy9kb3ducmV2LnhtbFBLAQIUABQAAAAIAIdO4kCwCtMsDAIAACMEAAAOAAAAAAAAAAEA&#10;IAAAACYBAABkcnMvZTJvRG9jLnhtbFBLBQYAAAAABgAGAFkBAACkBQAAAAA=&#10;">
                <v:fill on="f" focussize="0,0"/>
                <v:stroke on="f"/>
                <v:imagedata o:title=""/>
                <o:lock v:ext="edit" aspectratio="f"/>
                <v:textbox style="mso-fit-shape-to-text:t;">
                  <w:txbxContent>
                    <w:p w14:paraId="0E5044FE">
                      <w:pPr>
                        <w:pStyle w:val="16"/>
                        <w:spacing w:before="0" w:beforeAutospacing="0" w:after="0" w:afterAutospacing="0" w:line="300" w:lineRule="exact"/>
                        <w:ind w:firstLine="0" w:firstLineChars="0"/>
                        <w:jc w:val="center"/>
                        <w:rPr>
                          <w:rFonts w:hint="eastAsia" w:asciiTheme="minorEastAsia" w:hAnsiTheme="minorEastAsia" w:eastAsiaTheme="minorEastAsia"/>
                          <w:sz w:val="21"/>
                          <w:szCs w:val="21"/>
                        </w:rPr>
                      </w:pPr>
                      <w:r>
                        <w:rPr>
                          <w:rFonts w:hint="eastAsia" w:asciiTheme="minorEastAsia" w:hAnsiTheme="minorEastAsia" w:eastAsiaTheme="minorEastAsia"/>
                          <w:sz w:val="21"/>
                          <w:szCs w:val="21"/>
                        </w:rPr>
                        <w:t>解除限售/冻结日</w:t>
                      </w:r>
                    </w:p>
                  </w:txbxContent>
                </v:textbox>
              </v:shape>
            </w:pict>
          </mc:Fallback>
        </mc:AlternateContent>
      </w:r>
      <w:r>
        <w:rPr>
          <w:rFonts w:ascii="Times New Roman" w:hAnsi="Times New Roman"/>
        </w:rPr>
        <mc:AlternateContent>
          <mc:Choice Requires="wps">
            <w:drawing>
              <wp:anchor distT="0" distB="0" distL="114300" distR="114300" simplePos="0" relativeHeight="251683840" behindDoc="0" locked="0" layoutInCell="1" allowOverlap="1">
                <wp:simplePos x="0" y="0"/>
                <wp:positionH relativeFrom="column">
                  <wp:posOffset>762000</wp:posOffset>
                </wp:positionH>
                <wp:positionV relativeFrom="paragraph">
                  <wp:posOffset>346075</wp:posOffset>
                </wp:positionV>
                <wp:extent cx="990600" cy="472440"/>
                <wp:effectExtent l="0" t="0" r="0" b="0"/>
                <wp:wrapNone/>
                <wp:docPr id="8" name="Text Box 316"/>
                <wp:cNvGraphicFramePr/>
                <a:graphic xmlns:a="http://schemas.openxmlformats.org/drawingml/2006/main">
                  <a:graphicData uri="http://schemas.microsoft.com/office/word/2010/wordprocessingShape">
                    <wps:wsp>
                      <wps:cNvSpPr txBox="1">
                        <a:spLocks noChangeArrowheads="1"/>
                      </wps:cNvSpPr>
                      <wps:spPr bwMode="auto">
                        <a:xfrm>
                          <a:off x="0" y="0"/>
                          <a:ext cx="990600" cy="472440"/>
                        </a:xfrm>
                        <a:prstGeom prst="rect">
                          <a:avLst/>
                        </a:prstGeom>
                        <a:noFill/>
                        <a:ln>
                          <a:noFill/>
                        </a:ln>
                        <a:effectLst/>
                      </wps:spPr>
                      <wps:txbx>
                        <w:txbxContent>
                          <w:p w14:paraId="4249E0F7">
                            <w:pPr>
                              <w:pStyle w:val="16"/>
                              <w:spacing w:before="0" w:beforeAutospacing="0" w:after="0" w:afterAutospacing="0" w:line="300" w:lineRule="exact"/>
                              <w:ind w:firstLine="0" w:firstLineChars="0"/>
                              <w:jc w:val="center"/>
                              <w:rPr>
                                <w:rFonts w:hint="eastAsia" w:asciiTheme="minorEastAsia" w:hAnsiTheme="minorEastAsia" w:eastAsiaTheme="minorEastAsia"/>
                                <w:sz w:val="21"/>
                                <w:szCs w:val="21"/>
                              </w:rPr>
                            </w:pPr>
                            <w:r>
                              <w:rPr>
                                <w:rFonts w:hint="eastAsia" w:cs="Times New Roman" w:asciiTheme="minorEastAsia" w:hAnsiTheme="minorEastAsia" w:eastAsiaTheme="minorEastAsia"/>
                                <w:kern w:val="24"/>
                                <w:sz w:val="21"/>
                                <w:szCs w:val="21"/>
                              </w:rPr>
                              <w:t>提交解除限售/锁定申请</w:t>
                            </w:r>
                          </w:p>
                        </w:txbxContent>
                      </wps:txbx>
                      <wps:bodyPr rot="0" vert="horz" wrap="square" lIns="91440" tIns="45720" rIns="91440" bIns="45720" anchor="t" anchorCtr="0" upright="1">
                        <a:spAutoFit/>
                      </wps:bodyPr>
                    </wps:wsp>
                  </a:graphicData>
                </a:graphic>
              </wp:anchor>
            </w:drawing>
          </mc:Choice>
          <mc:Fallback>
            <w:pict>
              <v:shape id="Text Box 316" o:spid="_x0000_s1026" o:spt="202" type="#_x0000_t202" style="position:absolute;left:0pt;margin-left:60pt;margin-top:27.25pt;height:37.2pt;width:78pt;z-index:251683840;mso-width-relative:page;mso-height-relative:page;" filled="f" stroked="f" coordsize="21600,21600" o:gfxdata="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CxRtEjVAAAACgEAAA8AAAAAAAAAAQAgAAAAIgAA&#10;AGRycy9kb3ducmV2LnhtbFBLAQIUABQAAAAIAIdO4kBEFOOvCwIAACMEAAAOAAAAAAAAAAEAIAAA&#10;ACQBAABkcnMvZTJvRG9jLnhtbFBLBQYAAAAABgAGAFkBAAChBQAAAAA=&#10;">
                <v:fill on="f" focussize="0,0"/>
                <v:stroke on="f"/>
                <v:imagedata o:title=""/>
                <o:lock v:ext="edit" aspectratio="f"/>
                <v:textbox style="mso-fit-shape-to-text:t;">
                  <w:txbxContent>
                    <w:p w14:paraId="4249E0F7">
                      <w:pPr>
                        <w:pStyle w:val="16"/>
                        <w:spacing w:before="0" w:beforeAutospacing="0" w:after="0" w:afterAutospacing="0" w:line="300" w:lineRule="exact"/>
                        <w:ind w:firstLine="0" w:firstLineChars="0"/>
                        <w:jc w:val="center"/>
                        <w:rPr>
                          <w:rFonts w:hint="eastAsia" w:asciiTheme="minorEastAsia" w:hAnsiTheme="minorEastAsia" w:eastAsiaTheme="minorEastAsia"/>
                          <w:sz w:val="21"/>
                          <w:szCs w:val="21"/>
                        </w:rPr>
                      </w:pPr>
                      <w:r>
                        <w:rPr>
                          <w:rFonts w:hint="eastAsia" w:cs="Times New Roman" w:asciiTheme="minorEastAsia" w:hAnsiTheme="minorEastAsia" w:eastAsiaTheme="minorEastAsia"/>
                          <w:kern w:val="24"/>
                          <w:sz w:val="21"/>
                          <w:szCs w:val="21"/>
                        </w:rPr>
                        <w:t>提交解除限售/锁定申请</w:t>
                      </w:r>
                    </w:p>
                  </w:txbxContent>
                </v:textbox>
              </v:shape>
            </w:pict>
          </mc:Fallback>
        </mc:AlternateContent>
      </w:r>
      <w:r>
        <w:rPr>
          <w:rFonts w:ascii="Times New Roman" w:hAnsi="Times New Roman"/>
        </w:rPr>
        <w:t>（二）办理时间</w:t>
      </w:r>
    </w:p>
    <w:p w14:paraId="34478E1B">
      <w:pPr>
        <w:snapToGrid w:val="0"/>
        <w:spacing w:line="360" w:lineRule="auto"/>
        <w:ind w:left="840" w:firstLine="600"/>
        <w:rPr>
          <w:rFonts w:ascii="Times New Roman" w:hAnsi="Times New Roman"/>
          <w:color w:val="000000"/>
          <w:kern w:val="0"/>
          <w:szCs w:val="30"/>
        </w:rPr>
      </w:pPr>
    </w:p>
    <w:p w14:paraId="38237D72">
      <w:pPr>
        <w:snapToGrid w:val="0"/>
        <w:spacing w:line="360" w:lineRule="auto"/>
        <w:ind w:left="840" w:firstLine="600"/>
        <w:rPr>
          <w:rFonts w:ascii="Times New Roman" w:hAnsi="Times New Roman"/>
          <w:color w:val="000000"/>
          <w:kern w:val="0"/>
          <w:szCs w:val="30"/>
        </w:rPr>
      </w:pPr>
      <w:r>
        <w:rPr>
          <w:rFonts w:ascii="Times New Roman" w:hAnsi="Times New Roman"/>
          <w:color w:val="000000"/>
          <w:kern w:val="0"/>
          <w:szCs w:val="30"/>
        </w:rPr>
        <mc:AlternateContent>
          <mc:Choice Requires="wps">
            <w:drawing>
              <wp:anchor distT="0" distB="0" distL="114300" distR="114300" simplePos="0" relativeHeight="251684864" behindDoc="0" locked="0" layoutInCell="1" allowOverlap="1">
                <wp:simplePos x="0" y="0"/>
                <wp:positionH relativeFrom="column">
                  <wp:posOffset>2228850</wp:posOffset>
                </wp:positionH>
                <wp:positionV relativeFrom="paragraph">
                  <wp:posOffset>99060</wp:posOffset>
                </wp:positionV>
                <wp:extent cx="0" cy="107950"/>
                <wp:effectExtent l="9525" t="0" r="9525" b="6350"/>
                <wp:wrapNone/>
                <wp:docPr id="7" name="Line 317"/>
                <wp:cNvGraphicFramePr/>
                <a:graphic xmlns:a="http://schemas.openxmlformats.org/drawingml/2006/main">
                  <a:graphicData uri="http://schemas.microsoft.com/office/word/2010/wordprocessingShape">
                    <wps:wsp>
                      <wps:cNvCnPr>
                        <a:cxnSpLocks noChangeShapeType="1"/>
                      </wps:cNvCnPr>
                      <wps:spPr bwMode="auto">
                        <a:xfrm>
                          <a:off x="0" y="0"/>
                          <a:ext cx="0" cy="107950"/>
                        </a:xfrm>
                        <a:prstGeom prst="line">
                          <a:avLst/>
                        </a:prstGeom>
                        <a:noFill/>
                        <a:ln w="19050">
                          <a:solidFill>
                            <a:srgbClr val="000000"/>
                          </a:solidFill>
                          <a:miter lim="800000"/>
                        </a:ln>
                        <a:effectLst/>
                      </wps:spPr>
                      <wps:bodyPr/>
                    </wps:wsp>
                  </a:graphicData>
                </a:graphic>
              </wp:anchor>
            </w:drawing>
          </mc:Choice>
          <mc:Fallback>
            <w:pict>
              <v:line id="Line 317" o:spid="_x0000_s1026" o:spt="20" style="position:absolute;left:0pt;margin-left:175.5pt;margin-top:7.8pt;height:8.5pt;width:0pt;z-index:251684864;mso-width-relative:page;mso-height-relative:page;" filled="f" stroked="t" coordsize="21600,21600" o:gfxdata="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">
                <v:fill on="f" focussize="0,0"/>
                <v:stroke weight="1.5pt" color="#000000" miterlimit="8" joinstyle="miter"/>
                <v:imagedata o:title=""/>
                <o:lock v:ext="edit" aspectratio="f"/>
              </v:line>
            </w:pict>
          </mc:Fallback>
        </mc:AlternateContent>
      </w:r>
      <w:r>
        <w:rPr>
          <w:rFonts w:ascii="Times New Roman" w:hAnsi="Times New Roman"/>
          <w:color w:val="000000"/>
          <w:kern w:val="0"/>
          <w:szCs w:val="30"/>
        </w:rPr>
        <mc:AlternateContent>
          <mc:Choice Requires="wps">
            <w:drawing>
              <wp:anchor distT="0" distB="0" distL="114300" distR="114300" simplePos="0" relativeHeight="251686912" behindDoc="0" locked="0" layoutInCell="1" allowOverlap="1">
                <wp:simplePos x="0" y="0"/>
                <wp:positionH relativeFrom="column">
                  <wp:posOffset>1733550</wp:posOffset>
                </wp:positionH>
                <wp:positionV relativeFrom="paragraph">
                  <wp:posOffset>198755</wp:posOffset>
                </wp:positionV>
                <wp:extent cx="1104900" cy="281940"/>
                <wp:effectExtent l="0" t="0" r="0" b="0"/>
                <wp:wrapNone/>
                <wp:docPr id="6" name="Text Box 319"/>
                <wp:cNvGraphicFramePr/>
                <a:graphic xmlns:a="http://schemas.openxmlformats.org/drawingml/2006/main">
                  <a:graphicData uri="http://schemas.microsoft.com/office/word/2010/wordprocessingShape">
                    <wps:wsp>
                      <wps:cNvSpPr txBox="1">
                        <a:spLocks noChangeArrowheads="1"/>
                      </wps:cNvSpPr>
                      <wps:spPr bwMode="auto">
                        <a:xfrm>
                          <a:off x="0" y="0"/>
                          <a:ext cx="1104900" cy="281940"/>
                        </a:xfrm>
                        <a:prstGeom prst="rect">
                          <a:avLst/>
                        </a:prstGeom>
                        <a:noFill/>
                        <a:ln>
                          <a:noFill/>
                        </a:ln>
                        <a:effectLst/>
                      </wps:spPr>
                      <wps:txbx>
                        <w:txbxContent>
                          <w:p w14:paraId="167ADDBA">
                            <w:pPr>
                              <w:pStyle w:val="16"/>
                              <w:spacing w:before="0" w:beforeAutospacing="0" w:after="0" w:afterAutospacing="0" w:line="300" w:lineRule="exact"/>
                              <w:ind w:firstLine="0" w:firstLineChars="0"/>
                              <w:jc w:val="center"/>
                              <w:rPr>
                                <w:rFonts w:ascii="Times New Roman" w:hAnsi="Times New Roman" w:cs="Times New Roman" w:eastAsiaTheme="majorEastAsia"/>
                                <w:sz w:val="21"/>
                                <w:szCs w:val="21"/>
                              </w:rPr>
                            </w:pPr>
                            <w:r>
                              <w:rPr>
                                <w:rFonts w:ascii="Times New Roman" w:hAnsi="Times New Roman" w:cs="Times New Roman" w:eastAsiaTheme="majorEastAsia"/>
                                <w:kern w:val="24"/>
                                <w:sz w:val="21"/>
                                <w:szCs w:val="21"/>
                              </w:rPr>
                              <w:t>L-6 10点前</w:t>
                            </w:r>
                          </w:p>
                        </w:txbxContent>
                      </wps:txbx>
                      <wps:bodyPr rot="0" vert="horz" wrap="square" lIns="91440" tIns="45720" rIns="91440" bIns="45720" anchor="t" anchorCtr="0" upright="1">
                        <a:spAutoFit/>
                      </wps:bodyPr>
                    </wps:wsp>
                  </a:graphicData>
                </a:graphic>
              </wp:anchor>
            </w:drawing>
          </mc:Choice>
          <mc:Fallback>
            <w:pict>
              <v:shape id="Text Box 319" o:spid="_x0000_s1026" o:spt="202" type="#_x0000_t202" style="position:absolute;left:0pt;margin-left:136.5pt;margin-top:15.65pt;height:22.2pt;width:87pt;z-index:251686912;mso-width-relative:page;mso-height-relative:page;" filled="f" stroked="f" coordsize="21600,21600" o:gfxdata="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HFFpQzXAAAACQEAAA8AAAAAAAAAAQAgAAAA&#10;IgAAAGRycy9kb3ducmV2LnhtbFBLAQIUABQAAAAIAIdO4kBSJrsGDAIAACQEAAAOAAAAAAAAAAEA&#10;IAAAACYBAABkcnMvZTJvRG9jLnhtbFBLBQYAAAAABgAGAFkBAACkBQAAAAA=&#10;">
                <v:fill on="f" focussize="0,0"/>
                <v:stroke on="f"/>
                <v:imagedata o:title=""/>
                <o:lock v:ext="edit" aspectratio="f"/>
                <v:textbox style="mso-fit-shape-to-text:t;">
                  <w:txbxContent>
                    <w:p w14:paraId="167ADDBA">
                      <w:pPr>
                        <w:pStyle w:val="16"/>
                        <w:spacing w:before="0" w:beforeAutospacing="0" w:after="0" w:afterAutospacing="0" w:line="300" w:lineRule="exact"/>
                        <w:ind w:firstLine="0" w:firstLineChars="0"/>
                        <w:jc w:val="center"/>
                        <w:rPr>
                          <w:rFonts w:ascii="Times New Roman" w:hAnsi="Times New Roman" w:cs="Times New Roman" w:eastAsiaTheme="majorEastAsia"/>
                          <w:sz w:val="21"/>
                          <w:szCs w:val="21"/>
                        </w:rPr>
                      </w:pPr>
                      <w:r>
                        <w:rPr>
                          <w:rFonts w:ascii="Times New Roman" w:hAnsi="Times New Roman" w:cs="Times New Roman" w:eastAsiaTheme="majorEastAsia"/>
                          <w:kern w:val="24"/>
                          <w:sz w:val="21"/>
                          <w:szCs w:val="21"/>
                        </w:rPr>
                        <w:t>L-6 10点前</w:t>
                      </w:r>
                    </w:p>
                  </w:txbxContent>
                </v:textbox>
              </v:shape>
            </w:pict>
          </mc:Fallback>
        </mc:AlternateContent>
      </w:r>
      <w:r>
        <w:rPr>
          <w:rFonts w:ascii="Times New Roman" w:hAnsi="Times New Roman"/>
          <w:color w:val="000000"/>
          <w:kern w:val="0"/>
          <w:szCs w:val="30"/>
        </w:rPr>
        <mc:AlternateContent>
          <mc:Choice Requires="wps">
            <w:drawing>
              <wp:anchor distT="0" distB="0" distL="114300" distR="114300" simplePos="0" relativeHeight="251680768" behindDoc="0" locked="0" layoutInCell="1" allowOverlap="1">
                <wp:simplePos x="0" y="0"/>
                <wp:positionH relativeFrom="column">
                  <wp:posOffset>742315</wp:posOffset>
                </wp:positionH>
                <wp:positionV relativeFrom="paragraph">
                  <wp:posOffset>208280</wp:posOffset>
                </wp:positionV>
                <wp:extent cx="1010285" cy="511175"/>
                <wp:effectExtent l="0" t="0" r="0" b="0"/>
                <wp:wrapNone/>
                <wp:docPr id="5" name="Text Box 313"/>
                <wp:cNvGraphicFramePr/>
                <a:graphic xmlns:a="http://schemas.openxmlformats.org/drawingml/2006/main">
                  <a:graphicData uri="http://schemas.microsoft.com/office/word/2010/wordprocessingShape">
                    <wps:wsp>
                      <wps:cNvSpPr txBox="1">
                        <a:spLocks noChangeArrowheads="1"/>
                      </wps:cNvSpPr>
                      <wps:spPr bwMode="auto">
                        <a:xfrm>
                          <a:off x="0" y="0"/>
                          <a:ext cx="1010285" cy="511175"/>
                        </a:xfrm>
                        <a:prstGeom prst="rect">
                          <a:avLst/>
                        </a:prstGeom>
                        <a:noFill/>
                        <a:ln>
                          <a:noFill/>
                        </a:ln>
                        <a:effectLst/>
                      </wps:spPr>
                      <wps:txbx>
                        <w:txbxContent>
                          <w:p w14:paraId="3EA01A20">
                            <w:pPr>
                              <w:pStyle w:val="16"/>
                              <w:spacing w:before="0" w:beforeAutospacing="0" w:after="0" w:afterAutospacing="0" w:line="300" w:lineRule="exact"/>
                              <w:ind w:firstLine="0" w:firstLineChars="0"/>
                              <w:jc w:val="center"/>
                              <w:rPr>
                                <w:rFonts w:ascii="Times New Roman" w:hAnsi="Times New Roman" w:cs="Times New Roman"/>
                              </w:rPr>
                            </w:pPr>
                            <w:r>
                              <w:rPr>
                                <w:rFonts w:ascii="Times New Roman" w:hAnsi="Times New Roman" w:cs="Times New Roman" w:eastAsiaTheme="minorEastAsia"/>
                                <w:kern w:val="24"/>
                                <w:sz w:val="21"/>
                                <w:szCs w:val="21"/>
                              </w:rPr>
                              <w:t>L-7 1</w:t>
                            </w:r>
                            <w:r>
                              <w:rPr>
                                <w:rFonts w:hint="eastAsia" w:ascii="Times New Roman" w:hAnsi="Times New Roman" w:cs="Times New Roman" w:eastAsiaTheme="minorEastAsia"/>
                                <w:kern w:val="24"/>
                                <w:sz w:val="21"/>
                                <w:szCs w:val="21"/>
                                <w:lang w:val="en-US" w:eastAsia="zh-CN"/>
                              </w:rPr>
                              <w:t>2</w:t>
                            </w:r>
                            <w:r>
                              <w:rPr>
                                <w:rFonts w:ascii="Times New Roman" w:hAnsi="Times New Roman" w:cs="Times New Roman" w:eastAsiaTheme="minorEastAsia"/>
                                <w:kern w:val="24"/>
                                <w:sz w:val="21"/>
                                <w:szCs w:val="21"/>
                              </w:rPr>
                              <w:t>点前</w:t>
                            </w:r>
                          </w:p>
                        </w:txbxContent>
                      </wps:txbx>
                      <wps:bodyPr rot="0" vert="horz" wrap="square" lIns="91440" tIns="45720" rIns="91440" bIns="45720" anchor="t" anchorCtr="0" upright="1">
                        <a:noAutofit/>
                      </wps:bodyPr>
                    </wps:wsp>
                  </a:graphicData>
                </a:graphic>
              </wp:anchor>
            </w:drawing>
          </mc:Choice>
          <mc:Fallback>
            <w:pict>
              <v:shape id="Text Box 313" o:spid="_x0000_s1026" o:spt="202" type="#_x0000_t202" style="position:absolute;left:0pt;margin-left:58.45pt;margin-top:16.4pt;height:40.25pt;width:79.55pt;z-index:251680768;mso-width-relative:page;mso-height-relative:page;" filled="f" stroked="f" coordsize="21600,21600" o:gfxdata="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Vh2BBNYAAAAKAQAADwAAAAAAAAABACAAAAAi&#10;AAAAZHJzL2Rvd25yZXYueG1sUEsBAhQAFAAAAAgAh07iQDzZLQoMAgAAJAQAAA4AAAAAAAAAAQAg&#10;AAAAJQEAAGRycy9lMm9Eb2MueG1sUEsFBgAAAAAGAAYAWQEAAKMFAAAAAA==&#10;">
                <v:fill on="f" focussize="0,0"/>
                <v:stroke on="f"/>
                <v:imagedata o:title=""/>
                <o:lock v:ext="edit" aspectratio="f"/>
                <v:textbox>
                  <w:txbxContent>
                    <w:p w14:paraId="3EA01A20">
                      <w:pPr>
                        <w:pStyle w:val="16"/>
                        <w:spacing w:before="0" w:beforeAutospacing="0" w:after="0" w:afterAutospacing="0" w:line="300" w:lineRule="exact"/>
                        <w:ind w:firstLine="0" w:firstLineChars="0"/>
                        <w:jc w:val="center"/>
                        <w:rPr>
                          <w:rFonts w:ascii="Times New Roman" w:hAnsi="Times New Roman" w:cs="Times New Roman"/>
                        </w:rPr>
                      </w:pPr>
                      <w:r>
                        <w:rPr>
                          <w:rFonts w:ascii="Times New Roman" w:hAnsi="Times New Roman" w:cs="Times New Roman" w:eastAsiaTheme="minorEastAsia"/>
                          <w:kern w:val="24"/>
                          <w:sz w:val="21"/>
                          <w:szCs w:val="21"/>
                        </w:rPr>
                        <w:t>L-7 1</w:t>
                      </w:r>
                      <w:r>
                        <w:rPr>
                          <w:rFonts w:hint="eastAsia" w:ascii="Times New Roman" w:hAnsi="Times New Roman" w:cs="Times New Roman" w:eastAsiaTheme="minorEastAsia"/>
                          <w:kern w:val="24"/>
                          <w:sz w:val="21"/>
                          <w:szCs w:val="21"/>
                          <w:lang w:val="en-US" w:eastAsia="zh-CN"/>
                        </w:rPr>
                        <w:t>2</w:t>
                      </w:r>
                      <w:r>
                        <w:rPr>
                          <w:rFonts w:ascii="Times New Roman" w:hAnsi="Times New Roman" w:cs="Times New Roman" w:eastAsiaTheme="minorEastAsia"/>
                          <w:kern w:val="24"/>
                          <w:sz w:val="21"/>
                          <w:szCs w:val="21"/>
                        </w:rPr>
                        <w:t>点前</w:t>
                      </w:r>
                    </w:p>
                  </w:txbxContent>
                </v:textbox>
              </v:shape>
            </w:pict>
          </mc:Fallback>
        </mc:AlternateContent>
      </w:r>
      <w:r>
        <w:rPr>
          <w:rFonts w:ascii="Times New Roman" w:hAnsi="Times New Roman"/>
          <w:color w:val="000000"/>
          <w:kern w:val="0"/>
          <w:szCs w:val="30"/>
        </w:rPr>
        <mc:AlternateContent>
          <mc:Choice Requires="wps">
            <w:drawing>
              <wp:anchor distT="0" distB="0" distL="114300" distR="114300" simplePos="0" relativeHeight="251681792" behindDoc="0" locked="0" layoutInCell="1" allowOverlap="1">
                <wp:simplePos x="0" y="0"/>
                <wp:positionH relativeFrom="column">
                  <wp:posOffset>3509645</wp:posOffset>
                </wp:positionH>
                <wp:positionV relativeFrom="paragraph">
                  <wp:posOffset>200025</wp:posOffset>
                </wp:positionV>
                <wp:extent cx="541655" cy="281940"/>
                <wp:effectExtent l="0" t="0" r="0" b="0"/>
                <wp:wrapNone/>
                <wp:docPr id="4" name="Text Box 314"/>
                <wp:cNvGraphicFramePr/>
                <a:graphic xmlns:a="http://schemas.openxmlformats.org/drawingml/2006/main">
                  <a:graphicData uri="http://schemas.microsoft.com/office/word/2010/wordprocessingShape">
                    <wps:wsp>
                      <wps:cNvSpPr txBox="1">
                        <a:spLocks noChangeArrowheads="1"/>
                      </wps:cNvSpPr>
                      <wps:spPr bwMode="auto">
                        <a:xfrm>
                          <a:off x="0" y="0"/>
                          <a:ext cx="541655" cy="281940"/>
                        </a:xfrm>
                        <a:prstGeom prst="rect">
                          <a:avLst/>
                        </a:prstGeom>
                        <a:noFill/>
                        <a:ln>
                          <a:noFill/>
                        </a:ln>
                        <a:effectLst/>
                      </wps:spPr>
                      <wps:txbx>
                        <w:txbxContent>
                          <w:p w14:paraId="52A187C7">
                            <w:pPr>
                              <w:pStyle w:val="16"/>
                              <w:spacing w:before="0" w:beforeAutospacing="0" w:after="0" w:afterAutospacing="0" w:line="300" w:lineRule="exact"/>
                              <w:ind w:firstLine="420"/>
                              <w:jc w:val="center"/>
                              <w:rPr>
                                <w:rFonts w:ascii="Times New Roman" w:hAnsi="Times New Roman" w:cs="Times New Roman" w:eastAsiaTheme="minorEastAsia"/>
                                <w:sz w:val="21"/>
                                <w:szCs w:val="21"/>
                              </w:rPr>
                            </w:pPr>
                            <w:r>
                              <w:rPr>
                                <w:rFonts w:ascii="Times New Roman" w:hAnsi="Times New Roman" w:cs="Times New Roman" w:eastAsiaTheme="minorEastAsia"/>
                                <w:kern w:val="24"/>
                                <w:sz w:val="21"/>
                                <w:szCs w:val="21"/>
                              </w:rPr>
                              <w:t>L</w:t>
                            </w:r>
                          </w:p>
                        </w:txbxContent>
                      </wps:txbx>
                      <wps:bodyPr rot="0" vert="horz" wrap="square" lIns="91440" tIns="45720" rIns="91440" bIns="45720" anchor="t" anchorCtr="0" upright="1">
                        <a:spAutoFit/>
                      </wps:bodyPr>
                    </wps:wsp>
                  </a:graphicData>
                </a:graphic>
              </wp:anchor>
            </w:drawing>
          </mc:Choice>
          <mc:Fallback>
            <w:pict>
              <v:shape id="Text Box 314" o:spid="_x0000_s1026" o:spt="202" type="#_x0000_t202" style="position:absolute;left:0pt;margin-left:276.35pt;margin-top:15.75pt;height:22.2pt;width:42.65pt;z-index:251681792;mso-width-relative:page;mso-height-relative:page;" filled="f" stroked="f" coordsize="21600,21600" o:gfxdata="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Az8Nqd1wAAAAkBAAAPAAAAAAAAAAEAIAAA&#10;ACIAAABkcnMvZG93bnJldi54bWxQSwECFAAUAAAACACHTuJAuWSLFA0CAAAjBAAADgAAAAAAAAAB&#10;ACAAAAAmAQAAZHJzL2Uyb0RvYy54bWxQSwUGAAAAAAYABgBZAQAApQUAAAAA&#10;">
                <v:fill on="f" focussize="0,0"/>
                <v:stroke on="f"/>
                <v:imagedata o:title=""/>
                <o:lock v:ext="edit" aspectratio="f"/>
                <v:textbox style="mso-fit-shape-to-text:t;">
                  <w:txbxContent>
                    <w:p w14:paraId="52A187C7">
                      <w:pPr>
                        <w:pStyle w:val="16"/>
                        <w:spacing w:before="0" w:beforeAutospacing="0" w:after="0" w:afterAutospacing="0" w:line="300" w:lineRule="exact"/>
                        <w:ind w:firstLine="420"/>
                        <w:jc w:val="center"/>
                        <w:rPr>
                          <w:rFonts w:ascii="Times New Roman" w:hAnsi="Times New Roman" w:cs="Times New Roman" w:eastAsiaTheme="minorEastAsia"/>
                          <w:sz w:val="21"/>
                          <w:szCs w:val="21"/>
                        </w:rPr>
                      </w:pPr>
                      <w:r>
                        <w:rPr>
                          <w:rFonts w:ascii="Times New Roman" w:hAnsi="Times New Roman" w:cs="Times New Roman" w:eastAsiaTheme="minorEastAsia"/>
                          <w:kern w:val="24"/>
                          <w:sz w:val="21"/>
                          <w:szCs w:val="21"/>
                        </w:rPr>
                        <w:t>L</w:t>
                      </w:r>
                    </w:p>
                  </w:txbxContent>
                </v:textbox>
              </v:shape>
            </w:pict>
          </mc:Fallback>
        </mc:AlternateContent>
      </w:r>
      <w:r>
        <w:rPr>
          <w:rFonts w:ascii="Times New Roman" w:hAnsi="Times New Roman"/>
          <w:color w:val="000000"/>
          <w:kern w:val="0"/>
          <w:szCs w:val="30"/>
        </w:rPr>
        <mc:AlternateContent>
          <mc:Choice Requires="wps">
            <w:drawing>
              <wp:anchor distT="0" distB="0" distL="114300" distR="114300" simplePos="0" relativeHeight="251679744" behindDoc="0" locked="0" layoutInCell="1" allowOverlap="1">
                <wp:simplePos x="0" y="0"/>
                <wp:positionH relativeFrom="column">
                  <wp:posOffset>3790315</wp:posOffset>
                </wp:positionH>
                <wp:positionV relativeFrom="paragraph">
                  <wp:posOffset>100330</wp:posOffset>
                </wp:positionV>
                <wp:extent cx="0" cy="107950"/>
                <wp:effectExtent l="9525" t="0" r="9525" b="6350"/>
                <wp:wrapNone/>
                <wp:docPr id="3" name="Line 312"/>
                <wp:cNvGraphicFramePr/>
                <a:graphic xmlns:a="http://schemas.openxmlformats.org/drawingml/2006/main">
                  <a:graphicData uri="http://schemas.microsoft.com/office/word/2010/wordprocessingShape">
                    <wps:wsp>
                      <wps:cNvCnPr>
                        <a:cxnSpLocks noChangeShapeType="1"/>
                      </wps:cNvCnPr>
                      <wps:spPr bwMode="auto">
                        <a:xfrm>
                          <a:off x="0" y="0"/>
                          <a:ext cx="0" cy="107950"/>
                        </a:xfrm>
                        <a:prstGeom prst="line">
                          <a:avLst/>
                        </a:prstGeom>
                        <a:noFill/>
                        <a:ln w="19050">
                          <a:solidFill>
                            <a:srgbClr val="000000"/>
                          </a:solidFill>
                          <a:miter lim="800000"/>
                        </a:ln>
                        <a:effectLst/>
                      </wps:spPr>
                      <wps:bodyPr/>
                    </wps:wsp>
                  </a:graphicData>
                </a:graphic>
              </wp:anchor>
            </w:drawing>
          </mc:Choice>
          <mc:Fallback>
            <w:pict>
              <v:line id="Line 312" o:spid="_x0000_s1026" o:spt="20" style="position:absolute;left:0pt;margin-left:298.45pt;margin-top:7.9pt;height:8.5pt;width:0pt;z-index:251679744;mso-width-relative:page;mso-height-relative:page;" filled="f" stroked="t" coordsize="21600,21600" o:gfxdata="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">
                <v:fill on="f" focussize="0,0"/>
                <v:stroke weight="1.5pt" color="#000000" miterlimit="8" joinstyle="miter"/>
                <v:imagedata o:title=""/>
                <o:lock v:ext="edit" aspectratio="f"/>
              </v:line>
            </w:pict>
          </mc:Fallback>
        </mc:AlternateContent>
      </w:r>
      <w:r>
        <w:rPr>
          <w:rFonts w:ascii="Times New Roman" w:hAnsi="Times New Roman"/>
          <w:color w:val="000000"/>
          <w:kern w:val="0"/>
          <w:szCs w:val="30"/>
        </w:rPr>
        <mc:AlternateContent>
          <mc:Choice Requires="wps">
            <w:drawing>
              <wp:anchor distT="0" distB="0" distL="114300" distR="114300" simplePos="0" relativeHeight="251677696" behindDoc="0" locked="0" layoutInCell="1" allowOverlap="1">
                <wp:simplePos x="0" y="0"/>
                <wp:positionH relativeFrom="column">
                  <wp:posOffset>1254125</wp:posOffset>
                </wp:positionH>
                <wp:positionV relativeFrom="paragraph">
                  <wp:posOffset>92710</wp:posOffset>
                </wp:positionV>
                <wp:extent cx="0" cy="107950"/>
                <wp:effectExtent l="9525" t="0" r="9525" b="6350"/>
                <wp:wrapNone/>
                <wp:docPr id="2" name="Line 311"/>
                <wp:cNvGraphicFramePr/>
                <a:graphic xmlns:a="http://schemas.openxmlformats.org/drawingml/2006/main">
                  <a:graphicData uri="http://schemas.microsoft.com/office/word/2010/wordprocessingShape">
                    <wps:wsp>
                      <wps:cNvCnPr>
                        <a:cxnSpLocks noChangeShapeType="1"/>
                      </wps:cNvCnPr>
                      <wps:spPr bwMode="auto">
                        <a:xfrm>
                          <a:off x="0" y="0"/>
                          <a:ext cx="0" cy="107950"/>
                        </a:xfrm>
                        <a:prstGeom prst="line">
                          <a:avLst/>
                        </a:prstGeom>
                        <a:noFill/>
                        <a:ln w="19050">
                          <a:solidFill>
                            <a:srgbClr val="000000"/>
                          </a:solidFill>
                          <a:miter lim="800000"/>
                        </a:ln>
                        <a:effectLst/>
                      </wps:spPr>
                      <wps:bodyPr/>
                    </wps:wsp>
                  </a:graphicData>
                </a:graphic>
              </wp:anchor>
            </w:drawing>
          </mc:Choice>
          <mc:Fallback>
            <w:pict>
              <v:line id="Line 311" o:spid="_x0000_s1026" o:spt="20" style="position:absolute;left:0pt;margin-left:98.75pt;margin-top:7.3pt;height:8.5pt;width:0pt;z-index:251677696;mso-width-relative:page;mso-height-relative:page;" filled="f" stroked="t" coordsize="21600,21600" o:gfxdata="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Lkz1WNgAAAAJAQAADwAAAAAAAAABACAA&#10;AAAiAAAAZHJzL2Rvd25yZXYueG1sUEsBAhQAFAAAAAgAh07iQEBEA2nUAQAAvAMAAA4AAAAAAAAA&#10;AQAgAAAAJwEAAGRycy9lMm9Eb2MueG1sUEsFBgAAAAAGAAYAWQEAAG0FAAAAAA==&#10;">
                <v:fill on="f" focussize="0,0"/>
                <v:stroke weight="1.5pt" color="#000000" miterlimit="8" joinstyle="miter"/>
                <v:imagedata o:title=""/>
                <o:lock v:ext="edit" aspectratio="f"/>
              </v:line>
            </w:pict>
          </mc:Fallback>
        </mc:AlternateContent>
      </w:r>
      <w:r>
        <w:rPr>
          <w:rFonts w:ascii="Times New Roman" w:hAnsi="Times New Roman"/>
          <w:color w:val="000000"/>
          <w:kern w:val="0"/>
          <w:szCs w:val="30"/>
        </w:rPr>
        <mc:AlternateContent>
          <mc:Choice Requires="wps">
            <w:drawing>
              <wp:anchor distT="0" distB="0" distL="114300" distR="114300" simplePos="0" relativeHeight="251676672" behindDoc="0" locked="0" layoutInCell="1" allowOverlap="1">
                <wp:simplePos x="0" y="0"/>
                <wp:positionH relativeFrom="column">
                  <wp:posOffset>479425</wp:posOffset>
                </wp:positionH>
                <wp:positionV relativeFrom="paragraph">
                  <wp:posOffset>206375</wp:posOffset>
                </wp:positionV>
                <wp:extent cx="4319905" cy="0"/>
                <wp:effectExtent l="0" t="38100" r="4445" b="38100"/>
                <wp:wrapNone/>
                <wp:docPr id="1" name="AutoShape 310"/>
                <wp:cNvGraphicFramePr/>
                <a:graphic xmlns:a="http://schemas.openxmlformats.org/drawingml/2006/main">
                  <a:graphicData uri="http://schemas.microsoft.com/office/word/2010/wordprocessingShape">
                    <wps:wsp>
                      <wps:cNvCnPr>
                        <a:cxnSpLocks noChangeShapeType="1"/>
                      </wps:cNvCnPr>
                      <wps:spPr bwMode="auto">
                        <a:xfrm>
                          <a:off x="0" y="0"/>
                          <a:ext cx="4319905" cy="0"/>
                        </a:xfrm>
                        <a:prstGeom prst="straightConnector1">
                          <a:avLst/>
                        </a:prstGeom>
                        <a:noFill/>
                        <a:ln w="19050">
                          <a:solidFill>
                            <a:srgbClr val="000000"/>
                          </a:solidFill>
                          <a:miter lim="800000"/>
                          <a:tailEnd type="triangle" w="med" len="med"/>
                        </a:ln>
                        <a:effectLst/>
                      </wps:spPr>
                      <wps:bodyPr/>
                    </wps:wsp>
                  </a:graphicData>
                </a:graphic>
              </wp:anchor>
            </w:drawing>
          </mc:Choice>
          <mc:Fallback>
            <w:pict>
              <v:shape id="AutoShape 310" o:spid="_x0000_s1026" o:spt="32" type="#_x0000_t32" style="position:absolute;left:0pt;margin-left:37.75pt;margin-top:16.25pt;height:0pt;width:340.15pt;z-index:251676672;mso-width-relative:page;mso-height-relative:page;" filled="f" stroked="t" coordsize="21600,21600" o:gfxdata="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">
                <v:fill on="f" focussize="0,0"/>
                <v:stroke weight="1.5pt" color="#000000" miterlimit="8" joinstyle="miter" endarrow="block"/>
                <v:imagedata o:title=""/>
                <o:lock v:ext="edit" aspectratio="f"/>
              </v:shape>
            </w:pict>
          </mc:Fallback>
        </mc:AlternateContent>
      </w:r>
    </w:p>
    <w:p w14:paraId="44905DDF">
      <w:pPr>
        <w:spacing w:line="400" w:lineRule="exact"/>
        <w:ind w:firstLine="600"/>
        <w:jc w:val="center"/>
        <w:rPr>
          <w:rFonts w:ascii="Times New Roman" w:hAnsi="Times New Roman"/>
        </w:rPr>
      </w:pPr>
      <w:r>
        <w:rPr>
          <w:rFonts w:ascii="Times New Roman" w:hAnsi="Times New Roman"/>
        </w:rPr>
        <w:t xml:space="preserve">    </w:t>
      </w:r>
    </w:p>
    <w:p w14:paraId="716E1D95">
      <w:pPr>
        <w:widowControl/>
        <w:snapToGrid w:val="0"/>
        <w:spacing w:line="300" w:lineRule="exact"/>
        <w:ind w:firstLine="422"/>
        <w:jc w:val="center"/>
        <w:rPr>
          <w:rFonts w:ascii="Times New Roman" w:hAnsi="Times New Roman" w:eastAsiaTheme="minorEastAsia"/>
          <w:b/>
          <w:bCs/>
          <w:sz w:val="21"/>
          <w:szCs w:val="21"/>
        </w:rPr>
      </w:pPr>
      <w:r>
        <w:rPr>
          <w:rFonts w:ascii="Times New Roman" w:hAnsi="Times New Roman" w:eastAsiaTheme="minorEastAsia"/>
          <w:b/>
          <w:bCs/>
          <w:sz w:val="21"/>
          <w:szCs w:val="21"/>
        </w:rPr>
        <w:t>图2-8-1 公募REITs解除限售/锁定业务办理时间</w:t>
      </w:r>
    </w:p>
    <w:p w14:paraId="2871DAB6">
      <w:pPr>
        <w:ind w:firstLine="600"/>
        <w:rPr>
          <w:rFonts w:ascii="Times New Roman" w:hAnsi="Times New Roman"/>
        </w:rPr>
      </w:pPr>
      <w:r>
        <w:rPr>
          <w:rFonts w:ascii="Times New Roman" w:hAnsi="Times New Roman"/>
          <w:szCs w:val="30"/>
        </w:rPr>
        <w:t>对于场内份额，基金管理人需至少在解除限售日前7个交易日前通过基金业务管理系统提交</w:t>
      </w:r>
      <w:r>
        <w:rPr>
          <w:rFonts w:hint="eastAsia" w:ascii="Times New Roman" w:hAnsi="Times New Roman"/>
        </w:rPr>
        <w:t>公募</w:t>
      </w:r>
      <w:r>
        <w:rPr>
          <w:rFonts w:ascii="Times New Roman" w:hAnsi="Times New Roman"/>
          <w:szCs w:val="30"/>
        </w:rPr>
        <w:t>REITs场内份额解除限售申请（在线</w:t>
      </w:r>
      <w:r>
        <w:rPr>
          <w:rFonts w:ascii="Times New Roman" w:hAnsi="Times New Roman"/>
        </w:rPr>
        <w:t>填写解除限售总量）及公告。如出现非全部按期解禁等情形，还应发送《限售公募REITs解除限售申请表》（附件</w:t>
      </w:r>
      <w:r>
        <w:rPr>
          <w:rFonts w:hint="eastAsia" w:ascii="Times New Roman" w:hAnsi="Times New Roman"/>
        </w:rPr>
        <w:t>6</w:t>
      </w:r>
      <w:r>
        <w:rPr>
          <w:rFonts w:ascii="Times New Roman" w:hAnsi="Times New Roman"/>
        </w:rPr>
        <w:t>）。</w:t>
      </w:r>
    </w:p>
    <w:p w14:paraId="32E03C14">
      <w:pPr>
        <w:ind w:firstLine="600"/>
        <w:rPr>
          <w:rFonts w:ascii="Times New Roman" w:hAnsi="Times New Roman"/>
        </w:rPr>
      </w:pPr>
      <w:r>
        <w:rPr>
          <w:rFonts w:ascii="Times New Roman" w:hAnsi="Times New Roman"/>
        </w:rPr>
        <w:t>对于场外份额，基金管理人需至少在解除锁定日前7个交易日前通过基金业务管理系统提交</w:t>
      </w:r>
      <w:r>
        <w:rPr>
          <w:rFonts w:hint="eastAsia" w:ascii="Times New Roman" w:hAnsi="Times New Roman"/>
        </w:rPr>
        <w:t>公募</w:t>
      </w:r>
      <w:r>
        <w:rPr>
          <w:rFonts w:ascii="Times New Roman" w:hAnsi="Times New Roman"/>
        </w:rPr>
        <w:t>REITs场外份额解除锁定申请（在线填写申请并上传《</w:t>
      </w:r>
      <w:r>
        <w:rPr>
          <w:rFonts w:hint="eastAsia" w:ascii="Times New Roman" w:hAnsi="Times New Roman"/>
        </w:rPr>
        <w:t>公募</w:t>
      </w:r>
      <w:r>
        <w:rPr>
          <w:rFonts w:ascii="Times New Roman" w:hAnsi="Times New Roman"/>
        </w:rPr>
        <w:t>REITs场外份额解锁申请表》EXCEL，示例见附件</w:t>
      </w:r>
      <w:r>
        <w:rPr>
          <w:rFonts w:hint="eastAsia" w:ascii="Times New Roman" w:hAnsi="Times New Roman"/>
        </w:rPr>
        <w:t>7</w:t>
      </w:r>
      <w:r>
        <w:rPr>
          <w:rFonts w:ascii="Times New Roman" w:hAnsi="Times New Roman"/>
        </w:rPr>
        <w:t>）及公告。</w:t>
      </w:r>
    </w:p>
    <w:p w14:paraId="5F6D9B70">
      <w:pPr>
        <w:ind w:firstLine="600"/>
        <w:rPr>
          <w:rFonts w:ascii="Times New Roman" w:hAnsi="Times New Roman"/>
        </w:rPr>
      </w:pPr>
      <w:r>
        <w:rPr>
          <w:rFonts w:hint="eastAsia" w:ascii="Times New Roman" w:hAnsi="Times New Roman"/>
        </w:rPr>
        <w:t>公募</w:t>
      </w:r>
      <w:r>
        <w:rPr>
          <w:rFonts w:ascii="Times New Roman" w:hAnsi="Times New Roman"/>
        </w:rPr>
        <w:t>REITs份额解除限售/解锁的公告（必备要素见附件</w:t>
      </w:r>
      <w:r>
        <w:rPr>
          <w:rFonts w:hint="eastAsia" w:ascii="Times New Roman" w:hAnsi="Times New Roman"/>
        </w:rPr>
        <w:t>8</w:t>
      </w:r>
      <w:r>
        <w:rPr>
          <w:rFonts w:ascii="Times New Roman" w:hAnsi="Times New Roman"/>
        </w:rPr>
        <w:t>），上传材料均以PDF格式的电子文件提交。</w:t>
      </w:r>
    </w:p>
    <w:p w14:paraId="0AF0FF2B">
      <w:pPr>
        <w:ind w:firstLine="600"/>
        <w:rPr>
          <w:rFonts w:ascii="Times New Roman" w:hAnsi="Times New Roman"/>
          <w:color w:val="000000"/>
          <w:kern w:val="0"/>
        </w:rPr>
      </w:pPr>
      <w:r>
        <w:rPr>
          <w:rFonts w:ascii="Times New Roman" w:hAnsi="Times New Roman"/>
        </w:rPr>
        <w:t>上传申请后，基金</w:t>
      </w:r>
      <w:r>
        <w:rPr>
          <w:rFonts w:ascii="Times New Roman" w:hAnsi="Times New Roman"/>
          <w:color w:val="000000"/>
          <w:kern w:val="0"/>
          <w:szCs w:val="30"/>
        </w:rPr>
        <w:t>管理人应于解除限售/锁定日前6日10：00前确认上述申请审核通过，否则将影响生效日期。</w:t>
      </w:r>
    </w:p>
    <w:p w14:paraId="5A79C22D">
      <w:pPr>
        <w:pStyle w:val="4"/>
        <w:ind w:firstLine="602"/>
        <w:rPr>
          <w:rFonts w:ascii="Times New Roman" w:hAnsi="Times New Roman"/>
        </w:rPr>
      </w:pPr>
      <w:r>
        <w:rPr>
          <w:rFonts w:ascii="Times New Roman" w:hAnsi="Times New Roman"/>
          <w:szCs w:val="30"/>
        </w:rPr>
        <w:t>（三）</w:t>
      </w:r>
      <w:r>
        <w:rPr>
          <w:rFonts w:ascii="Times New Roman" w:hAnsi="Times New Roman"/>
        </w:rPr>
        <w:t>具体操作</w:t>
      </w:r>
    </w:p>
    <w:p w14:paraId="0C1B22F9">
      <w:pPr>
        <w:ind w:firstLine="600"/>
        <w:rPr>
          <w:rFonts w:ascii="Times New Roman" w:hAnsi="Times New Roman"/>
        </w:rPr>
      </w:pPr>
      <w:r>
        <w:rPr>
          <w:rFonts w:ascii="Times New Roman" w:hAnsi="Times New Roman"/>
          <w:kern w:val="0"/>
        </w:rPr>
        <w:t>基金管理人通过业务管理系统平台</w:t>
      </w:r>
      <w:r>
        <w:rPr>
          <w:rFonts w:ascii="Times New Roman" w:hAnsi="Times New Roman"/>
        </w:rPr>
        <w:t>在线下载EXCEL表格、限售</w:t>
      </w:r>
      <w:r>
        <w:rPr>
          <w:rFonts w:hint="eastAsia" w:ascii="Times New Roman" w:hAnsi="Times New Roman"/>
        </w:rPr>
        <w:t>公募</w:t>
      </w:r>
      <w:r>
        <w:rPr>
          <w:rFonts w:ascii="Times New Roman" w:hAnsi="Times New Roman"/>
        </w:rPr>
        <w:t>REITs解除限售申请表（格式参考附件</w:t>
      </w:r>
      <w:r>
        <w:rPr>
          <w:rFonts w:hint="eastAsia" w:ascii="Times New Roman" w:hAnsi="Times New Roman"/>
        </w:rPr>
        <w:t>6</w:t>
      </w:r>
      <w:r>
        <w:rPr>
          <w:rFonts w:ascii="Times New Roman" w:hAnsi="Times New Roman"/>
        </w:rPr>
        <w:t>）及</w:t>
      </w:r>
      <w:r>
        <w:rPr>
          <w:rFonts w:hint="eastAsia" w:ascii="Times New Roman" w:hAnsi="Times New Roman"/>
        </w:rPr>
        <w:t>公募</w:t>
      </w:r>
      <w:r>
        <w:rPr>
          <w:rFonts w:ascii="Times New Roman" w:hAnsi="Times New Roman"/>
        </w:rPr>
        <w:t>REITs场外份额解锁申请等申请材料，并上传</w:t>
      </w:r>
      <w:r>
        <w:rPr>
          <w:rFonts w:hint="eastAsia" w:ascii="Times New Roman" w:hAnsi="Times New Roman"/>
        </w:rPr>
        <w:t>公募</w:t>
      </w:r>
      <w:r>
        <w:rPr>
          <w:rFonts w:ascii="Times New Roman" w:hAnsi="Times New Roman"/>
        </w:rPr>
        <w:t>REITs份额解除限售/解锁的公告，上传材料均以PDF格式的电子文件提交。</w:t>
      </w:r>
    </w:p>
    <w:p w14:paraId="08197025">
      <w:pPr>
        <w:pStyle w:val="3"/>
        <w:spacing w:before="156" w:after="156"/>
        <w:ind w:firstLine="643"/>
        <w:rPr>
          <w:rFonts w:ascii="Times New Roman" w:hAnsi="Times New Roman"/>
        </w:rPr>
      </w:pPr>
      <w:bookmarkStart w:id="58" w:name="_Toc217484339"/>
      <w:bookmarkStart w:id="59" w:name="_Toc72324918"/>
      <w:bookmarkStart w:id="60" w:name="_Toc1200382457"/>
      <w:r>
        <w:rPr>
          <w:rFonts w:ascii="Times New Roman" w:hAnsi="Times New Roman"/>
        </w:rPr>
        <w:t>九、一致行动人信息填报及披露</w:t>
      </w:r>
      <w:bookmarkEnd w:id="58"/>
      <w:bookmarkEnd w:id="59"/>
      <w:bookmarkEnd w:id="60"/>
    </w:p>
    <w:p w14:paraId="52EFEC12">
      <w:pPr>
        <w:ind w:firstLine="600"/>
        <w:rPr>
          <w:rFonts w:ascii="Times New Roman" w:hAnsi="Times New Roman"/>
        </w:rPr>
      </w:pPr>
      <w:r>
        <w:rPr>
          <w:rFonts w:ascii="Times New Roman" w:hAnsi="Times New Roman"/>
        </w:rPr>
        <w:t>基金管理人在投资者及其一致行动人拥有的</w:t>
      </w:r>
      <w:r>
        <w:rPr>
          <w:rFonts w:hint="eastAsia" w:ascii="Times New Roman" w:hAnsi="Times New Roman"/>
        </w:rPr>
        <w:t>不动产</w:t>
      </w:r>
      <w:r>
        <w:rPr>
          <w:rFonts w:ascii="Times New Roman" w:hAnsi="Times New Roman"/>
        </w:rPr>
        <w:t>基金份额达到一只</w:t>
      </w:r>
      <w:r>
        <w:rPr>
          <w:rFonts w:hint="eastAsia" w:ascii="Times New Roman" w:hAnsi="Times New Roman"/>
        </w:rPr>
        <w:t>不动产</w:t>
      </w:r>
      <w:r>
        <w:rPr>
          <w:rFonts w:ascii="Times New Roman" w:hAnsi="Times New Roman"/>
        </w:rPr>
        <w:t>基金份额的10%、30%、50%时，或者达到10%后通过本所交易</w:t>
      </w:r>
      <w:r>
        <w:rPr>
          <w:rFonts w:ascii="Times New Roman" w:hAnsi="Times New Roman"/>
          <w:color w:val="000000"/>
          <w:kern w:val="0"/>
        </w:rPr>
        <w:t>拥有权益的基金份额占该</w:t>
      </w:r>
      <w:r>
        <w:rPr>
          <w:rFonts w:hint="eastAsia" w:ascii="Times New Roman" w:hAnsi="Times New Roman"/>
          <w:color w:val="000000"/>
          <w:kern w:val="0"/>
        </w:rPr>
        <w:t>不动产</w:t>
      </w:r>
      <w:r>
        <w:rPr>
          <w:rFonts w:ascii="Times New Roman" w:hAnsi="Times New Roman"/>
          <w:color w:val="000000"/>
          <w:kern w:val="0"/>
        </w:rPr>
        <w:t>基金份额的比例每增加或者减少5%时</w:t>
      </w:r>
      <w:r>
        <w:rPr>
          <w:rFonts w:ascii="Times New Roman" w:hAnsi="Times New Roman"/>
        </w:rPr>
        <w:t>，应当于3个交易日内通过</w:t>
      </w:r>
      <w:r>
        <w:rPr>
          <w:rFonts w:ascii="Times New Roman" w:hAnsi="Times New Roman"/>
          <w:color w:val="000000"/>
          <w:kern w:val="0"/>
        </w:rPr>
        <w:t>衍生品与基金业务平台</w:t>
      </w:r>
      <w:r>
        <w:rPr>
          <w:rFonts w:ascii="Times New Roman" w:hAnsi="Times New Roman"/>
        </w:rPr>
        <w:t>的“公募REITs一致行动人信息”流程填报更新后的投资者及其一致行动人信息。</w:t>
      </w:r>
    </w:p>
    <w:p w14:paraId="594043F5">
      <w:pPr>
        <w:ind w:firstLine="600"/>
        <w:rPr>
          <w:rFonts w:ascii="Times New Roman" w:hAnsi="Times New Roman" w:eastAsia="黑体"/>
          <w:b/>
        </w:rPr>
      </w:pPr>
      <w:r>
        <w:rPr>
          <w:rFonts w:ascii="Times New Roman" w:hAnsi="Times New Roman"/>
        </w:rPr>
        <w:t>投资者及其一致行动人应当按照《上海证券交易所公开募集</w:t>
      </w:r>
      <w:r>
        <w:rPr>
          <w:rFonts w:hint="eastAsia" w:ascii="Times New Roman" w:hAnsi="Times New Roman"/>
        </w:rPr>
        <w:t>不动产投资信托</w:t>
      </w:r>
      <w:r>
        <w:rPr>
          <w:rFonts w:ascii="Times New Roman" w:hAnsi="Times New Roman"/>
        </w:rPr>
        <w:t>基金（REITs）业务办法（试行）》等相关规定编制权益变动报告书，通知基金管理人，委托基金管理人通过</w:t>
      </w:r>
      <w:r>
        <w:rPr>
          <w:rFonts w:ascii="Times New Roman" w:hAnsi="Times New Roman"/>
          <w:kern w:val="0"/>
        </w:rPr>
        <w:t>业务管理系统平台的“REITs-信息披露”</w:t>
      </w:r>
      <w:r>
        <w:rPr>
          <w:rFonts w:ascii="Times New Roman" w:hAnsi="Times New Roman"/>
        </w:rPr>
        <w:t>上传信息披露文件。</w:t>
      </w:r>
    </w:p>
    <w:p w14:paraId="117BEA8B">
      <w:pPr>
        <w:pStyle w:val="2"/>
        <w:spacing w:before="156" w:after="156"/>
        <w:ind w:firstLine="0" w:firstLineChars="0"/>
        <w:rPr>
          <w:rFonts w:ascii="Times New Roman" w:hAnsi="Times New Roman"/>
        </w:rPr>
      </w:pPr>
      <w:bookmarkStart w:id="61" w:name="_Toc63062080"/>
      <w:r>
        <w:rPr>
          <w:rFonts w:ascii="Times New Roman" w:hAnsi="Times New Roman"/>
        </w:rPr>
        <w:br w:type="page"/>
      </w:r>
      <w:bookmarkEnd w:id="61"/>
      <w:r>
        <w:rPr>
          <w:rFonts w:ascii="Times New Roman" w:hAnsi="Times New Roman"/>
        </w:rPr>
        <w:tab/>
      </w:r>
      <w:bookmarkStart w:id="62" w:name="_Toc217484340"/>
      <w:bookmarkStart w:id="63" w:name="_Toc980149237"/>
      <w:bookmarkStart w:id="64" w:name="_Toc71646033"/>
      <w:r>
        <w:rPr>
          <w:rFonts w:ascii="Times New Roman" w:hAnsi="Times New Roman"/>
        </w:rPr>
        <w:t xml:space="preserve">第三章 </w:t>
      </w:r>
      <w:r>
        <w:rPr>
          <w:rFonts w:hint="eastAsia" w:ascii="Times New Roman" w:hAnsi="Times New Roman"/>
        </w:rPr>
        <w:t xml:space="preserve"> </w:t>
      </w:r>
      <w:r>
        <w:rPr>
          <w:rFonts w:ascii="Times New Roman" w:hAnsi="Times New Roman"/>
        </w:rPr>
        <w:t>模板及附件</w:t>
      </w:r>
      <w:bookmarkEnd w:id="62"/>
      <w:bookmarkEnd w:id="63"/>
      <w:bookmarkEnd w:id="64"/>
      <w:r>
        <w:rPr>
          <w:rFonts w:ascii="Times New Roman" w:hAnsi="Times New Roman"/>
        </w:rPr>
        <w:tab/>
      </w:r>
    </w:p>
    <w:p w14:paraId="59E1967C">
      <w:pPr>
        <w:pStyle w:val="3"/>
        <w:spacing w:before="156" w:after="156"/>
        <w:ind w:firstLine="199" w:firstLineChars="62"/>
        <w:rPr>
          <w:rFonts w:ascii="Times New Roman"/>
          <w:kern w:val="0"/>
        </w:rPr>
      </w:pPr>
      <w:bookmarkStart w:id="65" w:name="_Toc943859670"/>
      <w:bookmarkStart w:id="66" w:name="_Toc217484341"/>
      <w:r>
        <w:rPr>
          <w:rFonts w:hint="eastAsia" w:ascii="Times New Roman" w:hAnsi="Times New Roman"/>
        </w:rPr>
        <w:t xml:space="preserve">附件1  </w:t>
      </w:r>
      <w:r>
        <w:rPr>
          <w:rFonts w:hint="eastAsia" w:ascii="Times New Roman" w:hAnsi="Times New Roman"/>
          <w:kern w:val="0"/>
        </w:rPr>
        <w:t>信息披露</w:t>
      </w:r>
      <w:r>
        <w:rPr>
          <w:rFonts w:ascii="Times New Roman"/>
          <w:kern w:val="0"/>
        </w:rPr>
        <w:t>公告类别</w:t>
      </w:r>
      <w:bookmarkEnd w:id="65"/>
      <w:bookmarkEnd w:id="66"/>
    </w:p>
    <w:tbl>
      <w:tblPr>
        <w:tblStyle w:val="18"/>
        <w:tblW w:w="8794" w:type="dxa"/>
        <w:tblInd w:w="103" w:type="dxa"/>
        <w:tblLayout w:type="autofit"/>
        <w:tblCellMar>
          <w:top w:w="0" w:type="dxa"/>
          <w:left w:w="108" w:type="dxa"/>
          <w:bottom w:w="0" w:type="dxa"/>
          <w:right w:w="108" w:type="dxa"/>
        </w:tblCellMar>
      </w:tblPr>
      <w:tblGrid>
        <w:gridCol w:w="1037"/>
        <w:gridCol w:w="2229"/>
        <w:gridCol w:w="5528"/>
      </w:tblGrid>
      <w:tr w14:paraId="2685A09B">
        <w:tblPrEx>
          <w:tblCellMar>
            <w:top w:w="0" w:type="dxa"/>
            <w:left w:w="108" w:type="dxa"/>
            <w:bottom w:w="0" w:type="dxa"/>
            <w:right w:w="108" w:type="dxa"/>
          </w:tblCellMar>
        </w:tblPrEx>
        <w:trPr>
          <w:trHeight w:val="570" w:hRule="atLeast"/>
        </w:trPr>
        <w:tc>
          <w:tcPr>
            <w:tcW w:w="1037" w:type="dxa"/>
            <w:tcBorders>
              <w:top w:val="single" w:color="auto" w:sz="4" w:space="0"/>
              <w:left w:val="single" w:color="auto" w:sz="4" w:space="0"/>
              <w:bottom w:val="single" w:color="auto" w:sz="4" w:space="0"/>
              <w:right w:val="single" w:color="auto" w:sz="4" w:space="0"/>
            </w:tcBorders>
            <w:vAlign w:val="center"/>
          </w:tcPr>
          <w:p w14:paraId="3E56F188">
            <w:pPr>
              <w:widowControl/>
              <w:spacing w:line="240" w:lineRule="auto"/>
              <w:ind w:firstLine="0" w:firstLineChars="0"/>
              <w:jc w:val="center"/>
              <w:rPr>
                <w:rFonts w:ascii="Times New Roman" w:hAnsi="Times New Roman"/>
                <w:b/>
                <w:bCs/>
                <w:kern w:val="0"/>
                <w:sz w:val="24"/>
                <w:szCs w:val="24"/>
              </w:rPr>
            </w:pPr>
            <w:r>
              <w:rPr>
                <w:rFonts w:ascii="Times New Roman" w:hAnsi="Times New Roman"/>
                <w:b/>
                <w:bCs/>
                <w:kern w:val="0"/>
                <w:sz w:val="24"/>
                <w:szCs w:val="24"/>
              </w:rPr>
              <w:t>一级公告类别</w:t>
            </w:r>
          </w:p>
        </w:tc>
        <w:tc>
          <w:tcPr>
            <w:tcW w:w="2229" w:type="dxa"/>
            <w:tcBorders>
              <w:top w:val="single" w:color="auto" w:sz="4" w:space="0"/>
              <w:left w:val="nil"/>
              <w:bottom w:val="single" w:color="auto" w:sz="4" w:space="0"/>
              <w:right w:val="single" w:color="auto" w:sz="4" w:space="0"/>
            </w:tcBorders>
            <w:vAlign w:val="center"/>
          </w:tcPr>
          <w:p w14:paraId="287CCA1F">
            <w:pPr>
              <w:widowControl/>
              <w:spacing w:line="240" w:lineRule="auto"/>
              <w:ind w:firstLine="0" w:firstLineChars="0"/>
              <w:rPr>
                <w:rFonts w:ascii="Times New Roman" w:hAnsi="Times New Roman"/>
                <w:b/>
                <w:bCs/>
                <w:kern w:val="0"/>
                <w:sz w:val="24"/>
                <w:szCs w:val="24"/>
              </w:rPr>
            </w:pPr>
            <w:r>
              <w:rPr>
                <w:rFonts w:ascii="Times New Roman" w:hAnsi="Times New Roman"/>
                <w:b/>
                <w:bCs/>
                <w:kern w:val="0"/>
                <w:sz w:val="24"/>
                <w:szCs w:val="24"/>
              </w:rPr>
              <w:t>二级公告类别</w:t>
            </w:r>
          </w:p>
        </w:tc>
        <w:tc>
          <w:tcPr>
            <w:tcW w:w="5528" w:type="dxa"/>
            <w:tcBorders>
              <w:top w:val="single" w:color="auto" w:sz="4" w:space="0"/>
              <w:left w:val="nil"/>
              <w:bottom w:val="single" w:color="auto" w:sz="4" w:space="0"/>
              <w:right w:val="single" w:color="auto" w:sz="4" w:space="0"/>
            </w:tcBorders>
            <w:vAlign w:val="center"/>
          </w:tcPr>
          <w:p w14:paraId="5662C753">
            <w:pPr>
              <w:widowControl/>
              <w:spacing w:line="240" w:lineRule="auto"/>
              <w:ind w:firstLine="0" w:firstLineChars="0"/>
              <w:rPr>
                <w:rFonts w:ascii="Times New Roman" w:hAnsi="Times New Roman"/>
                <w:b/>
                <w:bCs/>
                <w:kern w:val="0"/>
                <w:sz w:val="24"/>
                <w:szCs w:val="24"/>
              </w:rPr>
            </w:pPr>
            <w:r>
              <w:rPr>
                <w:rFonts w:ascii="Times New Roman" w:hAnsi="Times New Roman"/>
                <w:b/>
                <w:bCs/>
                <w:kern w:val="0"/>
                <w:sz w:val="24"/>
                <w:szCs w:val="24"/>
              </w:rPr>
              <w:t>主要公告内容</w:t>
            </w:r>
          </w:p>
        </w:tc>
      </w:tr>
      <w:tr w14:paraId="38FFEEA7">
        <w:tblPrEx>
          <w:tblCellMar>
            <w:top w:w="0" w:type="dxa"/>
            <w:left w:w="108" w:type="dxa"/>
            <w:bottom w:w="0" w:type="dxa"/>
            <w:right w:w="108" w:type="dxa"/>
          </w:tblCellMar>
        </w:tblPrEx>
        <w:trPr>
          <w:trHeight w:val="285" w:hRule="atLeast"/>
        </w:trPr>
        <w:tc>
          <w:tcPr>
            <w:tcW w:w="1037" w:type="dxa"/>
            <w:vMerge w:val="restart"/>
            <w:tcBorders>
              <w:top w:val="single" w:color="auto" w:sz="4" w:space="0"/>
              <w:left w:val="single" w:color="auto" w:sz="4" w:space="0"/>
              <w:bottom w:val="single" w:color="auto" w:sz="4" w:space="0"/>
              <w:right w:val="single" w:color="auto" w:sz="4" w:space="0"/>
            </w:tcBorders>
            <w:noWrap/>
            <w:vAlign w:val="center"/>
          </w:tcPr>
          <w:p w14:paraId="6F6F31E6">
            <w:pPr>
              <w:widowControl/>
              <w:spacing w:line="240" w:lineRule="auto"/>
              <w:ind w:firstLine="0" w:firstLineChars="0"/>
              <w:jc w:val="center"/>
              <w:rPr>
                <w:rFonts w:ascii="Times New Roman" w:hAnsi="Times New Roman"/>
                <w:b/>
                <w:bCs/>
                <w:kern w:val="0"/>
                <w:sz w:val="24"/>
                <w:szCs w:val="24"/>
              </w:rPr>
            </w:pPr>
            <w:r>
              <w:rPr>
                <w:rFonts w:ascii="Times New Roman" w:hAnsi="Times New Roman"/>
                <w:b/>
                <w:bCs/>
                <w:kern w:val="0"/>
                <w:sz w:val="24"/>
                <w:szCs w:val="24"/>
              </w:rPr>
              <w:t>定期</w:t>
            </w:r>
          </w:p>
          <w:p w14:paraId="17DA2B5C">
            <w:pPr>
              <w:widowControl/>
              <w:spacing w:line="240" w:lineRule="auto"/>
              <w:ind w:firstLine="0" w:firstLineChars="0"/>
              <w:jc w:val="center"/>
              <w:rPr>
                <w:rFonts w:ascii="Times New Roman" w:hAnsi="Times New Roman"/>
                <w:b/>
                <w:bCs/>
                <w:kern w:val="0"/>
                <w:sz w:val="24"/>
                <w:szCs w:val="24"/>
              </w:rPr>
            </w:pPr>
            <w:r>
              <w:rPr>
                <w:rFonts w:ascii="Times New Roman" w:hAnsi="Times New Roman"/>
                <w:b/>
                <w:bCs/>
                <w:kern w:val="0"/>
                <w:sz w:val="24"/>
                <w:szCs w:val="24"/>
              </w:rPr>
              <w:t>报告</w:t>
            </w:r>
          </w:p>
        </w:tc>
        <w:tc>
          <w:tcPr>
            <w:tcW w:w="2229" w:type="dxa"/>
            <w:tcBorders>
              <w:top w:val="nil"/>
              <w:left w:val="nil"/>
              <w:bottom w:val="single" w:color="auto" w:sz="4" w:space="0"/>
              <w:right w:val="single" w:color="auto" w:sz="4" w:space="0"/>
            </w:tcBorders>
            <w:noWrap/>
            <w:vAlign w:val="center"/>
          </w:tcPr>
          <w:p w14:paraId="27BE23FE">
            <w:pPr>
              <w:widowControl/>
              <w:spacing w:line="240" w:lineRule="auto"/>
              <w:ind w:firstLine="0" w:firstLineChars="0"/>
              <w:jc w:val="left"/>
              <w:rPr>
                <w:rFonts w:ascii="Times New Roman" w:hAnsi="Times New Roman"/>
                <w:kern w:val="0"/>
                <w:sz w:val="24"/>
                <w:szCs w:val="24"/>
              </w:rPr>
            </w:pPr>
            <w:r>
              <w:rPr>
                <w:rFonts w:ascii="Times New Roman" w:hAnsi="Times New Roman"/>
                <w:kern w:val="0"/>
                <w:sz w:val="24"/>
                <w:szCs w:val="24"/>
              </w:rPr>
              <w:t>年度报告</w:t>
            </w:r>
          </w:p>
        </w:tc>
        <w:tc>
          <w:tcPr>
            <w:tcW w:w="5528" w:type="dxa"/>
            <w:tcBorders>
              <w:top w:val="nil"/>
              <w:left w:val="nil"/>
              <w:bottom w:val="single" w:color="auto" w:sz="4" w:space="0"/>
              <w:right w:val="single" w:color="auto" w:sz="4" w:space="0"/>
            </w:tcBorders>
            <w:noWrap/>
            <w:vAlign w:val="center"/>
          </w:tcPr>
          <w:p w14:paraId="44778A42">
            <w:pPr>
              <w:widowControl/>
              <w:spacing w:line="240" w:lineRule="auto"/>
              <w:ind w:firstLine="0" w:firstLineChars="0"/>
              <w:jc w:val="left"/>
              <w:rPr>
                <w:rFonts w:ascii="Times New Roman" w:hAnsi="Times New Roman"/>
                <w:kern w:val="0"/>
                <w:sz w:val="24"/>
                <w:szCs w:val="24"/>
              </w:rPr>
            </w:pPr>
            <w:r>
              <w:rPr>
                <w:rFonts w:ascii="Times New Roman" w:hAnsi="Times New Roman"/>
                <w:kern w:val="0"/>
                <w:sz w:val="24"/>
                <w:szCs w:val="24"/>
              </w:rPr>
              <w:t>年度报告，相关提示性公告（可选）</w:t>
            </w:r>
          </w:p>
        </w:tc>
      </w:tr>
      <w:tr w14:paraId="374DB264">
        <w:tblPrEx>
          <w:tblCellMar>
            <w:top w:w="0" w:type="dxa"/>
            <w:left w:w="108" w:type="dxa"/>
            <w:bottom w:w="0" w:type="dxa"/>
            <w:right w:w="108" w:type="dxa"/>
          </w:tblCellMar>
        </w:tblPrEx>
        <w:trPr>
          <w:trHeight w:val="285" w:hRule="atLeast"/>
        </w:trPr>
        <w:tc>
          <w:tcPr>
            <w:tcW w:w="1037" w:type="dxa"/>
            <w:vMerge w:val="continue"/>
            <w:tcBorders>
              <w:top w:val="single" w:color="auto" w:sz="4" w:space="0"/>
              <w:left w:val="single" w:color="auto" w:sz="4" w:space="0"/>
              <w:bottom w:val="single" w:color="auto" w:sz="4" w:space="0"/>
              <w:right w:val="single" w:color="auto" w:sz="4" w:space="0"/>
            </w:tcBorders>
            <w:vAlign w:val="center"/>
          </w:tcPr>
          <w:p w14:paraId="4D734CFE">
            <w:pPr>
              <w:widowControl/>
              <w:spacing w:line="240" w:lineRule="auto"/>
              <w:ind w:firstLine="0" w:firstLineChars="0"/>
              <w:jc w:val="center"/>
              <w:rPr>
                <w:rFonts w:ascii="Times New Roman" w:hAnsi="Times New Roman"/>
                <w:b/>
                <w:bCs/>
                <w:kern w:val="0"/>
                <w:sz w:val="24"/>
                <w:szCs w:val="24"/>
              </w:rPr>
            </w:pPr>
          </w:p>
        </w:tc>
        <w:tc>
          <w:tcPr>
            <w:tcW w:w="2229" w:type="dxa"/>
            <w:tcBorders>
              <w:top w:val="nil"/>
              <w:left w:val="nil"/>
              <w:bottom w:val="single" w:color="auto" w:sz="4" w:space="0"/>
              <w:right w:val="single" w:color="auto" w:sz="4" w:space="0"/>
            </w:tcBorders>
            <w:noWrap/>
            <w:vAlign w:val="center"/>
          </w:tcPr>
          <w:p w14:paraId="5B5D7B52">
            <w:pPr>
              <w:widowControl/>
              <w:spacing w:line="240" w:lineRule="auto"/>
              <w:ind w:firstLine="0" w:firstLineChars="0"/>
              <w:jc w:val="left"/>
              <w:rPr>
                <w:rFonts w:ascii="Times New Roman" w:hAnsi="Times New Roman"/>
                <w:kern w:val="0"/>
                <w:sz w:val="24"/>
                <w:szCs w:val="24"/>
              </w:rPr>
            </w:pPr>
            <w:r>
              <w:rPr>
                <w:rFonts w:ascii="Times New Roman" w:hAnsi="Times New Roman"/>
                <w:kern w:val="0"/>
                <w:sz w:val="24"/>
                <w:szCs w:val="24"/>
              </w:rPr>
              <w:t>中期报告</w:t>
            </w:r>
          </w:p>
        </w:tc>
        <w:tc>
          <w:tcPr>
            <w:tcW w:w="5528" w:type="dxa"/>
            <w:tcBorders>
              <w:top w:val="nil"/>
              <w:left w:val="nil"/>
              <w:bottom w:val="single" w:color="auto" w:sz="4" w:space="0"/>
              <w:right w:val="single" w:color="auto" w:sz="4" w:space="0"/>
            </w:tcBorders>
            <w:noWrap/>
            <w:vAlign w:val="center"/>
          </w:tcPr>
          <w:p w14:paraId="2C50EAD5">
            <w:pPr>
              <w:widowControl/>
              <w:spacing w:line="240" w:lineRule="auto"/>
              <w:ind w:firstLine="0" w:firstLineChars="0"/>
              <w:jc w:val="left"/>
              <w:rPr>
                <w:rFonts w:ascii="Times New Roman" w:hAnsi="Times New Roman"/>
                <w:kern w:val="0"/>
                <w:sz w:val="24"/>
                <w:szCs w:val="24"/>
              </w:rPr>
            </w:pPr>
            <w:r>
              <w:rPr>
                <w:rFonts w:ascii="Times New Roman" w:hAnsi="Times New Roman"/>
                <w:kern w:val="0"/>
                <w:sz w:val="24"/>
                <w:szCs w:val="24"/>
              </w:rPr>
              <w:t>中期报告（半年度报告），相关提示性公告（可选）</w:t>
            </w:r>
          </w:p>
        </w:tc>
      </w:tr>
      <w:tr w14:paraId="22519AD7">
        <w:tblPrEx>
          <w:tblCellMar>
            <w:top w:w="0" w:type="dxa"/>
            <w:left w:w="108" w:type="dxa"/>
            <w:bottom w:w="0" w:type="dxa"/>
            <w:right w:w="108" w:type="dxa"/>
          </w:tblCellMar>
        </w:tblPrEx>
        <w:trPr>
          <w:trHeight w:val="285" w:hRule="atLeast"/>
        </w:trPr>
        <w:tc>
          <w:tcPr>
            <w:tcW w:w="1037" w:type="dxa"/>
            <w:vMerge w:val="continue"/>
            <w:tcBorders>
              <w:top w:val="single" w:color="auto" w:sz="4" w:space="0"/>
              <w:left w:val="single" w:color="auto" w:sz="4" w:space="0"/>
              <w:bottom w:val="single" w:color="auto" w:sz="4" w:space="0"/>
              <w:right w:val="single" w:color="auto" w:sz="4" w:space="0"/>
            </w:tcBorders>
            <w:vAlign w:val="center"/>
          </w:tcPr>
          <w:p w14:paraId="3AC164F8">
            <w:pPr>
              <w:widowControl/>
              <w:spacing w:line="240" w:lineRule="auto"/>
              <w:ind w:firstLine="0" w:firstLineChars="0"/>
              <w:jc w:val="center"/>
              <w:rPr>
                <w:rFonts w:ascii="Times New Roman" w:hAnsi="Times New Roman"/>
                <w:b/>
                <w:bCs/>
                <w:kern w:val="0"/>
                <w:sz w:val="24"/>
                <w:szCs w:val="24"/>
              </w:rPr>
            </w:pPr>
          </w:p>
        </w:tc>
        <w:tc>
          <w:tcPr>
            <w:tcW w:w="2229" w:type="dxa"/>
            <w:tcBorders>
              <w:top w:val="nil"/>
              <w:left w:val="nil"/>
              <w:bottom w:val="single" w:color="auto" w:sz="4" w:space="0"/>
              <w:right w:val="single" w:color="auto" w:sz="4" w:space="0"/>
            </w:tcBorders>
            <w:noWrap/>
            <w:vAlign w:val="center"/>
          </w:tcPr>
          <w:p w14:paraId="284B523D">
            <w:pPr>
              <w:widowControl/>
              <w:spacing w:line="240" w:lineRule="auto"/>
              <w:ind w:firstLine="0" w:firstLineChars="0"/>
              <w:jc w:val="left"/>
              <w:rPr>
                <w:rFonts w:ascii="Times New Roman" w:hAnsi="Times New Roman"/>
                <w:kern w:val="0"/>
                <w:sz w:val="24"/>
                <w:szCs w:val="24"/>
              </w:rPr>
            </w:pPr>
            <w:r>
              <w:rPr>
                <w:rFonts w:ascii="Times New Roman" w:hAnsi="Times New Roman"/>
                <w:kern w:val="0"/>
                <w:sz w:val="24"/>
                <w:szCs w:val="24"/>
              </w:rPr>
              <w:t>季度报告</w:t>
            </w:r>
          </w:p>
        </w:tc>
        <w:tc>
          <w:tcPr>
            <w:tcW w:w="5528" w:type="dxa"/>
            <w:tcBorders>
              <w:top w:val="nil"/>
              <w:left w:val="nil"/>
              <w:bottom w:val="single" w:color="auto" w:sz="4" w:space="0"/>
              <w:right w:val="single" w:color="auto" w:sz="4" w:space="0"/>
            </w:tcBorders>
            <w:noWrap/>
            <w:vAlign w:val="center"/>
          </w:tcPr>
          <w:p w14:paraId="6C9EC753">
            <w:pPr>
              <w:widowControl/>
              <w:spacing w:line="240" w:lineRule="auto"/>
              <w:ind w:firstLine="0" w:firstLineChars="0"/>
              <w:jc w:val="left"/>
              <w:rPr>
                <w:rFonts w:ascii="Times New Roman" w:hAnsi="Times New Roman"/>
                <w:kern w:val="0"/>
                <w:sz w:val="24"/>
                <w:szCs w:val="24"/>
              </w:rPr>
            </w:pPr>
            <w:r>
              <w:rPr>
                <w:rFonts w:ascii="Times New Roman" w:hAnsi="Times New Roman"/>
                <w:kern w:val="0"/>
                <w:sz w:val="24"/>
                <w:szCs w:val="24"/>
              </w:rPr>
              <w:t>季度报告，相关提示性公告（可选）</w:t>
            </w:r>
          </w:p>
        </w:tc>
      </w:tr>
      <w:tr w14:paraId="6EEF130C">
        <w:tblPrEx>
          <w:tblCellMar>
            <w:top w:w="0" w:type="dxa"/>
            <w:left w:w="108" w:type="dxa"/>
            <w:bottom w:w="0" w:type="dxa"/>
            <w:right w:w="108" w:type="dxa"/>
          </w:tblCellMar>
        </w:tblPrEx>
        <w:trPr>
          <w:trHeight w:val="285" w:hRule="atLeast"/>
        </w:trPr>
        <w:tc>
          <w:tcPr>
            <w:tcW w:w="1037" w:type="dxa"/>
            <w:vMerge w:val="continue"/>
            <w:tcBorders>
              <w:top w:val="single" w:color="auto" w:sz="4" w:space="0"/>
              <w:left w:val="single" w:color="auto" w:sz="4" w:space="0"/>
              <w:bottom w:val="single" w:color="auto" w:sz="4" w:space="0"/>
              <w:right w:val="single" w:color="auto" w:sz="4" w:space="0"/>
            </w:tcBorders>
            <w:vAlign w:val="center"/>
          </w:tcPr>
          <w:p w14:paraId="2FADDBEF">
            <w:pPr>
              <w:widowControl/>
              <w:spacing w:line="240" w:lineRule="auto"/>
              <w:ind w:firstLine="0" w:firstLineChars="0"/>
              <w:jc w:val="center"/>
              <w:rPr>
                <w:rFonts w:ascii="Times New Roman" w:hAnsi="Times New Roman"/>
                <w:b/>
                <w:bCs/>
                <w:kern w:val="0"/>
                <w:sz w:val="24"/>
                <w:szCs w:val="24"/>
              </w:rPr>
            </w:pPr>
          </w:p>
        </w:tc>
        <w:tc>
          <w:tcPr>
            <w:tcW w:w="2229" w:type="dxa"/>
            <w:tcBorders>
              <w:top w:val="nil"/>
              <w:left w:val="nil"/>
              <w:bottom w:val="single" w:color="auto" w:sz="4" w:space="0"/>
              <w:right w:val="single" w:color="auto" w:sz="4" w:space="0"/>
            </w:tcBorders>
            <w:noWrap/>
            <w:vAlign w:val="center"/>
          </w:tcPr>
          <w:p w14:paraId="3BDB31A6">
            <w:pPr>
              <w:widowControl/>
              <w:spacing w:line="240" w:lineRule="auto"/>
              <w:ind w:firstLine="0" w:firstLineChars="0"/>
              <w:jc w:val="left"/>
              <w:rPr>
                <w:rFonts w:ascii="Times New Roman" w:hAnsi="Times New Roman"/>
                <w:kern w:val="0"/>
                <w:sz w:val="24"/>
                <w:szCs w:val="24"/>
              </w:rPr>
            </w:pPr>
            <w:r>
              <w:rPr>
                <w:rFonts w:ascii="Times New Roman" w:hAnsi="Times New Roman"/>
                <w:kern w:val="0"/>
                <w:sz w:val="24"/>
                <w:szCs w:val="24"/>
              </w:rPr>
              <w:t>其他自主披露定期公告</w:t>
            </w:r>
          </w:p>
        </w:tc>
        <w:tc>
          <w:tcPr>
            <w:tcW w:w="5528" w:type="dxa"/>
            <w:tcBorders>
              <w:top w:val="nil"/>
              <w:left w:val="nil"/>
              <w:bottom w:val="single" w:color="auto" w:sz="4" w:space="0"/>
              <w:right w:val="single" w:color="auto" w:sz="4" w:space="0"/>
            </w:tcBorders>
            <w:noWrap/>
            <w:vAlign w:val="center"/>
          </w:tcPr>
          <w:p w14:paraId="630C6E44">
            <w:pPr>
              <w:widowControl/>
              <w:spacing w:line="240" w:lineRule="auto"/>
              <w:ind w:firstLine="0" w:firstLineChars="0"/>
              <w:jc w:val="left"/>
              <w:rPr>
                <w:rFonts w:ascii="Times New Roman" w:hAnsi="Times New Roman"/>
                <w:kern w:val="0"/>
                <w:sz w:val="24"/>
                <w:szCs w:val="24"/>
              </w:rPr>
            </w:pPr>
            <w:r>
              <w:rPr>
                <w:rFonts w:ascii="Times New Roman" w:hAnsi="Times New Roman"/>
                <w:kern w:val="0"/>
                <w:sz w:val="24"/>
                <w:szCs w:val="24"/>
              </w:rPr>
              <w:t>其他自主披露定期公告，相关提示性公告（可选）</w:t>
            </w:r>
          </w:p>
        </w:tc>
      </w:tr>
      <w:tr w14:paraId="1C7667C9">
        <w:tblPrEx>
          <w:tblCellMar>
            <w:top w:w="0" w:type="dxa"/>
            <w:left w:w="108" w:type="dxa"/>
            <w:bottom w:w="0" w:type="dxa"/>
            <w:right w:w="108" w:type="dxa"/>
          </w:tblCellMar>
        </w:tblPrEx>
        <w:trPr>
          <w:trHeight w:val="1710" w:hRule="atLeast"/>
        </w:trPr>
        <w:tc>
          <w:tcPr>
            <w:tcW w:w="1037" w:type="dxa"/>
            <w:vMerge w:val="restart"/>
            <w:tcBorders>
              <w:top w:val="single" w:color="auto" w:sz="4" w:space="0"/>
              <w:left w:val="single" w:color="auto" w:sz="4" w:space="0"/>
              <w:bottom w:val="single" w:color="auto" w:sz="4" w:space="0"/>
              <w:right w:val="single" w:color="auto" w:sz="4" w:space="0"/>
            </w:tcBorders>
            <w:noWrap/>
            <w:vAlign w:val="center"/>
          </w:tcPr>
          <w:p w14:paraId="64BAA639">
            <w:pPr>
              <w:widowControl/>
              <w:spacing w:line="240" w:lineRule="auto"/>
              <w:ind w:firstLine="0" w:firstLineChars="0"/>
              <w:jc w:val="center"/>
              <w:rPr>
                <w:rFonts w:ascii="Times New Roman" w:hAnsi="Times New Roman"/>
                <w:b/>
                <w:bCs/>
                <w:kern w:val="0"/>
                <w:sz w:val="24"/>
                <w:szCs w:val="24"/>
              </w:rPr>
            </w:pPr>
            <w:r>
              <w:rPr>
                <w:rFonts w:ascii="Times New Roman" w:hAnsi="Times New Roman"/>
                <w:b/>
                <w:bCs/>
                <w:kern w:val="0"/>
                <w:sz w:val="24"/>
                <w:szCs w:val="24"/>
              </w:rPr>
              <w:t>临时</w:t>
            </w:r>
          </w:p>
          <w:p w14:paraId="6787C414">
            <w:pPr>
              <w:widowControl/>
              <w:spacing w:line="240" w:lineRule="auto"/>
              <w:ind w:firstLine="0" w:firstLineChars="0"/>
              <w:jc w:val="center"/>
              <w:rPr>
                <w:rFonts w:ascii="Times New Roman" w:hAnsi="Times New Roman"/>
                <w:b/>
                <w:bCs/>
                <w:kern w:val="0"/>
                <w:sz w:val="24"/>
                <w:szCs w:val="24"/>
              </w:rPr>
            </w:pPr>
            <w:r>
              <w:rPr>
                <w:rFonts w:ascii="Times New Roman" w:hAnsi="Times New Roman"/>
                <w:b/>
                <w:bCs/>
                <w:kern w:val="0"/>
                <w:sz w:val="24"/>
                <w:szCs w:val="24"/>
              </w:rPr>
              <w:t>报告</w:t>
            </w:r>
          </w:p>
        </w:tc>
        <w:tc>
          <w:tcPr>
            <w:tcW w:w="2229" w:type="dxa"/>
            <w:tcBorders>
              <w:top w:val="nil"/>
              <w:left w:val="nil"/>
              <w:bottom w:val="nil"/>
              <w:right w:val="single" w:color="auto" w:sz="4" w:space="0"/>
            </w:tcBorders>
            <w:vAlign w:val="center"/>
          </w:tcPr>
          <w:p w14:paraId="5E7A1844">
            <w:pPr>
              <w:widowControl/>
              <w:spacing w:line="240" w:lineRule="auto"/>
              <w:ind w:firstLine="0" w:firstLineChars="0"/>
              <w:jc w:val="left"/>
              <w:rPr>
                <w:rFonts w:ascii="Times New Roman" w:hAnsi="Times New Roman"/>
                <w:kern w:val="0"/>
                <w:sz w:val="24"/>
                <w:szCs w:val="24"/>
              </w:rPr>
            </w:pPr>
            <w:r>
              <w:rPr>
                <w:rFonts w:ascii="Times New Roman" w:hAnsi="Times New Roman"/>
                <w:kern w:val="0"/>
                <w:sz w:val="24"/>
                <w:szCs w:val="24"/>
              </w:rPr>
              <w:t>重大关联交易事项</w:t>
            </w:r>
          </w:p>
        </w:tc>
        <w:tc>
          <w:tcPr>
            <w:tcW w:w="5528" w:type="dxa"/>
            <w:tcBorders>
              <w:top w:val="nil"/>
              <w:left w:val="nil"/>
              <w:bottom w:val="single" w:color="auto" w:sz="4" w:space="0"/>
              <w:right w:val="single" w:color="auto" w:sz="4" w:space="0"/>
            </w:tcBorders>
            <w:vAlign w:val="center"/>
          </w:tcPr>
          <w:p w14:paraId="0D01E337">
            <w:pPr>
              <w:widowControl/>
              <w:spacing w:line="240" w:lineRule="auto"/>
              <w:ind w:firstLine="0" w:firstLineChars="0"/>
              <w:jc w:val="left"/>
              <w:rPr>
                <w:rFonts w:ascii="Times New Roman" w:hAnsi="Times New Roman"/>
                <w:kern w:val="0"/>
                <w:sz w:val="24"/>
                <w:szCs w:val="24"/>
              </w:rPr>
            </w:pPr>
            <w:r>
              <w:rPr>
                <w:rFonts w:ascii="Times New Roman" w:hAnsi="Times New Roman"/>
                <w:kern w:val="0"/>
                <w:sz w:val="24"/>
                <w:szCs w:val="24"/>
              </w:rPr>
              <w:t>基金管理人运用基金财产与其关联方进行的重大交易，如买卖基金管理人、基金托管人及其控股股东、实际控制人或者与其有重大利害关系的公司发行的证券或者承销期内承销的证券，或者从事其他重大关联交易事项，中国证监会规定的情形除外</w:t>
            </w:r>
          </w:p>
        </w:tc>
      </w:tr>
      <w:tr w14:paraId="067F16FA">
        <w:tblPrEx>
          <w:tblCellMar>
            <w:top w:w="0" w:type="dxa"/>
            <w:left w:w="108" w:type="dxa"/>
            <w:bottom w:w="0" w:type="dxa"/>
            <w:right w:w="108" w:type="dxa"/>
          </w:tblCellMar>
        </w:tblPrEx>
        <w:trPr>
          <w:trHeight w:val="570" w:hRule="atLeast"/>
        </w:trPr>
        <w:tc>
          <w:tcPr>
            <w:tcW w:w="1037" w:type="dxa"/>
            <w:vMerge w:val="continue"/>
            <w:tcBorders>
              <w:top w:val="single" w:color="auto" w:sz="4" w:space="0"/>
              <w:left w:val="single" w:color="auto" w:sz="4" w:space="0"/>
              <w:bottom w:val="single" w:color="auto" w:sz="4" w:space="0"/>
              <w:right w:val="single" w:color="auto" w:sz="4" w:space="0"/>
            </w:tcBorders>
            <w:vAlign w:val="center"/>
          </w:tcPr>
          <w:p w14:paraId="05784358">
            <w:pPr>
              <w:widowControl/>
              <w:spacing w:line="240" w:lineRule="auto"/>
              <w:ind w:firstLine="0" w:firstLineChars="0"/>
              <w:jc w:val="center"/>
              <w:rPr>
                <w:rFonts w:ascii="Times New Roman" w:hAnsi="Times New Roman"/>
                <w:b/>
                <w:bCs/>
                <w:kern w:val="0"/>
                <w:sz w:val="24"/>
                <w:szCs w:val="24"/>
              </w:rPr>
            </w:pPr>
          </w:p>
        </w:tc>
        <w:tc>
          <w:tcPr>
            <w:tcW w:w="2229" w:type="dxa"/>
            <w:tcBorders>
              <w:top w:val="single" w:color="auto" w:sz="4" w:space="0"/>
              <w:left w:val="nil"/>
              <w:bottom w:val="single" w:color="auto" w:sz="4" w:space="0"/>
              <w:right w:val="single" w:color="auto" w:sz="4" w:space="0"/>
            </w:tcBorders>
            <w:vAlign w:val="center"/>
          </w:tcPr>
          <w:p w14:paraId="71BC38B8">
            <w:pPr>
              <w:widowControl/>
              <w:spacing w:line="240" w:lineRule="auto"/>
              <w:ind w:firstLine="0" w:firstLineChars="0"/>
              <w:jc w:val="left"/>
              <w:rPr>
                <w:rFonts w:ascii="Times New Roman" w:hAnsi="Times New Roman"/>
                <w:kern w:val="0"/>
                <w:sz w:val="24"/>
                <w:szCs w:val="24"/>
              </w:rPr>
            </w:pPr>
            <w:r>
              <w:rPr>
                <w:rFonts w:ascii="Times New Roman" w:hAnsi="Times New Roman"/>
                <w:kern w:val="0"/>
                <w:sz w:val="24"/>
                <w:szCs w:val="24"/>
              </w:rPr>
              <w:t>总资产超过净资产公告</w:t>
            </w:r>
          </w:p>
        </w:tc>
        <w:tc>
          <w:tcPr>
            <w:tcW w:w="5528" w:type="dxa"/>
            <w:tcBorders>
              <w:top w:val="nil"/>
              <w:left w:val="nil"/>
              <w:bottom w:val="single" w:color="auto" w:sz="4" w:space="0"/>
              <w:right w:val="single" w:color="auto" w:sz="4" w:space="0"/>
            </w:tcBorders>
            <w:vAlign w:val="center"/>
          </w:tcPr>
          <w:p w14:paraId="5CD8DC0F">
            <w:pPr>
              <w:widowControl/>
              <w:spacing w:line="240" w:lineRule="auto"/>
              <w:ind w:firstLine="0" w:firstLineChars="0"/>
              <w:jc w:val="left"/>
              <w:rPr>
                <w:rFonts w:ascii="Times New Roman" w:hAnsi="Times New Roman"/>
                <w:kern w:val="0"/>
                <w:sz w:val="24"/>
                <w:szCs w:val="24"/>
              </w:rPr>
            </w:pPr>
            <w:r>
              <w:rPr>
                <w:rFonts w:ascii="Times New Roman" w:hAnsi="Times New Roman"/>
                <w:kern w:val="0"/>
                <w:sz w:val="24"/>
                <w:szCs w:val="24"/>
              </w:rPr>
              <w:t>不动产项目公司对外借入款项或基金总资产被动超过基金净资产140%</w:t>
            </w:r>
          </w:p>
        </w:tc>
      </w:tr>
      <w:tr w14:paraId="63AEF131">
        <w:tblPrEx>
          <w:tblCellMar>
            <w:top w:w="0" w:type="dxa"/>
            <w:left w:w="108" w:type="dxa"/>
            <w:bottom w:w="0" w:type="dxa"/>
            <w:right w:w="108" w:type="dxa"/>
          </w:tblCellMar>
        </w:tblPrEx>
        <w:trPr>
          <w:trHeight w:val="285" w:hRule="atLeast"/>
        </w:trPr>
        <w:tc>
          <w:tcPr>
            <w:tcW w:w="1037" w:type="dxa"/>
            <w:vMerge w:val="continue"/>
            <w:tcBorders>
              <w:top w:val="single" w:color="auto" w:sz="4" w:space="0"/>
              <w:left w:val="single" w:color="auto" w:sz="4" w:space="0"/>
              <w:bottom w:val="single" w:color="auto" w:sz="4" w:space="0"/>
              <w:right w:val="single" w:color="auto" w:sz="4" w:space="0"/>
            </w:tcBorders>
            <w:vAlign w:val="center"/>
          </w:tcPr>
          <w:p w14:paraId="54A11B08">
            <w:pPr>
              <w:widowControl/>
              <w:spacing w:line="240" w:lineRule="auto"/>
              <w:ind w:firstLine="0" w:firstLineChars="0"/>
              <w:jc w:val="center"/>
              <w:rPr>
                <w:rFonts w:ascii="Times New Roman" w:hAnsi="Times New Roman"/>
                <w:b/>
                <w:bCs/>
                <w:kern w:val="0"/>
                <w:sz w:val="24"/>
                <w:szCs w:val="24"/>
              </w:rPr>
            </w:pPr>
          </w:p>
        </w:tc>
        <w:tc>
          <w:tcPr>
            <w:tcW w:w="2229" w:type="dxa"/>
            <w:tcBorders>
              <w:top w:val="nil"/>
              <w:left w:val="nil"/>
              <w:bottom w:val="single" w:color="auto" w:sz="4" w:space="0"/>
              <w:right w:val="single" w:color="auto" w:sz="4" w:space="0"/>
            </w:tcBorders>
            <w:shd w:val="clear" w:color="000000" w:fill="FFFFFF"/>
            <w:vAlign w:val="center"/>
          </w:tcPr>
          <w:p w14:paraId="4396F42C">
            <w:pPr>
              <w:widowControl/>
              <w:spacing w:line="240" w:lineRule="auto"/>
              <w:ind w:firstLine="0" w:firstLineChars="0"/>
              <w:jc w:val="left"/>
              <w:rPr>
                <w:rFonts w:ascii="Times New Roman" w:hAnsi="Times New Roman"/>
                <w:kern w:val="0"/>
                <w:sz w:val="24"/>
                <w:szCs w:val="24"/>
              </w:rPr>
            </w:pPr>
            <w:r>
              <w:rPr>
                <w:rFonts w:ascii="Times New Roman" w:hAnsi="Times New Roman"/>
                <w:kern w:val="0"/>
                <w:sz w:val="24"/>
                <w:szCs w:val="24"/>
              </w:rPr>
              <w:t>重大交易或损失</w:t>
            </w:r>
          </w:p>
        </w:tc>
        <w:tc>
          <w:tcPr>
            <w:tcW w:w="5528" w:type="dxa"/>
            <w:tcBorders>
              <w:top w:val="nil"/>
              <w:left w:val="nil"/>
              <w:bottom w:val="single" w:color="auto" w:sz="4" w:space="0"/>
              <w:right w:val="single" w:color="auto" w:sz="4" w:space="0"/>
            </w:tcBorders>
            <w:vAlign w:val="center"/>
          </w:tcPr>
          <w:p w14:paraId="112215E7">
            <w:pPr>
              <w:widowControl/>
              <w:spacing w:line="240" w:lineRule="auto"/>
              <w:ind w:firstLine="0" w:firstLineChars="0"/>
              <w:jc w:val="left"/>
              <w:rPr>
                <w:rFonts w:ascii="Times New Roman" w:hAnsi="Times New Roman"/>
                <w:kern w:val="0"/>
                <w:sz w:val="24"/>
                <w:szCs w:val="24"/>
              </w:rPr>
            </w:pPr>
            <w:r>
              <w:rPr>
                <w:rFonts w:ascii="Times New Roman" w:hAnsi="Times New Roman"/>
                <w:kern w:val="0"/>
                <w:sz w:val="24"/>
                <w:szCs w:val="24"/>
              </w:rPr>
              <w:t>金额占基金净资产10%及以上的交易或损失</w:t>
            </w:r>
          </w:p>
        </w:tc>
      </w:tr>
      <w:tr w14:paraId="72C16040">
        <w:tblPrEx>
          <w:tblCellMar>
            <w:top w:w="0" w:type="dxa"/>
            <w:left w:w="108" w:type="dxa"/>
            <w:bottom w:w="0" w:type="dxa"/>
            <w:right w:w="108" w:type="dxa"/>
          </w:tblCellMar>
        </w:tblPrEx>
        <w:trPr>
          <w:trHeight w:val="570" w:hRule="atLeast"/>
        </w:trPr>
        <w:tc>
          <w:tcPr>
            <w:tcW w:w="1037" w:type="dxa"/>
            <w:vMerge w:val="continue"/>
            <w:tcBorders>
              <w:top w:val="single" w:color="auto" w:sz="4" w:space="0"/>
              <w:left w:val="single" w:color="auto" w:sz="4" w:space="0"/>
              <w:bottom w:val="single" w:color="auto" w:sz="4" w:space="0"/>
              <w:right w:val="single" w:color="auto" w:sz="4" w:space="0"/>
            </w:tcBorders>
            <w:vAlign w:val="center"/>
          </w:tcPr>
          <w:p w14:paraId="4967E06F">
            <w:pPr>
              <w:widowControl/>
              <w:spacing w:line="240" w:lineRule="auto"/>
              <w:ind w:firstLine="0" w:firstLineChars="0"/>
              <w:jc w:val="center"/>
              <w:rPr>
                <w:rFonts w:ascii="Times New Roman" w:hAnsi="Times New Roman"/>
                <w:b/>
                <w:bCs/>
                <w:kern w:val="0"/>
                <w:sz w:val="24"/>
                <w:szCs w:val="24"/>
              </w:rPr>
            </w:pPr>
          </w:p>
        </w:tc>
        <w:tc>
          <w:tcPr>
            <w:tcW w:w="2229" w:type="dxa"/>
            <w:tcBorders>
              <w:top w:val="nil"/>
              <w:left w:val="nil"/>
              <w:bottom w:val="single" w:color="auto" w:sz="4" w:space="0"/>
              <w:right w:val="single" w:color="auto" w:sz="4" w:space="0"/>
            </w:tcBorders>
            <w:shd w:val="clear" w:color="000000" w:fill="FFFFFF"/>
            <w:vAlign w:val="center"/>
          </w:tcPr>
          <w:p w14:paraId="3119D0ED">
            <w:pPr>
              <w:widowControl/>
              <w:spacing w:line="240" w:lineRule="auto"/>
              <w:ind w:firstLine="0" w:firstLineChars="0"/>
              <w:jc w:val="left"/>
              <w:rPr>
                <w:rFonts w:ascii="Times New Roman" w:hAnsi="Times New Roman"/>
                <w:kern w:val="0"/>
                <w:sz w:val="24"/>
                <w:szCs w:val="24"/>
              </w:rPr>
            </w:pPr>
            <w:r>
              <w:rPr>
                <w:rFonts w:ascii="Times New Roman" w:hAnsi="Times New Roman"/>
                <w:kern w:val="0"/>
                <w:sz w:val="24"/>
                <w:szCs w:val="24"/>
              </w:rPr>
              <w:t>项目购入或出售</w:t>
            </w:r>
          </w:p>
        </w:tc>
        <w:tc>
          <w:tcPr>
            <w:tcW w:w="5528" w:type="dxa"/>
            <w:tcBorders>
              <w:top w:val="nil"/>
              <w:left w:val="nil"/>
              <w:bottom w:val="single" w:color="auto" w:sz="4" w:space="0"/>
              <w:right w:val="single" w:color="auto" w:sz="4" w:space="0"/>
            </w:tcBorders>
            <w:vAlign w:val="center"/>
          </w:tcPr>
          <w:p w14:paraId="4670DC54">
            <w:pPr>
              <w:widowControl/>
              <w:spacing w:line="240" w:lineRule="auto"/>
              <w:ind w:firstLine="0" w:firstLineChars="0"/>
              <w:jc w:val="left"/>
              <w:rPr>
                <w:rFonts w:ascii="Times New Roman" w:hAnsi="Times New Roman"/>
                <w:kern w:val="0"/>
                <w:sz w:val="24"/>
                <w:szCs w:val="24"/>
              </w:rPr>
            </w:pPr>
            <w:r>
              <w:rPr>
                <w:rFonts w:ascii="Times New Roman" w:hAnsi="Times New Roman"/>
                <w:kern w:val="0"/>
                <w:sz w:val="24"/>
                <w:szCs w:val="24"/>
              </w:rPr>
              <w:t>不动产项目购入或出售</w:t>
            </w:r>
          </w:p>
        </w:tc>
      </w:tr>
      <w:tr w14:paraId="1274C4D5">
        <w:tblPrEx>
          <w:tblCellMar>
            <w:top w:w="0" w:type="dxa"/>
            <w:left w:w="108" w:type="dxa"/>
            <w:bottom w:w="0" w:type="dxa"/>
            <w:right w:w="108" w:type="dxa"/>
          </w:tblCellMar>
        </w:tblPrEx>
        <w:trPr>
          <w:trHeight w:val="285" w:hRule="atLeast"/>
        </w:trPr>
        <w:tc>
          <w:tcPr>
            <w:tcW w:w="1037" w:type="dxa"/>
            <w:vMerge w:val="continue"/>
            <w:tcBorders>
              <w:top w:val="single" w:color="auto" w:sz="4" w:space="0"/>
              <w:left w:val="single" w:color="auto" w:sz="4" w:space="0"/>
              <w:bottom w:val="single" w:color="auto" w:sz="4" w:space="0"/>
              <w:right w:val="single" w:color="auto" w:sz="4" w:space="0"/>
            </w:tcBorders>
            <w:vAlign w:val="center"/>
          </w:tcPr>
          <w:p w14:paraId="7F965A00">
            <w:pPr>
              <w:widowControl/>
              <w:spacing w:line="240" w:lineRule="auto"/>
              <w:ind w:firstLine="0" w:firstLineChars="0"/>
              <w:jc w:val="center"/>
              <w:rPr>
                <w:rFonts w:ascii="Times New Roman" w:hAnsi="Times New Roman"/>
                <w:b/>
                <w:bCs/>
                <w:kern w:val="0"/>
                <w:sz w:val="24"/>
                <w:szCs w:val="24"/>
              </w:rPr>
            </w:pPr>
          </w:p>
        </w:tc>
        <w:tc>
          <w:tcPr>
            <w:tcW w:w="2229" w:type="dxa"/>
            <w:tcBorders>
              <w:top w:val="nil"/>
              <w:left w:val="nil"/>
              <w:bottom w:val="single" w:color="auto" w:sz="4" w:space="0"/>
              <w:right w:val="single" w:color="auto" w:sz="4" w:space="0"/>
            </w:tcBorders>
            <w:shd w:val="clear" w:color="000000" w:fill="FFFFFF"/>
            <w:vAlign w:val="center"/>
          </w:tcPr>
          <w:p w14:paraId="4607C1CA">
            <w:pPr>
              <w:widowControl/>
              <w:spacing w:line="240" w:lineRule="auto"/>
              <w:ind w:firstLine="0" w:firstLineChars="0"/>
              <w:jc w:val="left"/>
              <w:rPr>
                <w:rFonts w:ascii="Times New Roman" w:hAnsi="Times New Roman"/>
                <w:kern w:val="0"/>
                <w:sz w:val="24"/>
                <w:szCs w:val="24"/>
              </w:rPr>
            </w:pPr>
            <w:r>
              <w:rPr>
                <w:rFonts w:ascii="Times New Roman" w:hAnsi="Times New Roman"/>
                <w:kern w:val="0"/>
                <w:sz w:val="24"/>
                <w:szCs w:val="24"/>
              </w:rPr>
              <w:t>扩募</w:t>
            </w:r>
          </w:p>
        </w:tc>
        <w:tc>
          <w:tcPr>
            <w:tcW w:w="5528" w:type="dxa"/>
            <w:tcBorders>
              <w:top w:val="nil"/>
              <w:left w:val="nil"/>
              <w:bottom w:val="single" w:color="auto" w:sz="4" w:space="0"/>
              <w:right w:val="single" w:color="auto" w:sz="4" w:space="0"/>
            </w:tcBorders>
            <w:vAlign w:val="center"/>
          </w:tcPr>
          <w:p w14:paraId="32A22BBD">
            <w:pPr>
              <w:widowControl/>
              <w:spacing w:line="240" w:lineRule="auto"/>
              <w:ind w:firstLine="0" w:firstLineChars="0"/>
              <w:jc w:val="left"/>
              <w:rPr>
                <w:rFonts w:ascii="Times New Roman" w:hAnsi="Times New Roman"/>
                <w:kern w:val="0"/>
                <w:sz w:val="24"/>
                <w:szCs w:val="24"/>
              </w:rPr>
            </w:pPr>
            <w:r>
              <w:rPr>
                <w:rFonts w:ascii="Times New Roman" w:hAnsi="Times New Roman"/>
                <w:kern w:val="0"/>
                <w:sz w:val="24"/>
                <w:szCs w:val="24"/>
              </w:rPr>
              <w:t>不动产基金扩募，相关提示性公告（可选）</w:t>
            </w:r>
          </w:p>
        </w:tc>
      </w:tr>
      <w:tr w14:paraId="11A4125C">
        <w:tblPrEx>
          <w:tblCellMar>
            <w:top w:w="0" w:type="dxa"/>
            <w:left w:w="108" w:type="dxa"/>
            <w:bottom w:w="0" w:type="dxa"/>
            <w:right w:w="108" w:type="dxa"/>
          </w:tblCellMar>
        </w:tblPrEx>
        <w:trPr>
          <w:trHeight w:val="570" w:hRule="atLeast"/>
        </w:trPr>
        <w:tc>
          <w:tcPr>
            <w:tcW w:w="1037" w:type="dxa"/>
            <w:vMerge w:val="continue"/>
            <w:tcBorders>
              <w:top w:val="single" w:color="auto" w:sz="4" w:space="0"/>
              <w:left w:val="single" w:color="auto" w:sz="4" w:space="0"/>
              <w:bottom w:val="single" w:color="auto" w:sz="4" w:space="0"/>
              <w:right w:val="single" w:color="auto" w:sz="4" w:space="0"/>
            </w:tcBorders>
            <w:vAlign w:val="center"/>
          </w:tcPr>
          <w:p w14:paraId="24AFEAAF">
            <w:pPr>
              <w:widowControl/>
              <w:spacing w:line="240" w:lineRule="auto"/>
              <w:ind w:firstLine="0" w:firstLineChars="0"/>
              <w:jc w:val="center"/>
              <w:rPr>
                <w:rFonts w:ascii="Times New Roman" w:hAnsi="Times New Roman"/>
                <w:b/>
                <w:bCs/>
                <w:kern w:val="0"/>
                <w:sz w:val="24"/>
                <w:szCs w:val="24"/>
              </w:rPr>
            </w:pPr>
          </w:p>
        </w:tc>
        <w:tc>
          <w:tcPr>
            <w:tcW w:w="2229" w:type="dxa"/>
            <w:tcBorders>
              <w:top w:val="nil"/>
              <w:left w:val="nil"/>
              <w:bottom w:val="single" w:color="auto" w:sz="4" w:space="0"/>
              <w:right w:val="single" w:color="auto" w:sz="4" w:space="0"/>
            </w:tcBorders>
            <w:shd w:val="clear" w:color="000000" w:fill="FFFFFF"/>
            <w:vAlign w:val="center"/>
          </w:tcPr>
          <w:p w14:paraId="0BCB041C">
            <w:pPr>
              <w:widowControl/>
              <w:spacing w:line="240" w:lineRule="auto"/>
              <w:ind w:firstLine="0" w:firstLineChars="0"/>
              <w:jc w:val="left"/>
              <w:rPr>
                <w:rFonts w:ascii="Times New Roman" w:hAnsi="Times New Roman"/>
                <w:kern w:val="0"/>
                <w:sz w:val="24"/>
                <w:szCs w:val="24"/>
              </w:rPr>
            </w:pPr>
            <w:r>
              <w:rPr>
                <w:rFonts w:ascii="Times New Roman" w:hAnsi="Times New Roman"/>
                <w:kern w:val="0"/>
                <w:sz w:val="24"/>
                <w:szCs w:val="24"/>
              </w:rPr>
              <w:t>运营情况及现金流重大变化</w:t>
            </w:r>
          </w:p>
        </w:tc>
        <w:tc>
          <w:tcPr>
            <w:tcW w:w="5528" w:type="dxa"/>
            <w:tcBorders>
              <w:top w:val="nil"/>
              <w:left w:val="nil"/>
              <w:bottom w:val="single" w:color="auto" w:sz="4" w:space="0"/>
              <w:right w:val="single" w:color="auto" w:sz="4" w:space="0"/>
            </w:tcBorders>
            <w:vAlign w:val="center"/>
          </w:tcPr>
          <w:p w14:paraId="0669530F">
            <w:pPr>
              <w:widowControl/>
              <w:spacing w:line="240" w:lineRule="auto"/>
              <w:ind w:firstLine="0" w:firstLineChars="0"/>
              <w:jc w:val="left"/>
              <w:rPr>
                <w:rFonts w:ascii="Times New Roman" w:hAnsi="Times New Roman"/>
                <w:kern w:val="0"/>
                <w:sz w:val="24"/>
                <w:szCs w:val="24"/>
              </w:rPr>
            </w:pPr>
            <w:r>
              <w:rPr>
                <w:rFonts w:ascii="Times New Roman" w:hAnsi="Times New Roman"/>
                <w:kern w:val="0"/>
                <w:sz w:val="24"/>
                <w:szCs w:val="24"/>
              </w:rPr>
              <w:t>不动产项目运营情况、现金流或产生现金流能力发生重大变化的情况</w:t>
            </w:r>
          </w:p>
        </w:tc>
      </w:tr>
      <w:tr w14:paraId="5C66DBEB">
        <w:tblPrEx>
          <w:tblCellMar>
            <w:top w:w="0" w:type="dxa"/>
            <w:left w:w="108" w:type="dxa"/>
            <w:bottom w:w="0" w:type="dxa"/>
            <w:right w:w="108" w:type="dxa"/>
          </w:tblCellMar>
        </w:tblPrEx>
        <w:trPr>
          <w:trHeight w:val="1140" w:hRule="atLeast"/>
        </w:trPr>
        <w:tc>
          <w:tcPr>
            <w:tcW w:w="1037" w:type="dxa"/>
            <w:vMerge w:val="continue"/>
            <w:tcBorders>
              <w:top w:val="single" w:color="auto" w:sz="4" w:space="0"/>
              <w:left w:val="single" w:color="auto" w:sz="4" w:space="0"/>
              <w:bottom w:val="single" w:color="auto" w:sz="4" w:space="0"/>
              <w:right w:val="single" w:color="auto" w:sz="4" w:space="0"/>
            </w:tcBorders>
            <w:vAlign w:val="center"/>
          </w:tcPr>
          <w:p w14:paraId="5E6117D4">
            <w:pPr>
              <w:widowControl/>
              <w:spacing w:line="240" w:lineRule="auto"/>
              <w:ind w:firstLine="0" w:firstLineChars="0"/>
              <w:jc w:val="center"/>
              <w:rPr>
                <w:rFonts w:ascii="Times New Roman" w:hAnsi="Times New Roman"/>
                <w:b/>
                <w:bCs/>
                <w:kern w:val="0"/>
                <w:sz w:val="24"/>
                <w:szCs w:val="24"/>
              </w:rPr>
            </w:pPr>
          </w:p>
        </w:tc>
        <w:tc>
          <w:tcPr>
            <w:tcW w:w="2229" w:type="dxa"/>
            <w:tcBorders>
              <w:top w:val="nil"/>
              <w:left w:val="nil"/>
              <w:bottom w:val="single" w:color="auto" w:sz="4" w:space="0"/>
              <w:right w:val="single" w:color="auto" w:sz="4" w:space="0"/>
            </w:tcBorders>
            <w:shd w:val="clear" w:color="000000" w:fill="FFFFFF"/>
            <w:vAlign w:val="center"/>
          </w:tcPr>
          <w:p w14:paraId="4DDC1A00">
            <w:pPr>
              <w:widowControl/>
              <w:spacing w:line="240" w:lineRule="auto"/>
              <w:ind w:firstLine="0" w:firstLineChars="0"/>
              <w:jc w:val="left"/>
              <w:rPr>
                <w:rFonts w:ascii="Times New Roman" w:hAnsi="Times New Roman"/>
                <w:kern w:val="0"/>
                <w:sz w:val="24"/>
                <w:szCs w:val="24"/>
              </w:rPr>
            </w:pPr>
            <w:r>
              <w:rPr>
                <w:rFonts w:ascii="Times New Roman" w:hAnsi="Times New Roman"/>
                <w:kern w:val="0"/>
                <w:sz w:val="24"/>
                <w:szCs w:val="24"/>
              </w:rPr>
              <w:t>管理人或主要负责人员变动</w:t>
            </w:r>
          </w:p>
        </w:tc>
        <w:tc>
          <w:tcPr>
            <w:tcW w:w="5528" w:type="dxa"/>
            <w:tcBorders>
              <w:top w:val="nil"/>
              <w:left w:val="nil"/>
              <w:bottom w:val="single" w:color="auto" w:sz="4" w:space="0"/>
              <w:right w:val="single" w:color="auto" w:sz="4" w:space="0"/>
            </w:tcBorders>
            <w:vAlign w:val="center"/>
          </w:tcPr>
          <w:p w14:paraId="0FDE40C1">
            <w:pPr>
              <w:widowControl/>
              <w:spacing w:line="240" w:lineRule="auto"/>
              <w:ind w:firstLine="0" w:firstLineChars="0"/>
              <w:jc w:val="left"/>
              <w:rPr>
                <w:rFonts w:ascii="Times New Roman" w:hAnsi="Times New Roman"/>
                <w:kern w:val="0"/>
                <w:sz w:val="24"/>
                <w:szCs w:val="24"/>
              </w:rPr>
            </w:pPr>
            <w:r>
              <w:rPr>
                <w:rFonts w:ascii="Times New Roman" w:hAnsi="Times New Roman"/>
                <w:kern w:val="0"/>
                <w:sz w:val="24"/>
                <w:szCs w:val="24"/>
              </w:rPr>
              <w:t>基金管理人、资产支持证券管理人发生重大变化或管理不动产基金的主要负责人员发生变动，更换、新增、减少基金经理或基金经理情况变更</w:t>
            </w:r>
          </w:p>
        </w:tc>
      </w:tr>
      <w:tr w14:paraId="15DD60F9">
        <w:tblPrEx>
          <w:tblCellMar>
            <w:top w:w="0" w:type="dxa"/>
            <w:left w:w="108" w:type="dxa"/>
            <w:bottom w:w="0" w:type="dxa"/>
            <w:right w:w="108" w:type="dxa"/>
          </w:tblCellMar>
        </w:tblPrEx>
        <w:trPr>
          <w:trHeight w:val="570" w:hRule="atLeast"/>
        </w:trPr>
        <w:tc>
          <w:tcPr>
            <w:tcW w:w="1037" w:type="dxa"/>
            <w:vMerge w:val="continue"/>
            <w:tcBorders>
              <w:top w:val="single" w:color="auto" w:sz="4" w:space="0"/>
              <w:left w:val="single" w:color="auto" w:sz="4" w:space="0"/>
              <w:bottom w:val="single" w:color="auto" w:sz="4" w:space="0"/>
              <w:right w:val="single" w:color="auto" w:sz="4" w:space="0"/>
            </w:tcBorders>
            <w:vAlign w:val="center"/>
          </w:tcPr>
          <w:p w14:paraId="710F9BDD">
            <w:pPr>
              <w:widowControl/>
              <w:spacing w:line="240" w:lineRule="auto"/>
              <w:ind w:firstLine="0" w:firstLineChars="0"/>
              <w:jc w:val="center"/>
              <w:rPr>
                <w:rFonts w:ascii="Times New Roman" w:hAnsi="Times New Roman"/>
                <w:b/>
                <w:bCs/>
                <w:kern w:val="0"/>
                <w:sz w:val="24"/>
                <w:szCs w:val="24"/>
              </w:rPr>
            </w:pPr>
          </w:p>
        </w:tc>
        <w:tc>
          <w:tcPr>
            <w:tcW w:w="2229" w:type="dxa"/>
            <w:tcBorders>
              <w:top w:val="nil"/>
              <w:left w:val="nil"/>
              <w:bottom w:val="nil"/>
              <w:right w:val="single" w:color="auto" w:sz="4" w:space="0"/>
            </w:tcBorders>
            <w:shd w:val="clear" w:color="000000" w:fill="FFFFFF"/>
            <w:vAlign w:val="center"/>
          </w:tcPr>
          <w:p w14:paraId="7EDB50C9">
            <w:pPr>
              <w:widowControl/>
              <w:spacing w:line="240" w:lineRule="auto"/>
              <w:ind w:firstLine="0" w:firstLineChars="0"/>
              <w:jc w:val="left"/>
              <w:rPr>
                <w:rFonts w:ascii="Times New Roman" w:hAnsi="Times New Roman"/>
                <w:bCs/>
                <w:kern w:val="0"/>
                <w:sz w:val="24"/>
                <w:szCs w:val="24"/>
              </w:rPr>
            </w:pPr>
            <w:r>
              <w:rPr>
                <w:rFonts w:ascii="Times New Roman" w:hAnsi="Times New Roman"/>
                <w:bCs/>
                <w:kern w:val="0"/>
                <w:sz w:val="24"/>
                <w:szCs w:val="24"/>
              </w:rPr>
              <w:t>基金更换相关专业机构</w:t>
            </w:r>
          </w:p>
        </w:tc>
        <w:tc>
          <w:tcPr>
            <w:tcW w:w="5528" w:type="dxa"/>
            <w:tcBorders>
              <w:top w:val="nil"/>
              <w:left w:val="nil"/>
              <w:bottom w:val="single" w:color="auto" w:sz="4" w:space="0"/>
              <w:right w:val="single" w:color="auto" w:sz="4" w:space="0"/>
            </w:tcBorders>
            <w:vAlign w:val="center"/>
          </w:tcPr>
          <w:p w14:paraId="3EB7379D">
            <w:pPr>
              <w:widowControl/>
              <w:spacing w:line="240" w:lineRule="auto"/>
              <w:ind w:firstLine="0" w:firstLineChars="0"/>
              <w:jc w:val="left"/>
              <w:rPr>
                <w:rFonts w:ascii="Times New Roman" w:hAnsi="Times New Roman"/>
                <w:kern w:val="0"/>
                <w:sz w:val="24"/>
                <w:szCs w:val="24"/>
              </w:rPr>
            </w:pPr>
            <w:r>
              <w:rPr>
                <w:rFonts w:ascii="Times New Roman" w:hAnsi="Times New Roman"/>
                <w:kern w:val="0"/>
                <w:sz w:val="24"/>
                <w:szCs w:val="24"/>
              </w:rPr>
              <w:t>更换或改聘基金托管人，更换评估机构、律师事务所、会计师事务所等专业机构</w:t>
            </w:r>
          </w:p>
        </w:tc>
      </w:tr>
      <w:tr w14:paraId="38BCA5AA">
        <w:tblPrEx>
          <w:tblCellMar>
            <w:top w:w="0" w:type="dxa"/>
            <w:left w:w="108" w:type="dxa"/>
            <w:bottom w:w="0" w:type="dxa"/>
            <w:right w:w="108" w:type="dxa"/>
          </w:tblCellMar>
        </w:tblPrEx>
        <w:trPr>
          <w:trHeight w:val="285" w:hRule="atLeast"/>
        </w:trPr>
        <w:tc>
          <w:tcPr>
            <w:tcW w:w="1037" w:type="dxa"/>
            <w:vMerge w:val="continue"/>
            <w:tcBorders>
              <w:top w:val="single" w:color="auto" w:sz="4" w:space="0"/>
              <w:left w:val="single" w:color="auto" w:sz="4" w:space="0"/>
              <w:bottom w:val="single" w:color="auto" w:sz="4" w:space="0"/>
              <w:right w:val="single" w:color="auto" w:sz="4" w:space="0"/>
            </w:tcBorders>
            <w:vAlign w:val="center"/>
          </w:tcPr>
          <w:p w14:paraId="68DDE940">
            <w:pPr>
              <w:widowControl/>
              <w:spacing w:line="240" w:lineRule="auto"/>
              <w:ind w:firstLine="0" w:firstLineChars="0"/>
              <w:jc w:val="center"/>
              <w:rPr>
                <w:rFonts w:ascii="Times New Roman" w:hAnsi="Times New Roman"/>
                <w:b/>
                <w:bCs/>
                <w:kern w:val="0"/>
                <w:sz w:val="24"/>
                <w:szCs w:val="24"/>
              </w:rPr>
            </w:pPr>
          </w:p>
        </w:tc>
        <w:tc>
          <w:tcPr>
            <w:tcW w:w="2229" w:type="dxa"/>
            <w:tcBorders>
              <w:top w:val="single" w:color="auto" w:sz="4" w:space="0"/>
              <w:left w:val="nil"/>
              <w:bottom w:val="single" w:color="auto" w:sz="4" w:space="0"/>
              <w:right w:val="single" w:color="auto" w:sz="4" w:space="0"/>
            </w:tcBorders>
            <w:vAlign w:val="center"/>
          </w:tcPr>
          <w:p w14:paraId="244A3051">
            <w:pPr>
              <w:widowControl/>
              <w:spacing w:line="240" w:lineRule="auto"/>
              <w:ind w:firstLine="0" w:firstLineChars="0"/>
              <w:jc w:val="left"/>
              <w:rPr>
                <w:rFonts w:ascii="Times New Roman" w:hAnsi="Times New Roman"/>
                <w:kern w:val="0"/>
                <w:sz w:val="24"/>
                <w:szCs w:val="24"/>
              </w:rPr>
            </w:pPr>
            <w:r>
              <w:rPr>
                <w:rFonts w:hint="eastAsia" w:ascii="Times New Roman" w:hAnsi="Times New Roman"/>
                <w:kern w:val="0"/>
                <w:sz w:val="24"/>
                <w:szCs w:val="24"/>
              </w:rPr>
              <w:t>运营</w:t>
            </w:r>
            <w:r>
              <w:rPr>
                <w:rFonts w:ascii="Times New Roman" w:hAnsi="Times New Roman"/>
                <w:kern w:val="0"/>
                <w:sz w:val="24"/>
                <w:szCs w:val="24"/>
              </w:rPr>
              <w:t>管理机构变更</w:t>
            </w:r>
          </w:p>
        </w:tc>
        <w:tc>
          <w:tcPr>
            <w:tcW w:w="5528" w:type="dxa"/>
            <w:tcBorders>
              <w:top w:val="nil"/>
              <w:left w:val="nil"/>
              <w:bottom w:val="single" w:color="auto" w:sz="4" w:space="0"/>
              <w:right w:val="single" w:color="auto" w:sz="4" w:space="0"/>
            </w:tcBorders>
            <w:vAlign w:val="center"/>
          </w:tcPr>
          <w:p w14:paraId="4D2C54C3">
            <w:pPr>
              <w:widowControl/>
              <w:spacing w:line="240" w:lineRule="auto"/>
              <w:ind w:firstLine="0" w:firstLineChars="0"/>
              <w:jc w:val="left"/>
              <w:rPr>
                <w:rFonts w:ascii="Times New Roman" w:hAnsi="Times New Roman"/>
                <w:kern w:val="0"/>
                <w:sz w:val="24"/>
                <w:szCs w:val="24"/>
              </w:rPr>
            </w:pPr>
            <w:r>
              <w:rPr>
                <w:rFonts w:ascii="Times New Roman" w:hAnsi="Times New Roman"/>
                <w:kern w:val="0"/>
                <w:sz w:val="24"/>
                <w:szCs w:val="24"/>
              </w:rPr>
              <w:t>根据基金合同约定解聘或更换</w:t>
            </w:r>
            <w:r>
              <w:rPr>
                <w:rFonts w:hint="eastAsia" w:ascii="Times New Roman" w:hAnsi="Times New Roman"/>
                <w:kern w:val="0"/>
                <w:sz w:val="24"/>
                <w:szCs w:val="24"/>
              </w:rPr>
              <w:t>运营</w:t>
            </w:r>
            <w:r>
              <w:rPr>
                <w:rFonts w:ascii="Times New Roman" w:hAnsi="Times New Roman"/>
                <w:kern w:val="0"/>
                <w:sz w:val="24"/>
                <w:szCs w:val="24"/>
              </w:rPr>
              <w:t>管理机构</w:t>
            </w:r>
          </w:p>
        </w:tc>
      </w:tr>
      <w:tr w14:paraId="7D53968C">
        <w:tblPrEx>
          <w:tblCellMar>
            <w:top w:w="0" w:type="dxa"/>
            <w:left w:w="108" w:type="dxa"/>
            <w:bottom w:w="0" w:type="dxa"/>
            <w:right w:w="108" w:type="dxa"/>
          </w:tblCellMar>
        </w:tblPrEx>
        <w:trPr>
          <w:trHeight w:val="1995" w:hRule="atLeast"/>
        </w:trPr>
        <w:tc>
          <w:tcPr>
            <w:tcW w:w="1037" w:type="dxa"/>
            <w:vMerge w:val="continue"/>
            <w:tcBorders>
              <w:top w:val="single" w:color="auto" w:sz="4" w:space="0"/>
              <w:left w:val="single" w:color="auto" w:sz="4" w:space="0"/>
              <w:bottom w:val="single" w:color="auto" w:sz="4" w:space="0"/>
              <w:right w:val="single" w:color="auto" w:sz="4" w:space="0"/>
            </w:tcBorders>
            <w:vAlign w:val="center"/>
          </w:tcPr>
          <w:p w14:paraId="382C4905">
            <w:pPr>
              <w:widowControl/>
              <w:spacing w:line="240" w:lineRule="auto"/>
              <w:ind w:firstLine="0" w:firstLineChars="0"/>
              <w:jc w:val="center"/>
              <w:rPr>
                <w:rFonts w:ascii="Times New Roman" w:hAnsi="Times New Roman"/>
                <w:b/>
                <w:bCs/>
                <w:kern w:val="0"/>
                <w:sz w:val="24"/>
                <w:szCs w:val="24"/>
              </w:rPr>
            </w:pPr>
          </w:p>
        </w:tc>
        <w:tc>
          <w:tcPr>
            <w:tcW w:w="2229" w:type="dxa"/>
            <w:tcBorders>
              <w:top w:val="nil"/>
              <w:left w:val="nil"/>
              <w:bottom w:val="single" w:color="auto" w:sz="4" w:space="0"/>
              <w:right w:val="single" w:color="auto" w:sz="4" w:space="0"/>
            </w:tcBorders>
            <w:vAlign w:val="center"/>
          </w:tcPr>
          <w:p w14:paraId="15FA0BA0">
            <w:pPr>
              <w:widowControl/>
              <w:spacing w:line="240" w:lineRule="auto"/>
              <w:ind w:firstLine="0" w:firstLineChars="0"/>
              <w:jc w:val="left"/>
              <w:rPr>
                <w:rFonts w:ascii="Times New Roman" w:hAnsi="Times New Roman"/>
                <w:kern w:val="0"/>
                <w:sz w:val="24"/>
                <w:szCs w:val="24"/>
              </w:rPr>
            </w:pPr>
            <w:r>
              <w:rPr>
                <w:rFonts w:ascii="Times New Roman" w:hAnsi="Times New Roman"/>
                <w:kern w:val="0"/>
                <w:sz w:val="24"/>
                <w:szCs w:val="24"/>
              </w:rPr>
              <w:t>基金管理人等被调查处罚或涉诉</w:t>
            </w:r>
          </w:p>
        </w:tc>
        <w:tc>
          <w:tcPr>
            <w:tcW w:w="5528" w:type="dxa"/>
            <w:tcBorders>
              <w:top w:val="nil"/>
              <w:left w:val="nil"/>
              <w:bottom w:val="single" w:color="auto" w:sz="4" w:space="0"/>
              <w:right w:val="single" w:color="auto" w:sz="4" w:space="0"/>
            </w:tcBorders>
            <w:vAlign w:val="center"/>
          </w:tcPr>
          <w:p w14:paraId="349CC58E">
            <w:pPr>
              <w:widowControl/>
              <w:spacing w:line="240" w:lineRule="auto"/>
              <w:ind w:firstLine="0" w:firstLineChars="0"/>
              <w:jc w:val="left"/>
              <w:rPr>
                <w:rFonts w:ascii="Times New Roman" w:hAnsi="Times New Roman"/>
                <w:kern w:val="0"/>
                <w:sz w:val="24"/>
                <w:szCs w:val="24"/>
              </w:rPr>
            </w:pPr>
            <w:r>
              <w:rPr>
                <w:rFonts w:ascii="Times New Roman" w:hAnsi="Times New Roman"/>
                <w:kern w:val="0"/>
                <w:sz w:val="24"/>
                <w:szCs w:val="24"/>
              </w:rPr>
              <w:t>涉及基金财产、基金管理业务、基金托管业务的调查、诉讼或仲裁；基金管理人或其高级管理人员、基金经理因基金管理业务相关行为受到重大行政处罚、刑事处罚；基金托管人或其专门基金托管部门负责人因基金托管业务相关行为受到重大行政处罚、刑事处罚</w:t>
            </w:r>
          </w:p>
        </w:tc>
      </w:tr>
      <w:tr w14:paraId="1566B334">
        <w:tblPrEx>
          <w:tblCellMar>
            <w:top w:w="0" w:type="dxa"/>
            <w:left w:w="108" w:type="dxa"/>
            <w:bottom w:w="0" w:type="dxa"/>
            <w:right w:w="108" w:type="dxa"/>
          </w:tblCellMar>
        </w:tblPrEx>
        <w:trPr>
          <w:trHeight w:val="570" w:hRule="atLeast"/>
        </w:trPr>
        <w:tc>
          <w:tcPr>
            <w:tcW w:w="1037" w:type="dxa"/>
            <w:vMerge w:val="continue"/>
            <w:tcBorders>
              <w:top w:val="single" w:color="auto" w:sz="4" w:space="0"/>
              <w:left w:val="single" w:color="auto" w:sz="4" w:space="0"/>
              <w:bottom w:val="single" w:color="auto" w:sz="4" w:space="0"/>
              <w:right w:val="single" w:color="auto" w:sz="4" w:space="0"/>
            </w:tcBorders>
            <w:vAlign w:val="center"/>
          </w:tcPr>
          <w:p w14:paraId="0AC38162">
            <w:pPr>
              <w:widowControl/>
              <w:spacing w:line="240" w:lineRule="auto"/>
              <w:ind w:firstLine="0" w:firstLineChars="0"/>
              <w:jc w:val="center"/>
              <w:rPr>
                <w:rFonts w:ascii="Times New Roman" w:hAnsi="Times New Roman"/>
                <w:b/>
                <w:bCs/>
                <w:kern w:val="0"/>
                <w:sz w:val="24"/>
                <w:szCs w:val="24"/>
              </w:rPr>
            </w:pPr>
          </w:p>
        </w:tc>
        <w:tc>
          <w:tcPr>
            <w:tcW w:w="2229" w:type="dxa"/>
            <w:tcBorders>
              <w:top w:val="nil"/>
              <w:left w:val="nil"/>
              <w:bottom w:val="single" w:color="auto" w:sz="4" w:space="0"/>
              <w:right w:val="single" w:color="auto" w:sz="4" w:space="0"/>
            </w:tcBorders>
            <w:shd w:val="clear" w:color="000000" w:fill="FFFFFF"/>
            <w:vAlign w:val="center"/>
          </w:tcPr>
          <w:p w14:paraId="09473E48">
            <w:pPr>
              <w:widowControl/>
              <w:spacing w:line="240" w:lineRule="auto"/>
              <w:ind w:firstLine="0" w:firstLineChars="0"/>
              <w:jc w:val="left"/>
              <w:rPr>
                <w:rFonts w:ascii="Times New Roman" w:hAnsi="Times New Roman"/>
                <w:kern w:val="0"/>
                <w:sz w:val="24"/>
                <w:szCs w:val="24"/>
              </w:rPr>
            </w:pPr>
            <w:r>
              <w:rPr>
                <w:rFonts w:ascii="Times New Roman" w:hAnsi="Times New Roman"/>
                <w:kern w:val="0"/>
                <w:sz w:val="24"/>
                <w:szCs w:val="24"/>
              </w:rPr>
              <w:t>原始权益人卖出战配份额</w:t>
            </w:r>
          </w:p>
        </w:tc>
        <w:tc>
          <w:tcPr>
            <w:tcW w:w="5528" w:type="dxa"/>
            <w:tcBorders>
              <w:top w:val="nil"/>
              <w:left w:val="nil"/>
              <w:bottom w:val="single" w:color="auto" w:sz="4" w:space="0"/>
              <w:right w:val="single" w:color="auto" w:sz="4" w:space="0"/>
            </w:tcBorders>
            <w:vAlign w:val="center"/>
          </w:tcPr>
          <w:p w14:paraId="0D2D140B">
            <w:pPr>
              <w:widowControl/>
              <w:spacing w:line="240" w:lineRule="auto"/>
              <w:ind w:firstLine="0" w:firstLineChars="0"/>
              <w:jc w:val="left"/>
              <w:rPr>
                <w:rFonts w:ascii="Times New Roman" w:hAnsi="Times New Roman"/>
                <w:kern w:val="0"/>
                <w:sz w:val="24"/>
                <w:szCs w:val="24"/>
              </w:rPr>
            </w:pPr>
            <w:r>
              <w:rPr>
                <w:rFonts w:ascii="Times New Roman" w:hAnsi="Times New Roman"/>
                <w:kern w:val="0"/>
                <w:sz w:val="24"/>
                <w:szCs w:val="24"/>
              </w:rPr>
              <w:t>原始权益人或其同一控制下的关联方卖出战略配售取得基金份额的公告，相关提示性公告</w:t>
            </w:r>
          </w:p>
        </w:tc>
      </w:tr>
      <w:tr w14:paraId="284A867E">
        <w:tblPrEx>
          <w:tblCellMar>
            <w:top w:w="0" w:type="dxa"/>
            <w:left w:w="108" w:type="dxa"/>
            <w:bottom w:w="0" w:type="dxa"/>
            <w:right w:w="108" w:type="dxa"/>
          </w:tblCellMar>
        </w:tblPrEx>
        <w:trPr>
          <w:trHeight w:val="570" w:hRule="atLeast"/>
        </w:trPr>
        <w:tc>
          <w:tcPr>
            <w:tcW w:w="1037" w:type="dxa"/>
            <w:vMerge w:val="continue"/>
            <w:tcBorders>
              <w:top w:val="single" w:color="auto" w:sz="4" w:space="0"/>
              <w:left w:val="single" w:color="auto" w:sz="4" w:space="0"/>
              <w:bottom w:val="single" w:color="auto" w:sz="4" w:space="0"/>
              <w:right w:val="single" w:color="auto" w:sz="4" w:space="0"/>
            </w:tcBorders>
            <w:vAlign w:val="center"/>
          </w:tcPr>
          <w:p w14:paraId="1FF59720">
            <w:pPr>
              <w:widowControl/>
              <w:spacing w:line="240" w:lineRule="auto"/>
              <w:ind w:firstLine="0" w:firstLineChars="0"/>
              <w:jc w:val="center"/>
              <w:rPr>
                <w:rFonts w:ascii="Times New Roman" w:hAnsi="Times New Roman"/>
                <w:b/>
                <w:bCs/>
                <w:kern w:val="0"/>
                <w:sz w:val="24"/>
                <w:szCs w:val="24"/>
              </w:rPr>
            </w:pPr>
          </w:p>
        </w:tc>
        <w:tc>
          <w:tcPr>
            <w:tcW w:w="2229" w:type="dxa"/>
            <w:tcBorders>
              <w:top w:val="nil"/>
              <w:left w:val="nil"/>
              <w:bottom w:val="single" w:color="auto" w:sz="4" w:space="0"/>
              <w:right w:val="single" w:color="auto" w:sz="4" w:space="0"/>
            </w:tcBorders>
            <w:shd w:val="clear" w:color="000000" w:fill="FFFFFF"/>
            <w:vAlign w:val="center"/>
          </w:tcPr>
          <w:p w14:paraId="2BB37A2C">
            <w:pPr>
              <w:widowControl/>
              <w:spacing w:line="240" w:lineRule="auto"/>
              <w:ind w:firstLine="0" w:firstLineChars="0"/>
              <w:jc w:val="left"/>
              <w:rPr>
                <w:rFonts w:ascii="Times New Roman" w:hAnsi="Times New Roman"/>
                <w:kern w:val="0"/>
                <w:sz w:val="24"/>
                <w:szCs w:val="24"/>
              </w:rPr>
            </w:pPr>
            <w:r>
              <w:rPr>
                <w:rFonts w:ascii="Times New Roman" w:hAnsi="Times New Roman"/>
                <w:kern w:val="0"/>
                <w:sz w:val="24"/>
                <w:szCs w:val="24"/>
              </w:rPr>
              <w:t>其他对持有人利益或资产净值重大影响事项</w:t>
            </w:r>
          </w:p>
        </w:tc>
        <w:tc>
          <w:tcPr>
            <w:tcW w:w="5528" w:type="dxa"/>
            <w:tcBorders>
              <w:top w:val="nil"/>
              <w:left w:val="nil"/>
              <w:bottom w:val="single" w:color="auto" w:sz="4" w:space="0"/>
              <w:right w:val="single" w:color="auto" w:sz="4" w:space="0"/>
            </w:tcBorders>
            <w:vAlign w:val="center"/>
          </w:tcPr>
          <w:p w14:paraId="1F62B1C5">
            <w:pPr>
              <w:widowControl/>
              <w:spacing w:line="240" w:lineRule="auto"/>
              <w:ind w:firstLine="0" w:firstLineChars="0"/>
              <w:jc w:val="left"/>
              <w:rPr>
                <w:rFonts w:ascii="Times New Roman" w:hAnsi="Times New Roman"/>
                <w:kern w:val="0"/>
                <w:sz w:val="24"/>
                <w:szCs w:val="24"/>
              </w:rPr>
            </w:pPr>
            <w:r>
              <w:rPr>
                <w:rFonts w:ascii="Times New Roman" w:hAnsi="Times New Roman"/>
                <w:kern w:val="0"/>
                <w:sz w:val="24"/>
                <w:szCs w:val="24"/>
              </w:rPr>
              <w:t>可能对不动产基金份额持有人利益或基金资产净值产生重大影响的其他事项</w:t>
            </w:r>
          </w:p>
        </w:tc>
      </w:tr>
      <w:tr w14:paraId="77BF36E4">
        <w:tblPrEx>
          <w:tblCellMar>
            <w:top w:w="0" w:type="dxa"/>
            <w:left w:w="108" w:type="dxa"/>
            <w:bottom w:w="0" w:type="dxa"/>
            <w:right w:w="108" w:type="dxa"/>
          </w:tblCellMar>
        </w:tblPrEx>
        <w:trPr>
          <w:trHeight w:val="1140" w:hRule="atLeast"/>
        </w:trPr>
        <w:tc>
          <w:tcPr>
            <w:tcW w:w="1037" w:type="dxa"/>
            <w:vMerge w:val="continue"/>
            <w:tcBorders>
              <w:top w:val="single" w:color="auto" w:sz="4" w:space="0"/>
              <w:left w:val="single" w:color="auto" w:sz="4" w:space="0"/>
              <w:bottom w:val="single" w:color="auto" w:sz="4" w:space="0"/>
              <w:right w:val="single" w:color="auto" w:sz="4" w:space="0"/>
            </w:tcBorders>
            <w:vAlign w:val="center"/>
          </w:tcPr>
          <w:p w14:paraId="4E1664E4">
            <w:pPr>
              <w:widowControl/>
              <w:spacing w:line="240" w:lineRule="auto"/>
              <w:ind w:firstLine="0" w:firstLineChars="0"/>
              <w:jc w:val="center"/>
              <w:rPr>
                <w:rFonts w:ascii="Times New Roman" w:hAnsi="Times New Roman"/>
                <w:b/>
                <w:bCs/>
                <w:kern w:val="0"/>
                <w:sz w:val="24"/>
                <w:szCs w:val="24"/>
              </w:rPr>
            </w:pPr>
          </w:p>
        </w:tc>
        <w:tc>
          <w:tcPr>
            <w:tcW w:w="2229" w:type="dxa"/>
            <w:tcBorders>
              <w:top w:val="single" w:color="auto" w:sz="4" w:space="0"/>
              <w:left w:val="nil"/>
              <w:bottom w:val="single" w:color="auto" w:sz="4" w:space="0"/>
              <w:right w:val="single" w:color="auto" w:sz="4" w:space="0"/>
            </w:tcBorders>
            <w:vAlign w:val="center"/>
          </w:tcPr>
          <w:p w14:paraId="4C2965DB">
            <w:pPr>
              <w:widowControl/>
              <w:spacing w:line="240" w:lineRule="auto"/>
              <w:ind w:firstLine="0" w:firstLineChars="0"/>
              <w:jc w:val="left"/>
              <w:rPr>
                <w:rFonts w:ascii="Times New Roman" w:hAnsi="Times New Roman"/>
                <w:bCs/>
                <w:kern w:val="0"/>
                <w:sz w:val="24"/>
                <w:szCs w:val="24"/>
              </w:rPr>
            </w:pPr>
            <w:r>
              <w:rPr>
                <w:rFonts w:ascii="Times New Roman" w:hAnsi="Times New Roman"/>
                <w:bCs/>
                <w:kern w:val="0"/>
                <w:sz w:val="24"/>
                <w:szCs w:val="24"/>
              </w:rPr>
              <w:t>权益变动报告书</w:t>
            </w:r>
          </w:p>
        </w:tc>
        <w:tc>
          <w:tcPr>
            <w:tcW w:w="5528" w:type="dxa"/>
            <w:tcBorders>
              <w:top w:val="single" w:color="auto" w:sz="4" w:space="0"/>
              <w:left w:val="nil"/>
              <w:bottom w:val="single" w:color="auto" w:sz="4" w:space="0"/>
              <w:right w:val="single" w:color="auto" w:sz="4" w:space="0"/>
            </w:tcBorders>
            <w:vAlign w:val="center"/>
          </w:tcPr>
          <w:p w14:paraId="6B355307">
            <w:pPr>
              <w:widowControl/>
              <w:spacing w:line="240" w:lineRule="auto"/>
              <w:ind w:firstLine="0" w:firstLineChars="0"/>
              <w:jc w:val="left"/>
              <w:rPr>
                <w:rFonts w:ascii="Times New Roman" w:hAnsi="Times New Roman"/>
                <w:kern w:val="0"/>
                <w:sz w:val="24"/>
                <w:szCs w:val="24"/>
              </w:rPr>
            </w:pPr>
            <w:r>
              <w:rPr>
                <w:rFonts w:ascii="Times New Roman" w:hAnsi="Times New Roman"/>
                <w:kern w:val="0"/>
                <w:sz w:val="24"/>
                <w:szCs w:val="24"/>
              </w:rPr>
              <w:t>投资者及其一致行动人持有权益的不动产基金份额达到规定比例应当编制权益变动报告书，每增加或减少相应比例份额应当进行公告，相关权益变动提示性公告（可选）</w:t>
            </w:r>
          </w:p>
        </w:tc>
      </w:tr>
      <w:tr w14:paraId="1898562C">
        <w:tblPrEx>
          <w:tblCellMar>
            <w:top w:w="0" w:type="dxa"/>
            <w:left w:w="108" w:type="dxa"/>
            <w:bottom w:w="0" w:type="dxa"/>
            <w:right w:w="108" w:type="dxa"/>
          </w:tblCellMar>
        </w:tblPrEx>
        <w:trPr>
          <w:trHeight w:val="570" w:hRule="atLeast"/>
        </w:trPr>
        <w:tc>
          <w:tcPr>
            <w:tcW w:w="1037" w:type="dxa"/>
            <w:vMerge w:val="continue"/>
            <w:tcBorders>
              <w:top w:val="single" w:color="auto" w:sz="4" w:space="0"/>
              <w:left w:val="single" w:color="auto" w:sz="4" w:space="0"/>
              <w:bottom w:val="single" w:color="auto" w:sz="4" w:space="0"/>
              <w:right w:val="single" w:color="auto" w:sz="4" w:space="0"/>
            </w:tcBorders>
            <w:vAlign w:val="center"/>
          </w:tcPr>
          <w:p w14:paraId="7DA9B2B3">
            <w:pPr>
              <w:widowControl/>
              <w:spacing w:line="240" w:lineRule="auto"/>
              <w:ind w:firstLine="0" w:firstLineChars="0"/>
              <w:jc w:val="center"/>
              <w:rPr>
                <w:rFonts w:ascii="Times New Roman" w:hAnsi="Times New Roman"/>
                <w:b/>
                <w:bCs/>
                <w:kern w:val="0"/>
                <w:sz w:val="24"/>
                <w:szCs w:val="24"/>
              </w:rPr>
            </w:pPr>
          </w:p>
        </w:tc>
        <w:tc>
          <w:tcPr>
            <w:tcW w:w="2229" w:type="dxa"/>
            <w:tcBorders>
              <w:top w:val="nil"/>
              <w:left w:val="nil"/>
              <w:bottom w:val="single" w:color="auto" w:sz="4" w:space="0"/>
              <w:right w:val="single" w:color="auto" w:sz="4" w:space="0"/>
            </w:tcBorders>
            <w:vAlign w:val="center"/>
          </w:tcPr>
          <w:p w14:paraId="72397030">
            <w:pPr>
              <w:widowControl/>
              <w:spacing w:line="240" w:lineRule="auto"/>
              <w:ind w:firstLine="0" w:firstLineChars="0"/>
              <w:jc w:val="left"/>
              <w:rPr>
                <w:rFonts w:ascii="Times New Roman" w:hAnsi="Times New Roman"/>
                <w:kern w:val="0"/>
                <w:sz w:val="24"/>
                <w:szCs w:val="24"/>
              </w:rPr>
            </w:pPr>
            <w:r>
              <w:rPr>
                <w:rFonts w:ascii="Times New Roman" w:hAnsi="Times New Roman"/>
                <w:kern w:val="0"/>
                <w:sz w:val="24"/>
                <w:szCs w:val="24"/>
              </w:rPr>
              <w:t>收购报告书</w:t>
            </w:r>
          </w:p>
        </w:tc>
        <w:tc>
          <w:tcPr>
            <w:tcW w:w="5528" w:type="dxa"/>
            <w:tcBorders>
              <w:top w:val="nil"/>
              <w:left w:val="nil"/>
              <w:bottom w:val="single" w:color="auto" w:sz="4" w:space="0"/>
              <w:right w:val="single" w:color="auto" w:sz="4" w:space="0"/>
            </w:tcBorders>
            <w:vAlign w:val="center"/>
          </w:tcPr>
          <w:p w14:paraId="2091E8AF">
            <w:pPr>
              <w:widowControl/>
              <w:spacing w:line="240" w:lineRule="auto"/>
              <w:ind w:firstLine="0" w:firstLineChars="0"/>
              <w:jc w:val="left"/>
              <w:rPr>
                <w:rFonts w:ascii="Times New Roman" w:hAnsi="Times New Roman"/>
                <w:kern w:val="0"/>
                <w:sz w:val="24"/>
                <w:szCs w:val="24"/>
              </w:rPr>
            </w:pPr>
            <w:r>
              <w:rPr>
                <w:rFonts w:ascii="Times New Roman" w:hAnsi="Times New Roman"/>
                <w:kern w:val="0"/>
                <w:sz w:val="24"/>
                <w:szCs w:val="24"/>
              </w:rPr>
              <w:t>收购人通过要约等方式收购不动产基金编制的报告书</w:t>
            </w:r>
          </w:p>
        </w:tc>
      </w:tr>
      <w:tr w14:paraId="43C3B268">
        <w:tblPrEx>
          <w:tblCellMar>
            <w:top w:w="0" w:type="dxa"/>
            <w:left w:w="108" w:type="dxa"/>
            <w:bottom w:w="0" w:type="dxa"/>
            <w:right w:w="108" w:type="dxa"/>
          </w:tblCellMar>
        </w:tblPrEx>
        <w:trPr>
          <w:trHeight w:val="285" w:hRule="atLeast"/>
        </w:trPr>
        <w:tc>
          <w:tcPr>
            <w:tcW w:w="1037" w:type="dxa"/>
            <w:vMerge w:val="continue"/>
            <w:tcBorders>
              <w:top w:val="single" w:color="auto" w:sz="4" w:space="0"/>
              <w:left w:val="single" w:color="auto" w:sz="4" w:space="0"/>
              <w:bottom w:val="single" w:color="auto" w:sz="4" w:space="0"/>
              <w:right w:val="single" w:color="auto" w:sz="4" w:space="0"/>
            </w:tcBorders>
            <w:vAlign w:val="center"/>
          </w:tcPr>
          <w:p w14:paraId="272E8C3C">
            <w:pPr>
              <w:widowControl/>
              <w:spacing w:line="240" w:lineRule="auto"/>
              <w:ind w:firstLine="0" w:firstLineChars="0"/>
              <w:jc w:val="center"/>
              <w:rPr>
                <w:rFonts w:ascii="Times New Roman" w:hAnsi="Times New Roman"/>
                <w:b/>
                <w:bCs/>
                <w:kern w:val="0"/>
                <w:sz w:val="24"/>
                <w:szCs w:val="24"/>
              </w:rPr>
            </w:pPr>
          </w:p>
        </w:tc>
        <w:tc>
          <w:tcPr>
            <w:tcW w:w="2229" w:type="dxa"/>
            <w:tcBorders>
              <w:top w:val="nil"/>
              <w:left w:val="nil"/>
              <w:bottom w:val="single" w:color="auto" w:sz="4" w:space="0"/>
              <w:right w:val="single" w:color="auto" w:sz="4" w:space="0"/>
            </w:tcBorders>
            <w:vAlign w:val="center"/>
          </w:tcPr>
          <w:p w14:paraId="3FC6A0C1">
            <w:pPr>
              <w:widowControl/>
              <w:spacing w:line="240" w:lineRule="auto"/>
              <w:ind w:firstLine="0" w:firstLineChars="0"/>
              <w:jc w:val="left"/>
              <w:rPr>
                <w:rFonts w:ascii="Times New Roman" w:hAnsi="Times New Roman"/>
                <w:kern w:val="0"/>
                <w:sz w:val="24"/>
                <w:szCs w:val="24"/>
              </w:rPr>
            </w:pPr>
            <w:r>
              <w:rPr>
                <w:rFonts w:ascii="Times New Roman" w:hAnsi="Times New Roman"/>
                <w:kern w:val="0"/>
                <w:sz w:val="24"/>
                <w:szCs w:val="24"/>
              </w:rPr>
              <w:t>被收购基金的管理报告书</w:t>
            </w:r>
          </w:p>
        </w:tc>
        <w:tc>
          <w:tcPr>
            <w:tcW w:w="5528" w:type="dxa"/>
            <w:tcBorders>
              <w:top w:val="nil"/>
              <w:left w:val="nil"/>
              <w:bottom w:val="single" w:color="auto" w:sz="4" w:space="0"/>
              <w:right w:val="single" w:color="auto" w:sz="4" w:space="0"/>
            </w:tcBorders>
            <w:vAlign w:val="center"/>
          </w:tcPr>
          <w:p w14:paraId="4211E67A">
            <w:pPr>
              <w:widowControl/>
              <w:spacing w:line="240" w:lineRule="auto"/>
              <w:ind w:firstLine="0" w:firstLineChars="0"/>
              <w:jc w:val="left"/>
              <w:rPr>
                <w:rFonts w:ascii="Times New Roman" w:hAnsi="Times New Roman"/>
                <w:kern w:val="0"/>
                <w:sz w:val="24"/>
                <w:szCs w:val="24"/>
              </w:rPr>
            </w:pPr>
            <w:r>
              <w:rPr>
                <w:rFonts w:ascii="Times New Roman" w:hAnsi="Times New Roman"/>
                <w:kern w:val="0"/>
                <w:sz w:val="24"/>
                <w:szCs w:val="24"/>
              </w:rPr>
              <w:t>被收购不动产基金的管理人编制的报告书</w:t>
            </w:r>
          </w:p>
        </w:tc>
      </w:tr>
      <w:tr w14:paraId="6770DC3D">
        <w:tblPrEx>
          <w:tblCellMar>
            <w:top w:w="0" w:type="dxa"/>
            <w:left w:w="108" w:type="dxa"/>
            <w:bottom w:w="0" w:type="dxa"/>
            <w:right w:w="108" w:type="dxa"/>
          </w:tblCellMar>
        </w:tblPrEx>
        <w:trPr>
          <w:trHeight w:val="285" w:hRule="atLeast"/>
        </w:trPr>
        <w:tc>
          <w:tcPr>
            <w:tcW w:w="1037" w:type="dxa"/>
            <w:vMerge w:val="continue"/>
            <w:tcBorders>
              <w:top w:val="single" w:color="auto" w:sz="4" w:space="0"/>
              <w:left w:val="single" w:color="auto" w:sz="4" w:space="0"/>
              <w:bottom w:val="single" w:color="auto" w:sz="4" w:space="0"/>
              <w:right w:val="single" w:color="auto" w:sz="4" w:space="0"/>
            </w:tcBorders>
            <w:vAlign w:val="center"/>
          </w:tcPr>
          <w:p w14:paraId="45A022B0">
            <w:pPr>
              <w:widowControl/>
              <w:spacing w:line="240" w:lineRule="auto"/>
              <w:ind w:firstLine="0" w:firstLineChars="0"/>
              <w:jc w:val="center"/>
              <w:rPr>
                <w:rFonts w:ascii="Times New Roman" w:hAnsi="Times New Roman"/>
                <w:b/>
                <w:bCs/>
                <w:kern w:val="0"/>
                <w:sz w:val="24"/>
                <w:szCs w:val="24"/>
              </w:rPr>
            </w:pPr>
          </w:p>
        </w:tc>
        <w:tc>
          <w:tcPr>
            <w:tcW w:w="2229" w:type="dxa"/>
            <w:tcBorders>
              <w:top w:val="nil"/>
              <w:left w:val="nil"/>
              <w:bottom w:val="single" w:color="auto" w:sz="4" w:space="0"/>
              <w:right w:val="single" w:color="auto" w:sz="4" w:space="0"/>
            </w:tcBorders>
            <w:noWrap/>
            <w:vAlign w:val="center"/>
          </w:tcPr>
          <w:p w14:paraId="2B5F8AC9">
            <w:pPr>
              <w:widowControl/>
              <w:spacing w:line="240" w:lineRule="auto"/>
              <w:ind w:firstLine="0" w:firstLineChars="0"/>
              <w:jc w:val="left"/>
              <w:rPr>
                <w:rFonts w:ascii="Times New Roman" w:hAnsi="Times New Roman"/>
                <w:kern w:val="0"/>
                <w:sz w:val="24"/>
                <w:szCs w:val="24"/>
              </w:rPr>
            </w:pPr>
            <w:r>
              <w:rPr>
                <w:rFonts w:ascii="Times New Roman" w:hAnsi="Times New Roman"/>
                <w:kern w:val="0"/>
                <w:sz w:val="24"/>
                <w:szCs w:val="24"/>
              </w:rPr>
              <w:t>澄清公告</w:t>
            </w:r>
          </w:p>
        </w:tc>
        <w:tc>
          <w:tcPr>
            <w:tcW w:w="5528" w:type="dxa"/>
            <w:tcBorders>
              <w:top w:val="nil"/>
              <w:left w:val="nil"/>
              <w:bottom w:val="single" w:color="auto" w:sz="4" w:space="0"/>
              <w:right w:val="single" w:color="auto" w:sz="4" w:space="0"/>
            </w:tcBorders>
            <w:noWrap/>
            <w:vAlign w:val="center"/>
          </w:tcPr>
          <w:p w14:paraId="0B5C1A7D">
            <w:pPr>
              <w:widowControl/>
              <w:spacing w:line="240" w:lineRule="auto"/>
              <w:ind w:firstLine="0" w:firstLineChars="0"/>
              <w:jc w:val="left"/>
              <w:rPr>
                <w:rFonts w:ascii="Times New Roman" w:hAnsi="Times New Roman"/>
                <w:kern w:val="0"/>
                <w:sz w:val="24"/>
                <w:szCs w:val="24"/>
              </w:rPr>
            </w:pPr>
            <w:r>
              <w:rPr>
                <w:rFonts w:ascii="Times New Roman" w:hAnsi="Times New Roman"/>
                <w:kern w:val="0"/>
                <w:sz w:val="24"/>
                <w:szCs w:val="24"/>
              </w:rPr>
              <w:t>澄清或说明公告</w:t>
            </w:r>
          </w:p>
        </w:tc>
      </w:tr>
      <w:tr w14:paraId="38E5F404">
        <w:tblPrEx>
          <w:tblCellMar>
            <w:top w:w="0" w:type="dxa"/>
            <w:left w:w="108" w:type="dxa"/>
            <w:bottom w:w="0" w:type="dxa"/>
            <w:right w:w="108" w:type="dxa"/>
          </w:tblCellMar>
        </w:tblPrEx>
        <w:trPr>
          <w:trHeight w:val="285" w:hRule="atLeast"/>
        </w:trPr>
        <w:tc>
          <w:tcPr>
            <w:tcW w:w="1037" w:type="dxa"/>
            <w:vMerge w:val="continue"/>
            <w:tcBorders>
              <w:top w:val="single" w:color="auto" w:sz="4" w:space="0"/>
              <w:left w:val="single" w:color="auto" w:sz="4" w:space="0"/>
              <w:bottom w:val="single" w:color="auto" w:sz="4" w:space="0"/>
              <w:right w:val="single" w:color="auto" w:sz="4" w:space="0"/>
            </w:tcBorders>
            <w:vAlign w:val="center"/>
          </w:tcPr>
          <w:p w14:paraId="6FBDFE27">
            <w:pPr>
              <w:widowControl/>
              <w:spacing w:line="240" w:lineRule="auto"/>
              <w:ind w:firstLine="0" w:firstLineChars="0"/>
              <w:jc w:val="center"/>
              <w:rPr>
                <w:rFonts w:ascii="Times New Roman" w:hAnsi="Times New Roman"/>
                <w:b/>
                <w:bCs/>
                <w:kern w:val="0"/>
                <w:sz w:val="24"/>
                <w:szCs w:val="24"/>
              </w:rPr>
            </w:pPr>
          </w:p>
        </w:tc>
        <w:tc>
          <w:tcPr>
            <w:tcW w:w="2229" w:type="dxa"/>
            <w:tcBorders>
              <w:top w:val="nil"/>
              <w:left w:val="nil"/>
              <w:bottom w:val="single" w:color="auto" w:sz="4" w:space="0"/>
              <w:right w:val="single" w:color="auto" w:sz="4" w:space="0"/>
            </w:tcBorders>
            <w:noWrap/>
            <w:vAlign w:val="center"/>
          </w:tcPr>
          <w:p w14:paraId="66CC10E2">
            <w:pPr>
              <w:widowControl/>
              <w:spacing w:line="240" w:lineRule="auto"/>
              <w:ind w:firstLine="0" w:firstLineChars="0"/>
              <w:jc w:val="left"/>
              <w:rPr>
                <w:rFonts w:ascii="Times New Roman" w:hAnsi="Times New Roman"/>
                <w:kern w:val="0"/>
                <w:sz w:val="24"/>
                <w:szCs w:val="24"/>
              </w:rPr>
            </w:pPr>
            <w:r>
              <w:rPr>
                <w:rFonts w:ascii="Times New Roman" w:hAnsi="Times New Roman"/>
                <w:kern w:val="0"/>
                <w:sz w:val="24"/>
                <w:szCs w:val="24"/>
              </w:rPr>
              <w:t>更正公告</w:t>
            </w:r>
          </w:p>
        </w:tc>
        <w:tc>
          <w:tcPr>
            <w:tcW w:w="5528" w:type="dxa"/>
            <w:tcBorders>
              <w:top w:val="nil"/>
              <w:left w:val="nil"/>
              <w:bottom w:val="single" w:color="auto" w:sz="4" w:space="0"/>
              <w:right w:val="single" w:color="auto" w:sz="4" w:space="0"/>
            </w:tcBorders>
            <w:noWrap/>
            <w:vAlign w:val="center"/>
          </w:tcPr>
          <w:p w14:paraId="3DB08B8A">
            <w:pPr>
              <w:widowControl/>
              <w:spacing w:line="240" w:lineRule="auto"/>
              <w:ind w:firstLine="0" w:firstLineChars="0"/>
              <w:jc w:val="left"/>
              <w:rPr>
                <w:rFonts w:ascii="Times New Roman" w:hAnsi="Times New Roman"/>
                <w:kern w:val="0"/>
                <w:sz w:val="24"/>
                <w:szCs w:val="24"/>
              </w:rPr>
            </w:pPr>
            <w:r>
              <w:rPr>
                <w:rFonts w:ascii="Times New Roman" w:hAnsi="Times New Roman"/>
                <w:kern w:val="0"/>
                <w:sz w:val="24"/>
                <w:szCs w:val="24"/>
              </w:rPr>
              <w:t>错误更正公告</w:t>
            </w:r>
          </w:p>
        </w:tc>
      </w:tr>
      <w:tr w14:paraId="479956B4">
        <w:tblPrEx>
          <w:tblCellMar>
            <w:top w:w="0" w:type="dxa"/>
            <w:left w:w="108" w:type="dxa"/>
            <w:bottom w:w="0" w:type="dxa"/>
            <w:right w:w="108" w:type="dxa"/>
          </w:tblCellMar>
        </w:tblPrEx>
        <w:trPr>
          <w:trHeight w:val="285" w:hRule="atLeast"/>
        </w:trPr>
        <w:tc>
          <w:tcPr>
            <w:tcW w:w="1037" w:type="dxa"/>
            <w:vMerge w:val="continue"/>
            <w:tcBorders>
              <w:top w:val="single" w:color="auto" w:sz="4" w:space="0"/>
              <w:left w:val="single" w:color="auto" w:sz="4" w:space="0"/>
              <w:bottom w:val="single" w:color="auto" w:sz="4" w:space="0"/>
              <w:right w:val="single" w:color="auto" w:sz="4" w:space="0"/>
            </w:tcBorders>
            <w:vAlign w:val="center"/>
          </w:tcPr>
          <w:p w14:paraId="68CF10D9">
            <w:pPr>
              <w:widowControl/>
              <w:spacing w:line="240" w:lineRule="auto"/>
              <w:ind w:firstLine="0" w:firstLineChars="0"/>
              <w:jc w:val="center"/>
              <w:rPr>
                <w:rFonts w:ascii="Times New Roman" w:hAnsi="Times New Roman"/>
                <w:b/>
                <w:bCs/>
                <w:kern w:val="0"/>
                <w:sz w:val="24"/>
                <w:szCs w:val="24"/>
              </w:rPr>
            </w:pPr>
          </w:p>
        </w:tc>
        <w:tc>
          <w:tcPr>
            <w:tcW w:w="2229" w:type="dxa"/>
            <w:tcBorders>
              <w:top w:val="nil"/>
              <w:left w:val="nil"/>
              <w:bottom w:val="single" w:color="auto" w:sz="4" w:space="0"/>
              <w:right w:val="single" w:color="auto" w:sz="4" w:space="0"/>
            </w:tcBorders>
            <w:noWrap/>
            <w:vAlign w:val="center"/>
          </w:tcPr>
          <w:p w14:paraId="6AC6350A">
            <w:pPr>
              <w:widowControl/>
              <w:spacing w:line="240" w:lineRule="auto"/>
              <w:ind w:firstLine="0" w:firstLineChars="0"/>
              <w:jc w:val="left"/>
              <w:rPr>
                <w:rFonts w:ascii="Times New Roman" w:hAnsi="Times New Roman"/>
                <w:bCs/>
                <w:kern w:val="0"/>
                <w:sz w:val="24"/>
                <w:szCs w:val="24"/>
              </w:rPr>
            </w:pPr>
            <w:r>
              <w:rPr>
                <w:rFonts w:ascii="Times New Roman" w:hAnsi="Times New Roman"/>
                <w:bCs/>
                <w:kern w:val="0"/>
                <w:sz w:val="24"/>
                <w:szCs w:val="24"/>
              </w:rPr>
              <w:t>做市商变更</w:t>
            </w:r>
          </w:p>
        </w:tc>
        <w:tc>
          <w:tcPr>
            <w:tcW w:w="5528" w:type="dxa"/>
            <w:tcBorders>
              <w:top w:val="nil"/>
              <w:left w:val="nil"/>
              <w:bottom w:val="single" w:color="auto" w:sz="4" w:space="0"/>
              <w:right w:val="single" w:color="auto" w:sz="4" w:space="0"/>
            </w:tcBorders>
            <w:noWrap/>
            <w:vAlign w:val="center"/>
          </w:tcPr>
          <w:p w14:paraId="50EDA32A">
            <w:pPr>
              <w:widowControl/>
              <w:spacing w:line="240" w:lineRule="auto"/>
              <w:ind w:firstLine="0" w:firstLineChars="0"/>
              <w:jc w:val="left"/>
              <w:rPr>
                <w:rFonts w:ascii="Times New Roman" w:hAnsi="Times New Roman"/>
                <w:kern w:val="0"/>
                <w:sz w:val="24"/>
                <w:szCs w:val="24"/>
              </w:rPr>
            </w:pPr>
            <w:r>
              <w:rPr>
                <w:rFonts w:ascii="Times New Roman" w:hAnsi="Times New Roman"/>
                <w:kern w:val="0"/>
                <w:sz w:val="24"/>
                <w:szCs w:val="24"/>
              </w:rPr>
              <w:t>做市商新增/终止公告（可选）</w:t>
            </w:r>
          </w:p>
        </w:tc>
      </w:tr>
      <w:tr w14:paraId="52F9FB8A">
        <w:tblPrEx>
          <w:tblCellMar>
            <w:top w:w="0" w:type="dxa"/>
            <w:left w:w="108" w:type="dxa"/>
            <w:bottom w:w="0" w:type="dxa"/>
            <w:right w:w="108" w:type="dxa"/>
          </w:tblCellMar>
        </w:tblPrEx>
        <w:trPr>
          <w:trHeight w:val="1140" w:hRule="atLeast"/>
        </w:trPr>
        <w:tc>
          <w:tcPr>
            <w:tcW w:w="1037" w:type="dxa"/>
            <w:vMerge w:val="continue"/>
            <w:tcBorders>
              <w:top w:val="single" w:color="auto" w:sz="4" w:space="0"/>
              <w:left w:val="single" w:color="auto" w:sz="4" w:space="0"/>
              <w:bottom w:val="single" w:color="auto" w:sz="4" w:space="0"/>
              <w:right w:val="single" w:color="auto" w:sz="4" w:space="0"/>
            </w:tcBorders>
            <w:vAlign w:val="center"/>
          </w:tcPr>
          <w:p w14:paraId="60A00610">
            <w:pPr>
              <w:widowControl/>
              <w:spacing w:line="240" w:lineRule="auto"/>
              <w:ind w:firstLine="0" w:firstLineChars="0"/>
              <w:jc w:val="center"/>
              <w:rPr>
                <w:rFonts w:ascii="Times New Roman" w:hAnsi="Times New Roman"/>
                <w:b/>
                <w:bCs/>
                <w:kern w:val="0"/>
                <w:sz w:val="24"/>
                <w:szCs w:val="24"/>
              </w:rPr>
            </w:pPr>
          </w:p>
        </w:tc>
        <w:tc>
          <w:tcPr>
            <w:tcW w:w="2229" w:type="dxa"/>
            <w:tcBorders>
              <w:top w:val="nil"/>
              <w:left w:val="nil"/>
              <w:bottom w:val="single" w:color="auto" w:sz="4" w:space="0"/>
              <w:right w:val="single" w:color="auto" w:sz="4" w:space="0"/>
            </w:tcBorders>
            <w:vAlign w:val="center"/>
          </w:tcPr>
          <w:p w14:paraId="7615895F">
            <w:pPr>
              <w:widowControl/>
              <w:spacing w:line="240" w:lineRule="auto"/>
              <w:ind w:firstLine="0" w:firstLineChars="0"/>
              <w:jc w:val="left"/>
              <w:rPr>
                <w:rFonts w:ascii="Times New Roman" w:hAnsi="Times New Roman"/>
                <w:bCs/>
                <w:kern w:val="0"/>
                <w:sz w:val="24"/>
                <w:szCs w:val="24"/>
              </w:rPr>
            </w:pPr>
            <w:r>
              <w:rPr>
                <w:rFonts w:ascii="Times New Roman" w:hAnsi="Times New Roman"/>
                <w:bCs/>
                <w:kern w:val="0"/>
                <w:sz w:val="24"/>
                <w:szCs w:val="24"/>
              </w:rPr>
              <w:t>修订基金合同或协议公告及文件</w:t>
            </w:r>
          </w:p>
        </w:tc>
        <w:tc>
          <w:tcPr>
            <w:tcW w:w="5528" w:type="dxa"/>
            <w:tcBorders>
              <w:top w:val="nil"/>
              <w:left w:val="nil"/>
              <w:bottom w:val="single" w:color="auto" w:sz="4" w:space="0"/>
              <w:right w:val="single" w:color="auto" w:sz="4" w:space="0"/>
            </w:tcBorders>
            <w:vAlign w:val="center"/>
          </w:tcPr>
          <w:p w14:paraId="3344017E">
            <w:pPr>
              <w:widowControl/>
              <w:spacing w:line="240" w:lineRule="auto"/>
              <w:ind w:firstLine="0" w:firstLineChars="0"/>
              <w:jc w:val="left"/>
              <w:rPr>
                <w:rFonts w:ascii="Times New Roman" w:hAnsi="Times New Roman"/>
                <w:kern w:val="0"/>
                <w:sz w:val="24"/>
                <w:szCs w:val="24"/>
              </w:rPr>
            </w:pPr>
            <w:r>
              <w:rPr>
                <w:rFonts w:ascii="Times New Roman" w:hAnsi="Times New Roman"/>
                <w:kern w:val="0"/>
                <w:sz w:val="24"/>
                <w:szCs w:val="24"/>
              </w:rPr>
              <w:t>修改基金合同公告，合同期限变更公告；修改托管协议；</w:t>
            </w:r>
            <w:r>
              <w:rPr>
                <w:rFonts w:ascii="Times New Roman" w:hAnsi="Times New Roman"/>
                <w:bCs/>
                <w:kern w:val="0"/>
                <w:sz w:val="24"/>
                <w:szCs w:val="24"/>
              </w:rPr>
              <w:t>管理费、托管费等费用计提标准、计提方式和费率变更相关事项的公告</w:t>
            </w:r>
            <w:r>
              <w:rPr>
                <w:rFonts w:ascii="Times New Roman" w:hAnsi="Times New Roman"/>
                <w:kern w:val="0"/>
                <w:sz w:val="24"/>
                <w:szCs w:val="24"/>
              </w:rPr>
              <w:t>；其他导致基金合同、协议修订的事项</w:t>
            </w:r>
          </w:p>
        </w:tc>
      </w:tr>
      <w:tr w14:paraId="0CC326B5">
        <w:tblPrEx>
          <w:tblCellMar>
            <w:top w:w="0" w:type="dxa"/>
            <w:left w:w="108" w:type="dxa"/>
            <w:bottom w:w="0" w:type="dxa"/>
            <w:right w:w="108" w:type="dxa"/>
          </w:tblCellMar>
        </w:tblPrEx>
        <w:trPr>
          <w:trHeight w:val="570" w:hRule="atLeast"/>
        </w:trPr>
        <w:tc>
          <w:tcPr>
            <w:tcW w:w="1037" w:type="dxa"/>
            <w:vMerge w:val="continue"/>
            <w:tcBorders>
              <w:top w:val="single" w:color="auto" w:sz="4" w:space="0"/>
              <w:left w:val="single" w:color="auto" w:sz="4" w:space="0"/>
              <w:bottom w:val="single" w:color="auto" w:sz="4" w:space="0"/>
              <w:right w:val="single" w:color="auto" w:sz="4" w:space="0"/>
            </w:tcBorders>
            <w:vAlign w:val="center"/>
          </w:tcPr>
          <w:p w14:paraId="5B33C2E2">
            <w:pPr>
              <w:widowControl/>
              <w:spacing w:line="240" w:lineRule="auto"/>
              <w:ind w:firstLine="0" w:firstLineChars="0"/>
              <w:jc w:val="center"/>
              <w:rPr>
                <w:rFonts w:ascii="Times New Roman" w:hAnsi="Times New Roman"/>
                <w:b/>
                <w:bCs/>
                <w:kern w:val="0"/>
                <w:sz w:val="24"/>
                <w:szCs w:val="24"/>
              </w:rPr>
            </w:pPr>
          </w:p>
        </w:tc>
        <w:tc>
          <w:tcPr>
            <w:tcW w:w="2229" w:type="dxa"/>
            <w:tcBorders>
              <w:top w:val="nil"/>
              <w:left w:val="nil"/>
              <w:bottom w:val="single" w:color="auto" w:sz="4" w:space="0"/>
              <w:right w:val="single" w:color="auto" w:sz="4" w:space="0"/>
            </w:tcBorders>
            <w:vAlign w:val="center"/>
          </w:tcPr>
          <w:p w14:paraId="6BC84B90">
            <w:pPr>
              <w:widowControl/>
              <w:spacing w:line="240" w:lineRule="auto"/>
              <w:ind w:firstLine="0" w:firstLineChars="0"/>
              <w:jc w:val="left"/>
              <w:rPr>
                <w:rFonts w:ascii="Times New Roman" w:hAnsi="Times New Roman"/>
                <w:kern w:val="0"/>
                <w:sz w:val="24"/>
                <w:szCs w:val="24"/>
              </w:rPr>
            </w:pPr>
            <w:r>
              <w:rPr>
                <w:rFonts w:ascii="Times New Roman" w:hAnsi="Times New Roman"/>
                <w:kern w:val="0"/>
                <w:sz w:val="24"/>
                <w:szCs w:val="24"/>
              </w:rPr>
              <w:t>更新招募说明书或产品资料概要公告及文件</w:t>
            </w:r>
          </w:p>
        </w:tc>
        <w:tc>
          <w:tcPr>
            <w:tcW w:w="5528" w:type="dxa"/>
            <w:tcBorders>
              <w:top w:val="nil"/>
              <w:left w:val="nil"/>
              <w:bottom w:val="single" w:color="auto" w:sz="4" w:space="0"/>
              <w:right w:val="single" w:color="auto" w:sz="4" w:space="0"/>
            </w:tcBorders>
            <w:vAlign w:val="center"/>
          </w:tcPr>
          <w:p w14:paraId="7E07CFFD">
            <w:pPr>
              <w:widowControl/>
              <w:spacing w:line="240" w:lineRule="auto"/>
              <w:ind w:firstLine="0" w:firstLineChars="0"/>
              <w:jc w:val="left"/>
              <w:rPr>
                <w:rFonts w:ascii="Times New Roman" w:hAnsi="Times New Roman"/>
                <w:kern w:val="0"/>
                <w:sz w:val="24"/>
                <w:szCs w:val="24"/>
              </w:rPr>
            </w:pPr>
            <w:r>
              <w:rPr>
                <w:rFonts w:ascii="Times New Roman" w:hAnsi="Times New Roman"/>
                <w:kern w:val="0"/>
                <w:sz w:val="24"/>
                <w:szCs w:val="24"/>
              </w:rPr>
              <w:t>修改、更新招募说明书、产品资料概要公告；其他导致招募、产品资料概要修订的事项</w:t>
            </w:r>
          </w:p>
        </w:tc>
      </w:tr>
      <w:tr w14:paraId="4A2DBDCF">
        <w:tblPrEx>
          <w:tblCellMar>
            <w:top w:w="0" w:type="dxa"/>
            <w:left w:w="108" w:type="dxa"/>
            <w:bottom w:w="0" w:type="dxa"/>
            <w:right w:w="108" w:type="dxa"/>
          </w:tblCellMar>
        </w:tblPrEx>
        <w:trPr>
          <w:trHeight w:val="285" w:hRule="atLeast"/>
        </w:trPr>
        <w:tc>
          <w:tcPr>
            <w:tcW w:w="1037" w:type="dxa"/>
            <w:vMerge w:val="continue"/>
            <w:tcBorders>
              <w:top w:val="single" w:color="auto" w:sz="4" w:space="0"/>
              <w:left w:val="single" w:color="auto" w:sz="4" w:space="0"/>
              <w:bottom w:val="single" w:color="auto" w:sz="4" w:space="0"/>
              <w:right w:val="single" w:color="auto" w:sz="4" w:space="0"/>
            </w:tcBorders>
            <w:vAlign w:val="center"/>
          </w:tcPr>
          <w:p w14:paraId="35B0A2BB">
            <w:pPr>
              <w:widowControl/>
              <w:spacing w:line="240" w:lineRule="auto"/>
              <w:ind w:firstLine="0" w:firstLineChars="0"/>
              <w:jc w:val="center"/>
              <w:rPr>
                <w:rFonts w:ascii="Times New Roman" w:hAnsi="Times New Roman"/>
                <w:b/>
                <w:bCs/>
                <w:kern w:val="0"/>
                <w:sz w:val="24"/>
                <w:szCs w:val="24"/>
              </w:rPr>
            </w:pPr>
          </w:p>
        </w:tc>
        <w:tc>
          <w:tcPr>
            <w:tcW w:w="2229" w:type="dxa"/>
            <w:tcBorders>
              <w:top w:val="nil"/>
              <w:left w:val="nil"/>
              <w:bottom w:val="single" w:color="auto" w:sz="4" w:space="0"/>
              <w:right w:val="single" w:color="auto" w:sz="4" w:space="0"/>
            </w:tcBorders>
            <w:noWrap/>
            <w:vAlign w:val="center"/>
          </w:tcPr>
          <w:p w14:paraId="545FA385">
            <w:pPr>
              <w:widowControl/>
              <w:spacing w:line="240" w:lineRule="auto"/>
              <w:ind w:firstLine="0" w:firstLineChars="0"/>
              <w:jc w:val="left"/>
              <w:rPr>
                <w:rFonts w:ascii="Times New Roman" w:hAnsi="Times New Roman"/>
                <w:bCs/>
                <w:kern w:val="0"/>
                <w:sz w:val="24"/>
                <w:szCs w:val="24"/>
              </w:rPr>
            </w:pPr>
            <w:r>
              <w:rPr>
                <w:rFonts w:ascii="Times New Roman" w:hAnsi="Times New Roman"/>
                <w:bCs/>
                <w:kern w:val="0"/>
                <w:sz w:val="24"/>
                <w:szCs w:val="24"/>
              </w:rPr>
              <w:t>基金估值方法调整</w:t>
            </w:r>
          </w:p>
        </w:tc>
        <w:tc>
          <w:tcPr>
            <w:tcW w:w="5528" w:type="dxa"/>
            <w:tcBorders>
              <w:top w:val="nil"/>
              <w:left w:val="nil"/>
              <w:bottom w:val="single" w:color="auto" w:sz="4" w:space="0"/>
              <w:right w:val="single" w:color="auto" w:sz="4" w:space="0"/>
            </w:tcBorders>
            <w:noWrap/>
            <w:vAlign w:val="center"/>
          </w:tcPr>
          <w:p w14:paraId="7410F902">
            <w:pPr>
              <w:widowControl/>
              <w:spacing w:line="240" w:lineRule="auto"/>
              <w:ind w:firstLine="0" w:firstLineChars="0"/>
              <w:jc w:val="left"/>
              <w:rPr>
                <w:rFonts w:ascii="Times New Roman" w:hAnsi="Times New Roman"/>
                <w:kern w:val="0"/>
                <w:sz w:val="24"/>
                <w:szCs w:val="24"/>
              </w:rPr>
            </w:pPr>
            <w:r>
              <w:rPr>
                <w:rFonts w:ascii="Times New Roman" w:hAnsi="Times New Roman"/>
                <w:kern w:val="0"/>
                <w:sz w:val="24"/>
                <w:szCs w:val="24"/>
              </w:rPr>
              <w:t>基金估值方法变更</w:t>
            </w:r>
          </w:p>
        </w:tc>
      </w:tr>
      <w:tr w14:paraId="30E81EB6">
        <w:tblPrEx>
          <w:tblCellMar>
            <w:top w:w="0" w:type="dxa"/>
            <w:left w:w="108" w:type="dxa"/>
            <w:bottom w:w="0" w:type="dxa"/>
            <w:right w:w="108" w:type="dxa"/>
          </w:tblCellMar>
        </w:tblPrEx>
        <w:trPr>
          <w:trHeight w:val="855" w:hRule="atLeast"/>
        </w:trPr>
        <w:tc>
          <w:tcPr>
            <w:tcW w:w="1037" w:type="dxa"/>
            <w:vMerge w:val="continue"/>
            <w:tcBorders>
              <w:top w:val="single" w:color="auto" w:sz="4" w:space="0"/>
              <w:left w:val="single" w:color="auto" w:sz="4" w:space="0"/>
              <w:bottom w:val="single" w:color="auto" w:sz="4" w:space="0"/>
              <w:right w:val="single" w:color="auto" w:sz="4" w:space="0"/>
            </w:tcBorders>
            <w:vAlign w:val="center"/>
          </w:tcPr>
          <w:p w14:paraId="57D7803F">
            <w:pPr>
              <w:widowControl/>
              <w:spacing w:line="240" w:lineRule="auto"/>
              <w:ind w:firstLine="0" w:firstLineChars="0"/>
              <w:jc w:val="center"/>
              <w:rPr>
                <w:rFonts w:ascii="Times New Roman" w:hAnsi="Times New Roman"/>
                <w:b/>
                <w:bCs/>
                <w:kern w:val="0"/>
                <w:sz w:val="24"/>
                <w:szCs w:val="24"/>
              </w:rPr>
            </w:pPr>
          </w:p>
        </w:tc>
        <w:tc>
          <w:tcPr>
            <w:tcW w:w="2229" w:type="dxa"/>
            <w:tcBorders>
              <w:top w:val="nil"/>
              <w:left w:val="nil"/>
              <w:bottom w:val="nil"/>
              <w:right w:val="single" w:color="auto" w:sz="4" w:space="0"/>
            </w:tcBorders>
            <w:vAlign w:val="center"/>
          </w:tcPr>
          <w:p w14:paraId="015FC6C2">
            <w:pPr>
              <w:widowControl/>
              <w:spacing w:line="240" w:lineRule="auto"/>
              <w:ind w:firstLine="0" w:firstLineChars="0"/>
              <w:jc w:val="left"/>
              <w:rPr>
                <w:rFonts w:ascii="Times New Roman" w:hAnsi="Times New Roman"/>
                <w:kern w:val="0"/>
                <w:sz w:val="24"/>
                <w:szCs w:val="24"/>
              </w:rPr>
            </w:pPr>
            <w:r>
              <w:rPr>
                <w:rFonts w:ascii="Times New Roman" w:hAnsi="Times New Roman"/>
                <w:kern w:val="0"/>
                <w:sz w:val="24"/>
                <w:szCs w:val="24"/>
              </w:rPr>
              <w:t>提示性公告</w:t>
            </w:r>
          </w:p>
        </w:tc>
        <w:tc>
          <w:tcPr>
            <w:tcW w:w="5528" w:type="dxa"/>
            <w:tcBorders>
              <w:top w:val="nil"/>
              <w:left w:val="nil"/>
              <w:bottom w:val="nil"/>
              <w:right w:val="single" w:color="auto" w:sz="4" w:space="0"/>
            </w:tcBorders>
            <w:vAlign w:val="center"/>
          </w:tcPr>
          <w:p w14:paraId="5258BA18">
            <w:pPr>
              <w:widowControl/>
              <w:spacing w:line="240" w:lineRule="auto"/>
              <w:ind w:firstLine="0" w:firstLineChars="0"/>
              <w:jc w:val="left"/>
              <w:rPr>
                <w:rFonts w:ascii="Times New Roman" w:hAnsi="Times New Roman"/>
                <w:kern w:val="0"/>
                <w:sz w:val="24"/>
                <w:szCs w:val="24"/>
              </w:rPr>
            </w:pPr>
            <w:r>
              <w:rPr>
                <w:rFonts w:ascii="Times New Roman" w:hAnsi="Times New Roman"/>
                <w:kern w:val="0"/>
                <w:sz w:val="24"/>
                <w:szCs w:val="24"/>
              </w:rPr>
              <w:t>场内</w:t>
            </w:r>
            <w:r>
              <w:rPr>
                <w:rFonts w:ascii="Times New Roman" w:hAnsi="Times New Roman"/>
                <w:bCs/>
                <w:kern w:val="0"/>
                <w:sz w:val="24"/>
                <w:szCs w:val="24"/>
              </w:rPr>
              <w:t>交易价格波动</w:t>
            </w:r>
            <w:r>
              <w:rPr>
                <w:rFonts w:ascii="Times New Roman" w:hAnsi="Times New Roman"/>
                <w:kern w:val="0"/>
                <w:sz w:val="24"/>
                <w:szCs w:val="24"/>
              </w:rPr>
              <w:t>/巨额赎回等风险提示公告；基金募集/申赎/扩募/代销等其他提示性公告；</w:t>
            </w:r>
            <w:r>
              <w:rPr>
                <w:rFonts w:ascii="Times New Roman" w:hAnsi="Times New Roman"/>
                <w:bCs/>
                <w:kern w:val="0"/>
                <w:sz w:val="24"/>
                <w:szCs w:val="24"/>
              </w:rPr>
              <w:t>基金份额解除限售提示性公告</w:t>
            </w:r>
          </w:p>
        </w:tc>
      </w:tr>
      <w:tr w14:paraId="2AD71B40">
        <w:tblPrEx>
          <w:tblCellMar>
            <w:top w:w="0" w:type="dxa"/>
            <w:left w:w="108" w:type="dxa"/>
            <w:bottom w:w="0" w:type="dxa"/>
            <w:right w:w="108" w:type="dxa"/>
          </w:tblCellMar>
        </w:tblPrEx>
        <w:trPr>
          <w:trHeight w:val="855" w:hRule="atLeast"/>
        </w:trPr>
        <w:tc>
          <w:tcPr>
            <w:tcW w:w="1037" w:type="dxa"/>
            <w:vMerge w:val="continue"/>
            <w:tcBorders>
              <w:top w:val="single" w:color="auto" w:sz="4" w:space="0"/>
              <w:left w:val="single" w:color="auto" w:sz="4" w:space="0"/>
              <w:bottom w:val="single" w:color="auto" w:sz="4" w:space="0"/>
              <w:right w:val="single" w:color="auto" w:sz="4" w:space="0"/>
            </w:tcBorders>
            <w:vAlign w:val="center"/>
          </w:tcPr>
          <w:p w14:paraId="53EEF1F3">
            <w:pPr>
              <w:widowControl/>
              <w:spacing w:line="240" w:lineRule="auto"/>
              <w:ind w:firstLine="0" w:firstLineChars="0"/>
              <w:jc w:val="center"/>
              <w:rPr>
                <w:rFonts w:ascii="Times New Roman" w:hAnsi="Times New Roman"/>
                <w:b/>
                <w:bCs/>
                <w:kern w:val="0"/>
                <w:sz w:val="24"/>
                <w:szCs w:val="24"/>
              </w:rPr>
            </w:pPr>
          </w:p>
        </w:tc>
        <w:tc>
          <w:tcPr>
            <w:tcW w:w="2229" w:type="dxa"/>
            <w:tcBorders>
              <w:top w:val="single" w:color="auto" w:sz="4" w:space="0"/>
              <w:left w:val="nil"/>
              <w:bottom w:val="single" w:color="auto" w:sz="4" w:space="0"/>
              <w:right w:val="single" w:color="auto" w:sz="4" w:space="0"/>
            </w:tcBorders>
            <w:vAlign w:val="center"/>
          </w:tcPr>
          <w:p w14:paraId="10C4DC35">
            <w:pPr>
              <w:widowControl/>
              <w:spacing w:line="240" w:lineRule="auto"/>
              <w:ind w:firstLine="0" w:firstLineChars="0"/>
              <w:jc w:val="left"/>
              <w:rPr>
                <w:rFonts w:ascii="Times New Roman" w:hAnsi="Times New Roman"/>
                <w:kern w:val="0"/>
                <w:sz w:val="24"/>
                <w:szCs w:val="24"/>
              </w:rPr>
            </w:pPr>
            <w:r>
              <w:rPr>
                <w:rFonts w:ascii="Times New Roman" w:hAnsi="Times New Roman"/>
                <w:kern w:val="0"/>
                <w:sz w:val="24"/>
                <w:szCs w:val="24"/>
              </w:rPr>
              <w:t>营销活动</w:t>
            </w:r>
          </w:p>
        </w:tc>
        <w:tc>
          <w:tcPr>
            <w:tcW w:w="5528" w:type="dxa"/>
            <w:tcBorders>
              <w:top w:val="single" w:color="auto" w:sz="4" w:space="0"/>
              <w:left w:val="nil"/>
              <w:bottom w:val="single" w:color="auto" w:sz="4" w:space="0"/>
              <w:right w:val="single" w:color="auto" w:sz="4" w:space="0"/>
            </w:tcBorders>
            <w:vAlign w:val="center"/>
          </w:tcPr>
          <w:p w14:paraId="6B40AA6D">
            <w:pPr>
              <w:widowControl/>
              <w:spacing w:line="240" w:lineRule="auto"/>
              <w:ind w:firstLine="0" w:firstLineChars="0"/>
              <w:jc w:val="left"/>
              <w:rPr>
                <w:rFonts w:ascii="Times New Roman" w:hAnsi="Times New Roman"/>
                <w:kern w:val="0"/>
                <w:sz w:val="24"/>
                <w:szCs w:val="24"/>
              </w:rPr>
            </w:pPr>
            <w:r>
              <w:rPr>
                <w:rFonts w:ascii="Times New Roman" w:hAnsi="Times New Roman"/>
                <w:kern w:val="0"/>
                <w:sz w:val="24"/>
                <w:szCs w:val="24"/>
              </w:rPr>
              <w:t>申购、赎回费率及收费方式变更相关事项的公告；基金营销活动有关事项，新增、变更基金销售机构</w:t>
            </w:r>
          </w:p>
        </w:tc>
      </w:tr>
      <w:tr w14:paraId="3F4E6701">
        <w:tblPrEx>
          <w:tblCellMar>
            <w:top w:w="0" w:type="dxa"/>
            <w:left w:w="108" w:type="dxa"/>
            <w:bottom w:w="0" w:type="dxa"/>
            <w:right w:w="108" w:type="dxa"/>
          </w:tblCellMar>
        </w:tblPrEx>
        <w:trPr>
          <w:trHeight w:val="285" w:hRule="atLeast"/>
        </w:trPr>
        <w:tc>
          <w:tcPr>
            <w:tcW w:w="1037" w:type="dxa"/>
            <w:vMerge w:val="restart"/>
            <w:tcBorders>
              <w:top w:val="single" w:color="auto" w:sz="4" w:space="0"/>
              <w:left w:val="single" w:color="auto" w:sz="4" w:space="0"/>
              <w:bottom w:val="single" w:color="auto" w:sz="4" w:space="0"/>
              <w:right w:val="single" w:color="auto" w:sz="4" w:space="0"/>
            </w:tcBorders>
            <w:noWrap/>
            <w:vAlign w:val="center"/>
          </w:tcPr>
          <w:p w14:paraId="193D1F46">
            <w:pPr>
              <w:widowControl/>
              <w:spacing w:line="240" w:lineRule="auto"/>
              <w:ind w:firstLine="0" w:firstLineChars="0"/>
              <w:jc w:val="center"/>
              <w:rPr>
                <w:rFonts w:ascii="Times New Roman" w:hAnsi="Times New Roman"/>
                <w:b/>
                <w:bCs/>
                <w:kern w:val="0"/>
                <w:sz w:val="24"/>
                <w:szCs w:val="24"/>
              </w:rPr>
            </w:pPr>
            <w:r>
              <w:rPr>
                <w:rFonts w:ascii="Times New Roman" w:hAnsi="Times New Roman"/>
                <w:b/>
                <w:bCs/>
                <w:kern w:val="0"/>
                <w:sz w:val="24"/>
                <w:szCs w:val="24"/>
              </w:rPr>
              <w:t>基金</w:t>
            </w:r>
          </w:p>
          <w:p w14:paraId="58E57CAC">
            <w:pPr>
              <w:widowControl/>
              <w:spacing w:line="240" w:lineRule="auto"/>
              <w:ind w:firstLine="0" w:firstLineChars="0"/>
              <w:jc w:val="center"/>
              <w:rPr>
                <w:rFonts w:ascii="Times New Roman" w:hAnsi="Times New Roman"/>
                <w:b/>
                <w:bCs/>
                <w:kern w:val="0"/>
                <w:sz w:val="24"/>
                <w:szCs w:val="24"/>
              </w:rPr>
            </w:pPr>
            <w:r>
              <w:rPr>
                <w:rFonts w:ascii="Times New Roman" w:hAnsi="Times New Roman"/>
                <w:b/>
                <w:bCs/>
                <w:kern w:val="0"/>
                <w:sz w:val="24"/>
                <w:szCs w:val="24"/>
              </w:rPr>
              <w:t>运作</w:t>
            </w:r>
          </w:p>
        </w:tc>
        <w:tc>
          <w:tcPr>
            <w:tcW w:w="2229" w:type="dxa"/>
            <w:tcBorders>
              <w:top w:val="nil"/>
              <w:left w:val="single" w:color="auto" w:sz="4" w:space="0"/>
              <w:bottom w:val="single" w:color="auto" w:sz="4" w:space="0"/>
              <w:right w:val="single" w:color="auto" w:sz="4" w:space="0"/>
            </w:tcBorders>
            <w:noWrap/>
            <w:vAlign w:val="center"/>
          </w:tcPr>
          <w:p w14:paraId="76ECADD2">
            <w:pPr>
              <w:widowControl/>
              <w:spacing w:line="240" w:lineRule="auto"/>
              <w:ind w:firstLine="0" w:firstLineChars="0"/>
              <w:jc w:val="left"/>
              <w:rPr>
                <w:rFonts w:ascii="Times New Roman" w:hAnsi="Times New Roman"/>
                <w:kern w:val="0"/>
                <w:sz w:val="24"/>
                <w:szCs w:val="24"/>
              </w:rPr>
            </w:pPr>
            <w:r>
              <w:rPr>
                <w:rFonts w:ascii="Times New Roman" w:hAnsi="Times New Roman"/>
                <w:kern w:val="0"/>
                <w:sz w:val="24"/>
                <w:szCs w:val="24"/>
              </w:rPr>
              <w:t>基金名称、简称变更</w:t>
            </w:r>
          </w:p>
        </w:tc>
        <w:tc>
          <w:tcPr>
            <w:tcW w:w="5528" w:type="dxa"/>
            <w:tcBorders>
              <w:top w:val="nil"/>
              <w:left w:val="nil"/>
              <w:bottom w:val="single" w:color="auto" w:sz="4" w:space="0"/>
              <w:right w:val="single" w:color="auto" w:sz="4" w:space="0"/>
            </w:tcBorders>
            <w:noWrap/>
            <w:vAlign w:val="center"/>
          </w:tcPr>
          <w:p w14:paraId="70D53B3C">
            <w:pPr>
              <w:widowControl/>
              <w:spacing w:line="240" w:lineRule="auto"/>
              <w:ind w:firstLine="0" w:firstLineChars="0"/>
              <w:jc w:val="left"/>
              <w:rPr>
                <w:rFonts w:ascii="Times New Roman" w:hAnsi="Times New Roman"/>
                <w:kern w:val="0"/>
                <w:sz w:val="24"/>
                <w:szCs w:val="24"/>
              </w:rPr>
            </w:pPr>
            <w:r>
              <w:rPr>
                <w:rFonts w:ascii="Times New Roman" w:hAnsi="Times New Roman"/>
                <w:kern w:val="0"/>
                <w:sz w:val="24"/>
                <w:szCs w:val="24"/>
              </w:rPr>
              <w:t>基金名称、简称变更公告</w:t>
            </w:r>
          </w:p>
        </w:tc>
      </w:tr>
      <w:tr w14:paraId="6E3F4E61">
        <w:tblPrEx>
          <w:tblCellMar>
            <w:top w:w="0" w:type="dxa"/>
            <w:left w:w="108" w:type="dxa"/>
            <w:bottom w:w="0" w:type="dxa"/>
            <w:right w:w="108" w:type="dxa"/>
          </w:tblCellMar>
        </w:tblPrEx>
        <w:trPr>
          <w:trHeight w:val="570" w:hRule="atLeast"/>
        </w:trPr>
        <w:tc>
          <w:tcPr>
            <w:tcW w:w="1037" w:type="dxa"/>
            <w:vMerge w:val="continue"/>
            <w:tcBorders>
              <w:top w:val="single" w:color="auto" w:sz="4" w:space="0"/>
              <w:left w:val="single" w:color="auto" w:sz="4" w:space="0"/>
              <w:bottom w:val="single" w:color="auto" w:sz="4" w:space="0"/>
              <w:right w:val="single" w:color="auto" w:sz="4" w:space="0"/>
            </w:tcBorders>
            <w:vAlign w:val="center"/>
          </w:tcPr>
          <w:p w14:paraId="3DD27518">
            <w:pPr>
              <w:widowControl/>
              <w:spacing w:line="240" w:lineRule="auto"/>
              <w:ind w:firstLine="0" w:firstLineChars="0"/>
              <w:jc w:val="center"/>
              <w:rPr>
                <w:rFonts w:ascii="Times New Roman" w:hAnsi="Times New Roman"/>
                <w:b/>
                <w:bCs/>
                <w:kern w:val="0"/>
                <w:sz w:val="24"/>
                <w:szCs w:val="24"/>
              </w:rPr>
            </w:pPr>
          </w:p>
        </w:tc>
        <w:tc>
          <w:tcPr>
            <w:tcW w:w="2229" w:type="dxa"/>
            <w:tcBorders>
              <w:top w:val="nil"/>
              <w:left w:val="single" w:color="auto" w:sz="4" w:space="0"/>
              <w:bottom w:val="single" w:color="auto" w:sz="4" w:space="0"/>
              <w:right w:val="single" w:color="auto" w:sz="4" w:space="0"/>
            </w:tcBorders>
            <w:noWrap/>
            <w:vAlign w:val="center"/>
          </w:tcPr>
          <w:p w14:paraId="4DE2EA7E">
            <w:pPr>
              <w:widowControl/>
              <w:spacing w:line="240" w:lineRule="auto"/>
              <w:ind w:firstLine="0" w:firstLineChars="0"/>
              <w:jc w:val="left"/>
              <w:rPr>
                <w:rFonts w:ascii="Times New Roman" w:hAnsi="Times New Roman"/>
                <w:bCs/>
                <w:kern w:val="0"/>
                <w:sz w:val="24"/>
                <w:szCs w:val="24"/>
              </w:rPr>
            </w:pPr>
            <w:r>
              <w:rPr>
                <w:rFonts w:ascii="Times New Roman" w:hAnsi="Times New Roman"/>
                <w:bCs/>
                <w:kern w:val="0"/>
                <w:sz w:val="24"/>
                <w:szCs w:val="24"/>
              </w:rPr>
              <w:t>跨系统转托管</w:t>
            </w:r>
          </w:p>
        </w:tc>
        <w:tc>
          <w:tcPr>
            <w:tcW w:w="5528" w:type="dxa"/>
            <w:tcBorders>
              <w:top w:val="nil"/>
              <w:left w:val="nil"/>
              <w:bottom w:val="single" w:color="auto" w:sz="4" w:space="0"/>
              <w:right w:val="single" w:color="auto" w:sz="4" w:space="0"/>
            </w:tcBorders>
            <w:vAlign w:val="center"/>
          </w:tcPr>
          <w:p w14:paraId="154AB646">
            <w:pPr>
              <w:widowControl/>
              <w:spacing w:line="240" w:lineRule="auto"/>
              <w:ind w:firstLine="0" w:firstLineChars="0"/>
              <w:jc w:val="left"/>
              <w:rPr>
                <w:rFonts w:ascii="Times New Roman" w:hAnsi="Times New Roman"/>
                <w:kern w:val="0"/>
                <w:sz w:val="24"/>
                <w:szCs w:val="24"/>
              </w:rPr>
            </w:pPr>
            <w:r>
              <w:rPr>
                <w:rFonts w:ascii="Times New Roman" w:hAnsi="Times New Roman"/>
                <w:kern w:val="0"/>
                <w:sz w:val="24"/>
                <w:szCs w:val="24"/>
              </w:rPr>
              <w:t>基金开通跨系统转托管以及暂停跨系统转托管的公告</w:t>
            </w:r>
          </w:p>
        </w:tc>
      </w:tr>
      <w:tr w14:paraId="6BA39869">
        <w:tblPrEx>
          <w:tblCellMar>
            <w:top w:w="0" w:type="dxa"/>
            <w:left w:w="108" w:type="dxa"/>
            <w:bottom w:w="0" w:type="dxa"/>
            <w:right w:w="108" w:type="dxa"/>
          </w:tblCellMar>
        </w:tblPrEx>
        <w:trPr>
          <w:trHeight w:val="285" w:hRule="atLeast"/>
        </w:trPr>
        <w:tc>
          <w:tcPr>
            <w:tcW w:w="1037" w:type="dxa"/>
            <w:vMerge w:val="continue"/>
            <w:tcBorders>
              <w:top w:val="single" w:color="auto" w:sz="4" w:space="0"/>
              <w:left w:val="single" w:color="auto" w:sz="4" w:space="0"/>
              <w:bottom w:val="single" w:color="auto" w:sz="4" w:space="0"/>
              <w:right w:val="single" w:color="auto" w:sz="4" w:space="0"/>
            </w:tcBorders>
            <w:vAlign w:val="center"/>
          </w:tcPr>
          <w:p w14:paraId="0DAECCDD">
            <w:pPr>
              <w:widowControl/>
              <w:spacing w:line="240" w:lineRule="auto"/>
              <w:ind w:firstLine="0" w:firstLineChars="0"/>
              <w:jc w:val="center"/>
              <w:rPr>
                <w:rFonts w:ascii="Times New Roman" w:hAnsi="Times New Roman"/>
                <w:b/>
                <w:bCs/>
                <w:kern w:val="0"/>
                <w:sz w:val="24"/>
                <w:szCs w:val="24"/>
              </w:rPr>
            </w:pPr>
          </w:p>
        </w:tc>
        <w:tc>
          <w:tcPr>
            <w:tcW w:w="2229" w:type="dxa"/>
            <w:tcBorders>
              <w:top w:val="nil"/>
              <w:left w:val="single" w:color="auto" w:sz="4" w:space="0"/>
              <w:bottom w:val="single" w:color="auto" w:sz="4" w:space="0"/>
              <w:right w:val="single" w:color="auto" w:sz="4" w:space="0"/>
            </w:tcBorders>
            <w:noWrap/>
            <w:vAlign w:val="center"/>
          </w:tcPr>
          <w:p w14:paraId="05F5E3E0">
            <w:pPr>
              <w:widowControl/>
              <w:spacing w:line="240" w:lineRule="auto"/>
              <w:ind w:firstLine="0" w:firstLineChars="0"/>
              <w:jc w:val="left"/>
              <w:rPr>
                <w:rFonts w:ascii="Times New Roman" w:hAnsi="Times New Roman"/>
                <w:kern w:val="0"/>
                <w:sz w:val="24"/>
                <w:szCs w:val="24"/>
              </w:rPr>
            </w:pPr>
            <w:r>
              <w:rPr>
                <w:rFonts w:ascii="Times New Roman" w:hAnsi="Times New Roman"/>
                <w:kern w:val="0"/>
                <w:sz w:val="24"/>
                <w:szCs w:val="24"/>
              </w:rPr>
              <w:t>收益分配</w:t>
            </w:r>
          </w:p>
        </w:tc>
        <w:tc>
          <w:tcPr>
            <w:tcW w:w="5528" w:type="dxa"/>
            <w:tcBorders>
              <w:top w:val="nil"/>
              <w:left w:val="nil"/>
              <w:bottom w:val="single" w:color="auto" w:sz="4" w:space="0"/>
              <w:right w:val="single" w:color="auto" w:sz="4" w:space="0"/>
            </w:tcBorders>
            <w:vAlign w:val="center"/>
          </w:tcPr>
          <w:p w14:paraId="4533B495">
            <w:pPr>
              <w:widowControl/>
              <w:spacing w:line="240" w:lineRule="auto"/>
              <w:ind w:firstLine="0" w:firstLineChars="0"/>
              <w:jc w:val="left"/>
              <w:rPr>
                <w:rFonts w:ascii="Times New Roman" w:hAnsi="Times New Roman"/>
                <w:kern w:val="0"/>
                <w:sz w:val="24"/>
                <w:szCs w:val="24"/>
              </w:rPr>
            </w:pPr>
            <w:r>
              <w:rPr>
                <w:rFonts w:ascii="Times New Roman" w:hAnsi="Times New Roman"/>
                <w:kern w:val="0"/>
                <w:sz w:val="24"/>
                <w:szCs w:val="24"/>
              </w:rPr>
              <w:t>基金收益分配公告</w:t>
            </w:r>
          </w:p>
        </w:tc>
      </w:tr>
      <w:tr w14:paraId="05A47BC6">
        <w:tblPrEx>
          <w:tblCellMar>
            <w:top w:w="0" w:type="dxa"/>
            <w:left w:w="108" w:type="dxa"/>
            <w:bottom w:w="0" w:type="dxa"/>
            <w:right w:w="108" w:type="dxa"/>
          </w:tblCellMar>
        </w:tblPrEx>
        <w:trPr>
          <w:trHeight w:val="285" w:hRule="atLeast"/>
        </w:trPr>
        <w:tc>
          <w:tcPr>
            <w:tcW w:w="1037" w:type="dxa"/>
            <w:vMerge w:val="continue"/>
            <w:tcBorders>
              <w:top w:val="single" w:color="auto" w:sz="4" w:space="0"/>
              <w:left w:val="single" w:color="auto" w:sz="4" w:space="0"/>
              <w:bottom w:val="single" w:color="auto" w:sz="4" w:space="0"/>
              <w:right w:val="single" w:color="auto" w:sz="4" w:space="0"/>
            </w:tcBorders>
            <w:vAlign w:val="center"/>
          </w:tcPr>
          <w:p w14:paraId="7E1ADDA4">
            <w:pPr>
              <w:widowControl/>
              <w:spacing w:line="240" w:lineRule="auto"/>
              <w:ind w:firstLine="0" w:firstLineChars="0"/>
              <w:jc w:val="center"/>
              <w:rPr>
                <w:rFonts w:ascii="Times New Roman" w:hAnsi="Times New Roman"/>
                <w:b/>
                <w:bCs/>
                <w:kern w:val="0"/>
                <w:sz w:val="24"/>
                <w:szCs w:val="24"/>
              </w:rPr>
            </w:pPr>
          </w:p>
        </w:tc>
        <w:tc>
          <w:tcPr>
            <w:tcW w:w="2229" w:type="dxa"/>
            <w:tcBorders>
              <w:top w:val="nil"/>
              <w:left w:val="single" w:color="auto" w:sz="4" w:space="0"/>
              <w:bottom w:val="single" w:color="auto" w:sz="4" w:space="0"/>
              <w:right w:val="single" w:color="auto" w:sz="4" w:space="0"/>
            </w:tcBorders>
            <w:noWrap/>
            <w:vAlign w:val="center"/>
          </w:tcPr>
          <w:p w14:paraId="67B5D330">
            <w:pPr>
              <w:widowControl/>
              <w:spacing w:line="240" w:lineRule="auto"/>
              <w:ind w:firstLine="0" w:firstLineChars="0"/>
              <w:jc w:val="left"/>
              <w:rPr>
                <w:rFonts w:ascii="Times New Roman" w:hAnsi="Times New Roman"/>
                <w:kern w:val="0"/>
                <w:sz w:val="24"/>
                <w:szCs w:val="24"/>
              </w:rPr>
            </w:pPr>
            <w:r>
              <w:rPr>
                <w:rFonts w:ascii="Times New Roman" w:hAnsi="Times New Roman"/>
                <w:kern w:val="0"/>
                <w:sz w:val="24"/>
                <w:szCs w:val="24"/>
              </w:rPr>
              <w:t>停复牌</w:t>
            </w:r>
          </w:p>
        </w:tc>
        <w:tc>
          <w:tcPr>
            <w:tcW w:w="5528" w:type="dxa"/>
            <w:tcBorders>
              <w:top w:val="nil"/>
              <w:left w:val="nil"/>
              <w:bottom w:val="single" w:color="auto" w:sz="4" w:space="0"/>
              <w:right w:val="single" w:color="auto" w:sz="4" w:space="0"/>
            </w:tcBorders>
            <w:noWrap/>
            <w:vAlign w:val="center"/>
          </w:tcPr>
          <w:p w14:paraId="4573C6F5">
            <w:pPr>
              <w:widowControl/>
              <w:spacing w:line="240" w:lineRule="auto"/>
              <w:ind w:firstLine="0" w:firstLineChars="0"/>
              <w:jc w:val="left"/>
              <w:rPr>
                <w:rFonts w:ascii="Times New Roman" w:hAnsi="Times New Roman"/>
                <w:kern w:val="0"/>
                <w:sz w:val="24"/>
                <w:szCs w:val="24"/>
              </w:rPr>
            </w:pPr>
            <w:r>
              <w:rPr>
                <w:rFonts w:ascii="Times New Roman" w:hAnsi="Times New Roman"/>
                <w:kern w:val="0"/>
                <w:sz w:val="24"/>
                <w:szCs w:val="24"/>
              </w:rPr>
              <w:t>停复牌事项公告</w:t>
            </w:r>
          </w:p>
        </w:tc>
      </w:tr>
      <w:tr w14:paraId="61E646E9">
        <w:tblPrEx>
          <w:tblCellMar>
            <w:top w:w="0" w:type="dxa"/>
            <w:left w:w="108" w:type="dxa"/>
            <w:bottom w:w="0" w:type="dxa"/>
            <w:right w:w="108" w:type="dxa"/>
          </w:tblCellMar>
        </w:tblPrEx>
        <w:trPr>
          <w:trHeight w:val="285" w:hRule="atLeast"/>
        </w:trPr>
        <w:tc>
          <w:tcPr>
            <w:tcW w:w="1037" w:type="dxa"/>
            <w:vMerge w:val="continue"/>
            <w:tcBorders>
              <w:top w:val="single" w:color="auto" w:sz="4" w:space="0"/>
              <w:left w:val="single" w:color="auto" w:sz="4" w:space="0"/>
              <w:bottom w:val="single" w:color="auto" w:sz="4" w:space="0"/>
              <w:right w:val="single" w:color="auto" w:sz="4" w:space="0"/>
            </w:tcBorders>
            <w:vAlign w:val="center"/>
          </w:tcPr>
          <w:p w14:paraId="122D1B72">
            <w:pPr>
              <w:widowControl/>
              <w:spacing w:line="240" w:lineRule="auto"/>
              <w:ind w:firstLine="0" w:firstLineChars="0"/>
              <w:jc w:val="center"/>
              <w:rPr>
                <w:rFonts w:ascii="Times New Roman" w:hAnsi="Times New Roman"/>
                <w:b/>
                <w:bCs/>
                <w:kern w:val="0"/>
                <w:sz w:val="24"/>
                <w:szCs w:val="24"/>
              </w:rPr>
            </w:pPr>
          </w:p>
        </w:tc>
        <w:tc>
          <w:tcPr>
            <w:tcW w:w="2229" w:type="dxa"/>
            <w:tcBorders>
              <w:top w:val="nil"/>
              <w:left w:val="single" w:color="auto" w:sz="4" w:space="0"/>
              <w:bottom w:val="single" w:color="auto" w:sz="4" w:space="0"/>
              <w:right w:val="single" w:color="auto" w:sz="4" w:space="0"/>
            </w:tcBorders>
            <w:noWrap/>
            <w:vAlign w:val="center"/>
          </w:tcPr>
          <w:p w14:paraId="6782A6F3">
            <w:pPr>
              <w:widowControl/>
              <w:spacing w:line="240" w:lineRule="auto"/>
              <w:ind w:firstLine="0" w:firstLineChars="0"/>
              <w:jc w:val="left"/>
              <w:rPr>
                <w:rFonts w:ascii="Times New Roman" w:hAnsi="Times New Roman"/>
                <w:kern w:val="0"/>
                <w:sz w:val="24"/>
                <w:szCs w:val="24"/>
              </w:rPr>
            </w:pPr>
            <w:r>
              <w:rPr>
                <w:rFonts w:ascii="Times New Roman" w:hAnsi="Times New Roman"/>
                <w:kern w:val="0"/>
                <w:sz w:val="24"/>
                <w:szCs w:val="24"/>
              </w:rPr>
              <w:t>基金合同终止</w:t>
            </w:r>
          </w:p>
        </w:tc>
        <w:tc>
          <w:tcPr>
            <w:tcW w:w="5528" w:type="dxa"/>
            <w:tcBorders>
              <w:top w:val="nil"/>
              <w:left w:val="nil"/>
              <w:bottom w:val="single" w:color="auto" w:sz="4" w:space="0"/>
              <w:right w:val="single" w:color="auto" w:sz="4" w:space="0"/>
            </w:tcBorders>
            <w:noWrap/>
            <w:vAlign w:val="center"/>
          </w:tcPr>
          <w:p w14:paraId="1A4B9D82">
            <w:pPr>
              <w:widowControl/>
              <w:spacing w:line="240" w:lineRule="auto"/>
              <w:ind w:firstLine="0" w:firstLineChars="0"/>
              <w:jc w:val="left"/>
              <w:rPr>
                <w:rFonts w:ascii="Times New Roman" w:hAnsi="Times New Roman"/>
                <w:kern w:val="0"/>
                <w:sz w:val="24"/>
                <w:szCs w:val="24"/>
              </w:rPr>
            </w:pPr>
            <w:r>
              <w:rPr>
                <w:rFonts w:ascii="Times New Roman" w:hAnsi="Times New Roman"/>
                <w:kern w:val="0"/>
                <w:sz w:val="24"/>
                <w:szCs w:val="24"/>
              </w:rPr>
              <w:t>基金合同终止相关事项公告</w:t>
            </w:r>
          </w:p>
        </w:tc>
      </w:tr>
      <w:tr w14:paraId="1FBBFC8F">
        <w:tblPrEx>
          <w:tblCellMar>
            <w:top w:w="0" w:type="dxa"/>
            <w:left w:w="108" w:type="dxa"/>
            <w:bottom w:w="0" w:type="dxa"/>
            <w:right w:w="108" w:type="dxa"/>
          </w:tblCellMar>
        </w:tblPrEx>
        <w:trPr>
          <w:trHeight w:val="285" w:hRule="atLeast"/>
        </w:trPr>
        <w:tc>
          <w:tcPr>
            <w:tcW w:w="1037" w:type="dxa"/>
            <w:vMerge w:val="continue"/>
            <w:tcBorders>
              <w:top w:val="single" w:color="auto" w:sz="4" w:space="0"/>
              <w:left w:val="single" w:color="auto" w:sz="4" w:space="0"/>
              <w:bottom w:val="single" w:color="auto" w:sz="4" w:space="0"/>
              <w:right w:val="single" w:color="auto" w:sz="4" w:space="0"/>
            </w:tcBorders>
            <w:vAlign w:val="center"/>
          </w:tcPr>
          <w:p w14:paraId="5A3B4BCF">
            <w:pPr>
              <w:widowControl/>
              <w:spacing w:line="240" w:lineRule="auto"/>
              <w:ind w:firstLine="0" w:firstLineChars="0"/>
              <w:jc w:val="center"/>
              <w:rPr>
                <w:rFonts w:ascii="Times New Roman" w:hAnsi="Times New Roman"/>
                <w:b/>
                <w:bCs/>
                <w:kern w:val="0"/>
                <w:sz w:val="24"/>
                <w:szCs w:val="24"/>
              </w:rPr>
            </w:pPr>
          </w:p>
        </w:tc>
        <w:tc>
          <w:tcPr>
            <w:tcW w:w="2229" w:type="dxa"/>
            <w:tcBorders>
              <w:top w:val="nil"/>
              <w:left w:val="single" w:color="auto" w:sz="4" w:space="0"/>
              <w:bottom w:val="single" w:color="auto" w:sz="4" w:space="0"/>
              <w:right w:val="single" w:color="auto" w:sz="4" w:space="0"/>
            </w:tcBorders>
            <w:noWrap/>
            <w:vAlign w:val="center"/>
          </w:tcPr>
          <w:p w14:paraId="2FD82502">
            <w:pPr>
              <w:widowControl/>
              <w:spacing w:line="240" w:lineRule="auto"/>
              <w:ind w:firstLine="0" w:firstLineChars="0"/>
              <w:jc w:val="left"/>
              <w:rPr>
                <w:rFonts w:ascii="Times New Roman" w:hAnsi="Times New Roman"/>
                <w:kern w:val="0"/>
                <w:sz w:val="24"/>
                <w:szCs w:val="24"/>
              </w:rPr>
            </w:pPr>
            <w:r>
              <w:rPr>
                <w:rFonts w:ascii="Times New Roman" w:hAnsi="Times New Roman"/>
                <w:kern w:val="0"/>
                <w:sz w:val="24"/>
                <w:szCs w:val="24"/>
              </w:rPr>
              <w:t>基金终止上市</w:t>
            </w:r>
          </w:p>
        </w:tc>
        <w:tc>
          <w:tcPr>
            <w:tcW w:w="5528" w:type="dxa"/>
            <w:tcBorders>
              <w:top w:val="nil"/>
              <w:left w:val="nil"/>
              <w:bottom w:val="single" w:color="auto" w:sz="4" w:space="0"/>
              <w:right w:val="single" w:color="auto" w:sz="4" w:space="0"/>
            </w:tcBorders>
            <w:noWrap/>
            <w:vAlign w:val="center"/>
          </w:tcPr>
          <w:p w14:paraId="12108B48">
            <w:pPr>
              <w:widowControl/>
              <w:spacing w:line="240" w:lineRule="auto"/>
              <w:ind w:firstLine="0" w:firstLineChars="0"/>
              <w:jc w:val="left"/>
              <w:rPr>
                <w:rFonts w:ascii="Times New Roman" w:hAnsi="Times New Roman"/>
                <w:kern w:val="0"/>
                <w:sz w:val="24"/>
                <w:szCs w:val="24"/>
              </w:rPr>
            </w:pPr>
            <w:r>
              <w:rPr>
                <w:rFonts w:ascii="Times New Roman" w:hAnsi="Times New Roman"/>
                <w:kern w:val="0"/>
                <w:sz w:val="24"/>
                <w:szCs w:val="24"/>
              </w:rPr>
              <w:t>基金终止上市公告及提示性公告</w:t>
            </w:r>
          </w:p>
        </w:tc>
      </w:tr>
      <w:tr w14:paraId="3A11E596">
        <w:tblPrEx>
          <w:tblCellMar>
            <w:top w:w="0" w:type="dxa"/>
            <w:left w:w="108" w:type="dxa"/>
            <w:bottom w:w="0" w:type="dxa"/>
            <w:right w:w="108" w:type="dxa"/>
          </w:tblCellMar>
        </w:tblPrEx>
        <w:trPr>
          <w:trHeight w:val="285" w:hRule="atLeast"/>
        </w:trPr>
        <w:tc>
          <w:tcPr>
            <w:tcW w:w="1037" w:type="dxa"/>
            <w:vMerge w:val="continue"/>
            <w:tcBorders>
              <w:top w:val="single" w:color="auto" w:sz="4" w:space="0"/>
              <w:left w:val="single" w:color="auto" w:sz="4" w:space="0"/>
              <w:bottom w:val="single" w:color="auto" w:sz="4" w:space="0"/>
              <w:right w:val="single" w:color="auto" w:sz="4" w:space="0"/>
            </w:tcBorders>
            <w:vAlign w:val="center"/>
          </w:tcPr>
          <w:p w14:paraId="09D4C4A8">
            <w:pPr>
              <w:widowControl/>
              <w:spacing w:line="240" w:lineRule="auto"/>
              <w:ind w:firstLine="0" w:firstLineChars="0"/>
              <w:jc w:val="center"/>
              <w:rPr>
                <w:rFonts w:ascii="Times New Roman" w:hAnsi="Times New Roman"/>
                <w:b/>
                <w:bCs/>
                <w:kern w:val="0"/>
                <w:sz w:val="24"/>
                <w:szCs w:val="24"/>
              </w:rPr>
            </w:pPr>
          </w:p>
        </w:tc>
        <w:tc>
          <w:tcPr>
            <w:tcW w:w="2229" w:type="dxa"/>
            <w:tcBorders>
              <w:top w:val="nil"/>
              <w:left w:val="single" w:color="auto" w:sz="4" w:space="0"/>
              <w:bottom w:val="single" w:color="auto" w:sz="4" w:space="0"/>
              <w:right w:val="single" w:color="auto" w:sz="4" w:space="0"/>
            </w:tcBorders>
            <w:noWrap/>
            <w:vAlign w:val="center"/>
          </w:tcPr>
          <w:p w14:paraId="4289182E">
            <w:pPr>
              <w:widowControl/>
              <w:spacing w:line="240" w:lineRule="auto"/>
              <w:ind w:firstLine="0" w:firstLineChars="0"/>
              <w:jc w:val="left"/>
              <w:rPr>
                <w:rFonts w:ascii="Times New Roman" w:hAnsi="Times New Roman"/>
                <w:kern w:val="0"/>
                <w:sz w:val="24"/>
                <w:szCs w:val="24"/>
              </w:rPr>
            </w:pPr>
            <w:r>
              <w:rPr>
                <w:rFonts w:ascii="Times New Roman" w:hAnsi="Times New Roman"/>
                <w:kern w:val="0"/>
                <w:sz w:val="24"/>
                <w:szCs w:val="24"/>
              </w:rPr>
              <w:t>基金清算</w:t>
            </w:r>
          </w:p>
        </w:tc>
        <w:tc>
          <w:tcPr>
            <w:tcW w:w="5528" w:type="dxa"/>
            <w:tcBorders>
              <w:top w:val="nil"/>
              <w:left w:val="nil"/>
              <w:bottom w:val="single" w:color="auto" w:sz="4" w:space="0"/>
              <w:right w:val="single" w:color="auto" w:sz="4" w:space="0"/>
            </w:tcBorders>
            <w:noWrap/>
            <w:vAlign w:val="center"/>
          </w:tcPr>
          <w:p w14:paraId="20716A90">
            <w:pPr>
              <w:widowControl/>
              <w:spacing w:line="240" w:lineRule="auto"/>
              <w:ind w:firstLine="0" w:firstLineChars="0"/>
              <w:jc w:val="left"/>
              <w:rPr>
                <w:rFonts w:ascii="Times New Roman" w:hAnsi="Times New Roman"/>
                <w:kern w:val="0"/>
                <w:sz w:val="24"/>
                <w:szCs w:val="24"/>
              </w:rPr>
            </w:pPr>
            <w:r>
              <w:rPr>
                <w:rFonts w:ascii="Times New Roman" w:hAnsi="Times New Roman"/>
                <w:kern w:val="0"/>
                <w:sz w:val="24"/>
                <w:szCs w:val="24"/>
              </w:rPr>
              <w:t>基金清算相关事项公告，相关提示性公告（可选）</w:t>
            </w:r>
          </w:p>
        </w:tc>
      </w:tr>
      <w:tr w14:paraId="5A627082">
        <w:tblPrEx>
          <w:tblCellMar>
            <w:top w:w="0" w:type="dxa"/>
            <w:left w:w="108" w:type="dxa"/>
            <w:bottom w:w="0" w:type="dxa"/>
            <w:right w:w="108" w:type="dxa"/>
          </w:tblCellMar>
        </w:tblPrEx>
        <w:trPr>
          <w:trHeight w:val="855" w:hRule="atLeast"/>
        </w:trPr>
        <w:tc>
          <w:tcPr>
            <w:tcW w:w="1037" w:type="dxa"/>
            <w:vMerge w:val="continue"/>
            <w:tcBorders>
              <w:top w:val="single" w:color="auto" w:sz="4" w:space="0"/>
              <w:left w:val="single" w:color="auto" w:sz="4" w:space="0"/>
              <w:bottom w:val="single" w:color="auto" w:sz="4" w:space="0"/>
              <w:right w:val="single" w:color="auto" w:sz="4" w:space="0"/>
            </w:tcBorders>
            <w:vAlign w:val="center"/>
          </w:tcPr>
          <w:p w14:paraId="5BA18C13">
            <w:pPr>
              <w:widowControl/>
              <w:spacing w:line="240" w:lineRule="auto"/>
              <w:ind w:firstLine="0" w:firstLineChars="0"/>
              <w:jc w:val="center"/>
              <w:rPr>
                <w:rFonts w:ascii="Times New Roman" w:hAnsi="Times New Roman"/>
                <w:b/>
                <w:bCs/>
                <w:kern w:val="0"/>
                <w:sz w:val="24"/>
                <w:szCs w:val="24"/>
              </w:rPr>
            </w:pPr>
          </w:p>
        </w:tc>
        <w:tc>
          <w:tcPr>
            <w:tcW w:w="2229" w:type="dxa"/>
            <w:tcBorders>
              <w:top w:val="nil"/>
              <w:left w:val="single" w:color="auto" w:sz="4" w:space="0"/>
              <w:bottom w:val="single" w:color="auto" w:sz="4" w:space="0"/>
              <w:right w:val="single" w:color="auto" w:sz="4" w:space="0"/>
            </w:tcBorders>
            <w:noWrap/>
            <w:vAlign w:val="center"/>
          </w:tcPr>
          <w:p w14:paraId="5F8793E9">
            <w:pPr>
              <w:widowControl/>
              <w:spacing w:line="240" w:lineRule="auto"/>
              <w:ind w:firstLine="0" w:firstLineChars="0"/>
              <w:jc w:val="left"/>
              <w:rPr>
                <w:rFonts w:ascii="Times New Roman" w:hAnsi="Times New Roman"/>
                <w:kern w:val="0"/>
                <w:sz w:val="24"/>
                <w:szCs w:val="24"/>
              </w:rPr>
            </w:pPr>
            <w:r>
              <w:rPr>
                <w:rFonts w:ascii="Times New Roman" w:hAnsi="Times New Roman"/>
                <w:kern w:val="0"/>
                <w:sz w:val="24"/>
                <w:szCs w:val="24"/>
              </w:rPr>
              <w:t>持有人大会</w:t>
            </w:r>
          </w:p>
        </w:tc>
        <w:tc>
          <w:tcPr>
            <w:tcW w:w="5528" w:type="dxa"/>
            <w:tcBorders>
              <w:top w:val="nil"/>
              <w:left w:val="nil"/>
              <w:bottom w:val="single" w:color="auto" w:sz="4" w:space="0"/>
              <w:right w:val="single" w:color="auto" w:sz="4" w:space="0"/>
            </w:tcBorders>
            <w:vAlign w:val="center"/>
          </w:tcPr>
          <w:p w14:paraId="6F4237C5">
            <w:pPr>
              <w:widowControl/>
              <w:spacing w:line="240" w:lineRule="auto"/>
              <w:ind w:firstLine="0" w:firstLineChars="0"/>
              <w:jc w:val="left"/>
              <w:rPr>
                <w:rFonts w:ascii="Times New Roman" w:hAnsi="Times New Roman"/>
                <w:kern w:val="0"/>
                <w:sz w:val="24"/>
                <w:szCs w:val="24"/>
              </w:rPr>
            </w:pPr>
            <w:r>
              <w:rPr>
                <w:rFonts w:ascii="Times New Roman" w:hAnsi="Times New Roman"/>
                <w:kern w:val="0"/>
                <w:sz w:val="24"/>
                <w:szCs w:val="24"/>
              </w:rPr>
              <w:t>基金持有人大会公告（审议事项）、基金持有人大会提示性公告、基金持有人大会停牌提示性公告、基金持有人大会决议</w:t>
            </w:r>
          </w:p>
        </w:tc>
      </w:tr>
      <w:tr w14:paraId="67F0C3F0">
        <w:tblPrEx>
          <w:tblCellMar>
            <w:top w:w="0" w:type="dxa"/>
            <w:left w:w="108" w:type="dxa"/>
            <w:bottom w:w="0" w:type="dxa"/>
            <w:right w:w="108" w:type="dxa"/>
          </w:tblCellMar>
        </w:tblPrEx>
        <w:trPr>
          <w:trHeight w:val="1943" w:hRule="atLeast"/>
        </w:trPr>
        <w:tc>
          <w:tcPr>
            <w:tcW w:w="1037" w:type="dxa"/>
            <w:vMerge w:val="restart"/>
            <w:tcBorders>
              <w:top w:val="single" w:color="auto" w:sz="4" w:space="0"/>
              <w:left w:val="single" w:color="auto" w:sz="4" w:space="0"/>
              <w:bottom w:val="single" w:color="auto" w:sz="4" w:space="0"/>
              <w:right w:val="single" w:color="auto" w:sz="4" w:space="0"/>
            </w:tcBorders>
            <w:vAlign w:val="center"/>
          </w:tcPr>
          <w:p w14:paraId="0D831375">
            <w:pPr>
              <w:widowControl/>
              <w:spacing w:line="240" w:lineRule="auto"/>
              <w:ind w:firstLine="0" w:firstLineChars="0"/>
              <w:jc w:val="center"/>
              <w:rPr>
                <w:rFonts w:ascii="Times New Roman" w:hAnsi="Times New Roman"/>
                <w:b/>
                <w:bCs/>
                <w:kern w:val="0"/>
                <w:sz w:val="24"/>
                <w:szCs w:val="24"/>
              </w:rPr>
            </w:pPr>
            <w:r>
              <w:rPr>
                <w:rFonts w:ascii="Times New Roman" w:hAnsi="Times New Roman"/>
                <w:b/>
                <w:bCs/>
                <w:kern w:val="0"/>
                <w:sz w:val="24"/>
                <w:szCs w:val="24"/>
              </w:rPr>
              <w:t>基金管理人公告</w:t>
            </w:r>
          </w:p>
        </w:tc>
        <w:tc>
          <w:tcPr>
            <w:tcW w:w="2229" w:type="dxa"/>
            <w:tcBorders>
              <w:top w:val="single" w:color="auto" w:sz="4" w:space="0"/>
              <w:left w:val="nil"/>
              <w:bottom w:val="single" w:color="auto" w:sz="4" w:space="0"/>
              <w:right w:val="single" w:color="auto" w:sz="4" w:space="0"/>
            </w:tcBorders>
            <w:vAlign w:val="center"/>
          </w:tcPr>
          <w:p w14:paraId="788E1604">
            <w:pPr>
              <w:widowControl/>
              <w:spacing w:line="240" w:lineRule="auto"/>
              <w:ind w:firstLine="0" w:firstLineChars="0"/>
              <w:jc w:val="left"/>
              <w:rPr>
                <w:rFonts w:ascii="Times New Roman" w:hAnsi="Times New Roman"/>
                <w:kern w:val="0"/>
                <w:sz w:val="24"/>
                <w:szCs w:val="24"/>
              </w:rPr>
            </w:pPr>
            <w:r>
              <w:rPr>
                <w:rFonts w:ascii="Times New Roman" w:hAnsi="Times New Roman"/>
                <w:kern w:val="0"/>
                <w:sz w:val="24"/>
                <w:szCs w:val="24"/>
              </w:rPr>
              <w:t>基金管理人情况发生变更</w:t>
            </w:r>
          </w:p>
        </w:tc>
        <w:tc>
          <w:tcPr>
            <w:tcW w:w="5528" w:type="dxa"/>
            <w:tcBorders>
              <w:top w:val="single" w:color="auto" w:sz="4" w:space="0"/>
              <w:left w:val="nil"/>
              <w:bottom w:val="single" w:color="auto" w:sz="4" w:space="0"/>
              <w:right w:val="single" w:color="auto" w:sz="4" w:space="0"/>
            </w:tcBorders>
            <w:vAlign w:val="center"/>
          </w:tcPr>
          <w:p w14:paraId="7DEF7F3A">
            <w:pPr>
              <w:widowControl/>
              <w:spacing w:line="240" w:lineRule="auto"/>
              <w:ind w:firstLine="0" w:firstLineChars="0"/>
              <w:jc w:val="left"/>
              <w:rPr>
                <w:rFonts w:ascii="Times New Roman" w:hAnsi="Times New Roman"/>
                <w:kern w:val="0"/>
                <w:sz w:val="24"/>
                <w:szCs w:val="24"/>
              </w:rPr>
            </w:pPr>
            <w:r>
              <w:rPr>
                <w:rFonts w:ascii="Times New Roman" w:hAnsi="Times New Roman"/>
                <w:kern w:val="0"/>
                <w:sz w:val="24"/>
                <w:szCs w:val="24"/>
              </w:rPr>
              <w:t>基金管理人名称、住所发生变更，高级管理人员离任、变更、兼职，设立分公司或分公司成立，董事会及主要业务人员大比例变更，公司地址及电话号码变更，督察长变更等，基金管理人股东及出资情况变更、更换基金管理人等</w:t>
            </w:r>
          </w:p>
        </w:tc>
      </w:tr>
      <w:tr w14:paraId="7B6EAF9B">
        <w:tblPrEx>
          <w:tblCellMar>
            <w:top w:w="0" w:type="dxa"/>
            <w:left w:w="108" w:type="dxa"/>
            <w:bottom w:w="0" w:type="dxa"/>
            <w:right w:w="108" w:type="dxa"/>
          </w:tblCellMar>
        </w:tblPrEx>
        <w:trPr>
          <w:trHeight w:val="285" w:hRule="atLeast"/>
        </w:trPr>
        <w:tc>
          <w:tcPr>
            <w:tcW w:w="1037" w:type="dxa"/>
            <w:vMerge w:val="continue"/>
            <w:tcBorders>
              <w:top w:val="single" w:color="auto" w:sz="4" w:space="0"/>
              <w:left w:val="single" w:color="auto" w:sz="4" w:space="0"/>
              <w:bottom w:val="single" w:color="auto" w:sz="4" w:space="0"/>
              <w:right w:val="single" w:color="auto" w:sz="4" w:space="0"/>
            </w:tcBorders>
            <w:vAlign w:val="center"/>
          </w:tcPr>
          <w:p w14:paraId="1A99AF5F">
            <w:pPr>
              <w:widowControl/>
              <w:spacing w:line="240" w:lineRule="auto"/>
              <w:ind w:firstLine="0" w:firstLineChars="0"/>
              <w:jc w:val="center"/>
              <w:rPr>
                <w:rFonts w:ascii="Times New Roman" w:hAnsi="Times New Roman"/>
                <w:b/>
                <w:bCs/>
                <w:kern w:val="0"/>
                <w:sz w:val="24"/>
                <w:szCs w:val="24"/>
              </w:rPr>
            </w:pPr>
          </w:p>
        </w:tc>
        <w:tc>
          <w:tcPr>
            <w:tcW w:w="2229" w:type="dxa"/>
            <w:tcBorders>
              <w:top w:val="single" w:color="auto" w:sz="4" w:space="0"/>
              <w:left w:val="nil"/>
              <w:bottom w:val="single" w:color="auto" w:sz="4" w:space="0"/>
              <w:right w:val="single" w:color="auto" w:sz="4" w:space="0"/>
            </w:tcBorders>
            <w:vAlign w:val="center"/>
          </w:tcPr>
          <w:p w14:paraId="14E9998B">
            <w:pPr>
              <w:widowControl/>
              <w:spacing w:line="240" w:lineRule="auto"/>
              <w:ind w:firstLine="0" w:firstLineChars="0"/>
              <w:jc w:val="left"/>
              <w:rPr>
                <w:rFonts w:ascii="Times New Roman" w:hAnsi="Times New Roman"/>
                <w:kern w:val="0"/>
                <w:sz w:val="24"/>
                <w:szCs w:val="24"/>
              </w:rPr>
            </w:pPr>
            <w:r>
              <w:rPr>
                <w:rFonts w:ascii="Times New Roman" w:hAnsi="Times New Roman"/>
                <w:kern w:val="0"/>
                <w:sz w:val="24"/>
                <w:szCs w:val="24"/>
              </w:rPr>
              <w:t>基金管理人投资有关事项</w:t>
            </w:r>
          </w:p>
        </w:tc>
        <w:tc>
          <w:tcPr>
            <w:tcW w:w="5528" w:type="dxa"/>
            <w:tcBorders>
              <w:top w:val="single" w:color="auto" w:sz="4" w:space="0"/>
              <w:left w:val="nil"/>
              <w:bottom w:val="single" w:color="auto" w:sz="4" w:space="0"/>
              <w:right w:val="single" w:color="auto" w:sz="4" w:space="0"/>
            </w:tcBorders>
            <w:vAlign w:val="center"/>
          </w:tcPr>
          <w:p w14:paraId="60B42EA7">
            <w:pPr>
              <w:widowControl/>
              <w:spacing w:line="240" w:lineRule="auto"/>
              <w:ind w:firstLine="0" w:firstLineChars="0"/>
              <w:jc w:val="left"/>
              <w:rPr>
                <w:rFonts w:ascii="Times New Roman" w:hAnsi="Times New Roman"/>
                <w:kern w:val="0"/>
                <w:sz w:val="24"/>
                <w:szCs w:val="24"/>
              </w:rPr>
            </w:pPr>
            <w:r>
              <w:rPr>
                <w:rFonts w:ascii="Times New Roman" w:hAnsi="Times New Roman"/>
                <w:kern w:val="0"/>
                <w:sz w:val="24"/>
                <w:szCs w:val="24"/>
              </w:rPr>
              <w:t>基金管理人投资有关的事项</w:t>
            </w:r>
          </w:p>
        </w:tc>
      </w:tr>
      <w:tr w14:paraId="402BBB56">
        <w:tblPrEx>
          <w:tblCellMar>
            <w:top w:w="0" w:type="dxa"/>
            <w:left w:w="108" w:type="dxa"/>
            <w:bottom w:w="0" w:type="dxa"/>
            <w:right w:w="108" w:type="dxa"/>
          </w:tblCellMar>
        </w:tblPrEx>
        <w:trPr>
          <w:trHeight w:val="855" w:hRule="atLeast"/>
        </w:trPr>
        <w:tc>
          <w:tcPr>
            <w:tcW w:w="1037" w:type="dxa"/>
            <w:vMerge w:val="continue"/>
            <w:tcBorders>
              <w:top w:val="single" w:color="auto" w:sz="4" w:space="0"/>
              <w:left w:val="single" w:color="auto" w:sz="4" w:space="0"/>
              <w:bottom w:val="single" w:color="auto" w:sz="4" w:space="0"/>
              <w:right w:val="single" w:color="auto" w:sz="4" w:space="0"/>
            </w:tcBorders>
            <w:vAlign w:val="center"/>
          </w:tcPr>
          <w:p w14:paraId="6053BF93">
            <w:pPr>
              <w:widowControl/>
              <w:spacing w:line="240" w:lineRule="auto"/>
              <w:ind w:firstLine="0" w:firstLineChars="0"/>
              <w:jc w:val="center"/>
              <w:rPr>
                <w:rFonts w:ascii="Times New Roman" w:hAnsi="Times New Roman"/>
                <w:b/>
                <w:bCs/>
                <w:kern w:val="0"/>
                <w:sz w:val="24"/>
                <w:szCs w:val="24"/>
              </w:rPr>
            </w:pPr>
          </w:p>
        </w:tc>
        <w:tc>
          <w:tcPr>
            <w:tcW w:w="2229" w:type="dxa"/>
            <w:tcBorders>
              <w:top w:val="single" w:color="auto" w:sz="4" w:space="0"/>
              <w:left w:val="nil"/>
              <w:bottom w:val="single" w:color="auto" w:sz="4" w:space="0"/>
              <w:right w:val="single" w:color="auto" w:sz="4" w:space="0"/>
            </w:tcBorders>
            <w:noWrap/>
            <w:vAlign w:val="center"/>
          </w:tcPr>
          <w:p w14:paraId="07E94465">
            <w:pPr>
              <w:widowControl/>
              <w:spacing w:line="240" w:lineRule="auto"/>
              <w:ind w:firstLine="0" w:firstLineChars="0"/>
              <w:jc w:val="left"/>
              <w:rPr>
                <w:rFonts w:ascii="Times New Roman" w:hAnsi="Times New Roman"/>
                <w:kern w:val="0"/>
                <w:sz w:val="24"/>
                <w:szCs w:val="24"/>
              </w:rPr>
            </w:pPr>
            <w:r>
              <w:rPr>
                <w:rFonts w:ascii="Times New Roman" w:hAnsi="Times New Roman"/>
                <w:kern w:val="0"/>
                <w:sz w:val="24"/>
                <w:szCs w:val="24"/>
              </w:rPr>
              <w:t>投资者服务</w:t>
            </w:r>
          </w:p>
        </w:tc>
        <w:tc>
          <w:tcPr>
            <w:tcW w:w="5528" w:type="dxa"/>
            <w:tcBorders>
              <w:top w:val="single" w:color="auto" w:sz="4" w:space="0"/>
              <w:left w:val="nil"/>
              <w:bottom w:val="single" w:color="auto" w:sz="4" w:space="0"/>
              <w:right w:val="single" w:color="auto" w:sz="4" w:space="0"/>
            </w:tcBorders>
            <w:vAlign w:val="center"/>
          </w:tcPr>
          <w:p w14:paraId="1AF18FF0">
            <w:pPr>
              <w:widowControl/>
              <w:spacing w:line="240" w:lineRule="auto"/>
              <w:ind w:firstLine="0" w:firstLineChars="0"/>
              <w:jc w:val="left"/>
              <w:rPr>
                <w:rFonts w:ascii="Times New Roman" w:hAnsi="Times New Roman"/>
                <w:kern w:val="0"/>
                <w:sz w:val="24"/>
                <w:szCs w:val="24"/>
              </w:rPr>
            </w:pPr>
            <w:r>
              <w:rPr>
                <w:rFonts w:ascii="Times New Roman" w:hAnsi="Times New Roman"/>
                <w:kern w:val="0"/>
                <w:sz w:val="24"/>
                <w:szCs w:val="24"/>
              </w:rPr>
              <w:t>投资者身份证明相关事项，网站、网上交易及客服系统相关事项，对账单服务，提醒投资者事项等</w:t>
            </w:r>
          </w:p>
        </w:tc>
      </w:tr>
      <w:tr w14:paraId="4B6C929C">
        <w:tblPrEx>
          <w:tblCellMar>
            <w:top w:w="0" w:type="dxa"/>
            <w:left w:w="108" w:type="dxa"/>
            <w:bottom w:w="0" w:type="dxa"/>
            <w:right w:w="108" w:type="dxa"/>
          </w:tblCellMar>
        </w:tblPrEx>
        <w:trPr>
          <w:trHeight w:val="285" w:hRule="atLeast"/>
        </w:trPr>
        <w:tc>
          <w:tcPr>
            <w:tcW w:w="1037" w:type="dxa"/>
            <w:vMerge w:val="continue"/>
            <w:tcBorders>
              <w:top w:val="single" w:color="auto" w:sz="4" w:space="0"/>
              <w:left w:val="single" w:color="auto" w:sz="4" w:space="0"/>
              <w:bottom w:val="single" w:color="auto" w:sz="4" w:space="0"/>
              <w:right w:val="single" w:color="auto" w:sz="4" w:space="0"/>
            </w:tcBorders>
            <w:vAlign w:val="center"/>
          </w:tcPr>
          <w:p w14:paraId="68BEA137">
            <w:pPr>
              <w:widowControl/>
              <w:spacing w:line="240" w:lineRule="auto"/>
              <w:ind w:firstLine="0" w:firstLineChars="0"/>
              <w:jc w:val="center"/>
              <w:rPr>
                <w:rFonts w:ascii="Times New Roman" w:hAnsi="Times New Roman"/>
                <w:b/>
                <w:bCs/>
                <w:kern w:val="0"/>
                <w:sz w:val="24"/>
                <w:szCs w:val="24"/>
              </w:rPr>
            </w:pPr>
          </w:p>
        </w:tc>
        <w:tc>
          <w:tcPr>
            <w:tcW w:w="2229" w:type="dxa"/>
            <w:tcBorders>
              <w:top w:val="nil"/>
              <w:left w:val="nil"/>
              <w:bottom w:val="single" w:color="auto" w:sz="4" w:space="0"/>
              <w:right w:val="single" w:color="auto" w:sz="4" w:space="0"/>
            </w:tcBorders>
            <w:noWrap/>
            <w:vAlign w:val="center"/>
          </w:tcPr>
          <w:p w14:paraId="743BA60D">
            <w:pPr>
              <w:widowControl/>
              <w:spacing w:line="240" w:lineRule="auto"/>
              <w:ind w:firstLine="0" w:firstLineChars="0"/>
              <w:jc w:val="left"/>
              <w:rPr>
                <w:rFonts w:ascii="Times New Roman" w:hAnsi="Times New Roman"/>
                <w:kern w:val="0"/>
                <w:sz w:val="24"/>
                <w:szCs w:val="24"/>
              </w:rPr>
            </w:pPr>
            <w:r>
              <w:rPr>
                <w:rFonts w:ascii="Times New Roman" w:hAnsi="Times New Roman"/>
                <w:kern w:val="0"/>
                <w:sz w:val="24"/>
                <w:szCs w:val="24"/>
              </w:rPr>
              <w:t>基金管理人其它公告</w:t>
            </w:r>
          </w:p>
        </w:tc>
        <w:tc>
          <w:tcPr>
            <w:tcW w:w="5528" w:type="dxa"/>
            <w:tcBorders>
              <w:top w:val="nil"/>
              <w:left w:val="nil"/>
              <w:bottom w:val="single" w:color="auto" w:sz="4" w:space="0"/>
              <w:right w:val="single" w:color="auto" w:sz="4" w:space="0"/>
            </w:tcBorders>
            <w:vAlign w:val="center"/>
          </w:tcPr>
          <w:p w14:paraId="2F5E3038">
            <w:pPr>
              <w:widowControl/>
              <w:spacing w:line="240" w:lineRule="auto"/>
              <w:ind w:firstLine="0" w:firstLineChars="0"/>
              <w:jc w:val="left"/>
              <w:rPr>
                <w:rFonts w:ascii="Times New Roman" w:hAnsi="Times New Roman"/>
                <w:kern w:val="0"/>
                <w:sz w:val="24"/>
                <w:szCs w:val="24"/>
              </w:rPr>
            </w:pPr>
            <w:r>
              <w:rPr>
                <w:rFonts w:ascii="Times New Roman" w:hAnsi="Times New Roman"/>
                <w:kern w:val="0"/>
                <w:sz w:val="24"/>
                <w:szCs w:val="24"/>
              </w:rPr>
              <w:t>基金管理人自身非重大事项的公告</w:t>
            </w:r>
          </w:p>
        </w:tc>
      </w:tr>
      <w:tr w14:paraId="40D58CF2">
        <w:tblPrEx>
          <w:tblCellMar>
            <w:top w:w="0" w:type="dxa"/>
            <w:left w:w="108" w:type="dxa"/>
            <w:bottom w:w="0" w:type="dxa"/>
            <w:right w:w="108" w:type="dxa"/>
          </w:tblCellMar>
        </w:tblPrEx>
        <w:trPr>
          <w:trHeight w:val="285" w:hRule="atLeast"/>
        </w:trPr>
        <w:tc>
          <w:tcPr>
            <w:tcW w:w="1037" w:type="dxa"/>
            <w:tcBorders>
              <w:top w:val="nil"/>
              <w:left w:val="single" w:color="auto" w:sz="4" w:space="0"/>
              <w:bottom w:val="single" w:color="auto" w:sz="4" w:space="0"/>
              <w:right w:val="single" w:color="auto" w:sz="4" w:space="0"/>
            </w:tcBorders>
            <w:noWrap/>
            <w:vAlign w:val="center"/>
          </w:tcPr>
          <w:p w14:paraId="1F414257">
            <w:pPr>
              <w:widowControl/>
              <w:spacing w:line="240" w:lineRule="auto"/>
              <w:ind w:firstLine="0" w:firstLineChars="0"/>
              <w:jc w:val="center"/>
              <w:rPr>
                <w:rFonts w:ascii="Times New Roman" w:hAnsi="Times New Roman"/>
                <w:b/>
                <w:bCs/>
                <w:kern w:val="0"/>
                <w:sz w:val="24"/>
                <w:szCs w:val="24"/>
              </w:rPr>
            </w:pPr>
            <w:r>
              <w:rPr>
                <w:rFonts w:ascii="Times New Roman" w:hAnsi="Times New Roman"/>
                <w:b/>
                <w:bCs/>
                <w:kern w:val="0"/>
                <w:sz w:val="24"/>
                <w:szCs w:val="24"/>
              </w:rPr>
              <w:t>其他</w:t>
            </w:r>
          </w:p>
          <w:p w14:paraId="259ACB04">
            <w:pPr>
              <w:widowControl/>
              <w:spacing w:line="240" w:lineRule="auto"/>
              <w:ind w:firstLine="0" w:firstLineChars="0"/>
              <w:jc w:val="center"/>
              <w:rPr>
                <w:rFonts w:ascii="Times New Roman" w:hAnsi="Times New Roman"/>
                <w:b/>
                <w:bCs/>
                <w:kern w:val="0"/>
                <w:sz w:val="24"/>
                <w:szCs w:val="24"/>
              </w:rPr>
            </w:pPr>
            <w:r>
              <w:rPr>
                <w:rFonts w:ascii="Times New Roman" w:hAnsi="Times New Roman"/>
                <w:b/>
                <w:bCs/>
                <w:kern w:val="0"/>
                <w:sz w:val="24"/>
                <w:szCs w:val="24"/>
              </w:rPr>
              <w:t>公告</w:t>
            </w:r>
          </w:p>
        </w:tc>
        <w:tc>
          <w:tcPr>
            <w:tcW w:w="2229" w:type="dxa"/>
            <w:tcBorders>
              <w:top w:val="nil"/>
              <w:left w:val="nil"/>
              <w:bottom w:val="single" w:color="auto" w:sz="4" w:space="0"/>
              <w:right w:val="single" w:color="auto" w:sz="4" w:space="0"/>
            </w:tcBorders>
            <w:noWrap/>
            <w:vAlign w:val="center"/>
          </w:tcPr>
          <w:p w14:paraId="3E6B0FE7">
            <w:pPr>
              <w:widowControl/>
              <w:spacing w:line="240" w:lineRule="auto"/>
              <w:ind w:firstLine="0" w:firstLineChars="0"/>
              <w:jc w:val="left"/>
              <w:rPr>
                <w:rFonts w:ascii="Times New Roman" w:hAnsi="Times New Roman"/>
                <w:kern w:val="0"/>
                <w:sz w:val="24"/>
                <w:szCs w:val="24"/>
              </w:rPr>
            </w:pPr>
            <w:r>
              <w:rPr>
                <w:rFonts w:ascii="Times New Roman" w:hAnsi="Times New Roman"/>
                <w:kern w:val="0"/>
                <w:sz w:val="24"/>
                <w:szCs w:val="24"/>
              </w:rPr>
              <w:t>其他公告事项</w:t>
            </w:r>
          </w:p>
        </w:tc>
        <w:tc>
          <w:tcPr>
            <w:tcW w:w="5528" w:type="dxa"/>
            <w:tcBorders>
              <w:top w:val="nil"/>
              <w:left w:val="nil"/>
              <w:bottom w:val="single" w:color="auto" w:sz="4" w:space="0"/>
              <w:right w:val="single" w:color="auto" w:sz="4" w:space="0"/>
            </w:tcBorders>
            <w:noWrap/>
            <w:vAlign w:val="center"/>
          </w:tcPr>
          <w:p w14:paraId="2C4DD448">
            <w:pPr>
              <w:widowControl/>
              <w:spacing w:line="240" w:lineRule="auto"/>
              <w:ind w:firstLine="0" w:firstLineChars="0"/>
              <w:jc w:val="left"/>
              <w:rPr>
                <w:rFonts w:ascii="Times New Roman" w:hAnsi="Times New Roman"/>
                <w:kern w:val="0"/>
                <w:sz w:val="24"/>
                <w:szCs w:val="24"/>
              </w:rPr>
            </w:pPr>
            <w:r>
              <w:rPr>
                <w:rFonts w:ascii="Times New Roman" w:hAnsi="Times New Roman"/>
                <w:kern w:val="0"/>
                <w:sz w:val="24"/>
                <w:szCs w:val="24"/>
              </w:rPr>
              <w:t>信息披露义务人披露的其他公告</w:t>
            </w:r>
          </w:p>
        </w:tc>
      </w:tr>
    </w:tbl>
    <w:p w14:paraId="5B8D01FE">
      <w:pPr>
        <w:ind w:firstLine="0" w:firstLineChars="0"/>
      </w:pPr>
      <w:r>
        <w:rPr>
          <w:rFonts w:hint="eastAsia"/>
        </w:rPr>
        <w:t>注：本所对定期报告和基金管理人公告进行</w:t>
      </w:r>
      <w:r>
        <w:rPr>
          <w:rFonts w:ascii="Times New Roman"/>
          <w:kern w:val="0"/>
        </w:rPr>
        <w:t>事前登记、事后核对</w:t>
      </w:r>
      <w:r>
        <w:rPr>
          <w:rFonts w:hint="eastAsia" w:ascii="Times New Roman"/>
          <w:kern w:val="0"/>
        </w:rPr>
        <w:t>，对临时报告、基金运作报告、其他公告等信息披露文件进行事前核对。</w:t>
      </w:r>
    </w:p>
    <w:p w14:paraId="4B92648F">
      <w:pPr>
        <w:widowControl/>
        <w:spacing w:line="240" w:lineRule="auto"/>
        <w:ind w:firstLine="0" w:firstLineChars="0"/>
        <w:jc w:val="left"/>
      </w:pPr>
      <w:r>
        <w:br w:type="page"/>
      </w:r>
    </w:p>
    <w:p w14:paraId="4A28A262">
      <w:pPr>
        <w:pStyle w:val="3"/>
        <w:spacing w:before="156" w:after="156"/>
        <w:ind w:firstLine="199" w:firstLineChars="62"/>
        <w:rPr>
          <w:rFonts w:ascii="Times New Roman" w:hAnsi="Times New Roman"/>
          <w:kern w:val="0"/>
        </w:rPr>
      </w:pPr>
      <w:bookmarkStart w:id="67" w:name="_Toc1428624239"/>
      <w:bookmarkStart w:id="68" w:name="_Toc217484342"/>
      <w:r>
        <w:rPr>
          <w:rFonts w:ascii="Times New Roman" w:hAnsi="Times New Roman"/>
          <w:kern w:val="0"/>
        </w:rPr>
        <w:t>附件</w:t>
      </w:r>
      <w:r>
        <w:rPr>
          <w:rFonts w:hint="eastAsia" w:ascii="Times New Roman" w:hAnsi="Times New Roman"/>
          <w:kern w:val="0"/>
        </w:rPr>
        <w:t>2</w:t>
      </w:r>
      <w:r>
        <w:rPr>
          <w:rFonts w:ascii="Times New Roman" w:hAnsi="Times New Roman"/>
          <w:kern w:val="0"/>
        </w:rPr>
        <w:t xml:space="preserve">  暂停（恢复）转托管公告模板</w:t>
      </w:r>
      <w:bookmarkEnd w:id="67"/>
      <w:bookmarkEnd w:id="68"/>
    </w:p>
    <w:p w14:paraId="13EA5AAD">
      <w:pPr>
        <w:pStyle w:val="16"/>
        <w:snapToGrid w:val="0"/>
        <w:spacing w:before="0" w:beforeAutospacing="0" w:after="0" w:afterAutospacing="0" w:line="360" w:lineRule="auto"/>
        <w:ind w:firstLine="602"/>
        <w:jc w:val="center"/>
        <w:rPr>
          <w:rFonts w:ascii="Times New Roman" w:hAnsi="Times New Roman" w:eastAsia="黑体" w:cs="Times New Roman"/>
          <w:b/>
          <w:sz w:val="30"/>
          <w:szCs w:val="30"/>
        </w:rPr>
      </w:pPr>
    </w:p>
    <w:p w14:paraId="20A566DB">
      <w:pPr>
        <w:pStyle w:val="16"/>
        <w:snapToGrid w:val="0"/>
        <w:spacing w:before="0" w:beforeAutospacing="0" w:after="0" w:afterAutospacing="0" w:line="360" w:lineRule="auto"/>
        <w:ind w:firstLine="602"/>
        <w:jc w:val="center"/>
        <w:rPr>
          <w:rFonts w:ascii="Times New Roman" w:hAnsi="Times New Roman" w:eastAsia="黑体" w:cs="Times New Roman"/>
          <w:b/>
          <w:sz w:val="30"/>
          <w:szCs w:val="30"/>
        </w:rPr>
      </w:pPr>
      <w:r>
        <w:rPr>
          <w:rFonts w:ascii="Times New Roman" w:hAnsi="Times New Roman" w:eastAsia="黑体" w:cs="Times New Roman"/>
          <w:b/>
          <w:sz w:val="30"/>
          <w:szCs w:val="30"/>
        </w:rPr>
        <w:t>XX基金公司关于XXX公募REIT暂停（恢复）转托管业务的公告</w:t>
      </w:r>
    </w:p>
    <w:p w14:paraId="0467A865">
      <w:pPr>
        <w:pStyle w:val="16"/>
        <w:snapToGrid w:val="0"/>
        <w:spacing w:before="0" w:beforeAutospacing="0" w:after="0" w:afterAutospacing="0" w:line="360" w:lineRule="auto"/>
        <w:ind w:firstLine="602"/>
        <w:jc w:val="both"/>
        <w:rPr>
          <w:rFonts w:ascii="Times New Roman" w:hAnsi="Times New Roman" w:eastAsia="仿宋_GB2312" w:cs="Times New Roman"/>
          <w:b/>
          <w:bCs/>
          <w:sz w:val="30"/>
          <w:szCs w:val="30"/>
        </w:rPr>
      </w:pPr>
      <w:r>
        <w:rPr>
          <w:rFonts w:ascii="Times New Roman" w:hAnsi="Times New Roman" w:eastAsia="仿宋_GB2312" w:cs="Times New Roman"/>
          <w:b/>
          <w:bCs/>
          <w:sz w:val="30"/>
          <w:szCs w:val="30"/>
        </w:rPr>
        <w:t>一、公募REITs基本信息</w:t>
      </w:r>
    </w:p>
    <w:tbl>
      <w:tblPr>
        <w:tblStyle w:val="18"/>
        <w:tblW w:w="0" w:type="auto"/>
        <w:tblInd w:w="39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118"/>
        <w:gridCol w:w="4678"/>
      </w:tblGrid>
      <w:tr w14:paraId="1F726C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9" w:hRule="atLeast"/>
        </w:trPr>
        <w:tc>
          <w:tcPr>
            <w:tcW w:w="3118" w:type="dxa"/>
            <w:vAlign w:val="center"/>
          </w:tcPr>
          <w:p w14:paraId="17B3CD16">
            <w:pPr>
              <w:pStyle w:val="16"/>
              <w:snapToGrid w:val="0"/>
              <w:spacing w:before="0" w:beforeAutospacing="0" w:after="0" w:afterAutospacing="0" w:line="360" w:lineRule="auto"/>
              <w:ind w:firstLine="0" w:firstLineChars="0"/>
              <w:jc w:val="both"/>
              <w:rPr>
                <w:rFonts w:ascii="Times New Roman" w:hAnsi="Times New Roman" w:eastAsia="仿宋_GB2312" w:cs="Times New Roman"/>
              </w:rPr>
            </w:pPr>
            <w:r>
              <w:rPr>
                <w:rFonts w:ascii="Times New Roman" w:hAnsi="Times New Roman" w:eastAsia="仿宋_GB2312" w:cs="Times New Roman"/>
              </w:rPr>
              <w:t>公募REITs名称</w:t>
            </w:r>
          </w:p>
        </w:tc>
        <w:tc>
          <w:tcPr>
            <w:tcW w:w="4678" w:type="dxa"/>
            <w:vAlign w:val="center"/>
          </w:tcPr>
          <w:p w14:paraId="67CF86C7">
            <w:pPr>
              <w:pStyle w:val="16"/>
              <w:snapToGrid w:val="0"/>
              <w:spacing w:before="0" w:beforeAutospacing="0" w:after="0" w:afterAutospacing="0" w:line="360" w:lineRule="auto"/>
              <w:ind w:firstLine="0" w:firstLineChars="0"/>
              <w:jc w:val="both"/>
              <w:rPr>
                <w:rFonts w:ascii="Times New Roman" w:hAnsi="Times New Roman" w:eastAsia="仿宋_GB2312" w:cs="Times New Roman"/>
              </w:rPr>
            </w:pPr>
          </w:p>
        </w:tc>
      </w:tr>
      <w:tr w14:paraId="572EA0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9" w:hRule="atLeast"/>
        </w:trPr>
        <w:tc>
          <w:tcPr>
            <w:tcW w:w="3118" w:type="dxa"/>
            <w:vAlign w:val="center"/>
          </w:tcPr>
          <w:p w14:paraId="03BBBC37">
            <w:pPr>
              <w:pStyle w:val="16"/>
              <w:snapToGrid w:val="0"/>
              <w:spacing w:before="0" w:beforeAutospacing="0" w:after="0" w:afterAutospacing="0" w:line="360" w:lineRule="auto"/>
              <w:ind w:firstLine="0" w:firstLineChars="0"/>
              <w:jc w:val="both"/>
              <w:rPr>
                <w:rFonts w:ascii="Times New Roman" w:hAnsi="Times New Roman" w:eastAsia="仿宋_GB2312" w:cs="Times New Roman"/>
              </w:rPr>
            </w:pPr>
            <w:r>
              <w:rPr>
                <w:rFonts w:ascii="Times New Roman" w:hAnsi="Times New Roman" w:eastAsia="仿宋_GB2312" w:cs="Times New Roman"/>
              </w:rPr>
              <w:t>公募REITs简称</w:t>
            </w:r>
          </w:p>
        </w:tc>
        <w:tc>
          <w:tcPr>
            <w:tcW w:w="4678" w:type="dxa"/>
            <w:vAlign w:val="center"/>
          </w:tcPr>
          <w:p w14:paraId="54302CAC">
            <w:pPr>
              <w:pStyle w:val="16"/>
              <w:snapToGrid w:val="0"/>
              <w:spacing w:before="0" w:beforeAutospacing="0" w:after="0" w:afterAutospacing="0" w:line="360" w:lineRule="auto"/>
              <w:ind w:firstLine="0" w:firstLineChars="0"/>
              <w:jc w:val="both"/>
              <w:rPr>
                <w:rFonts w:ascii="Times New Roman" w:hAnsi="Times New Roman" w:eastAsia="仿宋_GB2312" w:cs="Times New Roman"/>
              </w:rPr>
            </w:pPr>
          </w:p>
        </w:tc>
      </w:tr>
      <w:tr w14:paraId="58D41B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trPr>
        <w:tc>
          <w:tcPr>
            <w:tcW w:w="3118" w:type="dxa"/>
            <w:vAlign w:val="center"/>
          </w:tcPr>
          <w:p w14:paraId="32C2873B">
            <w:pPr>
              <w:pStyle w:val="16"/>
              <w:snapToGrid w:val="0"/>
              <w:spacing w:before="0" w:beforeAutospacing="0" w:after="0" w:afterAutospacing="0" w:line="360" w:lineRule="auto"/>
              <w:ind w:firstLine="0" w:firstLineChars="0"/>
              <w:jc w:val="both"/>
              <w:rPr>
                <w:rFonts w:ascii="Times New Roman" w:hAnsi="Times New Roman" w:eastAsia="仿宋_GB2312" w:cs="Times New Roman"/>
              </w:rPr>
            </w:pPr>
            <w:r>
              <w:rPr>
                <w:rFonts w:ascii="Times New Roman" w:hAnsi="Times New Roman" w:eastAsia="仿宋_GB2312" w:cs="Times New Roman"/>
              </w:rPr>
              <w:t>公募REITs代码</w:t>
            </w:r>
          </w:p>
        </w:tc>
        <w:tc>
          <w:tcPr>
            <w:tcW w:w="4678" w:type="dxa"/>
            <w:vAlign w:val="center"/>
          </w:tcPr>
          <w:p w14:paraId="6BCAA977">
            <w:pPr>
              <w:pStyle w:val="16"/>
              <w:snapToGrid w:val="0"/>
              <w:spacing w:before="0" w:beforeAutospacing="0" w:after="0" w:afterAutospacing="0" w:line="360" w:lineRule="auto"/>
              <w:ind w:firstLine="0" w:firstLineChars="0"/>
              <w:jc w:val="both"/>
              <w:rPr>
                <w:rFonts w:ascii="Times New Roman" w:hAnsi="Times New Roman" w:eastAsia="仿宋_GB2312" w:cs="Times New Roman"/>
              </w:rPr>
            </w:pPr>
          </w:p>
        </w:tc>
      </w:tr>
      <w:tr w14:paraId="5CEB6E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trPr>
        <w:tc>
          <w:tcPr>
            <w:tcW w:w="3118" w:type="dxa"/>
            <w:vAlign w:val="center"/>
          </w:tcPr>
          <w:p w14:paraId="5C323B5A">
            <w:pPr>
              <w:pStyle w:val="16"/>
              <w:snapToGrid w:val="0"/>
              <w:spacing w:before="0" w:beforeAutospacing="0" w:after="0" w:afterAutospacing="0" w:line="360" w:lineRule="auto"/>
              <w:ind w:firstLine="0" w:firstLineChars="0"/>
              <w:jc w:val="both"/>
              <w:rPr>
                <w:rFonts w:ascii="Times New Roman" w:hAnsi="Times New Roman" w:eastAsia="仿宋_GB2312" w:cs="Times New Roman"/>
              </w:rPr>
            </w:pPr>
            <w:r>
              <w:rPr>
                <w:rFonts w:ascii="Times New Roman" w:hAnsi="Times New Roman" w:eastAsia="仿宋_GB2312" w:cs="Times New Roman"/>
              </w:rPr>
              <w:t>公募REITs合同生效日</w:t>
            </w:r>
          </w:p>
        </w:tc>
        <w:tc>
          <w:tcPr>
            <w:tcW w:w="4678" w:type="dxa"/>
            <w:vAlign w:val="center"/>
          </w:tcPr>
          <w:p w14:paraId="0E1BD5F2">
            <w:pPr>
              <w:pStyle w:val="16"/>
              <w:snapToGrid w:val="0"/>
              <w:spacing w:before="0" w:beforeAutospacing="0" w:after="0" w:afterAutospacing="0" w:line="360" w:lineRule="auto"/>
              <w:ind w:firstLine="0" w:firstLineChars="0"/>
              <w:jc w:val="both"/>
              <w:rPr>
                <w:rFonts w:ascii="Times New Roman" w:hAnsi="Times New Roman" w:eastAsia="仿宋_GB2312" w:cs="Times New Roman"/>
              </w:rPr>
            </w:pPr>
          </w:p>
        </w:tc>
      </w:tr>
      <w:tr w14:paraId="4AB2F0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18" w:type="dxa"/>
            <w:vAlign w:val="center"/>
          </w:tcPr>
          <w:p w14:paraId="4EEC607F">
            <w:pPr>
              <w:pStyle w:val="16"/>
              <w:snapToGrid w:val="0"/>
              <w:spacing w:before="0" w:beforeAutospacing="0" w:after="0" w:afterAutospacing="0" w:line="360" w:lineRule="auto"/>
              <w:ind w:firstLine="0" w:firstLineChars="0"/>
              <w:jc w:val="both"/>
              <w:rPr>
                <w:rFonts w:ascii="Times New Roman" w:hAnsi="Times New Roman" w:eastAsia="仿宋_GB2312" w:cs="Times New Roman"/>
              </w:rPr>
            </w:pPr>
            <w:r>
              <w:rPr>
                <w:rFonts w:ascii="Times New Roman" w:hAnsi="Times New Roman" w:eastAsia="仿宋_GB2312" w:cs="Times New Roman"/>
              </w:rPr>
              <w:t>基金管理人名称</w:t>
            </w:r>
          </w:p>
        </w:tc>
        <w:tc>
          <w:tcPr>
            <w:tcW w:w="4678" w:type="dxa"/>
            <w:vAlign w:val="center"/>
          </w:tcPr>
          <w:p w14:paraId="5D3EBBAE">
            <w:pPr>
              <w:pStyle w:val="16"/>
              <w:snapToGrid w:val="0"/>
              <w:spacing w:before="0" w:beforeAutospacing="0" w:after="0" w:afterAutospacing="0" w:line="360" w:lineRule="auto"/>
              <w:ind w:firstLine="0" w:firstLineChars="0"/>
              <w:jc w:val="both"/>
              <w:rPr>
                <w:rFonts w:ascii="Times New Roman" w:hAnsi="Times New Roman" w:eastAsia="仿宋_GB2312" w:cs="Times New Roman"/>
              </w:rPr>
            </w:pPr>
          </w:p>
        </w:tc>
      </w:tr>
      <w:tr w14:paraId="001596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8" w:hRule="atLeast"/>
        </w:trPr>
        <w:tc>
          <w:tcPr>
            <w:tcW w:w="3118" w:type="dxa"/>
            <w:vAlign w:val="center"/>
          </w:tcPr>
          <w:p w14:paraId="4DBBAD59">
            <w:pPr>
              <w:pStyle w:val="16"/>
              <w:snapToGrid w:val="0"/>
              <w:spacing w:before="0" w:beforeAutospacing="0" w:after="0" w:afterAutospacing="0" w:line="360" w:lineRule="auto"/>
              <w:ind w:firstLine="0" w:firstLineChars="0"/>
              <w:jc w:val="both"/>
              <w:rPr>
                <w:rFonts w:ascii="Times New Roman" w:hAnsi="Times New Roman" w:eastAsia="仿宋_GB2312" w:cs="Times New Roman"/>
              </w:rPr>
            </w:pPr>
            <w:r>
              <w:rPr>
                <w:rFonts w:ascii="Times New Roman" w:hAnsi="Times New Roman" w:eastAsia="仿宋_GB2312" w:cs="Times New Roman"/>
              </w:rPr>
              <w:t>基金托管人名称</w:t>
            </w:r>
          </w:p>
        </w:tc>
        <w:tc>
          <w:tcPr>
            <w:tcW w:w="4678" w:type="dxa"/>
            <w:vAlign w:val="center"/>
          </w:tcPr>
          <w:p w14:paraId="33F60474">
            <w:pPr>
              <w:pStyle w:val="16"/>
              <w:snapToGrid w:val="0"/>
              <w:spacing w:before="0" w:beforeAutospacing="0" w:after="0" w:afterAutospacing="0" w:line="360" w:lineRule="auto"/>
              <w:ind w:firstLine="0" w:firstLineChars="0"/>
              <w:jc w:val="both"/>
              <w:rPr>
                <w:rFonts w:ascii="Times New Roman" w:hAnsi="Times New Roman" w:eastAsia="仿宋_GB2312" w:cs="Times New Roman"/>
              </w:rPr>
            </w:pPr>
          </w:p>
        </w:tc>
      </w:tr>
      <w:tr w14:paraId="43CD8D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3118" w:type="dxa"/>
            <w:vAlign w:val="center"/>
          </w:tcPr>
          <w:p w14:paraId="57472D4F">
            <w:pPr>
              <w:pStyle w:val="16"/>
              <w:snapToGrid w:val="0"/>
              <w:spacing w:before="0" w:beforeAutospacing="0" w:after="0" w:afterAutospacing="0" w:line="360" w:lineRule="auto"/>
              <w:ind w:firstLine="0" w:firstLineChars="0"/>
              <w:jc w:val="both"/>
              <w:rPr>
                <w:rFonts w:ascii="Times New Roman" w:hAnsi="Times New Roman" w:eastAsia="仿宋_GB2312" w:cs="Times New Roman"/>
              </w:rPr>
            </w:pPr>
            <w:r>
              <w:rPr>
                <w:rFonts w:ascii="Times New Roman" w:hAnsi="Times New Roman" w:eastAsia="仿宋_GB2312" w:cs="Times New Roman"/>
              </w:rPr>
              <w:t>公告依据</w:t>
            </w:r>
          </w:p>
        </w:tc>
        <w:tc>
          <w:tcPr>
            <w:tcW w:w="4678" w:type="dxa"/>
            <w:vAlign w:val="center"/>
          </w:tcPr>
          <w:p w14:paraId="60A20CAF">
            <w:pPr>
              <w:pStyle w:val="16"/>
              <w:snapToGrid w:val="0"/>
              <w:spacing w:before="0" w:beforeAutospacing="0" w:after="0" w:afterAutospacing="0" w:line="360" w:lineRule="auto"/>
              <w:ind w:firstLine="0" w:firstLineChars="0"/>
              <w:jc w:val="both"/>
              <w:rPr>
                <w:rFonts w:ascii="Times New Roman" w:hAnsi="Times New Roman" w:eastAsia="仿宋_GB2312" w:cs="Times New Roman"/>
              </w:rPr>
            </w:pPr>
          </w:p>
        </w:tc>
      </w:tr>
    </w:tbl>
    <w:p w14:paraId="3FA77419">
      <w:pPr>
        <w:pStyle w:val="16"/>
        <w:snapToGrid w:val="0"/>
        <w:spacing w:before="156" w:beforeLines="50" w:beforeAutospacing="0" w:after="0" w:afterAutospacing="0" w:line="360" w:lineRule="auto"/>
        <w:ind w:firstLine="602"/>
        <w:jc w:val="both"/>
        <w:rPr>
          <w:rFonts w:ascii="Times New Roman" w:hAnsi="Times New Roman" w:eastAsia="仿宋_GB2312" w:cs="Times New Roman"/>
          <w:b/>
          <w:bCs/>
          <w:sz w:val="30"/>
          <w:szCs w:val="30"/>
        </w:rPr>
      </w:pPr>
      <w:r>
        <w:rPr>
          <w:rFonts w:ascii="Times New Roman" w:hAnsi="Times New Roman" w:eastAsia="仿宋_GB2312" w:cs="Times New Roman"/>
          <w:b/>
          <w:bCs/>
          <w:sz w:val="30"/>
          <w:szCs w:val="30"/>
        </w:rPr>
        <w:t>二、公募REITs暂停（恢复）转托管事项</w:t>
      </w:r>
    </w:p>
    <w:p w14:paraId="161DABEA">
      <w:pPr>
        <w:pStyle w:val="16"/>
        <w:snapToGrid w:val="0"/>
        <w:spacing w:before="0" w:beforeAutospacing="0" w:after="0" w:afterAutospacing="0" w:line="360" w:lineRule="auto"/>
        <w:ind w:firstLine="600"/>
        <w:jc w:val="both"/>
        <w:rPr>
          <w:rFonts w:ascii="Times New Roman" w:hAnsi="Times New Roman" w:eastAsia="仿宋_GB2312" w:cs="Times New Roman"/>
          <w:sz w:val="30"/>
          <w:szCs w:val="30"/>
        </w:rPr>
      </w:pPr>
      <w:r>
        <w:rPr>
          <w:rFonts w:ascii="Times New Roman" w:hAnsi="Times New Roman" w:eastAsia="仿宋_GB2312" w:cs="Times New Roman"/>
          <w:sz w:val="30"/>
          <w:szCs w:val="30"/>
        </w:rPr>
        <w:t>因XX（原因），本</w:t>
      </w:r>
      <w:r>
        <w:rPr>
          <w:rFonts w:hint="eastAsia" w:ascii="Times New Roman" w:hAnsi="Times New Roman" w:eastAsia="仿宋_GB2312" w:cs="Times New Roman"/>
          <w:sz w:val="30"/>
          <w:szCs w:val="30"/>
        </w:rPr>
        <w:t>公募</w:t>
      </w:r>
      <w:r>
        <w:rPr>
          <w:rFonts w:ascii="Times New Roman" w:hAnsi="Times New Roman" w:eastAsia="仿宋_GB2312" w:cs="Times New Roman"/>
          <w:sz w:val="30"/>
          <w:szCs w:val="30"/>
        </w:rPr>
        <w:t>REIT将自XX年XX月XX日至XX年XX月XX日暂停/恢复办理转托管业务，并于XX年XX月XX日起恢复转托管业务。</w:t>
      </w:r>
    </w:p>
    <w:p w14:paraId="0B58F8C4">
      <w:pPr>
        <w:pStyle w:val="16"/>
        <w:snapToGrid w:val="0"/>
        <w:spacing w:before="0" w:beforeAutospacing="0" w:after="0" w:afterAutospacing="0" w:line="360" w:lineRule="auto"/>
        <w:ind w:firstLine="602"/>
        <w:jc w:val="both"/>
        <w:rPr>
          <w:rFonts w:ascii="Times New Roman" w:hAnsi="Times New Roman" w:eastAsia="仿宋_GB2312" w:cs="Times New Roman"/>
          <w:b/>
          <w:bCs/>
          <w:sz w:val="30"/>
          <w:szCs w:val="30"/>
        </w:rPr>
      </w:pPr>
      <w:r>
        <w:rPr>
          <w:rFonts w:ascii="Times New Roman" w:hAnsi="Times New Roman" w:eastAsia="仿宋_GB2312" w:cs="Times New Roman"/>
          <w:b/>
          <w:bCs/>
          <w:sz w:val="30"/>
          <w:szCs w:val="30"/>
        </w:rPr>
        <w:t>三、其他需要提示的事项（如有）</w:t>
      </w:r>
    </w:p>
    <w:p w14:paraId="6F4C38FD">
      <w:pPr>
        <w:pStyle w:val="16"/>
        <w:snapToGrid w:val="0"/>
        <w:spacing w:before="0" w:beforeAutospacing="0" w:after="0" w:afterAutospacing="0" w:line="360" w:lineRule="auto"/>
        <w:ind w:firstLine="602"/>
        <w:jc w:val="both"/>
        <w:rPr>
          <w:rFonts w:ascii="Times New Roman" w:hAnsi="Times New Roman" w:eastAsia="仿宋_GB2312" w:cs="Times New Roman"/>
          <w:b/>
          <w:bCs/>
          <w:sz w:val="30"/>
          <w:szCs w:val="30"/>
        </w:rPr>
      </w:pPr>
      <w:r>
        <w:rPr>
          <w:rFonts w:ascii="Times New Roman" w:hAnsi="Times New Roman" w:eastAsia="仿宋_GB2312" w:cs="Times New Roman"/>
          <w:b/>
          <w:bCs/>
          <w:sz w:val="30"/>
          <w:szCs w:val="30"/>
        </w:rPr>
        <w:t>四、相关机构联系方式</w:t>
      </w:r>
    </w:p>
    <w:p w14:paraId="5A332E2E">
      <w:pPr>
        <w:pStyle w:val="16"/>
        <w:snapToGrid w:val="0"/>
        <w:spacing w:before="0" w:beforeAutospacing="0" w:after="0" w:afterAutospacing="0" w:line="360" w:lineRule="auto"/>
        <w:ind w:firstLine="602"/>
        <w:jc w:val="both"/>
        <w:rPr>
          <w:rFonts w:ascii="Times New Roman" w:hAnsi="Times New Roman" w:eastAsia="仿宋_GB2312" w:cs="Times New Roman"/>
          <w:b/>
          <w:bCs/>
          <w:sz w:val="30"/>
          <w:szCs w:val="30"/>
        </w:rPr>
      </w:pPr>
      <w:r>
        <w:rPr>
          <w:rFonts w:ascii="Times New Roman" w:hAnsi="Times New Roman" w:eastAsia="仿宋_GB2312" w:cs="Times New Roman"/>
          <w:b/>
          <w:bCs/>
          <w:sz w:val="30"/>
          <w:szCs w:val="30"/>
        </w:rPr>
        <w:t>五、风险提示</w:t>
      </w:r>
    </w:p>
    <w:p w14:paraId="787F86AE">
      <w:pPr>
        <w:pStyle w:val="16"/>
        <w:snapToGrid w:val="0"/>
        <w:spacing w:before="0" w:beforeAutospacing="0" w:after="0" w:afterAutospacing="0" w:line="360" w:lineRule="auto"/>
        <w:ind w:firstLine="600"/>
        <w:jc w:val="both"/>
        <w:rPr>
          <w:rFonts w:ascii="Times New Roman" w:hAnsi="Times New Roman" w:eastAsia="仿宋_GB2312" w:cs="Times New Roman"/>
          <w:sz w:val="30"/>
          <w:szCs w:val="30"/>
        </w:rPr>
      </w:pPr>
      <w:r>
        <w:rPr>
          <w:rFonts w:ascii="Times New Roman" w:hAnsi="Times New Roman" w:eastAsia="仿宋_GB2312" w:cs="Times New Roman"/>
          <w:sz w:val="30"/>
          <w:szCs w:val="30"/>
        </w:rPr>
        <w:t>特此公告</w:t>
      </w:r>
    </w:p>
    <w:p w14:paraId="4F5EB799">
      <w:pPr>
        <w:pStyle w:val="16"/>
        <w:snapToGrid w:val="0"/>
        <w:spacing w:before="0" w:beforeAutospacing="0" w:after="0" w:afterAutospacing="0" w:line="360" w:lineRule="auto"/>
        <w:ind w:firstLine="600"/>
        <w:jc w:val="right"/>
        <w:rPr>
          <w:rFonts w:ascii="Times New Roman" w:hAnsi="Times New Roman" w:eastAsia="仿宋_GB2312" w:cs="Times New Roman"/>
          <w:sz w:val="30"/>
          <w:szCs w:val="30"/>
        </w:rPr>
      </w:pPr>
      <w:r>
        <w:rPr>
          <w:rFonts w:ascii="Times New Roman" w:hAnsi="Times New Roman" w:eastAsia="仿宋_GB2312" w:cs="Times New Roman"/>
          <w:sz w:val="30"/>
          <w:szCs w:val="30"/>
        </w:rPr>
        <w:t>XX基金公司</w:t>
      </w:r>
    </w:p>
    <w:p w14:paraId="7FB6421E">
      <w:pPr>
        <w:pStyle w:val="16"/>
        <w:snapToGrid w:val="0"/>
        <w:spacing w:before="0" w:beforeAutospacing="0" w:after="0" w:afterAutospacing="0" w:line="360" w:lineRule="auto"/>
        <w:ind w:firstLine="600"/>
        <w:jc w:val="right"/>
        <w:rPr>
          <w:rFonts w:ascii="Times New Roman" w:hAnsi="Times New Roman" w:eastAsia="仿宋_GB2312" w:cs="Times New Roman"/>
          <w:sz w:val="30"/>
          <w:szCs w:val="30"/>
        </w:rPr>
      </w:pPr>
      <w:r>
        <w:rPr>
          <w:rFonts w:ascii="Times New Roman" w:hAnsi="Times New Roman" w:eastAsia="仿宋_GB2312" w:cs="Times New Roman"/>
          <w:sz w:val="30"/>
          <w:szCs w:val="30"/>
        </w:rPr>
        <w:t>XX年XX月XX日</w:t>
      </w:r>
    </w:p>
    <w:p w14:paraId="0E137B6D">
      <w:pPr>
        <w:pStyle w:val="3"/>
        <w:spacing w:before="156" w:after="156"/>
        <w:ind w:firstLine="199" w:firstLineChars="62"/>
        <w:rPr>
          <w:rFonts w:ascii="Times New Roman" w:hAnsi="Times New Roman"/>
        </w:rPr>
      </w:pPr>
      <w:r>
        <w:rPr>
          <w:rFonts w:ascii="Times New Roman" w:hAnsi="Times New Roman" w:eastAsia="仿宋_GB2312"/>
        </w:rPr>
        <w:br w:type="page"/>
      </w:r>
      <w:bookmarkStart w:id="69" w:name="_Toc217484343"/>
      <w:bookmarkStart w:id="70" w:name="_Toc1297725362"/>
      <w:r>
        <w:rPr>
          <w:rFonts w:ascii="Times New Roman" w:hAnsi="Times New Roman"/>
        </w:rPr>
        <w:t>附件</w:t>
      </w:r>
      <w:r>
        <w:rPr>
          <w:rFonts w:hint="eastAsia" w:ascii="Times New Roman" w:hAnsi="Times New Roman"/>
        </w:rPr>
        <w:t>3</w:t>
      </w:r>
      <w:r>
        <w:rPr>
          <w:rFonts w:ascii="Times New Roman" w:hAnsi="Times New Roman"/>
        </w:rPr>
        <w:t xml:space="preserve">  停复牌公告模板</w:t>
      </w:r>
      <w:bookmarkEnd w:id="69"/>
      <w:bookmarkEnd w:id="70"/>
    </w:p>
    <w:p w14:paraId="1C72C843">
      <w:pPr>
        <w:ind w:firstLine="600"/>
        <w:rPr>
          <w:rFonts w:ascii="Times New Roman" w:hAnsi="Times New Roman"/>
        </w:rPr>
      </w:pPr>
    </w:p>
    <w:p w14:paraId="7A7966A3">
      <w:pPr>
        <w:pStyle w:val="16"/>
        <w:snapToGrid w:val="0"/>
        <w:spacing w:before="0" w:beforeAutospacing="0" w:after="0" w:afterAutospacing="0" w:line="360" w:lineRule="auto"/>
        <w:ind w:firstLine="602"/>
        <w:jc w:val="center"/>
        <w:rPr>
          <w:rFonts w:ascii="Times New Roman" w:hAnsi="Times New Roman" w:eastAsia="黑体" w:cs="Times New Roman"/>
          <w:b/>
          <w:sz w:val="30"/>
          <w:szCs w:val="30"/>
        </w:rPr>
      </w:pPr>
      <w:r>
        <w:rPr>
          <w:rFonts w:ascii="Times New Roman" w:hAnsi="Times New Roman" w:eastAsia="黑体" w:cs="Times New Roman"/>
          <w:b/>
          <w:sz w:val="30"/>
          <w:szCs w:val="30"/>
        </w:rPr>
        <w:t>XX基金公司关于XXX公募REIT停复牌的公告</w:t>
      </w:r>
    </w:p>
    <w:p w14:paraId="1E63732D">
      <w:pPr>
        <w:pStyle w:val="16"/>
        <w:snapToGrid w:val="0"/>
        <w:spacing w:before="0" w:beforeAutospacing="0" w:after="0" w:afterAutospacing="0" w:line="360" w:lineRule="auto"/>
        <w:ind w:firstLine="602"/>
        <w:jc w:val="both"/>
        <w:rPr>
          <w:rFonts w:ascii="Times New Roman" w:hAnsi="Times New Roman" w:eastAsia="仿宋_GB2312" w:cs="Times New Roman"/>
          <w:b/>
          <w:bCs/>
          <w:sz w:val="30"/>
          <w:szCs w:val="30"/>
        </w:rPr>
      </w:pPr>
      <w:r>
        <w:rPr>
          <w:rFonts w:ascii="Times New Roman" w:hAnsi="Times New Roman" w:eastAsia="仿宋_GB2312" w:cs="Times New Roman"/>
          <w:b/>
          <w:bCs/>
          <w:sz w:val="30"/>
          <w:szCs w:val="30"/>
        </w:rPr>
        <w:t>一、公募REITs基本信息</w:t>
      </w:r>
    </w:p>
    <w:tbl>
      <w:tblPr>
        <w:tblStyle w:val="18"/>
        <w:tblW w:w="0" w:type="auto"/>
        <w:tblInd w:w="39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118"/>
        <w:gridCol w:w="4678"/>
      </w:tblGrid>
      <w:tr w14:paraId="673730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9" w:hRule="atLeast"/>
        </w:trPr>
        <w:tc>
          <w:tcPr>
            <w:tcW w:w="3118" w:type="dxa"/>
            <w:vAlign w:val="center"/>
          </w:tcPr>
          <w:p w14:paraId="684657D7">
            <w:pPr>
              <w:pStyle w:val="16"/>
              <w:snapToGrid w:val="0"/>
              <w:spacing w:before="0" w:beforeAutospacing="0" w:after="0" w:afterAutospacing="0" w:line="360" w:lineRule="auto"/>
              <w:ind w:firstLine="0" w:firstLineChars="0"/>
              <w:jc w:val="both"/>
              <w:rPr>
                <w:rFonts w:ascii="Times New Roman" w:hAnsi="Times New Roman" w:eastAsia="仿宋_GB2312" w:cs="Times New Roman"/>
              </w:rPr>
            </w:pPr>
            <w:r>
              <w:rPr>
                <w:rFonts w:ascii="Times New Roman" w:hAnsi="Times New Roman" w:eastAsia="仿宋_GB2312" w:cs="Times New Roman"/>
              </w:rPr>
              <w:t>公募REITs名称</w:t>
            </w:r>
          </w:p>
        </w:tc>
        <w:tc>
          <w:tcPr>
            <w:tcW w:w="4678" w:type="dxa"/>
            <w:vAlign w:val="center"/>
          </w:tcPr>
          <w:p w14:paraId="6DA4D2C8">
            <w:pPr>
              <w:pStyle w:val="16"/>
              <w:snapToGrid w:val="0"/>
              <w:spacing w:before="0" w:beforeAutospacing="0" w:after="0" w:afterAutospacing="0" w:line="360" w:lineRule="auto"/>
              <w:ind w:firstLine="0" w:firstLineChars="0"/>
              <w:jc w:val="both"/>
              <w:rPr>
                <w:rFonts w:ascii="Times New Roman" w:hAnsi="Times New Roman" w:eastAsia="仿宋_GB2312" w:cs="Times New Roman"/>
              </w:rPr>
            </w:pPr>
          </w:p>
        </w:tc>
      </w:tr>
      <w:tr w14:paraId="2E2A21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9" w:hRule="atLeast"/>
        </w:trPr>
        <w:tc>
          <w:tcPr>
            <w:tcW w:w="3118" w:type="dxa"/>
            <w:vAlign w:val="center"/>
          </w:tcPr>
          <w:p w14:paraId="4B43E3BE">
            <w:pPr>
              <w:pStyle w:val="16"/>
              <w:snapToGrid w:val="0"/>
              <w:spacing w:before="0" w:beforeAutospacing="0" w:after="0" w:afterAutospacing="0" w:line="360" w:lineRule="auto"/>
              <w:ind w:firstLine="0" w:firstLineChars="0"/>
              <w:jc w:val="both"/>
              <w:rPr>
                <w:rFonts w:ascii="Times New Roman" w:hAnsi="Times New Roman" w:eastAsia="仿宋_GB2312" w:cs="Times New Roman"/>
              </w:rPr>
            </w:pPr>
            <w:r>
              <w:rPr>
                <w:rFonts w:ascii="Times New Roman" w:hAnsi="Times New Roman" w:eastAsia="仿宋_GB2312" w:cs="Times New Roman"/>
              </w:rPr>
              <w:t>公募REITs简称</w:t>
            </w:r>
          </w:p>
        </w:tc>
        <w:tc>
          <w:tcPr>
            <w:tcW w:w="4678" w:type="dxa"/>
            <w:vAlign w:val="center"/>
          </w:tcPr>
          <w:p w14:paraId="0684C299">
            <w:pPr>
              <w:pStyle w:val="16"/>
              <w:snapToGrid w:val="0"/>
              <w:spacing w:before="0" w:beforeAutospacing="0" w:after="0" w:afterAutospacing="0" w:line="360" w:lineRule="auto"/>
              <w:ind w:firstLine="0" w:firstLineChars="0"/>
              <w:jc w:val="both"/>
              <w:rPr>
                <w:rFonts w:ascii="Times New Roman" w:hAnsi="Times New Roman" w:eastAsia="仿宋_GB2312" w:cs="Times New Roman"/>
              </w:rPr>
            </w:pPr>
          </w:p>
        </w:tc>
      </w:tr>
      <w:tr w14:paraId="3F236C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trPr>
        <w:tc>
          <w:tcPr>
            <w:tcW w:w="3118" w:type="dxa"/>
            <w:vAlign w:val="center"/>
          </w:tcPr>
          <w:p w14:paraId="21541500">
            <w:pPr>
              <w:pStyle w:val="16"/>
              <w:snapToGrid w:val="0"/>
              <w:spacing w:before="0" w:beforeAutospacing="0" w:after="0" w:afterAutospacing="0" w:line="360" w:lineRule="auto"/>
              <w:ind w:firstLine="0" w:firstLineChars="0"/>
              <w:jc w:val="both"/>
              <w:rPr>
                <w:rFonts w:ascii="Times New Roman" w:hAnsi="Times New Roman" w:eastAsia="仿宋_GB2312" w:cs="Times New Roman"/>
              </w:rPr>
            </w:pPr>
            <w:r>
              <w:rPr>
                <w:rFonts w:ascii="Times New Roman" w:hAnsi="Times New Roman" w:eastAsia="仿宋_GB2312" w:cs="Times New Roman"/>
              </w:rPr>
              <w:t>公募REITs代码</w:t>
            </w:r>
          </w:p>
        </w:tc>
        <w:tc>
          <w:tcPr>
            <w:tcW w:w="4678" w:type="dxa"/>
            <w:vAlign w:val="center"/>
          </w:tcPr>
          <w:p w14:paraId="31B67140">
            <w:pPr>
              <w:pStyle w:val="16"/>
              <w:snapToGrid w:val="0"/>
              <w:spacing w:before="0" w:beforeAutospacing="0" w:after="0" w:afterAutospacing="0" w:line="360" w:lineRule="auto"/>
              <w:ind w:firstLine="0" w:firstLineChars="0"/>
              <w:jc w:val="both"/>
              <w:rPr>
                <w:rFonts w:ascii="Times New Roman" w:hAnsi="Times New Roman" w:eastAsia="仿宋_GB2312" w:cs="Times New Roman"/>
              </w:rPr>
            </w:pPr>
          </w:p>
        </w:tc>
      </w:tr>
      <w:tr w14:paraId="3FAF69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trPr>
        <w:tc>
          <w:tcPr>
            <w:tcW w:w="3118" w:type="dxa"/>
            <w:vAlign w:val="center"/>
          </w:tcPr>
          <w:p w14:paraId="4CFFC8AD">
            <w:pPr>
              <w:pStyle w:val="16"/>
              <w:snapToGrid w:val="0"/>
              <w:spacing w:before="0" w:beforeAutospacing="0" w:after="0" w:afterAutospacing="0" w:line="360" w:lineRule="auto"/>
              <w:ind w:firstLine="0" w:firstLineChars="0"/>
              <w:jc w:val="both"/>
              <w:rPr>
                <w:rFonts w:ascii="Times New Roman" w:hAnsi="Times New Roman" w:eastAsia="仿宋_GB2312" w:cs="Times New Roman"/>
              </w:rPr>
            </w:pPr>
            <w:r>
              <w:rPr>
                <w:rFonts w:ascii="Times New Roman" w:hAnsi="Times New Roman" w:eastAsia="仿宋_GB2312" w:cs="Times New Roman"/>
              </w:rPr>
              <w:t>公募REITs合同生效日</w:t>
            </w:r>
          </w:p>
        </w:tc>
        <w:tc>
          <w:tcPr>
            <w:tcW w:w="4678" w:type="dxa"/>
            <w:vAlign w:val="center"/>
          </w:tcPr>
          <w:p w14:paraId="0BC27FD9">
            <w:pPr>
              <w:pStyle w:val="16"/>
              <w:snapToGrid w:val="0"/>
              <w:spacing w:before="0" w:beforeAutospacing="0" w:after="0" w:afterAutospacing="0" w:line="360" w:lineRule="auto"/>
              <w:ind w:firstLine="0" w:firstLineChars="0"/>
              <w:jc w:val="both"/>
              <w:rPr>
                <w:rFonts w:ascii="Times New Roman" w:hAnsi="Times New Roman" w:eastAsia="仿宋_GB2312" w:cs="Times New Roman"/>
              </w:rPr>
            </w:pPr>
          </w:p>
        </w:tc>
      </w:tr>
      <w:tr w14:paraId="107A23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18" w:type="dxa"/>
            <w:vAlign w:val="center"/>
          </w:tcPr>
          <w:p w14:paraId="47821E06">
            <w:pPr>
              <w:pStyle w:val="16"/>
              <w:snapToGrid w:val="0"/>
              <w:spacing w:before="0" w:beforeAutospacing="0" w:after="0" w:afterAutospacing="0" w:line="360" w:lineRule="auto"/>
              <w:ind w:firstLine="0" w:firstLineChars="0"/>
              <w:jc w:val="both"/>
              <w:rPr>
                <w:rFonts w:ascii="Times New Roman" w:hAnsi="Times New Roman" w:eastAsia="仿宋_GB2312" w:cs="Times New Roman"/>
              </w:rPr>
            </w:pPr>
            <w:r>
              <w:rPr>
                <w:rFonts w:ascii="Times New Roman" w:hAnsi="Times New Roman" w:eastAsia="仿宋_GB2312" w:cs="Times New Roman"/>
              </w:rPr>
              <w:t>基金管理人名称</w:t>
            </w:r>
          </w:p>
        </w:tc>
        <w:tc>
          <w:tcPr>
            <w:tcW w:w="4678" w:type="dxa"/>
            <w:vAlign w:val="center"/>
          </w:tcPr>
          <w:p w14:paraId="65C6A378">
            <w:pPr>
              <w:pStyle w:val="16"/>
              <w:snapToGrid w:val="0"/>
              <w:spacing w:before="0" w:beforeAutospacing="0" w:after="0" w:afterAutospacing="0" w:line="360" w:lineRule="auto"/>
              <w:ind w:firstLine="0" w:firstLineChars="0"/>
              <w:jc w:val="both"/>
              <w:rPr>
                <w:rFonts w:ascii="Times New Roman" w:hAnsi="Times New Roman" w:eastAsia="仿宋_GB2312" w:cs="Times New Roman"/>
              </w:rPr>
            </w:pPr>
          </w:p>
        </w:tc>
      </w:tr>
      <w:tr w14:paraId="7E1141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8" w:hRule="atLeast"/>
        </w:trPr>
        <w:tc>
          <w:tcPr>
            <w:tcW w:w="3118" w:type="dxa"/>
            <w:vAlign w:val="center"/>
          </w:tcPr>
          <w:p w14:paraId="38BF8785">
            <w:pPr>
              <w:pStyle w:val="16"/>
              <w:snapToGrid w:val="0"/>
              <w:spacing w:before="0" w:beforeAutospacing="0" w:after="0" w:afterAutospacing="0" w:line="360" w:lineRule="auto"/>
              <w:ind w:firstLine="0" w:firstLineChars="0"/>
              <w:jc w:val="both"/>
              <w:rPr>
                <w:rFonts w:ascii="Times New Roman" w:hAnsi="Times New Roman" w:eastAsia="仿宋_GB2312" w:cs="Times New Roman"/>
              </w:rPr>
            </w:pPr>
            <w:r>
              <w:rPr>
                <w:rFonts w:ascii="Times New Roman" w:hAnsi="Times New Roman" w:eastAsia="仿宋_GB2312" w:cs="Times New Roman"/>
              </w:rPr>
              <w:t>基金托管人名称</w:t>
            </w:r>
          </w:p>
        </w:tc>
        <w:tc>
          <w:tcPr>
            <w:tcW w:w="4678" w:type="dxa"/>
            <w:vAlign w:val="center"/>
          </w:tcPr>
          <w:p w14:paraId="26BEBACE">
            <w:pPr>
              <w:pStyle w:val="16"/>
              <w:snapToGrid w:val="0"/>
              <w:spacing w:before="0" w:beforeAutospacing="0" w:after="0" w:afterAutospacing="0" w:line="360" w:lineRule="auto"/>
              <w:ind w:firstLine="0" w:firstLineChars="0"/>
              <w:jc w:val="both"/>
              <w:rPr>
                <w:rFonts w:ascii="Times New Roman" w:hAnsi="Times New Roman" w:eastAsia="仿宋_GB2312" w:cs="Times New Roman"/>
              </w:rPr>
            </w:pPr>
          </w:p>
        </w:tc>
      </w:tr>
      <w:tr w14:paraId="57E25F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3118" w:type="dxa"/>
            <w:vAlign w:val="center"/>
          </w:tcPr>
          <w:p w14:paraId="770070D0">
            <w:pPr>
              <w:pStyle w:val="16"/>
              <w:snapToGrid w:val="0"/>
              <w:spacing w:before="0" w:beforeAutospacing="0" w:after="0" w:afterAutospacing="0" w:line="360" w:lineRule="auto"/>
              <w:ind w:firstLine="0" w:firstLineChars="0"/>
              <w:jc w:val="both"/>
              <w:rPr>
                <w:rFonts w:ascii="Times New Roman" w:hAnsi="Times New Roman" w:eastAsia="仿宋_GB2312" w:cs="Times New Roman"/>
              </w:rPr>
            </w:pPr>
            <w:r>
              <w:rPr>
                <w:rFonts w:ascii="Times New Roman" w:hAnsi="Times New Roman" w:eastAsia="仿宋_GB2312" w:cs="Times New Roman"/>
              </w:rPr>
              <w:t>公告依据</w:t>
            </w:r>
          </w:p>
        </w:tc>
        <w:tc>
          <w:tcPr>
            <w:tcW w:w="4678" w:type="dxa"/>
            <w:vAlign w:val="center"/>
          </w:tcPr>
          <w:p w14:paraId="66F4C97B">
            <w:pPr>
              <w:pStyle w:val="16"/>
              <w:snapToGrid w:val="0"/>
              <w:spacing w:before="0" w:beforeAutospacing="0" w:after="0" w:afterAutospacing="0" w:line="360" w:lineRule="auto"/>
              <w:ind w:firstLine="0" w:firstLineChars="0"/>
              <w:jc w:val="both"/>
              <w:rPr>
                <w:rFonts w:ascii="Times New Roman" w:hAnsi="Times New Roman" w:eastAsia="仿宋_GB2312" w:cs="Times New Roman"/>
              </w:rPr>
            </w:pPr>
          </w:p>
        </w:tc>
      </w:tr>
    </w:tbl>
    <w:p w14:paraId="2276C051">
      <w:pPr>
        <w:pStyle w:val="16"/>
        <w:snapToGrid w:val="0"/>
        <w:spacing w:before="156" w:beforeLines="50" w:beforeAutospacing="0" w:after="0" w:afterAutospacing="0" w:line="360" w:lineRule="auto"/>
        <w:ind w:firstLine="602"/>
        <w:jc w:val="both"/>
        <w:rPr>
          <w:rFonts w:ascii="Times New Roman" w:hAnsi="Times New Roman" w:eastAsia="仿宋_GB2312" w:cs="Times New Roman"/>
          <w:b/>
          <w:bCs/>
          <w:sz w:val="30"/>
          <w:szCs w:val="30"/>
        </w:rPr>
      </w:pPr>
      <w:r>
        <w:rPr>
          <w:rFonts w:ascii="Times New Roman" w:hAnsi="Times New Roman" w:eastAsia="仿宋_GB2312" w:cs="Times New Roman"/>
          <w:b/>
          <w:bCs/>
          <w:sz w:val="30"/>
          <w:szCs w:val="30"/>
        </w:rPr>
        <w:t>二、公募REITs停牌（复牌）事项</w:t>
      </w:r>
    </w:p>
    <w:p w14:paraId="40BC9ED8">
      <w:pPr>
        <w:pStyle w:val="16"/>
        <w:snapToGrid w:val="0"/>
        <w:spacing w:before="0" w:beforeAutospacing="0" w:after="0" w:afterAutospacing="0" w:line="360" w:lineRule="auto"/>
        <w:ind w:firstLine="600"/>
        <w:jc w:val="both"/>
        <w:rPr>
          <w:rFonts w:ascii="Times New Roman" w:hAnsi="Times New Roman" w:eastAsia="仿宋_GB2312" w:cs="Times New Roman"/>
          <w:sz w:val="30"/>
          <w:szCs w:val="30"/>
        </w:rPr>
      </w:pPr>
      <w:r>
        <w:rPr>
          <w:rFonts w:ascii="Times New Roman" w:hAnsi="Times New Roman" w:eastAsia="仿宋_GB2312" w:cs="Times New Roman"/>
          <w:sz w:val="30"/>
          <w:szCs w:val="30"/>
        </w:rPr>
        <w:t>因XX（原因），本公募REIT将自XX年XX月XX日起停牌/复牌，并于XX年XX月XX日起复牌。</w:t>
      </w:r>
    </w:p>
    <w:p w14:paraId="1F269FE2">
      <w:pPr>
        <w:pStyle w:val="16"/>
        <w:snapToGrid w:val="0"/>
        <w:spacing w:before="0" w:beforeAutospacing="0" w:after="0" w:afterAutospacing="0" w:line="360" w:lineRule="auto"/>
        <w:ind w:firstLine="600"/>
        <w:jc w:val="both"/>
        <w:rPr>
          <w:rFonts w:ascii="Times New Roman" w:hAnsi="Times New Roman" w:eastAsia="仿宋_GB2312" w:cs="Times New Roman"/>
          <w:sz w:val="30"/>
          <w:szCs w:val="30"/>
        </w:rPr>
      </w:pPr>
      <w:r>
        <w:rPr>
          <w:rFonts w:ascii="Times New Roman" w:hAnsi="Times New Roman" w:eastAsia="仿宋_GB2312" w:cs="Times New Roman"/>
          <w:sz w:val="30"/>
          <w:szCs w:val="30"/>
        </w:rPr>
        <w:t>（紧急停牌的，还应当明确紧急停牌时间段）</w:t>
      </w:r>
    </w:p>
    <w:p w14:paraId="27D06BA8">
      <w:pPr>
        <w:pStyle w:val="16"/>
        <w:snapToGrid w:val="0"/>
        <w:spacing w:before="0" w:beforeAutospacing="0" w:after="0" w:afterAutospacing="0" w:line="360" w:lineRule="auto"/>
        <w:ind w:firstLine="602"/>
        <w:jc w:val="both"/>
        <w:rPr>
          <w:rFonts w:ascii="Times New Roman" w:hAnsi="Times New Roman" w:eastAsia="仿宋_GB2312" w:cs="Times New Roman"/>
          <w:b/>
          <w:bCs/>
          <w:sz w:val="30"/>
          <w:szCs w:val="30"/>
        </w:rPr>
      </w:pPr>
      <w:r>
        <w:rPr>
          <w:rFonts w:ascii="Times New Roman" w:hAnsi="Times New Roman" w:eastAsia="仿宋_GB2312" w:cs="Times New Roman"/>
          <w:b/>
          <w:bCs/>
          <w:sz w:val="30"/>
          <w:szCs w:val="30"/>
        </w:rPr>
        <w:t>三、其他需要提示的事项（如有）</w:t>
      </w:r>
    </w:p>
    <w:p w14:paraId="01BEDB9C">
      <w:pPr>
        <w:pStyle w:val="16"/>
        <w:snapToGrid w:val="0"/>
        <w:spacing w:before="0" w:beforeAutospacing="0" w:after="0" w:afterAutospacing="0" w:line="360" w:lineRule="auto"/>
        <w:ind w:firstLine="602"/>
        <w:jc w:val="both"/>
        <w:rPr>
          <w:rFonts w:ascii="Times New Roman" w:hAnsi="Times New Roman" w:eastAsia="仿宋_GB2312" w:cs="Times New Roman"/>
          <w:b/>
          <w:bCs/>
          <w:sz w:val="30"/>
          <w:szCs w:val="30"/>
        </w:rPr>
      </w:pPr>
      <w:r>
        <w:rPr>
          <w:rFonts w:ascii="Times New Roman" w:hAnsi="Times New Roman" w:eastAsia="仿宋_GB2312" w:cs="Times New Roman"/>
          <w:b/>
          <w:bCs/>
          <w:sz w:val="30"/>
          <w:szCs w:val="30"/>
        </w:rPr>
        <w:t>四、相关机构联系方式</w:t>
      </w:r>
    </w:p>
    <w:p w14:paraId="11FB9F68">
      <w:pPr>
        <w:pStyle w:val="16"/>
        <w:snapToGrid w:val="0"/>
        <w:spacing w:before="0" w:beforeAutospacing="0" w:after="0" w:afterAutospacing="0" w:line="360" w:lineRule="auto"/>
        <w:ind w:firstLine="602"/>
        <w:jc w:val="both"/>
        <w:rPr>
          <w:rFonts w:ascii="Times New Roman" w:hAnsi="Times New Roman" w:eastAsia="仿宋_GB2312" w:cs="Times New Roman"/>
          <w:b/>
          <w:bCs/>
          <w:sz w:val="30"/>
          <w:szCs w:val="30"/>
        </w:rPr>
      </w:pPr>
      <w:r>
        <w:rPr>
          <w:rFonts w:ascii="Times New Roman" w:hAnsi="Times New Roman" w:eastAsia="仿宋_GB2312" w:cs="Times New Roman"/>
          <w:b/>
          <w:bCs/>
          <w:sz w:val="30"/>
          <w:szCs w:val="30"/>
        </w:rPr>
        <w:t>五、风险提示</w:t>
      </w:r>
    </w:p>
    <w:p w14:paraId="7D1F00F1">
      <w:pPr>
        <w:pStyle w:val="16"/>
        <w:snapToGrid w:val="0"/>
        <w:spacing w:before="0" w:beforeAutospacing="0" w:after="0" w:afterAutospacing="0" w:line="360" w:lineRule="auto"/>
        <w:ind w:firstLine="600"/>
        <w:jc w:val="both"/>
        <w:rPr>
          <w:rFonts w:ascii="Times New Roman" w:hAnsi="Times New Roman" w:eastAsia="仿宋_GB2312" w:cs="Times New Roman"/>
          <w:sz w:val="30"/>
          <w:szCs w:val="30"/>
        </w:rPr>
      </w:pPr>
    </w:p>
    <w:p w14:paraId="29741C2E">
      <w:pPr>
        <w:pStyle w:val="16"/>
        <w:snapToGrid w:val="0"/>
        <w:spacing w:before="0" w:beforeAutospacing="0" w:after="0" w:afterAutospacing="0" w:line="360" w:lineRule="auto"/>
        <w:ind w:firstLine="600"/>
        <w:jc w:val="both"/>
        <w:rPr>
          <w:rFonts w:ascii="Times New Roman" w:hAnsi="Times New Roman" w:eastAsia="仿宋_GB2312" w:cs="Times New Roman"/>
          <w:sz w:val="30"/>
          <w:szCs w:val="30"/>
        </w:rPr>
      </w:pPr>
      <w:r>
        <w:rPr>
          <w:rFonts w:ascii="Times New Roman" w:hAnsi="Times New Roman" w:eastAsia="仿宋_GB2312" w:cs="Times New Roman"/>
          <w:sz w:val="30"/>
          <w:szCs w:val="30"/>
        </w:rPr>
        <w:t>特此公告</w:t>
      </w:r>
    </w:p>
    <w:p w14:paraId="6669E9A6">
      <w:pPr>
        <w:pStyle w:val="16"/>
        <w:snapToGrid w:val="0"/>
        <w:spacing w:before="0" w:beforeAutospacing="0" w:after="0" w:afterAutospacing="0" w:line="360" w:lineRule="auto"/>
        <w:ind w:firstLine="600"/>
        <w:jc w:val="both"/>
        <w:rPr>
          <w:rFonts w:ascii="Times New Roman" w:hAnsi="Times New Roman" w:eastAsia="仿宋_GB2312" w:cs="Times New Roman"/>
          <w:sz w:val="30"/>
          <w:szCs w:val="30"/>
        </w:rPr>
      </w:pPr>
    </w:p>
    <w:p w14:paraId="08357673">
      <w:pPr>
        <w:pStyle w:val="16"/>
        <w:snapToGrid w:val="0"/>
        <w:spacing w:before="0" w:beforeAutospacing="0" w:after="0" w:afterAutospacing="0" w:line="360" w:lineRule="auto"/>
        <w:ind w:firstLine="600"/>
        <w:jc w:val="right"/>
        <w:rPr>
          <w:rFonts w:ascii="Times New Roman" w:hAnsi="Times New Roman" w:eastAsia="仿宋_GB2312" w:cs="Times New Roman"/>
          <w:sz w:val="30"/>
          <w:szCs w:val="30"/>
        </w:rPr>
      </w:pPr>
      <w:r>
        <w:rPr>
          <w:rFonts w:ascii="Times New Roman" w:hAnsi="Times New Roman" w:eastAsia="仿宋_GB2312" w:cs="Times New Roman"/>
          <w:sz w:val="30"/>
          <w:szCs w:val="30"/>
        </w:rPr>
        <w:t>XX基金公司</w:t>
      </w:r>
    </w:p>
    <w:p w14:paraId="060DD7E6">
      <w:pPr>
        <w:pStyle w:val="16"/>
        <w:snapToGrid w:val="0"/>
        <w:spacing w:before="0" w:beforeAutospacing="0" w:after="0" w:afterAutospacing="0" w:line="360" w:lineRule="auto"/>
        <w:ind w:firstLine="600"/>
        <w:jc w:val="right"/>
        <w:rPr>
          <w:rFonts w:ascii="Times New Roman" w:hAnsi="Times New Roman" w:eastAsia="仿宋_GB2312" w:cs="Times New Roman"/>
          <w:sz w:val="30"/>
          <w:szCs w:val="30"/>
        </w:rPr>
      </w:pPr>
      <w:r>
        <w:rPr>
          <w:rFonts w:ascii="Times New Roman" w:hAnsi="Times New Roman" w:eastAsia="仿宋_GB2312" w:cs="Times New Roman"/>
          <w:sz w:val="30"/>
          <w:szCs w:val="30"/>
        </w:rPr>
        <w:t>XX年XX月XX日</w:t>
      </w:r>
    </w:p>
    <w:p w14:paraId="5C2035EB">
      <w:pPr>
        <w:pStyle w:val="3"/>
        <w:spacing w:before="156" w:after="156"/>
        <w:ind w:firstLine="0" w:firstLineChars="0"/>
        <w:rPr>
          <w:rFonts w:ascii="Times New Roman" w:hAnsi="Times New Roman"/>
        </w:rPr>
      </w:pPr>
      <w:r>
        <w:rPr>
          <w:rFonts w:ascii="Times New Roman" w:hAnsi="Times New Roman" w:eastAsia="仿宋_GB2312"/>
        </w:rPr>
        <w:br w:type="page"/>
      </w:r>
      <w:bookmarkStart w:id="71" w:name="_Toc217484344"/>
      <w:bookmarkStart w:id="72" w:name="_Toc554616245"/>
      <w:r>
        <w:rPr>
          <w:rFonts w:ascii="Times New Roman" w:hAnsi="Times New Roman"/>
        </w:rPr>
        <w:t>附件</w:t>
      </w:r>
      <w:r>
        <w:rPr>
          <w:rFonts w:hint="eastAsia" w:ascii="Times New Roman" w:hAnsi="Times New Roman"/>
        </w:rPr>
        <w:t>4</w:t>
      </w:r>
      <w:r>
        <w:rPr>
          <w:rFonts w:ascii="Times New Roman" w:hAnsi="Times New Roman"/>
        </w:rPr>
        <w:t xml:space="preserve">  分红公告模板</w:t>
      </w:r>
      <w:bookmarkEnd w:id="71"/>
      <w:bookmarkEnd w:id="72"/>
    </w:p>
    <w:p w14:paraId="5AC16E62">
      <w:pPr>
        <w:pStyle w:val="16"/>
        <w:snapToGrid w:val="0"/>
        <w:spacing w:before="0" w:beforeAutospacing="0" w:after="0" w:afterAutospacing="0" w:line="360" w:lineRule="auto"/>
        <w:ind w:firstLine="602"/>
        <w:jc w:val="center"/>
        <w:rPr>
          <w:rFonts w:ascii="Times New Roman" w:hAnsi="Times New Roman" w:eastAsia="黑体" w:cs="Times New Roman"/>
          <w:b/>
          <w:sz w:val="30"/>
          <w:szCs w:val="30"/>
        </w:rPr>
      </w:pPr>
    </w:p>
    <w:p w14:paraId="49B482AA">
      <w:pPr>
        <w:pStyle w:val="16"/>
        <w:snapToGrid w:val="0"/>
        <w:spacing w:before="0" w:beforeAutospacing="0" w:after="0" w:afterAutospacing="0" w:line="360" w:lineRule="auto"/>
        <w:ind w:firstLine="602"/>
        <w:jc w:val="center"/>
        <w:rPr>
          <w:rFonts w:ascii="Times New Roman" w:hAnsi="Times New Roman" w:eastAsia="黑体" w:cs="Times New Roman"/>
          <w:b/>
          <w:sz w:val="30"/>
          <w:szCs w:val="30"/>
        </w:rPr>
      </w:pPr>
      <w:r>
        <w:rPr>
          <w:rFonts w:ascii="Times New Roman" w:hAnsi="Times New Roman" w:eastAsia="黑体" w:cs="Times New Roman"/>
          <w:b/>
          <w:sz w:val="30"/>
          <w:szCs w:val="30"/>
        </w:rPr>
        <w:t>XX基金公司关于XXX公募REIT分红的公告</w:t>
      </w:r>
    </w:p>
    <w:p w14:paraId="2D057E2A">
      <w:pPr>
        <w:pStyle w:val="16"/>
        <w:snapToGrid w:val="0"/>
        <w:spacing w:before="0" w:beforeAutospacing="0" w:after="0" w:afterAutospacing="0" w:line="360" w:lineRule="auto"/>
        <w:ind w:firstLine="602"/>
        <w:jc w:val="both"/>
        <w:rPr>
          <w:rFonts w:ascii="Times New Roman" w:hAnsi="Times New Roman" w:eastAsia="仿宋_GB2312" w:cs="Times New Roman"/>
          <w:b/>
          <w:bCs/>
          <w:sz w:val="30"/>
          <w:szCs w:val="30"/>
        </w:rPr>
      </w:pPr>
      <w:r>
        <w:rPr>
          <w:rFonts w:ascii="Times New Roman" w:hAnsi="Times New Roman" w:eastAsia="仿宋_GB2312" w:cs="Times New Roman"/>
          <w:b/>
          <w:bCs/>
          <w:sz w:val="30"/>
          <w:szCs w:val="30"/>
        </w:rPr>
        <w:t>一、公募REITs基本信息</w:t>
      </w:r>
    </w:p>
    <w:tbl>
      <w:tblPr>
        <w:tblStyle w:val="1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26"/>
        <w:gridCol w:w="2735"/>
        <w:gridCol w:w="4261"/>
      </w:tblGrid>
      <w:tr w14:paraId="479AFD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9" w:hRule="atLeast"/>
        </w:trPr>
        <w:tc>
          <w:tcPr>
            <w:tcW w:w="4261" w:type="dxa"/>
            <w:gridSpan w:val="2"/>
            <w:vAlign w:val="center"/>
          </w:tcPr>
          <w:p w14:paraId="46C5D2E5">
            <w:pPr>
              <w:pStyle w:val="16"/>
              <w:snapToGrid w:val="0"/>
              <w:spacing w:before="0" w:beforeAutospacing="0" w:after="0" w:afterAutospacing="0" w:line="360" w:lineRule="auto"/>
              <w:ind w:firstLine="0" w:firstLineChars="0"/>
              <w:jc w:val="both"/>
              <w:rPr>
                <w:rFonts w:ascii="Times New Roman" w:hAnsi="Times New Roman" w:eastAsia="仿宋_GB2312" w:cs="Times New Roman"/>
              </w:rPr>
            </w:pPr>
            <w:r>
              <w:rPr>
                <w:rFonts w:ascii="Times New Roman" w:hAnsi="Times New Roman" w:eastAsia="仿宋_GB2312" w:cs="Times New Roman"/>
              </w:rPr>
              <w:t>公募REITs名称</w:t>
            </w:r>
          </w:p>
        </w:tc>
        <w:tc>
          <w:tcPr>
            <w:tcW w:w="4261" w:type="dxa"/>
            <w:vAlign w:val="center"/>
          </w:tcPr>
          <w:p w14:paraId="2E387987">
            <w:pPr>
              <w:pStyle w:val="16"/>
              <w:snapToGrid w:val="0"/>
              <w:spacing w:before="0" w:beforeAutospacing="0" w:after="0" w:afterAutospacing="0" w:line="360" w:lineRule="auto"/>
              <w:ind w:firstLine="0" w:firstLineChars="0"/>
              <w:jc w:val="both"/>
              <w:rPr>
                <w:rFonts w:ascii="Times New Roman" w:hAnsi="Times New Roman" w:eastAsia="仿宋_GB2312" w:cs="Times New Roman"/>
              </w:rPr>
            </w:pPr>
          </w:p>
        </w:tc>
      </w:tr>
      <w:tr w14:paraId="06348C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9" w:hRule="atLeast"/>
        </w:trPr>
        <w:tc>
          <w:tcPr>
            <w:tcW w:w="4261" w:type="dxa"/>
            <w:gridSpan w:val="2"/>
            <w:vAlign w:val="center"/>
          </w:tcPr>
          <w:p w14:paraId="20082999">
            <w:pPr>
              <w:pStyle w:val="16"/>
              <w:snapToGrid w:val="0"/>
              <w:spacing w:before="0" w:beforeAutospacing="0" w:after="0" w:afterAutospacing="0" w:line="360" w:lineRule="auto"/>
              <w:ind w:firstLine="0" w:firstLineChars="0"/>
              <w:jc w:val="both"/>
              <w:rPr>
                <w:rFonts w:ascii="Times New Roman" w:hAnsi="Times New Roman" w:eastAsia="仿宋_GB2312" w:cs="Times New Roman"/>
              </w:rPr>
            </w:pPr>
            <w:r>
              <w:rPr>
                <w:rFonts w:ascii="Times New Roman" w:hAnsi="Times New Roman" w:eastAsia="仿宋_GB2312" w:cs="Times New Roman"/>
              </w:rPr>
              <w:t>公募REITs简称</w:t>
            </w:r>
          </w:p>
        </w:tc>
        <w:tc>
          <w:tcPr>
            <w:tcW w:w="4261" w:type="dxa"/>
            <w:vAlign w:val="center"/>
          </w:tcPr>
          <w:p w14:paraId="743090EB">
            <w:pPr>
              <w:pStyle w:val="16"/>
              <w:snapToGrid w:val="0"/>
              <w:spacing w:before="0" w:beforeAutospacing="0" w:after="0" w:afterAutospacing="0" w:line="360" w:lineRule="auto"/>
              <w:ind w:firstLine="0" w:firstLineChars="0"/>
              <w:jc w:val="both"/>
              <w:rPr>
                <w:rFonts w:ascii="Times New Roman" w:hAnsi="Times New Roman" w:eastAsia="仿宋_GB2312" w:cs="Times New Roman"/>
              </w:rPr>
            </w:pPr>
          </w:p>
        </w:tc>
      </w:tr>
      <w:tr w14:paraId="62A230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trPr>
        <w:tc>
          <w:tcPr>
            <w:tcW w:w="4261" w:type="dxa"/>
            <w:gridSpan w:val="2"/>
            <w:vAlign w:val="center"/>
          </w:tcPr>
          <w:p w14:paraId="28F9DBE0">
            <w:pPr>
              <w:pStyle w:val="16"/>
              <w:snapToGrid w:val="0"/>
              <w:spacing w:before="0" w:beforeAutospacing="0" w:after="0" w:afterAutospacing="0" w:line="360" w:lineRule="auto"/>
              <w:ind w:firstLine="0" w:firstLineChars="0"/>
              <w:jc w:val="both"/>
              <w:rPr>
                <w:rFonts w:ascii="Times New Roman" w:hAnsi="Times New Roman" w:eastAsia="仿宋_GB2312" w:cs="Times New Roman"/>
              </w:rPr>
            </w:pPr>
            <w:r>
              <w:rPr>
                <w:rFonts w:ascii="Times New Roman" w:hAnsi="Times New Roman" w:eastAsia="仿宋_GB2312" w:cs="Times New Roman"/>
              </w:rPr>
              <w:t>公募REITs代码</w:t>
            </w:r>
          </w:p>
        </w:tc>
        <w:tc>
          <w:tcPr>
            <w:tcW w:w="4261" w:type="dxa"/>
            <w:vAlign w:val="center"/>
          </w:tcPr>
          <w:p w14:paraId="1474DF2B">
            <w:pPr>
              <w:pStyle w:val="16"/>
              <w:snapToGrid w:val="0"/>
              <w:spacing w:before="0" w:beforeAutospacing="0" w:after="0" w:afterAutospacing="0" w:line="360" w:lineRule="auto"/>
              <w:ind w:firstLine="0" w:firstLineChars="0"/>
              <w:jc w:val="both"/>
              <w:rPr>
                <w:rFonts w:ascii="Times New Roman" w:hAnsi="Times New Roman" w:eastAsia="仿宋_GB2312" w:cs="Times New Roman"/>
              </w:rPr>
            </w:pPr>
          </w:p>
        </w:tc>
      </w:tr>
      <w:tr w14:paraId="161102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trPr>
        <w:tc>
          <w:tcPr>
            <w:tcW w:w="4261" w:type="dxa"/>
            <w:gridSpan w:val="2"/>
            <w:vAlign w:val="center"/>
          </w:tcPr>
          <w:p w14:paraId="03254A88">
            <w:pPr>
              <w:pStyle w:val="16"/>
              <w:snapToGrid w:val="0"/>
              <w:spacing w:before="0" w:beforeAutospacing="0" w:after="0" w:afterAutospacing="0" w:line="360" w:lineRule="auto"/>
              <w:ind w:firstLine="0" w:firstLineChars="0"/>
              <w:jc w:val="both"/>
              <w:rPr>
                <w:rFonts w:ascii="Times New Roman" w:hAnsi="Times New Roman" w:eastAsia="仿宋_GB2312" w:cs="Times New Roman"/>
              </w:rPr>
            </w:pPr>
            <w:r>
              <w:rPr>
                <w:rFonts w:ascii="Times New Roman" w:hAnsi="Times New Roman" w:eastAsia="仿宋_GB2312" w:cs="Times New Roman"/>
              </w:rPr>
              <w:t>公募REITs合同生效日</w:t>
            </w:r>
          </w:p>
        </w:tc>
        <w:tc>
          <w:tcPr>
            <w:tcW w:w="4261" w:type="dxa"/>
            <w:vAlign w:val="center"/>
          </w:tcPr>
          <w:p w14:paraId="48A8FD7A">
            <w:pPr>
              <w:pStyle w:val="16"/>
              <w:snapToGrid w:val="0"/>
              <w:spacing w:before="0" w:beforeAutospacing="0" w:after="0" w:afterAutospacing="0" w:line="360" w:lineRule="auto"/>
              <w:ind w:firstLine="0" w:firstLineChars="0"/>
              <w:jc w:val="both"/>
              <w:rPr>
                <w:rFonts w:ascii="Times New Roman" w:hAnsi="Times New Roman" w:eastAsia="仿宋_GB2312" w:cs="Times New Roman"/>
              </w:rPr>
            </w:pPr>
          </w:p>
        </w:tc>
      </w:tr>
      <w:tr w14:paraId="7095D0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gridSpan w:val="2"/>
            <w:vAlign w:val="center"/>
          </w:tcPr>
          <w:p w14:paraId="2595BBB4">
            <w:pPr>
              <w:pStyle w:val="16"/>
              <w:snapToGrid w:val="0"/>
              <w:spacing w:before="0" w:beforeAutospacing="0" w:after="0" w:afterAutospacing="0" w:line="360" w:lineRule="auto"/>
              <w:ind w:firstLine="0" w:firstLineChars="0"/>
              <w:jc w:val="both"/>
              <w:rPr>
                <w:rFonts w:ascii="Times New Roman" w:hAnsi="Times New Roman" w:eastAsia="仿宋_GB2312" w:cs="Times New Roman"/>
              </w:rPr>
            </w:pPr>
            <w:r>
              <w:rPr>
                <w:rFonts w:ascii="Times New Roman" w:hAnsi="Times New Roman" w:eastAsia="仿宋_GB2312" w:cs="Times New Roman"/>
              </w:rPr>
              <w:t>基金管理人名称</w:t>
            </w:r>
          </w:p>
        </w:tc>
        <w:tc>
          <w:tcPr>
            <w:tcW w:w="4261" w:type="dxa"/>
            <w:vAlign w:val="center"/>
          </w:tcPr>
          <w:p w14:paraId="7C4EA827">
            <w:pPr>
              <w:pStyle w:val="16"/>
              <w:snapToGrid w:val="0"/>
              <w:spacing w:before="0" w:beforeAutospacing="0" w:after="0" w:afterAutospacing="0" w:line="360" w:lineRule="auto"/>
              <w:ind w:firstLine="0" w:firstLineChars="0"/>
              <w:jc w:val="both"/>
              <w:rPr>
                <w:rFonts w:ascii="Times New Roman" w:hAnsi="Times New Roman" w:eastAsia="仿宋_GB2312" w:cs="Times New Roman"/>
              </w:rPr>
            </w:pPr>
          </w:p>
        </w:tc>
      </w:tr>
      <w:tr w14:paraId="13918D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8" w:hRule="atLeast"/>
        </w:trPr>
        <w:tc>
          <w:tcPr>
            <w:tcW w:w="4261" w:type="dxa"/>
            <w:gridSpan w:val="2"/>
            <w:vAlign w:val="center"/>
          </w:tcPr>
          <w:p w14:paraId="3E5DAA66">
            <w:pPr>
              <w:pStyle w:val="16"/>
              <w:snapToGrid w:val="0"/>
              <w:spacing w:before="0" w:beforeAutospacing="0" w:after="0" w:afterAutospacing="0" w:line="360" w:lineRule="auto"/>
              <w:ind w:firstLine="0" w:firstLineChars="0"/>
              <w:jc w:val="both"/>
              <w:rPr>
                <w:rFonts w:ascii="Times New Roman" w:hAnsi="Times New Roman" w:eastAsia="仿宋_GB2312" w:cs="Times New Roman"/>
              </w:rPr>
            </w:pPr>
            <w:r>
              <w:rPr>
                <w:rFonts w:ascii="Times New Roman" w:hAnsi="Times New Roman" w:eastAsia="仿宋_GB2312" w:cs="Times New Roman"/>
              </w:rPr>
              <w:t>基金托管人名称</w:t>
            </w:r>
          </w:p>
        </w:tc>
        <w:tc>
          <w:tcPr>
            <w:tcW w:w="4261" w:type="dxa"/>
            <w:vAlign w:val="center"/>
          </w:tcPr>
          <w:p w14:paraId="2A5ED802">
            <w:pPr>
              <w:pStyle w:val="16"/>
              <w:snapToGrid w:val="0"/>
              <w:spacing w:before="0" w:beforeAutospacing="0" w:after="0" w:afterAutospacing="0" w:line="360" w:lineRule="auto"/>
              <w:ind w:firstLine="0" w:firstLineChars="0"/>
              <w:jc w:val="both"/>
              <w:rPr>
                <w:rFonts w:ascii="Times New Roman" w:hAnsi="Times New Roman" w:eastAsia="仿宋_GB2312" w:cs="Times New Roman"/>
              </w:rPr>
            </w:pPr>
          </w:p>
        </w:tc>
      </w:tr>
      <w:tr w14:paraId="78F49D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gridSpan w:val="2"/>
            <w:vAlign w:val="center"/>
          </w:tcPr>
          <w:p w14:paraId="51DF307B">
            <w:pPr>
              <w:pStyle w:val="16"/>
              <w:snapToGrid w:val="0"/>
              <w:spacing w:before="0" w:beforeAutospacing="0" w:after="0" w:afterAutospacing="0" w:line="360" w:lineRule="auto"/>
              <w:ind w:firstLine="0" w:firstLineChars="0"/>
              <w:jc w:val="both"/>
              <w:rPr>
                <w:rFonts w:ascii="Times New Roman" w:hAnsi="Times New Roman" w:eastAsia="仿宋_GB2312" w:cs="Times New Roman"/>
              </w:rPr>
            </w:pPr>
            <w:r>
              <w:rPr>
                <w:rFonts w:ascii="Times New Roman" w:hAnsi="Times New Roman" w:eastAsia="仿宋_GB2312" w:cs="Times New Roman"/>
              </w:rPr>
              <w:t>公告依据</w:t>
            </w:r>
          </w:p>
        </w:tc>
        <w:tc>
          <w:tcPr>
            <w:tcW w:w="4261" w:type="dxa"/>
            <w:vAlign w:val="center"/>
          </w:tcPr>
          <w:p w14:paraId="7A53B932">
            <w:pPr>
              <w:pStyle w:val="16"/>
              <w:snapToGrid w:val="0"/>
              <w:spacing w:before="0" w:beforeAutospacing="0" w:after="0" w:afterAutospacing="0" w:line="360" w:lineRule="auto"/>
              <w:ind w:firstLine="0" w:firstLineChars="0"/>
              <w:jc w:val="both"/>
              <w:rPr>
                <w:rFonts w:ascii="Times New Roman" w:hAnsi="Times New Roman" w:eastAsia="仿宋_GB2312" w:cs="Times New Roman"/>
              </w:rPr>
            </w:pPr>
          </w:p>
        </w:tc>
      </w:tr>
      <w:tr w14:paraId="3B9CBA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gridSpan w:val="2"/>
            <w:vAlign w:val="center"/>
          </w:tcPr>
          <w:p w14:paraId="5B3F152D">
            <w:pPr>
              <w:pStyle w:val="16"/>
              <w:snapToGrid w:val="0"/>
              <w:spacing w:before="0" w:beforeAutospacing="0" w:after="0" w:afterAutospacing="0" w:line="360" w:lineRule="auto"/>
              <w:ind w:firstLine="0" w:firstLineChars="0"/>
              <w:jc w:val="both"/>
              <w:rPr>
                <w:rFonts w:ascii="Times New Roman" w:hAnsi="Times New Roman" w:eastAsia="仿宋_GB2312" w:cs="Times New Roman"/>
              </w:rPr>
            </w:pPr>
            <w:r>
              <w:rPr>
                <w:rFonts w:ascii="Times New Roman" w:hAnsi="Times New Roman" w:eastAsia="仿宋_GB2312" w:cs="Times New Roman"/>
              </w:rPr>
              <w:t>收益分配基准日</w:t>
            </w:r>
          </w:p>
        </w:tc>
        <w:tc>
          <w:tcPr>
            <w:tcW w:w="4261" w:type="dxa"/>
            <w:vAlign w:val="center"/>
          </w:tcPr>
          <w:p w14:paraId="1E1C37FD">
            <w:pPr>
              <w:pStyle w:val="16"/>
              <w:snapToGrid w:val="0"/>
              <w:spacing w:before="0" w:beforeAutospacing="0" w:after="0" w:afterAutospacing="0" w:line="360" w:lineRule="auto"/>
              <w:ind w:firstLine="0" w:firstLineChars="0"/>
              <w:jc w:val="both"/>
              <w:rPr>
                <w:rFonts w:ascii="Times New Roman" w:hAnsi="Times New Roman" w:eastAsia="仿宋_GB2312" w:cs="Times New Roman"/>
              </w:rPr>
            </w:pPr>
          </w:p>
        </w:tc>
      </w:tr>
      <w:tr w14:paraId="7FB7F7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trPr>
        <w:tc>
          <w:tcPr>
            <w:tcW w:w="1526" w:type="dxa"/>
            <w:vMerge w:val="restart"/>
            <w:vAlign w:val="center"/>
          </w:tcPr>
          <w:p w14:paraId="069F4551">
            <w:pPr>
              <w:pStyle w:val="16"/>
              <w:snapToGrid w:val="0"/>
              <w:spacing w:line="360" w:lineRule="auto"/>
              <w:ind w:firstLine="0" w:firstLineChars="0"/>
              <w:jc w:val="both"/>
              <w:rPr>
                <w:rFonts w:ascii="Times New Roman" w:hAnsi="Times New Roman" w:eastAsia="仿宋_GB2312" w:cs="Times New Roman"/>
              </w:rPr>
            </w:pPr>
            <w:r>
              <w:rPr>
                <w:rFonts w:ascii="Times New Roman" w:hAnsi="Times New Roman" w:eastAsia="仿宋_GB2312" w:cs="Times New Roman"/>
              </w:rPr>
              <w:t>截止收益分配基准日基金的相关指标</w:t>
            </w:r>
          </w:p>
        </w:tc>
        <w:tc>
          <w:tcPr>
            <w:tcW w:w="2735" w:type="dxa"/>
            <w:vAlign w:val="center"/>
          </w:tcPr>
          <w:p w14:paraId="2732D64C">
            <w:pPr>
              <w:pStyle w:val="16"/>
              <w:snapToGrid w:val="0"/>
              <w:spacing w:line="360" w:lineRule="auto"/>
              <w:ind w:firstLine="0" w:firstLineChars="0"/>
              <w:jc w:val="both"/>
              <w:rPr>
                <w:rFonts w:ascii="Times New Roman" w:hAnsi="Times New Roman" w:eastAsia="仿宋_GB2312" w:cs="Times New Roman"/>
              </w:rPr>
            </w:pPr>
            <w:r>
              <w:rPr>
                <w:rFonts w:ascii="Times New Roman" w:hAnsi="Times New Roman" w:eastAsia="仿宋_GB2312" w:cs="Times New Roman"/>
              </w:rPr>
              <w:t>基准日公募REITs份额净值（单位：元）</w:t>
            </w:r>
          </w:p>
        </w:tc>
        <w:tc>
          <w:tcPr>
            <w:tcW w:w="4261" w:type="dxa"/>
            <w:vAlign w:val="center"/>
          </w:tcPr>
          <w:p w14:paraId="6453D8FB">
            <w:pPr>
              <w:pStyle w:val="16"/>
              <w:snapToGrid w:val="0"/>
              <w:spacing w:before="0" w:beforeAutospacing="0" w:after="0" w:afterAutospacing="0" w:line="360" w:lineRule="auto"/>
              <w:ind w:firstLine="0" w:firstLineChars="0"/>
              <w:jc w:val="both"/>
              <w:rPr>
                <w:rFonts w:ascii="Times New Roman" w:hAnsi="Times New Roman" w:eastAsia="仿宋_GB2312" w:cs="Times New Roman"/>
              </w:rPr>
            </w:pPr>
          </w:p>
        </w:tc>
      </w:tr>
      <w:tr w14:paraId="5D7463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trPr>
        <w:tc>
          <w:tcPr>
            <w:tcW w:w="1526" w:type="dxa"/>
            <w:vMerge w:val="continue"/>
            <w:vAlign w:val="center"/>
          </w:tcPr>
          <w:p w14:paraId="4FAF9B76">
            <w:pPr>
              <w:pStyle w:val="16"/>
              <w:snapToGrid w:val="0"/>
              <w:spacing w:line="360" w:lineRule="auto"/>
              <w:ind w:firstLine="0" w:firstLineChars="0"/>
              <w:jc w:val="both"/>
              <w:rPr>
                <w:rFonts w:ascii="Times New Roman" w:hAnsi="Times New Roman" w:eastAsia="仿宋_GB2312" w:cs="Times New Roman"/>
              </w:rPr>
            </w:pPr>
          </w:p>
        </w:tc>
        <w:tc>
          <w:tcPr>
            <w:tcW w:w="2735" w:type="dxa"/>
            <w:vAlign w:val="center"/>
          </w:tcPr>
          <w:p w14:paraId="1EEBDFA7">
            <w:pPr>
              <w:pStyle w:val="16"/>
              <w:snapToGrid w:val="0"/>
              <w:spacing w:line="360" w:lineRule="auto"/>
              <w:ind w:firstLine="0" w:firstLineChars="0"/>
              <w:jc w:val="both"/>
              <w:rPr>
                <w:rFonts w:ascii="Times New Roman" w:hAnsi="Times New Roman" w:eastAsia="仿宋_GB2312" w:cs="Times New Roman"/>
              </w:rPr>
            </w:pPr>
            <w:r>
              <w:rPr>
                <w:rFonts w:ascii="Times New Roman" w:hAnsi="Times New Roman" w:eastAsia="仿宋_GB2312" w:cs="Times New Roman"/>
              </w:rPr>
              <w:t>基准日公募REITs可供分配金额（单位：元）</w:t>
            </w:r>
          </w:p>
        </w:tc>
        <w:tc>
          <w:tcPr>
            <w:tcW w:w="4261" w:type="dxa"/>
            <w:vAlign w:val="center"/>
          </w:tcPr>
          <w:p w14:paraId="59EFBEB7">
            <w:pPr>
              <w:pStyle w:val="16"/>
              <w:snapToGrid w:val="0"/>
              <w:spacing w:before="0" w:beforeAutospacing="0" w:after="0" w:afterAutospacing="0" w:line="360" w:lineRule="auto"/>
              <w:ind w:firstLine="0" w:firstLineChars="0"/>
              <w:jc w:val="both"/>
              <w:rPr>
                <w:rFonts w:ascii="Times New Roman" w:hAnsi="Times New Roman" w:eastAsia="仿宋_GB2312" w:cs="Times New Roman"/>
              </w:rPr>
            </w:pPr>
          </w:p>
        </w:tc>
      </w:tr>
      <w:tr w14:paraId="13BEB9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5" w:hRule="atLeast"/>
        </w:trPr>
        <w:tc>
          <w:tcPr>
            <w:tcW w:w="1526" w:type="dxa"/>
            <w:vMerge w:val="continue"/>
            <w:vAlign w:val="center"/>
          </w:tcPr>
          <w:p w14:paraId="55160FA1">
            <w:pPr>
              <w:pStyle w:val="16"/>
              <w:snapToGrid w:val="0"/>
              <w:spacing w:line="360" w:lineRule="auto"/>
              <w:ind w:firstLine="0" w:firstLineChars="0"/>
              <w:jc w:val="both"/>
              <w:rPr>
                <w:rFonts w:ascii="Times New Roman" w:hAnsi="Times New Roman" w:eastAsia="仿宋_GB2312" w:cs="Times New Roman"/>
              </w:rPr>
            </w:pPr>
          </w:p>
        </w:tc>
        <w:tc>
          <w:tcPr>
            <w:tcW w:w="2735" w:type="dxa"/>
            <w:vAlign w:val="center"/>
          </w:tcPr>
          <w:p w14:paraId="4A626995">
            <w:pPr>
              <w:pStyle w:val="16"/>
              <w:snapToGrid w:val="0"/>
              <w:spacing w:line="360" w:lineRule="auto"/>
              <w:ind w:firstLine="0" w:firstLineChars="0"/>
              <w:jc w:val="both"/>
              <w:rPr>
                <w:rFonts w:ascii="Times New Roman" w:hAnsi="Times New Roman" w:eastAsia="仿宋_GB2312" w:cs="Times New Roman"/>
              </w:rPr>
            </w:pPr>
            <w:r>
              <w:rPr>
                <w:rFonts w:ascii="Times New Roman" w:hAnsi="Times New Roman" w:eastAsia="仿宋_GB2312" w:cs="Times New Roman"/>
              </w:rPr>
              <w:t>截止基准日公募REITs按照合同约定的分红比例计算的应分配金额（单位：元）</w:t>
            </w:r>
          </w:p>
        </w:tc>
        <w:tc>
          <w:tcPr>
            <w:tcW w:w="4261" w:type="dxa"/>
            <w:vAlign w:val="center"/>
          </w:tcPr>
          <w:p w14:paraId="3C7947A8">
            <w:pPr>
              <w:pStyle w:val="16"/>
              <w:snapToGrid w:val="0"/>
              <w:spacing w:before="0" w:beforeAutospacing="0" w:after="0" w:afterAutospacing="0" w:line="360" w:lineRule="auto"/>
              <w:ind w:firstLine="0" w:firstLineChars="0"/>
              <w:jc w:val="both"/>
              <w:rPr>
                <w:rFonts w:ascii="Times New Roman" w:hAnsi="Times New Roman" w:eastAsia="仿宋_GB2312" w:cs="Times New Roman"/>
              </w:rPr>
            </w:pPr>
          </w:p>
        </w:tc>
      </w:tr>
      <w:tr w14:paraId="01E3CA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8" w:hRule="atLeast"/>
        </w:trPr>
        <w:tc>
          <w:tcPr>
            <w:tcW w:w="4261" w:type="dxa"/>
            <w:gridSpan w:val="2"/>
            <w:vAlign w:val="center"/>
          </w:tcPr>
          <w:p w14:paraId="16D7541B">
            <w:pPr>
              <w:pStyle w:val="16"/>
              <w:snapToGrid w:val="0"/>
              <w:spacing w:line="360" w:lineRule="auto"/>
              <w:ind w:firstLine="0" w:firstLineChars="0"/>
              <w:jc w:val="both"/>
              <w:rPr>
                <w:rFonts w:ascii="Times New Roman" w:hAnsi="Times New Roman" w:eastAsia="仿宋_GB2312" w:cs="Times New Roman"/>
              </w:rPr>
            </w:pPr>
            <w:r>
              <w:rPr>
                <w:rFonts w:ascii="Times New Roman" w:hAnsi="Times New Roman" w:eastAsia="仿宋_GB2312" w:cs="Times New Roman"/>
              </w:rPr>
              <w:t>本次公募REITs分红方案（单位：元/10份基金份额）</w:t>
            </w:r>
          </w:p>
        </w:tc>
        <w:tc>
          <w:tcPr>
            <w:tcW w:w="4261" w:type="dxa"/>
            <w:vAlign w:val="center"/>
          </w:tcPr>
          <w:p w14:paraId="5DC24BD3">
            <w:pPr>
              <w:pStyle w:val="16"/>
              <w:snapToGrid w:val="0"/>
              <w:spacing w:before="0" w:beforeAutospacing="0" w:after="0" w:afterAutospacing="0" w:line="360" w:lineRule="auto"/>
              <w:ind w:firstLine="0" w:firstLineChars="0"/>
              <w:jc w:val="both"/>
              <w:rPr>
                <w:rFonts w:ascii="Times New Roman" w:hAnsi="Times New Roman" w:eastAsia="仿宋_GB2312" w:cs="Times New Roman"/>
              </w:rPr>
            </w:pPr>
          </w:p>
        </w:tc>
      </w:tr>
      <w:tr w14:paraId="2E3F9B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trPr>
        <w:tc>
          <w:tcPr>
            <w:tcW w:w="4261" w:type="dxa"/>
            <w:gridSpan w:val="2"/>
            <w:vAlign w:val="center"/>
          </w:tcPr>
          <w:p w14:paraId="1ADA6DBA">
            <w:pPr>
              <w:pStyle w:val="16"/>
              <w:snapToGrid w:val="0"/>
              <w:spacing w:line="360" w:lineRule="auto"/>
              <w:ind w:firstLine="0" w:firstLineChars="0"/>
              <w:jc w:val="both"/>
              <w:rPr>
                <w:rFonts w:ascii="Times New Roman" w:hAnsi="Times New Roman" w:eastAsia="仿宋_GB2312" w:cs="Times New Roman"/>
              </w:rPr>
            </w:pPr>
            <w:r>
              <w:rPr>
                <w:rFonts w:ascii="Times New Roman" w:hAnsi="Times New Roman" w:eastAsia="仿宋_GB2312" w:cs="Times New Roman"/>
              </w:rPr>
              <w:t>有关年度分红次数的说明</w:t>
            </w:r>
          </w:p>
        </w:tc>
        <w:tc>
          <w:tcPr>
            <w:tcW w:w="4261" w:type="dxa"/>
            <w:vAlign w:val="center"/>
          </w:tcPr>
          <w:p w14:paraId="48B04B25">
            <w:pPr>
              <w:pStyle w:val="16"/>
              <w:snapToGrid w:val="0"/>
              <w:spacing w:before="0" w:beforeAutospacing="0" w:after="0" w:afterAutospacing="0" w:line="360" w:lineRule="auto"/>
              <w:ind w:firstLine="0" w:firstLineChars="0"/>
              <w:jc w:val="both"/>
              <w:rPr>
                <w:rFonts w:ascii="Times New Roman" w:hAnsi="Times New Roman" w:eastAsia="仿宋_GB2312" w:cs="Times New Roman"/>
              </w:rPr>
            </w:pPr>
          </w:p>
        </w:tc>
      </w:tr>
    </w:tbl>
    <w:p w14:paraId="59381F37">
      <w:pPr>
        <w:pStyle w:val="16"/>
        <w:snapToGrid w:val="0"/>
        <w:spacing w:before="156" w:beforeLines="50" w:beforeAutospacing="0" w:after="0" w:afterAutospacing="0" w:line="360" w:lineRule="auto"/>
        <w:ind w:firstLine="0" w:firstLineChars="0"/>
        <w:jc w:val="both"/>
        <w:rPr>
          <w:rFonts w:ascii="Times New Roman" w:hAnsi="Times New Roman" w:eastAsia="仿宋_GB2312" w:cs="Times New Roman"/>
          <w:b/>
          <w:bCs/>
          <w:sz w:val="30"/>
          <w:szCs w:val="30"/>
        </w:rPr>
      </w:pPr>
    </w:p>
    <w:p w14:paraId="5912786A">
      <w:pPr>
        <w:widowControl/>
        <w:spacing w:line="240" w:lineRule="auto"/>
        <w:ind w:firstLine="0" w:firstLineChars="0"/>
        <w:jc w:val="left"/>
        <w:rPr>
          <w:rFonts w:ascii="Times New Roman" w:hAnsi="Times New Roman"/>
          <w:b/>
          <w:bCs/>
          <w:color w:val="000000"/>
          <w:kern w:val="0"/>
          <w:szCs w:val="30"/>
        </w:rPr>
      </w:pPr>
      <w:r>
        <w:rPr>
          <w:rFonts w:ascii="Times New Roman" w:hAnsi="Times New Roman"/>
          <w:b/>
          <w:bCs/>
          <w:szCs w:val="30"/>
        </w:rPr>
        <w:br w:type="page"/>
      </w:r>
    </w:p>
    <w:p w14:paraId="34A268E1">
      <w:pPr>
        <w:pStyle w:val="16"/>
        <w:snapToGrid w:val="0"/>
        <w:spacing w:before="156" w:beforeLines="50" w:beforeAutospacing="0" w:after="0" w:afterAutospacing="0" w:line="360" w:lineRule="auto"/>
        <w:ind w:firstLine="602"/>
        <w:jc w:val="both"/>
        <w:rPr>
          <w:rFonts w:ascii="Times New Roman" w:hAnsi="Times New Roman" w:eastAsia="仿宋_GB2312" w:cs="Times New Roman"/>
          <w:b/>
          <w:bCs/>
          <w:sz w:val="30"/>
          <w:szCs w:val="30"/>
        </w:rPr>
      </w:pPr>
      <w:r>
        <w:rPr>
          <w:rFonts w:ascii="Times New Roman" w:hAnsi="Times New Roman" w:eastAsia="仿宋_GB2312" w:cs="Times New Roman"/>
          <w:b/>
          <w:bCs/>
          <w:sz w:val="30"/>
          <w:szCs w:val="30"/>
        </w:rPr>
        <w:t>二、与分红相关的其他信息</w:t>
      </w:r>
    </w:p>
    <w:tbl>
      <w:tblPr>
        <w:tblStyle w:val="1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61"/>
        <w:gridCol w:w="4261"/>
      </w:tblGrid>
      <w:tr w14:paraId="684740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vAlign w:val="center"/>
          </w:tcPr>
          <w:p w14:paraId="559E4891">
            <w:pPr>
              <w:pStyle w:val="16"/>
              <w:snapToGrid w:val="0"/>
              <w:spacing w:before="0" w:beforeAutospacing="0" w:after="0" w:afterAutospacing="0" w:line="360" w:lineRule="auto"/>
              <w:ind w:firstLine="0" w:firstLineChars="0"/>
              <w:jc w:val="both"/>
              <w:rPr>
                <w:rFonts w:ascii="Times New Roman" w:hAnsi="Times New Roman" w:eastAsia="仿宋_GB2312" w:cs="Times New Roman"/>
              </w:rPr>
            </w:pPr>
            <w:r>
              <w:rPr>
                <w:rFonts w:ascii="Times New Roman" w:hAnsi="Times New Roman" w:eastAsia="仿宋_GB2312" w:cs="Times New Roman"/>
              </w:rPr>
              <w:t>权益登记日</w:t>
            </w:r>
          </w:p>
        </w:tc>
        <w:tc>
          <w:tcPr>
            <w:tcW w:w="4261" w:type="dxa"/>
            <w:vAlign w:val="center"/>
          </w:tcPr>
          <w:p w14:paraId="3452D1CC">
            <w:pPr>
              <w:pStyle w:val="16"/>
              <w:snapToGrid w:val="0"/>
              <w:spacing w:before="0" w:beforeAutospacing="0" w:after="0" w:afterAutospacing="0" w:line="360" w:lineRule="auto"/>
              <w:ind w:firstLine="0" w:firstLineChars="0"/>
              <w:jc w:val="both"/>
              <w:rPr>
                <w:rFonts w:ascii="Times New Roman" w:hAnsi="Times New Roman" w:eastAsia="仿宋_GB2312" w:cs="Times New Roman"/>
              </w:rPr>
            </w:pPr>
          </w:p>
        </w:tc>
      </w:tr>
      <w:tr w14:paraId="2EA83F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vAlign w:val="center"/>
          </w:tcPr>
          <w:p w14:paraId="10917D77">
            <w:pPr>
              <w:pStyle w:val="16"/>
              <w:snapToGrid w:val="0"/>
              <w:spacing w:before="0" w:beforeAutospacing="0" w:after="0" w:afterAutospacing="0" w:line="360" w:lineRule="auto"/>
              <w:ind w:firstLine="0" w:firstLineChars="0"/>
              <w:jc w:val="both"/>
              <w:rPr>
                <w:rFonts w:ascii="Times New Roman" w:hAnsi="Times New Roman" w:eastAsia="仿宋_GB2312" w:cs="Times New Roman"/>
              </w:rPr>
            </w:pPr>
            <w:r>
              <w:rPr>
                <w:rFonts w:ascii="Times New Roman" w:hAnsi="Times New Roman" w:eastAsia="仿宋_GB2312" w:cs="Times New Roman"/>
              </w:rPr>
              <w:t>除息日</w:t>
            </w:r>
          </w:p>
        </w:tc>
        <w:tc>
          <w:tcPr>
            <w:tcW w:w="4261" w:type="dxa"/>
            <w:vAlign w:val="center"/>
          </w:tcPr>
          <w:p w14:paraId="388703C4">
            <w:pPr>
              <w:pStyle w:val="16"/>
              <w:snapToGrid w:val="0"/>
              <w:spacing w:before="0" w:beforeAutospacing="0" w:after="0" w:afterAutospacing="0" w:line="360" w:lineRule="auto"/>
              <w:ind w:firstLine="0" w:firstLineChars="0"/>
              <w:jc w:val="both"/>
              <w:rPr>
                <w:rFonts w:ascii="Times New Roman" w:hAnsi="Times New Roman" w:eastAsia="仿宋_GB2312" w:cs="Times New Roman"/>
              </w:rPr>
            </w:pPr>
          </w:p>
        </w:tc>
      </w:tr>
      <w:tr w14:paraId="584A36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vAlign w:val="center"/>
          </w:tcPr>
          <w:p w14:paraId="078FA4A4">
            <w:pPr>
              <w:pStyle w:val="16"/>
              <w:snapToGrid w:val="0"/>
              <w:spacing w:before="0" w:beforeAutospacing="0" w:after="0" w:afterAutospacing="0" w:line="360" w:lineRule="auto"/>
              <w:ind w:firstLine="0" w:firstLineChars="0"/>
              <w:jc w:val="both"/>
              <w:rPr>
                <w:rFonts w:ascii="Times New Roman" w:hAnsi="Times New Roman" w:eastAsia="仿宋_GB2312" w:cs="Times New Roman"/>
              </w:rPr>
            </w:pPr>
            <w:r>
              <w:rPr>
                <w:rFonts w:ascii="Times New Roman" w:hAnsi="Times New Roman" w:eastAsia="仿宋_GB2312" w:cs="Times New Roman"/>
              </w:rPr>
              <w:t>现金红利发放日</w:t>
            </w:r>
          </w:p>
        </w:tc>
        <w:tc>
          <w:tcPr>
            <w:tcW w:w="4261" w:type="dxa"/>
            <w:vAlign w:val="center"/>
          </w:tcPr>
          <w:p w14:paraId="2CABDD01">
            <w:pPr>
              <w:pStyle w:val="16"/>
              <w:snapToGrid w:val="0"/>
              <w:spacing w:before="0" w:beforeAutospacing="0" w:after="0" w:afterAutospacing="0" w:line="360" w:lineRule="auto"/>
              <w:ind w:firstLine="0" w:firstLineChars="0"/>
              <w:jc w:val="both"/>
              <w:rPr>
                <w:rFonts w:ascii="Times New Roman" w:hAnsi="Times New Roman" w:eastAsia="仿宋_GB2312" w:cs="Times New Roman"/>
              </w:rPr>
            </w:pPr>
          </w:p>
        </w:tc>
      </w:tr>
      <w:tr w14:paraId="22DAA6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4261" w:type="dxa"/>
            <w:vAlign w:val="center"/>
          </w:tcPr>
          <w:p w14:paraId="3215A206">
            <w:pPr>
              <w:pStyle w:val="16"/>
              <w:snapToGrid w:val="0"/>
              <w:spacing w:before="0" w:beforeAutospacing="0" w:after="0" w:afterAutospacing="0" w:line="360" w:lineRule="auto"/>
              <w:ind w:firstLine="0" w:firstLineChars="0"/>
              <w:jc w:val="both"/>
              <w:rPr>
                <w:rFonts w:ascii="Times New Roman" w:hAnsi="Times New Roman" w:eastAsia="仿宋_GB2312" w:cs="Times New Roman"/>
              </w:rPr>
            </w:pPr>
            <w:r>
              <w:rPr>
                <w:rFonts w:ascii="Times New Roman" w:hAnsi="Times New Roman" w:eastAsia="仿宋_GB2312" w:cs="Times New Roman"/>
              </w:rPr>
              <w:t>分红对象</w:t>
            </w:r>
          </w:p>
        </w:tc>
        <w:tc>
          <w:tcPr>
            <w:tcW w:w="4261" w:type="dxa"/>
            <w:vAlign w:val="center"/>
          </w:tcPr>
          <w:p w14:paraId="02F59826">
            <w:pPr>
              <w:pStyle w:val="16"/>
              <w:snapToGrid w:val="0"/>
              <w:spacing w:before="0" w:beforeAutospacing="0" w:after="0" w:afterAutospacing="0" w:line="360" w:lineRule="auto"/>
              <w:ind w:firstLine="0" w:firstLineChars="0"/>
              <w:jc w:val="both"/>
              <w:rPr>
                <w:rFonts w:ascii="Times New Roman" w:hAnsi="Times New Roman" w:eastAsia="仿宋_GB2312" w:cs="Times New Roman"/>
              </w:rPr>
            </w:pPr>
          </w:p>
        </w:tc>
      </w:tr>
      <w:tr w14:paraId="74AC7F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vAlign w:val="center"/>
          </w:tcPr>
          <w:p w14:paraId="393AD489">
            <w:pPr>
              <w:pStyle w:val="16"/>
              <w:snapToGrid w:val="0"/>
              <w:spacing w:line="360" w:lineRule="auto"/>
              <w:ind w:firstLine="0" w:firstLineChars="0"/>
              <w:jc w:val="both"/>
              <w:rPr>
                <w:rFonts w:ascii="Times New Roman" w:hAnsi="Times New Roman" w:eastAsia="仿宋_GB2312" w:cs="Times New Roman"/>
              </w:rPr>
            </w:pPr>
            <w:r>
              <w:rPr>
                <w:rFonts w:ascii="Times New Roman" w:hAnsi="Times New Roman" w:eastAsia="仿宋_GB2312" w:cs="Times New Roman"/>
              </w:rPr>
              <w:t>红利再投资相关事项的说明</w:t>
            </w:r>
          </w:p>
        </w:tc>
        <w:tc>
          <w:tcPr>
            <w:tcW w:w="4261" w:type="dxa"/>
            <w:vAlign w:val="center"/>
          </w:tcPr>
          <w:p w14:paraId="20F867A2">
            <w:pPr>
              <w:pStyle w:val="16"/>
              <w:snapToGrid w:val="0"/>
              <w:spacing w:before="0" w:beforeAutospacing="0" w:after="0" w:afterAutospacing="0" w:line="360" w:lineRule="auto"/>
              <w:ind w:firstLine="0" w:firstLineChars="0"/>
              <w:jc w:val="both"/>
              <w:rPr>
                <w:rFonts w:ascii="Times New Roman" w:hAnsi="Times New Roman" w:eastAsia="仿宋_GB2312" w:cs="Times New Roman"/>
              </w:rPr>
            </w:pPr>
          </w:p>
        </w:tc>
      </w:tr>
      <w:tr w14:paraId="5077BE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vAlign w:val="center"/>
          </w:tcPr>
          <w:p w14:paraId="18B1AB69">
            <w:pPr>
              <w:pStyle w:val="16"/>
              <w:snapToGrid w:val="0"/>
              <w:spacing w:before="0" w:beforeAutospacing="0" w:after="0" w:afterAutospacing="0" w:line="360" w:lineRule="auto"/>
              <w:ind w:firstLine="0" w:firstLineChars="0"/>
              <w:jc w:val="both"/>
              <w:rPr>
                <w:rFonts w:ascii="Times New Roman" w:hAnsi="Times New Roman" w:eastAsia="仿宋_GB2312" w:cs="Times New Roman"/>
              </w:rPr>
            </w:pPr>
            <w:r>
              <w:rPr>
                <w:rFonts w:ascii="Times New Roman" w:hAnsi="Times New Roman" w:eastAsia="仿宋_GB2312" w:cs="Times New Roman"/>
              </w:rPr>
              <w:t>税收相关事项的说明</w:t>
            </w:r>
          </w:p>
        </w:tc>
        <w:tc>
          <w:tcPr>
            <w:tcW w:w="4261" w:type="dxa"/>
            <w:vAlign w:val="center"/>
          </w:tcPr>
          <w:p w14:paraId="73098D1E">
            <w:pPr>
              <w:pStyle w:val="16"/>
              <w:snapToGrid w:val="0"/>
              <w:spacing w:before="0" w:beforeAutospacing="0" w:after="0" w:afterAutospacing="0" w:line="360" w:lineRule="auto"/>
              <w:ind w:firstLine="0" w:firstLineChars="0"/>
              <w:jc w:val="both"/>
              <w:rPr>
                <w:rFonts w:ascii="Times New Roman" w:hAnsi="Times New Roman" w:eastAsia="仿宋_GB2312" w:cs="Times New Roman"/>
              </w:rPr>
            </w:pPr>
          </w:p>
        </w:tc>
      </w:tr>
      <w:tr w14:paraId="46DFB7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vAlign w:val="center"/>
          </w:tcPr>
          <w:p w14:paraId="1CC1A50E">
            <w:pPr>
              <w:pStyle w:val="16"/>
              <w:snapToGrid w:val="0"/>
              <w:spacing w:before="0" w:beforeAutospacing="0" w:after="0" w:afterAutospacing="0" w:line="360" w:lineRule="auto"/>
              <w:ind w:firstLine="0" w:firstLineChars="0"/>
              <w:jc w:val="both"/>
              <w:rPr>
                <w:rFonts w:ascii="Times New Roman" w:hAnsi="Times New Roman" w:eastAsia="仿宋_GB2312" w:cs="Times New Roman"/>
              </w:rPr>
            </w:pPr>
            <w:r>
              <w:rPr>
                <w:rFonts w:ascii="Times New Roman" w:hAnsi="Times New Roman" w:eastAsia="仿宋_GB2312" w:cs="Times New Roman"/>
              </w:rPr>
              <w:t>费用相关事项的说明</w:t>
            </w:r>
          </w:p>
        </w:tc>
        <w:tc>
          <w:tcPr>
            <w:tcW w:w="4261" w:type="dxa"/>
            <w:vAlign w:val="center"/>
          </w:tcPr>
          <w:p w14:paraId="4BE5B864">
            <w:pPr>
              <w:pStyle w:val="16"/>
              <w:snapToGrid w:val="0"/>
              <w:spacing w:before="0" w:beforeAutospacing="0" w:after="0" w:afterAutospacing="0" w:line="360" w:lineRule="auto"/>
              <w:ind w:firstLine="0" w:firstLineChars="0"/>
              <w:jc w:val="both"/>
              <w:rPr>
                <w:rFonts w:ascii="Times New Roman" w:hAnsi="Times New Roman" w:eastAsia="仿宋_GB2312" w:cs="Times New Roman"/>
              </w:rPr>
            </w:pPr>
          </w:p>
        </w:tc>
      </w:tr>
    </w:tbl>
    <w:p w14:paraId="0F9F287C">
      <w:pPr>
        <w:pStyle w:val="16"/>
        <w:snapToGrid w:val="0"/>
        <w:spacing w:before="156" w:beforeLines="50" w:beforeAutospacing="0" w:after="0" w:afterAutospacing="0" w:line="360" w:lineRule="auto"/>
        <w:ind w:firstLine="602"/>
        <w:jc w:val="both"/>
        <w:rPr>
          <w:rFonts w:ascii="Times New Roman" w:hAnsi="Times New Roman" w:eastAsia="仿宋_GB2312" w:cs="Times New Roman"/>
          <w:b/>
          <w:bCs/>
          <w:sz w:val="30"/>
          <w:szCs w:val="30"/>
        </w:rPr>
      </w:pPr>
      <w:r>
        <w:rPr>
          <w:rFonts w:ascii="Times New Roman" w:hAnsi="Times New Roman" w:eastAsia="仿宋_GB2312" w:cs="Times New Roman"/>
          <w:b/>
          <w:bCs/>
          <w:sz w:val="30"/>
          <w:szCs w:val="30"/>
        </w:rPr>
        <w:t>三、其他需要提示的事项</w:t>
      </w:r>
    </w:p>
    <w:p w14:paraId="67E0D16B">
      <w:pPr>
        <w:pStyle w:val="16"/>
        <w:snapToGrid w:val="0"/>
        <w:spacing w:before="0" w:beforeAutospacing="0" w:after="0" w:afterAutospacing="0" w:line="360" w:lineRule="auto"/>
        <w:ind w:firstLine="600"/>
        <w:jc w:val="both"/>
        <w:rPr>
          <w:rFonts w:ascii="Times New Roman" w:hAnsi="Times New Roman" w:eastAsia="仿宋_GB2312" w:cs="Times New Roman"/>
          <w:sz w:val="30"/>
          <w:szCs w:val="30"/>
        </w:rPr>
      </w:pPr>
      <w:r>
        <w:rPr>
          <w:rFonts w:ascii="Times New Roman" w:hAnsi="Times New Roman" w:eastAsia="仿宋_GB2312" w:cs="Times New Roman"/>
          <w:sz w:val="30"/>
          <w:szCs w:val="30"/>
        </w:rPr>
        <w:t>（1）权益分派期间（XX年XX月XX日至XX年XX月XX日）暂停跨系统转托管业务。</w:t>
      </w:r>
    </w:p>
    <w:p w14:paraId="36CEF4CD">
      <w:pPr>
        <w:pStyle w:val="16"/>
        <w:snapToGrid w:val="0"/>
        <w:spacing w:before="0" w:beforeAutospacing="0" w:after="0" w:afterAutospacing="0" w:line="360" w:lineRule="auto"/>
        <w:ind w:firstLine="600"/>
        <w:jc w:val="both"/>
        <w:rPr>
          <w:rFonts w:ascii="Times New Roman" w:hAnsi="Times New Roman" w:eastAsia="仿宋_GB2312" w:cs="Times New Roman"/>
          <w:sz w:val="30"/>
          <w:szCs w:val="30"/>
        </w:rPr>
      </w:pPr>
      <w:r>
        <w:rPr>
          <w:rFonts w:ascii="Times New Roman" w:hAnsi="Times New Roman" w:eastAsia="仿宋_GB2312" w:cs="Times New Roman"/>
          <w:sz w:val="30"/>
          <w:szCs w:val="30"/>
        </w:rPr>
        <w:t>……</w:t>
      </w:r>
    </w:p>
    <w:p w14:paraId="3C922AC6">
      <w:pPr>
        <w:pStyle w:val="16"/>
        <w:snapToGrid w:val="0"/>
        <w:spacing w:before="0" w:beforeAutospacing="0" w:after="0" w:afterAutospacing="0" w:line="360" w:lineRule="auto"/>
        <w:ind w:firstLine="602"/>
        <w:jc w:val="both"/>
        <w:rPr>
          <w:rFonts w:ascii="Times New Roman" w:hAnsi="Times New Roman" w:eastAsia="仿宋_GB2312" w:cs="Times New Roman"/>
          <w:b/>
          <w:bCs/>
          <w:sz w:val="30"/>
          <w:szCs w:val="30"/>
        </w:rPr>
      </w:pPr>
      <w:r>
        <w:rPr>
          <w:rFonts w:ascii="Times New Roman" w:hAnsi="Times New Roman" w:eastAsia="仿宋_GB2312" w:cs="Times New Roman"/>
          <w:b/>
          <w:bCs/>
          <w:sz w:val="30"/>
          <w:szCs w:val="30"/>
        </w:rPr>
        <w:t>四、相关机构联系方式</w:t>
      </w:r>
    </w:p>
    <w:p w14:paraId="4E7FC0A6">
      <w:pPr>
        <w:pStyle w:val="16"/>
        <w:snapToGrid w:val="0"/>
        <w:spacing w:before="0" w:beforeAutospacing="0" w:after="0" w:afterAutospacing="0" w:line="360" w:lineRule="auto"/>
        <w:ind w:firstLine="602"/>
        <w:jc w:val="both"/>
        <w:rPr>
          <w:rFonts w:ascii="Times New Roman" w:hAnsi="Times New Roman" w:eastAsia="仿宋_GB2312" w:cs="Times New Roman"/>
          <w:b/>
          <w:bCs/>
          <w:sz w:val="30"/>
          <w:szCs w:val="30"/>
        </w:rPr>
      </w:pPr>
      <w:r>
        <w:rPr>
          <w:rFonts w:ascii="Times New Roman" w:hAnsi="Times New Roman" w:eastAsia="仿宋_GB2312" w:cs="Times New Roman"/>
          <w:b/>
          <w:bCs/>
          <w:sz w:val="30"/>
          <w:szCs w:val="30"/>
        </w:rPr>
        <w:t>五、风险提示</w:t>
      </w:r>
    </w:p>
    <w:p w14:paraId="160E8E87">
      <w:pPr>
        <w:pStyle w:val="16"/>
        <w:snapToGrid w:val="0"/>
        <w:spacing w:before="0" w:beforeAutospacing="0" w:after="0" w:afterAutospacing="0" w:line="360" w:lineRule="auto"/>
        <w:ind w:firstLine="600"/>
        <w:jc w:val="both"/>
        <w:rPr>
          <w:rFonts w:ascii="Times New Roman" w:hAnsi="Times New Roman" w:eastAsia="仿宋_GB2312" w:cs="Times New Roman"/>
          <w:sz w:val="30"/>
          <w:szCs w:val="30"/>
        </w:rPr>
      </w:pPr>
    </w:p>
    <w:p w14:paraId="477E8BF0">
      <w:pPr>
        <w:pStyle w:val="16"/>
        <w:snapToGrid w:val="0"/>
        <w:spacing w:before="0" w:beforeAutospacing="0" w:after="0" w:afterAutospacing="0" w:line="360" w:lineRule="auto"/>
        <w:ind w:firstLine="600"/>
        <w:jc w:val="both"/>
        <w:rPr>
          <w:rFonts w:ascii="Times New Roman" w:hAnsi="Times New Roman" w:eastAsia="仿宋_GB2312" w:cs="Times New Roman"/>
          <w:sz w:val="30"/>
          <w:szCs w:val="30"/>
        </w:rPr>
      </w:pPr>
      <w:r>
        <w:rPr>
          <w:rFonts w:ascii="Times New Roman" w:hAnsi="Times New Roman" w:eastAsia="仿宋_GB2312" w:cs="Times New Roman"/>
          <w:sz w:val="30"/>
          <w:szCs w:val="30"/>
        </w:rPr>
        <w:t>特此公告</w:t>
      </w:r>
    </w:p>
    <w:p w14:paraId="5CCB472F">
      <w:pPr>
        <w:pStyle w:val="16"/>
        <w:snapToGrid w:val="0"/>
        <w:spacing w:before="0" w:beforeAutospacing="0" w:after="0" w:afterAutospacing="0" w:line="360" w:lineRule="auto"/>
        <w:ind w:firstLine="600"/>
        <w:jc w:val="both"/>
        <w:rPr>
          <w:rFonts w:ascii="Times New Roman" w:hAnsi="Times New Roman" w:eastAsia="仿宋_GB2312" w:cs="Times New Roman"/>
          <w:sz w:val="30"/>
          <w:szCs w:val="30"/>
        </w:rPr>
      </w:pPr>
    </w:p>
    <w:p w14:paraId="7D76BD79">
      <w:pPr>
        <w:pStyle w:val="16"/>
        <w:snapToGrid w:val="0"/>
        <w:spacing w:before="0" w:beforeAutospacing="0" w:after="0" w:afterAutospacing="0" w:line="360" w:lineRule="auto"/>
        <w:ind w:firstLine="600"/>
        <w:jc w:val="right"/>
        <w:rPr>
          <w:rFonts w:ascii="Times New Roman" w:hAnsi="Times New Roman" w:eastAsia="仿宋_GB2312" w:cs="Times New Roman"/>
          <w:sz w:val="30"/>
          <w:szCs w:val="30"/>
        </w:rPr>
      </w:pPr>
      <w:r>
        <w:rPr>
          <w:rFonts w:ascii="Times New Roman" w:hAnsi="Times New Roman" w:eastAsia="仿宋_GB2312" w:cs="Times New Roman"/>
          <w:sz w:val="30"/>
          <w:szCs w:val="30"/>
        </w:rPr>
        <w:t>XX基金公司</w:t>
      </w:r>
    </w:p>
    <w:p w14:paraId="4F4FBE45">
      <w:pPr>
        <w:pStyle w:val="16"/>
        <w:snapToGrid w:val="0"/>
        <w:spacing w:before="0" w:beforeAutospacing="0" w:after="0" w:afterAutospacing="0" w:line="360" w:lineRule="auto"/>
        <w:ind w:firstLine="600"/>
        <w:jc w:val="right"/>
        <w:rPr>
          <w:rFonts w:ascii="Times New Roman" w:hAnsi="Times New Roman" w:eastAsia="仿宋_GB2312" w:cs="Times New Roman"/>
          <w:sz w:val="30"/>
          <w:szCs w:val="30"/>
        </w:rPr>
      </w:pPr>
      <w:r>
        <w:rPr>
          <w:rFonts w:ascii="Times New Roman" w:hAnsi="Times New Roman" w:eastAsia="仿宋_GB2312" w:cs="Times New Roman"/>
          <w:sz w:val="30"/>
          <w:szCs w:val="30"/>
        </w:rPr>
        <w:t>XX年XX月XX日</w:t>
      </w:r>
    </w:p>
    <w:p w14:paraId="41434BE3">
      <w:pPr>
        <w:pStyle w:val="3"/>
        <w:spacing w:before="156" w:after="156"/>
        <w:ind w:firstLine="0" w:firstLineChars="0"/>
        <w:rPr>
          <w:rFonts w:ascii="Times New Roman" w:hAnsi="Times New Roman"/>
        </w:rPr>
      </w:pPr>
      <w:r>
        <w:rPr>
          <w:rFonts w:ascii="Times New Roman" w:hAnsi="Times New Roman" w:eastAsia="仿宋_GB2312"/>
        </w:rPr>
        <w:br w:type="page"/>
      </w:r>
      <w:bookmarkStart w:id="73" w:name="_Toc217484345"/>
      <w:bookmarkStart w:id="74" w:name="_Toc932039210"/>
      <w:r>
        <w:rPr>
          <w:rFonts w:ascii="Times New Roman" w:hAnsi="Times New Roman"/>
        </w:rPr>
        <w:t>附件</w:t>
      </w:r>
      <w:r>
        <w:rPr>
          <w:rFonts w:hint="eastAsia" w:ascii="Times New Roman" w:hAnsi="Times New Roman"/>
        </w:rPr>
        <w:t>5</w:t>
      </w:r>
      <w:r>
        <w:rPr>
          <w:rFonts w:ascii="Times New Roman" w:hAnsi="Times New Roman"/>
        </w:rPr>
        <w:t xml:space="preserve">  更名公告模板</w:t>
      </w:r>
      <w:bookmarkEnd w:id="73"/>
      <w:bookmarkEnd w:id="74"/>
    </w:p>
    <w:p w14:paraId="4DC30FBE">
      <w:pPr>
        <w:pStyle w:val="16"/>
        <w:snapToGrid w:val="0"/>
        <w:spacing w:before="0" w:beforeAutospacing="0" w:after="0" w:afterAutospacing="0" w:line="360" w:lineRule="auto"/>
        <w:ind w:firstLine="602"/>
        <w:rPr>
          <w:rFonts w:ascii="Times New Roman" w:hAnsi="Times New Roman" w:eastAsia="黑体" w:cs="Times New Roman"/>
          <w:b/>
          <w:sz w:val="30"/>
          <w:szCs w:val="30"/>
        </w:rPr>
      </w:pPr>
    </w:p>
    <w:p w14:paraId="4F3FC26A">
      <w:pPr>
        <w:pStyle w:val="16"/>
        <w:snapToGrid w:val="0"/>
        <w:spacing w:before="0" w:beforeAutospacing="0" w:after="0" w:afterAutospacing="0" w:line="360" w:lineRule="auto"/>
        <w:ind w:firstLine="0" w:firstLineChars="0"/>
        <w:jc w:val="center"/>
        <w:rPr>
          <w:rFonts w:ascii="Times New Roman" w:hAnsi="Times New Roman" w:eastAsia="黑体" w:cs="Times New Roman"/>
          <w:b/>
          <w:sz w:val="30"/>
          <w:szCs w:val="30"/>
        </w:rPr>
      </w:pPr>
      <w:r>
        <w:rPr>
          <w:rFonts w:ascii="Times New Roman" w:hAnsi="Times New Roman" w:eastAsia="黑体" w:cs="Times New Roman"/>
          <w:b/>
          <w:sz w:val="30"/>
          <w:szCs w:val="30"/>
        </w:rPr>
        <w:t>XX基金公司关于XXX公募REIT变更XXX名称的公告</w:t>
      </w:r>
    </w:p>
    <w:p w14:paraId="5C1246E8">
      <w:pPr>
        <w:pStyle w:val="16"/>
        <w:snapToGrid w:val="0"/>
        <w:spacing w:before="0" w:beforeAutospacing="0" w:after="0" w:afterAutospacing="0" w:line="360" w:lineRule="auto"/>
        <w:ind w:firstLine="602"/>
        <w:jc w:val="both"/>
        <w:rPr>
          <w:rFonts w:ascii="Times New Roman" w:hAnsi="Times New Roman" w:eastAsia="仿宋_GB2312" w:cs="Times New Roman"/>
          <w:b/>
          <w:bCs/>
          <w:sz w:val="30"/>
          <w:szCs w:val="30"/>
        </w:rPr>
      </w:pPr>
      <w:r>
        <w:rPr>
          <w:rFonts w:ascii="Times New Roman" w:hAnsi="Times New Roman" w:eastAsia="仿宋_GB2312" w:cs="Times New Roman"/>
          <w:b/>
          <w:bCs/>
          <w:sz w:val="30"/>
          <w:szCs w:val="30"/>
        </w:rPr>
        <w:t>一、公募REITs基本信息</w:t>
      </w:r>
    </w:p>
    <w:tbl>
      <w:tblPr>
        <w:tblStyle w:val="18"/>
        <w:tblW w:w="0" w:type="auto"/>
        <w:tblInd w:w="39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118"/>
        <w:gridCol w:w="4678"/>
      </w:tblGrid>
      <w:tr w14:paraId="2D3A10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9" w:hRule="atLeast"/>
        </w:trPr>
        <w:tc>
          <w:tcPr>
            <w:tcW w:w="3118" w:type="dxa"/>
            <w:vAlign w:val="center"/>
          </w:tcPr>
          <w:p w14:paraId="4437096C">
            <w:pPr>
              <w:pStyle w:val="16"/>
              <w:snapToGrid w:val="0"/>
              <w:spacing w:before="0" w:beforeAutospacing="0" w:after="0" w:afterAutospacing="0" w:line="360" w:lineRule="auto"/>
              <w:ind w:firstLine="0" w:firstLineChars="0"/>
              <w:jc w:val="both"/>
              <w:rPr>
                <w:rFonts w:ascii="Times New Roman" w:hAnsi="Times New Roman" w:eastAsia="仿宋_GB2312" w:cs="Times New Roman"/>
              </w:rPr>
            </w:pPr>
            <w:r>
              <w:rPr>
                <w:rFonts w:ascii="Times New Roman" w:hAnsi="Times New Roman" w:eastAsia="仿宋_GB2312" w:cs="Times New Roman"/>
              </w:rPr>
              <w:t>公募REITs名称</w:t>
            </w:r>
          </w:p>
        </w:tc>
        <w:tc>
          <w:tcPr>
            <w:tcW w:w="4678" w:type="dxa"/>
            <w:vAlign w:val="center"/>
          </w:tcPr>
          <w:p w14:paraId="0E715798">
            <w:pPr>
              <w:pStyle w:val="16"/>
              <w:snapToGrid w:val="0"/>
              <w:spacing w:before="0" w:beforeAutospacing="0" w:after="0" w:afterAutospacing="0" w:line="360" w:lineRule="auto"/>
              <w:ind w:firstLine="0" w:firstLineChars="0"/>
              <w:jc w:val="both"/>
              <w:rPr>
                <w:rFonts w:ascii="Times New Roman" w:hAnsi="Times New Roman" w:eastAsia="仿宋_GB2312" w:cs="Times New Roman"/>
              </w:rPr>
            </w:pPr>
          </w:p>
        </w:tc>
      </w:tr>
      <w:tr w14:paraId="5EE989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9" w:hRule="atLeast"/>
        </w:trPr>
        <w:tc>
          <w:tcPr>
            <w:tcW w:w="3118" w:type="dxa"/>
            <w:vAlign w:val="center"/>
          </w:tcPr>
          <w:p w14:paraId="278A68E8">
            <w:pPr>
              <w:pStyle w:val="16"/>
              <w:snapToGrid w:val="0"/>
              <w:spacing w:before="0" w:beforeAutospacing="0" w:after="0" w:afterAutospacing="0" w:line="360" w:lineRule="auto"/>
              <w:ind w:firstLine="0" w:firstLineChars="0"/>
              <w:jc w:val="both"/>
              <w:rPr>
                <w:rFonts w:ascii="Times New Roman" w:hAnsi="Times New Roman" w:eastAsia="仿宋_GB2312" w:cs="Times New Roman"/>
              </w:rPr>
            </w:pPr>
            <w:r>
              <w:rPr>
                <w:rFonts w:ascii="Times New Roman" w:hAnsi="Times New Roman" w:eastAsia="仿宋_GB2312" w:cs="Times New Roman"/>
              </w:rPr>
              <w:t>公募REITs简称</w:t>
            </w:r>
          </w:p>
        </w:tc>
        <w:tc>
          <w:tcPr>
            <w:tcW w:w="4678" w:type="dxa"/>
            <w:vAlign w:val="center"/>
          </w:tcPr>
          <w:p w14:paraId="03E763BA">
            <w:pPr>
              <w:pStyle w:val="16"/>
              <w:snapToGrid w:val="0"/>
              <w:spacing w:before="0" w:beforeAutospacing="0" w:after="0" w:afterAutospacing="0" w:line="360" w:lineRule="auto"/>
              <w:ind w:firstLine="0" w:firstLineChars="0"/>
              <w:jc w:val="both"/>
              <w:rPr>
                <w:rFonts w:ascii="Times New Roman" w:hAnsi="Times New Roman" w:eastAsia="仿宋_GB2312" w:cs="Times New Roman"/>
              </w:rPr>
            </w:pPr>
          </w:p>
        </w:tc>
      </w:tr>
      <w:tr w14:paraId="519A3B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trPr>
        <w:tc>
          <w:tcPr>
            <w:tcW w:w="3118" w:type="dxa"/>
            <w:vAlign w:val="center"/>
          </w:tcPr>
          <w:p w14:paraId="403C61B6">
            <w:pPr>
              <w:pStyle w:val="16"/>
              <w:snapToGrid w:val="0"/>
              <w:spacing w:before="0" w:beforeAutospacing="0" w:after="0" w:afterAutospacing="0" w:line="360" w:lineRule="auto"/>
              <w:ind w:firstLine="0" w:firstLineChars="0"/>
              <w:jc w:val="both"/>
              <w:rPr>
                <w:rFonts w:ascii="Times New Roman" w:hAnsi="Times New Roman" w:eastAsia="仿宋_GB2312" w:cs="Times New Roman"/>
              </w:rPr>
            </w:pPr>
            <w:r>
              <w:rPr>
                <w:rFonts w:ascii="Times New Roman" w:hAnsi="Times New Roman" w:eastAsia="仿宋_GB2312" w:cs="Times New Roman"/>
              </w:rPr>
              <w:t>公募REITs代码</w:t>
            </w:r>
          </w:p>
        </w:tc>
        <w:tc>
          <w:tcPr>
            <w:tcW w:w="4678" w:type="dxa"/>
            <w:vAlign w:val="center"/>
          </w:tcPr>
          <w:p w14:paraId="677D6BB7">
            <w:pPr>
              <w:pStyle w:val="16"/>
              <w:snapToGrid w:val="0"/>
              <w:spacing w:before="0" w:beforeAutospacing="0" w:after="0" w:afterAutospacing="0" w:line="360" w:lineRule="auto"/>
              <w:ind w:firstLine="0" w:firstLineChars="0"/>
              <w:jc w:val="both"/>
              <w:rPr>
                <w:rFonts w:ascii="Times New Roman" w:hAnsi="Times New Roman" w:eastAsia="仿宋_GB2312" w:cs="Times New Roman"/>
              </w:rPr>
            </w:pPr>
          </w:p>
        </w:tc>
      </w:tr>
      <w:tr w14:paraId="38F981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trPr>
        <w:tc>
          <w:tcPr>
            <w:tcW w:w="3118" w:type="dxa"/>
            <w:vAlign w:val="center"/>
          </w:tcPr>
          <w:p w14:paraId="24DDE6B3">
            <w:pPr>
              <w:pStyle w:val="16"/>
              <w:snapToGrid w:val="0"/>
              <w:spacing w:before="0" w:beforeAutospacing="0" w:after="0" w:afterAutospacing="0" w:line="360" w:lineRule="auto"/>
              <w:ind w:firstLine="0" w:firstLineChars="0"/>
              <w:jc w:val="both"/>
              <w:rPr>
                <w:rFonts w:ascii="Times New Roman" w:hAnsi="Times New Roman" w:eastAsia="仿宋_GB2312" w:cs="Times New Roman"/>
              </w:rPr>
            </w:pPr>
            <w:r>
              <w:rPr>
                <w:rFonts w:ascii="Times New Roman" w:hAnsi="Times New Roman" w:eastAsia="仿宋_GB2312" w:cs="Times New Roman"/>
              </w:rPr>
              <w:t>公募REITs合同生效日</w:t>
            </w:r>
          </w:p>
        </w:tc>
        <w:tc>
          <w:tcPr>
            <w:tcW w:w="4678" w:type="dxa"/>
            <w:vAlign w:val="center"/>
          </w:tcPr>
          <w:p w14:paraId="6FE82C54">
            <w:pPr>
              <w:pStyle w:val="16"/>
              <w:snapToGrid w:val="0"/>
              <w:spacing w:before="0" w:beforeAutospacing="0" w:after="0" w:afterAutospacing="0" w:line="360" w:lineRule="auto"/>
              <w:ind w:firstLine="0" w:firstLineChars="0"/>
              <w:jc w:val="both"/>
              <w:rPr>
                <w:rFonts w:ascii="Times New Roman" w:hAnsi="Times New Roman" w:eastAsia="仿宋_GB2312" w:cs="Times New Roman"/>
              </w:rPr>
            </w:pPr>
          </w:p>
        </w:tc>
      </w:tr>
      <w:tr w14:paraId="01787A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18" w:type="dxa"/>
            <w:vAlign w:val="center"/>
          </w:tcPr>
          <w:p w14:paraId="56E66C64">
            <w:pPr>
              <w:pStyle w:val="16"/>
              <w:snapToGrid w:val="0"/>
              <w:spacing w:before="0" w:beforeAutospacing="0" w:after="0" w:afterAutospacing="0" w:line="360" w:lineRule="auto"/>
              <w:ind w:firstLine="0" w:firstLineChars="0"/>
              <w:jc w:val="both"/>
              <w:rPr>
                <w:rFonts w:ascii="Times New Roman" w:hAnsi="Times New Roman" w:eastAsia="仿宋_GB2312" w:cs="Times New Roman"/>
              </w:rPr>
            </w:pPr>
            <w:r>
              <w:rPr>
                <w:rFonts w:ascii="Times New Roman" w:hAnsi="Times New Roman" w:eastAsia="仿宋_GB2312" w:cs="Times New Roman"/>
              </w:rPr>
              <w:t>基金管理人名称</w:t>
            </w:r>
          </w:p>
        </w:tc>
        <w:tc>
          <w:tcPr>
            <w:tcW w:w="4678" w:type="dxa"/>
            <w:vAlign w:val="center"/>
          </w:tcPr>
          <w:p w14:paraId="60D90A99">
            <w:pPr>
              <w:pStyle w:val="16"/>
              <w:snapToGrid w:val="0"/>
              <w:spacing w:before="0" w:beforeAutospacing="0" w:after="0" w:afterAutospacing="0" w:line="360" w:lineRule="auto"/>
              <w:ind w:firstLine="0" w:firstLineChars="0"/>
              <w:jc w:val="both"/>
              <w:rPr>
                <w:rFonts w:ascii="Times New Roman" w:hAnsi="Times New Roman" w:eastAsia="仿宋_GB2312" w:cs="Times New Roman"/>
              </w:rPr>
            </w:pPr>
          </w:p>
        </w:tc>
      </w:tr>
      <w:tr w14:paraId="4D4684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8" w:hRule="atLeast"/>
        </w:trPr>
        <w:tc>
          <w:tcPr>
            <w:tcW w:w="3118" w:type="dxa"/>
            <w:vAlign w:val="center"/>
          </w:tcPr>
          <w:p w14:paraId="05FAC8AF">
            <w:pPr>
              <w:pStyle w:val="16"/>
              <w:snapToGrid w:val="0"/>
              <w:spacing w:before="0" w:beforeAutospacing="0" w:after="0" w:afterAutospacing="0" w:line="360" w:lineRule="auto"/>
              <w:ind w:firstLine="0" w:firstLineChars="0"/>
              <w:jc w:val="both"/>
              <w:rPr>
                <w:rFonts w:ascii="Times New Roman" w:hAnsi="Times New Roman" w:eastAsia="仿宋_GB2312" w:cs="Times New Roman"/>
              </w:rPr>
            </w:pPr>
            <w:r>
              <w:rPr>
                <w:rFonts w:ascii="Times New Roman" w:hAnsi="Times New Roman" w:eastAsia="仿宋_GB2312" w:cs="Times New Roman"/>
              </w:rPr>
              <w:t>基金托管人名称</w:t>
            </w:r>
          </w:p>
        </w:tc>
        <w:tc>
          <w:tcPr>
            <w:tcW w:w="4678" w:type="dxa"/>
            <w:vAlign w:val="center"/>
          </w:tcPr>
          <w:p w14:paraId="00F189F7">
            <w:pPr>
              <w:pStyle w:val="16"/>
              <w:snapToGrid w:val="0"/>
              <w:spacing w:before="0" w:beforeAutospacing="0" w:after="0" w:afterAutospacing="0" w:line="360" w:lineRule="auto"/>
              <w:ind w:firstLine="0" w:firstLineChars="0"/>
              <w:jc w:val="both"/>
              <w:rPr>
                <w:rFonts w:ascii="Times New Roman" w:hAnsi="Times New Roman" w:eastAsia="仿宋_GB2312" w:cs="Times New Roman"/>
              </w:rPr>
            </w:pPr>
          </w:p>
        </w:tc>
      </w:tr>
      <w:tr w14:paraId="777003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3118" w:type="dxa"/>
            <w:vAlign w:val="center"/>
          </w:tcPr>
          <w:p w14:paraId="2544036C">
            <w:pPr>
              <w:pStyle w:val="16"/>
              <w:snapToGrid w:val="0"/>
              <w:spacing w:before="0" w:beforeAutospacing="0" w:after="0" w:afterAutospacing="0" w:line="360" w:lineRule="auto"/>
              <w:ind w:firstLine="0" w:firstLineChars="0"/>
              <w:jc w:val="both"/>
              <w:rPr>
                <w:rFonts w:ascii="Times New Roman" w:hAnsi="Times New Roman" w:eastAsia="仿宋_GB2312" w:cs="Times New Roman"/>
              </w:rPr>
            </w:pPr>
            <w:r>
              <w:rPr>
                <w:rFonts w:ascii="Times New Roman" w:hAnsi="Times New Roman" w:eastAsia="仿宋_GB2312" w:cs="Times New Roman"/>
              </w:rPr>
              <w:t>公告依据</w:t>
            </w:r>
          </w:p>
        </w:tc>
        <w:tc>
          <w:tcPr>
            <w:tcW w:w="4678" w:type="dxa"/>
            <w:vAlign w:val="center"/>
          </w:tcPr>
          <w:p w14:paraId="3D4411EA">
            <w:pPr>
              <w:pStyle w:val="16"/>
              <w:snapToGrid w:val="0"/>
              <w:spacing w:before="0" w:beforeAutospacing="0" w:after="0" w:afterAutospacing="0" w:line="360" w:lineRule="auto"/>
              <w:ind w:firstLine="0" w:firstLineChars="0"/>
              <w:jc w:val="both"/>
              <w:rPr>
                <w:rFonts w:ascii="Times New Roman" w:hAnsi="Times New Roman" w:eastAsia="仿宋_GB2312" w:cs="Times New Roman"/>
              </w:rPr>
            </w:pPr>
          </w:p>
        </w:tc>
      </w:tr>
    </w:tbl>
    <w:p w14:paraId="1F309575">
      <w:pPr>
        <w:pStyle w:val="16"/>
        <w:snapToGrid w:val="0"/>
        <w:spacing w:before="156" w:beforeLines="50" w:beforeAutospacing="0" w:after="0" w:afterAutospacing="0" w:line="360" w:lineRule="auto"/>
        <w:ind w:firstLine="602"/>
        <w:jc w:val="both"/>
        <w:rPr>
          <w:rFonts w:ascii="Times New Roman" w:hAnsi="Times New Roman" w:eastAsia="仿宋_GB2312" w:cs="Times New Roman"/>
          <w:b/>
          <w:bCs/>
          <w:sz w:val="30"/>
          <w:szCs w:val="30"/>
        </w:rPr>
      </w:pPr>
      <w:r>
        <w:rPr>
          <w:rFonts w:ascii="Times New Roman" w:hAnsi="Times New Roman" w:eastAsia="仿宋_GB2312" w:cs="Times New Roman"/>
          <w:b/>
          <w:bCs/>
          <w:sz w:val="30"/>
          <w:szCs w:val="30"/>
        </w:rPr>
        <w:t>二、公募REITs更名事项</w:t>
      </w:r>
    </w:p>
    <w:p w14:paraId="25E27DA6">
      <w:pPr>
        <w:pStyle w:val="16"/>
        <w:adjustRightInd w:val="0"/>
        <w:snapToGrid w:val="0"/>
        <w:spacing w:before="0" w:beforeAutospacing="0" w:after="0" w:afterAutospacing="0" w:line="360" w:lineRule="auto"/>
        <w:ind w:firstLine="600"/>
        <w:rPr>
          <w:rFonts w:ascii="Times New Roman" w:hAnsi="Times New Roman" w:eastAsia="仿宋_GB2312" w:cs="Times New Roman"/>
          <w:sz w:val="30"/>
          <w:szCs w:val="30"/>
        </w:rPr>
      </w:pPr>
      <w:r>
        <w:rPr>
          <w:rFonts w:ascii="Times New Roman" w:hAnsi="Times New Roman" w:eastAsia="仿宋_GB2312" w:cs="Times New Roman"/>
          <w:sz w:val="30"/>
          <w:szCs w:val="30"/>
        </w:rPr>
        <w:t>因XX（原因），XX基金公司现对XXX公募REIT的XX名称进行变更，具体如下表所示：</w:t>
      </w:r>
    </w:p>
    <w:tbl>
      <w:tblPr>
        <w:tblStyle w:val="18"/>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119"/>
        <w:gridCol w:w="2693"/>
        <w:gridCol w:w="2268"/>
      </w:tblGrid>
      <w:tr w14:paraId="105CE1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19" w:type="dxa"/>
            <w:vAlign w:val="center"/>
          </w:tcPr>
          <w:p w14:paraId="7CFB2277">
            <w:pPr>
              <w:pStyle w:val="16"/>
              <w:snapToGrid w:val="0"/>
              <w:spacing w:line="360" w:lineRule="auto"/>
              <w:ind w:firstLine="0" w:firstLineChars="0"/>
              <w:jc w:val="both"/>
              <w:rPr>
                <w:rFonts w:ascii="Times New Roman" w:hAnsi="Times New Roman" w:eastAsia="仿宋_GB2312" w:cs="Times New Roman"/>
                <w:b/>
                <w:bCs/>
              </w:rPr>
            </w:pPr>
            <w:r>
              <w:rPr>
                <w:rFonts w:ascii="Times New Roman" w:hAnsi="Times New Roman" w:eastAsia="仿宋_GB2312" w:cs="Times New Roman"/>
                <w:b/>
                <w:bCs/>
              </w:rPr>
              <w:t>变更内容</w:t>
            </w:r>
          </w:p>
        </w:tc>
        <w:tc>
          <w:tcPr>
            <w:tcW w:w="2693" w:type="dxa"/>
            <w:vAlign w:val="center"/>
          </w:tcPr>
          <w:p w14:paraId="49663547">
            <w:pPr>
              <w:pStyle w:val="16"/>
              <w:snapToGrid w:val="0"/>
              <w:spacing w:line="360" w:lineRule="auto"/>
              <w:ind w:firstLine="0" w:firstLineChars="0"/>
              <w:jc w:val="both"/>
              <w:rPr>
                <w:rFonts w:ascii="Times New Roman" w:hAnsi="Times New Roman" w:eastAsia="仿宋_GB2312" w:cs="Times New Roman"/>
                <w:b/>
                <w:bCs/>
              </w:rPr>
            </w:pPr>
            <w:r>
              <w:rPr>
                <w:rFonts w:ascii="Times New Roman" w:hAnsi="Times New Roman" w:eastAsia="仿宋_GB2312" w:cs="Times New Roman"/>
                <w:b/>
                <w:bCs/>
              </w:rPr>
              <w:t>变更前名称</w:t>
            </w:r>
          </w:p>
        </w:tc>
        <w:tc>
          <w:tcPr>
            <w:tcW w:w="2268" w:type="dxa"/>
            <w:vAlign w:val="center"/>
          </w:tcPr>
          <w:p w14:paraId="7116BCFB">
            <w:pPr>
              <w:pStyle w:val="16"/>
              <w:snapToGrid w:val="0"/>
              <w:spacing w:line="360" w:lineRule="auto"/>
              <w:ind w:firstLine="0" w:firstLineChars="0"/>
              <w:jc w:val="both"/>
              <w:rPr>
                <w:rFonts w:ascii="Times New Roman" w:hAnsi="Times New Roman" w:eastAsia="仿宋_GB2312" w:cs="Times New Roman"/>
                <w:b/>
                <w:bCs/>
              </w:rPr>
            </w:pPr>
            <w:r>
              <w:rPr>
                <w:rFonts w:ascii="Times New Roman" w:hAnsi="Times New Roman" w:eastAsia="仿宋_GB2312" w:cs="Times New Roman"/>
                <w:b/>
                <w:bCs/>
              </w:rPr>
              <w:t>变更后名称</w:t>
            </w:r>
          </w:p>
        </w:tc>
      </w:tr>
      <w:tr w14:paraId="3EBBA9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19" w:type="dxa"/>
            <w:vAlign w:val="center"/>
          </w:tcPr>
          <w:p w14:paraId="563EBA79">
            <w:pPr>
              <w:pStyle w:val="16"/>
              <w:snapToGrid w:val="0"/>
              <w:spacing w:line="360" w:lineRule="auto"/>
              <w:ind w:firstLine="0" w:firstLineChars="0"/>
              <w:jc w:val="both"/>
              <w:rPr>
                <w:rFonts w:ascii="Times New Roman" w:hAnsi="Times New Roman" w:eastAsia="仿宋_GB2312" w:cs="Times New Roman"/>
                <w:b/>
              </w:rPr>
            </w:pPr>
            <w:r>
              <w:rPr>
                <w:rFonts w:ascii="Times New Roman" w:hAnsi="Times New Roman" w:eastAsia="仿宋_GB2312" w:cs="Times New Roman"/>
              </w:rPr>
              <w:t>（公募REITs全称/公募REITs证券简称/公募REITs扩位简称）</w:t>
            </w:r>
          </w:p>
        </w:tc>
        <w:tc>
          <w:tcPr>
            <w:tcW w:w="2693" w:type="dxa"/>
            <w:vAlign w:val="center"/>
          </w:tcPr>
          <w:p w14:paraId="3F84A04E">
            <w:pPr>
              <w:pStyle w:val="16"/>
              <w:snapToGrid w:val="0"/>
              <w:spacing w:line="360" w:lineRule="auto"/>
              <w:ind w:firstLine="0" w:firstLineChars="0"/>
              <w:jc w:val="both"/>
              <w:rPr>
                <w:rFonts w:ascii="Times New Roman" w:hAnsi="Times New Roman" w:eastAsia="仿宋_GB2312" w:cs="Times New Roman"/>
                <w:b/>
              </w:rPr>
            </w:pPr>
          </w:p>
        </w:tc>
        <w:tc>
          <w:tcPr>
            <w:tcW w:w="2268" w:type="dxa"/>
            <w:vAlign w:val="center"/>
          </w:tcPr>
          <w:p w14:paraId="5E069CD6">
            <w:pPr>
              <w:pStyle w:val="16"/>
              <w:snapToGrid w:val="0"/>
              <w:spacing w:line="360" w:lineRule="auto"/>
              <w:ind w:firstLine="0" w:firstLineChars="0"/>
              <w:jc w:val="both"/>
              <w:rPr>
                <w:rFonts w:ascii="Times New Roman" w:hAnsi="Times New Roman" w:eastAsia="仿宋_GB2312" w:cs="Times New Roman"/>
                <w:b/>
              </w:rPr>
            </w:pPr>
          </w:p>
        </w:tc>
      </w:tr>
    </w:tbl>
    <w:p w14:paraId="4050C2AB">
      <w:pPr>
        <w:pStyle w:val="16"/>
        <w:snapToGrid w:val="0"/>
        <w:spacing w:before="156" w:beforeLines="50" w:beforeAutospacing="0" w:after="0" w:afterAutospacing="0" w:line="360" w:lineRule="auto"/>
        <w:ind w:firstLine="600"/>
        <w:jc w:val="both"/>
        <w:rPr>
          <w:rFonts w:ascii="Times New Roman" w:hAnsi="Times New Roman" w:eastAsia="仿宋_GB2312" w:cs="Times New Roman"/>
          <w:sz w:val="30"/>
          <w:szCs w:val="30"/>
        </w:rPr>
      </w:pPr>
      <w:r>
        <w:rPr>
          <w:rFonts w:ascii="Times New Roman" w:hAnsi="Times New Roman" w:eastAsia="仿宋_GB2312" w:cs="Times New Roman"/>
          <w:sz w:val="30"/>
          <w:szCs w:val="30"/>
        </w:rPr>
        <w:t>上述变更自XX年XX月XX日起生效，本公募REIT的基金代码、XX等其他信息保持不变。本基金变更XX名称的事项对公募REIT持有人利益无实质性不利影响，且不涉及公募REIT合同当事人权利义务关系发生变化，本公司已就相关事项履行了规定的程序。本次变更不影响本公司旗下基金已签署的全部法律文件的效力及履行。</w:t>
      </w:r>
    </w:p>
    <w:p w14:paraId="7548F262">
      <w:pPr>
        <w:pStyle w:val="16"/>
        <w:snapToGrid w:val="0"/>
        <w:spacing w:before="156" w:beforeLines="50" w:beforeAutospacing="0" w:after="0" w:afterAutospacing="0" w:line="360" w:lineRule="auto"/>
        <w:ind w:firstLine="602"/>
        <w:jc w:val="both"/>
        <w:rPr>
          <w:rFonts w:ascii="Times New Roman" w:hAnsi="Times New Roman" w:eastAsia="仿宋_GB2312" w:cs="Times New Roman"/>
          <w:b/>
          <w:bCs/>
          <w:sz w:val="30"/>
          <w:szCs w:val="30"/>
        </w:rPr>
      </w:pPr>
      <w:r>
        <w:rPr>
          <w:rFonts w:ascii="Times New Roman" w:hAnsi="Times New Roman" w:eastAsia="仿宋_GB2312" w:cs="Times New Roman"/>
          <w:b/>
          <w:bCs/>
          <w:sz w:val="30"/>
          <w:szCs w:val="30"/>
        </w:rPr>
        <w:t>三、其他需要提示的事项（如有）</w:t>
      </w:r>
    </w:p>
    <w:p w14:paraId="0A8798C2">
      <w:pPr>
        <w:pStyle w:val="16"/>
        <w:snapToGrid w:val="0"/>
        <w:spacing w:before="0" w:beforeAutospacing="0" w:after="0" w:afterAutospacing="0" w:line="360" w:lineRule="auto"/>
        <w:ind w:firstLine="602"/>
        <w:jc w:val="both"/>
        <w:rPr>
          <w:rFonts w:ascii="Times New Roman" w:hAnsi="Times New Roman" w:eastAsia="仿宋_GB2312" w:cs="Times New Roman"/>
          <w:b/>
          <w:bCs/>
          <w:sz w:val="30"/>
          <w:szCs w:val="30"/>
        </w:rPr>
      </w:pPr>
      <w:r>
        <w:rPr>
          <w:rFonts w:ascii="Times New Roman" w:hAnsi="Times New Roman" w:eastAsia="仿宋_GB2312" w:cs="Times New Roman"/>
          <w:b/>
          <w:bCs/>
          <w:sz w:val="30"/>
          <w:szCs w:val="30"/>
        </w:rPr>
        <w:t>四、相关机构联系方式</w:t>
      </w:r>
    </w:p>
    <w:p w14:paraId="0EFC0766">
      <w:pPr>
        <w:pStyle w:val="16"/>
        <w:snapToGrid w:val="0"/>
        <w:spacing w:before="0" w:beforeAutospacing="0" w:after="0" w:afterAutospacing="0" w:line="360" w:lineRule="auto"/>
        <w:ind w:firstLine="602"/>
        <w:jc w:val="both"/>
        <w:rPr>
          <w:rFonts w:ascii="Times New Roman" w:hAnsi="Times New Roman" w:eastAsia="仿宋_GB2312" w:cs="Times New Roman"/>
          <w:b/>
          <w:bCs/>
          <w:sz w:val="30"/>
          <w:szCs w:val="30"/>
        </w:rPr>
      </w:pPr>
      <w:r>
        <w:rPr>
          <w:rFonts w:ascii="Times New Roman" w:hAnsi="Times New Roman" w:eastAsia="仿宋_GB2312" w:cs="Times New Roman"/>
          <w:b/>
          <w:bCs/>
          <w:sz w:val="30"/>
          <w:szCs w:val="30"/>
        </w:rPr>
        <w:t>五、风险提示</w:t>
      </w:r>
    </w:p>
    <w:p w14:paraId="75B47B04">
      <w:pPr>
        <w:pStyle w:val="16"/>
        <w:snapToGrid w:val="0"/>
        <w:spacing w:before="0" w:beforeAutospacing="0" w:after="0" w:afterAutospacing="0" w:line="360" w:lineRule="auto"/>
        <w:ind w:firstLine="600"/>
        <w:jc w:val="both"/>
        <w:rPr>
          <w:rFonts w:ascii="Times New Roman" w:hAnsi="Times New Roman" w:eastAsia="仿宋_GB2312" w:cs="Times New Roman"/>
          <w:sz w:val="30"/>
          <w:szCs w:val="30"/>
        </w:rPr>
      </w:pPr>
    </w:p>
    <w:p w14:paraId="27E033AD">
      <w:pPr>
        <w:pStyle w:val="16"/>
        <w:snapToGrid w:val="0"/>
        <w:spacing w:before="0" w:beforeAutospacing="0" w:after="0" w:afterAutospacing="0" w:line="360" w:lineRule="auto"/>
        <w:ind w:firstLine="600"/>
        <w:jc w:val="both"/>
        <w:rPr>
          <w:rFonts w:ascii="Times New Roman" w:hAnsi="Times New Roman" w:eastAsia="仿宋_GB2312" w:cs="Times New Roman"/>
          <w:sz w:val="30"/>
          <w:szCs w:val="30"/>
        </w:rPr>
      </w:pPr>
      <w:r>
        <w:rPr>
          <w:rFonts w:ascii="Times New Roman" w:hAnsi="Times New Roman" w:eastAsia="仿宋_GB2312" w:cs="Times New Roman"/>
          <w:sz w:val="30"/>
          <w:szCs w:val="30"/>
        </w:rPr>
        <w:t>特此公告</w:t>
      </w:r>
    </w:p>
    <w:p w14:paraId="5F2B4AFD">
      <w:pPr>
        <w:pStyle w:val="16"/>
        <w:snapToGrid w:val="0"/>
        <w:spacing w:before="0" w:beforeAutospacing="0" w:after="0" w:afterAutospacing="0" w:line="360" w:lineRule="auto"/>
        <w:ind w:firstLine="600"/>
        <w:jc w:val="both"/>
        <w:rPr>
          <w:rFonts w:ascii="Times New Roman" w:hAnsi="Times New Roman" w:eastAsia="仿宋_GB2312" w:cs="Times New Roman"/>
          <w:sz w:val="30"/>
          <w:szCs w:val="30"/>
        </w:rPr>
      </w:pPr>
    </w:p>
    <w:p w14:paraId="1AE8AF45">
      <w:pPr>
        <w:pStyle w:val="16"/>
        <w:snapToGrid w:val="0"/>
        <w:spacing w:before="0" w:beforeAutospacing="0" w:after="0" w:afterAutospacing="0" w:line="360" w:lineRule="auto"/>
        <w:ind w:firstLine="600"/>
        <w:jc w:val="right"/>
        <w:rPr>
          <w:rFonts w:ascii="Times New Roman" w:hAnsi="Times New Roman" w:eastAsia="仿宋_GB2312" w:cs="Times New Roman"/>
          <w:sz w:val="30"/>
          <w:szCs w:val="30"/>
        </w:rPr>
      </w:pPr>
      <w:r>
        <w:rPr>
          <w:rFonts w:ascii="Times New Roman" w:hAnsi="Times New Roman" w:eastAsia="仿宋_GB2312" w:cs="Times New Roman"/>
          <w:sz w:val="30"/>
          <w:szCs w:val="30"/>
        </w:rPr>
        <w:t>XX基金公司</w:t>
      </w:r>
    </w:p>
    <w:p w14:paraId="6B9897FF">
      <w:pPr>
        <w:pStyle w:val="16"/>
        <w:snapToGrid w:val="0"/>
        <w:spacing w:before="0" w:beforeAutospacing="0" w:after="0" w:afterAutospacing="0" w:line="360" w:lineRule="auto"/>
        <w:ind w:firstLine="600"/>
        <w:jc w:val="right"/>
        <w:rPr>
          <w:rFonts w:ascii="Times New Roman" w:hAnsi="Times New Roman" w:eastAsia="仿宋_GB2312" w:cs="Times New Roman"/>
          <w:sz w:val="30"/>
          <w:szCs w:val="30"/>
        </w:rPr>
      </w:pPr>
      <w:r>
        <w:rPr>
          <w:rFonts w:ascii="Times New Roman" w:hAnsi="Times New Roman" w:eastAsia="仿宋_GB2312" w:cs="Times New Roman"/>
          <w:sz w:val="30"/>
          <w:szCs w:val="30"/>
        </w:rPr>
        <w:t>XX年XX月XX日</w:t>
      </w:r>
    </w:p>
    <w:p w14:paraId="580BF8BD">
      <w:pPr>
        <w:pStyle w:val="16"/>
        <w:snapToGrid w:val="0"/>
        <w:spacing w:before="0" w:beforeAutospacing="0" w:after="0" w:afterAutospacing="0" w:line="360" w:lineRule="auto"/>
        <w:ind w:firstLine="600"/>
        <w:jc w:val="right"/>
        <w:rPr>
          <w:rFonts w:ascii="Times New Roman" w:hAnsi="Times New Roman" w:eastAsia="仿宋_GB2312" w:cs="Times New Roman"/>
          <w:sz w:val="30"/>
          <w:szCs w:val="30"/>
        </w:rPr>
      </w:pPr>
    </w:p>
    <w:p w14:paraId="33D8345F">
      <w:pPr>
        <w:pStyle w:val="16"/>
        <w:snapToGrid w:val="0"/>
        <w:spacing w:before="0" w:beforeAutospacing="0" w:after="0" w:afterAutospacing="0" w:line="360" w:lineRule="auto"/>
        <w:ind w:firstLine="600"/>
        <w:jc w:val="right"/>
        <w:rPr>
          <w:rFonts w:ascii="Times New Roman" w:hAnsi="Times New Roman" w:eastAsia="仿宋_GB2312" w:cs="Times New Roman"/>
          <w:sz w:val="30"/>
          <w:szCs w:val="30"/>
        </w:rPr>
        <w:sectPr>
          <w:headerReference r:id="rId7" w:type="first"/>
          <w:footerReference r:id="rId10" w:type="first"/>
          <w:headerReference r:id="rId5" w:type="default"/>
          <w:footerReference r:id="rId8" w:type="default"/>
          <w:headerReference r:id="rId6" w:type="even"/>
          <w:footerReference r:id="rId9" w:type="even"/>
          <w:pgSz w:w="11906" w:h="16838"/>
          <w:pgMar w:top="1440" w:right="1797" w:bottom="1440" w:left="1797" w:header="851" w:footer="992" w:gutter="0"/>
          <w:cols w:space="720" w:num="1"/>
          <w:docGrid w:type="lines" w:linePitch="312" w:charSpace="0"/>
        </w:sectPr>
      </w:pPr>
    </w:p>
    <w:p w14:paraId="14BEB850">
      <w:pPr>
        <w:pStyle w:val="3"/>
        <w:spacing w:before="156" w:after="156"/>
        <w:ind w:firstLine="0" w:firstLineChars="0"/>
        <w:rPr>
          <w:rFonts w:ascii="Times New Roman" w:hAnsi="Times New Roman"/>
        </w:rPr>
      </w:pPr>
      <w:bookmarkStart w:id="75" w:name="_Toc217484346"/>
      <w:bookmarkStart w:id="76" w:name="_Toc692999880"/>
      <w:r>
        <w:rPr>
          <w:rFonts w:ascii="Times New Roman" w:hAnsi="Times New Roman"/>
        </w:rPr>
        <w:t>附件</w:t>
      </w:r>
      <w:r>
        <w:rPr>
          <w:rFonts w:hint="eastAsia" w:ascii="Times New Roman" w:hAnsi="Times New Roman"/>
        </w:rPr>
        <w:t xml:space="preserve">6  </w:t>
      </w:r>
      <w:r>
        <w:rPr>
          <w:rFonts w:ascii="Times New Roman" w:hAnsi="Times New Roman"/>
        </w:rPr>
        <w:t>限售公募REIT</w:t>
      </w:r>
      <w:r>
        <w:rPr>
          <w:rFonts w:hint="eastAsia" w:ascii="Times New Roman" w:hAnsi="Times New Roman"/>
        </w:rPr>
        <w:t>s</w:t>
      </w:r>
      <w:r>
        <w:rPr>
          <w:rFonts w:ascii="Times New Roman" w:hAnsi="Times New Roman"/>
        </w:rPr>
        <w:t>解除限售申请表</w:t>
      </w:r>
      <w:bookmarkEnd w:id="75"/>
      <w:bookmarkEnd w:id="76"/>
    </w:p>
    <w:p w14:paraId="73B198DF">
      <w:pPr>
        <w:snapToGrid w:val="0"/>
        <w:spacing w:before="156" w:beforeLines="50"/>
        <w:ind w:firstLine="600"/>
        <w:rPr>
          <w:rFonts w:ascii="Times New Roman" w:hAnsi="Times New Roman"/>
          <w:szCs w:val="30"/>
        </w:rPr>
      </w:pPr>
      <w:r>
        <w:rPr>
          <w:rFonts w:ascii="Times New Roman" w:hAnsi="Times New Roman"/>
          <w:szCs w:val="30"/>
        </w:rPr>
        <w:t>证券代码：                         证券简称：</w:t>
      </w:r>
      <w:r>
        <w:rPr>
          <w:rFonts w:ascii="Times New Roman" w:hAnsi="Times New Roman"/>
          <w:szCs w:val="30"/>
        </w:rPr>
        <w:tab/>
      </w:r>
      <w:r>
        <w:rPr>
          <w:rFonts w:ascii="Times New Roman" w:hAnsi="Times New Roman"/>
          <w:szCs w:val="30"/>
        </w:rPr>
        <w:tab/>
      </w:r>
      <w:r>
        <w:rPr>
          <w:rFonts w:ascii="Times New Roman" w:hAnsi="Times New Roman"/>
          <w:szCs w:val="30"/>
        </w:rPr>
        <w:tab/>
      </w:r>
      <w:r>
        <w:rPr>
          <w:rFonts w:ascii="Times New Roman" w:hAnsi="Times New Roman"/>
          <w:szCs w:val="30"/>
        </w:rPr>
        <w:t xml:space="preserve">         查询日期：</w:t>
      </w:r>
    </w:p>
    <w:tbl>
      <w:tblPr>
        <w:tblStyle w:val="18"/>
        <w:tblW w:w="14190" w:type="dxa"/>
        <w:tblInd w:w="93" w:type="dxa"/>
        <w:tblLayout w:type="autofit"/>
        <w:tblCellMar>
          <w:top w:w="0" w:type="dxa"/>
          <w:left w:w="108" w:type="dxa"/>
          <w:bottom w:w="0" w:type="dxa"/>
          <w:right w:w="108" w:type="dxa"/>
        </w:tblCellMar>
      </w:tblPr>
      <w:tblGrid>
        <w:gridCol w:w="724"/>
        <w:gridCol w:w="1418"/>
        <w:gridCol w:w="850"/>
        <w:gridCol w:w="1276"/>
        <w:gridCol w:w="1276"/>
        <w:gridCol w:w="1701"/>
        <w:gridCol w:w="1292"/>
        <w:gridCol w:w="1259"/>
        <w:gridCol w:w="1338"/>
        <w:gridCol w:w="1639"/>
        <w:gridCol w:w="1417"/>
      </w:tblGrid>
      <w:tr w14:paraId="6FDF1D31">
        <w:tblPrEx>
          <w:tblCellMar>
            <w:top w:w="0" w:type="dxa"/>
            <w:left w:w="108" w:type="dxa"/>
            <w:bottom w:w="0" w:type="dxa"/>
            <w:right w:w="108" w:type="dxa"/>
          </w:tblCellMar>
        </w:tblPrEx>
        <w:trPr>
          <w:trHeight w:val="435" w:hRule="atLeast"/>
        </w:trPr>
        <w:tc>
          <w:tcPr>
            <w:tcW w:w="724" w:type="dxa"/>
            <w:tcBorders>
              <w:top w:val="single" w:color="auto" w:sz="8" w:space="0"/>
              <w:left w:val="single" w:color="auto" w:sz="8" w:space="0"/>
              <w:bottom w:val="single" w:color="auto" w:sz="8" w:space="0"/>
              <w:right w:val="single" w:color="auto" w:sz="8" w:space="0"/>
            </w:tcBorders>
            <w:vAlign w:val="center"/>
          </w:tcPr>
          <w:p w14:paraId="7F428B9C">
            <w:pPr>
              <w:snapToGrid w:val="0"/>
              <w:ind w:firstLine="0" w:firstLineChars="0"/>
              <w:jc w:val="center"/>
              <w:rPr>
                <w:rFonts w:ascii="Times New Roman" w:hAnsi="Times New Roman"/>
                <w:b/>
                <w:sz w:val="24"/>
                <w:szCs w:val="24"/>
              </w:rPr>
            </w:pPr>
            <w:r>
              <w:rPr>
                <w:rFonts w:ascii="Times New Roman" w:hAnsi="Times New Roman"/>
                <w:b/>
                <w:sz w:val="24"/>
                <w:szCs w:val="24"/>
              </w:rPr>
              <w:t>序号</w:t>
            </w:r>
          </w:p>
        </w:tc>
        <w:tc>
          <w:tcPr>
            <w:tcW w:w="1418" w:type="dxa"/>
            <w:tcBorders>
              <w:top w:val="single" w:color="auto" w:sz="8" w:space="0"/>
              <w:left w:val="nil"/>
              <w:bottom w:val="single" w:color="auto" w:sz="8" w:space="0"/>
              <w:right w:val="single" w:color="auto" w:sz="8" w:space="0"/>
            </w:tcBorders>
            <w:vAlign w:val="center"/>
          </w:tcPr>
          <w:p w14:paraId="36F2CF64">
            <w:pPr>
              <w:snapToGrid w:val="0"/>
              <w:ind w:firstLine="0" w:firstLineChars="0"/>
              <w:jc w:val="center"/>
              <w:rPr>
                <w:rFonts w:ascii="Times New Roman" w:hAnsi="Times New Roman"/>
                <w:b/>
                <w:sz w:val="24"/>
                <w:szCs w:val="24"/>
              </w:rPr>
            </w:pPr>
            <w:r>
              <w:rPr>
                <w:rFonts w:ascii="Times New Roman" w:hAnsi="Times New Roman"/>
                <w:b/>
                <w:sz w:val="24"/>
                <w:szCs w:val="24"/>
              </w:rPr>
              <w:t>证券账户</w:t>
            </w:r>
          </w:p>
        </w:tc>
        <w:tc>
          <w:tcPr>
            <w:tcW w:w="850" w:type="dxa"/>
            <w:tcBorders>
              <w:top w:val="single" w:color="auto" w:sz="8" w:space="0"/>
              <w:left w:val="nil"/>
              <w:bottom w:val="single" w:color="auto" w:sz="8" w:space="0"/>
              <w:right w:val="single" w:color="auto" w:sz="8" w:space="0"/>
            </w:tcBorders>
            <w:vAlign w:val="center"/>
          </w:tcPr>
          <w:p w14:paraId="1C0B0293">
            <w:pPr>
              <w:snapToGrid w:val="0"/>
              <w:ind w:firstLine="0" w:firstLineChars="0"/>
              <w:jc w:val="center"/>
              <w:rPr>
                <w:rFonts w:ascii="Times New Roman" w:hAnsi="Times New Roman"/>
                <w:b/>
                <w:sz w:val="24"/>
                <w:szCs w:val="24"/>
              </w:rPr>
            </w:pPr>
            <w:r>
              <w:rPr>
                <w:rFonts w:ascii="Times New Roman" w:hAnsi="Times New Roman"/>
                <w:b/>
                <w:sz w:val="24"/>
                <w:szCs w:val="24"/>
              </w:rPr>
              <w:t>证券类别</w:t>
            </w:r>
          </w:p>
        </w:tc>
        <w:tc>
          <w:tcPr>
            <w:tcW w:w="1276" w:type="dxa"/>
            <w:tcBorders>
              <w:top w:val="single" w:color="auto" w:sz="8" w:space="0"/>
              <w:left w:val="nil"/>
              <w:bottom w:val="single" w:color="auto" w:sz="8" w:space="0"/>
              <w:right w:val="single" w:color="auto" w:sz="8" w:space="0"/>
            </w:tcBorders>
            <w:vAlign w:val="center"/>
          </w:tcPr>
          <w:p w14:paraId="6D6E93AC">
            <w:pPr>
              <w:snapToGrid w:val="0"/>
              <w:ind w:firstLine="0" w:firstLineChars="0"/>
              <w:jc w:val="center"/>
              <w:rPr>
                <w:rFonts w:ascii="Times New Roman" w:hAnsi="Times New Roman"/>
                <w:b/>
                <w:sz w:val="24"/>
                <w:szCs w:val="24"/>
              </w:rPr>
            </w:pPr>
            <w:r>
              <w:rPr>
                <w:rFonts w:ascii="Times New Roman" w:hAnsi="Times New Roman"/>
                <w:b/>
                <w:sz w:val="24"/>
                <w:szCs w:val="24"/>
              </w:rPr>
              <w:t>流通类型</w:t>
            </w:r>
          </w:p>
        </w:tc>
        <w:tc>
          <w:tcPr>
            <w:tcW w:w="1276" w:type="dxa"/>
            <w:tcBorders>
              <w:top w:val="single" w:color="auto" w:sz="8" w:space="0"/>
              <w:left w:val="nil"/>
              <w:bottom w:val="single" w:color="auto" w:sz="8" w:space="0"/>
              <w:right w:val="single" w:color="auto" w:sz="8" w:space="0"/>
            </w:tcBorders>
            <w:vAlign w:val="center"/>
          </w:tcPr>
          <w:p w14:paraId="46241842">
            <w:pPr>
              <w:snapToGrid w:val="0"/>
              <w:ind w:firstLine="0" w:firstLineChars="0"/>
              <w:jc w:val="center"/>
              <w:rPr>
                <w:rFonts w:ascii="Times New Roman" w:hAnsi="Times New Roman"/>
                <w:b/>
                <w:sz w:val="24"/>
                <w:szCs w:val="24"/>
              </w:rPr>
            </w:pPr>
            <w:r>
              <w:rPr>
                <w:rFonts w:ascii="Times New Roman" w:hAnsi="Times New Roman"/>
                <w:b/>
                <w:sz w:val="24"/>
                <w:szCs w:val="24"/>
              </w:rPr>
              <w:t>挂牌年份</w:t>
            </w:r>
          </w:p>
        </w:tc>
        <w:tc>
          <w:tcPr>
            <w:tcW w:w="1701" w:type="dxa"/>
            <w:tcBorders>
              <w:top w:val="single" w:color="auto" w:sz="8" w:space="0"/>
              <w:left w:val="nil"/>
              <w:bottom w:val="single" w:color="auto" w:sz="8" w:space="0"/>
              <w:right w:val="single" w:color="auto" w:sz="8" w:space="0"/>
            </w:tcBorders>
            <w:vAlign w:val="center"/>
          </w:tcPr>
          <w:p w14:paraId="71C36FAB">
            <w:pPr>
              <w:snapToGrid w:val="0"/>
              <w:ind w:firstLine="0" w:firstLineChars="0"/>
              <w:jc w:val="center"/>
              <w:rPr>
                <w:rFonts w:ascii="Times New Roman" w:hAnsi="Times New Roman"/>
                <w:b/>
                <w:sz w:val="24"/>
                <w:szCs w:val="24"/>
              </w:rPr>
            </w:pPr>
            <w:r>
              <w:rPr>
                <w:rFonts w:ascii="Times New Roman" w:hAnsi="Times New Roman"/>
                <w:b/>
                <w:sz w:val="24"/>
                <w:szCs w:val="24"/>
              </w:rPr>
              <w:t>原持有数量</w:t>
            </w:r>
          </w:p>
        </w:tc>
        <w:tc>
          <w:tcPr>
            <w:tcW w:w="1292" w:type="dxa"/>
            <w:tcBorders>
              <w:top w:val="single" w:color="auto" w:sz="8" w:space="0"/>
              <w:left w:val="nil"/>
              <w:bottom w:val="single" w:color="auto" w:sz="8" w:space="0"/>
              <w:right w:val="single" w:color="auto" w:sz="8" w:space="0"/>
            </w:tcBorders>
            <w:vAlign w:val="center"/>
          </w:tcPr>
          <w:p w14:paraId="719FEF33">
            <w:pPr>
              <w:snapToGrid w:val="0"/>
              <w:ind w:firstLine="0" w:firstLineChars="0"/>
              <w:jc w:val="center"/>
              <w:rPr>
                <w:rFonts w:ascii="Times New Roman" w:hAnsi="Times New Roman"/>
                <w:b/>
                <w:sz w:val="24"/>
                <w:szCs w:val="24"/>
              </w:rPr>
            </w:pPr>
            <w:r>
              <w:rPr>
                <w:rFonts w:ascii="Times New Roman" w:hAnsi="Times New Roman"/>
                <w:b/>
                <w:sz w:val="24"/>
                <w:szCs w:val="24"/>
              </w:rPr>
              <w:t>冻结数量</w:t>
            </w:r>
          </w:p>
        </w:tc>
        <w:tc>
          <w:tcPr>
            <w:tcW w:w="1259" w:type="dxa"/>
            <w:tcBorders>
              <w:top w:val="single" w:color="auto" w:sz="8" w:space="0"/>
              <w:left w:val="nil"/>
              <w:bottom w:val="single" w:color="auto" w:sz="8" w:space="0"/>
              <w:right w:val="single" w:color="auto" w:sz="8" w:space="0"/>
            </w:tcBorders>
            <w:vAlign w:val="center"/>
          </w:tcPr>
          <w:p w14:paraId="1FA86FF0">
            <w:pPr>
              <w:snapToGrid w:val="0"/>
              <w:ind w:firstLine="0" w:firstLineChars="0"/>
              <w:jc w:val="center"/>
              <w:rPr>
                <w:rFonts w:ascii="Times New Roman" w:hAnsi="Times New Roman"/>
                <w:b/>
                <w:sz w:val="24"/>
                <w:szCs w:val="24"/>
              </w:rPr>
            </w:pPr>
            <w:r>
              <w:rPr>
                <w:rFonts w:ascii="Times New Roman" w:hAnsi="Times New Roman"/>
                <w:b/>
                <w:sz w:val="24"/>
                <w:szCs w:val="24"/>
              </w:rPr>
              <w:t>冻结编号</w:t>
            </w:r>
          </w:p>
        </w:tc>
        <w:tc>
          <w:tcPr>
            <w:tcW w:w="1338" w:type="dxa"/>
            <w:tcBorders>
              <w:top w:val="single" w:color="auto" w:sz="8" w:space="0"/>
              <w:left w:val="nil"/>
              <w:bottom w:val="single" w:color="auto" w:sz="8" w:space="0"/>
              <w:right w:val="single" w:color="auto" w:sz="8" w:space="0"/>
            </w:tcBorders>
            <w:vAlign w:val="center"/>
          </w:tcPr>
          <w:p w14:paraId="1BDB2022">
            <w:pPr>
              <w:snapToGrid w:val="0"/>
              <w:ind w:firstLine="0" w:firstLineChars="0"/>
              <w:jc w:val="center"/>
              <w:rPr>
                <w:rFonts w:ascii="Times New Roman" w:hAnsi="Times New Roman"/>
                <w:b/>
                <w:sz w:val="24"/>
                <w:szCs w:val="24"/>
              </w:rPr>
            </w:pPr>
            <w:r>
              <w:rPr>
                <w:rFonts w:ascii="Times New Roman" w:hAnsi="Times New Roman"/>
                <w:b/>
                <w:sz w:val="24"/>
                <w:szCs w:val="24"/>
              </w:rPr>
              <w:t>公司名称</w:t>
            </w:r>
          </w:p>
        </w:tc>
        <w:tc>
          <w:tcPr>
            <w:tcW w:w="1639" w:type="dxa"/>
            <w:tcBorders>
              <w:top w:val="single" w:color="auto" w:sz="8" w:space="0"/>
              <w:left w:val="nil"/>
              <w:bottom w:val="single" w:color="auto" w:sz="8" w:space="0"/>
              <w:right w:val="single" w:color="auto" w:sz="8" w:space="0"/>
            </w:tcBorders>
            <w:vAlign w:val="center"/>
          </w:tcPr>
          <w:p w14:paraId="406C78F1">
            <w:pPr>
              <w:snapToGrid w:val="0"/>
              <w:ind w:firstLine="0" w:firstLineChars="0"/>
              <w:jc w:val="center"/>
              <w:rPr>
                <w:rFonts w:ascii="Times New Roman" w:hAnsi="Times New Roman"/>
                <w:b/>
                <w:sz w:val="24"/>
                <w:szCs w:val="24"/>
              </w:rPr>
            </w:pPr>
            <w:r>
              <w:rPr>
                <w:rFonts w:ascii="Times New Roman" w:hAnsi="Times New Roman"/>
                <w:b/>
                <w:sz w:val="24"/>
                <w:szCs w:val="24"/>
              </w:rPr>
              <w:t>本次解除限售数量</w:t>
            </w:r>
          </w:p>
        </w:tc>
        <w:tc>
          <w:tcPr>
            <w:tcW w:w="1417" w:type="dxa"/>
            <w:tcBorders>
              <w:top w:val="single" w:color="auto" w:sz="8" w:space="0"/>
              <w:left w:val="nil"/>
              <w:bottom w:val="single" w:color="auto" w:sz="8" w:space="0"/>
              <w:right w:val="single" w:color="auto" w:sz="8" w:space="0"/>
            </w:tcBorders>
            <w:vAlign w:val="center"/>
          </w:tcPr>
          <w:p w14:paraId="1C687F0F">
            <w:pPr>
              <w:snapToGrid w:val="0"/>
              <w:ind w:firstLine="0" w:firstLineChars="0"/>
              <w:jc w:val="center"/>
              <w:rPr>
                <w:rFonts w:ascii="Times New Roman" w:hAnsi="Times New Roman"/>
                <w:b/>
                <w:sz w:val="24"/>
                <w:szCs w:val="24"/>
              </w:rPr>
            </w:pPr>
            <w:r>
              <w:rPr>
                <w:rFonts w:ascii="Times New Roman" w:hAnsi="Times New Roman"/>
                <w:b/>
                <w:sz w:val="24"/>
                <w:szCs w:val="24"/>
              </w:rPr>
              <w:t>剩余数量</w:t>
            </w:r>
          </w:p>
        </w:tc>
      </w:tr>
      <w:tr w14:paraId="0912240E">
        <w:tblPrEx>
          <w:tblCellMar>
            <w:top w:w="0" w:type="dxa"/>
            <w:left w:w="108" w:type="dxa"/>
            <w:bottom w:w="0" w:type="dxa"/>
            <w:right w:w="108" w:type="dxa"/>
          </w:tblCellMar>
        </w:tblPrEx>
        <w:trPr>
          <w:trHeight w:val="296" w:hRule="atLeast"/>
        </w:trPr>
        <w:tc>
          <w:tcPr>
            <w:tcW w:w="724" w:type="dxa"/>
            <w:tcBorders>
              <w:top w:val="nil"/>
              <w:left w:val="single" w:color="auto" w:sz="8" w:space="0"/>
              <w:bottom w:val="single" w:color="auto" w:sz="8" w:space="0"/>
              <w:right w:val="single" w:color="auto" w:sz="8" w:space="0"/>
            </w:tcBorders>
            <w:vAlign w:val="center"/>
          </w:tcPr>
          <w:p w14:paraId="5D6FCA39">
            <w:pPr>
              <w:ind w:firstLine="0" w:firstLineChars="0"/>
              <w:jc w:val="center"/>
              <w:rPr>
                <w:rFonts w:ascii="Times New Roman" w:hAnsi="Times New Roman"/>
                <w:szCs w:val="18"/>
              </w:rPr>
            </w:pPr>
          </w:p>
        </w:tc>
        <w:tc>
          <w:tcPr>
            <w:tcW w:w="1418" w:type="dxa"/>
            <w:tcBorders>
              <w:top w:val="nil"/>
              <w:left w:val="nil"/>
              <w:bottom w:val="single" w:color="auto" w:sz="8" w:space="0"/>
              <w:right w:val="single" w:color="auto" w:sz="8" w:space="0"/>
            </w:tcBorders>
            <w:vAlign w:val="center"/>
          </w:tcPr>
          <w:p w14:paraId="24ADDC6D">
            <w:pPr>
              <w:ind w:firstLine="0" w:firstLineChars="0"/>
              <w:jc w:val="center"/>
              <w:rPr>
                <w:rFonts w:ascii="Times New Roman" w:hAnsi="Times New Roman"/>
                <w:szCs w:val="18"/>
              </w:rPr>
            </w:pPr>
          </w:p>
        </w:tc>
        <w:tc>
          <w:tcPr>
            <w:tcW w:w="850" w:type="dxa"/>
            <w:tcBorders>
              <w:top w:val="nil"/>
              <w:left w:val="nil"/>
              <w:bottom w:val="single" w:color="auto" w:sz="8" w:space="0"/>
              <w:right w:val="single" w:color="auto" w:sz="8" w:space="0"/>
            </w:tcBorders>
            <w:vAlign w:val="center"/>
          </w:tcPr>
          <w:p w14:paraId="3CEE14C5">
            <w:pPr>
              <w:ind w:firstLine="0" w:firstLineChars="0"/>
              <w:jc w:val="center"/>
              <w:rPr>
                <w:rFonts w:ascii="Times New Roman" w:hAnsi="Times New Roman"/>
                <w:szCs w:val="18"/>
              </w:rPr>
            </w:pPr>
          </w:p>
        </w:tc>
        <w:tc>
          <w:tcPr>
            <w:tcW w:w="1276" w:type="dxa"/>
            <w:tcBorders>
              <w:top w:val="nil"/>
              <w:left w:val="nil"/>
              <w:bottom w:val="single" w:color="auto" w:sz="8" w:space="0"/>
              <w:right w:val="single" w:color="auto" w:sz="8" w:space="0"/>
            </w:tcBorders>
            <w:vAlign w:val="center"/>
          </w:tcPr>
          <w:p w14:paraId="149F94DF">
            <w:pPr>
              <w:ind w:firstLine="0" w:firstLineChars="0"/>
              <w:jc w:val="center"/>
              <w:rPr>
                <w:rFonts w:ascii="Times New Roman" w:hAnsi="Times New Roman"/>
                <w:szCs w:val="18"/>
              </w:rPr>
            </w:pPr>
          </w:p>
        </w:tc>
        <w:tc>
          <w:tcPr>
            <w:tcW w:w="1276" w:type="dxa"/>
            <w:tcBorders>
              <w:top w:val="nil"/>
              <w:left w:val="nil"/>
              <w:bottom w:val="single" w:color="auto" w:sz="8" w:space="0"/>
              <w:right w:val="single" w:color="auto" w:sz="8" w:space="0"/>
            </w:tcBorders>
            <w:vAlign w:val="center"/>
          </w:tcPr>
          <w:p w14:paraId="491EF78B">
            <w:pPr>
              <w:ind w:firstLine="0" w:firstLineChars="0"/>
              <w:jc w:val="center"/>
              <w:rPr>
                <w:rFonts w:ascii="Times New Roman" w:hAnsi="Times New Roman"/>
                <w:szCs w:val="18"/>
              </w:rPr>
            </w:pPr>
          </w:p>
        </w:tc>
        <w:tc>
          <w:tcPr>
            <w:tcW w:w="1701" w:type="dxa"/>
            <w:tcBorders>
              <w:top w:val="nil"/>
              <w:left w:val="nil"/>
              <w:bottom w:val="single" w:color="auto" w:sz="8" w:space="0"/>
              <w:right w:val="single" w:color="auto" w:sz="8" w:space="0"/>
            </w:tcBorders>
            <w:vAlign w:val="center"/>
          </w:tcPr>
          <w:p w14:paraId="440B62BE">
            <w:pPr>
              <w:ind w:firstLine="0" w:firstLineChars="0"/>
              <w:jc w:val="center"/>
              <w:rPr>
                <w:rFonts w:ascii="Times New Roman" w:hAnsi="Times New Roman"/>
                <w:szCs w:val="18"/>
              </w:rPr>
            </w:pPr>
          </w:p>
        </w:tc>
        <w:tc>
          <w:tcPr>
            <w:tcW w:w="1292" w:type="dxa"/>
            <w:tcBorders>
              <w:top w:val="nil"/>
              <w:left w:val="nil"/>
              <w:bottom w:val="single" w:color="auto" w:sz="8" w:space="0"/>
              <w:right w:val="single" w:color="auto" w:sz="8" w:space="0"/>
            </w:tcBorders>
            <w:vAlign w:val="center"/>
          </w:tcPr>
          <w:p w14:paraId="03D7E54C">
            <w:pPr>
              <w:ind w:firstLine="0" w:firstLineChars="0"/>
              <w:jc w:val="center"/>
              <w:rPr>
                <w:rFonts w:ascii="Times New Roman" w:hAnsi="Times New Roman"/>
                <w:szCs w:val="18"/>
              </w:rPr>
            </w:pPr>
          </w:p>
        </w:tc>
        <w:tc>
          <w:tcPr>
            <w:tcW w:w="1259" w:type="dxa"/>
            <w:tcBorders>
              <w:top w:val="nil"/>
              <w:left w:val="nil"/>
              <w:bottom w:val="single" w:color="auto" w:sz="8" w:space="0"/>
              <w:right w:val="single" w:color="auto" w:sz="8" w:space="0"/>
            </w:tcBorders>
            <w:vAlign w:val="center"/>
          </w:tcPr>
          <w:p w14:paraId="0C845906">
            <w:pPr>
              <w:ind w:firstLine="0" w:firstLineChars="0"/>
              <w:jc w:val="center"/>
              <w:rPr>
                <w:rFonts w:ascii="Times New Roman" w:hAnsi="Times New Roman"/>
                <w:szCs w:val="18"/>
              </w:rPr>
            </w:pPr>
          </w:p>
        </w:tc>
        <w:tc>
          <w:tcPr>
            <w:tcW w:w="1338" w:type="dxa"/>
            <w:tcBorders>
              <w:top w:val="nil"/>
              <w:left w:val="nil"/>
              <w:bottom w:val="single" w:color="auto" w:sz="8" w:space="0"/>
              <w:right w:val="single" w:color="auto" w:sz="8" w:space="0"/>
            </w:tcBorders>
            <w:vAlign w:val="center"/>
          </w:tcPr>
          <w:p w14:paraId="4C57E870">
            <w:pPr>
              <w:ind w:firstLine="0" w:firstLineChars="0"/>
              <w:jc w:val="center"/>
              <w:rPr>
                <w:rFonts w:ascii="Times New Roman" w:hAnsi="Times New Roman"/>
                <w:szCs w:val="18"/>
              </w:rPr>
            </w:pPr>
          </w:p>
        </w:tc>
        <w:tc>
          <w:tcPr>
            <w:tcW w:w="1639" w:type="dxa"/>
            <w:tcBorders>
              <w:top w:val="nil"/>
              <w:left w:val="nil"/>
              <w:bottom w:val="single" w:color="auto" w:sz="8" w:space="0"/>
              <w:right w:val="single" w:color="auto" w:sz="8" w:space="0"/>
            </w:tcBorders>
            <w:vAlign w:val="center"/>
          </w:tcPr>
          <w:p w14:paraId="637CDF6F">
            <w:pPr>
              <w:ind w:firstLine="0" w:firstLineChars="0"/>
              <w:jc w:val="center"/>
              <w:rPr>
                <w:rFonts w:ascii="Times New Roman" w:hAnsi="Times New Roman"/>
                <w:szCs w:val="18"/>
              </w:rPr>
            </w:pPr>
          </w:p>
        </w:tc>
        <w:tc>
          <w:tcPr>
            <w:tcW w:w="1417" w:type="dxa"/>
            <w:tcBorders>
              <w:top w:val="nil"/>
              <w:left w:val="nil"/>
              <w:bottom w:val="single" w:color="auto" w:sz="8" w:space="0"/>
              <w:right w:val="single" w:color="auto" w:sz="8" w:space="0"/>
            </w:tcBorders>
            <w:vAlign w:val="center"/>
          </w:tcPr>
          <w:p w14:paraId="4894A1DB">
            <w:pPr>
              <w:ind w:firstLine="0" w:firstLineChars="0"/>
              <w:jc w:val="center"/>
              <w:rPr>
                <w:rFonts w:ascii="Times New Roman" w:hAnsi="Times New Roman"/>
                <w:szCs w:val="18"/>
              </w:rPr>
            </w:pPr>
          </w:p>
        </w:tc>
      </w:tr>
      <w:tr w14:paraId="5F53AC31">
        <w:tblPrEx>
          <w:tblCellMar>
            <w:top w:w="0" w:type="dxa"/>
            <w:left w:w="108" w:type="dxa"/>
            <w:bottom w:w="0" w:type="dxa"/>
            <w:right w:w="108" w:type="dxa"/>
          </w:tblCellMar>
        </w:tblPrEx>
        <w:trPr>
          <w:trHeight w:val="235" w:hRule="atLeast"/>
        </w:trPr>
        <w:tc>
          <w:tcPr>
            <w:tcW w:w="724" w:type="dxa"/>
            <w:tcBorders>
              <w:top w:val="nil"/>
              <w:left w:val="single" w:color="auto" w:sz="8" w:space="0"/>
              <w:bottom w:val="single" w:color="auto" w:sz="8" w:space="0"/>
              <w:right w:val="single" w:color="auto" w:sz="8" w:space="0"/>
            </w:tcBorders>
            <w:vAlign w:val="center"/>
          </w:tcPr>
          <w:p w14:paraId="17FDEA3B">
            <w:pPr>
              <w:ind w:firstLine="0" w:firstLineChars="0"/>
              <w:jc w:val="center"/>
              <w:rPr>
                <w:rFonts w:ascii="Times New Roman" w:hAnsi="Times New Roman"/>
                <w:szCs w:val="18"/>
              </w:rPr>
            </w:pPr>
          </w:p>
        </w:tc>
        <w:tc>
          <w:tcPr>
            <w:tcW w:w="1418" w:type="dxa"/>
            <w:tcBorders>
              <w:top w:val="nil"/>
              <w:left w:val="nil"/>
              <w:bottom w:val="single" w:color="auto" w:sz="8" w:space="0"/>
              <w:right w:val="single" w:color="auto" w:sz="8" w:space="0"/>
            </w:tcBorders>
            <w:vAlign w:val="center"/>
          </w:tcPr>
          <w:p w14:paraId="030F954E">
            <w:pPr>
              <w:ind w:firstLine="0" w:firstLineChars="0"/>
              <w:jc w:val="center"/>
              <w:rPr>
                <w:rFonts w:ascii="Times New Roman" w:hAnsi="Times New Roman"/>
                <w:szCs w:val="18"/>
              </w:rPr>
            </w:pPr>
          </w:p>
        </w:tc>
        <w:tc>
          <w:tcPr>
            <w:tcW w:w="850" w:type="dxa"/>
            <w:tcBorders>
              <w:top w:val="nil"/>
              <w:left w:val="nil"/>
              <w:bottom w:val="single" w:color="auto" w:sz="8" w:space="0"/>
              <w:right w:val="single" w:color="auto" w:sz="8" w:space="0"/>
            </w:tcBorders>
            <w:vAlign w:val="center"/>
          </w:tcPr>
          <w:p w14:paraId="07DF89D6">
            <w:pPr>
              <w:ind w:firstLine="0" w:firstLineChars="0"/>
              <w:jc w:val="center"/>
              <w:rPr>
                <w:rFonts w:ascii="Times New Roman" w:hAnsi="Times New Roman"/>
                <w:szCs w:val="18"/>
              </w:rPr>
            </w:pPr>
          </w:p>
        </w:tc>
        <w:tc>
          <w:tcPr>
            <w:tcW w:w="1276" w:type="dxa"/>
            <w:tcBorders>
              <w:top w:val="nil"/>
              <w:left w:val="nil"/>
              <w:bottom w:val="single" w:color="auto" w:sz="8" w:space="0"/>
              <w:right w:val="single" w:color="auto" w:sz="8" w:space="0"/>
            </w:tcBorders>
            <w:vAlign w:val="center"/>
          </w:tcPr>
          <w:p w14:paraId="25B78893">
            <w:pPr>
              <w:ind w:firstLine="0" w:firstLineChars="0"/>
              <w:jc w:val="center"/>
              <w:rPr>
                <w:rFonts w:ascii="Times New Roman" w:hAnsi="Times New Roman"/>
                <w:szCs w:val="18"/>
              </w:rPr>
            </w:pPr>
          </w:p>
        </w:tc>
        <w:tc>
          <w:tcPr>
            <w:tcW w:w="1276" w:type="dxa"/>
            <w:tcBorders>
              <w:top w:val="nil"/>
              <w:left w:val="nil"/>
              <w:bottom w:val="single" w:color="auto" w:sz="8" w:space="0"/>
              <w:right w:val="single" w:color="auto" w:sz="8" w:space="0"/>
            </w:tcBorders>
            <w:vAlign w:val="center"/>
          </w:tcPr>
          <w:p w14:paraId="0CFF31DC">
            <w:pPr>
              <w:ind w:firstLine="0" w:firstLineChars="0"/>
              <w:jc w:val="center"/>
              <w:rPr>
                <w:rFonts w:ascii="Times New Roman" w:hAnsi="Times New Roman"/>
                <w:szCs w:val="18"/>
              </w:rPr>
            </w:pPr>
          </w:p>
        </w:tc>
        <w:tc>
          <w:tcPr>
            <w:tcW w:w="1701" w:type="dxa"/>
            <w:tcBorders>
              <w:top w:val="nil"/>
              <w:left w:val="nil"/>
              <w:bottom w:val="single" w:color="auto" w:sz="8" w:space="0"/>
              <w:right w:val="single" w:color="auto" w:sz="8" w:space="0"/>
            </w:tcBorders>
            <w:vAlign w:val="center"/>
          </w:tcPr>
          <w:p w14:paraId="35286D92">
            <w:pPr>
              <w:ind w:firstLine="0" w:firstLineChars="0"/>
              <w:jc w:val="center"/>
              <w:rPr>
                <w:rFonts w:ascii="Times New Roman" w:hAnsi="Times New Roman"/>
                <w:szCs w:val="18"/>
              </w:rPr>
            </w:pPr>
          </w:p>
        </w:tc>
        <w:tc>
          <w:tcPr>
            <w:tcW w:w="1292" w:type="dxa"/>
            <w:tcBorders>
              <w:top w:val="nil"/>
              <w:left w:val="nil"/>
              <w:bottom w:val="single" w:color="auto" w:sz="8" w:space="0"/>
              <w:right w:val="single" w:color="auto" w:sz="8" w:space="0"/>
            </w:tcBorders>
            <w:vAlign w:val="center"/>
          </w:tcPr>
          <w:p w14:paraId="6B005569">
            <w:pPr>
              <w:ind w:firstLine="0" w:firstLineChars="0"/>
              <w:jc w:val="center"/>
              <w:rPr>
                <w:rFonts w:ascii="Times New Roman" w:hAnsi="Times New Roman"/>
                <w:szCs w:val="18"/>
              </w:rPr>
            </w:pPr>
          </w:p>
        </w:tc>
        <w:tc>
          <w:tcPr>
            <w:tcW w:w="1259" w:type="dxa"/>
            <w:tcBorders>
              <w:top w:val="nil"/>
              <w:left w:val="nil"/>
              <w:bottom w:val="single" w:color="auto" w:sz="8" w:space="0"/>
              <w:right w:val="single" w:color="auto" w:sz="8" w:space="0"/>
            </w:tcBorders>
            <w:vAlign w:val="center"/>
          </w:tcPr>
          <w:p w14:paraId="06D99DC3">
            <w:pPr>
              <w:ind w:firstLine="0" w:firstLineChars="0"/>
              <w:jc w:val="center"/>
              <w:rPr>
                <w:rFonts w:ascii="Times New Roman" w:hAnsi="Times New Roman"/>
                <w:szCs w:val="18"/>
              </w:rPr>
            </w:pPr>
          </w:p>
        </w:tc>
        <w:tc>
          <w:tcPr>
            <w:tcW w:w="1338" w:type="dxa"/>
            <w:tcBorders>
              <w:top w:val="nil"/>
              <w:left w:val="nil"/>
              <w:bottom w:val="single" w:color="auto" w:sz="8" w:space="0"/>
              <w:right w:val="single" w:color="auto" w:sz="8" w:space="0"/>
            </w:tcBorders>
            <w:vAlign w:val="center"/>
          </w:tcPr>
          <w:p w14:paraId="65860067">
            <w:pPr>
              <w:ind w:firstLine="0" w:firstLineChars="0"/>
              <w:jc w:val="center"/>
              <w:rPr>
                <w:rFonts w:ascii="Times New Roman" w:hAnsi="Times New Roman"/>
                <w:szCs w:val="18"/>
              </w:rPr>
            </w:pPr>
          </w:p>
        </w:tc>
        <w:tc>
          <w:tcPr>
            <w:tcW w:w="1639" w:type="dxa"/>
            <w:tcBorders>
              <w:top w:val="nil"/>
              <w:left w:val="nil"/>
              <w:bottom w:val="single" w:color="auto" w:sz="8" w:space="0"/>
              <w:right w:val="single" w:color="auto" w:sz="8" w:space="0"/>
            </w:tcBorders>
            <w:vAlign w:val="center"/>
          </w:tcPr>
          <w:p w14:paraId="60CA62F5">
            <w:pPr>
              <w:ind w:firstLine="0" w:firstLineChars="0"/>
              <w:jc w:val="center"/>
              <w:rPr>
                <w:rFonts w:ascii="Times New Roman" w:hAnsi="Times New Roman"/>
                <w:szCs w:val="18"/>
              </w:rPr>
            </w:pPr>
          </w:p>
        </w:tc>
        <w:tc>
          <w:tcPr>
            <w:tcW w:w="1417" w:type="dxa"/>
            <w:tcBorders>
              <w:top w:val="nil"/>
              <w:left w:val="nil"/>
              <w:bottom w:val="single" w:color="auto" w:sz="8" w:space="0"/>
              <w:right w:val="single" w:color="auto" w:sz="8" w:space="0"/>
            </w:tcBorders>
            <w:vAlign w:val="center"/>
          </w:tcPr>
          <w:p w14:paraId="4F432E4A">
            <w:pPr>
              <w:ind w:firstLine="0" w:firstLineChars="0"/>
              <w:jc w:val="center"/>
              <w:rPr>
                <w:rFonts w:ascii="Times New Roman" w:hAnsi="Times New Roman"/>
                <w:szCs w:val="18"/>
              </w:rPr>
            </w:pPr>
          </w:p>
        </w:tc>
      </w:tr>
      <w:tr w14:paraId="265BFD7C">
        <w:trPr>
          <w:trHeight w:val="196" w:hRule="atLeast"/>
        </w:trPr>
        <w:tc>
          <w:tcPr>
            <w:tcW w:w="724" w:type="dxa"/>
            <w:tcBorders>
              <w:top w:val="nil"/>
              <w:left w:val="single" w:color="auto" w:sz="8" w:space="0"/>
              <w:bottom w:val="single" w:color="auto" w:sz="8" w:space="0"/>
              <w:right w:val="single" w:color="auto" w:sz="8" w:space="0"/>
            </w:tcBorders>
            <w:vAlign w:val="center"/>
          </w:tcPr>
          <w:p w14:paraId="2801AF71">
            <w:pPr>
              <w:ind w:firstLine="0" w:firstLineChars="0"/>
              <w:jc w:val="center"/>
              <w:rPr>
                <w:rFonts w:ascii="Times New Roman" w:hAnsi="Times New Roman"/>
                <w:szCs w:val="18"/>
              </w:rPr>
            </w:pPr>
          </w:p>
        </w:tc>
        <w:tc>
          <w:tcPr>
            <w:tcW w:w="1418" w:type="dxa"/>
            <w:tcBorders>
              <w:top w:val="nil"/>
              <w:left w:val="nil"/>
              <w:bottom w:val="single" w:color="auto" w:sz="8" w:space="0"/>
              <w:right w:val="single" w:color="auto" w:sz="8" w:space="0"/>
            </w:tcBorders>
            <w:vAlign w:val="center"/>
          </w:tcPr>
          <w:p w14:paraId="63B43B25">
            <w:pPr>
              <w:ind w:firstLine="0" w:firstLineChars="0"/>
              <w:jc w:val="center"/>
              <w:rPr>
                <w:rFonts w:ascii="Times New Roman" w:hAnsi="Times New Roman"/>
                <w:szCs w:val="18"/>
              </w:rPr>
            </w:pPr>
          </w:p>
        </w:tc>
        <w:tc>
          <w:tcPr>
            <w:tcW w:w="850" w:type="dxa"/>
            <w:tcBorders>
              <w:top w:val="nil"/>
              <w:left w:val="nil"/>
              <w:bottom w:val="single" w:color="auto" w:sz="8" w:space="0"/>
              <w:right w:val="single" w:color="auto" w:sz="8" w:space="0"/>
            </w:tcBorders>
            <w:vAlign w:val="center"/>
          </w:tcPr>
          <w:p w14:paraId="144DE405">
            <w:pPr>
              <w:ind w:firstLine="0" w:firstLineChars="0"/>
              <w:jc w:val="center"/>
              <w:rPr>
                <w:rFonts w:ascii="Times New Roman" w:hAnsi="Times New Roman"/>
                <w:szCs w:val="18"/>
              </w:rPr>
            </w:pPr>
          </w:p>
        </w:tc>
        <w:tc>
          <w:tcPr>
            <w:tcW w:w="1276" w:type="dxa"/>
            <w:tcBorders>
              <w:top w:val="nil"/>
              <w:left w:val="nil"/>
              <w:bottom w:val="single" w:color="auto" w:sz="8" w:space="0"/>
              <w:right w:val="single" w:color="auto" w:sz="8" w:space="0"/>
            </w:tcBorders>
            <w:vAlign w:val="center"/>
          </w:tcPr>
          <w:p w14:paraId="0B3144AC">
            <w:pPr>
              <w:ind w:firstLine="0" w:firstLineChars="0"/>
              <w:jc w:val="center"/>
              <w:rPr>
                <w:rFonts w:ascii="Times New Roman" w:hAnsi="Times New Roman"/>
                <w:szCs w:val="18"/>
              </w:rPr>
            </w:pPr>
          </w:p>
        </w:tc>
        <w:tc>
          <w:tcPr>
            <w:tcW w:w="1276" w:type="dxa"/>
            <w:tcBorders>
              <w:top w:val="nil"/>
              <w:left w:val="nil"/>
              <w:bottom w:val="single" w:color="auto" w:sz="8" w:space="0"/>
              <w:right w:val="single" w:color="auto" w:sz="8" w:space="0"/>
            </w:tcBorders>
            <w:vAlign w:val="center"/>
          </w:tcPr>
          <w:p w14:paraId="7C243E71">
            <w:pPr>
              <w:ind w:firstLine="0" w:firstLineChars="0"/>
              <w:jc w:val="center"/>
              <w:rPr>
                <w:rFonts w:ascii="Times New Roman" w:hAnsi="Times New Roman"/>
                <w:szCs w:val="18"/>
              </w:rPr>
            </w:pPr>
          </w:p>
        </w:tc>
        <w:tc>
          <w:tcPr>
            <w:tcW w:w="1701" w:type="dxa"/>
            <w:tcBorders>
              <w:top w:val="nil"/>
              <w:left w:val="nil"/>
              <w:bottom w:val="single" w:color="auto" w:sz="8" w:space="0"/>
              <w:right w:val="single" w:color="auto" w:sz="8" w:space="0"/>
            </w:tcBorders>
            <w:vAlign w:val="center"/>
          </w:tcPr>
          <w:p w14:paraId="157C6B97">
            <w:pPr>
              <w:ind w:firstLine="0" w:firstLineChars="0"/>
              <w:jc w:val="center"/>
              <w:rPr>
                <w:rFonts w:ascii="Times New Roman" w:hAnsi="Times New Roman"/>
                <w:szCs w:val="18"/>
              </w:rPr>
            </w:pPr>
          </w:p>
        </w:tc>
        <w:tc>
          <w:tcPr>
            <w:tcW w:w="1292" w:type="dxa"/>
            <w:tcBorders>
              <w:top w:val="nil"/>
              <w:left w:val="nil"/>
              <w:bottom w:val="single" w:color="auto" w:sz="8" w:space="0"/>
              <w:right w:val="single" w:color="auto" w:sz="8" w:space="0"/>
            </w:tcBorders>
            <w:vAlign w:val="center"/>
          </w:tcPr>
          <w:p w14:paraId="6138411E">
            <w:pPr>
              <w:ind w:firstLine="0" w:firstLineChars="0"/>
              <w:jc w:val="center"/>
              <w:rPr>
                <w:rFonts w:ascii="Times New Roman" w:hAnsi="Times New Roman"/>
                <w:szCs w:val="18"/>
              </w:rPr>
            </w:pPr>
          </w:p>
        </w:tc>
        <w:tc>
          <w:tcPr>
            <w:tcW w:w="1259" w:type="dxa"/>
            <w:tcBorders>
              <w:top w:val="nil"/>
              <w:left w:val="nil"/>
              <w:bottom w:val="single" w:color="auto" w:sz="8" w:space="0"/>
              <w:right w:val="single" w:color="auto" w:sz="8" w:space="0"/>
            </w:tcBorders>
            <w:vAlign w:val="center"/>
          </w:tcPr>
          <w:p w14:paraId="4626FDC1">
            <w:pPr>
              <w:ind w:firstLine="0" w:firstLineChars="0"/>
              <w:jc w:val="center"/>
              <w:rPr>
                <w:rFonts w:ascii="Times New Roman" w:hAnsi="Times New Roman"/>
                <w:szCs w:val="18"/>
              </w:rPr>
            </w:pPr>
          </w:p>
        </w:tc>
        <w:tc>
          <w:tcPr>
            <w:tcW w:w="1338" w:type="dxa"/>
            <w:tcBorders>
              <w:top w:val="nil"/>
              <w:left w:val="nil"/>
              <w:bottom w:val="single" w:color="auto" w:sz="8" w:space="0"/>
              <w:right w:val="single" w:color="auto" w:sz="8" w:space="0"/>
            </w:tcBorders>
            <w:vAlign w:val="center"/>
          </w:tcPr>
          <w:p w14:paraId="60E1B77E">
            <w:pPr>
              <w:ind w:firstLine="0" w:firstLineChars="0"/>
              <w:jc w:val="center"/>
              <w:rPr>
                <w:rFonts w:ascii="Times New Roman" w:hAnsi="Times New Roman"/>
                <w:szCs w:val="18"/>
              </w:rPr>
            </w:pPr>
          </w:p>
        </w:tc>
        <w:tc>
          <w:tcPr>
            <w:tcW w:w="1639" w:type="dxa"/>
            <w:tcBorders>
              <w:top w:val="nil"/>
              <w:left w:val="nil"/>
              <w:bottom w:val="single" w:color="auto" w:sz="8" w:space="0"/>
              <w:right w:val="single" w:color="auto" w:sz="8" w:space="0"/>
            </w:tcBorders>
            <w:vAlign w:val="center"/>
          </w:tcPr>
          <w:p w14:paraId="4E494992">
            <w:pPr>
              <w:ind w:firstLine="0" w:firstLineChars="0"/>
              <w:jc w:val="center"/>
              <w:rPr>
                <w:rFonts w:ascii="Times New Roman" w:hAnsi="Times New Roman"/>
                <w:szCs w:val="18"/>
              </w:rPr>
            </w:pPr>
          </w:p>
        </w:tc>
        <w:tc>
          <w:tcPr>
            <w:tcW w:w="1417" w:type="dxa"/>
            <w:tcBorders>
              <w:top w:val="nil"/>
              <w:left w:val="nil"/>
              <w:bottom w:val="single" w:color="auto" w:sz="8" w:space="0"/>
              <w:right w:val="single" w:color="auto" w:sz="8" w:space="0"/>
            </w:tcBorders>
            <w:vAlign w:val="center"/>
          </w:tcPr>
          <w:p w14:paraId="6C9835FC">
            <w:pPr>
              <w:ind w:firstLine="0" w:firstLineChars="0"/>
              <w:jc w:val="center"/>
              <w:rPr>
                <w:rFonts w:ascii="Times New Roman" w:hAnsi="Times New Roman"/>
                <w:szCs w:val="18"/>
              </w:rPr>
            </w:pPr>
          </w:p>
        </w:tc>
      </w:tr>
      <w:tr w14:paraId="60B2E7D6">
        <w:tblPrEx>
          <w:tblCellMar>
            <w:top w:w="0" w:type="dxa"/>
            <w:left w:w="108" w:type="dxa"/>
            <w:bottom w:w="0" w:type="dxa"/>
            <w:right w:w="108" w:type="dxa"/>
          </w:tblCellMar>
        </w:tblPrEx>
        <w:trPr>
          <w:trHeight w:val="145" w:hRule="atLeast"/>
        </w:trPr>
        <w:tc>
          <w:tcPr>
            <w:tcW w:w="2142" w:type="dxa"/>
            <w:gridSpan w:val="2"/>
            <w:tcBorders>
              <w:top w:val="single" w:color="auto" w:sz="8" w:space="0"/>
              <w:left w:val="single" w:color="auto" w:sz="8" w:space="0"/>
              <w:bottom w:val="single" w:color="auto" w:sz="8" w:space="0"/>
              <w:right w:val="single" w:color="000000" w:sz="8" w:space="0"/>
            </w:tcBorders>
            <w:vAlign w:val="center"/>
          </w:tcPr>
          <w:p w14:paraId="3218381E">
            <w:pPr>
              <w:widowControl/>
              <w:ind w:firstLine="0" w:firstLineChars="0"/>
              <w:jc w:val="center"/>
              <w:rPr>
                <w:rFonts w:ascii="Times New Roman" w:hAnsi="Times New Roman"/>
                <w:b/>
                <w:kern w:val="0"/>
                <w:szCs w:val="21"/>
              </w:rPr>
            </w:pPr>
            <w:r>
              <w:rPr>
                <w:rFonts w:ascii="Times New Roman" w:hAnsi="Times New Roman"/>
                <w:b/>
                <w:kern w:val="0"/>
                <w:szCs w:val="21"/>
              </w:rPr>
              <w:t>合计</w:t>
            </w:r>
          </w:p>
        </w:tc>
        <w:tc>
          <w:tcPr>
            <w:tcW w:w="850" w:type="dxa"/>
            <w:tcBorders>
              <w:top w:val="nil"/>
              <w:left w:val="nil"/>
              <w:bottom w:val="single" w:color="auto" w:sz="8" w:space="0"/>
              <w:right w:val="single" w:color="auto" w:sz="8" w:space="0"/>
            </w:tcBorders>
            <w:vAlign w:val="center"/>
          </w:tcPr>
          <w:p w14:paraId="662DA7F8">
            <w:pPr>
              <w:widowControl/>
              <w:ind w:firstLine="0" w:firstLineChars="0"/>
              <w:jc w:val="center"/>
              <w:rPr>
                <w:rFonts w:ascii="Times New Roman" w:hAnsi="Times New Roman"/>
                <w:b/>
                <w:kern w:val="0"/>
                <w:szCs w:val="21"/>
              </w:rPr>
            </w:pPr>
          </w:p>
        </w:tc>
        <w:tc>
          <w:tcPr>
            <w:tcW w:w="1276" w:type="dxa"/>
            <w:tcBorders>
              <w:top w:val="nil"/>
              <w:left w:val="nil"/>
              <w:bottom w:val="single" w:color="auto" w:sz="8" w:space="0"/>
              <w:right w:val="single" w:color="auto" w:sz="8" w:space="0"/>
            </w:tcBorders>
            <w:vAlign w:val="center"/>
          </w:tcPr>
          <w:p w14:paraId="0091C378">
            <w:pPr>
              <w:widowControl/>
              <w:ind w:firstLine="0" w:firstLineChars="0"/>
              <w:jc w:val="center"/>
              <w:rPr>
                <w:rFonts w:ascii="Times New Roman" w:hAnsi="Times New Roman"/>
                <w:b/>
                <w:kern w:val="0"/>
                <w:szCs w:val="21"/>
              </w:rPr>
            </w:pPr>
          </w:p>
        </w:tc>
        <w:tc>
          <w:tcPr>
            <w:tcW w:w="1276" w:type="dxa"/>
            <w:tcBorders>
              <w:top w:val="nil"/>
              <w:left w:val="nil"/>
              <w:bottom w:val="single" w:color="auto" w:sz="8" w:space="0"/>
              <w:right w:val="single" w:color="auto" w:sz="8" w:space="0"/>
            </w:tcBorders>
            <w:vAlign w:val="center"/>
          </w:tcPr>
          <w:p w14:paraId="7304750F">
            <w:pPr>
              <w:widowControl/>
              <w:ind w:firstLine="0" w:firstLineChars="0"/>
              <w:jc w:val="center"/>
              <w:rPr>
                <w:rFonts w:ascii="Times New Roman" w:hAnsi="Times New Roman"/>
                <w:b/>
                <w:kern w:val="0"/>
                <w:szCs w:val="21"/>
              </w:rPr>
            </w:pPr>
          </w:p>
        </w:tc>
        <w:tc>
          <w:tcPr>
            <w:tcW w:w="1701" w:type="dxa"/>
            <w:tcBorders>
              <w:top w:val="nil"/>
              <w:left w:val="nil"/>
              <w:bottom w:val="single" w:color="auto" w:sz="8" w:space="0"/>
              <w:right w:val="single" w:color="auto" w:sz="8" w:space="0"/>
            </w:tcBorders>
            <w:vAlign w:val="center"/>
          </w:tcPr>
          <w:p w14:paraId="0D0BAF93">
            <w:pPr>
              <w:ind w:firstLine="0" w:firstLineChars="0"/>
              <w:jc w:val="center"/>
              <w:rPr>
                <w:rFonts w:ascii="Times New Roman" w:hAnsi="Times New Roman"/>
                <w:b/>
                <w:szCs w:val="21"/>
              </w:rPr>
            </w:pPr>
          </w:p>
        </w:tc>
        <w:tc>
          <w:tcPr>
            <w:tcW w:w="1292" w:type="dxa"/>
            <w:tcBorders>
              <w:top w:val="nil"/>
              <w:left w:val="nil"/>
              <w:bottom w:val="single" w:color="auto" w:sz="8" w:space="0"/>
              <w:right w:val="single" w:color="auto" w:sz="8" w:space="0"/>
            </w:tcBorders>
            <w:vAlign w:val="center"/>
          </w:tcPr>
          <w:p w14:paraId="145B4171">
            <w:pPr>
              <w:ind w:firstLine="0" w:firstLineChars="0"/>
              <w:jc w:val="center"/>
              <w:rPr>
                <w:rFonts w:ascii="Times New Roman" w:hAnsi="Times New Roman"/>
                <w:b/>
                <w:szCs w:val="21"/>
              </w:rPr>
            </w:pPr>
          </w:p>
        </w:tc>
        <w:tc>
          <w:tcPr>
            <w:tcW w:w="1259" w:type="dxa"/>
            <w:tcBorders>
              <w:top w:val="nil"/>
              <w:left w:val="nil"/>
              <w:bottom w:val="single" w:color="auto" w:sz="8" w:space="0"/>
              <w:right w:val="single" w:color="auto" w:sz="8" w:space="0"/>
            </w:tcBorders>
            <w:vAlign w:val="center"/>
          </w:tcPr>
          <w:p w14:paraId="0BEA57E2">
            <w:pPr>
              <w:widowControl/>
              <w:ind w:firstLine="0" w:firstLineChars="0"/>
              <w:jc w:val="center"/>
              <w:rPr>
                <w:rFonts w:ascii="Times New Roman" w:hAnsi="Times New Roman"/>
                <w:b/>
                <w:kern w:val="0"/>
                <w:szCs w:val="21"/>
              </w:rPr>
            </w:pPr>
          </w:p>
        </w:tc>
        <w:tc>
          <w:tcPr>
            <w:tcW w:w="1338" w:type="dxa"/>
            <w:tcBorders>
              <w:top w:val="nil"/>
              <w:left w:val="nil"/>
              <w:bottom w:val="single" w:color="auto" w:sz="8" w:space="0"/>
              <w:right w:val="single" w:color="auto" w:sz="8" w:space="0"/>
            </w:tcBorders>
            <w:vAlign w:val="center"/>
          </w:tcPr>
          <w:p w14:paraId="383A25AF">
            <w:pPr>
              <w:widowControl/>
              <w:ind w:firstLine="0" w:firstLineChars="0"/>
              <w:jc w:val="center"/>
              <w:rPr>
                <w:rFonts w:ascii="Times New Roman" w:hAnsi="Times New Roman"/>
                <w:b/>
                <w:kern w:val="0"/>
                <w:szCs w:val="21"/>
              </w:rPr>
            </w:pPr>
          </w:p>
        </w:tc>
        <w:tc>
          <w:tcPr>
            <w:tcW w:w="1639" w:type="dxa"/>
            <w:tcBorders>
              <w:top w:val="nil"/>
              <w:left w:val="nil"/>
              <w:bottom w:val="single" w:color="auto" w:sz="8" w:space="0"/>
              <w:right w:val="single" w:color="auto" w:sz="8" w:space="0"/>
            </w:tcBorders>
            <w:vAlign w:val="center"/>
          </w:tcPr>
          <w:p w14:paraId="29C48756">
            <w:pPr>
              <w:widowControl/>
              <w:ind w:firstLine="0" w:firstLineChars="0"/>
              <w:jc w:val="center"/>
              <w:rPr>
                <w:rFonts w:ascii="Times New Roman" w:hAnsi="Times New Roman"/>
                <w:b/>
                <w:kern w:val="0"/>
                <w:szCs w:val="21"/>
              </w:rPr>
            </w:pPr>
          </w:p>
        </w:tc>
        <w:tc>
          <w:tcPr>
            <w:tcW w:w="1417" w:type="dxa"/>
            <w:tcBorders>
              <w:top w:val="nil"/>
              <w:left w:val="nil"/>
              <w:bottom w:val="single" w:color="auto" w:sz="8" w:space="0"/>
              <w:right w:val="single" w:color="auto" w:sz="8" w:space="0"/>
            </w:tcBorders>
            <w:vAlign w:val="center"/>
          </w:tcPr>
          <w:p w14:paraId="7388C322">
            <w:pPr>
              <w:widowControl/>
              <w:ind w:firstLine="0" w:firstLineChars="0"/>
              <w:jc w:val="center"/>
              <w:rPr>
                <w:rFonts w:ascii="Times New Roman" w:hAnsi="Times New Roman"/>
                <w:b/>
                <w:kern w:val="0"/>
                <w:szCs w:val="21"/>
              </w:rPr>
            </w:pPr>
          </w:p>
        </w:tc>
      </w:tr>
    </w:tbl>
    <w:p w14:paraId="4A74D994">
      <w:pPr>
        <w:snapToGrid w:val="0"/>
        <w:ind w:firstLine="600"/>
        <w:rPr>
          <w:rFonts w:ascii="Times New Roman" w:hAnsi="Times New Roman"/>
          <w:szCs w:val="30"/>
        </w:rPr>
      </w:pPr>
      <w:r>
        <w:rPr>
          <w:rFonts w:ascii="Times New Roman" w:hAnsi="Times New Roman"/>
          <w:szCs w:val="30"/>
        </w:rPr>
        <w:t>注：1、本表必须为打印稿，手写无效。本表仅需填写“限售公募REITs”的信息，如该持有人还持有无限售条件的公募REITs不能计入；</w:t>
      </w:r>
    </w:p>
    <w:p w14:paraId="7FCBDEA0">
      <w:pPr>
        <w:snapToGrid w:val="0"/>
        <w:ind w:firstLine="600"/>
        <w:rPr>
          <w:rFonts w:ascii="Times New Roman" w:hAnsi="Times New Roman"/>
          <w:szCs w:val="30"/>
        </w:rPr>
      </w:pPr>
      <w:r>
        <w:rPr>
          <w:rFonts w:ascii="Times New Roman" w:hAnsi="Times New Roman"/>
          <w:szCs w:val="30"/>
        </w:rPr>
        <w:t>2、股东持有多个证券账户须分别填写持有记录，如果股东数量多，此表可以分为多页，每页须盖章；</w:t>
      </w:r>
    </w:p>
    <w:p w14:paraId="4B28947D">
      <w:pPr>
        <w:snapToGrid w:val="0"/>
        <w:ind w:firstLine="600"/>
        <w:rPr>
          <w:rFonts w:ascii="Times New Roman" w:hAnsi="Times New Roman"/>
          <w:szCs w:val="30"/>
        </w:rPr>
      </w:pPr>
      <w:r>
        <w:rPr>
          <w:rFonts w:ascii="Times New Roman" w:hAnsi="Times New Roman"/>
          <w:szCs w:val="30"/>
        </w:rPr>
        <w:t>3、对于同一证券账户中持有公募REITs分批解除限售的，如该证券账户中拟解除限售的限售公募REITs包含不同证券类别、流通类型、挂牌年份的，需按照明细分别填写上市数量；</w:t>
      </w:r>
    </w:p>
    <w:p w14:paraId="6ED55CB1">
      <w:pPr>
        <w:snapToGrid w:val="0"/>
        <w:ind w:firstLine="600"/>
        <w:rPr>
          <w:rFonts w:ascii="Times New Roman" w:hAnsi="Times New Roman"/>
          <w:szCs w:val="30"/>
        </w:rPr>
      </w:pPr>
      <w:r>
        <w:rPr>
          <w:rFonts w:ascii="Times New Roman" w:hAnsi="Times New Roman"/>
          <w:szCs w:val="30"/>
        </w:rPr>
        <w:t>4、对于同一证券账户所持证券部分存在权利限制（包括但不限于司法冻结、质押登记、临时保管等）情况且需部分解除限售的，原则上对两种不同状态的证券按照其所占该账户原限售证券数量的比例确定不同的解禁数量；如有不同解禁要求的，应由基金管理人指定解禁的具体数据及明细。对于存在司法轮候冻结（或已质押登记的份额被司法冻结）情况的，须先由相关司法机关向中国证券登记结算有限责任公司上海分公司出具确认解除限售后要求司法轮候冻结（或冻结已质押登记的份额）的数量及明细（包括具体指向的已流通证券及尚未流通证券）的司法文书后，基金管理人方能提交申请。”</w:t>
      </w:r>
    </w:p>
    <w:p w14:paraId="0A51F7FA">
      <w:pPr>
        <w:snapToGrid w:val="0"/>
        <w:ind w:firstLine="600"/>
        <w:rPr>
          <w:rFonts w:ascii="Times New Roman" w:hAnsi="Times New Roman"/>
          <w:szCs w:val="30"/>
        </w:rPr>
      </w:pPr>
      <w:r>
        <w:rPr>
          <w:rFonts w:ascii="Times New Roman" w:hAnsi="Times New Roman"/>
          <w:szCs w:val="30"/>
        </w:rPr>
        <w:t>5、在解禁前除发生司法轮候冻结以外，对于其他由于扣划、冻结、解冻或股份性质变更，导致表中解禁证券类别、流通类型或冻结数量明细发生变化的，为确保解禁，将继续对原指定的证券进行解除限售操作。</w:t>
      </w:r>
    </w:p>
    <w:p w14:paraId="05A2E719">
      <w:pPr>
        <w:snapToGrid w:val="0"/>
        <w:ind w:firstLine="600"/>
        <w:rPr>
          <w:rFonts w:ascii="Times New Roman" w:hAnsi="Times New Roman"/>
          <w:szCs w:val="30"/>
        </w:rPr>
      </w:pPr>
      <w:r>
        <w:rPr>
          <w:rFonts w:ascii="Times New Roman" w:hAnsi="Times New Roman"/>
          <w:szCs w:val="30"/>
        </w:rPr>
        <w:t>6、如果本次申请中仅个别账户部分解禁或不解禁，为便于填写，可先将部分解禁或不解禁的账户全部列出，对于其他全部解禁的账户，可统一按以下方式填写：“证券账户”填写为“其他全部账户”，“原持有证券数量”填写上述账户持有合计数量，“本次解禁数量”即为“原持有证券数量”，“剩余证券数量”填写为“0”。</w:t>
      </w:r>
    </w:p>
    <w:p w14:paraId="5588632D">
      <w:pPr>
        <w:snapToGrid w:val="0"/>
        <w:ind w:firstLine="600"/>
        <w:rPr>
          <w:rFonts w:ascii="Times New Roman" w:hAnsi="Times New Roman"/>
          <w:szCs w:val="30"/>
        </w:rPr>
      </w:pPr>
      <w:r>
        <w:rPr>
          <w:rFonts w:ascii="Times New Roman" w:hAnsi="Times New Roman"/>
          <w:szCs w:val="30"/>
        </w:rPr>
        <w:t>7、每个相关持有人的上市数量不能超过法律、法规的有关规定。</w:t>
      </w:r>
    </w:p>
    <w:p w14:paraId="6C519EEB">
      <w:pPr>
        <w:snapToGrid w:val="0"/>
        <w:ind w:firstLine="675" w:firstLineChars="225"/>
        <w:rPr>
          <w:rFonts w:ascii="Times New Roman" w:hAnsi="Times New Roman"/>
          <w:szCs w:val="30"/>
        </w:rPr>
      </w:pPr>
      <w:r>
        <w:rPr>
          <w:rFonts w:ascii="Times New Roman" w:hAnsi="Times New Roman"/>
          <w:szCs w:val="30"/>
        </w:rPr>
        <w:t>本公司已知晓并遵守上述注意事项，保证上述材料和信息的真实、准确、完整、合法，特向上海证券交易所申请办理限售公募REITs解除限售申请事宜。</w:t>
      </w:r>
    </w:p>
    <w:p w14:paraId="124A9AF4">
      <w:pPr>
        <w:snapToGrid w:val="0"/>
        <w:ind w:firstLine="675" w:firstLineChars="225"/>
        <w:rPr>
          <w:rFonts w:ascii="Times New Roman" w:hAnsi="Times New Roman"/>
          <w:szCs w:val="30"/>
        </w:rPr>
      </w:pPr>
    </w:p>
    <w:p w14:paraId="5327469A">
      <w:pPr>
        <w:snapToGrid w:val="0"/>
        <w:ind w:firstLine="4050" w:firstLineChars="1350"/>
        <w:jc w:val="center"/>
        <w:rPr>
          <w:rFonts w:ascii="Times New Roman" w:hAnsi="Times New Roman"/>
          <w:szCs w:val="30"/>
        </w:rPr>
      </w:pPr>
      <w:r>
        <w:rPr>
          <w:rFonts w:ascii="Times New Roman" w:hAnsi="Times New Roman"/>
          <w:szCs w:val="30"/>
        </w:rPr>
        <w:t>（基金管理人全称）（盖章）</w:t>
      </w:r>
    </w:p>
    <w:p w14:paraId="24CC521F">
      <w:pPr>
        <w:snapToGrid w:val="0"/>
        <w:ind w:firstLine="4050" w:firstLineChars="1350"/>
        <w:jc w:val="center"/>
        <w:rPr>
          <w:rFonts w:ascii="Times New Roman" w:hAnsi="Times New Roman"/>
          <w:szCs w:val="30"/>
        </w:rPr>
      </w:pPr>
    </w:p>
    <w:tbl>
      <w:tblPr>
        <w:tblStyle w:val="1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87"/>
        <w:gridCol w:w="7087"/>
      </w:tblGrid>
      <w:tr w14:paraId="2AB421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87" w:type="dxa"/>
          </w:tcPr>
          <w:p w14:paraId="4D773060">
            <w:pPr>
              <w:snapToGrid w:val="0"/>
              <w:ind w:firstLine="480"/>
              <w:rPr>
                <w:rFonts w:ascii="Times New Roman" w:hAnsi="Times New Roman"/>
                <w:sz w:val="24"/>
                <w:szCs w:val="24"/>
              </w:rPr>
            </w:pPr>
            <w:r>
              <w:rPr>
                <w:rFonts w:ascii="Times New Roman" w:hAnsi="Times New Roman"/>
                <w:sz w:val="24"/>
                <w:szCs w:val="24"/>
              </w:rPr>
              <w:t>中国结算上海分公司</w:t>
            </w:r>
            <w:r>
              <w:rPr>
                <w:rFonts w:ascii="Times New Roman" w:hAnsi="Times New Roman"/>
                <w:sz w:val="24"/>
                <w:szCs w:val="24"/>
                <w:u w:val="single"/>
              </w:rPr>
              <w:t>发行人业务</w:t>
            </w:r>
            <w:r>
              <w:rPr>
                <w:rFonts w:ascii="Times New Roman" w:hAnsi="Times New Roman"/>
                <w:sz w:val="24"/>
                <w:szCs w:val="24"/>
              </w:rPr>
              <w:t>部：</w:t>
            </w:r>
          </w:p>
          <w:p w14:paraId="7087A6CB">
            <w:pPr>
              <w:snapToGrid w:val="0"/>
              <w:ind w:firstLine="480"/>
              <w:rPr>
                <w:rFonts w:ascii="Times New Roman" w:hAnsi="Times New Roman"/>
                <w:sz w:val="24"/>
                <w:szCs w:val="24"/>
              </w:rPr>
            </w:pPr>
            <w:r>
              <w:rPr>
                <w:rFonts w:ascii="Times New Roman" w:hAnsi="Times New Roman"/>
                <w:sz w:val="24"/>
                <w:szCs w:val="24"/>
              </w:rPr>
              <w:t>初审：</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复核：</w:t>
            </w:r>
          </w:p>
          <w:p w14:paraId="1F16A45F">
            <w:pPr>
              <w:snapToGrid w:val="0"/>
              <w:ind w:firstLine="480"/>
              <w:rPr>
                <w:rFonts w:ascii="Times New Roman" w:hAnsi="Times New Roman"/>
                <w:sz w:val="24"/>
                <w:szCs w:val="24"/>
              </w:rPr>
            </w:pPr>
            <w:r>
              <w:rPr>
                <w:rFonts w:ascii="Times New Roman" w:hAnsi="Times New Roman"/>
                <w:sz w:val="24"/>
                <w:szCs w:val="24"/>
              </w:rPr>
              <w:t>日期：</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日期：</w:t>
            </w:r>
          </w:p>
          <w:p w14:paraId="42AC9645">
            <w:pPr>
              <w:snapToGrid w:val="0"/>
              <w:ind w:firstLine="480"/>
              <w:rPr>
                <w:rFonts w:ascii="Times New Roman" w:hAnsi="Times New Roman"/>
                <w:sz w:val="24"/>
                <w:szCs w:val="24"/>
              </w:rPr>
            </w:pPr>
            <w:r>
              <w:rPr>
                <w:rFonts w:ascii="Times New Roman" w:hAnsi="Times New Roman"/>
                <w:sz w:val="24"/>
                <w:szCs w:val="24"/>
              </w:rPr>
              <w:t>中国结算上海分公司发行人业务部对上表中：证券账户/证券类别/流通类型/挂牌年份/原持有数量/冻结数量/冻结编号进行审核确认。</w:t>
            </w:r>
          </w:p>
        </w:tc>
        <w:tc>
          <w:tcPr>
            <w:tcW w:w="7087" w:type="dxa"/>
          </w:tcPr>
          <w:p w14:paraId="720DB306">
            <w:pPr>
              <w:snapToGrid w:val="0"/>
              <w:ind w:firstLine="480"/>
              <w:rPr>
                <w:rFonts w:ascii="Times New Roman" w:hAnsi="Times New Roman"/>
                <w:sz w:val="24"/>
                <w:szCs w:val="24"/>
              </w:rPr>
            </w:pPr>
            <w:r>
              <w:rPr>
                <w:rFonts w:ascii="Times New Roman" w:hAnsi="Times New Roman"/>
                <w:sz w:val="24"/>
                <w:szCs w:val="24"/>
              </w:rPr>
              <w:t>上海证券交易所</w:t>
            </w:r>
            <w:r>
              <w:rPr>
                <w:rFonts w:ascii="Times New Roman" w:hAnsi="Times New Roman"/>
                <w:sz w:val="24"/>
                <w:szCs w:val="24"/>
                <w:u w:val="single"/>
              </w:rPr>
              <w:t xml:space="preserve">         </w:t>
            </w:r>
            <w:r>
              <w:rPr>
                <w:rFonts w:ascii="Times New Roman" w:hAnsi="Times New Roman"/>
                <w:sz w:val="24"/>
                <w:szCs w:val="24"/>
              </w:rPr>
              <w:t>部</w:t>
            </w:r>
          </w:p>
          <w:p w14:paraId="1299E4D8">
            <w:pPr>
              <w:snapToGrid w:val="0"/>
              <w:ind w:firstLine="480"/>
              <w:rPr>
                <w:rFonts w:ascii="Times New Roman" w:hAnsi="Times New Roman"/>
                <w:sz w:val="24"/>
                <w:szCs w:val="24"/>
              </w:rPr>
            </w:pPr>
            <w:r>
              <w:rPr>
                <w:rFonts w:ascii="Times New Roman" w:hAnsi="Times New Roman"/>
                <w:sz w:val="24"/>
                <w:szCs w:val="24"/>
              </w:rPr>
              <w:t>初审：</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复核：</w:t>
            </w:r>
          </w:p>
          <w:p w14:paraId="34ECE918">
            <w:pPr>
              <w:snapToGrid w:val="0"/>
              <w:ind w:firstLine="480"/>
              <w:rPr>
                <w:rFonts w:ascii="Times New Roman" w:hAnsi="Times New Roman"/>
                <w:sz w:val="24"/>
                <w:szCs w:val="24"/>
              </w:rPr>
            </w:pPr>
            <w:r>
              <w:rPr>
                <w:rFonts w:ascii="Times New Roman" w:hAnsi="Times New Roman"/>
                <w:sz w:val="24"/>
                <w:szCs w:val="24"/>
              </w:rPr>
              <w:t>日期：</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日期：</w:t>
            </w:r>
          </w:p>
          <w:p w14:paraId="7FB70127">
            <w:pPr>
              <w:snapToGrid w:val="0"/>
              <w:ind w:firstLine="480"/>
              <w:rPr>
                <w:rFonts w:ascii="Times New Roman" w:hAnsi="Times New Roman"/>
                <w:sz w:val="24"/>
                <w:szCs w:val="24"/>
              </w:rPr>
            </w:pPr>
            <w:r>
              <w:rPr>
                <w:rFonts w:ascii="Times New Roman" w:hAnsi="Times New Roman"/>
                <w:sz w:val="24"/>
                <w:szCs w:val="24"/>
              </w:rPr>
              <w:t>上海证券交易所</w:t>
            </w:r>
            <w:r>
              <w:rPr>
                <w:rFonts w:ascii="Times New Roman" w:hAnsi="Times New Roman"/>
                <w:sz w:val="24"/>
                <w:szCs w:val="24"/>
                <w:u w:val="single"/>
              </w:rPr>
              <w:t xml:space="preserve">        部</w:t>
            </w:r>
            <w:r>
              <w:rPr>
                <w:rFonts w:ascii="Times New Roman" w:hAnsi="Times New Roman"/>
                <w:sz w:val="24"/>
                <w:szCs w:val="24"/>
              </w:rPr>
              <w:t>对上表中：本次上市数量/剩余数量进行审核确认。</w:t>
            </w:r>
          </w:p>
        </w:tc>
      </w:tr>
    </w:tbl>
    <w:p w14:paraId="3B815E5E">
      <w:pPr>
        <w:pStyle w:val="16"/>
        <w:snapToGrid w:val="0"/>
        <w:spacing w:before="0" w:beforeAutospacing="0" w:after="0" w:afterAutospacing="0" w:line="360" w:lineRule="auto"/>
        <w:ind w:firstLine="600"/>
        <w:jc w:val="both"/>
        <w:rPr>
          <w:rFonts w:ascii="Times New Roman" w:hAnsi="Times New Roman" w:eastAsia="仿宋_GB2312" w:cs="Times New Roman"/>
          <w:sz w:val="30"/>
          <w:szCs w:val="30"/>
        </w:rPr>
        <w:sectPr>
          <w:pgSz w:w="16838" w:h="11906" w:orient="landscape"/>
          <w:pgMar w:top="1797" w:right="1440" w:bottom="1797" w:left="1440" w:header="851" w:footer="992" w:gutter="0"/>
          <w:cols w:space="720" w:num="1"/>
          <w:docGrid w:type="linesAndChars" w:linePitch="312" w:charSpace="0"/>
        </w:sectPr>
      </w:pPr>
    </w:p>
    <w:p w14:paraId="23E69CA3">
      <w:pPr>
        <w:pStyle w:val="3"/>
        <w:spacing w:before="120" w:after="120"/>
        <w:ind w:firstLine="0" w:firstLineChars="0"/>
        <w:rPr>
          <w:rFonts w:ascii="Times New Roman" w:hAnsi="Times New Roman"/>
        </w:rPr>
      </w:pPr>
      <w:bookmarkStart w:id="77" w:name="_Toc217484347"/>
      <w:bookmarkStart w:id="78" w:name="_Toc978472937"/>
      <w:r>
        <w:rPr>
          <w:rFonts w:ascii="Times New Roman" w:hAnsi="Times New Roman"/>
        </w:rPr>
        <w:t>附件</w:t>
      </w:r>
      <w:r>
        <w:rPr>
          <w:rFonts w:hint="eastAsia" w:ascii="Times New Roman" w:hAnsi="Times New Roman"/>
        </w:rPr>
        <w:t>7  公募</w:t>
      </w:r>
      <w:r>
        <w:rPr>
          <w:rFonts w:ascii="Times New Roman" w:hAnsi="Times New Roman"/>
        </w:rPr>
        <w:t>REITs场外份额解锁申请表</w:t>
      </w:r>
      <w:bookmarkEnd w:id="77"/>
      <w:bookmarkEnd w:id="78"/>
    </w:p>
    <w:tbl>
      <w:tblPr>
        <w:tblStyle w:val="18"/>
        <w:tblW w:w="552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30" w:type="dxa"/>
          <w:bottom w:w="0" w:type="dxa"/>
          <w:right w:w="30" w:type="dxa"/>
        </w:tblCellMar>
      </w:tblPr>
      <w:tblGrid>
        <w:gridCol w:w="1069"/>
        <w:gridCol w:w="1383"/>
        <w:gridCol w:w="1133"/>
        <w:gridCol w:w="1418"/>
        <w:gridCol w:w="1133"/>
        <w:gridCol w:w="1610"/>
        <w:gridCol w:w="1497"/>
      </w:tblGrid>
      <w:tr w14:paraId="22B8FA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rPr>
          <w:cantSplit/>
          <w:trHeight w:val="293" w:hRule="atLeast"/>
          <w:jc w:val="center"/>
        </w:trPr>
        <w:tc>
          <w:tcPr>
            <w:tcW w:w="578" w:type="pct"/>
            <w:vAlign w:val="center"/>
          </w:tcPr>
          <w:p w14:paraId="6113F201">
            <w:pPr>
              <w:autoSpaceDE w:val="0"/>
              <w:autoSpaceDN w:val="0"/>
              <w:adjustRightInd w:val="0"/>
              <w:ind w:firstLine="0" w:firstLineChars="0"/>
              <w:jc w:val="center"/>
              <w:rPr>
                <w:rFonts w:ascii="Times New Roman" w:hAnsi="Times New Roman"/>
                <w:b/>
                <w:color w:val="000000"/>
                <w:sz w:val="24"/>
              </w:rPr>
            </w:pPr>
            <w:r>
              <w:rPr>
                <w:rFonts w:ascii="Times New Roman" w:hAnsi="Times New Roman"/>
                <w:b/>
                <w:color w:val="000000"/>
                <w:sz w:val="24"/>
              </w:rPr>
              <w:t>基金代码</w:t>
            </w:r>
          </w:p>
        </w:tc>
        <w:tc>
          <w:tcPr>
            <w:tcW w:w="748" w:type="pct"/>
            <w:vAlign w:val="center"/>
          </w:tcPr>
          <w:p w14:paraId="5537F391">
            <w:pPr>
              <w:autoSpaceDE w:val="0"/>
              <w:autoSpaceDN w:val="0"/>
              <w:adjustRightInd w:val="0"/>
              <w:ind w:firstLine="0" w:firstLineChars="0"/>
              <w:jc w:val="center"/>
              <w:rPr>
                <w:rFonts w:ascii="Times New Roman" w:hAnsi="Times New Roman"/>
                <w:b/>
                <w:color w:val="000000"/>
                <w:sz w:val="24"/>
              </w:rPr>
            </w:pPr>
            <w:r>
              <w:rPr>
                <w:rFonts w:ascii="Times New Roman" w:hAnsi="Times New Roman"/>
                <w:b/>
                <w:color w:val="000000"/>
                <w:sz w:val="24"/>
              </w:rPr>
              <w:t>代理人代码</w:t>
            </w:r>
          </w:p>
        </w:tc>
        <w:tc>
          <w:tcPr>
            <w:tcW w:w="613" w:type="pct"/>
            <w:vAlign w:val="center"/>
          </w:tcPr>
          <w:p w14:paraId="5E87EE65">
            <w:pPr>
              <w:autoSpaceDE w:val="0"/>
              <w:autoSpaceDN w:val="0"/>
              <w:adjustRightInd w:val="0"/>
              <w:ind w:firstLine="0" w:firstLineChars="0"/>
              <w:jc w:val="center"/>
              <w:rPr>
                <w:rFonts w:ascii="Times New Roman" w:hAnsi="Times New Roman"/>
                <w:b/>
                <w:color w:val="000000"/>
                <w:sz w:val="24"/>
              </w:rPr>
            </w:pPr>
            <w:r>
              <w:rPr>
                <w:rFonts w:ascii="Times New Roman" w:hAnsi="Times New Roman"/>
                <w:b/>
                <w:color w:val="000000"/>
                <w:sz w:val="24"/>
              </w:rPr>
              <w:t>份额类别</w:t>
            </w:r>
          </w:p>
        </w:tc>
        <w:tc>
          <w:tcPr>
            <w:tcW w:w="767" w:type="pct"/>
            <w:vAlign w:val="center"/>
          </w:tcPr>
          <w:p w14:paraId="1FD1880A">
            <w:pPr>
              <w:autoSpaceDE w:val="0"/>
              <w:autoSpaceDN w:val="0"/>
              <w:adjustRightInd w:val="0"/>
              <w:ind w:firstLine="0" w:firstLineChars="0"/>
              <w:jc w:val="center"/>
              <w:rPr>
                <w:rFonts w:ascii="Times New Roman" w:hAnsi="Times New Roman"/>
                <w:b/>
                <w:color w:val="000000"/>
                <w:sz w:val="24"/>
              </w:rPr>
            </w:pPr>
            <w:r>
              <w:rPr>
                <w:rFonts w:ascii="Times New Roman" w:hAnsi="Times New Roman"/>
                <w:b/>
                <w:color w:val="000000"/>
                <w:sz w:val="24"/>
              </w:rPr>
              <w:t>基金账户</w:t>
            </w:r>
          </w:p>
        </w:tc>
        <w:tc>
          <w:tcPr>
            <w:tcW w:w="613" w:type="pct"/>
            <w:vAlign w:val="center"/>
          </w:tcPr>
          <w:p w14:paraId="445C97F6">
            <w:pPr>
              <w:autoSpaceDE w:val="0"/>
              <w:autoSpaceDN w:val="0"/>
              <w:adjustRightInd w:val="0"/>
              <w:ind w:firstLine="0" w:firstLineChars="0"/>
              <w:jc w:val="center"/>
              <w:rPr>
                <w:rFonts w:ascii="Times New Roman" w:hAnsi="Times New Roman"/>
                <w:b/>
                <w:color w:val="000000"/>
                <w:sz w:val="24"/>
              </w:rPr>
            </w:pPr>
            <w:r>
              <w:rPr>
                <w:rFonts w:ascii="Times New Roman" w:hAnsi="Times New Roman"/>
                <w:b/>
                <w:color w:val="000000"/>
                <w:sz w:val="24"/>
              </w:rPr>
              <w:t>交易账户</w:t>
            </w:r>
          </w:p>
        </w:tc>
        <w:tc>
          <w:tcPr>
            <w:tcW w:w="871" w:type="pct"/>
            <w:vAlign w:val="center"/>
          </w:tcPr>
          <w:p w14:paraId="2F3E9847">
            <w:pPr>
              <w:autoSpaceDE w:val="0"/>
              <w:autoSpaceDN w:val="0"/>
              <w:adjustRightInd w:val="0"/>
              <w:ind w:firstLine="0" w:firstLineChars="0"/>
              <w:jc w:val="center"/>
              <w:rPr>
                <w:rFonts w:ascii="Times New Roman" w:hAnsi="Times New Roman"/>
                <w:b/>
                <w:color w:val="000000"/>
                <w:sz w:val="24"/>
              </w:rPr>
            </w:pPr>
            <w:r>
              <w:rPr>
                <w:rFonts w:ascii="Times New Roman" w:hAnsi="Times New Roman"/>
                <w:b/>
                <w:color w:val="000000"/>
                <w:sz w:val="24"/>
              </w:rPr>
              <w:t>申请解锁份额</w:t>
            </w:r>
          </w:p>
        </w:tc>
        <w:tc>
          <w:tcPr>
            <w:tcW w:w="809" w:type="pct"/>
            <w:vAlign w:val="center"/>
          </w:tcPr>
          <w:p w14:paraId="0F64A274">
            <w:pPr>
              <w:autoSpaceDE w:val="0"/>
              <w:autoSpaceDN w:val="0"/>
              <w:adjustRightInd w:val="0"/>
              <w:ind w:firstLine="0" w:firstLineChars="0"/>
              <w:jc w:val="center"/>
              <w:rPr>
                <w:rFonts w:ascii="Times New Roman" w:hAnsi="Times New Roman"/>
                <w:b/>
                <w:color w:val="000000"/>
                <w:sz w:val="24"/>
              </w:rPr>
            </w:pPr>
            <w:r>
              <w:rPr>
                <w:rFonts w:ascii="Times New Roman" w:hAnsi="Times New Roman"/>
                <w:b/>
                <w:color w:val="000000"/>
                <w:sz w:val="24"/>
              </w:rPr>
              <w:t>解锁生效日</w:t>
            </w:r>
          </w:p>
        </w:tc>
      </w:tr>
      <w:tr w14:paraId="3BCCBB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rPr>
          <w:cantSplit/>
          <w:trHeight w:val="293" w:hRule="atLeast"/>
          <w:jc w:val="center"/>
        </w:trPr>
        <w:tc>
          <w:tcPr>
            <w:tcW w:w="578" w:type="pct"/>
            <w:vAlign w:val="center"/>
          </w:tcPr>
          <w:p w14:paraId="2D73DF10">
            <w:pPr>
              <w:autoSpaceDE w:val="0"/>
              <w:autoSpaceDN w:val="0"/>
              <w:adjustRightInd w:val="0"/>
              <w:ind w:firstLine="0" w:firstLineChars="0"/>
              <w:jc w:val="center"/>
              <w:rPr>
                <w:rFonts w:ascii="Times New Roman" w:hAnsi="Times New Roman"/>
                <w:b/>
                <w:color w:val="000000"/>
                <w:sz w:val="24"/>
              </w:rPr>
            </w:pPr>
          </w:p>
        </w:tc>
        <w:tc>
          <w:tcPr>
            <w:tcW w:w="748" w:type="pct"/>
            <w:vAlign w:val="center"/>
          </w:tcPr>
          <w:p w14:paraId="514123DB">
            <w:pPr>
              <w:autoSpaceDE w:val="0"/>
              <w:autoSpaceDN w:val="0"/>
              <w:adjustRightInd w:val="0"/>
              <w:ind w:firstLine="0" w:firstLineChars="0"/>
              <w:jc w:val="center"/>
              <w:rPr>
                <w:rFonts w:ascii="Times New Roman" w:hAnsi="Times New Roman"/>
                <w:b/>
                <w:color w:val="000000"/>
                <w:sz w:val="24"/>
              </w:rPr>
            </w:pPr>
          </w:p>
        </w:tc>
        <w:tc>
          <w:tcPr>
            <w:tcW w:w="613" w:type="pct"/>
            <w:vAlign w:val="center"/>
          </w:tcPr>
          <w:p w14:paraId="4B09677E">
            <w:pPr>
              <w:autoSpaceDE w:val="0"/>
              <w:autoSpaceDN w:val="0"/>
              <w:adjustRightInd w:val="0"/>
              <w:ind w:firstLine="0" w:firstLineChars="0"/>
              <w:jc w:val="center"/>
              <w:rPr>
                <w:rFonts w:ascii="Times New Roman" w:hAnsi="Times New Roman"/>
                <w:b/>
                <w:color w:val="000000"/>
                <w:sz w:val="24"/>
              </w:rPr>
            </w:pPr>
          </w:p>
        </w:tc>
        <w:tc>
          <w:tcPr>
            <w:tcW w:w="767" w:type="pct"/>
            <w:vAlign w:val="center"/>
          </w:tcPr>
          <w:p w14:paraId="42D42BEF">
            <w:pPr>
              <w:autoSpaceDE w:val="0"/>
              <w:autoSpaceDN w:val="0"/>
              <w:adjustRightInd w:val="0"/>
              <w:ind w:firstLine="0" w:firstLineChars="0"/>
              <w:jc w:val="center"/>
              <w:rPr>
                <w:rFonts w:ascii="Times New Roman" w:hAnsi="Times New Roman"/>
                <w:b/>
                <w:color w:val="000000"/>
                <w:sz w:val="24"/>
              </w:rPr>
            </w:pPr>
          </w:p>
        </w:tc>
        <w:tc>
          <w:tcPr>
            <w:tcW w:w="613" w:type="pct"/>
            <w:vAlign w:val="center"/>
          </w:tcPr>
          <w:p w14:paraId="60A63D86">
            <w:pPr>
              <w:autoSpaceDE w:val="0"/>
              <w:autoSpaceDN w:val="0"/>
              <w:adjustRightInd w:val="0"/>
              <w:ind w:firstLine="0" w:firstLineChars="0"/>
              <w:jc w:val="center"/>
              <w:rPr>
                <w:rFonts w:ascii="Times New Roman" w:hAnsi="Times New Roman"/>
                <w:b/>
                <w:color w:val="000000"/>
                <w:sz w:val="24"/>
              </w:rPr>
            </w:pPr>
          </w:p>
        </w:tc>
        <w:tc>
          <w:tcPr>
            <w:tcW w:w="871" w:type="pct"/>
            <w:vAlign w:val="center"/>
          </w:tcPr>
          <w:p w14:paraId="64932561">
            <w:pPr>
              <w:autoSpaceDE w:val="0"/>
              <w:autoSpaceDN w:val="0"/>
              <w:adjustRightInd w:val="0"/>
              <w:ind w:firstLine="0" w:firstLineChars="0"/>
              <w:jc w:val="center"/>
              <w:rPr>
                <w:rFonts w:ascii="Times New Roman" w:hAnsi="Times New Roman"/>
                <w:b/>
                <w:color w:val="000000"/>
                <w:sz w:val="24"/>
              </w:rPr>
            </w:pPr>
          </w:p>
        </w:tc>
        <w:tc>
          <w:tcPr>
            <w:tcW w:w="809" w:type="pct"/>
            <w:vAlign w:val="center"/>
          </w:tcPr>
          <w:p w14:paraId="7C0DE30F">
            <w:pPr>
              <w:autoSpaceDE w:val="0"/>
              <w:autoSpaceDN w:val="0"/>
              <w:adjustRightInd w:val="0"/>
              <w:ind w:firstLine="0" w:firstLineChars="0"/>
              <w:jc w:val="center"/>
              <w:rPr>
                <w:rFonts w:ascii="Times New Roman" w:hAnsi="Times New Roman"/>
                <w:b/>
                <w:color w:val="000000"/>
                <w:sz w:val="24"/>
              </w:rPr>
            </w:pPr>
          </w:p>
        </w:tc>
      </w:tr>
    </w:tbl>
    <w:p w14:paraId="38318EDC">
      <w:pPr>
        <w:ind w:firstLine="600"/>
        <w:rPr>
          <w:rFonts w:ascii="Times New Roman" w:hAnsi="Times New Roman"/>
          <w:szCs w:val="21"/>
        </w:rPr>
      </w:pPr>
      <w:r>
        <w:rPr>
          <w:rFonts w:ascii="Times New Roman" w:hAnsi="Times New Roman"/>
          <w:szCs w:val="21"/>
        </w:rPr>
        <w:t>（注：系统在线提供EXCEL下载；“份额类别”填写“前收费”“后收费”）</w:t>
      </w:r>
    </w:p>
    <w:p w14:paraId="60426849">
      <w:pPr>
        <w:widowControl/>
        <w:ind w:firstLine="640"/>
        <w:jc w:val="left"/>
        <w:rPr>
          <w:rFonts w:ascii="Times New Roman" w:hAnsi="Times New Roman" w:eastAsia="黑体"/>
          <w:color w:val="000000"/>
          <w:kern w:val="0"/>
          <w:sz w:val="32"/>
          <w:szCs w:val="32"/>
        </w:rPr>
      </w:pPr>
      <w:r>
        <w:rPr>
          <w:rFonts w:ascii="Times New Roman" w:hAnsi="Times New Roman" w:eastAsia="黑体"/>
          <w:sz w:val="32"/>
          <w:szCs w:val="32"/>
        </w:rPr>
        <w:br w:type="page"/>
      </w:r>
    </w:p>
    <w:p w14:paraId="6EA7949B">
      <w:pPr>
        <w:pStyle w:val="3"/>
        <w:spacing w:before="120" w:after="120"/>
        <w:ind w:firstLine="0" w:firstLineChars="0"/>
        <w:rPr>
          <w:rFonts w:ascii="Times New Roman" w:hAnsi="Times New Roman"/>
        </w:rPr>
      </w:pPr>
      <w:bookmarkStart w:id="79" w:name="_Toc217484348"/>
      <w:bookmarkStart w:id="80" w:name="_Toc1681956635"/>
      <w:r>
        <w:rPr>
          <w:rFonts w:ascii="Times New Roman" w:hAnsi="Times New Roman"/>
        </w:rPr>
        <w:t>附件</w:t>
      </w:r>
      <w:r>
        <w:rPr>
          <w:rFonts w:hint="eastAsia" w:ascii="Times New Roman" w:hAnsi="Times New Roman"/>
        </w:rPr>
        <w:t>8</w:t>
      </w:r>
      <w:bookmarkStart w:id="81" w:name="_Toc70604265"/>
      <w:r>
        <w:rPr>
          <w:rFonts w:hint="eastAsia" w:ascii="Times New Roman" w:hAnsi="Times New Roman"/>
        </w:rPr>
        <w:t xml:space="preserve"> </w:t>
      </w:r>
      <w:r>
        <w:rPr>
          <w:rFonts w:ascii="Times New Roman" w:hAnsi="Times New Roman"/>
        </w:rPr>
        <w:t>《</w:t>
      </w:r>
      <w:r>
        <w:rPr>
          <w:rFonts w:hint="eastAsia" w:ascii="Times New Roman" w:hAnsi="Times New Roman"/>
        </w:rPr>
        <w:t>公募</w:t>
      </w:r>
      <w:r>
        <w:rPr>
          <w:rFonts w:ascii="Times New Roman" w:hAnsi="Times New Roman"/>
        </w:rPr>
        <w:t>REIT</w:t>
      </w:r>
      <w:r>
        <w:rPr>
          <w:rFonts w:hint="eastAsia" w:ascii="Times New Roman" w:hAnsi="Times New Roman"/>
        </w:rPr>
        <w:t>s</w:t>
      </w:r>
      <w:r>
        <w:rPr>
          <w:rFonts w:ascii="Times New Roman" w:hAnsi="Times New Roman"/>
        </w:rPr>
        <w:t>份额解除限售/解锁的公告》必备要素</w:t>
      </w:r>
      <w:bookmarkEnd w:id="79"/>
      <w:bookmarkEnd w:id="80"/>
      <w:bookmarkEnd w:id="81"/>
    </w:p>
    <w:p w14:paraId="2DFCE137">
      <w:pPr>
        <w:spacing w:line="360" w:lineRule="auto"/>
        <w:ind w:firstLine="602"/>
        <w:rPr>
          <w:rFonts w:ascii="仿宋_GB2312" w:hAnsi="Times New Roman"/>
          <w:szCs w:val="30"/>
        </w:rPr>
      </w:pPr>
      <w:r>
        <w:rPr>
          <w:rFonts w:hint="eastAsia" w:ascii="仿宋_GB2312" w:hAnsi="Times New Roman"/>
          <w:b/>
          <w:szCs w:val="30"/>
        </w:rPr>
        <w:t>一、公告基本信息</w:t>
      </w:r>
    </w:p>
    <w:p w14:paraId="5958CBD4">
      <w:pPr>
        <w:spacing w:line="360" w:lineRule="auto"/>
        <w:ind w:firstLine="600"/>
        <w:rPr>
          <w:rFonts w:ascii="仿宋_GB2312" w:hAnsi="Times New Roman"/>
          <w:szCs w:val="30"/>
        </w:rPr>
      </w:pPr>
      <w:r>
        <w:rPr>
          <w:rFonts w:hint="eastAsia" w:ascii="仿宋_GB2312" w:hAnsi="Times New Roman"/>
          <w:szCs w:val="30"/>
        </w:rPr>
        <w:t>证券代码：</w:t>
      </w:r>
    </w:p>
    <w:p w14:paraId="3E905D7B">
      <w:pPr>
        <w:spacing w:line="360" w:lineRule="auto"/>
        <w:ind w:firstLine="600"/>
        <w:rPr>
          <w:rFonts w:ascii="仿宋_GB2312" w:hAnsi="Times New Roman"/>
          <w:szCs w:val="30"/>
        </w:rPr>
      </w:pPr>
      <w:r>
        <w:rPr>
          <w:rFonts w:hint="eastAsia" w:ascii="仿宋_GB2312" w:hAnsi="Times New Roman"/>
          <w:szCs w:val="30"/>
        </w:rPr>
        <w:t>证券简称：</w:t>
      </w:r>
    </w:p>
    <w:p w14:paraId="435F0CE1">
      <w:pPr>
        <w:spacing w:line="360" w:lineRule="auto"/>
        <w:ind w:firstLine="600"/>
        <w:rPr>
          <w:rFonts w:ascii="仿宋_GB2312" w:hAnsi="Times New Roman"/>
          <w:szCs w:val="30"/>
        </w:rPr>
      </w:pPr>
      <w:r>
        <w:rPr>
          <w:rFonts w:hint="eastAsia" w:ascii="仿宋_GB2312" w:hAnsi="Times New Roman"/>
          <w:szCs w:val="30"/>
        </w:rPr>
        <w:t>证券全称：</w:t>
      </w:r>
    </w:p>
    <w:p w14:paraId="307DDB5F">
      <w:pPr>
        <w:spacing w:line="360" w:lineRule="auto"/>
        <w:ind w:firstLine="600"/>
        <w:rPr>
          <w:rFonts w:ascii="仿宋_GB2312" w:hAnsi="Times New Roman"/>
          <w:szCs w:val="30"/>
        </w:rPr>
      </w:pPr>
      <w:r>
        <w:rPr>
          <w:rFonts w:hint="eastAsia" w:ascii="仿宋_GB2312" w:hAnsi="Times New Roman"/>
          <w:szCs w:val="30"/>
        </w:rPr>
        <w:t xml:space="preserve">业务类型：场内解除限售□  场外解除锁定□  </w:t>
      </w:r>
    </w:p>
    <w:p w14:paraId="675597DD">
      <w:pPr>
        <w:spacing w:line="360" w:lineRule="auto"/>
        <w:ind w:firstLine="600"/>
        <w:rPr>
          <w:rFonts w:ascii="仿宋_GB2312" w:hAnsi="Times New Roman"/>
          <w:szCs w:val="30"/>
        </w:rPr>
      </w:pPr>
      <w:r>
        <w:rPr>
          <w:rFonts w:hint="eastAsia" w:ascii="仿宋_GB2312" w:hAnsi="Times New Roman"/>
          <w:szCs w:val="30"/>
        </w:rPr>
        <w:t>生效时间：年 月 日</w:t>
      </w:r>
    </w:p>
    <w:p w14:paraId="59AFD6A5">
      <w:pPr>
        <w:spacing w:line="360" w:lineRule="auto"/>
        <w:ind w:firstLine="602"/>
        <w:rPr>
          <w:rFonts w:ascii="仿宋_GB2312" w:hAnsi="Times New Roman"/>
          <w:b/>
          <w:szCs w:val="30"/>
        </w:rPr>
      </w:pPr>
      <w:r>
        <w:rPr>
          <w:rFonts w:hint="eastAsia" w:ascii="仿宋_GB2312" w:hAnsi="Times New Roman"/>
          <w:b/>
          <w:szCs w:val="30"/>
        </w:rPr>
        <w:t>二、公告文件模板</w:t>
      </w:r>
    </w:p>
    <w:p w14:paraId="49CA5E38">
      <w:pPr>
        <w:spacing w:line="360" w:lineRule="auto"/>
        <w:ind w:firstLine="602"/>
        <w:rPr>
          <w:rFonts w:ascii="Times New Roman" w:hAnsi="Times New Roman"/>
          <w:b/>
          <w:szCs w:val="30"/>
        </w:rPr>
      </w:pPr>
      <w:r>
        <w:rPr>
          <w:rFonts w:ascii="Times New Roman" w:hAnsi="Times New Roman"/>
          <w:b/>
          <w:szCs w:val="30"/>
        </w:rPr>
        <w:t>（一）公募REITs场内份额解除限售</w:t>
      </w:r>
    </w:p>
    <w:p w14:paraId="738D61DB">
      <w:pPr>
        <w:spacing w:line="360" w:lineRule="auto"/>
        <w:ind w:firstLine="602"/>
        <w:rPr>
          <w:rFonts w:ascii="Times New Roman" w:hAnsi="Times New Roman"/>
          <w:b/>
          <w:szCs w:val="30"/>
        </w:rPr>
      </w:pPr>
      <w:r>
        <w:rPr>
          <w:rFonts w:ascii="Times New Roman" w:hAnsi="Times New Roman"/>
          <w:b/>
          <w:szCs w:val="30"/>
        </w:rPr>
        <w:t>本次解除限售的份额情况</w:t>
      </w:r>
    </w:p>
    <w:tbl>
      <w:tblPr>
        <w:tblStyle w:val="18"/>
        <w:tblW w:w="4804"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65"/>
        <w:gridCol w:w="2088"/>
        <w:gridCol w:w="1794"/>
        <w:gridCol w:w="1703"/>
        <w:gridCol w:w="1844"/>
      </w:tblGrid>
      <w:tr w14:paraId="759373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 w:hRule="atLeast"/>
        </w:trPr>
        <w:tc>
          <w:tcPr>
            <w:tcW w:w="467" w:type="pct"/>
            <w:vAlign w:val="center"/>
          </w:tcPr>
          <w:p w14:paraId="11F014C2">
            <w:pPr>
              <w:snapToGrid w:val="0"/>
              <w:ind w:firstLine="0" w:firstLineChars="0"/>
              <w:jc w:val="center"/>
              <w:rPr>
                <w:rFonts w:ascii="Times New Roman" w:hAnsi="Times New Roman"/>
                <w:b/>
                <w:bCs/>
                <w:kern w:val="0"/>
                <w:sz w:val="24"/>
                <w:szCs w:val="24"/>
              </w:rPr>
            </w:pPr>
            <w:r>
              <w:rPr>
                <w:rFonts w:ascii="Times New Roman" w:hAnsi="Times New Roman"/>
                <w:b/>
                <w:bCs/>
                <w:kern w:val="0"/>
                <w:sz w:val="24"/>
                <w:szCs w:val="24"/>
              </w:rPr>
              <w:t>序号</w:t>
            </w:r>
          </w:p>
        </w:tc>
        <w:tc>
          <w:tcPr>
            <w:tcW w:w="1274" w:type="pct"/>
            <w:vAlign w:val="center"/>
          </w:tcPr>
          <w:p w14:paraId="4259163E">
            <w:pPr>
              <w:snapToGrid w:val="0"/>
              <w:ind w:firstLine="0" w:firstLineChars="0"/>
              <w:jc w:val="center"/>
              <w:rPr>
                <w:rFonts w:ascii="Times New Roman" w:hAnsi="Times New Roman"/>
                <w:b/>
                <w:bCs/>
                <w:kern w:val="0"/>
                <w:sz w:val="24"/>
                <w:szCs w:val="24"/>
              </w:rPr>
            </w:pPr>
            <w:r>
              <w:rPr>
                <w:rFonts w:ascii="Times New Roman" w:hAnsi="Times New Roman"/>
                <w:b/>
                <w:bCs/>
                <w:kern w:val="0"/>
                <w:sz w:val="24"/>
                <w:szCs w:val="24"/>
              </w:rPr>
              <w:t>证券账户名称</w:t>
            </w:r>
          </w:p>
        </w:tc>
        <w:tc>
          <w:tcPr>
            <w:tcW w:w="1095" w:type="pct"/>
            <w:vAlign w:val="center"/>
          </w:tcPr>
          <w:p w14:paraId="6EB7121A">
            <w:pPr>
              <w:snapToGrid w:val="0"/>
              <w:ind w:firstLine="0" w:firstLineChars="0"/>
              <w:jc w:val="center"/>
              <w:rPr>
                <w:rFonts w:ascii="Times New Roman" w:hAnsi="Times New Roman"/>
                <w:b/>
                <w:bCs/>
                <w:kern w:val="0"/>
                <w:sz w:val="24"/>
                <w:szCs w:val="24"/>
              </w:rPr>
            </w:pPr>
            <w:r>
              <w:rPr>
                <w:rFonts w:ascii="Times New Roman" w:hAnsi="Times New Roman"/>
                <w:b/>
                <w:bCs/>
                <w:kern w:val="0"/>
                <w:sz w:val="24"/>
                <w:szCs w:val="24"/>
              </w:rPr>
              <w:t>限售份额总量</w:t>
            </w:r>
          </w:p>
        </w:tc>
        <w:tc>
          <w:tcPr>
            <w:tcW w:w="1039" w:type="pct"/>
            <w:vAlign w:val="center"/>
          </w:tcPr>
          <w:p w14:paraId="003E5786">
            <w:pPr>
              <w:snapToGrid w:val="0"/>
              <w:ind w:firstLine="0" w:firstLineChars="0"/>
              <w:jc w:val="center"/>
              <w:rPr>
                <w:rFonts w:ascii="Times New Roman" w:hAnsi="Times New Roman"/>
                <w:b/>
                <w:bCs/>
                <w:kern w:val="0"/>
                <w:sz w:val="24"/>
                <w:szCs w:val="24"/>
              </w:rPr>
            </w:pPr>
            <w:r>
              <w:rPr>
                <w:rFonts w:ascii="Times New Roman" w:hAnsi="Times New Roman"/>
                <w:b/>
                <w:bCs/>
                <w:kern w:val="0"/>
                <w:sz w:val="24"/>
                <w:szCs w:val="24"/>
              </w:rPr>
              <w:t>限售类型</w:t>
            </w:r>
          </w:p>
        </w:tc>
        <w:tc>
          <w:tcPr>
            <w:tcW w:w="1125" w:type="pct"/>
            <w:vAlign w:val="center"/>
          </w:tcPr>
          <w:p w14:paraId="72B06EB1">
            <w:pPr>
              <w:snapToGrid w:val="0"/>
              <w:ind w:firstLine="0" w:firstLineChars="0"/>
              <w:jc w:val="center"/>
              <w:rPr>
                <w:rFonts w:ascii="Times New Roman" w:hAnsi="Times New Roman"/>
                <w:b/>
                <w:bCs/>
                <w:kern w:val="0"/>
                <w:sz w:val="24"/>
                <w:szCs w:val="24"/>
              </w:rPr>
            </w:pPr>
            <w:r>
              <w:rPr>
                <w:rFonts w:ascii="Times New Roman" w:hAnsi="Times New Roman"/>
                <w:b/>
                <w:bCs/>
                <w:kern w:val="0"/>
                <w:sz w:val="24"/>
                <w:szCs w:val="24"/>
              </w:rPr>
              <w:t>限售期（月）</w:t>
            </w:r>
          </w:p>
        </w:tc>
      </w:tr>
      <w:tr w14:paraId="044F87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9" w:hRule="atLeast"/>
        </w:trPr>
        <w:tc>
          <w:tcPr>
            <w:tcW w:w="467" w:type="pct"/>
            <w:vAlign w:val="center"/>
          </w:tcPr>
          <w:p w14:paraId="34BAB0D4">
            <w:pPr>
              <w:ind w:firstLine="0" w:firstLineChars="0"/>
              <w:jc w:val="center"/>
              <w:rPr>
                <w:rFonts w:ascii="Times New Roman" w:hAnsi="Times New Roman"/>
                <w:sz w:val="24"/>
                <w:szCs w:val="24"/>
              </w:rPr>
            </w:pPr>
            <w:r>
              <w:rPr>
                <w:rFonts w:ascii="Times New Roman" w:hAnsi="Times New Roman"/>
                <w:sz w:val="24"/>
                <w:szCs w:val="24"/>
              </w:rPr>
              <w:t>1</w:t>
            </w:r>
          </w:p>
        </w:tc>
        <w:tc>
          <w:tcPr>
            <w:tcW w:w="1274" w:type="pct"/>
            <w:vAlign w:val="center"/>
          </w:tcPr>
          <w:p w14:paraId="791E91D9">
            <w:pPr>
              <w:ind w:firstLine="0" w:firstLineChars="0"/>
              <w:jc w:val="center"/>
              <w:rPr>
                <w:rFonts w:ascii="Times New Roman" w:hAnsi="Times New Roman"/>
                <w:sz w:val="24"/>
                <w:szCs w:val="24"/>
              </w:rPr>
            </w:pPr>
          </w:p>
        </w:tc>
        <w:tc>
          <w:tcPr>
            <w:tcW w:w="1095" w:type="pct"/>
            <w:vAlign w:val="center"/>
          </w:tcPr>
          <w:p w14:paraId="24CE340F">
            <w:pPr>
              <w:ind w:firstLine="0" w:firstLineChars="0"/>
              <w:jc w:val="center"/>
              <w:rPr>
                <w:rFonts w:ascii="Times New Roman" w:hAnsi="Times New Roman"/>
                <w:sz w:val="24"/>
                <w:szCs w:val="24"/>
              </w:rPr>
            </w:pPr>
          </w:p>
        </w:tc>
        <w:tc>
          <w:tcPr>
            <w:tcW w:w="1039" w:type="pct"/>
            <w:vAlign w:val="center"/>
          </w:tcPr>
          <w:p w14:paraId="15AFF19A">
            <w:pPr>
              <w:ind w:firstLine="0" w:firstLineChars="0"/>
              <w:jc w:val="center"/>
              <w:rPr>
                <w:rFonts w:ascii="Times New Roman" w:hAnsi="Times New Roman"/>
                <w:sz w:val="24"/>
                <w:szCs w:val="24"/>
              </w:rPr>
            </w:pPr>
          </w:p>
        </w:tc>
        <w:tc>
          <w:tcPr>
            <w:tcW w:w="1125" w:type="pct"/>
            <w:vAlign w:val="center"/>
          </w:tcPr>
          <w:p w14:paraId="19D465BB">
            <w:pPr>
              <w:ind w:firstLine="0" w:firstLineChars="0"/>
              <w:jc w:val="center"/>
              <w:rPr>
                <w:rFonts w:ascii="Times New Roman" w:hAnsi="Times New Roman"/>
                <w:sz w:val="24"/>
                <w:szCs w:val="24"/>
              </w:rPr>
            </w:pPr>
          </w:p>
        </w:tc>
      </w:tr>
      <w:tr w14:paraId="3ED9DE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1" w:hRule="atLeast"/>
        </w:trPr>
        <w:tc>
          <w:tcPr>
            <w:tcW w:w="467" w:type="pct"/>
            <w:vAlign w:val="center"/>
          </w:tcPr>
          <w:p w14:paraId="79FC1E69">
            <w:pPr>
              <w:ind w:firstLine="0" w:firstLineChars="0"/>
              <w:jc w:val="center"/>
              <w:rPr>
                <w:rFonts w:ascii="Times New Roman" w:hAnsi="Times New Roman"/>
                <w:sz w:val="24"/>
                <w:szCs w:val="24"/>
              </w:rPr>
            </w:pPr>
            <w:r>
              <w:rPr>
                <w:rFonts w:ascii="Times New Roman" w:hAnsi="Times New Roman"/>
                <w:sz w:val="24"/>
                <w:szCs w:val="24"/>
              </w:rPr>
              <w:t>2</w:t>
            </w:r>
          </w:p>
        </w:tc>
        <w:tc>
          <w:tcPr>
            <w:tcW w:w="1274" w:type="pct"/>
            <w:vAlign w:val="center"/>
          </w:tcPr>
          <w:p w14:paraId="5827A08C">
            <w:pPr>
              <w:ind w:firstLine="0" w:firstLineChars="0"/>
              <w:jc w:val="center"/>
              <w:rPr>
                <w:rFonts w:ascii="Times New Roman" w:hAnsi="Times New Roman"/>
                <w:sz w:val="24"/>
                <w:szCs w:val="24"/>
              </w:rPr>
            </w:pPr>
          </w:p>
        </w:tc>
        <w:tc>
          <w:tcPr>
            <w:tcW w:w="1095" w:type="pct"/>
            <w:vAlign w:val="center"/>
          </w:tcPr>
          <w:p w14:paraId="03470530">
            <w:pPr>
              <w:ind w:firstLine="0" w:firstLineChars="0"/>
              <w:jc w:val="center"/>
              <w:rPr>
                <w:rFonts w:ascii="Times New Roman" w:hAnsi="Times New Roman"/>
                <w:sz w:val="24"/>
                <w:szCs w:val="24"/>
              </w:rPr>
            </w:pPr>
          </w:p>
        </w:tc>
        <w:tc>
          <w:tcPr>
            <w:tcW w:w="1039" w:type="pct"/>
            <w:vAlign w:val="center"/>
          </w:tcPr>
          <w:p w14:paraId="569EAC3F">
            <w:pPr>
              <w:ind w:firstLine="0" w:firstLineChars="0"/>
              <w:jc w:val="center"/>
              <w:rPr>
                <w:rFonts w:ascii="Times New Roman" w:hAnsi="Times New Roman"/>
                <w:sz w:val="24"/>
                <w:szCs w:val="24"/>
              </w:rPr>
            </w:pPr>
          </w:p>
        </w:tc>
        <w:tc>
          <w:tcPr>
            <w:tcW w:w="1125" w:type="pct"/>
            <w:vAlign w:val="center"/>
          </w:tcPr>
          <w:p w14:paraId="2042D45E">
            <w:pPr>
              <w:ind w:firstLine="0" w:firstLineChars="0"/>
              <w:jc w:val="center"/>
              <w:rPr>
                <w:rFonts w:ascii="Times New Roman" w:hAnsi="Times New Roman"/>
                <w:sz w:val="24"/>
                <w:szCs w:val="24"/>
              </w:rPr>
            </w:pPr>
          </w:p>
        </w:tc>
      </w:tr>
      <w:tr w14:paraId="38C540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1" w:hRule="atLeast"/>
        </w:trPr>
        <w:tc>
          <w:tcPr>
            <w:tcW w:w="467" w:type="pct"/>
            <w:vAlign w:val="center"/>
          </w:tcPr>
          <w:p w14:paraId="4741A74F">
            <w:pPr>
              <w:ind w:firstLine="0" w:firstLineChars="0"/>
              <w:jc w:val="center"/>
              <w:rPr>
                <w:rFonts w:ascii="Times New Roman" w:hAnsi="Times New Roman"/>
                <w:sz w:val="24"/>
                <w:szCs w:val="24"/>
              </w:rPr>
            </w:pPr>
            <w:r>
              <w:rPr>
                <w:rFonts w:ascii="Times New Roman" w:hAnsi="Times New Roman"/>
                <w:sz w:val="24"/>
                <w:szCs w:val="24"/>
              </w:rPr>
              <w:t>3</w:t>
            </w:r>
          </w:p>
        </w:tc>
        <w:tc>
          <w:tcPr>
            <w:tcW w:w="1274" w:type="pct"/>
            <w:vAlign w:val="center"/>
          </w:tcPr>
          <w:p w14:paraId="3CBC6E92">
            <w:pPr>
              <w:ind w:firstLine="0" w:firstLineChars="0"/>
              <w:jc w:val="center"/>
              <w:rPr>
                <w:rFonts w:ascii="Times New Roman" w:hAnsi="Times New Roman"/>
                <w:sz w:val="24"/>
                <w:szCs w:val="24"/>
              </w:rPr>
            </w:pPr>
          </w:p>
        </w:tc>
        <w:tc>
          <w:tcPr>
            <w:tcW w:w="1095" w:type="pct"/>
            <w:vAlign w:val="center"/>
          </w:tcPr>
          <w:p w14:paraId="23EAADF5">
            <w:pPr>
              <w:ind w:firstLine="0" w:firstLineChars="0"/>
              <w:jc w:val="center"/>
              <w:rPr>
                <w:rFonts w:ascii="Times New Roman" w:hAnsi="Times New Roman"/>
                <w:sz w:val="24"/>
                <w:szCs w:val="24"/>
              </w:rPr>
            </w:pPr>
          </w:p>
        </w:tc>
        <w:tc>
          <w:tcPr>
            <w:tcW w:w="1039" w:type="pct"/>
            <w:vAlign w:val="center"/>
          </w:tcPr>
          <w:p w14:paraId="7D205E73">
            <w:pPr>
              <w:ind w:firstLine="0" w:firstLineChars="0"/>
              <w:jc w:val="center"/>
              <w:rPr>
                <w:rFonts w:ascii="Times New Roman" w:hAnsi="Times New Roman"/>
                <w:sz w:val="24"/>
                <w:szCs w:val="24"/>
              </w:rPr>
            </w:pPr>
          </w:p>
        </w:tc>
        <w:tc>
          <w:tcPr>
            <w:tcW w:w="1125" w:type="pct"/>
            <w:vAlign w:val="center"/>
          </w:tcPr>
          <w:p w14:paraId="5DD468CC">
            <w:pPr>
              <w:ind w:firstLine="0" w:firstLineChars="0"/>
              <w:jc w:val="center"/>
              <w:rPr>
                <w:rFonts w:ascii="Times New Roman" w:hAnsi="Times New Roman"/>
                <w:sz w:val="24"/>
                <w:szCs w:val="24"/>
              </w:rPr>
            </w:pPr>
          </w:p>
        </w:tc>
      </w:tr>
      <w:tr w14:paraId="2A45A0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3" w:hRule="atLeast"/>
        </w:trPr>
        <w:tc>
          <w:tcPr>
            <w:tcW w:w="467" w:type="pct"/>
            <w:vAlign w:val="center"/>
          </w:tcPr>
          <w:p w14:paraId="023E2DBE">
            <w:pPr>
              <w:ind w:firstLine="0" w:firstLineChars="0"/>
              <w:jc w:val="center"/>
              <w:rPr>
                <w:rFonts w:ascii="Times New Roman" w:hAnsi="Times New Roman"/>
                <w:sz w:val="24"/>
                <w:szCs w:val="24"/>
              </w:rPr>
            </w:pPr>
            <w:r>
              <w:rPr>
                <w:rFonts w:ascii="Times New Roman" w:hAnsi="Times New Roman"/>
                <w:sz w:val="24"/>
                <w:szCs w:val="24"/>
              </w:rPr>
              <w:t>…</w:t>
            </w:r>
          </w:p>
        </w:tc>
        <w:tc>
          <w:tcPr>
            <w:tcW w:w="1274" w:type="pct"/>
            <w:vAlign w:val="center"/>
          </w:tcPr>
          <w:p w14:paraId="266D93BD">
            <w:pPr>
              <w:ind w:firstLine="0" w:firstLineChars="0"/>
              <w:jc w:val="center"/>
              <w:rPr>
                <w:rFonts w:ascii="Times New Roman" w:hAnsi="Times New Roman"/>
                <w:sz w:val="24"/>
                <w:szCs w:val="24"/>
              </w:rPr>
            </w:pPr>
          </w:p>
        </w:tc>
        <w:tc>
          <w:tcPr>
            <w:tcW w:w="1095" w:type="pct"/>
            <w:vAlign w:val="center"/>
          </w:tcPr>
          <w:p w14:paraId="54C9789A">
            <w:pPr>
              <w:ind w:firstLine="0" w:firstLineChars="0"/>
              <w:jc w:val="center"/>
              <w:rPr>
                <w:rFonts w:ascii="Times New Roman" w:hAnsi="Times New Roman"/>
                <w:sz w:val="24"/>
                <w:szCs w:val="24"/>
              </w:rPr>
            </w:pPr>
          </w:p>
        </w:tc>
        <w:tc>
          <w:tcPr>
            <w:tcW w:w="1039" w:type="pct"/>
            <w:vAlign w:val="center"/>
          </w:tcPr>
          <w:p w14:paraId="50248C9A">
            <w:pPr>
              <w:ind w:firstLine="0" w:firstLineChars="0"/>
              <w:jc w:val="center"/>
              <w:rPr>
                <w:rFonts w:ascii="Times New Roman" w:hAnsi="Times New Roman"/>
                <w:sz w:val="24"/>
                <w:szCs w:val="24"/>
              </w:rPr>
            </w:pPr>
          </w:p>
        </w:tc>
        <w:tc>
          <w:tcPr>
            <w:tcW w:w="1125" w:type="pct"/>
            <w:vAlign w:val="center"/>
          </w:tcPr>
          <w:p w14:paraId="2532D5ED">
            <w:pPr>
              <w:ind w:firstLine="0" w:firstLineChars="0"/>
              <w:jc w:val="center"/>
              <w:rPr>
                <w:rFonts w:ascii="Times New Roman" w:hAnsi="Times New Roman"/>
                <w:sz w:val="24"/>
                <w:szCs w:val="24"/>
              </w:rPr>
            </w:pPr>
          </w:p>
        </w:tc>
      </w:tr>
    </w:tbl>
    <w:p w14:paraId="4C3462FA">
      <w:pPr>
        <w:spacing w:before="120" w:beforeLines="50" w:line="360" w:lineRule="auto"/>
        <w:ind w:firstLine="602"/>
        <w:rPr>
          <w:rFonts w:ascii="Times New Roman" w:hAnsi="Times New Roman"/>
          <w:b/>
          <w:szCs w:val="30"/>
        </w:rPr>
      </w:pPr>
      <w:r>
        <w:rPr>
          <w:rFonts w:ascii="Times New Roman" w:hAnsi="Times New Roman"/>
          <w:b/>
          <w:szCs w:val="30"/>
        </w:rPr>
        <w:t>本次解除限售后剩余的限售份额情况</w:t>
      </w:r>
    </w:p>
    <w:tbl>
      <w:tblPr>
        <w:tblStyle w:val="18"/>
        <w:tblW w:w="4804"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65"/>
        <w:gridCol w:w="2088"/>
        <w:gridCol w:w="1794"/>
        <w:gridCol w:w="1703"/>
        <w:gridCol w:w="1844"/>
      </w:tblGrid>
      <w:tr w14:paraId="15E7AF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 w:hRule="atLeast"/>
        </w:trPr>
        <w:tc>
          <w:tcPr>
            <w:tcW w:w="467" w:type="pct"/>
            <w:vAlign w:val="center"/>
          </w:tcPr>
          <w:p w14:paraId="10C5F561">
            <w:pPr>
              <w:snapToGrid w:val="0"/>
              <w:ind w:firstLine="0" w:firstLineChars="0"/>
              <w:jc w:val="center"/>
              <w:rPr>
                <w:rFonts w:ascii="Times New Roman" w:hAnsi="Times New Roman"/>
                <w:b/>
                <w:bCs/>
                <w:kern w:val="0"/>
                <w:sz w:val="24"/>
                <w:szCs w:val="24"/>
              </w:rPr>
            </w:pPr>
            <w:r>
              <w:rPr>
                <w:rFonts w:ascii="Times New Roman" w:hAnsi="Times New Roman"/>
                <w:b/>
                <w:bCs/>
                <w:kern w:val="0"/>
                <w:sz w:val="24"/>
                <w:szCs w:val="24"/>
              </w:rPr>
              <w:t>序号</w:t>
            </w:r>
          </w:p>
        </w:tc>
        <w:tc>
          <w:tcPr>
            <w:tcW w:w="1274" w:type="pct"/>
            <w:vAlign w:val="center"/>
          </w:tcPr>
          <w:p w14:paraId="15633493">
            <w:pPr>
              <w:snapToGrid w:val="0"/>
              <w:ind w:firstLine="0" w:firstLineChars="0"/>
              <w:jc w:val="center"/>
              <w:rPr>
                <w:rFonts w:ascii="Times New Roman" w:hAnsi="Times New Roman"/>
                <w:b/>
                <w:bCs/>
                <w:kern w:val="0"/>
                <w:sz w:val="24"/>
                <w:szCs w:val="24"/>
              </w:rPr>
            </w:pPr>
            <w:r>
              <w:rPr>
                <w:rFonts w:ascii="Times New Roman" w:hAnsi="Times New Roman"/>
                <w:b/>
                <w:bCs/>
                <w:kern w:val="0"/>
                <w:sz w:val="24"/>
                <w:szCs w:val="24"/>
              </w:rPr>
              <w:t>证券账户名称</w:t>
            </w:r>
          </w:p>
        </w:tc>
        <w:tc>
          <w:tcPr>
            <w:tcW w:w="1095" w:type="pct"/>
            <w:vAlign w:val="center"/>
          </w:tcPr>
          <w:p w14:paraId="19E4B6EF">
            <w:pPr>
              <w:snapToGrid w:val="0"/>
              <w:ind w:firstLine="0" w:firstLineChars="0"/>
              <w:jc w:val="center"/>
              <w:rPr>
                <w:rFonts w:ascii="Times New Roman" w:hAnsi="Times New Roman"/>
                <w:b/>
                <w:bCs/>
                <w:kern w:val="0"/>
                <w:sz w:val="24"/>
                <w:szCs w:val="24"/>
              </w:rPr>
            </w:pPr>
            <w:r>
              <w:rPr>
                <w:rFonts w:ascii="Times New Roman" w:hAnsi="Times New Roman"/>
                <w:b/>
                <w:bCs/>
                <w:kern w:val="0"/>
                <w:sz w:val="24"/>
                <w:szCs w:val="24"/>
              </w:rPr>
              <w:t>限售份额总量</w:t>
            </w:r>
          </w:p>
        </w:tc>
        <w:tc>
          <w:tcPr>
            <w:tcW w:w="1039" w:type="pct"/>
            <w:vAlign w:val="center"/>
          </w:tcPr>
          <w:p w14:paraId="764AA5E5">
            <w:pPr>
              <w:snapToGrid w:val="0"/>
              <w:ind w:firstLine="0" w:firstLineChars="0"/>
              <w:jc w:val="center"/>
              <w:rPr>
                <w:rFonts w:ascii="Times New Roman" w:hAnsi="Times New Roman"/>
                <w:b/>
                <w:bCs/>
                <w:kern w:val="0"/>
                <w:sz w:val="24"/>
                <w:szCs w:val="24"/>
              </w:rPr>
            </w:pPr>
            <w:r>
              <w:rPr>
                <w:rFonts w:ascii="Times New Roman" w:hAnsi="Times New Roman"/>
                <w:b/>
                <w:bCs/>
                <w:kern w:val="0"/>
                <w:sz w:val="24"/>
                <w:szCs w:val="24"/>
              </w:rPr>
              <w:t>限售类型</w:t>
            </w:r>
          </w:p>
        </w:tc>
        <w:tc>
          <w:tcPr>
            <w:tcW w:w="1125" w:type="pct"/>
            <w:vAlign w:val="center"/>
          </w:tcPr>
          <w:p w14:paraId="28CB2F70">
            <w:pPr>
              <w:snapToGrid w:val="0"/>
              <w:ind w:firstLine="0" w:firstLineChars="0"/>
              <w:jc w:val="center"/>
              <w:rPr>
                <w:rFonts w:ascii="Times New Roman" w:hAnsi="Times New Roman"/>
                <w:b/>
                <w:bCs/>
                <w:kern w:val="0"/>
                <w:sz w:val="24"/>
                <w:szCs w:val="24"/>
              </w:rPr>
            </w:pPr>
            <w:r>
              <w:rPr>
                <w:rFonts w:ascii="Times New Roman" w:hAnsi="Times New Roman"/>
                <w:b/>
                <w:bCs/>
                <w:kern w:val="0"/>
                <w:sz w:val="24"/>
                <w:szCs w:val="24"/>
              </w:rPr>
              <w:t>限售期（月）</w:t>
            </w:r>
          </w:p>
        </w:tc>
      </w:tr>
      <w:tr w14:paraId="04D81F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9" w:hRule="atLeast"/>
        </w:trPr>
        <w:tc>
          <w:tcPr>
            <w:tcW w:w="467" w:type="pct"/>
            <w:vAlign w:val="center"/>
          </w:tcPr>
          <w:p w14:paraId="743A5893">
            <w:pPr>
              <w:ind w:firstLine="0" w:firstLineChars="0"/>
              <w:jc w:val="center"/>
              <w:rPr>
                <w:rFonts w:ascii="Times New Roman" w:hAnsi="Times New Roman"/>
                <w:sz w:val="24"/>
                <w:szCs w:val="24"/>
              </w:rPr>
            </w:pPr>
            <w:r>
              <w:rPr>
                <w:rFonts w:ascii="Times New Roman" w:hAnsi="Times New Roman"/>
                <w:sz w:val="24"/>
                <w:szCs w:val="24"/>
              </w:rPr>
              <w:t>1</w:t>
            </w:r>
          </w:p>
        </w:tc>
        <w:tc>
          <w:tcPr>
            <w:tcW w:w="1274" w:type="pct"/>
            <w:vAlign w:val="center"/>
          </w:tcPr>
          <w:p w14:paraId="7D65000D">
            <w:pPr>
              <w:ind w:firstLine="0" w:firstLineChars="0"/>
              <w:jc w:val="center"/>
              <w:rPr>
                <w:rFonts w:ascii="Times New Roman" w:hAnsi="Times New Roman"/>
                <w:sz w:val="24"/>
                <w:szCs w:val="24"/>
              </w:rPr>
            </w:pPr>
          </w:p>
        </w:tc>
        <w:tc>
          <w:tcPr>
            <w:tcW w:w="1095" w:type="pct"/>
            <w:vAlign w:val="center"/>
          </w:tcPr>
          <w:p w14:paraId="26BFEE48">
            <w:pPr>
              <w:ind w:firstLine="0" w:firstLineChars="0"/>
              <w:jc w:val="center"/>
              <w:rPr>
                <w:rFonts w:ascii="Times New Roman" w:hAnsi="Times New Roman"/>
                <w:sz w:val="24"/>
                <w:szCs w:val="24"/>
              </w:rPr>
            </w:pPr>
          </w:p>
        </w:tc>
        <w:tc>
          <w:tcPr>
            <w:tcW w:w="1039" w:type="pct"/>
            <w:vAlign w:val="center"/>
          </w:tcPr>
          <w:p w14:paraId="2C2507DD">
            <w:pPr>
              <w:ind w:firstLine="0" w:firstLineChars="0"/>
              <w:jc w:val="center"/>
              <w:rPr>
                <w:rFonts w:ascii="Times New Roman" w:hAnsi="Times New Roman"/>
                <w:sz w:val="24"/>
                <w:szCs w:val="24"/>
              </w:rPr>
            </w:pPr>
          </w:p>
        </w:tc>
        <w:tc>
          <w:tcPr>
            <w:tcW w:w="1125" w:type="pct"/>
            <w:vAlign w:val="center"/>
          </w:tcPr>
          <w:p w14:paraId="23AB7C9C">
            <w:pPr>
              <w:ind w:firstLine="0" w:firstLineChars="0"/>
              <w:jc w:val="center"/>
              <w:rPr>
                <w:rFonts w:ascii="Times New Roman" w:hAnsi="Times New Roman"/>
                <w:sz w:val="24"/>
                <w:szCs w:val="24"/>
              </w:rPr>
            </w:pPr>
          </w:p>
        </w:tc>
      </w:tr>
      <w:tr w14:paraId="53BAA4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1" w:hRule="atLeast"/>
        </w:trPr>
        <w:tc>
          <w:tcPr>
            <w:tcW w:w="467" w:type="pct"/>
            <w:vAlign w:val="center"/>
          </w:tcPr>
          <w:p w14:paraId="723F2482">
            <w:pPr>
              <w:ind w:firstLine="0" w:firstLineChars="0"/>
              <w:jc w:val="center"/>
              <w:rPr>
                <w:rFonts w:ascii="Times New Roman" w:hAnsi="Times New Roman"/>
                <w:sz w:val="24"/>
                <w:szCs w:val="24"/>
              </w:rPr>
            </w:pPr>
            <w:r>
              <w:rPr>
                <w:rFonts w:ascii="Times New Roman" w:hAnsi="Times New Roman"/>
                <w:sz w:val="24"/>
                <w:szCs w:val="24"/>
              </w:rPr>
              <w:t>2</w:t>
            </w:r>
          </w:p>
        </w:tc>
        <w:tc>
          <w:tcPr>
            <w:tcW w:w="1274" w:type="pct"/>
            <w:vAlign w:val="center"/>
          </w:tcPr>
          <w:p w14:paraId="7B688995">
            <w:pPr>
              <w:ind w:firstLine="0" w:firstLineChars="0"/>
              <w:jc w:val="center"/>
              <w:rPr>
                <w:rFonts w:ascii="Times New Roman" w:hAnsi="Times New Roman"/>
                <w:sz w:val="24"/>
                <w:szCs w:val="24"/>
              </w:rPr>
            </w:pPr>
          </w:p>
        </w:tc>
        <w:tc>
          <w:tcPr>
            <w:tcW w:w="1095" w:type="pct"/>
            <w:vAlign w:val="center"/>
          </w:tcPr>
          <w:p w14:paraId="74730ACB">
            <w:pPr>
              <w:ind w:firstLine="0" w:firstLineChars="0"/>
              <w:jc w:val="center"/>
              <w:rPr>
                <w:rFonts w:ascii="Times New Roman" w:hAnsi="Times New Roman"/>
                <w:sz w:val="24"/>
                <w:szCs w:val="24"/>
              </w:rPr>
            </w:pPr>
          </w:p>
        </w:tc>
        <w:tc>
          <w:tcPr>
            <w:tcW w:w="1039" w:type="pct"/>
            <w:vAlign w:val="center"/>
          </w:tcPr>
          <w:p w14:paraId="7C71FCB6">
            <w:pPr>
              <w:ind w:firstLine="0" w:firstLineChars="0"/>
              <w:jc w:val="center"/>
              <w:rPr>
                <w:rFonts w:ascii="Times New Roman" w:hAnsi="Times New Roman"/>
                <w:sz w:val="24"/>
                <w:szCs w:val="24"/>
              </w:rPr>
            </w:pPr>
          </w:p>
        </w:tc>
        <w:tc>
          <w:tcPr>
            <w:tcW w:w="1125" w:type="pct"/>
            <w:vAlign w:val="center"/>
          </w:tcPr>
          <w:p w14:paraId="3BF8D2C5">
            <w:pPr>
              <w:ind w:firstLine="0" w:firstLineChars="0"/>
              <w:jc w:val="center"/>
              <w:rPr>
                <w:rFonts w:ascii="Times New Roman" w:hAnsi="Times New Roman"/>
                <w:sz w:val="24"/>
                <w:szCs w:val="24"/>
              </w:rPr>
            </w:pPr>
          </w:p>
        </w:tc>
      </w:tr>
      <w:tr w14:paraId="16B395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1" w:hRule="atLeast"/>
        </w:trPr>
        <w:tc>
          <w:tcPr>
            <w:tcW w:w="467" w:type="pct"/>
            <w:vAlign w:val="center"/>
          </w:tcPr>
          <w:p w14:paraId="3A4F9479">
            <w:pPr>
              <w:ind w:firstLine="0" w:firstLineChars="0"/>
              <w:jc w:val="center"/>
              <w:rPr>
                <w:rFonts w:ascii="Times New Roman" w:hAnsi="Times New Roman"/>
                <w:sz w:val="24"/>
                <w:szCs w:val="24"/>
              </w:rPr>
            </w:pPr>
            <w:r>
              <w:rPr>
                <w:rFonts w:ascii="Times New Roman" w:hAnsi="Times New Roman"/>
                <w:sz w:val="24"/>
                <w:szCs w:val="24"/>
              </w:rPr>
              <w:t>3</w:t>
            </w:r>
          </w:p>
        </w:tc>
        <w:tc>
          <w:tcPr>
            <w:tcW w:w="1274" w:type="pct"/>
            <w:vAlign w:val="center"/>
          </w:tcPr>
          <w:p w14:paraId="19FFB250">
            <w:pPr>
              <w:ind w:firstLine="0" w:firstLineChars="0"/>
              <w:jc w:val="center"/>
              <w:rPr>
                <w:rFonts w:ascii="Times New Roman" w:hAnsi="Times New Roman"/>
                <w:sz w:val="24"/>
                <w:szCs w:val="24"/>
              </w:rPr>
            </w:pPr>
          </w:p>
        </w:tc>
        <w:tc>
          <w:tcPr>
            <w:tcW w:w="1095" w:type="pct"/>
            <w:vAlign w:val="center"/>
          </w:tcPr>
          <w:p w14:paraId="01685E10">
            <w:pPr>
              <w:ind w:firstLine="0" w:firstLineChars="0"/>
              <w:jc w:val="center"/>
              <w:rPr>
                <w:rFonts w:ascii="Times New Roman" w:hAnsi="Times New Roman"/>
                <w:sz w:val="24"/>
                <w:szCs w:val="24"/>
              </w:rPr>
            </w:pPr>
          </w:p>
        </w:tc>
        <w:tc>
          <w:tcPr>
            <w:tcW w:w="1039" w:type="pct"/>
            <w:vAlign w:val="center"/>
          </w:tcPr>
          <w:p w14:paraId="1BED4BBB">
            <w:pPr>
              <w:ind w:firstLine="0" w:firstLineChars="0"/>
              <w:jc w:val="center"/>
              <w:rPr>
                <w:rFonts w:ascii="Times New Roman" w:hAnsi="Times New Roman"/>
                <w:sz w:val="24"/>
                <w:szCs w:val="24"/>
              </w:rPr>
            </w:pPr>
          </w:p>
        </w:tc>
        <w:tc>
          <w:tcPr>
            <w:tcW w:w="1125" w:type="pct"/>
            <w:vAlign w:val="center"/>
          </w:tcPr>
          <w:p w14:paraId="797EF616">
            <w:pPr>
              <w:ind w:firstLine="0" w:firstLineChars="0"/>
              <w:jc w:val="center"/>
              <w:rPr>
                <w:rFonts w:ascii="Times New Roman" w:hAnsi="Times New Roman"/>
                <w:sz w:val="24"/>
                <w:szCs w:val="24"/>
              </w:rPr>
            </w:pPr>
          </w:p>
        </w:tc>
      </w:tr>
      <w:tr w14:paraId="66989C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3" w:hRule="atLeast"/>
        </w:trPr>
        <w:tc>
          <w:tcPr>
            <w:tcW w:w="467" w:type="pct"/>
            <w:vAlign w:val="center"/>
          </w:tcPr>
          <w:p w14:paraId="027485F8">
            <w:pPr>
              <w:ind w:firstLine="0" w:firstLineChars="0"/>
              <w:jc w:val="center"/>
              <w:rPr>
                <w:rFonts w:ascii="Times New Roman" w:hAnsi="Times New Roman"/>
                <w:sz w:val="24"/>
                <w:szCs w:val="24"/>
              </w:rPr>
            </w:pPr>
            <w:r>
              <w:rPr>
                <w:rFonts w:ascii="Times New Roman" w:hAnsi="Times New Roman"/>
                <w:sz w:val="24"/>
                <w:szCs w:val="24"/>
              </w:rPr>
              <w:t>…</w:t>
            </w:r>
          </w:p>
        </w:tc>
        <w:tc>
          <w:tcPr>
            <w:tcW w:w="1274" w:type="pct"/>
            <w:vAlign w:val="center"/>
          </w:tcPr>
          <w:p w14:paraId="4B443563">
            <w:pPr>
              <w:ind w:firstLine="0" w:firstLineChars="0"/>
              <w:jc w:val="center"/>
              <w:rPr>
                <w:rFonts w:ascii="Times New Roman" w:hAnsi="Times New Roman"/>
                <w:sz w:val="24"/>
                <w:szCs w:val="24"/>
              </w:rPr>
            </w:pPr>
          </w:p>
        </w:tc>
        <w:tc>
          <w:tcPr>
            <w:tcW w:w="1095" w:type="pct"/>
            <w:vAlign w:val="center"/>
          </w:tcPr>
          <w:p w14:paraId="12C0FCF3">
            <w:pPr>
              <w:ind w:firstLine="0" w:firstLineChars="0"/>
              <w:jc w:val="center"/>
              <w:rPr>
                <w:rFonts w:ascii="Times New Roman" w:hAnsi="Times New Roman"/>
                <w:sz w:val="24"/>
                <w:szCs w:val="24"/>
              </w:rPr>
            </w:pPr>
          </w:p>
        </w:tc>
        <w:tc>
          <w:tcPr>
            <w:tcW w:w="1039" w:type="pct"/>
            <w:vAlign w:val="center"/>
          </w:tcPr>
          <w:p w14:paraId="10B4A290">
            <w:pPr>
              <w:ind w:firstLine="0" w:firstLineChars="0"/>
              <w:jc w:val="center"/>
              <w:rPr>
                <w:rFonts w:ascii="Times New Roman" w:hAnsi="Times New Roman"/>
                <w:sz w:val="24"/>
                <w:szCs w:val="24"/>
              </w:rPr>
            </w:pPr>
          </w:p>
        </w:tc>
        <w:tc>
          <w:tcPr>
            <w:tcW w:w="1125" w:type="pct"/>
            <w:vAlign w:val="center"/>
          </w:tcPr>
          <w:p w14:paraId="7CCD2F32">
            <w:pPr>
              <w:ind w:firstLine="0" w:firstLineChars="0"/>
              <w:jc w:val="center"/>
              <w:rPr>
                <w:rFonts w:ascii="Times New Roman" w:hAnsi="Times New Roman"/>
                <w:sz w:val="24"/>
                <w:szCs w:val="24"/>
              </w:rPr>
            </w:pPr>
          </w:p>
        </w:tc>
      </w:tr>
    </w:tbl>
    <w:p w14:paraId="07C840FC">
      <w:pPr>
        <w:tabs>
          <w:tab w:val="left" w:pos="2835"/>
        </w:tabs>
        <w:spacing w:line="360" w:lineRule="auto"/>
        <w:ind w:firstLine="602"/>
        <w:rPr>
          <w:rFonts w:ascii="Times New Roman" w:hAnsi="Times New Roman"/>
          <w:b/>
          <w:szCs w:val="30"/>
        </w:rPr>
      </w:pPr>
    </w:p>
    <w:p w14:paraId="2871A8B7">
      <w:pPr>
        <w:widowControl/>
        <w:spacing w:line="240" w:lineRule="auto"/>
        <w:ind w:firstLine="0" w:firstLineChars="0"/>
        <w:jc w:val="left"/>
        <w:rPr>
          <w:rFonts w:ascii="Times New Roman" w:hAnsi="Times New Roman"/>
          <w:b/>
          <w:szCs w:val="30"/>
        </w:rPr>
      </w:pPr>
      <w:r>
        <w:rPr>
          <w:rFonts w:ascii="Times New Roman" w:hAnsi="Times New Roman"/>
          <w:b/>
          <w:szCs w:val="30"/>
        </w:rPr>
        <w:br w:type="page"/>
      </w:r>
    </w:p>
    <w:p w14:paraId="2B622B8E">
      <w:pPr>
        <w:tabs>
          <w:tab w:val="left" w:pos="2835"/>
        </w:tabs>
        <w:spacing w:line="360" w:lineRule="auto"/>
        <w:ind w:firstLine="602"/>
        <w:rPr>
          <w:rFonts w:ascii="Times New Roman" w:hAnsi="Times New Roman"/>
          <w:b/>
          <w:szCs w:val="30"/>
        </w:rPr>
      </w:pPr>
      <w:r>
        <w:rPr>
          <w:rFonts w:ascii="Times New Roman" w:hAnsi="Times New Roman"/>
          <w:b/>
          <w:szCs w:val="30"/>
        </w:rPr>
        <w:t>（二）</w:t>
      </w:r>
      <w:r>
        <w:rPr>
          <w:rFonts w:hint="eastAsia" w:ascii="Times New Roman" w:hAnsi="Times New Roman"/>
          <w:b/>
        </w:rPr>
        <w:t>公募</w:t>
      </w:r>
      <w:r>
        <w:rPr>
          <w:rFonts w:ascii="Times New Roman" w:hAnsi="Times New Roman"/>
          <w:b/>
          <w:szCs w:val="30"/>
        </w:rPr>
        <w:t>REITs场外份额解除锁定</w:t>
      </w:r>
    </w:p>
    <w:p w14:paraId="702DAD77">
      <w:pPr>
        <w:spacing w:line="360" w:lineRule="auto"/>
        <w:ind w:firstLine="602"/>
        <w:rPr>
          <w:rFonts w:ascii="Times New Roman" w:hAnsi="Times New Roman"/>
          <w:b/>
          <w:szCs w:val="30"/>
        </w:rPr>
      </w:pPr>
      <w:r>
        <w:rPr>
          <w:rFonts w:ascii="Times New Roman" w:hAnsi="Times New Roman"/>
          <w:b/>
          <w:szCs w:val="30"/>
        </w:rPr>
        <w:t>本次解除锁定的份额情况</w:t>
      </w:r>
    </w:p>
    <w:tbl>
      <w:tblPr>
        <w:tblStyle w:val="18"/>
        <w:tblW w:w="484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30" w:type="dxa"/>
          <w:bottom w:w="0" w:type="dxa"/>
          <w:right w:w="30" w:type="dxa"/>
        </w:tblCellMar>
      </w:tblPr>
      <w:tblGrid>
        <w:gridCol w:w="740"/>
        <w:gridCol w:w="1985"/>
        <w:gridCol w:w="1844"/>
        <w:gridCol w:w="1703"/>
        <w:gridCol w:w="1844"/>
      </w:tblGrid>
      <w:tr w14:paraId="046353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rPr>
          <w:cantSplit/>
          <w:trHeight w:val="359" w:hRule="atLeast"/>
        </w:trPr>
        <w:tc>
          <w:tcPr>
            <w:tcW w:w="456" w:type="pct"/>
            <w:vAlign w:val="center"/>
          </w:tcPr>
          <w:p w14:paraId="2364A7FE">
            <w:pPr>
              <w:autoSpaceDE w:val="0"/>
              <w:autoSpaceDN w:val="0"/>
              <w:adjustRightInd w:val="0"/>
              <w:ind w:firstLine="0" w:firstLineChars="0"/>
              <w:jc w:val="center"/>
              <w:rPr>
                <w:rFonts w:ascii="Times New Roman" w:hAnsi="Times New Roman"/>
                <w:b/>
                <w:bCs/>
                <w:color w:val="000000"/>
                <w:sz w:val="24"/>
                <w:szCs w:val="24"/>
              </w:rPr>
            </w:pPr>
            <w:r>
              <w:rPr>
                <w:rFonts w:ascii="Times New Roman" w:hAnsi="Times New Roman"/>
                <w:b/>
                <w:bCs/>
                <w:kern w:val="0"/>
                <w:sz w:val="24"/>
                <w:szCs w:val="24"/>
              </w:rPr>
              <w:t>序号</w:t>
            </w:r>
          </w:p>
        </w:tc>
        <w:tc>
          <w:tcPr>
            <w:tcW w:w="1223" w:type="pct"/>
            <w:vAlign w:val="center"/>
          </w:tcPr>
          <w:p w14:paraId="678D7531">
            <w:pPr>
              <w:autoSpaceDE w:val="0"/>
              <w:autoSpaceDN w:val="0"/>
              <w:adjustRightInd w:val="0"/>
              <w:ind w:firstLine="0" w:firstLineChars="0"/>
              <w:jc w:val="center"/>
              <w:rPr>
                <w:rFonts w:ascii="Times New Roman" w:hAnsi="Times New Roman"/>
                <w:b/>
                <w:bCs/>
                <w:color w:val="000000"/>
                <w:sz w:val="24"/>
                <w:szCs w:val="24"/>
              </w:rPr>
            </w:pPr>
            <w:r>
              <w:rPr>
                <w:rFonts w:ascii="Times New Roman" w:hAnsi="Times New Roman"/>
                <w:b/>
                <w:bCs/>
                <w:sz w:val="24"/>
                <w:szCs w:val="24"/>
              </w:rPr>
              <w:t>账户名称</w:t>
            </w:r>
          </w:p>
        </w:tc>
        <w:tc>
          <w:tcPr>
            <w:tcW w:w="1136" w:type="pct"/>
            <w:vAlign w:val="center"/>
          </w:tcPr>
          <w:p w14:paraId="38D5C24D">
            <w:pPr>
              <w:autoSpaceDE w:val="0"/>
              <w:autoSpaceDN w:val="0"/>
              <w:adjustRightInd w:val="0"/>
              <w:ind w:firstLine="0" w:firstLineChars="0"/>
              <w:jc w:val="center"/>
              <w:rPr>
                <w:rFonts w:ascii="Times New Roman" w:hAnsi="Times New Roman"/>
                <w:b/>
                <w:bCs/>
                <w:color w:val="000000"/>
                <w:sz w:val="24"/>
                <w:szCs w:val="24"/>
              </w:rPr>
            </w:pPr>
            <w:r>
              <w:rPr>
                <w:rFonts w:ascii="Times New Roman" w:hAnsi="Times New Roman"/>
                <w:b/>
                <w:bCs/>
                <w:kern w:val="0"/>
                <w:sz w:val="24"/>
                <w:szCs w:val="24"/>
              </w:rPr>
              <w:t>申请锁定份额</w:t>
            </w:r>
          </w:p>
        </w:tc>
        <w:tc>
          <w:tcPr>
            <w:tcW w:w="1049" w:type="pct"/>
            <w:vAlign w:val="center"/>
          </w:tcPr>
          <w:p w14:paraId="7B8BD438">
            <w:pPr>
              <w:autoSpaceDE w:val="0"/>
              <w:autoSpaceDN w:val="0"/>
              <w:adjustRightInd w:val="0"/>
              <w:ind w:firstLine="0" w:firstLineChars="0"/>
              <w:jc w:val="center"/>
              <w:rPr>
                <w:rFonts w:ascii="Times New Roman" w:hAnsi="Times New Roman"/>
                <w:b/>
                <w:bCs/>
                <w:color w:val="000000"/>
                <w:sz w:val="24"/>
                <w:szCs w:val="24"/>
              </w:rPr>
            </w:pPr>
            <w:r>
              <w:rPr>
                <w:rFonts w:ascii="Times New Roman" w:hAnsi="Times New Roman"/>
                <w:b/>
                <w:bCs/>
                <w:kern w:val="0"/>
                <w:sz w:val="24"/>
                <w:szCs w:val="24"/>
              </w:rPr>
              <w:t>限售类型</w:t>
            </w:r>
          </w:p>
        </w:tc>
        <w:tc>
          <w:tcPr>
            <w:tcW w:w="1136" w:type="pct"/>
            <w:vAlign w:val="center"/>
          </w:tcPr>
          <w:p w14:paraId="3E5956CA">
            <w:pPr>
              <w:autoSpaceDE w:val="0"/>
              <w:autoSpaceDN w:val="0"/>
              <w:adjustRightInd w:val="0"/>
              <w:ind w:firstLine="0" w:firstLineChars="0"/>
              <w:jc w:val="center"/>
              <w:rPr>
                <w:rFonts w:ascii="Times New Roman" w:hAnsi="Times New Roman"/>
                <w:b/>
                <w:bCs/>
                <w:sz w:val="24"/>
                <w:szCs w:val="24"/>
              </w:rPr>
            </w:pPr>
            <w:r>
              <w:rPr>
                <w:rFonts w:ascii="Times New Roman" w:hAnsi="Times New Roman"/>
                <w:b/>
                <w:bCs/>
                <w:sz w:val="24"/>
                <w:szCs w:val="24"/>
              </w:rPr>
              <w:t>限售期（月）</w:t>
            </w:r>
          </w:p>
        </w:tc>
      </w:tr>
      <w:tr w14:paraId="2AC218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rPr>
          <w:cantSplit/>
          <w:trHeight w:val="359" w:hRule="atLeast"/>
        </w:trPr>
        <w:tc>
          <w:tcPr>
            <w:tcW w:w="456" w:type="pct"/>
            <w:vAlign w:val="center"/>
          </w:tcPr>
          <w:p w14:paraId="7180B672">
            <w:pPr>
              <w:autoSpaceDE w:val="0"/>
              <w:autoSpaceDN w:val="0"/>
              <w:adjustRightInd w:val="0"/>
              <w:ind w:firstLine="0" w:firstLineChars="0"/>
              <w:jc w:val="center"/>
              <w:rPr>
                <w:rFonts w:ascii="Times New Roman" w:hAnsi="Times New Roman"/>
                <w:color w:val="000000"/>
                <w:sz w:val="24"/>
                <w:szCs w:val="24"/>
              </w:rPr>
            </w:pPr>
            <w:r>
              <w:rPr>
                <w:rFonts w:ascii="Times New Roman" w:hAnsi="Times New Roman"/>
                <w:color w:val="000000"/>
                <w:sz w:val="24"/>
                <w:szCs w:val="24"/>
              </w:rPr>
              <w:t>1</w:t>
            </w:r>
          </w:p>
        </w:tc>
        <w:tc>
          <w:tcPr>
            <w:tcW w:w="1223" w:type="pct"/>
            <w:vAlign w:val="center"/>
          </w:tcPr>
          <w:p w14:paraId="71E43A0F">
            <w:pPr>
              <w:autoSpaceDE w:val="0"/>
              <w:autoSpaceDN w:val="0"/>
              <w:adjustRightInd w:val="0"/>
              <w:ind w:firstLine="0" w:firstLineChars="0"/>
              <w:jc w:val="center"/>
              <w:rPr>
                <w:rFonts w:ascii="Times New Roman" w:hAnsi="Times New Roman"/>
                <w:color w:val="000000"/>
                <w:sz w:val="24"/>
                <w:szCs w:val="24"/>
              </w:rPr>
            </w:pPr>
          </w:p>
        </w:tc>
        <w:tc>
          <w:tcPr>
            <w:tcW w:w="1136" w:type="pct"/>
            <w:vAlign w:val="center"/>
          </w:tcPr>
          <w:p w14:paraId="5B943B06">
            <w:pPr>
              <w:autoSpaceDE w:val="0"/>
              <w:autoSpaceDN w:val="0"/>
              <w:adjustRightInd w:val="0"/>
              <w:ind w:firstLine="0" w:firstLineChars="0"/>
              <w:jc w:val="center"/>
              <w:rPr>
                <w:rFonts w:ascii="Times New Roman" w:hAnsi="Times New Roman"/>
                <w:color w:val="000000"/>
                <w:sz w:val="24"/>
                <w:szCs w:val="24"/>
              </w:rPr>
            </w:pPr>
          </w:p>
        </w:tc>
        <w:tc>
          <w:tcPr>
            <w:tcW w:w="1049" w:type="pct"/>
            <w:vAlign w:val="center"/>
          </w:tcPr>
          <w:p w14:paraId="60A92C78">
            <w:pPr>
              <w:autoSpaceDE w:val="0"/>
              <w:autoSpaceDN w:val="0"/>
              <w:adjustRightInd w:val="0"/>
              <w:ind w:firstLine="0" w:firstLineChars="0"/>
              <w:jc w:val="center"/>
              <w:rPr>
                <w:rFonts w:ascii="Times New Roman" w:hAnsi="Times New Roman"/>
                <w:color w:val="000000"/>
                <w:sz w:val="24"/>
                <w:szCs w:val="24"/>
              </w:rPr>
            </w:pPr>
          </w:p>
        </w:tc>
        <w:tc>
          <w:tcPr>
            <w:tcW w:w="1136" w:type="pct"/>
            <w:vAlign w:val="center"/>
          </w:tcPr>
          <w:p w14:paraId="551BE8E2">
            <w:pPr>
              <w:autoSpaceDE w:val="0"/>
              <w:autoSpaceDN w:val="0"/>
              <w:adjustRightInd w:val="0"/>
              <w:ind w:firstLine="0" w:firstLineChars="0"/>
              <w:jc w:val="center"/>
              <w:rPr>
                <w:rFonts w:ascii="Times New Roman" w:hAnsi="Times New Roman"/>
                <w:color w:val="000000"/>
                <w:sz w:val="24"/>
                <w:szCs w:val="24"/>
              </w:rPr>
            </w:pPr>
          </w:p>
        </w:tc>
      </w:tr>
      <w:tr w14:paraId="32D059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rPr>
          <w:cantSplit/>
          <w:trHeight w:val="359" w:hRule="atLeast"/>
        </w:trPr>
        <w:tc>
          <w:tcPr>
            <w:tcW w:w="456" w:type="pct"/>
            <w:vAlign w:val="center"/>
          </w:tcPr>
          <w:p w14:paraId="733367CD">
            <w:pPr>
              <w:autoSpaceDE w:val="0"/>
              <w:autoSpaceDN w:val="0"/>
              <w:adjustRightInd w:val="0"/>
              <w:ind w:firstLine="0" w:firstLineChars="0"/>
              <w:jc w:val="center"/>
              <w:rPr>
                <w:rFonts w:ascii="Times New Roman" w:hAnsi="Times New Roman"/>
                <w:color w:val="000000"/>
                <w:sz w:val="24"/>
                <w:szCs w:val="24"/>
              </w:rPr>
            </w:pPr>
            <w:r>
              <w:rPr>
                <w:rFonts w:ascii="Times New Roman" w:hAnsi="Times New Roman"/>
                <w:color w:val="000000"/>
                <w:sz w:val="24"/>
                <w:szCs w:val="24"/>
              </w:rPr>
              <w:t>2</w:t>
            </w:r>
          </w:p>
        </w:tc>
        <w:tc>
          <w:tcPr>
            <w:tcW w:w="1223" w:type="pct"/>
            <w:vAlign w:val="center"/>
          </w:tcPr>
          <w:p w14:paraId="16221A3D">
            <w:pPr>
              <w:autoSpaceDE w:val="0"/>
              <w:autoSpaceDN w:val="0"/>
              <w:adjustRightInd w:val="0"/>
              <w:ind w:firstLine="0" w:firstLineChars="0"/>
              <w:jc w:val="center"/>
              <w:rPr>
                <w:rFonts w:ascii="Times New Roman" w:hAnsi="Times New Roman"/>
                <w:color w:val="000000"/>
                <w:sz w:val="24"/>
                <w:szCs w:val="24"/>
              </w:rPr>
            </w:pPr>
          </w:p>
        </w:tc>
        <w:tc>
          <w:tcPr>
            <w:tcW w:w="1136" w:type="pct"/>
            <w:vAlign w:val="center"/>
          </w:tcPr>
          <w:p w14:paraId="355545E4">
            <w:pPr>
              <w:autoSpaceDE w:val="0"/>
              <w:autoSpaceDN w:val="0"/>
              <w:adjustRightInd w:val="0"/>
              <w:ind w:firstLine="0" w:firstLineChars="0"/>
              <w:jc w:val="center"/>
              <w:rPr>
                <w:rFonts w:ascii="Times New Roman" w:hAnsi="Times New Roman"/>
                <w:color w:val="000000"/>
                <w:sz w:val="24"/>
                <w:szCs w:val="24"/>
              </w:rPr>
            </w:pPr>
          </w:p>
        </w:tc>
        <w:tc>
          <w:tcPr>
            <w:tcW w:w="1049" w:type="pct"/>
            <w:vAlign w:val="center"/>
          </w:tcPr>
          <w:p w14:paraId="23670A5B">
            <w:pPr>
              <w:autoSpaceDE w:val="0"/>
              <w:autoSpaceDN w:val="0"/>
              <w:adjustRightInd w:val="0"/>
              <w:ind w:firstLine="0" w:firstLineChars="0"/>
              <w:jc w:val="center"/>
              <w:rPr>
                <w:rFonts w:ascii="Times New Roman" w:hAnsi="Times New Roman"/>
                <w:color w:val="000000"/>
                <w:sz w:val="24"/>
                <w:szCs w:val="24"/>
              </w:rPr>
            </w:pPr>
          </w:p>
        </w:tc>
        <w:tc>
          <w:tcPr>
            <w:tcW w:w="1136" w:type="pct"/>
            <w:vAlign w:val="center"/>
          </w:tcPr>
          <w:p w14:paraId="43050652">
            <w:pPr>
              <w:autoSpaceDE w:val="0"/>
              <w:autoSpaceDN w:val="0"/>
              <w:adjustRightInd w:val="0"/>
              <w:ind w:firstLine="0" w:firstLineChars="0"/>
              <w:jc w:val="center"/>
              <w:rPr>
                <w:rFonts w:ascii="Times New Roman" w:hAnsi="Times New Roman"/>
                <w:color w:val="000000"/>
                <w:sz w:val="24"/>
                <w:szCs w:val="24"/>
              </w:rPr>
            </w:pPr>
          </w:p>
        </w:tc>
      </w:tr>
      <w:tr w14:paraId="0ACF21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rPr>
          <w:cantSplit/>
          <w:trHeight w:val="359" w:hRule="atLeast"/>
        </w:trPr>
        <w:tc>
          <w:tcPr>
            <w:tcW w:w="456" w:type="pct"/>
            <w:vAlign w:val="center"/>
          </w:tcPr>
          <w:p w14:paraId="7E0BF152">
            <w:pPr>
              <w:autoSpaceDE w:val="0"/>
              <w:autoSpaceDN w:val="0"/>
              <w:adjustRightInd w:val="0"/>
              <w:ind w:firstLine="0" w:firstLineChars="0"/>
              <w:jc w:val="center"/>
              <w:rPr>
                <w:rFonts w:ascii="Times New Roman" w:hAnsi="Times New Roman"/>
                <w:color w:val="000000"/>
                <w:sz w:val="24"/>
                <w:szCs w:val="24"/>
              </w:rPr>
            </w:pPr>
            <w:r>
              <w:rPr>
                <w:rFonts w:ascii="Times New Roman" w:hAnsi="Times New Roman"/>
                <w:color w:val="000000"/>
                <w:sz w:val="24"/>
                <w:szCs w:val="24"/>
              </w:rPr>
              <w:t>3</w:t>
            </w:r>
          </w:p>
        </w:tc>
        <w:tc>
          <w:tcPr>
            <w:tcW w:w="1223" w:type="pct"/>
            <w:vAlign w:val="center"/>
          </w:tcPr>
          <w:p w14:paraId="2B35C396">
            <w:pPr>
              <w:autoSpaceDE w:val="0"/>
              <w:autoSpaceDN w:val="0"/>
              <w:adjustRightInd w:val="0"/>
              <w:ind w:firstLine="0" w:firstLineChars="0"/>
              <w:jc w:val="center"/>
              <w:rPr>
                <w:rFonts w:ascii="Times New Roman" w:hAnsi="Times New Roman"/>
                <w:color w:val="000000"/>
                <w:sz w:val="24"/>
                <w:szCs w:val="24"/>
              </w:rPr>
            </w:pPr>
          </w:p>
        </w:tc>
        <w:tc>
          <w:tcPr>
            <w:tcW w:w="1136" w:type="pct"/>
            <w:vAlign w:val="center"/>
          </w:tcPr>
          <w:p w14:paraId="489D2171">
            <w:pPr>
              <w:autoSpaceDE w:val="0"/>
              <w:autoSpaceDN w:val="0"/>
              <w:adjustRightInd w:val="0"/>
              <w:ind w:firstLine="0" w:firstLineChars="0"/>
              <w:jc w:val="center"/>
              <w:rPr>
                <w:rFonts w:ascii="Times New Roman" w:hAnsi="Times New Roman"/>
                <w:color w:val="000000"/>
                <w:sz w:val="24"/>
                <w:szCs w:val="24"/>
              </w:rPr>
            </w:pPr>
          </w:p>
        </w:tc>
        <w:tc>
          <w:tcPr>
            <w:tcW w:w="1049" w:type="pct"/>
            <w:vAlign w:val="center"/>
          </w:tcPr>
          <w:p w14:paraId="4F18BE9F">
            <w:pPr>
              <w:autoSpaceDE w:val="0"/>
              <w:autoSpaceDN w:val="0"/>
              <w:adjustRightInd w:val="0"/>
              <w:ind w:firstLine="0" w:firstLineChars="0"/>
              <w:jc w:val="center"/>
              <w:rPr>
                <w:rFonts w:ascii="Times New Roman" w:hAnsi="Times New Roman"/>
                <w:color w:val="000000"/>
                <w:sz w:val="24"/>
                <w:szCs w:val="24"/>
              </w:rPr>
            </w:pPr>
          </w:p>
        </w:tc>
        <w:tc>
          <w:tcPr>
            <w:tcW w:w="1136" w:type="pct"/>
            <w:vAlign w:val="center"/>
          </w:tcPr>
          <w:p w14:paraId="0355BA0C">
            <w:pPr>
              <w:autoSpaceDE w:val="0"/>
              <w:autoSpaceDN w:val="0"/>
              <w:adjustRightInd w:val="0"/>
              <w:ind w:firstLine="0" w:firstLineChars="0"/>
              <w:jc w:val="center"/>
              <w:rPr>
                <w:rFonts w:ascii="Times New Roman" w:hAnsi="Times New Roman"/>
                <w:color w:val="000000"/>
                <w:sz w:val="24"/>
                <w:szCs w:val="24"/>
              </w:rPr>
            </w:pPr>
          </w:p>
        </w:tc>
      </w:tr>
      <w:tr w14:paraId="40A886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rPr>
          <w:cantSplit/>
          <w:trHeight w:val="359" w:hRule="atLeast"/>
        </w:trPr>
        <w:tc>
          <w:tcPr>
            <w:tcW w:w="456" w:type="pct"/>
            <w:vAlign w:val="center"/>
          </w:tcPr>
          <w:p w14:paraId="4744D563">
            <w:pPr>
              <w:autoSpaceDE w:val="0"/>
              <w:autoSpaceDN w:val="0"/>
              <w:adjustRightInd w:val="0"/>
              <w:ind w:firstLine="0" w:firstLineChars="0"/>
              <w:jc w:val="center"/>
              <w:rPr>
                <w:rFonts w:ascii="Times New Roman" w:hAnsi="Times New Roman"/>
                <w:color w:val="000000"/>
                <w:sz w:val="24"/>
                <w:szCs w:val="24"/>
              </w:rPr>
            </w:pPr>
            <w:r>
              <w:rPr>
                <w:rFonts w:ascii="Times New Roman" w:hAnsi="Times New Roman"/>
                <w:color w:val="000000"/>
                <w:sz w:val="24"/>
                <w:szCs w:val="24"/>
              </w:rPr>
              <w:t>…</w:t>
            </w:r>
          </w:p>
        </w:tc>
        <w:tc>
          <w:tcPr>
            <w:tcW w:w="1223" w:type="pct"/>
            <w:vAlign w:val="center"/>
          </w:tcPr>
          <w:p w14:paraId="36BAFF0C">
            <w:pPr>
              <w:autoSpaceDE w:val="0"/>
              <w:autoSpaceDN w:val="0"/>
              <w:adjustRightInd w:val="0"/>
              <w:ind w:firstLine="0" w:firstLineChars="0"/>
              <w:jc w:val="center"/>
              <w:rPr>
                <w:rFonts w:ascii="Times New Roman" w:hAnsi="Times New Roman"/>
                <w:color w:val="000000"/>
                <w:sz w:val="24"/>
                <w:szCs w:val="24"/>
              </w:rPr>
            </w:pPr>
          </w:p>
        </w:tc>
        <w:tc>
          <w:tcPr>
            <w:tcW w:w="1136" w:type="pct"/>
            <w:vAlign w:val="center"/>
          </w:tcPr>
          <w:p w14:paraId="3ED73F29">
            <w:pPr>
              <w:autoSpaceDE w:val="0"/>
              <w:autoSpaceDN w:val="0"/>
              <w:adjustRightInd w:val="0"/>
              <w:ind w:firstLine="0" w:firstLineChars="0"/>
              <w:jc w:val="center"/>
              <w:rPr>
                <w:rFonts w:ascii="Times New Roman" w:hAnsi="Times New Roman"/>
                <w:color w:val="000000"/>
                <w:sz w:val="24"/>
                <w:szCs w:val="24"/>
              </w:rPr>
            </w:pPr>
          </w:p>
        </w:tc>
        <w:tc>
          <w:tcPr>
            <w:tcW w:w="1049" w:type="pct"/>
            <w:vAlign w:val="center"/>
          </w:tcPr>
          <w:p w14:paraId="629ECC87">
            <w:pPr>
              <w:autoSpaceDE w:val="0"/>
              <w:autoSpaceDN w:val="0"/>
              <w:adjustRightInd w:val="0"/>
              <w:ind w:firstLine="0" w:firstLineChars="0"/>
              <w:jc w:val="center"/>
              <w:rPr>
                <w:rFonts w:ascii="Times New Roman" w:hAnsi="Times New Roman"/>
                <w:color w:val="000000"/>
                <w:sz w:val="24"/>
                <w:szCs w:val="24"/>
              </w:rPr>
            </w:pPr>
          </w:p>
        </w:tc>
        <w:tc>
          <w:tcPr>
            <w:tcW w:w="1136" w:type="pct"/>
            <w:vAlign w:val="center"/>
          </w:tcPr>
          <w:p w14:paraId="01193F92">
            <w:pPr>
              <w:autoSpaceDE w:val="0"/>
              <w:autoSpaceDN w:val="0"/>
              <w:adjustRightInd w:val="0"/>
              <w:ind w:firstLine="0" w:firstLineChars="0"/>
              <w:jc w:val="center"/>
              <w:rPr>
                <w:rFonts w:ascii="Times New Roman" w:hAnsi="Times New Roman"/>
                <w:color w:val="000000"/>
                <w:sz w:val="24"/>
                <w:szCs w:val="24"/>
              </w:rPr>
            </w:pPr>
          </w:p>
        </w:tc>
      </w:tr>
    </w:tbl>
    <w:p w14:paraId="1C39DAE5">
      <w:pPr>
        <w:spacing w:before="120" w:beforeLines="50" w:line="360" w:lineRule="auto"/>
        <w:ind w:firstLine="602"/>
        <w:rPr>
          <w:rFonts w:ascii="Times New Roman" w:hAnsi="Times New Roman"/>
          <w:b/>
          <w:szCs w:val="30"/>
        </w:rPr>
      </w:pPr>
      <w:r>
        <w:rPr>
          <w:rFonts w:ascii="Times New Roman" w:hAnsi="Times New Roman"/>
          <w:b/>
          <w:szCs w:val="30"/>
        </w:rPr>
        <w:t>本次解除锁定后剩余锁定份额情况</w:t>
      </w:r>
    </w:p>
    <w:tbl>
      <w:tblPr>
        <w:tblStyle w:val="18"/>
        <w:tblW w:w="484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30" w:type="dxa"/>
          <w:bottom w:w="0" w:type="dxa"/>
          <w:right w:w="30" w:type="dxa"/>
        </w:tblCellMar>
      </w:tblPr>
      <w:tblGrid>
        <w:gridCol w:w="740"/>
        <w:gridCol w:w="1985"/>
        <w:gridCol w:w="1844"/>
        <w:gridCol w:w="1703"/>
        <w:gridCol w:w="1844"/>
      </w:tblGrid>
      <w:tr w14:paraId="173789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rPr>
          <w:cantSplit/>
          <w:trHeight w:val="359" w:hRule="atLeast"/>
        </w:trPr>
        <w:tc>
          <w:tcPr>
            <w:tcW w:w="456" w:type="pct"/>
            <w:vAlign w:val="center"/>
          </w:tcPr>
          <w:p w14:paraId="728F3338">
            <w:pPr>
              <w:autoSpaceDE w:val="0"/>
              <w:autoSpaceDN w:val="0"/>
              <w:adjustRightInd w:val="0"/>
              <w:ind w:firstLine="0" w:firstLineChars="0"/>
              <w:jc w:val="center"/>
              <w:rPr>
                <w:rFonts w:ascii="Times New Roman" w:hAnsi="Times New Roman"/>
                <w:b/>
                <w:bCs/>
                <w:color w:val="000000"/>
                <w:sz w:val="24"/>
                <w:szCs w:val="24"/>
              </w:rPr>
            </w:pPr>
            <w:r>
              <w:rPr>
                <w:rFonts w:ascii="Times New Roman" w:hAnsi="Times New Roman"/>
                <w:b/>
                <w:bCs/>
                <w:kern w:val="0"/>
                <w:sz w:val="24"/>
                <w:szCs w:val="24"/>
              </w:rPr>
              <w:t>序号</w:t>
            </w:r>
          </w:p>
        </w:tc>
        <w:tc>
          <w:tcPr>
            <w:tcW w:w="1223" w:type="pct"/>
            <w:vAlign w:val="center"/>
          </w:tcPr>
          <w:p w14:paraId="7AACD5BD">
            <w:pPr>
              <w:autoSpaceDE w:val="0"/>
              <w:autoSpaceDN w:val="0"/>
              <w:adjustRightInd w:val="0"/>
              <w:ind w:firstLine="0" w:firstLineChars="0"/>
              <w:jc w:val="center"/>
              <w:rPr>
                <w:rFonts w:ascii="Times New Roman" w:hAnsi="Times New Roman"/>
                <w:b/>
                <w:bCs/>
                <w:color w:val="000000"/>
                <w:sz w:val="24"/>
                <w:szCs w:val="24"/>
              </w:rPr>
            </w:pPr>
            <w:r>
              <w:rPr>
                <w:rFonts w:ascii="Times New Roman" w:hAnsi="Times New Roman"/>
                <w:b/>
                <w:bCs/>
                <w:sz w:val="24"/>
                <w:szCs w:val="24"/>
              </w:rPr>
              <w:t>账户名称</w:t>
            </w:r>
          </w:p>
        </w:tc>
        <w:tc>
          <w:tcPr>
            <w:tcW w:w="1136" w:type="pct"/>
            <w:vAlign w:val="center"/>
          </w:tcPr>
          <w:p w14:paraId="5390B12A">
            <w:pPr>
              <w:autoSpaceDE w:val="0"/>
              <w:autoSpaceDN w:val="0"/>
              <w:adjustRightInd w:val="0"/>
              <w:ind w:firstLine="0" w:firstLineChars="0"/>
              <w:jc w:val="center"/>
              <w:rPr>
                <w:rFonts w:ascii="Times New Roman" w:hAnsi="Times New Roman"/>
                <w:b/>
                <w:bCs/>
                <w:color w:val="000000"/>
                <w:sz w:val="24"/>
                <w:szCs w:val="24"/>
              </w:rPr>
            </w:pPr>
            <w:r>
              <w:rPr>
                <w:rFonts w:ascii="Times New Roman" w:hAnsi="Times New Roman"/>
                <w:b/>
                <w:bCs/>
                <w:kern w:val="0"/>
                <w:sz w:val="24"/>
                <w:szCs w:val="24"/>
              </w:rPr>
              <w:t>申请锁定份额</w:t>
            </w:r>
          </w:p>
        </w:tc>
        <w:tc>
          <w:tcPr>
            <w:tcW w:w="1049" w:type="pct"/>
            <w:vAlign w:val="center"/>
          </w:tcPr>
          <w:p w14:paraId="70E97BAF">
            <w:pPr>
              <w:autoSpaceDE w:val="0"/>
              <w:autoSpaceDN w:val="0"/>
              <w:adjustRightInd w:val="0"/>
              <w:ind w:firstLine="0" w:firstLineChars="0"/>
              <w:jc w:val="center"/>
              <w:rPr>
                <w:rFonts w:ascii="Times New Roman" w:hAnsi="Times New Roman"/>
                <w:b/>
                <w:bCs/>
                <w:color w:val="000000"/>
                <w:sz w:val="24"/>
                <w:szCs w:val="24"/>
              </w:rPr>
            </w:pPr>
            <w:r>
              <w:rPr>
                <w:rFonts w:ascii="Times New Roman" w:hAnsi="Times New Roman"/>
                <w:b/>
                <w:bCs/>
                <w:kern w:val="0"/>
                <w:sz w:val="24"/>
                <w:szCs w:val="24"/>
              </w:rPr>
              <w:t>限售类型</w:t>
            </w:r>
          </w:p>
        </w:tc>
        <w:tc>
          <w:tcPr>
            <w:tcW w:w="1136" w:type="pct"/>
            <w:vAlign w:val="center"/>
          </w:tcPr>
          <w:p w14:paraId="483AEA33">
            <w:pPr>
              <w:autoSpaceDE w:val="0"/>
              <w:autoSpaceDN w:val="0"/>
              <w:adjustRightInd w:val="0"/>
              <w:ind w:firstLine="0" w:firstLineChars="0"/>
              <w:jc w:val="center"/>
              <w:rPr>
                <w:rFonts w:ascii="Times New Roman" w:hAnsi="Times New Roman"/>
                <w:b/>
                <w:bCs/>
                <w:sz w:val="24"/>
                <w:szCs w:val="24"/>
              </w:rPr>
            </w:pPr>
            <w:r>
              <w:rPr>
                <w:rFonts w:ascii="Times New Roman" w:hAnsi="Times New Roman"/>
                <w:b/>
                <w:bCs/>
                <w:sz w:val="24"/>
                <w:szCs w:val="24"/>
              </w:rPr>
              <w:t>限售期（月）</w:t>
            </w:r>
          </w:p>
        </w:tc>
      </w:tr>
      <w:tr w14:paraId="3F70E4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rPr>
          <w:cantSplit/>
          <w:trHeight w:val="359" w:hRule="atLeast"/>
        </w:trPr>
        <w:tc>
          <w:tcPr>
            <w:tcW w:w="456" w:type="pct"/>
            <w:vAlign w:val="center"/>
          </w:tcPr>
          <w:p w14:paraId="48A8D7C9">
            <w:pPr>
              <w:autoSpaceDE w:val="0"/>
              <w:autoSpaceDN w:val="0"/>
              <w:adjustRightInd w:val="0"/>
              <w:ind w:firstLine="0" w:firstLineChars="0"/>
              <w:jc w:val="center"/>
              <w:rPr>
                <w:rFonts w:ascii="Times New Roman" w:hAnsi="Times New Roman"/>
                <w:color w:val="000000"/>
                <w:sz w:val="24"/>
                <w:szCs w:val="24"/>
              </w:rPr>
            </w:pPr>
            <w:r>
              <w:rPr>
                <w:rFonts w:ascii="Times New Roman" w:hAnsi="Times New Roman"/>
                <w:color w:val="000000"/>
                <w:sz w:val="24"/>
                <w:szCs w:val="24"/>
              </w:rPr>
              <w:t>1</w:t>
            </w:r>
          </w:p>
        </w:tc>
        <w:tc>
          <w:tcPr>
            <w:tcW w:w="1223" w:type="pct"/>
            <w:vAlign w:val="center"/>
          </w:tcPr>
          <w:p w14:paraId="106B0720">
            <w:pPr>
              <w:autoSpaceDE w:val="0"/>
              <w:autoSpaceDN w:val="0"/>
              <w:adjustRightInd w:val="0"/>
              <w:ind w:firstLine="0" w:firstLineChars="0"/>
              <w:jc w:val="center"/>
              <w:rPr>
                <w:rFonts w:ascii="Times New Roman" w:hAnsi="Times New Roman"/>
                <w:color w:val="000000"/>
                <w:sz w:val="24"/>
                <w:szCs w:val="24"/>
              </w:rPr>
            </w:pPr>
          </w:p>
        </w:tc>
        <w:tc>
          <w:tcPr>
            <w:tcW w:w="1136" w:type="pct"/>
            <w:vAlign w:val="center"/>
          </w:tcPr>
          <w:p w14:paraId="74FD0694">
            <w:pPr>
              <w:autoSpaceDE w:val="0"/>
              <w:autoSpaceDN w:val="0"/>
              <w:adjustRightInd w:val="0"/>
              <w:ind w:firstLine="0" w:firstLineChars="0"/>
              <w:jc w:val="center"/>
              <w:rPr>
                <w:rFonts w:ascii="Times New Roman" w:hAnsi="Times New Roman"/>
                <w:color w:val="000000"/>
                <w:sz w:val="24"/>
                <w:szCs w:val="24"/>
              </w:rPr>
            </w:pPr>
          </w:p>
        </w:tc>
        <w:tc>
          <w:tcPr>
            <w:tcW w:w="1049" w:type="pct"/>
            <w:vAlign w:val="center"/>
          </w:tcPr>
          <w:p w14:paraId="29F23F32">
            <w:pPr>
              <w:autoSpaceDE w:val="0"/>
              <w:autoSpaceDN w:val="0"/>
              <w:adjustRightInd w:val="0"/>
              <w:ind w:firstLine="0" w:firstLineChars="0"/>
              <w:jc w:val="center"/>
              <w:rPr>
                <w:rFonts w:ascii="Times New Roman" w:hAnsi="Times New Roman"/>
                <w:color w:val="000000"/>
                <w:sz w:val="24"/>
                <w:szCs w:val="24"/>
              </w:rPr>
            </w:pPr>
          </w:p>
        </w:tc>
        <w:tc>
          <w:tcPr>
            <w:tcW w:w="1136" w:type="pct"/>
            <w:vAlign w:val="center"/>
          </w:tcPr>
          <w:p w14:paraId="4D6F3C80">
            <w:pPr>
              <w:autoSpaceDE w:val="0"/>
              <w:autoSpaceDN w:val="0"/>
              <w:adjustRightInd w:val="0"/>
              <w:ind w:firstLine="0" w:firstLineChars="0"/>
              <w:jc w:val="center"/>
              <w:rPr>
                <w:rFonts w:ascii="Times New Roman" w:hAnsi="Times New Roman"/>
                <w:color w:val="000000"/>
                <w:sz w:val="24"/>
                <w:szCs w:val="24"/>
              </w:rPr>
            </w:pPr>
          </w:p>
        </w:tc>
      </w:tr>
      <w:tr w14:paraId="0DFED5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rPr>
          <w:cantSplit/>
          <w:trHeight w:val="359" w:hRule="atLeast"/>
        </w:trPr>
        <w:tc>
          <w:tcPr>
            <w:tcW w:w="456" w:type="pct"/>
            <w:vAlign w:val="center"/>
          </w:tcPr>
          <w:p w14:paraId="68F8E378">
            <w:pPr>
              <w:autoSpaceDE w:val="0"/>
              <w:autoSpaceDN w:val="0"/>
              <w:adjustRightInd w:val="0"/>
              <w:ind w:firstLine="0" w:firstLineChars="0"/>
              <w:jc w:val="center"/>
              <w:rPr>
                <w:rFonts w:ascii="Times New Roman" w:hAnsi="Times New Roman"/>
                <w:color w:val="000000"/>
                <w:sz w:val="24"/>
                <w:szCs w:val="24"/>
              </w:rPr>
            </w:pPr>
            <w:r>
              <w:rPr>
                <w:rFonts w:ascii="Times New Roman" w:hAnsi="Times New Roman"/>
                <w:color w:val="000000"/>
                <w:sz w:val="24"/>
                <w:szCs w:val="24"/>
              </w:rPr>
              <w:t>2</w:t>
            </w:r>
          </w:p>
        </w:tc>
        <w:tc>
          <w:tcPr>
            <w:tcW w:w="1223" w:type="pct"/>
            <w:vAlign w:val="center"/>
          </w:tcPr>
          <w:p w14:paraId="2F3B6EAD">
            <w:pPr>
              <w:autoSpaceDE w:val="0"/>
              <w:autoSpaceDN w:val="0"/>
              <w:adjustRightInd w:val="0"/>
              <w:ind w:firstLine="0" w:firstLineChars="0"/>
              <w:jc w:val="center"/>
              <w:rPr>
                <w:rFonts w:ascii="Times New Roman" w:hAnsi="Times New Roman"/>
                <w:color w:val="000000"/>
                <w:sz w:val="24"/>
                <w:szCs w:val="24"/>
              </w:rPr>
            </w:pPr>
          </w:p>
        </w:tc>
        <w:tc>
          <w:tcPr>
            <w:tcW w:w="1136" w:type="pct"/>
            <w:vAlign w:val="center"/>
          </w:tcPr>
          <w:p w14:paraId="1611B4E6">
            <w:pPr>
              <w:autoSpaceDE w:val="0"/>
              <w:autoSpaceDN w:val="0"/>
              <w:adjustRightInd w:val="0"/>
              <w:ind w:firstLine="0" w:firstLineChars="0"/>
              <w:jc w:val="center"/>
              <w:rPr>
                <w:rFonts w:ascii="Times New Roman" w:hAnsi="Times New Roman"/>
                <w:color w:val="000000"/>
                <w:sz w:val="24"/>
                <w:szCs w:val="24"/>
              </w:rPr>
            </w:pPr>
          </w:p>
        </w:tc>
        <w:tc>
          <w:tcPr>
            <w:tcW w:w="1049" w:type="pct"/>
            <w:vAlign w:val="center"/>
          </w:tcPr>
          <w:p w14:paraId="40558B0F">
            <w:pPr>
              <w:autoSpaceDE w:val="0"/>
              <w:autoSpaceDN w:val="0"/>
              <w:adjustRightInd w:val="0"/>
              <w:ind w:firstLine="0" w:firstLineChars="0"/>
              <w:jc w:val="center"/>
              <w:rPr>
                <w:rFonts w:ascii="Times New Roman" w:hAnsi="Times New Roman"/>
                <w:color w:val="000000"/>
                <w:sz w:val="24"/>
                <w:szCs w:val="24"/>
              </w:rPr>
            </w:pPr>
          </w:p>
        </w:tc>
        <w:tc>
          <w:tcPr>
            <w:tcW w:w="1136" w:type="pct"/>
            <w:vAlign w:val="center"/>
          </w:tcPr>
          <w:p w14:paraId="2CC49E6F">
            <w:pPr>
              <w:autoSpaceDE w:val="0"/>
              <w:autoSpaceDN w:val="0"/>
              <w:adjustRightInd w:val="0"/>
              <w:ind w:firstLine="0" w:firstLineChars="0"/>
              <w:jc w:val="center"/>
              <w:rPr>
                <w:rFonts w:ascii="Times New Roman" w:hAnsi="Times New Roman"/>
                <w:color w:val="000000"/>
                <w:sz w:val="24"/>
                <w:szCs w:val="24"/>
              </w:rPr>
            </w:pPr>
          </w:p>
        </w:tc>
      </w:tr>
      <w:tr w14:paraId="3B14E5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rPr>
          <w:cantSplit/>
          <w:trHeight w:val="359" w:hRule="atLeast"/>
        </w:trPr>
        <w:tc>
          <w:tcPr>
            <w:tcW w:w="456" w:type="pct"/>
            <w:vAlign w:val="center"/>
          </w:tcPr>
          <w:p w14:paraId="0462AC04">
            <w:pPr>
              <w:autoSpaceDE w:val="0"/>
              <w:autoSpaceDN w:val="0"/>
              <w:adjustRightInd w:val="0"/>
              <w:ind w:firstLine="0" w:firstLineChars="0"/>
              <w:jc w:val="center"/>
              <w:rPr>
                <w:rFonts w:ascii="Times New Roman" w:hAnsi="Times New Roman"/>
                <w:color w:val="000000"/>
                <w:sz w:val="24"/>
                <w:szCs w:val="24"/>
              </w:rPr>
            </w:pPr>
            <w:r>
              <w:rPr>
                <w:rFonts w:ascii="Times New Roman" w:hAnsi="Times New Roman"/>
                <w:color w:val="000000"/>
                <w:sz w:val="24"/>
                <w:szCs w:val="24"/>
              </w:rPr>
              <w:t>3</w:t>
            </w:r>
          </w:p>
        </w:tc>
        <w:tc>
          <w:tcPr>
            <w:tcW w:w="1223" w:type="pct"/>
            <w:vAlign w:val="center"/>
          </w:tcPr>
          <w:p w14:paraId="586DB5AC">
            <w:pPr>
              <w:autoSpaceDE w:val="0"/>
              <w:autoSpaceDN w:val="0"/>
              <w:adjustRightInd w:val="0"/>
              <w:ind w:firstLine="0" w:firstLineChars="0"/>
              <w:jc w:val="center"/>
              <w:rPr>
                <w:rFonts w:ascii="Times New Roman" w:hAnsi="Times New Roman"/>
                <w:color w:val="000000"/>
                <w:sz w:val="24"/>
                <w:szCs w:val="24"/>
              </w:rPr>
            </w:pPr>
          </w:p>
        </w:tc>
        <w:tc>
          <w:tcPr>
            <w:tcW w:w="1136" w:type="pct"/>
            <w:vAlign w:val="center"/>
          </w:tcPr>
          <w:p w14:paraId="03DF6560">
            <w:pPr>
              <w:autoSpaceDE w:val="0"/>
              <w:autoSpaceDN w:val="0"/>
              <w:adjustRightInd w:val="0"/>
              <w:ind w:firstLine="0" w:firstLineChars="0"/>
              <w:jc w:val="center"/>
              <w:rPr>
                <w:rFonts w:ascii="Times New Roman" w:hAnsi="Times New Roman"/>
                <w:color w:val="000000"/>
                <w:sz w:val="24"/>
                <w:szCs w:val="24"/>
              </w:rPr>
            </w:pPr>
          </w:p>
        </w:tc>
        <w:tc>
          <w:tcPr>
            <w:tcW w:w="1049" w:type="pct"/>
            <w:vAlign w:val="center"/>
          </w:tcPr>
          <w:p w14:paraId="2C40B7D8">
            <w:pPr>
              <w:autoSpaceDE w:val="0"/>
              <w:autoSpaceDN w:val="0"/>
              <w:adjustRightInd w:val="0"/>
              <w:ind w:firstLine="0" w:firstLineChars="0"/>
              <w:jc w:val="center"/>
              <w:rPr>
                <w:rFonts w:ascii="Times New Roman" w:hAnsi="Times New Roman"/>
                <w:color w:val="000000"/>
                <w:sz w:val="24"/>
                <w:szCs w:val="24"/>
              </w:rPr>
            </w:pPr>
          </w:p>
        </w:tc>
        <w:tc>
          <w:tcPr>
            <w:tcW w:w="1136" w:type="pct"/>
            <w:vAlign w:val="center"/>
          </w:tcPr>
          <w:p w14:paraId="49D99423">
            <w:pPr>
              <w:autoSpaceDE w:val="0"/>
              <w:autoSpaceDN w:val="0"/>
              <w:adjustRightInd w:val="0"/>
              <w:ind w:firstLine="0" w:firstLineChars="0"/>
              <w:jc w:val="center"/>
              <w:rPr>
                <w:rFonts w:ascii="Times New Roman" w:hAnsi="Times New Roman"/>
                <w:color w:val="000000"/>
                <w:sz w:val="24"/>
                <w:szCs w:val="24"/>
              </w:rPr>
            </w:pPr>
          </w:p>
        </w:tc>
      </w:tr>
      <w:tr w14:paraId="5A6EAD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rPr>
          <w:cantSplit/>
          <w:trHeight w:val="359" w:hRule="atLeast"/>
        </w:trPr>
        <w:tc>
          <w:tcPr>
            <w:tcW w:w="456" w:type="pct"/>
            <w:vAlign w:val="center"/>
          </w:tcPr>
          <w:p w14:paraId="2BA89663">
            <w:pPr>
              <w:autoSpaceDE w:val="0"/>
              <w:autoSpaceDN w:val="0"/>
              <w:adjustRightInd w:val="0"/>
              <w:ind w:firstLine="0" w:firstLineChars="0"/>
              <w:jc w:val="center"/>
              <w:rPr>
                <w:rFonts w:ascii="Times New Roman" w:hAnsi="Times New Roman"/>
                <w:color w:val="000000"/>
                <w:sz w:val="24"/>
                <w:szCs w:val="24"/>
              </w:rPr>
            </w:pPr>
            <w:r>
              <w:rPr>
                <w:rFonts w:ascii="Times New Roman" w:hAnsi="Times New Roman"/>
                <w:color w:val="000000"/>
                <w:sz w:val="24"/>
                <w:szCs w:val="24"/>
              </w:rPr>
              <w:t>…</w:t>
            </w:r>
          </w:p>
        </w:tc>
        <w:tc>
          <w:tcPr>
            <w:tcW w:w="1223" w:type="pct"/>
            <w:vAlign w:val="center"/>
          </w:tcPr>
          <w:p w14:paraId="7D9E1FCA">
            <w:pPr>
              <w:autoSpaceDE w:val="0"/>
              <w:autoSpaceDN w:val="0"/>
              <w:adjustRightInd w:val="0"/>
              <w:ind w:firstLine="0" w:firstLineChars="0"/>
              <w:jc w:val="center"/>
              <w:rPr>
                <w:rFonts w:ascii="Times New Roman" w:hAnsi="Times New Roman"/>
                <w:color w:val="000000"/>
                <w:sz w:val="24"/>
                <w:szCs w:val="24"/>
              </w:rPr>
            </w:pPr>
          </w:p>
        </w:tc>
        <w:tc>
          <w:tcPr>
            <w:tcW w:w="1136" w:type="pct"/>
            <w:vAlign w:val="center"/>
          </w:tcPr>
          <w:p w14:paraId="363681B1">
            <w:pPr>
              <w:autoSpaceDE w:val="0"/>
              <w:autoSpaceDN w:val="0"/>
              <w:adjustRightInd w:val="0"/>
              <w:ind w:firstLine="0" w:firstLineChars="0"/>
              <w:jc w:val="center"/>
              <w:rPr>
                <w:rFonts w:ascii="Times New Roman" w:hAnsi="Times New Roman"/>
                <w:color w:val="000000"/>
                <w:sz w:val="24"/>
                <w:szCs w:val="24"/>
              </w:rPr>
            </w:pPr>
          </w:p>
        </w:tc>
        <w:tc>
          <w:tcPr>
            <w:tcW w:w="1049" w:type="pct"/>
            <w:vAlign w:val="center"/>
          </w:tcPr>
          <w:p w14:paraId="641A4023">
            <w:pPr>
              <w:autoSpaceDE w:val="0"/>
              <w:autoSpaceDN w:val="0"/>
              <w:adjustRightInd w:val="0"/>
              <w:ind w:firstLine="0" w:firstLineChars="0"/>
              <w:jc w:val="center"/>
              <w:rPr>
                <w:rFonts w:ascii="Times New Roman" w:hAnsi="Times New Roman"/>
                <w:color w:val="000000"/>
                <w:sz w:val="24"/>
                <w:szCs w:val="24"/>
              </w:rPr>
            </w:pPr>
          </w:p>
        </w:tc>
        <w:tc>
          <w:tcPr>
            <w:tcW w:w="1136" w:type="pct"/>
            <w:vAlign w:val="center"/>
          </w:tcPr>
          <w:p w14:paraId="5E1B5A93">
            <w:pPr>
              <w:autoSpaceDE w:val="0"/>
              <w:autoSpaceDN w:val="0"/>
              <w:adjustRightInd w:val="0"/>
              <w:ind w:firstLine="0" w:firstLineChars="0"/>
              <w:jc w:val="center"/>
              <w:rPr>
                <w:rFonts w:ascii="Times New Roman" w:hAnsi="Times New Roman"/>
                <w:color w:val="000000"/>
                <w:sz w:val="24"/>
                <w:szCs w:val="24"/>
              </w:rPr>
            </w:pPr>
          </w:p>
        </w:tc>
      </w:tr>
    </w:tbl>
    <w:p w14:paraId="630D1569">
      <w:pPr>
        <w:spacing w:before="120" w:beforeLines="50" w:line="360" w:lineRule="auto"/>
        <w:ind w:firstLine="600"/>
        <w:rPr>
          <w:rFonts w:ascii="Times New Roman" w:hAnsi="Times New Roman"/>
          <w:bCs/>
          <w:szCs w:val="30"/>
        </w:rPr>
      </w:pPr>
      <w:r>
        <w:rPr>
          <w:rFonts w:ascii="Times New Roman" w:hAnsi="Times New Roman"/>
          <w:bCs/>
          <w:szCs w:val="30"/>
        </w:rPr>
        <w:t>注：1.“限售类型”填写“原始权益人及其同一控制下关联方战略配售限售”、“其他专业机构投资者战略配售限售”</w:t>
      </w:r>
    </w:p>
    <w:p w14:paraId="07FB5BDA">
      <w:pPr>
        <w:spacing w:line="360" w:lineRule="auto"/>
        <w:ind w:firstLine="600"/>
        <w:rPr>
          <w:rFonts w:ascii="Times New Roman" w:hAnsi="Times New Roman"/>
          <w:bCs/>
          <w:szCs w:val="30"/>
        </w:rPr>
      </w:pPr>
      <w:r>
        <w:rPr>
          <w:rFonts w:ascii="Times New Roman" w:hAnsi="Times New Roman"/>
          <w:bCs/>
          <w:szCs w:val="30"/>
        </w:rPr>
        <w:t>2.</w:t>
      </w:r>
      <w:r>
        <w:rPr>
          <w:rFonts w:ascii="Times New Roman" w:hAnsi="Times New Roman"/>
          <w:bCs/>
          <w:kern w:val="0"/>
          <w:szCs w:val="30"/>
        </w:rPr>
        <w:t>限售期（月）填写12月、36月、60月</w:t>
      </w:r>
    </w:p>
    <w:p w14:paraId="50FF7397">
      <w:pPr>
        <w:ind w:firstLine="602"/>
        <w:rPr>
          <w:rFonts w:ascii="Times New Roman" w:hAnsi="Times New Roman"/>
          <w:color w:val="000000"/>
          <w:szCs w:val="30"/>
        </w:rPr>
      </w:pPr>
      <w:r>
        <w:rPr>
          <w:rFonts w:ascii="Times New Roman" w:hAnsi="Times New Roman"/>
          <w:b/>
          <w:bCs/>
          <w:color w:val="000000"/>
          <w:szCs w:val="30"/>
        </w:rPr>
        <w:t>三、</w:t>
      </w:r>
      <w:r>
        <w:rPr>
          <w:rFonts w:ascii="Times New Roman" w:hAnsi="Times New Roman"/>
          <w:b/>
          <w:color w:val="000000"/>
          <w:szCs w:val="30"/>
        </w:rPr>
        <w:t>其他需要提示的事项</w:t>
      </w:r>
    </w:p>
    <w:p w14:paraId="730246F0">
      <w:pPr>
        <w:widowControl/>
        <w:spacing w:line="240" w:lineRule="auto"/>
        <w:ind w:firstLine="0" w:firstLineChars="0"/>
        <w:jc w:val="left"/>
        <w:rPr>
          <w:rFonts w:ascii="Times New Roman" w:hAnsi="Times New Roman"/>
          <w:color w:val="000000"/>
          <w:kern w:val="0"/>
          <w:szCs w:val="30"/>
        </w:rPr>
      </w:pPr>
      <w:r>
        <w:rPr>
          <w:rFonts w:ascii="Times New Roman" w:hAnsi="Times New Roman"/>
          <w:szCs w:val="30"/>
        </w:rPr>
        <w:br w:type="page"/>
      </w:r>
    </w:p>
    <w:p w14:paraId="39685249">
      <w:pPr>
        <w:pStyle w:val="3"/>
        <w:spacing w:before="120" w:after="120"/>
        <w:ind w:firstLine="643"/>
      </w:pPr>
      <w:bookmarkStart w:id="82" w:name="_Toc432977948"/>
      <w:bookmarkStart w:id="83" w:name="_Toc217484349"/>
      <w:r>
        <w:t>相关业务联系电话</w:t>
      </w:r>
      <w:bookmarkEnd w:id="82"/>
      <w:bookmarkEnd w:id="83"/>
    </w:p>
    <w:tbl>
      <w:tblPr>
        <w:tblStyle w:val="18"/>
        <w:tblpPr w:leftFromText="180" w:rightFromText="180" w:vertAnchor="page" w:horzAnchor="margin" w:tblpXSpec="center" w:tblpY="2462"/>
        <w:tblW w:w="3837" w:type="pct"/>
        <w:tblInd w:w="0" w:type="dxa"/>
        <w:tblBorders>
          <w:top w:val="thinThickSmallGap" w:color="000000" w:sz="18" w:space="0"/>
          <w:left w:val="none" w:color="auto" w:sz="0" w:space="0"/>
          <w:bottom w:val="thinThickSmallGap" w:color="000000" w:sz="18" w:space="0"/>
          <w:right w:val="none" w:color="auto" w:sz="0" w:space="0"/>
          <w:insideH w:val="thinThickSmallGap" w:color="000000" w:sz="18" w:space="0"/>
          <w:insideV w:val="single" w:color="auto" w:sz="4" w:space="0"/>
        </w:tblBorders>
        <w:tblLayout w:type="autofit"/>
        <w:tblCellMar>
          <w:top w:w="0" w:type="dxa"/>
          <w:left w:w="108" w:type="dxa"/>
          <w:bottom w:w="0" w:type="dxa"/>
          <w:right w:w="108" w:type="dxa"/>
        </w:tblCellMar>
      </w:tblPr>
      <w:tblGrid>
        <w:gridCol w:w="2264"/>
        <w:gridCol w:w="1548"/>
        <w:gridCol w:w="2732"/>
      </w:tblGrid>
      <w:tr w14:paraId="3A1F715F">
        <w:tblPrEx>
          <w:tblBorders>
            <w:top w:val="thinThickSmallGap" w:color="000000" w:sz="18" w:space="0"/>
            <w:left w:val="none" w:color="auto" w:sz="0" w:space="0"/>
            <w:bottom w:val="thinThickSmallGap" w:color="000000" w:sz="18" w:space="0"/>
            <w:right w:val="none" w:color="auto" w:sz="0" w:space="0"/>
            <w:insideH w:val="thinThickSmallGap" w:color="000000" w:sz="18" w:space="0"/>
            <w:insideV w:val="single" w:color="auto" w:sz="4" w:space="0"/>
          </w:tblBorders>
          <w:tblCellMar>
            <w:top w:w="0" w:type="dxa"/>
            <w:left w:w="108" w:type="dxa"/>
            <w:bottom w:w="0" w:type="dxa"/>
            <w:right w:w="108" w:type="dxa"/>
          </w:tblCellMar>
        </w:tblPrEx>
        <w:trPr>
          <w:trHeight w:val="397" w:hRule="atLeast"/>
        </w:trPr>
        <w:tc>
          <w:tcPr>
            <w:tcW w:w="1730" w:type="pct"/>
            <w:vAlign w:val="center"/>
          </w:tcPr>
          <w:p w14:paraId="72297FFA">
            <w:pPr>
              <w:snapToGrid w:val="0"/>
              <w:spacing w:before="24" w:beforeLines="10" w:after="24" w:afterLines="10"/>
              <w:ind w:firstLine="0" w:firstLineChars="0"/>
              <w:jc w:val="center"/>
              <w:rPr>
                <w:rFonts w:ascii="Times New Roman" w:hAnsi="Times New Roman"/>
                <w:b/>
                <w:bCs/>
                <w:sz w:val="24"/>
                <w:szCs w:val="24"/>
              </w:rPr>
            </w:pPr>
            <w:r>
              <w:rPr>
                <w:rFonts w:ascii="Times New Roman" w:hAnsi="Times New Roman"/>
                <w:b/>
                <w:bCs/>
                <w:sz w:val="24"/>
                <w:szCs w:val="24"/>
              </w:rPr>
              <w:t>部门名称</w:t>
            </w:r>
          </w:p>
        </w:tc>
        <w:tc>
          <w:tcPr>
            <w:tcW w:w="1183" w:type="pct"/>
            <w:vAlign w:val="center"/>
          </w:tcPr>
          <w:p w14:paraId="3D1F8245">
            <w:pPr>
              <w:snapToGrid w:val="0"/>
              <w:spacing w:before="24" w:beforeLines="10" w:after="24" w:afterLines="10"/>
              <w:ind w:firstLine="0" w:firstLineChars="0"/>
              <w:jc w:val="center"/>
              <w:rPr>
                <w:rFonts w:ascii="Times New Roman" w:hAnsi="Times New Roman"/>
                <w:b/>
                <w:bCs/>
                <w:sz w:val="24"/>
                <w:szCs w:val="24"/>
              </w:rPr>
            </w:pPr>
            <w:r>
              <w:rPr>
                <w:rFonts w:ascii="Times New Roman" w:hAnsi="Times New Roman"/>
                <w:b/>
                <w:bCs/>
                <w:sz w:val="24"/>
                <w:szCs w:val="24"/>
              </w:rPr>
              <w:t>业务</w:t>
            </w:r>
          </w:p>
        </w:tc>
        <w:tc>
          <w:tcPr>
            <w:tcW w:w="2087" w:type="pct"/>
            <w:vAlign w:val="center"/>
          </w:tcPr>
          <w:p w14:paraId="23A989FD">
            <w:pPr>
              <w:snapToGrid w:val="0"/>
              <w:spacing w:before="24" w:beforeLines="10" w:after="24" w:afterLines="10"/>
              <w:ind w:firstLine="0" w:firstLineChars="0"/>
              <w:jc w:val="center"/>
              <w:rPr>
                <w:rFonts w:ascii="Times New Roman" w:hAnsi="Times New Roman"/>
                <w:b/>
                <w:bCs/>
                <w:sz w:val="24"/>
                <w:szCs w:val="24"/>
              </w:rPr>
            </w:pPr>
            <w:r>
              <w:rPr>
                <w:rFonts w:hint="eastAsia" w:ascii="Times New Roman" w:hAnsi="Times New Roman"/>
                <w:b/>
                <w:bCs/>
                <w:sz w:val="24"/>
                <w:szCs w:val="24"/>
              </w:rPr>
              <w:t>联系</w:t>
            </w:r>
            <w:r>
              <w:rPr>
                <w:rFonts w:ascii="Times New Roman" w:hAnsi="Times New Roman"/>
                <w:b/>
                <w:bCs/>
                <w:sz w:val="24"/>
                <w:szCs w:val="24"/>
              </w:rPr>
              <w:t>电话</w:t>
            </w:r>
          </w:p>
        </w:tc>
      </w:tr>
      <w:tr w14:paraId="30C9B441">
        <w:tblPrEx>
          <w:tblBorders>
            <w:top w:val="thinThickSmallGap" w:color="000000" w:sz="18" w:space="0"/>
            <w:left w:val="none" w:color="auto" w:sz="0" w:space="0"/>
            <w:bottom w:val="thinThickSmallGap" w:color="000000" w:sz="18" w:space="0"/>
            <w:right w:val="none" w:color="auto" w:sz="0" w:space="0"/>
            <w:insideH w:val="thinThickSmallGap" w:color="000000" w:sz="18" w:space="0"/>
            <w:insideV w:val="single" w:color="auto" w:sz="4" w:space="0"/>
          </w:tblBorders>
          <w:tblCellMar>
            <w:top w:w="0" w:type="dxa"/>
            <w:left w:w="108" w:type="dxa"/>
            <w:bottom w:w="0" w:type="dxa"/>
            <w:right w:w="108" w:type="dxa"/>
          </w:tblCellMar>
        </w:tblPrEx>
        <w:trPr>
          <w:trHeight w:val="397" w:hRule="atLeast"/>
        </w:trPr>
        <w:tc>
          <w:tcPr>
            <w:tcW w:w="1730" w:type="pct"/>
            <w:vMerge w:val="restart"/>
            <w:vAlign w:val="center"/>
          </w:tcPr>
          <w:p w14:paraId="634D27C5">
            <w:pPr>
              <w:snapToGrid w:val="0"/>
              <w:spacing w:before="24" w:beforeLines="10" w:after="24" w:afterLines="10"/>
              <w:ind w:firstLine="0" w:firstLineChars="0"/>
              <w:jc w:val="center"/>
              <w:rPr>
                <w:rFonts w:ascii="Times New Roman" w:hAnsi="Times New Roman"/>
                <w:bCs/>
                <w:sz w:val="24"/>
                <w:szCs w:val="24"/>
              </w:rPr>
            </w:pPr>
            <w:r>
              <w:rPr>
                <w:rFonts w:ascii="Times New Roman" w:hAnsi="Times New Roman"/>
                <w:bCs/>
                <w:sz w:val="24"/>
                <w:szCs w:val="24"/>
              </w:rPr>
              <w:t>债券业务中心</w:t>
            </w:r>
          </w:p>
          <w:p w14:paraId="21FB9DBD">
            <w:pPr>
              <w:snapToGrid w:val="0"/>
              <w:spacing w:before="24" w:beforeLines="10" w:after="24" w:afterLines="10"/>
              <w:ind w:firstLine="0" w:firstLineChars="0"/>
              <w:jc w:val="center"/>
              <w:rPr>
                <w:rFonts w:ascii="Times New Roman" w:hAnsi="Times New Roman"/>
                <w:bCs/>
                <w:sz w:val="24"/>
                <w:szCs w:val="24"/>
              </w:rPr>
            </w:pPr>
            <w:r>
              <w:rPr>
                <w:rFonts w:hint="eastAsia" w:ascii="Times New Roman" w:hAnsi="Times New Roman"/>
                <w:bCs/>
                <w:sz w:val="24"/>
                <w:szCs w:val="24"/>
              </w:rPr>
              <w:t>ssebond@sse.com.cn</w:t>
            </w:r>
          </w:p>
        </w:tc>
        <w:tc>
          <w:tcPr>
            <w:tcW w:w="1183" w:type="pct"/>
            <w:vAlign w:val="center"/>
          </w:tcPr>
          <w:p w14:paraId="4CDF2816">
            <w:pPr>
              <w:snapToGrid w:val="0"/>
              <w:spacing w:before="24" w:beforeLines="10" w:after="24" w:afterLines="10"/>
              <w:ind w:firstLine="0" w:firstLineChars="0"/>
              <w:jc w:val="center"/>
              <w:rPr>
                <w:rFonts w:ascii="Times New Roman" w:hAnsi="Times New Roman"/>
                <w:bCs/>
                <w:sz w:val="24"/>
                <w:szCs w:val="24"/>
              </w:rPr>
            </w:pPr>
            <w:r>
              <w:rPr>
                <w:rFonts w:ascii="Times New Roman" w:hAnsi="Times New Roman"/>
                <w:bCs/>
                <w:sz w:val="24"/>
                <w:szCs w:val="24"/>
              </w:rPr>
              <w:t>交易相关</w:t>
            </w:r>
          </w:p>
        </w:tc>
        <w:tc>
          <w:tcPr>
            <w:tcW w:w="2087" w:type="pct"/>
            <w:vAlign w:val="center"/>
          </w:tcPr>
          <w:p w14:paraId="027932CF">
            <w:pPr>
              <w:snapToGrid w:val="0"/>
              <w:spacing w:before="24" w:beforeLines="10" w:after="24" w:afterLines="10"/>
              <w:ind w:firstLine="0" w:firstLineChars="0"/>
              <w:jc w:val="center"/>
              <w:rPr>
                <w:rFonts w:ascii="Times New Roman" w:hAnsi="Times New Roman"/>
                <w:bCs/>
                <w:sz w:val="24"/>
                <w:szCs w:val="24"/>
              </w:rPr>
            </w:pPr>
            <w:r>
              <w:rPr>
                <w:rFonts w:ascii="Times New Roman" w:hAnsi="Times New Roman"/>
                <w:bCs/>
                <w:sz w:val="24"/>
                <w:szCs w:val="24"/>
              </w:rPr>
              <w:t>021-68601952</w:t>
            </w:r>
          </w:p>
          <w:p w14:paraId="7E9EE525">
            <w:pPr>
              <w:snapToGrid w:val="0"/>
              <w:spacing w:before="24" w:beforeLines="10" w:after="24" w:afterLines="10"/>
              <w:ind w:firstLine="0" w:firstLineChars="0"/>
              <w:jc w:val="center"/>
              <w:rPr>
                <w:rFonts w:ascii="Times New Roman" w:hAnsi="Times New Roman"/>
                <w:bCs/>
                <w:sz w:val="24"/>
                <w:szCs w:val="24"/>
              </w:rPr>
            </w:pPr>
            <w:r>
              <w:rPr>
                <w:rFonts w:ascii="Times New Roman" w:hAnsi="Times New Roman"/>
                <w:bCs/>
                <w:sz w:val="24"/>
                <w:szCs w:val="24"/>
              </w:rPr>
              <w:t>021-68602700</w:t>
            </w:r>
          </w:p>
        </w:tc>
      </w:tr>
      <w:tr w14:paraId="34372F8D">
        <w:tblPrEx>
          <w:tblBorders>
            <w:top w:val="thinThickSmallGap" w:color="000000" w:sz="18" w:space="0"/>
            <w:left w:val="none" w:color="auto" w:sz="0" w:space="0"/>
            <w:bottom w:val="thinThickSmallGap" w:color="000000" w:sz="18" w:space="0"/>
            <w:right w:val="none" w:color="auto" w:sz="0" w:space="0"/>
            <w:insideH w:val="thinThickSmallGap" w:color="000000" w:sz="18" w:space="0"/>
            <w:insideV w:val="single" w:color="auto" w:sz="4" w:space="0"/>
          </w:tblBorders>
          <w:tblCellMar>
            <w:top w:w="0" w:type="dxa"/>
            <w:left w:w="108" w:type="dxa"/>
            <w:bottom w:w="0" w:type="dxa"/>
            <w:right w:w="108" w:type="dxa"/>
          </w:tblCellMar>
        </w:tblPrEx>
        <w:trPr>
          <w:trHeight w:val="397" w:hRule="atLeast"/>
        </w:trPr>
        <w:tc>
          <w:tcPr>
            <w:tcW w:w="1730" w:type="pct"/>
            <w:vMerge w:val="continue"/>
            <w:vAlign w:val="center"/>
          </w:tcPr>
          <w:p w14:paraId="4514FD1A">
            <w:pPr>
              <w:snapToGrid w:val="0"/>
              <w:spacing w:before="24" w:beforeLines="10" w:after="24" w:afterLines="10"/>
              <w:ind w:firstLine="480"/>
              <w:jc w:val="center"/>
              <w:rPr>
                <w:rFonts w:ascii="Times New Roman" w:hAnsi="Times New Roman"/>
                <w:bCs/>
                <w:sz w:val="24"/>
                <w:szCs w:val="24"/>
              </w:rPr>
            </w:pPr>
          </w:p>
        </w:tc>
        <w:tc>
          <w:tcPr>
            <w:tcW w:w="1183" w:type="pct"/>
            <w:vAlign w:val="center"/>
          </w:tcPr>
          <w:p w14:paraId="513E9FF7">
            <w:pPr>
              <w:snapToGrid w:val="0"/>
              <w:spacing w:before="24" w:beforeLines="10" w:after="24" w:afterLines="10"/>
              <w:ind w:firstLine="0" w:firstLineChars="0"/>
              <w:jc w:val="center"/>
              <w:rPr>
                <w:rFonts w:ascii="Times New Roman" w:hAnsi="Times New Roman"/>
                <w:bCs/>
                <w:sz w:val="24"/>
                <w:szCs w:val="24"/>
              </w:rPr>
            </w:pPr>
            <w:r>
              <w:rPr>
                <w:rFonts w:ascii="Times New Roman" w:hAnsi="Times New Roman"/>
                <w:bCs/>
                <w:sz w:val="24"/>
                <w:szCs w:val="24"/>
              </w:rPr>
              <w:t>日常运作</w:t>
            </w:r>
          </w:p>
        </w:tc>
        <w:tc>
          <w:tcPr>
            <w:tcW w:w="2087" w:type="pct"/>
            <w:vAlign w:val="center"/>
          </w:tcPr>
          <w:p w14:paraId="1E3A59F9">
            <w:pPr>
              <w:snapToGrid w:val="0"/>
              <w:spacing w:before="24" w:beforeLines="10" w:after="24" w:afterLines="10"/>
              <w:ind w:firstLine="0" w:firstLineChars="0"/>
              <w:jc w:val="center"/>
              <w:rPr>
                <w:rFonts w:ascii="Times New Roman" w:hAnsi="Times New Roman"/>
                <w:bCs/>
                <w:sz w:val="24"/>
                <w:szCs w:val="24"/>
              </w:rPr>
            </w:pPr>
            <w:r>
              <w:rPr>
                <w:rFonts w:hint="eastAsia" w:ascii="Times New Roman" w:hAnsi="Times New Roman"/>
                <w:bCs/>
                <w:sz w:val="24"/>
                <w:szCs w:val="24"/>
              </w:rPr>
              <w:t>021-68601977</w:t>
            </w:r>
          </w:p>
          <w:p w14:paraId="3F9A763B">
            <w:pPr>
              <w:snapToGrid w:val="0"/>
              <w:spacing w:before="24" w:beforeLines="10" w:after="24" w:afterLines="10"/>
              <w:ind w:firstLine="0" w:firstLineChars="0"/>
              <w:jc w:val="center"/>
              <w:rPr>
                <w:rFonts w:ascii="Times New Roman" w:hAnsi="Times New Roman"/>
                <w:bCs/>
                <w:sz w:val="24"/>
                <w:szCs w:val="24"/>
              </w:rPr>
            </w:pPr>
            <w:r>
              <w:rPr>
                <w:rFonts w:hint="eastAsia" w:ascii="Times New Roman" w:hAnsi="Times New Roman"/>
                <w:bCs/>
                <w:sz w:val="24"/>
                <w:szCs w:val="24"/>
              </w:rPr>
              <w:t>021-68601985</w:t>
            </w:r>
          </w:p>
          <w:p w14:paraId="23B687EF">
            <w:pPr>
              <w:snapToGrid w:val="0"/>
              <w:spacing w:before="24" w:beforeLines="10" w:after="24" w:afterLines="10"/>
              <w:ind w:firstLine="0" w:firstLineChars="0"/>
              <w:jc w:val="center"/>
              <w:rPr>
                <w:rFonts w:ascii="Times New Roman" w:hAnsi="Times New Roman"/>
                <w:bCs/>
                <w:sz w:val="24"/>
                <w:szCs w:val="24"/>
              </w:rPr>
            </w:pPr>
            <w:r>
              <w:rPr>
                <w:rFonts w:ascii="Times New Roman" w:hAnsi="Times New Roman"/>
                <w:bCs/>
                <w:sz w:val="24"/>
                <w:szCs w:val="24"/>
              </w:rPr>
              <w:t>021-68602059</w:t>
            </w:r>
          </w:p>
          <w:p w14:paraId="2C898EC7">
            <w:pPr>
              <w:snapToGrid w:val="0"/>
              <w:spacing w:before="24" w:beforeLines="10" w:after="24" w:afterLines="10"/>
              <w:ind w:firstLine="0" w:firstLineChars="0"/>
              <w:jc w:val="center"/>
              <w:rPr>
                <w:rFonts w:ascii="Times New Roman" w:hAnsi="Times New Roman"/>
                <w:bCs/>
                <w:sz w:val="24"/>
                <w:szCs w:val="24"/>
              </w:rPr>
            </w:pPr>
            <w:r>
              <w:rPr>
                <w:rFonts w:ascii="Times New Roman" w:hAnsi="Times New Roman"/>
                <w:bCs/>
                <w:sz w:val="24"/>
                <w:szCs w:val="24"/>
              </w:rPr>
              <w:t>021-68601974</w:t>
            </w:r>
          </w:p>
        </w:tc>
      </w:tr>
      <w:tr w14:paraId="3D51C1BD">
        <w:tblPrEx>
          <w:tblBorders>
            <w:top w:val="thinThickSmallGap" w:color="000000" w:sz="18" w:space="0"/>
            <w:left w:val="none" w:color="auto" w:sz="0" w:space="0"/>
            <w:bottom w:val="thinThickSmallGap" w:color="000000" w:sz="18" w:space="0"/>
            <w:right w:val="none" w:color="auto" w:sz="0" w:space="0"/>
            <w:insideH w:val="thinThickSmallGap" w:color="000000" w:sz="18" w:space="0"/>
            <w:insideV w:val="single" w:color="auto" w:sz="4" w:space="0"/>
          </w:tblBorders>
          <w:tblCellMar>
            <w:top w:w="0" w:type="dxa"/>
            <w:left w:w="108" w:type="dxa"/>
            <w:bottom w:w="0" w:type="dxa"/>
            <w:right w:w="108" w:type="dxa"/>
          </w:tblCellMar>
        </w:tblPrEx>
        <w:trPr>
          <w:trHeight w:val="397" w:hRule="atLeast"/>
        </w:trPr>
        <w:tc>
          <w:tcPr>
            <w:tcW w:w="1730" w:type="pct"/>
            <w:vMerge w:val="continue"/>
            <w:vAlign w:val="center"/>
          </w:tcPr>
          <w:p w14:paraId="44280419">
            <w:pPr>
              <w:snapToGrid w:val="0"/>
              <w:spacing w:before="24" w:beforeLines="10" w:after="24" w:afterLines="10"/>
              <w:ind w:firstLine="480"/>
              <w:jc w:val="center"/>
              <w:rPr>
                <w:rFonts w:ascii="Times New Roman" w:hAnsi="Times New Roman"/>
                <w:bCs/>
                <w:sz w:val="24"/>
                <w:szCs w:val="24"/>
              </w:rPr>
            </w:pPr>
          </w:p>
        </w:tc>
        <w:tc>
          <w:tcPr>
            <w:tcW w:w="1183" w:type="pct"/>
            <w:vAlign w:val="center"/>
          </w:tcPr>
          <w:p w14:paraId="4E31FEAF">
            <w:pPr>
              <w:snapToGrid w:val="0"/>
              <w:spacing w:before="24" w:beforeLines="10" w:after="24" w:afterLines="10"/>
              <w:ind w:firstLine="0" w:firstLineChars="0"/>
              <w:jc w:val="center"/>
              <w:rPr>
                <w:rFonts w:ascii="Times New Roman" w:hAnsi="Times New Roman"/>
                <w:bCs/>
                <w:sz w:val="24"/>
                <w:szCs w:val="24"/>
              </w:rPr>
            </w:pPr>
            <w:r>
              <w:rPr>
                <w:rFonts w:ascii="Times New Roman" w:hAnsi="Times New Roman"/>
                <w:bCs/>
                <w:sz w:val="24"/>
                <w:szCs w:val="24"/>
              </w:rPr>
              <w:t>存续期信息披露管理</w:t>
            </w:r>
          </w:p>
        </w:tc>
        <w:tc>
          <w:tcPr>
            <w:tcW w:w="2087" w:type="pct"/>
            <w:vAlign w:val="center"/>
          </w:tcPr>
          <w:p w14:paraId="69F7FD27">
            <w:pPr>
              <w:snapToGrid w:val="0"/>
              <w:spacing w:before="24" w:beforeLines="10" w:after="24" w:afterLines="10"/>
              <w:ind w:firstLine="0" w:firstLineChars="0"/>
              <w:jc w:val="center"/>
              <w:rPr>
                <w:rFonts w:ascii="Times New Roman" w:hAnsi="Times New Roman"/>
                <w:bCs/>
                <w:sz w:val="24"/>
                <w:szCs w:val="24"/>
              </w:rPr>
            </w:pPr>
            <w:r>
              <w:rPr>
                <w:rFonts w:hint="eastAsia" w:ascii="Times New Roman" w:hAnsi="Times New Roman"/>
                <w:bCs/>
                <w:sz w:val="24"/>
                <w:szCs w:val="24"/>
              </w:rPr>
              <w:t>021-68601972</w:t>
            </w:r>
          </w:p>
          <w:p w14:paraId="69B7BE25">
            <w:pPr>
              <w:snapToGrid w:val="0"/>
              <w:spacing w:before="24" w:beforeLines="10" w:after="24" w:afterLines="10"/>
              <w:ind w:firstLine="0" w:firstLineChars="0"/>
              <w:jc w:val="center"/>
              <w:rPr>
                <w:rFonts w:ascii="Times New Roman" w:hAnsi="Times New Roman"/>
                <w:bCs/>
                <w:sz w:val="24"/>
                <w:szCs w:val="24"/>
              </w:rPr>
            </w:pPr>
            <w:r>
              <w:rPr>
                <w:rFonts w:hint="eastAsia" w:ascii="Times New Roman" w:hAnsi="Times New Roman"/>
                <w:bCs/>
                <w:sz w:val="24"/>
                <w:szCs w:val="24"/>
              </w:rPr>
              <w:t>021-68601993</w:t>
            </w:r>
          </w:p>
          <w:p w14:paraId="490690BF">
            <w:pPr>
              <w:snapToGrid w:val="0"/>
              <w:spacing w:before="24" w:beforeLines="10" w:after="24" w:afterLines="10"/>
              <w:ind w:firstLine="0" w:firstLineChars="0"/>
              <w:jc w:val="center"/>
              <w:rPr>
                <w:rFonts w:ascii="Times New Roman" w:hAnsi="Times New Roman"/>
                <w:bCs/>
                <w:sz w:val="24"/>
                <w:szCs w:val="24"/>
              </w:rPr>
            </w:pPr>
            <w:r>
              <w:rPr>
                <w:rFonts w:hint="eastAsia" w:ascii="Times New Roman" w:hAnsi="Times New Roman"/>
                <w:bCs/>
                <w:sz w:val="24"/>
                <w:szCs w:val="24"/>
              </w:rPr>
              <w:t>021-68602041</w:t>
            </w:r>
          </w:p>
          <w:p w14:paraId="1BEBBA2B">
            <w:pPr>
              <w:snapToGrid w:val="0"/>
              <w:spacing w:before="24" w:beforeLines="10" w:after="24" w:afterLines="10"/>
              <w:ind w:firstLine="0" w:firstLineChars="0"/>
              <w:jc w:val="center"/>
              <w:rPr>
                <w:rFonts w:ascii="Times New Roman" w:hAnsi="Times New Roman"/>
                <w:bCs/>
                <w:sz w:val="24"/>
                <w:szCs w:val="24"/>
              </w:rPr>
            </w:pPr>
            <w:r>
              <w:rPr>
                <w:rFonts w:hint="eastAsia" w:ascii="Times New Roman" w:hAnsi="Times New Roman"/>
                <w:bCs/>
                <w:sz w:val="24"/>
                <w:szCs w:val="24"/>
              </w:rPr>
              <w:t>021-68602623</w:t>
            </w:r>
          </w:p>
        </w:tc>
      </w:tr>
    </w:tbl>
    <w:p w14:paraId="04823965">
      <w:pPr>
        <w:pStyle w:val="16"/>
        <w:snapToGrid w:val="0"/>
        <w:spacing w:before="0" w:beforeAutospacing="0" w:after="0" w:afterAutospacing="0" w:line="360" w:lineRule="auto"/>
        <w:ind w:firstLine="0" w:firstLineChars="0"/>
        <w:jc w:val="both"/>
        <w:rPr>
          <w:rFonts w:ascii="Times New Roman" w:hAnsi="Times New Roman" w:eastAsia="仿宋_GB2312" w:cs="Times New Roman"/>
          <w:sz w:val="30"/>
          <w:szCs w:val="30"/>
        </w:rPr>
      </w:pPr>
    </w:p>
    <w:sectPr>
      <w:headerReference r:id="rId11" w:type="default"/>
      <w:headerReference r:id="rId12" w:type="even"/>
      <w:pgSz w:w="11906" w:h="16838"/>
      <w:pgMar w:top="1440" w:right="1797" w:bottom="1440" w:left="1797" w:header="851" w:footer="992" w:gutter="0"/>
      <w:cols w:space="720" w:num="1"/>
      <w:docGrid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00"/>
      </w:pPr>
      <w:r>
        <w:separator/>
      </w:r>
    </w:p>
  </w:endnote>
  <w:endnote w:type="continuationSeparator" w:id="1">
    <w:p>
      <w:pPr>
        <w:spacing w:line="240" w:lineRule="auto"/>
        <w:ind w:firstLine="60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仿宋_GB2312">
    <w:panose1 w:val="02000500000000000000"/>
    <w:charset w:val="86"/>
    <w:family w:val="modern"/>
    <w:pitch w:val="default"/>
    <w:sig w:usb0="A00002BF" w:usb1="584F6CFA" w:usb2="00000012" w:usb3="00000000" w:csb0="00040001" w:csb1="00000000"/>
  </w:font>
  <w:font w:name="Calibri Light">
    <w:altName w:val="DejaVu Sans"/>
    <w:panose1 w:val="020F0302020204030204"/>
    <w:charset w:val="00"/>
    <w:family w:val="swiss"/>
    <w:pitch w:val="default"/>
    <w:sig w:usb0="00000000" w:usb1="00000000" w:usb2="00000009" w:usb3="00000000" w:csb0="200001FF" w:csb1="00000000"/>
  </w:font>
  <w:font w:name="Cambria">
    <w:altName w:val="Noto Sans Syriac Eastern"/>
    <w:panose1 w:val="02040803050406030204"/>
    <w:charset w:val="00"/>
    <w:family w:val="roman"/>
    <w:pitch w:val="default"/>
    <w:sig w:usb0="00000000" w:usb1="00000000" w:usb2="00000000" w:usb3="00000000" w:csb0="2000019F" w:csb1="00000000"/>
  </w:font>
  <w:font w:name="Noto Sans Syriac Eastern">
    <w:panose1 w:val="02040503050306020203"/>
    <w:charset w:val="86"/>
    <w:family w:val="auto"/>
    <w:pitch w:val="default"/>
    <w:sig w:usb0="00000000" w:usb1="00000000" w:usb2="00000080" w:usb3="00000000" w:csb0="203E0161" w:csb1="D7FF0000"/>
  </w:font>
  <w:font w:name="华文楷体">
    <w:altName w:val="方正楷体_GBK"/>
    <w:panose1 w:val="02010600040101010101"/>
    <w:charset w:val="86"/>
    <w:family w:val="auto"/>
    <w:pitch w:val="default"/>
    <w:sig w:usb0="00000000" w:usb1="00000000" w:usb2="00000000" w:usb3="00000000" w:csb0="0004009F" w:csb1="DFD70000"/>
  </w:font>
  <w:font w:name="方正楷体_GBK">
    <w:panose1 w:val="02000000000000000000"/>
    <w:charset w:val="86"/>
    <w:family w:val="auto"/>
    <w:pitch w:val="default"/>
    <w:sig w:usb0="00000001" w:usb1="08000000" w:usb2="00000000" w:usb3="00000000" w:csb0="00040000" w:csb1="00000000"/>
  </w:font>
  <w:font w:name="仿宋">
    <w:altName w:val="宋体"/>
    <w:panose1 w:val="02010609060101010101"/>
    <w:charset w:val="86"/>
    <w:family w:val="modern"/>
    <w:pitch w:val="default"/>
    <w:sig w:usb0="00000000" w:usb1="0000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308AB7">
    <w:pPr>
      <w:pStyle w:val="11"/>
      <w:ind w:firstLine="0" w:firstLineChars="0"/>
      <w:jc w:val="center"/>
      <w:rPr>
        <w:rFonts w:ascii="Times New Roman" w:hAnsi="Times New Roman"/>
        <w:sz w:val="21"/>
        <w:szCs w:val="21"/>
      </w:rPr>
    </w:pPr>
    <w:r>
      <w:rPr>
        <w:rFonts w:ascii="Times New Roman" w:hAnsi="Times New Roman"/>
        <w:sz w:val="21"/>
        <w:szCs w:val="21"/>
      </w:rPr>
      <w:fldChar w:fldCharType="begin"/>
    </w:r>
    <w:r>
      <w:rPr>
        <w:rFonts w:ascii="Times New Roman" w:hAnsi="Times New Roman"/>
        <w:sz w:val="21"/>
        <w:szCs w:val="21"/>
      </w:rPr>
      <w:instrText xml:space="preserve"> PAGE   \* MERGEFORMAT </w:instrText>
    </w:r>
    <w:r>
      <w:rPr>
        <w:rFonts w:ascii="Times New Roman" w:hAnsi="Times New Roman"/>
        <w:sz w:val="21"/>
        <w:szCs w:val="21"/>
      </w:rPr>
      <w:fldChar w:fldCharType="separate"/>
    </w:r>
    <w:r>
      <w:rPr>
        <w:rFonts w:ascii="Times New Roman" w:hAnsi="Times New Roman"/>
        <w:sz w:val="21"/>
        <w:szCs w:val="21"/>
        <w:lang w:val="zh-CN"/>
      </w:rPr>
      <w:t>1</w:t>
    </w:r>
    <w:r>
      <w:rPr>
        <w:rFonts w:ascii="Times New Roman" w:hAnsi="Times New Roman"/>
        <w:sz w:val="21"/>
        <w:szCs w:val="21"/>
        <w:lang w:val="zh-CN"/>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C54AE5">
    <w:pPr>
      <w:pStyle w:val="11"/>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0BAF0F">
    <w:pPr>
      <w:pStyle w:val="11"/>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4">
    <w:p>
      <w:pPr>
        <w:spacing w:line="240" w:lineRule="auto"/>
        <w:ind w:firstLine="600"/>
      </w:pPr>
      <w:r>
        <w:separator/>
      </w:r>
    </w:p>
  </w:footnote>
  <w:footnote w:type="continuationSeparator" w:id="5">
    <w:p>
      <w:pPr>
        <w:spacing w:line="240" w:lineRule="auto"/>
        <w:ind w:firstLine="600"/>
      </w:pPr>
      <w:r>
        <w:continuationSeparator/>
      </w:r>
    </w:p>
  </w:footnote>
  <w:footnote w:id="0">
    <w:p w14:paraId="7DAC2CD4">
      <w:pPr>
        <w:pStyle w:val="14"/>
        <w:spacing w:line="300" w:lineRule="exact"/>
        <w:ind w:firstLine="420"/>
        <w:rPr>
          <w:rFonts w:ascii="Times New Roman" w:hAnsi="Times New Roman"/>
          <w:sz w:val="21"/>
          <w:szCs w:val="21"/>
        </w:rPr>
      </w:pPr>
      <w:r>
        <w:rPr>
          <w:rStyle w:val="23"/>
          <w:rFonts w:ascii="Times New Roman" w:hAnsi="Times New Roman"/>
          <w:sz w:val="21"/>
          <w:szCs w:val="21"/>
          <w:vertAlign w:val="baseline"/>
        </w:rPr>
        <w:footnoteRef/>
      </w:r>
      <w:r>
        <w:rPr>
          <w:rFonts w:ascii="Times New Roman" w:hAnsi="Times New Roman"/>
          <w:sz w:val="21"/>
          <w:szCs w:val="21"/>
        </w:rPr>
        <w:t xml:space="preserve"> 对于REITs质押券，质押债券面值总额=质押数量（份）×</w:t>
      </w:r>
      <w:r>
        <w:rPr>
          <w:rFonts w:hint="eastAsia" w:ascii="Times New Roman" w:hAnsi="Times New Roman"/>
          <w:sz w:val="21"/>
          <w:szCs w:val="21"/>
          <w:lang w:eastAsia="zh-CN"/>
        </w:rPr>
        <w:t>前竞价交易产生的收盘</w:t>
      </w:r>
      <w:r>
        <w:rPr>
          <w:rFonts w:ascii="Times New Roman" w:hAnsi="Times New Roman"/>
          <w:sz w:val="21"/>
          <w:szCs w:val="21"/>
        </w:rPr>
        <w:t>价（上市首日为开盘参考价）。单位为元，整数。</w:t>
      </w:r>
    </w:p>
  </w:footnote>
  <w:footnote w:id="1">
    <w:p w14:paraId="5140C5CA">
      <w:pPr>
        <w:pStyle w:val="14"/>
        <w:spacing w:line="300" w:lineRule="exact"/>
        <w:ind w:firstLine="420"/>
        <w:rPr>
          <w:rFonts w:hint="eastAsia" w:ascii="Times New Roman" w:hAnsi="Times New Roman" w:eastAsia="仿宋_GB2312"/>
          <w:lang w:eastAsia="zh-CN"/>
        </w:rPr>
      </w:pPr>
      <w:r>
        <w:rPr>
          <w:rFonts w:ascii="Times New Roman" w:hAnsi="Times New Roman"/>
          <w:sz w:val="21"/>
          <w:szCs w:val="21"/>
        </w:rPr>
        <w:footnoteRef/>
      </w:r>
      <w:r>
        <w:rPr>
          <w:rFonts w:ascii="Times New Roman" w:hAnsi="Times New Roman"/>
          <w:sz w:val="21"/>
          <w:szCs w:val="21"/>
        </w:rPr>
        <w:t xml:space="preserve"> 折算比</w:t>
      </w:r>
      <w:r>
        <w:rPr>
          <w:rFonts w:hint="eastAsia" w:ascii="Times New Roman" w:hAnsi="Times New Roman"/>
          <w:sz w:val="21"/>
          <w:szCs w:val="21"/>
        </w:rPr>
        <w:t>例</w:t>
      </w:r>
      <w:r>
        <w:rPr>
          <w:rFonts w:ascii="Times New Roman" w:hAnsi="Times New Roman"/>
          <w:sz w:val="21"/>
          <w:szCs w:val="21"/>
        </w:rPr>
        <w:t>=(成交金额/质押券面值总额)*100%</w:t>
      </w:r>
      <w:r>
        <w:rPr>
          <w:rFonts w:hint="eastAsia" w:ascii="Times New Roman" w:hAnsi="Times New Roman"/>
          <w:sz w:val="21"/>
          <w:szCs w:val="21"/>
          <w:lang w:eastAsia="zh-CN"/>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DD47D3">
    <w:pPr>
      <w:pStyle w:val="12"/>
      <w:pBdr>
        <w:bottom w:val="none" w:color="auto" w:sz="0" w:space="0"/>
      </w:pBdr>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5D5937">
    <w:pPr>
      <w:pStyle w:val="12"/>
      <w:pBdr>
        <w:bottom w:val="none" w:color="auto" w:sz="0" w:space="0"/>
      </w:pBdr>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1D65FE">
    <w:pPr>
      <w:pStyle w:val="12"/>
      <w:ind w:firstLine="36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8EAFAB">
    <w:pPr>
      <w:pStyle w:val="12"/>
      <w:pBdr>
        <w:bottom w:val="none" w:color="auto" w:sz="0" w:space="0"/>
      </w:pBdr>
      <w:ind w:firstLine="360"/>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3AF8E6">
    <w:pPr>
      <w:pStyle w:val="12"/>
      <w:pBdr>
        <w:bottom w:val="none" w:color="auto" w:sz="0" w:space="0"/>
      </w:pBdr>
      <w:ind w:firstLine="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removePersonalInformation/>
  <w:bordersDoNotSurroundHeader w:val="1"/>
  <w:bordersDoNotSurroundFooter w:val="1"/>
  <w:documentProtection w:enforcement="0"/>
  <w:defaultTabStop w:val="420"/>
  <w:drawingGridHorizontalSpacing w:val="150"/>
  <w:drawingGridVerticalSpacing w:val="204"/>
  <w:displayHorizontalDrawingGridEvery w:val="0"/>
  <w:displayVerticalDrawingGridEvery w:val="2"/>
  <w:characterSpacingControl w:val="compressPunctuation"/>
  <w:footnotePr>
    <w:footnote w:id="4"/>
    <w:footnote w:id="5"/>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2920D68"/>
    <w:rsid w:val="000007D3"/>
    <w:rsid w:val="00001385"/>
    <w:rsid w:val="000032AE"/>
    <w:rsid w:val="00003E7D"/>
    <w:rsid w:val="00003FBB"/>
    <w:rsid w:val="00004264"/>
    <w:rsid w:val="00005E33"/>
    <w:rsid w:val="00010F78"/>
    <w:rsid w:val="000111AB"/>
    <w:rsid w:val="0001177E"/>
    <w:rsid w:val="00012D1B"/>
    <w:rsid w:val="00015479"/>
    <w:rsid w:val="00016775"/>
    <w:rsid w:val="00021228"/>
    <w:rsid w:val="000215EF"/>
    <w:rsid w:val="0002181E"/>
    <w:rsid w:val="000258FE"/>
    <w:rsid w:val="00026576"/>
    <w:rsid w:val="00027425"/>
    <w:rsid w:val="00027879"/>
    <w:rsid w:val="00030B16"/>
    <w:rsid w:val="00031060"/>
    <w:rsid w:val="0003112A"/>
    <w:rsid w:val="0003191A"/>
    <w:rsid w:val="00032726"/>
    <w:rsid w:val="00033EA9"/>
    <w:rsid w:val="0003481F"/>
    <w:rsid w:val="000364C6"/>
    <w:rsid w:val="00037D46"/>
    <w:rsid w:val="00040F93"/>
    <w:rsid w:val="000410C9"/>
    <w:rsid w:val="00041673"/>
    <w:rsid w:val="00042413"/>
    <w:rsid w:val="0004374D"/>
    <w:rsid w:val="00043E22"/>
    <w:rsid w:val="0004482D"/>
    <w:rsid w:val="00044D9B"/>
    <w:rsid w:val="00053325"/>
    <w:rsid w:val="000559E1"/>
    <w:rsid w:val="0005620E"/>
    <w:rsid w:val="0005660E"/>
    <w:rsid w:val="000604CE"/>
    <w:rsid w:val="00061A07"/>
    <w:rsid w:val="00062621"/>
    <w:rsid w:val="000631A8"/>
    <w:rsid w:val="00064682"/>
    <w:rsid w:val="00064BAA"/>
    <w:rsid w:val="000650B9"/>
    <w:rsid w:val="000651F7"/>
    <w:rsid w:val="00065ED7"/>
    <w:rsid w:val="00066D0B"/>
    <w:rsid w:val="00070D11"/>
    <w:rsid w:val="00071118"/>
    <w:rsid w:val="00072467"/>
    <w:rsid w:val="00073753"/>
    <w:rsid w:val="0007472F"/>
    <w:rsid w:val="00074826"/>
    <w:rsid w:val="00074D55"/>
    <w:rsid w:val="000750AA"/>
    <w:rsid w:val="000769E8"/>
    <w:rsid w:val="00076AAF"/>
    <w:rsid w:val="00076FAD"/>
    <w:rsid w:val="000772EE"/>
    <w:rsid w:val="00081B06"/>
    <w:rsid w:val="00081CA6"/>
    <w:rsid w:val="00082953"/>
    <w:rsid w:val="00083471"/>
    <w:rsid w:val="00084DAB"/>
    <w:rsid w:val="000850F7"/>
    <w:rsid w:val="000851F3"/>
    <w:rsid w:val="00086443"/>
    <w:rsid w:val="000865D6"/>
    <w:rsid w:val="00090AEE"/>
    <w:rsid w:val="0009187A"/>
    <w:rsid w:val="00091D89"/>
    <w:rsid w:val="00092CA8"/>
    <w:rsid w:val="00095C31"/>
    <w:rsid w:val="000A14EF"/>
    <w:rsid w:val="000A2273"/>
    <w:rsid w:val="000A2F4E"/>
    <w:rsid w:val="000B03F1"/>
    <w:rsid w:val="000B05E2"/>
    <w:rsid w:val="000B1CBD"/>
    <w:rsid w:val="000B36DD"/>
    <w:rsid w:val="000B70BA"/>
    <w:rsid w:val="000C230C"/>
    <w:rsid w:val="000C4157"/>
    <w:rsid w:val="000C5122"/>
    <w:rsid w:val="000C54DF"/>
    <w:rsid w:val="000C599E"/>
    <w:rsid w:val="000C60A7"/>
    <w:rsid w:val="000C6B52"/>
    <w:rsid w:val="000C7B0E"/>
    <w:rsid w:val="000D023F"/>
    <w:rsid w:val="000D0CEF"/>
    <w:rsid w:val="000D18CE"/>
    <w:rsid w:val="000D24CC"/>
    <w:rsid w:val="000D70AA"/>
    <w:rsid w:val="000D7E3D"/>
    <w:rsid w:val="000E07E9"/>
    <w:rsid w:val="000E0E04"/>
    <w:rsid w:val="000E2034"/>
    <w:rsid w:val="000E27A3"/>
    <w:rsid w:val="000E646F"/>
    <w:rsid w:val="000E751E"/>
    <w:rsid w:val="000F0099"/>
    <w:rsid w:val="000F07F6"/>
    <w:rsid w:val="000F12AD"/>
    <w:rsid w:val="000F25EE"/>
    <w:rsid w:val="000F3113"/>
    <w:rsid w:val="000F47B1"/>
    <w:rsid w:val="00101A3B"/>
    <w:rsid w:val="00102E48"/>
    <w:rsid w:val="00103405"/>
    <w:rsid w:val="001038CC"/>
    <w:rsid w:val="00104BB2"/>
    <w:rsid w:val="00105503"/>
    <w:rsid w:val="00111E60"/>
    <w:rsid w:val="00112837"/>
    <w:rsid w:val="001129F8"/>
    <w:rsid w:val="00112B5E"/>
    <w:rsid w:val="00112C49"/>
    <w:rsid w:val="00112D3A"/>
    <w:rsid w:val="00112E07"/>
    <w:rsid w:val="00113F45"/>
    <w:rsid w:val="00115232"/>
    <w:rsid w:val="001156DD"/>
    <w:rsid w:val="00115704"/>
    <w:rsid w:val="001159BE"/>
    <w:rsid w:val="00115DBB"/>
    <w:rsid w:val="00120A47"/>
    <w:rsid w:val="00121097"/>
    <w:rsid w:val="00121132"/>
    <w:rsid w:val="00121D9B"/>
    <w:rsid w:val="00122BE2"/>
    <w:rsid w:val="001262BB"/>
    <w:rsid w:val="00126532"/>
    <w:rsid w:val="00126B13"/>
    <w:rsid w:val="00130907"/>
    <w:rsid w:val="0013160D"/>
    <w:rsid w:val="0013169D"/>
    <w:rsid w:val="00131F97"/>
    <w:rsid w:val="0013324E"/>
    <w:rsid w:val="00141DDB"/>
    <w:rsid w:val="0014376B"/>
    <w:rsid w:val="001440D4"/>
    <w:rsid w:val="001465B9"/>
    <w:rsid w:val="001467A2"/>
    <w:rsid w:val="001467A9"/>
    <w:rsid w:val="00146BBB"/>
    <w:rsid w:val="0015089C"/>
    <w:rsid w:val="00151564"/>
    <w:rsid w:val="00152230"/>
    <w:rsid w:val="0015307E"/>
    <w:rsid w:val="0015382C"/>
    <w:rsid w:val="00154C04"/>
    <w:rsid w:val="00156388"/>
    <w:rsid w:val="0015654A"/>
    <w:rsid w:val="00156B0E"/>
    <w:rsid w:val="001571D8"/>
    <w:rsid w:val="001575CF"/>
    <w:rsid w:val="00160885"/>
    <w:rsid w:val="0016098A"/>
    <w:rsid w:val="0016113A"/>
    <w:rsid w:val="00162582"/>
    <w:rsid w:val="00162D4C"/>
    <w:rsid w:val="001642BE"/>
    <w:rsid w:val="00164C7C"/>
    <w:rsid w:val="00167E32"/>
    <w:rsid w:val="001728DF"/>
    <w:rsid w:val="001729C0"/>
    <w:rsid w:val="0017321D"/>
    <w:rsid w:val="0017373B"/>
    <w:rsid w:val="00176E0F"/>
    <w:rsid w:val="00180EB4"/>
    <w:rsid w:val="00182AE1"/>
    <w:rsid w:val="00183D90"/>
    <w:rsid w:val="00185467"/>
    <w:rsid w:val="00185BDF"/>
    <w:rsid w:val="00185D0E"/>
    <w:rsid w:val="00190D7B"/>
    <w:rsid w:val="00190FD3"/>
    <w:rsid w:val="00191756"/>
    <w:rsid w:val="00195D73"/>
    <w:rsid w:val="0019797B"/>
    <w:rsid w:val="001A2F20"/>
    <w:rsid w:val="001A37A4"/>
    <w:rsid w:val="001A3C61"/>
    <w:rsid w:val="001A3FD5"/>
    <w:rsid w:val="001A4EF6"/>
    <w:rsid w:val="001A5963"/>
    <w:rsid w:val="001A709F"/>
    <w:rsid w:val="001A7420"/>
    <w:rsid w:val="001B1412"/>
    <w:rsid w:val="001B173E"/>
    <w:rsid w:val="001B1AAF"/>
    <w:rsid w:val="001B1D19"/>
    <w:rsid w:val="001B205E"/>
    <w:rsid w:val="001B4CBD"/>
    <w:rsid w:val="001B61CB"/>
    <w:rsid w:val="001B6268"/>
    <w:rsid w:val="001B7C6C"/>
    <w:rsid w:val="001B7EE8"/>
    <w:rsid w:val="001C10DB"/>
    <w:rsid w:val="001C17CE"/>
    <w:rsid w:val="001C197E"/>
    <w:rsid w:val="001C60C4"/>
    <w:rsid w:val="001C7D08"/>
    <w:rsid w:val="001D208F"/>
    <w:rsid w:val="001D2622"/>
    <w:rsid w:val="001D3A4F"/>
    <w:rsid w:val="001D6571"/>
    <w:rsid w:val="001E0D14"/>
    <w:rsid w:val="001E2D48"/>
    <w:rsid w:val="001E352E"/>
    <w:rsid w:val="001E5199"/>
    <w:rsid w:val="001E523A"/>
    <w:rsid w:val="001F1DE3"/>
    <w:rsid w:val="001F47C8"/>
    <w:rsid w:val="001F4C16"/>
    <w:rsid w:val="001F747F"/>
    <w:rsid w:val="001F7E76"/>
    <w:rsid w:val="00200719"/>
    <w:rsid w:val="00207396"/>
    <w:rsid w:val="00211B83"/>
    <w:rsid w:val="00213142"/>
    <w:rsid w:val="00214D00"/>
    <w:rsid w:val="00215EFC"/>
    <w:rsid w:val="00216063"/>
    <w:rsid w:val="002172EA"/>
    <w:rsid w:val="0021776E"/>
    <w:rsid w:val="002177E4"/>
    <w:rsid w:val="00227495"/>
    <w:rsid w:val="0022777E"/>
    <w:rsid w:val="0023141C"/>
    <w:rsid w:val="00231AD4"/>
    <w:rsid w:val="0023384C"/>
    <w:rsid w:val="00234FBE"/>
    <w:rsid w:val="0024311C"/>
    <w:rsid w:val="002446C2"/>
    <w:rsid w:val="00245833"/>
    <w:rsid w:val="00246104"/>
    <w:rsid w:val="002475C8"/>
    <w:rsid w:val="00250CB1"/>
    <w:rsid w:val="00251935"/>
    <w:rsid w:val="00256180"/>
    <w:rsid w:val="0026095B"/>
    <w:rsid w:val="002614E2"/>
    <w:rsid w:val="00261DB6"/>
    <w:rsid w:val="0026480A"/>
    <w:rsid w:val="00266A0D"/>
    <w:rsid w:val="0027217C"/>
    <w:rsid w:val="002724C4"/>
    <w:rsid w:val="002733E4"/>
    <w:rsid w:val="00273EF7"/>
    <w:rsid w:val="00274B12"/>
    <w:rsid w:val="00277104"/>
    <w:rsid w:val="00277886"/>
    <w:rsid w:val="002815F7"/>
    <w:rsid w:val="002841DB"/>
    <w:rsid w:val="00292347"/>
    <w:rsid w:val="00293195"/>
    <w:rsid w:val="00293B79"/>
    <w:rsid w:val="00293DAA"/>
    <w:rsid w:val="00293F57"/>
    <w:rsid w:val="00294144"/>
    <w:rsid w:val="00294A42"/>
    <w:rsid w:val="002951FD"/>
    <w:rsid w:val="002959C9"/>
    <w:rsid w:val="0029752C"/>
    <w:rsid w:val="002A0D70"/>
    <w:rsid w:val="002A146D"/>
    <w:rsid w:val="002A1D49"/>
    <w:rsid w:val="002A6419"/>
    <w:rsid w:val="002A7BFC"/>
    <w:rsid w:val="002B030F"/>
    <w:rsid w:val="002B0855"/>
    <w:rsid w:val="002B21F2"/>
    <w:rsid w:val="002B2F70"/>
    <w:rsid w:val="002B5910"/>
    <w:rsid w:val="002C0982"/>
    <w:rsid w:val="002C2DB9"/>
    <w:rsid w:val="002C3361"/>
    <w:rsid w:val="002C3583"/>
    <w:rsid w:val="002C4C36"/>
    <w:rsid w:val="002C635F"/>
    <w:rsid w:val="002C6D90"/>
    <w:rsid w:val="002D216E"/>
    <w:rsid w:val="002D2A0C"/>
    <w:rsid w:val="002D3F99"/>
    <w:rsid w:val="002D59B3"/>
    <w:rsid w:val="002D6E9D"/>
    <w:rsid w:val="002E0A58"/>
    <w:rsid w:val="002E0D2A"/>
    <w:rsid w:val="002E2B77"/>
    <w:rsid w:val="002F0464"/>
    <w:rsid w:val="002F0B0E"/>
    <w:rsid w:val="002F0EB3"/>
    <w:rsid w:val="002F3BF2"/>
    <w:rsid w:val="0030118C"/>
    <w:rsid w:val="00301330"/>
    <w:rsid w:val="00301E34"/>
    <w:rsid w:val="00301F0E"/>
    <w:rsid w:val="00302DB4"/>
    <w:rsid w:val="00306A8F"/>
    <w:rsid w:val="00307057"/>
    <w:rsid w:val="003079A5"/>
    <w:rsid w:val="00310E67"/>
    <w:rsid w:val="00310ED2"/>
    <w:rsid w:val="00311339"/>
    <w:rsid w:val="00312E0E"/>
    <w:rsid w:val="003150EA"/>
    <w:rsid w:val="00316AB7"/>
    <w:rsid w:val="003227AA"/>
    <w:rsid w:val="0032339C"/>
    <w:rsid w:val="00324F4A"/>
    <w:rsid w:val="003308F7"/>
    <w:rsid w:val="00330EFF"/>
    <w:rsid w:val="00331492"/>
    <w:rsid w:val="0033260F"/>
    <w:rsid w:val="00332E7B"/>
    <w:rsid w:val="003339C5"/>
    <w:rsid w:val="00336B31"/>
    <w:rsid w:val="003400A9"/>
    <w:rsid w:val="003432D8"/>
    <w:rsid w:val="003438C4"/>
    <w:rsid w:val="00344D78"/>
    <w:rsid w:val="003463EC"/>
    <w:rsid w:val="00346449"/>
    <w:rsid w:val="00346779"/>
    <w:rsid w:val="00347D49"/>
    <w:rsid w:val="00347EEA"/>
    <w:rsid w:val="00351230"/>
    <w:rsid w:val="00354AA1"/>
    <w:rsid w:val="00354F95"/>
    <w:rsid w:val="003555C1"/>
    <w:rsid w:val="003602EB"/>
    <w:rsid w:val="00360404"/>
    <w:rsid w:val="00362954"/>
    <w:rsid w:val="003648E8"/>
    <w:rsid w:val="00364B13"/>
    <w:rsid w:val="0037025E"/>
    <w:rsid w:val="00371B13"/>
    <w:rsid w:val="0037362B"/>
    <w:rsid w:val="00374204"/>
    <w:rsid w:val="0037708E"/>
    <w:rsid w:val="0038029B"/>
    <w:rsid w:val="0038237A"/>
    <w:rsid w:val="00384D9B"/>
    <w:rsid w:val="00384F00"/>
    <w:rsid w:val="003864F8"/>
    <w:rsid w:val="003865CE"/>
    <w:rsid w:val="00387466"/>
    <w:rsid w:val="00387719"/>
    <w:rsid w:val="003910B5"/>
    <w:rsid w:val="00391D5C"/>
    <w:rsid w:val="00392065"/>
    <w:rsid w:val="003937FA"/>
    <w:rsid w:val="0039397B"/>
    <w:rsid w:val="00396BEF"/>
    <w:rsid w:val="00397775"/>
    <w:rsid w:val="003A3170"/>
    <w:rsid w:val="003A3604"/>
    <w:rsid w:val="003B094C"/>
    <w:rsid w:val="003B1A4A"/>
    <w:rsid w:val="003B30A4"/>
    <w:rsid w:val="003B345C"/>
    <w:rsid w:val="003B4B7D"/>
    <w:rsid w:val="003B68CF"/>
    <w:rsid w:val="003B6ECB"/>
    <w:rsid w:val="003B7232"/>
    <w:rsid w:val="003C0A16"/>
    <w:rsid w:val="003C0C3E"/>
    <w:rsid w:val="003C0DF5"/>
    <w:rsid w:val="003C1B39"/>
    <w:rsid w:val="003C1B78"/>
    <w:rsid w:val="003C5F77"/>
    <w:rsid w:val="003C65D5"/>
    <w:rsid w:val="003C75A0"/>
    <w:rsid w:val="003D003A"/>
    <w:rsid w:val="003D4B86"/>
    <w:rsid w:val="003D57C0"/>
    <w:rsid w:val="003E00F3"/>
    <w:rsid w:val="003E0512"/>
    <w:rsid w:val="003E2548"/>
    <w:rsid w:val="003E44E5"/>
    <w:rsid w:val="003E59C8"/>
    <w:rsid w:val="003E6642"/>
    <w:rsid w:val="003F0219"/>
    <w:rsid w:val="003F0BBF"/>
    <w:rsid w:val="003F1F09"/>
    <w:rsid w:val="003F2F9D"/>
    <w:rsid w:val="003F30D6"/>
    <w:rsid w:val="003F48D5"/>
    <w:rsid w:val="003F5CF4"/>
    <w:rsid w:val="00400910"/>
    <w:rsid w:val="00400C07"/>
    <w:rsid w:val="004011ED"/>
    <w:rsid w:val="00402D55"/>
    <w:rsid w:val="00404BBF"/>
    <w:rsid w:val="00407615"/>
    <w:rsid w:val="004116F2"/>
    <w:rsid w:val="00417CD2"/>
    <w:rsid w:val="00420A1D"/>
    <w:rsid w:val="00421035"/>
    <w:rsid w:val="004218BC"/>
    <w:rsid w:val="004226BB"/>
    <w:rsid w:val="00423334"/>
    <w:rsid w:val="004239B1"/>
    <w:rsid w:val="004241CD"/>
    <w:rsid w:val="004248B8"/>
    <w:rsid w:val="004258E9"/>
    <w:rsid w:val="00425AC7"/>
    <w:rsid w:val="00425B23"/>
    <w:rsid w:val="00427C7F"/>
    <w:rsid w:val="00427E25"/>
    <w:rsid w:val="0043002D"/>
    <w:rsid w:val="004320FF"/>
    <w:rsid w:val="004353FD"/>
    <w:rsid w:val="00437E7F"/>
    <w:rsid w:val="0044187E"/>
    <w:rsid w:val="004435DB"/>
    <w:rsid w:val="004450DB"/>
    <w:rsid w:val="00446D9E"/>
    <w:rsid w:val="0045061E"/>
    <w:rsid w:val="00453414"/>
    <w:rsid w:val="0045424F"/>
    <w:rsid w:val="0045432E"/>
    <w:rsid w:val="00454430"/>
    <w:rsid w:val="00457042"/>
    <w:rsid w:val="00457BED"/>
    <w:rsid w:val="00461625"/>
    <w:rsid w:val="004767B4"/>
    <w:rsid w:val="00476EA9"/>
    <w:rsid w:val="00477463"/>
    <w:rsid w:val="004776D3"/>
    <w:rsid w:val="00480D36"/>
    <w:rsid w:val="0048215F"/>
    <w:rsid w:val="00483AA7"/>
    <w:rsid w:val="004840D9"/>
    <w:rsid w:val="00484273"/>
    <w:rsid w:val="0049075D"/>
    <w:rsid w:val="00491906"/>
    <w:rsid w:val="00491FBC"/>
    <w:rsid w:val="00493CE5"/>
    <w:rsid w:val="00496C5E"/>
    <w:rsid w:val="00497D50"/>
    <w:rsid w:val="00497DD0"/>
    <w:rsid w:val="004A351F"/>
    <w:rsid w:val="004A4E7E"/>
    <w:rsid w:val="004A619F"/>
    <w:rsid w:val="004A6412"/>
    <w:rsid w:val="004B02AB"/>
    <w:rsid w:val="004B25C1"/>
    <w:rsid w:val="004B2A5A"/>
    <w:rsid w:val="004B3545"/>
    <w:rsid w:val="004B38DB"/>
    <w:rsid w:val="004B53DC"/>
    <w:rsid w:val="004B5494"/>
    <w:rsid w:val="004B5583"/>
    <w:rsid w:val="004B5C78"/>
    <w:rsid w:val="004B73C5"/>
    <w:rsid w:val="004C327D"/>
    <w:rsid w:val="004C3885"/>
    <w:rsid w:val="004C395D"/>
    <w:rsid w:val="004C43C9"/>
    <w:rsid w:val="004C507D"/>
    <w:rsid w:val="004C66E6"/>
    <w:rsid w:val="004C6FDD"/>
    <w:rsid w:val="004D1513"/>
    <w:rsid w:val="004D1E22"/>
    <w:rsid w:val="004D351A"/>
    <w:rsid w:val="004D364A"/>
    <w:rsid w:val="004D431D"/>
    <w:rsid w:val="004D6EE0"/>
    <w:rsid w:val="004E088C"/>
    <w:rsid w:val="004E37C0"/>
    <w:rsid w:val="004E563A"/>
    <w:rsid w:val="004E5F75"/>
    <w:rsid w:val="004E7E47"/>
    <w:rsid w:val="004F011B"/>
    <w:rsid w:val="004F0E49"/>
    <w:rsid w:val="004F1A46"/>
    <w:rsid w:val="004F44C1"/>
    <w:rsid w:val="004F5D18"/>
    <w:rsid w:val="004F5DAF"/>
    <w:rsid w:val="004F69F6"/>
    <w:rsid w:val="004F7CD5"/>
    <w:rsid w:val="004F7EDE"/>
    <w:rsid w:val="005001D2"/>
    <w:rsid w:val="00500328"/>
    <w:rsid w:val="005028FC"/>
    <w:rsid w:val="00505AA3"/>
    <w:rsid w:val="00510830"/>
    <w:rsid w:val="00511C7F"/>
    <w:rsid w:val="005144F4"/>
    <w:rsid w:val="005157D6"/>
    <w:rsid w:val="00515DDC"/>
    <w:rsid w:val="005165B8"/>
    <w:rsid w:val="0051661A"/>
    <w:rsid w:val="00520272"/>
    <w:rsid w:val="0052372E"/>
    <w:rsid w:val="00524739"/>
    <w:rsid w:val="00524AB9"/>
    <w:rsid w:val="00524B02"/>
    <w:rsid w:val="00525B80"/>
    <w:rsid w:val="005266FF"/>
    <w:rsid w:val="00531F0F"/>
    <w:rsid w:val="0053350F"/>
    <w:rsid w:val="00533527"/>
    <w:rsid w:val="00533B39"/>
    <w:rsid w:val="00534B8F"/>
    <w:rsid w:val="005372B7"/>
    <w:rsid w:val="00542977"/>
    <w:rsid w:val="00543CA9"/>
    <w:rsid w:val="005457F3"/>
    <w:rsid w:val="005511FC"/>
    <w:rsid w:val="0055269E"/>
    <w:rsid w:val="00557325"/>
    <w:rsid w:val="005600C3"/>
    <w:rsid w:val="005631B8"/>
    <w:rsid w:val="00563D4C"/>
    <w:rsid w:val="00565AF9"/>
    <w:rsid w:val="00566C86"/>
    <w:rsid w:val="00571560"/>
    <w:rsid w:val="00572590"/>
    <w:rsid w:val="005740C8"/>
    <w:rsid w:val="0057422C"/>
    <w:rsid w:val="00575B5D"/>
    <w:rsid w:val="005777C5"/>
    <w:rsid w:val="00580162"/>
    <w:rsid w:val="00580C59"/>
    <w:rsid w:val="005819DE"/>
    <w:rsid w:val="0058334B"/>
    <w:rsid w:val="0058672D"/>
    <w:rsid w:val="00586F10"/>
    <w:rsid w:val="00590880"/>
    <w:rsid w:val="00591448"/>
    <w:rsid w:val="005929F4"/>
    <w:rsid w:val="00594700"/>
    <w:rsid w:val="005957E9"/>
    <w:rsid w:val="005959F5"/>
    <w:rsid w:val="00597FCA"/>
    <w:rsid w:val="005A1CDF"/>
    <w:rsid w:val="005A4C47"/>
    <w:rsid w:val="005A5327"/>
    <w:rsid w:val="005A6D5A"/>
    <w:rsid w:val="005B394A"/>
    <w:rsid w:val="005B51A1"/>
    <w:rsid w:val="005B51DD"/>
    <w:rsid w:val="005B600D"/>
    <w:rsid w:val="005B6D78"/>
    <w:rsid w:val="005B7A2B"/>
    <w:rsid w:val="005C2C6C"/>
    <w:rsid w:val="005C35E6"/>
    <w:rsid w:val="005C66B5"/>
    <w:rsid w:val="005C6A82"/>
    <w:rsid w:val="005D0D5F"/>
    <w:rsid w:val="005D2995"/>
    <w:rsid w:val="005D49F8"/>
    <w:rsid w:val="005D4AE1"/>
    <w:rsid w:val="005D5E85"/>
    <w:rsid w:val="005D7323"/>
    <w:rsid w:val="005D736B"/>
    <w:rsid w:val="005D7632"/>
    <w:rsid w:val="005D7B38"/>
    <w:rsid w:val="005E0CA6"/>
    <w:rsid w:val="005E17E1"/>
    <w:rsid w:val="005E2132"/>
    <w:rsid w:val="005E3109"/>
    <w:rsid w:val="005E3274"/>
    <w:rsid w:val="005E7E13"/>
    <w:rsid w:val="005F13D7"/>
    <w:rsid w:val="005F3614"/>
    <w:rsid w:val="005F5B0E"/>
    <w:rsid w:val="0060180F"/>
    <w:rsid w:val="00601E78"/>
    <w:rsid w:val="00602914"/>
    <w:rsid w:val="0060382E"/>
    <w:rsid w:val="00603D51"/>
    <w:rsid w:val="0060556C"/>
    <w:rsid w:val="006074E2"/>
    <w:rsid w:val="00607EAA"/>
    <w:rsid w:val="00610213"/>
    <w:rsid w:val="00610C4C"/>
    <w:rsid w:val="00611297"/>
    <w:rsid w:val="00612F05"/>
    <w:rsid w:val="006134B6"/>
    <w:rsid w:val="00617CBA"/>
    <w:rsid w:val="00622FE7"/>
    <w:rsid w:val="00623078"/>
    <w:rsid w:val="00624A05"/>
    <w:rsid w:val="00626CCD"/>
    <w:rsid w:val="006320C4"/>
    <w:rsid w:val="00632E72"/>
    <w:rsid w:val="00633626"/>
    <w:rsid w:val="0063369F"/>
    <w:rsid w:val="0063729A"/>
    <w:rsid w:val="00637791"/>
    <w:rsid w:val="00640712"/>
    <w:rsid w:val="00640F46"/>
    <w:rsid w:val="00642682"/>
    <w:rsid w:val="006427B2"/>
    <w:rsid w:val="00643F9B"/>
    <w:rsid w:val="00645590"/>
    <w:rsid w:val="006514C1"/>
    <w:rsid w:val="00651F0E"/>
    <w:rsid w:val="006524D2"/>
    <w:rsid w:val="00652B46"/>
    <w:rsid w:val="006537CC"/>
    <w:rsid w:val="0065535C"/>
    <w:rsid w:val="00655692"/>
    <w:rsid w:val="00657014"/>
    <w:rsid w:val="006604B9"/>
    <w:rsid w:val="006610B4"/>
    <w:rsid w:val="006626D2"/>
    <w:rsid w:val="006704B9"/>
    <w:rsid w:val="00670F86"/>
    <w:rsid w:val="00671234"/>
    <w:rsid w:val="00672EAB"/>
    <w:rsid w:val="0067395F"/>
    <w:rsid w:val="00674555"/>
    <w:rsid w:val="00675217"/>
    <w:rsid w:val="00675A0E"/>
    <w:rsid w:val="006769D9"/>
    <w:rsid w:val="00676F54"/>
    <w:rsid w:val="00677448"/>
    <w:rsid w:val="0068139C"/>
    <w:rsid w:val="00681E3C"/>
    <w:rsid w:val="00684527"/>
    <w:rsid w:val="00686725"/>
    <w:rsid w:val="00686E7A"/>
    <w:rsid w:val="0069044A"/>
    <w:rsid w:val="0069073F"/>
    <w:rsid w:val="00690871"/>
    <w:rsid w:val="00691305"/>
    <w:rsid w:val="006947E3"/>
    <w:rsid w:val="00696390"/>
    <w:rsid w:val="00696672"/>
    <w:rsid w:val="006A0DFF"/>
    <w:rsid w:val="006A165A"/>
    <w:rsid w:val="006B2571"/>
    <w:rsid w:val="006B2784"/>
    <w:rsid w:val="006B282B"/>
    <w:rsid w:val="006B356E"/>
    <w:rsid w:val="006B7B22"/>
    <w:rsid w:val="006B7B9C"/>
    <w:rsid w:val="006C005F"/>
    <w:rsid w:val="006C214F"/>
    <w:rsid w:val="006C3BEE"/>
    <w:rsid w:val="006C52C6"/>
    <w:rsid w:val="006C77DC"/>
    <w:rsid w:val="006D1327"/>
    <w:rsid w:val="006D14A7"/>
    <w:rsid w:val="006D3216"/>
    <w:rsid w:val="006D57E1"/>
    <w:rsid w:val="006D5C24"/>
    <w:rsid w:val="006D5DEB"/>
    <w:rsid w:val="006E2460"/>
    <w:rsid w:val="006E29C5"/>
    <w:rsid w:val="006E3C31"/>
    <w:rsid w:val="006E485C"/>
    <w:rsid w:val="006E5A10"/>
    <w:rsid w:val="006E5A18"/>
    <w:rsid w:val="006E5EFA"/>
    <w:rsid w:val="006E6F43"/>
    <w:rsid w:val="006F1743"/>
    <w:rsid w:val="006F2567"/>
    <w:rsid w:val="006F2EE9"/>
    <w:rsid w:val="006F47C0"/>
    <w:rsid w:val="006F4DDC"/>
    <w:rsid w:val="006F5807"/>
    <w:rsid w:val="006F7D99"/>
    <w:rsid w:val="0070001A"/>
    <w:rsid w:val="00704243"/>
    <w:rsid w:val="00704870"/>
    <w:rsid w:val="00707891"/>
    <w:rsid w:val="00712592"/>
    <w:rsid w:val="0071482D"/>
    <w:rsid w:val="00714F88"/>
    <w:rsid w:val="0071757B"/>
    <w:rsid w:val="007176B4"/>
    <w:rsid w:val="00721ECC"/>
    <w:rsid w:val="007238AC"/>
    <w:rsid w:val="00724277"/>
    <w:rsid w:val="00727879"/>
    <w:rsid w:val="00727B84"/>
    <w:rsid w:val="00727BCB"/>
    <w:rsid w:val="00730372"/>
    <w:rsid w:val="007313C1"/>
    <w:rsid w:val="007329F5"/>
    <w:rsid w:val="00732FE8"/>
    <w:rsid w:val="00733D16"/>
    <w:rsid w:val="0073447C"/>
    <w:rsid w:val="00734564"/>
    <w:rsid w:val="0073583D"/>
    <w:rsid w:val="007369B1"/>
    <w:rsid w:val="00737401"/>
    <w:rsid w:val="0074050C"/>
    <w:rsid w:val="007414D6"/>
    <w:rsid w:val="00741EA6"/>
    <w:rsid w:val="00745FD5"/>
    <w:rsid w:val="00751A08"/>
    <w:rsid w:val="00751E75"/>
    <w:rsid w:val="0075300A"/>
    <w:rsid w:val="00756BB1"/>
    <w:rsid w:val="00761763"/>
    <w:rsid w:val="007629E2"/>
    <w:rsid w:val="00764B80"/>
    <w:rsid w:val="00765660"/>
    <w:rsid w:val="007659CC"/>
    <w:rsid w:val="0076625A"/>
    <w:rsid w:val="0077175A"/>
    <w:rsid w:val="00772A82"/>
    <w:rsid w:val="007736EF"/>
    <w:rsid w:val="00773EEB"/>
    <w:rsid w:val="007772EA"/>
    <w:rsid w:val="0078217B"/>
    <w:rsid w:val="00782185"/>
    <w:rsid w:val="007835FD"/>
    <w:rsid w:val="00783C7F"/>
    <w:rsid w:val="00784C1A"/>
    <w:rsid w:val="00785074"/>
    <w:rsid w:val="00787798"/>
    <w:rsid w:val="0079000C"/>
    <w:rsid w:val="00790068"/>
    <w:rsid w:val="007906DE"/>
    <w:rsid w:val="00792EC8"/>
    <w:rsid w:val="007A27E5"/>
    <w:rsid w:val="007A314E"/>
    <w:rsid w:val="007A5741"/>
    <w:rsid w:val="007A6111"/>
    <w:rsid w:val="007A6F0C"/>
    <w:rsid w:val="007B2005"/>
    <w:rsid w:val="007B3567"/>
    <w:rsid w:val="007C0447"/>
    <w:rsid w:val="007C4696"/>
    <w:rsid w:val="007D0469"/>
    <w:rsid w:val="007D0D78"/>
    <w:rsid w:val="007D5C40"/>
    <w:rsid w:val="007D71B8"/>
    <w:rsid w:val="007D7F62"/>
    <w:rsid w:val="007E385B"/>
    <w:rsid w:val="007E6DE8"/>
    <w:rsid w:val="007F02A6"/>
    <w:rsid w:val="007F02AE"/>
    <w:rsid w:val="007F0D58"/>
    <w:rsid w:val="007F3B90"/>
    <w:rsid w:val="007F50D8"/>
    <w:rsid w:val="007F57E0"/>
    <w:rsid w:val="007F71BD"/>
    <w:rsid w:val="00801963"/>
    <w:rsid w:val="00806967"/>
    <w:rsid w:val="00807C77"/>
    <w:rsid w:val="0081004D"/>
    <w:rsid w:val="00810AC0"/>
    <w:rsid w:val="008150F5"/>
    <w:rsid w:val="008165FA"/>
    <w:rsid w:val="00820C1D"/>
    <w:rsid w:val="00823531"/>
    <w:rsid w:val="00824525"/>
    <w:rsid w:val="00824B7C"/>
    <w:rsid w:val="0082590D"/>
    <w:rsid w:val="00826A54"/>
    <w:rsid w:val="00826B1C"/>
    <w:rsid w:val="00826B51"/>
    <w:rsid w:val="0082703D"/>
    <w:rsid w:val="00827F6A"/>
    <w:rsid w:val="00833433"/>
    <w:rsid w:val="00834246"/>
    <w:rsid w:val="008342C1"/>
    <w:rsid w:val="00834699"/>
    <w:rsid w:val="008367A4"/>
    <w:rsid w:val="00840D67"/>
    <w:rsid w:val="00840DD1"/>
    <w:rsid w:val="0084161F"/>
    <w:rsid w:val="00841865"/>
    <w:rsid w:val="0084393E"/>
    <w:rsid w:val="00843AF3"/>
    <w:rsid w:val="00844004"/>
    <w:rsid w:val="0084610B"/>
    <w:rsid w:val="0084628F"/>
    <w:rsid w:val="00846D93"/>
    <w:rsid w:val="00847C4A"/>
    <w:rsid w:val="008500AC"/>
    <w:rsid w:val="00850D4D"/>
    <w:rsid w:val="00851FDD"/>
    <w:rsid w:val="00855BC0"/>
    <w:rsid w:val="008567C4"/>
    <w:rsid w:val="008572B5"/>
    <w:rsid w:val="00865729"/>
    <w:rsid w:val="008658A5"/>
    <w:rsid w:val="00865EAE"/>
    <w:rsid w:val="00866988"/>
    <w:rsid w:val="00866CD3"/>
    <w:rsid w:val="0086702B"/>
    <w:rsid w:val="00867766"/>
    <w:rsid w:val="0087002A"/>
    <w:rsid w:val="00870693"/>
    <w:rsid w:val="0087245C"/>
    <w:rsid w:val="00872FE2"/>
    <w:rsid w:val="008731BE"/>
    <w:rsid w:val="008736DA"/>
    <w:rsid w:val="00874D87"/>
    <w:rsid w:val="00876876"/>
    <w:rsid w:val="00876CC5"/>
    <w:rsid w:val="00880916"/>
    <w:rsid w:val="008830A5"/>
    <w:rsid w:val="00883E79"/>
    <w:rsid w:val="0088610F"/>
    <w:rsid w:val="008878D0"/>
    <w:rsid w:val="008956A4"/>
    <w:rsid w:val="008A003A"/>
    <w:rsid w:val="008A0277"/>
    <w:rsid w:val="008A1FE6"/>
    <w:rsid w:val="008A4521"/>
    <w:rsid w:val="008A605B"/>
    <w:rsid w:val="008A7474"/>
    <w:rsid w:val="008A7E9E"/>
    <w:rsid w:val="008B0F93"/>
    <w:rsid w:val="008B339C"/>
    <w:rsid w:val="008B342A"/>
    <w:rsid w:val="008B34D4"/>
    <w:rsid w:val="008B4ABE"/>
    <w:rsid w:val="008B6EA1"/>
    <w:rsid w:val="008C18FE"/>
    <w:rsid w:val="008C1B04"/>
    <w:rsid w:val="008C3313"/>
    <w:rsid w:val="008C60F9"/>
    <w:rsid w:val="008C6260"/>
    <w:rsid w:val="008C6660"/>
    <w:rsid w:val="008C6CAC"/>
    <w:rsid w:val="008C73B7"/>
    <w:rsid w:val="008E166F"/>
    <w:rsid w:val="008E3001"/>
    <w:rsid w:val="008E3445"/>
    <w:rsid w:val="008E34B1"/>
    <w:rsid w:val="008E44F2"/>
    <w:rsid w:val="008E4C32"/>
    <w:rsid w:val="008E640E"/>
    <w:rsid w:val="008F0312"/>
    <w:rsid w:val="008F213B"/>
    <w:rsid w:val="008F4054"/>
    <w:rsid w:val="008F451A"/>
    <w:rsid w:val="00900888"/>
    <w:rsid w:val="00900CA9"/>
    <w:rsid w:val="00903190"/>
    <w:rsid w:val="0090321B"/>
    <w:rsid w:val="00903F72"/>
    <w:rsid w:val="00905FA5"/>
    <w:rsid w:val="00907D49"/>
    <w:rsid w:val="009118B8"/>
    <w:rsid w:val="00911E88"/>
    <w:rsid w:val="00912813"/>
    <w:rsid w:val="00914145"/>
    <w:rsid w:val="00914EBD"/>
    <w:rsid w:val="009166F9"/>
    <w:rsid w:val="00917612"/>
    <w:rsid w:val="00920AE8"/>
    <w:rsid w:val="0092115B"/>
    <w:rsid w:val="0092121B"/>
    <w:rsid w:val="00921C11"/>
    <w:rsid w:val="0092283D"/>
    <w:rsid w:val="009246DB"/>
    <w:rsid w:val="00925BB9"/>
    <w:rsid w:val="00930A87"/>
    <w:rsid w:val="00930F4B"/>
    <w:rsid w:val="00932355"/>
    <w:rsid w:val="0093327C"/>
    <w:rsid w:val="0093345B"/>
    <w:rsid w:val="00934345"/>
    <w:rsid w:val="0094209C"/>
    <w:rsid w:val="009455B4"/>
    <w:rsid w:val="00946DAD"/>
    <w:rsid w:val="00951131"/>
    <w:rsid w:val="009542EC"/>
    <w:rsid w:val="00955DE5"/>
    <w:rsid w:val="00956365"/>
    <w:rsid w:val="00956A3D"/>
    <w:rsid w:val="00957C96"/>
    <w:rsid w:val="00957F79"/>
    <w:rsid w:val="00961A0D"/>
    <w:rsid w:val="00963187"/>
    <w:rsid w:val="00963A8D"/>
    <w:rsid w:val="00964239"/>
    <w:rsid w:val="00964D68"/>
    <w:rsid w:val="009666BB"/>
    <w:rsid w:val="00970FA6"/>
    <w:rsid w:val="0097160B"/>
    <w:rsid w:val="00971F0A"/>
    <w:rsid w:val="00971F8A"/>
    <w:rsid w:val="009729A9"/>
    <w:rsid w:val="00973D4C"/>
    <w:rsid w:val="0097488F"/>
    <w:rsid w:val="00974EA0"/>
    <w:rsid w:val="00976D61"/>
    <w:rsid w:val="009817B8"/>
    <w:rsid w:val="00983303"/>
    <w:rsid w:val="00983476"/>
    <w:rsid w:val="00984137"/>
    <w:rsid w:val="009844E5"/>
    <w:rsid w:val="00984D05"/>
    <w:rsid w:val="00987D2B"/>
    <w:rsid w:val="00990906"/>
    <w:rsid w:val="00993755"/>
    <w:rsid w:val="009940D0"/>
    <w:rsid w:val="0099445C"/>
    <w:rsid w:val="00994912"/>
    <w:rsid w:val="00994962"/>
    <w:rsid w:val="00995E21"/>
    <w:rsid w:val="00996D9A"/>
    <w:rsid w:val="009A0397"/>
    <w:rsid w:val="009A08E9"/>
    <w:rsid w:val="009A2846"/>
    <w:rsid w:val="009A331F"/>
    <w:rsid w:val="009A3776"/>
    <w:rsid w:val="009A47ED"/>
    <w:rsid w:val="009A5328"/>
    <w:rsid w:val="009A53E7"/>
    <w:rsid w:val="009A5DE0"/>
    <w:rsid w:val="009A6786"/>
    <w:rsid w:val="009A6F0D"/>
    <w:rsid w:val="009A7649"/>
    <w:rsid w:val="009B1810"/>
    <w:rsid w:val="009B2245"/>
    <w:rsid w:val="009B23BD"/>
    <w:rsid w:val="009B28DF"/>
    <w:rsid w:val="009B51AA"/>
    <w:rsid w:val="009B6018"/>
    <w:rsid w:val="009B692D"/>
    <w:rsid w:val="009C08A5"/>
    <w:rsid w:val="009C0E3D"/>
    <w:rsid w:val="009C114D"/>
    <w:rsid w:val="009C5FAF"/>
    <w:rsid w:val="009C62D2"/>
    <w:rsid w:val="009D1699"/>
    <w:rsid w:val="009D322C"/>
    <w:rsid w:val="009D3F5B"/>
    <w:rsid w:val="009E1FFA"/>
    <w:rsid w:val="009E3101"/>
    <w:rsid w:val="009E5281"/>
    <w:rsid w:val="009E5E91"/>
    <w:rsid w:val="009F0B4D"/>
    <w:rsid w:val="009F25A7"/>
    <w:rsid w:val="009F4804"/>
    <w:rsid w:val="009F666C"/>
    <w:rsid w:val="009F6710"/>
    <w:rsid w:val="009F6B50"/>
    <w:rsid w:val="00A00F21"/>
    <w:rsid w:val="00A012DF"/>
    <w:rsid w:val="00A0407C"/>
    <w:rsid w:val="00A06710"/>
    <w:rsid w:val="00A070E0"/>
    <w:rsid w:val="00A0746B"/>
    <w:rsid w:val="00A10164"/>
    <w:rsid w:val="00A106FB"/>
    <w:rsid w:val="00A13485"/>
    <w:rsid w:val="00A152E0"/>
    <w:rsid w:val="00A1686A"/>
    <w:rsid w:val="00A16AD0"/>
    <w:rsid w:val="00A17299"/>
    <w:rsid w:val="00A17797"/>
    <w:rsid w:val="00A179BA"/>
    <w:rsid w:val="00A20167"/>
    <w:rsid w:val="00A20376"/>
    <w:rsid w:val="00A20C50"/>
    <w:rsid w:val="00A221FB"/>
    <w:rsid w:val="00A2467B"/>
    <w:rsid w:val="00A24983"/>
    <w:rsid w:val="00A31C02"/>
    <w:rsid w:val="00A323D4"/>
    <w:rsid w:val="00A33A91"/>
    <w:rsid w:val="00A34560"/>
    <w:rsid w:val="00A35E2E"/>
    <w:rsid w:val="00A37944"/>
    <w:rsid w:val="00A43EC7"/>
    <w:rsid w:val="00A44FE1"/>
    <w:rsid w:val="00A45CC0"/>
    <w:rsid w:val="00A46E8D"/>
    <w:rsid w:val="00A51BC2"/>
    <w:rsid w:val="00A53A33"/>
    <w:rsid w:val="00A61DE0"/>
    <w:rsid w:val="00A63D91"/>
    <w:rsid w:val="00A64CC2"/>
    <w:rsid w:val="00A6516C"/>
    <w:rsid w:val="00A65C8B"/>
    <w:rsid w:val="00A67290"/>
    <w:rsid w:val="00A70D53"/>
    <w:rsid w:val="00A73583"/>
    <w:rsid w:val="00A73EA6"/>
    <w:rsid w:val="00A75E79"/>
    <w:rsid w:val="00A77C52"/>
    <w:rsid w:val="00A81873"/>
    <w:rsid w:val="00A855B2"/>
    <w:rsid w:val="00A857D2"/>
    <w:rsid w:val="00A85EF1"/>
    <w:rsid w:val="00A8648F"/>
    <w:rsid w:val="00A917D6"/>
    <w:rsid w:val="00A9203C"/>
    <w:rsid w:val="00A92276"/>
    <w:rsid w:val="00A928BE"/>
    <w:rsid w:val="00A942D9"/>
    <w:rsid w:val="00A979BD"/>
    <w:rsid w:val="00AA035F"/>
    <w:rsid w:val="00AA0F85"/>
    <w:rsid w:val="00AA59E8"/>
    <w:rsid w:val="00AA5C34"/>
    <w:rsid w:val="00AA7D0B"/>
    <w:rsid w:val="00AB5DD0"/>
    <w:rsid w:val="00AB71BB"/>
    <w:rsid w:val="00AB7603"/>
    <w:rsid w:val="00AB76E0"/>
    <w:rsid w:val="00AC142B"/>
    <w:rsid w:val="00AC1A13"/>
    <w:rsid w:val="00AC1D63"/>
    <w:rsid w:val="00AC36D2"/>
    <w:rsid w:val="00AC3B07"/>
    <w:rsid w:val="00AC44DF"/>
    <w:rsid w:val="00AC514C"/>
    <w:rsid w:val="00AC58A8"/>
    <w:rsid w:val="00AC6BB4"/>
    <w:rsid w:val="00AD0836"/>
    <w:rsid w:val="00AD17D6"/>
    <w:rsid w:val="00AD2B25"/>
    <w:rsid w:val="00AD62F6"/>
    <w:rsid w:val="00AE02F9"/>
    <w:rsid w:val="00AE0777"/>
    <w:rsid w:val="00AE11A9"/>
    <w:rsid w:val="00AE1BC4"/>
    <w:rsid w:val="00AE1E2A"/>
    <w:rsid w:val="00AE2705"/>
    <w:rsid w:val="00AE36BE"/>
    <w:rsid w:val="00AE5B10"/>
    <w:rsid w:val="00AE6550"/>
    <w:rsid w:val="00AF2F98"/>
    <w:rsid w:val="00AF66AF"/>
    <w:rsid w:val="00B01FCE"/>
    <w:rsid w:val="00B032D6"/>
    <w:rsid w:val="00B038B0"/>
    <w:rsid w:val="00B03DB2"/>
    <w:rsid w:val="00B03FF8"/>
    <w:rsid w:val="00B07138"/>
    <w:rsid w:val="00B105F9"/>
    <w:rsid w:val="00B11AE4"/>
    <w:rsid w:val="00B11F32"/>
    <w:rsid w:val="00B14FC4"/>
    <w:rsid w:val="00B178F8"/>
    <w:rsid w:val="00B20250"/>
    <w:rsid w:val="00B217BD"/>
    <w:rsid w:val="00B21E05"/>
    <w:rsid w:val="00B227A7"/>
    <w:rsid w:val="00B2512F"/>
    <w:rsid w:val="00B263A6"/>
    <w:rsid w:val="00B30459"/>
    <w:rsid w:val="00B30BBA"/>
    <w:rsid w:val="00B32AC0"/>
    <w:rsid w:val="00B33B61"/>
    <w:rsid w:val="00B34BBD"/>
    <w:rsid w:val="00B3668B"/>
    <w:rsid w:val="00B40944"/>
    <w:rsid w:val="00B418CE"/>
    <w:rsid w:val="00B459B8"/>
    <w:rsid w:val="00B45A3E"/>
    <w:rsid w:val="00B5086A"/>
    <w:rsid w:val="00B51276"/>
    <w:rsid w:val="00B51428"/>
    <w:rsid w:val="00B51E56"/>
    <w:rsid w:val="00B52B04"/>
    <w:rsid w:val="00B537FC"/>
    <w:rsid w:val="00B5792A"/>
    <w:rsid w:val="00B61475"/>
    <w:rsid w:val="00B61AA4"/>
    <w:rsid w:val="00B62A2A"/>
    <w:rsid w:val="00B631D1"/>
    <w:rsid w:val="00B65C9B"/>
    <w:rsid w:val="00B6704F"/>
    <w:rsid w:val="00B675F2"/>
    <w:rsid w:val="00B7184E"/>
    <w:rsid w:val="00B72F95"/>
    <w:rsid w:val="00B7345A"/>
    <w:rsid w:val="00B73ADF"/>
    <w:rsid w:val="00B747EA"/>
    <w:rsid w:val="00B80DD5"/>
    <w:rsid w:val="00B8193B"/>
    <w:rsid w:val="00B81A02"/>
    <w:rsid w:val="00B82045"/>
    <w:rsid w:val="00B82200"/>
    <w:rsid w:val="00B83D25"/>
    <w:rsid w:val="00B84FB9"/>
    <w:rsid w:val="00B85BA3"/>
    <w:rsid w:val="00B867A7"/>
    <w:rsid w:val="00B927F0"/>
    <w:rsid w:val="00B94A08"/>
    <w:rsid w:val="00B96BBD"/>
    <w:rsid w:val="00BA10DC"/>
    <w:rsid w:val="00BA4015"/>
    <w:rsid w:val="00BA609D"/>
    <w:rsid w:val="00BA62C1"/>
    <w:rsid w:val="00BB20DB"/>
    <w:rsid w:val="00BB290D"/>
    <w:rsid w:val="00BB2C8A"/>
    <w:rsid w:val="00BB3255"/>
    <w:rsid w:val="00BB3D54"/>
    <w:rsid w:val="00BB49A1"/>
    <w:rsid w:val="00BB5D8D"/>
    <w:rsid w:val="00BB779D"/>
    <w:rsid w:val="00BC37F0"/>
    <w:rsid w:val="00BC4549"/>
    <w:rsid w:val="00BC5755"/>
    <w:rsid w:val="00BC5D2E"/>
    <w:rsid w:val="00BC5E92"/>
    <w:rsid w:val="00BC726E"/>
    <w:rsid w:val="00BC7777"/>
    <w:rsid w:val="00BD23A4"/>
    <w:rsid w:val="00BD30D8"/>
    <w:rsid w:val="00BD4914"/>
    <w:rsid w:val="00BD49B0"/>
    <w:rsid w:val="00BD518F"/>
    <w:rsid w:val="00BD6D3F"/>
    <w:rsid w:val="00BE00DB"/>
    <w:rsid w:val="00BE0513"/>
    <w:rsid w:val="00BE5CDF"/>
    <w:rsid w:val="00BF0236"/>
    <w:rsid w:val="00BF43A0"/>
    <w:rsid w:val="00BF485C"/>
    <w:rsid w:val="00BF5194"/>
    <w:rsid w:val="00BF5AF9"/>
    <w:rsid w:val="00BF71EB"/>
    <w:rsid w:val="00C01B14"/>
    <w:rsid w:val="00C0317B"/>
    <w:rsid w:val="00C03267"/>
    <w:rsid w:val="00C05684"/>
    <w:rsid w:val="00C10469"/>
    <w:rsid w:val="00C10D08"/>
    <w:rsid w:val="00C11296"/>
    <w:rsid w:val="00C1201C"/>
    <w:rsid w:val="00C12105"/>
    <w:rsid w:val="00C12490"/>
    <w:rsid w:val="00C16283"/>
    <w:rsid w:val="00C2016A"/>
    <w:rsid w:val="00C20AB5"/>
    <w:rsid w:val="00C21CB1"/>
    <w:rsid w:val="00C24F83"/>
    <w:rsid w:val="00C27441"/>
    <w:rsid w:val="00C30303"/>
    <w:rsid w:val="00C311B0"/>
    <w:rsid w:val="00C31520"/>
    <w:rsid w:val="00C3153D"/>
    <w:rsid w:val="00C318F3"/>
    <w:rsid w:val="00C33210"/>
    <w:rsid w:val="00C34D53"/>
    <w:rsid w:val="00C36088"/>
    <w:rsid w:val="00C40E58"/>
    <w:rsid w:val="00C41DA8"/>
    <w:rsid w:val="00C423D2"/>
    <w:rsid w:val="00C43690"/>
    <w:rsid w:val="00C44394"/>
    <w:rsid w:val="00C444F6"/>
    <w:rsid w:val="00C5506F"/>
    <w:rsid w:val="00C5534D"/>
    <w:rsid w:val="00C61FF7"/>
    <w:rsid w:val="00C64AD0"/>
    <w:rsid w:val="00C654C8"/>
    <w:rsid w:val="00C67F10"/>
    <w:rsid w:val="00C67F2E"/>
    <w:rsid w:val="00C7126B"/>
    <w:rsid w:val="00C712B3"/>
    <w:rsid w:val="00C7228B"/>
    <w:rsid w:val="00C73097"/>
    <w:rsid w:val="00C75664"/>
    <w:rsid w:val="00C760B3"/>
    <w:rsid w:val="00C77197"/>
    <w:rsid w:val="00C81642"/>
    <w:rsid w:val="00C817C8"/>
    <w:rsid w:val="00C81A98"/>
    <w:rsid w:val="00C82911"/>
    <w:rsid w:val="00C82EB2"/>
    <w:rsid w:val="00C86FE2"/>
    <w:rsid w:val="00C92588"/>
    <w:rsid w:val="00C94229"/>
    <w:rsid w:val="00C96778"/>
    <w:rsid w:val="00CA1655"/>
    <w:rsid w:val="00CA1CFD"/>
    <w:rsid w:val="00CA3233"/>
    <w:rsid w:val="00CA35CC"/>
    <w:rsid w:val="00CA44C6"/>
    <w:rsid w:val="00CA53B6"/>
    <w:rsid w:val="00CA53C3"/>
    <w:rsid w:val="00CA553E"/>
    <w:rsid w:val="00CA5A47"/>
    <w:rsid w:val="00CA5B0C"/>
    <w:rsid w:val="00CA6BE3"/>
    <w:rsid w:val="00CB1B24"/>
    <w:rsid w:val="00CB37AC"/>
    <w:rsid w:val="00CB615C"/>
    <w:rsid w:val="00CB700D"/>
    <w:rsid w:val="00CB755E"/>
    <w:rsid w:val="00CB7A52"/>
    <w:rsid w:val="00CC17E4"/>
    <w:rsid w:val="00CC6016"/>
    <w:rsid w:val="00CC6AE2"/>
    <w:rsid w:val="00CC7012"/>
    <w:rsid w:val="00CC743A"/>
    <w:rsid w:val="00CD0525"/>
    <w:rsid w:val="00CD1742"/>
    <w:rsid w:val="00CD2658"/>
    <w:rsid w:val="00CD4FE0"/>
    <w:rsid w:val="00CD5C4A"/>
    <w:rsid w:val="00CD6197"/>
    <w:rsid w:val="00CD648C"/>
    <w:rsid w:val="00CD69AA"/>
    <w:rsid w:val="00CE0292"/>
    <w:rsid w:val="00CE0FB2"/>
    <w:rsid w:val="00CE464C"/>
    <w:rsid w:val="00CE47A4"/>
    <w:rsid w:val="00CE64B3"/>
    <w:rsid w:val="00CE782A"/>
    <w:rsid w:val="00CF1182"/>
    <w:rsid w:val="00CF5088"/>
    <w:rsid w:val="00CF553E"/>
    <w:rsid w:val="00CF669C"/>
    <w:rsid w:val="00D01DF8"/>
    <w:rsid w:val="00D0314C"/>
    <w:rsid w:val="00D033B6"/>
    <w:rsid w:val="00D04001"/>
    <w:rsid w:val="00D045A5"/>
    <w:rsid w:val="00D071F6"/>
    <w:rsid w:val="00D11E10"/>
    <w:rsid w:val="00D14277"/>
    <w:rsid w:val="00D1439F"/>
    <w:rsid w:val="00D15559"/>
    <w:rsid w:val="00D16A17"/>
    <w:rsid w:val="00D171BE"/>
    <w:rsid w:val="00D234D4"/>
    <w:rsid w:val="00D235C9"/>
    <w:rsid w:val="00D25903"/>
    <w:rsid w:val="00D26FF0"/>
    <w:rsid w:val="00D276DB"/>
    <w:rsid w:val="00D27DE3"/>
    <w:rsid w:val="00D319AB"/>
    <w:rsid w:val="00D33E66"/>
    <w:rsid w:val="00D35AB8"/>
    <w:rsid w:val="00D40954"/>
    <w:rsid w:val="00D44A9C"/>
    <w:rsid w:val="00D44FEA"/>
    <w:rsid w:val="00D466FE"/>
    <w:rsid w:val="00D469DC"/>
    <w:rsid w:val="00D47FDB"/>
    <w:rsid w:val="00D51CF6"/>
    <w:rsid w:val="00D5211E"/>
    <w:rsid w:val="00D52CFB"/>
    <w:rsid w:val="00D54326"/>
    <w:rsid w:val="00D55E41"/>
    <w:rsid w:val="00D57422"/>
    <w:rsid w:val="00D60387"/>
    <w:rsid w:val="00D61D78"/>
    <w:rsid w:val="00D63984"/>
    <w:rsid w:val="00D64286"/>
    <w:rsid w:val="00D67F4C"/>
    <w:rsid w:val="00D70F9B"/>
    <w:rsid w:val="00D720CB"/>
    <w:rsid w:val="00D7250E"/>
    <w:rsid w:val="00D730D4"/>
    <w:rsid w:val="00D759F5"/>
    <w:rsid w:val="00D7693A"/>
    <w:rsid w:val="00D817C7"/>
    <w:rsid w:val="00D856BA"/>
    <w:rsid w:val="00D85AAA"/>
    <w:rsid w:val="00D86EFC"/>
    <w:rsid w:val="00D87AB6"/>
    <w:rsid w:val="00D90C55"/>
    <w:rsid w:val="00D97425"/>
    <w:rsid w:val="00DA012C"/>
    <w:rsid w:val="00DA067D"/>
    <w:rsid w:val="00DA0AC4"/>
    <w:rsid w:val="00DA108D"/>
    <w:rsid w:val="00DA28C3"/>
    <w:rsid w:val="00DA4FFD"/>
    <w:rsid w:val="00DA7B88"/>
    <w:rsid w:val="00DB10E6"/>
    <w:rsid w:val="00DB1EB6"/>
    <w:rsid w:val="00DB2462"/>
    <w:rsid w:val="00DB3AA2"/>
    <w:rsid w:val="00DB44C9"/>
    <w:rsid w:val="00DB4DE8"/>
    <w:rsid w:val="00DB58BD"/>
    <w:rsid w:val="00DB7E32"/>
    <w:rsid w:val="00DC0FE7"/>
    <w:rsid w:val="00DC114C"/>
    <w:rsid w:val="00DC14AE"/>
    <w:rsid w:val="00DC1B58"/>
    <w:rsid w:val="00DC5DFC"/>
    <w:rsid w:val="00DC605B"/>
    <w:rsid w:val="00DC6D33"/>
    <w:rsid w:val="00DC7559"/>
    <w:rsid w:val="00DD0034"/>
    <w:rsid w:val="00DD15B1"/>
    <w:rsid w:val="00DD2704"/>
    <w:rsid w:val="00DD2DF3"/>
    <w:rsid w:val="00DD2FD2"/>
    <w:rsid w:val="00DD37F5"/>
    <w:rsid w:val="00DD40EE"/>
    <w:rsid w:val="00DD6739"/>
    <w:rsid w:val="00DD6A89"/>
    <w:rsid w:val="00DD773F"/>
    <w:rsid w:val="00DE08D3"/>
    <w:rsid w:val="00DE58FA"/>
    <w:rsid w:val="00DF0624"/>
    <w:rsid w:val="00DF0C5A"/>
    <w:rsid w:val="00DF0F11"/>
    <w:rsid w:val="00DF32F5"/>
    <w:rsid w:val="00DF3F06"/>
    <w:rsid w:val="00DF4CB1"/>
    <w:rsid w:val="00DF5BDA"/>
    <w:rsid w:val="00E01260"/>
    <w:rsid w:val="00E0233D"/>
    <w:rsid w:val="00E02609"/>
    <w:rsid w:val="00E03B37"/>
    <w:rsid w:val="00E0504A"/>
    <w:rsid w:val="00E0652B"/>
    <w:rsid w:val="00E06D08"/>
    <w:rsid w:val="00E07985"/>
    <w:rsid w:val="00E1231D"/>
    <w:rsid w:val="00E12B16"/>
    <w:rsid w:val="00E1340D"/>
    <w:rsid w:val="00E1620E"/>
    <w:rsid w:val="00E162BD"/>
    <w:rsid w:val="00E16428"/>
    <w:rsid w:val="00E16901"/>
    <w:rsid w:val="00E17100"/>
    <w:rsid w:val="00E17CD5"/>
    <w:rsid w:val="00E17F48"/>
    <w:rsid w:val="00E20288"/>
    <w:rsid w:val="00E2091A"/>
    <w:rsid w:val="00E21EC5"/>
    <w:rsid w:val="00E2283A"/>
    <w:rsid w:val="00E246D2"/>
    <w:rsid w:val="00E247B5"/>
    <w:rsid w:val="00E24BC0"/>
    <w:rsid w:val="00E262CC"/>
    <w:rsid w:val="00E333B8"/>
    <w:rsid w:val="00E34854"/>
    <w:rsid w:val="00E37B05"/>
    <w:rsid w:val="00E415E8"/>
    <w:rsid w:val="00E42DDB"/>
    <w:rsid w:val="00E44138"/>
    <w:rsid w:val="00E4758C"/>
    <w:rsid w:val="00E53DD9"/>
    <w:rsid w:val="00E56E12"/>
    <w:rsid w:val="00E57B52"/>
    <w:rsid w:val="00E6127A"/>
    <w:rsid w:val="00E71719"/>
    <w:rsid w:val="00E71BE7"/>
    <w:rsid w:val="00E73638"/>
    <w:rsid w:val="00E742EC"/>
    <w:rsid w:val="00E74D2F"/>
    <w:rsid w:val="00E752E9"/>
    <w:rsid w:val="00E75626"/>
    <w:rsid w:val="00E758F5"/>
    <w:rsid w:val="00E772B5"/>
    <w:rsid w:val="00E80958"/>
    <w:rsid w:val="00E80E00"/>
    <w:rsid w:val="00E81735"/>
    <w:rsid w:val="00E81A2A"/>
    <w:rsid w:val="00E8590F"/>
    <w:rsid w:val="00E87A9D"/>
    <w:rsid w:val="00E87CCD"/>
    <w:rsid w:val="00E90034"/>
    <w:rsid w:val="00E91333"/>
    <w:rsid w:val="00E92B69"/>
    <w:rsid w:val="00E93446"/>
    <w:rsid w:val="00E9376A"/>
    <w:rsid w:val="00E93873"/>
    <w:rsid w:val="00E940DE"/>
    <w:rsid w:val="00E95682"/>
    <w:rsid w:val="00E96148"/>
    <w:rsid w:val="00EA0D99"/>
    <w:rsid w:val="00EA7760"/>
    <w:rsid w:val="00EA79C3"/>
    <w:rsid w:val="00EB049D"/>
    <w:rsid w:val="00EB0BBE"/>
    <w:rsid w:val="00EB0C1F"/>
    <w:rsid w:val="00EB1DAE"/>
    <w:rsid w:val="00EB22B3"/>
    <w:rsid w:val="00EB4D91"/>
    <w:rsid w:val="00EB6398"/>
    <w:rsid w:val="00EB67F4"/>
    <w:rsid w:val="00EC1BDB"/>
    <w:rsid w:val="00ED0F53"/>
    <w:rsid w:val="00ED22BD"/>
    <w:rsid w:val="00ED2D33"/>
    <w:rsid w:val="00ED5459"/>
    <w:rsid w:val="00ED5A7D"/>
    <w:rsid w:val="00ED5C0A"/>
    <w:rsid w:val="00ED6A4C"/>
    <w:rsid w:val="00ED70C4"/>
    <w:rsid w:val="00EE4B92"/>
    <w:rsid w:val="00EF04C3"/>
    <w:rsid w:val="00EF221C"/>
    <w:rsid w:val="00EF2C61"/>
    <w:rsid w:val="00EF30BC"/>
    <w:rsid w:val="00EF4286"/>
    <w:rsid w:val="00EF4E72"/>
    <w:rsid w:val="00EF52D6"/>
    <w:rsid w:val="00EF7A41"/>
    <w:rsid w:val="00F01010"/>
    <w:rsid w:val="00F02A76"/>
    <w:rsid w:val="00F04DC6"/>
    <w:rsid w:val="00F04FBE"/>
    <w:rsid w:val="00F070BD"/>
    <w:rsid w:val="00F101A8"/>
    <w:rsid w:val="00F11DB4"/>
    <w:rsid w:val="00F13724"/>
    <w:rsid w:val="00F1407D"/>
    <w:rsid w:val="00F1439A"/>
    <w:rsid w:val="00F15989"/>
    <w:rsid w:val="00F1643A"/>
    <w:rsid w:val="00F1722A"/>
    <w:rsid w:val="00F202D6"/>
    <w:rsid w:val="00F20520"/>
    <w:rsid w:val="00F2182D"/>
    <w:rsid w:val="00F254BB"/>
    <w:rsid w:val="00F25CA5"/>
    <w:rsid w:val="00F25DB7"/>
    <w:rsid w:val="00F312CF"/>
    <w:rsid w:val="00F3134B"/>
    <w:rsid w:val="00F31B21"/>
    <w:rsid w:val="00F32E21"/>
    <w:rsid w:val="00F354CB"/>
    <w:rsid w:val="00F37851"/>
    <w:rsid w:val="00F37BFA"/>
    <w:rsid w:val="00F41FF2"/>
    <w:rsid w:val="00F445F5"/>
    <w:rsid w:val="00F47200"/>
    <w:rsid w:val="00F5169C"/>
    <w:rsid w:val="00F51701"/>
    <w:rsid w:val="00F5608D"/>
    <w:rsid w:val="00F561E2"/>
    <w:rsid w:val="00F56DC6"/>
    <w:rsid w:val="00F57327"/>
    <w:rsid w:val="00F604FE"/>
    <w:rsid w:val="00F60D0E"/>
    <w:rsid w:val="00F6117D"/>
    <w:rsid w:val="00F614E1"/>
    <w:rsid w:val="00F61BE7"/>
    <w:rsid w:val="00F623EF"/>
    <w:rsid w:val="00F62AC8"/>
    <w:rsid w:val="00F62D18"/>
    <w:rsid w:val="00F64E09"/>
    <w:rsid w:val="00F65D41"/>
    <w:rsid w:val="00F66672"/>
    <w:rsid w:val="00F6787F"/>
    <w:rsid w:val="00F708D3"/>
    <w:rsid w:val="00F70986"/>
    <w:rsid w:val="00F70EC8"/>
    <w:rsid w:val="00F71761"/>
    <w:rsid w:val="00F738E1"/>
    <w:rsid w:val="00F73A7E"/>
    <w:rsid w:val="00F73E5D"/>
    <w:rsid w:val="00F77420"/>
    <w:rsid w:val="00F8058E"/>
    <w:rsid w:val="00F816C1"/>
    <w:rsid w:val="00F833CE"/>
    <w:rsid w:val="00F83D7B"/>
    <w:rsid w:val="00F84310"/>
    <w:rsid w:val="00F850A9"/>
    <w:rsid w:val="00F90795"/>
    <w:rsid w:val="00F9151E"/>
    <w:rsid w:val="00F922FC"/>
    <w:rsid w:val="00F952EA"/>
    <w:rsid w:val="00F952F3"/>
    <w:rsid w:val="00F9542C"/>
    <w:rsid w:val="00F95EC0"/>
    <w:rsid w:val="00F9635D"/>
    <w:rsid w:val="00F974CB"/>
    <w:rsid w:val="00FA238C"/>
    <w:rsid w:val="00FA6B40"/>
    <w:rsid w:val="00FA7A08"/>
    <w:rsid w:val="00FB1719"/>
    <w:rsid w:val="00FB30AD"/>
    <w:rsid w:val="00FB539D"/>
    <w:rsid w:val="00FB6A50"/>
    <w:rsid w:val="00FC043D"/>
    <w:rsid w:val="00FC1AC7"/>
    <w:rsid w:val="00FC2027"/>
    <w:rsid w:val="00FC2317"/>
    <w:rsid w:val="00FC425B"/>
    <w:rsid w:val="00FC4D3B"/>
    <w:rsid w:val="00FC5DA4"/>
    <w:rsid w:val="00FD0D82"/>
    <w:rsid w:val="00FD1462"/>
    <w:rsid w:val="00FD15B3"/>
    <w:rsid w:val="00FD2DDC"/>
    <w:rsid w:val="00FD3098"/>
    <w:rsid w:val="00FD3E77"/>
    <w:rsid w:val="00FD4DAB"/>
    <w:rsid w:val="00FD6619"/>
    <w:rsid w:val="00FE019F"/>
    <w:rsid w:val="00FE097E"/>
    <w:rsid w:val="00FE24AC"/>
    <w:rsid w:val="00FE2906"/>
    <w:rsid w:val="00FE291D"/>
    <w:rsid w:val="00FE461C"/>
    <w:rsid w:val="00FE4C40"/>
    <w:rsid w:val="00FE5B96"/>
    <w:rsid w:val="00FE6080"/>
    <w:rsid w:val="00FE76A8"/>
    <w:rsid w:val="00FF138D"/>
    <w:rsid w:val="00FF4D38"/>
    <w:rsid w:val="046D0DC6"/>
    <w:rsid w:val="05415872"/>
    <w:rsid w:val="0A631516"/>
    <w:rsid w:val="0B1718E7"/>
    <w:rsid w:val="0B2D2264"/>
    <w:rsid w:val="0CA47AC9"/>
    <w:rsid w:val="0F8F3F19"/>
    <w:rsid w:val="1277225B"/>
    <w:rsid w:val="14F14B75"/>
    <w:rsid w:val="16450C97"/>
    <w:rsid w:val="178612A4"/>
    <w:rsid w:val="1F003FE9"/>
    <w:rsid w:val="25D565A0"/>
    <w:rsid w:val="279117A2"/>
    <w:rsid w:val="29DB09B9"/>
    <w:rsid w:val="2E0C7349"/>
    <w:rsid w:val="2F69D1BD"/>
    <w:rsid w:val="2FFF5655"/>
    <w:rsid w:val="352743C4"/>
    <w:rsid w:val="39F11E82"/>
    <w:rsid w:val="3DAE0540"/>
    <w:rsid w:val="3E7E8888"/>
    <w:rsid w:val="456033DF"/>
    <w:rsid w:val="495A19E6"/>
    <w:rsid w:val="4C2B7D94"/>
    <w:rsid w:val="4E8C356D"/>
    <w:rsid w:val="4F970599"/>
    <w:rsid w:val="51A768B2"/>
    <w:rsid w:val="52257550"/>
    <w:rsid w:val="52920D68"/>
    <w:rsid w:val="52F11223"/>
    <w:rsid w:val="56E77B1E"/>
    <w:rsid w:val="5A84160F"/>
    <w:rsid w:val="5CF24C0B"/>
    <w:rsid w:val="61502F36"/>
    <w:rsid w:val="628E75BB"/>
    <w:rsid w:val="63DE3459"/>
    <w:rsid w:val="63EC3859"/>
    <w:rsid w:val="66647A8B"/>
    <w:rsid w:val="68E42FA2"/>
    <w:rsid w:val="69270594"/>
    <w:rsid w:val="6B244B56"/>
    <w:rsid w:val="6C897019"/>
    <w:rsid w:val="6F6725B6"/>
    <w:rsid w:val="738A61B6"/>
    <w:rsid w:val="73FF61DE"/>
    <w:rsid w:val="79EEE635"/>
    <w:rsid w:val="7BCDF633"/>
    <w:rsid w:val="7BFFDE7B"/>
    <w:rsid w:val="7C047802"/>
    <w:rsid w:val="7CD366A1"/>
    <w:rsid w:val="7D7FAA5B"/>
    <w:rsid w:val="7EA2B2A9"/>
    <w:rsid w:val="7F7D23B8"/>
    <w:rsid w:val="7F970F1B"/>
    <w:rsid w:val="971F1EAE"/>
    <w:rsid w:val="AFFF0979"/>
    <w:rsid w:val="C97DD6E9"/>
    <w:rsid w:val="D58EDF72"/>
    <w:rsid w:val="E6DE3E9D"/>
    <w:rsid w:val="EA7F31F7"/>
    <w:rsid w:val="F67D9504"/>
    <w:rsid w:val="FC7B264D"/>
    <w:rsid w:val="FFFE7C4B"/>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iPriority="39" w:semiHidden="0" w:name="toc 1"/>
    <w:lsdException w:qFormat="1" w:uiPriority="39" w:semiHidden="0" w:name="toc 2"/>
    <w:lsdException w:qFormat="1" w:uiPriority="39" w:semiHidden="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qFormat="1"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qFormat="1" w:uiPriority="0" w:semiHidden="0" w:name="footnote reference"/>
    <w:lsdException w:qFormat="1" w:unhideWhenUsed="0" w:uiPriority="0" w:semiHidden="0" w:name="annotation reference"/>
    <w:lsdException w:uiPriority="0" w:name="line number"/>
    <w:lsdException w:uiPriority="0" w:name="page number"/>
    <w:lsdException w:uiPriority="0" w:name="endnote reference"/>
    <w:lsdException w:qFormat="1" w:uiPriority="99" w:semiHidden="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iPriority="99" w:semiHidden="0" w:name="Hyperlink"/>
    <w:lsdException w:uiPriority="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uiPriority="0" w:name="Plain Text"/>
    <w:lsdException w:uiPriority="0" w:name="E-mail Signature"/>
    <w:lsdException w:qFormat="1" w:unhideWhenUsed="0"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560" w:lineRule="exact"/>
      <w:ind w:firstLine="200" w:firstLineChars="200"/>
      <w:jc w:val="both"/>
    </w:pPr>
    <w:rPr>
      <w:rFonts w:ascii="Calibri" w:hAnsi="Calibri" w:eastAsia="仿宋_GB2312" w:cs="Times New Roman"/>
      <w:kern w:val="2"/>
      <w:sz w:val="30"/>
      <w:szCs w:val="22"/>
      <w:lang w:val="en-US" w:eastAsia="zh-CN" w:bidi="ar-SA"/>
    </w:rPr>
  </w:style>
  <w:style w:type="paragraph" w:styleId="2">
    <w:name w:val="heading 1"/>
    <w:basedOn w:val="1"/>
    <w:next w:val="1"/>
    <w:link w:val="24"/>
    <w:qFormat/>
    <w:uiPriority w:val="0"/>
    <w:pPr>
      <w:keepNext/>
      <w:keepLines/>
      <w:spacing w:beforeLines="50" w:afterLines="50"/>
      <w:jc w:val="center"/>
      <w:outlineLvl w:val="0"/>
    </w:pPr>
    <w:rPr>
      <w:rFonts w:eastAsia="黑体"/>
      <w:b/>
      <w:bCs/>
      <w:kern w:val="44"/>
      <w:sz w:val="36"/>
      <w:szCs w:val="44"/>
    </w:rPr>
  </w:style>
  <w:style w:type="paragraph" w:styleId="3">
    <w:name w:val="heading 2"/>
    <w:basedOn w:val="1"/>
    <w:next w:val="1"/>
    <w:link w:val="28"/>
    <w:qFormat/>
    <w:uiPriority w:val="0"/>
    <w:pPr>
      <w:keepNext/>
      <w:keepLines/>
      <w:spacing w:beforeLines="50" w:afterLines="50"/>
      <w:outlineLvl w:val="1"/>
    </w:pPr>
    <w:rPr>
      <w:rFonts w:ascii="Calibri Light" w:hAnsi="Calibri Light" w:eastAsia="黑体"/>
      <w:b/>
      <w:bCs/>
      <w:sz w:val="32"/>
      <w:szCs w:val="32"/>
    </w:rPr>
  </w:style>
  <w:style w:type="paragraph" w:styleId="4">
    <w:name w:val="heading 3"/>
    <w:basedOn w:val="1"/>
    <w:next w:val="1"/>
    <w:link w:val="38"/>
    <w:unhideWhenUsed/>
    <w:qFormat/>
    <w:uiPriority w:val="0"/>
    <w:pPr>
      <w:keepNext/>
      <w:keepLines/>
      <w:outlineLvl w:val="2"/>
    </w:pPr>
    <w:rPr>
      <w:b/>
      <w:bCs/>
      <w:szCs w:val="32"/>
    </w:rPr>
  </w:style>
  <w:style w:type="paragraph" w:styleId="5">
    <w:name w:val="heading 4"/>
    <w:basedOn w:val="1"/>
    <w:next w:val="1"/>
    <w:link w:val="31"/>
    <w:qFormat/>
    <w:uiPriority w:val="0"/>
    <w:pPr>
      <w:keepNext/>
      <w:keepLines/>
      <w:spacing w:before="280" w:after="290" w:line="376" w:lineRule="auto"/>
      <w:outlineLvl w:val="3"/>
    </w:pPr>
    <w:rPr>
      <w:rFonts w:ascii="Cambria" w:hAnsi="Cambria"/>
      <w:b/>
      <w:bCs/>
      <w:sz w:val="28"/>
      <w:szCs w:val="28"/>
    </w:rPr>
  </w:style>
  <w:style w:type="character" w:default="1" w:styleId="20">
    <w:name w:val="Default Paragraph Font"/>
    <w:semiHidden/>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6">
    <w:name w:val="Document Map"/>
    <w:basedOn w:val="1"/>
    <w:link w:val="34"/>
    <w:qFormat/>
    <w:uiPriority w:val="0"/>
    <w:rPr>
      <w:rFonts w:ascii="宋体"/>
      <w:sz w:val="18"/>
      <w:szCs w:val="18"/>
    </w:rPr>
  </w:style>
  <w:style w:type="paragraph" w:styleId="7">
    <w:name w:val="annotation text"/>
    <w:basedOn w:val="1"/>
    <w:link w:val="36"/>
    <w:qFormat/>
    <w:uiPriority w:val="0"/>
    <w:pPr>
      <w:jc w:val="left"/>
    </w:pPr>
  </w:style>
  <w:style w:type="paragraph" w:styleId="8">
    <w:name w:val="toc 3"/>
    <w:basedOn w:val="1"/>
    <w:next w:val="1"/>
    <w:unhideWhenUsed/>
    <w:qFormat/>
    <w:uiPriority w:val="39"/>
    <w:pPr>
      <w:ind w:left="840" w:leftChars="400"/>
    </w:pPr>
  </w:style>
  <w:style w:type="paragraph" w:styleId="9">
    <w:name w:val="endnote text"/>
    <w:basedOn w:val="1"/>
    <w:link w:val="40"/>
    <w:unhideWhenUsed/>
    <w:qFormat/>
    <w:uiPriority w:val="99"/>
    <w:pPr>
      <w:snapToGrid w:val="0"/>
      <w:jc w:val="left"/>
    </w:pPr>
  </w:style>
  <w:style w:type="paragraph" w:styleId="10">
    <w:name w:val="Balloon Text"/>
    <w:basedOn w:val="1"/>
    <w:link w:val="25"/>
    <w:qFormat/>
    <w:uiPriority w:val="0"/>
    <w:rPr>
      <w:sz w:val="18"/>
      <w:szCs w:val="18"/>
    </w:rPr>
  </w:style>
  <w:style w:type="paragraph" w:styleId="11">
    <w:name w:val="footer"/>
    <w:basedOn w:val="1"/>
    <w:link w:val="27"/>
    <w:qFormat/>
    <w:uiPriority w:val="99"/>
    <w:pPr>
      <w:tabs>
        <w:tab w:val="center" w:pos="4153"/>
        <w:tab w:val="right" w:pos="8306"/>
      </w:tabs>
      <w:snapToGrid w:val="0"/>
      <w:jc w:val="left"/>
    </w:pPr>
    <w:rPr>
      <w:sz w:val="18"/>
      <w:szCs w:val="18"/>
    </w:rPr>
  </w:style>
  <w:style w:type="paragraph" w:styleId="12">
    <w:name w:val="header"/>
    <w:basedOn w:val="1"/>
    <w:link w:val="26"/>
    <w:qFormat/>
    <w:uiPriority w:val="0"/>
    <w:pPr>
      <w:pBdr>
        <w:bottom w:val="single" w:color="auto" w:sz="6" w:space="1"/>
      </w:pBdr>
      <w:tabs>
        <w:tab w:val="center" w:pos="4153"/>
        <w:tab w:val="right" w:pos="8306"/>
      </w:tabs>
      <w:snapToGrid w:val="0"/>
      <w:jc w:val="center"/>
    </w:pPr>
    <w:rPr>
      <w:sz w:val="18"/>
      <w:szCs w:val="18"/>
    </w:rPr>
  </w:style>
  <w:style w:type="paragraph" w:styleId="13">
    <w:name w:val="toc 1"/>
    <w:basedOn w:val="1"/>
    <w:next w:val="1"/>
    <w:unhideWhenUsed/>
    <w:qFormat/>
    <w:uiPriority w:val="39"/>
  </w:style>
  <w:style w:type="paragraph" w:styleId="14">
    <w:name w:val="footnote text"/>
    <w:basedOn w:val="1"/>
    <w:link w:val="39"/>
    <w:unhideWhenUsed/>
    <w:qFormat/>
    <w:uiPriority w:val="0"/>
    <w:pPr>
      <w:snapToGrid w:val="0"/>
      <w:jc w:val="left"/>
    </w:pPr>
    <w:rPr>
      <w:sz w:val="18"/>
      <w:szCs w:val="18"/>
    </w:rPr>
  </w:style>
  <w:style w:type="paragraph" w:styleId="15">
    <w:name w:val="toc 2"/>
    <w:basedOn w:val="1"/>
    <w:next w:val="1"/>
    <w:unhideWhenUsed/>
    <w:qFormat/>
    <w:uiPriority w:val="39"/>
    <w:pPr>
      <w:ind w:left="420" w:leftChars="200"/>
    </w:pPr>
  </w:style>
  <w:style w:type="paragraph" w:styleId="16">
    <w:name w:val="Normal (Web)"/>
    <w:basedOn w:val="1"/>
    <w:qFormat/>
    <w:uiPriority w:val="99"/>
    <w:pPr>
      <w:widowControl/>
      <w:spacing w:before="100" w:beforeAutospacing="1" w:after="100" w:afterAutospacing="1"/>
      <w:jc w:val="left"/>
    </w:pPr>
    <w:rPr>
      <w:rFonts w:ascii="宋体" w:hAnsi="宋体" w:eastAsia="宋体" w:cs="宋体"/>
      <w:color w:val="000000"/>
      <w:kern w:val="0"/>
      <w:sz w:val="24"/>
      <w:szCs w:val="24"/>
    </w:rPr>
  </w:style>
  <w:style w:type="paragraph" w:styleId="17">
    <w:name w:val="annotation subject"/>
    <w:basedOn w:val="7"/>
    <w:next w:val="7"/>
    <w:link w:val="37"/>
    <w:qFormat/>
    <w:uiPriority w:val="0"/>
    <w:rPr>
      <w:b/>
      <w:bCs/>
    </w:rPr>
  </w:style>
  <w:style w:type="table" w:styleId="19">
    <w:name w:val="Table Grid"/>
    <w:basedOn w:val="18"/>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1">
    <w:name w:val="Hyperlink"/>
    <w:unhideWhenUsed/>
    <w:qFormat/>
    <w:uiPriority w:val="99"/>
    <w:rPr>
      <w:color w:val="0563C1"/>
      <w:u w:val="single"/>
    </w:rPr>
  </w:style>
  <w:style w:type="character" w:styleId="22">
    <w:name w:val="annotation reference"/>
    <w:qFormat/>
    <w:uiPriority w:val="0"/>
    <w:rPr>
      <w:sz w:val="21"/>
      <w:szCs w:val="21"/>
    </w:rPr>
  </w:style>
  <w:style w:type="character" w:styleId="23">
    <w:name w:val="footnote reference"/>
    <w:unhideWhenUsed/>
    <w:qFormat/>
    <w:uiPriority w:val="0"/>
    <w:rPr>
      <w:vertAlign w:val="superscript"/>
    </w:rPr>
  </w:style>
  <w:style w:type="character" w:customStyle="1" w:styleId="24">
    <w:name w:val="标题 1 字符"/>
    <w:link w:val="2"/>
    <w:qFormat/>
    <w:uiPriority w:val="0"/>
    <w:rPr>
      <w:rFonts w:eastAsia="黑体"/>
      <w:b/>
      <w:bCs/>
      <w:kern w:val="44"/>
      <w:sz w:val="36"/>
      <w:szCs w:val="44"/>
    </w:rPr>
  </w:style>
  <w:style w:type="character" w:customStyle="1" w:styleId="25">
    <w:name w:val="批注框文本 字符"/>
    <w:link w:val="10"/>
    <w:qFormat/>
    <w:uiPriority w:val="0"/>
    <w:rPr>
      <w:kern w:val="2"/>
      <w:sz w:val="18"/>
      <w:szCs w:val="18"/>
    </w:rPr>
  </w:style>
  <w:style w:type="character" w:customStyle="1" w:styleId="26">
    <w:name w:val="页眉 字符"/>
    <w:link w:val="12"/>
    <w:qFormat/>
    <w:uiPriority w:val="0"/>
    <w:rPr>
      <w:kern w:val="2"/>
      <w:sz w:val="18"/>
      <w:szCs w:val="18"/>
    </w:rPr>
  </w:style>
  <w:style w:type="character" w:customStyle="1" w:styleId="27">
    <w:name w:val="页脚 字符"/>
    <w:link w:val="11"/>
    <w:qFormat/>
    <w:uiPriority w:val="99"/>
    <w:rPr>
      <w:kern w:val="2"/>
      <w:sz w:val="18"/>
      <w:szCs w:val="18"/>
    </w:rPr>
  </w:style>
  <w:style w:type="character" w:customStyle="1" w:styleId="28">
    <w:name w:val="标题 2 字符"/>
    <w:link w:val="3"/>
    <w:qFormat/>
    <w:uiPriority w:val="0"/>
    <w:rPr>
      <w:rFonts w:ascii="Calibri Light" w:hAnsi="Calibri Light" w:eastAsia="黑体"/>
      <w:b/>
      <w:bCs/>
      <w:kern w:val="2"/>
      <w:sz w:val="32"/>
      <w:szCs w:val="32"/>
    </w:rPr>
  </w:style>
  <w:style w:type="character" w:customStyle="1" w:styleId="29">
    <w:name w:val="列表段落 字符"/>
    <w:link w:val="30"/>
    <w:qFormat/>
    <w:uiPriority w:val="0"/>
    <w:rPr>
      <w:kern w:val="2"/>
      <w:sz w:val="21"/>
      <w:szCs w:val="22"/>
    </w:rPr>
  </w:style>
  <w:style w:type="paragraph" w:styleId="30">
    <w:name w:val="List Paragraph"/>
    <w:basedOn w:val="1"/>
    <w:link w:val="29"/>
    <w:qFormat/>
    <w:uiPriority w:val="0"/>
    <w:pPr>
      <w:ind w:firstLine="420"/>
    </w:pPr>
  </w:style>
  <w:style w:type="character" w:customStyle="1" w:styleId="31">
    <w:name w:val="标题 4 字符"/>
    <w:link w:val="5"/>
    <w:semiHidden/>
    <w:qFormat/>
    <w:uiPriority w:val="0"/>
    <w:rPr>
      <w:rFonts w:ascii="Cambria" w:hAnsi="Cambria" w:eastAsia="宋体" w:cs="Times New Roman"/>
      <w:b/>
      <w:bCs/>
      <w:kern w:val="2"/>
      <w:sz w:val="28"/>
      <w:szCs w:val="28"/>
    </w:rPr>
  </w:style>
  <w:style w:type="paragraph" w:customStyle="1" w:styleId="32">
    <w:name w:val="Normal0"/>
    <w:qFormat/>
    <w:uiPriority w:val="0"/>
    <w:rPr>
      <w:rFonts w:ascii="Times New Roman" w:hAnsi="Times New Roman" w:eastAsia="宋体" w:cs="Times New Roman"/>
      <w:lang w:val="en-US" w:eastAsia="en-US" w:bidi="ar-SA"/>
    </w:rPr>
  </w:style>
  <w:style w:type="paragraph" w:customStyle="1" w:styleId="33">
    <w:name w:val="TOC 标题1"/>
    <w:basedOn w:val="2"/>
    <w:next w:val="1"/>
    <w:qFormat/>
    <w:uiPriority w:val="39"/>
    <w:pPr>
      <w:widowControl/>
      <w:spacing w:before="480" w:line="276" w:lineRule="auto"/>
      <w:jc w:val="left"/>
      <w:outlineLvl w:val="9"/>
    </w:pPr>
    <w:rPr>
      <w:rFonts w:ascii="Calibri Light" w:hAnsi="Calibri Light" w:eastAsia="宋体"/>
      <w:color w:val="2E74B5"/>
      <w:kern w:val="0"/>
      <w:sz w:val="28"/>
      <w:szCs w:val="28"/>
    </w:rPr>
  </w:style>
  <w:style w:type="character" w:customStyle="1" w:styleId="34">
    <w:name w:val="文档结构图 字符"/>
    <w:link w:val="6"/>
    <w:qFormat/>
    <w:uiPriority w:val="0"/>
    <w:rPr>
      <w:rFonts w:ascii="宋体"/>
      <w:kern w:val="2"/>
      <w:sz w:val="18"/>
      <w:szCs w:val="18"/>
    </w:rPr>
  </w:style>
  <w:style w:type="character" w:customStyle="1" w:styleId="35">
    <w:name w:val="列出段落 Char1"/>
    <w:qFormat/>
    <w:uiPriority w:val="34"/>
  </w:style>
  <w:style w:type="character" w:customStyle="1" w:styleId="36">
    <w:name w:val="批注文字 字符"/>
    <w:link w:val="7"/>
    <w:qFormat/>
    <w:uiPriority w:val="0"/>
    <w:rPr>
      <w:kern w:val="2"/>
      <w:sz w:val="21"/>
      <w:szCs w:val="22"/>
    </w:rPr>
  </w:style>
  <w:style w:type="character" w:customStyle="1" w:styleId="37">
    <w:name w:val="批注主题 字符"/>
    <w:link w:val="17"/>
    <w:qFormat/>
    <w:uiPriority w:val="0"/>
    <w:rPr>
      <w:b/>
      <w:bCs/>
      <w:kern w:val="2"/>
      <w:sz w:val="21"/>
      <w:szCs w:val="22"/>
    </w:rPr>
  </w:style>
  <w:style w:type="character" w:customStyle="1" w:styleId="38">
    <w:name w:val="标题 3 字符"/>
    <w:link w:val="4"/>
    <w:qFormat/>
    <w:uiPriority w:val="0"/>
    <w:rPr>
      <w:rFonts w:eastAsia="仿宋_GB2312"/>
      <w:b/>
      <w:bCs/>
      <w:kern w:val="2"/>
      <w:sz w:val="30"/>
      <w:szCs w:val="32"/>
    </w:rPr>
  </w:style>
  <w:style w:type="character" w:customStyle="1" w:styleId="39">
    <w:name w:val="脚注文本 字符"/>
    <w:link w:val="14"/>
    <w:qFormat/>
    <w:uiPriority w:val="0"/>
    <w:rPr>
      <w:kern w:val="2"/>
      <w:sz w:val="18"/>
      <w:szCs w:val="18"/>
    </w:rPr>
  </w:style>
  <w:style w:type="character" w:customStyle="1" w:styleId="40">
    <w:name w:val="尾注文本 字符"/>
    <w:link w:val="9"/>
    <w:qFormat/>
    <w:uiPriority w:val="99"/>
    <w:rPr>
      <w:rFonts w:ascii="Calibri" w:hAnsi="Calibri" w:eastAsia="宋体" w:cs="Times New Roman"/>
      <w:kern w:val="2"/>
      <w:sz w:val="21"/>
      <w:szCs w:val="22"/>
    </w:rPr>
  </w:style>
  <w:style w:type="paragraph" w:customStyle="1" w:styleId="41">
    <w:name w:val="修订1"/>
    <w:hidden/>
    <w:unhideWhenUsed/>
    <w:qFormat/>
    <w:uiPriority w:val="99"/>
    <w:rPr>
      <w:rFonts w:ascii="Calibri" w:hAnsi="Calibri" w:eastAsia="仿宋_GB2312" w:cs="Times New Roman"/>
      <w:kern w:val="2"/>
      <w:sz w:val="30"/>
      <w:szCs w:val="22"/>
      <w:lang w:val="en-US" w:eastAsia="zh-CN" w:bidi="ar-SA"/>
    </w:rPr>
  </w:style>
  <w:style w:type="paragraph" w:customStyle="1" w:styleId="42">
    <w:name w:val="Revision"/>
    <w:hidden/>
    <w:unhideWhenUsed/>
    <w:qFormat/>
    <w:uiPriority w:val="99"/>
    <w:rPr>
      <w:rFonts w:ascii="Calibri" w:hAnsi="Calibri" w:eastAsia="仿宋_GB2312" w:cs="Times New Roman"/>
      <w:kern w:val="2"/>
      <w:sz w:val="30"/>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1" Type="http://schemas.openxmlformats.org/officeDocument/2006/relationships/fontTable" Target="fontTable.xml"/><Relationship Id="rId20" Type="http://schemas.openxmlformats.org/officeDocument/2006/relationships/customXml" Target="../customXml/item1.xml"/><Relationship Id="rId2" Type="http://schemas.openxmlformats.org/officeDocument/2006/relationships/settings" Target="settings.xml"/><Relationship Id="rId19" Type="http://schemas.openxmlformats.org/officeDocument/2006/relationships/image" Target="media/image5.png"/><Relationship Id="rId18" Type="http://schemas.openxmlformats.org/officeDocument/2006/relationships/image" Target="media/image4.png"/><Relationship Id="rId17" Type="http://schemas.openxmlformats.org/officeDocument/2006/relationships/image" Target="media/image3.png"/><Relationship Id="rId16" Type="http://schemas.openxmlformats.org/officeDocument/2006/relationships/image" Target="media/image2.png"/><Relationship Id="rId15" Type="http://schemas.openxmlformats.org/officeDocument/2006/relationships/image" Target="media/image1.wmf"/><Relationship Id="rId14" Type="http://schemas.openxmlformats.org/officeDocument/2006/relationships/oleObject" Target="embeddings/oleObject1.bin"/><Relationship Id="rId13" Type="http://schemas.openxmlformats.org/officeDocument/2006/relationships/theme" Target="theme/theme1.xml"/><Relationship Id="rId12" Type="http://schemas.openxmlformats.org/officeDocument/2006/relationships/header" Target="header5.xml"/><Relationship Id="rId11" Type="http://schemas.openxmlformats.org/officeDocument/2006/relationships/header" Target="header4.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2248"/>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40</Pages>
  <Words>2268</Words>
  <Characters>12928</Characters>
  <Lines>107</Lines>
  <Paragraphs>30</Paragraphs>
  <TotalTime>1</TotalTime>
  <ScaleCrop>false</ScaleCrop>
  <LinksUpToDate>false</LinksUpToDate>
  <CharactersWithSpaces>15166</CharactersWithSpaces>
  <Application>WPS Office_12.8.2.19313_F1E327BC-269C-435d-A152-05C5408002CA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2021-06-14T07:53:00Z</dcterms:created>
  <cp:lastPrinted>2021-05-31T09:32:00Z</cp:lastPrinted>
  <dcterms:modified xsi:type="dcterms:W3CDTF">2026-08-21T08:55:19Z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2052-12.8.2.19313</vt:lpwstr>
  </property>
  <property fmtid="{D5CDD505-2E9C-101B-9397-08002B2CF9AE}" pid="3" name="ICV">
    <vt:lpwstr>EB36DC33101127BCAC147D6AFC5ED927_43</vt:lpwstr>
  </property>
</Properties>
</file>