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060308">
      <w:pPr>
        <w:spacing w:line="560" w:lineRule="exact"/>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eastAsia="zh-CN"/>
        </w:rPr>
        <w:t>附件</w:t>
      </w:r>
      <w:r>
        <w:rPr>
          <w:rFonts w:hint="eastAsia" w:ascii="黑体" w:hAnsi="黑体" w:eastAsia="黑体" w:cs="黑体"/>
          <w:bCs/>
          <w:sz w:val="32"/>
          <w:szCs w:val="32"/>
          <w:highlight w:val="none"/>
          <w:lang w:val="en-US" w:eastAsia="zh-CN"/>
        </w:rPr>
        <w:t>2</w:t>
      </w:r>
    </w:p>
    <w:p w14:paraId="07AC491A">
      <w:pPr>
        <w:pStyle w:val="6"/>
        <w:spacing w:line="560" w:lineRule="exact"/>
        <w:rPr>
          <w:rFonts w:hint="default" w:ascii="Times New Roman" w:hAnsi="Times New Roman" w:cs="Times New Roman"/>
          <w:sz w:val="32"/>
          <w:szCs w:val="36"/>
        </w:rPr>
      </w:pPr>
    </w:p>
    <w:p w14:paraId="17F59762">
      <w:pPr>
        <w:spacing w:line="560" w:lineRule="exact"/>
        <w:jc w:val="center"/>
        <w:rPr>
          <w:rFonts w:hint="default" w:ascii="Times New Roman" w:hAnsi="Times New Roman" w:eastAsia="方正大标宋简体" w:cs="Times New Roman"/>
          <w:bCs/>
          <w:sz w:val="44"/>
          <w:szCs w:val="44"/>
          <w:highlight w:val="none"/>
        </w:rPr>
      </w:pPr>
      <w:r>
        <w:rPr>
          <w:rFonts w:hint="default" w:ascii="Times New Roman" w:hAnsi="Times New Roman" w:eastAsia="方正大标宋简体" w:cs="Times New Roman"/>
          <w:bCs/>
          <w:sz w:val="44"/>
          <w:szCs w:val="44"/>
          <w:highlight w:val="none"/>
        </w:rPr>
        <w:t>《上海证券交易所资产支持证券挂牌条件确认规则适用指引第2号——大类基础资产》</w:t>
      </w:r>
    </w:p>
    <w:p w14:paraId="0D6DB454">
      <w:pPr>
        <w:spacing w:line="560" w:lineRule="exact"/>
        <w:jc w:val="center"/>
        <w:rPr>
          <w:rFonts w:hint="default" w:ascii="Times New Roman" w:hAnsi="Times New Roman" w:eastAsia="方正大标宋简体" w:cs="Times New Roman"/>
          <w:bCs/>
          <w:sz w:val="44"/>
          <w:szCs w:val="44"/>
          <w:highlight w:val="none"/>
        </w:rPr>
      </w:pPr>
      <w:r>
        <w:rPr>
          <w:rFonts w:hint="default" w:ascii="Times New Roman" w:hAnsi="Times New Roman" w:eastAsia="方正大标宋简体" w:cs="Times New Roman"/>
          <w:bCs/>
          <w:sz w:val="44"/>
          <w:szCs w:val="44"/>
          <w:highlight w:val="none"/>
        </w:rPr>
        <w:t>修订说明</w:t>
      </w:r>
    </w:p>
    <w:p w14:paraId="70CB1468">
      <w:pPr>
        <w:spacing w:line="560" w:lineRule="exact"/>
        <w:ind w:firstLine="640" w:firstLineChars="200"/>
        <w:rPr>
          <w:rFonts w:hint="default" w:ascii="Times New Roman" w:hAnsi="Times New Roman" w:eastAsia="仿宋_GB2312" w:cs="Times New Roman"/>
          <w:sz w:val="32"/>
          <w:szCs w:val="32"/>
          <w:highlight w:val="none"/>
        </w:rPr>
      </w:pPr>
    </w:p>
    <w:p w14:paraId="046380E2">
      <w:pPr>
        <w:spacing w:line="560" w:lineRule="exact"/>
        <w:ind w:firstLine="640" w:firstLineChars="200"/>
        <w:outlineLvl w:val="0"/>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z w:val="32"/>
          <w:szCs w:val="32"/>
          <w:highlight w:val="none"/>
        </w:rPr>
        <w:t>一、修订背景</w:t>
      </w:r>
    </w:p>
    <w:p w14:paraId="64872ACE">
      <w:pPr>
        <w:tabs>
          <w:tab w:val="left" w:pos="0"/>
          <w:tab w:val="left" w:pos="709"/>
          <w:tab w:val="left" w:pos="1260"/>
        </w:tabs>
        <w:adjustRightInd w:val="0"/>
        <w:snapToGrid w:val="0"/>
        <w:spacing w:line="560" w:lineRule="exact"/>
        <w:ind w:firstLine="640" w:firstLineChars="200"/>
        <w:rPr>
          <w:rFonts w:hint="default" w:ascii="Times New Roman" w:hAnsi="Times New Roman" w:eastAsia="仿宋_GB2312" w:cs="Times New Roman"/>
          <w:b w:val="0"/>
          <w:bCs/>
          <w:sz w:val="32"/>
          <w:szCs w:val="32"/>
          <w14:ligatures w14:val="standardContextual"/>
        </w:rPr>
      </w:pPr>
      <w:bookmarkStart w:id="0" w:name="_Hlk218431387"/>
      <w:r>
        <w:rPr>
          <w:rFonts w:hint="default" w:ascii="Times New Roman" w:hAnsi="Times New Roman" w:eastAsia="仿宋_GB2312" w:cs="Times New Roman"/>
          <w:sz w:val="32"/>
          <w:szCs w:val="32"/>
          <w:lang w:eastAsia="zh-CN" w:bidi="en-US"/>
        </w:rPr>
        <w:t>近年来，不动产</w:t>
      </w:r>
      <w:r>
        <w:rPr>
          <w:rFonts w:hint="eastAsia" w:ascii="Times New Roman" w:hAnsi="Times New Roman" w:eastAsia="仿宋_GB2312" w:cs="Times New Roman"/>
          <w:sz w:val="32"/>
          <w:szCs w:val="32"/>
          <w:lang w:eastAsia="zh-CN" w:bidi="en-US"/>
        </w:rPr>
        <w:t>证券化业务</w:t>
      </w:r>
      <w:r>
        <w:rPr>
          <w:rFonts w:hint="default" w:ascii="Times New Roman" w:hAnsi="Times New Roman" w:eastAsia="仿宋_GB2312" w:cs="Times New Roman"/>
          <w:sz w:val="32"/>
          <w:szCs w:val="32"/>
        </w:rPr>
        <w:t>快速发展，已</w:t>
      </w:r>
      <w:bookmarkStart w:id="1" w:name="OLE_LINK18"/>
      <w:bookmarkStart w:id="2" w:name="OLE_LINK19"/>
      <w:r>
        <w:rPr>
          <w:rFonts w:hint="default" w:ascii="Times New Roman" w:hAnsi="Times New Roman" w:eastAsia="仿宋_GB2312" w:cs="Times New Roman"/>
          <w:sz w:val="32"/>
          <w:szCs w:val="32"/>
        </w:rPr>
        <w:t>成为盘活存量资产、拓宽</w:t>
      </w:r>
      <w:r>
        <w:rPr>
          <w:rFonts w:hint="eastAsia" w:ascii="Times New Roman" w:hAnsi="Times New Roman" w:eastAsia="仿宋_GB2312" w:cs="Times New Roman"/>
          <w:sz w:val="32"/>
          <w:szCs w:val="32"/>
          <w:lang w:eastAsia="zh-CN"/>
        </w:rPr>
        <w:t>直接</w:t>
      </w:r>
      <w:r>
        <w:rPr>
          <w:rFonts w:hint="default" w:ascii="Times New Roman" w:hAnsi="Times New Roman" w:eastAsia="仿宋_GB2312" w:cs="Times New Roman"/>
          <w:sz w:val="32"/>
          <w:szCs w:val="32"/>
        </w:rPr>
        <w:t>融资渠道的重要工具</w:t>
      </w:r>
      <w:bookmarkEnd w:id="1"/>
      <w:bookmarkEnd w:id="2"/>
      <w:r>
        <w:rPr>
          <w:rFonts w:hint="default" w:ascii="Times New Roman" w:hAnsi="Times New Roman" w:eastAsia="仿宋_GB2312" w:cs="Times New Roman"/>
          <w:sz w:val="32"/>
          <w:szCs w:val="32"/>
          <w:lang w:bidi="en-US"/>
        </w:rPr>
        <w:t>。为</w:t>
      </w:r>
      <w:r>
        <w:rPr>
          <w:rFonts w:hint="default" w:ascii="Times New Roman" w:hAnsi="Times New Roman" w:eastAsia="仿宋_GB2312" w:cs="Times New Roman"/>
          <w:sz w:val="32"/>
          <w:szCs w:val="32"/>
          <w:lang w:eastAsia="zh-CN" w:bidi="en-US"/>
        </w:rPr>
        <w:t>明确市场预期，推动业务规范发展，上海证券交易所（以下简称本所）对《</w:t>
      </w:r>
      <w:r>
        <w:rPr>
          <w:rFonts w:hint="default" w:ascii="Times New Roman" w:hAnsi="Times New Roman" w:eastAsia="仿宋_GB2312" w:cs="Times New Roman"/>
          <w:bCs w:val="0"/>
          <w:sz w:val="32"/>
          <w:szCs w:val="32"/>
          <w:highlight w:val="none"/>
          <w:lang w:eastAsia="zh-CN" w:bidi="en-US"/>
        </w:rPr>
        <w:t>上海</w:t>
      </w:r>
      <w:r>
        <w:rPr>
          <w:rFonts w:hint="default" w:ascii="Times New Roman" w:hAnsi="Times New Roman" w:eastAsia="仿宋_GB2312" w:cs="Times New Roman"/>
          <w:bCs w:val="0"/>
          <w:sz w:val="32"/>
          <w:szCs w:val="32"/>
          <w:highlight w:val="none"/>
          <w:lang w:bidi="en-US"/>
        </w:rPr>
        <w:t>证券交易所资产支持证券挂牌条件</w:t>
      </w:r>
      <w:r>
        <w:rPr>
          <w:rFonts w:hint="eastAsia" w:ascii="Times New Roman" w:hAnsi="Times New Roman" w:eastAsia="仿宋_GB2312" w:cs="Times New Roman"/>
          <w:bCs w:val="0"/>
          <w:sz w:val="32"/>
          <w:szCs w:val="32"/>
          <w:highlight w:val="none"/>
          <w:lang w:eastAsia="zh-CN" w:bidi="en-US"/>
        </w:rPr>
        <w:t>确认规则适用</w:t>
      </w:r>
      <w:r>
        <w:rPr>
          <w:rFonts w:hint="default" w:ascii="Times New Roman" w:hAnsi="Times New Roman" w:eastAsia="仿宋_GB2312" w:cs="Times New Roman"/>
          <w:bCs w:val="0"/>
          <w:sz w:val="32"/>
          <w:szCs w:val="32"/>
          <w:highlight w:val="none"/>
          <w:lang w:bidi="en-US"/>
        </w:rPr>
        <w:t>指引第2号——大类基础资产</w:t>
      </w:r>
      <w:r>
        <w:rPr>
          <w:rFonts w:hint="default" w:ascii="Times New Roman" w:hAnsi="Times New Roman" w:eastAsia="仿宋_GB2312" w:cs="Times New Roman"/>
          <w:sz w:val="32"/>
          <w:szCs w:val="32"/>
          <w:lang w:eastAsia="zh-CN" w:bidi="en-US"/>
        </w:rPr>
        <w:t>》（以下简称</w:t>
      </w:r>
      <w:r>
        <w:rPr>
          <w:rFonts w:hint="default" w:ascii="Times New Roman" w:hAnsi="Times New Roman" w:eastAsia="仿宋_GB2312" w:cs="Times New Roman"/>
          <w:sz w:val="32"/>
          <w:szCs w:val="32"/>
          <w:highlight w:val="none"/>
          <w:lang w:eastAsia="zh-CN"/>
        </w:rPr>
        <w:t>《大类基础资产</w:t>
      </w:r>
      <w:r>
        <w:rPr>
          <w:rFonts w:hint="default" w:ascii="Times New Roman" w:hAnsi="Times New Roman" w:eastAsia="仿宋_GB2312" w:cs="Times New Roman"/>
          <w:b w:val="0"/>
          <w:bCs/>
          <w:sz w:val="32"/>
          <w:szCs w:val="32"/>
          <w:lang w:eastAsia="zh-CN"/>
        </w:rPr>
        <w:t>指引》</w:t>
      </w:r>
      <w:r>
        <w:rPr>
          <w:rFonts w:hint="default" w:ascii="Times New Roman" w:hAnsi="Times New Roman" w:eastAsia="仿宋_GB2312" w:cs="Times New Roman"/>
          <w:sz w:val="32"/>
          <w:szCs w:val="32"/>
          <w:lang w:eastAsia="zh-CN" w:bidi="en-US"/>
        </w:rPr>
        <w:t>）进行了修订，以专章形式</w:t>
      </w:r>
      <w:r>
        <w:rPr>
          <w:rFonts w:hint="eastAsia" w:ascii="Times New Roman" w:hAnsi="Times New Roman" w:eastAsia="仿宋_GB2312" w:cs="Times New Roman"/>
          <w:sz w:val="32"/>
          <w:szCs w:val="32"/>
          <w:lang w:eastAsia="zh-CN" w:bidi="en-US"/>
        </w:rPr>
        <w:t>明确</w:t>
      </w:r>
      <w:r>
        <w:rPr>
          <w:rFonts w:hint="default" w:ascii="Times New Roman" w:hAnsi="Times New Roman" w:eastAsia="仿宋_GB2312" w:cs="Times New Roman"/>
          <w:sz w:val="32"/>
          <w:szCs w:val="32"/>
          <w:highlight w:val="none"/>
          <w:lang w:val="en-US" w:eastAsia="zh-CN"/>
        </w:rPr>
        <w:t>不动产基础资产</w:t>
      </w:r>
      <w:r>
        <w:rPr>
          <w:rFonts w:hint="eastAsia" w:ascii="Times New Roman" w:hAnsi="Times New Roman" w:eastAsia="仿宋_GB2312" w:cs="Times New Roman"/>
          <w:sz w:val="32"/>
          <w:szCs w:val="32"/>
          <w:highlight w:val="none"/>
          <w:lang w:val="en-US" w:eastAsia="zh-CN"/>
        </w:rPr>
        <w:t>挂牌条件、</w:t>
      </w:r>
      <w:r>
        <w:rPr>
          <w:rFonts w:hint="default" w:ascii="Times New Roman" w:hAnsi="Times New Roman" w:eastAsia="仿宋_GB2312" w:cs="Times New Roman"/>
          <w:sz w:val="32"/>
          <w:szCs w:val="32"/>
          <w:highlight w:val="none"/>
          <w:lang w:val="en-US" w:eastAsia="zh-CN"/>
        </w:rPr>
        <w:t>信息披露要求</w:t>
      </w:r>
      <w:r>
        <w:rPr>
          <w:rFonts w:hint="eastAsia" w:ascii="Times New Roman" w:hAnsi="Times New Roman" w:eastAsia="仿宋_GB2312" w:cs="Times New Roman"/>
          <w:sz w:val="32"/>
          <w:szCs w:val="32"/>
          <w:highlight w:val="none"/>
          <w:lang w:val="en-US" w:eastAsia="zh-CN"/>
        </w:rPr>
        <w:t>以及特别规定</w:t>
      </w:r>
      <w:r>
        <w:rPr>
          <w:rFonts w:hint="default" w:ascii="Times New Roman" w:hAnsi="Times New Roman" w:eastAsia="仿宋_GB2312" w:cs="Times New Roman"/>
          <w:sz w:val="32"/>
          <w:szCs w:val="32"/>
          <w:highlight w:val="none"/>
          <w:lang w:val="en-US" w:eastAsia="zh-CN"/>
        </w:rPr>
        <w:t>，并</w:t>
      </w:r>
      <w:r>
        <w:rPr>
          <w:rFonts w:hint="default" w:ascii="Times New Roman" w:hAnsi="Times New Roman" w:eastAsia="仿宋_GB2312" w:cs="Times New Roman"/>
          <w:sz w:val="32"/>
          <w:szCs w:val="32"/>
          <w:lang w:eastAsia="zh-CN" w:bidi="en-US"/>
        </w:rPr>
        <w:t>结合审核实践对原指引中部分条款进行优化调整，</w:t>
      </w:r>
      <w:r>
        <w:rPr>
          <w:rFonts w:hint="default" w:ascii="Times New Roman" w:hAnsi="Times New Roman" w:eastAsia="仿宋_GB2312" w:cs="Times New Roman"/>
          <w:sz w:val="32"/>
          <w:szCs w:val="40"/>
          <w:highlight w:val="none"/>
          <w:lang w:eastAsia="zh-CN"/>
        </w:rPr>
        <w:t>增强规则适应性</w:t>
      </w:r>
      <w:r>
        <w:rPr>
          <w:rFonts w:hint="default" w:ascii="Times New Roman" w:hAnsi="Times New Roman" w:eastAsia="仿宋_GB2312" w:cs="Times New Roman"/>
          <w:b w:val="0"/>
          <w:bCs/>
          <w:sz w:val="32"/>
          <w:szCs w:val="32"/>
          <w:lang w:eastAsia="zh-CN"/>
          <w14:ligatures w14:val="standardContextual"/>
        </w:rPr>
        <w:t>。</w:t>
      </w:r>
    </w:p>
    <w:bookmarkEnd w:id="0"/>
    <w:p w14:paraId="5B0FD198">
      <w:pPr>
        <w:spacing w:line="560" w:lineRule="exact"/>
        <w:ind w:firstLine="640" w:firstLineChars="200"/>
        <w:rPr>
          <w:rFonts w:hint="default" w:ascii="Times New Roman" w:hAnsi="Times New Roman" w:eastAsia="黑体" w:cs="Times New Roman"/>
          <w:b w:val="0"/>
          <w:bCs/>
          <w:sz w:val="32"/>
          <w:szCs w:val="32"/>
          <w:highlight w:val="none"/>
          <w:lang w:eastAsia="zh-CN"/>
        </w:rPr>
      </w:pPr>
      <w:r>
        <w:rPr>
          <w:rFonts w:hint="default" w:ascii="Times New Roman" w:hAnsi="Times New Roman" w:eastAsia="黑体" w:cs="Times New Roman"/>
          <w:b w:val="0"/>
          <w:bCs/>
          <w:sz w:val="32"/>
          <w:szCs w:val="32"/>
          <w:highlight w:val="none"/>
        </w:rPr>
        <w:t>二、主要修订</w:t>
      </w:r>
      <w:r>
        <w:rPr>
          <w:rFonts w:hint="default" w:ascii="Times New Roman" w:hAnsi="Times New Roman" w:eastAsia="黑体" w:cs="Times New Roman"/>
          <w:b w:val="0"/>
          <w:bCs/>
          <w:sz w:val="32"/>
          <w:szCs w:val="32"/>
          <w:highlight w:val="none"/>
          <w:lang w:eastAsia="zh-CN"/>
        </w:rPr>
        <w:t>内容</w:t>
      </w:r>
    </w:p>
    <w:p w14:paraId="2154AA7D">
      <w:pPr>
        <w:spacing w:line="560" w:lineRule="exact"/>
        <w:ind w:firstLine="640" w:firstLineChars="200"/>
        <w:rPr>
          <w:rFonts w:hint="default" w:ascii="Times New Roman" w:hAnsi="Times New Roman" w:eastAsia="仿宋_GB2312" w:cs="Times New Roman"/>
          <w:sz w:val="32"/>
          <w:szCs w:val="32"/>
          <w:highlight w:val="none"/>
          <w:lang w:val="en-US" w:eastAsia="zh-CN"/>
        </w:rPr>
      </w:pPr>
      <w:bookmarkStart w:id="3" w:name="_Hlk218431093"/>
      <w:r>
        <w:rPr>
          <w:rFonts w:hint="default" w:ascii="Times New Roman" w:hAnsi="Times New Roman" w:eastAsia="仿宋_GB2312" w:cs="Times New Roman"/>
          <w:sz w:val="32"/>
          <w:szCs w:val="32"/>
          <w:highlight w:val="none"/>
          <w:lang w:val="en-US" w:eastAsia="zh-CN"/>
        </w:rPr>
        <w:t>修订后的</w:t>
      </w:r>
      <w:r>
        <w:rPr>
          <w:rFonts w:hint="default" w:ascii="Times New Roman" w:hAnsi="Times New Roman" w:eastAsia="仿宋_GB2312" w:cs="Times New Roman"/>
          <w:sz w:val="32"/>
          <w:szCs w:val="32"/>
          <w:highlight w:val="none"/>
          <w:lang w:eastAsia="zh-CN"/>
        </w:rPr>
        <w:t>《大类基础资产</w:t>
      </w:r>
      <w:r>
        <w:rPr>
          <w:rFonts w:hint="default" w:ascii="Times New Roman" w:hAnsi="Times New Roman" w:eastAsia="仿宋_GB2312" w:cs="Times New Roman"/>
          <w:b w:val="0"/>
          <w:bCs/>
          <w:sz w:val="32"/>
          <w:szCs w:val="32"/>
          <w:lang w:eastAsia="zh-CN"/>
        </w:rPr>
        <w:t>指引》共</w:t>
      </w:r>
      <w:r>
        <w:rPr>
          <w:rFonts w:hint="default" w:ascii="Times New Roman" w:hAnsi="Times New Roman" w:eastAsia="仿宋_GB2312" w:cs="Times New Roman"/>
          <w:b w:val="0"/>
          <w:bCs/>
          <w:sz w:val="32"/>
          <w:szCs w:val="32"/>
          <w:lang w:val="en-US" w:eastAsia="zh-CN"/>
        </w:rPr>
        <w:t>8章163条，</w:t>
      </w:r>
      <w:r>
        <w:rPr>
          <w:rFonts w:hint="default" w:ascii="Times New Roman" w:hAnsi="Times New Roman" w:eastAsia="仿宋_GB2312" w:cs="Times New Roman"/>
          <w:sz w:val="32"/>
          <w:szCs w:val="32"/>
          <w:highlight w:val="none"/>
          <w:lang w:val="en-US" w:eastAsia="zh-CN"/>
        </w:rPr>
        <w:t>主要修订内容如下：</w:t>
      </w:r>
    </w:p>
    <w:p w14:paraId="6D35880C">
      <w:pPr>
        <w:spacing w:line="560" w:lineRule="exact"/>
        <w:ind w:firstLine="640" w:firstLineChars="200"/>
        <w:rPr>
          <w:rFonts w:hint="default" w:ascii="Times New Roman" w:hAnsi="Times New Roman" w:eastAsia="楷体_GB2312" w:cs="Times New Roman"/>
          <w:b w:val="0"/>
          <w:bCs w:val="0"/>
          <w:sz w:val="32"/>
          <w:szCs w:val="32"/>
          <w:highlight w:val="none"/>
          <w:lang w:eastAsia="zh-CN"/>
        </w:rPr>
      </w:pPr>
      <w:r>
        <w:rPr>
          <w:rFonts w:hint="default" w:ascii="Times New Roman" w:hAnsi="Times New Roman" w:eastAsia="楷体_GB2312" w:cs="Times New Roman"/>
          <w:b w:val="0"/>
          <w:bCs w:val="0"/>
          <w:sz w:val="32"/>
          <w:szCs w:val="32"/>
          <w:highlight w:val="none"/>
          <w:lang w:eastAsia="zh-CN"/>
        </w:rPr>
        <w:t>（一）新增专章明确</w:t>
      </w:r>
      <w:r>
        <w:rPr>
          <w:rFonts w:hint="default" w:ascii="Times New Roman" w:hAnsi="Times New Roman" w:eastAsia="楷体_GB2312" w:cs="Times New Roman"/>
          <w:b w:val="0"/>
          <w:bCs w:val="0"/>
          <w:sz w:val="32"/>
          <w:szCs w:val="32"/>
          <w:highlight w:val="none"/>
          <w:lang w:val="en-US" w:eastAsia="zh-CN"/>
        </w:rPr>
        <w:t>不动产基础资产</w:t>
      </w:r>
      <w:r>
        <w:rPr>
          <w:rFonts w:hint="eastAsia" w:ascii="Times New Roman" w:hAnsi="Times New Roman" w:eastAsia="楷体_GB2312" w:cs="Times New Roman"/>
          <w:b w:val="0"/>
          <w:bCs w:val="0"/>
          <w:sz w:val="32"/>
          <w:szCs w:val="32"/>
          <w:highlight w:val="none"/>
          <w:lang w:val="en-US" w:eastAsia="zh-CN"/>
        </w:rPr>
        <w:t>通用</w:t>
      </w:r>
      <w:r>
        <w:rPr>
          <w:rFonts w:hint="default" w:ascii="Times New Roman" w:hAnsi="Times New Roman" w:eastAsia="楷体_GB2312" w:cs="Times New Roman"/>
          <w:b w:val="0"/>
          <w:bCs w:val="0"/>
          <w:sz w:val="32"/>
          <w:szCs w:val="32"/>
          <w:highlight w:val="none"/>
          <w:lang w:val="en-US" w:eastAsia="zh-CN"/>
        </w:rPr>
        <w:t>审核关注要点</w:t>
      </w:r>
    </w:p>
    <w:p w14:paraId="3DEAE12B">
      <w:pPr>
        <w:numPr>
          <w:ilvl w:val="0"/>
          <w:numId w:val="0"/>
        </w:numPr>
        <w:spacing w:line="560" w:lineRule="exact"/>
        <w:ind w:firstLine="643"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rPr>
        <w:t>一是</w:t>
      </w:r>
      <w:r>
        <w:rPr>
          <w:rFonts w:hint="default" w:ascii="Times New Roman" w:hAnsi="Times New Roman" w:eastAsia="仿宋_GB2312" w:cs="Times New Roman"/>
          <w:sz w:val="32"/>
          <w:szCs w:val="32"/>
          <w:highlight w:val="none"/>
          <w:lang w:val="en-US" w:eastAsia="zh-CN"/>
        </w:rPr>
        <w:t>明确不动产基础资产定义及资产类型</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界定不动产基础资产的核心内涵，明确不同类型资产可以混包发行。</w:t>
      </w:r>
      <w:r>
        <w:rPr>
          <w:rFonts w:hint="default" w:ascii="Times New Roman" w:hAnsi="Times New Roman" w:eastAsia="仿宋_GB2312" w:cs="Times New Roman"/>
          <w:b/>
          <w:bCs/>
          <w:sz w:val="32"/>
          <w:szCs w:val="32"/>
          <w:highlight w:val="none"/>
          <w:lang w:val="en-US" w:eastAsia="zh-CN"/>
        </w:rPr>
        <w:t>二是</w:t>
      </w:r>
      <w:r>
        <w:rPr>
          <w:rFonts w:hint="default" w:ascii="Times New Roman" w:hAnsi="Times New Roman" w:eastAsia="仿宋_GB2312" w:cs="Times New Roman"/>
          <w:sz w:val="32"/>
          <w:szCs w:val="32"/>
          <w:highlight w:val="none"/>
          <w:lang w:val="en-US" w:eastAsia="zh-CN"/>
        </w:rPr>
        <w:t>规范不动产项目合规准入条件</w:t>
      </w:r>
      <w:r>
        <w:rPr>
          <w:rFonts w:hint="eastAsia" w:ascii="Times New Roman" w:hAnsi="Times New Roman" w:eastAsia="仿宋_GB2312" w:cs="Times New Roman"/>
          <w:sz w:val="32"/>
          <w:szCs w:val="32"/>
          <w:highlight w:val="none"/>
          <w:lang w:val="en-US" w:eastAsia="zh-CN"/>
        </w:rPr>
        <w:t>，明确</w:t>
      </w:r>
      <w:r>
        <w:rPr>
          <w:rFonts w:hint="default" w:ascii="Times New Roman" w:hAnsi="Times New Roman" w:eastAsia="仿宋_GB2312" w:cs="Times New Roman"/>
          <w:sz w:val="32"/>
          <w:szCs w:val="32"/>
          <w:highlight w:val="none"/>
          <w:lang w:val="en-US" w:eastAsia="zh-CN"/>
        </w:rPr>
        <w:t>权属清晰、转让有效、关键合规手续完备、用途一致、经营资质合法有效</w:t>
      </w:r>
      <w:r>
        <w:rPr>
          <w:rFonts w:hint="eastAsia" w:ascii="Times New Roman" w:hAnsi="Times New Roman" w:eastAsia="仿宋_GB2312" w:cs="Times New Roman"/>
          <w:sz w:val="32"/>
          <w:szCs w:val="32"/>
          <w:highlight w:val="none"/>
          <w:lang w:val="en-US" w:eastAsia="zh-CN"/>
        </w:rPr>
        <w:t>等</w:t>
      </w:r>
      <w:r>
        <w:rPr>
          <w:rFonts w:hint="default" w:ascii="Times New Roman" w:hAnsi="Times New Roman" w:eastAsia="仿宋_GB2312" w:cs="Times New Roman"/>
          <w:sz w:val="32"/>
          <w:szCs w:val="32"/>
          <w:highlight w:val="none"/>
          <w:lang w:val="en-US" w:eastAsia="zh-CN"/>
        </w:rPr>
        <w:t>合规要求，并针对合规瑕疵情形，明确处理方式。</w:t>
      </w:r>
      <w:r>
        <w:rPr>
          <w:rFonts w:hint="default" w:ascii="Times New Roman" w:hAnsi="Times New Roman" w:eastAsia="仿宋_GB2312" w:cs="Times New Roman"/>
          <w:b/>
          <w:bCs/>
          <w:sz w:val="32"/>
          <w:szCs w:val="32"/>
          <w:highlight w:val="none"/>
          <w:lang w:val="en-US" w:eastAsia="zh-CN"/>
        </w:rPr>
        <w:t>三是</w:t>
      </w:r>
      <w:r>
        <w:rPr>
          <w:rFonts w:hint="default" w:ascii="Times New Roman" w:hAnsi="Times New Roman" w:eastAsia="仿宋_GB2312" w:cs="Times New Roman"/>
          <w:sz w:val="32"/>
          <w:szCs w:val="32"/>
          <w:highlight w:val="none"/>
          <w:lang w:val="en-US" w:eastAsia="zh-CN"/>
        </w:rPr>
        <w:t>强化项目运营与现金流要求</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要求不动产项目具备成熟稳定的运营模式且已经开始运营，现金流独立稳定，能够覆盖运营支出且不依赖</w:t>
      </w:r>
      <w:r>
        <w:rPr>
          <w:rFonts w:hint="eastAsia" w:ascii="Times New Roman" w:hAnsi="Times New Roman" w:eastAsia="仿宋_GB2312" w:cs="Times New Roman"/>
          <w:sz w:val="32"/>
          <w:szCs w:val="32"/>
          <w:highlight w:val="none"/>
          <w:lang w:val="en-US" w:eastAsia="zh-CN"/>
        </w:rPr>
        <w:t>主体</w:t>
      </w:r>
      <w:r>
        <w:rPr>
          <w:rFonts w:hint="default" w:ascii="Times New Roman" w:hAnsi="Times New Roman" w:eastAsia="仿宋_GB2312" w:cs="Times New Roman"/>
          <w:sz w:val="32"/>
          <w:szCs w:val="32"/>
          <w:highlight w:val="none"/>
          <w:lang w:val="en-US" w:eastAsia="zh-CN"/>
        </w:rPr>
        <w:t>补足。</w:t>
      </w:r>
      <w:r>
        <w:rPr>
          <w:rFonts w:hint="default" w:ascii="Times New Roman" w:hAnsi="Times New Roman" w:eastAsia="仿宋_GB2312" w:cs="Times New Roman"/>
          <w:b/>
          <w:bCs/>
          <w:sz w:val="32"/>
          <w:szCs w:val="32"/>
          <w:highlight w:val="none"/>
          <w:lang w:val="en-US" w:eastAsia="zh-CN"/>
        </w:rPr>
        <w:t>四是</w:t>
      </w:r>
      <w:r>
        <w:rPr>
          <w:rFonts w:hint="default" w:ascii="Times New Roman" w:hAnsi="Times New Roman" w:eastAsia="仿宋_GB2312" w:cs="Times New Roman"/>
          <w:sz w:val="32"/>
          <w:szCs w:val="32"/>
          <w:highlight w:val="none"/>
          <w:lang w:val="en-US" w:eastAsia="zh-CN"/>
        </w:rPr>
        <w:t>规范资产评估与现金流预测</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明确资产评估频率、评估方法选取、评估机构资质、评估参数确定原则等要求，强化估值和现金流预测合理性核查，压实评估机构、现金流预测机构与管理人的责任。</w:t>
      </w:r>
      <w:r>
        <w:rPr>
          <w:rFonts w:hint="default" w:ascii="Times New Roman" w:hAnsi="Times New Roman" w:eastAsia="仿宋_GB2312" w:cs="Times New Roman"/>
          <w:b/>
          <w:bCs/>
          <w:sz w:val="32"/>
          <w:szCs w:val="32"/>
          <w:highlight w:val="none"/>
          <w:lang w:val="en-US" w:eastAsia="zh-CN"/>
        </w:rPr>
        <w:t>五是</w:t>
      </w:r>
      <w:r>
        <w:rPr>
          <w:rFonts w:hint="default" w:ascii="Times New Roman" w:hAnsi="Times New Roman" w:eastAsia="仿宋_GB2312" w:cs="Times New Roman"/>
          <w:sz w:val="32"/>
          <w:szCs w:val="32"/>
          <w:highlight w:val="none"/>
          <w:lang w:val="en-US" w:eastAsia="zh-CN"/>
        </w:rPr>
        <w:t>细化产品设计相关要求</w:t>
      </w:r>
      <w:r>
        <w:rPr>
          <w:rFonts w:hint="eastAsia" w:ascii="Times New Roman" w:hAnsi="Times New Roman" w:eastAsia="仿宋_GB2312" w:cs="Times New Roman"/>
          <w:sz w:val="32"/>
          <w:szCs w:val="32"/>
          <w:highlight w:val="none"/>
          <w:lang w:val="en-US" w:eastAsia="zh-CN"/>
        </w:rPr>
        <w:t>，要求</w:t>
      </w:r>
      <w:r>
        <w:rPr>
          <w:rFonts w:hint="default" w:ascii="Times New Roman" w:hAnsi="Times New Roman" w:eastAsia="仿宋_GB2312" w:cs="Times New Roman"/>
          <w:sz w:val="32"/>
          <w:szCs w:val="32"/>
          <w:highlight w:val="none"/>
          <w:lang w:val="en-US" w:eastAsia="zh-CN"/>
        </w:rPr>
        <w:t>专项计划应当通过交易安排实现对不动产项目的直接或者间接控制，明确资产重组、国资转让、处置退出等交易安排。</w:t>
      </w:r>
      <w:r>
        <w:rPr>
          <w:rFonts w:hint="default" w:ascii="Times New Roman" w:hAnsi="Times New Roman" w:eastAsia="仿宋_GB2312" w:cs="Times New Roman"/>
          <w:b/>
          <w:bCs/>
          <w:sz w:val="32"/>
          <w:szCs w:val="32"/>
          <w:highlight w:val="none"/>
          <w:lang w:val="en-US" w:eastAsia="zh-CN"/>
        </w:rPr>
        <w:t>六是</w:t>
      </w:r>
      <w:r>
        <w:rPr>
          <w:rFonts w:hint="default" w:ascii="Times New Roman" w:hAnsi="Times New Roman" w:eastAsia="仿宋_GB2312" w:cs="Times New Roman"/>
          <w:sz w:val="32"/>
          <w:szCs w:val="32"/>
          <w:highlight w:val="none"/>
          <w:lang w:val="en-US" w:eastAsia="zh-CN"/>
        </w:rPr>
        <w:t>压实相关机构运营管理职责</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要求管理人明确并披露其主动履行不动产项目管理职责的相关安排和机制，</w:t>
      </w:r>
      <w:r>
        <w:rPr>
          <w:rFonts w:hint="eastAsia" w:ascii="Times New Roman" w:hAnsi="Times New Roman" w:eastAsia="仿宋_GB2312" w:cs="Times New Roman"/>
          <w:sz w:val="32"/>
          <w:szCs w:val="32"/>
          <w:highlight w:val="none"/>
          <w:lang w:val="en-US" w:eastAsia="zh-CN"/>
        </w:rPr>
        <w:t>涉及</w:t>
      </w:r>
      <w:r>
        <w:rPr>
          <w:rFonts w:hint="default" w:ascii="Times New Roman" w:hAnsi="Times New Roman" w:eastAsia="仿宋_GB2312" w:cs="Times New Roman"/>
          <w:sz w:val="32"/>
          <w:szCs w:val="32"/>
          <w:highlight w:val="none"/>
          <w:lang w:val="en-US" w:eastAsia="zh-CN"/>
        </w:rPr>
        <w:t>委托</w:t>
      </w:r>
      <w:r>
        <w:rPr>
          <w:rFonts w:hint="eastAsia" w:ascii="Times New Roman" w:hAnsi="Times New Roman" w:eastAsia="仿宋_GB2312" w:cs="Times New Roman"/>
          <w:sz w:val="32"/>
          <w:szCs w:val="32"/>
          <w:highlight w:val="none"/>
          <w:lang w:val="en-US" w:eastAsia="zh-CN"/>
        </w:rPr>
        <w:t>外部</w:t>
      </w:r>
      <w:r>
        <w:rPr>
          <w:rFonts w:hint="default" w:ascii="Times New Roman" w:hAnsi="Times New Roman" w:eastAsia="仿宋_GB2312" w:cs="Times New Roman"/>
          <w:sz w:val="32"/>
          <w:szCs w:val="32"/>
          <w:highlight w:val="none"/>
          <w:lang w:val="en-US" w:eastAsia="zh-CN"/>
        </w:rPr>
        <w:t>运营管理机构的，应当具备不动产项目相关业务管理能力。</w:t>
      </w:r>
    </w:p>
    <w:p w14:paraId="1189F3CF">
      <w:pPr>
        <w:spacing w:line="560" w:lineRule="exact"/>
        <w:ind w:firstLine="640" w:firstLineChars="200"/>
        <w:rPr>
          <w:rFonts w:hint="default" w:ascii="Times New Roman" w:hAnsi="Times New Roman" w:eastAsia="楷体_GB2312" w:cs="Times New Roman"/>
          <w:b w:val="0"/>
          <w:bCs w:val="0"/>
          <w:sz w:val="32"/>
          <w:szCs w:val="32"/>
          <w:highlight w:val="none"/>
          <w:lang w:eastAsia="zh-CN"/>
        </w:rPr>
      </w:pPr>
      <w:r>
        <w:rPr>
          <w:rFonts w:hint="default" w:ascii="Times New Roman" w:hAnsi="Times New Roman" w:eastAsia="楷体_GB2312" w:cs="Times New Roman"/>
          <w:b w:val="0"/>
          <w:bCs w:val="0"/>
          <w:sz w:val="32"/>
          <w:szCs w:val="32"/>
          <w:highlight w:val="none"/>
          <w:lang w:eastAsia="zh-CN"/>
        </w:rPr>
        <w:t>（二）新增专章明确</w:t>
      </w:r>
      <w:r>
        <w:rPr>
          <w:rFonts w:hint="eastAsia" w:ascii="Times New Roman" w:hAnsi="Times New Roman" w:eastAsia="楷体_GB2312" w:cs="Times New Roman"/>
          <w:b w:val="0"/>
          <w:bCs w:val="0"/>
          <w:sz w:val="32"/>
          <w:szCs w:val="32"/>
          <w:highlight w:val="none"/>
          <w:lang w:val="en-US" w:eastAsia="zh-CN"/>
        </w:rPr>
        <w:t>不动产证券化</w:t>
      </w:r>
      <w:r>
        <w:rPr>
          <w:rFonts w:hint="default" w:ascii="Times New Roman" w:hAnsi="Times New Roman" w:eastAsia="楷体_GB2312" w:cs="Times New Roman"/>
          <w:b w:val="0"/>
          <w:bCs w:val="0"/>
          <w:sz w:val="32"/>
          <w:szCs w:val="32"/>
          <w:highlight w:val="none"/>
          <w:lang w:eastAsia="zh-CN"/>
        </w:rPr>
        <w:t>特别规定</w:t>
      </w:r>
    </w:p>
    <w:p w14:paraId="6E03D5DE">
      <w:pPr>
        <w:numPr>
          <w:ilvl w:val="0"/>
          <w:numId w:val="0"/>
        </w:numPr>
        <w:spacing w:line="560" w:lineRule="exact"/>
        <w:ind w:firstLine="643"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一是</w:t>
      </w:r>
      <w:r>
        <w:rPr>
          <w:rFonts w:hint="eastAsia" w:ascii="Times New Roman" w:hAnsi="Times New Roman" w:eastAsia="仿宋_GB2312" w:cs="Times New Roman"/>
          <w:b w:val="0"/>
          <w:bCs w:val="0"/>
          <w:sz w:val="32"/>
          <w:szCs w:val="32"/>
          <w:highlight w:val="none"/>
          <w:lang w:val="en-US" w:eastAsia="zh-CN"/>
        </w:rPr>
        <w:t>明确了</w:t>
      </w:r>
      <w:r>
        <w:rPr>
          <w:rFonts w:hint="default" w:ascii="Times New Roman" w:hAnsi="Times New Roman" w:eastAsia="仿宋_GB2312" w:cs="Times New Roman"/>
          <w:b w:val="0"/>
          <w:bCs w:val="0"/>
          <w:sz w:val="32"/>
          <w:szCs w:val="32"/>
          <w:highlight w:val="none"/>
          <w:lang w:val="en-US" w:eastAsia="zh-CN"/>
        </w:rPr>
        <w:t>以不动产为基础资产，且结构上同时具备权益属性特征的资产支持证券</w:t>
      </w:r>
      <w:r>
        <w:rPr>
          <w:rFonts w:hint="eastAsia" w:ascii="Times New Roman" w:hAnsi="Times New Roman" w:eastAsia="仿宋_GB2312" w:cs="Times New Roman"/>
          <w:b w:val="0"/>
          <w:bCs w:val="0"/>
          <w:sz w:val="32"/>
          <w:szCs w:val="32"/>
          <w:highlight w:val="none"/>
          <w:lang w:val="en-US" w:eastAsia="zh-CN"/>
        </w:rPr>
        <w:t>（以下简称机构间REITs）</w:t>
      </w:r>
      <w:r>
        <w:rPr>
          <w:rFonts w:hint="default" w:ascii="Times New Roman" w:hAnsi="Times New Roman" w:eastAsia="仿宋_GB2312" w:cs="Times New Roman"/>
          <w:sz w:val="32"/>
          <w:szCs w:val="32"/>
          <w:highlight w:val="none"/>
          <w:lang w:val="en-US" w:eastAsia="zh-CN"/>
        </w:rPr>
        <w:t>需具备无外部增信、平层结构、无强制回购、主动管理等特征，明确其权益属性。</w:t>
      </w:r>
      <w:r>
        <w:rPr>
          <w:rFonts w:hint="default" w:ascii="Times New Roman" w:hAnsi="Times New Roman" w:eastAsia="仿宋_GB2312" w:cs="Times New Roman"/>
          <w:b/>
          <w:bCs/>
          <w:sz w:val="32"/>
          <w:szCs w:val="32"/>
          <w:highlight w:val="none"/>
          <w:lang w:val="en-US" w:eastAsia="zh-CN"/>
        </w:rPr>
        <w:t>二是</w:t>
      </w:r>
      <w:r>
        <w:rPr>
          <w:rFonts w:hint="default" w:ascii="Times New Roman" w:hAnsi="Times New Roman" w:eastAsia="仿宋_GB2312" w:cs="Times New Roman"/>
          <w:b w:val="0"/>
          <w:bCs/>
          <w:sz w:val="32"/>
          <w:szCs w:val="32"/>
        </w:rPr>
        <w:t>压实管理人对</w:t>
      </w:r>
      <w:r>
        <w:rPr>
          <w:rFonts w:hint="default" w:ascii="Times New Roman" w:hAnsi="Times New Roman" w:eastAsia="仿宋_GB2312" w:cs="Times New Roman"/>
          <w:b w:val="0"/>
          <w:bCs/>
          <w:sz w:val="32"/>
          <w:szCs w:val="32"/>
          <w:lang w:eastAsia="zh-CN"/>
        </w:rPr>
        <w:t>估值</w:t>
      </w:r>
      <w:r>
        <w:rPr>
          <w:rFonts w:hint="default" w:ascii="Times New Roman" w:hAnsi="Times New Roman" w:eastAsia="仿宋_GB2312" w:cs="Times New Roman"/>
          <w:b w:val="0"/>
          <w:bCs/>
          <w:sz w:val="32"/>
          <w:szCs w:val="32"/>
        </w:rPr>
        <w:t>参数选取合理性的核查责任</w:t>
      </w:r>
      <w:r>
        <w:rPr>
          <w:rFonts w:hint="default" w:ascii="Times New Roman" w:hAnsi="Times New Roman" w:eastAsia="仿宋_GB2312" w:cs="Times New Roman"/>
          <w:b w:val="0"/>
          <w:bCs/>
          <w:sz w:val="32"/>
          <w:szCs w:val="32"/>
          <w:lang w:eastAsia="zh-CN"/>
        </w:rPr>
        <w:t>，</w:t>
      </w:r>
      <w:r>
        <w:rPr>
          <w:rFonts w:hint="eastAsia" w:ascii="Times New Roman" w:hAnsi="Times New Roman" w:eastAsia="仿宋_GB2312" w:cs="Times New Roman"/>
          <w:b w:val="0"/>
          <w:bCs/>
          <w:sz w:val="32"/>
          <w:szCs w:val="32"/>
          <w:lang w:eastAsia="zh-CN"/>
        </w:rPr>
        <w:t>要求参照市场可比交易参数核查说明，</w:t>
      </w:r>
      <w:r>
        <w:rPr>
          <w:rFonts w:hint="default" w:ascii="Times New Roman" w:hAnsi="Times New Roman" w:eastAsia="仿宋_GB2312" w:cs="Times New Roman"/>
          <w:sz w:val="32"/>
          <w:szCs w:val="32"/>
        </w:rPr>
        <w:t>确保估值公允合理。</w:t>
      </w:r>
      <w:r>
        <w:rPr>
          <w:rFonts w:hint="default" w:ascii="Times New Roman" w:hAnsi="Times New Roman" w:eastAsia="仿宋_GB2312" w:cs="Times New Roman"/>
          <w:b/>
          <w:bCs/>
          <w:sz w:val="32"/>
          <w:szCs w:val="32"/>
          <w:highlight w:val="none"/>
          <w:lang w:val="en-US" w:eastAsia="zh-CN"/>
        </w:rPr>
        <w:t>三是</w:t>
      </w:r>
      <w:r>
        <w:rPr>
          <w:rFonts w:hint="default" w:ascii="Times New Roman" w:hAnsi="Times New Roman" w:eastAsia="仿宋_GB2312" w:cs="Times New Roman"/>
          <w:b w:val="0"/>
          <w:bCs w:val="0"/>
          <w:sz w:val="32"/>
          <w:szCs w:val="32"/>
          <w:highlight w:val="none"/>
          <w:lang w:val="en-US" w:eastAsia="zh-CN"/>
        </w:rPr>
        <w:t>压实管理人主动管理职责，要求管理人具备相适配的专业能力，建立有效的内部治理机制，实现对底层资产的主动管理和定期监测，推动其从被动管理向全周期、专业化资产运营机构转型。</w:t>
      </w:r>
      <w:r>
        <w:rPr>
          <w:rFonts w:hint="default" w:ascii="Times New Roman" w:hAnsi="Times New Roman" w:eastAsia="仿宋_GB2312" w:cs="Times New Roman"/>
          <w:b/>
          <w:bCs/>
          <w:sz w:val="32"/>
          <w:szCs w:val="32"/>
          <w:highlight w:val="none"/>
          <w:lang w:val="en-US" w:eastAsia="zh-CN"/>
        </w:rPr>
        <w:t>四是</w:t>
      </w:r>
      <w:r>
        <w:rPr>
          <w:rFonts w:hint="default" w:ascii="Times New Roman" w:hAnsi="Times New Roman" w:eastAsia="仿宋_GB2312" w:cs="Times New Roman"/>
          <w:sz w:val="32"/>
          <w:szCs w:val="32"/>
          <w:highlight w:val="none"/>
          <w:lang w:val="en-US" w:eastAsia="zh-CN"/>
        </w:rPr>
        <w:t>强化运</w:t>
      </w:r>
      <w:r>
        <w:rPr>
          <w:rFonts w:hint="eastAsia" w:ascii="Times New Roman" w:hAnsi="Times New Roman" w:eastAsia="仿宋_GB2312" w:cs="Times New Roman"/>
          <w:sz w:val="32"/>
          <w:szCs w:val="32"/>
          <w:highlight w:val="none"/>
          <w:lang w:val="en-US" w:eastAsia="zh"/>
        </w:rPr>
        <w:t>营</w:t>
      </w:r>
      <w:r>
        <w:rPr>
          <w:rFonts w:hint="default" w:ascii="Times New Roman" w:hAnsi="Times New Roman" w:eastAsia="仿宋_GB2312" w:cs="Times New Roman"/>
          <w:sz w:val="32"/>
          <w:szCs w:val="32"/>
          <w:highlight w:val="none"/>
          <w:lang w:val="en-US" w:eastAsia="zh-CN"/>
        </w:rPr>
        <w:t>管理要求，细化运营管理机构资质标准，</w:t>
      </w:r>
      <w:r>
        <w:rPr>
          <w:rFonts w:hint="default" w:ascii="Times New Roman" w:hAnsi="Times New Roman" w:eastAsia="仿宋_GB2312" w:cs="Times New Roman"/>
          <w:sz w:val="32"/>
          <w:szCs w:val="32"/>
        </w:rPr>
        <w:t>强调运营管理机构管理能力，建立激励得当的运营管理机制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以稳定并提升资产收益水平</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b/>
          <w:bCs/>
          <w:sz w:val="32"/>
          <w:szCs w:val="32"/>
          <w:highlight w:val="none"/>
          <w:lang w:val="en-US" w:eastAsia="zh-CN"/>
        </w:rPr>
        <w:t>五是</w:t>
      </w:r>
      <w:r>
        <w:rPr>
          <w:rFonts w:hint="default" w:ascii="Times New Roman" w:hAnsi="Times New Roman" w:eastAsia="仿宋_GB2312" w:cs="Times New Roman"/>
          <w:b w:val="0"/>
          <w:bCs/>
          <w:sz w:val="32"/>
          <w:szCs w:val="32"/>
          <w:lang w:eastAsia="zh-CN"/>
        </w:rPr>
        <w:t>规范</w:t>
      </w:r>
      <w:r>
        <w:rPr>
          <w:rFonts w:hint="default" w:ascii="Times New Roman" w:hAnsi="Times New Roman" w:eastAsia="仿宋_GB2312" w:cs="Times New Roman"/>
          <w:b w:val="0"/>
          <w:bCs/>
          <w:sz w:val="32"/>
          <w:szCs w:val="32"/>
          <w:lang w:val="en-US" w:eastAsia="zh-CN"/>
        </w:rPr>
        <w:t>产品</w:t>
      </w:r>
      <w:r>
        <w:rPr>
          <w:rFonts w:hint="default" w:ascii="Times New Roman" w:hAnsi="Times New Roman" w:eastAsia="仿宋_GB2312" w:cs="Times New Roman"/>
          <w:b w:val="0"/>
          <w:bCs/>
          <w:sz w:val="32"/>
          <w:szCs w:val="32"/>
        </w:rPr>
        <w:t>机制</w:t>
      </w:r>
      <w:r>
        <w:rPr>
          <w:rFonts w:hint="default" w:ascii="Times New Roman" w:hAnsi="Times New Roman" w:eastAsia="仿宋_GB2312" w:cs="Times New Roman"/>
          <w:b w:val="0"/>
          <w:bCs/>
          <w:sz w:val="32"/>
          <w:szCs w:val="32"/>
          <w:lang w:eastAsia="zh-CN"/>
        </w:rPr>
        <w:t>设计，</w:t>
      </w:r>
      <w:r>
        <w:rPr>
          <w:rFonts w:hint="default" w:ascii="Times New Roman" w:hAnsi="Times New Roman" w:eastAsia="仿宋_GB2312" w:cs="Times New Roman"/>
          <w:sz w:val="32"/>
          <w:szCs w:val="32"/>
        </w:rPr>
        <w:t>允许项目公司适度负债，</w:t>
      </w:r>
      <w:r>
        <w:rPr>
          <w:rFonts w:hint="default" w:ascii="Times New Roman" w:hAnsi="Times New Roman" w:eastAsia="仿宋_GB2312" w:cs="Times New Roman"/>
          <w:b w:val="0"/>
          <w:bCs/>
          <w:sz w:val="32"/>
          <w:szCs w:val="32"/>
        </w:rPr>
        <w:t>允许管理人合理设置</w:t>
      </w:r>
      <w:r>
        <w:rPr>
          <w:rFonts w:hint="default" w:ascii="Times New Roman" w:hAnsi="Times New Roman" w:eastAsia="仿宋_GB2312" w:cs="Times New Roman"/>
          <w:bCs/>
          <w:sz w:val="32"/>
          <w:szCs w:val="32"/>
        </w:rPr>
        <w:t>自持比例安排、收益倾斜分配、运营绩效对赌等</w:t>
      </w:r>
      <w:r>
        <w:rPr>
          <w:rFonts w:hint="default" w:ascii="Times New Roman" w:hAnsi="Times New Roman" w:eastAsia="仿宋_GB2312" w:cs="Times New Roman"/>
          <w:b w:val="0"/>
          <w:bCs/>
          <w:sz w:val="32"/>
          <w:szCs w:val="32"/>
        </w:rPr>
        <w:t>保障条款</w:t>
      </w:r>
      <w:r>
        <w:rPr>
          <w:rFonts w:hint="default" w:ascii="Times New Roman" w:hAnsi="Times New Roman" w:eastAsia="仿宋_GB2312" w:cs="Times New Roman"/>
          <w:b w:val="0"/>
          <w:bCs/>
          <w:sz w:val="32"/>
          <w:szCs w:val="32"/>
          <w:lang w:eastAsia="zh-CN"/>
        </w:rPr>
        <w:t>，明确原则上分红比例应当达到</w:t>
      </w:r>
      <w:r>
        <w:rPr>
          <w:rFonts w:hint="default" w:ascii="Times New Roman" w:hAnsi="Times New Roman" w:eastAsia="仿宋_GB2312" w:cs="Times New Roman"/>
          <w:b w:val="0"/>
          <w:bCs/>
          <w:sz w:val="32"/>
          <w:szCs w:val="32"/>
          <w:lang w:val="en-US" w:eastAsia="zh-CN"/>
        </w:rPr>
        <w:t>90%以上，</w:t>
      </w:r>
      <w:r>
        <w:rPr>
          <w:rFonts w:hint="default" w:ascii="Times New Roman" w:hAnsi="Times New Roman" w:eastAsia="仿宋_GB2312" w:cs="Times New Roman"/>
          <w:b w:val="0"/>
          <w:bCs/>
          <w:sz w:val="32"/>
          <w:szCs w:val="32"/>
        </w:rPr>
        <w:t>扩募</w:t>
      </w:r>
      <w:r>
        <w:rPr>
          <w:rFonts w:hint="eastAsia" w:ascii="Times New Roman" w:hAnsi="Times New Roman" w:eastAsia="仿宋_GB2312" w:cs="Times New Roman"/>
          <w:b w:val="0"/>
          <w:bCs/>
          <w:sz w:val="32"/>
          <w:szCs w:val="32"/>
          <w:lang w:eastAsia="zh-CN"/>
        </w:rPr>
        <w:t>申请不设置间隔期要求</w:t>
      </w:r>
      <w:r>
        <w:rPr>
          <w:rFonts w:hint="default" w:ascii="Times New Roman" w:hAnsi="Times New Roman" w:eastAsia="仿宋_GB2312" w:cs="Times New Roman"/>
          <w:b w:val="0"/>
          <w:bCs/>
          <w:sz w:val="32"/>
          <w:szCs w:val="32"/>
        </w:rPr>
        <w:t>，</w:t>
      </w:r>
      <w:r>
        <w:rPr>
          <w:rFonts w:hint="default" w:ascii="Times New Roman" w:hAnsi="Times New Roman" w:eastAsia="仿宋_GB2312" w:cs="Times New Roman"/>
          <w:sz w:val="32"/>
          <w:szCs w:val="32"/>
        </w:rPr>
        <w:t>增强产品活力。</w:t>
      </w:r>
    </w:p>
    <w:p w14:paraId="2432FF94">
      <w:pPr>
        <w:numPr>
          <w:ilvl w:val="0"/>
          <w:numId w:val="0"/>
        </w:numPr>
        <w:spacing w:line="560" w:lineRule="exact"/>
        <w:ind w:firstLine="640" w:firstLineChars="200"/>
        <w:rPr>
          <w:rFonts w:hint="default" w:ascii="Times New Roman" w:hAnsi="Times New Roman" w:eastAsia="楷体_GB2312" w:cs="Times New Roman"/>
          <w:b w:val="0"/>
          <w:bCs w:val="0"/>
          <w:sz w:val="32"/>
          <w:szCs w:val="32"/>
          <w:highlight w:val="none"/>
          <w:lang w:eastAsia="zh-CN"/>
        </w:rPr>
      </w:pPr>
      <w:bookmarkStart w:id="4" w:name="heading_4"/>
      <w:r>
        <w:rPr>
          <w:rFonts w:hint="default" w:ascii="Times New Roman" w:hAnsi="Times New Roman" w:eastAsia="楷体_GB2312" w:cs="Times New Roman"/>
          <w:b w:val="0"/>
          <w:bCs w:val="0"/>
          <w:sz w:val="32"/>
          <w:szCs w:val="32"/>
          <w:highlight w:val="none"/>
          <w:lang w:eastAsia="zh-CN"/>
        </w:rPr>
        <w:t>（三）完善</w:t>
      </w:r>
      <w:r>
        <w:rPr>
          <w:rFonts w:hint="eastAsia" w:ascii="Times New Roman" w:hAnsi="Times New Roman" w:eastAsia="楷体_GB2312" w:cs="Times New Roman"/>
          <w:b w:val="0"/>
          <w:bCs w:val="0"/>
          <w:sz w:val="32"/>
          <w:szCs w:val="32"/>
          <w:highlight w:val="none"/>
          <w:lang w:eastAsia="zh-CN"/>
        </w:rPr>
        <w:t>各大类</w:t>
      </w:r>
      <w:r>
        <w:rPr>
          <w:rFonts w:hint="default" w:ascii="Times New Roman" w:hAnsi="Times New Roman" w:eastAsia="楷体_GB2312" w:cs="Times New Roman"/>
          <w:b w:val="0"/>
          <w:bCs w:val="0"/>
          <w:sz w:val="32"/>
          <w:szCs w:val="32"/>
          <w:highlight w:val="none"/>
          <w:lang w:eastAsia="zh-CN"/>
        </w:rPr>
        <w:t>基础资产</w:t>
      </w:r>
      <w:bookmarkEnd w:id="4"/>
      <w:r>
        <w:rPr>
          <w:rFonts w:hint="default" w:ascii="Times New Roman" w:hAnsi="Times New Roman" w:eastAsia="楷体_GB2312" w:cs="Times New Roman"/>
          <w:b w:val="0"/>
          <w:bCs w:val="0"/>
          <w:sz w:val="32"/>
          <w:szCs w:val="32"/>
          <w:highlight w:val="none"/>
          <w:lang w:eastAsia="zh-CN"/>
        </w:rPr>
        <w:t>关注要点</w:t>
      </w:r>
    </w:p>
    <w:p w14:paraId="4A8B2EAF">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3" w:firstLineChars="200"/>
        <w:jc w:val="left"/>
        <w:textAlignment w:val="auto"/>
        <w:rPr>
          <w:rFonts w:hint="default" w:ascii="Times New Roman" w:hAnsi="Times New Roman" w:eastAsia="仿宋_GB2312" w:cs="Times New Roman"/>
          <w:b w:val="0"/>
          <w:bCs/>
          <w:sz w:val="32"/>
          <w:szCs w:val="32"/>
          <w14:ligatures w14:val="standardContextual"/>
        </w:rPr>
      </w:pPr>
      <w:r>
        <w:rPr>
          <w:rFonts w:hint="default" w:ascii="Times New Roman" w:hAnsi="Times New Roman" w:eastAsia="仿宋_GB2312" w:cs="Times New Roman"/>
          <w:b/>
          <w:bCs w:val="0"/>
          <w:sz w:val="32"/>
          <w:szCs w:val="32"/>
          <w:lang w:eastAsia="zh-CN"/>
          <w14:ligatures w14:val="standardContextual"/>
        </w:rPr>
        <w:t>一是</w:t>
      </w:r>
      <w:r>
        <w:rPr>
          <w:rFonts w:hint="eastAsia" w:ascii="Times New Roman" w:hAnsi="Times New Roman" w:eastAsia="仿宋_GB2312" w:cs="Times New Roman"/>
          <w:b w:val="0"/>
          <w:bCs/>
          <w:sz w:val="32"/>
          <w:szCs w:val="32"/>
          <w:lang w:eastAsia="zh-CN"/>
          <w14:ligatures w14:val="standardContextual"/>
        </w:rPr>
        <w:t>完善债权类基础资产关注要点。</w:t>
      </w:r>
      <w:r>
        <w:rPr>
          <w:rFonts w:hint="default" w:ascii="Times New Roman" w:hAnsi="Times New Roman" w:eastAsia="仿宋_GB2312" w:cs="Times New Roman"/>
          <w:b w:val="0"/>
          <w:bCs/>
          <w:sz w:val="32"/>
          <w:szCs w:val="32"/>
          <w:lang w:eastAsia="zh-CN"/>
          <w14:ligatures w14:val="standardContextual"/>
        </w:rPr>
        <w:t>强化保理业务规范性要求，明确保理公司受让基础资产对价</w:t>
      </w:r>
      <w:r>
        <w:rPr>
          <w:rFonts w:hint="eastAsia" w:ascii="Times New Roman" w:hAnsi="Times New Roman" w:eastAsia="仿宋_GB2312" w:cs="Times New Roman"/>
          <w:b w:val="0"/>
          <w:bCs/>
          <w:sz w:val="32"/>
          <w:szCs w:val="32"/>
          <w:lang w:eastAsia="zh-CN"/>
          <w14:ligatures w14:val="standardContextual"/>
        </w:rPr>
        <w:t>的</w:t>
      </w:r>
      <w:r>
        <w:rPr>
          <w:rFonts w:hint="default" w:ascii="Times New Roman" w:hAnsi="Times New Roman" w:eastAsia="仿宋_GB2312" w:cs="Times New Roman"/>
          <w:b w:val="0"/>
          <w:bCs/>
          <w:sz w:val="32"/>
          <w:szCs w:val="32"/>
          <w:lang w:eastAsia="zh-CN"/>
          <w14:ligatures w14:val="standardContextual"/>
        </w:rPr>
        <w:t>支付资金不得由核心企业或者债务人垫付</w:t>
      </w:r>
      <w:r>
        <w:rPr>
          <w:rFonts w:hint="eastAsia" w:ascii="Times New Roman" w:hAnsi="Times New Roman" w:eastAsia="仿宋_GB2312" w:cs="Times New Roman"/>
          <w:b w:val="0"/>
          <w:bCs/>
          <w:sz w:val="32"/>
          <w:szCs w:val="32"/>
          <w:lang w:eastAsia="zh-CN"/>
          <w14:ligatures w14:val="standardContextual"/>
        </w:rPr>
        <w:t>；</w:t>
      </w:r>
      <w:r>
        <w:rPr>
          <w:rFonts w:hint="default" w:ascii="Times New Roman" w:hAnsi="Times New Roman" w:eastAsia="仿宋_GB2312" w:cs="Times New Roman"/>
          <w:b w:val="0"/>
          <w:bCs/>
          <w:sz w:val="32"/>
          <w:szCs w:val="32"/>
          <w:lang w:eastAsia="zh-CN"/>
          <w14:ligatures w14:val="standardContextual"/>
        </w:rPr>
        <w:t>压实保理公司</w:t>
      </w:r>
      <w:r>
        <w:rPr>
          <w:rFonts w:hint="default" w:ascii="Times New Roman" w:hAnsi="Times New Roman" w:eastAsia="仿宋_GB2312" w:cs="Times New Roman"/>
          <w:sz w:val="32"/>
          <w:szCs w:val="32"/>
          <w:shd w:val="clear" w:color="auto" w:fill="FFFFFF" w:themeFill="background1"/>
        </w:rPr>
        <w:t>对基础资产真实性、合规性</w:t>
      </w:r>
      <w:r>
        <w:rPr>
          <w:rFonts w:hint="default" w:ascii="Times New Roman" w:hAnsi="Times New Roman" w:eastAsia="仿宋_GB2312" w:cs="Times New Roman"/>
          <w:sz w:val="32"/>
          <w:szCs w:val="32"/>
          <w:shd w:val="clear" w:color="auto" w:fill="FFFFFF" w:themeFill="background1"/>
          <w:lang w:eastAsia="zh-CN"/>
        </w:rPr>
        <w:t>的</w:t>
      </w:r>
      <w:r>
        <w:rPr>
          <w:rFonts w:hint="default" w:ascii="Times New Roman" w:hAnsi="Times New Roman" w:eastAsia="仿宋_GB2312" w:cs="Times New Roman"/>
          <w:b w:val="0"/>
          <w:bCs/>
          <w:sz w:val="32"/>
          <w:szCs w:val="32"/>
          <w:lang w:eastAsia="zh-CN"/>
          <w14:ligatures w14:val="standardContextual"/>
        </w:rPr>
        <w:t>核查责任</w:t>
      </w:r>
      <w:r>
        <w:rPr>
          <w:rFonts w:hint="eastAsia" w:ascii="Times New Roman" w:hAnsi="Times New Roman" w:eastAsia="仿宋_GB2312" w:cs="Times New Roman"/>
          <w:b w:val="0"/>
          <w:bCs/>
          <w:sz w:val="32"/>
          <w:szCs w:val="32"/>
          <w:lang w:eastAsia="zh-CN"/>
          <w14:ligatures w14:val="standardContextual"/>
        </w:rPr>
        <w:t>，要求管理人对其是否有效履行核查职责发表明确意见；</w:t>
      </w:r>
      <w:r>
        <w:rPr>
          <w:rFonts w:hint="default" w:ascii="Times New Roman" w:hAnsi="Times New Roman" w:eastAsia="仿宋_GB2312" w:cs="Times New Roman"/>
          <w:b w:val="0"/>
          <w:bCs/>
          <w:sz w:val="32"/>
          <w:szCs w:val="32"/>
          <w:lang w:eastAsia="zh-CN"/>
          <w14:ligatures w14:val="standardContextual"/>
        </w:rPr>
        <w:t>细化</w:t>
      </w:r>
      <w:r>
        <w:rPr>
          <w:rFonts w:hint="default" w:ascii="Times New Roman" w:hAnsi="Times New Roman" w:eastAsia="仿宋_GB2312" w:cs="Times New Roman"/>
          <w:b w:val="0"/>
          <w:bCs/>
          <w:sz w:val="32"/>
          <w:szCs w:val="32"/>
          <w14:ligatures w14:val="standardContextual"/>
        </w:rPr>
        <w:t>贸易类应收账款审核要求，明确禁止融资性贸易、</w:t>
      </w:r>
      <w:r>
        <w:rPr>
          <w:rFonts w:hint="eastAsia" w:ascii="仿宋_GB2312" w:hAnsi="仿宋_GB2312" w:eastAsia="仿宋_GB2312" w:cs="仿宋_GB2312"/>
          <w:b w:val="0"/>
          <w:bCs/>
          <w:sz w:val="32"/>
          <w:szCs w:val="32"/>
          <w14:ligatures w14:val="standardContextual"/>
        </w:rPr>
        <w:t>“空转”“走单”</w:t>
      </w:r>
      <w:r>
        <w:rPr>
          <w:rFonts w:hint="default" w:ascii="Times New Roman" w:hAnsi="Times New Roman" w:eastAsia="仿宋_GB2312" w:cs="Times New Roman"/>
          <w:b w:val="0"/>
          <w:bCs/>
          <w:sz w:val="32"/>
          <w:szCs w:val="32"/>
          <w14:ligatures w14:val="standardContextual"/>
        </w:rPr>
        <w:t>等虚假贸易资产入池，要求管理人</w:t>
      </w:r>
      <w:r>
        <w:rPr>
          <w:rFonts w:hint="default" w:ascii="Times New Roman" w:hAnsi="Times New Roman" w:eastAsia="仿宋_GB2312" w:cs="Times New Roman"/>
          <w:b w:val="0"/>
          <w:bCs/>
          <w:sz w:val="32"/>
          <w:szCs w:val="32"/>
          <w:lang w:eastAsia="zh-CN"/>
          <w14:ligatures w14:val="standardContextual"/>
        </w:rPr>
        <w:t>和律师</w:t>
      </w:r>
      <w:r>
        <w:rPr>
          <w:rFonts w:hint="eastAsia" w:ascii="Times New Roman" w:hAnsi="Times New Roman" w:eastAsia="仿宋_GB2312" w:cs="Times New Roman"/>
          <w:b w:val="0"/>
          <w:bCs/>
          <w:sz w:val="32"/>
          <w:szCs w:val="32"/>
          <w:lang w:eastAsia="zh-CN"/>
          <w14:ligatures w14:val="standardContextual"/>
        </w:rPr>
        <w:t>核查</w:t>
      </w:r>
      <w:r>
        <w:rPr>
          <w:rFonts w:hint="default" w:ascii="Times New Roman" w:hAnsi="Times New Roman" w:eastAsia="仿宋_GB2312" w:cs="Times New Roman"/>
          <w:b w:val="0"/>
          <w:bCs/>
          <w:sz w:val="32"/>
          <w:szCs w:val="32"/>
          <w:lang w:eastAsia="zh-CN"/>
          <w14:ligatures w14:val="standardContextual"/>
        </w:rPr>
        <w:t>贸易业务是否具有</w:t>
      </w:r>
      <w:r>
        <w:rPr>
          <w:rFonts w:hint="default" w:ascii="Times New Roman" w:hAnsi="Times New Roman" w:eastAsia="仿宋_GB2312" w:cs="Times New Roman"/>
          <w:b w:val="0"/>
          <w:bCs/>
          <w:sz w:val="32"/>
          <w:szCs w:val="32"/>
          <w14:ligatures w14:val="standardContextual"/>
        </w:rPr>
        <w:t>贸易实质与商业合理性</w:t>
      </w:r>
      <w:r>
        <w:rPr>
          <w:rFonts w:hint="eastAsia" w:ascii="Times New Roman" w:hAnsi="Times New Roman" w:eastAsia="仿宋_GB2312" w:cs="Times New Roman"/>
          <w:b w:val="0"/>
          <w:bCs/>
          <w:sz w:val="32"/>
          <w:szCs w:val="32"/>
          <w:lang w:eastAsia="zh-CN"/>
          <w14:ligatures w14:val="standardContextual"/>
        </w:rPr>
        <w:t>；</w:t>
      </w:r>
      <w:r>
        <w:rPr>
          <w:rFonts w:hint="default" w:ascii="Times New Roman" w:hAnsi="Times New Roman" w:eastAsia="仿宋_GB2312" w:cs="Times New Roman"/>
          <w:b w:val="0"/>
          <w:bCs/>
          <w:sz w:val="32"/>
          <w:szCs w:val="32"/>
          <w:lang w:eastAsia="zh-CN"/>
          <w14:ligatures w14:val="standardContextual"/>
        </w:rPr>
        <w:t>明确</w:t>
      </w:r>
      <w:r>
        <w:rPr>
          <w:rFonts w:hint="default" w:ascii="Times New Roman" w:hAnsi="Times New Roman" w:eastAsia="仿宋_GB2312" w:cs="Times New Roman"/>
          <w:b w:val="0"/>
          <w:bCs/>
          <w:sz w:val="32"/>
          <w:szCs w:val="32"/>
          <w14:ligatures w14:val="standardContextual"/>
        </w:rPr>
        <w:t>融资租赁债权租赁物</w:t>
      </w:r>
      <w:r>
        <w:rPr>
          <w:rFonts w:hint="default" w:ascii="Times New Roman" w:hAnsi="Times New Roman" w:eastAsia="仿宋_GB2312" w:cs="Times New Roman"/>
          <w:b w:val="0"/>
          <w:bCs/>
          <w:sz w:val="32"/>
          <w:szCs w:val="32"/>
          <w:lang w:eastAsia="zh-CN"/>
          <w14:ligatures w14:val="standardContextual"/>
        </w:rPr>
        <w:t>不包括</w:t>
      </w:r>
      <w:r>
        <w:rPr>
          <w:rFonts w:hint="default" w:ascii="Times New Roman" w:hAnsi="Times New Roman" w:eastAsia="仿宋_GB2312" w:cs="Times New Roman"/>
          <w:b w:val="0"/>
          <w:bCs/>
          <w:sz w:val="32"/>
          <w:szCs w:val="32"/>
          <w14:ligatures w14:val="standardContextual"/>
        </w:rPr>
        <w:t>消费品（汽车除外）、低值易耗品</w:t>
      </w:r>
      <w:r>
        <w:rPr>
          <w:rFonts w:hint="default" w:ascii="Times New Roman" w:hAnsi="Times New Roman" w:eastAsia="仿宋_GB2312" w:cs="Times New Roman"/>
          <w:b w:val="0"/>
          <w:bCs/>
          <w:sz w:val="32"/>
          <w:szCs w:val="32"/>
          <w:lang w:eastAsia="zh-CN"/>
          <w14:ligatures w14:val="standardContextual"/>
        </w:rPr>
        <w:t>，</w:t>
      </w:r>
      <w:r>
        <w:rPr>
          <w:rFonts w:hint="default" w:ascii="Times New Roman" w:hAnsi="Times New Roman" w:eastAsia="仿宋_GB2312" w:cs="Times New Roman"/>
          <w:b w:val="0"/>
          <w:bCs/>
          <w:sz w:val="32"/>
          <w:szCs w:val="32"/>
          <w14:ligatures w14:val="standardContextual"/>
        </w:rPr>
        <w:t>强化租赁物可处置性核查</w:t>
      </w:r>
      <w:r>
        <w:rPr>
          <w:rFonts w:hint="eastAsia" w:ascii="Times New Roman" w:hAnsi="Times New Roman" w:eastAsia="仿宋_GB2312" w:cs="Times New Roman"/>
          <w:b w:val="0"/>
          <w:bCs/>
          <w:sz w:val="32"/>
          <w:szCs w:val="32"/>
          <w:lang w:eastAsia="zh-CN"/>
          <w14:ligatures w14:val="standardContextual"/>
        </w:rPr>
        <w:t>；</w:t>
      </w:r>
      <w:r>
        <w:rPr>
          <w:rFonts w:hint="default" w:ascii="Times New Roman" w:hAnsi="Times New Roman" w:eastAsia="仿宋_GB2312" w:cs="Times New Roman"/>
          <w:b w:val="0"/>
          <w:bCs/>
          <w:sz w:val="32"/>
          <w:szCs w:val="32"/>
          <w:lang w:eastAsia="zh-CN"/>
          <w14:ligatures w14:val="standardContextual"/>
        </w:rPr>
        <w:t>根据最新行业监管政策，调整</w:t>
      </w:r>
      <w:r>
        <w:rPr>
          <w:rFonts w:hint="default" w:ascii="Times New Roman" w:hAnsi="Times New Roman" w:eastAsia="仿宋_GB2312" w:cs="Times New Roman"/>
          <w:sz w:val="32"/>
          <w:szCs w:val="32"/>
          <w:shd w:val="clear" w:color="auto" w:fill="FFFFFF" w:themeFill="background1"/>
        </w:rPr>
        <w:t>个人互联网消费贷款金额上限要求</w:t>
      </w:r>
      <w:r>
        <w:rPr>
          <w:rFonts w:hint="default" w:ascii="Times New Roman" w:hAnsi="Times New Roman" w:eastAsia="仿宋_GB2312" w:cs="Times New Roman"/>
          <w:b w:val="0"/>
          <w:bCs/>
          <w:sz w:val="32"/>
          <w:szCs w:val="32"/>
          <w:lang w:eastAsia="zh-CN"/>
          <w14:ligatures w14:val="standardContextual"/>
        </w:rPr>
        <w:t>。</w:t>
      </w:r>
      <w:r>
        <w:rPr>
          <w:rFonts w:hint="eastAsia" w:ascii="Times New Roman" w:hAnsi="Times New Roman" w:eastAsia="仿宋_GB2312" w:cs="Times New Roman"/>
          <w:b/>
          <w:bCs w:val="0"/>
          <w:sz w:val="32"/>
          <w:szCs w:val="32"/>
          <w:lang w:eastAsia="zh-CN"/>
          <w14:ligatures w14:val="standardContextual"/>
        </w:rPr>
        <w:t>二是</w:t>
      </w:r>
      <w:r>
        <w:rPr>
          <w:rFonts w:hint="default" w:ascii="Times New Roman" w:hAnsi="Times New Roman" w:eastAsia="仿宋_GB2312" w:cs="Times New Roman"/>
          <w:b w:val="0"/>
          <w:bCs/>
          <w:sz w:val="32"/>
          <w:szCs w:val="32"/>
          <w:lang w:eastAsia="zh-CN"/>
          <w14:ligatures w14:val="standardContextual"/>
        </w:rPr>
        <w:t>细化未来经营收入类项目对特定原始权益人的运营成本覆盖要求</w:t>
      </w:r>
      <w:r>
        <w:rPr>
          <w:rFonts w:hint="eastAsia" w:ascii="Times New Roman" w:hAnsi="Times New Roman" w:eastAsia="仿宋_GB2312" w:cs="Times New Roman"/>
          <w:b w:val="0"/>
          <w:bCs/>
          <w:sz w:val="32"/>
          <w:szCs w:val="32"/>
          <w:lang w:eastAsia="zh-CN"/>
          <w14:ligatures w14:val="standardContextual"/>
        </w:rPr>
        <w:t>，要求经营现金流入扣除归集现金流后应当能够覆盖维持其持续稳定运营（含基础资产运营）的各项成本、税费等支出。</w:t>
      </w:r>
      <w:r>
        <w:rPr>
          <w:rFonts w:hint="eastAsia" w:ascii="Times New Roman" w:hAnsi="Times New Roman" w:eastAsia="仿宋_GB2312" w:cs="Times New Roman"/>
          <w:b/>
          <w:bCs w:val="0"/>
          <w:sz w:val="32"/>
          <w:szCs w:val="32"/>
          <w:lang w:eastAsia="zh-CN"/>
          <w14:ligatures w14:val="standardContextual"/>
        </w:rPr>
        <w:t>三是</w:t>
      </w:r>
      <w:r>
        <w:rPr>
          <w:rFonts w:hint="eastAsia" w:ascii="Times New Roman" w:hAnsi="Times New Roman" w:eastAsia="仿宋_GB2312" w:cs="Times New Roman"/>
          <w:b w:val="0"/>
          <w:bCs/>
          <w:sz w:val="32"/>
          <w:szCs w:val="32"/>
          <w:lang w:eastAsia="zh-CN"/>
          <w14:ligatures w14:val="standardContextual"/>
        </w:rPr>
        <w:t>参照不动产基础资产章节内容优化不动产抵押贷款基础资产的合规准入条件、项目运营与现金流要求、资产评估与现金流预测等相关条款，明确跟踪评估时间要求。</w:t>
      </w:r>
    </w:p>
    <w:p w14:paraId="0134F8D1">
      <w:pPr>
        <w:widowControl w:val="0"/>
        <w:numPr>
          <w:ilvl w:val="0"/>
          <w:numId w:val="0"/>
        </w:numPr>
        <w:spacing w:line="560" w:lineRule="exact"/>
        <w:ind w:firstLine="640" w:firstLineChars="200"/>
        <w:rPr>
          <w:rFonts w:hint="default" w:ascii="Times New Roman" w:hAnsi="Times New Roman" w:eastAsia="楷体_GB2312" w:cs="Times New Roman"/>
          <w:b w:val="0"/>
          <w:bCs w:val="0"/>
          <w:sz w:val="32"/>
          <w:szCs w:val="32"/>
          <w:highlight w:val="none"/>
          <w:lang w:eastAsia="zh-CN"/>
        </w:rPr>
      </w:pPr>
      <w:bookmarkStart w:id="5" w:name="heading_5"/>
      <w:r>
        <w:rPr>
          <w:rFonts w:hint="default" w:ascii="Times New Roman" w:hAnsi="Times New Roman" w:eastAsia="楷体_GB2312" w:cs="Times New Roman"/>
          <w:b w:val="0"/>
          <w:bCs w:val="0"/>
          <w:sz w:val="32"/>
          <w:szCs w:val="32"/>
          <w:highlight w:val="none"/>
          <w:lang w:eastAsia="zh-CN"/>
        </w:rPr>
        <w:t>（四）</w:t>
      </w:r>
      <w:bookmarkEnd w:id="5"/>
      <w:bookmarkStart w:id="6" w:name="heading_6"/>
      <w:r>
        <w:rPr>
          <w:rFonts w:hint="default" w:ascii="Times New Roman" w:hAnsi="Times New Roman" w:eastAsia="楷体_GB2312" w:cs="Times New Roman"/>
          <w:b w:val="0"/>
          <w:bCs w:val="0"/>
          <w:sz w:val="32"/>
          <w:szCs w:val="32"/>
          <w:highlight w:val="none"/>
          <w:lang w:eastAsia="zh-CN"/>
        </w:rPr>
        <w:t>优化</w:t>
      </w:r>
      <w:bookmarkEnd w:id="6"/>
      <w:r>
        <w:rPr>
          <w:rFonts w:hint="eastAsia" w:ascii="Times New Roman" w:hAnsi="Times New Roman" w:eastAsia="楷体_GB2312" w:cs="Times New Roman"/>
          <w:b w:val="0"/>
          <w:bCs w:val="0"/>
          <w:sz w:val="32"/>
          <w:szCs w:val="32"/>
          <w:highlight w:val="none"/>
          <w:lang w:eastAsia="zh-CN"/>
        </w:rPr>
        <w:t>产品设计通用要求</w:t>
      </w:r>
    </w:p>
    <w:p w14:paraId="634EB326">
      <w:pPr>
        <w:widowControl w:val="0"/>
        <w:numPr>
          <w:ilvl w:val="0"/>
          <w:numId w:val="0"/>
        </w:numPr>
        <w:spacing w:line="560" w:lineRule="exact"/>
        <w:ind w:firstLine="643" w:firstLineChars="200"/>
        <w:rPr>
          <w:rFonts w:hint="default" w:ascii="Times New Roman" w:hAnsi="Times New Roman" w:eastAsia="仿宋_GB2312" w:cs="Times New Roman"/>
          <w:lang w:val="en-US" w:eastAsia="zh-CN"/>
        </w:rPr>
      </w:pPr>
      <w:r>
        <w:rPr>
          <w:rFonts w:hint="default" w:ascii="Times New Roman" w:hAnsi="Times New Roman" w:eastAsia="仿宋_GB2312" w:cs="Times New Roman"/>
          <w:b/>
          <w:bCs w:val="0"/>
          <w:sz w:val="32"/>
          <w:szCs w:val="32"/>
          <w:lang w:eastAsia="zh-CN"/>
          <w14:ligatures w14:val="standardContextual"/>
        </w:rPr>
        <w:t>一是</w:t>
      </w:r>
      <w:r>
        <w:rPr>
          <w:rFonts w:hint="default" w:ascii="Times New Roman" w:hAnsi="Times New Roman" w:eastAsia="仿宋_GB2312" w:cs="Times New Roman"/>
          <w:b w:val="0"/>
          <w:bCs/>
          <w:sz w:val="32"/>
          <w:szCs w:val="32"/>
          <w:lang w:eastAsia="zh-CN"/>
          <w14:ligatures w14:val="standardContextual"/>
        </w:rPr>
        <w:t>优</w:t>
      </w:r>
      <w:r>
        <w:rPr>
          <w:rFonts w:hint="default" w:ascii="Times New Roman" w:hAnsi="Times New Roman" w:eastAsia="仿宋_GB2312" w:cs="Times New Roman"/>
          <w:b w:val="0"/>
          <w:bCs/>
          <w:sz w:val="32"/>
          <w:szCs w:val="32"/>
          <w14:ligatures w14:val="standardContextual"/>
        </w:rPr>
        <w:t>化</w:t>
      </w:r>
      <w:r>
        <w:rPr>
          <w:rFonts w:hint="eastAsia" w:ascii="Times New Roman" w:hAnsi="Times New Roman" w:eastAsia="仿宋_GB2312" w:cs="Times New Roman"/>
          <w:b w:val="0"/>
          <w:bCs/>
          <w:sz w:val="32"/>
          <w:szCs w:val="32"/>
          <w:lang w:eastAsia="zh-CN"/>
          <w14:ligatures w14:val="standardContextual"/>
        </w:rPr>
        <w:t>大类基础</w:t>
      </w:r>
      <w:r>
        <w:rPr>
          <w:rFonts w:hint="default" w:ascii="Times New Roman" w:hAnsi="Times New Roman" w:eastAsia="仿宋_GB2312" w:cs="Times New Roman"/>
          <w:b w:val="0"/>
          <w:bCs/>
          <w:sz w:val="32"/>
          <w:szCs w:val="32"/>
          <w14:ligatures w14:val="standardContextual"/>
        </w:rPr>
        <w:t>资产风险自留</w:t>
      </w:r>
      <w:r>
        <w:rPr>
          <w:rFonts w:hint="eastAsia" w:ascii="Times New Roman" w:hAnsi="Times New Roman" w:eastAsia="仿宋_GB2312" w:cs="Times New Roman"/>
          <w:b w:val="0"/>
          <w:bCs/>
          <w:sz w:val="32"/>
          <w:szCs w:val="32"/>
          <w:lang w:eastAsia="zh-CN"/>
          <w14:ligatures w14:val="standardContextual"/>
        </w:rPr>
        <w:t>豁免要求</w:t>
      </w:r>
      <w:r>
        <w:rPr>
          <w:rFonts w:hint="default" w:ascii="Times New Roman" w:hAnsi="Times New Roman" w:eastAsia="仿宋_GB2312" w:cs="Times New Roman"/>
          <w:b w:val="0"/>
          <w:bCs/>
          <w:sz w:val="32"/>
          <w:szCs w:val="32"/>
          <w:lang w:eastAsia="zh-CN"/>
          <w14:ligatures w14:val="standardContextual"/>
        </w:rPr>
        <w:t>，</w:t>
      </w:r>
      <w:r>
        <w:rPr>
          <w:rFonts w:hint="eastAsia" w:ascii="Times New Roman" w:hAnsi="Times New Roman" w:eastAsia="仿宋_GB2312" w:cs="Times New Roman"/>
          <w:b w:val="0"/>
          <w:bCs/>
          <w:sz w:val="32"/>
          <w:szCs w:val="32"/>
          <w:lang w:eastAsia="zh-CN"/>
          <w14:ligatures w14:val="standardContextual"/>
        </w:rPr>
        <w:t>基础资产分散度高、专项计划设置有效增信措施的项目，可免于</w:t>
      </w:r>
      <w:r>
        <w:rPr>
          <w:rFonts w:hint="default" w:ascii="Times New Roman" w:hAnsi="Times New Roman" w:eastAsia="仿宋_GB2312" w:cs="Times New Roman"/>
          <w:b w:val="0"/>
          <w:bCs/>
          <w:sz w:val="32"/>
          <w:szCs w:val="32"/>
          <w14:ligatures w14:val="standardContextual"/>
        </w:rPr>
        <w:t>风险自留</w:t>
      </w:r>
      <w:r>
        <w:rPr>
          <w:rFonts w:hint="eastAsia" w:ascii="Times New Roman" w:hAnsi="Times New Roman" w:eastAsia="仿宋_GB2312" w:cs="Times New Roman"/>
          <w:b w:val="0"/>
          <w:bCs/>
          <w:sz w:val="32"/>
          <w:szCs w:val="32"/>
          <w:lang w:eastAsia="zh-CN"/>
          <w14:ligatures w14:val="standardContextual"/>
        </w:rPr>
        <w:t>要求。</w:t>
      </w:r>
      <w:r>
        <w:rPr>
          <w:rFonts w:hint="eastAsia" w:ascii="Times New Roman" w:hAnsi="Times New Roman" w:eastAsia="仿宋_GB2312" w:cs="Times New Roman"/>
          <w:b/>
          <w:bCs w:val="0"/>
          <w:sz w:val="32"/>
          <w:szCs w:val="32"/>
          <w:lang w:eastAsia="zh-CN"/>
          <w14:ligatures w14:val="standardContextual"/>
        </w:rPr>
        <w:t>二是</w:t>
      </w:r>
      <w:r>
        <w:rPr>
          <w:rFonts w:hint="eastAsia" w:ascii="Times New Roman" w:hAnsi="Times New Roman" w:eastAsia="仿宋_GB2312" w:cs="Times New Roman"/>
          <w:b w:val="0"/>
          <w:bCs/>
          <w:sz w:val="32"/>
          <w:szCs w:val="32"/>
          <w:lang w:eastAsia="zh-CN"/>
          <w14:ligatures w14:val="standardContextual"/>
        </w:rPr>
        <w:t>细化防范</w:t>
      </w:r>
      <w:r>
        <w:rPr>
          <w:rFonts w:hint="default" w:ascii="Times New Roman" w:hAnsi="Times New Roman" w:eastAsia="仿宋_GB2312" w:cs="Times New Roman"/>
          <w:b w:val="0"/>
          <w:bCs/>
          <w:sz w:val="32"/>
          <w:szCs w:val="32"/>
          <w14:ligatures w14:val="standardContextual"/>
        </w:rPr>
        <w:t>现金流</w:t>
      </w:r>
      <w:r>
        <w:rPr>
          <w:rFonts w:hint="eastAsia" w:ascii="Times New Roman" w:hAnsi="Times New Roman" w:eastAsia="仿宋_GB2312" w:cs="Times New Roman"/>
          <w:b w:val="0"/>
          <w:bCs/>
          <w:sz w:val="32"/>
          <w:szCs w:val="32"/>
          <w:lang w:eastAsia="zh-CN"/>
          <w14:ligatures w14:val="standardContextual"/>
        </w:rPr>
        <w:t>混同风险要求，明确</w:t>
      </w:r>
      <w:r>
        <w:rPr>
          <w:rFonts w:hint="default" w:ascii="Times New Roman" w:hAnsi="Times New Roman" w:eastAsia="仿宋_GB2312" w:cs="Times New Roman"/>
          <w:b w:val="0"/>
          <w:bCs/>
          <w:sz w:val="32"/>
          <w:szCs w:val="32"/>
          <w:lang w:eastAsia="zh-CN"/>
          <w14:ligatures w14:val="standardContextual"/>
        </w:rPr>
        <w:t>专项监管账户资金应当与原始权益人自有资金有效隔离</w:t>
      </w:r>
      <w:r>
        <w:rPr>
          <w:rFonts w:hint="eastAsia" w:ascii="Times New Roman" w:hAnsi="Times New Roman" w:eastAsia="仿宋_GB2312" w:cs="Times New Roman"/>
          <w:b w:val="0"/>
          <w:bCs/>
          <w:sz w:val="32"/>
          <w:szCs w:val="32"/>
          <w:lang w:eastAsia="zh-CN"/>
          <w14:ligatures w14:val="standardContextual"/>
        </w:rPr>
        <w:t>，原则上仅可划出至专项计划账户，确需用于原始权益人日常运营支出的，应当在交易文件中披露相应资金划出方案，实施前应当经</w:t>
      </w:r>
      <w:bookmarkStart w:id="7" w:name="_GoBack"/>
      <w:bookmarkEnd w:id="7"/>
      <w:r>
        <w:rPr>
          <w:rFonts w:hint="eastAsia" w:ascii="Times New Roman" w:hAnsi="Times New Roman" w:eastAsia="仿宋_GB2312" w:cs="Times New Roman"/>
          <w:b w:val="0"/>
          <w:bCs/>
          <w:sz w:val="32"/>
          <w:szCs w:val="32"/>
          <w:lang w:eastAsia="zh-CN"/>
          <w14:ligatures w14:val="standardContextual"/>
        </w:rPr>
        <w:t>管理人同意。</w:t>
      </w:r>
      <w:bookmarkEnd w:id="3"/>
    </w:p>
    <w:sectPr>
      <w:headerReference r:id="rId3" w:type="default"/>
      <w:footerReference r:id="rId4"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楷体_GB2312">
    <w:panose1 w:val="02000000000000000000"/>
    <w:charset w:val="86"/>
    <w:family w:val="modern"/>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FA725">
    <w:pPr>
      <w:pStyle w:val="4"/>
      <w:jc w:val="center"/>
      <w:rPr>
        <w:rFonts w:eastAsia="宋体"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9C5AD7">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89C5AD7">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14:paraId="5E496381">
    <w:pPr>
      <w:pStyle w:val="4"/>
      <w:rPr>
        <w:rFonts w:eastAsia="宋体"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6D3FD">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attachedTemplate r:id="rId1"/>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5F1FD9"/>
    <w:rsid w:val="00152219"/>
    <w:rsid w:val="00965083"/>
    <w:rsid w:val="034F527C"/>
    <w:rsid w:val="088E0696"/>
    <w:rsid w:val="0A3B3BD5"/>
    <w:rsid w:val="0BAF4582"/>
    <w:rsid w:val="0C277EFD"/>
    <w:rsid w:val="0D8A7B44"/>
    <w:rsid w:val="0DD87314"/>
    <w:rsid w:val="0E2B44CF"/>
    <w:rsid w:val="0ECF5D88"/>
    <w:rsid w:val="0EDC3C6E"/>
    <w:rsid w:val="10895E16"/>
    <w:rsid w:val="13521AC0"/>
    <w:rsid w:val="14072DAB"/>
    <w:rsid w:val="175F6E52"/>
    <w:rsid w:val="17F7FE40"/>
    <w:rsid w:val="199E04EF"/>
    <w:rsid w:val="1A5D5A13"/>
    <w:rsid w:val="1B980DB4"/>
    <w:rsid w:val="1D630170"/>
    <w:rsid w:val="201054AB"/>
    <w:rsid w:val="215F1FD9"/>
    <w:rsid w:val="23110176"/>
    <w:rsid w:val="25394732"/>
    <w:rsid w:val="2676612A"/>
    <w:rsid w:val="294B761C"/>
    <w:rsid w:val="2B590E2A"/>
    <w:rsid w:val="2B5FF735"/>
    <w:rsid w:val="2BE457BC"/>
    <w:rsid w:val="2D3A5624"/>
    <w:rsid w:val="2E443DBD"/>
    <w:rsid w:val="33B72CC1"/>
    <w:rsid w:val="33FF17BF"/>
    <w:rsid w:val="3444054E"/>
    <w:rsid w:val="3A1A3526"/>
    <w:rsid w:val="3BEBED7C"/>
    <w:rsid w:val="3C1D7A07"/>
    <w:rsid w:val="3CFFCEA3"/>
    <w:rsid w:val="401279AA"/>
    <w:rsid w:val="42D77239"/>
    <w:rsid w:val="44647CC4"/>
    <w:rsid w:val="458F06AB"/>
    <w:rsid w:val="4733080E"/>
    <w:rsid w:val="4AD743D6"/>
    <w:rsid w:val="4C5D54D6"/>
    <w:rsid w:val="4E941712"/>
    <w:rsid w:val="4EA0220D"/>
    <w:rsid w:val="4EED4226"/>
    <w:rsid w:val="4F6F25D5"/>
    <w:rsid w:val="4FDF301F"/>
    <w:rsid w:val="51E80D70"/>
    <w:rsid w:val="52263E21"/>
    <w:rsid w:val="546A778A"/>
    <w:rsid w:val="54F63708"/>
    <w:rsid w:val="559E4304"/>
    <w:rsid w:val="5A4D0D47"/>
    <w:rsid w:val="5B65A9AB"/>
    <w:rsid w:val="5BA9268B"/>
    <w:rsid w:val="625F7870"/>
    <w:rsid w:val="62636276"/>
    <w:rsid w:val="63193767"/>
    <w:rsid w:val="64D8391C"/>
    <w:rsid w:val="6621264F"/>
    <w:rsid w:val="66FC19AC"/>
    <w:rsid w:val="6A3762AD"/>
    <w:rsid w:val="6D331C55"/>
    <w:rsid w:val="6EEEB729"/>
    <w:rsid w:val="6F6DD8F9"/>
    <w:rsid w:val="6F939F33"/>
    <w:rsid w:val="71EE2817"/>
    <w:rsid w:val="7641171E"/>
    <w:rsid w:val="76B15747"/>
    <w:rsid w:val="780954C8"/>
    <w:rsid w:val="7C53749C"/>
    <w:rsid w:val="7D3F9582"/>
    <w:rsid w:val="7DB09895"/>
    <w:rsid w:val="7EFF223A"/>
    <w:rsid w:val="7F1C2481"/>
    <w:rsid w:val="7F3EAE96"/>
    <w:rsid w:val="7F75A539"/>
    <w:rsid w:val="7FF3B266"/>
    <w:rsid w:val="7FF7C36C"/>
    <w:rsid w:val="7FFE2D80"/>
    <w:rsid w:val="7FFFA144"/>
    <w:rsid w:val="8FDF7FEE"/>
    <w:rsid w:val="95FE76B7"/>
    <w:rsid w:val="A2FF851E"/>
    <w:rsid w:val="B7EFA529"/>
    <w:rsid w:val="BEFFB57D"/>
    <w:rsid w:val="BF9F1CB9"/>
    <w:rsid w:val="BFD75D3D"/>
    <w:rsid w:val="EF9EC1BF"/>
    <w:rsid w:val="F7DE0444"/>
    <w:rsid w:val="FC1B32F3"/>
    <w:rsid w:val="FDEA3897"/>
    <w:rsid w:val="FEA68A47"/>
    <w:rsid w:val="FF579EEB"/>
    <w:rsid w:val="FF63F18F"/>
    <w:rsid w:val="FFAF33BA"/>
    <w:rsid w:val="FFD70C82"/>
    <w:rsid w:val="FFE258AF"/>
    <w:rsid w:val="FFF3AF99"/>
    <w:rsid w:val="FFF65804"/>
    <w:rsid w:val="FFFBC5AF"/>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0"/>
    <w:pPr>
      <w:jc w:val="left"/>
    </w:pPr>
  </w:style>
  <w:style w:type="paragraph" w:styleId="3">
    <w:name w:val="Body Text"/>
    <w:basedOn w:val="1"/>
    <w:next w:val="1"/>
    <w:semiHidden/>
    <w:unhideWhenUsed/>
    <w:qFormat/>
    <w:uiPriority w:val="99"/>
    <w:pPr>
      <w:spacing w:after="120"/>
    </w:pPr>
  </w:style>
  <w:style w:type="paragraph" w:styleId="4">
    <w:name w:val="footer"/>
    <w:unhideWhenUsed/>
    <w:qFormat/>
    <w:uiPriority w:val="99"/>
    <w:pPr>
      <w:widowControl w:val="0"/>
      <w:tabs>
        <w:tab w:val="center" w:pos="4153"/>
        <w:tab w:val="right" w:pos="8306"/>
      </w:tabs>
      <w:snapToGrid w:val="0"/>
      <w:jc w:val="left"/>
    </w:pPr>
    <w:rPr>
      <w:rFonts w:ascii="Calibri" w:hAnsi="Calibri" w:eastAsia="宋体" w:cs="Times New Roman"/>
      <w:kern w:val="2"/>
      <w:sz w:val="18"/>
      <w:szCs w:val="18"/>
      <w:lang w:val="en-US" w:eastAsia="zh-CN" w:bidi="ar-SA"/>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w:basedOn w:val="3"/>
    <w:unhideWhenUsed/>
    <w:qFormat/>
    <w:uiPriority w:val="99"/>
    <w:pPr>
      <w:ind w:firstLine="420" w:firstLineChars="100"/>
    </w:pPr>
  </w:style>
  <w:style w:type="character" w:styleId="9">
    <w:name w:val="annotation reference"/>
    <w:basedOn w:val="8"/>
    <w:unhideWhenUsed/>
    <w:qFormat/>
    <w:uiPriority w:val="99"/>
    <w:rPr>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hqqian/C:\Users\10042\Desktop\&#27169;&#26495;\&#25972;&#29702;&#27169;&#26495;\&#27169;&#26495;1.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1721</Words>
  <Characters>1731</Characters>
  <Lines>0</Lines>
  <Paragraphs>0</Paragraphs>
  <TotalTime>1</TotalTime>
  <ScaleCrop>false</ScaleCrop>
  <LinksUpToDate>false</LinksUpToDate>
  <CharactersWithSpaces>1731</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2023-02-21T15:10:00Z</dcterms:created>
  <dc:creator>sse</dc:creator>
  <cp:lastModifiedBy>whxu</cp:lastModifiedBy>
  <cp:lastPrinted>2026-07-18T10:11:00Z</cp:lastPrinted>
  <dcterms:modified xsi:type="dcterms:W3CDTF">2026-07-24T16:12:21Z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A5587D31FEB79C27041C636AEC2DF7C0_43</vt:lpwstr>
  </property>
</Properties>
</file>