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0232">
      <w:pPr>
        <w:jc w:val="left"/>
        <w:rPr>
          <w:rFonts w:hint="eastAsia" w:ascii="Times New Roman" w:hAnsi="Times New Roman" w:eastAsia="仿宋" w:cs="Times New Roman"/>
          <w:sz w:val="32"/>
          <w:szCs w:val="32"/>
          <w:lang w:eastAsia="zh"/>
        </w:rPr>
      </w:pPr>
      <w:bookmarkStart w:id="0" w:name="_Toc2836"/>
      <w:bookmarkStart w:id="1" w:name="_Toc7031"/>
      <w:bookmarkStart w:id="2" w:name="_Toc18273"/>
      <w:bookmarkStart w:id="3" w:name="_Toc22181"/>
      <w:bookmarkStart w:id="4" w:name="_Toc16476"/>
      <w:bookmarkStart w:id="5" w:name="_Toc28100"/>
      <w:bookmarkStart w:id="6" w:name="_Toc127794041"/>
      <w:bookmarkStart w:id="7" w:name="_Toc24595"/>
      <w:r>
        <w:rPr>
          <w:rFonts w:hint="eastAsia" w:ascii="黑体" w:hAnsi="黑体" w:eastAsia="黑体" w:cs="黑体"/>
          <w:sz w:val="32"/>
          <w:szCs w:val="32"/>
          <w:lang w:eastAsia="zh"/>
        </w:rPr>
        <w:t>附件</w:t>
      </w:r>
      <w:r>
        <w:rPr>
          <w:rFonts w:hint="eastAsia" w:ascii="Times New Roman" w:hAnsi="Times New Roman" w:eastAsia="仿宋" w:cs="Times New Roman"/>
          <w:sz w:val="32"/>
          <w:szCs w:val="32"/>
          <w:lang w:eastAsia="zh"/>
        </w:rPr>
        <w:t>1</w:t>
      </w:r>
    </w:p>
    <w:p w14:paraId="18E5562B">
      <w:pPr>
        <w:jc w:val="left"/>
        <w:rPr>
          <w:rFonts w:hint="eastAsia" w:ascii="Times New Roman" w:hAnsi="Times New Roman" w:eastAsia="仿宋" w:cs="Times New Roman"/>
          <w:sz w:val="32"/>
          <w:szCs w:val="32"/>
          <w:lang w:eastAsia="zh"/>
        </w:rPr>
      </w:pPr>
    </w:p>
    <w:p w14:paraId="353A958C">
      <w:pPr>
        <w:pStyle w:val="18"/>
        <w:spacing w:before="0" w:beforeLines="0" w:line="560" w:lineRule="exact"/>
        <w:jc w:val="center"/>
        <w:outlineLvl w:val="9"/>
        <w:rPr>
          <w:rFonts w:eastAsia="方正大标宋简体"/>
          <w:b w:val="0"/>
          <w:bCs/>
          <w:sz w:val="44"/>
          <w:szCs w:val="44"/>
        </w:rPr>
      </w:pPr>
      <w:r>
        <w:rPr>
          <w:rFonts w:eastAsia="方正大标宋简体"/>
          <w:b w:val="0"/>
          <w:bCs/>
          <w:sz w:val="44"/>
          <w:szCs w:val="44"/>
        </w:rPr>
        <w:t>上海证券交易所上市公司重大资产重组</w:t>
      </w:r>
    </w:p>
    <w:p w14:paraId="6413B169">
      <w:pPr>
        <w:pStyle w:val="18"/>
        <w:spacing w:before="0" w:beforeLines="0" w:line="560" w:lineRule="exact"/>
        <w:jc w:val="center"/>
        <w:outlineLvl w:val="9"/>
        <w:rPr>
          <w:rFonts w:hint="eastAsia" w:eastAsia="方正大标宋简体"/>
          <w:b w:val="0"/>
          <w:bCs/>
          <w:sz w:val="44"/>
          <w:szCs w:val="44"/>
          <w:lang w:val="en-US" w:eastAsia="zh-CN"/>
        </w:rPr>
      </w:pPr>
      <w:r>
        <w:rPr>
          <w:rFonts w:eastAsia="方正大标宋简体"/>
          <w:b w:val="0"/>
          <w:bCs/>
          <w:sz w:val="44"/>
          <w:szCs w:val="44"/>
        </w:rPr>
        <w:t>审核规则</w:t>
      </w:r>
      <w:bookmarkEnd w:id="0"/>
      <w:bookmarkEnd w:id="1"/>
      <w:bookmarkEnd w:id="2"/>
      <w:bookmarkEnd w:id="3"/>
      <w:bookmarkEnd w:id="4"/>
      <w:bookmarkEnd w:id="5"/>
      <w:bookmarkEnd w:id="6"/>
      <w:r>
        <w:rPr>
          <w:rFonts w:hint="eastAsia" w:eastAsia="方正大标宋简体"/>
          <w:b w:val="0"/>
          <w:bCs/>
          <w:sz w:val="44"/>
          <w:szCs w:val="44"/>
          <w:lang w:eastAsia="zh-CN"/>
        </w:rPr>
        <w:t>（</w:t>
      </w:r>
      <w:r>
        <w:rPr>
          <w:rFonts w:hint="eastAsia" w:eastAsia="方正大标宋简体"/>
          <w:b w:val="0"/>
          <w:bCs/>
          <w:sz w:val="44"/>
          <w:szCs w:val="44"/>
          <w:lang w:val="en-US" w:eastAsia="zh-CN"/>
        </w:rPr>
        <w:t>2025年5月修订</w:t>
      </w:r>
      <w:r>
        <w:rPr>
          <w:rFonts w:hint="eastAsia" w:eastAsia="方正大标宋简体"/>
          <w:b w:val="0"/>
          <w:bCs/>
          <w:sz w:val="44"/>
          <w:szCs w:val="44"/>
          <w:lang w:eastAsia="zh-CN"/>
        </w:rPr>
        <w:t>）</w:t>
      </w:r>
    </w:p>
    <w:bookmarkEnd w:id="7"/>
    <w:p w14:paraId="29157EF5">
      <w:pPr>
        <w:pStyle w:val="20"/>
        <w:adjustRightInd w:val="0"/>
        <w:snapToGrid w:val="0"/>
        <w:spacing w:line="560" w:lineRule="exact"/>
        <w:ind w:firstLine="0" w:firstLineChars="0"/>
        <w:jc w:val="center"/>
        <w:outlineLvl w:val="9"/>
        <w:rPr>
          <w:rFonts w:ascii="Times New Roman" w:hAnsi="Times New Roman" w:eastAsia="黑体" w:cs="Times New Roman"/>
          <w:b/>
          <w:sz w:val="32"/>
          <w:szCs w:val="32"/>
        </w:rPr>
      </w:pPr>
    </w:p>
    <w:p w14:paraId="79EC073A">
      <w:pPr>
        <w:pStyle w:val="20"/>
        <w:adjustRightInd w:val="0"/>
        <w:snapToGrid w:val="0"/>
        <w:spacing w:line="560" w:lineRule="exact"/>
        <w:ind w:firstLine="0" w:firstLineChars="0"/>
        <w:jc w:val="center"/>
        <w:outlineLvl w:val="9"/>
        <w:rPr>
          <w:rFonts w:ascii="Times New Roman" w:hAnsi="Times New Roman" w:eastAsia="黑体" w:cs="Times New Roman"/>
          <w:b w:val="0"/>
          <w:sz w:val="32"/>
          <w:szCs w:val="32"/>
        </w:rPr>
      </w:pPr>
      <w:r>
        <w:rPr>
          <w:rFonts w:ascii="Times New Roman" w:hAnsi="Times New Roman" w:eastAsia="黑体" w:cs="Times New Roman"/>
          <w:b w:val="0"/>
          <w:sz w:val="32"/>
          <w:szCs w:val="32"/>
        </w:rPr>
        <w:t>第一章 总</w:t>
      </w:r>
      <w:r>
        <w:rPr>
          <w:rFonts w:hint="eastAsia" w:ascii="Times New Roman" w:hAnsi="Times New Roman" w:eastAsia="黑体" w:cs="Times New Roman"/>
          <w:b w:val="0"/>
          <w:sz w:val="32"/>
          <w:szCs w:val="32"/>
          <w:lang w:eastAsia="zh"/>
        </w:rPr>
        <w:t xml:space="preserve"> </w:t>
      </w:r>
      <w:r>
        <w:rPr>
          <w:rFonts w:ascii="Times New Roman" w:hAnsi="Times New Roman" w:eastAsia="黑体" w:cs="Times New Roman"/>
          <w:b w:val="0"/>
          <w:sz w:val="32"/>
          <w:szCs w:val="32"/>
        </w:rPr>
        <w:t>则</w:t>
      </w:r>
    </w:p>
    <w:p w14:paraId="7BF58951">
      <w:pPr>
        <w:pStyle w:val="21"/>
        <w:numPr>
          <w:ilvl w:val="0"/>
          <w:numId w:val="0"/>
        </w:numPr>
        <w:ind w:firstLine="640" w:firstLineChars="200"/>
        <w:outlineLvl w:val="9"/>
        <w:rPr>
          <w:rFonts w:ascii="Times New Roman" w:hAnsi="Times New Roman" w:cs="Times New Roman"/>
          <w:sz w:val="32"/>
          <w:szCs w:val="32"/>
        </w:rPr>
      </w:pPr>
      <w:r>
        <w:rPr>
          <w:rFonts w:ascii="Times New Roman" w:hAnsi="Times New Roman" w:cs="Times New Roman"/>
          <w:sz w:val="32"/>
          <w:szCs w:val="32"/>
        </w:rPr>
        <w:t>第一条 为了规范上海证券交易所（以下简称本所）上市公司重大资产重组行为，保护上市公司和投资者合</w:t>
      </w:r>
      <w:bookmarkStart w:id="8" w:name="_GoBack"/>
      <w:bookmarkEnd w:id="8"/>
      <w:r>
        <w:rPr>
          <w:rFonts w:ascii="Times New Roman" w:hAnsi="Times New Roman" w:cs="Times New Roman"/>
          <w:sz w:val="32"/>
          <w:szCs w:val="32"/>
        </w:rPr>
        <w:t>法权益，提高上市公司质量，根据《中华人民共和国证券法》</w:t>
      </w:r>
      <w:r>
        <w:rPr>
          <w:rFonts w:ascii="Times New Roman" w:hAnsi="Times New Roman" w:cs="Times New Roman"/>
          <w:color w:val="000000"/>
          <w:sz w:val="32"/>
          <w:szCs w:val="32"/>
        </w:rPr>
        <w:t>《中华人民共和国公司法》《上市公司重大资产重组管理办法》（以下简称《重组办法》）、</w:t>
      </w:r>
      <w:r>
        <w:rPr>
          <w:rFonts w:ascii="Times New Roman" w:hAnsi="Times New Roman" w:cs="Times New Roman"/>
          <w:sz w:val="32"/>
          <w:szCs w:val="32"/>
        </w:rPr>
        <w:t>《科创板上市公司持续监管办法（试行）》等相关法律、行政法规、部门规章、规范性文件以及《上海证券交易所股票上市规则》《上海证券交易所科创板股票上市规则》（以下统称《上市规则》）及本所其他业务规则，制定本规则。</w:t>
      </w:r>
    </w:p>
    <w:p w14:paraId="61FCA826">
      <w:pPr>
        <w:pStyle w:val="20"/>
        <w:tabs>
          <w:tab w:val="left" w:pos="1134"/>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第二条 上市公司实施重大资产重组的，适用本规则；本规则未作规定的，适用本所其他相关业务规则。</w:t>
      </w:r>
    </w:p>
    <w:p w14:paraId="4D3FFC97">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上市公司实施不涉及股份发行的重大资产重组的，不适用本规则第四章至第六章的规定。</w:t>
      </w:r>
    </w:p>
    <w:p w14:paraId="0CEA9ADF">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第三条 本所对上市公司发行股份购买资产涉及的证券发行申请（以下简称发行股份购买资产申请）进行审核。</w:t>
      </w:r>
    </w:p>
    <w:p w14:paraId="01218626">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审核认为本次交易符合重组条件和信息披露要求的，将审核意见、上市公司申请文件及相关审核资料报送中国证券监督管理委员会（以下简称中国证监会）履行注册程序；审核认为本次交易不符合重组条件或者信息披露要求的，作出终止审核的决定。</w:t>
      </w:r>
    </w:p>
    <w:p w14:paraId="14668C9E">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第四条 上市公司、交易对方及有关各方应当及时、公平地披露或者提供信息，保证所披露或者提供信息的真实、准确、完整，不得有虚假记载、误导性陈述或者重大遗漏。</w:t>
      </w:r>
    </w:p>
    <w:p w14:paraId="6A81230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独立财务顾问、证券服务机构及其相关人员，应当严格履行职责，对其所制作、出具文件的真实性、准确性和完整性承担相应法律责任。</w:t>
      </w:r>
    </w:p>
    <w:p w14:paraId="64CE362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第五条 本所依据法律、行政法规、部门规章、规范性文件、本规则及本所其他相关规定（以下简称相关法律法规），对上市公司及相关主体重大资产重组行为、独立财务顾问和证券服务机构及其人员履职行为等进行自律监管。</w:t>
      </w:r>
    </w:p>
    <w:p w14:paraId="3D1529F8">
      <w:pPr>
        <w:pStyle w:val="20"/>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本规则第四条规定的主体应当积极配合本所重组审核工作，遵守廉洁从业有关规定，不得影响或者干扰审核工作，接受本所自律监管并承担相应的法律责任。</w:t>
      </w:r>
    </w:p>
    <w:p w14:paraId="1E7BD028">
      <w:pPr>
        <w:pStyle w:val="20"/>
        <w:numPr>
          <w:ilvl w:val="0"/>
          <w:numId w:val="2"/>
        </w:numPr>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上市公司、独立财务顾问和证券服务机构在发行股份购买资产方案披露后至申报前，首轮审核问询发出后，可以就重组审核相关业务问题或者事项向本所重组审核机构进行咨询沟通。</w:t>
      </w:r>
    </w:p>
    <w:p w14:paraId="03BBEB2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业务咨询沟通的具体事项由本所另行规定。</w:t>
      </w:r>
    </w:p>
    <w:p w14:paraId="48FF0F4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第七条 本所出具本次交易符合重组条件和信息披露要求的审核意见，不表明对申请文件及所披露信息的真实性、准确性、完整性作出保证，也不表明本所对股票的投资价值、投资者的收益或者本次交易作出实质性判断或者保证。</w:t>
      </w:r>
    </w:p>
    <w:p w14:paraId="0A4F6AA6">
      <w:pPr>
        <w:pStyle w:val="20"/>
        <w:adjustRightInd w:val="0"/>
        <w:snapToGrid w:val="0"/>
        <w:spacing w:line="560" w:lineRule="exact"/>
        <w:ind w:firstLine="0" w:firstLineChars="0"/>
        <w:jc w:val="center"/>
        <w:outlineLvl w:val="9"/>
        <w:rPr>
          <w:rFonts w:ascii="Times New Roman" w:hAnsi="Times New Roman" w:eastAsia="黑体" w:cs="Times New Roman"/>
          <w:b w:val="0"/>
          <w:sz w:val="32"/>
          <w:szCs w:val="32"/>
        </w:rPr>
      </w:pPr>
      <w:r>
        <w:rPr>
          <w:rFonts w:ascii="Times New Roman" w:hAnsi="Times New Roman" w:eastAsia="黑体" w:cs="Times New Roman"/>
          <w:b w:val="0"/>
          <w:sz w:val="32"/>
          <w:szCs w:val="32"/>
        </w:rPr>
        <w:t>第二章 重组标准与条件</w:t>
      </w:r>
    </w:p>
    <w:p w14:paraId="5FF8364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第八条 科创板上市公司实施重大资产重组的，拟购买资产应当符合科创板定位，所属行业应当与科创板上市公司处于同行业或者上下游，且与科创板上市公司主营业务具有协同效应。</w:t>
      </w:r>
    </w:p>
    <w:p w14:paraId="65DF99BE">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第九条 上市公司向特定对象发行可转换为股票的公司债券购买资产的，应当符合《重组办法》及中国证监会关于发行可转换为股票的公司债券购买资产的规定，并可以与特定对象约定转股期、利率及付息方式、赎回、回售、转股价格向上修正等条款，但转股期起始日距离本次发行结束之日不得少于六个月。</w:t>
      </w:r>
    </w:p>
    <w:p w14:paraId="2C680D7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第十条 上市公司实施重组上市的，标的资产对应的经营实体应当是符合《首次公开发行股票注册管理办法》（以下简称《注册管理办法》）规定的相应发行条件、相关板块定位的股份有限公司或者有限责任公司。</w:t>
      </w:r>
    </w:p>
    <w:p w14:paraId="0B48796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主板上市公司实施重组上市的，标的资产应当符合以下条件：最近三年连续盈利，且最近三年净利润累计不低于2亿元，最近一年净利润不低于1亿元，最近三年经营活动产生的现金流量净额累计不低于2亿元或者营业收入累计不低于15亿元。</w:t>
      </w:r>
    </w:p>
    <w:p w14:paraId="139BF23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科创板上市公司实施重组上市的，标的资产应当符合下列条件之一：</w:t>
      </w:r>
    </w:p>
    <w:p w14:paraId="61BE136F">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（一）最近两年净利润均为正且累计不低于5000万元；</w:t>
      </w:r>
    </w:p>
    <w:p w14:paraId="07F6C5B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（二）最近一年营业收入不低于3亿元，且最近三年经营活动产生的现金流量净额累计不低于1亿元。</w:t>
      </w:r>
    </w:p>
    <w:p w14:paraId="6EA8D3A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本规则所称净利润以扣除非经常性损益前后的孰低者为准，所称净利润、营业收入、经营活动产生的现金流量净额均指经审计的数值。</w:t>
      </w:r>
    </w:p>
    <w:p w14:paraId="6236127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本规则所称重组上市，是指《重组办法》第十三条规定的重大资产重组行为。</w:t>
      </w:r>
    </w:p>
    <w:p w14:paraId="60FC26F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主板上市公司重组上市标的资产对应的经营实体存在表决权差异安排的，除符合《注册管理办法》规定的相应发行条件、相关板块定位外，其表决权安排等应当符合《上海证券交易所股票上市规则》等规则的规定，并符合以下条件：最近三年连续盈利，且最近三年净利润累计不低于2亿元，最近一年净利润不低于1亿元，最近一年营业收入不低于15亿元。</w:t>
      </w:r>
    </w:p>
    <w:p w14:paraId="0524FAD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重组上市标的资产对应的经营实体存在表决权差异安排的，除符合《注册管理办法》规定的相应发行条件、相关板块定位外，其表决权安排等应当符合《上海证券交易所科创板股票上市规则》等规则的规定，并符合下列条件之一：</w:t>
      </w:r>
    </w:p>
    <w:p w14:paraId="0E84555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（一）最近一年营业收入不低于5亿元，且最近两年净利润均为正且累计不低于5000万元；</w:t>
      </w:r>
    </w:p>
    <w:p w14:paraId="591C2AD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（二）最近一年营业收入不低于5亿元，且最近三年经营活动产生的现金流量净额累计不低于1亿元。</w:t>
      </w:r>
    </w:p>
    <w:p w14:paraId="66CD33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上市公司股东在公司实施发行股份购买资产中取得的股份，应当遵守《重组办法》关于股份限售期的有关规定；但控制关系清晰明确，易于判断，同一实际控制人控制之下不同主体之间转让上市公司股份的除外。</w:t>
      </w:r>
    </w:p>
    <w:p w14:paraId="18C212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实施发行股份购买资产构成重组上市，标的资产对应的经营实体尚未盈利的，在科创板上市公司重组上市后首次实现盈利前，控股股东、实际控制人自本次交易所取得的股份登记之日起三个完整会计年度内，不得减持该部分股份；自本次交易所取得的股份登记之日起第四个完整会计年度和第五个完整会计年度内，每年减持的该部分股份不得超过科创板上市公司股份总数的2%。</w:t>
      </w:r>
    </w:p>
    <w:p w14:paraId="4FA3988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发行股份购买资产，交易对方不符合上市公司所在板块投资者适当性管理要求的，可以持有或者依规卖出所获得的上市公司股份。上市公司换股吸收合并，被吸收合并公司股东不符合吸收合并公司所在板块投资者适当性管理要求的，可以持有或者依规卖出所获得的吸收合并公司的股份。</w:t>
      </w:r>
    </w:p>
    <w:p w14:paraId="6E77753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第十三条 上市公司实施重大资产重组，标的资产涉及红筹企业的，应当按照《公开发行证券的公司信息披露编报规则第24号——注册制下创新试点红筹企业财务报告信息特别规定》《上海证券交易所发行上市审核规则适用指引第4号——创新试点红筹企业财务报告信息披露》的规定，在重大资产重组报告书中披露标的资产的财务会计信息。</w:t>
      </w:r>
    </w:p>
    <w:p w14:paraId="59D56858">
      <w:pPr>
        <w:pStyle w:val="20"/>
        <w:adjustRightInd w:val="0"/>
        <w:snapToGrid w:val="0"/>
        <w:spacing w:line="560" w:lineRule="exact"/>
        <w:ind w:firstLine="0" w:firstLineChars="0"/>
        <w:jc w:val="center"/>
        <w:outlineLvl w:val="9"/>
        <w:rPr>
          <w:rFonts w:ascii="Times New Roman" w:hAnsi="Times New Roman" w:eastAsia="黑体" w:cs="Times New Roman"/>
          <w:b w:val="0"/>
          <w:sz w:val="32"/>
          <w:szCs w:val="32"/>
        </w:rPr>
      </w:pPr>
      <w:r>
        <w:rPr>
          <w:rFonts w:ascii="Times New Roman" w:hAnsi="Times New Roman" w:eastAsia="黑体" w:cs="Times New Roman"/>
          <w:b w:val="0"/>
          <w:sz w:val="32"/>
          <w:szCs w:val="32"/>
        </w:rPr>
        <w:t>第三章 重组信息披露要求</w:t>
      </w:r>
    </w:p>
    <w:p w14:paraId="664668F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第十四条 上市公司、交易对方及有关各方应当依法披露或者提供信息，独立财务顾问、证券服务机构应当依法对信息披露进行核查把关。</w:t>
      </w:r>
    </w:p>
    <w:p w14:paraId="3EB3D1D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第十五条 上市公司应当诚实守信，依法披露投资者作出价值判断和投资决策所必需的信息，至少包括下列事项：</w:t>
      </w:r>
    </w:p>
    <w:p w14:paraId="3544E81D">
      <w:pPr>
        <w:pStyle w:val="20"/>
        <w:adjustRightInd w:val="0"/>
        <w:snapToGrid w:val="0"/>
        <w:spacing w:line="560" w:lineRule="exact"/>
        <w:ind w:firstLine="64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（一）交易方案的合规性、交易实施的必要性、交易安排的合理性、交易价格的公允性、业绩承诺和补偿的可实现</w:t>
      </w:r>
      <w:r>
        <w:rPr>
          <w:rFonts w:ascii="Times New Roman" w:hAnsi="Times New Roman" w:eastAsia="仿宋_GB2312" w:cs="Times New Roman"/>
          <w:sz w:val="32"/>
          <w:szCs w:val="32"/>
          <w:highlight w:val="none"/>
        </w:rPr>
        <w:t>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rPr>
        <w:t>本次交易是否有利于</w:t>
      </w:r>
      <w:r>
        <w:rPr>
          <w:rFonts w:hint="eastAsia" w:ascii="Times New Roman" w:hAnsi="Times New Roman" w:eastAsia="仿宋_GB2312" w:cs="Times New Roman"/>
          <w:sz w:val="32"/>
          <w:szCs w:val="32"/>
          <w:lang w:eastAsia="zh-CN"/>
        </w:rPr>
        <w:t>提高</w:t>
      </w:r>
      <w:r>
        <w:rPr>
          <w:rFonts w:ascii="Times New Roman" w:hAnsi="Times New Roman" w:eastAsia="仿宋_GB2312" w:cs="Times New Roman"/>
          <w:sz w:val="32"/>
          <w:szCs w:val="32"/>
        </w:rPr>
        <w:t>上市公司</w:t>
      </w:r>
      <w:r>
        <w:rPr>
          <w:rFonts w:hint="eastAsia" w:ascii="Times New Roman" w:hAnsi="Times New Roman" w:eastAsia="仿宋_GB2312" w:cs="Times New Roman"/>
          <w:sz w:val="32"/>
          <w:szCs w:val="32"/>
          <w:lang w:eastAsia="zh-CN"/>
        </w:rPr>
        <w:t>资产质量和增强</w:t>
      </w:r>
      <w:r>
        <w:rPr>
          <w:rFonts w:ascii="Times New Roman" w:hAnsi="Times New Roman" w:eastAsia="仿宋_GB2312" w:cs="Times New Roman"/>
          <w:sz w:val="32"/>
          <w:szCs w:val="32"/>
        </w:rPr>
        <w:t>持续经营能力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是否会导致财务状况发生重大不利变化、是否会导致新增重大不利影响的同业竞争及严重影响独立性或者显失公平的关联交易</w:t>
      </w:r>
      <w:r>
        <w:rPr>
          <w:rFonts w:ascii="Times New Roman" w:hAnsi="Times New Roman" w:eastAsia="仿宋_GB2312" w:cs="Times New Roman"/>
          <w:sz w:val="32"/>
          <w:szCs w:val="32"/>
          <w:highlight w:val="none"/>
        </w:rPr>
        <w:t>；</w:t>
      </w:r>
    </w:p>
    <w:p w14:paraId="61107C8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（二）标的资产的经营模式、行业特征、财务状况、股权及资产权属的清晰性、经营的合规性、资产的完整性、业务的独立性；</w:t>
      </w:r>
    </w:p>
    <w:p w14:paraId="49E82BB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（三）本次交易、标的资产的潜在风险</w:t>
      </w:r>
      <w:r>
        <w:rPr>
          <w:rFonts w:hint="eastAsia" w:ascii="Times New Roman" w:hAnsi="Times New Roman" w:eastAsia="仿宋_GB2312" w:cs="Times New Roman"/>
          <w:sz w:val="32"/>
          <w:szCs w:val="32"/>
        </w:rPr>
        <w:t>。</w:t>
      </w:r>
    </w:p>
    <w:p w14:paraId="65AA0B6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上市公司、交易对方及有关各方应当为独立财务顾问、证券服务机构及时提供真实、准确、完整的业务运营、财务会计及其他资料，充分配合相关机构开展尽职调查和其他相关工作。</w:t>
      </w:r>
    </w:p>
    <w:p w14:paraId="43EA2EA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第十六条 科创板上市公司应当充分披露拟购买资产是否符合科创板定位、所属行业与科创板上市公司是否处于同行业或者上下游、与公司主营业务是否具有协同效应。</w:t>
      </w:r>
    </w:p>
    <w:p w14:paraId="01FC7D44">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本规则所称协同效应，是指公司因本次交易而产生的超出单项资产收益的超额利益，包括下列一项或者多项情形：</w:t>
      </w:r>
    </w:p>
    <w:p w14:paraId="4E310E2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（一）增加定价权；</w:t>
      </w:r>
    </w:p>
    <w:p w14:paraId="2387DB1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（二）降低成本；</w:t>
      </w:r>
    </w:p>
    <w:p w14:paraId="163638F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（三）获取主营业务所需的关键技术、研发人员；</w:t>
      </w:r>
    </w:p>
    <w:p w14:paraId="046BF51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（四）加速产品迭代；</w:t>
      </w:r>
    </w:p>
    <w:p w14:paraId="0878D084">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（五）产品或者服务能够进入新的市场；</w:t>
      </w:r>
    </w:p>
    <w:p w14:paraId="42BEA3E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（六）获得税收优惠；</w:t>
      </w:r>
    </w:p>
    <w:p w14:paraId="3F87F089">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（七）其他有利于主营业务发展的积极影响。</w:t>
      </w:r>
    </w:p>
    <w:p w14:paraId="45F94618">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独立财务顾问应当结合拟购买资产所属行业、所属行业与科创板上市公司是否处于同行业或者上下游、与上市公司主营业务的协同效应充分论证拟购买资产符合科创板定位。</w:t>
      </w:r>
    </w:p>
    <w:p w14:paraId="4DD1807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第十七条 上市公司</w:t>
      </w:r>
      <w:r>
        <w:rPr>
          <w:rFonts w:hint="eastAsia" w:ascii="Times New Roman" w:hAnsi="Times New Roman" w:eastAsia="仿宋_GB2312" w:cs="Times New Roman"/>
          <w:sz w:val="32"/>
          <w:szCs w:val="32"/>
        </w:rPr>
        <w:t>的控股股东、实际控制人、董事、高级管理人员</w:t>
      </w:r>
      <w:r>
        <w:rPr>
          <w:rFonts w:ascii="Times New Roman" w:hAnsi="Times New Roman" w:eastAsia="仿宋_GB2312" w:cs="Times New Roman"/>
          <w:sz w:val="32"/>
          <w:szCs w:val="32"/>
        </w:rPr>
        <w:t>及交易对方的控股股东、实际控制人、董事、监事、高级管理人员应当诚实守信，保证申请文件和信息披露的真实、准确、完整，依法审慎作出并履行相关承诺，不得利用控制地位或者影响能力要求上市公司实施显失公允的重组交易，不得指使或者协助上市公司、交易对方进行虚假记载、误导性陈述或者重大遗漏等违法违规行为，不得损害上市公司和投资者合法权益。</w:t>
      </w:r>
    </w:p>
    <w:p w14:paraId="777D64B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第十八条 独立财务顾问应当诚实守信、勤勉尽责，保证重大资产重组预案、报告书及其出具的</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等文件的真实、准确、完整，切实履行尽职调查、报告和披露以及持续督导等职责。</w:t>
      </w:r>
    </w:p>
    <w:p w14:paraId="1CA3C794">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独立财务顾问应当严格遵守相关法律法规、行业自律规范的要求，严格执行内部控制制度，对申请文件进行审慎核查，</w:t>
      </w:r>
      <w:r>
        <w:rPr>
          <w:rFonts w:hint="eastAsia" w:ascii="Times New Roman" w:hAnsi="Times New Roman" w:eastAsia="仿宋_GB2312" w:cs="Times New Roman"/>
          <w:sz w:val="32"/>
          <w:szCs w:val="32"/>
        </w:rPr>
        <w:t>切实防范财务造假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对本次交易是否符合重组条件和信息披露要求作出专业判断，审慎出具相关文件。</w:t>
      </w:r>
    </w:p>
    <w:p w14:paraId="2453CCF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第十九条 会计师事务所、律师事务所、资产评估机构等证券服务机构应当诚实守信、勤勉尽责，保证其出具文件的真实、准确、完整。</w:t>
      </w:r>
    </w:p>
    <w:p w14:paraId="724637ED">
      <w:pPr>
        <w:widowControl w:val="0"/>
        <w:adjustRightInd w:val="0"/>
        <w:snapToGrid w:val="0"/>
        <w:spacing w:line="560" w:lineRule="exact"/>
        <w:ind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证券服务机构应当严格遵守相关法律法规、业务规则、行业自律规范，严格执行内部控制制度，对与其专业职责有关的业务事项进行核查验证，履行特别注意义务，审慎发表专业意见。</w:t>
      </w:r>
    </w:p>
    <w:p w14:paraId="70C3C0B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第二十条 上市公司的申请文件及信息披露内容应当真实、准确、完整，并符合下列要求：</w:t>
      </w:r>
    </w:p>
    <w:p w14:paraId="13D83D6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（一）包含对投资者作出投资决策有重大影响的信息，披露程度达到投资者作出投资决策所必需的水平；</w:t>
      </w:r>
    </w:p>
    <w:p w14:paraId="275874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（二）所披露的信息一致、合理且具有内在逻辑性；</w:t>
      </w:r>
    </w:p>
    <w:p w14:paraId="2D97E7A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（三）简明易懂，便于一般投资者阅读和理解。</w:t>
      </w:r>
    </w:p>
    <w:p w14:paraId="22BB0AB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第二十一条 上市公司应当充分披露本次交易是否合法合规，至少包括下列事项：</w:t>
      </w:r>
    </w:p>
    <w:p w14:paraId="1A8D7A7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（一）是否符合《重组办法》及中国证监会其他相关规定所规定的条件；</w:t>
      </w:r>
    </w:p>
    <w:p w14:paraId="05FD6CC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（二）是否符合本规则的规定及本所其他相关规则。</w:t>
      </w:r>
    </w:p>
    <w:p w14:paraId="53DCC1A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独立财务顾问、证券服务机构在出具的</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法律意见书</w:t>
      </w:r>
      <w:r>
        <w:rPr>
          <w:rFonts w:ascii="Times New Roman" w:hAnsi="Times New Roman" w:eastAsia="仿宋_GB2312" w:cs="Times New Roman"/>
          <w:sz w:val="32"/>
          <w:szCs w:val="32"/>
        </w:rPr>
        <w:t>等文件中，应当就本次交易是否合法合规逐项发表明确意见，且具备充分的理由和依据。</w:t>
      </w:r>
    </w:p>
    <w:p w14:paraId="10C7828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第二十二条 上市公司应当充分披露本次交易的必要性，至少包括下列事项：</w:t>
      </w:r>
    </w:p>
    <w:p w14:paraId="6C77AC4E">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（一）是否具有明确可行的发展战略；</w:t>
      </w:r>
    </w:p>
    <w:p w14:paraId="3B789B04">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（二）是否存在不当市值管理行为；</w:t>
      </w:r>
    </w:p>
    <w:p w14:paraId="22E83E0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（三）上市公司的控股股东、实际控制人、董事、高级管理人员在本次交易披露前后是否存在股份减持情形或者大比例减持计划；</w:t>
      </w:r>
    </w:p>
    <w:p w14:paraId="6051C3D3">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（四）本次交易是否具有商业实质，是否存在利益输送的情形；</w:t>
      </w:r>
    </w:p>
    <w:p w14:paraId="59FBE3A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（五）是否违反国家相关产业政策。</w:t>
      </w:r>
    </w:p>
    <w:p w14:paraId="3841600C">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第二十三条 上市公司应当充分披露本次交易资产定价的合理性，至少包括下列事项：</w:t>
      </w:r>
    </w:p>
    <w:p w14:paraId="0DC14BEB">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（一）资产定价过程是否经过充分的市场博弈，交易价格是否显失公允；</w:t>
      </w:r>
    </w:p>
    <w:p w14:paraId="34728056">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（二）所选取的评估或者估值方法与标的资产特征的匹配度，评估或者估值参数选取的合理性；</w:t>
      </w:r>
    </w:p>
    <w:p w14:paraId="3035407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（三）标的资产交易作价与历史交易作价是否存在重大差异及存在重大差异的合理性；</w:t>
      </w:r>
    </w:p>
    <w:p w14:paraId="0D620C04">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（四）相同或者类似资产在可比交易中的估值水平；</w:t>
      </w:r>
    </w:p>
    <w:p w14:paraId="65F98D11">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（五）商誉确认是否符合企业会计准则的规定，是否足额确认可辨认无形资产。</w:t>
      </w:r>
    </w:p>
    <w:p w14:paraId="4F88433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第二十四条 上市公司应当充分披露本次交易中与业绩承诺相关的信息，至少包括下列事项：</w:t>
      </w:r>
    </w:p>
    <w:p w14:paraId="37E2D2CF">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（一）业绩承诺是否合理，是否存在异常增长，是否符合行业发展趋势和业务发展规律；</w:t>
      </w:r>
    </w:p>
    <w:p w14:paraId="082297D9">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（二）交易对方是否按照规定与上市公司签订了明确可行的补偿协议</w:t>
      </w:r>
      <w:r>
        <w:rPr>
          <w:rFonts w:hint="eastAsia" w:ascii="Times New Roman" w:hAnsi="Times New Roman" w:eastAsia="仿宋_GB2312" w:cs="Times New Roman"/>
          <w:sz w:val="32"/>
          <w:szCs w:val="32"/>
          <w:lang w:eastAsia="zh-CN"/>
        </w:rPr>
        <w:t>或者分期支付安排</w:t>
      </w:r>
      <w:r>
        <w:rPr>
          <w:rFonts w:ascii="Times New Roman" w:hAnsi="Times New Roman" w:eastAsia="仿宋_GB2312" w:cs="Times New Roman"/>
          <w:sz w:val="32"/>
          <w:szCs w:val="32"/>
        </w:rPr>
        <w:t>；</w:t>
      </w:r>
    </w:p>
    <w:p w14:paraId="1AE81E2A">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（三）交易对方是否具备相应的履约能力，在承诺期内是否具有明确的履约保障措施。</w:t>
      </w:r>
    </w:p>
    <w:p w14:paraId="52326099">
      <w:pPr>
        <w:pStyle w:val="20"/>
        <w:adjustRightInd w:val="0"/>
        <w:snapToGrid w:val="0"/>
        <w:spacing w:line="560" w:lineRule="exact"/>
        <w:ind w:firstLine="0" w:firstLineChars="0"/>
        <w:jc w:val="center"/>
        <w:outlineLvl w:val="9"/>
        <w:rPr>
          <w:rFonts w:ascii="Times New Roman" w:hAnsi="Times New Roman" w:eastAsia="黑体" w:cs="Times New Roman"/>
          <w:b w:val="0"/>
          <w:sz w:val="32"/>
          <w:szCs w:val="32"/>
        </w:rPr>
      </w:pPr>
      <w:r>
        <w:rPr>
          <w:rFonts w:ascii="Times New Roman" w:hAnsi="Times New Roman" w:eastAsia="黑体" w:cs="Times New Roman"/>
          <w:b w:val="0"/>
          <w:sz w:val="32"/>
          <w:szCs w:val="32"/>
        </w:rPr>
        <w:t>第四章 重组审核内容与方式</w:t>
      </w:r>
    </w:p>
    <w:p w14:paraId="60CD8AE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第二十五条 本所重组审核遵循依法合规、公开透明、便捷高效的原则，提高审核透明度，明确市场预期。</w:t>
      </w:r>
    </w:p>
    <w:p w14:paraId="509FBC0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本所重组审核实行电子化审核，申请、受理、问询、回复等事项通过本所并购重组审核业务系统办理。</w:t>
      </w:r>
    </w:p>
    <w:p w14:paraId="566D5BC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第二十六条 本所重组审核机构按照规定对发行股份购买资产申请进行审核，出具审核报告</w:t>
      </w:r>
      <w:r>
        <w:rPr>
          <w:rFonts w:ascii="Times New Roman" w:hAnsi="Times New Roman" w:eastAsia="仿宋_GB2312" w:cs="Times New Roman"/>
          <w:bCs/>
          <w:sz w:val="32"/>
          <w:szCs w:val="32"/>
        </w:rPr>
        <w:t>，提出初步审核意见</w:t>
      </w:r>
      <w:r>
        <w:rPr>
          <w:rFonts w:ascii="Times New Roman" w:hAnsi="Times New Roman" w:eastAsia="仿宋_GB2312" w:cs="Times New Roman"/>
          <w:sz w:val="32"/>
          <w:szCs w:val="32"/>
        </w:rPr>
        <w:t>后，提交本所并购重组审核委员会（以下简称并购重组委员会）审议，提出审议意见。</w:t>
      </w:r>
    </w:p>
    <w:p w14:paraId="2BF068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本所结合并购重组委员会审议意见，出具本次交易符合重组条件和信息披露要求的审核意见，或者作出终止审核的决定。</w:t>
      </w:r>
    </w:p>
    <w:p w14:paraId="741F75A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第二十七条 本所对上市公司发行股份购买资产是否符合重组条件、是否符合中国证监会和本所信息披露要求进行审核，并重点关注重组交易是否必要、资产定价是否合理公允、业绩承诺是否切实可行、是否存在损害上市公司和股东合法权益的情形。</w:t>
      </w:r>
    </w:p>
    <w:p w14:paraId="0906826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科创板上市公司发行股份购买资产的，本所还重点关注拟购买资产是否符合科创板定位、所属行业与科创板上市公司是否处于同行业或者上下游、与科创板上市公司主营业务是否具有协同效应。</w:t>
      </w:r>
    </w:p>
    <w:p w14:paraId="7F13FD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第二十八条 本所通过提出问题、回答问题、现场督导等方式，督促上市公司、交易对方、独立财务顾问、证券服务机构完善信息披露，真实、准确、完整地披露或者提供信息，提高信息披露的针对性、有效性和可读性，提升信息披露质量。</w:t>
      </w:r>
    </w:p>
    <w:p w14:paraId="699F27B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本所对发行股份购买资产申请进行审核时，可以视情况在审核问询中对上市公司、交易对方、独立财务顾问、证券服务机构提出下列要求：</w:t>
      </w:r>
    </w:p>
    <w:p w14:paraId="1D50F1BE">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（一）说明并披露相关问题及原因；</w:t>
      </w:r>
    </w:p>
    <w:p w14:paraId="248E74D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（二）补充核查相关事项并发表意见、披露核查过程、结果；</w:t>
      </w:r>
    </w:p>
    <w:p w14:paraId="1D7DE8F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（三）补充提供信息披露的证明文件；</w:t>
      </w:r>
    </w:p>
    <w:p w14:paraId="02D9008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（四）修改或者更新信息披露内容。</w:t>
      </w:r>
    </w:p>
    <w:p w14:paraId="036437B9">
      <w:pPr>
        <w:pStyle w:val="20"/>
        <w:adjustRightInd w:val="0"/>
        <w:snapToGrid w:val="0"/>
        <w:spacing w:line="560" w:lineRule="exact"/>
        <w:ind w:firstLine="0" w:firstLineChars="0"/>
        <w:jc w:val="center"/>
        <w:outlineLvl w:val="9"/>
        <w:rPr>
          <w:rFonts w:ascii="Times New Roman" w:hAnsi="Times New Roman" w:cs="Times New Roman"/>
          <w:b w:val="0"/>
          <w:sz w:val="32"/>
          <w:szCs w:val="32"/>
        </w:rPr>
      </w:pPr>
      <w:r>
        <w:rPr>
          <w:rFonts w:ascii="Times New Roman" w:hAnsi="Times New Roman" w:eastAsia="黑体" w:cs="Times New Roman"/>
          <w:b w:val="0"/>
          <w:sz w:val="32"/>
          <w:szCs w:val="32"/>
        </w:rPr>
        <w:t>第五章 重组审核程序</w:t>
      </w:r>
    </w:p>
    <w:p w14:paraId="51A9C87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第一节 申请与受理</w:t>
      </w:r>
    </w:p>
    <w:p w14:paraId="27C43CF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第二十九条 上市公司实施发行股份购买资产的，应当按照规定聘请独立财务顾问，并委托独立财务顾问在股东会作出重大资产重组决议后三个工作日内，通过本所并购重组审核业务系统报送下列申请文件：</w:t>
      </w:r>
    </w:p>
    <w:p w14:paraId="4D0FF1B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z w:val="32"/>
          <w:szCs w:val="32"/>
          <w:shd w:val="clear" w:color="auto" w:fill="FFFFFF"/>
        </w:rPr>
        <w:t>重大资产重组报告书及相关文件；</w:t>
      </w:r>
    </w:p>
    <w:p w14:paraId="3DDF382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（二）独立财务顾问报告及相关文件；</w:t>
      </w:r>
    </w:p>
    <w:p w14:paraId="43B4DEE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sz w:val="32"/>
          <w:szCs w:val="32"/>
          <w:shd w:val="clear" w:color="auto" w:fill="FFFFFF"/>
        </w:rPr>
        <w:t>法律意见书、审计报告及资产评估报告或者估值报告等证券服务机构出具的文件；</w:t>
      </w:r>
    </w:p>
    <w:p w14:paraId="7AB936E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（四）中国证监会或者本所要求的其他文件。</w:t>
      </w:r>
    </w:p>
    <w:p w14:paraId="4AC76DA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申请文件的内容与格式应当符合中国证监会和本所的相关规定。</w:t>
      </w:r>
    </w:p>
    <w:p w14:paraId="007E8F2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第三十条 本所收到申请文件后五个工作日内，对文件进行核对，作出是否受理的决定，告知上市公司及其独立财务顾问。</w:t>
      </w:r>
    </w:p>
    <w:p w14:paraId="3929FD7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申请文件与中国证监会及本所规定的文件目录不相符、文档名称与文档内容不相符、文档格式不符合本所要求、签章不完整或者不清晰、文档无法打开或者存在本所认定的其他不齐备情形的，上市公司应当予以补正，补正时限最长不超过三十个工作日。上市公司在三十个工作日内提交补正申请文件确有困难的，可以提交延期补正的书面申请，并说明理由；经本所认可的，可适当延期。</w:t>
      </w:r>
    </w:p>
    <w:p w14:paraId="7D547FAE">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上市公司补正申请文件的，本所收到申请文件的时间以上市公司最终提交补正文件的时间为准。</w:t>
      </w:r>
    </w:p>
    <w:p w14:paraId="50274C9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本所按照收到上市公司申请文件的先后顺序予以受理。</w:t>
      </w:r>
    </w:p>
    <w:p w14:paraId="2AC369C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第三十一条 存在下列情形之一的，本所不予受理申请文件：</w:t>
      </w:r>
    </w:p>
    <w:p w14:paraId="39CF7DF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z w:val="32"/>
          <w:szCs w:val="32"/>
          <w:shd w:val="clear" w:color="auto" w:fill="FFFFFF"/>
        </w:rPr>
        <w:t>重大资产重组报告书</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法律意见书、财务报告、审计报告及资产评估报告或者估值报告等申请文件不齐备且未按要求补正；</w:t>
      </w:r>
    </w:p>
    <w:p w14:paraId="0915C781">
      <w:pPr>
        <w:widowControl w:val="0"/>
        <w:tabs>
          <w:tab w:val="left" w:pos="993"/>
          <w:tab w:val="left" w:pos="2127"/>
        </w:tabs>
        <w:adjustRightInd w:val="0"/>
        <w:snapToGrid w:val="0"/>
        <w:spacing w:line="560" w:lineRule="exact"/>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（二）上市公司及其控股股东、实际控制人、董事、高级管理人员，</w:t>
      </w:r>
      <w:r>
        <w:rPr>
          <w:rFonts w:ascii="Times New Roman" w:hAnsi="Times New Roman" w:eastAsia="仿宋_GB2312" w:cs="Times New Roman"/>
          <w:sz w:val="32"/>
          <w:szCs w:val="32"/>
          <w:shd w:val="clear" w:color="auto" w:fill="FFFFFF"/>
        </w:rPr>
        <w:t>独立财务顾问、证券服务机构及其相关人员</w:t>
      </w:r>
      <w:r>
        <w:rPr>
          <w:rFonts w:ascii="Times New Roman" w:hAnsi="Times New Roman" w:eastAsia="仿宋_GB2312" w:cs="Times New Roman"/>
          <w:sz w:val="32"/>
          <w:szCs w:val="32"/>
        </w:rPr>
        <w:t>因证券违法违规被中国证监会采取认定为不适当人选、限制业务活动、证券市场禁入，被证券交易所、国务院批准的其他全国性证券交易场所采取一定期限内不接受其出具的相关文件、公开认定不适合担任上市公司董事、高级管理人员，或者被证券业协会采取认定不适合从事相关业务等相关措施，尚未解除；</w:t>
      </w:r>
    </w:p>
    <w:p w14:paraId="17E2B4D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（三）本次交易涉嫌内幕交易被中国证监会立案调查或者被司法机关立案侦查，尚未结案，但中国证监会另有规定的除外；</w:t>
      </w:r>
    </w:p>
    <w:p w14:paraId="375F426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（四）法律、行政法规及中国证监会规定的其他情形。</w:t>
      </w:r>
    </w:p>
    <w:p w14:paraId="175FFDF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第三十二条 申请文件一经申报，上市公司、交易</w:t>
      </w:r>
      <w:r>
        <w:rPr>
          <w:rFonts w:ascii="Times New Roman" w:hAnsi="Times New Roman" w:eastAsia="仿宋_GB2312" w:cs="Times New Roman"/>
          <w:sz w:val="32"/>
          <w:szCs w:val="32"/>
          <w:shd w:val="clear" w:color="auto" w:fill="FFFFFF"/>
        </w:rPr>
        <w:t>对方及有关各方，以</w:t>
      </w:r>
      <w:r>
        <w:rPr>
          <w:rFonts w:ascii="Times New Roman" w:hAnsi="Times New Roman" w:eastAsia="仿宋_GB2312" w:cs="Times New Roman"/>
          <w:sz w:val="32"/>
          <w:szCs w:val="32"/>
        </w:rPr>
        <w:t>及</w:t>
      </w:r>
      <w:r>
        <w:rPr>
          <w:rFonts w:ascii="Times New Roman" w:hAnsi="Times New Roman" w:eastAsia="仿宋_GB2312" w:cs="Times New Roman"/>
          <w:sz w:val="32"/>
          <w:szCs w:val="32"/>
          <w:shd w:val="clear" w:color="auto" w:fill="FFFFFF"/>
        </w:rPr>
        <w:t>为本次交易提供服</w:t>
      </w:r>
      <w:r>
        <w:rPr>
          <w:rFonts w:ascii="Times New Roman" w:hAnsi="Times New Roman" w:eastAsia="仿宋_GB2312" w:cs="Times New Roman"/>
          <w:sz w:val="32"/>
          <w:szCs w:val="32"/>
        </w:rPr>
        <w:t>务</w:t>
      </w:r>
      <w:r>
        <w:rPr>
          <w:rFonts w:ascii="Times New Roman" w:hAnsi="Times New Roman" w:eastAsia="仿宋_GB2312" w:cs="Times New Roman"/>
          <w:sz w:val="32"/>
          <w:szCs w:val="32"/>
          <w:shd w:val="clear" w:color="auto" w:fill="FFFFFF"/>
        </w:rPr>
        <w:t>的独立财务顾问、证券服务机构及其相关人员即须承担相应的法</w:t>
      </w:r>
      <w:r>
        <w:rPr>
          <w:rFonts w:ascii="Times New Roman" w:hAnsi="Times New Roman" w:eastAsia="仿宋_GB2312" w:cs="Times New Roman"/>
          <w:sz w:val="32"/>
          <w:szCs w:val="32"/>
        </w:rPr>
        <w:t>律责任。</w:t>
      </w:r>
    </w:p>
    <w:p w14:paraId="1567A80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受理申请文件后至中国证监会作出注册决定前，上市公司、独立财务顾问、证券服务机构应当按照本规则的规定，对披露的重大资产重组报告书、独立财务顾问报告、法律意见书、财务报告、审计报告、资产评估报告或者估值报告等文件予以修改、补充。</w:t>
      </w:r>
    </w:p>
    <w:p w14:paraId="44FB12A8">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未经本所同意，申请文件不得更改。</w:t>
      </w:r>
    </w:p>
    <w:p w14:paraId="511A76D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第三十三条 本所受理申请文件后十个工作日内，独立财务顾问应当以电子文档形式报送工作底稿，供监管备查。</w:t>
      </w:r>
    </w:p>
    <w:p w14:paraId="2CC0213B">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第二节 审核机构审核</w:t>
      </w:r>
    </w:p>
    <w:p w14:paraId="0E4D804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第三十四条 本所重组审核机构按照申请文件受理的先后顺序开始审核。</w:t>
      </w:r>
    </w:p>
    <w:p w14:paraId="019D28D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第三十五条 上市公司申请发行股份购买资产不构成重组上市的，本所重组审核机构自受理申请文件之日起十个工作日内，向上市公司、交易对方、独立财务顾问、证券服务机构提出首轮审核问询。</w:t>
      </w:r>
    </w:p>
    <w:p w14:paraId="5260E3B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上市公司申请发行股份购买资产构成重组上市的，本所重组审核机构自受理申请文件之日起二十个工作日内，提出首轮审核问询。</w:t>
      </w:r>
    </w:p>
    <w:p w14:paraId="11CF805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在首轮审核问询发出前，上市公司、交易对方及有关各方，独立财务顾问、证券服务机构及其相关人员不得就审核事项与审核人员接触，不得以任何形式干扰审核工作。</w:t>
      </w:r>
    </w:p>
    <w:p w14:paraId="294212F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第三十六条 在首轮审核问询发出后，上市公司、交易对方、独立财务顾问、证券服务机构对本所审核问询存在疑问的，可以通过本所并购重组审核业务系统等方式进行沟通；确需当面沟通的，可以通过本所并购重组审核业务系统预约。</w:t>
      </w:r>
    </w:p>
    <w:p w14:paraId="54FACC6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本所重组审核机构可以根据审核需要，就审核相关事项与上市公司、交易对方及有关各方、独立财务顾问、证券服务机构及其相关人员进行沟通。</w:t>
      </w:r>
    </w:p>
    <w:p w14:paraId="0FC7382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第三十七条 本所重组审核机构收到上市公司对首轮审核问询的回复后，存在下列情形之一的，可以继续提出审核问询：</w:t>
      </w:r>
    </w:p>
    <w:p w14:paraId="290FE92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（一）首轮审核问询后，发现新的需要问询事项；</w:t>
      </w:r>
    </w:p>
    <w:p w14:paraId="1367AD4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（二）上市公司、交易对方、独立财务顾问、证券服务机构的回复未能有针对性地回答本所重组审核机构提出的审核问询，或者本所就其回复需要继续审核问询；</w:t>
      </w:r>
    </w:p>
    <w:p w14:paraId="2E0B234C">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（三）上市公司、交易对方、独立财务顾问、证券服务机构的信息披露仍未满足中国证监会和本所规定的要求；</w:t>
      </w:r>
    </w:p>
    <w:p w14:paraId="50859A4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（四）本所认为需要继续审核问询的其他情形。</w:t>
      </w:r>
    </w:p>
    <w:p w14:paraId="3482497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第三十八条 上市公司、交易对方、独立财务顾问、证券服务机构应当按照本所重组审核机构审核问询要求</w:t>
      </w:r>
      <w:r>
        <w:rPr>
          <w:rFonts w:hint="eastAsia" w:ascii="Times New Roman" w:hAnsi="Times New Roman" w:eastAsia="仿宋_GB2312" w:cs="Times New Roman"/>
          <w:sz w:val="32"/>
          <w:szCs w:val="32"/>
        </w:rPr>
        <w:t>，通过现场核验等方式</w:t>
      </w:r>
      <w:r>
        <w:rPr>
          <w:rFonts w:ascii="Times New Roman" w:hAnsi="Times New Roman" w:eastAsia="仿宋_GB2312" w:cs="Times New Roman"/>
          <w:sz w:val="32"/>
          <w:szCs w:val="32"/>
        </w:rPr>
        <w:t>进行必要的补充调查、核查，及时、逐项回复本所重组审核机构提出的审核问询，相应补充或者修改申请文件并披露。独立财务顾问应当于并购重组委员会审议结束后十个工作日内，汇总补充报送与审核问询回复相关的工作底稿。</w:t>
      </w:r>
    </w:p>
    <w:p w14:paraId="57700BF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上市公司、交易对方、独立财务顾问、证券服务机构对本所重组审核机构审核问询的回复是申请文件的组成部分，上市公司、交易对方、独立财务顾问、证券服务机构应当保证回复的真实、准确、完整。</w:t>
      </w:r>
    </w:p>
    <w:p w14:paraId="46B5D16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第三十九条 本所重组审核机构可以根据需要，就科创板上市公司申请中拟购买资产是否符合科创板定位，与科创板上市公司主营业务是否具有协同效应等相关问题，向本所科技创新咨询委员会进行咨询；科技创新咨询委员会所提出的咨询意见，可以供本所审核问询参考。</w:t>
      </w:r>
    </w:p>
    <w:p w14:paraId="2E5593B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第四十条 本所重组审核机构收到上市公司、交易对方、独立财务顾问、证券服务机构对本所审核问询的回复后，认为不需要进一步审核问询的，将出具审核报告，并提交并购重组委员会审议，同时通知上市公司及其独立财务顾问。</w:t>
      </w:r>
    </w:p>
    <w:p w14:paraId="1449B4E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第四十一条 上市公司申请发行股份购买资产不构成重组上市的，本所自受理申请文件之日起两个月内出具本次交易符合重组条件和信息披露要求的审核意见，或者作出终止审核的决定，本所审核和中国证监会注册的时间总计不超过三个月；申请发行股份购买资产构成重组上市的，本所自受理申请文件之日起，在规定时间内出具本次交易符合重组条件和信息披露要求的审核意见，或者作出终止审核的决定，本所审核和中国证监会注册的时间总计不超过三个月。</w:t>
      </w:r>
    </w:p>
    <w:p w14:paraId="1C340EFF">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不构成重组上市的，回复本所审核问询的时间总计不得超过一个月；申请发行股份购买资产构成重组上市的，回复本所审核问询的时间总计不得超过三个月。逾期未回复的，上市公司应当在到期日的次日，披露本次交易的进展情况及未能及时回复的具体原因等事项。上市公司难以在本款规定的时限内回复的，可以向本所申请延期一次，时间不得超过一个月。</w:t>
      </w:r>
    </w:p>
    <w:p w14:paraId="0E6632C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第四十二条 本规则规定的中止审核、向科技创新咨询委员会咨询、请示有权机关、实施现场检查或者现场督导、落实并购重组委员会意见、暂缓审议、处理会后事项、进行专项核查，并要求上市公司补充或者修改申请文件等情形的时间，不计算在本规则第三十条、第三十五条、第四十一条、第四十四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第四十七条</w:t>
      </w:r>
      <w:r>
        <w:rPr>
          <w:rFonts w:hint="eastAsia" w:ascii="Times New Roman" w:hAnsi="Times New Roman" w:eastAsia="仿宋_GB2312" w:cs="Times New Roman"/>
          <w:sz w:val="32"/>
          <w:szCs w:val="32"/>
        </w:rPr>
        <w:t>、第六十条和第六十一条</w:t>
      </w:r>
      <w:r>
        <w:rPr>
          <w:rFonts w:ascii="Times New Roman" w:hAnsi="Times New Roman" w:eastAsia="仿宋_GB2312" w:cs="Times New Roman"/>
          <w:sz w:val="32"/>
          <w:szCs w:val="32"/>
        </w:rPr>
        <w:t>规定的时限内。</w:t>
      </w:r>
    </w:p>
    <w:p w14:paraId="0E70530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第四十三条 本所重组审核机构对符合下列条件的发行股份购买资产申请，可以减少问询轮次和问题数量，优化审核内容，提高审核效率：</w:t>
      </w:r>
    </w:p>
    <w:p w14:paraId="3B5EADD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（一）本所及上市公司所属证监局对上市公司信息披露和规范运作的评价以及中国证券业协会对独立财务顾问执业质量的评价结果均为A类；</w:t>
      </w:r>
    </w:p>
    <w:p w14:paraId="3BCA964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（二）本次交易符合国家产业政策；</w:t>
      </w:r>
    </w:p>
    <w:p w14:paraId="3E0852B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（三）交易类型属于同行业或者上下游并购，不构成重组上市。</w:t>
      </w:r>
    </w:p>
    <w:p w14:paraId="14AE205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适用前款规定的，上市公司应当按照本规则第二十九条规定提交申请文件，并提交独立财务顾问关于本次交易符合前款第（二）项、第（三）项规定的专项意见。</w:t>
      </w:r>
    </w:p>
    <w:p w14:paraId="02F3429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第四十四条 主板上市公司发行股份购买资产，符合下列情形之一的，申请文件受理后，本所重组审核机构经审核，不再进行审核问询，直接出具审核报告，并提交并购重组委员会审议：</w:t>
      </w:r>
    </w:p>
    <w:p w14:paraId="549E7460">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（一）最近十二个月内累计交易金额不超过5亿元；</w:t>
      </w:r>
    </w:p>
    <w:p w14:paraId="0BA3B002">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（二）最近十二个月内累计发行的股份不超过本次交易前上市公司股份总数的5%且最近十二个月内累计交易金额不超过10亿元。</w:t>
      </w:r>
    </w:p>
    <w:p w14:paraId="1B6E017F">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科创板上市公司发行股份购买资产，符合前款规定情形之一，且不存在下列情形的，适用前款规定的审核程序：</w:t>
      </w:r>
    </w:p>
    <w:p w14:paraId="0984D04F">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（一）属于《重组办法》第十二条或者第十三条规定的资产交易行为；</w:t>
      </w:r>
    </w:p>
    <w:p w14:paraId="49CDDA1E">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（二）募集配套资金金额超过上市公司最近一个会计年度经审计的合并财务会计报告期末净资产额的10%。</w:t>
      </w:r>
    </w:p>
    <w:p w14:paraId="74AADDCB">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适用前两款规定的，上市公司应当按照本规则第二十九条规定提交申请文件，并提交独立财务顾问关于本次发行股份购买资产符合前两款相应规定，且不存在本规则第四十五条规定情形的专项意见。</w:t>
      </w:r>
    </w:p>
    <w:p w14:paraId="6600CE27">
      <w:pPr>
        <w:widowControl w:val="0"/>
        <w:adjustRightInd w:val="0"/>
        <w:snapToGrid w:val="0"/>
        <w:spacing w:line="560" w:lineRule="exact"/>
        <w:ind w:firstLine="600"/>
        <w:jc w:val="both"/>
        <w:outlineLvl w:val="9"/>
        <w:rPr>
          <w:rFonts w:ascii="Times New Roman" w:hAnsi="Times New Roman" w:eastAsia="仿宋_GB2312" w:cs="Times New Roman"/>
          <w:sz w:val="32"/>
          <w:szCs w:val="32"/>
        </w:rPr>
      </w:pPr>
      <w:r>
        <w:rPr>
          <w:rFonts w:hint="eastAsia" w:ascii="仿宋_GB2312" w:hAnsi="仿宋_GB2312" w:eastAsia="仿宋_GB2312" w:cs="仿宋_GB2312"/>
          <w:sz w:val="32"/>
          <w:szCs w:val="32"/>
        </w:rPr>
        <w:t>第一款所称“累计交易金额”，是指以发行股份方式购买资产的交易金额；“累计发行的股份”</w:t>
      </w:r>
      <w:r>
        <w:rPr>
          <w:rFonts w:ascii="Times New Roman" w:hAnsi="Times New Roman" w:eastAsia="仿宋_GB2312" w:cs="Times New Roman"/>
          <w:sz w:val="32"/>
          <w:szCs w:val="32"/>
        </w:rPr>
        <w:t>，是指用于购买资产而发行的股份。未适用第一款和第二款审核的发行股份购买资产行为，无需纳入累计计算的范围。</w:t>
      </w:r>
    </w:p>
    <w:p w14:paraId="55269D7D">
      <w:pPr>
        <w:widowControl w:val="0"/>
        <w:adjustRightInd w:val="0"/>
        <w:snapToGrid w:val="0"/>
        <w:spacing w:line="560" w:lineRule="exact"/>
        <w:ind w:firstLine="6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上市公司申请发行股份购买资产适用本条规定的，本所自受理申请文件之日起二十个工作日内出具本次交易符合重组条件和信息披露要求的审核意见，或者作出终止审核的决定。</w:t>
      </w:r>
    </w:p>
    <w:p w14:paraId="3C01F1A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第四十五条 上市公司发行股份购买资产，存在下列情形之一的，不适用本规则第四十四条规定：</w:t>
      </w:r>
    </w:p>
    <w:p w14:paraId="2525373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（一）上市公司或者其控股股东、实际控制人最近十二个月内受到中国证监会行政处罚或者证券交易所、国务院批准的其他全国性证券交易场所公开谴责，或者存在其他重大失信行为；</w:t>
      </w:r>
    </w:p>
    <w:p w14:paraId="6525DC3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（二）独立财务顾问、证券服务机构或者其相关人员最近十二个月内受到中国证监会行政处罚或者证券交易所、国务院批准的其他全国性证券交易场所</w:t>
      </w:r>
      <w:r>
        <w:rPr>
          <w:rFonts w:hint="eastAsia" w:ascii="Times New Roman" w:hAnsi="Times New Roman" w:eastAsia="仿宋_GB2312" w:cs="Times New Roman"/>
          <w:sz w:val="32"/>
          <w:szCs w:val="32"/>
          <w:lang w:eastAsia="zh-CN"/>
        </w:rPr>
        <w:t>公开谴责；</w:t>
      </w:r>
    </w:p>
    <w:p w14:paraId="0EC263F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（三）交易方案存在重大无先例、重大舆情等重大复杂情形。</w:t>
      </w:r>
    </w:p>
    <w:p w14:paraId="0A7AE708">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第三节 并购重组委员会审议</w:t>
      </w:r>
    </w:p>
    <w:p w14:paraId="64C4B27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第四十六条 并购重组委员会召开审议会议，对本所重组审核机构出具的审核报告及上市公司发行股份购买资产申请进行审议，形成本次交易是否符合重组条件和信息披露要求的审议意见。</w:t>
      </w:r>
    </w:p>
    <w:p w14:paraId="6A79826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第四十七条 并购重组委员会进行审议时，认为需要对上市公司、交易对方、独立财务顾问、证券服务机构等主体进行现场问询的，由本所重组审核机构通知相关主体。相关主体代表应当到会接受问询，回答并购重组委员会提出的问题。</w:t>
      </w:r>
    </w:p>
    <w:p w14:paraId="2B823F8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审议会议过程中，发现上市公司存在重组条件或者信息披露方面的重大事项有待进一步核实，无法形成审议意见的，经会议合议，并购重组委员会可以对该公司的发行股份购买资产申请暂缓审议，暂缓审议时间不超过两个月。对上市公司的同一次申请，只能暂缓审议一次。</w:t>
      </w:r>
    </w:p>
    <w:p w14:paraId="0A96FF3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第四十八条 本所结合并购重组委员会审议意见，出具本次交易符合重组条件和信息披露要求的审核意见，或者作出终止审核的决定。</w:t>
      </w:r>
    </w:p>
    <w:p w14:paraId="0FCE59A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并购重组委员会审议意见认为本次交易符合重组条件和信息披露要求，但要求补充披露有关信息的，本所重组审核机构告知独立财务顾问组织落实；重组审核机构对上市公司及其独立财务顾问、证券服务机构的落实情况予以核对，向参会委员通报落实情况。上市公司对相关事项补充披露后，本所出具本次交易符合重组条件和信息披露要求的审核意见。</w:t>
      </w:r>
    </w:p>
    <w:p w14:paraId="7D1FB85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上市公司应当根据并购重组委员会审议意见，更新申请文件并披露。</w:t>
      </w:r>
    </w:p>
    <w:p w14:paraId="22C1A737">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第四节 向中国证监会报送审核意见</w:t>
      </w:r>
    </w:p>
    <w:p w14:paraId="42544C5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第四十九条 本所审核意见为本次交易符合重组条件和信息披露要求的，向中国证监会报送审核意见、相关审核资料及上市公司申请文件。</w:t>
      </w:r>
    </w:p>
    <w:p w14:paraId="06633E5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第五十条 中国证监会在注册程序中，发现存在影响重组条件的新增事项并要求本所进一步问询的，本所向上市公司、交易对方、独立财务顾问、证券服务机构提出问询问题。本所结合问询回复，就新增事项形成审核意见并报送中国证监会。</w:t>
      </w:r>
    </w:p>
    <w:p w14:paraId="3696D418">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中国证监会认为本所对新增事项的审核意见依据明显不充分，退回本所补充审核的，本所对补充审核事项重新审核。本所审核意见为本次交易符合重组条件和信息披露要求的，重新向中国证监会报送审核意见及相关资料；本所审核意见为本次交易不符合重组条件或者信息披露要求的，作出终止审核的决定。</w:t>
      </w:r>
    </w:p>
    <w:p w14:paraId="12DDD8CF">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本所根据前两款规定进一步问询或补充审核的时间，不计算在本规则第四十一条、第四十四条</w:t>
      </w:r>
      <w:r>
        <w:rPr>
          <w:rFonts w:hint="eastAsia" w:ascii="Times New Roman" w:hAnsi="Times New Roman" w:eastAsia="仿宋_GB2312" w:cs="Times New Roman"/>
          <w:sz w:val="32"/>
          <w:szCs w:val="32"/>
        </w:rPr>
        <w:t>和第六十一条</w:t>
      </w:r>
      <w:r>
        <w:rPr>
          <w:rFonts w:ascii="Times New Roman" w:hAnsi="Times New Roman" w:eastAsia="仿宋_GB2312" w:cs="Times New Roman"/>
          <w:sz w:val="32"/>
          <w:szCs w:val="32"/>
        </w:rPr>
        <w:t>规定的时限内。</w:t>
      </w:r>
    </w:p>
    <w:p w14:paraId="01A051D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上市公司应当及时披露相关问询问题以及注册结果，并根据需要更新申请文件并披露。</w:t>
      </w:r>
    </w:p>
    <w:p w14:paraId="4EACE59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第五节 审核中止与终止</w:t>
      </w:r>
    </w:p>
    <w:p w14:paraId="3325C4E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第五十一条 出现下列情形之一的，上市公司、交易对方、独立财务顾问、证券服务机构应当及时告知本所，本所将中止审核：</w:t>
      </w:r>
    </w:p>
    <w:p w14:paraId="0D9A820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（一）本次交易涉嫌内幕交易被中国证监会立案调查或者被司法机关立案侦查，尚未结案；</w:t>
      </w:r>
    </w:p>
    <w:p w14:paraId="7296BF8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（二）上市公司因涉嫌违法违规被行政机关调查，或者被司法机关侦查，尚未结案，对本次交易影响重大；</w:t>
      </w:r>
    </w:p>
    <w:p w14:paraId="609ED5A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独立财务顾问、证券服务机构被中国证监会依法采取限制业务活动、责令停业整顿、指定其他机构托管或者接管等监管措施，被证券交易所、国务院批准的其他全国性证券交易场所采取一定期限内不接受其出具的相关文件的纪律处分，尚未解除；</w:t>
      </w:r>
    </w:p>
    <w:p w14:paraId="04EFEE0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独立财务顾问、证券服务机构的相关签字人员，被中国证监会依法采取不得从事证券业务或者证券服务业务的证券市场禁入、认定为不适当人选等措施，被证券交易所、国务院批准的其他全国性证券交易场所采取一定期限内不接受其出具的相关文件的纪律处分，或者被证券业协会采取认定不适合从事相关业务的纪律处分，尚未解除；</w:t>
      </w:r>
    </w:p>
    <w:p w14:paraId="53667D2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（五）申请文件中记载的财务资料已过有效期，需要补充提交；</w:t>
      </w:r>
    </w:p>
    <w:p w14:paraId="40412C9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（六）中国证监会根据《重组办法》等规定责令暂停重组活动，或者责令相关主体作出公开说明或者披露专业意见；</w:t>
      </w:r>
    </w:p>
    <w:p w14:paraId="21792CE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（七）上市公司、独立财务顾问主动要求中止审核，理由正当并经本所同意。</w:t>
      </w:r>
    </w:p>
    <w:p w14:paraId="2FB6C22C">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出现前款第一项至第六项所列情形，上市公司、交易对方、独立财务顾问、证券服务机构未及时告知本所，本所经核实符合中止审核情形的，将直接中止审核。</w:t>
      </w:r>
    </w:p>
    <w:p w14:paraId="62FC54D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一款所列情形消除后，上市公司、交易对方、独立财务顾问、证券服务机构应当及时告知本所。本所经审核确认后，恢复对发行股份购买资产申请的审核。审核时限自恢复审核之日起继续计算；但财务报告期调整达到一个或者一个以上会计年度的，审核时限自恢复审核之日起重新计算。存在第一款第一项规定的情形，但符合中国证监会有关规定的，视为相关情形已消除。</w:t>
      </w:r>
    </w:p>
    <w:p w14:paraId="6E95BC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第五十二条 出现下列情形之一的，本所将终止审核：</w:t>
      </w:r>
    </w:p>
    <w:p w14:paraId="540E77F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（一）中国证监会根据《重组办法》等规定，责令上市公司终止重组活动；</w:t>
      </w:r>
    </w:p>
    <w:p w14:paraId="4A266EE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（二）上市公司更换独立财务顾问、对交易方案进行重大调整或者上市公司、独立财务顾问撤回申请文件；</w:t>
      </w:r>
    </w:p>
    <w:p w14:paraId="5AD8316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（三）上市公司未在规定时限内回复本所审核问询或者未对申请文件作出解释说明、补充修改；</w:t>
      </w:r>
    </w:p>
    <w:p w14:paraId="724F493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（四）申请文件内容存在明显瑕疵，严重影响本所正常审核，或者严重影响投资者作出价值判断或者投资决策；</w:t>
      </w:r>
    </w:p>
    <w:p w14:paraId="2388EDF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（五）申请文件被认定存在虚假记载、误导性陈述或者重大遗漏；</w:t>
      </w:r>
    </w:p>
    <w:p w14:paraId="5725B3C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（六）上市公司、交易对方及有关各方，独立财务顾问、证券服务机构及其相关人员等主体阻碍或者拒绝中国证监会或者本所依法实施的检查或者督导；</w:t>
      </w:r>
    </w:p>
    <w:p w14:paraId="64F2D14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（七）上市公司、交易对方及有关各方，独立财务顾问、证券服务机构及其相关人员等主体以不正当手段严重干扰本所审核工作；</w:t>
      </w:r>
    </w:p>
    <w:p w14:paraId="286F821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（八）本规则第五十一条第一款第三项至第七项规定的中止审核情形未能在两个月内消除；</w:t>
      </w:r>
    </w:p>
    <w:p w14:paraId="3D7DB7F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（九）本所审核认为本次交易不符合重组条件或者信息披露要求。</w:t>
      </w:r>
    </w:p>
    <w:p w14:paraId="38CA330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第五十三条 本所对上市公司发行股份购买资产申请不予受理或者终止审核的，上市公司可以在收到本所相关文件后五个工作日内，向本所申请复审；但因本规则第五十二条第二项终止审核的，不得申请复审。复审的有关事项，适用《上海证券交易所股票发行上市审核规则》等关于复审的有关规定。</w:t>
      </w:r>
    </w:p>
    <w:p w14:paraId="3431DF8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经复审，上市公司申请理由成立的，本所对发行股份购买资产申请重新审核，审核时限自重新审核之日起重新计算；申请理由不成立的，本所维持原决定。</w:t>
      </w:r>
    </w:p>
    <w:p w14:paraId="0B8EEE3D">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第六节 会后事项</w:t>
      </w:r>
    </w:p>
    <w:p w14:paraId="5293A31B">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第五十四条 并购重组委员会形成审议意见后至中国证监会作出注册决定前，发生重大事项，对上市公司本次交易是否符合重组条件或者信息披露要求产生重大影响的，本所重组审核机构经审核决定是否重新提交并购重组委员会审议。</w:t>
      </w:r>
    </w:p>
    <w:p w14:paraId="1185C52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第五十五条 中国证监会作出注册决定后至本次交易</w:t>
      </w:r>
      <w:r>
        <w:rPr>
          <w:rFonts w:hint="eastAsia" w:ascii="Times New Roman" w:hAnsi="Times New Roman" w:eastAsia="仿宋_GB2312" w:cs="Times New Roman"/>
          <w:sz w:val="32"/>
          <w:szCs w:val="32"/>
          <w:lang w:val="en-US" w:eastAsia="zh-CN"/>
        </w:rPr>
        <w:t>实施完毕</w:t>
      </w:r>
      <w:r>
        <w:rPr>
          <w:rFonts w:ascii="Times New Roman" w:hAnsi="Times New Roman" w:eastAsia="仿宋_GB2312" w:cs="Times New Roman"/>
          <w:sz w:val="32"/>
          <w:szCs w:val="32"/>
        </w:rPr>
        <w:t>前，发生重大事项，可能导致上市公司本次交易不符合重组条件或者信息披露要求的，上市公司应当暂停本次交易。本所发现上市公司存在上述情形的，有权要求上市公司暂停本次交易。</w:t>
      </w:r>
    </w:p>
    <w:p w14:paraId="4770424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上市公司、交易对方、独立财务顾问应当将上述情况及时报告本所并作出公告，说明重大事项相关情况及上市公司将暂停本次交易。</w:t>
      </w:r>
    </w:p>
    <w:p w14:paraId="02FE082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本所经审核认为相关重大事项导致上市公司本次交易不符合重组条件或者信息披露要求的，将出具明确意见并报告中国证监会。</w:t>
      </w:r>
    </w:p>
    <w:p w14:paraId="46D5EA3A">
      <w:pPr>
        <w:tabs>
          <w:tab w:val="left" w:pos="993"/>
          <w:tab w:val="left" w:pos="2127"/>
        </w:tabs>
        <w:adjustRightInd w:val="0"/>
        <w:snapToGrid w:val="0"/>
        <w:spacing w:line="560" w:lineRule="exact"/>
        <w:ind w:firstLine="640" w:firstLineChars="200"/>
        <w:jc w:val="both"/>
        <w:outlineLvl w:val="9"/>
        <w:rPr>
          <w:rFonts w:hint="default"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lang w:val="en-US" w:eastAsia="zh-CN"/>
        </w:rPr>
        <w:t>分期发行股份支付购买资产对价的，中国证监会作出注册决定后，首期股份发行时，发生重大事项的，按照前三款规定执行；其后各期股份发行时，发生重大事项，可能导致上市公司不符合《重组办法》第四十三条第一款规定的，按照前三款规定执行。</w:t>
      </w:r>
    </w:p>
    <w:p w14:paraId="685A916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第七节 简易审核程序特别规定</w:t>
      </w:r>
    </w:p>
    <w:p w14:paraId="21F63D5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第五十六条 发行股份购买资产适用简易审核程序的，按照本节规定执行。本节未规定的事项，适用本规则其他规定。</w:t>
      </w:r>
    </w:p>
    <w:p w14:paraId="0B5E15A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第五十七条 发行股份购买资产符合下列情形之一的，可以适用简易审核程序：</w:t>
      </w:r>
    </w:p>
    <w:p w14:paraId="0485A96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（一）本次交易属于上市公司之间换股吸收合并；</w:t>
      </w:r>
    </w:p>
    <w:p w14:paraId="00E5CEF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（二）上市公司本次发行股份购买资产的董事会决议公告日前连续二十个交易日在本所股票收盘总市值均超过100亿元，最近两年本所对上市公司信息披露质量评价为A，同时本次交易不构成重大资产重组。</w:t>
      </w:r>
    </w:p>
    <w:p w14:paraId="057840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第五十八条 发行股份购买资产存在本规则第四十五条规定情形之一的，不适用简易审核程序。</w:t>
      </w:r>
    </w:p>
    <w:p w14:paraId="5DC5F16D">
      <w:pPr>
        <w:pStyle w:val="2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第五十九条 上市公司及其控股股东、实际控制人、董事、高级管理人员应当在重组报告书中就本次交易符合重组条件、信息披露要求以及适用简易审核程序要求作出承诺。</w:t>
      </w:r>
    </w:p>
    <w:p w14:paraId="7646576D">
      <w:pPr>
        <w:pStyle w:val="2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独立财务顾问应当就本次交易符合重组条件、信息披露要求以及适用简易审核程序要求发表明确肯定的核查意见。</w:t>
      </w:r>
    </w:p>
    <w:p w14:paraId="6316AFF8">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第六十条 本所在收到申请文件后两个工作日内，对申请文件进行核对，作出是否受理的决定。</w:t>
      </w:r>
    </w:p>
    <w:p w14:paraId="4757D3FF">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申请文件不符合要求的，本所不予受理。</w:t>
      </w:r>
    </w:p>
    <w:p w14:paraId="3916B0F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独立财务顾问应当在受理之日起五个工作日内以电子文档形式报送工作底稿。</w:t>
      </w:r>
    </w:p>
    <w:p w14:paraId="61F9847E">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第六十一条 独立财务顾问就本次交易发表明确肯定的核查意见的，本所重组审核机构不进行审核问询，无需就本次交易提交并购重组委员会审议。本所自受理之日起五个工作日内，出具本次交易符合重组条件和信息披露要求的审核意见，并向中国证监会报送审核意见、相关审核资料及上市公司申请文件。</w:t>
      </w:r>
    </w:p>
    <w:p w14:paraId="7991D75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重组审核机构发现本次交易明显不符合重组条件、信息披露要求或者简易审核程序适用情形的，本所作出终止审核的决定。</w:t>
      </w:r>
    </w:p>
    <w:p w14:paraId="1112C0E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六十二</w:t>
      </w:r>
      <w:r>
        <w:rPr>
          <w:rFonts w:ascii="Times New Roman" w:hAnsi="Times New Roman" w:eastAsia="仿宋_GB2312" w:cs="Times New Roman"/>
          <w:sz w:val="32"/>
          <w:szCs w:val="32"/>
        </w:rPr>
        <w:t>条 本所出具审核意见后至中国证监会作出注册决定前，发生重大事项，对上市公司本次交易是否符合重组条件、信息披露要求或者简易审核程序适用情形产生重大影响的，本所重组审核机构决定是否重新审核。</w:t>
      </w:r>
    </w:p>
    <w:p w14:paraId="41EC7EA7">
      <w:pPr>
        <w:pStyle w:val="20"/>
        <w:adjustRightInd w:val="0"/>
        <w:snapToGrid w:val="0"/>
        <w:spacing w:line="560" w:lineRule="exact"/>
        <w:ind w:firstLine="0" w:firstLineChars="0"/>
        <w:jc w:val="center"/>
        <w:outlineLvl w:val="9"/>
        <w:rPr>
          <w:rFonts w:ascii="Times New Roman" w:hAnsi="Times New Roman" w:eastAsia="黑体" w:cs="Times New Roman"/>
          <w:b w:val="0"/>
          <w:sz w:val="32"/>
          <w:szCs w:val="32"/>
        </w:rPr>
      </w:pPr>
      <w:r>
        <w:rPr>
          <w:rFonts w:ascii="Times New Roman" w:hAnsi="Times New Roman" w:eastAsia="黑体" w:cs="Times New Roman"/>
          <w:b w:val="0"/>
          <w:sz w:val="32"/>
          <w:szCs w:val="32"/>
        </w:rPr>
        <w:t>第</w:t>
      </w:r>
      <w:r>
        <w:rPr>
          <w:rFonts w:hint="eastAsia" w:ascii="Times New Roman" w:hAnsi="Times New Roman" w:eastAsia="黑体" w:cs="Times New Roman"/>
          <w:b w:val="0"/>
          <w:sz w:val="32"/>
          <w:szCs w:val="32"/>
        </w:rPr>
        <w:t>六</w:t>
      </w:r>
      <w:r>
        <w:rPr>
          <w:rFonts w:ascii="Times New Roman" w:hAnsi="Times New Roman" w:eastAsia="黑体" w:cs="Times New Roman"/>
          <w:b w:val="0"/>
          <w:sz w:val="32"/>
          <w:szCs w:val="32"/>
        </w:rPr>
        <w:t>章 审核相关事项</w:t>
      </w:r>
    </w:p>
    <w:p w14:paraId="7233F46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六十三</w:t>
      </w:r>
      <w:r>
        <w:rPr>
          <w:rFonts w:ascii="Times New Roman" w:hAnsi="Times New Roman" w:eastAsia="仿宋_GB2312" w:cs="Times New Roman"/>
          <w:sz w:val="32"/>
          <w:szCs w:val="32"/>
        </w:rPr>
        <w:t>条 本所向市场公开重组审核的下列信息，接受社会监督：</w:t>
      </w:r>
    </w:p>
    <w:p w14:paraId="3F8A84F4">
      <w:pPr>
        <w:pStyle w:val="20"/>
        <w:tabs>
          <w:tab w:val="left" w:pos="993"/>
          <w:tab w:val="left" w:pos="2127"/>
        </w:tabs>
        <w:adjustRightInd w:val="0"/>
        <w:snapToGrid w:val="0"/>
        <w:spacing w:line="560" w:lineRule="exact"/>
        <w:ind w:left="602" w:firstLine="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（一）在审上市公司名单、基本信息及审核工作进度；</w:t>
      </w:r>
    </w:p>
    <w:p w14:paraId="59DB88A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（二）本所审核问询，上市公司、交易对方、独立财务顾问、证券服务机构的回复，但涉及国家秘密或者商业秘密的除外；</w:t>
      </w:r>
    </w:p>
    <w:p w14:paraId="75AFF9C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（三）并购重组委员会的会议时间、审议的上市公司名单、参会委员名单、审议结果及现场问询问题；</w:t>
      </w:r>
    </w:p>
    <w:p w14:paraId="18DDAB2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（四）中国证监会的注册决定；</w:t>
      </w:r>
    </w:p>
    <w:p w14:paraId="018D624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（五）本所对上市公司、交易对方及有关各方，独立财务顾问、证券服务机构及其相关人员采取的自律监管措施或者纪律处分；</w:t>
      </w:r>
    </w:p>
    <w:p w14:paraId="5884150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（六）本所认为必要的其他信息。</w:t>
      </w:r>
    </w:p>
    <w:p w14:paraId="2A12ADD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六十四</w:t>
      </w:r>
      <w:r>
        <w:rPr>
          <w:rFonts w:ascii="Times New Roman" w:hAnsi="Times New Roman" w:eastAsia="仿宋_GB2312" w:cs="Times New Roman"/>
          <w:sz w:val="32"/>
          <w:szCs w:val="32"/>
        </w:rPr>
        <w:t>条 本所受理申请文件后至本次交易实施完毕前，发生重大事项的，上市公司、交易对方、独立财务顾问应当及时向本所报告，按照要求履行信息披露义务、更新申请文件。上市公司的独立财务顾问、证券服务机构应当持续履行尽职调查职责，并向本所提交专项核查意见。</w:t>
      </w:r>
    </w:p>
    <w:p w14:paraId="3F45143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六十五</w:t>
      </w:r>
      <w:r>
        <w:rPr>
          <w:rFonts w:ascii="Times New Roman" w:hAnsi="Times New Roman" w:eastAsia="仿宋_GB2312" w:cs="Times New Roman"/>
          <w:sz w:val="32"/>
          <w:szCs w:val="32"/>
        </w:rPr>
        <w:t>条 本所受理申请文件后至本次交易实施完毕前，上市公司及其独立财务顾问应当密切关注公共媒体关于本次交易的重大报道、市场传闻。</w:t>
      </w:r>
    </w:p>
    <w:p w14:paraId="0B4973EB">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报道、传闻与上市公司信息披露存在重大差异，或者所涉事项可能对本次交易产生重大影响的，上市公司、交易对方、独立财务顾问、证券服务机构应当向本所作出解释说明，并按照规定履行信息披露义务。独立财务顾问、证券服务机构应当进行必要的核查并向本所报告核查结果。</w:t>
      </w:r>
    </w:p>
    <w:p w14:paraId="6DFB398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六十六</w:t>
      </w:r>
      <w:r>
        <w:rPr>
          <w:rFonts w:ascii="Times New Roman" w:hAnsi="Times New Roman" w:eastAsia="仿宋_GB2312" w:cs="Times New Roman"/>
          <w:sz w:val="32"/>
          <w:szCs w:val="32"/>
        </w:rPr>
        <w:t>条 本所受理申请文件后至本次交易实施完毕前，本所收到与本次交易相关的投诉举报的，可以就投诉举报的具体事项向上市公司、交易对方、独立财务顾问、证券服务机构进行问询，要求其向本所作出解释说明，并按照规定履行信息披露义务；要求独立财务顾问、证券服务机构进行必要的核查并向本所报告核查结果。</w:t>
      </w:r>
    </w:p>
    <w:p w14:paraId="394D27A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第六十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条 本所在审核中，发现上市公司申请文件存在重大疑问且上市公司、交易对方、独立财务顾问、证券服务机构回复中无法作出合理解释，或者本次交易涉及重组上市的，本所可以提请对上市公司、交易对方、标的资产、独立财务顾问、证券服务机构进行现场检查，或者对独立财务顾问、证券服务机构进行现场督导。</w:t>
      </w:r>
    </w:p>
    <w:p w14:paraId="5C9731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第六十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 本所在审核中，对重组条件具体审核标准等涉及中国证监会部门规章及规范性文件理解和适用的重大疑难问题、重大无先例情况以及其他需要中国证监会决定的事项，将及时请示中国证监会。</w:t>
      </w:r>
    </w:p>
    <w:p w14:paraId="222A83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六十九</w:t>
      </w:r>
      <w:r>
        <w:rPr>
          <w:rFonts w:ascii="Times New Roman" w:hAnsi="Times New Roman" w:eastAsia="仿宋_GB2312" w:cs="Times New Roman"/>
          <w:sz w:val="32"/>
          <w:szCs w:val="32"/>
        </w:rPr>
        <w:t xml:space="preserve">条 </w:t>
      </w:r>
      <w:r>
        <w:rPr>
          <w:rFonts w:ascii="Times New Roman" w:hAnsi="Times New Roman" w:eastAsia="仿宋_GB2312" w:cs="Times New Roman"/>
          <w:color w:val="000000"/>
          <w:sz w:val="32"/>
          <w:szCs w:val="32"/>
        </w:rPr>
        <w:t>上市公司应当在并购重组委员会审议认为不符合重组条件或者信息披露要求、收到本所终止审核决定或者中国证监会不予注册的决定后次一交易日就该结果予以公告。</w:t>
      </w:r>
    </w:p>
    <w:p w14:paraId="7AC8AFD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上市公司董事会应当根据股东会的授权，在收到本所终止审核决定或者中国证监会不予注册的决定后十日内，就是否修改或者终止本次重组方案作出决议并予以公告。决定终止方案的，应当在以上董事会的公告中明确向投资者说明，并按照公司章程的规定提交股东会审议，股东会就重大资产重组事项作出决议时已具体授权董事会可以决议终止本次交易的除外；准备重新上报的，应当在以上董事会公告中明确说明重新上报的原因、计划等。</w:t>
      </w:r>
    </w:p>
    <w:p w14:paraId="4D48193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本所对发行股份购买资产申请不予受理、终止审核的，上市公司可以在相关情形消除或者相关问题解决后再行申报。</w:t>
      </w:r>
    </w:p>
    <w:p w14:paraId="22B8597D">
      <w:pPr>
        <w:pStyle w:val="20"/>
        <w:adjustRightInd w:val="0"/>
        <w:snapToGrid w:val="0"/>
        <w:spacing w:line="560" w:lineRule="exact"/>
        <w:ind w:firstLine="0" w:firstLineChars="0"/>
        <w:jc w:val="center"/>
        <w:outlineLvl w:val="9"/>
        <w:rPr>
          <w:rFonts w:ascii="Times New Roman" w:hAnsi="Times New Roman" w:eastAsia="黑体" w:cs="Times New Roman"/>
          <w:b/>
          <w:sz w:val="32"/>
          <w:szCs w:val="32"/>
        </w:rPr>
      </w:pPr>
      <w:r>
        <w:rPr>
          <w:rFonts w:ascii="Times New Roman" w:hAnsi="Times New Roman" w:eastAsia="黑体" w:cs="Times New Roman"/>
          <w:b/>
          <w:sz w:val="32"/>
          <w:szCs w:val="32"/>
        </w:rPr>
        <w:t>第</w:t>
      </w:r>
      <w:r>
        <w:rPr>
          <w:rFonts w:hint="eastAsia" w:ascii="Times New Roman" w:hAnsi="Times New Roman" w:eastAsia="黑体" w:cs="Times New Roman"/>
          <w:b/>
          <w:sz w:val="32"/>
          <w:szCs w:val="32"/>
        </w:rPr>
        <w:t>七</w:t>
      </w:r>
      <w:r>
        <w:rPr>
          <w:rFonts w:ascii="Times New Roman" w:hAnsi="Times New Roman" w:eastAsia="黑体" w:cs="Times New Roman"/>
          <w:b/>
          <w:sz w:val="32"/>
          <w:szCs w:val="32"/>
        </w:rPr>
        <w:t>章 持续督导</w:t>
      </w:r>
    </w:p>
    <w:p w14:paraId="4AEC8083">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w:t>
      </w:r>
      <w:r>
        <w:rPr>
          <w:rFonts w:ascii="Times New Roman" w:hAnsi="Times New Roman" w:eastAsia="仿宋_GB2312" w:cs="Times New Roman"/>
          <w:sz w:val="32"/>
          <w:szCs w:val="32"/>
        </w:rPr>
        <w:t>条 为上市公司实施重大资产重组提供服务的独立财务顾问，应当按照中国证监会和本所的相关规定，履行持续督导职责。</w:t>
      </w:r>
    </w:p>
    <w:p w14:paraId="1351C03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独立财务顾问应当指定项目主办人负责持续督导工作，并在资产重组实施情况报告书中披露。前述项目主办人不能履职的，独立财务顾问应当另行指定履职能力相当的人员并披露。</w:t>
      </w:r>
    </w:p>
    <w:p w14:paraId="291AAF7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上市公司、标的资产及其相关人员，应当充分配合独立财务顾问履行持续督导职责，及时提供必要的信息，保障履职所需的各项条件，协助披露持续督导意见。</w:t>
      </w:r>
    </w:p>
    <w:p w14:paraId="79531C3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七十一</w:t>
      </w:r>
      <w:r>
        <w:rPr>
          <w:rFonts w:ascii="Times New Roman" w:hAnsi="Times New Roman" w:eastAsia="仿宋_GB2312" w:cs="Times New Roman"/>
          <w:sz w:val="32"/>
          <w:szCs w:val="32"/>
        </w:rPr>
        <w:t>条 上市公司实施重大资产重组的，持续督导期限为</w:t>
      </w:r>
      <w:r>
        <w:rPr>
          <w:rFonts w:hint="eastAsia"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资产交付或者过户</w:t>
      </w:r>
      <w:r>
        <w:rPr>
          <w:rFonts w:ascii="Times New Roman" w:hAnsi="Times New Roman" w:eastAsia="仿宋_GB2312" w:cs="Times New Roman"/>
          <w:sz w:val="32"/>
          <w:szCs w:val="32"/>
        </w:rPr>
        <w:t>当年剩余时间以及其后一个完整会计年度。</w:t>
      </w:r>
    </w:p>
    <w:p w14:paraId="4AA1670A">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前款规定的期限届满后，存在尚未完结的督导事项的，独立财务顾问应当继续履行持续督导职责，并在各年度报告披露之日起十五日内就相关事项的进展情况出具核查意见。</w:t>
      </w:r>
    </w:p>
    <w:p w14:paraId="3C37B4F8">
      <w:pPr>
        <w:pStyle w:val="20"/>
        <w:tabs>
          <w:tab w:val="left" w:pos="993"/>
          <w:tab w:val="left" w:pos="1985"/>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七十二</w:t>
      </w:r>
      <w:r>
        <w:rPr>
          <w:rFonts w:ascii="Times New Roman" w:hAnsi="Times New Roman" w:eastAsia="仿宋_GB2312" w:cs="Times New Roman"/>
          <w:sz w:val="32"/>
          <w:szCs w:val="32"/>
        </w:rPr>
        <w:t>条 独立财务顾问应当勤勉尽职，通过日常沟通、定期回访等方式，结合上市公司信息披露情况，履行下列持续督导职责：</w:t>
      </w:r>
    </w:p>
    <w:p w14:paraId="0E75FEDE">
      <w:pPr>
        <w:widowControl w:val="0"/>
        <w:autoSpaceDE w:val="0"/>
        <w:autoSpaceDN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（一）就督促上市公司按照相关规定实施重组方案，及时办理资产的交付或者过户手续等情况，履行相关信息披露义务；</w:t>
      </w:r>
    </w:p>
    <w:p w14:paraId="29E66E1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（二）辅导和督促标的资产主要股东、主要管理人员以及核心技术人员知晓并遵守上市公司信息披露、规范运作要求；</w:t>
      </w:r>
    </w:p>
    <w:p w14:paraId="76B5280D">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（三）关注并督促上市公司有效控制、整合、运营标的资产；</w:t>
      </w:r>
    </w:p>
    <w:p w14:paraId="3883B03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（四）关注并督促上市公司披露对标的资产持续经营能力、核心竞争力有重大不利影响的风险或者负面事项；</w:t>
      </w:r>
    </w:p>
    <w:p w14:paraId="2C1BAF04">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（五）关注并督促相关方履行承诺；</w:t>
      </w:r>
    </w:p>
    <w:p w14:paraId="5AAAFCE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（六）关注并督促上市公司按照企业会计准则的有关规定，对商誉进行确认和计量；</w:t>
      </w:r>
    </w:p>
    <w:p w14:paraId="0C57871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（七）《重组办法》《上市公司并购重组财务顾问业务管理办法》规定的其他持续督导职责。</w:t>
      </w:r>
    </w:p>
    <w:p w14:paraId="457A14D7">
      <w:pPr>
        <w:pStyle w:val="20"/>
        <w:tabs>
          <w:tab w:val="left" w:pos="567"/>
          <w:tab w:val="left" w:pos="709"/>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各项所涉事项对上市公司或者标的资产产生重大影响，或者与重大资产重组报告书等文件披露或者预测情况存在重大差异的，独立财务顾问应当督促上市公司及时披露，并于公司披露公告时，就披露信息是否真实、准确、完整，是否存在其他未披露重大风险发表意见并披露。</w:t>
      </w:r>
    </w:p>
    <w:p w14:paraId="7BE81A49">
      <w:pPr>
        <w:pStyle w:val="20"/>
        <w:tabs>
          <w:tab w:val="left" w:pos="993"/>
          <w:tab w:val="left" w:pos="1985"/>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七十三</w:t>
      </w:r>
      <w:r>
        <w:rPr>
          <w:rFonts w:ascii="Times New Roman" w:hAnsi="Times New Roman" w:eastAsia="仿宋_GB2312" w:cs="Times New Roman"/>
          <w:sz w:val="32"/>
          <w:szCs w:val="32"/>
        </w:rPr>
        <w:t>条 存在下列情形之一的，独立财务顾问应当对上市公司或者标的资产进行现场核查，出具核查报告并披露：</w:t>
      </w:r>
    </w:p>
    <w:p w14:paraId="2A3FEEF7">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（一）标的资产存在重大财务造假嫌疑；</w:t>
      </w:r>
    </w:p>
    <w:p w14:paraId="5E5F715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（二）上市公司可能无法有效控制标的资产；</w:t>
      </w:r>
    </w:p>
    <w:p w14:paraId="6626A5D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（三）标的资产可能存在未披露担保；</w:t>
      </w:r>
    </w:p>
    <w:p w14:paraId="37EA5574">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（四）标的资产可能存在非经营性资金占用；</w:t>
      </w:r>
    </w:p>
    <w:p w14:paraId="5109AEE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（五）标的资产股权可能存在重大未披露质押。</w:t>
      </w:r>
    </w:p>
    <w:p w14:paraId="5900436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独立财务顾问进行现场核查的，应当就核查情况、提请上市公司及投资者关注的问题、本次现场核查结论等事项出具现场核查报告，并在现场核查结束后五个工作日内披露。</w:t>
      </w:r>
    </w:p>
    <w:p w14:paraId="76538EC4">
      <w:pPr>
        <w:pStyle w:val="20"/>
        <w:tabs>
          <w:tab w:val="left" w:pos="993"/>
          <w:tab w:val="left" w:pos="1985"/>
          <w:tab w:val="left" w:pos="2410"/>
          <w:tab w:val="left" w:pos="2552"/>
          <w:tab w:val="left" w:pos="2694"/>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七十四</w:t>
      </w:r>
      <w:r>
        <w:rPr>
          <w:rFonts w:ascii="Times New Roman" w:hAnsi="Times New Roman" w:eastAsia="仿宋_GB2312" w:cs="Times New Roman"/>
          <w:sz w:val="32"/>
          <w:szCs w:val="32"/>
        </w:rPr>
        <w:t>条 上市公司实施重大资产重组，交易对方作出业绩承诺并与上市公司签订补偿协议的，独立财务顾问应当在业绩补偿期间内，持续关注业绩承诺方的资金、所持上市公司股份的质押等履约能力保障情况，督促其及时、足额履行业绩补偿承诺。</w:t>
      </w:r>
    </w:p>
    <w:p w14:paraId="5680AD6A">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方丧失履行业绩补偿承诺能力或者履行业绩补偿承诺存在重大不确定性的，独立财务顾问应当督促上市公司及时披露风险情况，并就披露信息是否真实、准确、完整，是否存在其他未披露重大风险发表意见并披露。</w:t>
      </w:r>
    </w:p>
    <w:p w14:paraId="68C2C37D">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相关方未履行业绩补偿承诺或者履行业绩补偿承诺数额不足的，独立财务顾问应当督促上市公司在前述事项发生的十个工作日内，制定并披露追偿计划，并就追偿计划的可行性以及后续履行情况发表意见并披露。</w:t>
      </w:r>
    </w:p>
    <w:p w14:paraId="3DFBEA87">
      <w:pPr>
        <w:pStyle w:val="20"/>
        <w:tabs>
          <w:tab w:val="left" w:pos="993"/>
          <w:tab w:val="left" w:pos="1985"/>
          <w:tab w:val="left" w:pos="2410"/>
          <w:tab w:val="left" w:pos="2552"/>
          <w:tab w:val="left" w:pos="2694"/>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七十五</w:t>
      </w:r>
      <w:r>
        <w:rPr>
          <w:rFonts w:ascii="Times New Roman" w:hAnsi="Times New Roman" w:eastAsia="仿宋_GB2312" w:cs="Times New Roman"/>
          <w:sz w:val="32"/>
          <w:szCs w:val="32"/>
        </w:rPr>
        <w:t>条 上市公司实施重组上市的，独立财务顾问自</w:t>
      </w:r>
      <w:r>
        <w:rPr>
          <w:rFonts w:hint="eastAsia"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资产交付或者过户</w:t>
      </w:r>
      <w:r>
        <w:rPr>
          <w:rFonts w:ascii="Times New Roman" w:hAnsi="Times New Roman" w:eastAsia="仿宋_GB2312" w:cs="Times New Roman"/>
          <w:sz w:val="32"/>
          <w:szCs w:val="32"/>
        </w:rPr>
        <w:t>之日起，应当遵守《上市规则》关于首次公开发行股票并上市持续督导的规定，以及《重组办法》《上市公司并购重组财务顾问业务管理办法》及本所相关规则规定的持续督导职责。</w:t>
      </w:r>
    </w:p>
    <w:p w14:paraId="3AD83D3C">
      <w:pPr>
        <w:pStyle w:val="20"/>
        <w:adjustRightInd w:val="0"/>
        <w:snapToGrid w:val="0"/>
        <w:spacing w:line="560" w:lineRule="exact"/>
        <w:ind w:firstLine="0" w:firstLineChars="0"/>
        <w:jc w:val="center"/>
        <w:outlineLvl w:val="9"/>
        <w:rPr>
          <w:rFonts w:ascii="Times New Roman" w:hAnsi="Times New Roman" w:eastAsia="黑体" w:cs="Times New Roman"/>
          <w:b w:val="0"/>
          <w:sz w:val="32"/>
          <w:szCs w:val="32"/>
        </w:rPr>
      </w:pPr>
      <w:r>
        <w:rPr>
          <w:rFonts w:ascii="Times New Roman" w:hAnsi="Times New Roman" w:eastAsia="黑体" w:cs="Times New Roman"/>
          <w:b w:val="0"/>
          <w:sz w:val="32"/>
          <w:szCs w:val="32"/>
        </w:rPr>
        <w:t>第</w:t>
      </w:r>
      <w:r>
        <w:rPr>
          <w:rFonts w:hint="eastAsia" w:ascii="Times New Roman" w:hAnsi="Times New Roman" w:eastAsia="黑体" w:cs="Times New Roman"/>
          <w:b w:val="0"/>
          <w:sz w:val="32"/>
          <w:szCs w:val="32"/>
        </w:rPr>
        <w:t>八</w:t>
      </w:r>
      <w:r>
        <w:rPr>
          <w:rFonts w:ascii="Times New Roman" w:hAnsi="Times New Roman" w:eastAsia="黑体" w:cs="Times New Roman"/>
          <w:b w:val="0"/>
          <w:sz w:val="32"/>
          <w:szCs w:val="32"/>
        </w:rPr>
        <w:t>章 自律管理</w:t>
      </w:r>
    </w:p>
    <w:p w14:paraId="3888236B">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七十六</w:t>
      </w:r>
      <w:r>
        <w:rPr>
          <w:rFonts w:ascii="Times New Roman" w:hAnsi="Times New Roman" w:eastAsia="仿宋_GB2312" w:cs="Times New Roman"/>
          <w:sz w:val="32"/>
          <w:szCs w:val="32"/>
        </w:rPr>
        <w:t>条 本所在发行股份购买资产审核中，可以根据本规则及本所相关规则单独或者合并采取下列日常工作措施：</w:t>
      </w:r>
    </w:p>
    <w:p w14:paraId="01BFEEC8">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（一）要求对有关问题作出解释和说明；</w:t>
      </w:r>
    </w:p>
    <w:p w14:paraId="69C8A511">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（二）出具监管工作函；</w:t>
      </w:r>
    </w:p>
    <w:p w14:paraId="2EA84E2F">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（三）约见有关人员；</w:t>
      </w:r>
    </w:p>
    <w:p w14:paraId="6664B95C">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（四）要求提供相关备查文件或者材料；</w:t>
      </w:r>
    </w:p>
    <w:p w14:paraId="5CA02D60">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（五）向中国证监会报告有关情况；</w:t>
      </w:r>
    </w:p>
    <w:p w14:paraId="7A776B9B">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（六）本所规定的其他日常工作措施。</w:t>
      </w:r>
    </w:p>
    <w:p w14:paraId="3DAB9C6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第七十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条 上市公司、交易对方未按照相关法律法规实施重大资产重组，或者因定价显失公允、违反业绩承诺、不正当利益输送等问题损害上市公司、投资者合法权益的，本所可以要求限期改正，并可以采取《上市规则》等规则规定的自律监管措施或者纪律处分；情节严重的，可以要求终止本次交易，并可以采取《上市规则》等规则规定的纪律处分。</w:t>
      </w:r>
    </w:p>
    <w:p w14:paraId="5C5E73B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第七十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 上市公司、交易对方及有关各方存在下列情形之一的，本所可以要求限期改正，并可以对其单独或者合并采取《上市规则》等规则规定的自律监管措施或者纪律处分：</w:t>
      </w:r>
    </w:p>
    <w:p w14:paraId="412DDCF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（一）未按照相关法律法规报送申请文件、有关报告或者披露重大资产重组信息；</w:t>
      </w:r>
    </w:p>
    <w:p w14:paraId="52E5DCD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（二）申请文件、报送的报告或者披露的信息存在虚假记载、误导性陈述或者重大遗漏；</w:t>
      </w:r>
    </w:p>
    <w:p w14:paraId="3D83006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（三）拒绝、阻碍、逃避现场检查或者现场督导，谎报、隐匿、销毁相关证据材料；</w:t>
      </w:r>
    </w:p>
    <w:p w14:paraId="4AE9769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（四）以不正当手段严重干扰本所审核工作；</w:t>
      </w:r>
    </w:p>
    <w:p w14:paraId="78A3F2F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（五）其他违反相关法律法规的行为。</w:t>
      </w:r>
    </w:p>
    <w:p w14:paraId="709D28D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七十九</w:t>
      </w:r>
      <w:r>
        <w:rPr>
          <w:rFonts w:ascii="Times New Roman" w:hAnsi="Times New Roman" w:eastAsia="仿宋_GB2312" w:cs="Times New Roman"/>
          <w:sz w:val="32"/>
          <w:szCs w:val="32"/>
        </w:rPr>
        <w:t>条 上市公司董事、高级管理人员未履行诚实守信、勤勉尽责义务，或者上市公司的控股股东、实际控制人及其有关负责人员未按照本规则的规定履行相关义务，导致重大资产重组损害上市公司利益的，或者组织、指使、配合或者直接从事第七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条规定的违规行为的，本所可以视情节轻重对其单独或者合并采取《上市规则》等规则规定的自律监管措施或者纪律处分。</w:t>
      </w:r>
    </w:p>
    <w:p w14:paraId="484DFD2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八十</w:t>
      </w:r>
      <w:r>
        <w:rPr>
          <w:rFonts w:ascii="Times New Roman" w:hAnsi="Times New Roman" w:eastAsia="仿宋_GB2312" w:cs="Times New Roman"/>
          <w:sz w:val="32"/>
          <w:szCs w:val="32"/>
        </w:rPr>
        <w:t>条 为重大资产重组提供服务的独立财务顾问、证券服务机构及其相关人员未履行诚实守信、勤勉尽责义务，违反行业规范、业务规则，或者未依法履行尽职调查、报告和披露以及持续督导职责的，本所可以视情节轻重对其单独或者合并采取下列自律监管措施或者纪律处分：</w:t>
      </w:r>
    </w:p>
    <w:p w14:paraId="4F8835F8">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（一）口头警示；</w:t>
      </w:r>
    </w:p>
    <w:p w14:paraId="572D7895">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（二）书面警示；</w:t>
      </w:r>
    </w:p>
    <w:p w14:paraId="2EB58804">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（三）监管谈话；</w:t>
      </w:r>
    </w:p>
    <w:p w14:paraId="52FB3C04">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（四）通报批评；</w:t>
      </w:r>
    </w:p>
    <w:p w14:paraId="1EE84140">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（五）公开谴责；</w:t>
      </w:r>
    </w:p>
    <w:p w14:paraId="4CF7BAEA">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（六）三个月至五年内不接受独立财务顾问、证券服务机构提交的申请文件或者信息披露文件；</w:t>
      </w:r>
    </w:p>
    <w:p w14:paraId="1B524E21">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（七）三个月至五年内不接受独立财务顾问、证券服务机构相关人员签字的申请文件或者信息披露文件。</w:t>
      </w:r>
    </w:p>
    <w:p w14:paraId="10873E0D">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（八）其他自律监管措施或者纪律处分。</w:t>
      </w:r>
    </w:p>
    <w:p w14:paraId="770808F1">
      <w:pPr>
        <w:pStyle w:val="20"/>
        <w:tabs>
          <w:tab w:val="left" w:pos="993"/>
          <w:tab w:val="left" w:pos="1701"/>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第八十一条 发行股份购买资产申请适用简易审核程序的，本所对相关重组交易加强事后监管；发现存在违反简易审核程序相关规定行为的，按照相关规定从重处理。</w:t>
      </w:r>
    </w:p>
    <w:p w14:paraId="7E4225A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八十二</w:t>
      </w:r>
      <w:r>
        <w:rPr>
          <w:rFonts w:ascii="Times New Roman" w:hAnsi="Times New Roman" w:eastAsia="仿宋_GB2312" w:cs="Times New Roman"/>
          <w:sz w:val="32"/>
          <w:szCs w:val="32"/>
        </w:rPr>
        <w:t>条 上市公司股东减持因发行股份购买资产取得的股份，违反本规则的，本所可以视情节轻重，按照《上市规则》等规则的规定，采取相应的自律监管措施或者纪律处分。</w:t>
      </w:r>
    </w:p>
    <w:p w14:paraId="14F0443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八十三</w:t>
      </w:r>
      <w:r>
        <w:rPr>
          <w:rFonts w:ascii="Times New Roman" w:hAnsi="Times New Roman" w:eastAsia="仿宋_GB2312" w:cs="Times New Roman"/>
          <w:sz w:val="32"/>
          <w:szCs w:val="32"/>
        </w:rPr>
        <w:t>条 本所在审核中，发现上市公司、交易对方及有关各方，独立财务顾问、证券服务机构及其相关人员涉嫌证券违法的，将依法报告中国证监会。</w:t>
      </w:r>
    </w:p>
    <w:p w14:paraId="29B013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监管对象被其他证券交易所、国务院批准的其他全国性证券交易场所采取暂不接受文件、认定为不适当人选等自律监管措施和纪律处分的，本所按照业务规则，在相应期限内不接受其提交或签字的相关文件，或者认定其不适合担任上市公司董事、高级管理人员，并对该监管对象提交或者签字且已受理的其他文件中止审核，或者要求上市公司解聘相关人员等。</w:t>
      </w:r>
    </w:p>
    <w:p w14:paraId="53EC135D">
      <w:pPr>
        <w:pStyle w:val="20"/>
        <w:adjustRightInd w:val="0"/>
        <w:snapToGrid w:val="0"/>
        <w:spacing w:line="560" w:lineRule="exact"/>
        <w:ind w:firstLine="0" w:firstLineChars="0"/>
        <w:jc w:val="center"/>
        <w:outlineLvl w:val="9"/>
        <w:rPr>
          <w:rFonts w:ascii="Times New Roman" w:hAnsi="Times New Roman" w:eastAsia="黑体" w:cs="Times New Roman"/>
          <w:b w:val="0"/>
          <w:sz w:val="32"/>
          <w:szCs w:val="32"/>
        </w:rPr>
      </w:pPr>
      <w:r>
        <w:rPr>
          <w:rFonts w:ascii="Times New Roman" w:hAnsi="Times New Roman" w:eastAsia="黑体" w:cs="Times New Roman"/>
          <w:b w:val="0"/>
          <w:sz w:val="32"/>
          <w:szCs w:val="32"/>
        </w:rPr>
        <w:t>第</w:t>
      </w:r>
      <w:r>
        <w:rPr>
          <w:rFonts w:hint="eastAsia" w:ascii="Times New Roman" w:hAnsi="Times New Roman" w:eastAsia="黑体" w:cs="Times New Roman"/>
          <w:b w:val="0"/>
          <w:sz w:val="32"/>
          <w:szCs w:val="32"/>
        </w:rPr>
        <w:t>九</w:t>
      </w:r>
      <w:r>
        <w:rPr>
          <w:rFonts w:ascii="Times New Roman" w:hAnsi="Times New Roman" w:eastAsia="黑体" w:cs="Times New Roman"/>
          <w:b w:val="0"/>
          <w:sz w:val="32"/>
          <w:szCs w:val="32"/>
        </w:rPr>
        <w:t>章 附</w:t>
      </w:r>
      <w:r>
        <w:rPr>
          <w:rFonts w:hint="eastAsia" w:ascii="Times New Roman" w:hAnsi="Times New Roman" w:eastAsia="黑体" w:cs="Times New Roman"/>
          <w:b w:val="0"/>
          <w:sz w:val="32"/>
          <w:szCs w:val="32"/>
          <w:lang w:eastAsia="zh"/>
        </w:rPr>
        <w:t xml:space="preserve"> </w:t>
      </w:r>
      <w:r>
        <w:rPr>
          <w:rFonts w:ascii="Times New Roman" w:hAnsi="Times New Roman" w:eastAsia="黑体" w:cs="Times New Roman"/>
          <w:b w:val="0"/>
          <w:sz w:val="32"/>
          <w:szCs w:val="32"/>
        </w:rPr>
        <w:t>则</w:t>
      </w:r>
    </w:p>
    <w:p w14:paraId="4CD9531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八十四</w:t>
      </w:r>
      <w:r>
        <w:rPr>
          <w:rFonts w:ascii="Times New Roman" w:hAnsi="Times New Roman" w:eastAsia="仿宋_GB2312" w:cs="Times New Roman"/>
          <w:sz w:val="32"/>
          <w:szCs w:val="32"/>
        </w:rPr>
        <w:t>条 上市公司发行存托凭证、优先股、可转换为股票的公司债券、定向权证购买资产或者募集配套资金，或者实施涉及股份等发行的合并、分立的，信息披露要求、审核程序等参照适用本规则。</w:t>
      </w:r>
    </w:p>
    <w:p w14:paraId="052DC2F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科创板上市公司配套募集资金应当主要投向科技创新领域。</w:t>
      </w:r>
    </w:p>
    <w:p w14:paraId="7915858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八十五</w:t>
      </w:r>
      <w:r>
        <w:rPr>
          <w:rFonts w:ascii="Times New Roman" w:hAnsi="Times New Roman" w:eastAsia="仿宋_GB2312" w:cs="Times New Roman"/>
          <w:sz w:val="32"/>
          <w:szCs w:val="32"/>
        </w:rPr>
        <w:t>条 本规则所称有关各方，是指上市公司的控股股东、实际控制人、董事、高级管理人员及其他相关方。</w:t>
      </w:r>
    </w:p>
    <w:p w14:paraId="189C158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八十六</w:t>
      </w:r>
      <w:r>
        <w:rPr>
          <w:rFonts w:ascii="Times New Roman" w:hAnsi="Times New Roman" w:eastAsia="仿宋_GB2312" w:cs="Times New Roman"/>
          <w:sz w:val="32"/>
          <w:szCs w:val="32"/>
        </w:rPr>
        <w:t>条 本规则经本所理事会审议通过并报中国证监会批准后生效，修改时亦同。</w:t>
      </w:r>
    </w:p>
    <w:p w14:paraId="5CA8E65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八十七</w:t>
      </w:r>
      <w:r>
        <w:rPr>
          <w:rFonts w:ascii="Times New Roman" w:hAnsi="Times New Roman" w:eastAsia="仿宋_GB2312" w:cs="Times New Roman"/>
          <w:sz w:val="32"/>
          <w:szCs w:val="32"/>
        </w:rPr>
        <w:t>条 本规则由本所负责解释。</w:t>
      </w:r>
    </w:p>
    <w:p w14:paraId="67553EF3">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第八十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 本规则自发布之日起施行。本所于202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日发布的《上海证券交易所上市公司重大资产重组审核规则</w:t>
      </w:r>
      <w:r>
        <w:rPr>
          <w:rFonts w:hint="eastAsia" w:ascii="Times New Roman" w:hAnsi="Times New Roman" w:eastAsia="仿宋_GB2312" w:cs="Times New Roman"/>
          <w:sz w:val="32"/>
          <w:szCs w:val="32"/>
        </w:rPr>
        <w:t>（2024年4月修订）</w:t>
      </w:r>
      <w:r>
        <w:rPr>
          <w:rFonts w:ascii="Times New Roman" w:hAnsi="Times New Roman" w:eastAsia="仿宋_GB2312" w:cs="Times New Roman"/>
          <w:sz w:val="32"/>
          <w:szCs w:val="32"/>
        </w:rPr>
        <w:t>》（上证发〔202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0号）同时废止。</w:t>
      </w:r>
    </w:p>
    <w:p w14:paraId="398A4F9A">
      <w:pPr>
        <w:spacing w:line="600" w:lineRule="exact"/>
        <w:rPr>
          <w:rFonts w:eastAsia="仿宋_GB2312"/>
          <w:sz w:val="32"/>
          <w:szCs w:val="32"/>
        </w:rPr>
      </w:pPr>
    </w:p>
    <w:sectPr>
      <w:footerReference r:id="rId3" w:type="default"/>
      <w:footerReference r:id="rId4" w:type="even"/>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165941797"/>
    </w:sdtPr>
    <w:sdtEndPr>
      <w:rPr>
        <w:rFonts w:ascii="宋体" w:hAnsi="宋体" w:eastAsia="宋体"/>
        <w:sz w:val="28"/>
      </w:rPr>
    </w:sdtEndPr>
    <w:sdtContent>
      <w:p w14:paraId="328C2C85">
        <w:pPr>
          <w:pStyle w:val="10"/>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165941801"/>
    </w:sdtPr>
    <w:sdtEndPr>
      <w:rPr>
        <w:rFonts w:ascii="宋体" w:hAnsi="宋体" w:eastAsia="宋体"/>
        <w:sz w:val="28"/>
      </w:rPr>
    </w:sdtEndPr>
    <w:sdtContent>
      <w:p w14:paraId="00396CD1">
        <w:pPr>
          <w:pStyle w:val="10"/>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E5CC0"/>
    <w:multiLevelType w:val="singleLevel"/>
    <w:tmpl w:val="B97E5CC0"/>
    <w:lvl w:ilvl="0" w:tentative="0">
      <w:start w:val="6"/>
      <w:numFmt w:val="chineseCounting"/>
      <w:suff w:val="space"/>
      <w:lvlText w:val="第%1条"/>
      <w:lvlJc w:val="left"/>
      <w:rPr>
        <w:rFonts w:hint="eastAsia"/>
      </w:rPr>
    </w:lvl>
  </w:abstractNum>
  <w:abstractNum w:abstractNumId="1">
    <w:nsid w:val="70E71186"/>
    <w:multiLevelType w:val="multilevel"/>
    <w:tmpl w:val="70E71186"/>
    <w:lvl w:ilvl="0" w:tentative="0">
      <w:start w:val="1"/>
      <w:numFmt w:val="chineseCountingThousand"/>
      <w:pStyle w:val="21"/>
      <w:lvlText w:val="第%1条"/>
      <w:lvlJc w:val="left"/>
      <w:pPr>
        <w:ind w:left="2564" w:hanging="720"/>
      </w:pPr>
      <w:rPr>
        <w:rFonts w:hint="eastAsia" w:ascii="仿宋_GB2312" w:hAnsi="黑体" w:eastAsia="仿宋_GB2312"/>
        <w:b w:val="0"/>
        <w:i w:val="0"/>
        <w:caps w:val="0"/>
        <w:strike w:val="0"/>
        <w:dstrike w:val="0"/>
        <w:snapToGrid w:val="0"/>
        <w:vanish w:val="0"/>
        <w:color w:val="auto"/>
        <w:kern w:val="0"/>
        <w:sz w:val="30"/>
        <w:szCs w:val="30"/>
        <w:vertAlign w:val="baseline"/>
        <w:lang w:val="en-US"/>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GM3Yjc2ZDU0NWQzMDdjOWNlOTA1NjdiYWYxNzMifQ=="/>
  </w:docVars>
  <w:rsids>
    <w:rsidRoot w:val="10851F5E"/>
    <w:rsid w:val="0001140F"/>
    <w:rsid w:val="000966B5"/>
    <w:rsid w:val="00175DAF"/>
    <w:rsid w:val="002B41B1"/>
    <w:rsid w:val="00333AA2"/>
    <w:rsid w:val="00366700"/>
    <w:rsid w:val="0041210B"/>
    <w:rsid w:val="00497CFC"/>
    <w:rsid w:val="004E1AC7"/>
    <w:rsid w:val="004F6B75"/>
    <w:rsid w:val="005E22A2"/>
    <w:rsid w:val="007017B4"/>
    <w:rsid w:val="007D3AC0"/>
    <w:rsid w:val="007E762A"/>
    <w:rsid w:val="00832623"/>
    <w:rsid w:val="00882E6F"/>
    <w:rsid w:val="00905163"/>
    <w:rsid w:val="009458A8"/>
    <w:rsid w:val="009700BF"/>
    <w:rsid w:val="009D1558"/>
    <w:rsid w:val="00B52AA5"/>
    <w:rsid w:val="00B96E1C"/>
    <w:rsid w:val="00C032B9"/>
    <w:rsid w:val="00C06CDE"/>
    <w:rsid w:val="00CB77DB"/>
    <w:rsid w:val="00D11E2F"/>
    <w:rsid w:val="00ED5FDC"/>
    <w:rsid w:val="00F470A8"/>
    <w:rsid w:val="00FB3EEB"/>
    <w:rsid w:val="00FF64DB"/>
    <w:rsid w:val="011D74E1"/>
    <w:rsid w:val="014021B9"/>
    <w:rsid w:val="016F2D86"/>
    <w:rsid w:val="0198159D"/>
    <w:rsid w:val="01DF13C6"/>
    <w:rsid w:val="023C166D"/>
    <w:rsid w:val="030C62CD"/>
    <w:rsid w:val="031511C4"/>
    <w:rsid w:val="04757612"/>
    <w:rsid w:val="05F37AAC"/>
    <w:rsid w:val="06954085"/>
    <w:rsid w:val="08AE4A40"/>
    <w:rsid w:val="08DE2739"/>
    <w:rsid w:val="09A32944"/>
    <w:rsid w:val="0B1131F0"/>
    <w:rsid w:val="0C7670ED"/>
    <w:rsid w:val="0CB4389B"/>
    <w:rsid w:val="0CF51EB7"/>
    <w:rsid w:val="0D1005D3"/>
    <w:rsid w:val="0DF60703"/>
    <w:rsid w:val="0EBF6BB9"/>
    <w:rsid w:val="10851F5E"/>
    <w:rsid w:val="10D34BBA"/>
    <w:rsid w:val="12C95342"/>
    <w:rsid w:val="13463D55"/>
    <w:rsid w:val="14010D8B"/>
    <w:rsid w:val="16D918E2"/>
    <w:rsid w:val="16DB236A"/>
    <w:rsid w:val="172B0B5F"/>
    <w:rsid w:val="19320935"/>
    <w:rsid w:val="19976D0F"/>
    <w:rsid w:val="1D323F97"/>
    <w:rsid w:val="1F5116B0"/>
    <w:rsid w:val="1FBD580D"/>
    <w:rsid w:val="20683CA1"/>
    <w:rsid w:val="2209075B"/>
    <w:rsid w:val="22616714"/>
    <w:rsid w:val="232C2A0B"/>
    <w:rsid w:val="245C3D8A"/>
    <w:rsid w:val="250F0187"/>
    <w:rsid w:val="277648A3"/>
    <w:rsid w:val="27B904F1"/>
    <w:rsid w:val="27E549BD"/>
    <w:rsid w:val="28AD455A"/>
    <w:rsid w:val="29A62A54"/>
    <w:rsid w:val="2BDD4453"/>
    <w:rsid w:val="2C1B188C"/>
    <w:rsid w:val="2FF34F8E"/>
    <w:rsid w:val="304A3994"/>
    <w:rsid w:val="30CA16DF"/>
    <w:rsid w:val="32207AF5"/>
    <w:rsid w:val="353B5E05"/>
    <w:rsid w:val="354334AA"/>
    <w:rsid w:val="35670AB5"/>
    <w:rsid w:val="36697926"/>
    <w:rsid w:val="371D54BA"/>
    <w:rsid w:val="37963F84"/>
    <w:rsid w:val="37E4304C"/>
    <w:rsid w:val="380B4E46"/>
    <w:rsid w:val="38C939F5"/>
    <w:rsid w:val="39B0095B"/>
    <w:rsid w:val="3AA245C8"/>
    <w:rsid w:val="3B0E1700"/>
    <w:rsid w:val="3BEFF188"/>
    <w:rsid w:val="3CB68498"/>
    <w:rsid w:val="3D3FDC0C"/>
    <w:rsid w:val="3FDD0765"/>
    <w:rsid w:val="431D55FA"/>
    <w:rsid w:val="46E06E93"/>
    <w:rsid w:val="46E67F49"/>
    <w:rsid w:val="47591A40"/>
    <w:rsid w:val="47DC2712"/>
    <w:rsid w:val="489B7574"/>
    <w:rsid w:val="48C5656D"/>
    <w:rsid w:val="49B22075"/>
    <w:rsid w:val="4A2E350B"/>
    <w:rsid w:val="4BDE649A"/>
    <w:rsid w:val="4C316B9D"/>
    <w:rsid w:val="4DAD1CF2"/>
    <w:rsid w:val="4DDF05EE"/>
    <w:rsid w:val="4E647426"/>
    <w:rsid w:val="50B10456"/>
    <w:rsid w:val="50FE53A7"/>
    <w:rsid w:val="51AA7475"/>
    <w:rsid w:val="537D0488"/>
    <w:rsid w:val="55BF7D79"/>
    <w:rsid w:val="55D869C0"/>
    <w:rsid w:val="564659EC"/>
    <w:rsid w:val="566A628B"/>
    <w:rsid w:val="56B457DF"/>
    <w:rsid w:val="57064132"/>
    <w:rsid w:val="59AD3D34"/>
    <w:rsid w:val="5AD52411"/>
    <w:rsid w:val="5B3D509F"/>
    <w:rsid w:val="5B4D735F"/>
    <w:rsid w:val="5C9300C0"/>
    <w:rsid w:val="5CA751AD"/>
    <w:rsid w:val="5D1F05F7"/>
    <w:rsid w:val="5D8B7388"/>
    <w:rsid w:val="5D8D2894"/>
    <w:rsid w:val="5DD955C3"/>
    <w:rsid w:val="5DFFA18F"/>
    <w:rsid w:val="5E443F83"/>
    <w:rsid w:val="5E661D3C"/>
    <w:rsid w:val="5FFE62D0"/>
    <w:rsid w:val="61000065"/>
    <w:rsid w:val="624D1DF9"/>
    <w:rsid w:val="63025954"/>
    <w:rsid w:val="63ED0461"/>
    <w:rsid w:val="64601415"/>
    <w:rsid w:val="64A92978"/>
    <w:rsid w:val="65897E8B"/>
    <w:rsid w:val="6630585C"/>
    <w:rsid w:val="67A555A9"/>
    <w:rsid w:val="683D5123"/>
    <w:rsid w:val="6AAF791B"/>
    <w:rsid w:val="6AC15A3E"/>
    <w:rsid w:val="6B7B6DC4"/>
    <w:rsid w:val="6BCD1D72"/>
    <w:rsid w:val="6C195AF5"/>
    <w:rsid w:val="6C4C26FA"/>
    <w:rsid w:val="6CE62341"/>
    <w:rsid w:val="6CF76304"/>
    <w:rsid w:val="6D3B4D97"/>
    <w:rsid w:val="70FB0C71"/>
    <w:rsid w:val="719738C3"/>
    <w:rsid w:val="71C965BE"/>
    <w:rsid w:val="73A968B6"/>
    <w:rsid w:val="75122C9A"/>
    <w:rsid w:val="7540649D"/>
    <w:rsid w:val="75E3DC93"/>
    <w:rsid w:val="761F0247"/>
    <w:rsid w:val="76A9539C"/>
    <w:rsid w:val="783945F1"/>
    <w:rsid w:val="786B9051"/>
    <w:rsid w:val="78800759"/>
    <w:rsid w:val="7A010F0A"/>
    <w:rsid w:val="7A2B59E7"/>
    <w:rsid w:val="7AB71C87"/>
    <w:rsid w:val="7B155339"/>
    <w:rsid w:val="7B9F1BC9"/>
    <w:rsid w:val="7BBF6CC0"/>
    <w:rsid w:val="7BFD56DB"/>
    <w:rsid w:val="7C356D39"/>
    <w:rsid w:val="7C5F6E49"/>
    <w:rsid w:val="7DBF1555"/>
    <w:rsid w:val="7E062216"/>
    <w:rsid w:val="7EDEA6BD"/>
    <w:rsid w:val="7F23A9B0"/>
    <w:rsid w:val="7F2723F7"/>
    <w:rsid w:val="7FFC21F2"/>
    <w:rsid w:val="7FFF9ABF"/>
    <w:rsid w:val="9FDCA4B2"/>
    <w:rsid w:val="A7FB8FDA"/>
    <w:rsid w:val="BBF3FDF2"/>
    <w:rsid w:val="CDFFD0A8"/>
    <w:rsid w:val="E6AB2D82"/>
    <w:rsid w:val="E98CF276"/>
    <w:rsid w:val="E9F7E3B5"/>
    <w:rsid w:val="E9FA277A"/>
    <w:rsid w:val="EC669E35"/>
    <w:rsid w:val="EC7F04DA"/>
    <w:rsid w:val="EEBF11F8"/>
    <w:rsid w:val="EEEB7692"/>
    <w:rsid w:val="F77FADF8"/>
    <w:rsid w:val="F7FEBDB2"/>
    <w:rsid w:val="FB8F835C"/>
    <w:rsid w:val="FBF0F9C6"/>
    <w:rsid w:val="FBFF0887"/>
    <w:rsid w:val="FDFF9943"/>
    <w:rsid w:val="FFBFA9DE"/>
    <w:rsid w:val="FFCF7E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unhideWhenUsed/>
    <w:qFormat/>
    <w:uiPriority w:val="9"/>
    <w:pPr>
      <w:keepNext/>
      <w:keepLines/>
      <w:snapToGrid w:val="0"/>
      <w:spacing w:line="560" w:lineRule="exact"/>
      <w:ind w:firstLine="200" w:firstLineChars="200"/>
      <w:outlineLvl w:val="2"/>
    </w:pPr>
    <w:rPr>
      <w:rFonts w:ascii="Calibri" w:hAnsi="Calibri"/>
      <w:b/>
      <w:bCs/>
      <w:sz w:val="30"/>
      <w:szCs w:val="32"/>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spacing w:line="560" w:lineRule="exact"/>
      <w:ind w:firstLine="420" w:firstLineChars="200"/>
    </w:pPr>
    <w:rPr>
      <w:rFonts w:ascii="Times New Roman" w:hAnsi="Times New Roman" w:eastAsia="宋体" w:cs="Times New Roman"/>
      <w:szCs w:val="20"/>
    </w:rPr>
  </w:style>
  <w:style w:type="paragraph" w:styleId="6">
    <w:name w:val="Document Map"/>
    <w:basedOn w:val="1"/>
    <w:link w:val="16"/>
    <w:qFormat/>
    <w:uiPriority w:val="0"/>
    <w:rPr>
      <w:rFonts w:ascii="宋体" w:eastAsia="宋体"/>
      <w:sz w:val="18"/>
      <w:szCs w:val="18"/>
    </w:rPr>
  </w:style>
  <w:style w:type="paragraph" w:styleId="7">
    <w:name w:val="annotation text"/>
    <w:basedOn w:val="1"/>
    <w:unhideWhenUsed/>
    <w:qFormat/>
    <w:uiPriority w:val="99"/>
    <w:pPr>
      <w:jc w:val="left"/>
    </w:pPr>
  </w:style>
  <w:style w:type="paragraph" w:styleId="8">
    <w:name w:val="Body Text"/>
    <w:basedOn w:val="1"/>
    <w:qFormat/>
    <w:uiPriority w:val="1"/>
    <w:pPr>
      <w:spacing w:before="88"/>
      <w:ind w:left="120"/>
      <w:jc w:val="left"/>
    </w:pPr>
    <w:rPr>
      <w:rFonts w:ascii="仿宋_GB2312" w:hAnsi="仿宋_GB2312"/>
      <w:kern w:val="0"/>
      <w:lang w:eastAsia="en-US"/>
    </w:rPr>
  </w:style>
  <w:style w:type="paragraph" w:styleId="9">
    <w:name w:val="Balloon Text"/>
    <w:basedOn w:val="1"/>
    <w:link w:val="17"/>
    <w:qFormat/>
    <w:uiPriority w:val="0"/>
    <w:rPr>
      <w:sz w:val="18"/>
      <w:szCs w:val="18"/>
    </w:r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basedOn w:val="13"/>
    <w:link w:val="11"/>
    <w:qFormat/>
    <w:uiPriority w:val="0"/>
    <w:rPr>
      <w:rFonts w:asciiTheme="minorHAnsi" w:hAnsiTheme="minorHAnsi" w:eastAsiaTheme="minorEastAsia" w:cstheme="minorBidi"/>
      <w:kern w:val="2"/>
      <w:sz w:val="18"/>
      <w:szCs w:val="18"/>
    </w:rPr>
  </w:style>
  <w:style w:type="character" w:customStyle="1" w:styleId="15">
    <w:name w:val="页脚 Char"/>
    <w:basedOn w:val="13"/>
    <w:link w:val="10"/>
    <w:qFormat/>
    <w:uiPriority w:val="99"/>
    <w:rPr>
      <w:rFonts w:asciiTheme="minorHAnsi" w:hAnsiTheme="minorHAnsi" w:eastAsiaTheme="minorEastAsia" w:cstheme="minorBidi"/>
      <w:kern w:val="2"/>
      <w:sz w:val="18"/>
      <w:szCs w:val="18"/>
    </w:rPr>
  </w:style>
  <w:style w:type="character" w:customStyle="1" w:styleId="16">
    <w:name w:val="文档结构图 Char"/>
    <w:basedOn w:val="13"/>
    <w:link w:val="6"/>
    <w:qFormat/>
    <w:uiPriority w:val="0"/>
    <w:rPr>
      <w:rFonts w:ascii="宋体" w:hAnsiTheme="minorHAnsi" w:cstheme="minorBidi"/>
      <w:kern w:val="2"/>
      <w:sz w:val="18"/>
      <w:szCs w:val="18"/>
    </w:rPr>
  </w:style>
  <w:style w:type="character" w:customStyle="1" w:styleId="17">
    <w:name w:val="批注框文本 Char"/>
    <w:basedOn w:val="13"/>
    <w:link w:val="9"/>
    <w:qFormat/>
    <w:uiPriority w:val="0"/>
    <w:rPr>
      <w:rFonts w:asciiTheme="minorHAnsi" w:hAnsiTheme="minorHAnsi" w:eastAsiaTheme="minorEastAsia" w:cstheme="minorBidi"/>
      <w:kern w:val="2"/>
      <w:sz w:val="18"/>
      <w:szCs w:val="18"/>
    </w:rPr>
  </w:style>
  <w:style w:type="paragraph" w:customStyle="1" w:styleId="18">
    <w:name w:val="二级标题"/>
    <w:basedOn w:val="1"/>
    <w:next w:val="19"/>
    <w:qFormat/>
    <w:uiPriority w:val="1"/>
    <w:pPr>
      <w:keepNext/>
      <w:widowControl w:val="0"/>
      <w:adjustRightInd w:val="0"/>
      <w:snapToGrid w:val="0"/>
      <w:spacing w:before="120" w:beforeLines="50" w:line="360" w:lineRule="auto"/>
      <w:jc w:val="both"/>
      <w:outlineLvl w:val="1"/>
    </w:pPr>
    <w:rPr>
      <w:rFonts w:ascii="Times New Roman" w:hAnsi="Times New Roman" w:cs="Times New Roman"/>
      <w:b/>
      <w:kern w:val="2"/>
      <w:sz w:val="30"/>
      <w:szCs w:val="30"/>
    </w:rPr>
  </w:style>
  <w:style w:type="paragraph" w:customStyle="1" w:styleId="19">
    <w:name w:val="正文-招股书"/>
    <w:basedOn w:val="1"/>
    <w:qFormat/>
    <w:uiPriority w:val="4"/>
    <w:pPr>
      <w:widowControl w:val="0"/>
      <w:snapToGrid w:val="0"/>
      <w:spacing w:before="156" w:beforeLines="50" w:line="360" w:lineRule="auto"/>
      <w:ind w:firstLine="480" w:firstLineChars="200"/>
      <w:jc w:val="both"/>
    </w:pPr>
    <w:rPr>
      <w:rFonts w:ascii="Times New Roman" w:hAnsi="Times New Roman" w:cs="Times New Roman"/>
      <w:kern w:val="2"/>
      <w:szCs w:val="22"/>
    </w:rPr>
  </w:style>
  <w:style w:type="paragraph" w:styleId="20">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21">
    <w:name w:val="样式1"/>
    <w:basedOn w:val="20"/>
    <w:qFormat/>
    <w:uiPriority w:val="0"/>
    <w:pPr>
      <w:numPr>
        <w:ilvl w:val="0"/>
        <w:numId w:val="1"/>
      </w:numPr>
      <w:tabs>
        <w:tab w:val="left" w:pos="1134"/>
      </w:tabs>
      <w:adjustRightInd w:val="0"/>
      <w:snapToGrid w:val="0"/>
      <w:spacing w:line="560" w:lineRule="exact"/>
      <w:ind w:left="0" w:firstLine="600"/>
    </w:pPr>
    <w:rPr>
      <w:rFonts w:ascii="仿宋_GB2312" w:hAnsi="Calibri" w:eastAsia="仿宋_GB231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16870</Words>
  <Characters>16902</Characters>
  <Lines>10</Lines>
  <Paragraphs>3</Paragraphs>
  <TotalTime>3</TotalTime>
  <ScaleCrop>false</ScaleCrop>
  <LinksUpToDate>false</LinksUpToDate>
  <CharactersWithSpaces>17011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2024-10-27T01:59:00Z</cp:lastPrinted>
  <dcterms:created xsi:type="dcterms:W3CDTF">2023-11-10T19:05:00Z</dcterms:created>
  <dcterms:modified xsi:type="dcterms:W3CDTF">2025-05-16T20:37:04Z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87843B24ADBF999705CA26686DCE7E37_43</vt:lpwstr>
  </property>
  <property fmtid="{D5CDD505-2E9C-101B-9397-08002B2CF9AE}" pid="4" name="KSOTemplateDocerSaveRecord">
    <vt:lpwstr>eyJoZGlkIjoiNDc2MGM3Yjc2ZDU0NWQzMDdjOWNlOTA1NjdiYWYxNzMifQ==</vt:lpwstr>
  </property>
</Properties>
</file>