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588"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rPr>
        <w:t>《电子凭证会计数据标准——</w:t>
      </w:r>
      <w:r>
        <w:rPr>
          <w:rFonts w:hint="eastAsia" w:ascii="黑体" w:hAnsi="黑体" w:eastAsia="黑体" w:cs="黑体"/>
          <w:sz w:val="44"/>
          <w:szCs w:val="44"/>
          <w:lang w:val="en-US" w:eastAsia="zh-CN"/>
        </w:rPr>
        <w:t>国库集中</w:t>
      </w:r>
    </w:p>
    <w:p>
      <w:pPr>
        <w:keepNext w:val="0"/>
        <w:keepLines w:val="0"/>
        <w:pageBreakBefore w:val="0"/>
        <w:widowControl/>
        <w:kinsoku/>
        <w:wordWrap/>
        <w:overflowPunct/>
        <w:topLinePunct w:val="0"/>
        <w:autoSpaceDE/>
        <w:autoSpaceDN/>
        <w:bidi w:val="0"/>
        <w:adjustRightInd/>
        <w:snapToGrid/>
        <w:spacing w:after="0" w:line="588" w:lineRule="exact"/>
        <w:jc w:val="center"/>
        <w:textAlignment w:val="auto"/>
        <w:rPr>
          <w:rFonts w:hint="eastAsia" w:ascii="黑体" w:hAnsi="黑体" w:eastAsia="黑体" w:cs="黑体"/>
          <w:sz w:val="44"/>
          <w:szCs w:val="44"/>
        </w:rPr>
      </w:pPr>
      <w:r>
        <w:rPr>
          <w:rFonts w:hint="eastAsia" w:ascii="黑体" w:hAnsi="黑体" w:eastAsia="黑体" w:cs="黑体"/>
          <w:sz w:val="44"/>
          <w:szCs w:val="44"/>
          <w:lang w:val="en-US" w:eastAsia="zh-CN"/>
        </w:rPr>
        <w:t>支付电子凭证</w:t>
      </w:r>
      <w:r>
        <w:rPr>
          <w:rFonts w:hint="eastAsia" w:ascii="黑体" w:hAnsi="黑体" w:eastAsia="黑体" w:cs="黑体"/>
          <w:sz w:val="44"/>
          <w:szCs w:val="44"/>
        </w:rPr>
        <w:t>（推广应用版）》指南</w:t>
      </w:r>
    </w:p>
    <w:p>
      <w:pPr>
        <w:keepNext w:val="0"/>
        <w:keepLines w:val="0"/>
        <w:pageBreakBefore w:val="0"/>
        <w:widowControl/>
        <w:kinsoku/>
        <w:wordWrap/>
        <w:overflowPunct/>
        <w:topLinePunct w:val="0"/>
        <w:autoSpaceDE/>
        <w:autoSpaceDN/>
        <w:bidi w:val="0"/>
        <w:adjustRightInd/>
        <w:snapToGrid/>
        <w:spacing w:after="0" w:line="588" w:lineRule="exact"/>
        <w:jc w:val="center"/>
        <w:textAlignment w:val="auto"/>
        <w:rPr>
          <w:rFonts w:hint="eastAsia" w:ascii="华文中宋" w:hAnsi="华文中宋" w:eastAsia="华文中宋" w:cs="华文中宋"/>
          <w:sz w:val="44"/>
          <w:szCs w:val="44"/>
          <w:lang w:eastAsia="zh-CN"/>
        </w:rPr>
      </w:pP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为进一步规范国库集中支付电子化管理，推动国库业务实现全电子化，助力国家数字经济发展和会计信息化建设，提高</w:t>
      </w:r>
      <w:r>
        <w:rPr>
          <w:rFonts w:hint="eastAsia" w:ascii="Times New Roman" w:hAnsi="Times New Roman" w:eastAsia="仿宋_GB2312" w:cs="Arial"/>
          <w:sz w:val="28"/>
          <w:szCs w:val="32"/>
          <w:lang w:val="en-US" w:eastAsia="zh-CN"/>
        </w:rPr>
        <w:t>行政事业单位会计工作数字化水平</w:t>
      </w:r>
      <w:r>
        <w:rPr>
          <w:rFonts w:hint="eastAsia" w:ascii="Times New Roman" w:hAnsi="Times New Roman" w:eastAsia="仿宋_GB2312" w:cs="Arial"/>
          <w:sz w:val="28"/>
          <w:szCs w:val="32"/>
        </w:rPr>
        <w:t>，财政部根据</w:t>
      </w:r>
      <w:bookmarkStart w:id="0" w:name="_Hlk130821775"/>
      <w:r>
        <w:rPr>
          <w:rFonts w:hint="eastAsia" w:ascii="Times New Roman" w:hAnsi="Times New Roman" w:eastAsia="仿宋_GB2312" w:cs="Arial"/>
          <w:sz w:val="28"/>
          <w:szCs w:val="32"/>
        </w:rPr>
        <w:t>《关于印发</w:t>
      </w:r>
      <w:r>
        <w:rPr>
          <w:rFonts w:hint="eastAsia" w:ascii="Times New Roman" w:hAnsi="Times New Roman" w:eastAsia="仿宋_GB2312" w:cs="Arial"/>
          <w:sz w:val="28"/>
          <w:szCs w:val="32"/>
          <w:lang w:eastAsia="zh-CN"/>
        </w:rPr>
        <w:t>〈</w:t>
      </w:r>
      <w:r>
        <w:rPr>
          <w:rFonts w:hint="eastAsia" w:ascii="Times New Roman" w:hAnsi="Times New Roman" w:eastAsia="仿宋_GB2312" w:cs="Arial"/>
          <w:sz w:val="28"/>
          <w:szCs w:val="32"/>
        </w:rPr>
        <w:t>国库集中支付电子化管理接口报文规范（2019）</w:t>
      </w:r>
      <w:r>
        <w:rPr>
          <w:rFonts w:hint="eastAsia" w:ascii="Times New Roman" w:hAnsi="Times New Roman" w:eastAsia="仿宋_GB2312" w:cs="Arial"/>
          <w:sz w:val="28"/>
          <w:szCs w:val="32"/>
          <w:lang w:eastAsia="zh-CN"/>
        </w:rPr>
        <w:t>〉</w:t>
      </w:r>
      <w:r>
        <w:rPr>
          <w:rFonts w:hint="eastAsia" w:ascii="Times New Roman" w:hAnsi="Times New Roman" w:eastAsia="仿宋_GB2312" w:cs="Arial"/>
          <w:sz w:val="28"/>
          <w:szCs w:val="32"/>
        </w:rPr>
        <w:t>的通知》（财库〔2019〕64号）</w:t>
      </w:r>
      <w:bookmarkEnd w:id="0"/>
      <w:r>
        <w:rPr>
          <w:rFonts w:hint="eastAsia" w:ascii="Times New Roman" w:hAnsi="Times New Roman" w:eastAsia="仿宋_GB2312" w:cs="Arial"/>
          <w:sz w:val="28"/>
          <w:szCs w:val="32"/>
        </w:rPr>
        <w:t>和《可扩展商业报告语言（XBRL）技术规范》（GB/T25500-2010）系列国家及行业标准，研究起草了《电子凭证会计数据标准——</w:t>
      </w:r>
      <w:r>
        <w:rPr>
          <w:rFonts w:hint="eastAsia" w:ascii="Times New Roman" w:hAnsi="Times New Roman" w:eastAsia="仿宋_GB2312" w:cs="Arial"/>
          <w:sz w:val="28"/>
          <w:szCs w:val="32"/>
          <w:lang w:val="en-US" w:eastAsia="zh-CN"/>
        </w:rPr>
        <w:t>国库集中支付</w:t>
      </w:r>
      <w:r>
        <w:rPr>
          <w:rFonts w:hint="eastAsia" w:ascii="Times New Roman" w:hAnsi="Times New Roman" w:eastAsia="仿宋_GB2312" w:cs="Arial"/>
          <w:sz w:val="28"/>
          <w:szCs w:val="32"/>
        </w:rPr>
        <w:t>电子凭证（推广应用版）》（以下简称《</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rPr>
        <w:t>标准》）。《</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rPr>
        <w:t>标准》以</w:t>
      </w:r>
      <w:r>
        <w:rPr>
          <w:rFonts w:hint="eastAsia" w:ascii="Times New Roman" w:hAnsi="Times New Roman" w:eastAsia="仿宋_GB2312" w:cs="Arial"/>
          <w:sz w:val="28"/>
          <w:szCs w:val="32"/>
          <w:lang w:val="en-US" w:eastAsia="zh-CN"/>
        </w:rPr>
        <w:t>财政部门、人民银行、代理银行</w:t>
      </w:r>
      <w:r>
        <w:rPr>
          <w:rFonts w:hint="eastAsia" w:ascii="Times New Roman" w:hAnsi="Times New Roman" w:eastAsia="仿宋_GB2312" w:cs="Arial"/>
          <w:sz w:val="28"/>
          <w:szCs w:val="32"/>
        </w:rPr>
        <w:t>的</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rPr>
        <w:t>为基础，反映了国库集中支付电子凭证承载的全部会计信息，以便</w:t>
      </w:r>
      <w:r>
        <w:rPr>
          <w:rFonts w:hint="eastAsia" w:ascii="Times New Roman" w:hAnsi="Times New Roman" w:eastAsia="仿宋_GB2312" w:cs="Arial"/>
          <w:sz w:val="28"/>
          <w:szCs w:val="32"/>
          <w:lang w:val="en-US" w:eastAsia="zh-CN"/>
        </w:rPr>
        <w:t>行政事业单位</w:t>
      </w:r>
      <w:r>
        <w:rPr>
          <w:rFonts w:hint="eastAsia" w:ascii="Times New Roman" w:hAnsi="Times New Roman" w:eastAsia="仿宋_GB2312" w:cs="Arial"/>
          <w:sz w:val="28"/>
          <w:szCs w:val="32"/>
        </w:rPr>
        <w:t>在信息化条件下对相关业务进行会计处理并完成归档工作。同时，《</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rPr>
        <w:t>标准》对国库集中支付电子凭证入账、归档过程中产生的相关会计信息和</w:t>
      </w:r>
      <w:r>
        <w:rPr>
          <w:rFonts w:hint="eastAsia" w:ascii="Times New Roman" w:hAnsi="Times New Roman" w:eastAsia="仿宋_GB2312" w:cs="Arial"/>
          <w:sz w:val="28"/>
          <w:szCs w:val="32"/>
          <w:lang w:val="en-US" w:eastAsia="zh-CN"/>
        </w:rPr>
        <w:t>电子凭证</w:t>
      </w:r>
      <w:r>
        <w:rPr>
          <w:rFonts w:hint="eastAsia" w:ascii="Times New Roman" w:hAnsi="Times New Roman" w:eastAsia="仿宋_GB2312" w:cs="Arial"/>
          <w:sz w:val="28"/>
          <w:szCs w:val="32"/>
        </w:rPr>
        <w:t>状态信息进行了标准规范，能够有效防止国库集中支付电子凭证重复入账。为方便阅读理解，我们起草了《</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rPr>
        <w:t>标准》元素清单和本指南。</w:t>
      </w:r>
    </w:p>
    <w:p>
      <w:pPr>
        <w:spacing w:after="0" w:line="560" w:lineRule="exact"/>
        <w:ind w:firstLine="560" w:firstLineChars="200"/>
        <w:jc w:val="both"/>
        <w:rPr>
          <w:i/>
          <w:iCs/>
          <w:color w:val="0000FF"/>
        </w:rPr>
      </w:pPr>
      <w:r>
        <w:rPr>
          <w:rFonts w:hint="eastAsia" w:ascii="Times New Roman" w:hAnsi="Times New Roman" w:eastAsia="仿宋_GB2312" w:cs="Arial"/>
          <w:sz w:val="28"/>
          <w:szCs w:val="32"/>
        </w:rPr>
        <w:t>本指南作为《</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》使用和实例文档解析的说明文件，应与元素清单一并阅读，旨在帮助</w:t>
      </w:r>
      <w:r>
        <w:rPr>
          <w:rFonts w:hint="eastAsia" w:ascii="Times New Roman" w:hAnsi="Times New Roman" w:eastAsia="仿宋_GB2312" w:cs="Arial"/>
          <w:sz w:val="28"/>
          <w:szCs w:val="32"/>
          <w:lang w:eastAsia="zh-CN"/>
        </w:rPr>
        <w:t>会计软件服务商</w:t>
      </w:r>
      <w:r>
        <w:rPr>
          <w:rFonts w:hint="eastAsia" w:ascii="Times New Roman" w:hAnsi="Times New Roman" w:eastAsia="仿宋_GB2312" w:cs="Arial"/>
          <w:sz w:val="28"/>
          <w:szCs w:val="32"/>
        </w:rPr>
        <w:t>和</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rPr>
        <w:t>的接收单位了解《</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》的架构、内容以及实例文档的要素和解析方式。</w:t>
      </w:r>
    </w:p>
    <w:p>
      <w:pPr>
        <w:pStyle w:val="21"/>
        <w:numPr>
          <w:ilvl w:val="0"/>
          <w:numId w:val="2"/>
        </w:numPr>
        <w:wordWrap/>
        <w:spacing w:line="560" w:lineRule="exact"/>
        <w:ind w:firstLineChars="0"/>
        <w:outlineLvl w:val="0"/>
      </w:pPr>
      <w:r>
        <w:rPr>
          <w:rFonts w:hint="eastAsia"/>
        </w:rPr>
        <w:t>概述</w:t>
      </w:r>
    </w:p>
    <w:p>
      <w:pPr>
        <w:pStyle w:val="23"/>
        <w:numPr>
          <w:ilvl w:val="0"/>
          <w:numId w:val="3"/>
        </w:numPr>
        <w:wordWrap/>
        <w:spacing w:line="560" w:lineRule="exact"/>
        <w:ind w:firstLine="560"/>
        <w:outlineLvl w:val="1"/>
        <w:rPr>
          <w:rFonts w:ascii="Times New Roman" w:hAnsi="Times New Roman"/>
        </w:rPr>
      </w:pPr>
      <w:r>
        <w:rPr>
          <w:rFonts w:hint="eastAsia" w:ascii="Times New Roman" w:hAnsi="Times New Roman"/>
          <w:lang w:val="en-US" w:eastAsia="zh-CN"/>
        </w:rPr>
        <w:t>国库集中支付电子凭证</w:t>
      </w:r>
      <w:r>
        <w:rPr>
          <w:rFonts w:hint="eastAsia" w:ascii="Times New Roman" w:hAnsi="Times New Roman"/>
        </w:rPr>
        <w:t>介绍</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lang w:val="en-US" w:eastAsia="zh-CN"/>
        </w:rPr>
        <w:t>国库集中支付电子凭证是国库集中支付业务电子化管理中使用数字签名或者电子签章制作的，可用来证明业务事项发生、明确经济责任并据以登记账簿、具有法律效力的电子文件</w:t>
      </w:r>
      <w:r>
        <w:rPr>
          <w:rFonts w:hint="eastAsia" w:ascii="Times New Roman" w:hAnsi="Times New Roman" w:eastAsia="仿宋_GB2312" w:cs="Arial"/>
          <w:sz w:val="28"/>
          <w:szCs w:val="32"/>
        </w:rPr>
        <w:t>。其基本特征是以数字信息代替纸质文件、以</w:t>
      </w:r>
      <w:r>
        <w:rPr>
          <w:rFonts w:hint="eastAsia" w:ascii="Times New Roman" w:hAnsi="Times New Roman" w:eastAsia="仿宋_GB2312" w:cs="Arial"/>
          <w:sz w:val="28"/>
          <w:szCs w:val="32"/>
          <w:lang w:eastAsia="zh-CN"/>
        </w:rPr>
        <w:t>数字签名</w:t>
      </w:r>
      <w:r>
        <w:rPr>
          <w:rFonts w:hint="eastAsia" w:ascii="Times New Roman" w:hAnsi="Times New Roman" w:eastAsia="仿宋_GB2312" w:cs="Arial"/>
          <w:sz w:val="28"/>
          <w:szCs w:val="32"/>
        </w:rPr>
        <w:t>代替手工签章，通过网络手段进行传输流转，通过计算机等电子载体进行存储保管。</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按照《会计基础工作规范》和《会计档案管理办法》有关要求生成的</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rPr>
        <w:t>，是单位财务收支和会计核算的原始凭证，是财政、审计等部门进行监督检查的重要依据。</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接收方取得</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rPr>
        <w:t>入账归档的，应按照</w:t>
      </w:r>
      <w:r>
        <w:rPr>
          <w:rFonts w:hint="eastAsia" w:ascii="Times New Roman" w:hAnsi="Times New Roman" w:eastAsia="仿宋_GB2312"/>
          <w:sz w:val="28"/>
          <w:szCs w:val="28"/>
        </w:rPr>
        <w:t>《财政部国家档案局关于规范电子会计凭证报销入账归档的通知》（财会〔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w:t>
      </w:r>
      <w:r>
        <w:rPr>
          <w:rFonts w:hint="eastAsia" w:ascii="Times New Roman" w:hAnsi="Times New Roman" w:eastAsia="仿宋_GB2312" w:cs="Arial"/>
          <w:sz w:val="28"/>
          <w:szCs w:val="32"/>
        </w:rPr>
        <w:t>和</w:t>
      </w:r>
      <w:r>
        <w:rPr>
          <w:rFonts w:hint="eastAsia" w:ascii="Times New Roman" w:hAnsi="Times New Roman" w:eastAsia="仿宋_GB2312"/>
          <w:sz w:val="28"/>
          <w:szCs w:val="28"/>
        </w:rPr>
        <w:t>《会计档案管理办法》（财政部国家档案局令第79号）</w:t>
      </w:r>
      <w:r>
        <w:rPr>
          <w:rFonts w:hint="eastAsia" w:ascii="Times New Roman" w:hAnsi="Times New Roman" w:eastAsia="仿宋_GB2312" w:cs="Arial"/>
          <w:sz w:val="28"/>
          <w:szCs w:val="32"/>
        </w:rPr>
        <w:t>的相关规定执行。</w:t>
      </w:r>
    </w:p>
    <w:p>
      <w:pPr>
        <w:pStyle w:val="23"/>
        <w:numPr>
          <w:ilvl w:val="0"/>
          <w:numId w:val="3"/>
        </w:numPr>
        <w:wordWrap/>
        <w:spacing w:line="560" w:lineRule="exact"/>
        <w:ind w:firstLine="560"/>
        <w:outlineLvl w:val="1"/>
        <w:rPr>
          <w:rFonts w:ascii="Times New Roman" w:hAnsi="Times New Roman"/>
        </w:rPr>
      </w:pPr>
      <w:r>
        <w:rPr>
          <w:rFonts w:hint="eastAsia"/>
          <w:lang w:val="en-US" w:eastAsia="zh-CN"/>
        </w:rPr>
        <w:t>接收方</w:t>
      </w:r>
      <w:r>
        <w:rPr>
          <w:rFonts w:hint="eastAsia"/>
        </w:rPr>
        <w:t>工作简介</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sz w:val="28"/>
          <w:szCs w:val="28"/>
          <w:lang w:val="en-US" w:eastAsia="zh-CN"/>
        </w:rPr>
        <w:t>行政事业</w:t>
      </w:r>
      <w:r>
        <w:rPr>
          <w:rFonts w:hint="eastAsia" w:ascii="Times New Roman" w:hAnsi="Times New Roman" w:eastAsia="仿宋_GB2312"/>
          <w:sz w:val="28"/>
          <w:szCs w:val="28"/>
        </w:rPr>
        <w:t>单</w:t>
      </w:r>
      <w:r>
        <w:rPr>
          <w:rFonts w:hint="eastAsia" w:ascii="Times New Roman" w:hAnsi="Times New Roman" w:eastAsia="仿宋_GB2312" w:cs="Arial"/>
          <w:sz w:val="28"/>
          <w:szCs w:val="32"/>
        </w:rPr>
        <w:t>位在实际发生业务后，</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rPr>
        <w:t>开具方按照</w:t>
      </w:r>
      <w:r>
        <w:rPr>
          <w:rFonts w:ascii="Times New Roman" w:hAnsi="Times New Roman" w:eastAsia="仿宋_GB2312" w:cs="Arial"/>
          <w:sz w:val="28"/>
          <w:szCs w:val="32"/>
        </w:rPr>
        <w:t>财政</w:t>
      </w:r>
      <w:r>
        <w:rPr>
          <w:rFonts w:hint="eastAsia" w:ascii="Times New Roman" w:hAnsi="Times New Roman" w:eastAsia="仿宋_GB2312" w:cs="Arial"/>
          <w:sz w:val="28"/>
          <w:szCs w:val="32"/>
        </w:rPr>
        <w:t>主管部门的有关要求，开具</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rPr>
        <w:t>。</w:t>
      </w:r>
      <w:r>
        <w:rPr>
          <w:rFonts w:hint="eastAsia" w:ascii="Times New Roman" w:hAnsi="Times New Roman" w:eastAsia="仿宋_GB2312" w:cs="Arial"/>
          <w:sz w:val="28"/>
          <w:szCs w:val="32"/>
          <w:lang w:val="en-US" w:eastAsia="zh-CN"/>
        </w:rPr>
        <w:t>行政事业单位</w:t>
      </w:r>
      <w:r>
        <w:rPr>
          <w:rFonts w:hint="eastAsia" w:ascii="Times New Roman" w:hAnsi="Times New Roman" w:eastAsia="仿宋_GB2312" w:cs="Arial"/>
          <w:sz w:val="28"/>
          <w:szCs w:val="32"/>
        </w:rPr>
        <w:t>获取国库集中支付电子凭证文件后，</w:t>
      </w:r>
      <w:r>
        <w:rPr>
          <w:rFonts w:hint="eastAsia" w:ascii="Times New Roman" w:hAnsi="Times New Roman" w:eastAsia="仿宋_GB2312" w:cs="Arial"/>
          <w:sz w:val="28"/>
          <w:szCs w:val="32"/>
          <w:lang w:val="en-US" w:eastAsia="zh-CN"/>
        </w:rPr>
        <w:t>通过财政部提供的工具包进行验签</w:t>
      </w:r>
      <w:r>
        <w:rPr>
          <w:rFonts w:hint="eastAsia" w:ascii="Times New Roman" w:hAnsi="Times New Roman" w:eastAsia="仿宋_GB2312" w:cs="Arial"/>
          <w:sz w:val="28"/>
          <w:szCs w:val="32"/>
        </w:rPr>
        <w:t>，</w:t>
      </w:r>
      <w:r>
        <w:rPr>
          <w:rFonts w:hint="eastAsia" w:ascii="Times New Roman" w:hAnsi="Times New Roman" w:eastAsia="仿宋_GB2312" w:cs="Arial"/>
          <w:sz w:val="28"/>
          <w:szCs w:val="32"/>
          <w:lang w:val="en-US" w:eastAsia="zh-CN"/>
        </w:rPr>
        <w:t>验签</w:t>
      </w:r>
      <w:r>
        <w:rPr>
          <w:rFonts w:hint="eastAsia" w:ascii="Times New Roman" w:hAnsi="Times New Roman" w:eastAsia="仿宋_GB2312" w:cs="Arial"/>
          <w:sz w:val="28"/>
          <w:szCs w:val="32"/>
        </w:rPr>
        <w:t>通过的</w:t>
      </w:r>
      <w:r>
        <w:rPr>
          <w:rFonts w:hint="eastAsia" w:ascii="Times New Roman" w:hAnsi="Times New Roman" w:eastAsia="仿宋_GB2312" w:cs="Arial"/>
          <w:sz w:val="28"/>
          <w:szCs w:val="32"/>
          <w:lang w:val="en-US" w:eastAsia="zh-CN"/>
        </w:rPr>
        <w:t>凭证</w:t>
      </w:r>
      <w:r>
        <w:rPr>
          <w:rFonts w:hint="eastAsia" w:ascii="Times New Roman" w:hAnsi="Times New Roman" w:eastAsia="仿宋_GB2312" w:cs="Arial"/>
          <w:sz w:val="28"/>
          <w:szCs w:val="32"/>
        </w:rPr>
        <w:t>可用于后续入账</w:t>
      </w:r>
      <w:r>
        <w:rPr>
          <w:rFonts w:hint="eastAsia" w:ascii="Times New Roman" w:hAnsi="Times New Roman" w:eastAsia="仿宋_GB2312" w:cs="Arial"/>
          <w:sz w:val="28"/>
          <w:szCs w:val="32"/>
          <w:lang w:val="en-US" w:eastAsia="zh-CN"/>
        </w:rPr>
        <w:t>及归档</w:t>
      </w:r>
      <w:r>
        <w:rPr>
          <w:rFonts w:hint="eastAsia" w:ascii="Times New Roman" w:hAnsi="Times New Roman" w:eastAsia="仿宋_GB2312" w:cs="Arial"/>
          <w:sz w:val="28"/>
          <w:szCs w:val="32"/>
        </w:rPr>
        <w:t>。单位使用</w:t>
      </w:r>
      <w:r>
        <w:rPr>
          <w:rFonts w:hint="eastAsia" w:ascii="Times New Roman" w:hAnsi="Times New Roman" w:eastAsia="仿宋_GB2312" w:cs="Arial"/>
          <w:sz w:val="28"/>
          <w:szCs w:val="32"/>
          <w:lang w:val="en-US" w:eastAsia="zh-CN"/>
        </w:rPr>
        <w:t>国库集中支付电子凭证，在</w:t>
      </w:r>
      <w:r>
        <w:rPr>
          <w:rFonts w:hint="eastAsia" w:ascii="Times New Roman" w:hAnsi="Times New Roman" w:eastAsia="仿宋_GB2312" w:cs="Arial"/>
          <w:sz w:val="28"/>
          <w:szCs w:val="32"/>
          <w:lang w:eastAsia="zh-CN"/>
        </w:rPr>
        <w:t>会计入账完成后、会计凭证归档之前</w:t>
      </w:r>
      <w:r>
        <w:rPr>
          <w:rFonts w:hint="eastAsia" w:ascii="Times New Roman" w:hAnsi="Times New Roman" w:eastAsia="仿宋_GB2312" w:cs="Arial"/>
          <w:sz w:val="28"/>
          <w:szCs w:val="32"/>
        </w:rPr>
        <w:t>，需依据财政部《</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cs="Arial"/>
          <w:sz w:val="28"/>
          <w:szCs w:val="32"/>
        </w:rPr>
        <w:t>标准》的要求形成接收方</w:t>
      </w:r>
      <w:r>
        <w:rPr>
          <w:rFonts w:hint="eastAsia" w:ascii="仿宋_GB2312" w:hAnsi="仿宋_GB2312" w:eastAsia="仿宋_GB2312" w:cs="Times New Roman"/>
          <w:sz w:val="28"/>
          <w:szCs w:val="28"/>
        </w:rPr>
        <w:t>入账信息结构化数据文件</w:t>
      </w:r>
      <w:r>
        <w:rPr>
          <w:rFonts w:hint="eastAsia" w:ascii="Times New Roman" w:hAnsi="Times New Roman" w:eastAsia="仿宋_GB2312" w:cs="Arial"/>
          <w:sz w:val="28"/>
          <w:szCs w:val="32"/>
        </w:rPr>
        <w:t>，并与</w:t>
      </w:r>
      <w:r>
        <w:rPr>
          <w:rFonts w:hint="eastAsia" w:ascii="Times New Roman" w:hAnsi="Times New Roman" w:eastAsia="仿宋_GB2312" w:cs="Arial"/>
          <w:sz w:val="28"/>
          <w:szCs w:val="32"/>
          <w:lang w:val="en-US" w:eastAsia="zh-CN"/>
        </w:rPr>
        <w:t>国库集中支付电子凭证（</w:t>
      </w:r>
      <w:r>
        <w:rPr>
          <w:rFonts w:hint="eastAsia" w:ascii="Times New Roman" w:hAnsi="Times New Roman" w:eastAsia="仿宋_GB2312"/>
          <w:sz w:val="28"/>
          <w:szCs w:val="28"/>
        </w:rPr>
        <w:t>加签的</w:t>
      </w:r>
      <w:r>
        <w:rPr>
          <w:rFonts w:hint="eastAsia" w:ascii="Times New Roman" w:hAnsi="Times New Roman" w:eastAsia="仿宋_GB2312" w:cs="Arial"/>
          <w:sz w:val="28"/>
          <w:szCs w:val="32"/>
          <w:lang w:val="en-US" w:eastAsia="zh-CN"/>
        </w:rPr>
        <w:t>PDF</w:t>
      </w:r>
      <w:r>
        <w:rPr>
          <w:rFonts w:hint="eastAsia" w:ascii="Times New Roman" w:hAnsi="Times New Roman" w:eastAsia="仿宋_GB2312"/>
          <w:sz w:val="28"/>
          <w:szCs w:val="28"/>
          <w:lang w:eastAsia="zh-CN"/>
        </w:rPr>
        <w:t>或</w:t>
      </w:r>
      <w:r>
        <w:rPr>
          <w:rFonts w:hint="eastAsia" w:ascii="Times New Roman" w:hAnsi="Times New Roman" w:eastAsia="仿宋_GB2312" w:cs="Arial"/>
          <w:sz w:val="28"/>
          <w:szCs w:val="32"/>
          <w:lang w:val="en-US" w:eastAsia="zh-CN"/>
        </w:rPr>
        <w:t>OFD</w:t>
      </w:r>
      <w:r>
        <w:rPr>
          <w:rFonts w:hint="eastAsia" w:ascii="Times New Roman" w:hAnsi="Times New Roman" w:eastAsia="仿宋_GB2312"/>
          <w:sz w:val="28"/>
          <w:szCs w:val="28"/>
        </w:rPr>
        <w:t>版式文件</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rPr>
        <w:t>含XML结构化数据）</w:t>
      </w:r>
      <w:r>
        <w:rPr>
          <w:rFonts w:hint="eastAsia" w:ascii="Times New Roman" w:hAnsi="Times New Roman" w:eastAsia="仿宋_GB2312" w:cs="Arial"/>
          <w:sz w:val="28"/>
          <w:szCs w:val="32"/>
        </w:rPr>
        <w:t>一并进行会计档案归档备查。</w:t>
      </w:r>
    </w:p>
    <w:p>
      <w:pPr>
        <w:pStyle w:val="21"/>
        <w:widowControl w:val="0"/>
        <w:numPr>
          <w:ilvl w:val="0"/>
          <w:numId w:val="2"/>
        </w:numPr>
        <w:wordWrap/>
        <w:spacing w:line="560" w:lineRule="exact"/>
        <w:ind w:firstLineChars="0"/>
        <w:outlineLvl w:val="0"/>
      </w:pPr>
      <w:r>
        <w:rPr>
          <w:rFonts w:hint="eastAsia"/>
        </w:rPr>
        <w:t>《</w:t>
      </w:r>
      <w:r>
        <w:rPr>
          <w:rFonts w:hint="eastAsia"/>
          <w:lang w:val="en-US" w:eastAsia="zh-CN"/>
        </w:rPr>
        <w:t>国库集中支付电子凭证</w:t>
      </w:r>
      <w:r>
        <w:rPr>
          <w:rFonts w:hint="eastAsia"/>
        </w:rPr>
        <w:t>标准》</w:t>
      </w:r>
      <w:r>
        <w:rPr>
          <w:rFonts w:hint="eastAsia"/>
          <w:lang w:val="en-US" w:eastAsia="zh-CN"/>
        </w:rPr>
        <w:t>的</w:t>
      </w:r>
      <w:r>
        <w:rPr>
          <w:rFonts w:hint="eastAsia"/>
        </w:rPr>
        <w:t>架构及实例文档要素说明</w:t>
      </w:r>
    </w:p>
    <w:p>
      <w:pPr>
        <w:pStyle w:val="26"/>
        <w:widowControl w:val="0"/>
        <w:wordWrap/>
        <w:spacing w:after="0" w:line="560" w:lineRule="exact"/>
        <w:jc w:val="both"/>
      </w:pPr>
      <w:r>
        <w:rPr>
          <w:rFonts w:hint="eastAsia"/>
        </w:rPr>
        <w:t>《</w:t>
      </w:r>
      <w:r>
        <w:rPr>
          <w:rFonts w:hint="eastAsia"/>
          <w:lang w:val="en-US" w:eastAsia="zh-CN"/>
        </w:rPr>
        <w:t>国库集中支付电子凭证</w:t>
      </w:r>
      <w:r>
        <w:rPr>
          <w:rFonts w:hint="eastAsia"/>
        </w:rPr>
        <w:t>标准》</w:t>
      </w:r>
      <w:r>
        <w:t>的</w:t>
      </w:r>
      <w:r>
        <w:rPr>
          <w:rFonts w:hint="eastAsia"/>
        </w:rPr>
        <w:t>架构设计主要分为逻辑设计和物理结构两个层面：逻辑设计是指以XBRL反映</w:t>
      </w:r>
      <w:r>
        <w:rPr>
          <w:rFonts w:hint="eastAsia"/>
          <w:lang w:val="en-US" w:eastAsia="zh-CN"/>
        </w:rPr>
        <w:t>国库集中支付电子凭证</w:t>
      </w:r>
      <w:r>
        <w:rPr>
          <w:rFonts w:hint="eastAsia"/>
        </w:rPr>
        <w:t>入账内容信息；物理结构是指分类标准的各文件和文件夹的层级设计与组织方式。</w:t>
      </w:r>
    </w:p>
    <w:p>
      <w:pPr>
        <w:pStyle w:val="23"/>
        <w:wordWrap/>
        <w:spacing w:line="560" w:lineRule="exact"/>
        <w:ind w:firstLine="560"/>
        <w:jc w:val="both"/>
        <w:rPr>
          <w:rFonts w:ascii="Times New Roman" w:hAnsi="Times New Roman"/>
          <w:b w:val="0"/>
        </w:rPr>
      </w:pPr>
      <w:r>
        <w:rPr>
          <w:rFonts w:hint="eastAsia" w:ascii="Times New Roman" w:hAnsi="Times New Roman"/>
        </w:rPr>
        <w:t>（一）逻辑设计</w:t>
      </w:r>
    </w:p>
    <w:p>
      <w:pPr>
        <w:pStyle w:val="26"/>
        <w:wordWrap/>
        <w:spacing w:after="0" w:line="560" w:lineRule="exact"/>
        <w:jc w:val="both"/>
      </w:pPr>
      <w:r>
        <w:rPr>
          <w:rFonts w:hint="eastAsia"/>
        </w:rPr>
        <w:t>《</w:t>
      </w:r>
      <w:r>
        <w:rPr>
          <w:rFonts w:hint="eastAsia"/>
          <w:lang w:val="en-US" w:eastAsia="zh-CN"/>
        </w:rPr>
        <w:t>国库集中支付电子凭证</w:t>
      </w:r>
      <w:r>
        <w:rPr>
          <w:rFonts w:hint="eastAsia"/>
        </w:rPr>
        <w:t>标准》的逻辑设计具体如下：</w:t>
      </w:r>
    </w:p>
    <w:p>
      <w:pPr>
        <w:pStyle w:val="30"/>
        <w:wordWrap/>
        <w:spacing w:line="560" w:lineRule="exact"/>
        <w:ind w:firstLine="562"/>
        <w:jc w:val="both"/>
      </w:pPr>
      <w:r>
        <w:t>1</w:t>
      </w:r>
      <w:r>
        <w:rPr>
          <w:rFonts w:hint="eastAsia"/>
        </w:rPr>
        <w:t>．元素</w:t>
      </w:r>
    </w:p>
    <w:p>
      <w:pPr>
        <w:pStyle w:val="26"/>
        <w:keepNext w:val="0"/>
        <w:keepLines w:val="0"/>
        <w:pageBreakBefore w:val="0"/>
        <w:widowControl/>
        <w:kinsoku/>
        <w:wordWrap/>
        <w:overflowPunct/>
        <w:topLinePunct w:val="0"/>
        <w:autoSpaceDE/>
        <w:autoSpaceDN/>
        <w:bidi w:val="0"/>
        <w:adjustRightInd/>
        <w:snapToGrid/>
        <w:spacing w:after="0" w:line="560" w:lineRule="exact"/>
        <w:jc w:val="both"/>
        <w:textAlignment w:val="auto"/>
        <w:rPr>
          <w:rFonts w:hint="eastAsia"/>
        </w:rPr>
      </w:pPr>
      <w:r>
        <w:rPr>
          <w:rFonts w:hint="eastAsia"/>
        </w:rPr>
        <w:t>《</w:t>
      </w:r>
      <w:r>
        <w:rPr>
          <w:rFonts w:hint="eastAsia"/>
          <w:lang w:val="en-US" w:eastAsia="zh-CN"/>
        </w:rPr>
        <w:t>国库集中支付电子凭证</w:t>
      </w:r>
      <w:r>
        <w:rPr>
          <w:rFonts w:hint="eastAsia"/>
        </w:rPr>
        <w:t>标准》中的元素是依据GB/T25500-2010《可扩展商业报告语言（XBRL）技术规范》系列国家标准，基于部分</w:t>
      </w:r>
      <w:r>
        <w:rPr>
          <w:rFonts w:hint="eastAsia"/>
          <w:lang w:val="en-US" w:eastAsia="zh-CN"/>
        </w:rPr>
        <w:t>国库集中支付电子凭证</w:t>
      </w:r>
      <w:r>
        <w:rPr>
          <w:rFonts w:hint="eastAsia"/>
        </w:rPr>
        <w:t>票面信息及</w:t>
      </w:r>
      <w:r>
        <w:rPr>
          <w:rFonts w:hint="eastAsia"/>
          <w:lang w:val="en-US" w:eastAsia="zh-CN"/>
        </w:rPr>
        <w:t>电子凭证</w:t>
      </w:r>
      <w:r>
        <w:rPr>
          <w:rFonts w:hint="eastAsia"/>
        </w:rPr>
        <w:t>入账、归档过程中所需的信息提取的，用于定义和描述</w:t>
      </w:r>
      <w:r>
        <w:rPr>
          <w:rFonts w:hint="eastAsia"/>
          <w:lang w:val="en-US" w:eastAsia="zh-CN"/>
        </w:rPr>
        <w:t>国库集中支付电子凭证</w:t>
      </w:r>
      <w:r>
        <w:rPr>
          <w:rFonts w:hint="eastAsia"/>
          <w:lang w:eastAsia="zh-CN"/>
        </w:rPr>
        <w:t>承载</w:t>
      </w:r>
      <w:r>
        <w:rPr>
          <w:rFonts w:hint="eastAsia"/>
        </w:rPr>
        <w:t>的会计概念和业务概念。本版分类标准中使用的概念（元素）总数为2</w:t>
      </w:r>
      <w:r>
        <w:rPr>
          <w:rFonts w:hint="eastAsia"/>
          <w:lang w:val="en-US" w:eastAsia="zh-CN"/>
        </w:rPr>
        <w:t>5</w:t>
      </w:r>
      <w:r>
        <w:rPr>
          <w:rFonts w:hint="eastAsia"/>
        </w:rPr>
        <w:t>个。</w:t>
      </w:r>
    </w:p>
    <w:p>
      <w:pPr>
        <w:pStyle w:val="26"/>
        <w:wordWrap/>
        <w:spacing w:after="0" w:line="560" w:lineRule="exact"/>
        <w:jc w:val="both"/>
      </w:pPr>
      <w:r>
        <w:rPr>
          <w:rFonts w:hint="eastAsia"/>
        </w:rPr>
        <w:t>《</w:t>
      </w:r>
      <w:r>
        <w:rPr>
          <w:rFonts w:hint="eastAsia"/>
          <w:lang w:val="en-US" w:eastAsia="zh-CN"/>
        </w:rPr>
        <w:t>国库集中支付电子凭证</w:t>
      </w:r>
      <w:r>
        <w:rPr>
          <w:rFonts w:hint="eastAsia"/>
        </w:rPr>
        <w:t>标准》使用了GB/T25500-2010《可扩展商业报告语言（XBRL）技术规范》系列国家标准所定义的</w:t>
      </w:r>
      <w:r>
        <w:t>2</w:t>
      </w:r>
      <w:r>
        <w:rPr>
          <w:rFonts w:hint="eastAsia"/>
        </w:rPr>
        <w:t>类元素（替换组）：数据项（Item），元组（</w:t>
      </w:r>
      <w:r>
        <w:t>tuple</w:t>
      </w:r>
      <w:r>
        <w:rPr>
          <w:rFonts w:hint="eastAsia"/>
        </w:rPr>
        <w:t>）。表</w:t>
      </w:r>
      <w:r>
        <w:t>1</w:t>
      </w:r>
      <w:r>
        <w:rPr>
          <w:rFonts w:hint="eastAsia"/>
        </w:rPr>
        <w:t>列示了《国库集中支付电子凭证标准》中</w:t>
      </w:r>
      <w:r>
        <w:t>2</w:t>
      </w:r>
      <w:r>
        <w:rPr>
          <w:rFonts w:hint="eastAsia"/>
        </w:rPr>
        <w:t>类元素的使用情况。</w:t>
      </w:r>
    </w:p>
    <w:p>
      <w:pPr>
        <w:pStyle w:val="26"/>
        <w:numPr>
          <w:ilvl w:val="0"/>
          <w:numId w:val="4"/>
        </w:numPr>
        <w:wordWrap/>
        <w:spacing w:after="0" w:line="560" w:lineRule="exact"/>
        <w:ind w:firstLineChars="0"/>
        <w:jc w:val="center"/>
        <w:rPr>
          <w:b/>
          <w:sz w:val="24"/>
          <w:szCs w:val="24"/>
        </w:rPr>
      </w:pPr>
      <w:r>
        <w:rPr>
          <w:rFonts w:hint="eastAsia"/>
          <w:b/>
          <w:sz w:val="24"/>
          <w:szCs w:val="24"/>
        </w:rPr>
        <w:t>《国库集中支付电子凭证标准》使用的元素种类（替换组）</w:t>
      </w:r>
    </w:p>
    <w:tbl>
      <w:tblPr>
        <w:tblStyle w:val="14"/>
        <w:tblW w:w="659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77"/>
        <w:gridCol w:w="181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4777" w:type="dxa"/>
            <w:tcBorders>
              <w:left w:val="single" w:color="auto" w:sz="4" w:space="0"/>
            </w:tcBorders>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元素种类（替换组）</w:t>
            </w:r>
          </w:p>
        </w:tc>
        <w:tc>
          <w:tcPr>
            <w:tcW w:w="1817" w:type="dxa"/>
            <w:tcBorders>
              <w:right w:val="single" w:color="auto" w:sz="4" w:space="0"/>
            </w:tcBorders>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tcBorders>
              <w:left w:val="single" w:color="auto" w:sz="4" w:space="0"/>
            </w:tcBorders>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数据项（</w:t>
            </w:r>
            <w:r>
              <w:rPr>
                <w:rFonts w:ascii="Times New Roman" w:hAnsi="Times New Roman" w:eastAsia="仿宋_GB2312"/>
                <w:sz w:val="24"/>
                <w:szCs w:val="24"/>
              </w:rPr>
              <w:t>Item</w:t>
            </w:r>
            <w:r>
              <w:rPr>
                <w:rFonts w:hint="eastAsia" w:ascii="Times New Roman" w:hAnsi="Times New Roman" w:eastAsia="仿宋_GB2312"/>
                <w:sz w:val="24"/>
                <w:szCs w:val="24"/>
              </w:rPr>
              <w:t>）</w:t>
            </w:r>
          </w:p>
        </w:tc>
        <w:tc>
          <w:tcPr>
            <w:tcW w:w="1817" w:type="dxa"/>
            <w:tcBorders>
              <w:right w:val="single" w:color="auto" w:sz="4" w:space="0"/>
            </w:tcBorders>
            <w:vAlign w:val="center"/>
          </w:tcPr>
          <w:p>
            <w:pPr>
              <w:spacing w:after="0" w:line="240" w:lineRule="auto"/>
              <w:jc w:val="center"/>
              <w:rPr>
                <w:rFonts w:hint="default" w:ascii="Times New Roman" w:hAnsi="Times New Roman" w:eastAsia="仿宋_GB2312"/>
                <w:sz w:val="24"/>
                <w:szCs w:val="24"/>
                <w:lang w:val="en-US" w:eastAsia="zh-CN"/>
              </w:rPr>
            </w:pPr>
            <w:r>
              <w:rPr>
                <w:rFonts w:hint="eastAsia" w:ascii="Times New Roman" w:hAnsi="Times New Roman" w:eastAsia="仿宋_GB2312"/>
                <w:sz w:val="24"/>
                <w:szCs w:val="24"/>
                <w:lang w:val="en-US" w:eastAsia="zh-CN"/>
              </w:rPr>
              <w:t>23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tcBorders>
              <w:left w:val="single" w:color="auto" w:sz="4" w:space="0"/>
            </w:tcBorders>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元组（</w:t>
            </w:r>
            <w:r>
              <w:rPr>
                <w:rFonts w:hint="eastAsia" w:ascii="Times New Roman" w:hAnsi="Times New Roman" w:eastAsia="仿宋_GB2312"/>
                <w:sz w:val="24"/>
                <w:szCs w:val="24"/>
                <w:lang w:val="en-US" w:eastAsia="zh-CN"/>
              </w:rPr>
              <w:t>t</w:t>
            </w:r>
            <w:r>
              <w:rPr>
                <w:rFonts w:ascii="Times New Roman" w:hAnsi="Times New Roman" w:eastAsia="仿宋_GB2312"/>
                <w:sz w:val="24"/>
                <w:szCs w:val="24"/>
              </w:rPr>
              <w:t>uple</w:t>
            </w:r>
            <w:r>
              <w:rPr>
                <w:rFonts w:hint="eastAsia" w:ascii="Times New Roman" w:hAnsi="Times New Roman" w:eastAsia="仿宋_GB2312"/>
                <w:sz w:val="24"/>
                <w:szCs w:val="24"/>
              </w:rPr>
              <w:t>）</w:t>
            </w:r>
          </w:p>
        </w:tc>
        <w:tc>
          <w:tcPr>
            <w:tcW w:w="1817" w:type="dxa"/>
            <w:tcBorders>
              <w:right w:val="single" w:color="auto" w:sz="4" w:space="0"/>
            </w:tcBorders>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tcBorders>
              <w:left w:val="single" w:color="auto" w:sz="4" w:space="0"/>
            </w:tcBorders>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1817" w:type="dxa"/>
            <w:tcBorders>
              <w:right w:val="single" w:color="auto" w:sz="4" w:space="0"/>
            </w:tcBorders>
            <w:vAlign w:val="center"/>
          </w:tcPr>
          <w:p>
            <w:pPr>
              <w:spacing w:after="0" w:line="240" w:lineRule="auto"/>
              <w:jc w:val="center"/>
              <w:rPr>
                <w:rFonts w:hint="eastAsia" w:ascii="Times New Roman" w:hAnsi="Times New Roman" w:eastAsia="仿宋_GB2312"/>
                <w:sz w:val="24"/>
                <w:szCs w:val="24"/>
                <w:highlight w:val="yellow"/>
                <w:lang w:val="en-US" w:eastAsia="zh-CN"/>
              </w:rPr>
            </w:pPr>
            <w:r>
              <w:rPr>
                <w:rFonts w:ascii="Times New Roman" w:hAnsi="Times New Roman" w:eastAsia="仿宋_GB2312"/>
                <w:sz w:val="24"/>
                <w:szCs w:val="24"/>
              </w:rPr>
              <w:t>2</w:t>
            </w:r>
            <w:r>
              <w:rPr>
                <w:rFonts w:hint="eastAsia" w:ascii="Times New Roman" w:hAnsi="Times New Roman" w:eastAsia="仿宋_GB2312"/>
                <w:sz w:val="24"/>
                <w:szCs w:val="24"/>
                <w:lang w:val="en-US" w:eastAsia="zh-CN"/>
              </w:rPr>
              <w:t>5</w:t>
            </w:r>
          </w:p>
        </w:tc>
      </w:tr>
    </w:tbl>
    <w:p>
      <w:pPr>
        <w:pStyle w:val="35"/>
        <w:widowControl w:val="0"/>
        <w:wordWrap/>
        <w:spacing w:after="0" w:line="560" w:lineRule="exact"/>
      </w:pPr>
      <w:r>
        <w:rPr>
          <w:rFonts w:hint="eastAsia"/>
        </w:rPr>
        <w:t>（1）元素属性</w:t>
      </w:r>
    </w:p>
    <w:p>
      <w:pPr>
        <w:pStyle w:val="26"/>
        <w:widowControl w:val="0"/>
        <w:wordWrap/>
        <w:spacing w:after="0" w:line="560" w:lineRule="exact"/>
      </w:pPr>
      <w:r>
        <w:rPr>
          <w:rFonts w:hint="eastAsia"/>
        </w:rPr>
        <w:t>《</w:t>
      </w:r>
      <w:r>
        <w:rPr>
          <w:rFonts w:hint="eastAsia"/>
          <w:lang w:val="en-US" w:eastAsia="zh-CN"/>
        </w:rPr>
        <w:t>国库集中支付电子凭证</w:t>
      </w:r>
      <w:r>
        <w:rPr>
          <w:rFonts w:hint="eastAsia"/>
        </w:rPr>
        <w:t>标准》中的</w:t>
      </w:r>
      <w:r>
        <w:t>每</w:t>
      </w:r>
      <w:r>
        <w:rPr>
          <w:rFonts w:hint="eastAsia"/>
        </w:rPr>
        <w:t>项</w:t>
      </w:r>
      <w:r>
        <w:t>元素</w:t>
      </w:r>
      <w:r>
        <w:rPr>
          <w:rFonts w:hint="eastAsia"/>
        </w:rPr>
        <w:t>都</w:t>
      </w:r>
      <w:r>
        <w:t>包含一系列属性</w:t>
      </w:r>
      <w:r>
        <w:rPr>
          <w:rFonts w:hint="eastAsia"/>
        </w:rPr>
        <w:t>。图</w:t>
      </w:r>
      <w:r>
        <w:t>1</w:t>
      </w:r>
      <w:r>
        <w:rPr>
          <w:rFonts w:hint="eastAsia"/>
        </w:rPr>
        <w:t>以“国库集中支付电子凭证标识”为例列举了部分元素属性：</w:t>
      </w:r>
    </w:p>
    <w:p>
      <w:pPr>
        <w:pStyle w:val="24"/>
        <w:spacing w:afterLines="0" w:line="240" w:lineRule="auto"/>
        <w:ind w:left="708" w:leftChars="322" w:right="1382" w:rightChars="628" w:firstLine="0" w:firstLineChars="0"/>
        <w:jc w:val="center"/>
        <w:rPr>
          <w:bCs/>
          <w:sz w:val="24"/>
          <w:szCs w:val="24"/>
        </w:rPr>
      </w:pPr>
      <w:r>
        <w:drawing>
          <wp:inline distT="0" distB="0" distL="114300" distR="114300">
            <wp:extent cx="4899660" cy="1280160"/>
            <wp:effectExtent l="0" t="0" r="7620" b="0"/>
            <wp:docPr id="3"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true"/>
                    </pic:cNvPicPr>
                  </pic:nvPicPr>
                  <pic:blipFill>
                    <a:blip r:embed="rId7"/>
                    <a:stretch>
                      <a:fillRect/>
                    </a:stretch>
                  </pic:blipFill>
                  <pic:spPr>
                    <a:xfrm>
                      <a:off x="0" y="0"/>
                      <a:ext cx="4899660" cy="1280160"/>
                    </a:xfrm>
                    <a:prstGeom prst="rect">
                      <a:avLst/>
                    </a:prstGeom>
                    <a:noFill/>
                    <a:ln>
                      <a:noFill/>
                    </a:ln>
                  </pic:spPr>
                </pic:pic>
              </a:graphicData>
            </a:graphic>
          </wp:inline>
        </w:drawing>
      </w:r>
    </w:p>
    <w:p>
      <w:pPr>
        <w:pStyle w:val="24"/>
        <w:numPr>
          <w:ilvl w:val="0"/>
          <w:numId w:val="5"/>
        </w:numPr>
        <w:spacing w:afterLines="0" w:line="240" w:lineRule="auto"/>
        <w:ind w:right="1382" w:rightChars="628" w:firstLineChars="0"/>
        <w:jc w:val="center"/>
        <w:rPr>
          <w:b/>
          <w:sz w:val="24"/>
          <w:szCs w:val="24"/>
        </w:rPr>
      </w:pPr>
      <w:r>
        <w:rPr>
          <w:rFonts w:hint="eastAsia"/>
          <w:b/>
          <w:sz w:val="24"/>
          <w:szCs w:val="24"/>
        </w:rPr>
        <w:t>《国库集中支付电子凭证标准》元素“国库集中支付电子凭证”及其属性</w:t>
      </w:r>
    </w:p>
    <w:p>
      <w:pPr>
        <w:pStyle w:val="26"/>
        <w:wordWrap/>
        <w:spacing w:after="0" w:line="560" w:lineRule="exact"/>
      </w:pPr>
      <w:r>
        <w:rPr>
          <w:rFonts w:hint="eastAsia"/>
        </w:rPr>
        <w:t>《</w:t>
      </w:r>
      <w:r>
        <w:rPr>
          <w:rFonts w:hint="eastAsia"/>
          <w:lang w:val="en-US" w:eastAsia="zh-CN"/>
        </w:rPr>
        <w:t>国库集中支付电子凭证</w:t>
      </w:r>
      <w:r>
        <w:rPr>
          <w:rFonts w:hint="eastAsia"/>
        </w:rPr>
        <w:t>标准》元素的部分重要属性如下：</w:t>
      </w:r>
    </w:p>
    <w:p>
      <w:pPr>
        <w:pStyle w:val="36"/>
        <w:wordWrap/>
        <w:spacing w:after="0" w:line="560" w:lineRule="exact"/>
        <w:rPr>
          <w:rFonts w:cs="Times New Roman"/>
        </w:rPr>
      </w:pPr>
      <w:r>
        <w:rPr>
          <w:rFonts w:cs="Times New Roman"/>
        </w:rPr>
        <w:fldChar w:fldCharType="begin"/>
      </w:r>
      <w:r>
        <w:rPr>
          <w:rFonts w:cs="Times New Roman"/>
        </w:rPr>
        <w:instrText xml:space="preserve"> = 1 \* GB3 </w:instrText>
      </w:r>
      <w:r>
        <w:rPr>
          <w:rFonts w:cs="Times New Roman"/>
        </w:rPr>
        <w:fldChar w:fldCharType="separate"/>
      </w:r>
      <w:r>
        <w:rPr>
          <w:rFonts w:hint="eastAsia" w:eastAsia="宋体" w:cs="宋体"/>
        </w:rPr>
        <w:t>①</w:t>
      </w:r>
      <w:r>
        <w:rPr>
          <w:rFonts w:cs="Times New Roman"/>
        </w:rPr>
        <w:fldChar w:fldCharType="end"/>
      </w:r>
      <w:r>
        <w:rPr>
          <w:rFonts w:cs="Times New Roman"/>
        </w:rPr>
        <w:t>元素名称（element name）</w:t>
      </w:r>
    </w:p>
    <w:p>
      <w:pPr>
        <w:pStyle w:val="26"/>
        <w:wordWrap/>
        <w:spacing w:after="0" w:line="560" w:lineRule="exact"/>
        <w:rPr>
          <w:rFonts w:cs="Times New Roman"/>
        </w:rPr>
      </w:pPr>
      <w:r>
        <w:rPr>
          <w:rFonts w:hint="eastAsia" w:cs="Times New Roman"/>
        </w:rPr>
        <w:t>接收方元素名称以元素的英文标准标签为基础确定，遵循“驼峰规则”（Camel Case），以便计算机识别。例如，“</w:t>
      </w:r>
      <w:r>
        <w:rPr>
          <w:rFonts w:hint="eastAsia" w:cs="Times New Roman"/>
          <w:lang w:val="en-US" w:eastAsia="zh-CN"/>
        </w:rPr>
        <w:t>国库集中支付电子凭证标识</w:t>
      </w:r>
      <w:r>
        <w:rPr>
          <w:rFonts w:hint="eastAsia" w:cs="Times New Roman"/>
        </w:rPr>
        <w:t>”的英文标准标签是“Unique Code Of Invoice”，元素名称应该是“UniqueCodeOfInvoice”。</w:t>
      </w:r>
    </w:p>
    <w:p>
      <w:pPr>
        <w:pStyle w:val="36"/>
        <w:wordWrap/>
        <w:spacing w:after="0" w:line="560" w:lineRule="exact"/>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元素ID（element ID）</w:t>
      </w:r>
    </w:p>
    <w:p>
      <w:pPr>
        <w:pStyle w:val="26"/>
        <w:wordWrap/>
        <w:spacing w:after="0" w:line="560" w:lineRule="exact"/>
      </w:pPr>
      <w:r>
        <w:rPr>
          <w:rFonts w:hint="eastAsia"/>
        </w:rPr>
        <w:t>元素ID是《国库集中支付电子凭证标准》中所使用的每一个元素的唯一编号。元素ID的结构是：{《国库集中支付电子凭证标准》的命名空间前缀_元素名称}。</w:t>
      </w:r>
    </w:p>
    <w:p>
      <w:pPr>
        <w:pStyle w:val="36"/>
        <w:wordWrap/>
        <w:spacing w:after="0" w:line="560" w:lineRule="exact"/>
      </w:pP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时期类型（period type）</w:t>
      </w:r>
    </w:p>
    <w:p>
      <w:pPr>
        <w:pStyle w:val="26"/>
        <w:wordWrap/>
        <w:spacing w:after="0" w:line="560" w:lineRule="exact"/>
      </w:pPr>
      <w:r>
        <w:rPr>
          <w:rFonts w:hint="eastAsia"/>
        </w:rPr>
        <w:t>如果元素用于表达存量概念，时期类型应设为“instant”（时点）；如用于表达流量概念，时期类型应设为“duration”（期间）。所有抽象（abstract）元素的时期类型都是“duration”，元组（tuple）元素不具备时期属性，其他元素的时期类型为“instant”，以便于对实例数据的标记。</w:t>
      </w:r>
    </w:p>
    <w:p>
      <w:pPr>
        <w:pStyle w:val="36"/>
        <w:widowControl w:val="0"/>
        <w:wordWrap/>
        <w:spacing w:after="0" w:line="560" w:lineRule="exact"/>
      </w:pP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数据类型（type）</w:t>
      </w:r>
    </w:p>
    <w:p>
      <w:pPr>
        <w:pStyle w:val="26"/>
        <w:widowControl w:val="0"/>
        <w:wordWrap/>
        <w:spacing w:after="0" w:line="560" w:lineRule="exact"/>
      </w:pPr>
      <w:r>
        <w:rPr>
          <w:rFonts w:hint="eastAsia"/>
        </w:rPr>
        <w:t>《</w:t>
      </w:r>
      <w:r>
        <w:rPr>
          <w:rFonts w:hint="eastAsia"/>
          <w:lang w:val="en-US" w:eastAsia="zh-CN"/>
        </w:rPr>
        <w:t>国库集中支付电子凭证</w:t>
      </w:r>
      <w:r>
        <w:rPr>
          <w:rFonts w:hint="eastAsia"/>
        </w:rPr>
        <w:t>标准》</w:t>
      </w:r>
      <w:r>
        <w:t>的</w:t>
      </w:r>
      <w:r>
        <w:rPr>
          <w:rFonts w:hint="eastAsia"/>
        </w:rPr>
        <w:t>数据</w:t>
      </w:r>
      <w:r>
        <w:t>类型</w:t>
      </w:r>
      <w:r>
        <w:rPr>
          <w:rFonts w:hint="eastAsia"/>
        </w:rPr>
        <w:t>属于</w:t>
      </w:r>
      <w:r>
        <w:t>标准数据类型</w:t>
      </w:r>
      <w:r>
        <w:rPr>
          <w:rFonts w:hint="eastAsia"/>
        </w:rPr>
        <w:t>，即XBRL国际</w:t>
      </w:r>
      <w:r>
        <w:t>组织发布的、国际通用的</w:t>
      </w:r>
      <w:r>
        <w:rPr>
          <w:rFonts w:hint="eastAsia"/>
        </w:rPr>
        <w:t>数据</w:t>
      </w:r>
      <w:r>
        <w:t>类型</w:t>
      </w:r>
      <w:r>
        <w:rPr>
          <w:rFonts w:hint="eastAsia"/>
        </w:rPr>
        <w:t>。《</w:t>
      </w:r>
      <w:r>
        <w:rPr>
          <w:rFonts w:hint="eastAsia"/>
          <w:lang w:val="en-US" w:eastAsia="zh-CN"/>
        </w:rPr>
        <w:t>国库集中支付电子凭证</w:t>
      </w:r>
      <w:r>
        <w:rPr>
          <w:rFonts w:hint="eastAsia"/>
        </w:rPr>
        <w:t>标准》共</w:t>
      </w:r>
      <w:r>
        <w:t>使用了6</w:t>
      </w:r>
      <w:r>
        <w:rPr>
          <w:rFonts w:hint="eastAsia"/>
        </w:rPr>
        <w:t>种</w:t>
      </w:r>
      <w:r>
        <w:t>标准数据类型</w:t>
      </w:r>
      <w:r>
        <w:rPr>
          <w:rFonts w:hint="eastAsia"/>
        </w:rPr>
        <w:t>，具体如表</w:t>
      </w:r>
      <w:r>
        <w:t>2</w:t>
      </w:r>
      <w:r>
        <w:rPr>
          <w:rFonts w:hint="eastAsia"/>
        </w:rPr>
        <w:t>所示。</w:t>
      </w:r>
    </w:p>
    <w:p>
      <w:pPr>
        <w:pStyle w:val="26"/>
        <w:numPr>
          <w:ilvl w:val="0"/>
          <w:numId w:val="4"/>
        </w:numPr>
        <w:wordWrap/>
        <w:spacing w:after="0" w:line="560" w:lineRule="exact"/>
        <w:ind w:firstLineChars="0"/>
        <w:jc w:val="center"/>
        <w:rPr>
          <w:b/>
          <w:sz w:val="24"/>
          <w:szCs w:val="24"/>
        </w:rPr>
      </w:pPr>
      <w:r>
        <w:rPr>
          <w:rFonts w:hint="eastAsia"/>
          <w:b/>
          <w:sz w:val="24"/>
          <w:szCs w:val="24"/>
        </w:rPr>
        <w:t>《国库集中支付电子凭证标准》使用的标准数据类型统计及举例</w:t>
      </w:r>
    </w:p>
    <w:tbl>
      <w:tblPr>
        <w:tblStyle w:val="14"/>
        <w:tblW w:w="806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2896"/>
        <w:gridCol w:w="1417"/>
        <w:gridCol w:w="18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894"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p>
        </w:tc>
        <w:tc>
          <w:tcPr>
            <w:tcW w:w="2896"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英文名称</w:t>
            </w:r>
          </w:p>
        </w:tc>
        <w:tc>
          <w:tcPr>
            <w:tcW w:w="14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元素数量</w:t>
            </w:r>
          </w:p>
        </w:tc>
        <w:tc>
          <w:tcPr>
            <w:tcW w:w="1859"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r>
              <w:rPr>
                <w:rFonts w:hint="eastAsia" w:ascii="Times New Roman" w:hAnsi="Times New Roman" w:eastAsia="仿宋_GB2312"/>
                <w:b/>
                <w:sz w:val="24"/>
                <w:szCs w:val="24"/>
              </w:rPr>
              <w:t>举例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hint="eastAsia" w:ascii="Times New Roman" w:hAnsi="Times New Roman" w:eastAsia="仿宋_GB2312"/>
                <w:sz w:val="24"/>
                <w:szCs w:val="24"/>
              </w:rPr>
            </w:pPr>
            <w:r>
              <w:rPr>
                <w:rFonts w:hint="eastAsia" w:ascii="Times New Roman" w:hAnsi="Times New Roman" w:eastAsia="仿宋_GB2312"/>
                <w:sz w:val="24"/>
                <w:szCs w:val="24"/>
              </w:rPr>
              <w:t>字符型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xbrli:stringItemType</w:t>
            </w:r>
          </w:p>
        </w:tc>
        <w:tc>
          <w:tcPr>
            <w:tcW w:w="1417" w:type="dxa"/>
            <w:vAlign w:val="center"/>
          </w:tcPr>
          <w:p>
            <w:pPr>
              <w:spacing w:after="0" w:line="240" w:lineRule="auto"/>
              <w:jc w:val="center"/>
              <w:rPr>
                <w:rFonts w:hint="default" w:ascii="Times New Roman" w:hAnsi="Times New Roman" w:eastAsia="仿宋_GB2312"/>
                <w:sz w:val="24"/>
                <w:szCs w:val="24"/>
                <w:highlight w:val="yellow"/>
                <w:lang w:val="en-US" w:eastAsia="zh-CN"/>
              </w:rPr>
            </w:pPr>
            <w:r>
              <w:rPr>
                <w:rFonts w:hint="eastAsia" w:ascii="Times New Roman" w:hAnsi="Times New Roman" w:eastAsia="仿宋_GB2312"/>
                <w:sz w:val="24"/>
                <w:szCs w:val="24"/>
                <w:lang w:val="en-US" w:eastAsia="zh-CN"/>
              </w:rPr>
              <w:t>17</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国库集中支付电子凭证标识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hint="eastAsia" w:ascii="Times New Roman" w:hAnsi="Times New Roman" w:eastAsia="仿宋_GB2312"/>
                <w:sz w:val="24"/>
                <w:szCs w:val="24"/>
              </w:rPr>
            </w:pPr>
            <w:r>
              <w:rPr>
                <w:rFonts w:hint="eastAsia" w:ascii="Times New Roman" w:hAnsi="Times New Roman" w:eastAsia="仿宋_GB2312"/>
                <w:sz w:val="24"/>
                <w:szCs w:val="24"/>
              </w:rPr>
              <w:t>货币型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xbrli:monetaryItemType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总金额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hint="eastAsia" w:ascii="Times New Roman" w:hAnsi="Times New Roman" w:eastAsia="仿宋_GB2312"/>
                <w:sz w:val="24"/>
                <w:szCs w:val="24"/>
              </w:rPr>
            </w:pPr>
            <w:r>
              <w:rPr>
                <w:rFonts w:hint="eastAsia" w:ascii="Times New Roman" w:hAnsi="Times New Roman" w:eastAsia="仿宋_GB2312"/>
                <w:sz w:val="24"/>
                <w:szCs w:val="24"/>
              </w:rPr>
              <w:t>日期型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xbrli:dateItemType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lang w:val="en-US" w:eastAsia="zh-CN"/>
              </w:rPr>
              <w:t>凭证</w:t>
            </w:r>
            <w:r>
              <w:rPr>
                <w:rFonts w:hint="eastAsia" w:ascii="Times New Roman" w:hAnsi="Times New Roman" w:eastAsia="仿宋_GB2312"/>
                <w:sz w:val="24"/>
                <w:szCs w:val="24"/>
              </w:rPr>
              <w:t>日期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hint="eastAsia" w:ascii="Times New Roman" w:hAnsi="Times New Roman" w:eastAsia="仿宋_GB2312"/>
                <w:sz w:val="24"/>
                <w:szCs w:val="24"/>
              </w:rPr>
            </w:pPr>
            <w:r>
              <w:rPr>
                <w:rFonts w:hint="eastAsia" w:ascii="Times New Roman" w:hAnsi="Times New Roman" w:eastAsia="仿宋_GB2312"/>
                <w:sz w:val="24"/>
                <w:szCs w:val="24"/>
              </w:rPr>
              <w:t>布尔型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xbrli:booleanItemType</w:t>
            </w:r>
          </w:p>
        </w:tc>
        <w:tc>
          <w:tcPr>
            <w:tcW w:w="1417" w:type="dxa"/>
            <w:vAlign w:val="center"/>
          </w:tcPr>
          <w:p>
            <w:pPr>
              <w:spacing w:after="0" w:line="240" w:lineRule="auto"/>
              <w:jc w:val="center"/>
              <w:rPr>
                <w:rFonts w:hint="eastAsia" w:ascii="Times New Roman" w:hAnsi="Times New Roman" w:eastAsia="仿宋_GB2312"/>
                <w:sz w:val="24"/>
                <w:szCs w:val="24"/>
                <w:highlight w:val="yellow"/>
                <w:lang w:eastAsia="zh-CN"/>
              </w:rPr>
            </w:pPr>
            <w:r>
              <w:rPr>
                <w:rFonts w:hint="eastAsia" w:ascii="Times New Roman" w:hAnsi="Times New Roman" w:eastAsia="仿宋_GB2312"/>
                <w:sz w:val="24"/>
                <w:szCs w:val="24"/>
                <w:lang w:val="en-US" w:eastAsia="zh-CN"/>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是否已入账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hint="eastAsia" w:ascii="Times New Roman" w:hAnsi="Times New Roman" w:eastAsia="仿宋_GB2312"/>
                <w:sz w:val="24"/>
                <w:szCs w:val="24"/>
              </w:rPr>
            </w:pPr>
            <w:bookmarkStart w:id="1" w:name="_Hlk414025444"/>
            <w:r>
              <w:rPr>
                <w:rFonts w:hint="eastAsia" w:ascii="Times New Roman" w:hAnsi="Times New Roman" w:eastAsia="仿宋_GB2312"/>
                <w:sz w:val="24"/>
                <w:szCs w:val="24"/>
              </w:rPr>
              <w:t>年月型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xbrli:gYearMonthItemType</w:t>
            </w:r>
          </w:p>
        </w:tc>
        <w:tc>
          <w:tcPr>
            <w:tcW w:w="1417" w:type="dxa"/>
            <w:vAlign w:val="center"/>
          </w:tcPr>
          <w:p>
            <w:pPr>
              <w:spacing w:after="0" w:line="240" w:lineRule="auto"/>
              <w:jc w:val="center"/>
              <w:rPr>
                <w:rFonts w:ascii="Times New Roman" w:hAnsi="Times New Roman" w:eastAsia="仿宋_GB2312"/>
                <w:sz w:val="24"/>
                <w:szCs w:val="24"/>
              </w:rPr>
            </w:pPr>
            <w:r>
              <w:rPr>
                <w:rFonts w:hint="eastAsia"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会计期间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hint="eastAsia" w:ascii="Times New Roman" w:hAnsi="Times New Roman" w:eastAsia="仿宋_GB2312"/>
                <w:sz w:val="24"/>
                <w:szCs w:val="24"/>
              </w:rPr>
            </w:pPr>
            <w:r>
              <w:rPr>
                <w:rFonts w:hint="eastAsia" w:ascii="Times New Roman" w:hAnsi="Times New Roman" w:eastAsia="仿宋_GB2312"/>
                <w:sz w:val="24"/>
                <w:szCs w:val="24"/>
              </w:rPr>
              <w:t>未定义（适用于元组）</w:t>
            </w:r>
          </w:p>
        </w:tc>
        <w:tc>
          <w:tcPr>
            <w:tcW w:w="2896"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cs="Arial"/>
                <w:bCs/>
                <w:sz w:val="24"/>
                <w:szCs w:val="24"/>
              </w:rPr>
              <w:t>记账凭证信息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hint="eastAsia" w:ascii="Times New Roman" w:hAnsi="Times New Roman" w:eastAsia="仿宋_GB2312"/>
                <w:sz w:val="24"/>
                <w:szCs w:val="24"/>
              </w:rPr>
            </w:pPr>
            <w:r>
              <w:rPr>
                <w:rFonts w:hint="eastAsia" w:ascii="Times New Roman" w:hAnsi="Times New Roman" w:eastAsia="仿宋_GB2312"/>
                <w:sz w:val="24"/>
                <w:szCs w:val="24"/>
              </w:rPr>
              <w:t>合计</w:t>
            </w:r>
          </w:p>
        </w:tc>
        <w:tc>
          <w:tcPr>
            <w:tcW w:w="2896" w:type="dxa"/>
            <w:vAlign w:val="center"/>
          </w:tcPr>
          <w:p>
            <w:pPr>
              <w:spacing w:after="0" w:line="240" w:lineRule="auto"/>
              <w:jc w:val="both"/>
              <w:rPr>
                <w:rFonts w:ascii="Times New Roman" w:hAnsi="Times New Roman" w:eastAsia="仿宋_GB2312"/>
                <w:sz w:val="24"/>
                <w:szCs w:val="24"/>
              </w:rPr>
            </w:pPr>
          </w:p>
        </w:tc>
        <w:tc>
          <w:tcPr>
            <w:tcW w:w="1417" w:type="dxa"/>
            <w:vAlign w:val="center"/>
          </w:tcPr>
          <w:p>
            <w:pPr>
              <w:spacing w:after="0" w:line="240" w:lineRule="auto"/>
              <w:jc w:val="center"/>
              <w:rPr>
                <w:rFonts w:hint="eastAsia" w:ascii="Times New Roman" w:hAnsi="Times New Roman" w:eastAsia="仿宋_GB2312"/>
                <w:sz w:val="24"/>
                <w:szCs w:val="24"/>
                <w:highlight w:val="yellow"/>
                <w:lang w:val="en-US" w:eastAsia="zh-CN"/>
              </w:rPr>
            </w:pPr>
            <w:r>
              <w:rPr>
                <w:rFonts w:ascii="Times New Roman" w:hAnsi="Times New Roman" w:eastAsia="仿宋_GB2312"/>
                <w:sz w:val="24"/>
                <w:szCs w:val="24"/>
              </w:rPr>
              <w:t>2</w:t>
            </w:r>
            <w:r>
              <w:rPr>
                <w:rFonts w:hint="eastAsia" w:ascii="Times New Roman" w:hAnsi="Times New Roman" w:eastAsia="仿宋_GB2312"/>
                <w:sz w:val="24"/>
                <w:szCs w:val="24"/>
                <w:lang w:val="en-US" w:eastAsia="zh-CN"/>
              </w:rPr>
              <w:t>5</w:t>
            </w:r>
          </w:p>
        </w:tc>
        <w:tc>
          <w:tcPr>
            <w:tcW w:w="1859" w:type="dxa"/>
            <w:vAlign w:val="center"/>
          </w:tcPr>
          <w:p>
            <w:pPr>
              <w:spacing w:after="0" w:line="240" w:lineRule="auto"/>
              <w:jc w:val="both"/>
              <w:rPr>
                <w:rFonts w:ascii="Times New Roman" w:hAnsi="Times New Roman" w:eastAsia="仿宋_GB2312"/>
                <w:sz w:val="24"/>
                <w:szCs w:val="24"/>
              </w:rPr>
            </w:pPr>
          </w:p>
        </w:tc>
      </w:tr>
      <w:bookmarkEnd w:id="1"/>
    </w:tbl>
    <w:p>
      <w:pPr>
        <w:pStyle w:val="35"/>
        <w:wordWrap/>
        <w:spacing w:after="0" w:line="560" w:lineRule="exact"/>
      </w:pPr>
      <w:r>
        <w:rPr>
          <w:rFonts w:hint="eastAsia"/>
        </w:rPr>
        <w:t>（2）《</w:t>
      </w:r>
      <w:r>
        <w:rPr>
          <w:rFonts w:hint="eastAsia"/>
          <w:lang w:val="en-US" w:eastAsia="zh-CN"/>
        </w:rPr>
        <w:t>国库集中支付电子凭证</w:t>
      </w:r>
      <w:r>
        <w:rPr>
          <w:rFonts w:hint="eastAsia"/>
        </w:rPr>
        <w:t>标准》中使用的重要虚元素</w:t>
      </w:r>
    </w:p>
    <w:p>
      <w:pPr>
        <w:pStyle w:val="26"/>
        <w:wordWrap/>
        <w:spacing w:after="0" w:line="560" w:lineRule="exact"/>
      </w:pPr>
      <w:r>
        <w:rPr>
          <w:rFonts w:hint="eastAsia"/>
        </w:rPr>
        <w:t>在依据本分类标准编制的实例文档中，本版分类标准中的大部分元素都可被赋予事实值，称之为“实元素”；另一部分元素没有事实值，其作用是用来组织实元素间的关系，称之为“虚元素”。下面列举了《国库集中支付电子凭证标准》中部分重要虚元素的用法。</w:t>
      </w:r>
    </w:p>
    <w:p>
      <w:pPr>
        <w:pStyle w:val="36"/>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抽象（abstract）元素</w:t>
      </w:r>
    </w:p>
    <w:p>
      <w:pPr>
        <w:pStyle w:val="26"/>
        <w:wordWrap/>
        <w:spacing w:after="0" w:line="560" w:lineRule="exact"/>
      </w:pPr>
      <w:r>
        <w:rPr>
          <w:rFonts w:hint="eastAsia"/>
        </w:rPr>
        <w:t>抽象元素用于组织列报链接库中元素的展示层级。所有抽象元素的“abstract”属性都应设为“true”，时期类型为“duration”。</w:t>
      </w:r>
    </w:p>
    <w:p>
      <w:pPr>
        <w:pStyle w:val="36"/>
        <w:wordWrap/>
        <w:spacing w:after="0" w:line="560" w:lineRule="exact"/>
      </w:pPr>
      <w:r>
        <w:rPr>
          <w:rFonts w:hint="eastAsia"/>
        </w:rPr>
        <w:t>②元组（tuple）元素</w:t>
      </w:r>
    </w:p>
    <w:p>
      <w:pPr>
        <w:pStyle w:val="26"/>
        <w:widowControl w:val="0"/>
        <w:wordWrap/>
        <w:spacing w:after="0" w:line="560" w:lineRule="exact"/>
      </w:pPr>
      <w:r>
        <w:rPr>
          <w:rFonts w:hint="eastAsia"/>
        </w:rPr>
        <w:t>《</w:t>
      </w:r>
      <w:r>
        <w:rPr>
          <w:rFonts w:hint="eastAsia"/>
          <w:lang w:val="en-US" w:eastAsia="zh-CN"/>
        </w:rPr>
        <w:t>国库集中支付电子凭证</w:t>
      </w:r>
      <w:r>
        <w:rPr>
          <w:rFonts w:hint="eastAsia"/>
        </w:rPr>
        <w:t>标准》中，元组（tuple）的设置主要针对记账凭证信息这类需要根据实际情况进行扩展的浮动行项目。元组的引入，使得使用者可以在不扩展现有分类标准的前提下，在实例文档中增加对应浮动行项目，从而实现浮动行项目的编制。</w:t>
      </w:r>
    </w:p>
    <w:p>
      <w:pPr>
        <w:pStyle w:val="35"/>
        <w:wordWrap/>
        <w:spacing w:after="0" w:line="560" w:lineRule="exact"/>
      </w:pPr>
      <w:r>
        <w:rPr>
          <w:rFonts w:hint="eastAsia"/>
        </w:rPr>
        <w:t>（3）元素标签及后缀</w:t>
      </w:r>
    </w:p>
    <w:p>
      <w:pPr>
        <w:pStyle w:val="26"/>
        <w:wordWrap/>
        <w:spacing w:after="0" w:line="560" w:lineRule="exact"/>
      </w:pPr>
      <w:r>
        <w:rPr>
          <w:rFonts w:hint="eastAsia"/>
        </w:rPr>
        <w:t>在《</w:t>
      </w:r>
      <w:r>
        <w:rPr>
          <w:rFonts w:hint="eastAsia"/>
          <w:lang w:val="en-US" w:eastAsia="zh-CN"/>
        </w:rPr>
        <w:t>国库集中支付电子凭证</w:t>
      </w:r>
      <w:r>
        <w:rPr>
          <w:rFonts w:hint="eastAsia"/>
        </w:rPr>
        <w:t>标准》中，同一个元素可有多个标签，其中至少有中英文标准标签各一个。英文标签只有第一个单词的首字母以及缩写词要求大写。一些特定元素的标准标签还必须增加标准后缀，具体如下：</w:t>
      </w:r>
    </w:p>
    <w:p>
      <w:pPr>
        <w:pStyle w:val="36"/>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[abstract]：所有抽象（abstract）元素的标准标签后缀；</w:t>
      </w:r>
    </w:p>
    <w:p>
      <w:pPr>
        <w:pStyle w:val="36"/>
        <w:wordWrap/>
        <w:spacing w:after="0" w:line="560" w:lineRule="exact"/>
        <w:rPr>
          <w:rFonts w:hint="eastAsia" w:eastAsia="仿宋_GB2312"/>
          <w:lang w:eastAsia="zh-CN"/>
        </w:rPr>
      </w:pPr>
      <w:r>
        <w:rPr>
          <w:rFonts w:hint="eastAsia"/>
        </w:rPr>
        <w:t>②[tuple]：所有元组（</w:t>
      </w:r>
      <w:r>
        <w:t>tuple</w:t>
      </w:r>
      <w:r>
        <w:rPr>
          <w:rFonts w:hint="eastAsia"/>
        </w:rPr>
        <w:t>）元素的标准标签后缀</w:t>
      </w:r>
      <w:r>
        <w:rPr>
          <w:rFonts w:hint="eastAsia"/>
          <w:lang w:eastAsia="zh-CN"/>
        </w:rPr>
        <w:t>。</w:t>
      </w:r>
    </w:p>
    <w:p>
      <w:pPr>
        <w:pStyle w:val="30"/>
        <w:wordWrap/>
        <w:spacing w:line="560" w:lineRule="exact"/>
        <w:ind w:firstLine="562"/>
      </w:pPr>
      <w:r>
        <w:rPr>
          <w:rFonts w:cs="Times New Roman"/>
        </w:rPr>
        <w:t>2</w:t>
      </w:r>
      <w:r>
        <w:rPr>
          <w:rFonts w:hint="eastAsia" w:cs="Times New Roman"/>
        </w:rPr>
        <w:t>．</w:t>
      </w:r>
      <w:r>
        <w:rPr>
          <w:rFonts w:hint="eastAsia"/>
        </w:rPr>
        <w:t>扩展链接角色（</w:t>
      </w:r>
      <w:r>
        <w:t>ELR</w:t>
      </w:r>
      <w:r>
        <w:rPr>
          <w:rFonts w:hint="eastAsia"/>
        </w:rPr>
        <w:t>）</w:t>
      </w:r>
    </w:p>
    <w:p>
      <w:pPr>
        <w:pStyle w:val="35"/>
        <w:wordWrap/>
        <w:spacing w:after="0" w:line="560" w:lineRule="exact"/>
      </w:pPr>
      <w:r>
        <w:rPr>
          <w:rFonts w:hint="eastAsia"/>
        </w:rPr>
        <w:t>（1）扩展链接角色的定义</w:t>
      </w:r>
    </w:p>
    <w:p>
      <w:pPr>
        <w:pStyle w:val="26"/>
        <w:wordWrap/>
        <w:spacing w:after="0" w:line="560" w:lineRule="exact"/>
      </w:pPr>
      <w:r>
        <w:rPr>
          <w:rFonts w:hint="eastAsia"/>
        </w:rPr>
        <w:t>扩展链接角色（ELR）是一组可被视为一个整体进行处理的</w:t>
      </w:r>
      <w:r>
        <w:rPr>
          <w:rFonts w:hint="eastAsia" w:ascii="Times New Roman" w:hAnsi="Times New Roman" w:eastAsia="仿宋_GB2312" w:cs="Arial"/>
          <w:sz w:val="28"/>
          <w:szCs w:val="32"/>
          <w:lang w:val="en-US" w:eastAsia="zh-CN"/>
        </w:rPr>
        <w:t>国库集中支付电子凭证</w:t>
      </w:r>
      <w:r>
        <w:rPr>
          <w:rFonts w:hint="eastAsia"/>
        </w:rPr>
        <w:t>信息关系的标识符。</w:t>
      </w:r>
    </w:p>
    <w:p>
      <w:pPr>
        <w:pStyle w:val="35"/>
        <w:wordWrap/>
        <w:spacing w:after="0" w:line="560" w:lineRule="exact"/>
      </w:pPr>
      <w:r>
        <w:rPr>
          <w:rFonts w:hint="eastAsia"/>
        </w:rPr>
        <w:t>（2）扩展链接角色的统一资源标识符（URI）的定义</w:t>
      </w:r>
    </w:p>
    <w:p>
      <w:pPr>
        <w:pStyle w:val="26"/>
        <w:wordWrap/>
        <w:spacing w:after="0" w:line="560" w:lineRule="exact"/>
      </w:pPr>
      <w:r>
        <w:rPr>
          <w:rFonts w:hint="eastAsia"/>
        </w:rPr>
        <w:t>在设计扩展链接角色时，《</w:t>
      </w:r>
      <w:r>
        <w:rPr>
          <w:rFonts w:hint="eastAsia"/>
          <w:lang w:val="en-US" w:eastAsia="zh-CN"/>
        </w:rPr>
        <w:t>国库集中支付电子凭证</w:t>
      </w:r>
      <w:r>
        <w:rPr>
          <w:rFonts w:hint="eastAsia"/>
        </w:rPr>
        <w:t>标准》依据GB/T25500-2010《可扩展商业报告语言（XBRL）技术规范》系列国家标准的规定，为扩展链接角色定义了统一资源标识符，统一资源标识符的定义遵循以下模式：</w:t>
      </w:r>
      <w:r>
        <w:t>http://xbrl.mof.gov.cn/role/yyyy-mm-dd/</w:t>
      </w:r>
      <w:r>
        <w:rPr>
          <w:rFonts w:hint="eastAsia"/>
        </w:rPr>
        <w:t>{</w:t>
      </w:r>
      <w:r>
        <w:t>“</w:t>
      </w:r>
      <w:r>
        <w:rPr>
          <w:rFonts w:hint="eastAsia"/>
        </w:rPr>
        <w:t>编码</w:t>
      </w:r>
      <w:r>
        <w:t>”</w:t>
      </w:r>
      <w:r>
        <w:rPr>
          <w:rFonts w:hint="eastAsia"/>
        </w:rPr>
        <w:t>}。</w:t>
      </w:r>
    </w:p>
    <w:p>
      <w:pPr>
        <w:pStyle w:val="26"/>
        <w:wordWrap/>
        <w:spacing w:after="0" w:line="560" w:lineRule="exact"/>
      </w:pPr>
      <w:r>
        <w:rPr>
          <w:rFonts w:hint="eastAsia"/>
        </w:rPr>
        <w:t>其中，yyyy-mm-dd为《</w:t>
      </w:r>
      <w:r>
        <w:rPr>
          <w:rFonts w:hint="eastAsia"/>
          <w:lang w:val="en-US" w:eastAsia="zh-CN"/>
        </w:rPr>
        <w:t>国库集中支付电子凭证</w:t>
      </w:r>
      <w:r>
        <w:rPr>
          <w:rFonts w:hint="eastAsia"/>
        </w:rPr>
        <w:t>标准》的版本日期；“编码”表示扩展链接角色的6位编码，便于计算机识别及检索。</w:t>
      </w:r>
    </w:p>
    <w:p>
      <w:pPr>
        <w:pStyle w:val="26"/>
        <w:wordWrap/>
        <w:spacing w:after="0" w:line="560" w:lineRule="exact"/>
      </w:pPr>
      <w:r>
        <w:rPr>
          <w:rFonts w:hint="eastAsia"/>
        </w:rPr>
        <w:t>《国库集中支付电子凭证标准》在定义扩展链接角色的</w:t>
      </w:r>
      <w:r>
        <w:t>6</w:t>
      </w:r>
      <w:r>
        <w:rPr>
          <w:rFonts w:hint="eastAsia"/>
        </w:rPr>
        <w:t>位编码时，遵守了财政部《企业会计准则通用分类标准指南》中的特定的编码规则，具体如表</w:t>
      </w:r>
      <w:r>
        <w:t>3</w:t>
      </w:r>
      <w:r>
        <w:rPr>
          <w:rFonts w:hint="eastAsia"/>
        </w:rPr>
        <w:t>所示：</w:t>
      </w:r>
    </w:p>
    <w:p>
      <w:pPr>
        <w:pStyle w:val="26"/>
        <w:numPr>
          <w:ilvl w:val="0"/>
          <w:numId w:val="4"/>
        </w:numPr>
        <w:wordWrap/>
        <w:spacing w:after="0" w:line="560" w:lineRule="exact"/>
        <w:ind w:firstLineChars="0"/>
        <w:jc w:val="center"/>
        <w:rPr>
          <w:b/>
          <w:sz w:val="24"/>
          <w:szCs w:val="24"/>
        </w:rPr>
      </w:pPr>
      <w:r>
        <w:rPr>
          <w:rFonts w:hint="eastAsia"/>
          <w:b/>
          <w:sz w:val="24"/>
          <w:szCs w:val="24"/>
        </w:rPr>
        <w:t>扩展</w:t>
      </w:r>
      <w:r>
        <w:rPr>
          <w:b/>
          <w:sz w:val="24"/>
          <w:szCs w:val="24"/>
        </w:rPr>
        <w:t>链接角色</w:t>
      </w:r>
      <w:r>
        <w:rPr>
          <w:rFonts w:hint="eastAsia"/>
          <w:b/>
          <w:sz w:val="24"/>
          <w:szCs w:val="24"/>
        </w:rPr>
        <w:t>编码及其</w:t>
      </w:r>
      <w:r>
        <w:rPr>
          <w:b/>
          <w:sz w:val="24"/>
          <w:szCs w:val="24"/>
        </w:rPr>
        <w:t>对应的数字或字母</w:t>
      </w:r>
      <w:r>
        <w:rPr>
          <w:rFonts w:hint="eastAsia"/>
          <w:b/>
          <w:sz w:val="24"/>
          <w:szCs w:val="24"/>
        </w:rPr>
        <w:t>含义</w:t>
      </w:r>
    </w:p>
    <w:tbl>
      <w:tblPr>
        <w:tblStyle w:val="15"/>
        <w:tblW w:w="822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275"/>
        <w:gridCol w:w="301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951" w:type="dxa"/>
            <w:vAlign w:val="center"/>
          </w:tcPr>
          <w:p>
            <w:pPr>
              <w:pStyle w:val="26"/>
              <w:wordWrap/>
              <w:spacing w:after="0" w:line="240" w:lineRule="auto"/>
              <w:ind w:firstLine="0" w:firstLineChars="0"/>
              <w:jc w:val="center"/>
              <w:rPr>
                <w:b/>
                <w:sz w:val="24"/>
              </w:rPr>
            </w:pPr>
            <w:r>
              <w:rPr>
                <w:rFonts w:hint="eastAsia"/>
                <w:b/>
                <w:sz w:val="24"/>
              </w:rPr>
              <w:t>编码位数</w:t>
            </w:r>
          </w:p>
        </w:tc>
        <w:tc>
          <w:tcPr>
            <w:tcW w:w="1985" w:type="dxa"/>
            <w:vAlign w:val="center"/>
          </w:tcPr>
          <w:p>
            <w:pPr>
              <w:pStyle w:val="26"/>
              <w:wordWrap/>
              <w:spacing w:after="0" w:line="240" w:lineRule="auto"/>
              <w:ind w:firstLine="0" w:firstLineChars="0"/>
              <w:jc w:val="center"/>
              <w:rPr>
                <w:b/>
                <w:sz w:val="24"/>
              </w:rPr>
            </w:pPr>
            <w:r>
              <w:rPr>
                <w:rFonts w:hint="eastAsia"/>
                <w:b/>
                <w:sz w:val="24"/>
              </w:rPr>
              <w:t>编码</w:t>
            </w:r>
            <w:r>
              <w:rPr>
                <w:b/>
                <w:sz w:val="24"/>
              </w:rPr>
              <w:t>含义</w:t>
            </w:r>
          </w:p>
        </w:tc>
        <w:tc>
          <w:tcPr>
            <w:tcW w:w="1275" w:type="dxa"/>
            <w:vAlign w:val="center"/>
          </w:tcPr>
          <w:p>
            <w:pPr>
              <w:pStyle w:val="26"/>
              <w:wordWrap/>
              <w:spacing w:after="0" w:line="240" w:lineRule="auto"/>
              <w:ind w:firstLine="0" w:firstLineChars="0"/>
              <w:jc w:val="center"/>
              <w:rPr>
                <w:b/>
                <w:sz w:val="24"/>
              </w:rPr>
            </w:pPr>
            <w:r>
              <w:rPr>
                <w:rFonts w:hint="eastAsia"/>
                <w:b/>
                <w:sz w:val="24"/>
              </w:rPr>
              <w:t>是否必须</w:t>
            </w:r>
          </w:p>
        </w:tc>
        <w:tc>
          <w:tcPr>
            <w:tcW w:w="3011" w:type="dxa"/>
            <w:vAlign w:val="center"/>
          </w:tcPr>
          <w:p>
            <w:pPr>
              <w:pStyle w:val="26"/>
              <w:wordWrap/>
              <w:spacing w:after="0" w:line="240" w:lineRule="auto"/>
              <w:ind w:firstLine="0" w:firstLineChars="0"/>
              <w:jc w:val="center"/>
              <w:rPr>
                <w:b/>
                <w:sz w:val="24"/>
              </w:rPr>
            </w:pPr>
            <w:r>
              <w:rPr>
                <w:rFonts w:hint="eastAsia"/>
                <w:b/>
                <w:sz w:val="24"/>
              </w:rPr>
              <w:t>对应的</w:t>
            </w:r>
            <w:r>
              <w:rPr>
                <w:b/>
                <w:sz w:val="24"/>
              </w:rPr>
              <w:t>数字或字母含义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951" w:type="dxa"/>
            <w:vAlign w:val="center"/>
          </w:tcPr>
          <w:p>
            <w:pPr>
              <w:pStyle w:val="26"/>
              <w:wordWrap/>
              <w:spacing w:after="0" w:line="240" w:lineRule="auto"/>
              <w:ind w:left="220" w:leftChars="100" w:firstLine="0" w:firstLineChars="0"/>
              <w:jc w:val="center"/>
              <w:rPr>
                <w:color w:val="auto"/>
                <w:sz w:val="24"/>
              </w:rPr>
            </w:pPr>
            <w:r>
              <w:rPr>
                <w:rFonts w:hint="eastAsia"/>
                <w:color w:val="auto"/>
                <w:sz w:val="24"/>
              </w:rPr>
              <w:t>第一位</w:t>
            </w:r>
            <w:r>
              <w:rPr>
                <w:color w:val="auto"/>
                <w:sz w:val="24"/>
              </w:rPr>
              <w:t>编码</w:t>
            </w:r>
          </w:p>
        </w:tc>
        <w:tc>
          <w:tcPr>
            <w:tcW w:w="1985" w:type="dxa"/>
            <w:vAlign w:val="center"/>
          </w:tcPr>
          <w:p>
            <w:pPr>
              <w:pStyle w:val="26"/>
              <w:wordWrap/>
              <w:spacing w:after="0" w:line="240" w:lineRule="auto"/>
              <w:ind w:firstLine="0" w:firstLineChars="0"/>
              <w:jc w:val="center"/>
              <w:rPr>
                <w:color w:val="auto"/>
                <w:sz w:val="24"/>
              </w:rPr>
            </w:pPr>
            <w:r>
              <w:rPr>
                <w:rFonts w:hint="eastAsia"/>
                <w:color w:val="auto"/>
                <w:sz w:val="24"/>
              </w:rPr>
              <w:t>监管机构</w:t>
            </w:r>
            <w:r>
              <w:rPr>
                <w:color w:val="auto"/>
                <w:sz w:val="24"/>
              </w:rPr>
              <w:t>代码</w:t>
            </w:r>
          </w:p>
        </w:tc>
        <w:tc>
          <w:tcPr>
            <w:tcW w:w="1275" w:type="dxa"/>
            <w:vAlign w:val="center"/>
          </w:tcPr>
          <w:p>
            <w:pPr>
              <w:pStyle w:val="26"/>
              <w:wordWrap/>
              <w:spacing w:after="0" w:line="320" w:lineRule="exact"/>
              <w:ind w:firstLine="0" w:firstLineChars="0"/>
              <w:jc w:val="center"/>
              <w:rPr>
                <w:color w:val="auto"/>
                <w:sz w:val="24"/>
              </w:rPr>
            </w:pPr>
            <w:r>
              <w:rPr>
                <w:rFonts w:hint="eastAsia"/>
                <w:color w:val="auto"/>
                <w:sz w:val="24"/>
              </w:rPr>
              <w:t>必选</w:t>
            </w:r>
          </w:p>
        </w:tc>
        <w:tc>
          <w:tcPr>
            <w:tcW w:w="3011" w:type="dxa"/>
            <w:vAlign w:val="center"/>
          </w:tcPr>
          <w:p>
            <w:pPr>
              <w:pStyle w:val="26"/>
              <w:wordWrap/>
              <w:spacing w:after="0" w:line="320" w:lineRule="exact"/>
              <w:ind w:left="220" w:leftChars="100" w:firstLine="0" w:firstLineChars="0"/>
              <w:jc w:val="both"/>
              <w:rPr>
                <w:color w:val="auto"/>
                <w:sz w:val="24"/>
              </w:rPr>
            </w:pPr>
            <w:r>
              <w:rPr>
                <w:color w:val="auto"/>
                <w:sz w:val="24"/>
              </w:rPr>
              <w:t>1</w:t>
            </w:r>
            <w:r>
              <w:rPr>
                <w:rFonts w:hint="eastAsia"/>
                <w:color w:val="auto"/>
                <w:sz w:val="24"/>
              </w:rPr>
              <w:t>表示财政部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951" w:type="dxa"/>
            <w:vAlign w:val="center"/>
          </w:tcPr>
          <w:p>
            <w:pPr>
              <w:pStyle w:val="26"/>
              <w:wordWrap/>
              <w:spacing w:after="0" w:line="240" w:lineRule="auto"/>
              <w:ind w:left="220" w:leftChars="100" w:firstLine="0" w:firstLineChars="0"/>
              <w:jc w:val="center"/>
              <w:rPr>
                <w:color w:val="auto"/>
                <w:sz w:val="24"/>
              </w:rPr>
            </w:pPr>
            <w:r>
              <w:rPr>
                <w:rFonts w:hint="eastAsia"/>
                <w:color w:val="auto"/>
                <w:sz w:val="24"/>
              </w:rPr>
              <w:t>第二位</w:t>
            </w:r>
            <w:r>
              <w:rPr>
                <w:color w:val="auto"/>
                <w:sz w:val="24"/>
              </w:rPr>
              <w:t>编码</w:t>
            </w:r>
          </w:p>
        </w:tc>
        <w:tc>
          <w:tcPr>
            <w:tcW w:w="1985" w:type="dxa"/>
            <w:vAlign w:val="center"/>
          </w:tcPr>
          <w:p>
            <w:pPr>
              <w:pStyle w:val="26"/>
              <w:wordWrap/>
              <w:spacing w:after="0" w:line="240" w:lineRule="auto"/>
              <w:ind w:firstLine="0" w:firstLineChars="0"/>
              <w:jc w:val="center"/>
              <w:rPr>
                <w:color w:val="auto"/>
                <w:sz w:val="24"/>
              </w:rPr>
            </w:pPr>
            <w:r>
              <w:rPr>
                <w:rFonts w:hint="eastAsia"/>
                <w:color w:val="auto"/>
                <w:sz w:val="24"/>
              </w:rPr>
              <w:t>业务</w:t>
            </w:r>
            <w:r>
              <w:rPr>
                <w:color w:val="auto"/>
                <w:sz w:val="24"/>
              </w:rPr>
              <w:t>类型</w:t>
            </w:r>
          </w:p>
        </w:tc>
        <w:tc>
          <w:tcPr>
            <w:tcW w:w="1275" w:type="dxa"/>
            <w:vAlign w:val="center"/>
          </w:tcPr>
          <w:p>
            <w:pPr>
              <w:pStyle w:val="26"/>
              <w:wordWrap/>
              <w:spacing w:after="0" w:line="320" w:lineRule="exact"/>
              <w:ind w:firstLine="0" w:firstLineChars="0"/>
              <w:jc w:val="center"/>
              <w:rPr>
                <w:color w:val="auto"/>
                <w:sz w:val="24"/>
              </w:rPr>
            </w:pPr>
            <w:r>
              <w:rPr>
                <w:rFonts w:hint="eastAsia"/>
                <w:color w:val="auto"/>
                <w:sz w:val="24"/>
              </w:rPr>
              <w:t>必选</w:t>
            </w:r>
          </w:p>
        </w:tc>
        <w:tc>
          <w:tcPr>
            <w:tcW w:w="3011" w:type="dxa"/>
            <w:vAlign w:val="center"/>
          </w:tcPr>
          <w:p>
            <w:pPr>
              <w:pStyle w:val="26"/>
              <w:wordWrap/>
              <w:spacing w:after="0" w:line="320" w:lineRule="exact"/>
              <w:ind w:left="220" w:leftChars="100" w:firstLine="0" w:firstLineChars="0"/>
              <w:jc w:val="both"/>
              <w:rPr>
                <w:color w:val="auto"/>
                <w:sz w:val="24"/>
              </w:rPr>
            </w:pPr>
            <w:r>
              <w:rPr>
                <w:color w:val="auto"/>
                <w:sz w:val="24"/>
              </w:rPr>
              <w:t>0</w:t>
            </w:r>
            <w:r>
              <w:rPr>
                <w:rFonts w:hint="eastAsia"/>
                <w:color w:val="auto"/>
                <w:sz w:val="24"/>
              </w:rPr>
              <w:t>表示电子凭证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951" w:type="dxa"/>
            <w:vAlign w:val="center"/>
          </w:tcPr>
          <w:p>
            <w:pPr>
              <w:pStyle w:val="26"/>
              <w:wordWrap/>
              <w:spacing w:after="0" w:line="240" w:lineRule="auto"/>
              <w:ind w:left="220" w:leftChars="100" w:firstLine="0" w:firstLineChars="0"/>
              <w:jc w:val="center"/>
              <w:rPr>
                <w:color w:val="auto"/>
                <w:sz w:val="24"/>
              </w:rPr>
            </w:pPr>
            <w:r>
              <w:rPr>
                <w:rFonts w:hint="eastAsia"/>
                <w:color w:val="auto"/>
                <w:sz w:val="24"/>
              </w:rPr>
              <w:t>第三/四</w:t>
            </w:r>
            <w:r>
              <w:rPr>
                <w:color w:val="auto"/>
                <w:sz w:val="24"/>
              </w:rPr>
              <w:t>位编码</w:t>
            </w:r>
          </w:p>
        </w:tc>
        <w:tc>
          <w:tcPr>
            <w:tcW w:w="1985" w:type="dxa"/>
            <w:vAlign w:val="center"/>
          </w:tcPr>
          <w:p>
            <w:pPr>
              <w:pStyle w:val="26"/>
              <w:wordWrap/>
              <w:spacing w:after="0" w:line="240" w:lineRule="auto"/>
              <w:ind w:firstLine="0" w:firstLineChars="0"/>
              <w:jc w:val="center"/>
              <w:rPr>
                <w:color w:val="auto"/>
                <w:sz w:val="24"/>
              </w:rPr>
            </w:pPr>
            <w:r>
              <w:rPr>
                <w:rFonts w:hint="eastAsia"/>
                <w:color w:val="auto"/>
                <w:sz w:val="24"/>
              </w:rPr>
              <w:t>单据类型</w:t>
            </w:r>
          </w:p>
        </w:tc>
        <w:tc>
          <w:tcPr>
            <w:tcW w:w="1275" w:type="dxa"/>
            <w:vAlign w:val="center"/>
          </w:tcPr>
          <w:p>
            <w:pPr>
              <w:pStyle w:val="26"/>
              <w:wordWrap/>
              <w:spacing w:after="0" w:line="320" w:lineRule="exact"/>
              <w:ind w:firstLine="0" w:firstLineChars="0"/>
              <w:jc w:val="center"/>
              <w:rPr>
                <w:color w:val="auto"/>
                <w:sz w:val="24"/>
              </w:rPr>
            </w:pPr>
            <w:r>
              <w:rPr>
                <w:rFonts w:hint="eastAsia"/>
                <w:color w:val="auto"/>
                <w:sz w:val="24"/>
              </w:rPr>
              <w:t>必选</w:t>
            </w:r>
          </w:p>
        </w:tc>
        <w:tc>
          <w:tcPr>
            <w:tcW w:w="3011" w:type="dxa"/>
            <w:vAlign w:val="center"/>
          </w:tcPr>
          <w:p>
            <w:pPr>
              <w:pStyle w:val="26"/>
              <w:wordWrap/>
              <w:spacing w:after="0" w:line="320" w:lineRule="exact"/>
              <w:ind w:left="220" w:leftChars="100" w:firstLine="0" w:firstLineChars="0"/>
              <w:jc w:val="both"/>
              <w:rPr>
                <w:rFonts w:hint="default" w:eastAsia="仿宋_GB2312"/>
                <w:color w:val="auto"/>
                <w:sz w:val="24"/>
                <w:lang w:val="en-US" w:eastAsia="zh-CN"/>
              </w:rPr>
            </w:pPr>
            <w:r>
              <w:rPr>
                <w:rFonts w:hint="eastAsia"/>
                <w:color w:val="auto"/>
                <w:sz w:val="24"/>
                <w:lang w:val="en-US" w:eastAsia="zh-CN"/>
              </w:rPr>
              <w:t>10</w:t>
            </w:r>
            <w:r>
              <w:rPr>
                <w:rFonts w:hint="eastAsia"/>
                <w:color w:val="auto"/>
                <w:sz w:val="24"/>
              </w:rPr>
              <w:t>表示</w:t>
            </w:r>
            <w:r>
              <w:rPr>
                <w:rFonts w:hint="eastAsia"/>
                <w:color w:val="auto"/>
                <w:sz w:val="24"/>
                <w:lang w:val="en-US" w:eastAsia="zh-CN"/>
              </w:rPr>
              <w:t>国库集中支付电子凭证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951" w:type="dxa"/>
            <w:vAlign w:val="center"/>
          </w:tcPr>
          <w:p>
            <w:pPr>
              <w:pStyle w:val="26"/>
              <w:wordWrap/>
              <w:spacing w:after="0" w:line="240" w:lineRule="auto"/>
              <w:ind w:left="220" w:leftChars="100" w:firstLine="0" w:firstLineChars="0"/>
              <w:jc w:val="center"/>
              <w:rPr>
                <w:color w:val="auto"/>
                <w:sz w:val="24"/>
              </w:rPr>
            </w:pPr>
            <w:r>
              <w:rPr>
                <w:rFonts w:hint="eastAsia"/>
                <w:color w:val="auto"/>
                <w:sz w:val="24"/>
              </w:rPr>
              <w:t>第五/六</w:t>
            </w:r>
            <w:r>
              <w:rPr>
                <w:color w:val="auto"/>
                <w:sz w:val="24"/>
              </w:rPr>
              <w:t>位编码</w:t>
            </w:r>
          </w:p>
        </w:tc>
        <w:tc>
          <w:tcPr>
            <w:tcW w:w="1985" w:type="dxa"/>
            <w:vAlign w:val="center"/>
          </w:tcPr>
          <w:p>
            <w:pPr>
              <w:pStyle w:val="26"/>
              <w:wordWrap/>
              <w:spacing w:after="0" w:line="240" w:lineRule="auto"/>
              <w:ind w:firstLine="0" w:firstLineChars="0"/>
              <w:jc w:val="center"/>
              <w:rPr>
                <w:color w:val="auto"/>
                <w:sz w:val="24"/>
              </w:rPr>
            </w:pPr>
            <w:r>
              <w:rPr>
                <w:rFonts w:hint="eastAsia"/>
                <w:color w:val="auto"/>
                <w:sz w:val="24"/>
              </w:rPr>
              <w:t>明细序号</w:t>
            </w:r>
          </w:p>
        </w:tc>
        <w:tc>
          <w:tcPr>
            <w:tcW w:w="1275" w:type="dxa"/>
            <w:vAlign w:val="center"/>
          </w:tcPr>
          <w:p>
            <w:pPr>
              <w:pStyle w:val="26"/>
              <w:wordWrap/>
              <w:spacing w:after="0" w:line="320" w:lineRule="exact"/>
              <w:ind w:firstLine="0" w:firstLineChars="0"/>
              <w:jc w:val="center"/>
              <w:rPr>
                <w:color w:val="auto"/>
                <w:sz w:val="24"/>
              </w:rPr>
            </w:pPr>
            <w:r>
              <w:rPr>
                <w:rFonts w:hint="eastAsia"/>
                <w:color w:val="auto"/>
                <w:sz w:val="24"/>
              </w:rPr>
              <w:t>必选</w:t>
            </w:r>
          </w:p>
        </w:tc>
        <w:tc>
          <w:tcPr>
            <w:tcW w:w="3011" w:type="dxa"/>
            <w:vAlign w:val="center"/>
          </w:tcPr>
          <w:p>
            <w:pPr>
              <w:pStyle w:val="26"/>
              <w:wordWrap/>
              <w:spacing w:after="0" w:line="320" w:lineRule="exact"/>
              <w:ind w:left="220" w:leftChars="100" w:firstLine="0" w:firstLineChars="0"/>
              <w:jc w:val="both"/>
              <w:rPr>
                <w:color w:val="auto"/>
                <w:sz w:val="24"/>
              </w:rPr>
            </w:pPr>
            <w:r>
              <w:rPr>
                <w:rFonts w:hint="eastAsia"/>
                <w:color w:val="auto"/>
                <w:sz w:val="24"/>
              </w:rPr>
              <w:t>某类单据内容下设置的多</w:t>
            </w:r>
            <w:r>
              <w:rPr>
                <w:color w:val="auto"/>
                <w:sz w:val="24"/>
              </w:rPr>
              <w:t>个扩展链接角色</w:t>
            </w:r>
            <w:r>
              <w:rPr>
                <w:rFonts w:hint="eastAsia"/>
                <w:color w:val="auto"/>
                <w:sz w:val="24"/>
              </w:rPr>
              <w:t>，明细序号从01开始，顺序进行编号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951" w:type="dxa"/>
            <w:vAlign w:val="center"/>
          </w:tcPr>
          <w:p>
            <w:pPr>
              <w:pStyle w:val="26"/>
              <w:wordWrap/>
              <w:spacing w:after="0" w:line="240" w:lineRule="auto"/>
              <w:ind w:left="220" w:leftChars="100" w:firstLine="0" w:firstLineChars="0"/>
              <w:jc w:val="center"/>
              <w:rPr>
                <w:color w:val="auto"/>
                <w:sz w:val="24"/>
              </w:rPr>
            </w:pPr>
            <w:r>
              <w:rPr>
                <w:rFonts w:hint="eastAsia"/>
                <w:color w:val="auto"/>
                <w:sz w:val="24"/>
              </w:rPr>
              <w:t>次</w:t>
            </w:r>
            <w:r>
              <w:rPr>
                <w:color w:val="auto"/>
                <w:sz w:val="24"/>
              </w:rPr>
              <w:t>编码</w:t>
            </w:r>
          </w:p>
        </w:tc>
        <w:tc>
          <w:tcPr>
            <w:tcW w:w="1985" w:type="dxa"/>
            <w:vAlign w:val="center"/>
          </w:tcPr>
          <w:p>
            <w:pPr>
              <w:pStyle w:val="26"/>
              <w:wordWrap/>
              <w:spacing w:after="0" w:line="240" w:lineRule="auto"/>
              <w:ind w:firstLine="0" w:firstLineChars="0"/>
              <w:jc w:val="center"/>
              <w:rPr>
                <w:color w:val="auto"/>
                <w:sz w:val="24"/>
              </w:rPr>
            </w:pPr>
            <w:r>
              <w:rPr>
                <w:rFonts w:hint="eastAsia"/>
                <w:color w:val="auto"/>
                <w:sz w:val="24"/>
              </w:rPr>
              <w:t>拆分序号</w:t>
            </w:r>
          </w:p>
        </w:tc>
        <w:tc>
          <w:tcPr>
            <w:tcW w:w="1275" w:type="dxa"/>
            <w:vAlign w:val="center"/>
          </w:tcPr>
          <w:p>
            <w:pPr>
              <w:pStyle w:val="26"/>
              <w:wordWrap/>
              <w:spacing w:after="0" w:line="320" w:lineRule="exact"/>
              <w:ind w:firstLine="0" w:firstLineChars="0"/>
              <w:jc w:val="center"/>
              <w:rPr>
                <w:color w:val="auto"/>
                <w:sz w:val="24"/>
              </w:rPr>
            </w:pPr>
            <w:r>
              <w:rPr>
                <w:rFonts w:hint="eastAsia"/>
                <w:color w:val="auto"/>
                <w:sz w:val="24"/>
              </w:rPr>
              <w:t>可选</w:t>
            </w:r>
          </w:p>
        </w:tc>
        <w:tc>
          <w:tcPr>
            <w:tcW w:w="3011" w:type="dxa"/>
            <w:vAlign w:val="center"/>
          </w:tcPr>
          <w:p>
            <w:pPr>
              <w:pStyle w:val="26"/>
              <w:wordWrap/>
              <w:spacing w:after="0" w:line="320" w:lineRule="exact"/>
              <w:ind w:left="220" w:leftChars="100" w:firstLine="0" w:firstLineChars="0"/>
              <w:jc w:val="both"/>
              <w:rPr>
                <w:color w:val="auto"/>
                <w:sz w:val="24"/>
              </w:rPr>
            </w:pPr>
            <w:r>
              <w:rPr>
                <w:rFonts w:hint="eastAsia"/>
                <w:color w:val="auto"/>
                <w:sz w:val="24"/>
              </w:rPr>
              <w:t>如果某个</w:t>
            </w:r>
            <w:r>
              <w:rPr>
                <w:color w:val="auto"/>
                <w:sz w:val="24"/>
              </w:rPr>
              <w:t>扩展链接</w:t>
            </w:r>
            <w:r>
              <w:rPr>
                <w:rFonts w:hint="eastAsia"/>
                <w:color w:val="auto"/>
                <w:sz w:val="24"/>
              </w:rPr>
              <w:t>角色</w:t>
            </w:r>
            <w:r>
              <w:rPr>
                <w:color w:val="auto"/>
                <w:sz w:val="24"/>
              </w:rPr>
              <w:t>对应</w:t>
            </w:r>
            <w:r>
              <w:rPr>
                <w:rFonts w:hint="eastAsia"/>
                <w:color w:val="auto"/>
                <w:sz w:val="24"/>
              </w:rPr>
              <w:t>完整的国库集中支付电子凭证信息</w:t>
            </w:r>
            <w:r>
              <w:rPr>
                <w:color w:val="auto"/>
                <w:sz w:val="24"/>
              </w:rPr>
              <w:t>，</w:t>
            </w:r>
            <w:r>
              <w:rPr>
                <w:rFonts w:hint="eastAsia"/>
                <w:color w:val="auto"/>
                <w:sz w:val="24"/>
              </w:rPr>
              <w:t>则不设置</w:t>
            </w:r>
            <w:r>
              <w:rPr>
                <w:color w:val="auto"/>
                <w:sz w:val="24"/>
              </w:rPr>
              <w:t>拆分序号；如果</w:t>
            </w:r>
            <w:r>
              <w:rPr>
                <w:rFonts w:hint="eastAsia"/>
                <w:color w:val="auto"/>
                <w:sz w:val="24"/>
              </w:rPr>
              <w:t>某个</w:t>
            </w:r>
            <w:r>
              <w:rPr>
                <w:color w:val="auto"/>
                <w:sz w:val="24"/>
              </w:rPr>
              <w:t>扩展链接</w:t>
            </w:r>
            <w:r>
              <w:rPr>
                <w:rFonts w:hint="eastAsia"/>
                <w:color w:val="auto"/>
                <w:sz w:val="24"/>
              </w:rPr>
              <w:t>角色</w:t>
            </w:r>
            <w:r>
              <w:rPr>
                <w:color w:val="auto"/>
                <w:sz w:val="24"/>
              </w:rPr>
              <w:t>对应</w:t>
            </w:r>
            <w:r>
              <w:rPr>
                <w:rFonts w:hint="eastAsia"/>
                <w:color w:val="auto"/>
                <w:sz w:val="24"/>
              </w:rPr>
              <w:t>国库集中支付电子凭证</w:t>
            </w:r>
            <w:r>
              <w:rPr>
                <w:color w:val="auto"/>
                <w:sz w:val="24"/>
              </w:rPr>
              <w:t>中的一组明细项目</w:t>
            </w:r>
            <w:r>
              <w:rPr>
                <w:rFonts w:hint="eastAsia"/>
                <w:color w:val="auto"/>
                <w:sz w:val="24"/>
              </w:rPr>
              <w:t>，拆分序号为</w:t>
            </w:r>
            <w:r>
              <w:rPr>
                <w:color w:val="auto"/>
                <w:sz w:val="24"/>
              </w:rPr>
              <w:t>字母编码，从a开始</w:t>
            </w:r>
            <w:r>
              <w:rPr>
                <w:rFonts w:hint="eastAsia"/>
                <w:color w:val="auto"/>
                <w:sz w:val="24"/>
              </w:rPr>
              <w:t>，以此类推</w:t>
            </w:r>
          </w:p>
        </w:tc>
      </w:tr>
    </w:tbl>
    <w:p>
      <w:pPr>
        <w:pStyle w:val="23"/>
        <w:wordWrap/>
        <w:spacing w:line="560" w:lineRule="exact"/>
        <w:ind w:firstLine="560"/>
        <w:rPr>
          <w:rFonts w:ascii="Times New Roman" w:hAnsi="Times New Roman"/>
        </w:rPr>
      </w:pPr>
      <w:r>
        <w:rPr>
          <w:rFonts w:hint="eastAsia" w:ascii="Times New Roman" w:hAnsi="Times New Roman"/>
        </w:rPr>
        <w:t>（二）物理</w:t>
      </w:r>
      <w:r>
        <w:rPr>
          <w:rFonts w:ascii="Times New Roman" w:hAnsi="Times New Roman"/>
        </w:rPr>
        <w:t>结构</w:t>
      </w:r>
    </w:p>
    <w:p>
      <w:pPr>
        <w:spacing w:line="560" w:lineRule="exact"/>
        <w:ind w:firstLine="560" w:firstLineChars="200"/>
        <w:rPr>
          <w:lang w:val="en-GB"/>
        </w:rPr>
      </w:pPr>
      <w:r>
        <w:rPr>
          <w:rFonts w:hint="eastAsia" w:ascii="Times New Roman" w:hAnsi="Times New Roman" w:eastAsia="仿宋_GB2312" w:cs="Arial"/>
          <w:sz w:val="28"/>
          <w:szCs w:val="32"/>
        </w:rPr>
        <w:t>从物理形态上来看，《国库集中支付电子凭证标准》是一个电子文件包，文件结构如图2所示：</w:t>
      </w:r>
    </w:p>
    <w:p>
      <w:pPr>
        <w:tabs>
          <w:tab w:val="left" w:pos="710"/>
        </w:tabs>
        <w:ind w:leftChars="-257" w:hanging="565" w:hangingChars="257"/>
        <w:jc w:val="center"/>
      </w:pPr>
      <w:r>
        <w:drawing>
          <wp:inline distT="0" distB="0" distL="114300" distR="114300">
            <wp:extent cx="5269865" cy="3521710"/>
            <wp:effectExtent l="0" t="0" r="3175" b="13970"/>
            <wp:docPr id="5" name="图片 4" descr="《国库集中支付电子凭证标准》的物理文件结构"/>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4" descr="《国库集中支付电子凭证标准》的物理文件结构"/>
                    <pic:cNvPicPr>
                      <a:picLocks noChangeAspect="true"/>
                    </pic:cNvPicPr>
                  </pic:nvPicPr>
                  <pic:blipFill>
                    <a:blip r:embed="rId8"/>
                    <a:stretch>
                      <a:fillRect/>
                    </a:stretch>
                  </pic:blipFill>
                  <pic:spPr>
                    <a:xfrm>
                      <a:off x="0" y="0"/>
                      <a:ext cx="5269865" cy="3521710"/>
                    </a:xfrm>
                    <a:prstGeom prst="rect">
                      <a:avLst/>
                    </a:prstGeom>
                    <a:noFill/>
                    <a:ln>
                      <a:noFill/>
                    </a:ln>
                  </pic:spPr>
                </pic:pic>
              </a:graphicData>
            </a:graphic>
          </wp:inline>
        </w:drawing>
      </w:r>
    </w:p>
    <w:p>
      <w:pPr>
        <w:pStyle w:val="22"/>
        <w:numPr>
          <w:ilvl w:val="0"/>
          <w:numId w:val="5"/>
        </w:numPr>
        <w:tabs>
          <w:tab w:val="left" w:pos="710"/>
        </w:tabs>
        <w:ind w:firstLineChars="0"/>
        <w:jc w:val="center"/>
        <w:rPr>
          <w:rFonts w:ascii="Times New Roman" w:hAnsi="Times New Roman" w:eastAsia="仿宋_GB2312" w:cs="Arial"/>
          <w:sz w:val="28"/>
          <w:szCs w:val="32"/>
        </w:rPr>
      </w:pPr>
      <w:r>
        <w:rPr>
          <w:rFonts w:hint="eastAsia" w:ascii="Times New Roman" w:hAnsi="Times New Roman" w:eastAsia="仿宋_GB2312" w:cs="Times New Roman"/>
          <w:b/>
          <w:sz w:val="24"/>
          <w:szCs w:val="24"/>
        </w:rPr>
        <w:t>《国库集中支付电子凭证标准》的物理文件结构</w:t>
      </w:r>
    </w:p>
    <w:p>
      <w:pPr>
        <w:pStyle w:val="30"/>
        <w:wordWrap/>
        <w:spacing w:line="560" w:lineRule="exact"/>
        <w:ind w:firstLine="562"/>
      </w:pPr>
      <w:r>
        <w:rPr>
          <w:rFonts w:cs="Times New Roman"/>
        </w:rPr>
        <w:t>1</w:t>
      </w:r>
      <w:r>
        <w:rPr>
          <w:rFonts w:hint="eastAsia" w:cs="Times New Roman"/>
        </w:rPr>
        <w:t>．</w:t>
      </w:r>
      <w:r>
        <w:rPr>
          <w:rFonts w:hint="eastAsia"/>
        </w:rPr>
        <w:t>物理结构的组织方式</w:t>
      </w:r>
    </w:p>
    <w:p>
      <w:pPr>
        <w:spacing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本版分类标准以国库集中支付电子凭证为基础组织文件结构，图</w:t>
      </w:r>
      <w:r>
        <w:rPr>
          <w:rFonts w:ascii="Times New Roman" w:hAnsi="Times New Roman" w:eastAsia="仿宋_GB2312" w:cs="Arial"/>
          <w:sz w:val="28"/>
          <w:szCs w:val="32"/>
        </w:rPr>
        <w:t>3</w:t>
      </w:r>
      <w:r>
        <w:rPr>
          <w:rFonts w:hint="eastAsia" w:ascii="Times New Roman" w:hAnsi="Times New Roman" w:eastAsia="仿宋_GB2312" w:cs="Arial"/>
          <w:sz w:val="28"/>
          <w:szCs w:val="32"/>
        </w:rPr>
        <w:t>显示了《国库集中支付电子凭证标准》文件夹及相关内容。</w:t>
      </w:r>
    </w:p>
    <w:p>
      <w:pPr>
        <w:spacing w:after="0" w:line="360" w:lineRule="auto"/>
        <w:jc w:val="center"/>
        <w:rPr>
          <w:rFonts w:hint="eastAsia" w:ascii="Times New Roman" w:hAnsi="Times New Roman" w:eastAsia="仿宋_GB2312" w:cs="Arial"/>
          <w:sz w:val="28"/>
          <w:szCs w:val="32"/>
          <w:lang w:eastAsia="zh-CN"/>
        </w:rPr>
      </w:pPr>
      <w:r>
        <w:rPr>
          <w:rFonts w:hint="eastAsia" w:ascii="Times New Roman" w:hAnsi="Times New Roman" w:eastAsia="仿宋_GB2312" w:cs="Arial"/>
          <w:sz w:val="28"/>
          <w:szCs w:val="32"/>
          <w:lang w:eastAsia="zh-CN"/>
        </w:rPr>
        <w:drawing>
          <wp:inline distT="0" distB="0" distL="114300" distR="114300">
            <wp:extent cx="5271770" cy="1064895"/>
            <wp:effectExtent l="0" t="0" r="1270" b="1905"/>
            <wp:docPr id="6" name="图片 5" descr="访问路径截图2024082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5" descr="访问路径截图20240821"/>
                    <pic:cNvPicPr>
                      <a:picLocks noChangeAspect="true"/>
                    </pic:cNvPicPr>
                  </pic:nvPicPr>
                  <pic:blipFill>
                    <a:blip r:embed="rId9"/>
                    <a:stretch>
                      <a:fillRect/>
                    </a:stretch>
                  </pic:blipFill>
                  <pic:spPr>
                    <a:xfrm>
                      <a:off x="0" y="0"/>
                      <a:ext cx="5271770" cy="1064895"/>
                    </a:xfrm>
                    <a:prstGeom prst="rect">
                      <a:avLst/>
                    </a:prstGeom>
                    <a:noFill/>
                    <a:ln>
                      <a:noFill/>
                    </a:ln>
                  </pic:spPr>
                </pic:pic>
              </a:graphicData>
            </a:graphic>
          </wp:inline>
        </w:drawing>
      </w:r>
    </w:p>
    <w:p>
      <w:pPr>
        <w:pStyle w:val="22"/>
        <w:numPr>
          <w:ilvl w:val="0"/>
          <w:numId w:val="5"/>
        </w:numPr>
        <w:tabs>
          <w:tab w:val="left" w:pos="710"/>
        </w:tabs>
        <w:ind w:firstLineChars="0"/>
        <w:jc w:val="center"/>
        <w:rPr>
          <w:rFonts w:ascii="仿宋_GB2312" w:eastAsia="仿宋_GB2312"/>
          <w:b/>
          <w:sz w:val="24"/>
          <w:szCs w:val="24"/>
        </w:rPr>
      </w:pPr>
      <w:r>
        <w:rPr>
          <w:rFonts w:hint="eastAsia" w:ascii="仿宋_GB2312" w:eastAsia="仿宋_GB2312"/>
          <w:b/>
          <w:sz w:val="24"/>
          <w:szCs w:val="24"/>
        </w:rPr>
        <w:t>《国库集中支付电子凭证标准》文件夹及其内容</w:t>
      </w:r>
    </w:p>
    <w:p>
      <w:pPr>
        <w:pStyle w:val="30"/>
        <w:wordWrap/>
        <w:spacing w:line="560" w:lineRule="exact"/>
        <w:ind w:firstLine="562"/>
      </w:pPr>
      <w:r>
        <w:rPr>
          <w:rFonts w:hint="eastAsia"/>
        </w:rPr>
        <w:t>2．文件夹和文件结构说明</w:t>
      </w:r>
    </w:p>
    <w:p>
      <w:pPr>
        <w:pStyle w:val="26"/>
        <w:widowControl w:val="0"/>
        <w:wordWrap/>
        <w:spacing w:after="0" w:line="560" w:lineRule="exact"/>
      </w:pPr>
      <w:r>
        <w:rPr>
          <w:rFonts w:hint="eastAsia"/>
        </w:rPr>
        <w:t>《国库集中支付电子凭证标准》文件夹和文件结构及其内容的具体说明如下：</w:t>
      </w:r>
    </w:p>
    <w:p>
      <w:pPr>
        <w:pStyle w:val="35"/>
        <w:widowControl w:val="0"/>
        <w:wordWrap/>
        <w:spacing w:after="0" w:line="560" w:lineRule="exact"/>
      </w:pPr>
      <w:r>
        <w:rPr>
          <w:rFonts w:hint="eastAsia"/>
        </w:rPr>
        <w:t>（1）根目录</w:t>
      </w:r>
      <w:r>
        <w:t>是</w:t>
      </w:r>
      <w:r>
        <w:rPr>
          <w:rFonts w:hint="eastAsia"/>
        </w:rPr>
        <w:t>《国库集中支付电子凭证标准》</w:t>
      </w:r>
      <w:r>
        <w:t>文件的根文件夹，以</w:t>
      </w:r>
      <w:r>
        <w:rPr>
          <w:rFonts w:hint="eastAsia"/>
        </w:rPr>
        <w:t>《</w:t>
      </w:r>
      <w:r>
        <w:rPr>
          <w:rFonts w:hint="eastAsia"/>
          <w:lang w:eastAsia="zh-CN"/>
        </w:rPr>
        <w:t>国库集中支付电子凭证标准</w:t>
      </w:r>
      <w:r>
        <w:rPr>
          <w:rFonts w:hint="eastAsia"/>
        </w:rPr>
        <w:t>》版本日期命名。</w:t>
      </w:r>
      <w:r>
        <w:t>本版</w:t>
      </w:r>
      <w:r>
        <w:rPr>
          <w:rFonts w:hint="eastAsia"/>
        </w:rPr>
        <w:t>分类标准的版本</w:t>
      </w:r>
      <w:r>
        <w:t>日期为202</w:t>
      </w:r>
      <w:r>
        <w:rPr>
          <w:rFonts w:hint="eastAsia"/>
          <w:lang w:val="en-US" w:eastAsia="zh-CN"/>
        </w:rPr>
        <w:t>4</w:t>
      </w:r>
      <w:r>
        <w:rPr>
          <w:rFonts w:hint="eastAsia"/>
        </w:rPr>
        <w:t>年</w:t>
      </w:r>
      <w:r>
        <w:rPr>
          <w:rFonts w:hint="eastAsia"/>
          <w:lang w:val="en-US" w:eastAsia="zh-CN"/>
        </w:rPr>
        <w:t>05</w:t>
      </w:r>
      <w:r>
        <w:rPr>
          <w:rFonts w:hint="eastAsia"/>
        </w:rPr>
        <w:t>月</w:t>
      </w:r>
      <w:r>
        <w:t>3</w:t>
      </w:r>
      <w:r>
        <w:rPr>
          <w:rFonts w:hint="eastAsia"/>
          <w:lang w:val="en-US" w:eastAsia="zh-CN"/>
        </w:rPr>
        <w:t>0</w:t>
      </w:r>
      <w:r>
        <w:rPr>
          <w:rFonts w:hint="eastAsia"/>
        </w:rPr>
        <w:t>日</w:t>
      </w:r>
      <w:r>
        <w:t>。</w:t>
      </w:r>
    </w:p>
    <w:p>
      <w:pPr>
        <w:pStyle w:val="35"/>
        <w:wordWrap/>
        <w:spacing w:after="0" w:line="560" w:lineRule="exact"/>
      </w:pPr>
      <w:bookmarkStart w:id="2" w:name="OLE_LINK12"/>
      <w:bookmarkStart w:id="3" w:name="OLE_LINK11"/>
      <w:r>
        <w:rPr>
          <w:rFonts w:hint="eastAsia"/>
        </w:rPr>
        <w:t>（</w:t>
      </w:r>
      <w:r>
        <w:t>2</w:t>
      </w:r>
      <w:r>
        <w:rPr>
          <w:rFonts w:hint="eastAsia"/>
        </w:rPr>
        <w:t>）</w:t>
      </w:r>
      <w:r>
        <w:rPr>
          <w:rFonts w:hint="eastAsia"/>
          <w:lang w:eastAsia="zh-CN"/>
        </w:rPr>
        <w:t>ctp_</w:t>
      </w:r>
      <w:r>
        <w:t>cor</w:t>
      </w:r>
      <w:r>
        <w:rPr>
          <w:rFonts w:hint="eastAsia"/>
        </w:rPr>
        <w:t>-yyyymmdd.xsd</w:t>
      </w:r>
      <w:bookmarkEnd w:id="2"/>
      <w:bookmarkEnd w:id="3"/>
      <w:r>
        <w:rPr>
          <w:rFonts w:hint="eastAsia"/>
        </w:rPr>
        <w:t>、</w:t>
      </w:r>
      <w:r>
        <w:rPr>
          <w:rFonts w:hint="eastAsia"/>
          <w:lang w:eastAsia="zh-CN"/>
        </w:rPr>
        <w:t>ctp</w:t>
      </w:r>
      <w:r>
        <w:rPr>
          <w:rFonts w:hint="eastAsia"/>
        </w:rPr>
        <w:t>-yyyymmdd</w:t>
      </w:r>
      <w:r>
        <w:t>_rol</w:t>
      </w:r>
      <w:r>
        <w:rPr>
          <w:rFonts w:hint="eastAsia"/>
        </w:rPr>
        <w:t>.xsd是《国库集中支付电子凭证标准》的模式文件，元素及扩展链接角色分别存放在这两个文件中。</w:t>
      </w:r>
    </w:p>
    <w:p>
      <w:pPr>
        <w:pStyle w:val="35"/>
        <w:wordWrap/>
        <w:spacing w:after="0" w:line="560" w:lineRule="exact"/>
      </w:pPr>
      <w:r>
        <w:rPr>
          <w:rFonts w:hint="eastAsia"/>
        </w:rPr>
        <w:t>（</w:t>
      </w:r>
      <w:r>
        <w:t>3</w:t>
      </w:r>
      <w:r>
        <w:rPr>
          <w:rFonts w:hint="eastAsia"/>
        </w:rPr>
        <w:t>）</w:t>
      </w:r>
      <w:r>
        <w:rPr>
          <w:rFonts w:hint="eastAsia"/>
          <w:lang w:eastAsia="zh-CN"/>
        </w:rPr>
        <w:t>ctp</w:t>
      </w:r>
      <w:r>
        <w:rPr>
          <w:rFonts w:hint="eastAsia"/>
        </w:rPr>
        <w:t>-yyyymmdd_pre.xml是《</w:t>
      </w:r>
      <w:r>
        <w:rPr>
          <w:rFonts w:hint="eastAsia"/>
          <w:lang w:eastAsia="zh-CN"/>
        </w:rPr>
        <w:t>国库集中支付电子凭证标准</w:t>
      </w:r>
      <w:r>
        <w:rPr>
          <w:rFonts w:hint="eastAsia"/>
        </w:rPr>
        <w:t>》的列报链接库文件。</w:t>
      </w:r>
    </w:p>
    <w:p>
      <w:pPr>
        <w:pStyle w:val="35"/>
        <w:wordWrap/>
        <w:spacing w:after="0" w:line="560" w:lineRule="exact"/>
      </w:pPr>
      <w:r>
        <w:rPr>
          <w:rFonts w:hint="eastAsia"/>
        </w:rPr>
        <w:t>（</w:t>
      </w:r>
      <w:r>
        <w:t>4</w:t>
      </w:r>
      <w:r>
        <w:rPr>
          <w:rFonts w:hint="eastAsia"/>
        </w:rPr>
        <w:t>）</w:t>
      </w:r>
      <w:r>
        <w:rPr>
          <w:rFonts w:hint="eastAsia"/>
          <w:lang w:eastAsia="zh-CN"/>
        </w:rPr>
        <w:t>ctp</w:t>
      </w:r>
      <w:r>
        <w:rPr>
          <w:rFonts w:hint="eastAsia"/>
        </w:rPr>
        <w:t>-</w:t>
      </w:r>
      <w:r>
        <w:t>yyyymmdd_gla-{</w:t>
      </w:r>
      <w:r>
        <w:rPr>
          <w:rFonts w:hint="eastAsia"/>
        </w:rPr>
        <w:t>cn</w:t>
      </w:r>
      <w:r>
        <w:t>|en}.xml</w:t>
      </w:r>
      <w:r>
        <w:rPr>
          <w:rFonts w:hint="eastAsia"/>
        </w:rPr>
        <w:t>是定义扩展链接角色中英文标签的链接库文件。</w:t>
      </w:r>
    </w:p>
    <w:p>
      <w:pPr>
        <w:pStyle w:val="35"/>
        <w:wordWrap/>
        <w:spacing w:after="0" w:line="560" w:lineRule="exact"/>
      </w:pPr>
      <w:r>
        <w:rPr>
          <w:rFonts w:hint="eastAsia"/>
        </w:rPr>
        <w:t>（</w:t>
      </w:r>
      <w:r>
        <w:t>5</w:t>
      </w:r>
      <w:r>
        <w:rPr>
          <w:rFonts w:hint="eastAsia"/>
        </w:rPr>
        <w:t>）</w:t>
      </w:r>
      <w:r>
        <w:rPr>
          <w:rFonts w:hint="eastAsia"/>
          <w:lang w:eastAsia="zh-CN"/>
        </w:rPr>
        <w:t>ctp</w:t>
      </w:r>
      <w:r>
        <w:rPr>
          <w:rFonts w:hint="eastAsia"/>
        </w:rPr>
        <w:t>-</w:t>
      </w:r>
      <w:r>
        <w:t>yyyymmdd_lab-{</w:t>
      </w:r>
      <w:r>
        <w:rPr>
          <w:rFonts w:hint="eastAsia"/>
        </w:rPr>
        <w:t>cn</w:t>
      </w:r>
      <w:r>
        <w:t>|en}.xml</w:t>
      </w:r>
      <w:r>
        <w:rPr>
          <w:rFonts w:hint="eastAsia"/>
        </w:rPr>
        <w:t>是定义元素中英文标签的链接库文件。</w:t>
      </w:r>
    </w:p>
    <w:p>
      <w:pPr>
        <w:pStyle w:val="30"/>
        <w:wordWrap/>
        <w:spacing w:line="560" w:lineRule="exact"/>
        <w:ind w:firstLine="562"/>
      </w:pPr>
      <w:r>
        <w:rPr>
          <w:rFonts w:cs="Times New Roman"/>
        </w:rPr>
        <w:t>3</w:t>
      </w:r>
      <w:r>
        <w:rPr>
          <w:rFonts w:hint="eastAsia" w:cs="Times New Roman"/>
        </w:rPr>
        <w:t>．绝对路径和</w:t>
      </w:r>
      <w:r>
        <w:rPr>
          <w:rFonts w:hint="eastAsia"/>
        </w:rPr>
        <w:t>相对路径</w:t>
      </w:r>
    </w:p>
    <w:p>
      <w:pPr>
        <w:pStyle w:val="26"/>
        <w:wordWrap/>
        <w:spacing w:after="0" w:line="560" w:lineRule="exact"/>
      </w:pPr>
      <w:r>
        <w:rPr>
          <w:rFonts w:hint="eastAsia"/>
        </w:rPr>
        <w:t>为便于使用者定位《</w:t>
      </w:r>
      <w:r>
        <w:rPr>
          <w:rFonts w:hint="eastAsia"/>
          <w:lang w:eastAsia="zh-CN"/>
        </w:rPr>
        <w:t>国库集中支付电子凭证标准</w:t>
      </w:r>
      <w:r>
        <w:rPr>
          <w:rFonts w:hint="eastAsia"/>
        </w:rPr>
        <w:t>》中的模式文件和链接库等文件，本版分类标准采用了绝对路径和相对路径两种定位方式。《</w:t>
      </w:r>
      <w:r>
        <w:rPr>
          <w:rFonts w:hint="eastAsia"/>
          <w:lang w:eastAsia="zh-CN"/>
        </w:rPr>
        <w:t>国库集中支付电子凭证标准</w:t>
      </w:r>
      <w:r>
        <w:rPr>
          <w:rFonts w:hint="eastAsia"/>
        </w:rPr>
        <w:t>》对XBRL标准数据类型的引用，采用绝对路径引用的方式，直接指向国际XBRL技术规范和分类标准；《</w:t>
      </w:r>
      <w:r>
        <w:rPr>
          <w:rFonts w:hint="eastAsia"/>
          <w:lang w:eastAsia="zh-CN"/>
        </w:rPr>
        <w:t>国库集中支付电子凭证标准</w:t>
      </w:r>
      <w:r>
        <w:rPr>
          <w:rFonts w:hint="eastAsia"/>
        </w:rPr>
        <w:t>》内部各部分之间的引用，采用较为便捷的相对路径的方式，无须过多考虑文件的存储位置。</w:t>
      </w:r>
    </w:p>
    <w:p>
      <w:pPr>
        <w:pStyle w:val="26"/>
        <w:spacing w:after="0" w:line="560" w:lineRule="exact"/>
      </w:pPr>
      <w:r>
        <w:rPr>
          <w:rFonts w:hint="eastAsia"/>
        </w:rPr>
        <w:t>绝对路径的形式即为定义XBRL标准数据类型的地址。例如，要定位数字型数据分类标准模式文件时，其路径为：</w:t>
      </w:r>
    </w:p>
    <w:p>
      <w:pPr>
        <w:pStyle w:val="26"/>
        <w:spacing w:after="0" w:line="560" w:lineRule="exact"/>
      </w:pPr>
      <w:r>
        <w:t>http://www.xbrl.org/dtr/type/numeric-2009-12-16.xsd</w:t>
      </w:r>
    </w:p>
    <w:p>
      <w:pPr>
        <w:pStyle w:val="26"/>
        <w:wordWrap/>
        <w:spacing w:after="0" w:line="560" w:lineRule="exact"/>
      </w:pPr>
      <w:r>
        <w:rPr>
          <w:rStyle w:val="38"/>
        </w:rPr>
        <w:t>相对路径根目录为入口</w:t>
      </w:r>
      <w:r>
        <w:rPr>
          <w:rStyle w:val="38"/>
          <w:rFonts w:hint="eastAsia"/>
        </w:rPr>
        <w:t>点</w:t>
      </w:r>
      <w:r>
        <w:rPr>
          <w:rStyle w:val="38"/>
        </w:rPr>
        <w:t>模式文件所在目录</w:t>
      </w:r>
      <w:r>
        <w:rPr>
          <w:rFonts w:hint="eastAsia"/>
        </w:rPr>
        <w:t>，表</w:t>
      </w:r>
      <w:r>
        <w:t>4</w:t>
      </w:r>
      <w:r>
        <w:rPr>
          <w:rFonts w:hint="eastAsia"/>
        </w:rPr>
        <w:t>列举了部分《</w:t>
      </w:r>
      <w:r>
        <w:rPr>
          <w:rFonts w:hint="eastAsia"/>
          <w:lang w:eastAsia="zh-CN"/>
        </w:rPr>
        <w:t>国库集中支付电子凭证标准</w:t>
      </w:r>
      <w:r>
        <w:rPr>
          <w:rFonts w:hint="eastAsia"/>
        </w:rPr>
        <w:t>》文件的相对路径：</w:t>
      </w:r>
    </w:p>
    <w:p>
      <w:pPr>
        <w:pStyle w:val="26"/>
        <w:numPr>
          <w:ilvl w:val="0"/>
          <w:numId w:val="4"/>
        </w:numPr>
        <w:wordWrap/>
        <w:spacing w:after="0" w:line="560" w:lineRule="exact"/>
        <w:ind w:firstLineChars="0"/>
        <w:jc w:val="center"/>
        <w:rPr>
          <w:b/>
          <w:sz w:val="24"/>
          <w:szCs w:val="24"/>
        </w:rPr>
      </w:pPr>
      <w:r>
        <w:rPr>
          <w:rFonts w:hint="eastAsia"/>
          <w:b/>
          <w:sz w:val="24"/>
          <w:szCs w:val="24"/>
        </w:rPr>
        <w:t>《</w:t>
      </w:r>
      <w:r>
        <w:rPr>
          <w:rFonts w:hint="eastAsia"/>
          <w:b/>
          <w:sz w:val="24"/>
          <w:szCs w:val="24"/>
          <w:lang w:eastAsia="zh-CN"/>
        </w:rPr>
        <w:t>国库集中支付电子凭证标准</w:t>
      </w:r>
      <w:r>
        <w:rPr>
          <w:rFonts w:hint="eastAsia"/>
          <w:b/>
          <w:sz w:val="24"/>
          <w:szCs w:val="24"/>
        </w:rPr>
        <w:t>》文件的相对路径举例</w:t>
      </w:r>
    </w:p>
    <w:tbl>
      <w:tblPr>
        <w:tblStyle w:val="14"/>
        <w:tblW w:w="876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409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tblHeader/>
          <w:jc w:val="center"/>
        </w:trPr>
        <w:tc>
          <w:tcPr>
            <w:tcW w:w="4678" w:type="dxa"/>
            <w:shd w:val="clear" w:color="auto" w:fill="auto"/>
            <w:vAlign w:val="center"/>
          </w:tcPr>
          <w:p>
            <w:pPr>
              <w:pStyle w:val="24"/>
              <w:spacing w:before="312" w:beforeLines="100" w:after="120" w:afterLines="0" w:line="240" w:lineRule="auto"/>
              <w:ind w:firstLine="0" w:firstLineChars="0"/>
              <w:jc w:val="center"/>
              <w:rPr>
                <w:b/>
                <w:sz w:val="24"/>
                <w:szCs w:val="24"/>
              </w:rPr>
            </w:pPr>
            <w:r>
              <w:rPr>
                <w:rFonts w:hint="eastAsia"/>
                <w:b/>
                <w:sz w:val="24"/>
                <w:szCs w:val="24"/>
              </w:rPr>
              <w:t>文件名</w:t>
            </w:r>
          </w:p>
        </w:tc>
        <w:tc>
          <w:tcPr>
            <w:tcW w:w="4091" w:type="dxa"/>
            <w:shd w:val="clear" w:color="auto" w:fill="auto"/>
            <w:vAlign w:val="center"/>
          </w:tcPr>
          <w:p>
            <w:pPr>
              <w:pStyle w:val="24"/>
              <w:spacing w:before="312" w:beforeLines="100" w:after="120" w:afterLines="0" w:line="240" w:lineRule="auto"/>
              <w:ind w:firstLine="0" w:firstLineChars="0"/>
              <w:jc w:val="center"/>
              <w:rPr>
                <w:b/>
                <w:sz w:val="24"/>
                <w:szCs w:val="24"/>
              </w:rPr>
            </w:pPr>
            <w:r>
              <w:rPr>
                <w:rFonts w:hint="eastAsia"/>
                <w:b/>
                <w:sz w:val="24"/>
                <w:szCs w:val="24"/>
              </w:rPr>
              <w:t>文件的相对路径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4678" w:type="dxa"/>
            <w:shd w:val="clear" w:color="auto" w:fill="auto"/>
            <w:vAlign w:val="center"/>
          </w:tcPr>
          <w:p>
            <w:pPr>
              <w:pStyle w:val="24"/>
              <w:spacing w:after="0" w:afterLines="0" w:line="240" w:lineRule="auto"/>
              <w:ind w:firstLine="0" w:firstLineChars="0"/>
              <w:jc w:val="both"/>
              <w:rPr>
                <w:sz w:val="24"/>
                <w:szCs w:val="24"/>
              </w:rPr>
            </w:pPr>
            <w:r>
              <w:rPr>
                <w:rFonts w:hint="eastAsia"/>
                <w:sz w:val="24"/>
                <w:szCs w:val="24"/>
              </w:rPr>
              <w:t>模式文件：</w:t>
            </w:r>
          </w:p>
          <w:p>
            <w:pPr>
              <w:pStyle w:val="24"/>
              <w:spacing w:after="0" w:afterLines="0" w:line="240" w:lineRule="auto"/>
              <w:ind w:firstLine="0" w:firstLineChars="0"/>
              <w:jc w:val="both"/>
              <w:rPr>
                <w:sz w:val="24"/>
                <w:szCs w:val="24"/>
              </w:rPr>
            </w:pPr>
            <w:r>
              <w:rPr>
                <w:rFonts w:hint="eastAsia"/>
                <w:sz w:val="24"/>
                <w:szCs w:val="24"/>
                <w:lang w:eastAsia="zh-CN"/>
              </w:rPr>
              <w:t>ctp_</w:t>
            </w:r>
            <w:r>
              <w:rPr>
                <w:sz w:val="24"/>
                <w:szCs w:val="24"/>
              </w:rPr>
              <w:t>cor-</w:t>
            </w:r>
            <w:r>
              <w:rPr>
                <w:rFonts w:hint="eastAsia"/>
                <w:sz w:val="24"/>
                <w:szCs w:val="24"/>
                <w:lang w:eastAsia="zh-CN"/>
              </w:rPr>
              <w:t>20240530</w:t>
            </w:r>
            <w:r>
              <w:rPr>
                <w:sz w:val="24"/>
                <w:szCs w:val="24"/>
              </w:rPr>
              <w:t>.xsd</w:t>
            </w:r>
          </w:p>
        </w:tc>
        <w:tc>
          <w:tcPr>
            <w:tcW w:w="4091" w:type="dxa"/>
            <w:shd w:val="clear" w:color="auto" w:fill="auto"/>
            <w:vAlign w:val="center"/>
          </w:tcPr>
          <w:p>
            <w:pPr>
              <w:pStyle w:val="24"/>
              <w:spacing w:after="0" w:afterLines="0" w:line="240" w:lineRule="auto"/>
              <w:ind w:firstLine="0" w:firstLineChars="0"/>
              <w:jc w:val="both"/>
              <w:rPr>
                <w:sz w:val="24"/>
                <w:szCs w:val="24"/>
              </w:rPr>
            </w:pPr>
            <w:r>
              <w:rPr>
                <w:rFonts w:hint="eastAsia"/>
                <w:sz w:val="24"/>
                <w:szCs w:val="24"/>
                <w:lang w:eastAsia="zh-CN"/>
              </w:rPr>
              <w:t>ctp</w:t>
            </w:r>
            <w:r>
              <w:rPr>
                <w:sz w:val="24"/>
                <w:szCs w:val="24"/>
              </w:rPr>
              <w:t>/</w:t>
            </w:r>
            <w:r>
              <w:rPr>
                <w:rFonts w:hint="eastAsia"/>
                <w:sz w:val="24"/>
                <w:szCs w:val="24"/>
                <w:lang w:eastAsia="zh-CN"/>
              </w:rPr>
              <w:t>ctp_</w:t>
            </w:r>
            <w:r>
              <w:rPr>
                <w:sz w:val="24"/>
                <w:szCs w:val="24"/>
              </w:rPr>
              <w:t>cor-</w:t>
            </w:r>
            <w:r>
              <w:rPr>
                <w:rFonts w:hint="eastAsia"/>
                <w:sz w:val="24"/>
                <w:szCs w:val="24"/>
                <w:lang w:eastAsia="zh-CN"/>
              </w:rPr>
              <w:t>20240530</w:t>
            </w:r>
            <w:r>
              <w:rPr>
                <w:sz w:val="24"/>
                <w:szCs w:val="24"/>
              </w:rPr>
              <w:t>.xsd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4678" w:type="dxa"/>
            <w:shd w:val="clear" w:color="auto" w:fill="auto"/>
            <w:vAlign w:val="center"/>
          </w:tcPr>
          <w:p>
            <w:pPr>
              <w:pStyle w:val="24"/>
              <w:spacing w:after="0" w:afterLines="0" w:line="240" w:lineRule="auto"/>
              <w:ind w:firstLine="0" w:firstLineChars="0"/>
              <w:jc w:val="both"/>
              <w:rPr>
                <w:sz w:val="24"/>
                <w:szCs w:val="24"/>
              </w:rPr>
            </w:pPr>
            <w:r>
              <w:rPr>
                <w:rFonts w:hint="eastAsia"/>
                <w:sz w:val="24"/>
                <w:szCs w:val="24"/>
              </w:rPr>
              <w:t>列报链接库文件：</w:t>
            </w:r>
          </w:p>
          <w:p>
            <w:pPr>
              <w:pStyle w:val="24"/>
              <w:spacing w:after="0" w:afterLines="0" w:line="240" w:lineRule="auto"/>
              <w:ind w:firstLine="0" w:firstLineChars="0"/>
              <w:jc w:val="both"/>
              <w:rPr>
                <w:sz w:val="24"/>
                <w:szCs w:val="24"/>
              </w:rPr>
            </w:pPr>
            <w:r>
              <w:rPr>
                <w:rFonts w:hint="eastAsia"/>
                <w:sz w:val="24"/>
                <w:szCs w:val="24"/>
                <w:lang w:eastAsia="zh-CN"/>
              </w:rPr>
              <w:t>ctp</w:t>
            </w:r>
            <w:r>
              <w:rPr>
                <w:sz w:val="24"/>
                <w:szCs w:val="24"/>
              </w:rPr>
              <w:t>-</w:t>
            </w:r>
            <w:r>
              <w:rPr>
                <w:rFonts w:hint="eastAsia"/>
                <w:sz w:val="24"/>
                <w:szCs w:val="24"/>
                <w:lang w:eastAsia="zh-CN"/>
              </w:rPr>
              <w:t>20240530</w:t>
            </w:r>
            <w:r>
              <w:rPr>
                <w:sz w:val="24"/>
                <w:szCs w:val="24"/>
              </w:rPr>
              <w:t>_pre.xml</w:t>
            </w:r>
          </w:p>
        </w:tc>
        <w:tc>
          <w:tcPr>
            <w:tcW w:w="4091" w:type="dxa"/>
            <w:shd w:val="clear" w:color="auto" w:fill="auto"/>
            <w:vAlign w:val="center"/>
          </w:tcPr>
          <w:p>
            <w:pPr>
              <w:pStyle w:val="24"/>
              <w:spacing w:after="0" w:afterLines="0" w:line="240" w:lineRule="auto"/>
              <w:ind w:firstLine="0" w:firstLineChars="0"/>
              <w:jc w:val="both"/>
              <w:rPr>
                <w:sz w:val="24"/>
                <w:szCs w:val="24"/>
              </w:rPr>
            </w:pPr>
            <w:r>
              <w:rPr>
                <w:rFonts w:hint="eastAsia"/>
                <w:sz w:val="24"/>
                <w:szCs w:val="24"/>
                <w:lang w:eastAsia="zh-CN"/>
              </w:rPr>
              <w:t>ctp</w:t>
            </w:r>
            <w:r>
              <w:rPr>
                <w:sz w:val="24"/>
                <w:szCs w:val="24"/>
              </w:rPr>
              <w:t>/linkbase/</w:t>
            </w:r>
            <w:r>
              <w:rPr>
                <w:rFonts w:hint="eastAsia"/>
                <w:sz w:val="24"/>
                <w:szCs w:val="24"/>
                <w:lang w:eastAsia="zh-CN"/>
              </w:rPr>
              <w:t>ctp-20240530</w:t>
            </w:r>
            <w:r>
              <w:rPr>
                <w:sz w:val="24"/>
                <w:szCs w:val="24"/>
              </w:rPr>
              <w:t>_pre.xml</w:t>
            </w:r>
          </w:p>
        </w:tc>
      </w:tr>
    </w:tbl>
    <w:p>
      <w:pPr>
        <w:pStyle w:val="30"/>
        <w:wordWrap/>
        <w:spacing w:line="560" w:lineRule="exact"/>
        <w:ind w:firstLine="562"/>
        <w:rPr>
          <w:rFonts w:cs="Times New Roman"/>
        </w:rPr>
      </w:pPr>
      <w:r>
        <w:rPr>
          <w:rFonts w:hint="eastAsia" w:cs="Times New Roman"/>
        </w:rPr>
        <w:t>4．命名空间</w:t>
      </w:r>
    </w:p>
    <w:p>
      <w:pPr>
        <w:pStyle w:val="26"/>
        <w:wordWrap/>
        <w:spacing w:after="0" w:line="560" w:lineRule="exact"/>
      </w:pPr>
      <w:r>
        <w:rPr>
          <w:rFonts w:hint="eastAsia"/>
        </w:rPr>
        <w:t>为便于使用者辨认特定版本分类标准所定义的元素、类型和关系，《</w:t>
      </w:r>
      <w:r>
        <w:rPr>
          <w:rFonts w:hint="eastAsia"/>
          <w:lang w:eastAsia="zh-CN"/>
        </w:rPr>
        <w:t>国库集中支付电子凭证标准</w:t>
      </w:r>
      <w:r>
        <w:rPr>
          <w:rFonts w:hint="eastAsia"/>
        </w:rPr>
        <w:t>》中包含了命名空间。本版分类标准的命名空间即“</w:t>
      </w:r>
      <w:r>
        <w:t>http://xbrl.mof.gov.cn/taxonomy/202</w:t>
      </w:r>
      <w:r>
        <w:rPr>
          <w:rFonts w:hint="eastAsia"/>
          <w:lang w:val="en-US" w:eastAsia="zh-CN"/>
        </w:rPr>
        <w:t>4</w:t>
      </w:r>
      <w:r>
        <w:t>-</w:t>
      </w:r>
      <w:r>
        <w:rPr>
          <w:rFonts w:hint="eastAsia"/>
          <w:lang w:val="en-US" w:eastAsia="zh-CN"/>
        </w:rPr>
        <w:t>05</w:t>
      </w:r>
      <w:r>
        <w:t>-3</w:t>
      </w:r>
      <w:r>
        <w:rPr>
          <w:rFonts w:hint="eastAsia"/>
          <w:lang w:val="en-US" w:eastAsia="zh-CN"/>
        </w:rPr>
        <w:t>0</w:t>
      </w:r>
      <w:r>
        <w:t>/</w:t>
      </w:r>
      <w:r>
        <w:rPr>
          <w:rFonts w:hint="eastAsia"/>
          <w:lang w:eastAsia="zh-CN"/>
        </w:rPr>
        <w:t>ctp</w:t>
      </w:r>
      <w:r>
        <w:rPr>
          <w:rFonts w:hint="eastAsia"/>
        </w:rPr>
        <w:t>”，命名空间前缀为</w:t>
      </w:r>
      <w:r>
        <w:rPr>
          <w:rFonts w:hint="eastAsia"/>
          <w:lang w:val="en-US" w:eastAsia="zh-CN"/>
        </w:rPr>
        <w:t>国库集中支付电子凭证</w:t>
      </w:r>
      <w:r>
        <w:rPr>
          <w:rFonts w:hint="eastAsia"/>
        </w:rPr>
        <w:t>（</w:t>
      </w:r>
      <w:r>
        <w:rPr>
          <w:rFonts w:hint="eastAsia"/>
          <w:lang w:val="en-US" w:eastAsia="zh-CN"/>
        </w:rPr>
        <w:t>Centralized Treasury Payment</w:t>
      </w:r>
      <w:r>
        <w:rPr>
          <w:rFonts w:hint="eastAsia"/>
        </w:rPr>
        <w:t>）的缩写，即“</w:t>
      </w:r>
      <w:r>
        <w:rPr>
          <w:rFonts w:hint="eastAsia"/>
          <w:lang w:eastAsia="zh-CN"/>
        </w:rPr>
        <w:t>ctp</w:t>
      </w:r>
      <w:r>
        <w:rPr>
          <w:rFonts w:hint="eastAsia"/>
        </w:rPr>
        <w:t>”。</w:t>
      </w:r>
    </w:p>
    <w:p>
      <w:pPr>
        <w:pStyle w:val="30"/>
        <w:wordWrap/>
        <w:spacing w:before="156" w:beforeLines="50" w:line="560" w:lineRule="exact"/>
        <w:ind w:firstLine="562"/>
      </w:pPr>
      <w:r>
        <w:rPr>
          <w:rFonts w:cs="Times New Roman"/>
        </w:rPr>
        <w:t>5</w:t>
      </w:r>
      <w:r>
        <w:rPr>
          <w:rFonts w:hint="eastAsia" w:cs="Times New Roman"/>
        </w:rPr>
        <w:t>．</w:t>
      </w:r>
      <w:r>
        <w:rPr>
          <w:rFonts w:hint="eastAsia"/>
        </w:rPr>
        <w:t>模式文件</w:t>
      </w:r>
    </w:p>
    <w:p>
      <w:pPr>
        <w:pStyle w:val="26"/>
        <w:wordWrap/>
        <w:spacing w:after="0" w:line="560" w:lineRule="exact"/>
      </w:pPr>
      <w:r>
        <w:rPr>
          <w:rFonts w:hint="eastAsia"/>
        </w:rPr>
        <w:t>《</w:t>
      </w:r>
      <w:r>
        <w:rPr>
          <w:rFonts w:hint="eastAsia"/>
          <w:lang w:eastAsia="zh-CN"/>
        </w:rPr>
        <w:t>国库集中支付电子凭证标准</w:t>
      </w:r>
      <w:r>
        <w:rPr>
          <w:rFonts w:hint="eastAsia"/>
        </w:rPr>
        <w:t>》使用模式文件定义元素、扩展链接角色等对象，文件后缀为“.xsd”，根据</w:t>
      </w:r>
      <w:r>
        <w:rPr>
          <w:rFonts w:hint="eastAsia"/>
          <w:lang w:eastAsia="zh-CN"/>
        </w:rPr>
        <w:t>国库集中支付电子凭证</w:t>
      </w:r>
      <w:r>
        <w:rPr>
          <w:rFonts w:hint="eastAsia"/>
        </w:rPr>
        <w:t>内容确定的元素及扩展链接角色均存放在该</w:t>
      </w:r>
      <w:r>
        <w:rPr>
          <w:rFonts w:hint="eastAsia"/>
          <w:lang w:eastAsia="zh-CN"/>
        </w:rPr>
        <w:t>类</w:t>
      </w:r>
      <w:r>
        <w:rPr>
          <w:rFonts w:hint="eastAsia"/>
        </w:rPr>
        <w:t>文件中。</w:t>
      </w:r>
    </w:p>
    <w:p>
      <w:pPr>
        <w:pStyle w:val="30"/>
        <w:wordWrap/>
        <w:spacing w:line="560" w:lineRule="exact"/>
        <w:ind w:firstLine="562"/>
      </w:pPr>
      <w:r>
        <w:t>6</w:t>
      </w:r>
      <w:r>
        <w:rPr>
          <w:rFonts w:hint="eastAsia"/>
        </w:rPr>
        <w:t>．链接库</w:t>
      </w:r>
    </w:p>
    <w:p>
      <w:pPr>
        <w:pStyle w:val="26"/>
        <w:wordWrap/>
        <w:spacing w:after="0" w:line="560" w:lineRule="exact"/>
      </w:pPr>
      <w:r>
        <w:rPr>
          <w:rFonts w:hint="eastAsia"/>
        </w:rPr>
        <w:t>链接库是用来定义元素间关系及元素资源间关系的文件。《</w:t>
      </w:r>
      <w:r>
        <w:rPr>
          <w:rFonts w:hint="eastAsia"/>
          <w:lang w:eastAsia="zh-CN"/>
        </w:rPr>
        <w:t>国库集中支付电子凭证标准</w:t>
      </w:r>
      <w:r>
        <w:rPr>
          <w:rFonts w:hint="eastAsia"/>
        </w:rPr>
        <w:t>》使用了</w:t>
      </w:r>
      <w:r>
        <w:t>2</w:t>
      </w:r>
      <w:r>
        <w:rPr>
          <w:rFonts w:hint="eastAsia"/>
        </w:rPr>
        <w:t>种</w:t>
      </w:r>
      <w:bookmarkStart w:id="4" w:name="OLE_LINK52"/>
      <w:bookmarkStart w:id="5" w:name="OLE_LINK51"/>
      <w:r>
        <w:rPr>
          <w:rFonts w:hint="eastAsia"/>
        </w:rPr>
        <w:t>链接库：列报链接库（Presentation linkbase）和标签链接库（Label linkbase）</w:t>
      </w:r>
      <w:bookmarkEnd w:id="4"/>
      <w:bookmarkEnd w:id="5"/>
      <w:r>
        <w:rPr>
          <w:rFonts w:hint="eastAsia"/>
        </w:rPr>
        <w:t>。</w:t>
      </w:r>
    </w:p>
    <w:p>
      <w:pPr>
        <w:pStyle w:val="35"/>
        <w:wordWrap/>
        <w:spacing w:after="0" w:line="560" w:lineRule="exact"/>
      </w:pPr>
      <w:r>
        <w:rPr>
          <w:rFonts w:hint="eastAsia"/>
        </w:rPr>
        <w:t>（1）列报链接库</w:t>
      </w:r>
    </w:p>
    <w:p>
      <w:pPr>
        <w:pStyle w:val="26"/>
        <w:wordWrap/>
        <w:spacing w:after="0" w:line="560" w:lineRule="exact"/>
      </w:pPr>
      <w:r>
        <w:rPr>
          <w:rFonts w:hint="eastAsia"/>
        </w:rPr>
        <w:t>列报链接库用来定义元素与元素在列报上的层级关系和顺序关系。为了确保列报层级的一致性和元素间关系的连续性，《</w:t>
      </w:r>
      <w:r>
        <w:rPr>
          <w:rFonts w:hint="eastAsia"/>
          <w:lang w:eastAsia="zh-CN"/>
        </w:rPr>
        <w:t>国库集中支付电子凭证标准</w:t>
      </w:r>
      <w:r>
        <w:rPr>
          <w:rFonts w:hint="eastAsia"/>
        </w:rPr>
        <w:t>》在列报链接库的每一个扩展链接角色（ELR）中，都设置了一个抽象概念作为父元素。</w:t>
      </w:r>
    </w:p>
    <w:p>
      <w:pPr>
        <w:pStyle w:val="35"/>
        <w:wordWrap/>
        <w:spacing w:after="0" w:line="560" w:lineRule="exact"/>
      </w:pPr>
      <w:r>
        <w:rPr>
          <w:rFonts w:hint="eastAsia"/>
        </w:rPr>
        <w:t>（</w:t>
      </w:r>
      <w:r>
        <w:t>2</w:t>
      </w:r>
      <w:r>
        <w:rPr>
          <w:rFonts w:hint="eastAsia"/>
        </w:rPr>
        <w:t>）标签链接库</w:t>
      </w:r>
    </w:p>
    <w:p>
      <w:pPr>
        <w:pStyle w:val="26"/>
        <w:wordWrap/>
        <w:spacing w:after="0" w:line="560" w:lineRule="exact"/>
      </w:pPr>
      <w:r>
        <w:rPr>
          <w:rFonts w:hint="eastAsia"/>
        </w:rPr>
        <w:t>标签链接库用来表示元素及其显示名称间的对应关系，以将元素与人们更容易阅读和理解的名称联系起来。《</w:t>
      </w:r>
      <w:r>
        <w:rPr>
          <w:rFonts w:hint="eastAsia"/>
          <w:lang w:eastAsia="zh-CN"/>
        </w:rPr>
        <w:t>国库集中支付电子凭证标准</w:t>
      </w:r>
      <w:r>
        <w:rPr>
          <w:rFonts w:hint="eastAsia"/>
        </w:rPr>
        <w:t>》同时使用中文、英文定义元素标签。在确定标签时，遵循可读、简明、一致的命名规则。</w:t>
      </w:r>
    </w:p>
    <w:p>
      <w:pPr>
        <w:pStyle w:val="26"/>
        <w:wordWrap/>
        <w:spacing w:after="0" w:line="560" w:lineRule="exact"/>
      </w:pPr>
      <w:r>
        <w:rPr>
          <w:rFonts w:hint="eastAsia"/>
        </w:rPr>
        <w:t>同一个元素可能有多个不同标签，在同一种语言下每个标签有唯一的标签角色。标签角色规定了相应元素在特定情形下应当显示的恰当标签。《</w:t>
      </w:r>
      <w:r>
        <w:rPr>
          <w:rFonts w:hint="eastAsia"/>
          <w:lang w:eastAsia="zh-CN"/>
        </w:rPr>
        <w:t>国库集中支付电子凭证标准</w:t>
      </w:r>
      <w:r>
        <w:rPr>
          <w:rFonts w:hint="eastAsia"/>
        </w:rPr>
        <w:t>》使用的标签角色及说明如表</w:t>
      </w:r>
      <w:r>
        <w:t>5</w:t>
      </w:r>
      <w:r>
        <w:rPr>
          <w:rFonts w:hint="eastAsia"/>
        </w:rPr>
        <w:t>所示。</w:t>
      </w:r>
    </w:p>
    <w:p>
      <w:pPr>
        <w:pStyle w:val="26"/>
        <w:numPr>
          <w:ilvl w:val="0"/>
          <w:numId w:val="4"/>
        </w:numPr>
        <w:wordWrap/>
        <w:spacing w:after="0" w:line="560" w:lineRule="exact"/>
        <w:ind w:firstLineChars="0"/>
        <w:jc w:val="center"/>
        <w:rPr>
          <w:b/>
          <w:sz w:val="24"/>
          <w:szCs w:val="24"/>
        </w:rPr>
      </w:pPr>
      <w:r>
        <w:rPr>
          <w:rFonts w:hint="eastAsia"/>
          <w:b/>
          <w:sz w:val="24"/>
          <w:szCs w:val="24"/>
        </w:rPr>
        <w:t>标签角色及说明</w:t>
      </w:r>
    </w:p>
    <w:tbl>
      <w:tblPr>
        <w:tblStyle w:val="14"/>
        <w:tblW w:w="8789" w:type="dxa"/>
        <w:tblInd w:w="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4536"/>
        <w:gridCol w:w="2977"/>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60" w:hRule="atLeast"/>
          <w:tblHeader/>
        </w:trPr>
        <w:tc>
          <w:tcPr>
            <w:tcW w:w="1276"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w:t>
            </w:r>
          </w:p>
        </w:tc>
        <w:tc>
          <w:tcPr>
            <w:tcW w:w="4536"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标签角色的定义来源</w:t>
            </w:r>
          </w:p>
        </w:tc>
        <w:tc>
          <w:tcPr>
            <w:tcW w:w="2977"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使用说明</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17" w:hRule="exact"/>
        </w:trPr>
        <w:tc>
          <w:tcPr>
            <w:tcW w:w="1276"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标准标签</w:t>
            </w:r>
          </w:p>
        </w:tc>
        <w:tc>
          <w:tcPr>
            <w:tcW w:w="4536"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http://www.xbrl.org/2003/role/label</w:t>
            </w:r>
          </w:p>
        </w:tc>
        <w:tc>
          <w:tcPr>
            <w:tcW w:w="2977"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元素的标准标签</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754" w:hRule="exact"/>
        </w:trPr>
        <w:tc>
          <w:tcPr>
            <w:tcW w:w="1276"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长标签</w:t>
            </w:r>
          </w:p>
        </w:tc>
        <w:tc>
          <w:tcPr>
            <w:tcW w:w="4536"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http://www.xbrl.org/2003/role/verboseLabel</w:t>
            </w:r>
          </w:p>
        </w:tc>
        <w:tc>
          <w:tcPr>
            <w:tcW w:w="2977"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对元素标签进行扩展时，为了准确表达标签含义而不能省略标签文字时使用</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127" w:hRule="exact"/>
        </w:trPr>
        <w:tc>
          <w:tcPr>
            <w:tcW w:w="1276"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短标签</w:t>
            </w:r>
          </w:p>
        </w:tc>
        <w:tc>
          <w:tcPr>
            <w:tcW w:w="4536"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http://www.xbrl.org/2003/role/terseLabel</w:t>
            </w:r>
          </w:p>
        </w:tc>
        <w:tc>
          <w:tcPr>
            <w:tcW w:w="2977"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在上下文环境中，可以对标签词汇进行省略时使用</w:t>
            </w:r>
          </w:p>
        </w:tc>
      </w:tr>
    </w:tbl>
    <w:p>
      <w:pPr>
        <w:pStyle w:val="23"/>
        <w:wordWrap/>
        <w:spacing w:line="560" w:lineRule="exact"/>
        <w:ind w:firstLine="560"/>
        <w:rPr>
          <w:b w:val="0"/>
          <w:bCs/>
        </w:rPr>
      </w:pPr>
      <w:r>
        <w:rPr>
          <w:rFonts w:hint="eastAsia"/>
          <w:bCs/>
        </w:rPr>
        <w:t>（三）XBRL实例文档要素说明</w:t>
      </w:r>
    </w:p>
    <w:p>
      <w:pPr>
        <w:pStyle w:val="26"/>
        <w:widowControl w:val="0"/>
        <w:wordWrap/>
        <w:spacing w:after="0" w:line="560" w:lineRule="exact"/>
        <w:rPr>
          <w:lang w:val="en-GB"/>
        </w:rPr>
      </w:pPr>
      <w:r>
        <w:rPr>
          <w:rFonts w:hint="eastAsia"/>
        </w:rPr>
        <w:t>实例文档作为</w:t>
      </w:r>
      <w:r>
        <w:rPr>
          <w:rFonts w:hint="eastAsia"/>
          <w:lang w:eastAsia="zh-CN"/>
        </w:rPr>
        <w:t>国库集中支付电子凭证</w:t>
      </w:r>
      <w:r>
        <w:rPr>
          <w:rFonts w:hint="eastAsia"/>
        </w:rPr>
        <w:t>结构化数据的载体，不仅包含了数据本身及其与《</w:t>
      </w:r>
      <w:r>
        <w:rPr>
          <w:rFonts w:hint="eastAsia"/>
          <w:lang w:eastAsia="zh-CN"/>
        </w:rPr>
        <w:t>国库集中支付电子凭证标准</w:t>
      </w:r>
      <w:r>
        <w:rPr>
          <w:rFonts w:hint="eastAsia"/>
        </w:rPr>
        <w:t>》元素之间的对应关系，同时也包含了数据相关的属性信息（如数据所属</w:t>
      </w:r>
      <w:r>
        <w:rPr>
          <w:rFonts w:hint="eastAsia" w:ascii="Times New Roman" w:hAnsi="Times New Roman" w:eastAsia="仿宋_GB2312"/>
          <w:sz w:val="28"/>
          <w:szCs w:val="28"/>
          <w:lang w:eastAsia="zh-CN"/>
        </w:rPr>
        <w:t>时期</w:t>
      </w:r>
      <w:r>
        <w:rPr>
          <w:rFonts w:hint="eastAsia"/>
        </w:rPr>
        <w:t>、单位等），这些信息使得标记数据能够与业务场景紧密关联起来。</w:t>
      </w:r>
    </w:p>
    <w:p>
      <w:pPr>
        <w:pStyle w:val="26"/>
        <w:widowControl w:val="0"/>
        <w:wordWrap/>
        <w:spacing w:after="0" w:line="560" w:lineRule="exact"/>
      </w:pPr>
      <w:r>
        <w:rPr>
          <w:rFonts w:hint="eastAsia"/>
        </w:rPr>
        <w:t>实例文档共包含五类内容，分别是根元素（</w:t>
      </w:r>
      <w:r>
        <w:t>xbrli:xbrl</w:t>
      </w:r>
      <w:r>
        <w:rPr>
          <w:rFonts w:hint="eastAsia"/>
        </w:rPr>
        <w:t>）、标准引用（</w:t>
      </w:r>
      <w:r>
        <w:t>link:schemaRef</w:t>
      </w:r>
      <w:r>
        <w:rPr>
          <w:rFonts w:hint="eastAsia"/>
        </w:rPr>
        <w:t>）、事实值（fact</w:t>
      </w:r>
      <w:r>
        <w:t>）</w:t>
      </w:r>
      <w:r>
        <w:rPr>
          <w:rFonts w:hint="eastAsia"/>
        </w:rPr>
        <w:t>、上下文（context）、单位（</w:t>
      </w:r>
      <w:r>
        <w:t>unit</w:t>
      </w:r>
      <w:r>
        <w:rPr>
          <w:rFonts w:hint="eastAsia"/>
        </w:rPr>
        <w:t>）和精确度，使用者可结合五个要素的具体信息来进一步理解实例文档。</w:t>
      </w:r>
    </w:p>
    <w:p>
      <w:pPr>
        <w:pStyle w:val="30"/>
        <w:wordWrap/>
        <w:spacing w:line="560" w:lineRule="exact"/>
        <w:ind w:firstLine="562"/>
      </w:pPr>
      <w:r>
        <w:rPr>
          <w:rFonts w:hint="eastAsia"/>
        </w:rPr>
        <w:t>1．根元素</w:t>
      </w:r>
    </w:p>
    <w:p>
      <w:pPr>
        <w:pStyle w:val="26"/>
        <w:wordWrap/>
        <w:spacing w:after="0" w:line="560" w:lineRule="exact"/>
      </w:pPr>
      <w:r>
        <w:rPr>
          <w:rFonts w:hint="eastAsia"/>
        </w:rPr>
        <w:t>实例文档根元素的标签名是&lt;xbrli:xbrl&gt;，根元素标签的属性是实例文档所引用的所有命名空间信息，其中也包括《</w:t>
      </w:r>
      <w:r>
        <w:rPr>
          <w:rFonts w:hint="eastAsia"/>
          <w:lang w:eastAsia="zh-CN"/>
        </w:rPr>
        <w:t>国库集中支付电子凭证标准</w:t>
      </w:r>
      <w:r>
        <w:rPr>
          <w:rFonts w:hint="eastAsia"/>
        </w:rPr>
        <w:t>》前缀</w:t>
      </w:r>
      <w:r>
        <w:rPr>
          <w:rFonts w:hint="eastAsia"/>
          <w:lang w:eastAsia="zh-CN"/>
        </w:rPr>
        <w:t>ctp</w:t>
      </w:r>
      <w:r>
        <w:rPr>
          <w:rFonts w:hint="eastAsia"/>
        </w:rPr>
        <w:t>，具体如下表</w:t>
      </w:r>
      <w:r>
        <w:t>6</w:t>
      </w:r>
      <w:r>
        <w:rPr>
          <w:rFonts w:hint="eastAsia"/>
        </w:rPr>
        <w:t>所示：</w:t>
      </w:r>
    </w:p>
    <w:p>
      <w:pPr>
        <w:pStyle w:val="26"/>
        <w:numPr>
          <w:ilvl w:val="0"/>
          <w:numId w:val="4"/>
        </w:numPr>
        <w:wordWrap/>
        <w:spacing w:after="0" w:line="560" w:lineRule="exact"/>
        <w:ind w:firstLineChars="0"/>
        <w:jc w:val="center"/>
        <w:rPr>
          <w:b/>
          <w:sz w:val="24"/>
          <w:szCs w:val="24"/>
        </w:rPr>
      </w:pPr>
      <w:r>
        <w:rPr>
          <w:rFonts w:hint="eastAsia"/>
          <w:b/>
          <w:sz w:val="24"/>
          <w:szCs w:val="24"/>
        </w:rPr>
        <w:t>《</w:t>
      </w:r>
      <w:r>
        <w:rPr>
          <w:rFonts w:hint="eastAsia"/>
          <w:b/>
          <w:sz w:val="24"/>
          <w:szCs w:val="24"/>
          <w:lang w:eastAsia="zh-CN"/>
        </w:rPr>
        <w:t>国库集中支付电子凭证标准</w:t>
      </w:r>
      <w:r>
        <w:rPr>
          <w:rFonts w:hint="eastAsia"/>
          <w:b/>
          <w:sz w:val="24"/>
          <w:szCs w:val="24"/>
        </w:rPr>
        <w:t>》根元素</w:t>
      </w:r>
    </w:p>
    <w:tbl>
      <w:tblPr>
        <w:tblStyle w:val="14"/>
        <w:tblW w:w="82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034"/>
        <w:gridCol w:w="218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033"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03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180"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color w:val="000000"/>
                <w:sz w:val="24"/>
                <w:szCs w:val="24"/>
                <w:lang w:eastAsia="zh-CN"/>
              </w:rPr>
              <w:t>ctp</w:t>
            </w:r>
          </w:p>
        </w:tc>
        <w:tc>
          <w:tcPr>
            <w:tcW w:w="5034" w:type="dxa"/>
          </w:tcPr>
          <w:p>
            <w:pPr>
              <w:spacing w:after="0" w:line="560" w:lineRule="exact"/>
              <w:jc w:val="both"/>
              <w:rPr>
                <w:rFonts w:hint="eastAsia" w:ascii="Times New Roman" w:hAnsi="Times New Roman" w:eastAsia="仿宋_GB2312"/>
                <w:color w:val="000000"/>
                <w:sz w:val="24"/>
                <w:szCs w:val="24"/>
                <w:lang w:eastAsia="zh-CN"/>
              </w:rPr>
            </w:pPr>
            <w:r>
              <w:rPr>
                <w:rFonts w:ascii="Times New Roman" w:hAnsi="Times New Roman" w:eastAsia="仿宋_GB2312"/>
                <w:sz w:val="24"/>
                <w:szCs w:val="24"/>
              </w:rPr>
              <w:t>http://xbrl.mof.gov.cn/taxonomy/202</w:t>
            </w:r>
            <w:r>
              <w:rPr>
                <w:rFonts w:hint="eastAsia" w:ascii="Times New Roman" w:hAnsi="Times New Roman" w:eastAsia="仿宋_GB2312"/>
                <w:sz w:val="24"/>
                <w:szCs w:val="24"/>
                <w:lang w:val="en-US" w:eastAsia="zh-CN"/>
              </w:rPr>
              <w:t>4</w:t>
            </w:r>
            <w:r>
              <w:rPr>
                <w:rFonts w:ascii="Times New Roman" w:hAnsi="Times New Roman" w:eastAsia="仿宋_GB2312"/>
                <w:sz w:val="24"/>
                <w:szCs w:val="24"/>
              </w:rPr>
              <w:t>-</w:t>
            </w:r>
            <w:r>
              <w:rPr>
                <w:rFonts w:hint="eastAsia" w:ascii="Times New Roman" w:hAnsi="Times New Roman" w:eastAsia="仿宋_GB2312"/>
                <w:sz w:val="24"/>
                <w:szCs w:val="24"/>
                <w:lang w:val="en-US" w:eastAsia="zh-CN"/>
              </w:rPr>
              <w:t>05</w:t>
            </w:r>
            <w:r>
              <w:rPr>
                <w:rFonts w:ascii="Times New Roman" w:hAnsi="Times New Roman" w:eastAsia="仿宋_GB2312"/>
                <w:sz w:val="24"/>
                <w:szCs w:val="24"/>
              </w:rPr>
              <w:t>-3</w:t>
            </w:r>
            <w:r>
              <w:rPr>
                <w:rFonts w:hint="eastAsia" w:ascii="Times New Roman" w:hAnsi="Times New Roman" w:eastAsia="仿宋_GB2312"/>
                <w:sz w:val="24"/>
                <w:szCs w:val="24"/>
                <w:lang w:val="en-US" w:eastAsia="zh-CN"/>
              </w:rPr>
              <w:t>0</w:t>
            </w:r>
            <w:r>
              <w:rPr>
                <w:rFonts w:ascii="Times New Roman" w:hAnsi="Times New Roman" w:eastAsia="仿宋_GB2312"/>
                <w:sz w:val="24"/>
                <w:szCs w:val="24"/>
              </w:rPr>
              <w:t>/</w:t>
            </w:r>
            <w:r>
              <w:rPr>
                <w:rFonts w:hint="eastAsia" w:ascii="Times New Roman" w:hAnsi="Times New Roman" w:eastAsia="仿宋_GB2312"/>
                <w:sz w:val="24"/>
                <w:szCs w:val="24"/>
                <w:lang w:eastAsia="zh-CN"/>
              </w:rPr>
              <w:t>ctp</w:t>
            </w:r>
          </w:p>
        </w:tc>
        <w:tc>
          <w:tcPr>
            <w:tcW w:w="2180" w:type="dxa"/>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lang w:eastAsia="zh-CN"/>
              </w:rPr>
              <w:t>国库集中支付电子凭证标准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w:t>
            </w:r>
            <w:r>
              <w:rPr>
                <w:rFonts w:hint="eastAsia" w:ascii="Times New Roman" w:hAnsi="Times New Roman" w:eastAsia="仿宋_GB2312"/>
                <w:sz w:val="24"/>
                <w:szCs w:val="24"/>
                <w:lang w:eastAsia="zh-CN"/>
              </w:rPr>
              <w:t>e数字类型</w:t>
            </w:r>
            <w:r>
              <w:rPr>
                <w:rFonts w:hint="eastAsia" w:ascii="Times New Roman" w:hAnsi="Times New Roman" w:eastAsia="仿宋_GB2312"/>
                <w:sz w:val="24"/>
                <w:szCs w:val="24"/>
              </w:rPr>
              <w:t>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03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034" w:type="dxa"/>
          </w:tcPr>
          <w:p>
            <w:pPr>
              <w:spacing w:after="0" w:line="560" w:lineRule="exact"/>
              <w:jc w:val="both"/>
              <w:rPr>
                <w:rFonts w:ascii="Times New Roman" w:hAnsi="Times New Roman" w:eastAsia="仿宋_GB2312"/>
                <w:color w:val="000000"/>
                <w:sz w:val="24"/>
                <w:szCs w:val="24"/>
              </w:rPr>
            </w:pPr>
            <w:bookmarkStart w:id="6" w:name="OLE_LINK1"/>
            <w:r>
              <w:rPr>
                <w:rFonts w:hint="eastAsia" w:ascii="Times New Roman" w:hAnsi="Times New Roman" w:eastAsia="仿宋_GB2312"/>
                <w:sz w:val="24"/>
                <w:szCs w:val="24"/>
              </w:rPr>
              <w:t>http://www.xbrl.org/2003/XLink</w:t>
            </w:r>
            <w:bookmarkEnd w:id="6"/>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货币币种的数据项类型</w:t>
            </w:r>
          </w:p>
        </w:tc>
      </w:tr>
    </w:tbl>
    <w:p>
      <w:pPr>
        <w:pStyle w:val="30"/>
        <w:wordWrap/>
        <w:spacing w:line="560" w:lineRule="exact"/>
        <w:ind w:firstLine="562"/>
      </w:pPr>
      <w:r>
        <w:rPr>
          <w:rFonts w:hint="eastAsia"/>
        </w:rPr>
        <w:t>2．标准引用</w:t>
      </w:r>
    </w:p>
    <w:p>
      <w:pPr>
        <w:pStyle w:val="26"/>
        <w:wordWrap/>
        <w:spacing w:after="0" w:line="560" w:lineRule="exact"/>
        <w:ind w:firstLine="562" w:firstLineChars="0"/>
      </w:pPr>
      <w:r>
        <w:rPr>
          <w:rFonts w:hint="eastAsia"/>
        </w:rPr>
        <w:t>每一份实例文档都是基于一套标准编制的，标准是解析实例文档的基础。在根标签中，使用</w:t>
      </w:r>
      <w:r>
        <w:t>&lt;link:schemaRef&gt;</w:t>
      </w:r>
      <w:r>
        <w:rPr>
          <w:rFonts w:hint="eastAsia"/>
        </w:rPr>
        <w:t>标签定义实例文档对《</w:t>
      </w:r>
      <w:r>
        <w:rPr>
          <w:rFonts w:hint="eastAsia"/>
          <w:lang w:eastAsia="zh-CN"/>
        </w:rPr>
        <w:t>国库集中支付电子凭证标准</w:t>
      </w:r>
      <w:r>
        <w:rPr>
          <w:rFonts w:hint="eastAsia"/>
        </w:rPr>
        <w:t>》文件的引用，通过“</w:t>
      </w:r>
      <w:r>
        <w:t>xlink:href</w:t>
      </w:r>
      <w:r>
        <w:rPr>
          <w:rFonts w:hint="eastAsia"/>
        </w:rPr>
        <w:t>”指向引用《</w:t>
      </w:r>
      <w:r>
        <w:rPr>
          <w:rFonts w:hint="eastAsia"/>
          <w:lang w:eastAsia="zh-CN"/>
        </w:rPr>
        <w:t>国库集中支付电子凭证标准</w:t>
      </w:r>
      <w:r>
        <w:rPr>
          <w:rFonts w:hint="eastAsia"/>
        </w:rPr>
        <w:t>》的相对路径根目录：</w:t>
      </w:r>
    </w:p>
    <w:p>
      <w:pPr>
        <w:pStyle w:val="26"/>
        <w:wordWrap/>
        <w:spacing w:after="0" w:line="560" w:lineRule="exact"/>
        <w:ind w:right="-198" w:rightChars="-90" w:firstLine="0" w:firstLineChars="0"/>
        <w:rPr>
          <w:sz w:val="24"/>
          <w:szCs w:val="28"/>
        </w:rPr>
      </w:pPr>
      <w:r>
        <w:rPr>
          <w:sz w:val="24"/>
          <w:szCs w:val="28"/>
        </w:rPr>
        <w:t xml:space="preserve">&lt;link:schemaRef xlink:type="simple" xlink:href=" </w:t>
      </w:r>
      <w:r>
        <w:rPr>
          <w:rFonts w:hint="eastAsia"/>
          <w:sz w:val="24"/>
          <w:szCs w:val="28"/>
          <w:lang w:eastAsia="zh-CN"/>
        </w:rPr>
        <w:t>ctp_</w:t>
      </w:r>
      <w:r>
        <w:rPr>
          <w:sz w:val="24"/>
          <w:szCs w:val="28"/>
        </w:rPr>
        <w:t>entry_point_</w:t>
      </w:r>
      <w:r>
        <w:rPr>
          <w:rFonts w:hint="eastAsia"/>
          <w:sz w:val="24"/>
          <w:szCs w:val="28"/>
          <w:lang w:eastAsia="zh-CN"/>
        </w:rPr>
        <w:t>2024-05-30</w:t>
      </w:r>
      <w:r>
        <w:rPr>
          <w:sz w:val="24"/>
          <w:szCs w:val="28"/>
        </w:rPr>
        <w:t>.xsd"/&gt;</w:t>
      </w:r>
    </w:p>
    <w:p>
      <w:pPr>
        <w:pStyle w:val="30"/>
        <w:wordWrap/>
        <w:spacing w:line="560" w:lineRule="exact"/>
        <w:ind w:firstLine="562"/>
      </w:pPr>
      <w:r>
        <w:t>3</w:t>
      </w:r>
      <w:r>
        <w:rPr>
          <w:rFonts w:hint="eastAsia"/>
        </w:rPr>
        <w:t>．事实值</w:t>
      </w:r>
    </w:p>
    <w:p>
      <w:pPr>
        <w:pStyle w:val="26"/>
        <w:wordWrap/>
        <w:spacing w:after="0" w:line="560" w:lineRule="exact"/>
      </w:pPr>
      <w:r>
        <w:rPr>
          <w:rFonts w:hint="eastAsia"/>
        </w:rPr>
        <w:t>事实值就是</w:t>
      </w:r>
      <w:r>
        <w:rPr>
          <w:rFonts w:hint="eastAsia"/>
          <w:lang w:eastAsia="zh-CN"/>
        </w:rPr>
        <w:t>国库集中支付电子凭证</w:t>
      </w:r>
      <w:r>
        <w:rPr>
          <w:rFonts w:hint="eastAsia"/>
        </w:rPr>
        <w:t>版面信息填写</w:t>
      </w:r>
      <w:r>
        <w:t>的</w:t>
      </w:r>
      <w:r>
        <w:rPr>
          <w:rFonts w:hint="eastAsia"/>
        </w:rPr>
        <w:t>内容，例如对于“</w:t>
      </w:r>
      <w:r>
        <w:rPr>
          <w:rFonts w:hint="eastAsia"/>
          <w:lang w:val="en-US" w:eastAsia="zh-CN"/>
        </w:rPr>
        <w:t>凭证</w:t>
      </w:r>
      <w:r>
        <w:rPr>
          <w:rFonts w:hint="eastAsia"/>
        </w:rPr>
        <w:t>金额”这个项目，其事实值就是</w:t>
      </w:r>
      <w:r>
        <w:rPr>
          <w:rFonts w:hint="eastAsia"/>
          <w:lang w:eastAsia="zh-CN"/>
        </w:rPr>
        <w:t>国库集中支付</w:t>
      </w:r>
      <w:r>
        <w:rPr>
          <w:rFonts w:hint="eastAsia"/>
          <w:lang w:val="en-US" w:eastAsia="zh-CN"/>
        </w:rPr>
        <w:t>或退回</w:t>
      </w:r>
      <w:r>
        <w:rPr>
          <w:rFonts w:hint="eastAsia"/>
        </w:rPr>
        <w:t>金额信息。通过为元素赋值，并指定上下文、单位和精确度属性，来完成对于事实值的完整定义。赋予实例文档的事实值可为数值（金额、十进制数字等）或非数值数据（字符串或者转义文本，例如XHTML格式内容）。事实值也可为日期类型和时间类型。表</w:t>
      </w:r>
      <w:r>
        <w:t>7</w:t>
      </w:r>
      <w:r>
        <w:rPr>
          <w:rFonts w:hint="eastAsia"/>
        </w:rPr>
        <w:t>列示了部分事实值。</w:t>
      </w:r>
    </w:p>
    <w:p>
      <w:pPr>
        <w:pStyle w:val="26"/>
        <w:numPr>
          <w:ilvl w:val="0"/>
          <w:numId w:val="4"/>
        </w:numPr>
        <w:wordWrap/>
        <w:spacing w:after="0" w:line="560" w:lineRule="exact"/>
        <w:ind w:firstLineChars="0"/>
        <w:jc w:val="center"/>
        <w:rPr>
          <w:b/>
          <w:sz w:val="24"/>
          <w:szCs w:val="24"/>
        </w:rPr>
      </w:pPr>
      <w:r>
        <w:rPr>
          <w:rFonts w:hint="eastAsia"/>
          <w:b/>
          <w:sz w:val="24"/>
          <w:szCs w:val="24"/>
        </w:rPr>
        <w:t>事实值举例</w:t>
      </w:r>
    </w:p>
    <w:tbl>
      <w:tblPr>
        <w:tblStyle w:val="14"/>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2336"/>
        <w:gridCol w:w="32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lang w:eastAsia="zh-CN"/>
              </w:rPr>
              <w:t>国库集中支付电子凭证</w:t>
            </w:r>
            <w:r>
              <w:rPr>
                <w:rFonts w:hint="eastAsia" w:ascii="Times New Roman" w:hAnsi="Times New Roman" w:eastAsia="仿宋_GB2312"/>
                <w:b/>
                <w:color w:val="000000"/>
                <w:sz w:val="24"/>
                <w:szCs w:val="24"/>
              </w:rPr>
              <w:t>信息项</w:t>
            </w:r>
          </w:p>
        </w:tc>
        <w:tc>
          <w:tcPr>
            <w:tcW w:w="2336"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3207"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lang w:val="en-US" w:eastAsia="zh-CN"/>
              </w:rPr>
              <w:t>凭证</w:t>
            </w:r>
            <w:r>
              <w:rPr>
                <w:rFonts w:hint="eastAsia" w:ascii="Times New Roman" w:hAnsi="Times New Roman" w:eastAsia="仿宋_GB2312"/>
                <w:color w:val="000000"/>
                <w:sz w:val="24"/>
                <w:szCs w:val="24"/>
              </w:rPr>
              <w:t>金额</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lang w:val="en-US" w:eastAsia="zh-CN"/>
              </w:rPr>
              <w:t>99</w:t>
            </w:r>
            <w:r>
              <w:rPr>
                <w:rFonts w:ascii="Times New Roman" w:hAnsi="Times New Roman" w:eastAsia="仿宋_GB2312"/>
                <w:color w:val="000000"/>
                <w:sz w:val="24"/>
                <w:szCs w:val="24"/>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lang w:val="en-US" w:eastAsia="zh-CN"/>
              </w:rPr>
              <w:t>凭证</w:t>
            </w:r>
            <w:r>
              <w:rPr>
                <w:rFonts w:hint="eastAsia" w:ascii="Times New Roman" w:hAnsi="Times New Roman" w:eastAsia="仿宋_GB2312"/>
                <w:color w:val="000000"/>
                <w:sz w:val="24"/>
                <w:szCs w:val="24"/>
              </w:rPr>
              <w:t>日期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3207" w:type="dxa"/>
            <w:vAlign w:val="center"/>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color w:val="000000"/>
                <w:sz w:val="24"/>
                <w:szCs w:val="24"/>
              </w:rPr>
              <w:t>2024</w:t>
            </w:r>
            <w:r>
              <w:rPr>
                <w:rFonts w:hint="eastAsia" w:ascii="Times New Roman" w:hAnsi="Times New Roman" w:eastAsia="仿宋_GB2312"/>
                <w:color w:val="000000"/>
                <w:sz w:val="24"/>
                <w:szCs w:val="24"/>
                <w:lang w:val="en-US" w:eastAsia="zh-CN"/>
              </w:rPr>
              <w:t>-</w:t>
            </w:r>
            <w:r>
              <w:rPr>
                <w:rFonts w:hint="eastAsia" w:ascii="Times New Roman" w:hAnsi="Times New Roman" w:eastAsia="仿宋_GB2312"/>
                <w:color w:val="000000"/>
                <w:sz w:val="24"/>
                <w:szCs w:val="24"/>
              </w:rPr>
              <w:t>0</w:t>
            </w:r>
            <w:r>
              <w:rPr>
                <w:rFonts w:hint="eastAsia" w:ascii="Times New Roman" w:hAnsi="Times New Roman" w:eastAsia="仿宋_GB2312"/>
                <w:color w:val="000000"/>
                <w:sz w:val="24"/>
                <w:szCs w:val="24"/>
                <w:lang w:val="en-US" w:eastAsia="zh-CN"/>
              </w:rPr>
              <w:t>5-</w:t>
            </w:r>
            <w:r>
              <w:rPr>
                <w:rFonts w:hint="eastAsia" w:ascii="Times New Roman" w:hAnsi="Times New Roman" w:eastAsia="仿宋_GB2312"/>
                <w:color w:val="000000"/>
                <w:sz w:val="24"/>
                <w:szCs w:val="24"/>
              </w:rPr>
              <w:t>30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lang w:eastAsia="zh-CN"/>
              </w:rPr>
              <w:t>业务年度</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3207" w:type="dxa"/>
            <w:vAlign w:val="center"/>
          </w:tcPr>
          <w:p>
            <w:pPr>
              <w:spacing w:after="0" w:line="560" w:lineRule="exact"/>
              <w:jc w:val="both"/>
              <w:rPr>
                <w:rFonts w:hint="default"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2024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是否已入账</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3207" w:type="dxa"/>
            <w:vAlign w:val="center"/>
          </w:tcPr>
          <w:p>
            <w:pPr>
              <w:spacing w:after="0" w:line="560" w:lineRule="exact"/>
              <w:jc w:val="both"/>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true</w:t>
            </w:r>
          </w:p>
        </w:tc>
      </w:tr>
    </w:tbl>
    <w:p>
      <w:pPr>
        <w:pStyle w:val="30"/>
        <w:wordWrap/>
        <w:spacing w:line="560" w:lineRule="exact"/>
        <w:ind w:firstLine="560"/>
        <w:outlineLvl w:val="9"/>
        <w:rPr>
          <w:b w:val="0"/>
          <w:bCs/>
        </w:rPr>
      </w:pPr>
      <w:r>
        <w:rPr>
          <w:rFonts w:hint="eastAsia"/>
          <w:b w:val="0"/>
          <w:bCs/>
        </w:rPr>
        <w:t>（1）数值型事实值</w:t>
      </w:r>
    </w:p>
    <w:p>
      <w:pPr>
        <w:pStyle w:val="26"/>
        <w:wordWrap/>
        <w:spacing w:after="0" w:line="560" w:lineRule="exact"/>
      </w:pPr>
      <w:r>
        <w:rPr>
          <w:rFonts w:hint="eastAsia"/>
        </w:rPr>
        <w:t>数值型事实值的定义，除了通过contextRef指向一个预定义的上下文（context），还会通过unitRef指向一个预定义的单位（unit），并通过事实值的decimals（小数后位数）属性表达数据的精确度，图</w:t>
      </w:r>
      <w:r>
        <w:t>4</w:t>
      </w:r>
      <w:r>
        <w:rPr>
          <w:rFonts w:hint="eastAsia"/>
        </w:rPr>
        <w:t>是“</w:t>
      </w:r>
      <w:r>
        <w:rPr>
          <w:rFonts w:hint="eastAsia"/>
          <w:lang w:val="en-US" w:eastAsia="zh-CN"/>
        </w:rPr>
        <w:t>凭证金额</w:t>
      </w:r>
      <w:r>
        <w:rPr>
          <w:rFonts w:hint="eastAsia"/>
        </w:rPr>
        <w:t>”对应的事实值定义信息：</w:t>
      </w:r>
    </w:p>
    <w:tbl>
      <w:tblPr>
        <w:tblStyle w:val="15"/>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shd w:val="clear" w:color="auto" w:fill="F1F1F1" w:themeFill="background1" w:themeFillShade="F2"/>
          </w:tcPr>
          <w:p>
            <w:pPr>
              <w:pStyle w:val="26"/>
              <w:spacing w:after="0" w:line="560" w:lineRule="exact"/>
              <w:ind w:firstLine="0" w:firstLineChars="0"/>
              <w:rPr>
                <w:sz w:val="24"/>
                <w:szCs w:val="24"/>
              </w:rPr>
            </w:pPr>
            <w:r>
              <w:rPr>
                <w:sz w:val="24"/>
                <w:szCs w:val="24"/>
              </w:rPr>
              <w:t>&lt;</w:t>
            </w:r>
            <w:r>
              <w:rPr>
                <w:rFonts w:hint="eastAsia"/>
                <w:sz w:val="24"/>
                <w:szCs w:val="24"/>
                <w:lang w:eastAsia="zh-CN"/>
              </w:rPr>
              <w:t>ctp</w:t>
            </w:r>
            <w:r>
              <w:rPr>
                <w:sz w:val="24"/>
                <w:szCs w:val="24"/>
              </w:rPr>
              <w:t>:</w:t>
            </w:r>
            <w:r>
              <w:rPr>
                <w:rFonts w:hint="eastAsia"/>
                <w:sz w:val="24"/>
                <w:szCs w:val="24"/>
              </w:rPr>
              <w:t>XPayAmt</w:t>
            </w:r>
            <w:r>
              <w:rPr>
                <w:sz w:val="24"/>
                <w:szCs w:val="24"/>
              </w:rPr>
              <w:t xml:space="preserve"> decimals="2" contextRef="c1" unitRef="u1"&gt;</w:t>
            </w:r>
            <w:r>
              <w:rPr>
                <w:rFonts w:hint="eastAsia"/>
                <w:sz w:val="24"/>
                <w:szCs w:val="24"/>
                <w:lang w:val="en-US" w:eastAsia="zh-CN"/>
              </w:rPr>
              <w:t>850</w:t>
            </w:r>
            <w:r>
              <w:rPr>
                <w:sz w:val="24"/>
                <w:szCs w:val="24"/>
              </w:rPr>
              <w:t xml:space="preserve">0.00&lt;/ </w:t>
            </w:r>
            <w:r>
              <w:rPr>
                <w:rFonts w:hint="eastAsia"/>
                <w:sz w:val="24"/>
                <w:szCs w:val="24"/>
                <w:lang w:eastAsia="zh-CN"/>
              </w:rPr>
              <w:t>ctp</w:t>
            </w:r>
            <w:r>
              <w:rPr>
                <w:sz w:val="24"/>
                <w:szCs w:val="24"/>
              </w:rPr>
              <w:t>:</w:t>
            </w:r>
            <w:r>
              <w:rPr>
                <w:rFonts w:hint="eastAsia"/>
                <w:sz w:val="24"/>
                <w:szCs w:val="24"/>
              </w:rPr>
              <w:t>XPayAmt</w:t>
            </w:r>
            <w:r>
              <w:rPr>
                <w:sz w:val="24"/>
                <w:szCs w:val="24"/>
              </w:rPr>
              <w:t>&gt;</w:t>
            </w:r>
          </w:p>
        </w:tc>
      </w:tr>
    </w:tbl>
    <w:p>
      <w:pPr>
        <w:pStyle w:val="22"/>
        <w:numPr>
          <w:ilvl w:val="0"/>
          <w:numId w:val="5"/>
        </w:numPr>
        <w:tabs>
          <w:tab w:val="left" w:pos="710"/>
        </w:tabs>
        <w:ind w:left="567" w:firstLineChars="0"/>
        <w:jc w:val="center"/>
        <w:rPr>
          <w:rFonts w:ascii="仿宋_GB2312" w:eastAsia="仿宋_GB2312"/>
          <w:b/>
          <w:sz w:val="24"/>
          <w:szCs w:val="24"/>
        </w:rPr>
      </w:pPr>
      <w:r>
        <w:rPr>
          <w:rFonts w:hint="eastAsia" w:ascii="仿宋_GB2312" w:eastAsia="仿宋_GB2312"/>
          <w:b/>
          <w:sz w:val="24"/>
          <w:szCs w:val="24"/>
        </w:rPr>
        <w:t>数值型事实值定义方式示例</w:t>
      </w:r>
    </w:p>
    <w:p>
      <w:pPr>
        <w:pStyle w:val="30"/>
        <w:wordWrap/>
        <w:spacing w:line="560" w:lineRule="exact"/>
        <w:ind w:firstLine="560"/>
        <w:outlineLvl w:val="9"/>
        <w:rPr>
          <w:b w:val="0"/>
          <w:bCs/>
        </w:rPr>
      </w:pPr>
      <w:r>
        <w:rPr>
          <w:rFonts w:hint="eastAsia" w:ascii="东文宋体" w:hAnsi="东文宋体" w:cs="东文宋体" w:eastAsiaTheme="minorEastAsia"/>
          <w:b w:val="0"/>
          <w:bCs/>
        </w:rPr>
        <w:t>（2）</w:t>
      </w:r>
      <w:r>
        <w:rPr>
          <w:rFonts w:hint="eastAsia"/>
          <w:b w:val="0"/>
          <w:bCs/>
        </w:rPr>
        <w:t>非数值型事实值</w:t>
      </w:r>
    </w:p>
    <w:p>
      <w:pPr>
        <w:pStyle w:val="26"/>
        <w:wordWrap/>
        <w:spacing w:after="0" w:line="560" w:lineRule="exact"/>
        <w:ind w:firstLine="562" w:firstLineChars="0"/>
      </w:pPr>
      <w:r>
        <w:rPr>
          <w:rFonts w:hint="eastAsia"/>
        </w:rPr>
        <w:t>非数值型事实值的定义，是将事实值赋予给对应的元素名，并通过contextRef指向一个预定义的上下文（context），图</w:t>
      </w:r>
      <w:r>
        <w:t>5</w:t>
      </w:r>
      <w:r>
        <w:rPr>
          <w:rFonts w:hint="eastAsia"/>
        </w:rPr>
        <w:t>为“是否</w:t>
      </w:r>
      <w:r>
        <w:rPr>
          <w:rFonts w:hint="eastAsia"/>
          <w:lang w:val="en-US" w:eastAsia="zh-CN"/>
        </w:rPr>
        <w:t>已入账</w:t>
      </w:r>
      <w:r>
        <w:rPr>
          <w:rFonts w:hint="eastAsia"/>
        </w:rPr>
        <w:t>”对应的事实值定义信息：</w:t>
      </w:r>
    </w:p>
    <w:tbl>
      <w:tblPr>
        <w:tblStyle w:val="15"/>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1169" w:hRule="atLeast"/>
        </w:trPr>
        <w:tc>
          <w:tcPr>
            <w:tcW w:w="8330" w:type="dxa"/>
            <w:shd w:val="clear" w:color="auto" w:fill="F1F1F1" w:themeFill="background1" w:themeFillShade="F2"/>
          </w:tcPr>
          <w:p>
            <w:pPr>
              <w:pStyle w:val="26"/>
              <w:spacing w:after="156" w:afterLines="50" w:line="560" w:lineRule="exact"/>
              <w:ind w:firstLine="0" w:firstLineChars="0"/>
              <w:rPr>
                <w:sz w:val="24"/>
                <w:szCs w:val="24"/>
              </w:rPr>
            </w:pPr>
            <w:r>
              <w:rPr>
                <w:rFonts w:hint="eastAsia"/>
                <w:sz w:val="24"/>
                <w:szCs w:val="24"/>
              </w:rPr>
              <w:t xml:space="preserve"> &lt;</w:t>
            </w:r>
            <w:r>
              <w:rPr>
                <w:rFonts w:hint="eastAsia"/>
                <w:sz w:val="24"/>
                <w:szCs w:val="24"/>
                <w:lang w:eastAsia="zh-CN"/>
              </w:rPr>
              <w:t>ctp</w:t>
            </w:r>
            <w:r>
              <w:rPr>
                <w:rFonts w:hint="eastAsia"/>
                <w:sz w:val="24"/>
                <w:szCs w:val="24"/>
              </w:rPr>
              <w:t>:WhetherInvoiceHasBeenBooked contextRef="c1"&gt;true&lt;/</w:t>
            </w:r>
            <w:r>
              <w:rPr>
                <w:rFonts w:hint="eastAsia"/>
                <w:sz w:val="24"/>
                <w:szCs w:val="24"/>
                <w:lang w:eastAsia="zh-CN"/>
              </w:rPr>
              <w:t>ctp</w:t>
            </w:r>
            <w:r>
              <w:rPr>
                <w:rFonts w:hint="eastAsia"/>
                <w:sz w:val="24"/>
                <w:szCs w:val="24"/>
              </w:rPr>
              <w:t>:WhetherInvoiceHasBeenBooked&gt;</w:t>
            </w:r>
          </w:p>
        </w:tc>
      </w:tr>
    </w:tbl>
    <w:p>
      <w:pPr>
        <w:pStyle w:val="22"/>
        <w:numPr>
          <w:ilvl w:val="0"/>
          <w:numId w:val="5"/>
        </w:numPr>
        <w:tabs>
          <w:tab w:val="left" w:pos="710"/>
        </w:tabs>
        <w:ind w:left="851" w:firstLineChars="0"/>
        <w:jc w:val="center"/>
        <w:rPr>
          <w:rFonts w:ascii="仿宋_GB2312" w:eastAsia="仿宋_GB2312"/>
          <w:b/>
          <w:sz w:val="24"/>
          <w:szCs w:val="24"/>
        </w:rPr>
      </w:pPr>
      <w:r>
        <w:rPr>
          <w:rFonts w:hint="eastAsia" w:ascii="仿宋_GB2312" w:eastAsia="仿宋_GB2312"/>
          <w:b/>
          <w:sz w:val="24"/>
          <w:szCs w:val="24"/>
        </w:rPr>
        <w:t>非数值型事实值定义方式示例</w:t>
      </w:r>
    </w:p>
    <w:p>
      <w:pPr>
        <w:pStyle w:val="30"/>
        <w:wordWrap/>
        <w:spacing w:line="560" w:lineRule="exact"/>
        <w:ind w:firstLine="562"/>
      </w:pPr>
      <w:r>
        <w:t>4</w:t>
      </w:r>
      <w:r>
        <w:rPr>
          <w:rFonts w:hint="eastAsia"/>
        </w:rPr>
        <w:t>．上下文</w:t>
      </w:r>
    </w:p>
    <w:p>
      <w:pPr>
        <w:pStyle w:val="26"/>
        <w:wordWrap/>
        <w:spacing w:after="0" w:line="560" w:lineRule="exact"/>
        <w:rPr>
          <w:color w:val="000000"/>
          <w:szCs w:val="24"/>
          <w:lang w:val="en-GB"/>
        </w:rPr>
      </w:pPr>
      <w:r>
        <w:rPr>
          <w:rFonts w:hint="eastAsia"/>
        </w:rPr>
        <w:t>每个事实值都会通过contextRef属性赋予的上下文ID指向预定义的上下文（context）。</w:t>
      </w:r>
      <w:r>
        <w:rPr>
          <w:color w:val="000000"/>
          <w:szCs w:val="24"/>
          <w:lang w:val="en-GB"/>
        </w:rPr>
        <w:t>通过指定上下文，才能够确定事实值的具体含义</w:t>
      </w:r>
      <w:r>
        <w:rPr>
          <w:rFonts w:hint="eastAsia"/>
          <w:color w:val="000000"/>
          <w:szCs w:val="24"/>
          <w:lang w:val="en-GB"/>
        </w:rPr>
        <w:t>。</w:t>
      </w:r>
    </w:p>
    <w:p>
      <w:pPr>
        <w:pStyle w:val="26"/>
        <w:wordWrap/>
        <w:spacing w:after="0" w:line="560" w:lineRule="exact"/>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30"/>
        <w:wordWrap/>
        <w:spacing w:line="560" w:lineRule="exact"/>
        <w:ind w:firstLine="560"/>
        <w:outlineLvl w:val="9"/>
        <w:rPr>
          <w:b w:val="0"/>
          <w:bCs/>
        </w:rPr>
      </w:pPr>
      <w:r>
        <w:rPr>
          <w:rFonts w:hint="eastAsia" w:ascii="宋体" w:hAnsi="宋体" w:eastAsia="宋体" w:cs="宋体"/>
          <w:b w:val="0"/>
          <w:bCs/>
        </w:rPr>
        <w:t>（1）</w:t>
      </w:r>
      <w:r>
        <w:rPr>
          <w:rFonts w:hint="eastAsia"/>
          <w:b w:val="0"/>
          <w:bCs/>
        </w:rPr>
        <w:t>实体信息</w:t>
      </w:r>
    </w:p>
    <w:p>
      <w:pPr>
        <w:pStyle w:val="26"/>
        <w:wordWrap/>
        <w:spacing w:after="0" w:line="560" w:lineRule="exact"/>
      </w:pPr>
      <w:r>
        <w:rPr>
          <w:rFonts w:hint="eastAsia"/>
        </w:rPr>
        <w:t>实体信息即指实例文档数据的</w:t>
      </w:r>
      <w:r>
        <w:rPr>
          <w:rFonts w:hint="eastAsia"/>
          <w:lang w:eastAsia="zh-CN"/>
        </w:rPr>
        <w:t>生成者</w:t>
      </w:r>
      <w:bookmarkStart w:id="8" w:name="_GoBack"/>
      <w:bookmarkEnd w:id="8"/>
      <w:r>
        <w:rPr>
          <w:rFonts w:hint="eastAsia"/>
          <w:lang w:eastAsia="zh-CN"/>
        </w:rPr>
        <w:t>信息</w:t>
      </w:r>
      <w:r>
        <w:rPr>
          <w:rFonts w:hint="eastAsia"/>
        </w:rPr>
        <w:t>，使用标签&lt;xbrli:entity&gt;标记。在</w:t>
      </w:r>
      <w:r>
        <w:rPr>
          <w:rFonts w:hint="eastAsia"/>
          <w:lang w:eastAsia="zh-CN"/>
        </w:rPr>
        <w:t>国库集中支付电子凭证</w:t>
      </w:r>
      <w:r>
        <w:rPr>
          <w:rFonts w:hint="eastAsia"/>
        </w:rPr>
        <w:t>中，实例文档使用会计主体统一社会信用代码作为实体的唯一标识码，在&lt;xbrli:identifier&gt;标签的文本中标记。</w:t>
      </w:r>
    </w:p>
    <w:p>
      <w:pPr>
        <w:pStyle w:val="30"/>
        <w:wordWrap/>
        <w:spacing w:line="560" w:lineRule="exact"/>
        <w:ind w:firstLine="560"/>
        <w:outlineLvl w:val="9"/>
        <w:rPr>
          <w:b w:val="0"/>
          <w:bCs/>
        </w:rPr>
      </w:pPr>
      <w:r>
        <w:rPr>
          <w:rFonts w:hint="eastAsia" w:ascii="宋体" w:hAnsi="宋体" w:eastAsia="宋体" w:cs="宋体"/>
          <w:b w:val="0"/>
          <w:bCs/>
        </w:rPr>
        <w:t>（2）</w:t>
      </w:r>
      <w:r>
        <w:rPr>
          <w:rFonts w:hint="eastAsia"/>
          <w:b w:val="0"/>
          <w:bCs/>
        </w:rPr>
        <w:t>时期信息</w:t>
      </w:r>
    </w:p>
    <w:p>
      <w:pPr>
        <w:pStyle w:val="26"/>
        <w:wordWrap/>
        <w:spacing w:after="0" w:line="560" w:lineRule="exact"/>
      </w:pPr>
      <w:r>
        <w:rPr>
          <w:rFonts w:hint="eastAsia"/>
          <w:color w:val="000000"/>
          <w:szCs w:val="24"/>
          <w:lang w:val="en-GB"/>
        </w:rPr>
        <w:t>时期信息</w:t>
      </w:r>
      <w:r>
        <w:rPr>
          <w:color w:val="000000"/>
          <w:szCs w:val="24"/>
          <w:lang w:val="en-GB"/>
        </w:rPr>
        <w:t>是指事实值所对应的</w:t>
      </w:r>
      <w:r>
        <w:rPr>
          <w:rFonts w:hint="eastAsia"/>
          <w:color w:val="000000"/>
          <w:szCs w:val="24"/>
          <w:lang w:val="en-GB" w:eastAsia="zh-CN"/>
        </w:rPr>
        <w:t>时点</w:t>
      </w:r>
      <w:r>
        <w:rPr>
          <w:color w:val="000000"/>
          <w:szCs w:val="24"/>
          <w:lang w:val="en-GB"/>
        </w:rPr>
        <w:t>或期间</w:t>
      </w:r>
      <w:r>
        <w:rPr>
          <w:rFonts w:hint="eastAsia"/>
          <w:color w:val="000000"/>
          <w:szCs w:val="24"/>
          <w:lang w:val="en-GB"/>
        </w:rPr>
        <w:t>，</w:t>
      </w:r>
      <w:r>
        <w:rPr>
          <w:rFonts w:hint="eastAsia"/>
        </w:rPr>
        <w:t>使用标签&lt;xbrli:period&gt;标记。在</w:t>
      </w:r>
      <w:r>
        <w:rPr>
          <w:rFonts w:hint="eastAsia"/>
          <w:lang w:eastAsia="zh-CN"/>
        </w:rPr>
        <w:t>国库集中支付电子凭证</w:t>
      </w:r>
      <w:r>
        <w:rPr>
          <w:rFonts w:hint="eastAsia"/>
        </w:rPr>
        <w:t>中，</w:t>
      </w:r>
      <w:r>
        <w:rPr>
          <w:rFonts w:hint="eastAsia" w:ascii="Times New Roman" w:hAnsi="Times New Roman" w:eastAsia="仿宋_GB2312"/>
          <w:sz w:val="28"/>
          <w:szCs w:val="28"/>
          <w:lang w:eastAsia="zh-CN"/>
        </w:rPr>
        <w:t>时期</w:t>
      </w:r>
      <w:r>
        <w:rPr>
          <w:rFonts w:hint="eastAsia"/>
        </w:rPr>
        <w:t>类型均为时点型，使用&lt;xbrli:instant&gt;标签表示，统一采用yyyy-mm-dd的日期格式。</w:t>
      </w:r>
    </w:p>
    <w:p>
      <w:pPr>
        <w:pStyle w:val="30"/>
        <w:wordWrap/>
        <w:spacing w:line="560" w:lineRule="exact"/>
        <w:ind w:firstLine="562"/>
      </w:pPr>
      <w:r>
        <w:rPr>
          <w:rFonts w:hint="eastAsia"/>
        </w:rPr>
        <w:t>5．单位和精确度</w:t>
      </w:r>
    </w:p>
    <w:p>
      <w:pPr>
        <w:pStyle w:val="26"/>
        <w:wordWrap/>
        <w:spacing w:after="0" w:line="560" w:lineRule="exact"/>
      </w:pPr>
      <w:r>
        <w:rPr>
          <w:rFonts w:hint="eastAsia"/>
          <w:lang w:val="en-GB"/>
        </w:rPr>
        <w:t>单位</w:t>
      </w:r>
      <w:r>
        <w:rPr>
          <w:lang w:val="en-GB"/>
        </w:rPr>
        <w:t>是用来说明数值型数据（非字符串及转义文本）的度量单位，最常见的度量单位就是货币型的单位，例如人民币</w:t>
      </w:r>
      <w:r>
        <w:rPr>
          <w:rFonts w:hint="eastAsia"/>
          <w:lang w:val="en-GB"/>
        </w:rPr>
        <w:t>元</w:t>
      </w:r>
      <w:r>
        <w:rPr>
          <w:lang w:val="en-GB"/>
        </w:rPr>
        <w:t>、美元等。数值型数据的事实值应通过</w:t>
      </w:r>
      <w:r>
        <w:rPr>
          <w:rFonts w:hint="eastAsia"/>
          <w:lang w:val="en-GB"/>
        </w:rPr>
        <w:t>单位指向（</w:t>
      </w:r>
      <w:r>
        <w:rPr>
          <w:lang w:val="en-GB"/>
        </w:rPr>
        <w:t>unitRef</w:t>
      </w:r>
      <w:r>
        <w:rPr>
          <w:rFonts w:hint="eastAsia"/>
          <w:lang w:val="en-GB"/>
        </w:rPr>
        <w:t>）</w:t>
      </w:r>
      <w:r>
        <w:rPr>
          <w:lang w:val="en-GB"/>
        </w:rPr>
        <w:t>属性</w:t>
      </w:r>
      <w:r>
        <w:rPr>
          <w:rFonts w:hint="eastAsia"/>
          <w:lang w:val="en-GB"/>
        </w:rPr>
        <w:t>将定义</w:t>
      </w:r>
      <w:r>
        <w:rPr>
          <w:lang w:val="en-GB"/>
        </w:rPr>
        <w:t>的单位ID（</w:t>
      </w:r>
      <w:r>
        <w:rPr>
          <w:rFonts w:hint="eastAsia"/>
          <w:lang w:val="en-GB"/>
        </w:rPr>
        <w:t>u</w:t>
      </w:r>
      <w:r>
        <w:rPr>
          <w:lang w:val="en-GB"/>
        </w:rPr>
        <w:t>nit ID）指向一个预定</w:t>
      </w:r>
      <w:r>
        <w:rPr>
          <w:rFonts w:hint="eastAsia"/>
          <w:lang w:val="en-GB"/>
        </w:rPr>
        <w:t>义</w:t>
      </w:r>
      <w:r>
        <w:rPr>
          <w:lang w:val="en-GB"/>
        </w:rPr>
        <w:t>的单位；对事实值单位的定义同时也指明了事实值的含义，如为货币型元素赋值时，通过单位的定义能够明确金额所代表的币种</w:t>
      </w:r>
      <w:r>
        <w:rPr>
          <w:rFonts w:hint="eastAsia"/>
          <w:lang w:val="en-GB"/>
        </w:rPr>
        <w:t>和货币计量单位</w:t>
      </w:r>
      <w:r>
        <w:rPr>
          <w:lang w:val="en-GB"/>
        </w:rPr>
        <w:t>。</w:t>
      </w:r>
      <w:r>
        <w:rPr>
          <w:rFonts w:hint="eastAsia"/>
        </w:rPr>
        <w:t>表</w:t>
      </w:r>
      <w:r>
        <w:t>8展示了</w:t>
      </w:r>
      <w:r>
        <w:rPr>
          <w:rFonts w:hint="eastAsia"/>
        </w:rPr>
        <w:t>货币型元素常用的</w:t>
      </w:r>
      <w:r>
        <w:t>单位定义。</w:t>
      </w:r>
    </w:p>
    <w:p>
      <w:pPr>
        <w:pStyle w:val="26"/>
        <w:numPr>
          <w:ilvl w:val="0"/>
          <w:numId w:val="4"/>
        </w:numPr>
        <w:wordWrap/>
        <w:spacing w:after="0" w:line="560" w:lineRule="exact"/>
        <w:ind w:firstLineChars="0"/>
        <w:jc w:val="center"/>
        <w:rPr>
          <w:b/>
          <w:sz w:val="24"/>
          <w:szCs w:val="24"/>
        </w:rPr>
      </w:pPr>
      <w:r>
        <w:rPr>
          <w:rFonts w:hint="eastAsia"/>
          <w:b/>
          <w:sz w:val="24"/>
          <w:szCs w:val="24"/>
        </w:rPr>
        <w:t>实例文档常用单位定义举例</w:t>
      </w:r>
    </w:p>
    <w:tbl>
      <w:tblPr>
        <w:tblStyle w:val="14"/>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人民币元</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26"/>
        <w:wordWrap/>
        <w:spacing w:after="0" w:line="560" w:lineRule="exact"/>
      </w:pPr>
      <w:r>
        <w:rPr>
          <w:rFonts w:hint="eastAsia"/>
        </w:rPr>
        <w:t>在根标签中，使用&lt;xbrli:unit&gt;标签预定义计量单位，单位的定义方式如图</w:t>
      </w:r>
      <w:r>
        <w:t>6</w:t>
      </w:r>
      <w:r>
        <w:rPr>
          <w:rFonts w:hint="eastAsia"/>
        </w:rPr>
        <w:t>所示：</w:t>
      </w:r>
    </w:p>
    <w:tbl>
      <w:tblPr>
        <w:tblStyle w:val="15"/>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shd w:val="clear" w:color="auto" w:fill="F1F1F1" w:themeFill="background1" w:themeFillShade="F2"/>
          </w:tcPr>
          <w:p>
            <w:pPr>
              <w:pStyle w:val="26"/>
              <w:spacing w:after="0" w:line="560" w:lineRule="exact"/>
              <w:ind w:firstLine="0" w:firstLineChars="0"/>
              <w:rPr>
                <w:rFonts w:hint="eastAsia"/>
                <w:sz w:val="24"/>
                <w:szCs w:val="24"/>
              </w:rPr>
            </w:pPr>
            <w:r>
              <w:rPr>
                <w:rFonts w:hint="eastAsia"/>
                <w:sz w:val="24"/>
                <w:szCs w:val="24"/>
              </w:rPr>
              <w:t>&lt;xbrli:unit id="u1"&gt;</w:t>
            </w:r>
          </w:p>
          <w:p>
            <w:pPr>
              <w:pStyle w:val="26"/>
              <w:spacing w:after="0" w:line="560" w:lineRule="exact"/>
              <w:ind w:firstLine="0" w:firstLineChars="0"/>
              <w:rPr>
                <w:rFonts w:hint="eastAsia"/>
                <w:sz w:val="24"/>
                <w:szCs w:val="24"/>
              </w:rPr>
            </w:pPr>
            <w:r>
              <w:rPr>
                <w:rFonts w:hint="eastAsia"/>
                <w:sz w:val="24"/>
                <w:szCs w:val="24"/>
              </w:rPr>
              <w:t xml:space="preserve">    &lt;xbrli:measure&gt;iso4217:CNY&lt;/xbrli:measure&gt;</w:t>
            </w:r>
          </w:p>
          <w:p>
            <w:pPr>
              <w:pStyle w:val="26"/>
              <w:spacing w:after="0" w:line="560" w:lineRule="exact"/>
              <w:ind w:firstLine="0" w:firstLineChars="0"/>
              <w:rPr>
                <w:sz w:val="24"/>
                <w:szCs w:val="24"/>
              </w:rPr>
            </w:pPr>
            <w:r>
              <w:rPr>
                <w:rFonts w:hint="eastAsia"/>
                <w:sz w:val="24"/>
                <w:szCs w:val="24"/>
              </w:rPr>
              <w:t xml:space="preserve">  &lt;/xbrli:unit&gt;</w:t>
            </w:r>
          </w:p>
        </w:tc>
      </w:tr>
    </w:tbl>
    <w:p>
      <w:pPr>
        <w:pStyle w:val="22"/>
        <w:numPr>
          <w:ilvl w:val="0"/>
          <w:numId w:val="5"/>
        </w:numPr>
        <w:tabs>
          <w:tab w:val="left" w:pos="710"/>
        </w:tabs>
        <w:ind w:left="851" w:firstLineChars="0"/>
        <w:jc w:val="center"/>
        <w:rPr>
          <w:rFonts w:ascii="仿宋_GB2312" w:eastAsia="仿宋_GB2312"/>
          <w:b/>
          <w:sz w:val="24"/>
          <w:szCs w:val="24"/>
        </w:rPr>
      </w:pPr>
      <w:r>
        <w:rPr>
          <w:rFonts w:hint="eastAsia" w:ascii="仿宋_GB2312" w:eastAsia="仿宋_GB2312"/>
          <w:b/>
          <w:sz w:val="24"/>
          <w:szCs w:val="24"/>
        </w:rPr>
        <w:t>单位信息标记示例</w:t>
      </w:r>
    </w:p>
    <w:p>
      <w:pPr>
        <w:pStyle w:val="26"/>
        <w:wordWrap/>
        <w:spacing w:after="0" w:line="560" w:lineRule="exact"/>
        <w:rPr>
          <w:szCs w:val="28"/>
        </w:rPr>
      </w:pPr>
      <w:r>
        <w:rPr>
          <w:rFonts w:hint="eastAsia"/>
        </w:rPr>
        <w:t>XBRL通过事实值的precision（精确度）或decimal</w:t>
      </w:r>
      <w:r>
        <w:t>s</w:t>
      </w:r>
      <w:r>
        <w:rPr>
          <w:rFonts w:hint="eastAsia"/>
        </w:rPr>
        <w:t>（小数点位数）属性提供了表达数值型数据精确度的方式，一般使用decimal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9</w:t>
      </w:r>
      <w:r>
        <w:rPr>
          <w:rFonts w:hint="eastAsia"/>
          <w:szCs w:val="28"/>
        </w:rPr>
        <w:t>列示了</w:t>
      </w:r>
      <w:r>
        <w:rPr>
          <w:szCs w:val="28"/>
        </w:rPr>
        <w:t>数值型数据使用decimals属性的例子</w:t>
      </w:r>
      <w:r>
        <w:rPr>
          <w:rFonts w:hint="eastAsia"/>
          <w:szCs w:val="28"/>
        </w:rPr>
        <w:t>。</w:t>
      </w:r>
    </w:p>
    <w:p>
      <w:pPr>
        <w:pStyle w:val="26"/>
        <w:numPr>
          <w:ilvl w:val="0"/>
          <w:numId w:val="4"/>
        </w:numPr>
        <w:wordWrap/>
        <w:spacing w:after="0" w:line="560" w:lineRule="exact"/>
        <w:ind w:firstLineChars="0"/>
        <w:jc w:val="center"/>
        <w:rPr>
          <w:b/>
          <w:sz w:val="24"/>
          <w:szCs w:val="24"/>
        </w:rPr>
      </w:pPr>
      <w:r>
        <w:rPr>
          <w:rFonts w:hint="eastAsia"/>
          <w:b/>
          <w:sz w:val="24"/>
          <w:szCs w:val="24"/>
        </w:rPr>
        <w:t>数值型事实值的精确度举例</w:t>
      </w:r>
    </w:p>
    <w:tbl>
      <w:tblPr>
        <w:tblStyle w:val="14"/>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w:t>
            </w:r>
            <w:r>
              <w:rPr>
                <w:rFonts w:hint="eastAsia" w:ascii="Times New Roman" w:hAnsi="Times New Roman" w:eastAsia="仿宋_GB2312"/>
                <w:sz w:val="24"/>
                <w:szCs w:val="24"/>
                <w:lang w:val="en-US" w:eastAsia="zh-CN"/>
              </w:rPr>
              <w:t xml:space="preserve"> </w:t>
            </w:r>
            <w:r>
              <w:rPr>
                <w:rFonts w:ascii="Times New Roman" w:hAnsi="Times New Roman" w:eastAsia="仿宋_GB2312"/>
                <w:sz w:val="24"/>
                <w:szCs w:val="24"/>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23"/>
        <w:wordWrap/>
        <w:spacing w:line="560" w:lineRule="exact"/>
        <w:ind w:firstLine="560"/>
      </w:pPr>
      <w:r>
        <w:rPr>
          <w:rFonts w:hint="eastAsia"/>
          <w:bCs/>
        </w:rPr>
        <w:t>（四）</w:t>
      </w:r>
      <w:r>
        <w:rPr>
          <w:rFonts w:hint="eastAsia"/>
        </w:rPr>
        <w:t>实例文档命名规则</w:t>
      </w:r>
    </w:p>
    <w:p>
      <w:pPr>
        <w:pStyle w:val="26"/>
        <w:wordWrap/>
        <w:spacing w:after="0" w:line="560" w:lineRule="exact"/>
      </w:pPr>
      <w:r>
        <w:rPr>
          <w:rFonts w:hint="eastAsia"/>
        </w:rPr>
        <w:t>实例文档的命名格式为</w:t>
      </w:r>
      <w:r>
        <w:t>{</w:t>
      </w:r>
      <w:r>
        <w:rPr>
          <w:rFonts w:hint="eastAsia"/>
          <w:lang w:val="en-US" w:eastAsia="zh-CN"/>
        </w:rPr>
        <w:t>国库集中支付凭证</w:t>
      </w:r>
      <w:r>
        <w:rPr>
          <w:rFonts w:hint="eastAsia"/>
        </w:rPr>
        <w:t>类型简称</w:t>
      </w:r>
      <w:r>
        <w:t>}_</w:t>
      </w:r>
      <w:r>
        <w:rPr>
          <w:rFonts w:hint="eastAsia"/>
        </w:rPr>
        <w:t>{日期}</w:t>
      </w:r>
      <w:r>
        <w:t>_{</w:t>
      </w:r>
      <w:r>
        <w:rPr>
          <w:rFonts w:hint="eastAsia"/>
          <w:lang w:val="en-US" w:eastAsia="zh-CN"/>
        </w:rPr>
        <w:t>国库集中支付凭证</w:t>
      </w:r>
      <w:r>
        <w:rPr>
          <w:rFonts w:hint="eastAsia"/>
        </w:rPr>
        <w:t>唯一标识</w:t>
      </w:r>
      <w:r>
        <w:t>}.{文件后缀}。文件名称各组成部分之间以英文字符</w:t>
      </w:r>
      <w:r>
        <w:rPr>
          <w:rFonts w:hint="eastAsia"/>
        </w:rPr>
        <w:t>下划线</w:t>
      </w:r>
      <w:r>
        <w:t>连接。其中，{</w:t>
      </w:r>
      <w:r>
        <w:rPr>
          <w:rFonts w:hint="eastAsia"/>
          <w:lang w:val="en-US" w:eastAsia="zh-CN"/>
        </w:rPr>
        <w:t>国库集中支付凭证类型</w:t>
      </w:r>
      <w:r>
        <w:rPr>
          <w:rFonts w:hint="eastAsia"/>
        </w:rPr>
        <w:t>简称</w:t>
      </w:r>
      <w:r>
        <w:t>}</w:t>
      </w:r>
      <w:r>
        <w:rPr>
          <w:rFonts w:hint="eastAsia"/>
        </w:rPr>
        <w:t>是</w:t>
      </w:r>
      <w:r>
        <w:rPr>
          <w:rFonts w:hint="eastAsia"/>
          <w:lang w:eastAsia="zh-CN"/>
        </w:rPr>
        <w:t>ctp</w:t>
      </w:r>
      <w:r>
        <w:rPr>
          <w:rFonts w:hint="eastAsia"/>
        </w:rPr>
        <w:t>，即标识</w:t>
      </w:r>
      <w:r>
        <w:rPr>
          <w:rFonts w:hint="eastAsia"/>
          <w:lang w:val="en-US" w:eastAsia="zh-CN"/>
        </w:rPr>
        <w:t>电子凭证</w:t>
      </w:r>
      <w:r>
        <w:rPr>
          <w:rFonts w:hint="eastAsia"/>
        </w:rPr>
        <w:t>类型是</w:t>
      </w:r>
      <w:r>
        <w:rPr>
          <w:rFonts w:hint="eastAsia"/>
          <w:lang w:eastAsia="zh-CN"/>
        </w:rPr>
        <w:t>国库集中支付电子凭证</w:t>
      </w:r>
      <w:r>
        <w:rPr>
          <w:rFonts w:hint="eastAsia"/>
        </w:rPr>
        <w:t>；</w:t>
      </w:r>
      <w:r>
        <w:t>{日期}格式为yyyymmdd</w:t>
      </w:r>
      <w:r>
        <w:rPr>
          <w:rFonts w:hint="eastAsia"/>
        </w:rPr>
        <w:t>，对于接收方是记账日期；</w:t>
      </w:r>
      <w:r>
        <w:t>{</w:t>
      </w:r>
      <w:r>
        <w:rPr>
          <w:rFonts w:hint="eastAsia"/>
          <w:lang w:val="en-US" w:eastAsia="zh-CN"/>
        </w:rPr>
        <w:t>电子凭证</w:t>
      </w:r>
      <w:r>
        <w:rPr>
          <w:rFonts w:hint="eastAsia"/>
        </w:rPr>
        <w:t>唯一标识}是</w:t>
      </w:r>
      <w:r>
        <w:rPr>
          <w:rFonts w:hint="eastAsia"/>
          <w:lang w:eastAsia="zh-CN"/>
        </w:rPr>
        <w:t>国库集中支付电子凭证</w:t>
      </w:r>
      <w:r>
        <w:rPr>
          <w:rFonts w:hint="eastAsia"/>
        </w:rPr>
        <w:t>的唯一标识码，即</w:t>
      </w:r>
      <w:r>
        <w:rPr>
          <w:rFonts w:hint="eastAsia"/>
          <w:lang w:eastAsia="zh-CN"/>
        </w:rPr>
        <w:t>国库集中支付电子凭证</w:t>
      </w:r>
      <w:r>
        <w:rPr>
          <w:rFonts w:hint="eastAsia"/>
        </w:rPr>
        <w:t>标识；</w:t>
      </w:r>
      <w:r>
        <w:t>{文件后缀}是</w:t>
      </w:r>
      <w:r>
        <w:rPr>
          <w:rFonts w:hint="eastAsia"/>
        </w:rPr>
        <w:t>实例文档</w:t>
      </w:r>
      <w:r>
        <w:t>的后缀，</w:t>
      </w:r>
      <w:r>
        <w:rPr>
          <w:rFonts w:hint="eastAsia"/>
          <w:lang w:eastAsia="zh-CN"/>
        </w:rPr>
        <w:t>即.xml</w:t>
      </w:r>
      <w:r>
        <w:t>。</w:t>
      </w:r>
    </w:p>
    <w:p>
      <w:pPr>
        <w:pStyle w:val="26"/>
        <w:wordWrap/>
        <w:spacing w:after="0" w:line="560" w:lineRule="exact"/>
      </w:pPr>
      <w:r>
        <w:t>实例文档命名格式举例</w:t>
      </w:r>
      <w:r>
        <w:rPr>
          <w:rFonts w:hint="eastAsia"/>
        </w:rPr>
        <w:t>如下：</w:t>
      </w:r>
    </w:p>
    <w:p>
      <w:pPr>
        <w:pStyle w:val="26"/>
        <w:wordWrap/>
        <w:spacing w:after="0" w:line="560" w:lineRule="exact"/>
      </w:pPr>
      <w:r>
        <w:rPr>
          <w:rFonts w:hint="eastAsia"/>
          <w:lang w:eastAsia="zh-CN"/>
        </w:rPr>
        <w:t>ctp_</w:t>
      </w:r>
      <w:r>
        <w:t>yyyymmdd_</w:t>
      </w:r>
      <w:r>
        <w:rPr>
          <w:rFonts w:hint="eastAsia"/>
          <w:lang w:eastAsia="zh-CN"/>
        </w:rPr>
        <w:t>国库集中支付电子凭证</w:t>
      </w:r>
      <w:r>
        <w:rPr>
          <w:rFonts w:hint="eastAsia"/>
        </w:rPr>
        <w:t>标识.</w:t>
      </w:r>
      <w:r>
        <w:t>xml</w:t>
      </w:r>
    </w:p>
    <w:p>
      <w:pPr>
        <w:pStyle w:val="21"/>
        <w:numPr>
          <w:ilvl w:val="0"/>
          <w:numId w:val="2"/>
        </w:numPr>
        <w:wordWrap/>
        <w:spacing w:line="560" w:lineRule="exact"/>
        <w:ind w:firstLineChars="0"/>
        <w:outlineLvl w:val="0"/>
        <w:rPr>
          <w:rFonts w:hint="default"/>
          <w:lang w:val="en-US"/>
        </w:rPr>
      </w:pPr>
      <w:r>
        <w:rPr>
          <w:rFonts w:hint="eastAsia"/>
          <w:lang w:val="en-US" w:eastAsia="zh-CN"/>
        </w:rPr>
        <w:t>国库集中支付电子凭证开具方</w:t>
      </w:r>
    </w:p>
    <w:p>
      <w:pPr>
        <w:pStyle w:val="23"/>
        <w:numPr>
          <w:ilvl w:val="0"/>
          <w:numId w:val="0"/>
        </w:numPr>
        <w:spacing w:after="0" w:line="560" w:lineRule="exact"/>
        <w:ind w:firstLine="420" w:firstLineChars="0"/>
        <w:outlineLvl w:val="1"/>
        <w:rPr>
          <w:rFonts w:hint="eastAsia" w:ascii="Times New Roman" w:hAnsi="Times New Roman" w:eastAsia="楷体_GB2312" w:cstheme="minorBidi"/>
          <w:b/>
          <w:sz w:val="28"/>
          <w:szCs w:val="28"/>
          <w:lang w:val="en-US" w:eastAsia="zh-CN"/>
        </w:rPr>
      </w:pPr>
      <w:r>
        <w:rPr>
          <w:rFonts w:hint="eastAsia" w:ascii="Times New Roman" w:hAnsi="Times New Roman" w:eastAsia="楷体_GB2312" w:cstheme="minorBidi"/>
          <w:b/>
          <w:sz w:val="28"/>
          <w:szCs w:val="28"/>
          <w:lang w:eastAsia="zh-CN"/>
        </w:rPr>
        <w:t>（</w:t>
      </w:r>
      <w:r>
        <w:rPr>
          <w:rFonts w:hint="eastAsia" w:ascii="Times New Roman" w:hAnsi="Times New Roman" w:eastAsia="楷体_GB2312" w:cstheme="minorBidi"/>
          <w:b/>
          <w:sz w:val="28"/>
          <w:szCs w:val="28"/>
          <w:lang w:val="en-US" w:eastAsia="zh-CN"/>
        </w:rPr>
        <w:t>一</w:t>
      </w:r>
      <w:r>
        <w:rPr>
          <w:rFonts w:hint="eastAsia" w:ascii="Times New Roman" w:hAnsi="Times New Roman" w:eastAsia="楷体_GB2312" w:cstheme="minorBidi"/>
          <w:b/>
          <w:sz w:val="28"/>
          <w:szCs w:val="28"/>
          <w:lang w:eastAsia="zh-CN"/>
        </w:rPr>
        <w:t>）</w:t>
      </w:r>
      <w:r>
        <w:rPr>
          <w:rFonts w:hint="eastAsia" w:ascii="Times New Roman" w:hAnsi="Times New Roman" w:eastAsia="楷体_GB2312" w:cstheme="minorBidi"/>
          <w:b/>
          <w:sz w:val="28"/>
          <w:szCs w:val="28"/>
          <w:lang w:val="en-US" w:eastAsia="zh-CN"/>
        </w:rPr>
        <w:t>总体情况</w:t>
      </w:r>
    </w:p>
    <w:p>
      <w:pPr>
        <w:pStyle w:val="7"/>
        <w:spacing w:after="0"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国库集中支付电子凭证开具</w:t>
      </w:r>
      <w:r>
        <w:rPr>
          <w:rFonts w:hint="eastAsia" w:ascii="Times New Roman" w:hAnsi="Times New Roman" w:eastAsia="仿宋_GB2312" w:cs="Arial"/>
          <w:sz w:val="28"/>
          <w:szCs w:val="32"/>
          <w:lang w:val="en-US" w:eastAsia="zh-CN"/>
        </w:rPr>
        <w:t>方</w:t>
      </w:r>
      <w:r>
        <w:rPr>
          <w:rFonts w:hint="eastAsia" w:ascii="Times New Roman" w:hAnsi="Times New Roman" w:eastAsia="仿宋_GB2312" w:cs="Arial"/>
          <w:sz w:val="28"/>
          <w:szCs w:val="32"/>
        </w:rPr>
        <w:t>应按照财政主管部门的有关要求（参见《关于印发</w:t>
      </w:r>
      <w:r>
        <w:rPr>
          <w:rFonts w:hint="eastAsia" w:ascii="Times New Roman" w:hAnsi="Times New Roman" w:eastAsia="仿宋_GB2312" w:cs="Arial"/>
          <w:sz w:val="28"/>
          <w:szCs w:val="32"/>
          <w:lang w:eastAsia="zh-CN"/>
        </w:rPr>
        <w:t>〈</w:t>
      </w:r>
      <w:r>
        <w:rPr>
          <w:rFonts w:hint="eastAsia" w:ascii="Times New Roman" w:hAnsi="Times New Roman" w:eastAsia="仿宋_GB2312" w:cs="Arial"/>
          <w:sz w:val="28"/>
          <w:szCs w:val="32"/>
        </w:rPr>
        <w:t>国库集中支付电子化管理接口报文规范（2019）</w:t>
      </w:r>
      <w:r>
        <w:rPr>
          <w:rFonts w:hint="eastAsia" w:ascii="Times New Roman" w:hAnsi="Times New Roman" w:eastAsia="仿宋_GB2312" w:cs="Arial"/>
          <w:sz w:val="28"/>
          <w:szCs w:val="32"/>
          <w:lang w:eastAsia="zh-CN"/>
        </w:rPr>
        <w:t>〉</w:t>
      </w:r>
      <w:r>
        <w:rPr>
          <w:rFonts w:hint="eastAsia" w:ascii="Times New Roman" w:hAnsi="Times New Roman" w:eastAsia="仿宋_GB2312" w:cs="Arial"/>
          <w:sz w:val="28"/>
          <w:szCs w:val="32"/>
        </w:rPr>
        <w:t>的通知》（财库〔2019〕64号）</w:t>
      </w:r>
      <w:r>
        <w:rPr>
          <w:rFonts w:hint="eastAsia" w:ascii="Times New Roman" w:hAnsi="Times New Roman" w:eastAsia="仿宋_GB2312" w:cs="Arial"/>
          <w:sz w:val="28"/>
          <w:szCs w:val="32"/>
          <w:lang w:val="en-US" w:eastAsia="zh-CN"/>
        </w:rPr>
        <w:t>等文件</w:t>
      </w:r>
      <w:r>
        <w:rPr>
          <w:rFonts w:hint="eastAsia" w:ascii="Times New Roman" w:hAnsi="Times New Roman" w:eastAsia="仿宋_GB2312" w:cs="Arial"/>
          <w:sz w:val="28"/>
          <w:szCs w:val="32"/>
        </w:rPr>
        <w:t>），在业务实际发生后，开具出符合要求的国库集中支付电子凭证。</w:t>
      </w:r>
    </w:p>
    <w:p>
      <w:pPr>
        <w:spacing w:after="0" w:line="560" w:lineRule="exact"/>
        <w:ind w:firstLine="560" w:firstLineChars="200"/>
        <w:jc w:val="both"/>
        <w:rPr>
          <w:rFonts w:hint="default" w:ascii="Times New Roman" w:hAnsi="Times New Roman" w:eastAsia="仿宋_GB2312" w:cs="Arial"/>
          <w:sz w:val="28"/>
          <w:szCs w:val="32"/>
          <w:lang w:val="en-US" w:eastAsia="zh-CN"/>
        </w:rPr>
      </w:pPr>
      <w:r>
        <w:rPr>
          <w:rFonts w:hint="eastAsia" w:ascii="Times New Roman" w:hAnsi="Times New Roman" w:eastAsia="仿宋_GB2312" w:cs="Arial"/>
          <w:sz w:val="28"/>
          <w:szCs w:val="32"/>
          <w:lang w:val="en-US" w:eastAsia="zh-CN"/>
        </w:rPr>
        <w:t>以《国库集中支付电子化管理接口报文规范</w:t>
      </w:r>
      <w:r>
        <w:rPr>
          <w:rFonts w:hint="eastAsia" w:ascii="Times New Roman" w:hAnsi="Times New Roman" w:eastAsia="仿宋_GB2312" w:cs="Arial"/>
          <w:sz w:val="28"/>
          <w:szCs w:val="32"/>
        </w:rPr>
        <w:t>（2019）</w:t>
      </w:r>
      <w:r>
        <w:rPr>
          <w:rFonts w:hint="eastAsia" w:ascii="Times New Roman" w:hAnsi="Times New Roman" w:eastAsia="仿宋_GB2312" w:cs="Arial"/>
          <w:sz w:val="28"/>
          <w:szCs w:val="32"/>
          <w:lang w:val="en-US" w:eastAsia="zh-CN"/>
        </w:rPr>
        <w:t>》及其修订稿凭证报文为例进行参考，各省结合自身实际情况使用，单位会计核算共涉及21种凭证，具体如下表。若国库集中支付业务规范发生调整，导致纳入电子凭证会计数据标准的电子凭证类型发生变化，增加的电子凭证开具按照</w:t>
      </w:r>
      <w:r>
        <w:rPr>
          <w:rFonts w:hint="eastAsia" w:ascii="Times New Roman" w:hAnsi="Times New Roman" w:eastAsia="仿宋_GB2312" w:cs="Arial"/>
          <w:sz w:val="28"/>
          <w:szCs w:val="32"/>
        </w:rPr>
        <w:t>财政主管部门</w:t>
      </w:r>
      <w:r>
        <w:rPr>
          <w:rFonts w:hint="eastAsia" w:ascii="Times New Roman" w:hAnsi="Times New Roman" w:eastAsia="仿宋_GB2312" w:cs="Arial"/>
          <w:sz w:val="28"/>
          <w:szCs w:val="32"/>
          <w:lang w:val="en-US" w:eastAsia="zh-CN"/>
        </w:rPr>
        <w:t>国库集中支付业务规范执行，接收和会计处理自动纳入国库集中支付电子凭证会计数据标准范围，按照国库集中支付电子凭证会计数据标准执行。</w:t>
      </w:r>
    </w:p>
    <w:tbl>
      <w:tblPr>
        <w:tblStyle w:val="15"/>
        <w:tblW w:w="4646" w:type="pct"/>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3"/>
        <w:gridCol w:w="5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416" w:type="pct"/>
            <w:shd w:val="clear" w:color="auto" w:fill="auto"/>
            <w:vAlign w:val="center"/>
          </w:tcPr>
          <w:p>
            <w:pPr>
              <w:spacing w:after="0" w:line="240" w:lineRule="auto"/>
              <w:jc w:val="center"/>
              <w:rPr>
                <w:rFonts w:hint="default" w:ascii="Times New Roman" w:hAnsi="Times New Roman" w:eastAsia="仿宋_GB2312" w:cs="Times New Roman"/>
                <w:b/>
                <w:bCs/>
                <w:spacing w:val="-2"/>
                <w:sz w:val="24"/>
                <w:szCs w:val="24"/>
                <w:lang w:val="en-US" w:eastAsia="zh-CN"/>
              </w:rPr>
            </w:pPr>
            <w:r>
              <w:rPr>
                <w:rFonts w:hint="eastAsia" w:ascii="Times New Roman" w:hAnsi="Times New Roman" w:eastAsia="仿宋_GB2312" w:cs="Times New Roman"/>
                <w:b/>
                <w:bCs/>
                <w:spacing w:val="-2"/>
                <w:sz w:val="24"/>
                <w:szCs w:val="24"/>
                <w:lang w:val="en-US" w:eastAsia="zh-CN"/>
              </w:rPr>
              <w:t>业务类型</w:t>
            </w:r>
          </w:p>
        </w:tc>
        <w:tc>
          <w:tcPr>
            <w:tcW w:w="3583" w:type="pct"/>
            <w:shd w:val="clear" w:color="auto" w:fill="auto"/>
            <w:vAlign w:val="center"/>
          </w:tcPr>
          <w:p>
            <w:pPr>
              <w:spacing w:after="0" w:line="240" w:lineRule="auto"/>
              <w:jc w:val="center"/>
              <w:rPr>
                <w:rFonts w:hint="eastAsia" w:ascii="Times New Roman" w:hAnsi="Times New Roman" w:eastAsia="仿宋_GB2312" w:cs="Times New Roman"/>
                <w:b/>
                <w:bCs/>
                <w:spacing w:val="-2"/>
                <w:sz w:val="24"/>
                <w:szCs w:val="24"/>
                <w:lang w:val="en-US" w:eastAsia="zh-CN" w:bidi="ar-SA"/>
              </w:rPr>
            </w:pPr>
            <w:r>
              <w:rPr>
                <w:rFonts w:hint="eastAsia" w:ascii="Times New Roman" w:hAnsi="Times New Roman" w:eastAsia="仿宋_GB2312" w:cs="Times New Roman"/>
                <w:b/>
                <w:bCs/>
                <w:spacing w:val="-2"/>
                <w:sz w:val="24"/>
                <w:szCs w:val="24"/>
                <w:lang w:val="en-US" w:eastAsia="zh-CN"/>
              </w:rPr>
              <w:t>凭证类型名称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416" w:type="pct"/>
            <w:vMerge w:val="restart"/>
            <w:vAlign w:val="center"/>
          </w:tcPr>
          <w:p>
            <w:pPr>
              <w:jc w:val="center"/>
              <w:rPr>
                <w:rFonts w:hint="eastAsia" w:ascii="仿宋" w:hAnsi="仿宋" w:eastAsia="仿宋" w:cs="仿宋"/>
                <w:sz w:val="22"/>
                <w:szCs w:val="22"/>
                <w:vertAlign w:val="baseline"/>
                <w:lang w:val="en-US" w:eastAsia="zh-CN"/>
              </w:rPr>
            </w:pPr>
            <w:r>
              <w:rPr>
                <w:rFonts w:hint="eastAsia" w:ascii="Times New Roman" w:hAnsi="Times New Roman" w:eastAsia="仿宋_GB2312" w:cs="Times New Roman"/>
                <w:spacing w:val="-2"/>
                <w:lang w:val="en-US" w:eastAsia="zh-CN"/>
              </w:rPr>
              <w:t>国库集中支付</w:t>
            </w:r>
          </w:p>
        </w:tc>
        <w:tc>
          <w:tcPr>
            <w:tcW w:w="3583" w:type="pct"/>
            <w:vAlign w:val="center"/>
          </w:tcPr>
          <w:p>
            <w:pPr>
              <w:jc w:val="left"/>
              <w:rPr>
                <w:rFonts w:hint="default" w:ascii="仿宋" w:hAnsi="仿宋" w:eastAsia="仿宋" w:cs="仿宋"/>
                <w:kern w:val="2"/>
                <w:sz w:val="22"/>
                <w:szCs w:val="22"/>
                <w:highlight w:val="none"/>
                <w:vertAlign w:val="baseline"/>
                <w:lang w:val="en-US" w:eastAsia="zh-CN" w:bidi="ar-SA"/>
              </w:rPr>
            </w:pPr>
            <w:r>
              <w:rPr>
                <w:rFonts w:hint="eastAsia" w:ascii="Times New Roman" w:hAnsi="Times New Roman" w:eastAsia="仿宋_GB2312" w:cs="Times New Roman"/>
                <w:spacing w:val="-2"/>
                <w:lang w:val="en-US" w:eastAsia="zh-CN"/>
              </w:rPr>
              <w:t>财政授权支付凭证回单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财政授权支付退款通知书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托收支付凭证回单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财政直接支付（退款）入账通知书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eastAsia"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财政授权支付更正（退回）通知书回单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国库集中支付凭证回单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eastAsia"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国库集中支付明细表回单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国库集中支付资金（被动）退回通知书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国库集中支付资金（主动）退回通知书回单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委托收款支付凭证回单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eastAsia"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国库集中支付资金退回通知书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eastAsia"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国库集中支付资金退回通知书（跨年度退款）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restart"/>
            <w:vAlign w:val="center"/>
          </w:tcPr>
          <w:p>
            <w:pPr>
              <w:jc w:val="center"/>
              <w:rPr>
                <w:rFonts w:hint="eastAsia" w:ascii="仿宋" w:hAnsi="仿宋" w:eastAsia="仿宋" w:cs="仿宋"/>
                <w:sz w:val="22"/>
                <w:szCs w:val="22"/>
                <w:vertAlign w:val="baseline"/>
                <w:lang w:val="en-US" w:eastAsia="zh-CN"/>
              </w:rPr>
            </w:pPr>
            <w:r>
              <w:rPr>
                <w:rFonts w:hint="eastAsia" w:ascii="Times New Roman" w:hAnsi="Times New Roman" w:eastAsia="仿宋_GB2312" w:cs="Times New Roman"/>
                <w:spacing w:val="-2"/>
                <w:sz w:val="22"/>
                <w:szCs w:val="22"/>
                <w:vertAlign w:val="baseline"/>
                <w:lang w:val="en-US" w:eastAsia="zh-CN"/>
              </w:rPr>
              <w:t>预算拨款</w:t>
            </w:r>
          </w:p>
        </w:tc>
        <w:tc>
          <w:tcPr>
            <w:tcW w:w="3583" w:type="pct"/>
            <w:vAlign w:val="center"/>
          </w:tcPr>
          <w:p>
            <w:pPr>
              <w:jc w:val="left"/>
              <w:rPr>
                <w:rFonts w:hint="eastAsia"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预算拨款凭证回单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center"/>
              <w:rPr>
                <w:rFonts w:hint="eastAsia" w:ascii="仿宋" w:hAnsi="仿宋" w:eastAsia="仿宋" w:cs="仿宋"/>
                <w:sz w:val="22"/>
                <w:szCs w:val="22"/>
                <w:vertAlign w:val="baseline"/>
                <w:lang w:val="en-US" w:eastAsia="zh-CN"/>
              </w:rPr>
            </w:pPr>
          </w:p>
        </w:tc>
        <w:tc>
          <w:tcPr>
            <w:tcW w:w="3583" w:type="pct"/>
            <w:vAlign w:val="center"/>
          </w:tcPr>
          <w:p>
            <w:pPr>
              <w:jc w:val="left"/>
              <w:rPr>
                <w:rFonts w:hint="eastAsia"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预算拨款退款通知书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restart"/>
            <w:vAlign w:val="center"/>
          </w:tcPr>
          <w:p>
            <w:pPr>
              <w:jc w:val="center"/>
              <w:rPr>
                <w:rFonts w:hint="eastAsia" w:ascii="Times New Roman" w:hAnsi="Times New Roman" w:eastAsia="仿宋_GB2312" w:cs="Times New Roman"/>
                <w:spacing w:val="-2"/>
                <w:lang w:val="en-US" w:eastAsia="zh-CN"/>
              </w:rPr>
            </w:pPr>
            <w:r>
              <w:rPr>
                <w:rFonts w:hint="eastAsia" w:ascii="Times New Roman" w:hAnsi="Times New Roman" w:eastAsia="仿宋_GB2312" w:cs="Times New Roman"/>
                <w:spacing w:val="-2"/>
                <w:lang w:val="en-US" w:eastAsia="zh-CN"/>
              </w:rPr>
              <w:t>单位资金支付</w:t>
            </w: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单位实有资金账户扣（缴）款通知书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left"/>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单位实有资金账户到账通知书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left"/>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单位资金支付凭证回单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left"/>
              <w:rPr>
                <w:rFonts w:hint="eastAsia" w:ascii="仿宋" w:hAnsi="仿宋" w:eastAsia="仿宋" w:cs="仿宋"/>
                <w:sz w:val="22"/>
                <w:szCs w:val="22"/>
                <w:vertAlign w:val="baseline"/>
                <w:lang w:val="en-US" w:eastAsia="zh-CN"/>
              </w:rPr>
            </w:pPr>
          </w:p>
        </w:tc>
        <w:tc>
          <w:tcPr>
            <w:tcW w:w="3583" w:type="pct"/>
            <w:vAlign w:val="center"/>
          </w:tcPr>
          <w:p>
            <w:pPr>
              <w:jc w:val="left"/>
              <w:rPr>
                <w:rFonts w:hint="eastAsia" w:ascii="Times New Roman" w:hAnsi="Times New Roman" w:eastAsia="仿宋_GB2312" w:cs="Times New Roman"/>
                <w:spacing w:val="-2"/>
                <w:lang w:val="en-US" w:eastAsia="zh-CN"/>
              </w:rPr>
            </w:pPr>
            <w:r>
              <w:rPr>
                <w:rFonts w:hint="eastAsia" w:ascii="Times New Roman" w:hAnsi="Times New Roman" w:eastAsia="仿宋_GB2312" w:cs="Times New Roman"/>
                <w:spacing w:val="-2"/>
                <w:lang w:val="en-US" w:eastAsia="zh-CN"/>
              </w:rPr>
              <w:t>单位资金支付明细表回单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left"/>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单位资金（被动）退回通知书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16" w:type="pct"/>
            <w:vMerge w:val="continue"/>
            <w:vAlign w:val="center"/>
          </w:tcPr>
          <w:p>
            <w:pPr>
              <w:jc w:val="left"/>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单位资金（主动）退回通知书回单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416" w:type="pct"/>
            <w:vMerge w:val="continue"/>
            <w:vAlign w:val="center"/>
          </w:tcPr>
          <w:p>
            <w:pPr>
              <w:jc w:val="left"/>
              <w:rPr>
                <w:rFonts w:hint="eastAsia" w:ascii="仿宋" w:hAnsi="仿宋" w:eastAsia="仿宋" w:cs="仿宋"/>
                <w:sz w:val="22"/>
                <w:szCs w:val="22"/>
                <w:vertAlign w:val="baseline"/>
                <w:lang w:val="en-US" w:eastAsia="zh-CN"/>
              </w:rPr>
            </w:pPr>
          </w:p>
        </w:tc>
        <w:tc>
          <w:tcPr>
            <w:tcW w:w="3583" w:type="pct"/>
            <w:vAlign w:val="center"/>
          </w:tcPr>
          <w:p>
            <w:pPr>
              <w:jc w:val="left"/>
              <w:rPr>
                <w:rFonts w:hint="default"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单位资金委托收款支付凭证回单</w:t>
            </w:r>
          </w:p>
        </w:tc>
      </w:tr>
    </w:tbl>
    <w:p>
      <w:pPr>
        <w:pStyle w:val="23"/>
        <w:numPr>
          <w:ilvl w:val="-1"/>
          <w:numId w:val="0"/>
        </w:numPr>
        <w:wordWrap/>
        <w:spacing w:line="560" w:lineRule="exact"/>
        <w:ind w:firstLine="562" w:firstLineChars="200"/>
        <w:outlineLvl w:val="1"/>
        <w:rPr>
          <w:rFonts w:ascii="Times New Roman" w:hAnsi="Times New Roman"/>
        </w:rPr>
      </w:pPr>
      <w:r>
        <w:rPr>
          <w:rFonts w:hint="eastAsia" w:ascii="Times New Roman" w:hAnsi="Times New Roman"/>
          <w:lang w:val="en-US" w:eastAsia="zh-CN"/>
        </w:rPr>
        <w:t>（二）国库集中支付电子凭证</w:t>
      </w:r>
      <w:r>
        <w:rPr>
          <w:rFonts w:hint="eastAsia" w:ascii="Times New Roman" w:hAnsi="Times New Roman"/>
        </w:rPr>
        <w:t>示例-</w:t>
      </w:r>
      <w:r>
        <w:rPr>
          <w:rFonts w:ascii="Times New Roman" w:hAnsi="Times New Roman"/>
        </w:rPr>
        <w:t>XML</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lang w:val="en-US" w:eastAsia="zh-CN"/>
        </w:rPr>
        <w:t>以国库集中支付凭证回单（5214）这一凭证类型为</w:t>
      </w:r>
      <w:r>
        <w:rPr>
          <w:rFonts w:hint="eastAsia" w:ascii="Times New Roman" w:hAnsi="Times New Roman" w:eastAsia="仿宋_GB2312" w:cs="Arial"/>
          <w:sz w:val="28"/>
          <w:szCs w:val="32"/>
        </w:rPr>
        <w:t>例：</w:t>
      </w:r>
    </w:p>
    <w:tbl>
      <w:tblPr>
        <w:tblStyle w:val="15"/>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blCellMar>
            <w:top w:w="0" w:type="dxa"/>
            <w:left w:w="108" w:type="dxa"/>
            <w:bottom w:w="0" w:type="dxa"/>
            <w:right w:w="108" w:type="dxa"/>
          </w:tblCellMar>
        </w:tblPrEx>
        <w:trPr>
          <w:trHeight w:val="90" w:hRule="atLeast"/>
        </w:trPr>
        <w:tc>
          <w:tcPr>
            <w:tcW w:w="8330" w:type="dxa"/>
            <w:shd w:val="clear" w:color="auto" w:fill="F1F1F1"/>
            <w:noWrap w:val="0"/>
            <w:vAlign w:val="top"/>
          </w:tcPr>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&lt;?xml version="1.0" encoding="GBK"?&gt;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&lt;EVoucher&gt;</w:t>
            </w:r>
          </w:p>
          <w:p>
            <w:pPr>
              <w:spacing w:after="0"/>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&lt;Voucher&gt;</w:t>
            </w:r>
            <w:r>
              <w:rPr>
                <w:rFonts w:hint="eastAsia" w:ascii="Times New Roman" w:hAnsi="Times New Roman" w:cs="Times New Roman"/>
                <w:sz w:val="24"/>
                <w:szCs w:val="24"/>
                <w:lang w:val="en-US" w:eastAsia="zh-CN"/>
              </w:rPr>
              <w:t>base64编码的电子凭证报文数据</w:t>
            </w:r>
            <w:r>
              <w:rPr>
                <w:rFonts w:hint="default" w:ascii="Times New Roman" w:hAnsi="Times New Roman" w:cs="Times New Roman"/>
                <w:sz w:val="24"/>
                <w:szCs w:val="24"/>
              </w:rPr>
              <w:t>&lt;/Voucher&gt;</w:t>
            </w:r>
          </w:p>
          <w:p>
            <w:pPr>
              <w:spacing w:after="0"/>
              <w:ind w:firstLine="480" w:firstLineChars="200"/>
              <w:rPr>
                <w:rFonts w:hint="default"/>
              </w:rPr>
            </w:pPr>
            <w:r>
              <w:rPr>
                <w:rFonts w:hint="default" w:ascii="Times New Roman" w:hAnsi="Times New Roman" w:cs="Times New Roman"/>
                <w:sz w:val="24"/>
                <w:szCs w:val="24"/>
              </w:rPr>
              <w:t>&lt;Signature&gt;</w:t>
            </w:r>
            <w:r>
              <w:rPr>
                <w:rFonts w:hint="eastAsia" w:ascii="Times New Roman" w:hAnsi="Times New Roman" w:cs="Times New Roman"/>
                <w:sz w:val="24"/>
                <w:szCs w:val="24"/>
                <w:lang w:val="en-US" w:eastAsia="zh-CN"/>
              </w:rPr>
              <w:t>base64编码的数字签名签章结果数据</w:t>
            </w:r>
            <w:r>
              <w:rPr>
                <w:rFonts w:hint="default" w:ascii="Times New Roman" w:hAnsi="Times New Roman" w:cs="Times New Roman"/>
                <w:sz w:val="24"/>
                <w:szCs w:val="24"/>
              </w:rPr>
              <w:t>&lt;/Signature&gt;</w:t>
            </w:r>
          </w:p>
          <w:p>
            <w:pPr>
              <w:spacing w:after="0"/>
              <w:ind w:firstLine="0" w:firstLineChars="0"/>
              <w:jc w:val="left"/>
              <w:rPr>
                <w:sz w:val="24"/>
                <w:szCs w:val="24"/>
              </w:rPr>
            </w:pPr>
            <w:r>
              <w:rPr>
                <w:rFonts w:hint="default" w:ascii="Times New Roman" w:hAnsi="Times New Roman" w:cs="Times New Roman"/>
                <w:sz w:val="24"/>
                <w:szCs w:val="24"/>
              </w:rPr>
              <w:t>&lt;/EVoucher&gt;</w:t>
            </w:r>
          </w:p>
        </w:tc>
      </w:tr>
    </w:tbl>
    <w:p>
      <w:pPr>
        <w:wordWrap/>
        <w:spacing w:after="0" w:line="560" w:lineRule="exact"/>
        <w:ind w:firstLine="560" w:firstLineChars="200"/>
        <w:jc w:val="both"/>
        <w:outlineLvl w:val="1"/>
        <w:rPr>
          <w:rFonts w:hint="default" w:ascii="Times New Roman" w:hAnsi="Times New Roman" w:eastAsia="仿宋_GB2312" w:cs="Arial"/>
          <w:sz w:val="28"/>
          <w:szCs w:val="32"/>
          <w:lang w:val="en-US" w:eastAsia="zh-CN"/>
        </w:rPr>
      </w:pPr>
      <w:r>
        <w:rPr>
          <w:rFonts w:hint="default" w:ascii="Times New Roman" w:hAnsi="Times New Roman" w:eastAsia="仿宋_GB2312" w:cs="Arial"/>
          <w:b w:val="0"/>
          <w:bCs w:val="0"/>
          <w:sz w:val="28"/>
          <w:szCs w:val="32"/>
          <w:lang w:val="en-US" w:eastAsia="zh-CN"/>
        </w:rPr>
        <w:t>编码前的</w:t>
      </w:r>
      <w:r>
        <w:rPr>
          <w:rFonts w:hint="default" w:ascii="Times New Roman" w:hAnsi="Times New Roman" w:eastAsia="仿宋_GB2312" w:cs="Arial"/>
          <w:sz w:val="28"/>
          <w:szCs w:val="32"/>
          <w:lang w:val="en-US" w:eastAsia="zh-CN"/>
        </w:rPr>
        <w:t>电子凭证报文数据</w:t>
      </w:r>
      <w:r>
        <w:rPr>
          <w:rFonts w:hint="default" w:ascii="Times New Roman" w:hAnsi="Times New Roman" w:eastAsia="仿宋_GB2312" w:cs="Arial"/>
          <w:b w:val="0"/>
          <w:bCs w:val="0"/>
          <w:sz w:val="28"/>
          <w:szCs w:val="32"/>
          <w:lang w:val="en-US" w:eastAsia="zh-CN"/>
        </w:rPr>
        <w:t>（国库集中支付凭证回单）示例</w:t>
      </w:r>
      <w:r>
        <w:rPr>
          <w:rFonts w:hint="eastAsia" w:ascii="Times New Roman" w:hAnsi="Times New Roman" w:eastAsia="仿宋_GB2312"/>
          <w:sz w:val="28"/>
          <w:szCs w:val="28"/>
          <w:lang w:eastAsia="zh-CN"/>
        </w:rPr>
        <w:t>（模拟环境生成，供参考）</w:t>
      </w:r>
      <w:r>
        <w:rPr>
          <w:rFonts w:hint="default" w:ascii="Times New Roman" w:hAnsi="Times New Roman" w:eastAsia="仿宋_GB2312" w:cs="Arial"/>
          <w:b w:val="0"/>
          <w:sz w:val="28"/>
          <w:szCs w:val="32"/>
          <w:lang w:val="en-US" w:eastAsia="zh-CN"/>
        </w:rPr>
        <w:t>：</w:t>
      </w:r>
    </w:p>
    <w:tbl>
      <w:tblPr>
        <w:tblStyle w:val="15"/>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blCellMar>
            <w:top w:w="0" w:type="dxa"/>
            <w:left w:w="108" w:type="dxa"/>
            <w:bottom w:w="0" w:type="dxa"/>
            <w:right w:w="108" w:type="dxa"/>
          </w:tblCellMar>
        </w:tblPrEx>
        <w:trPr>
          <w:trHeight w:val="90" w:hRule="atLeast"/>
        </w:trPr>
        <w:tc>
          <w:tcPr>
            <w:tcW w:w="8330" w:type="dxa"/>
            <w:shd w:val="clear" w:color="auto" w:fill="F1F1F1"/>
            <w:noWrap w:val="0"/>
            <w:vAlign w:val="top"/>
          </w:tcPr>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&lt;?xml version="1.0" encoding="GBK"?&gt;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&lt;Voucher&gt;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&lt;Id&gt;3500498493851952627&lt;/Id&gt;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&lt;AdmDivCode&gt;</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00000&lt;/AdmDivCode&gt;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&lt;StYear&gt;2024&lt;/StYear&gt;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&lt;VtCode&gt;5214&lt;/VtCode&gt;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&lt;VouDate&gt;20240513&lt;/VouDate&gt;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&lt;VoucherNo&gt;409633000562090030000800001&lt;/VoucherNo&gt;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&lt;BillNo&gt;409633000905&lt;/BillNo&gt;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&lt;BillNo2/&gt;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&lt;FundTypeCode&gt;1111&lt;/FundTypeCode&gt;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&lt;FundTypeName&gt;经费拨款&lt;/FundTypeName&gt;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&lt;BgtTypeCode&gt;21&lt;/BgtTypeCode&gt;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&lt;BgtTypeName&gt;当年预算&lt;/BgtTypeName&gt;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&lt;PayTypeCode&gt;1&lt;/PayTypeCode&gt;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&lt;PayTypeName&gt;国库集中支付&lt;/PayTypeName&gt;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&lt;ProCatCode/&gt;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&lt;ProCatName/&gt;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&lt;MOFDepCode&gt;04&lt;/MOFDepCode&gt;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&lt;MOFDepName&gt;教科文股&lt;/MOFDepName&gt;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&lt;SupDepCode&gt;401&lt;/SupDepCode&gt;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&lt;SupDepName&gt;某某部门&lt;/SupDepName&gt;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&lt;AgencyCode&gt;409633&lt;/AgencyCode&gt;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&lt;AgencyName&gt;某某小学&lt;/AgencyName&gt;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&lt;ExpFuncCode&gt;2059800&lt;/ExpFuncCode&gt;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&lt;ExpFuncName&gt;教育支出&lt;/ExpFuncName&gt;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&lt;ExpFuncCode1&gt;205&lt;/ExpFuncCode1&gt;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&lt;ExpFuncName1&gt;教育支出&lt;/ExpFuncName1&gt;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&lt;ExpFuncCode2&gt;02&lt;/ExpFuncCode2&gt;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&lt;ExpFuncName2&gt;普通教育&lt;/ExpFuncName2&gt;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&lt;ExpFuncCode3&gt;99&lt;/ExpFuncCode3&gt;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&lt;ExpFuncName3&gt;教育支出&lt;/ExpFuncName3&gt;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&lt;GovExpEcoCode&gt;50603&lt;/GovExpEcoCode&gt;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&lt;GovExpEcoName&gt;商品和服务支出&lt;/GovExpEcoName&gt;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&lt;DepExpEcoCode&gt;30560&lt;/DepExpEcoCode&gt;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&lt;DepExpEcoName&gt;邮电费&lt;/DepExpEcoName&gt;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&lt;DepProCode&gt;360428229999140096004&lt;/DepProCode&gt;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&lt;DepProName&gt;某某小学_公用支出&lt;/DepProName&gt;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&lt;SetModeCode&gt;1&lt;/SetModeCode&gt;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&lt;SetModeName&gt;电子转账支付&lt;/SetModeName&gt;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&lt;PayBankCode&gt;402424800284&lt;/PayBankCode&gt;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&lt;PayBankName&gt;某某市某某支行&lt;/PayBankName&gt;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&lt;ClearBankCode&gt;011424804084&lt;/ClearBankCode&gt;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&lt;ClearBankName&gt;中华人民共和国国家金库某某县支库&lt;/ClearBankName&gt;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&lt;ClearAcctNo&gt;140408000004279008&lt;/ClearAcctNo&gt;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&lt;ClearAcctName&gt;某某县财政局“三保”资金专户&lt;/ClearAcctName&gt;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&lt;ClearAcctBankName&gt;中华人民共和国国家金库某某支库&lt;/ClearAcctBankName&gt;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&lt;PayeeAcctNo&gt;6226822011200433210&lt;/PayeeAcctNo&gt;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&lt;PayeeAcctName&gt;蔡晓东&lt;/PayeeAcctName&gt;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&lt;PayeeAcctBankName&gt;某某县农村信用合作联社某某信用社&lt;/PayeeAcctBankName&gt;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&lt;PayeeAcctBankNo/&gt;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&lt;PayAcctNo&gt;112265540000012355&lt;/PayAcctNo&gt;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&lt;PayAcctName&gt;某某小学&lt;/PayAcctName&gt;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&lt;PayAcctBankName&gt;某某县农村信用合作联社某某信用社&lt;/PayAcctBankName&gt;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&lt;PaySummaryCode/&gt;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&lt;PaySummaryName&gt;某某中小4-5月通讯费&lt;/PaySummaryName&gt;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&lt;PayAmt&gt;990.00&lt;/PayAmt&gt;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&lt;BusinessTypeCode&gt;1&lt;/BusinessTypeCode&gt;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&lt;BusinessTypeName&gt;普通业务&lt;/BusinessTypeName&gt;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&lt;TaxBillNo/&gt;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&lt;TaxayerID/&gt;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&lt;TaxOrgCode/&gt;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&lt;GovProcurementID/&gt;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&lt;CheckNo/&gt;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&lt;ForeignAmt&gt;0&lt;/ForeignAmt&gt;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&lt;CurrencyCode&gt;CNY&lt;/CurrencyCode&gt;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&lt;EstRat/&gt;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&lt;AmtUnit/&gt;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&lt;IsBatchPayment&gt;0&lt;/IsBatchPayment&gt;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&lt;XPayDate&gt;20241123112635&lt;/XPayDate&gt;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&lt;XAgentBusinessNo&gt;2995794&lt;/XAgentBusinessNo&gt;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&lt;XCheckNo/&gt;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&lt;XPayAmt&gt;990.00&lt;/XPayAmt&gt;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&lt;XPayeeAcctBankName&gt;某某县农村信用合作联社某某信用社&lt;/XPayeeAcctBankName&gt;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&lt;XPayeeAcctNo&gt;6226822011200433210&lt;/XPayeeAcctNo&gt;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&lt;XPayeeAcctName&gt;蔡晓东&lt;/XPayeeAcctName&gt;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&lt;XReturnDate&gt;20240514050430&lt;/XReturnDate&gt;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&lt;Hold1/&gt;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&lt;Hold2&gt;国库集中&lt;/Hold2&gt;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&lt;DetailList&gt;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&lt;Detail&gt;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&lt;Id&gt;3500498494499972596&lt;/Id&gt;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&lt;VoucherBillId&gt;3500498493851952627&lt;/VoucherBillId&gt;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&lt;VoucherBillNo&gt;409633000905&lt;/VoucherBillNo&gt;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&lt;VoucherDetailNo&gt;8251147729&lt;/VoucherDetailNo&gt;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&lt;FundTypeCode&gt;1111&lt;/FundTypeCode&gt;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&lt;FundTypeName&gt;经费拨款&lt;/FundTypeName&gt;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&lt;BgtTypeCode&gt;21&lt;/BgtTypeCode&gt;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&lt;BgtTypeName&gt;当年预算&lt;/BgtTypeName&gt;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&lt;ProCatCode&gt;2112&lt;/ProCatCode&gt;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&lt;ProCatName&gt;项目支出&lt;/ProCatName&gt;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&lt;PayKindCode/&gt;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&lt;PayKindName/&gt;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&lt;PayKindCode&gt;0202&lt;/PayKindCode&gt;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&lt;PayKindName&gt;授权支付&lt;/PayKindName&gt;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&lt;MOFDepCode&gt;04&lt;/MOFDepCode&gt;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&lt;MOFDepName&gt;教科文股&lt;/MOFDepName&gt;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&lt;SupDepCode&gt;401&lt;/SupDepCode&gt;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&lt;SupDepName&gt;某某部门&lt;/SupDepName&gt;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&lt;AgencyCode&gt;409633&lt;/AgencyCode&gt;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&lt;AgencyName&gt;某某小学&lt;/AgencyName&gt;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&lt;ExpFuncCode&gt;2059800&lt;/ExpFuncCode&gt;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&lt;ExpFuncName&gt;教育支出&lt;/ExpFuncName&gt;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&lt;GovExpEcoCode&gt;50603&lt;/GovExpEcoCode&gt;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&lt;GovExpEcoName&gt;商品和服务支出&lt;/GovExpEcoName&gt;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&lt;DepExpEcoCode&gt;30560&lt;/DepExpEcoCode&gt;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&lt;DepExpEcoName&gt;邮电费&lt;/DepExpEcoName&gt;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&lt;DepProCode&gt;360428229999140096004&lt;/DepProCode&gt;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&lt;DepProName&gt;某某小学_公用支出&lt;/DepProName&gt;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&lt;PayeeAcctNo&gt;6226822011200433210&lt;/PayeeAcctNo&gt;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&lt;PayeeAcctName&gt;蔡晓东&lt;/PayeeAcctName&gt;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&lt;PayeeAcctBankName&gt;某某县农村信用合作联社某某信用社&lt;/PayeeAcctBankName&gt;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&lt;PayeeAcctBankNo/&gt;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&lt;TrackingID/&gt;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&lt;PayAmt&gt;990.00&lt;/PayAmt&gt;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&lt;Remark/&gt;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&lt;ForeignAmt&gt;0&lt;/ForeignAmt&gt;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&lt;CurrencyCode&gt;CNY&lt;/CurrencyCode&gt;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&lt;EstRat/&gt;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&lt;ReceiverCode/&gt;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&lt;AmtUnit/&gt;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&lt;XPayDate&gt;20241123112635&lt;/XPayDate&gt;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&lt;XAgentBusinessNo&gt;2995794&lt;/XAgentBusinessNo&gt;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&lt;XCheckNo/&gt;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&lt;XPayAmt&gt;990.00&lt;/XPayAmt&gt;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&lt;XAddWord/&gt;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&lt;XPayeeAcctBankName&gt;某某县农村信用合作联社某某信用社&lt;/XPayeeAcctBankName&gt;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&lt;XPayeeAcctNo&gt;6226822011200433210&lt;/XPayeeAcctNo&gt;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&lt;XPayeeAcctName&gt;蔡晓东&lt;/XPayeeAcctName&gt;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&lt;XReturnDate&gt;20240514050430&lt;/XReturnDate&gt;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&lt;Hold1/&gt;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&lt;Hold2/&gt;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&lt;Hold3/&gt;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&lt;Hold4/&gt;</w:t>
            </w:r>
          </w:p>
          <w:p>
            <w:pPr>
              <w:spacing w:after="0"/>
              <w:ind w:firstLine="0" w:firstLineChars="0"/>
              <w:jc w:val="left"/>
              <w:rPr>
                <w:rFonts w:hint="default" w:ascii="Times New Roman" w:hAnsi="Times New Roman" w:cs="Times New Roman"/>
                <w:sz w:val="24"/>
                <w:szCs w:val="24"/>
              </w:rPr>
            </w:pPr>
            <w:r>
              <w:rPr>
                <w:rFonts w:hint="default" w:ascii="Times New Roman" w:hAnsi="Times New Roman" w:cs="Times New Roman"/>
                <w:sz w:val="24"/>
                <w:szCs w:val="24"/>
              </w:rPr>
              <w:t>&lt;/Detail&gt;</w:t>
            </w:r>
          </w:p>
          <w:p>
            <w:pPr>
              <w:spacing w:after="0"/>
            </w:pPr>
            <w:r>
              <w:rPr>
                <w:rFonts w:hint="default" w:ascii="Times New Roman" w:hAnsi="Times New Roman" w:cs="Times New Roman"/>
                <w:sz w:val="24"/>
                <w:szCs w:val="24"/>
              </w:rPr>
              <w:t>&lt;/DetailList&gt;</w:t>
            </w:r>
          </w:p>
          <w:p>
            <w:pPr>
              <w:spacing w:after="0"/>
              <w:ind w:firstLine="0" w:firstLineChars="0"/>
              <w:jc w:val="left"/>
              <w:rPr>
                <w:sz w:val="24"/>
                <w:szCs w:val="24"/>
              </w:rPr>
            </w:pPr>
            <w:r>
              <w:rPr>
                <w:rFonts w:hint="default" w:ascii="Times New Roman" w:hAnsi="Times New Roman" w:cs="Times New Roman"/>
                <w:sz w:val="24"/>
                <w:szCs w:val="24"/>
              </w:rPr>
              <w:t>&lt;/Voucher&gt;</w:t>
            </w:r>
          </w:p>
        </w:tc>
      </w:tr>
    </w:tbl>
    <w:p>
      <w:pPr>
        <w:pStyle w:val="23"/>
        <w:numPr>
          <w:ilvl w:val="-1"/>
          <w:numId w:val="0"/>
        </w:numPr>
        <w:wordWrap/>
        <w:spacing w:line="560" w:lineRule="exact"/>
        <w:ind w:firstLineChars="200"/>
        <w:outlineLvl w:val="1"/>
        <w:rPr>
          <w:rFonts w:ascii="Times New Roman" w:hAnsi="Times New Roman"/>
        </w:rPr>
      </w:pPr>
      <w:r>
        <w:rPr>
          <w:rFonts w:hint="eastAsia" w:ascii="Times New Roman" w:hAnsi="Times New Roman"/>
          <w:lang w:val="en-US" w:eastAsia="zh-CN"/>
        </w:rPr>
        <w:t>（三）国库集中支付电子凭证</w:t>
      </w:r>
      <w:r>
        <w:rPr>
          <w:rFonts w:hint="eastAsia" w:ascii="Times New Roman" w:hAnsi="Times New Roman"/>
        </w:rPr>
        <w:t>示例数据要素说明</w:t>
      </w:r>
    </w:p>
    <w:p>
      <w:pPr>
        <w:pStyle w:val="30"/>
        <w:ind w:firstLine="562"/>
        <w:rPr>
          <w:rFonts w:hint="eastAsia"/>
        </w:rPr>
      </w:pPr>
      <w:r>
        <w:rPr>
          <w:rFonts w:hint="eastAsia"/>
        </w:rPr>
        <w:t>1</w:t>
      </w:r>
      <w:r>
        <w:rPr>
          <w:rFonts w:hint="eastAsia" w:cs="Times New Roman"/>
        </w:rPr>
        <w:t>．</w:t>
      </w:r>
      <w:r>
        <w:rPr>
          <w:rFonts w:hint="eastAsia"/>
        </w:rPr>
        <w:t>总体结构</w:t>
      </w:r>
      <w:r>
        <w:rPr>
          <w:rFonts w:hint="eastAsia"/>
        </w:rPr>
        <w:br w:type="textWrapping"/>
      </w:r>
      <w:r>
        <w:rPr>
          <w:rFonts w:hint="eastAsia" w:ascii="Times New Roman" w:hAnsi="Times New Roman"/>
          <w:lang w:val="en-US" w:eastAsia="zh-CN"/>
        </w:rPr>
        <w:t>国库集中支付电子凭证</w:t>
      </w:r>
      <w:r>
        <w:rPr>
          <w:rFonts w:hint="eastAsia" w:ascii="Times New Roman" w:hAnsi="Times New Roman"/>
        </w:rPr>
        <w:t>XML</w:t>
      </w:r>
      <w:r>
        <w:rPr>
          <w:rFonts w:hint="eastAsia"/>
          <w:lang w:eastAsia="zh-CN"/>
        </w:rPr>
        <w:t>：</w:t>
      </w:r>
    </w:p>
    <w:tbl>
      <w:tblPr>
        <w:tblStyle w:val="14"/>
        <w:tblW w:w="8936" w:type="dxa"/>
        <w:jc w:val="center"/>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Layout w:type="fixed"/>
        <w:tblCellMar>
          <w:top w:w="0" w:type="dxa"/>
          <w:left w:w="108" w:type="dxa"/>
          <w:bottom w:w="0" w:type="dxa"/>
          <w:right w:w="108" w:type="dxa"/>
        </w:tblCellMar>
      </w:tblPr>
      <w:tblGrid>
        <w:gridCol w:w="2216"/>
        <w:gridCol w:w="1920"/>
        <w:gridCol w:w="915"/>
        <w:gridCol w:w="1380"/>
        <w:gridCol w:w="1560"/>
        <w:gridCol w:w="945"/>
      </w:tblGrid>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28" w:hRule="atLeast"/>
          <w:jc w:val="center"/>
        </w:trPr>
        <w:tc>
          <w:tcPr>
            <w:tcW w:w="2216"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eastAsia="仿宋_GB2312" w:cs="Times New Roman"/>
                <w:b/>
                <w:bCs/>
                <w:spacing w:val="-2"/>
                <w:sz w:val="24"/>
                <w:szCs w:val="24"/>
              </w:rPr>
            </w:pPr>
            <w:r>
              <w:rPr>
                <w:rFonts w:ascii="Times New Roman" w:hAnsi="Times New Roman" w:eastAsia="仿宋_GB2312" w:cs="Times New Roman"/>
                <w:b/>
                <w:bCs/>
                <w:spacing w:val="-2"/>
                <w:sz w:val="24"/>
                <w:szCs w:val="24"/>
              </w:rPr>
              <w:t>数据项</w:t>
            </w:r>
          </w:p>
        </w:tc>
        <w:tc>
          <w:tcPr>
            <w:tcW w:w="1920"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eastAsia="仿宋_GB2312" w:cs="Times New Roman"/>
                <w:b/>
                <w:bCs/>
                <w:spacing w:val="-2"/>
                <w:sz w:val="24"/>
                <w:szCs w:val="24"/>
              </w:rPr>
            </w:pPr>
            <w:r>
              <w:rPr>
                <w:rFonts w:ascii="Times New Roman" w:hAnsi="Times New Roman" w:eastAsia="仿宋_GB2312" w:cs="Times New Roman"/>
                <w:b/>
                <w:bCs/>
                <w:spacing w:val="-2"/>
                <w:sz w:val="24"/>
                <w:szCs w:val="24"/>
              </w:rPr>
              <w:t>数据项名称</w:t>
            </w:r>
          </w:p>
        </w:tc>
        <w:tc>
          <w:tcPr>
            <w:tcW w:w="915"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eastAsia="仿宋_GB2312" w:cs="Times New Roman"/>
                <w:b/>
                <w:bCs/>
                <w:spacing w:val="-2"/>
                <w:sz w:val="24"/>
                <w:szCs w:val="24"/>
              </w:rPr>
            </w:pPr>
            <w:r>
              <w:rPr>
                <w:rFonts w:ascii="Times New Roman" w:hAnsi="Times New Roman" w:eastAsia="仿宋_GB2312" w:cs="Times New Roman"/>
                <w:b/>
                <w:bCs/>
                <w:spacing w:val="-2"/>
                <w:sz w:val="24"/>
                <w:szCs w:val="24"/>
              </w:rPr>
              <w:t>类型</w:t>
            </w:r>
          </w:p>
        </w:tc>
        <w:tc>
          <w:tcPr>
            <w:tcW w:w="1380"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eastAsia="仿宋_GB2312" w:cs="Times New Roman"/>
                <w:b/>
                <w:bCs/>
                <w:spacing w:val="-2"/>
                <w:sz w:val="24"/>
                <w:szCs w:val="24"/>
              </w:rPr>
            </w:pPr>
            <w:r>
              <w:rPr>
                <w:rFonts w:ascii="Times New Roman" w:hAnsi="Times New Roman" w:eastAsia="仿宋_GB2312" w:cs="Times New Roman"/>
                <w:b/>
                <w:bCs/>
                <w:spacing w:val="-2"/>
                <w:sz w:val="24"/>
                <w:szCs w:val="24"/>
              </w:rPr>
              <w:t>长度</w:t>
            </w:r>
          </w:p>
        </w:tc>
        <w:tc>
          <w:tcPr>
            <w:tcW w:w="1560"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eastAsia="仿宋_GB2312" w:cs="Times New Roman"/>
                <w:b/>
                <w:bCs/>
                <w:spacing w:val="-2"/>
                <w:sz w:val="24"/>
                <w:szCs w:val="24"/>
              </w:rPr>
            </w:pPr>
            <w:r>
              <w:rPr>
                <w:rFonts w:ascii="Times New Roman" w:hAnsi="Times New Roman" w:eastAsia="仿宋_GB2312" w:cs="Times New Roman"/>
                <w:b/>
                <w:bCs/>
                <w:spacing w:val="-2"/>
                <w:sz w:val="24"/>
                <w:szCs w:val="24"/>
              </w:rPr>
              <w:t>说明</w:t>
            </w:r>
          </w:p>
        </w:tc>
        <w:tc>
          <w:tcPr>
            <w:tcW w:w="945"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cs="Times New Roman"/>
                <w:spacing w:val="-2"/>
                <w:sz w:val="18"/>
                <w:szCs w:val="18"/>
              </w:rPr>
            </w:pPr>
            <w:r>
              <w:rPr>
                <w:rFonts w:ascii="Times New Roman" w:hAnsi="Times New Roman" w:eastAsia="仿宋_GB2312" w:cs="Times New Roman"/>
                <w:b/>
                <w:bCs/>
                <w:spacing w:val="-2"/>
                <w:sz w:val="24"/>
                <w:szCs w:val="24"/>
              </w:rPr>
              <w:t>基数</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6" w:hRule="atLeast"/>
          <w:jc w:val="center"/>
        </w:trPr>
        <w:tc>
          <w:tcPr>
            <w:tcW w:w="2216"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r>
              <w:rPr>
                <w:rFonts w:hint="eastAsia" w:ascii="Times New Roman" w:hAnsi="Times New Roman" w:eastAsia="仿宋_GB2312" w:cs="Times New Roman"/>
                <w:spacing w:val="-2"/>
                <w:sz w:val="22"/>
                <w:szCs w:val="22"/>
              </w:rPr>
              <w:t>EVoucher</w:t>
            </w:r>
          </w:p>
        </w:tc>
        <w:tc>
          <w:tcPr>
            <w:tcW w:w="192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hint="eastAsia" w:ascii="Times New Roman" w:hAnsi="Times New Roman" w:eastAsia="仿宋_GB2312" w:cs="Times New Roman"/>
                <w:spacing w:val="-2"/>
                <w:sz w:val="22"/>
                <w:szCs w:val="22"/>
                <w:lang w:val="en-US" w:eastAsia="zh-CN"/>
              </w:rPr>
            </w:pPr>
            <w:r>
              <w:rPr>
                <w:rFonts w:ascii="Times New Roman" w:hAnsi="Times New Roman" w:eastAsia="仿宋_GB2312" w:cs="Times New Roman"/>
                <w:spacing w:val="-2"/>
                <w:sz w:val="22"/>
                <w:szCs w:val="22"/>
              </w:rPr>
              <w:t>电子</w:t>
            </w:r>
            <w:r>
              <w:rPr>
                <w:rFonts w:hint="eastAsia" w:ascii="Times New Roman" w:hAnsi="Times New Roman" w:eastAsia="仿宋_GB2312" w:cs="Times New Roman"/>
                <w:spacing w:val="-2"/>
                <w:sz w:val="22"/>
                <w:szCs w:val="22"/>
                <w:lang w:val="en-US" w:eastAsia="zh-CN"/>
              </w:rPr>
              <w:t>凭证</w:t>
            </w:r>
          </w:p>
        </w:tc>
        <w:tc>
          <w:tcPr>
            <w:tcW w:w="91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r>
              <w:rPr>
                <w:rFonts w:ascii="Times New Roman" w:hAnsi="Times New Roman" w:eastAsia="仿宋_GB2312" w:cs="Times New Roman"/>
                <w:spacing w:val="-2"/>
                <w:sz w:val="22"/>
                <w:szCs w:val="22"/>
              </w:rPr>
              <w:t>根节点</w:t>
            </w:r>
          </w:p>
        </w:tc>
        <w:tc>
          <w:tcPr>
            <w:tcW w:w="138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p>
        </w:tc>
        <w:tc>
          <w:tcPr>
            <w:tcW w:w="156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p>
        </w:tc>
        <w:tc>
          <w:tcPr>
            <w:tcW w:w="94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jc w:val="center"/>
              <w:rPr>
                <w:rFonts w:ascii="Times New Roman" w:hAnsi="Times New Roman" w:cs="Times New Roman"/>
                <w:spacing w:val="-2"/>
                <w:sz w:val="22"/>
                <w:szCs w:val="22"/>
              </w:rPr>
            </w:pPr>
            <w:r>
              <w:rPr>
                <w:rFonts w:ascii="Times New Roman" w:hAnsi="Times New Roman" w:cs="Times New Roman"/>
                <w:spacing w:val="-2"/>
                <w:sz w:val="22"/>
                <w:szCs w:val="2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6" w:hRule="atLeast"/>
          <w:jc w:val="center"/>
        </w:trPr>
        <w:tc>
          <w:tcPr>
            <w:tcW w:w="2216"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r>
              <w:rPr>
                <w:rFonts w:ascii="Times New Roman" w:hAnsi="Times New Roman" w:eastAsia="仿宋_GB2312" w:cs="Times New Roman"/>
                <w:spacing w:val="-2"/>
                <w:sz w:val="22"/>
                <w:szCs w:val="22"/>
              </w:rPr>
              <w:t>├</w:t>
            </w:r>
            <w:r>
              <w:rPr>
                <w:rFonts w:hint="eastAsia" w:ascii="Times New Roman" w:hAnsi="Times New Roman" w:eastAsia="仿宋_GB2312" w:cs="Times New Roman"/>
                <w:spacing w:val="-2"/>
                <w:sz w:val="22"/>
                <w:szCs w:val="22"/>
                <w:lang w:val="en-US" w:eastAsia="zh-CN"/>
              </w:rPr>
              <w:t xml:space="preserve"> </w:t>
            </w:r>
            <w:r>
              <w:rPr>
                <w:rFonts w:hint="eastAsia" w:ascii="Times New Roman" w:hAnsi="Times New Roman" w:eastAsia="仿宋_GB2312" w:cs="Times New Roman"/>
                <w:spacing w:val="-2"/>
                <w:sz w:val="22"/>
                <w:szCs w:val="22"/>
              </w:rPr>
              <w:t>Voucher</w:t>
            </w:r>
          </w:p>
        </w:tc>
        <w:tc>
          <w:tcPr>
            <w:tcW w:w="192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r>
              <w:rPr>
                <w:rFonts w:ascii="Times New Roman" w:hAnsi="Times New Roman" w:eastAsia="仿宋_GB2312" w:cs="Times New Roman"/>
                <w:spacing w:val="-2"/>
                <w:sz w:val="22"/>
                <w:szCs w:val="22"/>
              </w:rPr>
              <w:t>电子票据票面信息</w:t>
            </w:r>
          </w:p>
        </w:tc>
        <w:tc>
          <w:tcPr>
            <w:tcW w:w="91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r>
              <w:rPr>
                <w:rFonts w:ascii="Times New Roman" w:hAnsi="Times New Roman" w:eastAsia="仿宋_GB2312" w:cs="Times New Roman"/>
                <w:spacing w:val="-2"/>
                <w:sz w:val="22"/>
                <w:szCs w:val="22"/>
              </w:rPr>
              <w:t>节点</w:t>
            </w:r>
          </w:p>
        </w:tc>
        <w:tc>
          <w:tcPr>
            <w:tcW w:w="138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p>
        </w:tc>
        <w:tc>
          <w:tcPr>
            <w:tcW w:w="156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p>
        </w:tc>
        <w:tc>
          <w:tcPr>
            <w:tcW w:w="94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jc w:val="center"/>
              <w:rPr>
                <w:rFonts w:ascii="Times New Roman" w:hAnsi="Times New Roman" w:cs="Times New Roman"/>
                <w:spacing w:val="-2"/>
                <w:sz w:val="22"/>
                <w:szCs w:val="22"/>
              </w:rPr>
            </w:pPr>
            <w:r>
              <w:rPr>
                <w:rFonts w:ascii="Times New Roman" w:hAnsi="Times New Roman" w:cs="Times New Roman"/>
                <w:spacing w:val="-2"/>
                <w:sz w:val="22"/>
                <w:szCs w:val="2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90" w:hRule="atLeast"/>
          <w:jc w:val="center"/>
        </w:trPr>
        <w:tc>
          <w:tcPr>
            <w:tcW w:w="2216"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r>
              <w:rPr>
                <w:rFonts w:ascii="Times New Roman" w:hAnsi="Times New Roman" w:eastAsia="仿宋_GB2312" w:cs="Times New Roman"/>
                <w:spacing w:val="-2"/>
                <w:sz w:val="22"/>
                <w:szCs w:val="22"/>
              </w:rPr>
              <w:t xml:space="preserve">├ </w:t>
            </w:r>
            <w:r>
              <w:rPr>
                <w:rFonts w:hint="default" w:ascii="Times New Roman" w:hAnsi="Times New Roman" w:eastAsia="仿宋_GB2312" w:cs="Times New Roman"/>
                <w:spacing w:val="-2"/>
              </w:rPr>
              <w:t>Signature</w:t>
            </w:r>
          </w:p>
        </w:tc>
        <w:tc>
          <w:tcPr>
            <w:tcW w:w="192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hint="default" w:ascii="Times New Roman" w:hAnsi="Times New Roman" w:eastAsia="仿宋_GB2312" w:cs="Times New Roman"/>
                <w:spacing w:val="-2"/>
                <w:sz w:val="22"/>
                <w:szCs w:val="22"/>
                <w:lang w:val="en-US" w:eastAsia="zh-CN"/>
              </w:rPr>
            </w:pPr>
            <w:r>
              <w:rPr>
                <w:rFonts w:hint="eastAsia" w:ascii="Times New Roman" w:hAnsi="Times New Roman" w:eastAsia="仿宋_GB2312" w:cs="Times New Roman"/>
                <w:spacing w:val="-2"/>
                <w:lang w:val="en-US" w:eastAsia="zh-CN"/>
              </w:rPr>
              <w:t>凭证数字签名信息</w:t>
            </w:r>
          </w:p>
        </w:tc>
        <w:tc>
          <w:tcPr>
            <w:tcW w:w="91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r>
              <w:rPr>
                <w:rFonts w:ascii="Times New Roman" w:hAnsi="Times New Roman" w:eastAsia="仿宋_GB2312" w:cs="Times New Roman"/>
                <w:spacing w:val="-2"/>
                <w:sz w:val="22"/>
                <w:szCs w:val="22"/>
              </w:rPr>
              <w:t>节点</w:t>
            </w:r>
          </w:p>
        </w:tc>
        <w:tc>
          <w:tcPr>
            <w:tcW w:w="138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p>
        </w:tc>
        <w:tc>
          <w:tcPr>
            <w:tcW w:w="156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p>
        </w:tc>
        <w:tc>
          <w:tcPr>
            <w:tcW w:w="94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jc w:val="center"/>
              <w:rPr>
                <w:rFonts w:ascii="Times New Roman" w:hAnsi="Times New Roman" w:cs="Times New Roman"/>
                <w:spacing w:val="-2"/>
                <w:sz w:val="22"/>
                <w:szCs w:val="22"/>
              </w:rPr>
            </w:pPr>
            <w:r>
              <w:rPr>
                <w:rFonts w:ascii="Times New Roman" w:hAnsi="Times New Roman" w:cs="Times New Roman"/>
                <w:spacing w:val="-2"/>
                <w:sz w:val="22"/>
                <w:szCs w:val="22"/>
              </w:rPr>
              <w:t>1</w:t>
            </w:r>
          </w:p>
        </w:tc>
      </w:tr>
    </w:tbl>
    <w:p>
      <w:pPr>
        <w:spacing w:after="0" w:line="560" w:lineRule="exact"/>
        <w:ind w:firstLine="0" w:firstLineChars="0"/>
        <w:jc w:val="both"/>
        <w:rPr>
          <w:rFonts w:hint="eastAsia" w:ascii="Times New Roman" w:hAnsi="Times New Roman" w:eastAsia="仿宋_GB2312" w:cs="Arial"/>
          <w:b/>
          <w:sz w:val="28"/>
          <w:szCs w:val="32"/>
          <w:lang w:eastAsia="zh-CN"/>
        </w:rPr>
      </w:pPr>
      <w:r>
        <w:rPr>
          <w:rFonts w:hint="eastAsia" w:ascii="Times New Roman" w:hAnsi="Times New Roman" w:eastAsia="仿宋_GB2312" w:cs="Arial"/>
          <w:b/>
          <w:sz w:val="28"/>
          <w:szCs w:val="32"/>
          <w:lang w:val="en-US" w:eastAsia="zh-CN"/>
        </w:rPr>
        <w:t>编码前的电子凭证报文</w:t>
      </w:r>
      <w:r>
        <w:rPr>
          <w:rFonts w:hint="eastAsia" w:ascii="Times New Roman" w:hAnsi="Times New Roman" w:eastAsia="仿宋_GB2312" w:cs="Arial"/>
          <w:b/>
          <w:sz w:val="28"/>
          <w:szCs w:val="32"/>
        </w:rPr>
        <w:t>XML</w:t>
      </w:r>
      <w:r>
        <w:rPr>
          <w:rFonts w:hint="eastAsia" w:ascii="Times New Roman" w:hAnsi="Times New Roman" w:eastAsia="仿宋_GB2312" w:cs="Arial"/>
          <w:b/>
          <w:sz w:val="28"/>
          <w:szCs w:val="32"/>
          <w:lang w:eastAsia="zh-CN"/>
        </w:rPr>
        <w:t>：</w:t>
      </w:r>
    </w:p>
    <w:tbl>
      <w:tblPr>
        <w:tblStyle w:val="14"/>
        <w:tblW w:w="8936" w:type="dxa"/>
        <w:jc w:val="center"/>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Layout w:type="fixed"/>
        <w:tblCellMar>
          <w:top w:w="0" w:type="dxa"/>
          <w:left w:w="108" w:type="dxa"/>
          <w:bottom w:w="0" w:type="dxa"/>
          <w:right w:w="108" w:type="dxa"/>
        </w:tblCellMar>
      </w:tblPr>
      <w:tblGrid>
        <w:gridCol w:w="2216"/>
        <w:gridCol w:w="1920"/>
        <w:gridCol w:w="915"/>
        <w:gridCol w:w="1380"/>
        <w:gridCol w:w="1560"/>
        <w:gridCol w:w="945"/>
      </w:tblGrid>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28" w:hRule="atLeast"/>
          <w:jc w:val="center"/>
        </w:trPr>
        <w:tc>
          <w:tcPr>
            <w:tcW w:w="2216"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eastAsia="仿宋_GB2312" w:cs="Times New Roman"/>
                <w:b/>
                <w:bCs/>
                <w:spacing w:val="-2"/>
                <w:sz w:val="24"/>
                <w:szCs w:val="24"/>
              </w:rPr>
            </w:pPr>
            <w:r>
              <w:rPr>
                <w:rFonts w:ascii="Times New Roman" w:hAnsi="Times New Roman" w:eastAsia="仿宋_GB2312" w:cs="Times New Roman"/>
                <w:b/>
                <w:bCs/>
                <w:spacing w:val="-2"/>
                <w:sz w:val="24"/>
                <w:szCs w:val="24"/>
              </w:rPr>
              <w:t>数据项</w:t>
            </w:r>
          </w:p>
        </w:tc>
        <w:tc>
          <w:tcPr>
            <w:tcW w:w="1920"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eastAsia="仿宋_GB2312" w:cs="Times New Roman"/>
                <w:b/>
                <w:bCs/>
                <w:spacing w:val="-2"/>
                <w:sz w:val="24"/>
                <w:szCs w:val="24"/>
              </w:rPr>
            </w:pPr>
            <w:r>
              <w:rPr>
                <w:rFonts w:ascii="Times New Roman" w:hAnsi="Times New Roman" w:eastAsia="仿宋_GB2312" w:cs="Times New Roman"/>
                <w:b/>
                <w:bCs/>
                <w:spacing w:val="-2"/>
                <w:sz w:val="24"/>
                <w:szCs w:val="24"/>
              </w:rPr>
              <w:t>数据项名称</w:t>
            </w:r>
          </w:p>
        </w:tc>
        <w:tc>
          <w:tcPr>
            <w:tcW w:w="915"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eastAsia="仿宋_GB2312" w:cs="Times New Roman"/>
                <w:b/>
                <w:bCs/>
                <w:spacing w:val="-2"/>
                <w:sz w:val="24"/>
                <w:szCs w:val="24"/>
              </w:rPr>
            </w:pPr>
            <w:r>
              <w:rPr>
                <w:rFonts w:ascii="Times New Roman" w:hAnsi="Times New Roman" w:eastAsia="仿宋_GB2312" w:cs="Times New Roman"/>
                <w:b/>
                <w:bCs/>
                <w:spacing w:val="-2"/>
                <w:sz w:val="24"/>
                <w:szCs w:val="24"/>
              </w:rPr>
              <w:t>类型</w:t>
            </w:r>
          </w:p>
        </w:tc>
        <w:tc>
          <w:tcPr>
            <w:tcW w:w="1380"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eastAsia="仿宋_GB2312" w:cs="Times New Roman"/>
                <w:b/>
                <w:bCs/>
                <w:spacing w:val="-2"/>
                <w:sz w:val="24"/>
                <w:szCs w:val="24"/>
              </w:rPr>
            </w:pPr>
            <w:r>
              <w:rPr>
                <w:rFonts w:ascii="Times New Roman" w:hAnsi="Times New Roman" w:eastAsia="仿宋_GB2312" w:cs="Times New Roman"/>
                <w:b/>
                <w:bCs/>
                <w:spacing w:val="-2"/>
                <w:sz w:val="24"/>
                <w:szCs w:val="24"/>
              </w:rPr>
              <w:t>长度</w:t>
            </w:r>
          </w:p>
        </w:tc>
        <w:tc>
          <w:tcPr>
            <w:tcW w:w="1560"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eastAsia="仿宋_GB2312" w:cs="Times New Roman"/>
                <w:b/>
                <w:bCs/>
                <w:spacing w:val="-2"/>
                <w:sz w:val="24"/>
                <w:szCs w:val="24"/>
              </w:rPr>
            </w:pPr>
            <w:r>
              <w:rPr>
                <w:rFonts w:ascii="Times New Roman" w:hAnsi="Times New Roman" w:eastAsia="仿宋_GB2312" w:cs="Times New Roman"/>
                <w:b/>
                <w:bCs/>
                <w:spacing w:val="-2"/>
                <w:sz w:val="24"/>
                <w:szCs w:val="24"/>
              </w:rPr>
              <w:t>说明</w:t>
            </w:r>
          </w:p>
        </w:tc>
        <w:tc>
          <w:tcPr>
            <w:tcW w:w="945" w:type="dxa"/>
            <w:tcBorders>
              <w:top w:val="single" w:color="818181" w:sz="2" w:space="0"/>
              <w:left w:val="single" w:color="818181" w:sz="6" w:space="0"/>
              <w:bottom w:val="single" w:color="818181" w:sz="2" w:space="0"/>
              <w:right w:val="single" w:color="818181" w:sz="6" w:space="0"/>
            </w:tcBorders>
            <w:noWrap w:val="0"/>
            <w:vAlign w:val="center"/>
          </w:tcPr>
          <w:p>
            <w:pPr>
              <w:spacing w:after="0" w:line="240" w:lineRule="auto"/>
              <w:jc w:val="center"/>
              <w:rPr>
                <w:rFonts w:ascii="Times New Roman" w:hAnsi="Times New Roman" w:cs="Times New Roman"/>
                <w:spacing w:val="-2"/>
                <w:sz w:val="18"/>
                <w:szCs w:val="18"/>
              </w:rPr>
            </w:pPr>
            <w:r>
              <w:rPr>
                <w:rFonts w:ascii="Times New Roman" w:hAnsi="Times New Roman" w:eastAsia="仿宋_GB2312" w:cs="Times New Roman"/>
                <w:b/>
                <w:bCs/>
                <w:spacing w:val="-2"/>
                <w:sz w:val="24"/>
                <w:szCs w:val="24"/>
              </w:rPr>
              <w:t>基数</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6" w:hRule="atLeast"/>
          <w:jc w:val="center"/>
        </w:trPr>
        <w:tc>
          <w:tcPr>
            <w:tcW w:w="2216"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r>
              <w:rPr>
                <w:rFonts w:hint="eastAsia" w:ascii="Times New Roman" w:hAnsi="Times New Roman" w:eastAsia="仿宋_GB2312" w:cs="Times New Roman"/>
                <w:spacing w:val="-2"/>
                <w:sz w:val="22"/>
                <w:szCs w:val="22"/>
              </w:rPr>
              <w:t>Voucher</w:t>
            </w:r>
          </w:p>
        </w:tc>
        <w:tc>
          <w:tcPr>
            <w:tcW w:w="192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r>
              <w:rPr>
                <w:rFonts w:ascii="Times New Roman" w:hAnsi="Times New Roman" w:eastAsia="仿宋_GB2312" w:cs="Times New Roman"/>
                <w:spacing w:val="-2"/>
                <w:sz w:val="22"/>
                <w:szCs w:val="22"/>
              </w:rPr>
              <w:t>电子票据票面信息</w:t>
            </w:r>
          </w:p>
        </w:tc>
        <w:tc>
          <w:tcPr>
            <w:tcW w:w="91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r>
              <w:rPr>
                <w:rFonts w:ascii="Times New Roman" w:hAnsi="Times New Roman" w:eastAsia="仿宋_GB2312" w:cs="Times New Roman"/>
                <w:spacing w:val="-2"/>
                <w:sz w:val="22"/>
                <w:szCs w:val="22"/>
              </w:rPr>
              <w:t>节点</w:t>
            </w:r>
          </w:p>
        </w:tc>
        <w:tc>
          <w:tcPr>
            <w:tcW w:w="138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p>
        </w:tc>
        <w:tc>
          <w:tcPr>
            <w:tcW w:w="156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rPr>
            </w:pPr>
          </w:p>
        </w:tc>
        <w:tc>
          <w:tcPr>
            <w:tcW w:w="94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jc w:val="center"/>
              <w:rPr>
                <w:rFonts w:ascii="Times New Roman" w:hAnsi="Times New Roman" w:cs="Times New Roman"/>
                <w:spacing w:val="-2"/>
                <w:sz w:val="22"/>
                <w:szCs w:val="22"/>
              </w:rPr>
            </w:pPr>
            <w:r>
              <w:rPr>
                <w:rFonts w:ascii="Times New Roman" w:hAnsi="Times New Roman" w:cs="Times New Roman"/>
                <w:spacing w:val="-2"/>
                <w:sz w:val="22"/>
                <w:szCs w:val="2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6" w:hRule="atLeast"/>
          <w:jc w:val="center"/>
        </w:trPr>
        <w:tc>
          <w:tcPr>
            <w:tcW w:w="2216"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ind w:firstLine="0" w:firstLineChars="0"/>
              <w:rPr>
                <w:rFonts w:hint="default" w:ascii="Times New Roman" w:hAnsi="Times New Roman" w:eastAsia="仿宋_GB2312" w:cs="Times New Roman"/>
                <w:spacing w:val="-2"/>
                <w:sz w:val="22"/>
                <w:szCs w:val="22"/>
                <w:lang w:val="en-US" w:eastAsia="zh-CN" w:bidi="ar-SA"/>
              </w:rPr>
            </w:pPr>
            <w:r>
              <w:rPr>
                <w:rFonts w:hint="default" w:ascii="Times New Roman" w:hAnsi="Times New Roman" w:eastAsia="仿宋_GB2312" w:cs="Times New Roman"/>
                <w:spacing w:val="-2"/>
              </w:rPr>
              <w:t>├ DetailList</w:t>
            </w:r>
          </w:p>
        </w:tc>
        <w:tc>
          <w:tcPr>
            <w:tcW w:w="192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hint="eastAsia"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rPr>
              <w:t>票面明细</w:t>
            </w:r>
            <w:r>
              <w:rPr>
                <w:rFonts w:hint="eastAsia" w:ascii="Times New Roman" w:hAnsi="Times New Roman" w:eastAsia="仿宋_GB2312" w:cs="Times New Roman"/>
                <w:spacing w:val="-2"/>
                <w:lang w:val="en-US" w:eastAsia="zh-CN"/>
              </w:rPr>
              <w:t>列表</w:t>
            </w:r>
          </w:p>
        </w:tc>
        <w:tc>
          <w:tcPr>
            <w:tcW w:w="91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lang w:val="en-US" w:eastAsia="zh-CN" w:bidi="ar-SA"/>
              </w:rPr>
            </w:pPr>
            <w:r>
              <w:rPr>
                <w:rFonts w:ascii="Times New Roman" w:hAnsi="Times New Roman" w:eastAsia="仿宋_GB2312" w:cs="Times New Roman"/>
                <w:spacing w:val="-2"/>
              </w:rPr>
              <w:t>节点</w:t>
            </w:r>
          </w:p>
        </w:tc>
        <w:tc>
          <w:tcPr>
            <w:tcW w:w="138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jc w:val="center"/>
              <w:rPr>
                <w:rFonts w:ascii="Times New Roman" w:hAnsi="Times New Roman" w:eastAsia="仿宋_GB2312" w:cs="Times New Roman"/>
                <w:spacing w:val="-2"/>
                <w:sz w:val="22"/>
                <w:szCs w:val="22"/>
                <w:lang w:val="en-US" w:eastAsia="zh-CN" w:bidi="ar-SA"/>
              </w:rPr>
            </w:pPr>
          </w:p>
        </w:tc>
        <w:tc>
          <w:tcPr>
            <w:tcW w:w="156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lang w:val="en-US" w:eastAsia="zh-CN" w:bidi="ar-SA"/>
              </w:rPr>
            </w:pPr>
          </w:p>
        </w:tc>
        <w:tc>
          <w:tcPr>
            <w:tcW w:w="94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jc w:val="center"/>
              <w:rPr>
                <w:rFonts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6" w:hRule="atLeast"/>
          <w:jc w:val="center"/>
        </w:trPr>
        <w:tc>
          <w:tcPr>
            <w:tcW w:w="2216"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ind w:firstLine="0" w:firstLineChars="0"/>
              <w:rPr>
                <w:rFonts w:hint="default" w:ascii="Times New Roman" w:hAnsi="Times New Roman" w:eastAsia="仿宋_GB2312" w:cs="Times New Roman"/>
                <w:spacing w:val="-2"/>
                <w:sz w:val="22"/>
                <w:szCs w:val="22"/>
                <w:lang w:val="en-US" w:eastAsia="zh-CN" w:bidi="ar-SA"/>
              </w:rPr>
            </w:pPr>
            <w:r>
              <w:rPr>
                <w:rFonts w:hint="default" w:ascii="Times New Roman" w:hAnsi="Times New Roman" w:eastAsia="仿宋_GB2312" w:cs="Times New Roman"/>
                <w:spacing w:val="-2"/>
              </w:rPr>
              <w:t>│├ Detail</w:t>
            </w:r>
          </w:p>
        </w:tc>
        <w:tc>
          <w:tcPr>
            <w:tcW w:w="192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rPr>
              <w:t>票面</w:t>
            </w:r>
            <w:r>
              <w:rPr>
                <w:rFonts w:hint="eastAsia" w:ascii="Times New Roman" w:hAnsi="Times New Roman" w:eastAsia="仿宋_GB2312" w:cs="Times New Roman"/>
                <w:spacing w:val="-2"/>
                <w:lang w:val="en-US" w:eastAsia="zh-CN"/>
              </w:rPr>
              <w:t>详细</w:t>
            </w:r>
            <w:r>
              <w:rPr>
                <w:rFonts w:hint="eastAsia" w:ascii="Times New Roman" w:hAnsi="Times New Roman" w:eastAsia="仿宋_GB2312" w:cs="Times New Roman"/>
                <w:spacing w:val="-2"/>
              </w:rPr>
              <w:t>信息</w:t>
            </w:r>
          </w:p>
        </w:tc>
        <w:tc>
          <w:tcPr>
            <w:tcW w:w="91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hint="eastAsia"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lang w:val="en-US" w:eastAsia="zh-CN"/>
              </w:rPr>
              <w:t>节点</w:t>
            </w:r>
          </w:p>
        </w:tc>
        <w:tc>
          <w:tcPr>
            <w:tcW w:w="138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jc w:val="center"/>
              <w:rPr>
                <w:rFonts w:ascii="Times New Roman" w:hAnsi="Times New Roman" w:eastAsia="仿宋_GB2312" w:cs="Times New Roman"/>
                <w:spacing w:val="-2"/>
                <w:sz w:val="22"/>
                <w:szCs w:val="22"/>
                <w:lang w:val="en-US" w:eastAsia="zh-CN" w:bidi="ar-SA"/>
              </w:rPr>
            </w:pPr>
          </w:p>
        </w:tc>
        <w:tc>
          <w:tcPr>
            <w:tcW w:w="1560"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rPr>
                <w:rFonts w:ascii="Times New Roman" w:hAnsi="Times New Roman" w:eastAsia="仿宋_GB2312" w:cs="Times New Roman"/>
                <w:spacing w:val="-2"/>
                <w:sz w:val="22"/>
                <w:szCs w:val="22"/>
                <w:lang w:val="en-US" w:eastAsia="zh-CN" w:bidi="ar-SA"/>
              </w:rPr>
            </w:pPr>
          </w:p>
        </w:tc>
        <w:tc>
          <w:tcPr>
            <w:tcW w:w="945" w:type="dxa"/>
            <w:tcBorders>
              <w:top w:val="single" w:color="818181" w:sz="2" w:space="0"/>
              <w:left w:val="single" w:color="818181" w:sz="6" w:space="0"/>
              <w:bottom w:val="single" w:color="818181" w:sz="2" w:space="0"/>
              <w:right w:val="single" w:color="818181" w:sz="6" w:space="0"/>
            </w:tcBorders>
            <w:noWrap w:val="0"/>
            <w:vAlign w:val="top"/>
          </w:tcPr>
          <w:p>
            <w:pPr>
              <w:spacing w:after="0" w:line="240" w:lineRule="auto"/>
              <w:jc w:val="center"/>
              <w:rPr>
                <w:rFonts w:ascii="Times New Roman" w:hAnsi="Times New Roman" w:eastAsia="仿宋_GB2312" w:cs="Times New Roman"/>
                <w:spacing w:val="-2"/>
                <w:sz w:val="22"/>
                <w:szCs w:val="22"/>
                <w:lang w:val="en-US" w:eastAsia="zh-CN" w:bidi="ar-SA"/>
              </w:rPr>
            </w:pPr>
            <w:r>
              <w:rPr>
                <w:rFonts w:hint="eastAsia" w:ascii="Times New Roman" w:hAnsi="Times New Roman" w:eastAsia="仿宋_GB2312" w:cs="Times New Roman"/>
                <w:spacing w:val="-2"/>
              </w:rPr>
              <w:t>1..999</w:t>
            </w:r>
          </w:p>
        </w:tc>
      </w:tr>
    </w:tbl>
    <w:p>
      <w:pPr>
        <w:spacing w:after="0" w:line="560" w:lineRule="exact"/>
        <w:ind w:firstLine="562" w:firstLineChars="200"/>
        <w:jc w:val="both"/>
        <w:rPr>
          <w:rFonts w:hint="eastAsia" w:ascii="Times New Roman" w:hAnsi="Times New Roman" w:eastAsia="仿宋_GB2312" w:cs="Arial"/>
          <w:b/>
          <w:sz w:val="28"/>
          <w:szCs w:val="32"/>
        </w:rPr>
      </w:pPr>
    </w:p>
    <w:p>
      <w:pPr>
        <w:spacing w:after="0" w:line="560" w:lineRule="exact"/>
        <w:ind w:firstLine="562" w:firstLineChars="200"/>
        <w:jc w:val="both"/>
        <w:rPr>
          <w:rFonts w:ascii="Times New Roman" w:hAnsi="Times New Roman" w:eastAsia="仿宋_GB2312" w:cs="Arial"/>
          <w:sz w:val="28"/>
          <w:szCs w:val="32"/>
        </w:rPr>
      </w:pPr>
      <w:r>
        <w:rPr>
          <w:rFonts w:hint="eastAsia" w:ascii="Times New Roman" w:hAnsi="Times New Roman" w:eastAsia="仿宋_GB2312" w:cs="Arial"/>
          <w:b/>
          <w:sz w:val="28"/>
          <w:szCs w:val="32"/>
        </w:rPr>
        <w:t>说明：</w:t>
      </w:r>
    </w:p>
    <w:p>
      <w:pPr>
        <w:numPr>
          <w:ilvl w:val="0"/>
          <w:numId w:val="6"/>
        </w:numPr>
        <w:spacing w:after="0" w:line="560" w:lineRule="exact"/>
        <w:ind w:left="0" w:leftChars="0" w:firstLine="560" w:firstLineChars="200"/>
        <w:jc w:val="left"/>
        <w:rPr>
          <w:rFonts w:hint="eastAsia" w:ascii="Times New Roman" w:hAnsi="Times New Roman" w:eastAsia="仿宋_GB2312" w:cs="Arial"/>
          <w:sz w:val="28"/>
          <w:szCs w:val="32"/>
        </w:rPr>
      </w:pPr>
      <w:r>
        <w:rPr>
          <w:rFonts w:hint="eastAsia" w:ascii="Times New Roman" w:hAnsi="Times New Roman" w:eastAsia="仿宋_GB2312" w:cs="Arial"/>
          <w:sz w:val="28"/>
          <w:szCs w:val="32"/>
        </w:rPr>
        <w:t>基数为1时，该字段必填，且只能有一个节点；</w:t>
      </w:r>
    </w:p>
    <w:p>
      <w:pPr>
        <w:numPr>
          <w:ilvl w:val="0"/>
          <w:numId w:val="6"/>
        </w:numPr>
        <w:spacing w:after="0" w:line="560" w:lineRule="exact"/>
        <w:ind w:left="0" w:leftChars="0" w:firstLine="560" w:firstLineChars="200"/>
        <w:jc w:val="left"/>
        <w:rPr>
          <w:rFonts w:hint="eastAsia" w:ascii="Times New Roman" w:hAnsi="Times New Roman" w:eastAsia="仿宋_GB2312" w:cs="Arial"/>
          <w:sz w:val="28"/>
          <w:szCs w:val="32"/>
        </w:rPr>
      </w:pPr>
      <w:r>
        <w:rPr>
          <w:rFonts w:hint="eastAsia" w:ascii="Times New Roman" w:hAnsi="Times New Roman" w:eastAsia="仿宋_GB2312" w:cs="Arial"/>
          <w:sz w:val="28"/>
          <w:szCs w:val="32"/>
        </w:rPr>
        <w:t>基数为0..1时，该字段为选填，如果有节点，则只能有一个节点；</w:t>
      </w:r>
    </w:p>
    <w:p>
      <w:pPr>
        <w:numPr>
          <w:ilvl w:val="0"/>
          <w:numId w:val="6"/>
        </w:numPr>
        <w:spacing w:after="0" w:line="560" w:lineRule="exact"/>
        <w:ind w:left="0" w:leftChars="0" w:firstLine="560" w:firstLineChars="200"/>
        <w:jc w:val="left"/>
        <w:rPr>
          <w:rFonts w:hint="eastAsia" w:ascii="Times New Roman" w:hAnsi="Times New Roman" w:eastAsia="仿宋_GB2312" w:cs="Arial"/>
          <w:sz w:val="28"/>
          <w:szCs w:val="32"/>
        </w:rPr>
      </w:pPr>
      <w:r>
        <w:rPr>
          <w:rFonts w:hint="eastAsia" w:ascii="Times New Roman" w:hAnsi="Times New Roman" w:eastAsia="仿宋_GB2312" w:cs="Arial"/>
          <w:sz w:val="28"/>
          <w:szCs w:val="32"/>
        </w:rPr>
        <w:t>基数为1..999时，该字段为必填，可以有多个节点</w:t>
      </w:r>
      <w:r>
        <w:rPr>
          <w:rFonts w:hint="eastAsia" w:ascii="Times New Roman" w:hAnsi="Times New Roman" w:eastAsia="仿宋_GB2312" w:cs="Arial"/>
          <w:sz w:val="28"/>
          <w:szCs w:val="32"/>
          <w:lang w:eastAsia="zh-CN"/>
        </w:rPr>
        <w:t>；</w:t>
      </w:r>
    </w:p>
    <w:p>
      <w:pPr>
        <w:numPr>
          <w:ilvl w:val="0"/>
          <w:numId w:val="6"/>
        </w:numPr>
        <w:spacing w:after="0" w:line="560" w:lineRule="exact"/>
        <w:ind w:left="0" w:leftChars="0" w:firstLine="560" w:firstLineChars="200"/>
        <w:jc w:val="left"/>
        <w:rPr>
          <w:rFonts w:hint="eastAsia" w:ascii="Times New Roman" w:hAnsi="Times New Roman" w:eastAsia="仿宋_GB2312" w:cs="Arial"/>
          <w:sz w:val="28"/>
          <w:szCs w:val="32"/>
        </w:rPr>
      </w:pPr>
      <w:r>
        <w:rPr>
          <w:rFonts w:hint="eastAsia" w:ascii="Times New Roman" w:hAnsi="Times New Roman" w:eastAsia="仿宋_GB2312" w:cs="Arial"/>
          <w:sz w:val="28"/>
          <w:szCs w:val="32"/>
          <w:lang w:val="en-US" w:eastAsia="zh-CN"/>
        </w:rPr>
        <w:t>数据项字段</w:t>
      </w:r>
      <w:r>
        <w:rPr>
          <w:rFonts w:hint="eastAsia" w:ascii="Times New Roman" w:hAnsi="Times New Roman" w:eastAsia="仿宋_GB2312" w:cs="Arial"/>
          <w:sz w:val="28"/>
          <w:szCs w:val="32"/>
        </w:rPr>
        <w:t>内容</w:t>
      </w:r>
      <w:r>
        <w:rPr>
          <w:rFonts w:hint="eastAsia" w:ascii="Times New Roman" w:hAnsi="Times New Roman" w:eastAsia="仿宋_GB2312" w:cs="Arial"/>
          <w:sz w:val="28"/>
          <w:szCs w:val="32"/>
          <w:lang w:val="en-US" w:eastAsia="zh-CN"/>
        </w:rPr>
        <w:t>以</w:t>
      </w:r>
      <w:r>
        <w:rPr>
          <w:rFonts w:hint="eastAsia" w:ascii="Times New Roman" w:hAnsi="Times New Roman" w:eastAsia="仿宋_GB2312" w:cs="Arial"/>
          <w:sz w:val="28"/>
          <w:szCs w:val="32"/>
        </w:rPr>
        <w:t>国库集中支付凭证回单</w:t>
      </w:r>
      <w:r>
        <w:rPr>
          <w:rFonts w:hint="eastAsia" w:ascii="Times New Roman" w:hAnsi="Times New Roman" w:eastAsia="仿宋_GB2312" w:cs="Arial"/>
          <w:sz w:val="28"/>
          <w:szCs w:val="32"/>
          <w:lang w:eastAsia="zh-CN"/>
        </w:rPr>
        <w:t>（</w:t>
      </w:r>
      <w:r>
        <w:rPr>
          <w:rFonts w:hint="eastAsia" w:ascii="Times New Roman" w:hAnsi="Times New Roman" w:eastAsia="仿宋_GB2312" w:cs="Arial"/>
          <w:sz w:val="28"/>
          <w:szCs w:val="32"/>
          <w:lang w:val="en-US" w:eastAsia="zh-CN"/>
        </w:rPr>
        <w:t>5214</w:t>
      </w:r>
      <w:r>
        <w:rPr>
          <w:rFonts w:hint="eastAsia" w:ascii="Times New Roman" w:hAnsi="Times New Roman" w:eastAsia="仿宋_GB2312" w:cs="Arial"/>
          <w:sz w:val="28"/>
          <w:szCs w:val="32"/>
          <w:lang w:eastAsia="zh-CN"/>
        </w:rPr>
        <w:t>）</w:t>
      </w:r>
      <w:r>
        <w:rPr>
          <w:rFonts w:hint="eastAsia" w:ascii="Times New Roman" w:hAnsi="Times New Roman" w:eastAsia="仿宋_GB2312" w:cs="Arial"/>
          <w:sz w:val="28"/>
          <w:szCs w:val="32"/>
          <w:lang w:val="en-US" w:eastAsia="zh-CN"/>
        </w:rPr>
        <w:t>报文为例进行详细</w:t>
      </w:r>
      <w:r>
        <w:rPr>
          <w:rFonts w:hint="eastAsia" w:ascii="Times New Roman" w:hAnsi="Times New Roman" w:eastAsia="仿宋_GB2312" w:cs="Arial"/>
          <w:sz w:val="28"/>
          <w:szCs w:val="32"/>
        </w:rPr>
        <w:t>说明</w:t>
      </w:r>
      <w:r>
        <w:rPr>
          <w:rFonts w:hint="eastAsia" w:ascii="Times New Roman" w:hAnsi="Times New Roman" w:eastAsia="仿宋_GB2312" w:cs="Arial"/>
          <w:sz w:val="28"/>
          <w:szCs w:val="32"/>
          <w:lang w:eastAsia="zh-CN"/>
        </w:rPr>
        <w:t>，</w:t>
      </w:r>
      <w:r>
        <w:rPr>
          <w:rFonts w:hint="eastAsia" w:ascii="Times New Roman" w:hAnsi="Times New Roman" w:eastAsia="仿宋_GB2312" w:cs="Arial"/>
          <w:sz w:val="28"/>
          <w:szCs w:val="32"/>
          <w:lang w:val="en-US" w:eastAsia="zh-CN"/>
        </w:rPr>
        <w:t>具体以各省发布的报文规范为准。</w:t>
      </w:r>
    </w:p>
    <w:p>
      <w:pPr>
        <w:pStyle w:val="30"/>
        <w:ind w:firstLine="562"/>
      </w:pPr>
      <w:r>
        <w:rPr>
          <w:rFonts w:hint="eastAsia"/>
          <w:lang w:val="en-US" w:eastAsia="zh-CN"/>
        </w:rPr>
        <w:t>2</w:t>
      </w:r>
      <w:r>
        <w:rPr>
          <w:rFonts w:hint="eastAsia" w:cs="Times New Roman"/>
        </w:rPr>
        <w:t>．国库集中支付凭证回单</w:t>
      </w:r>
      <w:r>
        <w:rPr>
          <w:rFonts w:hint="eastAsia" w:cs="Times New Roman"/>
          <w:lang w:val="en-US" w:eastAsia="zh-CN"/>
        </w:rPr>
        <w:t>数据项示例</w:t>
      </w:r>
    </w:p>
    <w:p>
      <w:pPr>
        <w:keepNext/>
        <w:keepLines/>
        <w:pageBreakBefore w:val="0"/>
        <w:widowControl/>
        <w:tabs>
          <w:tab w:val="left" w:pos="397"/>
        </w:tabs>
        <w:kinsoku/>
        <w:wordWrap/>
        <w:overflowPunct/>
        <w:topLinePunct w:val="0"/>
        <w:autoSpaceDE/>
        <w:autoSpaceDN/>
        <w:bidi w:val="0"/>
        <w:adjustRightInd/>
        <w:snapToGrid/>
        <w:spacing w:before="0" w:after="0" w:line="560" w:lineRule="exact"/>
        <w:ind w:left="0" w:leftChars="0" w:firstLine="560" w:firstLineChars="200"/>
        <w:jc w:val="both"/>
        <w:textAlignment w:val="auto"/>
        <w:rPr>
          <w:rFonts w:hint="default" w:ascii="Times New Roman" w:hAnsi="Times New Roman" w:eastAsia="仿宋_GB2312" w:cs="Arial"/>
          <w:sz w:val="28"/>
          <w:szCs w:val="32"/>
          <w:lang w:val="en-US" w:eastAsia="zh-CN"/>
        </w:rPr>
      </w:pPr>
      <w:r>
        <w:rPr>
          <w:rFonts w:hint="eastAsia" w:ascii="Times New Roman" w:hAnsi="Times New Roman" w:eastAsia="仿宋_GB2312" w:cs="Arial"/>
          <w:sz w:val="28"/>
          <w:szCs w:val="32"/>
          <w:lang w:val="en-US" w:eastAsia="zh-CN"/>
        </w:rPr>
        <w:t>国库集中支付凭证回单（5214）包括主单信息和明细信息，标识符、字段名称、类型、长度、强制/可选等说明详见报文规范，具体内容如下：</w:t>
      </w:r>
    </w:p>
    <w:p>
      <w:pPr>
        <w:pStyle w:val="36"/>
        <w:numPr>
          <w:ilvl w:val="0"/>
          <w:numId w:val="7"/>
        </w:numPr>
        <w:bidi w:val="0"/>
        <w:ind w:left="0" w:leftChars="0" w:firstLine="560" w:firstLineChars="200"/>
        <w:rPr>
          <w:rFonts w:hint="eastAsia"/>
          <w:lang w:val="en-US" w:eastAsia="zh-CN"/>
        </w:rPr>
      </w:pPr>
      <w:r>
        <w:rPr>
          <w:rFonts w:hint="eastAsia"/>
          <w:lang w:val="en-US" w:eastAsia="zh-CN"/>
        </w:rPr>
        <w:t>国库集中支付凭证回单主单信息</w:t>
      </w:r>
    </w:p>
    <w:tbl>
      <w:tblPr>
        <w:tblStyle w:val="14"/>
        <w:tblW w:w="8880" w:type="dxa"/>
        <w:tblInd w:w="-163" w:type="dxa"/>
        <w:tblLayout w:type="fixed"/>
        <w:tblCellMar>
          <w:top w:w="0" w:type="dxa"/>
          <w:left w:w="108" w:type="dxa"/>
          <w:bottom w:w="0" w:type="dxa"/>
          <w:right w:w="108" w:type="dxa"/>
        </w:tblCellMar>
      </w:tblPr>
      <w:tblGrid>
        <w:gridCol w:w="1768"/>
        <w:gridCol w:w="2323"/>
        <w:gridCol w:w="1288"/>
        <w:gridCol w:w="1265"/>
        <w:gridCol w:w="1297"/>
        <w:gridCol w:w="67"/>
        <w:gridCol w:w="872"/>
      </w:tblGrid>
      <w:tr>
        <w:tblPrEx>
          <w:tblCellMar>
            <w:top w:w="0" w:type="dxa"/>
            <w:left w:w="108" w:type="dxa"/>
            <w:bottom w:w="0" w:type="dxa"/>
            <w:right w:w="108" w:type="dxa"/>
          </w:tblCellMar>
        </w:tblPrEx>
        <w:trPr>
          <w:gridAfter w:val="2"/>
          <w:wAfter w:w="939" w:type="dxa"/>
        </w:trPr>
        <w:tc>
          <w:tcPr>
            <w:tcW w:w="7941" w:type="dxa"/>
            <w:gridSpan w:val="5"/>
            <w:noWrap w:val="0"/>
            <w:vAlign w:val="center"/>
          </w:tcPr>
          <w:p>
            <w:pPr>
              <w:autoSpaceDE w:val="0"/>
              <w:autoSpaceDN w:val="0"/>
              <w:adjustRightInd w:val="0"/>
              <w:ind w:firstLine="420"/>
              <w:rPr>
                <w:rFonts w:ascii="宋体" w:hAnsi="宋体"/>
              </w:rPr>
            </w:pPr>
            <w:r>
              <w:rPr>
                <w:rFonts w:hint="eastAsia" w:ascii="Times New Roman" w:hAnsi="Times New Roman" w:eastAsia="仿宋_GB2312" w:cs="Times New Roman"/>
                <w:b w:val="0"/>
                <w:bCs w:val="0"/>
                <w:spacing w:val="-2"/>
                <w:sz w:val="22"/>
                <w:szCs w:val="22"/>
                <w:lang w:val="en-US" w:eastAsia="zh-CN"/>
              </w:rPr>
              <w:t>XMLTag：Voucher/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标识符</w:t>
            </w:r>
          </w:p>
        </w:tc>
        <w:tc>
          <w:tcPr>
            <w:tcW w:w="2323" w:type="dxa"/>
            <w:noWrap w:val="0"/>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字段名称</w:t>
            </w:r>
          </w:p>
        </w:tc>
        <w:tc>
          <w:tcPr>
            <w:tcW w:w="1288" w:type="dxa"/>
            <w:noWrap w:val="0"/>
            <w:tcMar>
              <w:left w:w="0" w:type="dxa"/>
              <w:right w:w="0" w:type="dxa"/>
            </w:tcMar>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类型</w:t>
            </w:r>
          </w:p>
        </w:tc>
        <w:tc>
          <w:tcPr>
            <w:tcW w:w="1265" w:type="dxa"/>
            <w:noWrap w:val="0"/>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长度</w:t>
            </w:r>
          </w:p>
        </w:tc>
        <w:tc>
          <w:tcPr>
            <w:tcW w:w="1364" w:type="dxa"/>
            <w:gridSpan w:val="2"/>
            <w:noWrap w:val="0"/>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备注</w:t>
            </w:r>
          </w:p>
        </w:tc>
        <w:tc>
          <w:tcPr>
            <w:tcW w:w="872" w:type="dxa"/>
            <w:noWrap w:val="0"/>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强制/可选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Id</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国库集中支付凭证Id</w:t>
            </w:r>
          </w:p>
        </w:tc>
        <w:tc>
          <w:tcPr>
            <w:tcW w:w="1288" w:type="dxa"/>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38</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主键</w:t>
            </w: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AdmDivCode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行政区划代码</w:t>
            </w:r>
          </w:p>
        </w:tc>
        <w:tc>
          <w:tcPr>
            <w:tcW w:w="1288" w:type="dxa"/>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[1,9]</w:t>
            </w:r>
          </w:p>
        </w:tc>
        <w:tc>
          <w:tcPr>
            <w:tcW w:w="1364" w:type="dxa"/>
            <w:gridSpan w:val="2"/>
            <w:vMerge w:val="restart"/>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bidi="ar-SA"/>
              </w:rPr>
            </w:pPr>
            <w:r>
              <w:rPr>
                <w:rFonts w:hint="eastAsia" w:ascii="仿宋_GB2312" w:hAnsi="等线" w:eastAsia="仿宋_GB2312" w:cs="宋体"/>
                <w:color w:val="000000"/>
                <w:lang w:val="en-US" w:eastAsia="zh-CN"/>
              </w:rPr>
              <w:t>UniqueCodeOfInvoice四要素（按顺序直接拼接）</w:t>
            </w: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StYear</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业务年度</w:t>
            </w:r>
          </w:p>
        </w:tc>
        <w:tc>
          <w:tcPr>
            <w:tcW w:w="1288" w:type="dxa"/>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4</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VtCode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凭证类型编号</w:t>
            </w:r>
          </w:p>
        </w:tc>
        <w:tc>
          <w:tcPr>
            <w:tcW w:w="1288" w:type="dxa"/>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4</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shd w:val="clear" w:color="auto" w:fill="auto"/>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bidi="ar-SA"/>
              </w:rPr>
            </w:pPr>
            <w:r>
              <w:rPr>
                <w:rFonts w:hint="eastAsia" w:ascii="Times New Roman" w:hAnsi="Times New Roman" w:eastAsia="仿宋_GB2312" w:cs="Times New Roman"/>
                <w:b w:val="0"/>
                <w:bCs w:val="0"/>
                <w:spacing w:val="-2"/>
                <w:sz w:val="22"/>
                <w:szCs w:val="22"/>
                <w:lang w:val="en-US" w:eastAsia="zh-CN"/>
              </w:rPr>
              <w:t>VoucherNo</w:t>
            </w:r>
          </w:p>
        </w:tc>
        <w:tc>
          <w:tcPr>
            <w:tcW w:w="2323" w:type="dxa"/>
            <w:shd w:val="clear" w:color="auto" w:fill="auto"/>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bidi="ar-SA"/>
              </w:rPr>
            </w:pPr>
            <w:r>
              <w:rPr>
                <w:rFonts w:hint="eastAsia" w:ascii="Times New Roman" w:hAnsi="Times New Roman" w:eastAsia="仿宋_GB2312" w:cs="Times New Roman"/>
                <w:b w:val="0"/>
                <w:bCs w:val="0"/>
                <w:spacing w:val="-2"/>
                <w:sz w:val="22"/>
                <w:szCs w:val="22"/>
                <w:lang w:val="en-US" w:eastAsia="zh-CN"/>
              </w:rPr>
              <w:t>凭证号</w:t>
            </w:r>
          </w:p>
        </w:tc>
        <w:tc>
          <w:tcPr>
            <w:tcW w:w="1288" w:type="dxa"/>
            <w:shd w:val="clear" w:color="auto" w:fill="auto"/>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bidi="ar-SA"/>
              </w:rPr>
            </w:pPr>
            <w:r>
              <w:rPr>
                <w:rFonts w:hint="eastAsia" w:ascii="Times New Roman" w:hAnsi="Times New Roman" w:eastAsia="仿宋_GB2312" w:cs="Times New Roman"/>
                <w:b w:val="0"/>
                <w:bCs w:val="0"/>
                <w:spacing w:val="-2"/>
                <w:sz w:val="22"/>
                <w:szCs w:val="22"/>
                <w:lang w:val="en-US" w:eastAsia="zh-CN"/>
              </w:rPr>
              <w:t>GBString</w:t>
            </w:r>
          </w:p>
        </w:tc>
        <w:tc>
          <w:tcPr>
            <w:tcW w:w="1265" w:type="dxa"/>
            <w:shd w:val="clear" w:color="auto" w:fill="auto"/>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bidi="ar-SA"/>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vMerge w:val="continue"/>
            <w:shd w:val="clear" w:color="auto" w:fill="auto"/>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bidi="ar-SA"/>
              </w:rPr>
            </w:pPr>
          </w:p>
        </w:tc>
        <w:tc>
          <w:tcPr>
            <w:tcW w:w="872" w:type="dxa"/>
            <w:shd w:val="clear" w:color="auto" w:fill="auto"/>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bidi="ar-SA"/>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VouDate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凭证日期</w:t>
            </w:r>
          </w:p>
        </w:tc>
        <w:tc>
          <w:tcPr>
            <w:tcW w:w="1288" w:type="dxa"/>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Date</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BillNo</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支付申请编号</w:t>
            </w:r>
          </w:p>
        </w:tc>
        <w:tc>
          <w:tcPr>
            <w:tcW w:w="1288" w:type="dxa"/>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FundTypeCode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资金性质编码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FundTypeName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资金性质名称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BgtTypeCode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预算类型编码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BgtTypeName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预算类型名称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PayTypeCode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支付方式编码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vMerge w:val="restart"/>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见代码表</w:t>
            </w: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PayTypeName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支付方式名称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ProCatCode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收支管理编码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ProCatName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收支管理名称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MOFDepCode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业务处室编码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MOFDepName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业务处室名称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SupDepCode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一级预算单位编码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SupDepName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一级预算单位名称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[1,120]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AgencyCode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基层预算单位编码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AgencyName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基层预算单位名称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[1,120]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ExpFuncCode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支出功能分类科目编码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ExpFuncName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支出功能分类科目名称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ExpFuncCode1</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支出功能分类科目类编码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ExpFuncName1</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支出功能分类科目类名称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ExpFuncCode2</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支出功能分类科目款编码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ExpFuncName2</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支出功能分类科目款名称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ExpFuncCode3</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支出功能分类科目项编码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ExpFuncName3</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支出功能分类科目项名称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GovExpEcoCode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政府预算经济分类科目编码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GovExpEcoName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政府预算经济分类科目名称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DepExpEcoCode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部门预算经济分类科目编码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DepExpEcoName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部门预算经济分类科目名称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DepProCode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预算项目编码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DepProName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预算项目名称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[1,200]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SetModeCode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结算方式编码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vMerge w:val="restart"/>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见代码表</w:t>
            </w: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SetModeName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结算方式名称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PayBankCode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代理银行编码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代理银行分支机构，财政提供</w:t>
            </w: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PayBankName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代理银行名称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代理银行分支机构，财政提供</w:t>
            </w: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ClearBankCode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清算银行编码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vMerge w:val="restart"/>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财政提供</w:t>
            </w: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ClearBankName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清算银行名称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ClearAcctNo</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清算账号</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[1,32]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ClearAcctName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清算账户名称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[1,120]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ClearAcctBankName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清算账号开户行</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PayeeAcctNo</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收款人账号</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[1,32]</w:t>
            </w:r>
          </w:p>
        </w:tc>
        <w:tc>
          <w:tcPr>
            <w:tcW w:w="1364" w:type="dxa"/>
            <w:gridSpan w:val="2"/>
            <w:vMerge w:val="restart"/>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业务类型为公务卡业务、工资业务、其他批量业务等业务，取消过渡户的收款人为空，暂时保留的，收款人为过渡户信息；非税缴款业务账号、银行为空或与账户名称一致</w:t>
            </w:r>
          </w:p>
        </w:tc>
        <w:tc>
          <w:tcPr>
            <w:tcW w:w="872" w:type="dxa"/>
            <w:vMerge w:val="restart"/>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PayeeAcctName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收款人名称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[1,120]</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PayeeAcctBankName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收款人银行</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PayeeAcctBankNo</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收款人银行行号</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[1,14]</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PayAcctNo</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付款人账号</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[1,32]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财政零余额账户</w:t>
            </w: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PayAcctName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付款人名称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[1,120]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PayAcctBankName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付款人银行</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PaySummaryCode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用途编码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PaySummaryName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用途名称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[1,200]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PayAmt</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支付金额</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Currency</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正数为正常支付，负数为退款，0为更正业务</w:t>
            </w: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BusinessTypeCode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业务类型编码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vMerge w:val="restart"/>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见代码表</w:t>
            </w:r>
          </w:p>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BusinessTypeName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业务类型名称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TaxBillNo</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申报完税凭证号</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[1,20]</w:t>
            </w:r>
          </w:p>
        </w:tc>
        <w:tc>
          <w:tcPr>
            <w:tcW w:w="1364" w:type="dxa"/>
            <w:gridSpan w:val="2"/>
            <w:vMerge w:val="restart"/>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用于税费缴纳业务关联纳税申报信息</w:t>
            </w:r>
          </w:p>
        </w:tc>
        <w:tc>
          <w:tcPr>
            <w:tcW w:w="872" w:type="dxa"/>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TaxayerID</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纳税人识别号</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[1,15]</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TaxOrgCode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税务征收机关代码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[1,12]</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缴款识别码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[1,20]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用于非税缴款</w:t>
            </w:r>
          </w:p>
        </w:tc>
        <w:tc>
          <w:tcPr>
            <w:tcW w:w="872" w:type="dxa"/>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GovProcurementID</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政府采购交易识别码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[1,20]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用于政府采购</w:t>
            </w:r>
          </w:p>
        </w:tc>
        <w:tc>
          <w:tcPr>
            <w:tcW w:w="872" w:type="dxa"/>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CheckNo</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支票号（结算号）</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ForeignAmt</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外币金额</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Currency</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CurrencyCode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币种代码</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[1,3]</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EstRat</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汇率</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Decimal</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18,8</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AmtUnit</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金额单位</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[1,10]</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XPayDate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实际支付日期</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DateTime</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XAgentBusinessNo</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银行交易流水号</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主单无收款人的，可以为空</w:t>
            </w: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XCheckNo</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支票号（结算号）</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XPayAmt</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实际支付金额</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Currency</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XPayeeAcctBankName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实际收款人银行</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1364" w:type="dxa"/>
            <w:gridSpan w:val="2"/>
            <w:vMerge w:val="restart"/>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代理银行在回单中补录，主单无收款人相关信息的可以为空</w:t>
            </w: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XPayeeAcctNo</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实际收款人账号</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[1,32]</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XPayeeAcctName</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实际收款人全称</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[1,120]</w:t>
            </w:r>
          </w:p>
        </w:tc>
        <w:tc>
          <w:tcPr>
            <w:tcW w:w="1364" w:type="dxa"/>
            <w:gridSpan w:val="2"/>
            <w:vMerge w:val="continue"/>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Hold1</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预留字段1</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6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Hold2</w:t>
            </w:r>
          </w:p>
        </w:tc>
        <w:tc>
          <w:tcPr>
            <w:tcW w:w="2323"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预留字段2</w:t>
            </w:r>
          </w:p>
        </w:tc>
        <w:tc>
          <w:tcPr>
            <w:tcW w:w="1288"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1265"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1364" w:type="dxa"/>
            <w:gridSpan w:val="2"/>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72" w:type="dxa"/>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bl>
    <w:p>
      <w:pPr>
        <w:pStyle w:val="36"/>
        <w:numPr>
          <w:ilvl w:val="0"/>
          <w:numId w:val="7"/>
        </w:numPr>
        <w:bidi w:val="0"/>
        <w:ind w:left="0" w:leftChars="0" w:firstLine="560" w:firstLineChars="200"/>
        <w:rPr>
          <w:rFonts w:hint="eastAsia"/>
          <w:lang w:val="en-US" w:eastAsia="zh-CN"/>
        </w:rPr>
      </w:pPr>
      <w:r>
        <w:rPr>
          <w:rFonts w:hint="eastAsia"/>
          <w:lang w:val="en-US" w:eastAsia="zh-CN"/>
        </w:rPr>
        <w:t>国库集中支付凭证回单明细信息</w:t>
      </w:r>
    </w:p>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XMLTag：Voucher/DetailList/Detail/</w:t>
      </w:r>
    </w:p>
    <w:tbl>
      <w:tblPr>
        <w:tblStyle w:val="14"/>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701"/>
        <w:gridCol w:w="1276"/>
        <w:gridCol w:w="992"/>
        <w:gridCol w:w="2268"/>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noWrap w:val="0"/>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标识符</w:t>
            </w:r>
          </w:p>
        </w:tc>
        <w:tc>
          <w:tcPr>
            <w:tcW w:w="1701" w:type="dxa"/>
            <w:noWrap w:val="0"/>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字段名称</w:t>
            </w:r>
          </w:p>
        </w:tc>
        <w:tc>
          <w:tcPr>
            <w:tcW w:w="1276" w:type="dxa"/>
            <w:noWrap w:val="0"/>
            <w:tcMar>
              <w:left w:w="0" w:type="dxa"/>
              <w:right w:w="0" w:type="dxa"/>
            </w:tcMar>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类型</w:t>
            </w:r>
          </w:p>
        </w:tc>
        <w:tc>
          <w:tcPr>
            <w:tcW w:w="992" w:type="dxa"/>
            <w:noWrap w:val="0"/>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长度</w:t>
            </w:r>
          </w:p>
        </w:tc>
        <w:tc>
          <w:tcPr>
            <w:tcW w:w="2268" w:type="dxa"/>
            <w:noWrap w:val="0"/>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备注</w:t>
            </w:r>
          </w:p>
        </w:tc>
        <w:tc>
          <w:tcPr>
            <w:tcW w:w="851" w:type="dxa"/>
            <w:noWrap w:val="0"/>
            <w:vAlign w:val="center"/>
          </w:tcPr>
          <w:p>
            <w:pPr>
              <w:spacing w:after="0" w:line="240" w:lineRule="auto"/>
              <w:jc w:val="center"/>
              <w:rPr>
                <w:rFonts w:ascii="宋体" w:hAnsi="宋体" w:eastAsia="宋体" w:cs="宋体"/>
                <w:b/>
              </w:rPr>
            </w:pPr>
            <w:r>
              <w:rPr>
                <w:rFonts w:hint="eastAsia" w:ascii="Times New Roman" w:hAnsi="Times New Roman" w:eastAsia="仿宋_GB2312" w:cs="Times New Roman"/>
                <w:b/>
                <w:bCs/>
                <w:spacing w:val="-2"/>
                <w:sz w:val="24"/>
                <w:szCs w:val="24"/>
                <w:lang w:val="en-US" w:eastAsia="zh-CN"/>
              </w:rPr>
              <w:t>强制/可选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Id</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支付明细Id</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38</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主键</w:t>
            </w: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VoucherBillId</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支付凭证Id</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38</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与主单Id内容一致</w:t>
            </w: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VoucherBillNo</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支付凭证单号</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与主单VoucherNo内容一致</w:t>
            </w: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VoucherDetailNo</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支付申请序号</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FundTypeCode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资金性质编码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FundTypeName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资金性质名称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BgtTypeCode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预算类型编码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BgtTypeName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预算类型名称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ProCatCode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收支管理编码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ProCatName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收支管理名称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PayKindCode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支出类型编码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PayKindName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支出类型名称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MOFDepCode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业务处室编码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MOFDepName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业务处室名称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SupDepCode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一级预算单位编码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SupDepName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一级预算单位名称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[1,120]</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AgencyCode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基层预算单位编码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AgencyName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基层预算单位名称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[1,120]</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ExpFuncCode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支出功能分类科目编码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ExpFuncName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支出功能分类科目名称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GovExpEcoCode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政府预算经济分类科目编码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GovExpEcoName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政府预算经济分类科目名称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2268" w:type="dxa"/>
            <w:tcBorders>
              <w:top w:val="single" w:color="auto" w:sz="4" w:space="0"/>
              <w:left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DepExpEcoCode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部门预算经济分类科目编码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DepExpEcoName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部门预算经济分类科目名称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2268" w:type="dxa"/>
            <w:tcBorders>
              <w:top w:val="single" w:color="auto" w:sz="4" w:space="0"/>
              <w:left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DepProCode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预算项目编码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DepProName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预算项目名称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[1,200]</w:t>
            </w:r>
          </w:p>
        </w:tc>
        <w:tc>
          <w:tcPr>
            <w:tcW w:w="2268" w:type="dxa"/>
            <w:tcBorders>
              <w:top w:val="single" w:color="auto" w:sz="4" w:space="0"/>
              <w:left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PayeeAcctNo</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收款人账号</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NString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[1,32]</w:t>
            </w:r>
          </w:p>
        </w:tc>
        <w:tc>
          <w:tcPr>
            <w:tcW w:w="2268" w:type="dxa"/>
            <w:vMerge w:val="restart"/>
            <w:tcBorders>
              <w:top w:val="single" w:color="auto" w:sz="4" w:space="0"/>
              <w:left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非税缴款业务账号、银行为空或与账户名称一致</w:t>
            </w: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PayeeAcctName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收款人名称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[1,120]</w:t>
            </w:r>
          </w:p>
        </w:tc>
        <w:tc>
          <w:tcPr>
            <w:tcW w:w="2268" w:type="dxa"/>
            <w:vMerge w:val="continue"/>
            <w:tcBorders>
              <w:left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PayeeAcctBankName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收款人银行</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2268" w:type="dxa"/>
            <w:vMerge w:val="continue"/>
            <w:tcBorders>
              <w:left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PayeeAcctBankNo</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收款人银行行号</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[1,14]</w:t>
            </w:r>
          </w:p>
        </w:tc>
        <w:tc>
          <w:tcPr>
            <w:tcW w:w="2268" w:type="dxa"/>
            <w:vMerge w:val="continue"/>
            <w:tcBorders>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TrackingID</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业务追溯识别码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38</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用于预算、指标以及其他业务要素的关联</w:t>
            </w: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PayAmt</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支付金额</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Currency</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Remark</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备注</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[1,255]</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ForeignAmt</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外币金额</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Currency</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CurrencyCode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币种代码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[1,3]</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EstRat</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汇率</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Decimal</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18,8</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ReceiverCode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收款人代码</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[1,25]</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AmtUnit</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金额单位</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[1,10]</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XPayDate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实际支付日期</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DateTime</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XAgentBusinessNo</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银行交易流水号</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XCheckNo</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支票号（结算号）</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XPayAmt</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实际支付金额</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Currency</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批量中出现明细支付失败时填写0.00</w:t>
            </w: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XAddWord</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附言</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2268" w:type="dxa"/>
            <w:tcBorders>
              <w:top w:val="single" w:color="auto" w:sz="4" w:space="0"/>
              <w:left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批量中出现明细支付失败时填写失败原因</w:t>
            </w: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XPayeeAcctBankName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实际收款人银行</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[1,60]</w:t>
            </w:r>
          </w:p>
        </w:tc>
        <w:tc>
          <w:tcPr>
            <w:tcW w:w="2268" w:type="dxa"/>
            <w:vMerge w:val="restart"/>
            <w:tcBorders>
              <w:top w:val="single" w:color="auto" w:sz="4" w:space="0"/>
              <w:left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代理银行在回单中补录</w:t>
            </w: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XPayeeAcctNo</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实际收款人账号</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[1,32]</w:t>
            </w:r>
          </w:p>
        </w:tc>
        <w:tc>
          <w:tcPr>
            <w:tcW w:w="2268" w:type="dxa"/>
            <w:vMerge w:val="continue"/>
            <w:tcBorders>
              <w:left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XPayeeAcctName</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实际收款人全称</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[1,120]</w:t>
            </w:r>
          </w:p>
        </w:tc>
        <w:tc>
          <w:tcPr>
            <w:tcW w:w="2268" w:type="dxa"/>
            <w:vMerge w:val="continue"/>
            <w:tcBorders>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Hold1</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预留字段1</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Hold2</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预留字段2</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Hold3</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预留字段3</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09"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Hold4</w:t>
            </w:r>
          </w:p>
        </w:tc>
        <w:tc>
          <w:tcPr>
            <w:tcW w:w="170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预留字段4</w:t>
            </w:r>
          </w:p>
        </w:tc>
        <w:tc>
          <w:tcPr>
            <w:tcW w:w="1276" w:type="dxa"/>
            <w:tcBorders>
              <w:top w:val="single" w:color="auto" w:sz="4" w:space="0"/>
              <w:left w:val="single" w:color="auto" w:sz="4" w:space="0"/>
              <w:bottom w:val="single" w:color="auto" w:sz="4" w:space="0"/>
              <w:right w:val="single" w:color="auto" w:sz="4" w:space="0"/>
            </w:tcBorders>
            <w:shd w:val="clear" w:color="auto" w:fill="FFFFFF"/>
            <w:noWrap w:val="0"/>
            <w:tcMar>
              <w:left w:w="0" w:type="dxa"/>
              <w:right w:w="0" w:type="dxa"/>
            </w:tcMar>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GBString</w:t>
            </w:r>
          </w:p>
        </w:tc>
        <w:tc>
          <w:tcPr>
            <w:tcW w:w="992"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[1,42]</w:t>
            </w:r>
          </w:p>
        </w:tc>
        <w:tc>
          <w:tcPr>
            <w:tcW w:w="2268"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p>
        </w:tc>
        <w:tc>
          <w:tcPr>
            <w:tcW w:w="851"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autoSpaceDE w:val="0"/>
              <w:autoSpaceDN w:val="0"/>
              <w:adjustRightInd w:val="0"/>
              <w:spacing w:line="240" w:lineRule="auto"/>
              <w:ind w:firstLine="0" w:firstLineChars="0"/>
              <w:rPr>
                <w:rFonts w:hint="eastAsia"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O</w:t>
            </w:r>
          </w:p>
        </w:tc>
      </w:tr>
    </w:tbl>
    <w:p>
      <w:pPr>
        <w:numPr>
          <w:ilvl w:val="0"/>
          <w:numId w:val="2"/>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lang w:val="en-US" w:eastAsia="zh-CN"/>
        </w:rPr>
        <w:t>国库集中支付电子凭证</w:t>
      </w:r>
      <w:r>
        <w:rPr>
          <w:rFonts w:hint="eastAsia" w:ascii="Times New Roman" w:hAnsi="Times New Roman" w:eastAsia="黑体" w:cs="Times New Roman"/>
          <w:sz w:val="28"/>
          <w:szCs w:val="28"/>
        </w:rPr>
        <w:t>接收方</w:t>
      </w:r>
    </w:p>
    <w:p>
      <w:pPr>
        <w:pStyle w:val="7"/>
        <w:spacing w:after="0" w:line="560" w:lineRule="exact"/>
        <w:ind w:firstLine="560" w:firstLineChars="200"/>
      </w:pPr>
      <w:r>
        <w:rPr>
          <w:rFonts w:hint="eastAsia" w:ascii="Times New Roman" w:hAnsi="Times New Roman" w:eastAsia="仿宋_GB2312"/>
          <w:sz w:val="28"/>
          <w:szCs w:val="28"/>
          <w:lang w:val="en-US" w:eastAsia="zh-CN"/>
        </w:rPr>
        <w:t>行政事业</w:t>
      </w:r>
      <w:r>
        <w:rPr>
          <w:rFonts w:hint="eastAsia" w:ascii="Times New Roman" w:hAnsi="Times New Roman" w:eastAsia="仿宋_GB2312"/>
          <w:sz w:val="28"/>
          <w:szCs w:val="28"/>
        </w:rPr>
        <w:t>单位以</w:t>
      </w:r>
      <w:r>
        <w:rPr>
          <w:rFonts w:hint="eastAsia" w:ascii="Times New Roman" w:hAnsi="Times New Roman" w:eastAsia="仿宋_GB2312" w:cs="Arial"/>
          <w:sz w:val="28"/>
          <w:szCs w:val="32"/>
        </w:rPr>
        <w:t>国库集中支付电子凭证</w:t>
      </w:r>
      <w:r>
        <w:rPr>
          <w:rFonts w:hint="eastAsia" w:ascii="Times New Roman" w:hAnsi="Times New Roman" w:eastAsia="仿宋_GB2312"/>
          <w:sz w:val="28"/>
          <w:szCs w:val="28"/>
        </w:rPr>
        <w:t>入账、归档的，应当按照《财政部</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w:t>
      </w:r>
      <w:r>
        <w:rPr>
          <w:rFonts w:hint="eastAsia" w:ascii="Times New Roman" w:hAnsi="Times New Roman" w:eastAsia="仿宋_GB2312" w:cs="Arial"/>
          <w:sz w:val="28"/>
          <w:szCs w:val="32"/>
        </w:rPr>
        <w:t>国库集中支付电子凭证</w:t>
      </w:r>
      <w:r>
        <w:rPr>
          <w:rFonts w:hint="eastAsia" w:ascii="Times New Roman" w:hAnsi="Times New Roman" w:eastAsia="仿宋_GB2312" w:cs="Arial"/>
          <w:sz w:val="28"/>
          <w:szCs w:val="32"/>
          <w:lang w:val="en-US" w:eastAsia="zh-CN"/>
        </w:rPr>
        <w:t>文件</w:t>
      </w:r>
      <w:r>
        <w:rPr>
          <w:rFonts w:hint="eastAsia" w:ascii="Times New Roman" w:hAnsi="Times New Roman" w:eastAsia="仿宋_GB2312"/>
          <w:sz w:val="28"/>
          <w:szCs w:val="28"/>
        </w:rPr>
        <w:t>的传输、存储应安全可靠，对任何篡改都能够及时发现。作为电子凭证，应符合《会计档案管理办法》（财政部</w:t>
      </w:r>
      <w:r>
        <w:rPr>
          <w:rFonts w:hint="eastAsia" w:ascii="Times New Roman" w:hAnsi="Times New Roman" w:eastAsia="仿宋_GB2312"/>
          <w:sz w:val="28"/>
          <w:szCs w:val="28"/>
          <w:lang w:val="en-US" w:eastAsia="zh-CN"/>
        </w:rPr>
        <w:t xml:space="preserve"> </w:t>
      </w:r>
      <w:r>
        <w:rPr>
          <w:rFonts w:hint="eastAsia" w:ascii="Times New Roman" w:hAnsi="Times New Roman" w:eastAsia="仿宋_GB2312"/>
          <w:sz w:val="28"/>
          <w:szCs w:val="28"/>
        </w:rPr>
        <w:t>国家档案局令第79号）的相关要求。</w:t>
      </w:r>
    </w:p>
    <w:p>
      <w:pPr>
        <w:pStyle w:val="23"/>
        <w:numPr>
          <w:ilvl w:val="0"/>
          <w:numId w:val="8"/>
        </w:numPr>
        <w:wordWrap/>
        <w:spacing w:line="560" w:lineRule="exact"/>
        <w:ind w:firstLine="560"/>
        <w:outlineLvl w:val="1"/>
        <w:rPr>
          <w:rFonts w:ascii="Times New Roman" w:hAnsi="Times New Roman"/>
        </w:rPr>
      </w:pPr>
      <w:r>
        <w:rPr>
          <w:rFonts w:hint="eastAsia" w:ascii="Times New Roman" w:hAnsi="Times New Roman"/>
        </w:rPr>
        <w:t>获取</w:t>
      </w:r>
      <w:r>
        <w:rPr>
          <w:rFonts w:hint="eastAsia" w:ascii="Times New Roman" w:hAnsi="Times New Roman"/>
          <w:lang w:eastAsia="zh-CN"/>
        </w:rPr>
        <w:t>、</w:t>
      </w:r>
      <w:r>
        <w:rPr>
          <w:rFonts w:hint="eastAsia" w:ascii="Times New Roman" w:hAnsi="Times New Roman"/>
        </w:rPr>
        <w:t>解析</w:t>
      </w:r>
      <w:r>
        <w:rPr>
          <w:rFonts w:hint="eastAsia" w:ascii="Times New Roman" w:hAnsi="Times New Roman"/>
          <w:lang w:val="en-US" w:eastAsia="zh-CN"/>
        </w:rPr>
        <w:t>国库集中支付电子凭证并</w:t>
      </w:r>
      <w:r>
        <w:rPr>
          <w:rFonts w:hint="eastAsia" w:ascii="Times New Roman" w:hAnsi="Times New Roman"/>
        </w:rPr>
        <w:t>标记状态位</w:t>
      </w:r>
    </w:p>
    <w:p>
      <w:pPr>
        <w:pStyle w:val="30"/>
        <w:wordWrap/>
        <w:spacing w:after="0" w:line="560" w:lineRule="exact"/>
        <w:rPr>
          <w:rFonts w:hint="default" w:ascii="Times New Roman" w:hAnsi="Times New Roman" w:eastAsia="仿宋_GB2312"/>
          <w:sz w:val="28"/>
          <w:szCs w:val="28"/>
          <w:lang w:val="en-US" w:eastAsia="zh-CN"/>
        </w:rPr>
      </w:pPr>
      <w:r>
        <w:rPr>
          <w:rFonts w:cs="Times New Roman"/>
        </w:rPr>
        <w:t>1</w:t>
      </w:r>
      <w:r>
        <w:rPr>
          <w:rFonts w:hint="eastAsia" w:cs="Times New Roman"/>
        </w:rPr>
        <w:t>．</w:t>
      </w:r>
      <w:bookmarkStart w:id="7" w:name="_Hlk87462432"/>
      <w:r>
        <w:rPr>
          <w:rFonts w:hint="eastAsia" w:cs="Times New Roman"/>
        </w:rPr>
        <w:t>获取</w:t>
      </w:r>
      <w:bookmarkEnd w:id="7"/>
      <w:r>
        <w:rPr>
          <w:rFonts w:hint="eastAsia" w:cs="Times New Roman"/>
          <w:lang w:val="en-US" w:eastAsia="zh-CN"/>
        </w:rPr>
        <w:t>国库集中支付电子凭证</w:t>
      </w:r>
    </w:p>
    <w:p>
      <w:pPr>
        <w:spacing w:after="0" w:line="56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lang w:val="en-US" w:eastAsia="zh-CN"/>
        </w:rPr>
        <w:t>行政事业</w:t>
      </w:r>
      <w:r>
        <w:rPr>
          <w:rFonts w:hint="eastAsia" w:ascii="Times New Roman" w:hAnsi="Times New Roman" w:eastAsia="仿宋_GB2312"/>
          <w:sz w:val="28"/>
          <w:szCs w:val="28"/>
        </w:rPr>
        <w:t>单位的业务人员可通过</w:t>
      </w:r>
      <w:r>
        <w:rPr>
          <w:rFonts w:hint="eastAsia" w:ascii="Times New Roman" w:hAnsi="Times New Roman" w:eastAsia="仿宋_GB2312"/>
          <w:sz w:val="28"/>
          <w:szCs w:val="28"/>
          <w:lang w:val="en-US" w:eastAsia="zh-CN"/>
        </w:rPr>
        <w:t>以下方式</w:t>
      </w:r>
      <w:r>
        <w:rPr>
          <w:rFonts w:hint="eastAsia" w:ascii="Times New Roman" w:hAnsi="Times New Roman" w:eastAsia="仿宋_GB2312"/>
          <w:sz w:val="28"/>
          <w:szCs w:val="28"/>
        </w:rPr>
        <w:t>获取</w:t>
      </w:r>
      <w:r>
        <w:rPr>
          <w:rFonts w:hint="eastAsia" w:ascii="Times New Roman" w:hAnsi="Times New Roman" w:eastAsia="仿宋_GB2312" w:cs="Arial"/>
          <w:sz w:val="28"/>
          <w:szCs w:val="32"/>
        </w:rPr>
        <w:t>国库集中支付电子凭证</w:t>
      </w:r>
      <w:r>
        <w:rPr>
          <w:rFonts w:hint="eastAsia" w:ascii="Times New Roman" w:hAnsi="Times New Roman" w:eastAsia="仿宋_GB2312"/>
          <w:sz w:val="28"/>
          <w:szCs w:val="28"/>
          <w:lang w:eastAsia="zh-CN"/>
        </w:rPr>
        <w:t>。</w:t>
      </w:r>
    </w:p>
    <w:p>
      <w:pPr>
        <w:spacing w:after="0" w:line="56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lang w:val="en-US" w:eastAsia="zh-CN"/>
        </w:rPr>
        <w:t>场景</w:t>
      </w:r>
      <w:r>
        <w:rPr>
          <w:rFonts w:hint="eastAsia" w:ascii="Times New Roman" w:hAnsi="Times New Roman" w:eastAsia="仿宋_GB2312"/>
          <w:sz w:val="28"/>
          <w:szCs w:val="28"/>
          <w:lang w:eastAsia="zh-CN"/>
        </w:rPr>
        <w:t>一：单位使用预算管理一体化系统核算模块或会计档案模块的，可直接使用预算管理一体化系统的国库集中支付电子凭证。</w:t>
      </w:r>
    </w:p>
    <w:p>
      <w:pPr>
        <w:spacing w:after="0" w:line="56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lang w:val="en-US" w:eastAsia="zh-CN"/>
        </w:rPr>
        <w:t>场景</w:t>
      </w:r>
      <w:r>
        <w:rPr>
          <w:rFonts w:hint="eastAsia" w:ascii="Times New Roman" w:hAnsi="Times New Roman" w:eastAsia="仿宋_GB2312"/>
          <w:sz w:val="28"/>
          <w:szCs w:val="28"/>
          <w:lang w:eastAsia="zh-CN"/>
        </w:rPr>
        <w:t>二：单位自建核算系统或会计档案系统与预算管理一体化系统衔接的，可通过预算管理一体化系统</w:t>
      </w:r>
      <w:r>
        <w:rPr>
          <w:rFonts w:hint="eastAsia" w:ascii="Times New Roman" w:hAnsi="Times New Roman" w:eastAsia="仿宋_GB2312"/>
          <w:sz w:val="28"/>
          <w:szCs w:val="28"/>
          <w:lang w:val="en-US" w:eastAsia="zh-CN"/>
        </w:rPr>
        <w:t>接口方式获取国库集中支付电子凭证</w:t>
      </w:r>
      <w:r>
        <w:rPr>
          <w:rFonts w:hint="eastAsia" w:ascii="Times New Roman" w:hAnsi="Times New Roman" w:eastAsia="仿宋_GB2312"/>
          <w:sz w:val="28"/>
          <w:szCs w:val="28"/>
          <w:lang w:eastAsia="zh-CN"/>
        </w:rPr>
        <w:t>。</w:t>
      </w:r>
    </w:p>
    <w:p>
      <w:pPr>
        <w:spacing w:after="0" w:line="56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lang w:val="en-US" w:eastAsia="zh-CN"/>
        </w:rPr>
        <w:t>场景</w:t>
      </w:r>
      <w:r>
        <w:rPr>
          <w:rFonts w:hint="eastAsia" w:ascii="Times New Roman" w:hAnsi="Times New Roman" w:eastAsia="仿宋_GB2312"/>
          <w:sz w:val="28"/>
          <w:szCs w:val="28"/>
          <w:lang w:eastAsia="zh-CN"/>
        </w:rPr>
        <w:t>三：单位自建核算系统或会计档案系统未与预算管理一体化系统衔接的，可通过预算管理一体化系统提供的电子凭证导出方式获取国库集中支付电子凭证。</w:t>
      </w:r>
    </w:p>
    <w:p>
      <w:pPr>
        <w:pStyle w:val="30"/>
        <w:wordWrap/>
        <w:spacing w:after="0" w:line="560" w:lineRule="exact"/>
        <w:rPr>
          <w:rFonts w:hint="default" w:ascii="Times New Roman" w:hAnsi="Times New Roman" w:eastAsia="仿宋_GB2312"/>
          <w:sz w:val="28"/>
          <w:szCs w:val="28"/>
          <w:lang w:val="en-US" w:eastAsia="zh-CN"/>
        </w:rPr>
      </w:pPr>
      <w:r>
        <w:rPr>
          <w:rFonts w:hint="eastAsia" w:cs="Times New Roman"/>
          <w:lang w:val="en-US" w:eastAsia="zh-CN"/>
        </w:rPr>
        <w:t>2</w:t>
      </w:r>
      <w:r>
        <w:rPr>
          <w:rFonts w:hint="eastAsia" w:cs="Times New Roman"/>
        </w:rPr>
        <w:t>．</w:t>
      </w:r>
      <w:r>
        <w:rPr>
          <w:rFonts w:hint="eastAsia" w:cs="Times New Roman"/>
          <w:lang w:val="en-US" w:eastAsia="zh-CN"/>
        </w:rPr>
        <w:t>国库集中支付电子凭证验签</w:t>
      </w:r>
    </w:p>
    <w:p>
      <w:pPr>
        <w:spacing w:after="0" w:line="560" w:lineRule="exact"/>
        <w:ind w:firstLine="560" w:firstLineChars="200"/>
        <w:rPr>
          <w:rFonts w:hint="eastAsia" w:ascii="Times New Roman" w:hAnsi="Times New Roman" w:eastAsia="仿宋_GB2312" w:cs="Arial"/>
          <w:sz w:val="28"/>
          <w:szCs w:val="32"/>
        </w:rPr>
      </w:pPr>
      <w:r>
        <w:rPr>
          <w:rFonts w:hint="eastAsia" w:ascii="Times New Roman" w:hAnsi="Times New Roman" w:eastAsia="仿宋_GB2312" w:cstheme="minorBidi"/>
          <w:color w:val="000000"/>
          <w:kern w:val="0"/>
          <w:sz w:val="28"/>
          <w:szCs w:val="28"/>
          <w:lang w:val="en-US" w:eastAsia="zh-CN" w:bidi="ar-SA"/>
        </w:rPr>
        <w:t>在进行入账之前，接收端单位需对接收的电子凭证文件进行验签，</w:t>
      </w:r>
      <w:r>
        <w:rPr>
          <w:rFonts w:hint="eastAsia" w:ascii="Times New Roman" w:hAnsi="Times New Roman" w:eastAsia="仿宋_GB2312" w:cstheme="minorBidi"/>
          <w:b w:val="0"/>
          <w:bCs w:val="0"/>
          <w:i w:val="0"/>
          <w:iCs w:val="0"/>
          <w:color w:val="000000"/>
          <w:spacing w:val="0"/>
          <w:w w:val="100"/>
          <w:sz w:val="28"/>
          <w:szCs w:val="28"/>
          <w:vertAlign w:val="baseline"/>
        </w:rPr>
        <w:t>或者直接通过服务保障单位提供的个性化工具包进行验签。以保证文件的来源合法、真实可靠和未被篡改</w:t>
      </w:r>
      <w:r>
        <w:rPr>
          <w:rFonts w:hint="eastAsia" w:ascii="Times New Roman" w:hAnsi="Times New Roman" w:eastAsia="仿宋_GB2312" w:cs="Arial"/>
          <w:sz w:val="28"/>
          <w:szCs w:val="32"/>
        </w:rPr>
        <w:t>。</w:t>
      </w:r>
    </w:p>
    <w:p>
      <w:pPr>
        <w:pStyle w:val="30"/>
        <w:wordWrap/>
        <w:spacing w:after="0" w:line="560" w:lineRule="exact"/>
        <w:rPr>
          <w:rFonts w:cs="Times New Roman"/>
        </w:rPr>
      </w:pPr>
      <w:r>
        <w:rPr>
          <w:rFonts w:cs="Times New Roman"/>
        </w:rPr>
        <w:t>3</w:t>
      </w:r>
      <w:r>
        <w:rPr>
          <w:rFonts w:hint="eastAsia" w:cs="Times New Roman"/>
        </w:rPr>
        <w:t>．解析</w:t>
      </w:r>
      <w:r>
        <w:rPr>
          <w:rFonts w:hint="eastAsia" w:cs="Times New Roman"/>
          <w:lang w:val="en-US" w:eastAsia="zh-CN"/>
        </w:rPr>
        <w:t>国库集中支付电子凭证</w:t>
      </w:r>
      <w:r>
        <w:rPr>
          <w:rFonts w:hint="eastAsia" w:cs="Times New Roman"/>
        </w:rPr>
        <w:t>并标记状态位信息</w:t>
      </w:r>
    </w:p>
    <w:p>
      <w:pPr>
        <w:spacing w:after="0"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rPr>
        <w:t>接收单位可根据《</w:t>
      </w:r>
      <w:r>
        <w:rPr>
          <w:rFonts w:hint="eastAsia" w:ascii="Times New Roman" w:hAnsi="Times New Roman" w:eastAsia="仿宋_GB2312"/>
          <w:sz w:val="28"/>
          <w:szCs w:val="28"/>
          <w:lang w:val="en-US" w:eastAsia="zh-CN"/>
        </w:rPr>
        <w:t>国库集中支付电子凭证</w:t>
      </w:r>
      <w:r>
        <w:rPr>
          <w:rFonts w:hint="eastAsia" w:ascii="Times New Roman" w:hAnsi="Times New Roman" w:eastAsia="仿宋_GB2312"/>
          <w:sz w:val="28"/>
          <w:szCs w:val="28"/>
        </w:rPr>
        <w:t>标准》的要求，使用工具包解析</w:t>
      </w:r>
      <w:r>
        <w:rPr>
          <w:rFonts w:hint="eastAsia" w:ascii="Times New Roman" w:hAnsi="Times New Roman" w:eastAsia="仿宋_GB2312"/>
          <w:sz w:val="28"/>
          <w:szCs w:val="28"/>
          <w:lang w:val="en-US" w:eastAsia="zh-CN"/>
        </w:rPr>
        <w:t>国库集中支付电子凭证</w:t>
      </w:r>
      <w:r>
        <w:rPr>
          <w:rFonts w:hint="eastAsia" w:ascii="Times New Roman" w:hAnsi="Times New Roman" w:eastAsia="仿宋_GB2312"/>
          <w:sz w:val="28"/>
          <w:szCs w:val="28"/>
        </w:rPr>
        <w:t>结构化数据并标记状态位（包括</w:t>
      </w:r>
      <w:r>
        <w:rPr>
          <w:rFonts w:hint="eastAsia" w:ascii="Times New Roman" w:hAnsi="Times New Roman" w:eastAsia="仿宋_GB2312"/>
          <w:sz w:val="28"/>
          <w:szCs w:val="28"/>
          <w:lang w:val="en-US" w:eastAsia="zh-CN"/>
        </w:rPr>
        <w:t>国库集中支付电子凭证</w:t>
      </w:r>
      <w:r>
        <w:rPr>
          <w:rFonts w:hint="eastAsia" w:ascii="Times New Roman" w:hAnsi="Times New Roman" w:eastAsia="仿宋_GB2312"/>
          <w:sz w:val="28"/>
          <w:szCs w:val="28"/>
        </w:rPr>
        <w:t>状态信息、会计主体信息、基础会计信息），入账完成后自动生成标准化的</w:t>
      </w:r>
      <w:r>
        <w:rPr>
          <w:rFonts w:hint="eastAsia" w:ascii="Times New Roman" w:hAnsi="Times New Roman" w:eastAsia="仿宋_GB2312"/>
          <w:sz w:val="28"/>
          <w:szCs w:val="28"/>
          <w:lang w:val="en-US" w:eastAsia="zh-CN"/>
        </w:rPr>
        <w:t>国库集中支付电子凭证</w:t>
      </w:r>
      <w:r>
        <w:rPr>
          <w:rFonts w:hint="eastAsia" w:ascii="Times New Roman" w:hAnsi="Times New Roman" w:eastAsia="仿宋_GB2312"/>
          <w:sz w:val="28"/>
          <w:szCs w:val="28"/>
        </w:rPr>
        <w:t>业务（对象）数据，</w:t>
      </w:r>
      <w:r>
        <w:rPr>
          <w:rFonts w:hint="eastAsia" w:ascii="Times New Roman" w:hAnsi="Times New Roman" w:eastAsia="仿宋_GB2312"/>
          <w:sz w:val="28"/>
          <w:szCs w:val="28"/>
          <w:lang w:eastAsia="zh-CN"/>
        </w:rPr>
        <w:t>并</w:t>
      </w:r>
      <w:r>
        <w:rPr>
          <w:rFonts w:hint="eastAsia" w:ascii="Times New Roman" w:hAnsi="Times New Roman" w:eastAsia="仿宋_GB2312"/>
          <w:sz w:val="28"/>
          <w:szCs w:val="28"/>
        </w:rPr>
        <w:t>生成</w:t>
      </w:r>
      <w:r>
        <w:rPr>
          <w:rFonts w:hint="eastAsia" w:ascii="Times New Roman" w:hAnsi="Times New Roman" w:eastAsia="仿宋_GB2312" w:cs="Arial"/>
          <w:sz w:val="28"/>
          <w:szCs w:val="32"/>
          <w:highlight w:val="none"/>
          <w:lang w:eastAsia="zh-CN"/>
        </w:rPr>
        <w:t>入账信息结构化数据文件（</w:t>
      </w:r>
      <w:r>
        <w:rPr>
          <w:rFonts w:hint="eastAsia" w:ascii="Times New Roman" w:hAnsi="Times New Roman" w:eastAsia="仿宋_GB2312" w:cs="Arial"/>
          <w:sz w:val="28"/>
          <w:szCs w:val="32"/>
          <w:highlight w:val="none"/>
          <w:lang w:val="en-US" w:eastAsia="zh-CN"/>
        </w:rPr>
        <w:t>XBRL实例文档</w:t>
      </w:r>
      <w:r>
        <w:rPr>
          <w:rFonts w:hint="eastAsia" w:ascii="Times New Roman" w:hAnsi="Times New Roman" w:eastAsia="仿宋_GB2312" w:cs="Arial"/>
          <w:sz w:val="28"/>
          <w:szCs w:val="32"/>
          <w:highlight w:val="none"/>
          <w:lang w:eastAsia="zh-CN"/>
        </w:rPr>
        <w:t>）</w:t>
      </w:r>
      <w:r>
        <w:rPr>
          <w:rFonts w:hint="eastAsia" w:ascii="Times New Roman" w:hAnsi="Times New Roman" w:eastAsia="仿宋_GB2312"/>
          <w:sz w:val="28"/>
          <w:szCs w:val="28"/>
          <w:highlight w:val="none"/>
        </w:rPr>
        <w:t>。</w:t>
      </w:r>
    </w:p>
    <w:p>
      <w:pPr>
        <w:pStyle w:val="23"/>
        <w:numPr>
          <w:ilvl w:val="0"/>
          <w:numId w:val="8"/>
        </w:numPr>
        <w:wordWrap/>
        <w:spacing w:line="560" w:lineRule="exact"/>
        <w:ind w:firstLine="560"/>
        <w:outlineLvl w:val="1"/>
        <w:rPr>
          <w:rFonts w:ascii="Times New Roman" w:hAnsi="Times New Roman"/>
          <w:highlight w:val="none"/>
        </w:rPr>
      </w:pPr>
      <w:r>
        <w:rPr>
          <w:rFonts w:hint="eastAsia" w:ascii="Times New Roman" w:hAnsi="Times New Roman"/>
          <w:highlight w:val="none"/>
        </w:rPr>
        <w:t>自动入账并</w:t>
      </w:r>
      <w:r>
        <w:rPr>
          <w:rFonts w:hint="eastAsia" w:ascii="Times New Roman" w:hAnsi="Times New Roman"/>
          <w:highlight w:val="none"/>
          <w:lang w:eastAsia="zh-CN"/>
        </w:rPr>
        <w:t>生成实例文档</w:t>
      </w:r>
    </w:p>
    <w:p>
      <w:pPr>
        <w:spacing w:after="0" w:line="560" w:lineRule="exact"/>
        <w:ind w:firstLine="560" w:firstLineChars="200"/>
        <w:rPr>
          <w:rFonts w:ascii="Times New Roman" w:hAnsi="Times New Roman" w:eastAsia="仿宋_GB2312" w:cs="Arial"/>
          <w:sz w:val="28"/>
          <w:szCs w:val="32"/>
          <w:highlight w:val="none"/>
        </w:rPr>
      </w:pPr>
      <w:r>
        <w:rPr>
          <w:rFonts w:hint="eastAsia" w:ascii="Times New Roman" w:hAnsi="Times New Roman" w:eastAsia="仿宋_GB2312" w:cs="Arial"/>
          <w:sz w:val="28"/>
          <w:szCs w:val="32"/>
          <w:highlight w:val="none"/>
          <w:lang w:val="en-US" w:eastAsia="zh-CN"/>
        </w:rPr>
        <w:t>行政事业</w:t>
      </w:r>
      <w:r>
        <w:rPr>
          <w:rFonts w:hint="eastAsia" w:ascii="Times New Roman" w:hAnsi="Times New Roman" w:eastAsia="仿宋_GB2312" w:cs="Arial"/>
          <w:sz w:val="28"/>
          <w:szCs w:val="32"/>
          <w:highlight w:val="none"/>
        </w:rPr>
        <w:t>单位在</w:t>
      </w:r>
      <w:r>
        <w:rPr>
          <w:rFonts w:hint="eastAsia" w:ascii="Times New Roman" w:hAnsi="Times New Roman" w:eastAsia="仿宋_GB2312"/>
          <w:sz w:val="28"/>
          <w:szCs w:val="28"/>
          <w:highlight w:val="none"/>
          <w:lang w:val="en-US" w:eastAsia="zh-CN"/>
        </w:rPr>
        <w:t>国库集中支付电子凭证</w:t>
      </w:r>
      <w:r>
        <w:rPr>
          <w:rFonts w:hint="eastAsia" w:ascii="Times New Roman" w:hAnsi="Times New Roman" w:eastAsia="仿宋_GB2312" w:cs="Arial"/>
          <w:sz w:val="28"/>
          <w:szCs w:val="32"/>
          <w:highlight w:val="none"/>
        </w:rPr>
        <w:t>入账后，需要按照《</w:t>
      </w:r>
      <w:r>
        <w:rPr>
          <w:rFonts w:hint="eastAsia" w:ascii="Times New Roman" w:hAnsi="Times New Roman" w:eastAsia="仿宋_GB2312"/>
          <w:sz w:val="28"/>
          <w:szCs w:val="28"/>
          <w:highlight w:val="none"/>
          <w:lang w:val="en-US" w:eastAsia="zh-CN"/>
        </w:rPr>
        <w:t>国库集中支付电子凭证</w:t>
      </w:r>
      <w:r>
        <w:rPr>
          <w:rFonts w:hint="eastAsia" w:ascii="Times New Roman" w:hAnsi="Times New Roman" w:eastAsia="仿宋_GB2312" w:cs="Arial"/>
          <w:sz w:val="28"/>
          <w:szCs w:val="32"/>
          <w:highlight w:val="none"/>
        </w:rPr>
        <w:t>标准》的相关要求，</w:t>
      </w:r>
      <w:r>
        <w:rPr>
          <w:rFonts w:hint="eastAsia" w:ascii="Times New Roman" w:hAnsi="Times New Roman" w:eastAsia="仿宋_GB2312" w:cs="Arial"/>
          <w:sz w:val="28"/>
          <w:szCs w:val="32"/>
          <w:highlight w:val="none"/>
          <w:lang w:eastAsia="zh-CN"/>
        </w:rPr>
        <w:t>根据</w:t>
      </w:r>
      <w:r>
        <w:rPr>
          <w:rFonts w:hint="eastAsia" w:ascii="Times New Roman" w:hAnsi="Times New Roman" w:eastAsia="仿宋_GB2312" w:cs="Arial"/>
          <w:sz w:val="28"/>
          <w:szCs w:val="32"/>
          <w:highlight w:val="none"/>
          <w:lang w:val="en-US" w:eastAsia="zh-CN"/>
        </w:rPr>
        <w:t>凭证</w:t>
      </w:r>
      <w:r>
        <w:rPr>
          <w:rFonts w:hint="eastAsia" w:ascii="Times New Roman" w:hAnsi="Times New Roman" w:eastAsia="仿宋_GB2312" w:cs="Arial"/>
          <w:sz w:val="28"/>
          <w:szCs w:val="32"/>
          <w:highlight w:val="none"/>
        </w:rPr>
        <w:t>信息、</w:t>
      </w:r>
      <w:r>
        <w:rPr>
          <w:rFonts w:hint="eastAsia" w:ascii="Times New Roman" w:hAnsi="Times New Roman" w:eastAsia="仿宋_GB2312" w:cs="Arial"/>
          <w:sz w:val="28"/>
          <w:szCs w:val="32"/>
          <w:highlight w:val="none"/>
          <w:lang w:val="en-US" w:eastAsia="zh-CN"/>
        </w:rPr>
        <w:t>凭证</w:t>
      </w:r>
      <w:r>
        <w:rPr>
          <w:rFonts w:hint="eastAsia" w:ascii="Times New Roman" w:hAnsi="Times New Roman" w:eastAsia="仿宋_GB2312" w:cs="Arial"/>
          <w:sz w:val="28"/>
          <w:szCs w:val="32"/>
          <w:highlight w:val="none"/>
        </w:rPr>
        <w:t>状态、会计主体信息和基础会计信息</w:t>
      </w:r>
      <w:r>
        <w:rPr>
          <w:rFonts w:hint="eastAsia" w:ascii="Times New Roman" w:hAnsi="Times New Roman" w:eastAsia="仿宋_GB2312" w:cs="Arial"/>
          <w:sz w:val="28"/>
          <w:szCs w:val="32"/>
          <w:highlight w:val="none"/>
          <w:lang w:eastAsia="zh-CN"/>
        </w:rPr>
        <w:t>生成入账信息结构化数据文件（</w:t>
      </w:r>
      <w:r>
        <w:rPr>
          <w:rFonts w:hint="eastAsia" w:ascii="Times New Roman" w:hAnsi="Times New Roman" w:eastAsia="仿宋_GB2312" w:cs="Arial"/>
          <w:sz w:val="28"/>
          <w:szCs w:val="32"/>
          <w:highlight w:val="none"/>
          <w:lang w:val="en-US" w:eastAsia="zh-CN"/>
        </w:rPr>
        <w:t>XBRL实例文档</w:t>
      </w:r>
      <w:r>
        <w:rPr>
          <w:rFonts w:hint="eastAsia" w:ascii="Times New Roman" w:hAnsi="Times New Roman" w:eastAsia="仿宋_GB2312" w:cs="Arial"/>
          <w:sz w:val="28"/>
          <w:szCs w:val="32"/>
          <w:highlight w:val="none"/>
          <w:lang w:eastAsia="zh-CN"/>
        </w:rPr>
        <w:t>）</w:t>
      </w:r>
      <w:r>
        <w:rPr>
          <w:rFonts w:hint="eastAsia" w:ascii="Times New Roman" w:hAnsi="Times New Roman" w:eastAsia="仿宋_GB2312" w:cs="Arial"/>
          <w:sz w:val="28"/>
          <w:szCs w:val="32"/>
          <w:highlight w:val="none"/>
        </w:rPr>
        <w:t>。</w:t>
      </w:r>
    </w:p>
    <w:p>
      <w:pPr>
        <w:pStyle w:val="30"/>
        <w:widowControl w:val="0"/>
        <w:spacing w:line="560" w:lineRule="exact"/>
        <w:ind w:firstLine="562"/>
      </w:pPr>
      <w:r>
        <w:t>1</w:t>
      </w:r>
      <w:r>
        <w:rPr>
          <w:rFonts w:hint="eastAsia"/>
        </w:rPr>
        <w:t>．《国库集中支付电子凭证标准》内容架构</w:t>
      </w:r>
    </w:p>
    <w:p>
      <w:pPr>
        <w:pStyle w:val="26"/>
        <w:widowControl w:val="0"/>
        <w:wordWrap/>
        <w:spacing w:after="0" w:line="560" w:lineRule="exact"/>
      </w:pPr>
      <w:r>
        <w:rPr>
          <w:rFonts w:hint="eastAsia"/>
        </w:rPr>
        <w:t>本标准将</w:t>
      </w:r>
      <w:r>
        <w:rPr>
          <w:rFonts w:hint="eastAsia" w:ascii="Times New Roman" w:hAnsi="Times New Roman" w:eastAsia="仿宋_GB2312"/>
          <w:sz w:val="28"/>
          <w:szCs w:val="28"/>
          <w:lang w:val="en-US" w:eastAsia="zh-CN"/>
        </w:rPr>
        <w:t>国库集中支付电子凭证</w:t>
      </w:r>
      <w:r>
        <w:rPr>
          <w:rFonts w:hint="eastAsia"/>
        </w:rPr>
        <w:t>的部分票面信息以及通过</w:t>
      </w:r>
      <w:r>
        <w:rPr>
          <w:rFonts w:hint="eastAsia" w:ascii="Times New Roman" w:hAnsi="Times New Roman" w:eastAsia="仿宋_GB2312"/>
          <w:sz w:val="28"/>
          <w:szCs w:val="28"/>
          <w:lang w:val="en-US" w:eastAsia="zh-CN"/>
        </w:rPr>
        <w:t>国库集中支付电子凭证</w:t>
      </w:r>
      <w:r>
        <w:rPr>
          <w:rFonts w:hint="eastAsia"/>
        </w:rPr>
        <w:t>进行入账、归档过程中需要的信息进行了XBRL标记，表</w:t>
      </w:r>
      <w:r>
        <w:t>10</w:t>
      </w:r>
      <w:r>
        <w:rPr>
          <w:rFonts w:hint="eastAsia"/>
        </w:rPr>
        <w:t>列示了标准标记相关字段。</w:t>
      </w:r>
    </w:p>
    <w:p>
      <w:pPr>
        <w:pStyle w:val="26"/>
        <w:numPr>
          <w:ilvl w:val="0"/>
          <w:numId w:val="4"/>
        </w:numPr>
        <w:wordWrap/>
        <w:spacing w:after="0" w:line="560" w:lineRule="exact"/>
        <w:ind w:firstLineChars="0"/>
        <w:jc w:val="center"/>
        <w:rPr>
          <w:b/>
          <w:bCs/>
          <w:sz w:val="24"/>
          <w:szCs w:val="24"/>
        </w:rPr>
      </w:pPr>
      <w:r>
        <w:rPr>
          <w:rFonts w:hint="eastAsia"/>
          <w:b/>
          <w:bCs/>
          <w:sz w:val="24"/>
          <w:szCs w:val="24"/>
        </w:rPr>
        <w:t>《</w:t>
      </w:r>
      <w:r>
        <w:rPr>
          <w:rFonts w:hint="eastAsia"/>
          <w:b/>
          <w:bCs/>
          <w:sz w:val="24"/>
          <w:szCs w:val="24"/>
          <w:lang w:eastAsia="zh-CN"/>
        </w:rPr>
        <w:t>国库集中支付电子凭证标准</w:t>
      </w:r>
      <w:r>
        <w:rPr>
          <w:rFonts w:hint="eastAsia"/>
          <w:b/>
          <w:bCs/>
          <w:sz w:val="24"/>
          <w:szCs w:val="24"/>
        </w:rPr>
        <w:t>》标记内容</w:t>
      </w:r>
    </w:p>
    <w:tbl>
      <w:tblPr>
        <w:tblStyle w:val="14"/>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数值类型</w:t>
            </w:r>
          </w:p>
        </w:tc>
        <w:tc>
          <w:tcPr>
            <w:tcW w:w="2410"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ascii="仿宋_GB2312" w:hAnsi="等线" w:eastAsia="仿宋_GB2312" w:cs="宋体"/>
                <w:color w:val="000000"/>
              </w:rPr>
            </w:pP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val="en-US" w:eastAsia="zh-CN"/>
              </w:rPr>
              <w:t>凭证</w:t>
            </w:r>
            <w:r>
              <w:rPr>
                <w:rFonts w:hint="eastAsia" w:ascii="仿宋_GB2312" w:hAnsi="等线" w:eastAsia="仿宋_GB2312" w:cs="宋体"/>
                <w:color w:val="000000"/>
              </w:rPr>
              <w:t>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国库集中支付电子凭证标识</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必填项，国库集中支付电子凭证的唯一标识。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ascii="仿宋_GB2312" w:hAnsi="等线" w:eastAsia="仿宋_GB2312" w:cs="宋体"/>
                <w:color w:val="000000"/>
              </w:rPr>
            </w:pP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行政区划代码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vMerge w:val="restart"/>
            <w:shd w:val="clear" w:color="auto" w:fill="auto"/>
            <w:noWrap/>
            <w:vAlign w:val="center"/>
          </w:tcPr>
          <w:p>
            <w:pPr>
              <w:spacing w:after="0" w:line="240" w:lineRule="auto"/>
              <w:rPr>
                <w:rFonts w:hint="eastAsia" w:ascii="仿宋_GB2312" w:hAnsi="等线" w:eastAsia="仿宋_GB2312" w:cs="宋体"/>
                <w:color w:val="000000"/>
                <w:sz w:val="22"/>
                <w:szCs w:val="22"/>
                <w:lang w:val="en-US" w:eastAsia="zh-CN" w:bidi="ar-SA"/>
              </w:rPr>
            </w:pPr>
            <w:r>
              <w:rPr>
                <w:rFonts w:hint="eastAsia" w:ascii="仿宋_GB2312" w:hAnsi="等线" w:eastAsia="仿宋_GB2312" w:cs="宋体"/>
                <w:color w:val="000000"/>
              </w:rPr>
              <w:t>必填项</w:t>
            </w:r>
            <w:r>
              <w:rPr>
                <w:rFonts w:hint="eastAsia" w:ascii="仿宋_GB2312" w:hAnsi="等线" w:eastAsia="仿宋_GB2312" w:cs="宋体"/>
                <w:color w:val="000000"/>
                <w:lang w:eastAsia="zh-CN"/>
              </w:rPr>
              <w:t>，</w:t>
            </w:r>
            <w:r>
              <w:rPr>
                <w:rFonts w:hint="eastAsia" w:ascii="仿宋_GB2312" w:hAnsi="等线" w:eastAsia="仿宋_GB2312" w:cs="宋体"/>
                <w:color w:val="000000"/>
              </w:rPr>
              <w:t>国库集中支付电子凭证的唯一标识</w:t>
            </w:r>
            <w:r>
              <w:rPr>
                <w:rFonts w:hint="eastAsia" w:ascii="仿宋_GB2312" w:hAnsi="等线" w:eastAsia="仿宋_GB2312" w:cs="宋体"/>
                <w:color w:val="000000"/>
                <w:lang w:val="en-US" w:eastAsia="zh-CN"/>
              </w:rPr>
              <w:t>的四要素（按顺序直接拼接）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ascii="仿宋_GB2312" w:hAnsi="等线" w:eastAsia="仿宋_GB2312" w:cs="宋体"/>
                <w:color w:val="000000"/>
              </w:rPr>
            </w:pP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业务年度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vMerge w:val="continue"/>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ascii="仿宋_GB2312" w:hAnsi="等线" w:eastAsia="仿宋_GB2312" w:cs="宋体"/>
                <w:color w:val="000000"/>
              </w:rPr>
            </w:pP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凭证类型编号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vMerge w:val="continue"/>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hint="eastAsia" w:ascii="仿宋_GB2312" w:hAnsi="等线" w:eastAsia="仿宋_GB2312" w:cs="宋体"/>
                <w:color w:val="000000"/>
                <w:lang w:val="en-US" w:eastAsia="zh-CN"/>
              </w:rPr>
            </w:pP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hint="eastAsia" w:ascii="仿宋_GB2312" w:hAnsi="等线" w:eastAsia="仿宋_GB2312" w:cs="宋体"/>
                <w:color w:val="000000"/>
                <w:sz w:val="22"/>
                <w:szCs w:val="22"/>
                <w:lang w:val="en-US" w:eastAsia="zh-CN" w:bidi="ar-SA"/>
              </w:rPr>
            </w:pPr>
            <w:r>
              <w:rPr>
                <w:rFonts w:hint="eastAsia" w:ascii="仿宋_GB2312" w:hAnsi="等线" w:eastAsia="仿宋_GB2312" w:cs="宋体"/>
                <w:color w:val="000000"/>
                <w:lang w:val="en-US" w:eastAsia="zh-CN"/>
              </w:rPr>
              <w:t>凭证号</w:t>
            </w:r>
          </w:p>
        </w:tc>
        <w:tc>
          <w:tcPr>
            <w:tcW w:w="1276" w:type="dxa"/>
            <w:shd w:val="clear" w:color="auto" w:fill="auto"/>
            <w:noWrap/>
            <w:vAlign w:val="center"/>
          </w:tcPr>
          <w:p>
            <w:pPr>
              <w:spacing w:after="0" w:line="240" w:lineRule="auto"/>
              <w:jc w:val="center"/>
              <w:rPr>
                <w:rFonts w:hint="eastAsia" w:ascii="仿宋_GB2312" w:hAnsi="等线" w:eastAsia="仿宋_GB2312" w:cs="宋体"/>
                <w:color w:val="000000"/>
                <w:sz w:val="22"/>
                <w:szCs w:val="22"/>
                <w:lang w:val="en-US" w:eastAsia="zh-CN" w:bidi="ar-SA"/>
              </w:rPr>
            </w:pPr>
            <w:r>
              <w:rPr>
                <w:rFonts w:hint="eastAsia" w:ascii="仿宋_GB2312" w:hAnsi="等线" w:eastAsia="仿宋_GB2312" w:cs="宋体"/>
                <w:color w:val="000000"/>
              </w:rPr>
              <w:t>字符型</w:t>
            </w:r>
          </w:p>
        </w:tc>
        <w:tc>
          <w:tcPr>
            <w:tcW w:w="2410" w:type="dxa"/>
            <w:vMerge w:val="continue"/>
            <w:shd w:val="clear" w:color="auto" w:fill="auto"/>
            <w:noWrap/>
            <w:vAlign w:val="center"/>
          </w:tcPr>
          <w:p>
            <w:pPr>
              <w:spacing w:after="0" w:line="240" w:lineRule="auto"/>
              <w:rPr>
                <w:rFonts w:hint="eastAsia" w:ascii="仿宋_GB2312" w:hAnsi="等线" w:eastAsia="仿宋_GB2312" w:cs="宋体"/>
                <w:color w:val="000000"/>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hint="eastAsia" w:ascii="仿宋_GB2312" w:hAnsi="等线" w:eastAsia="仿宋_GB2312" w:cs="宋体"/>
                <w:color w:val="000000"/>
                <w:lang w:val="en-US" w:eastAsia="zh-CN"/>
              </w:rPr>
            </w:pP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hint="default" w:ascii="仿宋_GB2312" w:hAnsi="等线" w:eastAsia="仿宋_GB2312" w:cs="宋体"/>
                <w:color w:val="000000"/>
                <w:lang w:val="en-US" w:eastAsia="zh-CN"/>
              </w:rPr>
            </w:pPr>
            <w:r>
              <w:rPr>
                <w:rFonts w:hint="eastAsia" w:ascii="仿宋_GB2312" w:hAnsi="等线" w:eastAsia="仿宋_GB2312" w:cs="宋体"/>
                <w:color w:val="000000"/>
                <w:lang w:val="en-US" w:eastAsia="zh-CN"/>
              </w:rPr>
              <w:t>凭证日期</w:t>
            </w:r>
          </w:p>
        </w:tc>
        <w:tc>
          <w:tcPr>
            <w:tcW w:w="1276" w:type="dxa"/>
            <w:shd w:val="clear" w:color="auto" w:fill="auto"/>
            <w:noWrap/>
            <w:vAlign w:val="center"/>
          </w:tcPr>
          <w:p>
            <w:pPr>
              <w:spacing w:after="0" w:line="240" w:lineRule="auto"/>
              <w:jc w:val="center"/>
              <w:rPr>
                <w:rFonts w:hint="eastAsia" w:ascii="仿宋_GB2312" w:hAnsi="等线" w:eastAsia="仿宋_GB2312" w:cs="宋体"/>
                <w:color w:val="000000"/>
              </w:rPr>
            </w:pPr>
            <w:r>
              <w:rPr>
                <w:rFonts w:hint="eastAsia" w:ascii="仿宋_GB2312" w:hAnsi="等线" w:eastAsia="仿宋_GB2312" w:cs="宋体"/>
                <w:color w:val="000000"/>
              </w:rPr>
              <w:t>日期型</w:t>
            </w:r>
          </w:p>
        </w:tc>
        <w:tc>
          <w:tcPr>
            <w:tcW w:w="2410" w:type="dxa"/>
            <w:shd w:val="clear" w:color="auto" w:fill="auto"/>
            <w:noWrap/>
            <w:vAlign w:val="center"/>
          </w:tcPr>
          <w:p>
            <w:pPr>
              <w:spacing w:after="0" w:line="240" w:lineRule="auto"/>
              <w:rPr>
                <w:rFonts w:hint="eastAsia"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hint="eastAsia" w:ascii="仿宋_GB2312" w:hAnsi="等线" w:eastAsia="仿宋_GB2312" w:cs="宋体"/>
                <w:color w:val="000000"/>
                <w:lang w:eastAsia="zh-CN"/>
              </w:rPr>
            </w:pP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auto"/>
              </w:rPr>
            </w:pPr>
            <w:r>
              <w:rPr>
                <w:rFonts w:hint="eastAsia" w:ascii="仿宋_GB2312" w:hAnsi="等线" w:eastAsia="仿宋_GB2312" w:cs="宋体"/>
                <w:color w:val="auto"/>
                <w:lang w:val="en-US" w:eastAsia="zh-CN"/>
              </w:rPr>
              <w:t>凭证</w:t>
            </w:r>
            <w:r>
              <w:rPr>
                <w:rFonts w:hint="eastAsia" w:ascii="仿宋_GB2312" w:hAnsi="等线" w:eastAsia="仿宋_GB2312" w:cs="宋体"/>
                <w:color w:val="auto"/>
              </w:rPr>
              <w:t>金额</w:t>
            </w:r>
          </w:p>
        </w:tc>
        <w:tc>
          <w:tcPr>
            <w:tcW w:w="1276" w:type="dxa"/>
            <w:shd w:val="clear" w:color="auto" w:fill="auto"/>
            <w:noWrap/>
            <w:vAlign w:val="center"/>
          </w:tcPr>
          <w:p>
            <w:pPr>
              <w:spacing w:after="0" w:line="240" w:lineRule="auto"/>
              <w:jc w:val="center"/>
              <w:rPr>
                <w:rFonts w:ascii="仿宋_GB2312" w:hAnsi="等线" w:eastAsia="仿宋_GB2312" w:cs="宋体"/>
                <w:color w:val="auto"/>
              </w:rPr>
            </w:pPr>
            <w:r>
              <w:rPr>
                <w:rFonts w:hint="eastAsia" w:ascii="仿宋_GB2312" w:hAnsi="等线" w:eastAsia="仿宋_GB2312" w:cs="宋体"/>
                <w:color w:val="auto"/>
              </w:rPr>
              <w:t>货币型</w:t>
            </w:r>
          </w:p>
        </w:tc>
        <w:tc>
          <w:tcPr>
            <w:tcW w:w="2410" w:type="dxa"/>
            <w:shd w:val="clear" w:color="auto" w:fill="auto"/>
            <w:noWrap/>
            <w:vAlign w:val="center"/>
          </w:tcPr>
          <w:p>
            <w:pPr>
              <w:spacing w:after="0" w:line="240" w:lineRule="auto"/>
              <w:rPr>
                <w:rFonts w:hint="default" w:ascii="仿宋_GB2312" w:hAnsi="等线" w:eastAsia="仿宋_GB2312" w:cs="宋体"/>
                <w:color w:val="auto"/>
                <w:lang w:val="en-US" w:eastAsia="zh-CN"/>
              </w:rPr>
            </w:pPr>
            <w:r>
              <w:rPr>
                <w:rFonts w:hint="eastAsia" w:ascii="仿宋_GB2312" w:hAnsi="等线" w:eastAsia="仿宋_GB2312" w:cs="宋体"/>
                <w:color w:val="auto"/>
              </w:rPr>
              <w:t>必填项</w:t>
            </w:r>
            <w:r>
              <w:rPr>
                <w:rFonts w:hint="eastAsia" w:ascii="仿宋_GB2312" w:hAnsi="等线" w:eastAsia="仿宋_GB2312" w:cs="宋体"/>
                <w:color w:val="auto"/>
                <w:lang w:eastAsia="zh-CN"/>
              </w:rPr>
              <w:t>，</w:t>
            </w:r>
            <w:r>
              <w:rPr>
                <w:rFonts w:hint="eastAsia" w:ascii="仿宋_GB2312" w:hAnsi="等线" w:eastAsia="仿宋_GB2312" w:cs="宋体"/>
                <w:color w:val="auto"/>
                <w:lang w:val="en-US" w:eastAsia="zh-CN"/>
              </w:rPr>
              <w:t>实际支付/退款金额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hint="eastAsia" w:ascii="仿宋_GB2312" w:hAnsi="等线" w:eastAsia="仿宋_GB2312" w:cs="宋体"/>
                <w:color w:val="000000"/>
                <w:lang w:eastAsia="zh-CN"/>
              </w:rPr>
            </w:pP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val="en-US" w:eastAsia="zh-CN"/>
              </w:rPr>
              <w:t>凭证</w:t>
            </w:r>
            <w:r>
              <w:rPr>
                <w:rFonts w:hint="eastAsia" w:ascii="仿宋_GB2312" w:hAnsi="等线" w:eastAsia="仿宋_GB2312" w:cs="宋体"/>
                <w:color w:val="000000"/>
              </w:rPr>
              <w:t>状态</w:t>
            </w:r>
          </w:p>
        </w:tc>
        <w:tc>
          <w:tcPr>
            <w:tcW w:w="2551" w:type="dxa"/>
            <w:shd w:val="clear" w:color="auto" w:fill="auto"/>
            <w:noWrap/>
            <w:vAlign w:val="center"/>
          </w:tcPr>
          <w:p>
            <w:pPr>
              <w:spacing w:after="0" w:line="240" w:lineRule="auto"/>
              <w:jc w:val="center"/>
              <w:rPr>
                <w:rFonts w:ascii="仿宋_GB2312" w:hAnsi="等线" w:eastAsia="仿宋_GB2312" w:cs="宋体"/>
                <w:color w:val="000000"/>
                <w:sz w:val="22"/>
                <w:szCs w:val="22"/>
                <w:lang w:val="en-US" w:eastAsia="zh-CN" w:bidi="ar-SA"/>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sz w:val="22"/>
                <w:szCs w:val="22"/>
                <w:lang w:val="en-US" w:eastAsia="zh-CN" w:bidi="ar-SA"/>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sz w:val="22"/>
                <w:szCs w:val="22"/>
                <w:lang w:val="en-US" w:eastAsia="zh-CN" w:bidi="ar-SA"/>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hint="eastAsia" w:ascii="仿宋_GB2312" w:hAnsi="等线" w:eastAsia="仿宋_GB2312" w:cs="宋体"/>
                <w:color w:val="000000"/>
                <w:lang w:eastAsia="zh-CN"/>
              </w:rPr>
            </w:pP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hint="eastAsia" w:ascii="仿宋_GB2312" w:hAnsi="等线" w:eastAsia="仿宋_GB2312" w:cs="宋体"/>
                <w:color w:val="000000"/>
                <w:lang w:eastAsia="zh-CN"/>
              </w:rPr>
            </w:pP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hint="eastAsia" w:ascii="仿宋_GB2312" w:hAnsi="等线" w:eastAsia="仿宋_GB2312" w:cs="宋体"/>
                <w:color w:val="000000"/>
                <w:lang w:eastAsia="zh-CN"/>
              </w:rPr>
            </w:pP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r>
              <w:rPr>
                <w:rFonts w:hint="eastAsia" w:ascii="仿宋_GB2312" w:hAnsi="等线" w:eastAsia="仿宋_GB2312" w:cs="宋体"/>
                <w:color w:val="000000"/>
                <w:lang w:val="en-US" w:eastAsia="zh-CN"/>
              </w:rPr>
              <w:t>同一会计期间下</w:t>
            </w:r>
            <w:r>
              <w:rPr>
                <w:rFonts w:hint="eastAsia" w:ascii="仿宋_GB2312" w:hAnsi="等线" w:eastAsia="仿宋_GB2312" w:cs="宋体"/>
                <w:color w:val="000000"/>
              </w:rPr>
              <w:t>记账凭证的唯一标识，用于验证</w:t>
            </w:r>
            <w:r>
              <w:rPr>
                <w:rFonts w:hint="eastAsia" w:ascii="仿宋_GB2312" w:hAnsi="等线" w:eastAsia="仿宋_GB2312" w:cs="宋体"/>
                <w:color w:val="000000"/>
                <w:lang w:val="en-US" w:eastAsia="zh-CN"/>
              </w:rPr>
              <w:t>凭证</w:t>
            </w:r>
            <w:r>
              <w:rPr>
                <w:rFonts w:hint="eastAsia" w:ascii="仿宋_GB2312" w:hAnsi="等线" w:eastAsia="仿宋_GB2312" w:cs="宋体"/>
                <w:color w:val="000000"/>
              </w:rPr>
              <w:t>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hint="eastAsia" w:ascii="仿宋_GB2312" w:hAnsi="等线" w:eastAsia="仿宋_GB2312" w:cs="宋体"/>
                <w:color w:val="000000"/>
                <w:lang w:eastAsia="zh-CN"/>
              </w:rPr>
            </w:pP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必填项，格式为年-月-日，如202</w:t>
            </w:r>
            <w:r>
              <w:rPr>
                <w:rFonts w:hint="eastAsia" w:ascii="仿宋_GB2312" w:hAnsi="等线" w:eastAsia="仿宋_GB2312" w:cs="宋体"/>
                <w:color w:val="000000"/>
                <w:lang w:val="en-US" w:eastAsia="zh-CN"/>
              </w:rPr>
              <w:t>4</w:t>
            </w:r>
            <w:r>
              <w:rPr>
                <w:rFonts w:hint="eastAsia" w:ascii="仿宋_GB2312" w:hAnsi="等线" w:eastAsia="仿宋_GB2312" w:cs="宋体"/>
                <w:color w:val="000000"/>
              </w:rPr>
              <w:t>-0</w:t>
            </w:r>
            <w:r>
              <w:rPr>
                <w:rFonts w:hint="eastAsia" w:ascii="仿宋_GB2312" w:hAnsi="等线" w:eastAsia="仿宋_GB2312" w:cs="宋体"/>
                <w:color w:val="000000"/>
                <w:lang w:val="en-US" w:eastAsia="zh-CN"/>
              </w:rPr>
              <w:t>5</w:t>
            </w:r>
            <w:r>
              <w:rPr>
                <w:rFonts w:hint="eastAsia" w:ascii="仿宋_GB2312" w:hAnsi="等线" w:eastAsia="仿宋_GB2312" w:cs="宋体"/>
                <w:color w:val="00000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numPr>
                <w:ilvl w:val="0"/>
                <w:numId w:val="9"/>
              </w:numPr>
              <w:spacing w:after="0" w:line="240" w:lineRule="auto"/>
              <w:ind w:left="0" w:leftChars="0" w:firstLine="0" w:firstLineChars="0"/>
              <w:jc w:val="center"/>
              <w:rPr>
                <w:rFonts w:hint="eastAsia" w:ascii="仿宋_GB2312" w:hAnsi="等线" w:eastAsia="仿宋_GB2312" w:cs="宋体"/>
                <w:color w:val="000000"/>
                <w:lang w:eastAsia="zh-CN"/>
              </w:rPr>
            </w:pP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年月型</w:t>
            </w:r>
          </w:p>
        </w:tc>
        <w:tc>
          <w:tcPr>
            <w:tcW w:w="2410" w:type="dxa"/>
            <w:shd w:val="clear" w:color="auto" w:fill="auto"/>
            <w:noWrap/>
            <w:vAlign w:val="center"/>
          </w:tcPr>
          <w:p>
            <w:pPr>
              <w:spacing w:after="0" w:line="240" w:lineRule="auto"/>
              <w:rPr>
                <w:rFonts w:hint="eastAsia" w:ascii="仿宋_GB2312" w:hAnsi="等线" w:eastAsia="仿宋_GB2312" w:cs="宋体"/>
                <w:color w:val="000000"/>
                <w:lang w:eastAsia="zh-CN"/>
              </w:rPr>
            </w:pPr>
            <w:r>
              <w:rPr>
                <w:rFonts w:hint="eastAsia" w:ascii="仿宋_GB2312" w:hAnsi="等线" w:eastAsia="仿宋_GB2312" w:cs="宋体"/>
                <w:color w:val="000000"/>
              </w:rPr>
              <w:t>必填项，格式为年-月，如202</w:t>
            </w:r>
            <w:r>
              <w:rPr>
                <w:rFonts w:hint="eastAsia" w:ascii="仿宋_GB2312" w:hAnsi="等线" w:eastAsia="仿宋_GB2312" w:cs="宋体"/>
                <w:color w:val="000000"/>
                <w:lang w:val="en-US" w:eastAsia="zh-CN"/>
              </w:rPr>
              <w:t>4</w:t>
            </w:r>
            <w:r>
              <w:rPr>
                <w:rFonts w:hint="eastAsia" w:ascii="仿宋_GB2312" w:hAnsi="等线" w:eastAsia="仿宋_GB2312" w:cs="宋体"/>
                <w:color w:val="000000"/>
              </w:rPr>
              <w:t>-0</w:t>
            </w:r>
            <w:r>
              <w:rPr>
                <w:rFonts w:hint="eastAsia" w:ascii="仿宋_GB2312" w:hAnsi="等线" w:eastAsia="仿宋_GB2312" w:cs="宋体"/>
                <w:color w:val="00000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hint="default" w:ascii="仿宋_GB2312" w:hAnsi="等线" w:eastAsia="仿宋_GB2312" w:cs="宋体"/>
                <w:color w:val="000000"/>
                <w:lang w:val="en-US" w:eastAsia="zh-CN"/>
              </w:rPr>
            </w:pPr>
            <w:r>
              <w:rPr>
                <w:rFonts w:hint="eastAsia" w:ascii="仿宋_GB2312" w:hAnsi="等线" w:eastAsia="仿宋_GB2312" w:cs="宋体"/>
                <w:color w:val="000000"/>
                <w:lang w:val="en-US" w:eastAsia="zh-CN"/>
              </w:rPr>
              <w:t>14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hint="default" w:ascii="仿宋_GB2312" w:hAnsi="等线" w:eastAsia="仿宋_GB2312" w:cs="宋体"/>
                <w:color w:val="000000"/>
                <w:lang w:val="en-US" w:eastAsia="zh-CN"/>
              </w:rPr>
            </w:pPr>
            <w:r>
              <w:rPr>
                <w:rFonts w:hint="eastAsia" w:ascii="仿宋_GB2312" w:hAnsi="等线" w:eastAsia="仿宋_GB2312" w:cs="宋体"/>
                <w:color w:val="000000"/>
                <w:lang w:val="en-US" w:eastAsia="zh-CN"/>
              </w:rPr>
              <w:t>15</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hint="default" w:ascii="仿宋_GB2312" w:hAnsi="等线" w:eastAsia="仿宋_GB2312" w:cs="宋体"/>
                <w:color w:val="000000"/>
                <w:lang w:val="en-US" w:eastAsia="zh-CN"/>
              </w:rPr>
            </w:pPr>
            <w:r>
              <w:rPr>
                <w:rFonts w:hint="eastAsia" w:ascii="仿宋_GB2312" w:hAnsi="等线" w:eastAsia="仿宋_GB2312" w:cs="宋体"/>
                <w:color w:val="000000"/>
                <w:lang w:val="en-US" w:eastAsia="zh-CN"/>
              </w:rPr>
              <w:t>16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hint="default" w:ascii="仿宋_GB2312" w:hAnsi="等线" w:eastAsia="仿宋_GB2312" w:cs="宋体"/>
                <w:color w:val="000000"/>
                <w:lang w:val="en-US" w:eastAsia="zh-CN"/>
              </w:rPr>
            </w:pPr>
            <w:r>
              <w:rPr>
                <w:rFonts w:hint="eastAsia" w:ascii="仿宋_GB2312" w:hAnsi="等线" w:eastAsia="仿宋_GB2312" w:cs="宋体"/>
                <w:color w:val="000000"/>
                <w:lang w:val="en-US" w:eastAsia="zh-CN"/>
              </w:rPr>
              <w:t>17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hint="default" w:ascii="仿宋_GB2312" w:hAnsi="等线" w:eastAsia="仿宋_GB2312" w:cs="宋体"/>
                <w:color w:val="000000"/>
                <w:lang w:val="en-US" w:eastAsia="zh-CN"/>
              </w:rPr>
            </w:pPr>
            <w:r>
              <w:rPr>
                <w:rFonts w:hint="eastAsia" w:ascii="仿宋_GB2312" w:hAnsi="等线" w:eastAsia="仿宋_GB2312" w:cs="宋体"/>
                <w:color w:val="000000"/>
                <w:lang w:val="en-US" w:eastAsia="zh-CN"/>
              </w:rPr>
              <w:t>18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选填项，单位记录根据科目的本位币入账金额选择回写</w:t>
            </w:r>
          </w:p>
        </w:tc>
      </w:tr>
    </w:tbl>
    <w:p>
      <w:pPr>
        <w:pStyle w:val="30"/>
        <w:spacing w:line="560" w:lineRule="exact"/>
        <w:ind w:firstLine="562"/>
      </w:pPr>
      <w:r>
        <w:t>2</w:t>
      </w:r>
      <w:r>
        <w:rPr>
          <w:rFonts w:hint="eastAsia"/>
        </w:rPr>
        <w:t>．</w:t>
      </w:r>
      <w:r>
        <w:rPr>
          <w:rFonts w:hint="eastAsia"/>
          <w:lang w:eastAsia="zh-CN"/>
        </w:rPr>
        <w:t>国库集中支付电子凭证</w:t>
      </w:r>
      <w:r>
        <w:rPr>
          <w:rFonts w:hint="eastAsia"/>
        </w:rPr>
        <w:t>回写示例</w:t>
      </w:r>
    </w:p>
    <w:p>
      <w:pPr>
        <w:spacing w:after="0" w:line="560" w:lineRule="exact"/>
        <w:ind w:firstLine="560" w:firstLineChars="200"/>
        <w:rPr>
          <w:rFonts w:hint="eastAsia" w:ascii="Times New Roman" w:hAnsi="Times New Roman" w:eastAsia="仿宋_GB2312"/>
          <w:sz w:val="28"/>
          <w:szCs w:val="28"/>
          <w:highlight w:val="none"/>
        </w:rPr>
      </w:pPr>
      <w:r>
        <w:rPr>
          <w:rFonts w:hint="eastAsia" w:ascii="Times New Roman" w:hAnsi="Times New Roman" w:eastAsia="仿宋_GB2312"/>
          <w:sz w:val="28"/>
          <w:szCs w:val="28"/>
          <w:lang w:val="en-US" w:eastAsia="zh-CN"/>
        </w:rPr>
        <w:t>行政事业</w:t>
      </w:r>
      <w:r>
        <w:rPr>
          <w:rFonts w:hint="eastAsia" w:ascii="Times New Roman" w:hAnsi="Times New Roman" w:eastAsia="仿宋_GB2312"/>
          <w:sz w:val="28"/>
          <w:szCs w:val="28"/>
        </w:rPr>
        <w:t>单位的业务人员在使用</w:t>
      </w:r>
      <w:r>
        <w:rPr>
          <w:rFonts w:hint="eastAsia" w:ascii="Times New Roman" w:hAnsi="Times New Roman" w:eastAsia="仿宋_GB2312"/>
          <w:sz w:val="28"/>
          <w:szCs w:val="28"/>
          <w:lang w:eastAsia="zh-CN"/>
        </w:rPr>
        <w:t>国库集中支付电子凭证</w:t>
      </w:r>
      <w:r>
        <w:rPr>
          <w:rFonts w:hint="eastAsia" w:ascii="Times New Roman" w:hAnsi="Times New Roman" w:eastAsia="仿宋_GB2312"/>
          <w:sz w:val="28"/>
          <w:szCs w:val="28"/>
        </w:rPr>
        <w:t>进行入账时，入账相关系统能够通过</w:t>
      </w:r>
      <w:r>
        <w:rPr>
          <w:rFonts w:hint="eastAsia" w:ascii="Times New Roman" w:hAnsi="Times New Roman" w:eastAsia="仿宋_GB2312"/>
          <w:sz w:val="28"/>
          <w:szCs w:val="28"/>
          <w:lang w:eastAsia="zh-CN"/>
        </w:rPr>
        <w:t>国库集中支付电子凭证</w:t>
      </w:r>
      <w:r>
        <w:rPr>
          <w:rFonts w:hint="eastAsia" w:ascii="Times New Roman" w:hAnsi="Times New Roman" w:eastAsia="仿宋_GB2312"/>
          <w:sz w:val="28"/>
          <w:szCs w:val="28"/>
        </w:rPr>
        <w:t>业务（对象）数据与单位会计凭证的映</w:t>
      </w:r>
      <w:r>
        <w:rPr>
          <w:rFonts w:hint="eastAsia" w:ascii="Times New Roman" w:hAnsi="Times New Roman" w:eastAsia="仿宋_GB2312"/>
          <w:sz w:val="28"/>
          <w:szCs w:val="28"/>
          <w:highlight w:val="none"/>
        </w:rPr>
        <w:t>射关系自动生成记账凭证。在</w:t>
      </w:r>
      <w:r>
        <w:rPr>
          <w:rFonts w:hint="eastAsia" w:ascii="Times New Roman" w:hAnsi="Times New Roman" w:eastAsia="仿宋_GB2312"/>
          <w:sz w:val="28"/>
          <w:szCs w:val="28"/>
          <w:highlight w:val="none"/>
          <w:lang w:eastAsia="zh-CN"/>
        </w:rPr>
        <w:t>国库集中支付电子凭证</w:t>
      </w:r>
      <w:r>
        <w:rPr>
          <w:rFonts w:hint="eastAsia" w:ascii="Times New Roman" w:hAnsi="Times New Roman" w:eastAsia="仿宋_GB2312"/>
          <w:sz w:val="28"/>
          <w:szCs w:val="28"/>
          <w:highlight w:val="none"/>
        </w:rPr>
        <w:t>的流转过程中，系统也会将</w:t>
      </w:r>
      <w:r>
        <w:rPr>
          <w:rFonts w:hint="eastAsia" w:ascii="Times New Roman" w:hAnsi="Times New Roman" w:eastAsia="仿宋_GB2312"/>
          <w:sz w:val="28"/>
          <w:szCs w:val="28"/>
          <w:lang w:val="en-US" w:eastAsia="zh-CN"/>
        </w:rPr>
        <w:t>国库集中支付电子凭证</w:t>
      </w:r>
      <w:r>
        <w:rPr>
          <w:rFonts w:hint="eastAsia" w:ascii="Times New Roman" w:hAnsi="Times New Roman" w:eastAsia="仿宋_GB2312"/>
          <w:sz w:val="28"/>
          <w:szCs w:val="28"/>
          <w:highlight w:val="none"/>
        </w:rPr>
        <w:t>的信息和状态数据以及相关的会计信息及时回写到底层数据库或相应实例文档中。</w:t>
      </w:r>
    </w:p>
    <w:p>
      <w:pPr>
        <w:spacing w:after="0" w:line="560" w:lineRule="exact"/>
        <w:ind w:firstLine="560" w:firstLineChars="200"/>
        <w:rPr>
          <w:highlight w:val="none"/>
        </w:rPr>
      </w:pPr>
      <w:r>
        <w:rPr>
          <w:rFonts w:hint="eastAsia" w:ascii="Times New Roman" w:hAnsi="Times New Roman" w:eastAsia="仿宋_GB2312"/>
          <w:sz w:val="28"/>
          <w:szCs w:val="28"/>
          <w:highlight w:val="none"/>
        </w:rPr>
        <w:t>以国库集中支付凭证回单电子凭证为例，将对下列信息进行回写。</w:t>
      </w:r>
    </w:p>
    <w:p>
      <w:pPr>
        <w:pStyle w:val="26"/>
        <w:numPr>
          <w:ilvl w:val="0"/>
          <w:numId w:val="10"/>
        </w:numPr>
        <w:wordWrap/>
        <w:spacing w:after="0" w:line="560" w:lineRule="exact"/>
        <w:ind w:firstLineChars="0"/>
        <w:rPr>
          <w:b/>
          <w:bCs/>
          <w:szCs w:val="28"/>
        </w:rPr>
      </w:pPr>
      <w:r>
        <w:rPr>
          <w:rFonts w:hint="eastAsia"/>
          <w:b/>
          <w:bCs/>
          <w:szCs w:val="28"/>
        </w:rPr>
        <w:t>电子凭证信息</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）国库集中支付电子凭证标识：</w:t>
      </w:r>
      <w:r>
        <w:rPr>
          <w:rFonts w:hint="eastAsia" w:ascii="Times New Roman" w:hAnsi="Times New Roman" w:eastAsia="仿宋_GB2312"/>
          <w:sz w:val="28"/>
          <w:szCs w:val="28"/>
          <w:lang w:val="en-US" w:eastAsia="zh-CN"/>
        </w:rPr>
        <w:t>50000020245214409633000562090030000800001</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（2）行政区划代码：500000</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（3）业务年度：2024</w:t>
      </w:r>
    </w:p>
    <w:p>
      <w:pPr>
        <w:spacing w:after="0" w:line="560" w:lineRule="exact"/>
        <w:ind w:firstLine="560" w:firstLineChars="20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）凭证类型：</w:t>
      </w:r>
      <w:r>
        <w:rPr>
          <w:rFonts w:hint="eastAsia" w:ascii="Times New Roman" w:hAnsi="Times New Roman" w:eastAsia="仿宋_GB2312"/>
          <w:sz w:val="28"/>
          <w:szCs w:val="28"/>
          <w:lang w:val="en-US" w:eastAsia="zh-CN"/>
        </w:rPr>
        <w:t>5214</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）凭证日期：2024</w:t>
      </w:r>
      <w:r>
        <w:rPr>
          <w:rFonts w:hint="eastAsia" w:ascii="Times New Roman" w:hAnsi="Times New Roman" w:eastAsia="仿宋_GB2312"/>
          <w:sz w:val="28"/>
          <w:szCs w:val="28"/>
          <w:lang w:val="en-US" w:eastAsia="zh-CN"/>
        </w:rPr>
        <w:t>-</w:t>
      </w:r>
      <w:r>
        <w:rPr>
          <w:rFonts w:hint="eastAsia" w:ascii="Times New Roman" w:hAnsi="Times New Roman" w:eastAsia="仿宋_GB2312"/>
          <w:sz w:val="28"/>
          <w:szCs w:val="28"/>
        </w:rPr>
        <w:t>0</w:t>
      </w:r>
      <w:r>
        <w:rPr>
          <w:rFonts w:hint="eastAsia" w:ascii="Times New Roman" w:hAnsi="Times New Roman" w:eastAsia="仿宋_GB2312"/>
          <w:sz w:val="28"/>
          <w:szCs w:val="28"/>
          <w:lang w:val="en-US" w:eastAsia="zh-CN"/>
        </w:rPr>
        <w:t>5-</w:t>
      </w:r>
      <w:r>
        <w:rPr>
          <w:rFonts w:hint="eastAsia" w:ascii="Times New Roman" w:hAnsi="Times New Roman" w:eastAsia="仿宋_GB2312"/>
          <w:sz w:val="28"/>
          <w:szCs w:val="28"/>
        </w:rPr>
        <w:t>30</w:t>
      </w:r>
    </w:p>
    <w:p>
      <w:pPr>
        <w:spacing w:after="0" w:line="56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（6）凭证号：409633000562090030000800001</w:t>
      </w:r>
    </w:p>
    <w:p>
      <w:pPr>
        <w:spacing w:after="0" w:line="560" w:lineRule="exact"/>
        <w:ind w:firstLine="560" w:firstLineChars="20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（7）凭证金额：990.00</w:t>
      </w:r>
    </w:p>
    <w:p>
      <w:pPr>
        <w:pStyle w:val="26"/>
        <w:numPr>
          <w:ilvl w:val="0"/>
          <w:numId w:val="10"/>
        </w:numPr>
        <w:wordWrap/>
        <w:spacing w:after="0" w:line="560" w:lineRule="exact"/>
        <w:ind w:firstLineChars="0"/>
        <w:rPr>
          <w:b/>
          <w:bCs/>
          <w:szCs w:val="28"/>
        </w:rPr>
      </w:pPr>
      <w:r>
        <w:rPr>
          <w:rFonts w:hint="eastAsia"/>
          <w:b/>
          <w:bCs/>
          <w:szCs w:val="28"/>
          <w:lang w:val="en-US" w:eastAsia="zh-CN"/>
        </w:rPr>
        <w:t>电子凭证</w:t>
      </w:r>
      <w:r>
        <w:rPr>
          <w:rFonts w:hint="eastAsia"/>
          <w:b/>
          <w:bCs/>
          <w:szCs w:val="28"/>
        </w:rPr>
        <w:t>状态</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hint="eastAsia" w:ascii="Times New Roman" w:hAnsi="Times New Roman" w:eastAsia="仿宋_GB2312"/>
          <w:sz w:val="28"/>
          <w:szCs w:val="28"/>
          <w:lang w:val="en-US" w:eastAsia="zh-CN"/>
        </w:rPr>
        <w:t>1</w:t>
      </w:r>
      <w:r>
        <w:rPr>
          <w:rFonts w:hint="eastAsia" w:ascii="Times New Roman" w:hAnsi="Times New Roman" w:eastAsia="仿宋_GB2312"/>
          <w:sz w:val="28"/>
          <w:szCs w:val="28"/>
        </w:rPr>
        <w:t>）是否已入账：是</w:t>
      </w:r>
    </w:p>
    <w:p>
      <w:pPr>
        <w:pStyle w:val="26"/>
        <w:numPr>
          <w:ilvl w:val="0"/>
          <w:numId w:val="10"/>
        </w:numPr>
        <w:wordWrap/>
        <w:spacing w:after="0" w:line="560" w:lineRule="exact"/>
        <w:ind w:firstLineChars="0"/>
        <w:rPr>
          <w:b/>
          <w:bCs/>
          <w:szCs w:val="28"/>
        </w:rPr>
      </w:pPr>
      <w:r>
        <w:rPr>
          <w:rFonts w:hint="eastAsia"/>
          <w:b/>
          <w:bCs/>
        </w:rPr>
        <w:t>会计</w:t>
      </w:r>
      <w:r>
        <w:rPr>
          <w:rFonts w:hint="eastAsia"/>
          <w:b/>
          <w:bCs/>
          <w:szCs w:val="28"/>
        </w:rPr>
        <w:t>主体信息</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）会计主体统一社会信用代码：911100007000XXXXXX</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（2）会计主体名称：X</w:t>
      </w:r>
      <w:r>
        <w:rPr>
          <w:rFonts w:ascii="Times New Roman" w:hAnsi="Times New Roman" w:eastAsia="仿宋_GB2312"/>
          <w:sz w:val="28"/>
          <w:szCs w:val="28"/>
        </w:rPr>
        <w:t>X</w:t>
      </w:r>
      <w:r>
        <w:rPr>
          <w:rFonts w:hint="eastAsia" w:ascii="Times New Roman" w:hAnsi="Times New Roman" w:eastAsia="仿宋_GB2312"/>
          <w:sz w:val="28"/>
          <w:szCs w:val="28"/>
          <w:lang w:val="en-US" w:eastAsia="zh-CN"/>
        </w:rPr>
        <w:t>XX小学</w:t>
      </w:r>
    </w:p>
    <w:p>
      <w:pPr>
        <w:pStyle w:val="26"/>
        <w:numPr>
          <w:ilvl w:val="0"/>
          <w:numId w:val="10"/>
        </w:numPr>
        <w:wordWrap/>
        <w:spacing w:after="0" w:line="560" w:lineRule="exact"/>
        <w:ind w:firstLineChars="0"/>
        <w:rPr>
          <w:b/>
          <w:bCs/>
        </w:rPr>
      </w:pPr>
      <w:r>
        <w:rPr>
          <w:rFonts w:hint="eastAsia"/>
          <w:b/>
          <w:bCs/>
        </w:rPr>
        <w:t>基础会计信息</w:t>
      </w:r>
    </w:p>
    <w:p>
      <w:pPr>
        <w:spacing w:after="0" w:line="56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rPr>
        <w:t>（1）记账凭证编号：</w:t>
      </w:r>
      <w:r>
        <w:rPr>
          <w:rFonts w:hint="eastAsia" w:ascii="Times New Roman" w:hAnsi="Times New Roman" w:eastAsia="仿宋_GB2312"/>
          <w:sz w:val="28"/>
          <w:szCs w:val="28"/>
          <w:lang w:val="en-US" w:eastAsia="zh-CN"/>
        </w:rPr>
        <w:t>1</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（2）记账日期：2024-0</w:t>
      </w:r>
      <w:r>
        <w:rPr>
          <w:rFonts w:hint="eastAsia" w:ascii="Times New Roman" w:hAnsi="Times New Roman" w:eastAsia="仿宋_GB2312"/>
          <w:sz w:val="28"/>
          <w:szCs w:val="28"/>
          <w:lang w:val="en-US" w:eastAsia="zh-CN"/>
        </w:rPr>
        <w:t>5</w:t>
      </w:r>
      <w:r>
        <w:rPr>
          <w:rFonts w:hint="eastAsia" w:ascii="Times New Roman" w:hAnsi="Times New Roman" w:eastAsia="仿宋_GB2312"/>
          <w:sz w:val="28"/>
          <w:szCs w:val="28"/>
        </w:rPr>
        <w:t>-30</w:t>
      </w:r>
    </w:p>
    <w:p>
      <w:pPr>
        <w:spacing w:after="0" w:line="56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rPr>
        <w:t>（3）会计期间：20</w:t>
      </w:r>
      <w:r>
        <w:rPr>
          <w:rFonts w:ascii="Times New Roman" w:hAnsi="Times New Roman" w:eastAsia="仿宋_GB2312"/>
          <w:sz w:val="28"/>
          <w:szCs w:val="28"/>
        </w:rPr>
        <w:t>2</w:t>
      </w:r>
      <w:r>
        <w:rPr>
          <w:rFonts w:hint="eastAsia" w:ascii="Times New Roman" w:hAnsi="Times New Roman" w:eastAsia="仿宋_GB2312"/>
          <w:sz w:val="28"/>
          <w:szCs w:val="28"/>
          <w:lang w:val="en-US" w:eastAsia="zh-CN"/>
        </w:rPr>
        <w:t>4</w:t>
      </w:r>
      <w:r>
        <w:rPr>
          <w:rFonts w:ascii="Times New Roman" w:hAnsi="Times New Roman" w:eastAsia="仿宋_GB2312"/>
          <w:sz w:val="28"/>
          <w:szCs w:val="28"/>
        </w:rPr>
        <w:t>-0</w:t>
      </w:r>
      <w:r>
        <w:rPr>
          <w:rFonts w:hint="eastAsia" w:ascii="Times New Roman" w:hAnsi="Times New Roman" w:eastAsia="仿宋_GB2312"/>
          <w:sz w:val="28"/>
          <w:szCs w:val="28"/>
          <w:lang w:val="en-US" w:eastAsia="zh-CN"/>
        </w:rPr>
        <w:t>5</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w:t>
      </w:r>
      <w:r>
        <w:rPr>
          <w:rFonts w:ascii="Times New Roman" w:hAnsi="Times New Roman" w:eastAsia="仿宋_GB2312"/>
          <w:sz w:val="28"/>
          <w:szCs w:val="28"/>
        </w:rPr>
        <w:t>XXXXXXXXXX</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）借贷方向：借方</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）总账科目名称：业务活动费用</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）明细科目名称：商品和服务费用</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hint="eastAsia" w:ascii="Times New Roman" w:hAnsi="Times New Roman" w:eastAsia="仿宋_GB2312"/>
          <w:sz w:val="28"/>
          <w:szCs w:val="28"/>
          <w:lang w:val="en-US" w:eastAsia="zh-CN"/>
        </w:rPr>
        <w:t>99</w:t>
      </w:r>
      <w:r>
        <w:rPr>
          <w:rFonts w:ascii="Times New Roman" w:hAnsi="Times New Roman" w:eastAsia="仿宋_GB2312"/>
          <w:sz w:val="28"/>
          <w:szCs w:val="28"/>
        </w:rPr>
        <w:t>0.00</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）借贷方向：贷方</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）总账科目名称：财政拨款收入</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）明细科目名称：一般公共预算财政拨款</w:t>
      </w:r>
    </w:p>
    <w:p>
      <w:pPr>
        <w:spacing w:after="0" w:line="560" w:lineRule="exact"/>
        <w:ind w:firstLine="560" w:firstLineChars="200"/>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w:t>
      </w:r>
      <w:r>
        <w:rPr>
          <w:rFonts w:hint="eastAsia" w:ascii="Times New Roman" w:hAnsi="Times New Roman" w:eastAsia="仿宋_GB2312"/>
          <w:sz w:val="28"/>
          <w:szCs w:val="28"/>
          <w:lang w:val="en-US" w:eastAsia="zh-CN"/>
        </w:rPr>
        <w:t>99</w:t>
      </w:r>
      <w:r>
        <w:rPr>
          <w:rFonts w:ascii="Times New Roman" w:hAnsi="Times New Roman" w:eastAsia="仿宋_GB2312"/>
          <w:sz w:val="28"/>
          <w:szCs w:val="28"/>
        </w:rPr>
        <w:t>0.00</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w:t>
      </w:r>
      <w:r>
        <w:rPr>
          <w:rFonts w:hint="eastAsia" w:ascii="Times New Roman" w:hAnsi="Times New Roman" w:eastAsia="仿宋_GB2312"/>
          <w:sz w:val="28"/>
          <w:szCs w:val="28"/>
          <w:lang w:val="en-US" w:eastAsia="zh-CN"/>
        </w:rPr>
        <w:t>国库集中支付电子凭证</w:t>
      </w:r>
      <w:r>
        <w:rPr>
          <w:rFonts w:hint="eastAsia" w:ascii="Times New Roman" w:hAnsi="Times New Roman" w:eastAsia="仿宋_GB2312"/>
          <w:sz w:val="28"/>
          <w:szCs w:val="28"/>
        </w:rPr>
        <w:t>标准》中加入了“借贷方会计信息”这一元组元素，用来增加浮动行以对不确定的分录行进行标记。</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15"/>
        <w:tblW w:w="833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借：业务活动费用-商品和服务费用</w:t>
            </w:r>
            <w:r>
              <w:rPr>
                <w:rFonts w:hint="eastAsia" w:ascii="仿宋_GB2312" w:hAnsi="Times New Roman" w:eastAsia="仿宋_GB2312"/>
                <w:sz w:val="24"/>
                <w:szCs w:val="24"/>
              </w:rPr>
              <w:tab/>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贷：财政拨款收入-一般公共预算财政拨款</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15"/>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&lt;ctp:InformationOfAccountingDocumentsTuple&gt;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&lt;ctp:NumberOfAccountingDocuments contextRef="c1"&gt;1&lt;/ctp:NumberOfAccountingDocuments&gt;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&lt;ctp:PostingDate contextRef="c1"&gt;2024-05-30&lt;/ctp:PostingDate&gt;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&lt;ctp:AccountingPeriod contextRef="c1"&gt;2024-05&lt;/ctp:AccountingPeriod&gt;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&lt;ctp:SummaryOfAccountingDocuments contextRef="c1"&gt;XXXXXXXXXX摘要&lt;/ctp:SummaryOfAccountingDocuments&gt;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&lt;ctp:InformationOfDebitAndCreditEntryTuple&gt;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&lt;ctp:DebitOrCredit contextRef="c1"&gt;借方&lt;/ctp:DebitOrCredit&gt;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&lt;ctp:NameOfGeneralLedgerSubject contextRef="c1"&gt;业务活动费用&lt;/ctp:NameOfGeneralLedgerSubject&gt;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&lt;ctp:NameOfSubsidiaryLedgerSubject contextRef="c1"&gt;商品和服务费用&lt;/ctp:NameOfSubsidiaryLedgerSubject&gt;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&lt;ctp:RecordedAmount decimals="2" contextRef="c1" unitRef="u1"&gt;990.00&lt;/ctp:RecordedAmount&gt;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&lt;/ctp:InformationOfDebitAndCreditEntryTuple&gt;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&lt;ctp:InformationOfDebitAndCreditEntryTuple&gt;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&lt;ctp:DebitOrCredit contextRef="c1"&gt;贷方&lt;/ctp:DebitOrCredit&gt;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&lt;ctp:NameOfGeneralLedgerSubject contextRef="c1"&gt;财政拨款收入&lt;/ctp:NameOfGeneralLedgerSubject&gt;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&lt;ctp:NameOfSubsidiaryLedgerSubject contextRef="c1"&gt;一般公共预算财政拨款&lt;/ctp:NameOfSubsidiaryLedgerSubject&gt;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&lt;ctp:RecordedAmount decimals="2" contextRef="c1" unitRef="u1"&gt;990.00&lt;/ctp:RecordedAmount&gt;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&lt;/ctp:InformationOfDebitAndCreditEntryTuple&gt;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&lt;ctp:InformationOfDebitAndCreditEntryTuple&gt;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&lt;ctp:DebitOrCredit contextRef="c1"&gt;借方&lt;/ctp:DebitOrCredit&gt;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&lt;ctp:NameOfGeneralLedgerSubject contextRef="c1"&gt;行政支出&lt;/ctp:NameOfGeneralLedgerSubject&gt;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&lt;ctp:NameOfSubsidiaryLedgerSubject contextRef="c1"&gt;日常公用经费&lt;/ctp:NameOfSubsidiaryLedgerSubject&gt;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&lt;ctp:RecordedAmount decimals="2" contextRef="c1" unitRef="u1"&gt;990.00&lt;/ctp:RecordedAmount&gt;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&lt;/ctp:InformationOfDebitAndCreditEntryTuple&gt;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&lt;ctp:InformationOfDebitAndCreditEntryTuple&gt;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&lt;ctp:DebitOrCredit contextRef="c1"&gt;贷方&lt;/ctp:DebitOrCredit&gt;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&lt;ctp:NameOfGeneralLedgerSubject contextRef="c1"&gt;财政预算拨款收入&lt;/ctp:NameOfGeneralLedgerSubject&gt;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&lt;ctp:NameOfSubsidiaryLedgerSubject contextRef="c1"&gt;日常公用经费&lt;/ctp:NameOfSubsidiaryLedgerSubject&gt;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&lt;ctp:RecordedAmount decimals="2" contextRef="c1" unitRef="u1"&gt;990.00&lt;/ctp:RecordedAmount&gt;</w:t>
            </w:r>
          </w:p>
          <w:p>
            <w:pPr>
              <w:spacing w:after="0" w:line="360" w:lineRule="auto"/>
              <w:rPr>
                <w:rFonts w:hint="eastAsia" w:ascii="Times New Roman" w:hAnsi="Times New Roman" w:eastAsia="仿宋_GB2312"/>
                <w:sz w:val="24"/>
                <w:szCs w:val="24"/>
              </w:rPr>
            </w:pPr>
            <w:r>
              <w:rPr>
                <w:rFonts w:hint="eastAsia" w:ascii="Times New Roman" w:hAnsi="Times New Roman" w:eastAsia="仿宋_GB2312"/>
                <w:sz w:val="24"/>
                <w:szCs w:val="24"/>
              </w:rPr>
              <w:t xml:space="preserve">   &lt;/ctp:InformationOfDebitAndCreditEntryTuple&gt;          </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&lt;/ctp:InformationOfAccountingDocumentsTuple&gt;</w:t>
            </w:r>
          </w:p>
        </w:tc>
      </w:tr>
    </w:tbl>
    <w:p>
      <w:pPr>
        <w:pStyle w:val="23"/>
        <w:widowControl w:val="0"/>
        <w:numPr>
          <w:ilvl w:val="0"/>
          <w:numId w:val="8"/>
        </w:numPr>
        <w:wordWrap/>
        <w:spacing w:before="312" w:beforeLines="100" w:line="560" w:lineRule="exact"/>
        <w:ind w:firstLine="560"/>
        <w:outlineLvl w:val="1"/>
        <w:rPr>
          <w:rFonts w:ascii="Times New Roman" w:hAnsi="Times New Roman"/>
        </w:rPr>
      </w:pPr>
      <w:r>
        <w:rPr>
          <w:rFonts w:hint="eastAsia" w:ascii="Times New Roman" w:hAnsi="Times New Roman"/>
        </w:rPr>
        <w:t>生成</w:t>
      </w:r>
      <w:r>
        <w:rPr>
          <w:rFonts w:hint="eastAsia" w:ascii="Times New Roman" w:hAnsi="Times New Roman"/>
          <w:lang w:val="en-US" w:eastAsia="zh-CN"/>
        </w:rPr>
        <w:t>国库集中支付电子凭证</w:t>
      </w:r>
      <w:r>
        <w:rPr>
          <w:rFonts w:hint="eastAsia" w:ascii="Times New Roman" w:hAnsi="Times New Roman"/>
        </w:rPr>
        <w:t>入账信息实例文档数据进行归档备查</w:t>
      </w:r>
    </w:p>
    <w:p>
      <w:pPr>
        <w:widowControl w:val="0"/>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val="en-US" w:eastAsia="zh-CN"/>
        </w:rPr>
        <w:t>国库集中支付电子凭证</w:t>
      </w:r>
      <w:r>
        <w:rPr>
          <w:rFonts w:hint="eastAsia" w:ascii="Times New Roman" w:hAnsi="Times New Roman" w:eastAsia="仿宋_GB2312"/>
          <w:sz w:val="28"/>
          <w:szCs w:val="28"/>
        </w:rPr>
        <w:t>入账后的电子凭证文件由两部分构成，分别是开具方单位开具（交付）的</w:t>
      </w:r>
      <w:r>
        <w:rPr>
          <w:rFonts w:hint="eastAsia" w:ascii="Times New Roman" w:hAnsi="Times New Roman" w:eastAsia="仿宋_GB2312"/>
          <w:sz w:val="28"/>
          <w:szCs w:val="28"/>
          <w:lang w:val="en-US" w:eastAsia="zh-CN"/>
        </w:rPr>
        <w:t>国库集中支付电子凭证（</w:t>
      </w:r>
      <w:r>
        <w:rPr>
          <w:rFonts w:hint="eastAsia" w:ascii="Times New Roman" w:hAnsi="Times New Roman" w:eastAsia="仿宋_GB2312"/>
          <w:sz w:val="28"/>
          <w:szCs w:val="28"/>
        </w:rPr>
        <w:t>加签的</w:t>
      </w:r>
      <w:r>
        <w:rPr>
          <w:rFonts w:hint="eastAsia" w:ascii="Times New Roman" w:hAnsi="Times New Roman" w:eastAsia="仿宋_GB2312" w:cs="Arial"/>
          <w:sz w:val="28"/>
          <w:szCs w:val="32"/>
          <w:lang w:val="en-US" w:eastAsia="zh-CN"/>
        </w:rPr>
        <w:t>PDF</w:t>
      </w:r>
      <w:r>
        <w:rPr>
          <w:rFonts w:hint="eastAsia" w:ascii="Times New Roman" w:hAnsi="Times New Roman" w:eastAsia="仿宋_GB2312"/>
          <w:sz w:val="28"/>
          <w:szCs w:val="28"/>
          <w:lang w:eastAsia="zh-CN"/>
        </w:rPr>
        <w:t>或</w:t>
      </w:r>
      <w:r>
        <w:rPr>
          <w:rFonts w:hint="eastAsia" w:ascii="Times New Roman" w:hAnsi="Times New Roman" w:eastAsia="仿宋_GB2312" w:cs="Arial"/>
          <w:sz w:val="28"/>
          <w:szCs w:val="32"/>
          <w:lang w:val="en-US" w:eastAsia="zh-CN"/>
        </w:rPr>
        <w:t>OFD</w:t>
      </w:r>
      <w:r>
        <w:rPr>
          <w:rFonts w:hint="eastAsia" w:ascii="Times New Roman" w:hAnsi="Times New Roman" w:eastAsia="仿宋_GB2312"/>
          <w:sz w:val="28"/>
          <w:szCs w:val="28"/>
        </w:rPr>
        <w:t>版式文件</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rPr>
        <w:t>含XML结构化数据），以及接收方单位生成的会计入账信息结构化数据文件。</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单位应当在会计入账完成后、会计凭证归档之前，根据实际入账情况使用工具包生成入账信息结构化数据文件，并将记账凭证、国库集中支付电子凭证、入账信息结构化数据文件等会计资料组件形成电子会计凭证文件。</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会计期间结束后，</w:t>
      </w:r>
      <w:r>
        <w:rPr>
          <w:rFonts w:hint="eastAsia" w:ascii="Times New Roman" w:hAnsi="Times New Roman" w:eastAsia="仿宋_GB2312"/>
          <w:sz w:val="28"/>
          <w:szCs w:val="28"/>
          <w:lang w:val="en-US" w:eastAsia="zh-CN"/>
        </w:rPr>
        <w:t>行政事业</w:t>
      </w:r>
      <w:r>
        <w:rPr>
          <w:rFonts w:hint="eastAsia" w:ascii="Times New Roman" w:hAnsi="Times New Roman" w:eastAsia="仿宋_GB2312"/>
          <w:sz w:val="28"/>
          <w:szCs w:val="28"/>
        </w:rPr>
        <w:t xml:space="preserve">单位需按照财政部的监管要求，按照财政部、国家档案局《会计档案管理办法》（财政部 </w:t>
      </w:r>
      <w:r>
        <w:rPr>
          <w:rFonts w:hint="eastAsia" w:ascii="Times New Roman" w:hAnsi="Times New Roman" w:eastAsia="仿宋_GB2312"/>
          <w:sz w:val="28"/>
          <w:szCs w:val="28"/>
          <w:lang w:eastAsia="zh-CN"/>
        </w:rPr>
        <w:t>国家</w:t>
      </w:r>
      <w:r>
        <w:rPr>
          <w:rFonts w:hint="eastAsia" w:ascii="Times New Roman" w:hAnsi="Times New Roman" w:eastAsia="仿宋_GB2312"/>
          <w:sz w:val="28"/>
          <w:szCs w:val="28"/>
        </w:rPr>
        <w:t>档案局令第79号）和《关于规范电子会计凭证报销入账归档的通知》（财会〔2020〕6号）的相关要求，参考《电子会计档案管理规范》（DA/T 94—2022）和《行政事业单位一般公共预算支出财务报销电子会计凭证档案管理技术规范》（DA/T 95—2022），将上述电子会计凭证文件进行归档，以备财政部门及相关监管部门查验和本单位内外部的会计档案利用。</w:t>
      </w:r>
    </w:p>
    <w:p>
      <w:pPr>
        <w:pStyle w:val="7"/>
      </w:pPr>
      <w:r>
        <w:br w:type="page"/>
      </w:r>
    </w:p>
    <w:p>
      <w:pPr>
        <w:spacing w:after="0" w:line="560" w:lineRule="exact"/>
        <w:jc w:val="center"/>
        <w:outlineLvl w:val="0"/>
        <w:rPr>
          <w:rFonts w:ascii="Times New Roman" w:hAnsi="Times New Roman" w:eastAsia="黑体" w:cs="Arial"/>
          <w:sz w:val="44"/>
          <w:szCs w:val="44"/>
        </w:rPr>
      </w:pPr>
      <w:r>
        <w:rPr>
          <w:rFonts w:hint="eastAsia" w:ascii="Times New Roman" w:hAnsi="Times New Roman" w:eastAsia="黑体" w:cs="Arial"/>
          <w:sz w:val="44"/>
          <w:szCs w:val="44"/>
        </w:rPr>
        <w:t>《国库集中支付电子凭证标准》术语表</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w:t>
      </w:r>
      <w:r>
        <w:rPr>
          <w:rFonts w:ascii="Times New Roman" w:hAnsi="Times New Roman" w:eastAsia="仿宋_GB2312"/>
          <w:b/>
          <w:sz w:val="28"/>
          <w:szCs w:val="28"/>
        </w:rPr>
        <w:t>可扩展商业报告语言</w:t>
      </w:r>
      <w:r>
        <w:rPr>
          <w:rFonts w:hint="eastAsia" w:ascii="Times New Roman" w:hAnsi="Times New Roman" w:eastAsia="仿宋_GB2312"/>
          <w:b/>
          <w:sz w:val="28"/>
          <w:szCs w:val="28"/>
        </w:rPr>
        <w:t>（e</w:t>
      </w:r>
      <w:r>
        <w:rPr>
          <w:rFonts w:ascii="Times New Roman" w:hAnsi="Times New Roman" w:eastAsia="仿宋_GB2312"/>
          <w:b/>
          <w:sz w:val="28"/>
          <w:szCs w:val="28"/>
        </w:rPr>
        <w:t>Xtensible Business Reporting Language</w:t>
      </w:r>
      <w:r>
        <w:rPr>
          <w:rFonts w:hint="eastAsia" w:ascii="Times New Roman" w:hAnsi="Times New Roman" w:eastAsia="仿宋_GB2312"/>
          <w:b/>
          <w:sz w:val="28"/>
          <w:szCs w:val="28"/>
        </w:rPr>
        <w:t>，</w:t>
      </w:r>
      <w:r>
        <w:rPr>
          <w:rFonts w:ascii="Times New Roman" w:hAnsi="Times New Roman" w:eastAsia="仿宋_GB2312"/>
          <w:b/>
          <w:sz w:val="28"/>
          <w:szCs w:val="28"/>
        </w:rPr>
        <w:t>XBRL</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一种基于可扩展置标语言（e</w:t>
      </w:r>
      <w:r>
        <w:rPr>
          <w:rFonts w:ascii="Times New Roman" w:hAnsi="Times New Roman" w:eastAsia="仿宋_GB2312"/>
          <w:sz w:val="28"/>
          <w:szCs w:val="28"/>
        </w:rPr>
        <w:t>Xtensible Markup Language，XML）的开放性业务报告技术标准。参见GB/T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2．</w:t>
      </w:r>
      <w:r>
        <w:rPr>
          <w:rFonts w:ascii="Times New Roman" w:hAnsi="Times New Roman" w:eastAsia="仿宋_GB2312"/>
          <w:b/>
          <w:sz w:val="28"/>
          <w:szCs w:val="28"/>
        </w:rPr>
        <w:t>分类标准</w:t>
      </w:r>
      <w:r>
        <w:rPr>
          <w:rFonts w:hint="eastAsia" w:ascii="Times New Roman" w:hAnsi="Times New Roman" w:eastAsia="仿宋_GB2312"/>
          <w:b/>
          <w:sz w:val="28"/>
          <w:szCs w:val="28"/>
        </w:rPr>
        <w:t>（T</w:t>
      </w:r>
      <w:r>
        <w:rPr>
          <w:rFonts w:ascii="Times New Roman" w:hAnsi="Times New Roman" w:eastAsia="仿宋_GB2312"/>
          <w:b/>
          <w:sz w:val="28"/>
          <w:szCs w:val="28"/>
        </w:rPr>
        <w:t>axonomy</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XML模式文件和XBRL链接库的组合。参见GB/T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3．</w:t>
      </w:r>
      <w:r>
        <w:rPr>
          <w:rFonts w:ascii="Times New Roman" w:hAnsi="Times New Roman" w:eastAsia="仿宋_GB2312"/>
          <w:b/>
          <w:sz w:val="28"/>
          <w:szCs w:val="28"/>
        </w:rPr>
        <w:t>分类标准模式</w:t>
      </w:r>
      <w:r>
        <w:rPr>
          <w:rFonts w:hint="eastAsia" w:ascii="Times New Roman" w:hAnsi="Times New Roman" w:eastAsia="仿宋_GB2312"/>
          <w:b/>
          <w:sz w:val="28"/>
          <w:szCs w:val="28"/>
        </w:rPr>
        <w:t>（T</w:t>
      </w:r>
      <w:r>
        <w:rPr>
          <w:rFonts w:ascii="Times New Roman" w:hAnsi="Times New Roman" w:eastAsia="仿宋_GB2312"/>
          <w:b/>
          <w:sz w:val="28"/>
          <w:szCs w:val="28"/>
        </w:rPr>
        <w:t xml:space="preserve">axonomy </w:t>
      </w:r>
      <w:r>
        <w:rPr>
          <w:rFonts w:hint="eastAsia" w:ascii="Times New Roman" w:hAnsi="Times New Roman" w:eastAsia="仿宋_GB2312"/>
          <w:b/>
          <w:sz w:val="28"/>
          <w:szCs w:val="28"/>
        </w:rPr>
        <w:t>S</w:t>
      </w:r>
      <w:r>
        <w:rPr>
          <w:rFonts w:ascii="Times New Roman" w:hAnsi="Times New Roman" w:eastAsia="仿宋_GB2312"/>
          <w:b/>
          <w:sz w:val="28"/>
          <w:szCs w:val="28"/>
        </w:rPr>
        <w:t>chema</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w:t>
      </w:r>
      <w:r>
        <w:rPr>
          <w:rFonts w:ascii="Times New Roman" w:hAnsi="Times New Roman" w:eastAsia="仿宋_GB2312"/>
          <w:sz w:val="28"/>
          <w:szCs w:val="28"/>
        </w:rPr>
        <w:t>XBRL概念语法的XML模式文件。参见GB/T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4</w:t>
      </w:r>
      <w:r>
        <w:rPr>
          <w:rFonts w:hint="eastAsia" w:ascii="Times New Roman" w:hAnsi="Times New Roman" w:eastAsia="仿宋_GB2312"/>
          <w:b/>
          <w:sz w:val="28"/>
          <w:szCs w:val="28"/>
        </w:rPr>
        <w:t>．</w:t>
      </w:r>
      <w:r>
        <w:rPr>
          <w:rFonts w:ascii="Times New Roman" w:hAnsi="Times New Roman" w:eastAsia="仿宋_GB2312"/>
          <w:b/>
          <w:sz w:val="28"/>
          <w:szCs w:val="28"/>
        </w:rPr>
        <w:t>可发现分类标准集</w:t>
      </w:r>
      <w:r>
        <w:rPr>
          <w:rFonts w:hint="eastAsia" w:ascii="Times New Roman" w:hAnsi="Times New Roman" w:eastAsia="仿宋_GB2312"/>
          <w:b/>
          <w:sz w:val="28"/>
          <w:szCs w:val="28"/>
        </w:rPr>
        <w:t>（</w:t>
      </w:r>
      <w:r>
        <w:rPr>
          <w:rFonts w:ascii="Times New Roman" w:hAnsi="Times New Roman" w:eastAsia="仿宋_GB2312"/>
          <w:b/>
          <w:sz w:val="28"/>
          <w:szCs w:val="28"/>
        </w:rPr>
        <w:t>Discoverable Taxonomy Set</w:t>
      </w:r>
      <w:r>
        <w:rPr>
          <w:rFonts w:hint="eastAsia" w:ascii="Times New Roman" w:hAnsi="Times New Roman" w:eastAsia="仿宋_GB2312"/>
          <w:b/>
          <w:sz w:val="28"/>
          <w:szCs w:val="28"/>
        </w:rPr>
        <w:t>，</w:t>
      </w:r>
      <w:r>
        <w:rPr>
          <w:rFonts w:ascii="Times New Roman" w:hAnsi="Times New Roman" w:eastAsia="仿宋_GB2312"/>
          <w:b/>
          <w:sz w:val="28"/>
          <w:szCs w:val="28"/>
        </w:rPr>
        <w:t>DTS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通过引用形成的一组分类标准模式和链接库的集合。参见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5</w:t>
      </w:r>
      <w:r>
        <w:rPr>
          <w:rFonts w:hint="eastAsia" w:ascii="Times New Roman" w:hAnsi="Times New Roman" w:eastAsia="仿宋_GB2312"/>
          <w:b/>
          <w:sz w:val="28"/>
          <w:szCs w:val="28"/>
        </w:rPr>
        <w:t>．</w:t>
      </w:r>
      <w:r>
        <w:rPr>
          <w:rFonts w:ascii="Times New Roman" w:hAnsi="Times New Roman" w:eastAsia="仿宋_GB2312"/>
          <w:b/>
          <w:sz w:val="28"/>
          <w:szCs w:val="28"/>
        </w:rPr>
        <w:t>扩展</w:t>
      </w:r>
      <w:r>
        <w:rPr>
          <w:rFonts w:hint="eastAsia" w:ascii="Times New Roman" w:hAnsi="Times New Roman" w:eastAsia="仿宋_GB2312"/>
          <w:b/>
          <w:sz w:val="28"/>
          <w:szCs w:val="28"/>
        </w:rPr>
        <w:t>链接</w:t>
      </w:r>
      <w:r>
        <w:rPr>
          <w:rFonts w:ascii="Times New Roman" w:hAnsi="Times New Roman" w:eastAsia="仿宋_GB2312"/>
          <w:b/>
          <w:sz w:val="28"/>
          <w:szCs w:val="28"/>
        </w:rPr>
        <w:t>角色</w:t>
      </w:r>
      <w:r>
        <w:rPr>
          <w:rFonts w:hint="eastAsia" w:ascii="Times New Roman" w:hAnsi="Times New Roman" w:eastAsia="仿宋_GB2312"/>
          <w:b/>
          <w:sz w:val="28"/>
          <w:szCs w:val="28"/>
        </w:rPr>
        <w:t>（</w:t>
      </w:r>
      <w:r>
        <w:rPr>
          <w:rFonts w:ascii="Times New Roman" w:hAnsi="Times New Roman" w:eastAsia="仿宋_GB2312"/>
          <w:b/>
          <w:sz w:val="28"/>
          <w:szCs w:val="28"/>
        </w:rPr>
        <w:t>Extended Link Role</w:t>
      </w:r>
      <w:r>
        <w:rPr>
          <w:rFonts w:hint="eastAsia" w:ascii="Times New Roman" w:hAnsi="Times New Roman" w:eastAsia="仿宋_GB2312"/>
          <w:b/>
          <w:sz w:val="28"/>
          <w:szCs w:val="28"/>
        </w:rPr>
        <w:t>，</w:t>
      </w:r>
      <w:r>
        <w:rPr>
          <w:rFonts w:ascii="Times New Roman" w:hAnsi="Times New Roman" w:eastAsia="仿宋_GB2312"/>
          <w:b/>
          <w:sz w:val="28"/>
          <w:szCs w:val="28"/>
        </w:rPr>
        <w:t>ELR</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扩展链接角色是一组可被视为一个整体进行处理的</w:t>
      </w:r>
      <w:r>
        <w:rPr>
          <w:rFonts w:hint="eastAsia" w:ascii="Times New Roman" w:hAnsi="Times New Roman" w:eastAsia="仿宋_GB2312"/>
          <w:sz w:val="28"/>
          <w:szCs w:val="28"/>
          <w:lang w:eastAsia="zh-CN"/>
        </w:rPr>
        <w:t>国库集中支付电子凭证</w:t>
      </w:r>
      <w:r>
        <w:rPr>
          <w:rFonts w:hint="eastAsia" w:ascii="Times New Roman" w:hAnsi="Times New Roman" w:eastAsia="仿宋_GB2312"/>
          <w:sz w:val="28"/>
          <w:szCs w:val="28"/>
        </w:rPr>
        <w:t>信息关系的标识符。</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6</w:t>
      </w:r>
      <w:r>
        <w:rPr>
          <w:rFonts w:hint="eastAsia" w:ascii="Times New Roman" w:hAnsi="Times New Roman" w:eastAsia="仿宋_GB2312"/>
          <w:b/>
          <w:sz w:val="28"/>
          <w:szCs w:val="28"/>
        </w:rPr>
        <w:t>．</w:t>
      </w:r>
      <w:r>
        <w:rPr>
          <w:rFonts w:ascii="Times New Roman" w:hAnsi="Times New Roman" w:eastAsia="仿宋_GB2312"/>
          <w:b/>
          <w:sz w:val="28"/>
          <w:szCs w:val="28"/>
        </w:rPr>
        <w:t>相对路径</w:t>
      </w:r>
      <w:r>
        <w:rPr>
          <w:rFonts w:hint="eastAsia" w:ascii="Times New Roman" w:hAnsi="Times New Roman" w:eastAsia="仿宋_GB2312"/>
          <w:b/>
          <w:sz w:val="28"/>
          <w:szCs w:val="28"/>
        </w:rPr>
        <w:t>（R</w:t>
      </w:r>
      <w:r>
        <w:rPr>
          <w:rFonts w:ascii="Times New Roman" w:hAnsi="Times New Roman" w:eastAsia="仿宋_GB2312"/>
          <w:b/>
          <w:sz w:val="28"/>
          <w:szCs w:val="28"/>
        </w:rPr>
        <w:t xml:space="preserve">elative </w:t>
      </w:r>
      <w:r>
        <w:rPr>
          <w:rFonts w:hint="eastAsia" w:ascii="Times New Roman" w:hAnsi="Times New Roman" w:eastAsia="仿宋_GB2312"/>
          <w:b/>
          <w:sz w:val="28"/>
          <w:szCs w:val="28"/>
        </w:rPr>
        <w:t>P</w:t>
      </w:r>
      <w:r>
        <w:rPr>
          <w:rFonts w:ascii="Times New Roman" w:hAnsi="Times New Roman" w:eastAsia="仿宋_GB2312"/>
          <w:b/>
          <w:sz w:val="28"/>
          <w:szCs w:val="28"/>
        </w:rPr>
        <w:t>aths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相对路径以《</w:t>
      </w:r>
      <w:r>
        <w:rPr>
          <w:rFonts w:hint="eastAsia" w:ascii="Times New Roman" w:hAnsi="Times New Roman" w:eastAsia="仿宋_GB2312"/>
          <w:sz w:val="28"/>
          <w:szCs w:val="28"/>
          <w:lang w:eastAsia="zh-CN"/>
        </w:rPr>
        <w:t>国库集中支付电子凭证标准</w:t>
      </w:r>
      <w:r>
        <w:rPr>
          <w:rFonts w:hint="eastAsia" w:ascii="Times New Roman" w:hAnsi="Times New Roman" w:eastAsia="仿宋_GB2312"/>
          <w:sz w:val="28"/>
          <w:szCs w:val="28"/>
        </w:rPr>
        <w:t>》入口点模式文件所在目录为相对路径根目录。</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7．</w:t>
      </w:r>
      <w:r>
        <w:rPr>
          <w:rFonts w:ascii="Times New Roman" w:hAnsi="Times New Roman" w:eastAsia="仿宋_GB2312"/>
          <w:b/>
          <w:sz w:val="28"/>
          <w:szCs w:val="28"/>
        </w:rPr>
        <w:t>命名空间</w:t>
      </w:r>
      <w:r>
        <w:rPr>
          <w:rFonts w:hint="eastAsia" w:ascii="Times New Roman" w:hAnsi="Times New Roman" w:eastAsia="仿宋_GB2312"/>
          <w:b/>
          <w:sz w:val="28"/>
          <w:szCs w:val="28"/>
        </w:rPr>
        <w:t>（N</w:t>
      </w:r>
      <w:r>
        <w:rPr>
          <w:rFonts w:ascii="Times New Roman" w:hAnsi="Times New Roman" w:eastAsia="仿宋_GB2312"/>
          <w:b/>
          <w:sz w:val="28"/>
          <w:szCs w:val="28"/>
        </w:rPr>
        <w:t>amespace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命名空间限定了分类标准元素的定义区间。</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8．</w:t>
      </w:r>
      <w:r>
        <w:rPr>
          <w:rFonts w:ascii="Times New Roman" w:hAnsi="Times New Roman" w:eastAsia="仿宋_GB2312"/>
          <w:b/>
          <w:sz w:val="28"/>
          <w:szCs w:val="28"/>
        </w:rPr>
        <w:t>事实</w:t>
      </w:r>
      <w:r>
        <w:rPr>
          <w:rFonts w:hint="eastAsia" w:ascii="Times New Roman" w:hAnsi="Times New Roman" w:eastAsia="仿宋_GB2312"/>
          <w:b/>
          <w:sz w:val="28"/>
          <w:szCs w:val="28"/>
        </w:rPr>
        <w:t>值（F</w:t>
      </w:r>
      <w:r>
        <w:rPr>
          <w:rFonts w:ascii="Times New Roman" w:hAnsi="Times New Roman" w:eastAsia="仿宋_GB2312"/>
          <w:b/>
          <w:sz w:val="28"/>
          <w:szCs w:val="28"/>
        </w:rPr>
        <w:t>act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分类标准所描述的</w:t>
      </w:r>
      <w:r>
        <w:rPr>
          <w:rFonts w:hint="eastAsia" w:ascii="Times New Roman" w:hAnsi="Times New Roman" w:eastAsia="仿宋_GB2312"/>
          <w:sz w:val="28"/>
          <w:szCs w:val="28"/>
          <w:lang w:eastAsia="zh-CN"/>
        </w:rPr>
        <w:t>国库集中支付电子凭证</w:t>
      </w:r>
      <w:r>
        <w:rPr>
          <w:rFonts w:hint="eastAsia" w:ascii="Times New Roman" w:hAnsi="Times New Roman" w:eastAsia="仿宋_GB2312"/>
          <w:sz w:val="28"/>
          <w:szCs w:val="28"/>
        </w:rPr>
        <w:t>的具体内容</w:t>
      </w:r>
      <w:r>
        <w:rPr>
          <w:rFonts w:ascii="Times New Roman" w:hAnsi="Times New Roman" w:eastAsia="仿宋_GB2312"/>
          <w:sz w:val="28"/>
          <w:szCs w:val="28"/>
        </w:rPr>
        <w:t>。</w:t>
      </w:r>
      <w:r>
        <w:rPr>
          <w:rFonts w:hint="eastAsia" w:ascii="Times New Roman" w:hAnsi="Times New Roman" w:eastAsia="仿宋_GB2312"/>
          <w:sz w:val="28"/>
          <w:szCs w:val="28"/>
        </w:rPr>
        <w:t>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9</w:t>
      </w:r>
      <w:r>
        <w:rPr>
          <w:rFonts w:hint="eastAsia" w:ascii="Times New Roman" w:hAnsi="Times New Roman" w:eastAsia="仿宋_GB2312"/>
          <w:b/>
          <w:sz w:val="28"/>
          <w:szCs w:val="28"/>
        </w:rPr>
        <w:t>．</w:t>
      </w:r>
      <w:r>
        <w:rPr>
          <w:rFonts w:ascii="Times New Roman" w:hAnsi="Times New Roman" w:eastAsia="仿宋_GB2312"/>
          <w:b/>
          <w:sz w:val="28"/>
          <w:szCs w:val="28"/>
        </w:rPr>
        <w:t>元素</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 模式文件中定义的XML元素。参见GB/T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10</w:t>
      </w:r>
      <w:r>
        <w:rPr>
          <w:rFonts w:hint="eastAsia" w:ascii="Times New Roman" w:hAnsi="Times New Roman" w:eastAsia="仿宋_GB2312"/>
          <w:b/>
          <w:sz w:val="28"/>
          <w:szCs w:val="28"/>
        </w:rPr>
        <w:t>．</w:t>
      </w:r>
      <w:r>
        <w:rPr>
          <w:rFonts w:ascii="Times New Roman" w:hAnsi="Times New Roman" w:eastAsia="仿宋_GB2312"/>
          <w:b/>
          <w:sz w:val="28"/>
          <w:szCs w:val="28"/>
        </w:rPr>
        <w:t>抽象元素</w:t>
      </w:r>
      <w:r>
        <w:rPr>
          <w:rFonts w:hint="eastAsia" w:ascii="Times New Roman" w:hAnsi="Times New Roman" w:eastAsia="仿宋_GB2312"/>
          <w:b/>
          <w:sz w:val="28"/>
          <w:szCs w:val="28"/>
        </w:rPr>
        <w:t>（A</w:t>
      </w:r>
      <w:r>
        <w:rPr>
          <w:rFonts w:ascii="Times New Roman" w:hAnsi="Times New Roman" w:eastAsia="仿宋_GB2312"/>
          <w:b/>
          <w:sz w:val="28"/>
          <w:szCs w:val="28"/>
        </w:rPr>
        <w:t xml:space="preserve">bstract </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对应</w:t>
      </w:r>
      <w:r>
        <w:rPr>
          <w:rFonts w:hint="eastAsia" w:ascii="Times New Roman" w:hAnsi="Times New Roman" w:eastAsia="仿宋_GB2312"/>
          <w:sz w:val="28"/>
          <w:szCs w:val="28"/>
          <w:lang w:eastAsia="zh-CN"/>
        </w:rPr>
        <w:t>国库集中支付电子凭证</w:t>
      </w:r>
      <w:r>
        <w:rPr>
          <w:rFonts w:hint="eastAsia" w:ascii="Times New Roman" w:hAnsi="Times New Roman" w:eastAsia="仿宋_GB2312"/>
          <w:sz w:val="28"/>
          <w:szCs w:val="28"/>
        </w:rPr>
        <w:t>概念在逻辑上没有具体值、不能在</w:t>
      </w: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中出现的元素，其abstract属性值为true。</w:t>
      </w:r>
      <w:r>
        <w:rPr>
          <w:rFonts w:hint="eastAsia" w:ascii="Times New Roman" w:hAnsi="Times New Roman" w:eastAsia="仿宋_GB2312"/>
          <w:sz w:val="28"/>
          <w:szCs w:val="28"/>
        </w:rPr>
        <w:t>列报链接库可利用抽象元素对概念进行分组展示。参见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11</w:t>
      </w:r>
      <w:r>
        <w:rPr>
          <w:rFonts w:hint="eastAsia" w:ascii="Times New Roman" w:hAnsi="Times New Roman" w:eastAsia="仿宋_GB2312"/>
          <w:b/>
          <w:sz w:val="28"/>
          <w:szCs w:val="28"/>
        </w:rPr>
        <w:t>．</w:t>
      </w:r>
      <w:r>
        <w:rPr>
          <w:rFonts w:ascii="Times New Roman" w:hAnsi="Times New Roman" w:eastAsia="仿宋_GB2312"/>
          <w:b/>
          <w:sz w:val="28"/>
          <w:szCs w:val="28"/>
        </w:rPr>
        <w:t>链接库</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若干个用于描述分类标准中概念的语义的</w:t>
      </w:r>
      <w:r>
        <w:rPr>
          <w:rFonts w:ascii="Times New Roman" w:hAnsi="Times New Roman" w:eastAsia="仿宋_GB2312"/>
          <w:sz w:val="28"/>
          <w:szCs w:val="28"/>
        </w:rPr>
        <w:t>XLink扩展链接的集合。参见GB/T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12．</w:t>
      </w:r>
      <w:r>
        <w:rPr>
          <w:rFonts w:ascii="Times New Roman" w:hAnsi="Times New Roman" w:eastAsia="仿宋_GB2312"/>
          <w:b/>
          <w:sz w:val="28"/>
          <w:szCs w:val="28"/>
        </w:rPr>
        <w:t>列报链接库</w:t>
      </w:r>
      <w:r>
        <w:rPr>
          <w:rFonts w:hint="eastAsia" w:ascii="Times New Roman" w:hAnsi="Times New Roman" w:eastAsia="仿宋_GB2312"/>
          <w:b/>
          <w:sz w:val="28"/>
          <w:szCs w:val="28"/>
        </w:rPr>
        <w:t>（P</w:t>
      </w:r>
      <w:r>
        <w:rPr>
          <w:rFonts w:ascii="Times New Roman" w:hAnsi="Times New Roman" w:eastAsia="仿宋_GB2312"/>
          <w:b/>
          <w:sz w:val="28"/>
          <w:szCs w:val="28"/>
        </w:rPr>
        <w:t xml:space="preserve">resentation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列报链接库用于组织分类标准元素之间的层次关系并为之排序。参见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w:t>
      </w:r>
      <w:r>
        <w:rPr>
          <w:rFonts w:hint="eastAsia" w:ascii="Times New Roman" w:hAnsi="Times New Roman" w:eastAsia="仿宋_GB2312"/>
          <w:b/>
          <w:sz w:val="28"/>
          <w:szCs w:val="28"/>
        </w:rPr>
        <w:t>3．</w:t>
      </w:r>
      <w:r>
        <w:rPr>
          <w:rFonts w:ascii="Times New Roman" w:hAnsi="Times New Roman" w:eastAsia="仿宋_GB2312"/>
          <w:b/>
          <w:sz w:val="28"/>
          <w:szCs w:val="28"/>
        </w:rPr>
        <w:t>定义链接库</w:t>
      </w:r>
      <w:r>
        <w:rPr>
          <w:rFonts w:hint="eastAsia" w:ascii="Times New Roman" w:hAnsi="Times New Roman" w:eastAsia="仿宋_GB2312"/>
          <w:b/>
          <w:sz w:val="28"/>
          <w:szCs w:val="28"/>
        </w:rPr>
        <w:t>（D</w:t>
      </w:r>
      <w:r>
        <w:rPr>
          <w:rFonts w:ascii="Times New Roman" w:hAnsi="Times New Roman" w:eastAsia="仿宋_GB2312"/>
          <w:b/>
          <w:sz w:val="28"/>
          <w:szCs w:val="28"/>
        </w:rPr>
        <w:t xml:space="preserve">efinition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定义链接库包含一个概念与其他概念相关联的定义扩展链接。在《</w:t>
      </w:r>
      <w:r>
        <w:rPr>
          <w:rFonts w:hint="eastAsia" w:ascii="Times New Roman" w:hAnsi="Times New Roman" w:eastAsia="仿宋_GB2312"/>
          <w:sz w:val="28"/>
          <w:szCs w:val="28"/>
          <w:lang w:eastAsia="zh-CN"/>
        </w:rPr>
        <w:t>国库集中支付电子凭证标准</w:t>
      </w:r>
      <w:r>
        <w:rPr>
          <w:rFonts w:hint="eastAsia" w:ascii="Times New Roman" w:hAnsi="Times New Roman" w:eastAsia="仿宋_GB2312"/>
          <w:sz w:val="28"/>
          <w:szCs w:val="28"/>
        </w:rPr>
        <w:t>》中主要的作用是描述元素之间的维度关系。</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14</w:t>
      </w:r>
      <w:r>
        <w:rPr>
          <w:rFonts w:hint="eastAsia" w:ascii="Times New Roman" w:hAnsi="Times New Roman" w:eastAsia="仿宋_GB2312"/>
          <w:b/>
          <w:sz w:val="28"/>
          <w:szCs w:val="28"/>
        </w:rPr>
        <w:t>．</w:t>
      </w:r>
      <w:r>
        <w:rPr>
          <w:rFonts w:ascii="Times New Roman" w:hAnsi="Times New Roman" w:eastAsia="仿宋_GB2312"/>
          <w:b/>
          <w:sz w:val="28"/>
          <w:szCs w:val="28"/>
        </w:rPr>
        <w:t>标签链接库</w:t>
      </w:r>
      <w:r>
        <w:rPr>
          <w:rFonts w:hint="eastAsia" w:ascii="Times New Roman" w:hAnsi="Times New Roman" w:eastAsia="仿宋_GB2312"/>
          <w:b/>
          <w:sz w:val="28"/>
          <w:szCs w:val="28"/>
        </w:rPr>
        <w:t>（L</w:t>
      </w:r>
      <w:r>
        <w:rPr>
          <w:rFonts w:ascii="Times New Roman" w:hAnsi="Times New Roman" w:eastAsia="仿宋_GB2312"/>
          <w:b/>
          <w:sz w:val="28"/>
          <w:szCs w:val="28"/>
        </w:rPr>
        <w:t xml:space="preserve">abel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标签链接库用于给每个概念提供一个或多个可理解的名称。</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15</w:t>
      </w:r>
      <w:r>
        <w:rPr>
          <w:rFonts w:hint="eastAsia" w:ascii="Times New Roman" w:hAnsi="Times New Roman" w:eastAsia="仿宋_GB2312"/>
          <w:b/>
          <w:sz w:val="28"/>
          <w:szCs w:val="28"/>
        </w:rPr>
        <w:t>．</w:t>
      </w:r>
      <w:r>
        <w:rPr>
          <w:rFonts w:ascii="Times New Roman" w:hAnsi="Times New Roman" w:eastAsia="仿宋_GB2312"/>
          <w:b/>
          <w:sz w:val="28"/>
          <w:szCs w:val="28"/>
        </w:rPr>
        <w:t>XBRL实例</w:t>
      </w:r>
      <w:r>
        <w:rPr>
          <w:rFonts w:hint="eastAsia" w:ascii="Times New Roman" w:hAnsi="Times New Roman" w:eastAsia="仿宋_GB2312"/>
          <w:b/>
          <w:sz w:val="28"/>
          <w:szCs w:val="28"/>
        </w:rPr>
        <w:t>文档（</w:t>
      </w:r>
      <w:r>
        <w:rPr>
          <w:rFonts w:ascii="Times New Roman" w:hAnsi="Times New Roman" w:eastAsia="仿宋_GB2312"/>
          <w:b/>
          <w:sz w:val="28"/>
          <w:szCs w:val="28"/>
        </w:rPr>
        <w:t xml:space="preserve">XBRL </w:t>
      </w:r>
      <w:r>
        <w:rPr>
          <w:rFonts w:hint="eastAsia" w:ascii="Times New Roman" w:hAnsi="Times New Roman" w:eastAsia="仿宋_GB2312"/>
          <w:b/>
          <w:sz w:val="28"/>
          <w:szCs w:val="28"/>
        </w:rPr>
        <w:t>I</w:t>
      </w:r>
      <w:r>
        <w:rPr>
          <w:rFonts w:ascii="Times New Roman" w:hAnsi="Times New Roman" w:eastAsia="仿宋_GB2312"/>
          <w:b/>
          <w:sz w:val="28"/>
          <w:szCs w:val="28"/>
        </w:rPr>
        <w:t>nstance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w:t>
      </w:r>
      <w:r>
        <w:rPr>
          <w:rFonts w:ascii="Times New Roman" w:hAnsi="Times New Roman" w:eastAsia="仿宋_GB2312"/>
          <w:sz w:val="28"/>
          <w:szCs w:val="28"/>
        </w:rPr>
        <w:t>xbrl为根元素的XML片段。XBRL实例</w:t>
      </w:r>
      <w:r>
        <w:rPr>
          <w:rFonts w:hint="eastAsia" w:ascii="Times New Roman" w:hAnsi="Times New Roman" w:eastAsia="仿宋_GB2312"/>
          <w:sz w:val="28"/>
          <w:szCs w:val="28"/>
        </w:rPr>
        <w:t>文档中</w:t>
      </w:r>
      <w:r>
        <w:rPr>
          <w:rFonts w:ascii="Times New Roman" w:hAnsi="Times New Roman" w:eastAsia="仿宋_GB2312"/>
          <w:sz w:val="28"/>
          <w:szCs w:val="28"/>
        </w:rPr>
        <w:t>包含</w:t>
      </w:r>
      <w:r>
        <w:rPr>
          <w:rFonts w:hint="eastAsia" w:ascii="Times New Roman" w:hAnsi="Times New Roman" w:eastAsia="仿宋_GB2312"/>
          <w:sz w:val="28"/>
          <w:szCs w:val="28"/>
          <w:lang w:eastAsia="zh-CN"/>
        </w:rPr>
        <w:t>国库集中支付电子凭证</w:t>
      </w:r>
      <w:r>
        <w:rPr>
          <w:rFonts w:hint="eastAsia" w:ascii="Times New Roman" w:hAnsi="Times New Roman" w:eastAsia="仿宋_GB2312"/>
          <w:sz w:val="28"/>
          <w:szCs w:val="28"/>
        </w:rPr>
        <w:t>的</w:t>
      </w:r>
      <w:r>
        <w:rPr>
          <w:rFonts w:ascii="Times New Roman" w:hAnsi="Times New Roman" w:eastAsia="仿宋_GB2312"/>
          <w:sz w:val="28"/>
          <w:szCs w:val="28"/>
        </w:rPr>
        <w:t>事实</w:t>
      </w:r>
      <w:r>
        <w:rPr>
          <w:rFonts w:hint="eastAsia" w:ascii="Times New Roman" w:hAnsi="Times New Roman" w:eastAsia="仿宋_GB2312"/>
          <w:sz w:val="28"/>
          <w:szCs w:val="28"/>
        </w:rPr>
        <w:t>值。</w:t>
      </w:r>
      <w:r>
        <w:rPr>
          <w:rFonts w:ascii="Times New Roman" w:hAnsi="Times New Roman" w:eastAsia="仿宋_GB2312"/>
          <w:sz w:val="28"/>
          <w:szCs w:val="28"/>
        </w:rPr>
        <w:t>其中每个事实</w:t>
      </w:r>
      <w:r>
        <w:rPr>
          <w:rFonts w:hint="eastAsia" w:ascii="Times New Roman" w:hAnsi="Times New Roman" w:eastAsia="仿宋_GB2312"/>
          <w:sz w:val="28"/>
          <w:szCs w:val="28"/>
        </w:rPr>
        <w:t>值</w:t>
      </w:r>
      <w:r>
        <w:rPr>
          <w:rFonts w:ascii="Times New Roman" w:hAnsi="Times New Roman" w:eastAsia="仿宋_GB2312"/>
          <w:sz w:val="28"/>
          <w:szCs w:val="28"/>
        </w:rPr>
        <w:t>都与</w:t>
      </w:r>
      <w:r>
        <w:rPr>
          <w:rFonts w:hint="eastAsia" w:ascii="Times New Roman" w:hAnsi="Times New Roman" w:eastAsia="仿宋_GB2312"/>
          <w:sz w:val="28"/>
          <w:szCs w:val="28"/>
        </w:rPr>
        <w:t>可发现分类标准集（DTS）</w:t>
      </w:r>
      <w:r>
        <w:rPr>
          <w:rFonts w:ascii="Times New Roman" w:hAnsi="Times New Roman" w:eastAsia="仿宋_GB2312"/>
          <w:sz w:val="28"/>
          <w:szCs w:val="28"/>
        </w:rPr>
        <w:t>中已定义的概念相对应，也包含上下文和单位等额外信息来解释实例中的事实。XBRL实例</w:t>
      </w:r>
      <w:r>
        <w:rPr>
          <w:rFonts w:hint="eastAsia" w:ascii="Times New Roman" w:hAnsi="Times New Roman" w:eastAsia="仿宋_GB2312"/>
          <w:sz w:val="28"/>
          <w:szCs w:val="28"/>
        </w:rPr>
        <w:t>文档</w:t>
      </w:r>
      <w:r>
        <w:rPr>
          <w:rFonts w:ascii="Times New Roman" w:hAnsi="Times New Roman" w:eastAsia="仿宋_GB2312"/>
          <w:sz w:val="28"/>
          <w:szCs w:val="28"/>
        </w:rPr>
        <w:t>的根元素是“xbrl”元素。参见GB/T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16</w:t>
      </w:r>
      <w:r>
        <w:rPr>
          <w:rFonts w:hint="eastAsia" w:ascii="Times New Roman" w:hAnsi="Times New Roman" w:eastAsia="仿宋_GB2312"/>
          <w:b/>
          <w:sz w:val="28"/>
          <w:szCs w:val="28"/>
        </w:rPr>
        <w:t>．</w:t>
      </w:r>
      <w:r>
        <w:rPr>
          <w:rFonts w:ascii="Times New Roman" w:hAnsi="Times New Roman" w:eastAsia="仿宋_GB2312"/>
          <w:b/>
          <w:sz w:val="28"/>
          <w:szCs w:val="28"/>
        </w:rPr>
        <w:t>上下文</w:t>
      </w:r>
      <w:r>
        <w:rPr>
          <w:rFonts w:hint="eastAsia" w:ascii="Times New Roman" w:hAnsi="Times New Roman" w:eastAsia="仿宋_GB2312"/>
          <w:b/>
          <w:sz w:val="28"/>
          <w:szCs w:val="28"/>
        </w:rPr>
        <w:t>（C</w:t>
      </w:r>
      <w:r>
        <w:rPr>
          <w:rFonts w:ascii="Times New Roman" w:hAnsi="Times New Roman" w:eastAsia="仿宋_GB2312"/>
          <w:b/>
          <w:sz w:val="28"/>
          <w:szCs w:val="28"/>
        </w:rPr>
        <w:t>ontext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中根元素的子元素，用来说明实体、时期和场景。</w:t>
      </w:r>
      <w:r>
        <w:rPr>
          <w:rFonts w:hint="eastAsia" w:ascii="Times New Roman" w:hAnsi="Times New Roman" w:eastAsia="仿宋_GB2312"/>
          <w:sz w:val="28"/>
          <w:szCs w:val="28"/>
        </w:rPr>
        <w:t>上下文有助于准确地理解数据项的值。参见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17</w:t>
      </w:r>
      <w:r>
        <w:rPr>
          <w:rFonts w:hint="eastAsia" w:ascii="Times New Roman" w:hAnsi="Times New Roman" w:eastAsia="仿宋_GB2312"/>
          <w:b/>
          <w:sz w:val="28"/>
          <w:szCs w:val="28"/>
        </w:rPr>
        <w:t>．</w:t>
      </w:r>
      <w:r>
        <w:rPr>
          <w:rFonts w:ascii="Times New Roman" w:hAnsi="Times New Roman" w:eastAsia="仿宋_GB2312"/>
          <w:b/>
          <w:sz w:val="28"/>
          <w:szCs w:val="28"/>
        </w:rPr>
        <w:t>数据项</w:t>
      </w:r>
      <w:r>
        <w:rPr>
          <w:rFonts w:hint="eastAsia" w:ascii="Times New Roman" w:hAnsi="Times New Roman" w:eastAsia="仿宋_GB2312"/>
          <w:b/>
          <w:sz w:val="28"/>
          <w:szCs w:val="28"/>
        </w:rPr>
        <w:t>（I</w:t>
      </w:r>
      <w:r>
        <w:rPr>
          <w:rFonts w:ascii="Times New Roman" w:hAnsi="Times New Roman" w:eastAsia="仿宋_GB2312"/>
          <w:b/>
          <w:sz w:val="28"/>
          <w:szCs w:val="28"/>
        </w:rPr>
        <w:t>tem</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XBRL数据项替换组中的元素，包含简单事实的值、帮助理解该事实所需的上下文以及数值型数据项的单位。</w:t>
      </w:r>
      <w:r>
        <w:rPr>
          <w:rFonts w:hint="eastAsia" w:ascii="Times New Roman" w:hAnsi="Times New Roman" w:eastAsia="仿宋_GB2312"/>
          <w:sz w:val="28"/>
          <w:szCs w:val="28"/>
        </w:rPr>
        <w:t>数据项包括数值型数据项和非数值型数据项两类。对于数值型数据项，需要指出精度及度量单位。参见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18</w:t>
      </w:r>
      <w:r>
        <w:rPr>
          <w:rFonts w:hint="eastAsia" w:ascii="Times New Roman" w:hAnsi="Times New Roman" w:eastAsia="仿宋_GB2312"/>
          <w:b/>
          <w:sz w:val="28"/>
          <w:szCs w:val="28"/>
        </w:rPr>
        <w:t>．</w:t>
      </w:r>
      <w:r>
        <w:rPr>
          <w:rFonts w:ascii="Times New Roman" w:hAnsi="Times New Roman" w:eastAsia="仿宋_GB2312"/>
          <w:b/>
          <w:sz w:val="28"/>
          <w:szCs w:val="28"/>
        </w:rPr>
        <w:t>类型化维度</w:t>
      </w:r>
      <w:r>
        <w:rPr>
          <w:rFonts w:hint="eastAsia" w:ascii="Times New Roman" w:hAnsi="Times New Roman" w:eastAsia="仿宋_GB2312"/>
          <w:b/>
          <w:sz w:val="28"/>
          <w:szCs w:val="28"/>
        </w:rPr>
        <w:t>（T</w:t>
      </w:r>
      <w:r>
        <w:rPr>
          <w:rFonts w:ascii="Times New Roman" w:hAnsi="Times New Roman" w:eastAsia="仿宋_GB2312"/>
          <w:b/>
          <w:sz w:val="28"/>
          <w:szCs w:val="28"/>
        </w:rPr>
        <w:t xml:space="preserve">yped </w:t>
      </w:r>
      <w:r>
        <w:rPr>
          <w:rFonts w:hint="eastAsia" w:ascii="Times New Roman" w:hAnsi="Times New Roman" w:eastAsia="仿宋_GB2312"/>
          <w:b/>
          <w:sz w:val="28"/>
          <w:szCs w:val="28"/>
        </w:rPr>
        <w:t>D</w:t>
      </w:r>
      <w:r>
        <w:rPr>
          <w:rFonts w:ascii="Times New Roman" w:hAnsi="Times New Roman" w:eastAsia="仿宋_GB2312"/>
          <w:b/>
          <w:sz w:val="28"/>
          <w:szCs w:val="28"/>
        </w:rPr>
        <w:t>imension</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类型化维度是域成员不能逐个枚举的维度。参见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sz w:val="28"/>
          <w:szCs w:val="28"/>
        </w:rPr>
      </w:pPr>
      <w:r>
        <w:rPr>
          <w:rFonts w:ascii="Times New Roman" w:hAnsi="Times New Roman" w:eastAsia="仿宋_GB2312"/>
          <w:b/>
          <w:sz w:val="28"/>
          <w:szCs w:val="28"/>
        </w:rPr>
        <w:t>19</w:t>
      </w:r>
      <w:r>
        <w:rPr>
          <w:rFonts w:hint="eastAsia" w:ascii="Times New Roman" w:hAnsi="Times New Roman" w:eastAsia="仿宋_GB2312"/>
          <w:b/>
          <w:sz w:val="28"/>
          <w:szCs w:val="28"/>
        </w:rPr>
        <w:t>．</w:t>
      </w:r>
      <w:r>
        <w:rPr>
          <w:rFonts w:ascii="Times New Roman" w:hAnsi="Times New Roman" w:eastAsia="仿宋_GB2312"/>
          <w:b/>
          <w:sz w:val="28"/>
          <w:szCs w:val="28"/>
        </w:rPr>
        <w:t>超立方体</w:t>
      </w:r>
      <w:r>
        <w:rPr>
          <w:rFonts w:hint="eastAsia" w:ascii="Times New Roman" w:hAnsi="Times New Roman" w:eastAsia="仿宋_GB2312"/>
          <w:b/>
          <w:sz w:val="28"/>
          <w:szCs w:val="28"/>
        </w:rPr>
        <w:t>（H</w:t>
      </w:r>
      <w:r>
        <w:rPr>
          <w:rFonts w:ascii="Times New Roman" w:hAnsi="Times New Roman" w:eastAsia="仿宋_GB2312"/>
          <w:b/>
          <w:sz w:val="28"/>
          <w:szCs w:val="28"/>
        </w:rPr>
        <w:t>ypercube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超立方体是一个维度的集合，是参与到</w:t>
      </w:r>
      <w:r>
        <w:rPr>
          <w:rFonts w:ascii="Times New Roman" w:hAnsi="Times New Roman" w:eastAsia="仿宋_GB2312"/>
          <w:sz w:val="28"/>
          <w:szCs w:val="28"/>
        </w:rPr>
        <w:t>has-hypercube关系和hypercube-dimension关系中的hypercubeItem替换组中的抽象元素。参见GB/T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440" w:firstLineChars="200"/>
      </w:pP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东文宋体">
    <w:altName w:val="方正书宋_GBK"/>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auto"/>
    <w:pitch w:val="default"/>
    <w:sig w:usb0="00000000" w:usb1="00000000" w:usb2="00000016" w:usb3="00000000" w:csb0="00040001"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9637962"/>
    </w:sdtPr>
    <w:sdtEndPr>
      <w:rPr>
        <w:rFonts w:ascii="Times New Roman" w:hAnsi="Times New Roman" w:cs="Times New Roman"/>
      </w:rPr>
    </w:sdtEndPr>
    <w:sdtContent>
      <w:p>
        <w:pPr>
          <w:pStyle w:val="1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CFE89"/>
    <w:multiLevelType w:val="singleLevel"/>
    <w:tmpl w:val="86ACFE89"/>
    <w:lvl w:ilvl="0" w:tentative="0">
      <w:start w:val="1"/>
      <w:numFmt w:val="decimal"/>
      <w:suff w:val="nothing"/>
      <w:lvlText w:val="%1"/>
      <w:lvlJc w:val="left"/>
      <w:pPr>
        <w:tabs>
          <w:tab w:val="left" w:pos="420"/>
        </w:tabs>
        <w:ind w:left="0" w:leftChars="0" w:firstLine="0" w:firstLineChars="0"/>
      </w:pPr>
      <w:rPr>
        <w:rFonts w:hint="default"/>
      </w:rPr>
    </w:lvl>
  </w:abstractNum>
  <w:abstractNum w:abstractNumId="1">
    <w:nsid w:val="B10258D1"/>
    <w:multiLevelType w:val="singleLevel"/>
    <w:tmpl w:val="B10258D1"/>
    <w:lvl w:ilvl="0" w:tentative="0">
      <w:start w:val="1"/>
      <w:numFmt w:val="decimalEnclosedCircleChinese"/>
      <w:suff w:val="nothing"/>
      <w:lvlText w:val="%1　"/>
      <w:lvlJc w:val="left"/>
      <w:pPr>
        <w:ind w:left="0" w:firstLine="400"/>
      </w:pPr>
      <w:rPr>
        <w:rFonts w:hint="eastAsia"/>
      </w:rPr>
    </w:lvl>
  </w:abstractNum>
  <w:abstractNum w:abstractNumId="2">
    <w:nsid w:val="DF7D147E"/>
    <w:multiLevelType w:val="singleLevel"/>
    <w:tmpl w:val="DF7D147E"/>
    <w:lvl w:ilvl="0" w:tentative="0">
      <w:start w:val="1"/>
      <w:numFmt w:val="chineseCounting"/>
      <w:suff w:val="nothing"/>
      <w:lvlText w:val="（%1）"/>
      <w:lvlJc w:val="left"/>
      <w:rPr>
        <w:rFonts w:hint="eastAsia"/>
      </w:rPr>
    </w:lvl>
  </w:abstractNum>
  <w:abstractNum w:abstractNumId="3">
    <w:nsid w:val="F76FDE14"/>
    <w:multiLevelType w:val="singleLevel"/>
    <w:tmpl w:val="F76FDE14"/>
    <w:lvl w:ilvl="0" w:tentative="0">
      <w:start w:val="1"/>
      <w:numFmt w:val="chineseCounting"/>
      <w:suff w:val="nothing"/>
      <w:lvlText w:val="（%1）"/>
      <w:lvlJc w:val="left"/>
      <w:rPr>
        <w:rFonts w:hint="eastAsia"/>
      </w:rPr>
    </w:lvl>
  </w:abstractNum>
  <w:abstractNum w:abstractNumId="4">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5">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6">
    <w:nsid w:val="48B04D8E"/>
    <w:multiLevelType w:val="multilevel"/>
    <w:tmpl w:val="48B04D8E"/>
    <w:lvl w:ilvl="0" w:tentative="0">
      <w:start w:val="1"/>
      <w:numFmt w:val="decimal"/>
      <w:lvlText w:val="表 %1："/>
      <w:lvlJc w:val="center"/>
      <w:pPr>
        <w:ind w:left="440" w:hanging="440"/>
      </w:pPr>
      <w:rPr>
        <w:rFonts w:hint="eastAsia" w:eastAsia="仿宋_GB2312"/>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4B2043AA"/>
    <w:multiLevelType w:val="multilevel"/>
    <w:tmpl w:val="4B2043AA"/>
    <w:lvl w:ilvl="0" w:tentative="0">
      <w:start w:val="1"/>
      <w:numFmt w:val="decimal"/>
      <w:lvlText w:val="图 %1："/>
      <w:lvlJc w:val="center"/>
      <w:pPr>
        <w:ind w:left="1857" w:hanging="440"/>
      </w:pPr>
      <w:rPr>
        <w:rFonts w:hint="eastAsia" w:eastAsia="仿宋_GB2312"/>
        <w:b/>
        <w:bCs/>
        <w:sz w:val="24"/>
      </w:rPr>
    </w:lvl>
    <w:lvl w:ilvl="1" w:tentative="0">
      <w:start w:val="1"/>
      <w:numFmt w:val="lowerLetter"/>
      <w:lvlText w:val="%2)"/>
      <w:lvlJc w:val="left"/>
      <w:pPr>
        <w:ind w:left="2297" w:hanging="440"/>
      </w:pPr>
    </w:lvl>
    <w:lvl w:ilvl="2" w:tentative="0">
      <w:start w:val="1"/>
      <w:numFmt w:val="lowerRoman"/>
      <w:lvlText w:val="%3."/>
      <w:lvlJc w:val="right"/>
      <w:pPr>
        <w:ind w:left="2737" w:hanging="440"/>
      </w:pPr>
    </w:lvl>
    <w:lvl w:ilvl="3" w:tentative="0">
      <w:start w:val="1"/>
      <w:numFmt w:val="decimal"/>
      <w:lvlText w:val="%4."/>
      <w:lvlJc w:val="left"/>
      <w:pPr>
        <w:ind w:left="3177" w:hanging="440"/>
      </w:pPr>
    </w:lvl>
    <w:lvl w:ilvl="4" w:tentative="0">
      <w:start w:val="1"/>
      <w:numFmt w:val="lowerLetter"/>
      <w:lvlText w:val="%5)"/>
      <w:lvlJc w:val="left"/>
      <w:pPr>
        <w:ind w:left="3617" w:hanging="440"/>
      </w:pPr>
    </w:lvl>
    <w:lvl w:ilvl="5" w:tentative="0">
      <w:start w:val="1"/>
      <w:numFmt w:val="lowerRoman"/>
      <w:lvlText w:val="%6."/>
      <w:lvlJc w:val="right"/>
      <w:pPr>
        <w:ind w:left="4057" w:hanging="440"/>
      </w:pPr>
    </w:lvl>
    <w:lvl w:ilvl="6" w:tentative="0">
      <w:start w:val="1"/>
      <w:numFmt w:val="decimal"/>
      <w:lvlText w:val="%7."/>
      <w:lvlJc w:val="left"/>
      <w:pPr>
        <w:ind w:left="4497" w:hanging="440"/>
      </w:pPr>
    </w:lvl>
    <w:lvl w:ilvl="7" w:tentative="0">
      <w:start w:val="1"/>
      <w:numFmt w:val="lowerLetter"/>
      <w:lvlText w:val="%8)"/>
      <w:lvlJc w:val="left"/>
      <w:pPr>
        <w:ind w:left="4937" w:hanging="440"/>
      </w:pPr>
    </w:lvl>
    <w:lvl w:ilvl="8" w:tentative="0">
      <w:start w:val="1"/>
      <w:numFmt w:val="lowerRoman"/>
      <w:lvlText w:val="%9."/>
      <w:lvlJc w:val="right"/>
      <w:pPr>
        <w:ind w:left="5377" w:hanging="440"/>
      </w:pPr>
    </w:lvl>
  </w:abstractNum>
  <w:abstractNum w:abstractNumId="8">
    <w:nsid w:val="66C73DC8"/>
    <w:multiLevelType w:val="multilevel"/>
    <w:tmpl w:val="66C73DC8"/>
    <w:lvl w:ilvl="0" w:tentative="0">
      <w:start w:val="1"/>
      <w:numFmt w:val="decimal"/>
      <w:lvlText w:val="%1"/>
      <w:lvlJc w:val="left"/>
      <w:pPr>
        <w:ind w:left="432" w:hanging="432"/>
      </w:pPr>
    </w:lvl>
    <w:lvl w:ilvl="1" w:tentative="0">
      <w:start w:val="1"/>
      <w:numFmt w:val="decimal"/>
      <w:lvlText w:val="%1.%2"/>
      <w:lvlJc w:val="left"/>
      <w:pPr>
        <w:ind w:left="576" w:hanging="576"/>
      </w:p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pStyle w:val="5"/>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9">
    <w:nsid w:val="79898A3C"/>
    <w:multiLevelType w:val="singleLevel"/>
    <w:tmpl w:val="79898A3C"/>
    <w:lvl w:ilvl="0" w:tentative="0">
      <w:start w:val="1"/>
      <w:numFmt w:val="decimalEnclosedCircleChinese"/>
      <w:suff w:val="nothing"/>
      <w:lvlText w:val="%1　"/>
      <w:lvlJc w:val="left"/>
      <w:pPr>
        <w:ind w:left="0" w:firstLine="400"/>
      </w:pPr>
      <w:rPr>
        <w:rFonts w:hint="eastAsia"/>
      </w:rPr>
    </w:lvl>
  </w:abstractNum>
  <w:num w:numId="1">
    <w:abstractNumId w:val="8"/>
  </w:num>
  <w:num w:numId="2">
    <w:abstractNumId w:val="4"/>
  </w:num>
  <w:num w:numId="3">
    <w:abstractNumId w:val="2"/>
  </w:num>
  <w:num w:numId="4">
    <w:abstractNumId w:val="6"/>
  </w:num>
  <w:num w:numId="5">
    <w:abstractNumId w:val="7"/>
  </w:num>
  <w:num w:numId="6">
    <w:abstractNumId w:val="9"/>
  </w:num>
  <w:num w:numId="7">
    <w:abstractNumId w:val="1"/>
  </w:num>
  <w:num w:numId="8">
    <w:abstractNumId w:val="3"/>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zc0NTdiZTcwYWMzMDQ3ZTA1NGYzYjA0MWE1YTEifQ=="/>
  </w:docVars>
  <w:rsids>
    <w:rsidRoot w:val="73B7A7B7"/>
    <w:rsid w:val="00003B4D"/>
    <w:rsid w:val="00017D1B"/>
    <w:rsid w:val="000220BB"/>
    <w:rsid w:val="00024D28"/>
    <w:rsid w:val="000303B7"/>
    <w:rsid w:val="00030E31"/>
    <w:rsid w:val="00035C66"/>
    <w:rsid w:val="00052E52"/>
    <w:rsid w:val="0007134C"/>
    <w:rsid w:val="00073710"/>
    <w:rsid w:val="00074843"/>
    <w:rsid w:val="000760C4"/>
    <w:rsid w:val="00077278"/>
    <w:rsid w:val="000A2A87"/>
    <w:rsid w:val="000A73F6"/>
    <w:rsid w:val="000B40C4"/>
    <w:rsid w:val="000C5010"/>
    <w:rsid w:val="000D08C1"/>
    <w:rsid w:val="000D3F29"/>
    <w:rsid w:val="000D5424"/>
    <w:rsid w:val="000E04EC"/>
    <w:rsid w:val="000E39F2"/>
    <w:rsid w:val="000F0717"/>
    <w:rsid w:val="001035FA"/>
    <w:rsid w:val="00103D50"/>
    <w:rsid w:val="001043FC"/>
    <w:rsid w:val="001167D7"/>
    <w:rsid w:val="001169E1"/>
    <w:rsid w:val="00120B4C"/>
    <w:rsid w:val="00120ECF"/>
    <w:rsid w:val="0012246C"/>
    <w:rsid w:val="00143675"/>
    <w:rsid w:val="001446F6"/>
    <w:rsid w:val="0014608C"/>
    <w:rsid w:val="0015730A"/>
    <w:rsid w:val="001604A6"/>
    <w:rsid w:val="00161D8B"/>
    <w:rsid w:val="0016561C"/>
    <w:rsid w:val="001674D8"/>
    <w:rsid w:val="00170E4E"/>
    <w:rsid w:val="00183BA9"/>
    <w:rsid w:val="001849AB"/>
    <w:rsid w:val="001972D7"/>
    <w:rsid w:val="001A7958"/>
    <w:rsid w:val="001B27A1"/>
    <w:rsid w:val="001B28FA"/>
    <w:rsid w:val="001B3963"/>
    <w:rsid w:val="001B40C3"/>
    <w:rsid w:val="001B5864"/>
    <w:rsid w:val="001C5626"/>
    <w:rsid w:val="001D3FF2"/>
    <w:rsid w:val="001E133F"/>
    <w:rsid w:val="001F7B32"/>
    <w:rsid w:val="00205CD8"/>
    <w:rsid w:val="00205F87"/>
    <w:rsid w:val="00206769"/>
    <w:rsid w:val="00207E38"/>
    <w:rsid w:val="00214D92"/>
    <w:rsid w:val="002215B4"/>
    <w:rsid w:val="00223713"/>
    <w:rsid w:val="00225179"/>
    <w:rsid w:val="00225C58"/>
    <w:rsid w:val="00225F52"/>
    <w:rsid w:val="0023396E"/>
    <w:rsid w:val="0024208F"/>
    <w:rsid w:val="00247C9C"/>
    <w:rsid w:val="00247ECD"/>
    <w:rsid w:val="00250FE8"/>
    <w:rsid w:val="002542C0"/>
    <w:rsid w:val="002576AE"/>
    <w:rsid w:val="00257870"/>
    <w:rsid w:val="002708E3"/>
    <w:rsid w:val="00270C4F"/>
    <w:rsid w:val="00271350"/>
    <w:rsid w:val="002754AC"/>
    <w:rsid w:val="00276F85"/>
    <w:rsid w:val="00281D1C"/>
    <w:rsid w:val="00285998"/>
    <w:rsid w:val="00286116"/>
    <w:rsid w:val="002A47BA"/>
    <w:rsid w:val="002A59BF"/>
    <w:rsid w:val="002B028F"/>
    <w:rsid w:val="002B2557"/>
    <w:rsid w:val="002D611E"/>
    <w:rsid w:val="002D710C"/>
    <w:rsid w:val="002E5EDA"/>
    <w:rsid w:val="00326C63"/>
    <w:rsid w:val="00337A2F"/>
    <w:rsid w:val="00344143"/>
    <w:rsid w:val="00356701"/>
    <w:rsid w:val="00361367"/>
    <w:rsid w:val="00364AAE"/>
    <w:rsid w:val="0036726D"/>
    <w:rsid w:val="00381954"/>
    <w:rsid w:val="00381F6F"/>
    <w:rsid w:val="00390994"/>
    <w:rsid w:val="003A00C3"/>
    <w:rsid w:val="003A72D9"/>
    <w:rsid w:val="003B2392"/>
    <w:rsid w:val="003E22C2"/>
    <w:rsid w:val="003E54CE"/>
    <w:rsid w:val="003F12B7"/>
    <w:rsid w:val="003F74BD"/>
    <w:rsid w:val="00402F77"/>
    <w:rsid w:val="0040343F"/>
    <w:rsid w:val="00405F89"/>
    <w:rsid w:val="00413ED9"/>
    <w:rsid w:val="00414DD7"/>
    <w:rsid w:val="00426FF7"/>
    <w:rsid w:val="00436180"/>
    <w:rsid w:val="004462BD"/>
    <w:rsid w:val="00447D91"/>
    <w:rsid w:val="00454BE6"/>
    <w:rsid w:val="00461C13"/>
    <w:rsid w:val="0046500C"/>
    <w:rsid w:val="0047273A"/>
    <w:rsid w:val="004802A0"/>
    <w:rsid w:val="004823F0"/>
    <w:rsid w:val="0048438D"/>
    <w:rsid w:val="0048741C"/>
    <w:rsid w:val="004876BD"/>
    <w:rsid w:val="004933D7"/>
    <w:rsid w:val="00497FF6"/>
    <w:rsid w:val="004A0F37"/>
    <w:rsid w:val="004A0FFB"/>
    <w:rsid w:val="004A75BD"/>
    <w:rsid w:val="004B7738"/>
    <w:rsid w:val="004C140C"/>
    <w:rsid w:val="004C3AB8"/>
    <w:rsid w:val="004D07AB"/>
    <w:rsid w:val="004D2B06"/>
    <w:rsid w:val="004D3E16"/>
    <w:rsid w:val="004E7CF2"/>
    <w:rsid w:val="004F2399"/>
    <w:rsid w:val="004F66A2"/>
    <w:rsid w:val="004F6953"/>
    <w:rsid w:val="00501577"/>
    <w:rsid w:val="00501E05"/>
    <w:rsid w:val="0050638A"/>
    <w:rsid w:val="00515606"/>
    <w:rsid w:val="00520277"/>
    <w:rsid w:val="00525793"/>
    <w:rsid w:val="00533B19"/>
    <w:rsid w:val="0054773F"/>
    <w:rsid w:val="0055459E"/>
    <w:rsid w:val="00564FED"/>
    <w:rsid w:val="00565F28"/>
    <w:rsid w:val="00575CFF"/>
    <w:rsid w:val="005801D2"/>
    <w:rsid w:val="005803C2"/>
    <w:rsid w:val="00581331"/>
    <w:rsid w:val="00585357"/>
    <w:rsid w:val="00586AED"/>
    <w:rsid w:val="005878D9"/>
    <w:rsid w:val="00590420"/>
    <w:rsid w:val="005A0A17"/>
    <w:rsid w:val="005A6A55"/>
    <w:rsid w:val="005B271F"/>
    <w:rsid w:val="005C0BCB"/>
    <w:rsid w:val="005C0DD2"/>
    <w:rsid w:val="005D3E5B"/>
    <w:rsid w:val="005E1A65"/>
    <w:rsid w:val="005E32F5"/>
    <w:rsid w:val="005E3873"/>
    <w:rsid w:val="005E4352"/>
    <w:rsid w:val="005E4B6D"/>
    <w:rsid w:val="005E55B5"/>
    <w:rsid w:val="005E75B1"/>
    <w:rsid w:val="005F6875"/>
    <w:rsid w:val="005F7C2F"/>
    <w:rsid w:val="00600124"/>
    <w:rsid w:val="00601586"/>
    <w:rsid w:val="006053AA"/>
    <w:rsid w:val="006124A6"/>
    <w:rsid w:val="00617443"/>
    <w:rsid w:val="006247DF"/>
    <w:rsid w:val="006351B7"/>
    <w:rsid w:val="006360AF"/>
    <w:rsid w:val="0065191F"/>
    <w:rsid w:val="00657D17"/>
    <w:rsid w:val="00664D57"/>
    <w:rsid w:val="00671BF6"/>
    <w:rsid w:val="0068381F"/>
    <w:rsid w:val="006842A7"/>
    <w:rsid w:val="006904E2"/>
    <w:rsid w:val="00696C9D"/>
    <w:rsid w:val="006A58AF"/>
    <w:rsid w:val="006B2408"/>
    <w:rsid w:val="006C2737"/>
    <w:rsid w:val="006C2F93"/>
    <w:rsid w:val="006D2633"/>
    <w:rsid w:val="006D2849"/>
    <w:rsid w:val="006D517A"/>
    <w:rsid w:val="006D6AEA"/>
    <w:rsid w:val="006E2119"/>
    <w:rsid w:val="006E3543"/>
    <w:rsid w:val="006E5609"/>
    <w:rsid w:val="006F21E0"/>
    <w:rsid w:val="00733876"/>
    <w:rsid w:val="007354D7"/>
    <w:rsid w:val="007401E1"/>
    <w:rsid w:val="007426A5"/>
    <w:rsid w:val="00742BA4"/>
    <w:rsid w:val="00743F88"/>
    <w:rsid w:val="00752B7D"/>
    <w:rsid w:val="00761D13"/>
    <w:rsid w:val="00762448"/>
    <w:rsid w:val="0076352A"/>
    <w:rsid w:val="00765A85"/>
    <w:rsid w:val="00781772"/>
    <w:rsid w:val="0078278E"/>
    <w:rsid w:val="00786CB3"/>
    <w:rsid w:val="00793209"/>
    <w:rsid w:val="00795687"/>
    <w:rsid w:val="007B6156"/>
    <w:rsid w:val="007B7D4E"/>
    <w:rsid w:val="007B7DA3"/>
    <w:rsid w:val="007C14AB"/>
    <w:rsid w:val="007C3EA0"/>
    <w:rsid w:val="007C796B"/>
    <w:rsid w:val="007D1386"/>
    <w:rsid w:val="007D5A98"/>
    <w:rsid w:val="007E0C4A"/>
    <w:rsid w:val="007E2080"/>
    <w:rsid w:val="007F0247"/>
    <w:rsid w:val="007F70A6"/>
    <w:rsid w:val="00806E6F"/>
    <w:rsid w:val="00815DA9"/>
    <w:rsid w:val="0082267E"/>
    <w:rsid w:val="00827FB9"/>
    <w:rsid w:val="00831213"/>
    <w:rsid w:val="00831EDA"/>
    <w:rsid w:val="00832318"/>
    <w:rsid w:val="008367D4"/>
    <w:rsid w:val="00844E27"/>
    <w:rsid w:val="0085056A"/>
    <w:rsid w:val="008506E0"/>
    <w:rsid w:val="00852DFA"/>
    <w:rsid w:val="00855C1E"/>
    <w:rsid w:val="00855CEA"/>
    <w:rsid w:val="008779EF"/>
    <w:rsid w:val="00881AE2"/>
    <w:rsid w:val="00883A38"/>
    <w:rsid w:val="008A3C24"/>
    <w:rsid w:val="008A73D1"/>
    <w:rsid w:val="008A7AD5"/>
    <w:rsid w:val="008B11B7"/>
    <w:rsid w:val="008B12FB"/>
    <w:rsid w:val="008B613D"/>
    <w:rsid w:val="008C23C0"/>
    <w:rsid w:val="008C68E3"/>
    <w:rsid w:val="008C7B65"/>
    <w:rsid w:val="008D05B5"/>
    <w:rsid w:val="008D4774"/>
    <w:rsid w:val="008D5DD7"/>
    <w:rsid w:val="008E09A0"/>
    <w:rsid w:val="008E30AD"/>
    <w:rsid w:val="008F48DB"/>
    <w:rsid w:val="008F5A31"/>
    <w:rsid w:val="008F72AE"/>
    <w:rsid w:val="0090077A"/>
    <w:rsid w:val="00914E6A"/>
    <w:rsid w:val="00925A32"/>
    <w:rsid w:val="00932F5C"/>
    <w:rsid w:val="0093455A"/>
    <w:rsid w:val="00935543"/>
    <w:rsid w:val="00935A29"/>
    <w:rsid w:val="009437D7"/>
    <w:rsid w:val="00943A1A"/>
    <w:rsid w:val="009565B4"/>
    <w:rsid w:val="00960CE5"/>
    <w:rsid w:val="009627ED"/>
    <w:rsid w:val="00970DE5"/>
    <w:rsid w:val="00971285"/>
    <w:rsid w:val="009768EE"/>
    <w:rsid w:val="009769C9"/>
    <w:rsid w:val="00980251"/>
    <w:rsid w:val="009802CE"/>
    <w:rsid w:val="00984A23"/>
    <w:rsid w:val="00995404"/>
    <w:rsid w:val="009A2D52"/>
    <w:rsid w:val="009B1C3A"/>
    <w:rsid w:val="009C354D"/>
    <w:rsid w:val="009C5364"/>
    <w:rsid w:val="009C61E0"/>
    <w:rsid w:val="009C7B0E"/>
    <w:rsid w:val="009D2789"/>
    <w:rsid w:val="009E4B44"/>
    <w:rsid w:val="009E6946"/>
    <w:rsid w:val="009F071A"/>
    <w:rsid w:val="009F6184"/>
    <w:rsid w:val="00A04AFA"/>
    <w:rsid w:val="00A13709"/>
    <w:rsid w:val="00A13775"/>
    <w:rsid w:val="00A13949"/>
    <w:rsid w:val="00A22C3B"/>
    <w:rsid w:val="00A30DFA"/>
    <w:rsid w:val="00A422A0"/>
    <w:rsid w:val="00A426EA"/>
    <w:rsid w:val="00A43C24"/>
    <w:rsid w:val="00A47109"/>
    <w:rsid w:val="00A50B1D"/>
    <w:rsid w:val="00A5365C"/>
    <w:rsid w:val="00A5768F"/>
    <w:rsid w:val="00A6728A"/>
    <w:rsid w:val="00A67EF5"/>
    <w:rsid w:val="00A73C45"/>
    <w:rsid w:val="00A75A4A"/>
    <w:rsid w:val="00A77A9A"/>
    <w:rsid w:val="00A86312"/>
    <w:rsid w:val="00A87A17"/>
    <w:rsid w:val="00A900F5"/>
    <w:rsid w:val="00A92EFF"/>
    <w:rsid w:val="00A96238"/>
    <w:rsid w:val="00AA368E"/>
    <w:rsid w:val="00AA7909"/>
    <w:rsid w:val="00AB229B"/>
    <w:rsid w:val="00AB6BC1"/>
    <w:rsid w:val="00AC0306"/>
    <w:rsid w:val="00AC2488"/>
    <w:rsid w:val="00AE1B4C"/>
    <w:rsid w:val="00AE5443"/>
    <w:rsid w:val="00AF13E9"/>
    <w:rsid w:val="00AF2370"/>
    <w:rsid w:val="00AF4FE5"/>
    <w:rsid w:val="00B01F22"/>
    <w:rsid w:val="00B159DA"/>
    <w:rsid w:val="00B16B74"/>
    <w:rsid w:val="00B207FD"/>
    <w:rsid w:val="00B210B4"/>
    <w:rsid w:val="00B2143B"/>
    <w:rsid w:val="00B2216F"/>
    <w:rsid w:val="00B26151"/>
    <w:rsid w:val="00B26D96"/>
    <w:rsid w:val="00B3226A"/>
    <w:rsid w:val="00B33EC7"/>
    <w:rsid w:val="00B35E39"/>
    <w:rsid w:val="00B365E2"/>
    <w:rsid w:val="00B44D21"/>
    <w:rsid w:val="00B56B56"/>
    <w:rsid w:val="00B742A9"/>
    <w:rsid w:val="00B7590C"/>
    <w:rsid w:val="00B83A9E"/>
    <w:rsid w:val="00B85207"/>
    <w:rsid w:val="00B933D0"/>
    <w:rsid w:val="00B93468"/>
    <w:rsid w:val="00B949D7"/>
    <w:rsid w:val="00BA33F6"/>
    <w:rsid w:val="00BB69F1"/>
    <w:rsid w:val="00BE3F6B"/>
    <w:rsid w:val="00BF0C8D"/>
    <w:rsid w:val="00C01E30"/>
    <w:rsid w:val="00C02011"/>
    <w:rsid w:val="00C02CCD"/>
    <w:rsid w:val="00C030A2"/>
    <w:rsid w:val="00C05B77"/>
    <w:rsid w:val="00C07953"/>
    <w:rsid w:val="00C1649B"/>
    <w:rsid w:val="00C263EC"/>
    <w:rsid w:val="00C30951"/>
    <w:rsid w:val="00C33903"/>
    <w:rsid w:val="00C40ACB"/>
    <w:rsid w:val="00C41CD5"/>
    <w:rsid w:val="00C4349E"/>
    <w:rsid w:val="00C50FE7"/>
    <w:rsid w:val="00C62EF7"/>
    <w:rsid w:val="00C65D70"/>
    <w:rsid w:val="00C77BF3"/>
    <w:rsid w:val="00C82946"/>
    <w:rsid w:val="00C83913"/>
    <w:rsid w:val="00C86BE3"/>
    <w:rsid w:val="00C86F1C"/>
    <w:rsid w:val="00CA3A7B"/>
    <w:rsid w:val="00CA4D6A"/>
    <w:rsid w:val="00CA5BF8"/>
    <w:rsid w:val="00CB0A13"/>
    <w:rsid w:val="00CB5518"/>
    <w:rsid w:val="00CB7971"/>
    <w:rsid w:val="00CC17B6"/>
    <w:rsid w:val="00CC3106"/>
    <w:rsid w:val="00CC4D8A"/>
    <w:rsid w:val="00CD1385"/>
    <w:rsid w:val="00CD1E92"/>
    <w:rsid w:val="00CD32BF"/>
    <w:rsid w:val="00CD42D7"/>
    <w:rsid w:val="00CE0A0F"/>
    <w:rsid w:val="00CE510C"/>
    <w:rsid w:val="00CE641E"/>
    <w:rsid w:val="00CF2DC2"/>
    <w:rsid w:val="00D0203C"/>
    <w:rsid w:val="00D02E89"/>
    <w:rsid w:val="00D0634A"/>
    <w:rsid w:val="00D11388"/>
    <w:rsid w:val="00D27842"/>
    <w:rsid w:val="00D33C82"/>
    <w:rsid w:val="00D431A9"/>
    <w:rsid w:val="00D505A9"/>
    <w:rsid w:val="00D54E35"/>
    <w:rsid w:val="00D62E1B"/>
    <w:rsid w:val="00D674E1"/>
    <w:rsid w:val="00D70068"/>
    <w:rsid w:val="00D70C87"/>
    <w:rsid w:val="00D77EF1"/>
    <w:rsid w:val="00D85297"/>
    <w:rsid w:val="00D906DF"/>
    <w:rsid w:val="00D90D1C"/>
    <w:rsid w:val="00D91879"/>
    <w:rsid w:val="00DA01A9"/>
    <w:rsid w:val="00DA68B7"/>
    <w:rsid w:val="00DB6313"/>
    <w:rsid w:val="00DB6B2C"/>
    <w:rsid w:val="00DC1315"/>
    <w:rsid w:val="00DC493A"/>
    <w:rsid w:val="00DC6F1A"/>
    <w:rsid w:val="00DD1F14"/>
    <w:rsid w:val="00DD45AC"/>
    <w:rsid w:val="00DD68A3"/>
    <w:rsid w:val="00DD723B"/>
    <w:rsid w:val="00DE0427"/>
    <w:rsid w:val="00DE2081"/>
    <w:rsid w:val="00DF378A"/>
    <w:rsid w:val="00DF4365"/>
    <w:rsid w:val="00DF7AD3"/>
    <w:rsid w:val="00E0116D"/>
    <w:rsid w:val="00E06421"/>
    <w:rsid w:val="00E1367C"/>
    <w:rsid w:val="00E1538A"/>
    <w:rsid w:val="00E217AF"/>
    <w:rsid w:val="00E271E4"/>
    <w:rsid w:val="00E300A4"/>
    <w:rsid w:val="00E37806"/>
    <w:rsid w:val="00E43E0E"/>
    <w:rsid w:val="00E53E4C"/>
    <w:rsid w:val="00E570B4"/>
    <w:rsid w:val="00E61FBA"/>
    <w:rsid w:val="00E67AC7"/>
    <w:rsid w:val="00E77767"/>
    <w:rsid w:val="00E855CA"/>
    <w:rsid w:val="00E8659C"/>
    <w:rsid w:val="00E959FC"/>
    <w:rsid w:val="00EA21C2"/>
    <w:rsid w:val="00EA3F0B"/>
    <w:rsid w:val="00EA54A1"/>
    <w:rsid w:val="00EA6E71"/>
    <w:rsid w:val="00EB0F24"/>
    <w:rsid w:val="00EB3CE5"/>
    <w:rsid w:val="00EB5A42"/>
    <w:rsid w:val="00EC0B2E"/>
    <w:rsid w:val="00EC7BAA"/>
    <w:rsid w:val="00EE62A7"/>
    <w:rsid w:val="00EF0631"/>
    <w:rsid w:val="00EF252F"/>
    <w:rsid w:val="00F00A39"/>
    <w:rsid w:val="00F04340"/>
    <w:rsid w:val="00F1257E"/>
    <w:rsid w:val="00F14BF7"/>
    <w:rsid w:val="00F157C5"/>
    <w:rsid w:val="00F21CF7"/>
    <w:rsid w:val="00F2313A"/>
    <w:rsid w:val="00F27441"/>
    <w:rsid w:val="00F27E58"/>
    <w:rsid w:val="00F30B23"/>
    <w:rsid w:val="00F30BDE"/>
    <w:rsid w:val="00F31388"/>
    <w:rsid w:val="00F313AB"/>
    <w:rsid w:val="00F32AE2"/>
    <w:rsid w:val="00F34485"/>
    <w:rsid w:val="00F40291"/>
    <w:rsid w:val="00F40CFD"/>
    <w:rsid w:val="00F40FFA"/>
    <w:rsid w:val="00F410B3"/>
    <w:rsid w:val="00F46B63"/>
    <w:rsid w:val="00F5279B"/>
    <w:rsid w:val="00F66D13"/>
    <w:rsid w:val="00F71F44"/>
    <w:rsid w:val="00F76E94"/>
    <w:rsid w:val="00F81935"/>
    <w:rsid w:val="00F84F49"/>
    <w:rsid w:val="00F86885"/>
    <w:rsid w:val="00F92CC8"/>
    <w:rsid w:val="00F92D65"/>
    <w:rsid w:val="00F92F9C"/>
    <w:rsid w:val="00FA0C07"/>
    <w:rsid w:val="00FA3EDC"/>
    <w:rsid w:val="00FC0804"/>
    <w:rsid w:val="00FC40D5"/>
    <w:rsid w:val="00FD610A"/>
    <w:rsid w:val="00FF0A82"/>
    <w:rsid w:val="00FF3C46"/>
    <w:rsid w:val="00FF5DC4"/>
    <w:rsid w:val="00FF70BF"/>
    <w:rsid w:val="013C4713"/>
    <w:rsid w:val="01694A9D"/>
    <w:rsid w:val="01C4393F"/>
    <w:rsid w:val="01DF452D"/>
    <w:rsid w:val="025C1016"/>
    <w:rsid w:val="02F80526"/>
    <w:rsid w:val="037924F6"/>
    <w:rsid w:val="040D674A"/>
    <w:rsid w:val="04F532C0"/>
    <w:rsid w:val="05542478"/>
    <w:rsid w:val="057436F0"/>
    <w:rsid w:val="05EF21A1"/>
    <w:rsid w:val="05F522C7"/>
    <w:rsid w:val="060B7CB7"/>
    <w:rsid w:val="06433B1E"/>
    <w:rsid w:val="06891040"/>
    <w:rsid w:val="06E154CF"/>
    <w:rsid w:val="07C5765D"/>
    <w:rsid w:val="093F1EEC"/>
    <w:rsid w:val="09774B07"/>
    <w:rsid w:val="098552F6"/>
    <w:rsid w:val="09ED2E9B"/>
    <w:rsid w:val="0A4872A6"/>
    <w:rsid w:val="0A892BC4"/>
    <w:rsid w:val="0A8E1EF7"/>
    <w:rsid w:val="0AD91159"/>
    <w:rsid w:val="0B4D1E43"/>
    <w:rsid w:val="0B6E3B68"/>
    <w:rsid w:val="0B762D4C"/>
    <w:rsid w:val="0B8B4699"/>
    <w:rsid w:val="0C3A656B"/>
    <w:rsid w:val="0C5953F8"/>
    <w:rsid w:val="0C6A7669"/>
    <w:rsid w:val="0C913FB2"/>
    <w:rsid w:val="0CBE467B"/>
    <w:rsid w:val="0DB40559"/>
    <w:rsid w:val="0DCE572F"/>
    <w:rsid w:val="0DE26BCE"/>
    <w:rsid w:val="0E080793"/>
    <w:rsid w:val="0E253789"/>
    <w:rsid w:val="0E802790"/>
    <w:rsid w:val="0EE91E83"/>
    <w:rsid w:val="0F24110D"/>
    <w:rsid w:val="10173FAB"/>
    <w:rsid w:val="106C2EA2"/>
    <w:rsid w:val="1102722C"/>
    <w:rsid w:val="112F0C64"/>
    <w:rsid w:val="11561FD7"/>
    <w:rsid w:val="11850CAC"/>
    <w:rsid w:val="12B75DF4"/>
    <w:rsid w:val="12D97744"/>
    <w:rsid w:val="12E0534B"/>
    <w:rsid w:val="12F302F8"/>
    <w:rsid w:val="141D25CF"/>
    <w:rsid w:val="14F37495"/>
    <w:rsid w:val="153D4CD7"/>
    <w:rsid w:val="15BA11CE"/>
    <w:rsid w:val="16573587"/>
    <w:rsid w:val="165F5FD9"/>
    <w:rsid w:val="168A6B85"/>
    <w:rsid w:val="169C17D6"/>
    <w:rsid w:val="1702636D"/>
    <w:rsid w:val="17294A30"/>
    <w:rsid w:val="173F7275"/>
    <w:rsid w:val="1740460A"/>
    <w:rsid w:val="17591B70"/>
    <w:rsid w:val="17E4768B"/>
    <w:rsid w:val="188E5849"/>
    <w:rsid w:val="18B375EF"/>
    <w:rsid w:val="18BF73AB"/>
    <w:rsid w:val="18E509A4"/>
    <w:rsid w:val="190B580E"/>
    <w:rsid w:val="19281ADB"/>
    <w:rsid w:val="197B5DCD"/>
    <w:rsid w:val="198D78AF"/>
    <w:rsid w:val="19C109D2"/>
    <w:rsid w:val="19D42307"/>
    <w:rsid w:val="19DC3479"/>
    <w:rsid w:val="1A0F29BA"/>
    <w:rsid w:val="1A5F5E36"/>
    <w:rsid w:val="1A9A77F6"/>
    <w:rsid w:val="1AC13CB4"/>
    <w:rsid w:val="1B061A83"/>
    <w:rsid w:val="1B52442E"/>
    <w:rsid w:val="1B971001"/>
    <w:rsid w:val="1BA14F85"/>
    <w:rsid w:val="1C1B22DE"/>
    <w:rsid w:val="1C26221C"/>
    <w:rsid w:val="1C7E7EEC"/>
    <w:rsid w:val="1CC47A8B"/>
    <w:rsid w:val="1CE617B0"/>
    <w:rsid w:val="1D290F0B"/>
    <w:rsid w:val="1DC43E7C"/>
    <w:rsid w:val="1DFB4829"/>
    <w:rsid w:val="1E3479B6"/>
    <w:rsid w:val="1E566E09"/>
    <w:rsid w:val="1ED0474A"/>
    <w:rsid w:val="1EE9558E"/>
    <w:rsid w:val="1EEEE2A5"/>
    <w:rsid w:val="1EF618DB"/>
    <w:rsid w:val="1F4745D5"/>
    <w:rsid w:val="1F763822"/>
    <w:rsid w:val="1F7A62B3"/>
    <w:rsid w:val="202820DF"/>
    <w:rsid w:val="21260D15"/>
    <w:rsid w:val="219043E0"/>
    <w:rsid w:val="219913AD"/>
    <w:rsid w:val="21BF4CC5"/>
    <w:rsid w:val="21DF4B45"/>
    <w:rsid w:val="23B43D85"/>
    <w:rsid w:val="23CC34AF"/>
    <w:rsid w:val="23CE11F0"/>
    <w:rsid w:val="24124850"/>
    <w:rsid w:val="24EF56F7"/>
    <w:rsid w:val="250C1FD0"/>
    <w:rsid w:val="25B82157"/>
    <w:rsid w:val="25EA5EF1"/>
    <w:rsid w:val="25FE3E4E"/>
    <w:rsid w:val="260B6AEF"/>
    <w:rsid w:val="261509E8"/>
    <w:rsid w:val="267F5F3A"/>
    <w:rsid w:val="27277DCD"/>
    <w:rsid w:val="272D7A0E"/>
    <w:rsid w:val="27862302"/>
    <w:rsid w:val="27AD638E"/>
    <w:rsid w:val="28163846"/>
    <w:rsid w:val="28575D87"/>
    <w:rsid w:val="287E08AB"/>
    <w:rsid w:val="29D86924"/>
    <w:rsid w:val="29E4176D"/>
    <w:rsid w:val="2A0B4F4C"/>
    <w:rsid w:val="2A764071"/>
    <w:rsid w:val="2A9F38E6"/>
    <w:rsid w:val="2B3D1DC1"/>
    <w:rsid w:val="2BCA6CEA"/>
    <w:rsid w:val="2BEB43EA"/>
    <w:rsid w:val="2C1B6A0E"/>
    <w:rsid w:val="2DF3231F"/>
    <w:rsid w:val="2EBF8C93"/>
    <w:rsid w:val="2F157AB7"/>
    <w:rsid w:val="2F385F02"/>
    <w:rsid w:val="2F6F7D2B"/>
    <w:rsid w:val="2F775311"/>
    <w:rsid w:val="2F8F0D73"/>
    <w:rsid w:val="2FED1391"/>
    <w:rsid w:val="2FFF4A37"/>
    <w:rsid w:val="3013704B"/>
    <w:rsid w:val="31480833"/>
    <w:rsid w:val="316919EB"/>
    <w:rsid w:val="31AF08B2"/>
    <w:rsid w:val="31E85B72"/>
    <w:rsid w:val="330764D1"/>
    <w:rsid w:val="334E0D57"/>
    <w:rsid w:val="337C19B0"/>
    <w:rsid w:val="33AD46ED"/>
    <w:rsid w:val="345754AA"/>
    <w:rsid w:val="34844B3D"/>
    <w:rsid w:val="348953D1"/>
    <w:rsid w:val="350E221C"/>
    <w:rsid w:val="35B216F6"/>
    <w:rsid w:val="366F6862"/>
    <w:rsid w:val="367A1A07"/>
    <w:rsid w:val="36BB53EE"/>
    <w:rsid w:val="36D92AC2"/>
    <w:rsid w:val="375241BA"/>
    <w:rsid w:val="37921FC9"/>
    <w:rsid w:val="37AC3523"/>
    <w:rsid w:val="37AC4E1A"/>
    <w:rsid w:val="38281622"/>
    <w:rsid w:val="38325C58"/>
    <w:rsid w:val="38C82B90"/>
    <w:rsid w:val="38D87A7A"/>
    <w:rsid w:val="397A7DBE"/>
    <w:rsid w:val="39CD3D98"/>
    <w:rsid w:val="39DA4BB3"/>
    <w:rsid w:val="39E6508D"/>
    <w:rsid w:val="3A005C49"/>
    <w:rsid w:val="3A457405"/>
    <w:rsid w:val="3A597AE6"/>
    <w:rsid w:val="3A655FB2"/>
    <w:rsid w:val="3BBE5CE5"/>
    <w:rsid w:val="3C69516C"/>
    <w:rsid w:val="3CBE4350"/>
    <w:rsid w:val="3D050153"/>
    <w:rsid w:val="3D894E33"/>
    <w:rsid w:val="3DA7C4D2"/>
    <w:rsid w:val="3DDF0EAF"/>
    <w:rsid w:val="3DE511B8"/>
    <w:rsid w:val="3E0E24CC"/>
    <w:rsid w:val="3E210442"/>
    <w:rsid w:val="3F3F03C8"/>
    <w:rsid w:val="3F4B7136"/>
    <w:rsid w:val="3F715193"/>
    <w:rsid w:val="3FA7338C"/>
    <w:rsid w:val="3FF7987D"/>
    <w:rsid w:val="3FFF584C"/>
    <w:rsid w:val="406E36E7"/>
    <w:rsid w:val="40AB6213"/>
    <w:rsid w:val="40FE1CE1"/>
    <w:rsid w:val="41045F47"/>
    <w:rsid w:val="41BD66D4"/>
    <w:rsid w:val="42D4D756"/>
    <w:rsid w:val="43403393"/>
    <w:rsid w:val="43502225"/>
    <w:rsid w:val="449D0A3E"/>
    <w:rsid w:val="452A0524"/>
    <w:rsid w:val="459B205E"/>
    <w:rsid w:val="45BD5CF8"/>
    <w:rsid w:val="45D911CC"/>
    <w:rsid w:val="462A11C4"/>
    <w:rsid w:val="463B1C33"/>
    <w:rsid w:val="463D7DE3"/>
    <w:rsid w:val="465F02DB"/>
    <w:rsid w:val="474D322E"/>
    <w:rsid w:val="47835CCA"/>
    <w:rsid w:val="47F95F8C"/>
    <w:rsid w:val="482D3E87"/>
    <w:rsid w:val="48A76B43"/>
    <w:rsid w:val="494D2CAE"/>
    <w:rsid w:val="498B14DC"/>
    <w:rsid w:val="4A6A6B40"/>
    <w:rsid w:val="4AAC19DB"/>
    <w:rsid w:val="4B14559C"/>
    <w:rsid w:val="4B205432"/>
    <w:rsid w:val="4BC808B7"/>
    <w:rsid w:val="4BDFDD3B"/>
    <w:rsid w:val="4C080E93"/>
    <w:rsid w:val="4C5B2226"/>
    <w:rsid w:val="4D2F73BB"/>
    <w:rsid w:val="4D483EFF"/>
    <w:rsid w:val="4DF11D3C"/>
    <w:rsid w:val="4DFB55DB"/>
    <w:rsid w:val="4E9DA97A"/>
    <w:rsid w:val="4EA74993"/>
    <w:rsid w:val="4EB4154D"/>
    <w:rsid w:val="4EB63937"/>
    <w:rsid w:val="4F2D5CA5"/>
    <w:rsid w:val="4F774D3D"/>
    <w:rsid w:val="4FEE6330"/>
    <w:rsid w:val="4FF72B1E"/>
    <w:rsid w:val="50A447B3"/>
    <w:rsid w:val="5136033F"/>
    <w:rsid w:val="517837B0"/>
    <w:rsid w:val="5221369E"/>
    <w:rsid w:val="523302EC"/>
    <w:rsid w:val="5280549E"/>
    <w:rsid w:val="528943B0"/>
    <w:rsid w:val="529D10CF"/>
    <w:rsid w:val="52AE2407"/>
    <w:rsid w:val="52CC5FAA"/>
    <w:rsid w:val="534D2933"/>
    <w:rsid w:val="53C81EBB"/>
    <w:rsid w:val="53FA0B3C"/>
    <w:rsid w:val="54384BA9"/>
    <w:rsid w:val="54CB0CB0"/>
    <w:rsid w:val="54F413E0"/>
    <w:rsid w:val="55801A9A"/>
    <w:rsid w:val="55B100EE"/>
    <w:rsid w:val="55E036B5"/>
    <w:rsid w:val="569F2107"/>
    <w:rsid w:val="569FC7E6"/>
    <w:rsid w:val="577EF0C2"/>
    <w:rsid w:val="57871960"/>
    <w:rsid w:val="57DE24EF"/>
    <w:rsid w:val="57DF6AFE"/>
    <w:rsid w:val="57F87D6B"/>
    <w:rsid w:val="589038C0"/>
    <w:rsid w:val="589C308F"/>
    <w:rsid w:val="59E7658C"/>
    <w:rsid w:val="5A20384C"/>
    <w:rsid w:val="5A2C72AA"/>
    <w:rsid w:val="5A663955"/>
    <w:rsid w:val="5A6D35C5"/>
    <w:rsid w:val="5A836E09"/>
    <w:rsid w:val="5A920734"/>
    <w:rsid w:val="5AED7BD2"/>
    <w:rsid w:val="5AF50835"/>
    <w:rsid w:val="5B073B8E"/>
    <w:rsid w:val="5B743E4F"/>
    <w:rsid w:val="5B96524C"/>
    <w:rsid w:val="5BF6B2B5"/>
    <w:rsid w:val="5BF80F65"/>
    <w:rsid w:val="5BFB4A00"/>
    <w:rsid w:val="5BFE4E23"/>
    <w:rsid w:val="5BFF4A0C"/>
    <w:rsid w:val="5C2238AB"/>
    <w:rsid w:val="5C390BF5"/>
    <w:rsid w:val="5C7F763F"/>
    <w:rsid w:val="5C8843AA"/>
    <w:rsid w:val="5C9B0253"/>
    <w:rsid w:val="5CFB267E"/>
    <w:rsid w:val="5DD3A30C"/>
    <w:rsid w:val="5E631F59"/>
    <w:rsid w:val="5F1514A5"/>
    <w:rsid w:val="5F7FA1A8"/>
    <w:rsid w:val="5F8C3EEF"/>
    <w:rsid w:val="5FBDCDA5"/>
    <w:rsid w:val="603A28F2"/>
    <w:rsid w:val="60934C08"/>
    <w:rsid w:val="60940AAA"/>
    <w:rsid w:val="609D0DA5"/>
    <w:rsid w:val="60B92683"/>
    <w:rsid w:val="61347B57"/>
    <w:rsid w:val="62322F36"/>
    <w:rsid w:val="625B5145"/>
    <w:rsid w:val="63225184"/>
    <w:rsid w:val="64414AEB"/>
    <w:rsid w:val="64F14763"/>
    <w:rsid w:val="65157F39"/>
    <w:rsid w:val="65AC9CDC"/>
    <w:rsid w:val="66B617C0"/>
    <w:rsid w:val="66CB567B"/>
    <w:rsid w:val="677703E2"/>
    <w:rsid w:val="67B848ED"/>
    <w:rsid w:val="67C32EEC"/>
    <w:rsid w:val="682D2DDD"/>
    <w:rsid w:val="683B309A"/>
    <w:rsid w:val="68C006D4"/>
    <w:rsid w:val="68E66A58"/>
    <w:rsid w:val="68F54D7B"/>
    <w:rsid w:val="69063947"/>
    <w:rsid w:val="69647615"/>
    <w:rsid w:val="697728F1"/>
    <w:rsid w:val="69D913FC"/>
    <w:rsid w:val="69EB1AD3"/>
    <w:rsid w:val="6A671445"/>
    <w:rsid w:val="6A681929"/>
    <w:rsid w:val="6A9C3D1D"/>
    <w:rsid w:val="6ABC4B78"/>
    <w:rsid w:val="6B1B6095"/>
    <w:rsid w:val="6B3D24C4"/>
    <w:rsid w:val="6B9F6960"/>
    <w:rsid w:val="6CAA1305"/>
    <w:rsid w:val="6CD26C28"/>
    <w:rsid w:val="6D9B16B4"/>
    <w:rsid w:val="6DDB7E72"/>
    <w:rsid w:val="6DFFFF06"/>
    <w:rsid w:val="6E711CF1"/>
    <w:rsid w:val="6EBD0F25"/>
    <w:rsid w:val="6EC04CF1"/>
    <w:rsid w:val="6EC7692F"/>
    <w:rsid w:val="6ECF1DE5"/>
    <w:rsid w:val="6ED67FE9"/>
    <w:rsid w:val="6EE9019B"/>
    <w:rsid w:val="6EEE3AC1"/>
    <w:rsid w:val="6EEF6B4F"/>
    <w:rsid w:val="6EFAE8FC"/>
    <w:rsid w:val="6F2F7B2C"/>
    <w:rsid w:val="6F7E589F"/>
    <w:rsid w:val="6F7E8D7B"/>
    <w:rsid w:val="6FDB447A"/>
    <w:rsid w:val="6FF3EFC6"/>
    <w:rsid w:val="6FF69BA5"/>
    <w:rsid w:val="6FFC4540"/>
    <w:rsid w:val="6FFD5D67"/>
    <w:rsid w:val="704936A5"/>
    <w:rsid w:val="7153093F"/>
    <w:rsid w:val="715C11B6"/>
    <w:rsid w:val="7201004E"/>
    <w:rsid w:val="72025817"/>
    <w:rsid w:val="728C2CDE"/>
    <w:rsid w:val="728D1CE2"/>
    <w:rsid w:val="72A9042B"/>
    <w:rsid w:val="737A5D78"/>
    <w:rsid w:val="73B7A7B7"/>
    <w:rsid w:val="73E3935A"/>
    <w:rsid w:val="73F3DBE5"/>
    <w:rsid w:val="74251D33"/>
    <w:rsid w:val="74A72748"/>
    <w:rsid w:val="74B925C0"/>
    <w:rsid w:val="74BA1559"/>
    <w:rsid w:val="75574608"/>
    <w:rsid w:val="755E6481"/>
    <w:rsid w:val="756E0F82"/>
    <w:rsid w:val="75EE91AC"/>
    <w:rsid w:val="760F4A49"/>
    <w:rsid w:val="766905FD"/>
    <w:rsid w:val="768317F7"/>
    <w:rsid w:val="769F6EE1"/>
    <w:rsid w:val="76BF8BAA"/>
    <w:rsid w:val="76F36118"/>
    <w:rsid w:val="775BA822"/>
    <w:rsid w:val="77623AA6"/>
    <w:rsid w:val="776E3E87"/>
    <w:rsid w:val="77770943"/>
    <w:rsid w:val="777D2077"/>
    <w:rsid w:val="77B358A8"/>
    <w:rsid w:val="77DF025A"/>
    <w:rsid w:val="77E944D1"/>
    <w:rsid w:val="77F84AA4"/>
    <w:rsid w:val="77FCBFF3"/>
    <w:rsid w:val="782352B6"/>
    <w:rsid w:val="786E7918"/>
    <w:rsid w:val="78CC611F"/>
    <w:rsid w:val="78D45AD6"/>
    <w:rsid w:val="78F873AB"/>
    <w:rsid w:val="799C2A97"/>
    <w:rsid w:val="79B91AAF"/>
    <w:rsid w:val="79ED32F3"/>
    <w:rsid w:val="79F78C44"/>
    <w:rsid w:val="7A1C1BDB"/>
    <w:rsid w:val="7A1DCC5A"/>
    <w:rsid w:val="7A690BF0"/>
    <w:rsid w:val="7A8D281D"/>
    <w:rsid w:val="7AA02A19"/>
    <w:rsid w:val="7ADB75EF"/>
    <w:rsid w:val="7AFC1353"/>
    <w:rsid w:val="7AFFD280"/>
    <w:rsid w:val="7B36ABAB"/>
    <w:rsid w:val="7B424A41"/>
    <w:rsid w:val="7B710BAB"/>
    <w:rsid w:val="7B7FA6E4"/>
    <w:rsid w:val="7BDBB883"/>
    <w:rsid w:val="7BDFE69F"/>
    <w:rsid w:val="7BFF7D91"/>
    <w:rsid w:val="7C036DFE"/>
    <w:rsid w:val="7C1F751D"/>
    <w:rsid w:val="7CBF51DA"/>
    <w:rsid w:val="7D0401DC"/>
    <w:rsid w:val="7D0841C5"/>
    <w:rsid w:val="7D98357E"/>
    <w:rsid w:val="7DB250E6"/>
    <w:rsid w:val="7DF1457A"/>
    <w:rsid w:val="7DFE0223"/>
    <w:rsid w:val="7E4773D3"/>
    <w:rsid w:val="7E5C45A3"/>
    <w:rsid w:val="7E5D6A18"/>
    <w:rsid w:val="7E682A39"/>
    <w:rsid w:val="7F575C61"/>
    <w:rsid w:val="7F69588B"/>
    <w:rsid w:val="7F6FECAC"/>
    <w:rsid w:val="7F77D0F3"/>
    <w:rsid w:val="7F7CFC31"/>
    <w:rsid w:val="7F7E08FC"/>
    <w:rsid w:val="7F7F30D2"/>
    <w:rsid w:val="7F7F761B"/>
    <w:rsid w:val="7F9C434E"/>
    <w:rsid w:val="7FBBA2F5"/>
    <w:rsid w:val="7FDD8456"/>
    <w:rsid w:val="7FF7B9A7"/>
    <w:rsid w:val="7FFDA109"/>
    <w:rsid w:val="7FFE69B1"/>
    <w:rsid w:val="7FFF5903"/>
    <w:rsid w:val="87CD8513"/>
    <w:rsid w:val="9B37CECA"/>
    <w:rsid w:val="9DFF8225"/>
    <w:rsid w:val="A3DCBF77"/>
    <w:rsid w:val="A6DFC3FB"/>
    <w:rsid w:val="AA253459"/>
    <w:rsid w:val="ABAD2E92"/>
    <w:rsid w:val="B5EFBD21"/>
    <w:rsid w:val="B5F19F00"/>
    <w:rsid w:val="B67FEF59"/>
    <w:rsid w:val="B6FFE0CA"/>
    <w:rsid w:val="B71D0537"/>
    <w:rsid w:val="B9C44705"/>
    <w:rsid w:val="BB3F88E3"/>
    <w:rsid w:val="BB7AF5A8"/>
    <w:rsid w:val="BDCF7B47"/>
    <w:rsid w:val="BE5A95B6"/>
    <w:rsid w:val="BF5338EE"/>
    <w:rsid w:val="BF8BF5BC"/>
    <w:rsid w:val="BF9F4B33"/>
    <w:rsid w:val="BFFECE44"/>
    <w:rsid w:val="CB6576CB"/>
    <w:rsid w:val="CD9A997D"/>
    <w:rsid w:val="CEAF4463"/>
    <w:rsid w:val="CFEF5CEA"/>
    <w:rsid w:val="CFF55CB8"/>
    <w:rsid w:val="D0F7DA2C"/>
    <w:rsid w:val="D6D94025"/>
    <w:rsid w:val="D77E2797"/>
    <w:rsid w:val="D7F128DF"/>
    <w:rsid w:val="D7F729D2"/>
    <w:rsid w:val="D9DF0B7F"/>
    <w:rsid w:val="D9F7217E"/>
    <w:rsid w:val="D9FF717B"/>
    <w:rsid w:val="DAFD8940"/>
    <w:rsid w:val="DBE6534C"/>
    <w:rsid w:val="DBEDBF24"/>
    <w:rsid w:val="DBF60AB9"/>
    <w:rsid w:val="DBFB9C34"/>
    <w:rsid w:val="DBFFFC24"/>
    <w:rsid w:val="DD7E514B"/>
    <w:rsid w:val="DED71A95"/>
    <w:rsid w:val="DF7F55A9"/>
    <w:rsid w:val="DFDF7E9D"/>
    <w:rsid w:val="DFFB43AC"/>
    <w:rsid w:val="DFFF0290"/>
    <w:rsid w:val="E16F176D"/>
    <w:rsid w:val="E2FF8584"/>
    <w:rsid w:val="E3FF4225"/>
    <w:rsid w:val="E97FA192"/>
    <w:rsid w:val="EAFFAEA7"/>
    <w:rsid w:val="EAFFE714"/>
    <w:rsid w:val="EBEA484D"/>
    <w:rsid w:val="EF77A63C"/>
    <w:rsid w:val="EF7A5E0B"/>
    <w:rsid w:val="EF7BD232"/>
    <w:rsid w:val="EFBA1931"/>
    <w:rsid w:val="EFC8F3F0"/>
    <w:rsid w:val="EFCDDCDA"/>
    <w:rsid w:val="EFCF7421"/>
    <w:rsid w:val="EFEB3401"/>
    <w:rsid w:val="EFFB263C"/>
    <w:rsid w:val="EFFBD77B"/>
    <w:rsid w:val="F21F6D05"/>
    <w:rsid w:val="F2FF9DAB"/>
    <w:rsid w:val="F3FB601B"/>
    <w:rsid w:val="F597099B"/>
    <w:rsid w:val="F6D5E14D"/>
    <w:rsid w:val="F74F821C"/>
    <w:rsid w:val="F78D8586"/>
    <w:rsid w:val="F7FDB789"/>
    <w:rsid w:val="F7FEFE05"/>
    <w:rsid w:val="F8E6B0A0"/>
    <w:rsid w:val="F8F78572"/>
    <w:rsid w:val="FA7F395A"/>
    <w:rsid w:val="FAF6A9F8"/>
    <w:rsid w:val="FBFFBA83"/>
    <w:rsid w:val="FC6F11A1"/>
    <w:rsid w:val="FC758184"/>
    <w:rsid w:val="FC7F37B5"/>
    <w:rsid w:val="FCD76C4E"/>
    <w:rsid w:val="FD7F582D"/>
    <w:rsid w:val="FDB743D9"/>
    <w:rsid w:val="FDEF1DAF"/>
    <w:rsid w:val="FDEF34A2"/>
    <w:rsid w:val="FDF711F4"/>
    <w:rsid w:val="FE306301"/>
    <w:rsid w:val="FE471DEF"/>
    <w:rsid w:val="FE69F0D4"/>
    <w:rsid w:val="FEAB99F9"/>
    <w:rsid w:val="FEB544C5"/>
    <w:rsid w:val="FEE4C4D3"/>
    <w:rsid w:val="FEF95984"/>
    <w:rsid w:val="FEFAA1D4"/>
    <w:rsid w:val="FEFC068A"/>
    <w:rsid w:val="FF17FDB3"/>
    <w:rsid w:val="FF5FD206"/>
    <w:rsid w:val="FF6D3BB2"/>
    <w:rsid w:val="FF7636B5"/>
    <w:rsid w:val="FFAA923A"/>
    <w:rsid w:val="FFADCA12"/>
    <w:rsid w:val="FFBB4710"/>
    <w:rsid w:val="FFDFA9A9"/>
    <w:rsid w:val="FFEFD211"/>
    <w:rsid w:val="FFF77FBA"/>
    <w:rsid w:val="FFFF62E4"/>
    <w:rsid w:val="FFFFDA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EastAsia" w:cstheme="minorBidi"/>
      <w:sz w:val="22"/>
      <w:szCs w:val="22"/>
      <w:lang w:val="en-US" w:eastAsia="zh-CN" w:bidi="ar-SA"/>
    </w:rPr>
  </w:style>
  <w:style w:type="paragraph" w:styleId="4">
    <w:name w:val="heading 1"/>
    <w:basedOn w:val="1"/>
    <w:next w:val="1"/>
    <w:qFormat/>
    <w:uiPriority w:val="0"/>
    <w:pPr>
      <w:spacing w:beforeAutospacing="1" w:after="0" w:afterAutospacing="1"/>
      <w:outlineLvl w:val="0"/>
    </w:pPr>
    <w:rPr>
      <w:rFonts w:hint="eastAsia" w:ascii="宋体" w:hAnsi="宋体" w:eastAsia="宋体" w:cs="Times New Roman"/>
      <w:b/>
      <w:bCs/>
      <w:kern w:val="44"/>
      <w:sz w:val="48"/>
      <w:szCs w:val="48"/>
    </w:rPr>
  </w:style>
  <w:style w:type="paragraph" w:styleId="5">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outlineLvl w:val="4"/>
    </w:pPr>
    <w:rPr>
      <w:b/>
      <w:sz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ind w:firstLine="640" w:firstLineChars="200"/>
    </w:pPr>
    <w:rPr>
      <w:rFonts w:ascii="仿宋_GB2312"/>
    </w:rPr>
  </w:style>
  <w:style w:type="paragraph" w:styleId="6">
    <w:name w:val="annotation text"/>
    <w:basedOn w:val="1"/>
    <w:link w:val="27"/>
    <w:unhideWhenUsed/>
    <w:qFormat/>
    <w:uiPriority w:val="0"/>
  </w:style>
  <w:style w:type="paragraph" w:styleId="7">
    <w:name w:val="Body Text"/>
    <w:basedOn w:val="1"/>
    <w:next w:val="8"/>
    <w:qFormat/>
    <w:uiPriority w:val="0"/>
  </w:style>
  <w:style w:type="paragraph" w:styleId="8">
    <w:name w:val="Title"/>
    <w:basedOn w:val="1"/>
    <w:next w:val="1"/>
    <w:qFormat/>
    <w:uiPriority w:val="10"/>
    <w:pPr>
      <w:keepLines/>
      <w:adjustRightInd w:val="0"/>
      <w:snapToGrid w:val="0"/>
      <w:spacing w:line="596" w:lineRule="exact"/>
      <w:jc w:val="center"/>
      <w:outlineLvl w:val="0"/>
    </w:pPr>
    <w:rPr>
      <w:rFonts w:ascii="Times New Roman" w:hAnsi="Times New Roman" w:eastAsia="华文中宋"/>
      <w:b/>
      <w:bCs/>
      <w:sz w:val="42"/>
      <w:szCs w:val="32"/>
    </w:rPr>
  </w:style>
  <w:style w:type="paragraph" w:styleId="9">
    <w:name w:val="Balloon Text"/>
    <w:basedOn w:val="1"/>
    <w:link w:val="31"/>
    <w:qFormat/>
    <w:uiPriority w:val="0"/>
    <w:pPr>
      <w:spacing w:after="0" w:line="240" w:lineRule="auto"/>
    </w:pPr>
    <w:rPr>
      <w:sz w:val="18"/>
      <w:szCs w:val="18"/>
    </w:rPr>
  </w:style>
  <w:style w:type="paragraph" w:styleId="10">
    <w:name w:val="footer"/>
    <w:basedOn w:val="1"/>
    <w:link w:val="37"/>
    <w:unhideWhenUsed/>
    <w:qFormat/>
    <w:uiPriority w:val="99"/>
    <w:pPr>
      <w:tabs>
        <w:tab w:val="center" w:pos="4680"/>
        <w:tab w:val="right" w:pos="9360"/>
      </w:tabs>
      <w:spacing w:after="0" w:line="240" w:lineRule="auto"/>
    </w:pPr>
  </w:style>
  <w:style w:type="paragraph" w:styleId="11">
    <w:name w:val="header"/>
    <w:basedOn w:val="1"/>
    <w:link w:val="2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2">
    <w:name w:val="Normal (Web)"/>
    <w:basedOn w:val="1"/>
    <w:qFormat/>
    <w:uiPriority w:val="0"/>
    <w:rPr>
      <w:sz w:val="24"/>
    </w:rPr>
  </w:style>
  <w:style w:type="paragraph" w:styleId="13">
    <w:name w:val="annotation subject"/>
    <w:basedOn w:val="6"/>
    <w:next w:val="6"/>
    <w:link w:val="28"/>
    <w:qFormat/>
    <w:uiPriority w:val="0"/>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rPr>
  </w:style>
  <w:style w:type="character" w:styleId="18">
    <w:name w:val="Hyperlink"/>
    <w:basedOn w:val="16"/>
    <w:qFormat/>
    <w:uiPriority w:val="0"/>
    <w:rPr>
      <w:color w:val="0000FF"/>
      <w:u w:val="single"/>
    </w:rPr>
  </w:style>
  <w:style w:type="character" w:styleId="19">
    <w:name w:val="HTML Code"/>
    <w:basedOn w:val="16"/>
    <w:qFormat/>
    <w:uiPriority w:val="0"/>
    <w:rPr>
      <w:rFonts w:ascii="Courier New" w:hAnsi="Courier New"/>
      <w:sz w:val="20"/>
    </w:rPr>
  </w:style>
  <w:style w:type="character" w:styleId="20">
    <w:name w:val="annotation reference"/>
    <w:basedOn w:val="16"/>
    <w:qFormat/>
    <w:uiPriority w:val="0"/>
    <w:rPr>
      <w:sz w:val="21"/>
      <w:szCs w:val="21"/>
    </w:rPr>
  </w:style>
  <w:style w:type="paragraph" w:customStyle="1" w:styleId="21">
    <w:name w:val="一级标题"/>
    <w:basedOn w:val="22"/>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22">
    <w:name w:val="List Paragraph"/>
    <w:basedOn w:val="1"/>
    <w:qFormat/>
    <w:uiPriority w:val="34"/>
    <w:pPr>
      <w:ind w:firstLine="420" w:firstLineChars="200"/>
    </w:pPr>
  </w:style>
  <w:style w:type="paragraph" w:customStyle="1" w:styleId="23">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24">
    <w:name w:val="ab"/>
    <w:basedOn w:val="25"/>
    <w:link w:val="34"/>
    <w:qFormat/>
    <w:uiPriority w:val="0"/>
    <w:pPr>
      <w:spacing w:line="360" w:lineRule="auto"/>
      <w:outlineLvl w:val="9"/>
    </w:pPr>
    <w:rPr>
      <w:rFonts w:ascii="Times New Roman" w:hAnsi="Times New Roman"/>
      <w:sz w:val="28"/>
    </w:rPr>
  </w:style>
  <w:style w:type="paragraph" w:customStyle="1" w:styleId="25">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paragraph" w:customStyle="1" w:styleId="26">
    <w:name w:val="正文文档"/>
    <w:basedOn w:val="24"/>
    <w:qFormat/>
    <w:uiPriority w:val="0"/>
    <w:pPr>
      <w:wordWrap w:val="0"/>
      <w:spacing w:afterLines="0"/>
      <w:ind w:firstLine="560"/>
    </w:pPr>
  </w:style>
  <w:style w:type="character" w:customStyle="1" w:styleId="27">
    <w:name w:val="批注文字 字符"/>
    <w:basedOn w:val="16"/>
    <w:link w:val="6"/>
    <w:qFormat/>
    <w:uiPriority w:val="99"/>
    <w:rPr>
      <w:sz w:val="22"/>
      <w:szCs w:val="22"/>
    </w:rPr>
  </w:style>
  <w:style w:type="character" w:customStyle="1" w:styleId="28">
    <w:name w:val="批注主题 字符"/>
    <w:basedOn w:val="27"/>
    <w:link w:val="13"/>
    <w:qFormat/>
    <w:uiPriority w:val="0"/>
    <w:rPr>
      <w:b/>
      <w:bCs/>
      <w:sz w:val="22"/>
      <w:szCs w:val="22"/>
    </w:rPr>
  </w:style>
  <w:style w:type="character" w:customStyle="1" w:styleId="29">
    <w:name w:val="页眉 字符"/>
    <w:basedOn w:val="16"/>
    <w:link w:val="11"/>
    <w:qFormat/>
    <w:uiPriority w:val="0"/>
    <w:rPr>
      <w:sz w:val="18"/>
      <w:szCs w:val="18"/>
    </w:rPr>
  </w:style>
  <w:style w:type="paragraph" w:customStyle="1" w:styleId="30">
    <w:name w:val="三级标题"/>
    <w:basedOn w:val="24"/>
    <w:qFormat/>
    <w:uiPriority w:val="0"/>
    <w:pPr>
      <w:wordWrap w:val="0"/>
      <w:spacing w:after="0" w:afterLines="0"/>
      <w:ind w:firstLine="200"/>
      <w:outlineLvl w:val="3"/>
    </w:pPr>
    <w:rPr>
      <w:b/>
    </w:rPr>
  </w:style>
  <w:style w:type="character" w:customStyle="1" w:styleId="31">
    <w:name w:val="批注框文本 字符"/>
    <w:basedOn w:val="16"/>
    <w:link w:val="9"/>
    <w:qFormat/>
    <w:uiPriority w:val="0"/>
    <w:rPr>
      <w:sz w:val="18"/>
      <w:szCs w:val="18"/>
    </w:rPr>
  </w:style>
  <w:style w:type="paragraph" w:customStyle="1" w:styleId="32">
    <w:name w:val="修订1"/>
    <w:hidden/>
    <w:semiHidden/>
    <w:qFormat/>
    <w:uiPriority w:val="99"/>
    <w:rPr>
      <w:rFonts w:asciiTheme="minorHAnsi" w:hAnsiTheme="minorHAnsi" w:eastAsiaTheme="minorEastAsia" w:cstheme="minorBidi"/>
      <w:sz w:val="22"/>
      <w:szCs w:val="22"/>
      <w:lang w:val="en-US" w:eastAsia="zh-CN" w:bidi="ar-SA"/>
    </w:rPr>
  </w:style>
  <w:style w:type="paragraph" w:customStyle="1" w:styleId="33">
    <w:name w:val="Revision"/>
    <w:hidden/>
    <w:semiHidden/>
    <w:qFormat/>
    <w:uiPriority w:val="99"/>
    <w:rPr>
      <w:rFonts w:asciiTheme="minorHAnsi" w:hAnsiTheme="minorHAnsi" w:eastAsiaTheme="minorEastAsia" w:cstheme="minorBidi"/>
      <w:sz w:val="22"/>
      <w:szCs w:val="22"/>
      <w:lang w:val="en-US" w:eastAsia="zh-CN" w:bidi="ar-SA"/>
    </w:rPr>
  </w:style>
  <w:style w:type="character" w:customStyle="1" w:styleId="34">
    <w:name w:val="ab Char"/>
    <w:basedOn w:val="16"/>
    <w:link w:val="24"/>
    <w:qFormat/>
    <w:uiPriority w:val="0"/>
    <w:rPr>
      <w:rFonts w:ascii="Times New Roman" w:hAnsi="Times New Roman" w:eastAsia="仿宋_GB2312" w:cs="Arial"/>
      <w:sz w:val="28"/>
      <w:szCs w:val="32"/>
    </w:rPr>
  </w:style>
  <w:style w:type="paragraph" w:customStyle="1" w:styleId="35">
    <w:name w:val="四级标题"/>
    <w:basedOn w:val="24"/>
    <w:qFormat/>
    <w:uiPriority w:val="0"/>
    <w:pPr>
      <w:wordWrap w:val="0"/>
      <w:spacing w:afterLines="0"/>
      <w:ind w:firstLine="560"/>
    </w:pPr>
  </w:style>
  <w:style w:type="paragraph" w:customStyle="1" w:styleId="36">
    <w:name w:val="五级标题"/>
    <w:basedOn w:val="24"/>
    <w:qFormat/>
    <w:uiPriority w:val="0"/>
    <w:pPr>
      <w:wordWrap w:val="0"/>
      <w:spacing w:afterLines="0"/>
      <w:ind w:firstLine="560"/>
    </w:pPr>
  </w:style>
  <w:style w:type="character" w:customStyle="1" w:styleId="37">
    <w:name w:val="页脚 字符"/>
    <w:basedOn w:val="16"/>
    <w:link w:val="10"/>
    <w:qFormat/>
    <w:uiPriority w:val="99"/>
    <w:rPr>
      <w:sz w:val="22"/>
      <w:szCs w:val="22"/>
    </w:rPr>
  </w:style>
  <w:style w:type="character" w:customStyle="1" w:styleId="38">
    <w:name w:val="ui-provider"/>
    <w:basedOn w:val="16"/>
    <w:qFormat/>
    <w:uiPriority w:val="0"/>
  </w:style>
  <w:style w:type="paragraph" w:customStyle="1" w:styleId="39">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14521</Words>
  <Characters>30046</Characters>
  <Lines>166</Lines>
  <Paragraphs>46</Paragraphs>
  <TotalTime>15</TotalTime>
  <ScaleCrop>false</ScaleCrop>
  <LinksUpToDate>false</LinksUpToDate>
  <CharactersWithSpaces>30294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2023-04-11T15:47:00Z</dcterms:created>
  <dc:creator>Admin</dc:creator>
  <cp:lastModifiedBy>lzj</cp:lastModifiedBy>
  <cp:lastPrinted>2023-04-11T09:42:00Z</cp:lastPrinted>
  <dcterms:modified xsi:type="dcterms:W3CDTF">2025-05-19T10:04:17Z</dcterms:modified>
  <cp:revision>194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AA1D6571051A4409B289BED31D04EF25</vt:lpwstr>
  </property>
</Properties>
</file>