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E6B23">
      <w:pPr>
        <w:spacing w:line="0" w:lineRule="atLeast"/>
        <w:rPr>
          <w:rFonts w:ascii="黑体" w:hAnsi="黑体" w:eastAsia="黑体"/>
          <w:b/>
          <w:color w:val="000000" w:themeColor="text1"/>
          <w:sz w:val="44"/>
          <w:szCs w:val="44"/>
          <w14:textFill>
            <w14:solidFill>
              <w14:schemeClr w14:val="tx1"/>
            </w14:solidFill>
          </w14:textFill>
        </w:rPr>
      </w:pPr>
      <w:bookmarkStart w:id="0" w:name="_GoBack"/>
      <w:bookmarkEnd w:id="0"/>
      <w:r>
        <w:rPr>
          <w:rFonts w:hint="eastAsia" w:ascii="黑体" w:hAnsi="黑体" w:eastAsia="黑体"/>
          <w:b/>
          <w:color w:val="000000" w:themeColor="text1"/>
          <w:sz w:val="44"/>
          <w:szCs w:val="44"/>
          <w14:textFill>
            <w14:solidFill>
              <w14:schemeClr w14:val="tx1"/>
            </w14:solidFill>
          </w14:textFill>
        </w:rPr>
        <w:t>附件</w:t>
      </w:r>
    </w:p>
    <w:p w14:paraId="529BE9E4">
      <w:pPr>
        <w:spacing w:line="0" w:lineRule="atLeast"/>
        <w:jc w:val="center"/>
        <w:rPr>
          <w:rFonts w:ascii="黑体" w:hAnsi="黑体" w:eastAsia="黑体"/>
          <w:b/>
          <w:color w:val="000000" w:themeColor="text1"/>
          <w:sz w:val="44"/>
          <w:szCs w:val="44"/>
          <w14:textFill>
            <w14:solidFill>
              <w14:schemeClr w14:val="tx1"/>
            </w14:solidFill>
          </w14:textFill>
        </w:rPr>
      </w:pPr>
    </w:p>
    <w:p w14:paraId="24F362DE">
      <w:pPr>
        <w:spacing w:line="0" w:lineRule="atLeast"/>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上海证券交易所发行上市审核业务指南第4号——</w:t>
      </w:r>
    </w:p>
    <w:p w14:paraId="5B9FE508">
      <w:pPr>
        <w:spacing w:line="0" w:lineRule="atLeast"/>
        <w:jc w:val="center"/>
        <w:rPr>
          <w:rFonts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常见问题的信息披露和核查要求自查表</w:t>
      </w:r>
    </w:p>
    <w:p w14:paraId="6920AFFA">
      <w:pPr>
        <w:spacing w:line="0" w:lineRule="atLeast"/>
        <w:jc w:val="center"/>
        <w:rPr>
          <w:rFonts w:hint="eastAsia" w:ascii="黑体" w:hAnsi="黑体" w:eastAsia="黑体"/>
          <w:b/>
          <w:color w:val="000000" w:themeColor="text1"/>
          <w:sz w:val="44"/>
          <w:szCs w:val="44"/>
          <w14:textFill>
            <w14:solidFill>
              <w14:schemeClr w14:val="tx1"/>
            </w14:solidFill>
          </w14:textFill>
        </w:rPr>
      </w:pPr>
      <w:r>
        <w:rPr>
          <w:rFonts w:hint="eastAsia" w:ascii="黑体" w:hAnsi="黑体" w:eastAsia="黑体"/>
          <w:b/>
          <w:color w:val="000000" w:themeColor="text1"/>
          <w:sz w:val="44"/>
          <w:szCs w:val="44"/>
          <w14:textFill>
            <w14:solidFill>
              <w14:schemeClr w14:val="tx1"/>
            </w14:solidFill>
          </w14:textFill>
        </w:rPr>
        <w:t>第三号 上市公司向特定对象发行证券</w:t>
      </w:r>
    </w:p>
    <w:p w14:paraId="114FFD8F">
      <w:pPr>
        <w:spacing w:line="0" w:lineRule="atLeast"/>
        <w:jc w:val="center"/>
        <w:rPr>
          <w:rFonts w:hint="eastAsia" w:ascii="黑体" w:hAnsi="黑体" w:eastAsia="黑体"/>
          <w:b/>
          <w:color w:val="000000" w:themeColor="text1"/>
          <w:sz w:val="44"/>
          <w:szCs w:val="44"/>
          <w:lang w:eastAsia="zh-CN"/>
          <w14:textFill>
            <w14:solidFill>
              <w14:schemeClr w14:val="tx1"/>
            </w14:solidFill>
          </w14:textFill>
        </w:rPr>
      </w:pPr>
      <w:r>
        <w:rPr>
          <w:rFonts w:hint="eastAsia" w:ascii="黑体" w:hAnsi="黑体" w:eastAsia="黑体"/>
          <w:b/>
          <w:color w:val="000000" w:themeColor="text1"/>
          <w:sz w:val="44"/>
          <w:szCs w:val="44"/>
          <w:lang w:eastAsia="zh-CN"/>
          <w14:textFill>
            <w14:solidFill>
              <w14:schemeClr w14:val="tx1"/>
            </w14:solidFill>
          </w14:textFill>
        </w:rPr>
        <w:t>（</w:t>
      </w:r>
      <w:r>
        <w:rPr>
          <w:rFonts w:hint="eastAsia" w:ascii="黑体" w:hAnsi="黑体" w:eastAsia="黑体"/>
          <w:b/>
          <w:color w:val="000000" w:themeColor="text1"/>
          <w:sz w:val="44"/>
          <w:szCs w:val="44"/>
          <w:lang w:val="en-US" w:eastAsia="zh-CN"/>
          <w14:textFill>
            <w14:solidFill>
              <w14:schemeClr w14:val="tx1"/>
            </w14:solidFill>
          </w14:textFill>
        </w:rPr>
        <w:t>2025年4月修订</w:t>
      </w:r>
      <w:r>
        <w:rPr>
          <w:rFonts w:hint="eastAsia" w:ascii="黑体" w:hAnsi="黑体" w:eastAsia="黑体"/>
          <w:b/>
          <w:color w:val="000000" w:themeColor="text1"/>
          <w:sz w:val="44"/>
          <w:szCs w:val="44"/>
          <w:lang w:eastAsia="zh-CN"/>
          <w14:textFill>
            <w14:solidFill>
              <w14:schemeClr w14:val="tx1"/>
            </w14:solidFill>
          </w14:textFill>
        </w:rPr>
        <w:t>）</w:t>
      </w:r>
    </w:p>
    <w:p w14:paraId="566A98EE">
      <w:pPr>
        <w:spacing w:line="0" w:lineRule="atLeast"/>
        <w:jc w:val="center"/>
        <w:rPr>
          <w:rFonts w:ascii="黑体" w:hAnsi="黑体" w:eastAsia="黑体"/>
          <w:b/>
          <w:color w:val="000000" w:themeColor="text1"/>
          <w:sz w:val="44"/>
          <w:szCs w:val="44"/>
          <w14:textFill>
            <w14:solidFill>
              <w14:schemeClr w14:val="tx1"/>
            </w14:solidFill>
          </w14:textFill>
        </w:rPr>
      </w:pPr>
    </w:p>
    <w:tbl>
      <w:tblPr>
        <w:tblStyle w:val="12"/>
        <w:tblW w:w="141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1"/>
        <w:gridCol w:w="5695"/>
        <w:gridCol w:w="743"/>
        <w:gridCol w:w="2228"/>
        <w:gridCol w:w="1500"/>
        <w:gridCol w:w="1286"/>
        <w:gridCol w:w="1422"/>
        <w:gridCol w:w="550"/>
      </w:tblGrid>
      <w:tr w14:paraId="1DB6B4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restart"/>
            <w:shd w:val="clear" w:color="auto" w:fill="8DB3E2"/>
            <w:vAlign w:val="center"/>
          </w:tcPr>
          <w:p w14:paraId="533CBC14">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序号</w:t>
            </w:r>
          </w:p>
        </w:tc>
        <w:tc>
          <w:tcPr>
            <w:tcW w:w="5695" w:type="dxa"/>
            <w:vMerge w:val="restart"/>
            <w:shd w:val="clear" w:color="auto" w:fill="8DB3E2"/>
            <w:vAlign w:val="center"/>
          </w:tcPr>
          <w:p w14:paraId="10E14573">
            <w:pPr>
              <w:jc w:val="center"/>
              <w:rPr>
                <w:rFonts w:ascii="Times New Roman" w:hAnsi="Times New Roman" w:eastAsia="仿宋_GB2312"/>
                <w:b/>
                <w:bCs/>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问题</w:t>
            </w:r>
          </w:p>
        </w:tc>
        <w:tc>
          <w:tcPr>
            <w:tcW w:w="743" w:type="dxa"/>
            <w:vMerge w:val="restart"/>
            <w:shd w:val="clear" w:color="auto" w:fill="8DB3E2"/>
            <w:vAlign w:val="center"/>
          </w:tcPr>
          <w:p w14:paraId="3240E52B">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是否</w:t>
            </w:r>
          </w:p>
          <w:p w14:paraId="6C1A16AB">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适用</w:t>
            </w:r>
          </w:p>
        </w:tc>
        <w:tc>
          <w:tcPr>
            <w:tcW w:w="2228" w:type="dxa"/>
            <w:tcBorders>
              <w:bottom w:val="single" w:color="000000" w:sz="4" w:space="0"/>
            </w:tcBorders>
            <w:shd w:val="clear" w:color="auto" w:fill="8DB3E2"/>
            <w:vAlign w:val="center"/>
          </w:tcPr>
          <w:p w14:paraId="7253B668">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披露要求落实情况</w:t>
            </w:r>
          </w:p>
        </w:tc>
        <w:tc>
          <w:tcPr>
            <w:tcW w:w="4208" w:type="dxa"/>
            <w:gridSpan w:val="3"/>
            <w:tcBorders>
              <w:bottom w:val="single" w:color="000000" w:sz="4" w:space="0"/>
            </w:tcBorders>
            <w:shd w:val="clear" w:color="auto" w:fill="8DB3E2"/>
            <w:vAlign w:val="center"/>
          </w:tcPr>
          <w:p w14:paraId="2C6EAB20">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核查要求落实情况</w:t>
            </w:r>
          </w:p>
        </w:tc>
        <w:tc>
          <w:tcPr>
            <w:tcW w:w="550" w:type="dxa"/>
            <w:vMerge w:val="restart"/>
            <w:shd w:val="clear" w:color="auto" w:fill="8DB3E2"/>
            <w:vAlign w:val="center"/>
          </w:tcPr>
          <w:p w14:paraId="01CC76FD">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备注</w:t>
            </w:r>
          </w:p>
        </w:tc>
      </w:tr>
      <w:tr w14:paraId="6FD07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blHeader/>
        </w:trPr>
        <w:tc>
          <w:tcPr>
            <w:tcW w:w="751" w:type="dxa"/>
            <w:vMerge w:val="continue"/>
            <w:shd w:val="clear" w:color="auto" w:fill="auto"/>
            <w:vAlign w:val="center"/>
          </w:tcPr>
          <w:p w14:paraId="69F33F90">
            <w:pPr>
              <w:jc w:val="center"/>
              <w:rPr>
                <w:rFonts w:ascii="Times New Roman" w:hAnsi="Times New Roman" w:eastAsia="仿宋_GB2312"/>
                <w:b/>
                <w:color w:val="000000" w:themeColor="text1"/>
                <w14:textFill>
                  <w14:solidFill>
                    <w14:schemeClr w14:val="tx1"/>
                  </w14:solidFill>
                </w14:textFill>
              </w:rPr>
            </w:pPr>
          </w:p>
        </w:tc>
        <w:tc>
          <w:tcPr>
            <w:tcW w:w="5695" w:type="dxa"/>
            <w:vMerge w:val="continue"/>
            <w:shd w:val="clear" w:color="auto" w:fill="auto"/>
            <w:vAlign w:val="center"/>
          </w:tcPr>
          <w:p w14:paraId="01E360D4">
            <w:pPr>
              <w:jc w:val="center"/>
              <w:rPr>
                <w:rFonts w:ascii="Times New Roman" w:hAnsi="Times New Roman" w:eastAsia="仿宋_GB2312"/>
                <w:b/>
                <w:color w:val="000000" w:themeColor="text1"/>
                <w14:textFill>
                  <w14:solidFill>
                    <w14:schemeClr w14:val="tx1"/>
                  </w14:solidFill>
                </w14:textFill>
              </w:rPr>
            </w:pPr>
          </w:p>
        </w:tc>
        <w:tc>
          <w:tcPr>
            <w:tcW w:w="743" w:type="dxa"/>
            <w:vMerge w:val="continue"/>
            <w:shd w:val="clear" w:color="auto" w:fill="auto"/>
            <w:vAlign w:val="center"/>
          </w:tcPr>
          <w:p w14:paraId="61D857CC">
            <w:pPr>
              <w:jc w:val="center"/>
              <w:rPr>
                <w:rFonts w:ascii="Times New Roman" w:hAnsi="Times New Roman" w:eastAsia="仿宋_GB2312"/>
                <w:b/>
                <w:color w:val="000000" w:themeColor="text1"/>
                <w14:textFill>
                  <w14:solidFill>
                    <w14:schemeClr w14:val="tx1"/>
                  </w14:solidFill>
                </w14:textFill>
              </w:rPr>
            </w:pPr>
          </w:p>
        </w:tc>
        <w:tc>
          <w:tcPr>
            <w:tcW w:w="2228" w:type="dxa"/>
            <w:shd w:val="clear" w:color="auto" w:fill="8DB3E2"/>
            <w:vAlign w:val="center"/>
          </w:tcPr>
          <w:p w14:paraId="6327CD2E">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募集说明书</w:t>
            </w:r>
          </w:p>
          <w:p w14:paraId="14F66C44">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章节</w:t>
            </w:r>
          </w:p>
        </w:tc>
        <w:tc>
          <w:tcPr>
            <w:tcW w:w="1500" w:type="dxa"/>
            <w:shd w:val="clear" w:color="auto" w:fill="8DB3E2"/>
            <w:vAlign w:val="center"/>
          </w:tcPr>
          <w:p w14:paraId="17C52494">
            <w:pPr>
              <w:jc w:val="center"/>
              <w:rPr>
                <w:rFonts w:ascii="Times New Roman" w:hAnsi="Times New Roman" w:eastAsia="仿宋_GB2312"/>
                <w:b/>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保荐工作</w:t>
            </w:r>
          </w:p>
          <w:p w14:paraId="0E7ACE93">
            <w:pPr>
              <w:jc w:val="center"/>
              <w:rPr>
                <w:rFonts w:hint="eastAsia" w:ascii="Times New Roman" w:hAnsi="Times New Roman" w:eastAsia="仿宋_GB2312"/>
                <w:b/>
                <w:color w:val="000000" w:themeColor="text1"/>
                <w:lang w:eastAsia="zh-CN"/>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报告</w:t>
            </w:r>
            <w:r>
              <w:rPr>
                <w:rFonts w:hint="eastAsia" w:ascii="Times New Roman" w:hAnsi="Times New Roman" w:eastAsia="仿宋_GB2312"/>
                <w:b/>
                <w:color w:val="000000" w:themeColor="text1"/>
                <w:lang w:eastAsia="zh-CN"/>
                <w14:textFill>
                  <w14:solidFill>
                    <w14:schemeClr w14:val="tx1"/>
                  </w14:solidFill>
                </w14:textFill>
              </w:rPr>
              <w:t>章节</w:t>
            </w:r>
            <w:r>
              <w:rPr>
                <w:rFonts w:hint="eastAsia" w:ascii="Times New Roman" w:hAnsi="Times New Roman" w:eastAsia="仿宋_GB2312"/>
                <w:b/>
                <w:color w:val="000000" w:themeColor="text1"/>
                <w14:textFill>
                  <w14:solidFill>
                    <w14:schemeClr w14:val="tx1"/>
                  </w14:solidFill>
                </w14:textFill>
              </w:rPr>
              <w:t>或专项核查报告</w:t>
            </w:r>
            <w:r>
              <w:rPr>
                <w:rFonts w:hint="eastAsia" w:ascii="Times New Roman" w:hAnsi="Times New Roman" w:eastAsia="仿宋_GB2312"/>
                <w:b/>
                <w:color w:val="000000" w:themeColor="text1"/>
                <w:lang w:eastAsia="zh-CN"/>
                <w14:textFill>
                  <w14:solidFill>
                    <w14:schemeClr w14:val="tx1"/>
                  </w14:solidFill>
                </w14:textFill>
              </w:rPr>
              <w:t>名称</w:t>
            </w:r>
          </w:p>
        </w:tc>
        <w:tc>
          <w:tcPr>
            <w:tcW w:w="1286" w:type="dxa"/>
            <w:shd w:val="clear" w:color="auto" w:fill="8DB3E2"/>
            <w:vAlign w:val="center"/>
          </w:tcPr>
          <w:p w14:paraId="52EA678B">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律师工作</w:t>
            </w:r>
          </w:p>
          <w:p w14:paraId="556B98CD">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报告章节</w:t>
            </w:r>
          </w:p>
        </w:tc>
        <w:tc>
          <w:tcPr>
            <w:tcW w:w="1422" w:type="dxa"/>
            <w:shd w:val="clear" w:color="auto" w:fill="8DB3E2"/>
            <w:vAlign w:val="center"/>
          </w:tcPr>
          <w:p w14:paraId="70ABDE77">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会计师核查</w:t>
            </w:r>
          </w:p>
          <w:p w14:paraId="16A4CBF0">
            <w:pPr>
              <w:jc w:val="center"/>
              <w:rPr>
                <w:rFonts w:ascii="仿宋_GB2312" w:eastAsia="仿宋_GB2312"/>
                <w:b/>
                <w:color w:val="000000" w:themeColor="text1"/>
                <w14:textFill>
                  <w14:solidFill>
                    <w14:schemeClr w14:val="tx1"/>
                  </w14:solidFill>
                </w14:textFill>
              </w:rPr>
            </w:pPr>
            <w:r>
              <w:rPr>
                <w:rFonts w:hint="eastAsia" w:ascii="仿宋_GB2312" w:eastAsia="仿宋_GB2312"/>
                <w:b/>
                <w:color w:val="000000" w:themeColor="text1"/>
                <w14:textFill>
                  <w14:solidFill>
                    <w14:schemeClr w14:val="tx1"/>
                  </w14:solidFill>
                </w14:textFill>
              </w:rPr>
              <w:t>报告章节</w:t>
            </w:r>
          </w:p>
        </w:tc>
        <w:tc>
          <w:tcPr>
            <w:tcW w:w="550" w:type="dxa"/>
            <w:vMerge w:val="continue"/>
            <w:vAlign w:val="center"/>
          </w:tcPr>
          <w:p w14:paraId="73342BDB">
            <w:pPr>
              <w:jc w:val="center"/>
              <w:rPr>
                <w:rFonts w:ascii="仿宋_GB2312" w:eastAsia="仿宋_GB2312"/>
                <w:b/>
                <w:color w:val="000000" w:themeColor="text1"/>
                <w14:textFill>
                  <w14:solidFill>
                    <w14:schemeClr w14:val="tx1"/>
                  </w14:solidFill>
                </w14:textFill>
              </w:rPr>
            </w:pPr>
          </w:p>
        </w:tc>
      </w:tr>
      <w:tr w14:paraId="05A33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tcBorders>
              <w:bottom w:val="single" w:color="000000" w:sz="4" w:space="0"/>
            </w:tcBorders>
            <w:vAlign w:val="center"/>
          </w:tcPr>
          <w:p w14:paraId="04278B38">
            <w:pPr>
              <w:jc w:val="center"/>
              <w:rPr>
                <w:rFonts w:ascii="Times New Roman" w:hAnsi="Times New Roman" w:eastAsia="仿宋_GB2312"/>
                <w:color w:val="000000" w:themeColor="text1"/>
                <w14:textFill>
                  <w14:solidFill>
                    <w14:schemeClr w14:val="tx1"/>
                  </w14:solidFill>
                </w14:textFill>
              </w:rPr>
            </w:pPr>
            <w:r>
              <w:rPr>
                <w:rFonts w:ascii="Times New Roman" w:hAnsi="Times New Roman" w:eastAsia="仿宋_GB2312"/>
                <w:b/>
                <w:color w:val="000000" w:themeColor="text1"/>
                <w14:textFill>
                  <w14:solidFill>
                    <w14:schemeClr w14:val="tx1"/>
                  </w14:solidFill>
                </w14:textFill>
              </w:rPr>
              <w:t>一、关于募集资金运用的相关问题</w:t>
            </w:r>
          </w:p>
        </w:tc>
      </w:tr>
      <w:tr w14:paraId="05EB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04661A4E">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w:t>
            </w:r>
          </w:p>
        </w:tc>
        <w:tc>
          <w:tcPr>
            <w:tcW w:w="5695" w:type="dxa"/>
            <w:tcBorders>
              <w:bottom w:val="single" w:color="000000" w:sz="4" w:space="0"/>
            </w:tcBorders>
            <w:vAlign w:val="center"/>
          </w:tcPr>
          <w:p w14:paraId="471AB496">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历次募集资金使用情况</w:t>
            </w:r>
          </w:p>
        </w:tc>
        <w:tc>
          <w:tcPr>
            <w:tcW w:w="743" w:type="dxa"/>
            <w:tcBorders>
              <w:bottom w:val="single" w:color="000000" w:sz="4" w:space="0"/>
            </w:tcBorders>
            <w:vAlign w:val="center"/>
          </w:tcPr>
          <w:p w14:paraId="0DE2A478">
            <w:pPr>
              <w:rPr>
                <w:rFonts w:ascii="Times New Roman" w:hAnsi="Times New Roman" w:eastAsia="仿宋_GB2312"/>
                <w:bCs/>
                <w:color w:val="000000" w:themeColor="text1"/>
                <w14:textFill>
                  <w14:solidFill>
                    <w14:schemeClr w14:val="tx1"/>
                  </w14:solidFill>
                </w14:textFill>
              </w:rPr>
            </w:pPr>
          </w:p>
        </w:tc>
        <w:tc>
          <w:tcPr>
            <w:tcW w:w="2228" w:type="dxa"/>
            <w:tcBorders>
              <w:bottom w:val="single" w:color="000000" w:sz="4" w:space="0"/>
            </w:tcBorders>
            <w:vAlign w:val="center"/>
          </w:tcPr>
          <w:p w14:paraId="6E043349">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14:paraId="5B5A81ED">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14:paraId="556DBF6A">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14:paraId="16394311">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14:paraId="5F8E58EF">
            <w:pPr>
              <w:rPr>
                <w:rFonts w:ascii="仿宋_GB2312" w:eastAsia="仿宋_GB2312"/>
                <w:color w:val="000000" w:themeColor="text1"/>
                <w14:textFill>
                  <w14:solidFill>
                    <w14:schemeClr w14:val="tx1"/>
                  </w14:solidFill>
                </w14:textFill>
              </w:rPr>
            </w:pPr>
          </w:p>
        </w:tc>
      </w:tr>
      <w:tr w14:paraId="43139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tcBorders>
              <w:bottom w:val="single" w:color="000000" w:sz="4" w:space="0"/>
            </w:tcBorders>
            <w:vAlign w:val="center"/>
          </w:tcPr>
          <w:p w14:paraId="65D1E37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1-2</w:t>
            </w:r>
          </w:p>
        </w:tc>
        <w:tc>
          <w:tcPr>
            <w:tcW w:w="5695" w:type="dxa"/>
            <w:tcBorders>
              <w:bottom w:val="single" w:color="000000" w:sz="4" w:space="0"/>
            </w:tcBorders>
            <w:vAlign w:val="center"/>
          </w:tcPr>
          <w:p w14:paraId="0B2EC5CD">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融资间隔</w:t>
            </w:r>
          </w:p>
        </w:tc>
        <w:tc>
          <w:tcPr>
            <w:tcW w:w="743" w:type="dxa"/>
            <w:tcBorders>
              <w:bottom w:val="single" w:color="000000" w:sz="4" w:space="0"/>
            </w:tcBorders>
            <w:vAlign w:val="center"/>
          </w:tcPr>
          <w:p w14:paraId="3EDA8485">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14:paraId="574B469C">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14:paraId="0A6DEB74">
            <w:pPr>
              <w:rPr>
                <w:rFonts w:ascii="Times New Roman" w:hAnsi="Times New Roman" w:eastAsia="仿宋_GB2312"/>
                <w:bCs/>
                <w:color w:val="000000" w:themeColor="text1"/>
                <w14:textFill>
                  <w14:solidFill>
                    <w14:schemeClr w14:val="tx1"/>
                  </w14:solidFill>
                </w14:textFill>
              </w:rPr>
            </w:pPr>
          </w:p>
        </w:tc>
        <w:tc>
          <w:tcPr>
            <w:tcW w:w="1286" w:type="dxa"/>
            <w:tcBorders>
              <w:bottom w:val="single" w:color="000000" w:sz="4" w:space="0"/>
            </w:tcBorders>
          </w:tcPr>
          <w:p w14:paraId="7EF83375">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14:paraId="5042F4E6">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14:paraId="307E4041">
            <w:pPr>
              <w:rPr>
                <w:rFonts w:ascii="仿宋_GB2312" w:eastAsia="仿宋_GB2312"/>
                <w:color w:val="000000" w:themeColor="text1"/>
                <w14:textFill>
                  <w14:solidFill>
                    <w14:schemeClr w14:val="tx1"/>
                  </w14:solidFill>
                </w14:textFill>
              </w:rPr>
            </w:pPr>
          </w:p>
        </w:tc>
      </w:tr>
      <w:tr w14:paraId="0AD21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4505498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1-3</w:t>
            </w:r>
          </w:p>
        </w:tc>
        <w:tc>
          <w:tcPr>
            <w:tcW w:w="5695" w:type="dxa"/>
            <w:tcBorders>
              <w:bottom w:val="single" w:color="000000" w:sz="4" w:space="0"/>
            </w:tcBorders>
            <w:vAlign w:val="center"/>
          </w:tcPr>
          <w:p w14:paraId="255633F1">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募投项目与既有业务关系</w:t>
            </w:r>
          </w:p>
        </w:tc>
        <w:tc>
          <w:tcPr>
            <w:tcW w:w="743" w:type="dxa"/>
            <w:tcBorders>
              <w:bottom w:val="single" w:color="000000" w:sz="4" w:space="0"/>
            </w:tcBorders>
            <w:vAlign w:val="center"/>
          </w:tcPr>
          <w:p w14:paraId="1EDDE2D7">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14:paraId="4AA24C28">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14:paraId="7CDAD662">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14:paraId="3903E249">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14:paraId="5E30A997">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14:paraId="288C903A">
            <w:pPr>
              <w:rPr>
                <w:rFonts w:ascii="仿宋_GB2312" w:eastAsia="仿宋_GB2312"/>
                <w:color w:val="000000" w:themeColor="text1"/>
                <w14:textFill>
                  <w14:solidFill>
                    <w14:schemeClr w14:val="tx1"/>
                  </w14:solidFill>
                </w14:textFill>
              </w:rPr>
            </w:pPr>
          </w:p>
        </w:tc>
      </w:tr>
      <w:tr w14:paraId="54DD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5819C603">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1-4</w:t>
            </w:r>
          </w:p>
        </w:tc>
        <w:tc>
          <w:tcPr>
            <w:tcW w:w="5695" w:type="dxa"/>
            <w:tcBorders>
              <w:bottom w:val="single" w:color="000000" w:sz="4" w:space="0"/>
            </w:tcBorders>
            <w:vAlign w:val="center"/>
          </w:tcPr>
          <w:p w14:paraId="6C7C3E58">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募集资金用于拓展新业务、新产品情况</w:t>
            </w:r>
          </w:p>
        </w:tc>
        <w:tc>
          <w:tcPr>
            <w:tcW w:w="743" w:type="dxa"/>
            <w:tcBorders>
              <w:bottom w:val="single" w:color="000000" w:sz="4" w:space="0"/>
            </w:tcBorders>
            <w:vAlign w:val="center"/>
          </w:tcPr>
          <w:p w14:paraId="3DA9C294">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14:paraId="2A7DB82B">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14:paraId="79C1C361">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14:paraId="4CD83286">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14:paraId="21638BAA">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14:paraId="4F62A406">
            <w:pPr>
              <w:rPr>
                <w:rFonts w:ascii="仿宋_GB2312" w:eastAsia="仿宋_GB2312"/>
                <w:color w:val="000000" w:themeColor="text1"/>
                <w14:textFill>
                  <w14:solidFill>
                    <w14:schemeClr w14:val="tx1"/>
                  </w14:solidFill>
                </w14:textFill>
              </w:rPr>
            </w:pPr>
          </w:p>
        </w:tc>
      </w:tr>
      <w:tr w14:paraId="09D804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tcBorders>
              <w:bottom w:val="single" w:color="000000" w:sz="4" w:space="0"/>
            </w:tcBorders>
            <w:vAlign w:val="center"/>
          </w:tcPr>
          <w:p w14:paraId="1CD3240E">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1-5</w:t>
            </w:r>
          </w:p>
        </w:tc>
        <w:tc>
          <w:tcPr>
            <w:tcW w:w="5695" w:type="dxa"/>
            <w:tcBorders>
              <w:bottom w:val="single" w:color="000000" w:sz="4" w:space="0"/>
            </w:tcBorders>
            <w:vAlign w:val="center"/>
          </w:tcPr>
          <w:p w14:paraId="38F45C15">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募集资金使用规划</w:t>
            </w:r>
          </w:p>
        </w:tc>
        <w:tc>
          <w:tcPr>
            <w:tcW w:w="743" w:type="dxa"/>
            <w:tcBorders>
              <w:bottom w:val="single" w:color="000000" w:sz="4" w:space="0"/>
            </w:tcBorders>
            <w:vAlign w:val="center"/>
          </w:tcPr>
          <w:p w14:paraId="0F752A9E">
            <w:pPr>
              <w:rPr>
                <w:rFonts w:ascii="Times New Roman" w:hAnsi="Times New Roman" w:eastAsia="仿宋_GB2312"/>
                <w:color w:val="000000" w:themeColor="text1"/>
                <w14:textFill>
                  <w14:solidFill>
                    <w14:schemeClr w14:val="tx1"/>
                  </w14:solidFill>
                </w14:textFill>
              </w:rPr>
            </w:pPr>
          </w:p>
        </w:tc>
        <w:tc>
          <w:tcPr>
            <w:tcW w:w="2228" w:type="dxa"/>
            <w:tcBorders>
              <w:bottom w:val="single" w:color="000000" w:sz="4" w:space="0"/>
            </w:tcBorders>
            <w:vAlign w:val="center"/>
          </w:tcPr>
          <w:p w14:paraId="16E693E8">
            <w:pPr>
              <w:rPr>
                <w:rFonts w:ascii="Times New Roman" w:hAnsi="Times New Roman" w:eastAsia="仿宋_GB2312"/>
                <w:color w:val="000000" w:themeColor="text1"/>
                <w14:textFill>
                  <w14:solidFill>
                    <w14:schemeClr w14:val="tx1"/>
                  </w14:solidFill>
                </w14:textFill>
              </w:rPr>
            </w:pPr>
          </w:p>
        </w:tc>
        <w:tc>
          <w:tcPr>
            <w:tcW w:w="1500" w:type="dxa"/>
            <w:tcBorders>
              <w:bottom w:val="single" w:color="000000" w:sz="4" w:space="0"/>
            </w:tcBorders>
            <w:vAlign w:val="center"/>
          </w:tcPr>
          <w:p w14:paraId="56A05661">
            <w:pPr>
              <w:rPr>
                <w:rFonts w:ascii="Times New Roman" w:hAnsi="Times New Roman" w:eastAsia="仿宋_GB2312"/>
                <w:color w:val="000000" w:themeColor="text1"/>
                <w14:textFill>
                  <w14:solidFill>
                    <w14:schemeClr w14:val="tx1"/>
                  </w14:solidFill>
                </w14:textFill>
              </w:rPr>
            </w:pPr>
          </w:p>
        </w:tc>
        <w:tc>
          <w:tcPr>
            <w:tcW w:w="1286" w:type="dxa"/>
            <w:tcBorders>
              <w:bottom w:val="single" w:color="000000" w:sz="4" w:space="0"/>
            </w:tcBorders>
          </w:tcPr>
          <w:p w14:paraId="52FB8A87">
            <w:pPr>
              <w:rPr>
                <w:rFonts w:ascii="仿宋_GB2312" w:eastAsia="仿宋_GB2312"/>
                <w:color w:val="000000" w:themeColor="text1"/>
                <w14:textFill>
                  <w14:solidFill>
                    <w14:schemeClr w14:val="tx1"/>
                  </w14:solidFill>
                </w14:textFill>
              </w:rPr>
            </w:pPr>
          </w:p>
        </w:tc>
        <w:tc>
          <w:tcPr>
            <w:tcW w:w="1422" w:type="dxa"/>
            <w:tcBorders>
              <w:bottom w:val="single" w:color="000000" w:sz="4" w:space="0"/>
            </w:tcBorders>
          </w:tcPr>
          <w:p w14:paraId="54845602">
            <w:pPr>
              <w:rPr>
                <w:rFonts w:ascii="仿宋_GB2312" w:eastAsia="仿宋_GB2312"/>
                <w:color w:val="000000" w:themeColor="text1"/>
                <w14:textFill>
                  <w14:solidFill>
                    <w14:schemeClr w14:val="tx1"/>
                  </w14:solidFill>
                </w14:textFill>
              </w:rPr>
            </w:pPr>
          </w:p>
        </w:tc>
        <w:tc>
          <w:tcPr>
            <w:tcW w:w="550" w:type="dxa"/>
            <w:tcBorders>
              <w:bottom w:val="single" w:color="000000" w:sz="4" w:space="0"/>
            </w:tcBorders>
            <w:vAlign w:val="center"/>
          </w:tcPr>
          <w:p w14:paraId="70293827">
            <w:pPr>
              <w:rPr>
                <w:rFonts w:ascii="仿宋_GB2312" w:eastAsia="仿宋_GB2312"/>
                <w:color w:val="000000" w:themeColor="text1"/>
                <w14:textFill>
                  <w14:solidFill>
                    <w14:schemeClr w14:val="tx1"/>
                  </w14:solidFill>
                </w14:textFill>
              </w:rPr>
            </w:pPr>
          </w:p>
        </w:tc>
      </w:tr>
      <w:tr w14:paraId="2EBD9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2383ED4">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1-6</w:t>
            </w:r>
          </w:p>
        </w:tc>
        <w:tc>
          <w:tcPr>
            <w:tcW w:w="5695" w:type="dxa"/>
            <w:vAlign w:val="center"/>
          </w:tcPr>
          <w:p w14:paraId="1B532B13">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补充流动资金的情形</w:t>
            </w:r>
          </w:p>
        </w:tc>
        <w:tc>
          <w:tcPr>
            <w:tcW w:w="743" w:type="dxa"/>
            <w:vAlign w:val="center"/>
          </w:tcPr>
          <w:p w14:paraId="2F4C2009">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0174DC60">
            <w:pPr>
              <w:rPr>
                <w:rFonts w:ascii="Times New Roman" w:hAnsi="Times New Roman" w:eastAsia="仿宋_GB2312"/>
                <w:color w:val="000000" w:themeColor="text1"/>
                <w14:textFill>
                  <w14:solidFill>
                    <w14:schemeClr w14:val="tx1"/>
                  </w14:solidFill>
                </w14:textFill>
              </w:rPr>
            </w:pPr>
          </w:p>
        </w:tc>
        <w:tc>
          <w:tcPr>
            <w:tcW w:w="1500" w:type="dxa"/>
            <w:vAlign w:val="center"/>
          </w:tcPr>
          <w:p w14:paraId="472F0438">
            <w:pPr>
              <w:rPr>
                <w:rFonts w:ascii="Times New Roman" w:hAnsi="Times New Roman" w:eastAsia="仿宋_GB2312"/>
                <w:color w:val="000000" w:themeColor="text1"/>
                <w14:textFill>
                  <w14:solidFill>
                    <w14:schemeClr w14:val="tx1"/>
                  </w14:solidFill>
                </w14:textFill>
              </w:rPr>
            </w:pPr>
          </w:p>
        </w:tc>
        <w:tc>
          <w:tcPr>
            <w:tcW w:w="1286" w:type="dxa"/>
          </w:tcPr>
          <w:p w14:paraId="26A483EF">
            <w:pPr>
              <w:rPr>
                <w:rFonts w:ascii="仿宋_GB2312" w:eastAsia="仿宋_GB2312"/>
                <w:color w:val="000000" w:themeColor="text1"/>
                <w14:textFill>
                  <w14:solidFill>
                    <w14:schemeClr w14:val="tx1"/>
                  </w14:solidFill>
                </w14:textFill>
              </w:rPr>
            </w:pPr>
          </w:p>
        </w:tc>
        <w:tc>
          <w:tcPr>
            <w:tcW w:w="1422" w:type="dxa"/>
          </w:tcPr>
          <w:p w14:paraId="1C423BF0">
            <w:pPr>
              <w:rPr>
                <w:rFonts w:ascii="仿宋_GB2312" w:eastAsia="仿宋_GB2312"/>
                <w:color w:val="000000" w:themeColor="text1"/>
                <w14:textFill>
                  <w14:solidFill>
                    <w14:schemeClr w14:val="tx1"/>
                  </w14:solidFill>
                </w14:textFill>
              </w:rPr>
            </w:pPr>
          </w:p>
        </w:tc>
        <w:tc>
          <w:tcPr>
            <w:tcW w:w="550" w:type="dxa"/>
            <w:vAlign w:val="center"/>
          </w:tcPr>
          <w:p w14:paraId="46E78192">
            <w:pPr>
              <w:rPr>
                <w:rFonts w:ascii="仿宋_GB2312" w:eastAsia="仿宋_GB2312"/>
                <w:color w:val="000000" w:themeColor="text1"/>
                <w14:textFill>
                  <w14:solidFill>
                    <w14:schemeClr w14:val="tx1"/>
                  </w14:solidFill>
                </w14:textFill>
              </w:rPr>
            </w:pPr>
          </w:p>
        </w:tc>
      </w:tr>
      <w:tr w14:paraId="41E6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51" w:type="dxa"/>
            <w:vAlign w:val="center"/>
          </w:tcPr>
          <w:p w14:paraId="5BD75308">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1-7</w:t>
            </w:r>
          </w:p>
        </w:tc>
        <w:tc>
          <w:tcPr>
            <w:tcW w:w="5695" w:type="dxa"/>
            <w:vAlign w:val="center"/>
          </w:tcPr>
          <w:p w14:paraId="3CAD3DAD">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募投项目效益测算</w:t>
            </w:r>
          </w:p>
        </w:tc>
        <w:tc>
          <w:tcPr>
            <w:tcW w:w="743" w:type="dxa"/>
            <w:vAlign w:val="center"/>
          </w:tcPr>
          <w:p w14:paraId="66D47757">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1DE2CBAA">
            <w:pPr>
              <w:rPr>
                <w:rFonts w:ascii="Times New Roman" w:hAnsi="Times New Roman" w:eastAsia="仿宋_GB2312"/>
                <w:color w:val="000000" w:themeColor="text1"/>
                <w14:textFill>
                  <w14:solidFill>
                    <w14:schemeClr w14:val="tx1"/>
                  </w14:solidFill>
                </w14:textFill>
              </w:rPr>
            </w:pPr>
          </w:p>
        </w:tc>
        <w:tc>
          <w:tcPr>
            <w:tcW w:w="1500" w:type="dxa"/>
            <w:vAlign w:val="center"/>
          </w:tcPr>
          <w:p w14:paraId="7DB742C9">
            <w:pPr>
              <w:rPr>
                <w:rFonts w:ascii="Times New Roman" w:hAnsi="Times New Roman" w:eastAsia="仿宋_GB2312"/>
                <w:color w:val="000000" w:themeColor="text1"/>
                <w14:textFill>
                  <w14:solidFill>
                    <w14:schemeClr w14:val="tx1"/>
                  </w14:solidFill>
                </w14:textFill>
              </w:rPr>
            </w:pPr>
          </w:p>
        </w:tc>
        <w:tc>
          <w:tcPr>
            <w:tcW w:w="1286" w:type="dxa"/>
          </w:tcPr>
          <w:p w14:paraId="6BCD0371">
            <w:pPr>
              <w:rPr>
                <w:rFonts w:ascii="仿宋_GB2312" w:eastAsia="仿宋_GB2312"/>
                <w:color w:val="000000" w:themeColor="text1"/>
                <w14:textFill>
                  <w14:solidFill>
                    <w14:schemeClr w14:val="tx1"/>
                  </w14:solidFill>
                </w14:textFill>
              </w:rPr>
            </w:pPr>
          </w:p>
        </w:tc>
        <w:tc>
          <w:tcPr>
            <w:tcW w:w="1422" w:type="dxa"/>
          </w:tcPr>
          <w:p w14:paraId="0E24F92C">
            <w:pPr>
              <w:rPr>
                <w:rFonts w:ascii="仿宋_GB2312" w:eastAsia="仿宋_GB2312"/>
                <w:color w:val="000000" w:themeColor="text1"/>
                <w14:textFill>
                  <w14:solidFill>
                    <w14:schemeClr w14:val="tx1"/>
                  </w14:solidFill>
                </w14:textFill>
              </w:rPr>
            </w:pPr>
          </w:p>
        </w:tc>
        <w:tc>
          <w:tcPr>
            <w:tcW w:w="550" w:type="dxa"/>
            <w:vAlign w:val="center"/>
          </w:tcPr>
          <w:p w14:paraId="0CCB1996">
            <w:pPr>
              <w:rPr>
                <w:rFonts w:ascii="仿宋_GB2312" w:eastAsia="仿宋_GB2312"/>
                <w:color w:val="000000" w:themeColor="text1"/>
                <w14:textFill>
                  <w14:solidFill>
                    <w14:schemeClr w14:val="tx1"/>
                  </w14:solidFill>
                </w14:textFill>
              </w:rPr>
            </w:pPr>
          </w:p>
        </w:tc>
      </w:tr>
      <w:tr w14:paraId="24CBD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31ABF4B">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1-8</w:t>
            </w:r>
          </w:p>
        </w:tc>
        <w:tc>
          <w:tcPr>
            <w:tcW w:w="5695" w:type="dxa"/>
            <w:vAlign w:val="center"/>
          </w:tcPr>
          <w:p w14:paraId="61767CB6">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募投项目备案或审批情况</w:t>
            </w:r>
          </w:p>
        </w:tc>
        <w:tc>
          <w:tcPr>
            <w:tcW w:w="743" w:type="dxa"/>
            <w:vAlign w:val="center"/>
          </w:tcPr>
          <w:p w14:paraId="2E7439BE">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51DEDBF0">
            <w:pPr>
              <w:rPr>
                <w:rFonts w:ascii="Times New Roman" w:hAnsi="Times New Roman" w:eastAsia="仿宋_GB2312"/>
                <w:color w:val="000000" w:themeColor="text1"/>
                <w14:textFill>
                  <w14:solidFill>
                    <w14:schemeClr w14:val="tx1"/>
                  </w14:solidFill>
                </w14:textFill>
              </w:rPr>
            </w:pPr>
          </w:p>
        </w:tc>
        <w:tc>
          <w:tcPr>
            <w:tcW w:w="1500" w:type="dxa"/>
            <w:vAlign w:val="center"/>
          </w:tcPr>
          <w:p w14:paraId="42D4BD1B">
            <w:pPr>
              <w:rPr>
                <w:rFonts w:ascii="Times New Roman" w:hAnsi="Times New Roman" w:eastAsia="仿宋_GB2312"/>
                <w:color w:val="000000" w:themeColor="text1"/>
                <w14:textFill>
                  <w14:solidFill>
                    <w14:schemeClr w14:val="tx1"/>
                  </w14:solidFill>
                </w14:textFill>
              </w:rPr>
            </w:pPr>
          </w:p>
        </w:tc>
        <w:tc>
          <w:tcPr>
            <w:tcW w:w="1286" w:type="dxa"/>
          </w:tcPr>
          <w:p w14:paraId="56AC3956">
            <w:pPr>
              <w:rPr>
                <w:rFonts w:ascii="仿宋_GB2312" w:eastAsia="仿宋_GB2312"/>
                <w:color w:val="000000" w:themeColor="text1"/>
                <w14:textFill>
                  <w14:solidFill>
                    <w14:schemeClr w14:val="tx1"/>
                  </w14:solidFill>
                </w14:textFill>
              </w:rPr>
            </w:pPr>
          </w:p>
        </w:tc>
        <w:tc>
          <w:tcPr>
            <w:tcW w:w="1422" w:type="dxa"/>
          </w:tcPr>
          <w:p w14:paraId="6CC6AD7F">
            <w:pPr>
              <w:rPr>
                <w:rFonts w:ascii="仿宋_GB2312" w:eastAsia="仿宋_GB2312"/>
                <w:color w:val="000000" w:themeColor="text1"/>
                <w14:textFill>
                  <w14:solidFill>
                    <w14:schemeClr w14:val="tx1"/>
                  </w14:solidFill>
                </w14:textFill>
              </w:rPr>
            </w:pPr>
          </w:p>
        </w:tc>
        <w:tc>
          <w:tcPr>
            <w:tcW w:w="550" w:type="dxa"/>
            <w:vAlign w:val="center"/>
          </w:tcPr>
          <w:p w14:paraId="18C44F74">
            <w:pPr>
              <w:rPr>
                <w:rFonts w:ascii="仿宋_GB2312" w:eastAsia="仿宋_GB2312"/>
                <w:color w:val="000000" w:themeColor="text1"/>
                <w14:textFill>
                  <w14:solidFill>
                    <w14:schemeClr w14:val="tx1"/>
                  </w14:solidFill>
                </w14:textFill>
              </w:rPr>
            </w:pPr>
          </w:p>
        </w:tc>
      </w:tr>
      <w:tr w14:paraId="7A2FD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4D5C8F5">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1-9</w:t>
            </w:r>
          </w:p>
        </w:tc>
        <w:tc>
          <w:tcPr>
            <w:tcW w:w="5695" w:type="dxa"/>
            <w:vAlign w:val="center"/>
          </w:tcPr>
          <w:p w14:paraId="7A705880">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募集资金研发投入情况</w:t>
            </w:r>
          </w:p>
        </w:tc>
        <w:tc>
          <w:tcPr>
            <w:tcW w:w="743" w:type="dxa"/>
            <w:vAlign w:val="center"/>
          </w:tcPr>
          <w:p w14:paraId="65421480">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6C3274C8">
            <w:pPr>
              <w:rPr>
                <w:rFonts w:ascii="Times New Roman" w:hAnsi="Times New Roman" w:eastAsia="仿宋_GB2312"/>
                <w:color w:val="000000" w:themeColor="text1"/>
                <w14:textFill>
                  <w14:solidFill>
                    <w14:schemeClr w14:val="tx1"/>
                  </w14:solidFill>
                </w14:textFill>
              </w:rPr>
            </w:pPr>
          </w:p>
        </w:tc>
        <w:tc>
          <w:tcPr>
            <w:tcW w:w="1500" w:type="dxa"/>
            <w:vAlign w:val="center"/>
          </w:tcPr>
          <w:p w14:paraId="165E5150">
            <w:pPr>
              <w:rPr>
                <w:rFonts w:ascii="Times New Roman" w:hAnsi="Times New Roman" w:eastAsia="仿宋_GB2312"/>
                <w:color w:val="000000" w:themeColor="text1"/>
                <w14:textFill>
                  <w14:solidFill>
                    <w14:schemeClr w14:val="tx1"/>
                  </w14:solidFill>
                </w14:textFill>
              </w:rPr>
            </w:pPr>
          </w:p>
        </w:tc>
        <w:tc>
          <w:tcPr>
            <w:tcW w:w="1286" w:type="dxa"/>
          </w:tcPr>
          <w:p w14:paraId="0F870D55">
            <w:pPr>
              <w:rPr>
                <w:rFonts w:ascii="仿宋_GB2312" w:eastAsia="仿宋_GB2312"/>
                <w:color w:val="000000" w:themeColor="text1"/>
                <w14:textFill>
                  <w14:solidFill>
                    <w14:schemeClr w14:val="tx1"/>
                  </w14:solidFill>
                </w14:textFill>
              </w:rPr>
            </w:pPr>
          </w:p>
        </w:tc>
        <w:tc>
          <w:tcPr>
            <w:tcW w:w="1422" w:type="dxa"/>
          </w:tcPr>
          <w:p w14:paraId="0FE02357">
            <w:pPr>
              <w:rPr>
                <w:rFonts w:ascii="仿宋_GB2312" w:eastAsia="仿宋_GB2312"/>
                <w:color w:val="000000" w:themeColor="text1"/>
                <w14:textFill>
                  <w14:solidFill>
                    <w14:schemeClr w14:val="tx1"/>
                  </w14:solidFill>
                </w14:textFill>
              </w:rPr>
            </w:pPr>
          </w:p>
        </w:tc>
        <w:tc>
          <w:tcPr>
            <w:tcW w:w="550" w:type="dxa"/>
            <w:vAlign w:val="center"/>
          </w:tcPr>
          <w:p w14:paraId="1E6D58CD">
            <w:pPr>
              <w:rPr>
                <w:rFonts w:ascii="仿宋_GB2312" w:eastAsia="仿宋_GB2312"/>
                <w:color w:val="000000" w:themeColor="text1"/>
                <w14:textFill>
                  <w14:solidFill>
                    <w14:schemeClr w14:val="tx1"/>
                  </w14:solidFill>
                </w14:textFill>
              </w:rPr>
            </w:pPr>
          </w:p>
        </w:tc>
      </w:tr>
      <w:tr w14:paraId="243AA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8C9912A">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1-10</w:t>
            </w:r>
          </w:p>
        </w:tc>
        <w:tc>
          <w:tcPr>
            <w:tcW w:w="5695" w:type="dxa"/>
            <w:vAlign w:val="center"/>
          </w:tcPr>
          <w:p w14:paraId="5FBB6FB6">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发行人是否通过控股公司或参股公司实施募投项目</w:t>
            </w:r>
          </w:p>
        </w:tc>
        <w:tc>
          <w:tcPr>
            <w:tcW w:w="743" w:type="dxa"/>
            <w:vAlign w:val="center"/>
          </w:tcPr>
          <w:p w14:paraId="012A90C8">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3E869FF1">
            <w:pPr>
              <w:rPr>
                <w:rFonts w:ascii="Times New Roman" w:hAnsi="Times New Roman" w:eastAsia="仿宋_GB2312"/>
                <w:color w:val="000000" w:themeColor="text1"/>
                <w14:textFill>
                  <w14:solidFill>
                    <w14:schemeClr w14:val="tx1"/>
                  </w14:solidFill>
                </w14:textFill>
              </w:rPr>
            </w:pPr>
          </w:p>
        </w:tc>
        <w:tc>
          <w:tcPr>
            <w:tcW w:w="1500" w:type="dxa"/>
            <w:vAlign w:val="center"/>
          </w:tcPr>
          <w:p w14:paraId="2F835024">
            <w:pPr>
              <w:rPr>
                <w:rFonts w:ascii="Times New Roman" w:hAnsi="Times New Roman" w:eastAsia="仿宋_GB2312"/>
                <w:color w:val="000000" w:themeColor="text1"/>
                <w14:textFill>
                  <w14:solidFill>
                    <w14:schemeClr w14:val="tx1"/>
                  </w14:solidFill>
                </w14:textFill>
              </w:rPr>
            </w:pPr>
          </w:p>
        </w:tc>
        <w:tc>
          <w:tcPr>
            <w:tcW w:w="1286" w:type="dxa"/>
          </w:tcPr>
          <w:p w14:paraId="215E5A7A">
            <w:pPr>
              <w:rPr>
                <w:rFonts w:ascii="仿宋_GB2312" w:eastAsia="仿宋_GB2312"/>
                <w:color w:val="000000" w:themeColor="text1"/>
                <w14:textFill>
                  <w14:solidFill>
                    <w14:schemeClr w14:val="tx1"/>
                  </w14:solidFill>
                </w14:textFill>
              </w:rPr>
            </w:pPr>
          </w:p>
        </w:tc>
        <w:tc>
          <w:tcPr>
            <w:tcW w:w="1422" w:type="dxa"/>
          </w:tcPr>
          <w:p w14:paraId="20A253BD">
            <w:pPr>
              <w:rPr>
                <w:rFonts w:ascii="仿宋_GB2312" w:eastAsia="仿宋_GB2312"/>
                <w:color w:val="000000" w:themeColor="text1"/>
                <w14:textFill>
                  <w14:solidFill>
                    <w14:schemeClr w14:val="tx1"/>
                  </w14:solidFill>
                </w14:textFill>
              </w:rPr>
            </w:pPr>
          </w:p>
        </w:tc>
        <w:tc>
          <w:tcPr>
            <w:tcW w:w="550" w:type="dxa"/>
            <w:vAlign w:val="center"/>
          </w:tcPr>
          <w:p w14:paraId="33365898">
            <w:pPr>
              <w:rPr>
                <w:rFonts w:ascii="仿宋_GB2312" w:eastAsia="仿宋_GB2312"/>
                <w:color w:val="000000" w:themeColor="text1"/>
                <w14:textFill>
                  <w14:solidFill>
                    <w14:schemeClr w14:val="tx1"/>
                  </w14:solidFill>
                </w14:textFill>
              </w:rPr>
            </w:pPr>
          </w:p>
        </w:tc>
      </w:tr>
      <w:tr w14:paraId="47404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9C084C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1-11</w:t>
            </w:r>
          </w:p>
        </w:tc>
        <w:tc>
          <w:tcPr>
            <w:tcW w:w="5695" w:type="dxa"/>
            <w:vAlign w:val="center"/>
          </w:tcPr>
          <w:p w14:paraId="20097A05">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发行人主营业务或本次募投项目是否涉及产能过剩行业</w:t>
            </w:r>
            <w:r>
              <w:rPr>
                <w:rFonts w:hint="eastAsia" w:ascii="仿宋_GB2312" w:hAnsi="仿宋_GB2312" w:eastAsia="仿宋_GB2312" w:cs="仿宋_GB2312"/>
                <w:b/>
                <w:bCs/>
                <w:color w:val="000000" w:themeColor="text1"/>
                <w:lang w:eastAsia="zh-CN"/>
                <w14:textFill>
                  <w14:solidFill>
                    <w14:schemeClr w14:val="tx1"/>
                  </w14:solidFill>
                </w14:textFill>
              </w:rPr>
              <w:t>，</w:t>
            </w:r>
            <w:r>
              <w:rPr>
                <w:rFonts w:hint="eastAsia" w:ascii="仿宋_GB2312" w:hAnsi="仿宋_GB2312" w:eastAsia="仿宋_GB2312" w:cs="仿宋_GB2312"/>
                <w:b/>
                <w:bCs/>
                <w:color w:val="000000" w:themeColor="text1"/>
                <w14:textFill>
                  <w14:solidFill>
                    <w14:schemeClr w14:val="tx1"/>
                  </w14:solidFill>
                </w14:textFill>
              </w:rPr>
              <w:t>限制类、淘汰类行业，高耗能高排放行业</w:t>
            </w:r>
          </w:p>
        </w:tc>
        <w:tc>
          <w:tcPr>
            <w:tcW w:w="743" w:type="dxa"/>
            <w:vAlign w:val="center"/>
          </w:tcPr>
          <w:p w14:paraId="5BC03028">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5D22BCDA">
            <w:pPr>
              <w:rPr>
                <w:rFonts w:ascii="Times New Roman" w:hAnsi="Times New Roman" w:eastAsia="仿宋_GB2312"/>
                <w:color w:val="000000" w:themeColor="text1"/>
                <w14:textFill>
                  <w14:solidFill>
                    <w14:schemeClr w14:val="tx1"/>
                  </w14:solidFill>
                </w14:textFill>
              </w:rPr>
            </w:pPr>
          </w:p>
        </w:tc>
        <w:tc>
          <w:tcPr>
            <w:tcW w:w="1500" w:type="dxa"/>
            <w:vAlign w:val="center"/>
          </w:tcPr>
          <w:p w14:paraId="7A4B5378">
            <w:pPr>
              <w:rPr>
                <w:rFonts w:ascii="Times New Roman" w:hAnsi="Times New Roman" w:eastAsia="仿宋_GB2312"/>
                <w:color w:val="000000" w:themeColor="text1"/>
                <w14:textFill>
                  <w14:solidFill>
                    <w14:schemeClr w14:val="tx1"/>
                  </w14:solidFill>
                </w14:textFill>
              </w:rPr>
            </w:pPr>
          </w:p>
        </w:tc>
        <w:tc>
          <w:tcPr>
            <w:tcW w:w="1286" w:type="dxa"/>
          </w:tcPr>
          <w:p w14:paraId="583AB09F">
            <w:pPr>
              <w:rPr>
                <w:rFonts w:ascii="仿宋_GB2312" w:eastAsia="仿宋_GB2312"/>
                <w:color w:val="000000" w:themeColor="text1"/>
                <w14:textFill>
                  <w14:solidFill>
                    <w14:schemeClr w14:val="tx1"/>
                  </w14:solidFill>
                </w14:textFill>
              </w:rPr>
            </w:pPr>
          </w:p>
        </w:tc>
        <w:tc>
          <w:tcPr>
            <w:tcW w:w="1422" w:type="dxa"/>
          </w:tcPr>
          <w:p w14:paraId="28C92871">
            <w:pPr>
              <w:rPr>
                <w:rFonts w:ascii="仿宋_GB2312" w:eastAsia="仿宋_GB2312"/>
                <w:color w:val="000000" w:themeColor="text1"/>
                <w14:textFill>
                  <w14:solidFill>
                    <w14:schemeClr w14:val="tx1"/>
                  </w14:solidFill>
                </w14:textFill>
              </w:rPr>
            </w:pPr>
          </w:p>
        </w:tc>
        <w:tc>
          <w:tcPr>
            <w:tcW w:w="550" w:type="dxa"/>
            <w:vAlign w:val="center"/>
          </w:tcPr>
          <w:p w14:paraId="5ED7FB95">
            <w:pPr>
              <w:rPr>
                <w:rFonts w:ascii="仿宋_GB2312" w:eastAsia="仿宋_GB2312"/>
                <w:color w:val="000000" w:themeColor="text1"/>
                <w14:textFill>
                  <w14:solidFill>
                    <w14:schemeClr w14:val="tx1"/>
                  </w14:solidFill>
                </w14:textFill>
              </w:rPr>
            </w:pPr>
          </w:p>
        </w:tc>
      </w:tr>
      <w:tr w14:paraId="5363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C2A4BD3">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1-12</w:t>
            </w:r>
          </w:p>
        </w:tc>
        <w:tc>
          <w:tcPr>
            <w:tcW w:w="5695" w:type="dxa"/>
            <w:vAlign w:val="center"/>
          </w:tcPr>
          <w:p w14:paraId="1AD862C2">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募集资金投向科创领域</w:t>
            </w:r>
          </w:p>
        </w:tc>
        <w:tc>
          <w:tcPr>
            <w:tcW w:w="743" w:type="dxa"/>
            <w:vAlign w:val="center"/>
          </w:tcPr>
          <w:p w14:paraId="12C90691">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0D366FE8">
            <w:pPr>
              <w:rPr>
                <w:rFonts w:ascii="Times New Roman" w:hAnsi="Times New Roman" w:eastAsia="仿宋_GB2312"/>
                <w:color w:val="000000" w:themeColor="text1"/>
                <w14:textFill>
                  <w14:solidFill>
                    <w14:schemeClr w14:val="tx1"/>
                  </w14:solidFill>
                </w14:textFill>
              </w:rPr>
            </w:pPr>
          </w:p>
        </w:tc>
        <w:tc>
          <w:tcPr>
            <w:tcW w:w="1500" w:type="dxa"/>
            <w:vAlign w:val="center"/>
          </w:tcPr>
          <w:p w14:paraId="3584DFB5">
            <w:pPr>
              <w:rPr>
                <w:rFonts w:ascii="Times New Roman" w:hAnsi="Times New Roman" w:eastAsia="仿宋_GB2312"/>
                <w:color w:val="000000" w:themeColor="text1"/>
                <w14:textFill>
                  <w14:solidFill>
                    <w14:schemeClr w14:val="tx1"/>
                  </w14:solidFill>
                </w14:textFill>
              </w:rPr>
            </w:pPr>
          </w:p>
        </w:tc>
        <w:tc>
          <w:tcPr>
            <w:tcW w:w="1286" w:type="dxa"/>
          </w:tcPr>
          <w:p w14:paraId="359D85FB">
            <w:pPr>
              <w:rPr>
                <w:rFonts w:ascii="仿宋_GB2312" w:eastAsia="仿宋_GB2312"/>
                <w:color w:val="000000" w:themeColor="text1"/>
                <w14:textFill>
                  <w14:solidFill>
                    <w14:schemeClr w14:val="tx1"/>
                  </w14:solidFill>
                </w14:textFill>
              </w:rPr>
            </w:pPr>
          </w:p>
        </w:tc>
        <w:tc>
          <w:tcPr>
            <w:tcW w:w="1422" w:type="dxa"/>
          </w:tcPr>
          <w:p w14:paraId="3A7CAB66">
            <w:pPr>
              <w:rPr>
                <w:rFonts w:ascii="仿宋_GB2312" w:eastAsia="仿宋_GB2312"/>
                <w:color w:val="000000" w:themeColor="text1"/>
                <w14:textFill>
                  <w14:solidFill>
                    <w14:schemeClr w14:val="tx1"/>
                  </w14:solidFill>
                </w14:textFill>
              </w:rPr>
            </w:pPr>
          </w:p>
        </w:tc>
        <w:tc>
          <w:tcPr>
            <w:tcW w:w="550" w:type="dxa"/>
            <w:vAlign w:val="center"/>
          </w:tcPr>
          <w:p w14:paraId="0E00C3DC">
            <w:pPr>
              <w:rPr>
                <w:rFonts w:ascii="仿宋_GB2312" w:eastAsia="仿宋_GB2312"/>
                <w:color w:val="000000" w:themeColor="text1"/>
                <w14:textFill>
                  <w14:solidFill>
                    <w14:schemeClr w14:val="tx1"/>
                  </w14:solidFill>
                </w14:textFill>
              </w:rPr>
            </w:pPr>
          </w:p>
        </w:tc>
      </w:tr>
      <w:tr w14:paraId="221D7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78BAD09A">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二、关于发行方案的相关问题</w:t>
            </w:r>
          </w:p>
        </w:tc>
      </w:tr>
      <w:tr w14:paraId="42935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8AEDA6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2-1</w:t>
            </w:r>
          </w:p>
        </w:tc>
        <w:tc>
          <w:tcPr>
            <w:tcW w:w="5695" w:type="dxa"/>
            <w:vAlign w:val="center"/>
          </w:tcPr>
          <w:p w14:paraId="68EB38BE">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董事会前确定发行对象的相关事项</w:t>
            </w:r>
          </w:p>
        </w:tc>
        <w:tc>
          <w:tcPr>
            <w:tcW w:w="743" w:type="dxa"/>
            <w:vAlign w:val="center"/>
          </w:tcPr>
          <w:p w14:paraId="4E88EB66">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5CF9FAC1">
            <w:pPr>
              <w:rPr>
                <w:rFonts w:ascii="Times New Roman" w:hAnsi="Times New Roman" w:eastAsia="仿宋_GB2312"/>
                <w:color w:val="000000" w:themeColor="text1"/>
                <w14:textFill>
                  <w14:solidFill>
                    <w14:schemeClr w14:val="tx1"/>
                  </w14:solidFill>
                </w14:textFill>
              </w:rPr>
            </w:pPr>
          </w:p>
        </w:tc>
        <w:tc>
          <w:tcPr>
            <w:tcW w:w="1500" w:type="dxa"/>
            <w:vAlign w:val="center"/>
          </w:tcPr>
          <w:p w14:paraId="1B6C9E41">
            <w:pPr>
              <w:rPr>
                <w:rFonts w:ascii="Times New Roman" w:hAnsi="Times New Roman" w:eastAsia="仿宋_GB2312"/>
                <w:color w:val="000000" w:themeColor="text1"/>
                <w14:textFill>
                  <w14:solidFill>
                    <w14:schemeClr w14:val="tx1"/>
                  </w14:solidFill>
                </w14:textFill>
              </w:rPr>
            </w:pPr>
          </w:p>
        </w:tc>
        <w:tc>
          <w:tcPr>
            <w:tcW w:w="1286" w:type="dxa"/>
          </w:tcPr>
          <w:p w14:paraId="611281D0">
            <w:pPr>
              <w:rPr>
                <w:rFonts w:ascii="仿宋_GB2312" w:eastAsia="仿宋_GB2312"/>
                <w:color w:val="000000" w:themeColor="text1"/>
                <w14:textFill>
                  <w14:solidFill>
                    <w14:schemeClr w14:val="tx1"/>
                  </w14:solidFill>
                </w14:textFill>
              </w:rPr>
            </w:pPr>
          </w:p>
        </w:tc>
        <w:tc>
          <w:tcPr>
            <w:tcW w:w="1422" w:type="dxa"/>
          </w:tcPr>
          <w:p w14:paraId="4C7F7283">
            <w:pPr>
              <w:rPr>
                <w:rFonts w:ascii="仿宋_GB2312" w:eastAsia="仿宋_GB2312"/>
                <w:color w:val="000000" w:themeColor="text1"/>
                <w14:textFill>
                  <w14:solidFill>
                    <w14:schemeClr w14:val="tx1"/>
                  </w14:solidFill>
                </w14:textFill>
              </w:rPr>
            </w:pPr>
          </w:p>
        </w:tc>
        <w:tc>
          <w:tcPr>
            <w:tcW w:w="550" w:type="dxa"/>
            <w:vAlign w:val="center"/>
          </w:tcPr>
          <w:p w14:paraId="654515A8">
            <w:pPr>
              <w:rPr>
                <w:rFonts w:ascii="仿宋_GB2312" w:eastAsia="仿宋_GB2312"/>
                <w:color w:val="000000" w:themeColor="text1"/>
                <w14:textFill>
                  <w14:solidFill>
                    <w14:schemeClr w14:val="tx1"/>
                  </w14:solidFill>
                </w14:textFill>
              </w:rPr>
            </w:pPr>
          </w:p>
        </w:tc>
      </w:tr>
      <w:tr w14:paraId="0EAD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0E093612">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三、关于合规性的相关问题</w:t>
            </w:r>
          </w:p>
        </w:tc>
      </w:tr>
      <w:tr w14:paraId="4616B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2FD60712">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3-1</w:t>
            </w:r>
          </w:p>
        </w:tc>
        <w:tc>
          <w:tcPr>
            <w:tcW w:w="5695" w:type="dxa"/>
            <w:vAlign w:val="center"/>
          </w:tcPr>
          <w:p w14:paraId="498CDF66">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违法行为、资本市场失信惩戒相关信息核查</w:t>
            </w:r>
          </w:p>
        </w:tc>
        <w:tc>
          <w:tcPr>
            <w:tcW w:w="743" w:type="dxa"/>
            <w:vAlign w:val="center"/>
          </w:tcPr>
          <w:p w14:paraId="759D11E5">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65C6922E">
            <w:pPr>
              <w:rPr>
                <w:rFonts w:ascii="Times New Roman" w:hAnsi="Times New Roman" w:eastAsia="仿宋_GB2312"/>
                <w:color w:val="000000" w:themeColor="text1"/>
                <w14:textFill>
                  <w14:solidFill>
                    <w14:schemeClr w14:val="tx1"/>
                  </w14:solidFill>
                </w14:textFill>
              </w:rPr>
            </w:pPr>
          </w:p>
        </w:tc>
        <w:tc>
          <w:tcPr>
            <w:tcW w:w="1500" w:type="dxa"/>
            <w:vAlign w:val="center"/>
          </w:tcPr>
          <w:p w14:paraId="309B740E">
            <w:pPr>
              <w:rPr>
                <w:rFonts w:ascii="Times New Roman" w:hAnsi="Times New Roman" w:eastAsia="仿宋_GB2312"/>
                <w:color w:val="000000" w:themeColor="text1"/>
                <w14:textFill>
                  <w14:solidFill>
                    <w14:schemeClr w14:val="tx1"/>
                  </w14:solidFill>
                </w14:textFill>
              </w:rPr>
            </w:pPr>
          </w:p>
        </w:tc>
        <w:tc>
          <w:tcPr>
            <w:tcW w:w="1286" w:type="dxa"/>
          </w:tcPr>
          <w:p w14:paraId="335F1229">
            <w:pPr>
              <w:rPr>
                <w:rFonts w:ascii="仿宋_GB2312" w:eastAsia="仿宋_GB2312"/>
                <w:color w:val="000000" w:themeColor="text1"/>
                <w14:textFill>
                  <w14:solidFill>
                    <w14:schemeClr w14:val="tx1"/>
                  </w14:solidFill>
                </w14:textFill>
              </w:rPr>
            </w:pPr>
          </w:p>
        </w:tc>
        <w:tc>
          <w:tcPr>
            <w:tcW w:w="1422" w:type="dxa"/>
          </w:tcPr>
          <w:p w14:paraId="5F187BAA">
            <w:pPr>
              <w:rPr>
                <w:rFonts w:ascii="仿宋_GB2312" w:eastAsia="仿宋_GB2312"/>
                <w:color w:val="000000" w:themeColor="text1"/>
                <w14:textFill>
                  <w14:solidFill>
                    <w14:schemeClr w14:val="tx1"/>
                  </w14:solidFill>
                </w14:textFill>
              </w:rPr>
            </w:pPr>
          </w:p>
        </w:tc>
        <w:tc>
          <w:tcPr>
            <w:tcW w:w="550" w:type="dxa"/>
            <w:vAlign w:val="center"/>
          </w:tcPr>
          <w:p w14:paraId="623673E8">
            <w:pPr>
              <w:rPr>
                <w:rFonts w:ascii="仿宋_GB2312" w:eastAsia="仿宋_GB2312"/>
                <w:color w:val="000000" w:themeColor="text1"/>
                <w14:textFill>
                  <w14:solidFill>
                    <w14:schemeClr w14:val="tx1"/>
                  </w14:solidFill>
                </w14:textFill>
              </w:rPr>
            </w:pPr>
          </w:p>
        </w:tc>
      </w:tr>
      <w:tr w14:paraId="21E25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E48F51F">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3-2</w:t>
            </w:r>
          </w:p>
        </w:tc>
        <w:tc>
          <w:tcPr>
            <w:tcW w:w="5695" w:type="dxa"/>
            <w:vAlign w:val="center"/>
          </w:tcPr>
          <w:p w14:paraId="742F7AA5">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同业竞争</w:t>
            </w:r>
          </w:p>
        </w:tc>
        <w:tc>
          <w:tcPr>
            <w:tcW w:w="743" w:type="dxa"/>
            <w:vAlign w:val="center"/>
          </w:tcPr>
          <w:p w14:paraId="1A9D3CCE">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2E30FD64">
            <w:pPr>
              <w:rPr>
                <w:rFonts w:ascii="Times New Roman" w:hAnsi="Times New Roman" w:eastAsia="仿宋_GB2312"/>
                <w:color w:val="000000" w:themeColor="text1"/>
                <w14:textFill>
                  <w14:solidFill>
                    <w14:schemeClr w14:val="tx1"/>
                  </w14:solidFill>
                </w14:textFill>
              </w:rPr>
            </w:pPr>
          </w:p>
        </w:tc>
        <w:tc>
          <w:tcPr>
            <w:tcW w:w="1500" w:type="dxa"/>
            <w:vAlign w:val="center"/>
          </w:tcPr>
          <w:p w14:paraId="44BDA713">
            <w:pPr>
              <w:rPr>
                <w:rFonts w:ascii="Times New Roman" w:hAnsi="Times New Roman" w:eastAsia="仿宋_GB2312"/>
                <w:color w:val="000000" w:themeColor="text1"/>
                <w14:textFill>
                  <w14:solidFill>
                    <w14:schemeClr w14:val="tx1"/>
                  </w14:solidFill>
                </w14:textFill>
              </w:rPr>
            </w:pPr>
          </w:p>
        </w:tc>
        <w:tc>
          <w:tcPr>
            <w:tcW w:w="1286" w:type="dxa"/>
          </w:tcPr>
          <w:p w14:paraId="2821DB41">
            <w:pPr>
              <w:rPr>
                <w:rFonts w:ascii="仿宋_GB2312" w:eastAsia="仿宋_GB2312"/>
                <w:color w:val="000000" w:themeColor="text1"/>
                <w14:textFill>
                  <w14:solidFill>
                    <w14:schemeClr w14:val="tx1"/>
                  </w14:solidFill>
                </w14:textFill>
              </w:rPr>
            </w:pPr>
          </w:p>
        </w:tc>
        <w:tc>
          <w:tcPr>
            <w:tcW w:w="1422" w:type="dxa"/>
          </w:tcPr>
          <w:p w14:paraId="7190D354">
            <w:pPr>
              <w:rPr>
                <w:rFonts w:ascii="仿宋_GB2312" w:eastAsia="仿宋_GB2312"/>
                <w:color w:val="000000" w:themeColor="text1"/>
                <w14:textFill>
                  <w14:solidFill>
                    <w14:schemeClr w14:val="tx1"/>
                  </w14:solidFill>
                </w14:textFill>
              </w:rPr>
            </w:pPr>
          </w:p>
        </w:tc>
        <w:tc>
          <w:tcPr>
            <w:tcW w:w="550" w:type="dxa"/>
            <w:vAlign w:val="center"/>
          </w:tcPr>
          <w:p w14:paraId="4DE5A0A8">
            <w:pPr>
              <w:rPr>
                <w:rFonts w:ascii="仿宋_GB2312" w:eastAsia="仿宋_GB2312"/>
                <w:color w:val="000000" w:themeColor="text1"/>
                <w14:textFill>
                  <w14:solidFill>
                    <w14:schemeClr w14:val="tx1"/>
                  </w14:solidFill>
                </w14:textFill>
              </w:rPr>
            </w:pPr>
          </w:p>
        </w:tc>
      </w:tr>
      <w:tr w14:paraId="0DA2A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4B7772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3-3</w:t>
            </w:r>
          </w:p>
        </w:tc>
        <w:tc>
          <w:tcPr>
            <w:tcW w:w="5695" w:type="dxa"/>
            <w:vAlign w:val="center"/>
          </w:tcPr>
          <w:p w14:paraId="68EB238A">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关联交易</w:t>
            </w:r>
          </w:p>
        </w:tc>
        <w:tc>
          <w:tcPr>
            <w:tcW w:w="743" w:type="dxa"/>
            <w:vAlign w:val="center"/>
          </w:tcPr>
          <w:p w14:paraId="040A5A24">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4D82AD99">
            <w:pPr>
              <w:rPr>
                <w:rFonts w:ascii="Times New Roman" w:hAnsi="Times New Roman" w:eastAsia="仿宋_GB2312"/>
                <w:color w:val="000000" w:themeColor="text1"/>
                <w14:textFill>
                  <w14:solidFill>
                    <w14:schemeClr w14:val="tx1"/>
                  </w14:solidFill>
                </w14:textFill>
              </w:rPr>
            </w:pPr>
          </w:p>
        </w:tc>
        <w:tc>
          <w:tcPr>
            <w:tcW w:w="1500" w:type="dxa"/>
            <w:vAlign w:val="center"/>
          </w:tcPr>
          <w:p w14:paraId="63105796">
            <w:pPr>
              <w:rPr>
                <w:rFonts w:ascii="Times New Roman" w:hAnsi="Times New Roman" w:eastAsia="仿宋_GB2312"/>
                <w:color w:val="000000" w:themeColor="text1"/>
                <w14:textFill>
                  <w14:solidFill>
                    <w14:schemeClr w14:val="tx1"/>
                  </w14:solidFill>
                </w14:textFill>
              </w:rPr>
            </w:pPr>
          </w:p>
        </w:tc>
        <w:tc>
          <w:tcPr>
            <w:tcW w:w="1286" w:type="dxa"/>
          </w:tcPr>
          <w:p w14:paraId="2A6EB425">
            <w:pPr>
              <w:rPr>
                <w:rFonts w:ascii="仿宋_GB2312" w:eastAsia="仿宋_GB2312"/>
                <w:color w:val="000000" w:themeColor="text1"/>
                <w14:textFill>
                  <w14:solidFill>
                    <w14:schemeClr w14:val="tx1"/>
                  </w14:solidFill>
                </w14:textFill>
              </w:rPr>
            </w:pPr>
          </w:p>
        </w:tc>
        <w:tc>
          <w:tcPr>
            <w:tcW w:w="1422" w:type="dxa"/>
          </w:tcPr>
          <w:p w14:paraId="6B17C357">
            <w:pPr>
              <w:rPr>
                <w:rFonts w:ascii="仿宋_GB2312" w:eastAsia="仿宋_GB2312"/>
                <w:color w:val="000000" w:themeColor="text1"/>
                <w14:textFill>
                  <w14:solidFill>
                    <w14:schemeClr w14:val="tx1"/>
                  </w14:solidFill>
                </w14:textFill>
              </w:rPr>
            </w:pPr>
          </w:p>
        </w:tc>
        <w:tc>
          <w:tcPr>
            <w:tcW w:w="550" w:type="dxa"/>
            <w:vAlign w:val="center"/>
          </w:tcPr>
          <w:p w14:paraId="0FEB2D62">
            <w:pPr>
              <w:rPr>
                <w:rFonts w:ascii="仿宋_GB2312" w:eastAsia="仿宋_GB2312"/>
                <w:color w:val="000000" w:themeColor="text1"/>
                <w14:textFill>
                  <w14:solidFill>
                    <w14:schemeClr w14:val="tx1"/>
                  </w14:solidFill>
                </w14:textFill>
              </w:rPr>
            </w:pPr>
          </w:p>
        </w:tc>
      </w:tr>
      <w:tr w14:paraId="2400F5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6EB33B2">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3-4</w:t>
            </w:r>
          </w:p>
        </w:tc>
        <w:tc>
          <w:tcPr>
            <w:tcW w:w="5695" w:type="dxa"/>
            <w:vAlign w:val="center"/>
          </w:tcPr>
          <w:p w14:paraId="17F31E80">
            <w:pPr>
              <w:rPr>
                <w:rFonts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优先股</w:t>
            </w:r>
          </w:p>
        </w:tc>
        <w:tc>
          <w:tcPr>
            <w:tcW w:w="743" w:type="dxa"/>
            <w:vAlign w:val="center"/>
          </w:tcPr>
          <w:p w14:paraId="0025D722">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2C3B9250">
            <w:pPr>
              <w:rPr>
                <w:rFonts w:ascii="Times New Roman" w:hAnsi="Times New Roman" w:eastAsia="仿宋_GB2312"/>
                <w:color w:val="000000" w:themeColor="text1"/>
                <w14:textFill>
                  <w14:solidFill>
                    <w14:schemeClr w14:val="tx1"/>
                  </w14:solidFill>
                </w14:textFill>
              </w:rPr>
            </w:pPr>
          </w:p>
        </w:tc>
        <w:tc>
          <w:tcPr>
            <w:tcW w:w="1500" w:type="dxa"/>
            <w:vAlign w:val="center"/>
          </w:tcPr>
          <w:p w14:paraId="1B0CDCDB">
            <w:pPr>
              <w:rPr>
                <w:rFonts w:ascii="Times New Roman" w:hAnsi="Times New Roman" w:eastAsia="仿宋_GB2312"/>
                <w:color w:val="000000" w:themeColor="text1"/>
                <w14:textFill>
                  <w14:solidFill>
                    <w14:schemeClr w14:val="tx1"/>
                  </w14:solidFill>
                </w14:textFill>
              </w:rPr>
            </w:pPr>
          </w:p>
        </w:tc>
        <w:tc>
          <w:tcPr>
            <w:tcW w:w="1286" w:type="dxa"/>
          </w:tcPr>
          <w:p w14:paraId="30B9F763">
            <w:pPr>
              <w:rPr>
                <w:rFonts w:ascii="仿宋_GB2312" w:eastAsia="仿宋_GB2312"/>
                <w:color w:val="000000" w:themeColor="text1"/>
                <w14:textFill>
                  <w14:solidFill>
                    <w14:schemeClr w14:val="tx1"/>
                  </w14:solidFill>
                </w14:textFill>
              </w:rPr>
            </w:pPr>
          </w:p>
        </w:tc>
        <w:tc>
          <w:tcPr>
            <w:tcW w:w="1422" w:type="dxa"/>
          </w:tcPr>
          <w:p w14:paraId="395CDFF6">
            <w:pPr>
              <w:rPr>
                <w:rFonts w:ascii="仿宋_GB2312" w:eastAsia="仿宋_GB2312"/>
                <w:color w:val="000000" w:themeColor="text1"/>
                <w14:textFill>
                  <w14:solidFill>
                    <w14:schemeClr w14:val="tx1"/>
                  </w14:solidFill>
                </w14:textFill>
              </w:rPr>
            </w:pPr>
          </w:p>
        </w:tc>
        <w:tc>
          <w:tcPr>
            <w:tcW w:w="550" w:type="dxa"/>
            <w:vAlign w:val="center"/>
          </w:tcPr>
          <w:p w14:paraId="14A6A6B2">
            <w:pPr>
              <w:rPr>
                <w:rFonts w:ascii="仿宋_GB2312" w:eastAsia="仿宋_GB2312"/>
                <w:color w:val="000000" w:themeColor="text1"/>
                <w14:textFill>
                  <w14:solidFill>
                    <w14:schemeClr w14:val="tx1"/>
                  </w14:solidFill>
                </w14:textFill>
              </w:rPr>
            </w:pPr>
          </w:p>
        </w:tc>
      </w:tr>
      <w:tr w14:paraId="40E99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0F6EB4F9">
            <w:pPr>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3-5</w:t>
            </w:r>
          </w:p>
        </w:tc>
        <w:tc>
          <w:tcPr>
            <w:tcW w:w="5695" w:type="dxa"/>
            <w:vAlign w:val="center"/>
          </w:tcPr>
          <w:p w14:paraId="572747DF">
            <w:pPr>
              <w:rPr>
                <w:rFonts w:hint="default" w:ascii="仿宋_GB2312" w:hAnsi="仿宋_GB2312" w:eastAsia="仿宋_GB2312" w:cs="仿宋_GB2312"/>
                <w:b/>
                <w:bCs/>
                <w:color w:val="000000" w:themeColor="text1"/>
                <w:spacing w:val="-1"/>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
                <w:highlight w:val="none"/>
                <w:lang w:val="en-US" w:eastAsia="zh-CN"/>
                <w14:textFill>
                  <w14:solidFill>
                    <w14:schemeClr w14:val="tx1"/>
                  </w14:solidFill>
                </w14:textFill>
              </w:rPr>
              <w:t>股东会</w:t>
            </w:r>
            <w:r>
              <w:rPr>
                <w:rFonts w:hint="eastAsia" w:ascii="仿宋_GB2312" w:hAnsi="仿宋_GB2312" w:eastAsia="仿宋_GB2312" w:cs="仿宋_GB2312"/>
                <w:b/>
                <w:bCs/>
                <w:color w:val="000000" w:themeColor="text1"/>
                <w:spacing w:val="-1"/>
                <w:lang w:val="en-US" w:eastAsia="zh-CN"/>
                <w14:textFill>
                  <w14:solidFill>
                    <w14:schemeClr w14:val="tx1"/>
                  </w14:solidFill>
                </w14:textFill>
              </w:rPr>
              <w:t>决议有效期</w:t>
            </w:r>
          </w:p>
        </w:tc>
        <w:tc>
          <w:tcPr>
            <w:tcW w:w="743" w:type="dxa"/>
            <w:vAlign w:val="center"/>
          </w:tcPr>
          <w:p w14:paraId="79A82035">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797D481B">
            <w:pPr>
              <w:rPr>
                <w:rFonts w:ascii="Times New Roman" w:hAnsi="Times New Roman" w:eastAsia="仿宋_GB2312"/>
                <w:color w:val="000000" w:themeColor="text1"/>
                <w14:textFill>
                  <w14:solidFill>
                    <w14:schemeClr w14:val="tx1"/>
                  </w14:solidFill>
                </w14:textFill>
              </w:rPr>
            </w:pPr>
          </w:p>
        </w:tc>
        <w:tc>
          <w:tcPr>
            <w:tcW w:w="1500" w:type="dxa"/>
            <w:vAlign w:val="center"/>
          </w:tcPr>
          <w:p w14:paraId="7EB43506">
            <w:pPr>
              <w:rPr>
                <w:rFonts w:ascii="Times New Roman" w:hAnsi="Times New Roman" w:eastAsia="仿宋_GB2312"/>
                <w:color w:val="000000" w:themeColor="text1"/>
                <w14:textFill>
                  <w14:solidFill>
                    <w14:schemeClr w14:val="tx1"/>
                  </w14:solidFill>
                </w14:textFill>
              </w:rPr>
            </w:pPr>
          </w:p>
        </w:tc>
        <w:tc>
          <w:tcPr>
            <w:tcW w:w="1286" w:type="dxa"/>
          </w:tcPr>
          <w:p w14:paraId="207D46DF">
            <w:pPr>
              <w:rPr>
                <w:rFonts w:ascii="仿宋_GB2312" w:eastAsia="仿宋_GB2312"/>
                <w:color w:val="000000" w:themeColor="text1"/>
                <w14:textFill>
                  <w14:solidFill>
                    <w14:schemeClr w14:val="tx1"/>
                  </w14:solidFill>
                </w14:textFill>
              </w:rPr>
            </w:pPr>
          </w:p>
        </w:tc>
        <w:tc>
          <w:tcPr>
            <w:tcW w:w="1422" w:type="dxa"/>
          </w:tcPr>
          <w:p w14:paraId="79918349">
            <w:pPr>
              <w:rPr>
                <w:rFonts w:ascii="仿宋_GB2312" w:eastAsia="仿宋_GB2312"/>
                <w:color w:val="000000" w:themeColor="text1"/>
                <w14:textFill>
                  <w14:solidFill>
                    <w14:schemeClr w14:val="tx1"/>
                  </w14:solidFill>
                </w14:textFill>
              </w:rPr>
            </w:pPr>
          </w:p>
        </w:tc>
        <w:tc>
          <w:tcPr>
            <w:tcW w:w="550" w:type="dxa"/>
            <w:vAlign w:val="center"/>
          </w:tcPr>
          <w:p w14:paraId="0E3296AF">
            <w:pPr>
              <w:rPr>
                <w:rFonts w:ascii="仿宋_GB2312" w:eastAsia="仿宋_GB2312"/>
                <w:color w:val="000000" w:themeColor="text1"/>
                <w14:textFill>
                  <w14:solidFill>
                    <w14:schemeClr w14:val="tx1"/>
                  </w14:solidFill>
                </w14:textFill>
              </w:rPr>
            </w:pPr>
          </w:p>
        </w:tc>
      </w:tr>
      <w:tr w14:paraId="02E74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1C01564">
            <w:pPr>
              <w:jc w:val="center"/>
              <w:rPr>
                <w:rFonts w:hint="default" w:ascii="仿宋_GB2312" w:hAnsi="仿宋_GB2312" w:eastAsia="仿宋_GB2312" w:cs="仿宋_GB2312"/>
                <w:b/>
                <w:bCs/>
                <w:color w:val="000000" w:themeColor="text1"/>
                <w:lang w:val="en-US" w:eastAsia="zh-CN"/>
                <w14:textFill>
                  <w14:solidFill>
                    <w14:schemeClr w14:val="tx1"/>
                  </w14:solidFill>
                </w14:textFill>
              </w:rPr>
            </w:pPr>
            <w:r>
              <w:rPr>
                <w:rFonts w:hint="eastAsia" w:ascii="仿宋_GB2312" w:hAnsi="仿宋_GB2312" w:eastAsia="仿宋_GB2312" w:cs="仿宋_GB2312"/>
                <w:b/>
                <w:bCs/>
                <w:color w:val="000000" w:themeColor="text1"/>
                <w:lang w:val="en-US" w:eastAsia="zh-CN"/>
                <w14:textFill>
                  <w14:solidFill>
                    <w14:schemeClr w14:val="tx1"/>
                  </w14:solidFill>
                </w14:textFill>
              </w:rPr>
              <w:t>3-6</w:t>
            </w:r>
          </w:p>
        </w:tc>
        <w:tc>
          <w:tcPr>
            <w:tcW w:w="5695" w:type="dxa"/>
            <w:vAlign w:val="center"/>
          </w:tcPr>
          <w:p w14:paraId="3F4EEFB0">
            <w:pPr>
              <w:rPr>
                <w:rFonts w:hint="eastAsia" w:ascii="仿宋_GB2312" w:hAnsi="仿宋_GB2312" w:eastAsia="仿宋_GB2312" w:cs="仿宋_GB2312"/>
                <w:b/>
                <w:bCs/>
                <w:color w:val="000000" w:themeColor="text1"/>
                <w:spacing w:val="-1"/>
                <w:lang w:val="en-US" w:eastAsia="zh-CN"/>
                <w14:textFill>
                  <w14:solidFill>
                    <w14:schemeClr w14:val="tx1"/>
                  </w14:solidFill>
                </w14:textFill>
              </w:rPr>
            </w:pPr>
            <w:r>
              <w:rPr>
                <w:rFonts w:hint="eastAsia" w:ascii="仿宋_GB2312" w:hAnsi="仿宋_GB2312" w:eastAsia="仿宋_GB2312" w:cs="仿宋_GB2312"/>
                <w:b/>
                <w:bCs/>
                <w:color w:val="000000" w:themeColor="text1"/>
                <w:spacing w:val="-1"/>
                <w:lang w:val="en-US" w:eastAsia="zh-CN"/>
                <w14:textFill>
                  <w14:solidFill>
                    <w14:schemeClr w14:val="tx1"/>
                  </w14:solidFill>
                </w14:textFill>
              </w:rPr>
              <w:t>股份质押</w:t>
            </w:r>
          </w:p>
        </w:tc>
        <w:tc>
          <w:tcPr>
            <w:tcW w:w="743" w:type="dxa"/>
            <w:vAlign w:val="center"/>
          </w:tcPr>
          <w:p w14:paraId="51DFB5F8">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2115B0A7">
            <w:pPr>
              <w:rPr>
                <w:rFonts w:ascii="Times New Roman" w:hAnsi="Times New Roman" w:eastAsia="仿宋_GB2312"/>
                <w:color w:val="000000" w:themeColor="text1"/>
                <w14:textFill>
                  <w14:solidFill>
                    <w14:schemeClr w14:val="tx1"/>
                  </w14:solidFill>
                </w14:textFill>
              </w:rPr>
            </w:pPr>
          </w:p>
        </w:tc>
        <w:tc>
          <w:tcPr>
            <w:tcW w:w="1500" w:type="dxa"/>
            <w:vAlign w:val="center"/>
          </w:tcPr>
          <w:p w14:paraId="0CBCAAE8">
            <w:pPr>
              <w:rPr>
                <w:rFonts w:ascii="Times New Roman" w:hAnsi="Times New Roman" w:eastAsia="仿宋_GB2312"/>
                <w:color w:val="000000" w:themeColor="text1"/>
                <w14:textFill>
                  <w14:solidFill>
                    <w14:schemeClr w14:val="tx1"/>
                  </w14:solidFill>
                </w14:textFill>
              </w:rPr>
            </w:pPr>
          </w:p>
        </w:tc>
        <w:tc>
          <w:tcPr>
            <w:tcW w:w="1286" w:type="dxa"/>
          </w:tcPr>
          <w:p w14:paraId="2366C9A2">
            <w:pPr>
              <w:rPr>
                <w:rFonts w:ascii="仿宋_GB2312" w:eastAsia="仿宋_GB2312"/>
                <w:color w:val="000000" w:themeColor="text1"/>
                <w14:textFill>
                  <w14:solidFill>
                    <w14:schemeClr w14:val="tx1"/>
                  </w14:solidFill>
                </w14:textFill>
              </w:rPr>
            </w:pPr>
          </w:p>
        </w:tc>
        <w:tc>
          <w:tcPr>
            <w:tcW w:w="1422" w:type="dxa"/>
          </w:tcPr>
          <w:p w14:paraId="4999B523">
            <w:pPr>
              <w:rPr>
                <w:rFonts w:ascii="仿宋_GB2312" w:eastAsia="仿宋_GB2312"/>
                <w:color w:val="000000" w:themeColor="text1"/>
                <w14:textFill>
                  <w14:solidFill>
                    <w14:schemeClr w14:val="tx1"/>
                  </w14:solidFill>
                </w14:textFill>
              </w:rPr>
            </w:pPr>
          </w:p>
        </w:tc>
        <w:tc>
          <w:tcPr>
            <w:tcW w:w="550" w:type="dxa"/>
            <w:vAlign w:val="center"/>
          </w:tcPr>
          <w:p w14:paraId="0CC1DCC5">
            <w:pPr>
              <w:rPr>
                <w:rFonts w:ascii="仿宋_GB2312" w:eastAsia="仿宋_GB2312"/>
                <w:color w:val="000000" w:themeColor="text1"/>
                <w14:textFill>
                  <w14:solidFill>
                    <w14:schemeClr w14:val="tx1"/>
                  </w14:solidFill>
                </w14:textFill>
              </w:rPr>
            </w:pPr>
          </w:p>
        </w:tc>
      </w:tr>
      <w:tr w14:paraId="3F04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4175" w:type="dxa"/>
            <w:gridSpan w:val="8"/>
            <w:vAlign w:val="center"/>
          </w:tcPr>
          <w:p w14:paraId="041C2C22">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四、关于业务及经营情况的相关问题</w:t>
            </w:r>
          </w:p>
        </w:tc>
      </w:tr>
      <w:tr w14:paraId="664D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6974AD8E">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4-1</w:t>
            </w:r>
          </w:p>
        </w:tc>
        <w:tc>
          <w:tcPr>
            <w:tcW w:w="5695" w:type="dxa"/>
          </w:tcPr>
          <w:p w14:paraId="34A93737">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业务经营情况</w:t>
            </w:r>
          </w:p>
        </w:tc>
        <w:tc>
          <w:tcPr>
            <w:tcW w:w="743" w:type="dxa"/>
            <w:vAlign w:val="center"/>
          </w:tcPr>
          <w:p w14:paraId="54EC5DDC">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4054652C">
            <w:pPr>
              <w:rPr>
                <w:rFonts w:ascii="Times New Roman" w:hAnsi="Times New Roman" w:eastAsia="仿宋_GB2312"/>
                <w:color w:val="000000" w:themeColor="text1"/>
                <w14:textFill>
                  <w14:solidFill>
                    <w14:schemeClr w14:val="tx1"/>
                  </w14:solidFill>
                </w14:textFill>
              </w:rPr>
            </w:pPr>
          </w:p>
        </w:tc>
        <w:tc>
          <w:tcPr>
            <w:tcW w:w="1500" w:type="dxa"/>
            <w:vAlign w:val="center"/>
          </w:tcPr>
          <w:p w14:paraId="71293B1D">
            <w:pPr>
              <w:rPr>
                <w:rFonts w:ascii="Times New Roman" w:hAnsi="Times New Roman" w:eastAsia="仿宋_GB2312"/>
                <w:color w:val="000000" w:themeColor="text1"/>
                <w14:textFill>
                  <w14:solidFill>
                    <w14:schemeClr w14:val="tx1"/>
                  </w14:solidFill>
                </w14:textFill>
              </w:rPr>
            </w:pPr>
          </w:p>
        </w:tc>
        <w:tc>
          <w:tcPr>
            <w:tcW w:w="1286" w:type="dxa"/>
          </w:tcPr>
          <w:p w14:paraId="3AF05143">
            <w:pPr>
              <w:rPr>
                <w:rFonts w:ascii="仿宋_GB2312" w:eastAsia="仿宋_GB2312"/>
                <w:color w:val="000000" w:themeColor="text1"/>
                <w14:textFill>
                  <w14:solidFill>
                    <w14:schemeClr w14:val="tx1"/>
                  </w14:solidFill>
                </w14:textFill>
              </w:rPr>
            </w:pPr>
          </w:p>
        </w:tc>
        <w:tc>
          <w:tcPr>
            <w:tcW w:w="1422" w:type="dxa"/>
          </w:tcPr>
          <w:p w14:paraId="6DF16851">
            <w:pPr>
              <w:rPr>
                <w:rFonts w:ascii="仿宋_GB2312" w:eastAsia="仿宋_GB2312"/>
                <w:color w:val="000000" w:themeColor="text1"/>
                <w14:textFill>
                  <w14:solidFill>
                    <w14:schemeClr w14:val="tx1"/>
                  </w14:solidFill>
                </w14:textFill>
              </w:rPr>
            </w:pPr>
          </w:p>
        </w:tc>
        <w:tc>
          <w:tcPr>
            <w:tcW w:w="550" w:type="dxa"/>
            <w:vAlign w:val="center"/>
          </w:tcPr>
          <w:p w14:paraId="0F0853CE">
            <w:pPr>
              <w:rPr>
                <w:rFonts w:ascii="仿宋_GB2312" w:eastAsia="仿宋_GB2312"/>
                <w:color w:val="000000" w:themeColor="text1"/>
                <w14:textFill>
                  <w14:solidFill>
                    <w14:schemeClr w14:val="tx1"/>
                  </w14:solidFill>
                </w14:textFill>
              </w:rPr>
            </w:pPr>
          </w:p>
        </w:tc>
      </w:tr>
      <w:tr w14:paraId="3888E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326620AD">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4-2</w:t>
            </w:r>
          </w:p>
        </w:tc>
        <w:tc>
          <w:tcPr>
            <w:tcW w:w="5695" w:type="dxa"/>
          </w:tcPr>
          <w:p w14:paraId="650FB3D4">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财务性投资</w:t>
            </w:r>
          </w:p>
        </w:tc>
        <w:tc>
          <w:tcPr>
            <w:tcW w:w="743" w:type="dxa"/>
            <w:vAlign w:val="center"/>
          </w:tcPr>
          <w:p w14:paraId="4EFFECFF">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705EEB75">
            <w:pPr>
              <w:rPr>
                <w:rFonts w:ascii="Times New Roman" w:hAnsi="Times New Roman" w:eastAsia="仿宋_GB2312"/>
                <w:color w:val="000000" w:themeColor="text1"/>
                <w14:textFill>
                  <w14:solidFill>
                    <w14:schemeClr w14:val="tx1"/>
                  </w14:solidFill>
                </w14:textFill>
              </w:rPr>
            </w:pPr>
          </w:p>
        </w:tc>
        <w:tc>
          <w:tcPr>
            <w:tcW w:w="1500" w:type="dxa"/>
            <w:vAlign w:val="center"/>
          </w:tcPr>
          <w:p w14:paraId="47413059">
            <w:pPr>
              <w:rPr>
                <w:rFonts w:ascii="Times New Roman" w:hAnsi="Times New Roman" w:eastAsia="仿宋_GB2312"/>
                <w:color w:val="000000" w:themeColor="text1"/>
                <w14:textFill>
                  <w14:solidFill>
                    <w14:schemeClr w14:val="tx1"/>
                  </w14:solidFill>
                </w14:textFill>
              </w:rPr>
            </w:pPr>
          </w:p>
        </w:tc>
        <w:tc>
          <w:tcPr>
            <w:tcW w:w="1286" w:type="dxa"/>
          </w:tcPr>
          <w:p w14:paraId="318FDFE8">
            <w:pPr>
              <w:rPr>
                <w:rFonts w:ascii="仿宋_GB2312" w:eastAsia="仿宋_GB2312"/>
                <w:color w:val="000000" w:themeColor="text1"/>
                <w14:textFill>
                  <w14:solidFill>
                    <w14:schemeClr w14:val="tx1"/>
                  </w14:solidFill>
                </w14:textFill>
              </w:rPr>
            </w:pPr>
          </w:p>
        </w:tc>
        <w:tc>
          <w:tcPr>
            <w:tcW w:w="1422" w:type="dxa"/>
          </w:tcPr>
          <w:p w14:paraId="3443B5D3">
            <w:pPr>
              <w:rPr>
                <w:rFonts w:ascii="仿宋_GB2312" w:eastAsia="仿宋_GB2312"/>
                <w:color w:val="000000" w:themeColor="text1"/>
                <w14:textFill>
                  <w14:solidFill>
                    <w14:schemeClr w14:val="tx1"/>
                  </w14:solidFill>
                </w14:textFill>
              </w:rPr>
            </w:pPr>
          </w:p>
        </w:tc>
        <w:tc>
          <w:tcPr>
            <w:tcW w:w="550" w:type="dxa"/>
            <w:vAlign w:val="center"/>
          </w:tcPr>
          <w:p w14:paraId="70C4ED5B">
            <w:pPr>
              <w:rPr>
                <w:rFonts w:ascii="仿宋_GB2312" w:eastAsia="仿宋_GB2312"/>
                <w:color w:val="000000" w:themeColor="text1"/>
                <w14:textFill>
                  <w14:solidFill>
                    <w14:schemeClr w14:val="tx1"/>
                  </w14:solidFill>
                </w14:textFill>
              </w:rPr>
            </w:pPr>
          </w:p>
        </w:tc>
      </w:tr>
      <w:tr w14:paraId="4067D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4CBF9E99">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4-3</w:t>
            </w:r>
          </w:p>
        </w:tc>
        <w:tc>
          <w:tcPr>
            <w:tcW w:w="5695" w:type="dxa"/>
          </w:tcPr>
          <w:p w14:paraId="544CE3B9">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类金融业务</w:t>
            </w:r>
          </w:p>
        </w:tc>
        <w:tc>
          <w:tcPr>
            <w:tcW w:w="743" w:type="dxa"/>
            <w:vAlign w:val="center"/>
          </w:tcPr>
          <w:p w14:paraId="46CDB6C7">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04644ADA">
            <w:pPr>
              <w:rPr>
                <w:rFonts w:ascii="Times New Roman" w:hAnsi="Times New Roman" w:eastAsia="仿宋_GB2312"/>
                <w:color w:val="000000" w:themeColor="text1"/>
                <w14:textFill>
                  <w14:solidFill>
                    <w14:schemeClr w14:val="tx1"/>
                  </w14:solidFill>
                </w14:textFill>
              </w:rPr>
            </w:pPr>
          </w:p>
        </w:tc>
        <w:tc>
          <w:tcPr>
            <w:tcW w:w="1500" w:type="dxa"/>
            <w:vAlign w:val="center"/>
          </w:tcPr>
          <w:p w14:paraId="696FDA18">
            <w:pPr>
              <w:rPr>
                <w:rFonts w:ascii="Times New Roman" w:hAnsi="Times New Roman" w:eastAsia="仿宋_GB2312"/>
                <w:color w:val="000000" w:themeColor="text1"/>
                <w14:textFill>
                  <w14:solidFill>
                    <w14:schemeClr w14:val="tx1"/>
                  </w14:solidFill>
                </w14:textFill>
              </w:rPr>
            </w:pPr>
          </w:p>
        </w:tc>
        <w:tc>
          <w:tcPr>
            <w:tcW w:w="1286" w:type="dxa"/>
          </w:tcPr>
          <w:p w14:paraId="0E5EFD4F">
            <w:pPr>
              <w:rPr>
                <w:rFonts w:ascii="仿宋_GB2312" w:eastAsia="仿宋_GB2312"/>
                <w:color w:val="000000" w:themeColor="text1"/>
                <w14:textFill>
                  <w14:solidFill>
                    <w14:schemeClr w14:val="tx1"/>
                  </w14:solidFill>
                </w14:textFill>
              </w:rPr>
            </w:pPr>
          </w:p>
        </w:tc>
        <w:tc>
          <w:tcPr>
            <w:tcW w:w="1422" w:type="dxa"/>
          </w:tcPr>
          <w:p w14:paraId="7797653E">
            <w:pPr>
              <w:rPr>
                <w:rFonts w:ascii="仿宋_GB2312" w:eastAsia="仿宋_GB2312"/>
                <w:color w:val="000000" w:themeColor="text1"/>
                <w14:textFill>
                  <w14:solidFill>
                    <w14:schemeClr w14:val="tx1"/>
                  </w14:solidFill>
                </w14:textFill>
              </w:rPr>
            </w:pPr>
          </w:p>
        </w:tc>
        <w:tc>
          <w:tcPr>
            <w:tcW w:w="550" w:type="dxa"/>
            <w:vAlign w:val="center"/>
          </w:tcPr>
          <w:p w14:paraId="77E802E2">
            <w:pPr>
              <w:rPr>
                <w:rFonts w:ascii="仿宋_GB2312" w:eastAsia="仿宋_GB2312"/>
                <w:color w:val="000000" w:themeColor="text1"/>
                <w14:textFill>
                  <w14:solidFill>
                    <w14:schemeClr w14:val="tx1"/>
                  </w14:solidFill>
                </w14:textFill>
              </w:rPr>
            </w:pPr>
          </w:p>
        </w:tc>
      </w:tr>
      <w:tr w14:paraId="20439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577DA96C">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4-4</w:t>
            </w:r>
          </w:p>
        </w:tc>
        <w:tc>
          <w:tcPr>
            <w:tcW w:w="5695" w:type="dxa"/>
          </w:tcPr>
          <w:p w14:paraId="0E78E7BE">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影响公司核心竞争力、经营稳定性及未来发展的重大风险</w:t>
            </w:r>
          </w:p>
        </w:tc>
        <w:tc>
          <w:tcPr>
            <w:tcW w:w="743" w:type="dxa"/>
            <w:vAlign w:val="center"/>
          </w:tcPr>
          <w:p w14:paraId="40BFF7EF">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00CA00BB">
            <w:pPr>
              <w:rPr>
                <w:rFonts w:ascii="Times New Roman" w:hAnsi="Times New Roman" w:eastAsia="仿宋_GB2312"/>
                <w:color w:val="000000" w:themeColor="text1"/>
                <w14:textFill>
                  <w14:solidFill>
                    <w14:schemeClr w14:val="tx1"/>
                  </w14:solidFill>
                </w14:textFill>
              </w:rPr>
            </w:pPr>
          </w:p>
        </w:tc>
        <w:tc>
          <w:tcPr>
            <w:tcW w:w="1500" w:type="dxa"/>
            <w:vAlign w:val="center"/>
          </w:tcPr>
          <w:p w14:paraId="0D82FBD4">
            <w:pPr>
              <w:rPr>
                <w:rFonts w:ascii="Times New Roman" w:hAnsi="Times New Roman" w:eastAsia="仿宋_GB2312"/>
                <w:color w:val="000000" w:themeColor="text1"/>
                <w14:textFill>
                  <w14:solidFill>
                    <w14:schemeClr w14:val="tx1"/>
                  </w14:solidFill>
                </w14:textFill>
              </w:rPr>
            </w:pPr>
          </w:p>
        </w:tc>
        <w:tc>
          <w:tcPr>
            <w:tcW w:w="1286" w:type="dxa"/>
          </w:tcPr>
          <w:p w14:paraId="72E88251">
            <w:pPr>
              <w:rPr>
                <w:rFonts w:ascii="仿宋_GB2312" w:eastAsia="仿宋_GB2312"/>
                <w:color w:val="000000" w:themeColor="text1"/>
                <w14:textFill>
                  <w14:solidFill>
                    <w14:schemeClr w14:val="tx1"/>
                  </w14:solidFill>
                </w14:textFill>
              </w:rPr>
            </w:pPr>
          </w:p>
        </w:tc>
        <w:tc>
          <w:tcPr>
            <w:tcW w:w="1422" w:type="dxa"/>
          </w:tcPr>
          <w:p w14:paraId="1AFE429A">
            <w:pPr>
              <w:rPr>
                <w:rFonts w:ascii="仿宋_GB2312" w:eastAsia="仿宋_GB2312"/>
                <w:color w:val="000000" w:themeColor="text1"/>
                <w14:textFill>
                  <w14:solidFill>
                    <w14:schemeClr w14:val="tx1"/>
                  </w14:solidFill>
                </w14:textFill>
              </w:rPr>
            </w:pPr>
          </w:p>
        </w:tc>
        <w:tc>
          <w:tcPr>
            <w:tcW w:w="550" w:type="dxa"/>
            <w:vAlign w:val="center"/>
          </w:tcPr>
          <w:p w14:paraId="15A6ABB4">
            <w:pPr>
              <w:rPr>
                <w:rFonts w:ascii="仿宋_GB2312" w:eastAsia="仿宋_GB2312"/>
                <w:color w:val="000000" w:themeColor="text1"/>
                <w14:textFill>
                  <w14:solidFill>
                    <w14:schemeClr w14:val="tx1"/>
                  </w14:solidFill>
                </w14:textFill>
              </w:rPr>
            </w:pPr>
          </w:p>
        </w:tc>
      </w:tr>
      <w:tr w14:paraId="31935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751" w:type="dxa"/>
            <w:vAlign w:val="center"/>
          </w:tcPr>
          <w:p w14:paraId="741CC1BC">
            <w:pPr>
              <w:jc w:val="cente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4-5</w:t>
            </w:r>
          </w:p>
        </w:tc>
        <w:tc>
          <w:tcPr>
            <w:tcW w:w="5695" w:type="dxa"/>
          </w:tcPr>
          <w:p w14:paraId="1BD24E35">
            <w:pPr>
              <w:rPr>
                <w:rFonts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舆情情况</w:t>
            </w:r>
          </w:p>
        </w:tc>
        <w:tc>
          <w:tcPr>
            <w:tcW w:w="743" w:type="dxa"/>
            <w:vAlign w:val="center"/>
          </w:tcPr>
          <w:p w14:paraId="316F1615">
            <w:pPr>
              <w:rPr>
                <w:rFonts w:ascii="Times New Roman" w:hAnsi="Times New Roman" w:eastAsia="仿宋_GB2312"/>
                <w:bCs/>
                <w:color w:val="000000" w:themeColor="text1"/>
                <w14:textFill>
                  <w14:solidFill>
                    <w14:schemeClr w14:val="tx1"/>
                  </w14:solidFill>
                </w14:textFill>
              </w:rPr>
            </w:pPr>
          </w:p>
        </w:tc>
        <w:tc>
          <w:tcPr>
            <w:tcW w:w="2228" w:type="dxa"/>
            <w:vAlign w:val="center"/>
          </w:tcPr>
          <w:p w14:paraId="23096438">
            <w:pPr>
              <w:rPr>
                <w:rFonts w:ascii="Times New Roman" w:hAnsi="Times New Roman" w:eastAsia="仿宋_GB2312"/>
                <w:color w:val="000000" w:themeColor="text1"/>
                <w14:textFill>
                  <w14:solidFill>
                    <w14:schemeClr w14:val="tx1"/>
                  </w14:solidFill>
                </w14:textFill>
              </w:rPr>
            </w:pPr>
          </w:p>
        </w:tc>
        <w:tc>
          <w:tcPr>
            <w:tcW w:w="1500" w:type="dxa"/>
            <w:vAlign w:val="center"/>
          </w:tcPr>
          <w:p w14:paraId="4A6EF078">
            <w:pPr>
              <w:rPr>
                <w:rFonts w:ascii="Times New Roman" w:hAnsi="Times New Roman" w:eastAsia="仿宋_GB2312"/>
                <w:color w:val="000000" w:themeColor="text1"/>
                <w14:textFill>
                  <w14:solidFill>
                    <w14:schemeClr w14:val="tx1"/>
                  </w14:solidFill>
                </w14:textFill>
              </w:rPr>
            </w:pPr>
          </w:p>
        </w:tc>
        <w:tc>
          <w:tcPr>
            <w:tcW w:w="1286" w:type="dxa"/>
          </w:tcPr>
          <w:p w14:paraId="4FDBDF57">
            <w:pPr>
              <w:rPr>
                <w:rFonts w:ascii="仿宋_GB2312" w:eastAsia="仿宋_GB2312"/>
                <w:color w:val="000000" w:themeColor="text1"/>
                <w14:textFill>
                  <w14:solidFill>
                    <w14:schemeClr w14:val="tx1"/>
                  </w14:solidFill>
                </w14:textFill>
              </w:rPr>
            </w:pPr>
          </w:p>
        </w:tc>
        <w:tc>
          <w:tcPr>
            <w:tcW w:w="1422" w:type="dxa"/>
          </w:tcPr>
          <w:p w14:paraId="001A9134">
            <w:pPr>
              <w:rPr>
                <w:rFonts w:ascii="仿宋_GB2312" w:eastAsia="仿宋_GB2312"/>
                <w:color w:val="000000" w:themeColor="text1"/>
                <w14:textFill>
                  <w14:solidFill>
                    <w14:schemeClr w14:val="tx1"/>
                  </w14:solidFill>
                </w14:textFill>
              </w:rPr>
            </w:pPr>
          </w:p>
        </w:tc>
        <w:tc>
          <w:tcPr>
            <w:tcW w:w="550" w:type="dxa"/>
            <w:vAlign w:val="center"/>
          </w:tcPr>
          <w:p w14:paraId="308B183A">
            <w:pPr>
              <w:rPr>
                <w:rFonts w:ascii="仿宋_GB2312" w:eastAsia="仿宋_GB2312"/>
                <w:color w:val="000000" w:themeColor="text1"/>
                <w14:textFill>
                  <w14:solidFill>
                    <w14:schemeClr w14:val="tx1"/>
                  </w14:solidFill>
                </w14:textFill>
              </w:rPr>
            </w:pPr>
          </w:p>
        </w:tc>
      </w:tr>
    </w:tbl>
    <w:p w14:paraId="6373D32A">
      <w:pPr>
        <w:spacing w:line="0" w:lineRule="atLeast"/>
        <w:rPr>
          <w:rFonts w:ascii="黑体" w:hAnsi="黑体" w:eastAsia="黑体"/>
          <w:b/>
          <w:color w:val="000000" w:themeColor="text1"/>
          <w:sz w:val="44"/>
          <w:szCs w:val="44"/>
          <w14:textFill>
            <w14:solidFill>
              <w14:schemeClr w14:val="tx1"/>
            </w14:solidFill>
          </w14:textFill>
        </w:rPr>
      </w:pPr>
    </w:p>
    <w:p w14:paraId="4F5B02E8">
      <w:pPr>
        <w:adjustRightInd w:val="0"/>
        <w:snapToGrid w:val="0"/>
        <w:spacing w:line="600" w:lineRule="exact"/>
        <w:ind w:firstLine="602" w:firstLineChars="200"/>
        <w:rPr>
          <w:rFonts w:ascii="Times New Roman" w:hAnsi="Times New Roman" w:eastAsia="黑体"/>
          <w:b/>
          <w:color w:val="000000" w:themeColor="text1"/>
          <w:sz w:val="44"/>
          <w:szCs w:val="44"/>
          <w:highlight w:val="none"/>
          <w14:textFill>
            <w14:solidFill>
              <w14:schemeClr w14:val="tx1"/>
            </w14:solidFill>
          </w14:textFill>
        </w:rPr>
      </w:pPr>
      <w:r>
        <w:rPr>
          <w:rFonts w:hint="eastAsia" w:ascii="Times New Roman" w:hAnsi="黑体" w:eastAsia="黑体"/>
          <w:b/>
          <w:color w:val="000000" w:themeColor="text1"/>
          <w:sz w:val="30"/>
          <w:szCs w:val="30"/>
          <w:highlight w:val="none"/>
          <w14:textFill>
            <w14:solidFill>
              <w14:schemeClr w14:val="tx1"/>
            </w14:solidFill>
          </w14:textFill>
        </w:rPr>
        <w:t>填写要求：</w:t>
      </w:r>
    </w:p>
    <w:p w14:paraId="7F1CEB24">
      <w:pPr>
        <w:adjustRightInd w:val="0"/>
        <w:snapToGrid w:val="0"/>
        <w:spacing w:line="600" w:lineRule="exact"/>
        <w:ind w:firstLine="602" w:firstLineChars="200"/>
        <w:outlineLvl w:val="0"/>
        <w:rPr>
          <w:rFonts w:ascii="Times New Roman" w:hAnsi="Times New Roman" w:eastAsia="黑体"/>
          <w:b/>
          <w:color w:val="000000" w:themeColor="text1"/>
          <w:sz w:val="30"/>
          <w:szCs w:val="30"/>
          <w14:textFill>
            <w14:solidFill>
              <w14:schemeClr w14:val="tx1"/>
            </w14:solidFill>
          </w14:textFill>
        </w:rPr>
      </w:pPr>
      <w:r>
        <w:rPr>
          <w:rFonts w:hint="eastAsia" w:ascii="Times New Roman" w:hAnsi="黑体" w:eastAsia="黑体"/>
          <w:b/>
          <w:color w:val="000000" w:themeColor="text1"/>
          <w:sz w:val="30"/>
          <w:szCs w:val="30"/>
          <w14:textFill>
            <w14:solidFill>
              <w14:schemeClr w14:val="tx1"/>
            </w14:solidFill>
          </w14:textFill>
        </w:rPr>
        <w:t>一、填写规范</w:t>
      </w:r>
    </w:p>
    <w:p w14:paraId="64FB0E7F">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1.请保荐人、发行人律师、申报会计师参考“二、核查及披露要求”认真、如实填写和提交《常见问题的信息披露和核查要求自查表》（以下简称《自查表》）。</w:t>
      </w:r>
    </w:p>
    <w:p w14:paraId="14A168B5">
      <w:pPr>
        <w:adjustRightInd w:val="0"/>
        <w:snapToGrid w:val="0"/>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2.请保荐人在《自查表》“披露要求落实情况”中填写相关内容在募集说明书中的章节，在“核查要求落实情况”中填写相关适用事项在保荐工作报告</w:t>
      </w:r>
      <w:r>
        <w:rPr>
          <w:rFonts w:hint="eastAsia" w:ascii="仿宋_GB2312" w:hAnsi="Times New Roman" w:eastAsia="仿宋_GB2312"/>
          <w:color w:val="000000" w:themeColor="text1"/>
          <w:sz w:val="30"/>
          <w:szCs w:val="30"/>
          <w:lang w:eastAsia="zh-CN"/>
          <w14:textFill>
            <w14:solidFill>
              <w14:schemeClr w14:val="tx1"/>
            </w14:solidFill>
          </w14:textFill>
        </w:rPr>
        <w:t>的章节</w:t>
      </w:r>
      <w:r>
        <w:rPr>
          <w:rFonts w:hint="eastAsia" w:ascii="仿宋_GB2312" w:hAnsi="Times New Roman" w:eastAsia="仿宋_GB2312"/>
          <w:color w:val="000000" w:themeColor="text1"/>
          <w:sz w:val="30"/>
          <w:szCs w:val="30"/>
          <w14:textFill>
            <w14:solidFill>
              <w14:schemeClr w14:val="tx1"/>
            </w14:solidFill>
          </w14:textFill>
        </w:rPr>
        <w:t>或专项核查报告等申报材料的</w:t>
      </w:r>
      <w:r>
        <w:rPr>
          <w:rFonts w:hint="eastAsia" w:ascii="仿宋_GB2312" w:hAnsi="Times New Roman" w:eastAsia="仿宋_GB2312"/>
          <w:color w:val="000000" w:themeColor="text1"/>
          <w:sz w:val="30"/>
          <w:szCs w:val="30"/>
          <w:lang w:eastAsia="zh-CN"/>
          <w14:textFill>
            <w14:solidFill>
              <w14:schemeClr w14:val="tx1"/>
            </w14:solidFill>
          </w14:textFill>
        </w:rPr>
        <w:t>名称</w:t>
      </w:r>
      <w:r>
        <w:rPr>
          <w:rFonts w:hint="eastAsia" w:ascii="仿宋_GB2312" w:hAnsi="Times New Roman" w:eastAsia="仿宋_GB2312"/>
          <w:color w:val="000000" w:themeColor="text1"/>
          <w:sz w:val="30"/>
          <w:szCs w:val="30"/>
          <w14:textFill>
            <w14:solidFill>
              <w14:schemeClr w14:val="tx1"/>
            </w14:solidFill>
          </w14:textFill>
        </w:rPr>
        <w:t>（如有）。</w:t>
      </w:r>
    </w:p>
    <w:p w14:paraId="72E22277">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3.涉及发行人律师核查事项的，请在律师工作报告中说明对相关问题的核查情况，并在《自查表》“核查要求落实情况”中填写相关适用事项在律师工作报告中的章节（如有）。</w:t>
      </w:r>
    </w:p>
    <w:p w14:paraId="7DB23A82">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4.涉及申报会计师核查事项的，申报会计师应出具专项核查报告，说明对相关问题的核查情况，并在《自查表》“核查要求落实情况”中填写相关适用事项在会计师专项核查报告中的章节（如有）。</w:t>
      </w:r>
    </w:p>
    <w:p w14:paraId="68DC2C2A">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5.相关事项注明为【科创板】的，适用于科创板再融资申报企业，注明为【主板】的，适用于主板再融资申报企业；如无特别注明，科创板和主板均应适用。相关事项对发行人不适用的，原则上无需在保荐工作报告或专项核查报告中进行说明，但需在《自查表》“备注”一栏中写明理由。有其他需要特别说明的事项，亦请在“备注”一栏中填写。</w:t>
      </w:r>
    </w:p>
    <w:p w14:paraId="16EFC45F">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6</w:t>
      </w:r>
      <w:r>
        <w:rPr>
          <w:rFonts w:hint="eastAsia" w:ascii="仿宋_GB2312" w:hAnsi="Times New Roman" w:eastAsia="仿宋_GB2312"/>
          <w:color w:val="000000" w:themeColor="text1"/>
          <w:sz w:val="30"/>
          <w:szCs w:val="30"/>
          <w14:textFill>
            <w14:solidFill>
              <w14:schemeClr w14:val="tx1"/>
            </w14:solidFill>
          </w14:textFill>
        </w:rPr>
        <w:t>.请保荐人在审核系统提交首次申报材料时或受理后3个工作日内将《自查表》及相关核查报告提交，属于上市公司发行优先股申请文件的，《自查表》填报目录为5-19-4，会计师专项核查报告填报目录为5-19-5；属于发行其他类型证券申请文件的，《自查表》填报目录为6-22-3，会计师专项核查报告填报目录为6-22-4，并采用可编辑的word格式。</w:t>
      </w:r>
    </w:p>
    <w:p w14:paraId="3604583D">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7</w:t>
      </w:r>
      <w:r>
        <w:rPr>
          <w:rFonts w:hint="eastAsia" w:ascii="仿宋_GB2312" w:hAnsi="Times New Roman" w:eastAsia="仿宋_GB2312"/>
          <w:color w:val="000000" w:themeColor="text1"/>
          <w:sz w:val="30"/>
          <w:szCs w:val="30"/>
          <w14:textFill>
            <w14:solidFill>
              <w14:schemeClr w14:val="tx1"/>
            </w14:solidFill>
          </w14:textFill>
        </w:rPr>
        <w:t>.《自查表》应由保荐业务负责人、内核负责人、投行质控负责人、保荐代表人、签字律师、签字会计师签字，加盖保荐人、律师事务所、会计师事务所公章并注明签署日期。会计师专项核查报告应由签字会计师签字，加盖会计师事务所公章并注明签署日期。</w:t>
      </w:r>
    </w:p>
    <w:p w14:paraId="6B28A948">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8</w:t>
      </w:r>
      <w:r>
        <w:rPr>
          <w:rFonts w:hint="eastAsia" w:ascii="仿宋_GB2312" w:hAnsi="Times New Roman" w:eastAsia="仿宋_GB2312"/>
          <w:color w:val="000000" w:themeColor="text1"/>
          <w:sz w:val="30"/>
          <w:szCs w:val="30"/>
          <w14:textFill>
            <w14:solidFill>
              <w14:schemeClr w14:val="tx1"/>
            </w14:solidFill>
          </w14:textFill>
        </w:rPr>
        <w:t>.《自查表》仅列示申报常见问题供保荐人、律师事务所、会计师事务所参考。相关机构应当按照规则规定并结合发行人实际情况，全面履行核查义务。如发行人存在其他影响发行上市条件的重大事项、根据最新监管要求需进行披露及核查的事项且不属于《自查表》事项的，可对《自查表》进行必要的增补。</w:t>
      </w:r>
    </w:p>
    <w:p w14:paraId="48F5B54F">
      <w:pPr>
        <w:spacing w:line="600" w:lineRule="exact"/>
        <w:ind w:firstLine="600" w:firstLineChars="200"/>
        <w:rPr>
          <w:rFonts w:hint="eastAsia"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9</w:t>
      </w:r>
      <w:r>
        <w:rPr>
          <w:rFonts w:hint="eastAsia" w:ascii="仿宋_GB2312" w:hAnsi="Times New Roman" w:eastAsia="仿宋_GB2312"/>
          <w:color w:val="000000" w:themeColor="text1"/>
          <w:sz w:val="30"/>
          <w:szCs w:val="30"/>
          <w14:textFill>
            <w14:solidFill>
              <w14:schemeClr w14:val="tx1"/>
            </w14:solidFill>
          </w14:textFill>
        </w:rPr>
        <w:t>.在审企业更新财务资料时，应同步更新保荐工作报告、律师工作报告、会计师专项核查报告中与《自查表》相关的内容。</w:t>
      </w:r>
    </w:p>
    <w:p w14:paraId="7744C7ED">
      <w:pPr>
        <w:spacing w:line="600" w:lineRule="exact"/>
        <w:ind w:firstLine="600" w:firstLineChars="200"/>
        <w:rPr>
          <w:rFonts w:hint="default" w:ascii="仿宋_GB2312" w:hAnsi="Times New Roman" w:eastAsia="仿宋_GB2312"/>
          <w:color w:val="000000" w:themeColor="text1"/>
          <w:sz w:val="30"/>
          <w:szCs w:val="30"/>
          <w:lang w:val="en-US" w:eastAsia="zh-CN"/>
          <w14:textFill>
            <w14:solidFill>
              <w14:schemeClr w14:val="tx1"/>
            </w14:solidFill>
          </w14:textFill>
        </w:rPr>
      </w:pPr>
      <w:r>
        <w:rPr>
          <w:rFonts w:hint="eastAsia" w:ascii="仿宋_GB2312" w:hAnsi="Times New Roman" w:eastAsia="仿宋_GB2312"/>
          <w:color w:val="000000" w:themeColor="text1"/>
          <w:sz w:val="30"/>
          <w:szCs w:val="30"/>
          <w:lang w:val="en-US" w:eastAsia="zh-CN"/>
          <w14:textFill>
            <w14:solidFill>
              <w14:schemeClr w14:val="tx1"/>
            </w14:solidFill>
          </w14:textFill>
        </w:rPr>
        <w:t>10.</w:t>
      </w:r>
      <w:r>
        <w:rPr>
          <w:rFonts w:hint="eastAsia" w:ascii="仿宋_GB2312" w:hAnsi="Times New Roman" w:eastAsia="仿宋_GB2312"/>
          <w:color w:val="000000" w:themeColor="text1"/>
          <w:sz w:val="30"/>
          <w:szCs w:val="30"/>
          <w:highlight w:val="none"/>
          <w:lang w:val="en-US" w:eastAsia="zh-CN"/>
          <w14:textFill>
            <w14:solidFill>
              <w14:schemeClr w14:val="tx1"/>
            </w14:solidFill>
          </w14:textFill>
        </w:rPr>
        <w:t>各中介机构应当高度重视，认真落实并回应信息披露及核查要求。对于已经按照《自查表》充分核查、披露的问题，本所将根据实际情况相应简化问询；对于未落实相关信息披露及核查要求，导致发行上市申请文件内容存在重大缺陷，严重影响投资者理解和上市审核的，本所将根据《上海证券交易所上市公司证券发行上市审核规则》等有关规定，终止发行上市审核。《自查表》的填报质量将作为中介机构执业质量评价的参考依据。</w:t>
      </w:r>
    </w:p>
    <w:p w14:paraId="71CEFAE8">
      <w:pPr>
        <w:spacing w:line="600" w:lineRule="exact"/>
        <w:ind w:firstLine="600" w:firstLineChars="200"/>
        <w:rPr>
          <w:rFonts w:ascii="仿宋_GB2312" w:hAnsi="Times New Roman" w:eastAsia="仿宋_GB2312"/>
          <w:color w:val="000000" w:themeColor="text1"/>
          <w:sz w:val="30"/>
          <w:szCs w:val="30"/>
          <w14:textFill>
            <w14:solidFill>
              <w14:schemeClr w14:val="tx1"/>
            </w14:solidFill>
          </w14:textFill>
        </w:rPr>
      </w:pPr>
      <w:r>
        <w:rPr>
          <w:rFonts w:hint="eastAsia" w:ascii="仿宋_GB2312" w:hAnsi="Times New Roman" w:eastAsia="仿宋_GB2312"/>
          <w:color w:val="000000" w:themeColor="text1"/>
          <w:sz w:val="30"/>
          <w:szCs w:val="30"/>
          <w14:textFill>
            <w14:solidFill>
              <w14:schemeClr w14:val="tx1"/>
            </w14:solidFill>
          </w14:textFill>
        </w:rPr>
        <w:t>本所将根据相关规定的修订，动态更新《自查表》。中介机构填写《自查表》过程中，如有任何疑问或完善建议，可通过电子邮件等方式向本所咨询或反映诉求。Email：</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"mailto:shzx@sse.com.cn" </w:instrText>
      </w:r>
      <w:r>
        <w:rPr>
          <w:color w:val="000000" w:themeColor="text1"/>
          <w14:textFill>
            <w14:solidFill>
              <w14:schemeClr w14:val="tx1"/>
            </w14:solidFill>
          </w14:textFill>
        </w:rPr>
        <w:fldChar w:fldCharType="separate"/>
      </w:r>
      <w:r>
        <w:rPr>
          <w:rStyle w:val="15"/>
          <w:rFonts w:hint="eastAsia" w:ascii="仿宋_GB2312" w:hAnsi="Times New Roman" w:eastAsia="仿宋_GB2312"/>
          <w:color w:val="000000" w:themeColor="text1"/>
          <w:sz w:val="30"/>
          <w:szCs w:val="30"/>
          <w:u w:val="none"/>
          <w14:textFill>
            <w14:solidFill>
              <w14:schemeClr w14:val="tx1"/>
            </w14:solidFill>
          </w14:textFill>
        </w:rPr>
        <w:t>shzx@sse.com.cn</w:t>
      </w:r>
      <w:r>
        <w:rPr>
          <w:rStyle w:val="15"/>
          <w:rFonts w:hint="eastAsia" w:ascii="仿宋_GB2312" w:hAnsi="Times New Roman" w:eastAsia="仿宋_GB2312"/>
          <w:color w:val="000000" w:themeColor="text1"/>
          <w:sz w:val="30"/>
          <w:szCs w:val="30"/>
          <w:u w:val="none"/>
          <w14:textFill>
            <w14:solidFill>
              <w14:schemeClr w14:val="tx1"/>
            </w14:solidFill>
          </w14:textFill>
        </w:rPr>
        <w:fldChar w:fldCharType="end"/>
      </w:r>
    </w:p>
    <w:p w14:paraId="3002151D">
      <w:pPr>
        <w:adjustRightInd w:val="0"/>
        <w:snapToGrid w:val="0"/>
        <w:spacing w:line="600" w:lineRule="exact"/>
        <w:ind w:firstLine="452" w:firstLineChars="150"/>
        <w:rPr>
          <w:rFonts w:ascii="黑体" w:hAnsi="黑体" w:eastAsia="黑体"/>
          <w:b/>
          <w:color w:val="000000" w:themeColor="text1"/>
          <w:sz w:val="30"/>
          <w:szCs w:val="30"/>
          <w14:textFill>
            <w14:solidFill>
              <w14:schemeClr w14:val="tx1"/>
            </w14:solidFill>
          </w14:textFill>
        </w:rPr>
      </w:pPr>
      <w:r>
        <w:rPr>
          <w:rFonts w:hint="eastAsia" w:ascii="黑体" w:hAnsi="黑体" w:eastAsia="黑体"/>
          <w:b/>
          <w:color w:val="000000" w:themeColor="text1"/>
          <w:sz w:val="30"/>
          <w:szCs w:val="30"/>
          <w14:textFill>
            <w14:solidFill>
              <w14:schemeClr w14:val="tx1"/>
            </w14:solidFill>
          </w14:textFill>
        </w:rPr>
        <w:t>二、核查及披露要求</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0"/>
        <w:gridCol w:w="1434"/>
        <w:gridCol w:w="4738"/>
        <w:gridCol w:w="4441"/>
        <w:gridCol w:w="2641"/>
      </w:tblGrid>
      <w:tr w14:paraId="340F7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54" w:type="dxa"/>
            <w:gridSpan w:val="5"/>
            <w:shd w:val="clear" w:color="auto" w:fill="8DB3E2"/>
            <w:vAlign w:val="center"/>
          </w:tcPr>
          <w:p w14:paraId="3E5A0D84">
            <w:pPr>
              <w:adjustRightInd w:val="0"/>
              <w:snapToGrid w:val="0"/>
              <w:jc w:val="center"/>
              <w:rPr>
                <w:rFonts w:hint="eastAsia" w:ascii="仿宋_GB2312" w:hAnsi="仿宋_GB2312" w:eastAsia="仿宋_GB2312" w:cs="仿宋_GB2312"/>
                <w:color w:val="000000" w:themeColor="text1"/>
                <w:szCs w:val="24"/>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一、关于募集资金运用的相关问题</w:t>
            </w:r>
          </w:p>
        </w:tc>
      </w:tr>
      <w:tr w14:paraId="3408F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0" w:type="dxa"/>
            <w:vAlign w:val="center"/>
          </w:tcPr>
          <w:p w14:paraId="1A6D6D31">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序号</w:t>
            </w:r>
          </w:p>
        </w:tc>
        <w:tc>
          <w:tcPr>
            <w:tcW w:w="1434" w:type="dxa"/>
            <w:vAlign w:val="center"/>
          </w:tcPr>
          <w:p w14:paraId="01E233BF">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问题</w:t>
            </w:r>
          </w:p>
        </w:tc>
        <w:tc>
          <w:tcPr>
            <w:tcW w:w="4738" w:type="dxa"/>
            <w:vAlign w:val="center"/>
          </w:tcPr>
          <w:p w14:paraId="3DB5F90C">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披露要求</w:t>
            </w:r>
          </w:p>
        </w:tc>
        <w:tc>
          <w:tcPr>
            <w:tcW w:w="4441" w:type="dxa"/>
            <w:vAlign w:val="center"/>
          </w:tcPr>
          <w:p w14:paraId="5EABCF63">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核查要求</w:t>
            </w:r>
          </w:p>
        </w:tc>
        <w:tc>
          <w:tcPr>
            <w:tcW w:w="2641" w:type="dxa"/>
            <w:vAlign w:val="center"/>
          </w:tcPr>
          <w:p w14:paraId="6D4B8244">
            <w:pPr>
              <w:snapToGrid w:val="0"/>
              <w:jc w:val="center"/>
              <w:rPr>
                <w:rFonts w:hint="eastAsia" w:ascii="仿宋_GB2312" w:hAnsi="仿宋_GB2312" w:eastAsia="仿宋_GB2312" w:cs="仿宋_GB2312"/>
                <w:b/>
                <w:color w:val="000000" w:themeColor="text1"/>
                <w:highlight w:val="none"/>
                <w14:textFill>
                  <w14:solidFill>
                    <w14:schemeClr w14:val="tx1"/>
                  </w14:solidFill>
                </w14:textFill>
              </w:rPr>
            </w:pPr>
            <w:r>
              <w:rPr>
                <w:rFonts w:hint="eastAsia" w:ascii="仿宋_GB2312" w:hAnsi="仿宋_GB2312" w:eastAsia="仿宋_GB2312" w:cs="仿宋_GB2312"/>
                <w:b/>
                <w:color w:val="000000" w:themeColor="text1"/>
                <w:highlight w:val="none"/>
                <w14:textFill>
                  <w14:solidFill>
                    <w14:schemeClr w14:val="tx1"/>
                  </w14:solidFill>
                </w14:textFill>
              </w:rPr>
              <w:t>参考规范</w:t>
            </w:r>
          </w:p>
        </w:tc>
      </w:tr>
      <w:tr w14:paraId="7633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14:paraId="6B14E4B7">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w:t>
            </w:r>
          </w:p>
        </w:tc>
        <w:tc>
          <w:tcPr>
            <w:tcW w:w="1434" w:type="dxa"/>
            <w:vAlign w:val="center"/>
          </w:tcPr>
          <w:p w14:paraId="696C10A5">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历次募集资金使用情况</w:t>
            </w:r>
          </w:p>
        </w:tc>
        <w:tc>
          <w:tcPr>
            <w:tcW w:w="4738" w:type="dxa"/>
          </w:tcPr>
          <w:p w14:paraId="0576F349">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发行人应披露：</w:t>
            </w:r>
          </w:p>
          <w:p w14:paraId="3EF5A9D2">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（1）最近五年内募集资金运用的基本情况，包括实际募集资金金额、募投项目及其变更情况、资金投入进度及效益等；</w:t>
            </w:r>
          </w:p>
          <w:p w14:paraId="6F120E48">
            <w:pPr>
              <w:pStyle w:val="44"/>
              <w:numPr>
                <w:ilvl w:val="-1"/>
                <w:numId w:val="0"/>
              </w:num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（2）前次募集资金用途发生变更或项目延期的，发行人应披露</w:t>
            </w:r>
            <w:r>
              <w:rPr>
                <w:rFonts w:hint="eastAsia" w:ascii="仿宋_GB2312" w:hAnsi="仿宋_GB2312" w:eastAsia="仿宋_GB2312" w:cs="仿宋_GB2312"/>
                <w:color w:val="000000" w:themeColor="text1"/>
                <w:highlight w:val="none"/>
                <w:lang w:val="en-US"/>
                <w14:textFill>
                  <w14:solidFill>
                    <w14:schemeClr w14:val="tx1"/>
                  </w14:solidFill>
                </w14:textFill>
              </w:rPr>
              <w:t>原因</w:t>
            </w:r>
            <w:r>
              <w:rPr>
                <w:rFonts w:hint="eastAsia" w:ascii="仿宋_GB2312" w:hAnsi="仿宋_GB2312" w:eastAsia="仿宋_GB2312" w:cs="仿宋_GB2312"/>
                <w:color w:val="000000" w:themeColor="text1"/>
                <w:highlight w:val="none"/>
                <w14:textFill>
                  <w14:solidFill>
                    <w14:schemeClr w14:val="tx1"/>
                  </w14:solidFill>
                </w14:textFill>
              </w:rPr>
              <w:t>、内容、履行的决策程序及其实施进展和效益。科创板上市公司还应分析变更后募投项目是否属于科技创新领域；</w:t>
            </w:r>
          </w:p>
          <w:p w14:paraId="048BF8CC">
            <w:pPr>
              <w:numPr>
                <w:ilvl w:val="0"/>
                <w:numId w:val="0"/>
              </w:numPr>
              <w:snapToGrid w:val="0"/>
              <w:jc w:val="both"/>
              <w:rPr>
                <w:rFonts w:ascii="Times New Roman" w:hAnsi="Times New Roman" w:eastAsia="仿宋_GB2312"/>
                <w:color w:val="000000" w:themeColor="text1"/>
                <w:kern w:val="0"/>
                <w:sz w:val="24"/>
                <w14:textFill>
                  <w14:solidFill>
                    <w14:schemeClr w14:val="tx1"/>
                  </w14:solidFill>
                </w14:textFill>
              </w:rPr>
            </w:pPr>
            <w:r>
              <w:rPr>
                <w:rFonts w:hint="eastAsia" w:ascii="Times New Roman" w:hAnsi="Times New Roman" w:eastAsia="仿宋_GB2312"/>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lang w:val="en-US" w:eastAsia="zh-CN"/>
                <w14:textFill>
                  <w14:solidFill>
                    <w14:schemeClr w14:val="tx1"/>
                  </w14:solidFill>
                </w14:textFill>
              </w:rPr>
              <w:t>3</w:t>
            </w:r>
            <w:r>
              <w:rPr>
                <w:rFonts w:hint="eastAsia" w:ascii="Times New Roman" w:hAnsi="Times New Roman" w:eastAsia="仿宋_GB2312"/>
                <w:color w:val="000000" w:themeColor="text1"/>
                <w:kern w:val="0"/>
                <w:sz w:val="24"/>
                <w:lang w:eastAsia="zh-CN"/>
                <w14:textFill>
                  <w14:solidFill>
                    <w14:schemeClr w14:val="tx1"/>
                  </w14:solidFill>
                </w14:textFill>
              </w:rPr>
              <w:t>）</w:t>
            </w:r>
            <w:r>
              <w:rPr>
                <w:rFonts w:hint="eastAsia" w:ascii="Times New Roman" w:hAnsi="Times New Roman" w:eastAsia="仿宋_GB2312"/>
                <w:color w:val="000000" w:themeColor="text1"/>
                <w:kern w:val="0"/>
                <w:sz w:val="24"/>
                <w14:textFill>
                  <w14:solidFill>
                    <w14:schemeClr w14:val="tx1"/>
                  </w14:solidFill>
                </w14:textFill>
              </w:rPr>
              <w:t>如果超过五年的前次募集资金</w:t>
            </w:r>
            <w:r>
              <w:rPr>
                <w:rFonts w:hint="eastAsia" w:eastAsia="仿宋_GB2312"/>
                <w:color w:val="000000" w:themeColor="text1"/>
                <w:kern w:val="0"/>
                <w:sz w:val="24"/>
                <w:lang w:eastAsia="zh-CN"/>
                <w14:textFill>
                  <w14:solidFill>
                    <w14:schemeClr w14:val="tx1"/>
                  </w14:solidFill>
                </w14:textFill>
              </w:rPr>
              <w:t>（含</w:t>
            </w:r>
            <w:r>
              <w:rPr>
                <w:rFonts w:hint="eastAsia" w:eastAsia="仿宋_GB2312"/>
                <w:color w:val="000000" w:themeColor="text1"/>
                <w:kern w:val="0"/>
                <w:sz w:val="24"/>
                <w:lang w:val="en-US" w:eastAsia="zh-CN"/>
                <w14:textFill>
                  <w14:solidFill>
                    <w14:schemeClr w14:val="tx1"/>
                  </w14:solidFill>
                </w14:textFill>
              </w:rPr>
              <w:t>IPO及以后的历次融资</w:t>
            </w:r>
            <w:r>
              <w:rPr>
                <w:rFonts w:hint="eastAsia" w:eastAsia="仿宋_GB2312"/>
                <w:color w:val="000000" w:themeColor="text1"/>
                <w:kern w:val="0"/>
                <w:sz w:val="24"/>
                <w:lang w:eastAsia="zh-CN"/>
                <w14:textFill>
                  <w14:solidFill>
                    <w14:schemeClr w14:val="tx1"/>
                  </w14:solidFill>
                </w14:textFill>
              </w:rPr>
              <w:t>）用途</w:t>
            </w:r>
            <w:r>
              <w:rPr>
                <w:rFonts w:hint="eastAsia" w:ascii="Times New Roman" w:hAnsi="Times New Roman" w:eastAsia="仿宋_GB2312"/>
                <w:color w:val="000000" w:themeColor="text1"/>
                <w:kern w:val="0"/>
                <w:sz w:val="24"/>
                <w14:textFill>
                  <w14:solidFill>
                    <w14:schemeClr w14:val="tx1"/>
                  </w14:solidFill>
                </w14:textFill>
              </w:rPr>
              <w:t>存在变更</w:t>
            </w:r>
            <w:r>
              <w:rPr>
                <w:rFonts w:hint="eastAsia" w:eastAsia="仿宋_GB2312"/>
                <w:color w:val="000000" w:themeColor="text1"/>
                <w:kern w:val="0"/>
                <w:sz w:val="24"/>
                <w:lang w:eastAsia="zh-CN"/>
                <w14:textFill>
                  <w14:solidFill>
                    <w14:schemeClr w14:val="tx1"/>
                  </w14:solidFill>
                </w14:textFill>
              </w:rPr>
              <w:t>的</w:t>
            </w:r>
            <w:r>
              <w:rPr>
                <w:rFonts w:hint="eastAsia" w:ascii="Times New Roman" w:hAnsi="Times New Roman" w:eastAsia="仿宋_GB2312"/>
                <w:color w:val="000000" w:themeColor="text1"/>
                <w:kern w:val="0"/>
                <w:sz w:val="24"/>
                <w14:textFill>
                  <w14:solidFill>
                    <w14:schemeClr w14:val="tx1"/>
                  </w14:solidFill>
                </w14:textFill>
              </w:rPr>
              <w:t>，应在募集说明书中披露</w:t>
            </w:r>
            <w:r>
              <w:rPr>
                <w:rFonts w:hint="eastAsia" w:eastAsia="仿宋_GB2312"/>
                <w:color w:val="000000" w:themeColor="text1"/>
                <w:kern w:val="0"/>
                <w:sz w:val="24"/>
                <w:lang w:eastAsia="zh-CN"/>
                <w14:textFill>
                  <w14:solidFill>
                    <w14:schemeClr w14:val="tx1"/>
                  </w14:solidFill>
                </w14:textFill>
              </w:rPr>
              <w:t>变更</w:t>
            </w:r>
            <w:r>
              <w:rPr>
                <w:rFonts w:hint="eastAsia" w:ascii="Times New Roman" w:hAnsi="Times New Roman" w:eastAsia="仿宋_GB2312"/>
                <w:color w:val="000000" w:themeColor="text1"/>
                <w:kern w:val="0"/>
                <w:sz w:val="24"/>
                <w14:textFill>
                  <w14:solidFill>
                    <w14:schemeClr w14:val="tx1"/>
                  </w14:solidFill>
                </w14:textFill>
              </w:rPr>
              <w:t>募集资金</w:t>
            </w:r>
            <w:r>
              <w:rPr>
                <w:rFonts w:hint="eastAsia" w:eastAsia="仿宋_GB2312"/>
                <w:color w:val="000000" w:themeColor="text1"/>
                <w:kern w:val="0"/>
                <w:sz w:val="24"/>
                <w:lang w:eastAsia="zh-CN"/>
                <w14:textFill>
                  <w14:solidFill>
                    <w14:schemeClr w14:val="tx1"/>
                  </w14:solidFill>
                </w14:textFill>
              </w:rPr>
              <w:t>用途所履行的程序；</w:t>
            </w:r>
          </w:p>
          <w:p w14:paraId="02277170">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highlight w:val="none"/>
                <w14:textFill>
                  <w14:solidFill>
                    <w14:schemeClr w14:val="tx1"/>
                  </w14:solidFill>
                </w14:textFill>
              </w:rPr>
              <w:t>）科创板上市公司应披露前次募集资金使用对发行人科技创新的作用；</w:t>
            </w:r>
          </w:p>
          <w:p w14:paraId="7E628CB5">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highlight w:val="none"/>
                <w14:textFill>
                  <w14:solidFill>
                    <w14:schemeClr w14:val="tx1"/>
                  </w14:solidFill>
                </w14:textFill>
              </w:rPr>
              <w:t>）发行人应披露会计师事务所对前次募集资金运用所出具的报告结论。</w:t>
            </w:r>
          </w:p>
        </w:tc>
        <w:tc>
          <w:tcPr>
            <w:tcW w:w="4441" w:type="dxa"/>
          </w:tcPr>
          <w:p w14:paraId="06BF1CCB">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对上述事项进行核查，说明：（1）历次募投项目的进展是否符合预期，募集资金投入使用进度与项目建设进度是否匹配，募投项目的实施环境是否发生了重大不利变化，是否对本次募投项目的实施存在重大不利影响；历次募投项目的实际效益是否符合预期，对于明显低于预期效益的说明原因及合理性；（2）</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本次</w:t>
            </w:r>
            <w:r>
              <w:rPr>
                <w:rFonts w:hint="eastAsia" w:ascii="仿宋_GB2312" w:hAnsi="仿宋_GB2312" w:eastAsia="仿宋_GB2312" w:cs="仿宋_GB2312"/>
                <w:color w:val="000000" w:themeColor="text1"/>
                <w:kern w:val="0"/>
                <w:sz w:val="24"/>
                <w:highlight w:val="none"/>
                <w14:textFill>
                  <w14:solidFill>
                    <w14:schemeClr w14:val="tx1"/>
                  </w14:solidFill>
                </w14:textFill>
              </w:rPr>
              <w:t>再融资预案董事会召开时，</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highlight w:val="none"/>
                <w14:textFill>
                  <w14:solidFill>
                    <w14:schemeClr w14:val="tx1"/>
                  </w14:solidFill>
                </w14:textFill>
              </w:rPr>
              <w:t>募集资金</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使用进度，</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是否</w:t>
            </w:r>
            <w:r>
              <w:rPr>
                <w:rFonts w:hint="eastAsia" w:ascii="仿宋_GB2312" w:hAnsi="仿宋_GB2312" w:eastAsia="仿宋_GB2312" w:cs="仿宋_GB2312"/>
                <w:color w:val="000000" w:themeColor="text1"/>
                <w:kern w:val="0"/>
                <w:sz w:val="24"/>
                <w:highlight w:val="none"/>
                <w14:textFill>
                  <w14:solidFill>
                    <w14:schemeClr w14:val="tx1"/>
                  </w14:solidFill>
                </w14:textFill>
              </w:rPr>
              <w:t>基本使用完毕</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highlight w:val="none"/>
                <w14:textFill>
                  <w14:solidFill>
                    <w14:schemeClr w14:val="tx1"/>
                  </w14:solidFill>
                </w14:textFill>
              </w:rPr>
              <w:t>募投项目实施后是否有利于提升公司资产质量、营运能力、盈利能力等相关情况</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kern w:val="0"/>
                <w:sz w:val="24"/>
                <w:lang w:eastAsia="zh-CN"/>
                <w14:textFill>
                  <w14:solidFill>
                    <w14:schemeClr w14:val="tx1"/>
                  </w14:solidFill>
                </w14:textFill>
              </w:rPr>
              <w:t>历次</w:t>
            </w:r>
            <w:r>
              <w:rPr>
                <w:rFonts w:hint="eastAsia" w:ascii="仿宋_GB2312" w:hAnsi="仿宋_GB2312" w:eastAsia="仿宋_GB2312" w:cs="仿宋_GB2312"/>
                <w:color w:val="000000" w:themeColor="text1"/>
                <w:kern w:val="0"/>
                <w:sz w:val="24"/>
                <w14:textFill>
                  <w14:solidFill>
                    <w14:schemeClr w14:val="tx1"/>
                  </w14:solidFill>
                </w14:textFill>
              </w:rPr>
              <w:t>募投项目或募集资金用途发生</w:t>
            </w:r>
            <w:r>
              <w:rPr>
                <w:rFonts w:hint="eastAsia" w:ascii="仿宋_GB2312" w:hAnsi="仿宋_GB2312" w:eastAsia="仿宋_GB2312" w:cs="仿宋_GB2312"/>
                <w:color w:val="000000" w:themeColor="text1"/>
                <w:kern w:val="0"/>
                <w:sz w:val="24"/>
                <w:lang w:eastAsia="zh-CN"/>
                <w14:textFill>
                  <w14:solidFill>
                    <w14:schemeClr w14:val="tx1"/>
                  </w14:solidFill>
                </w14:textFill>
              </w:rPr>
              <w:t>延期、</w:t>
            </w:r>
            <w:r>
              <w:rPr>
                <w:rFonts w:hint="eastAsia" w:ascii="仿宋_GB2312" w:hAnsi="仿宋_GB2312" w:eastAsia="仿宋_GB2312" w:cs="仿宋_GB2312"/>
                <w:color w:val="000000" w:themeColor="text1"/>
                <w:kern w:val="0"/>
                <w:sz w:val="24"/>
                <w14:textFill>
                  <w14:solidFill>
                    <w14:schemeClr w14:val="tx1"/>
                  </w14:solidFill>
                </w14:textFill>
              </w:rPr>
              <w:t>变更</w:t>
            </w:r>
            <w:r>
              <w:rPr>
                <w:rFonts w:hint="eastAsia" w:ascii="仿宋_GB2312" w:hAnsi="仿宋_GB2312" w:eastAsia="仿宋_GB2312" w:cs="仿宋_GB2312"/>
                <w:color w:val="000000" w:themeColor="text1"/>
                <w:kern w:val="0"/>
                <w:sz w:val="24"/>
                <w:lang w:eastAsia="zh-CN"/>
                <w14:textFill>
                  <w14:solidFill>
                    <w14:schemeClr w14:val="tx1"/>
                  </w14:solidFill>
                </w14:textFill>
              </w:rPr>
              <w:t>、取消</w:t>
            </w:r>
            <w:r>
              <w:rPr>
                <w:rFonts w:hint="eastAsia" w:ascii="仿宋_GB2312" w:hAnsi="仿宋_GB2312" w:eastAsia="仿宋_GB2312" w:cs="仿宋_GB2312"/>
                <w:color w:val="000000" w:themeColor="text1"/>
                <w:kern w:val="0"/>
                <w:sz w:val="24"/>
                <w14:textFill>
                  <w14:solidFill>
                    <w14:schemeClr w14:val="tx1"/>
                  </w14:solidFill>
                </w14:textFill>
              </w:rPr>
              <w:t>的，</w:t>
            </w:r>
            <w:r>
              <w:rPr>
                <w:rFonts w:hint="eastAsia" w:ascii="仿宋_GB2312" w:hAnsi="仿宋_GB2312" w:eastAsia="仿宋_GB2312" w:cs="仿宋_GB2312"/>
                <w:color w:val="000000" w:themeColor="text1"/>
                <w:kern w:val="0"/>
                <w:sz w:val="24"/>
                <w:lang w:eastAsia="zh-CN"/>
                <w14:textFill>
                  <w14:solidFill>
                    <w14:schemeClr w14:val="tx1"/>
                  </w14:solidFill>
                </w14:textFill>
              </w:rPr>
              <w:t>说明原因及合理性，履行的决策程序，</w:t>
            </w:r>
            <w:r>
              <w:rPr>
                <w:rFonts w:hint="eastAsia" w:ascii="仿宋_GB2312" w:hAnsi="仿宋_GB2312" w:eastAsia="仿宋_GB2312" w:cs="仿宋_GB2312"/>
                <w:bCs/>
                <w:color w:val="000000" w:themeColor="text1"/>
                <w:kern w:val="0"/>
                <w:sz w:val="24"/>
                <w:szCs w:val="24"/>
                <w14:textFill>
                  <w14:solidFill>
                    <w14:schemeClr w14:val="tx1"/>
                  </w14:solidFill>
                </w14:textFill>
              </w:rPr>
              <w:t>变更前后非资本性支出占比情况，</w:t>
            </w:r>
            <w:r>
              <w:rPr>
                <w:rFonts w:hint="eastAsia" w:ascii="仿宋_GB2312" w:hAnsi="仿宋_GB2312" w:eastAsia="仿宋_GB2312" w:cs="仿宋_GB2312"/>
                <w:color w:val="000000" w:themeColor="text1"/>
                <w:kern w:val="0"/>
                <w:sz w:val="24"/>
                <w14:textFill>
                  <w14:solidFill>
                    <w14:schemeClr w14:val="tx1"/>
                  </w14:solidFill>
                </w14:textFill>
              </w:rPr>
              <w:t>变更后募投项目的实施进展及效益情况</w:t>
            </w:r>
            <w:r>
              <w:rPr>
                <w:rFonts w:hint="eastAsia" w:ascii="仿宋_GB2312" w:hAnsi="仿宋_GB2312" w:eastAsia="仿宋_GB2312" w:cs="仿宋_GB2312"/>
                <w:color w:val="000000" w:themeColor="text1"/>
                <w:kern w:val="0"/>
                <w:sz w:val="24"/>
                <w:lang w:eastAsia="zh-CN"/>
                <w14:textFill>
                  <w14:solidFill>
                    <w14:schemeClr w14:val="tx1"/>
                  </w14:solidFill>
                </w14:textFill>
              </w:rPr>
              <w:t>，是否</w:t>
            </w:r>
            <w:r>
              <w:rPr>
                <w:rFonts w:hint="eastAsia" w:ascii="仿宋_GB2312" w:hAnsi="仿宋_GB2312" w:eastAsia="仿宋_GB2312" w:cs="仿宋_GB2312"/>
                <w:color w:val="000000" w:themeColor="text1"/>
                <w:kern w:val="0"/>
                <w:sz w:val="24"/>
                <w14:textFill>
                  <w14:solidFill>
                    <w14:schemeClr w14:val="tx1"/>
                  </w14:solidFill>
                </w14:textFill>
              </w:rPr>
              <w:t>履行了</w:t>
            </w:r>
            <w:r>
              <w:rPr>
                <w:rFonts w:hint="eastAsia" w:ascii="仿宋_GB2312" w:hAnsi="仿宋_GB2312" w:eastAsia="仿宋_GB2312" w:cs="仿宋_GB2312"/>
                <w:color w:val="000000" w:themeColor="text1"/>
                <w:kern w:val="0"/>
                <w:sz w:val="24"/>
                <w:lang w:eastAsia="zh-CN"/>
                <w14:textFill>
                  <w14:solidFill>
                    <w14:schemeClr w14:val="tx1"/>
                  </w14:solidFill>
                </w14:textFill>
              </w:rPr>
              <w:t>相应的</w:t>
            </w:r>
            <w:r>
              <w:rPr>
                <w:rFonts w:hint="eastAsia" w:ascii="仿宋_GB2312" w:hAnsi="仿宋_GB2312" w:eastAsia="仿宋_GB2312" w:cs="仿宋_GB2312"/>
                <w:color w:val="000000" w:themeColor="text1"/>
                <w:kern w:val="0"/>
                <w:sz w:val="24"/>
                <w14:textFill>
                  <w14:solidFill>
                    <w14:schemeClr w14:val="tx1"/>
                  </w14:solidFill>
                </w14:textFill>
              </w:rPr>
              <w:t>信息披露义务；</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4</w:t>
            </w:r>
            <w:r>
              <w:rPr>
                <w:rFonts w:hint="eastAsia" w:ascii="仿宋_GB2312" w:hAnsi="仿宋_GB2312" w:eastAsia="仿宋_GB2312" w:cs="仿宋_GB2312"/>
                <w:bCs/>
                <w:color w:val="000000" w:themeColor="text1"/>
                <w:highlight w:val="none"/>
                <w14:textFill>
                  <w14:solidFill>
                    <w14:schemeClr w14:val="tx1"/>
                  </w14:solidFill>
                </w14:textFill>
              </w:rPr>
              <w:t>）</w:t>
            </w:r>
            <w:r>
              <w:rPr>
                <w:rFonts w:ascii="Times New Roman" w:hAnsi="Times New Roman" w:eastAsia="仿宋_GB2312"/>
                <w:color w:val="000000" w:themeColor="text1"/>
                <w:kern w:val="0"/>
                <w:sz w:val="24"/>
                <w:lang w:val="en-US" w:eastAsia="zh-CN"/>
                <w14:textFill>
                  <w14:solidFill>
                    <w14:schemeClr w14:val="tx1"/>
                  </w14:solidFill>
                </w14:textFill>
              </w:rPr>
              <w:t>对于超过五年的前次募集资金</w:t>
            </w:r>
            <w:r>
              <w:rPr>
                <w:rFonts w:hint="eastAsia" w:eastAsia="仿宋_GB2312"/>
                <w:color w:val="000000" w:themeColor="text1"/>
                <w:kern w:val="0"/>
                <w:sz w:val="24"/>
                <w:lang w:val="en-US" w:eastAsia="zh-CN"/>
                <w14:textFill>
                  <w14:solidFill>
                    <w14:schemeClr w14:val="tx1"/>
                  </w14:solidFill>
                </w14:textFill>
              </w:rPr>
              <w:t>用途存在</w:t>
            </w:r>
            <w:r>
              <w:rPr>
                <w:rFonts w:ascii="Times New Roman" w:hAnsi="Times New Roman" w:eastAsia="仿宋_GB2312"/>
                <w:color w:val="000000" w:themeColor="text1"/>
                <w:kern w:val="0"/>
                <w:sz w:val="24"/>
                <w:lang w:val="en-US" w:eastAsia="zh-CN"/>
                <w14:textFill>
                  <w14:solidFill>
                    <w14:schemeClr w14:val="tx1"/>
                  </w14:solidFill>
                </w14:textFill>
              </w:rPr>
              <w:t>变更</w:t>
            </w:r>
            <w:r>
              <w:rPr>
                <w:rFonts w:hint="eastAsia" w:eastAsia="仿宋_GB2312"/>
                <w:color w:val="000000" w:themeColor="text1"/>
                <w:kern w:val="0"/>
                <w:sz w:val="24"/>
                <w:lang w:val="en-US" w:eastAsia="zh-CN"/>
                <w14:textFill>
                  <w14:solidFill>
                    <w14:schemeClr w14:val="tx1"/>
                  </w14:solidFill>
                </w14:textFill>
              </w:rPr>
              <w:t>的</w:t>
            </w:r>
            <w:r>
              <w:rPr>
                <w:rFonts w:hint="eastAsia" w:ascii="仿宋_GB2312" w:hAnsi="仿宋_GB2312" w:eastAsia="仿宋_GB2312" w:cs="仿宋_GB2312"/>
                <w:bCs/>
                <w:color w:val="000000" w:themeColor="text1"/>
                <w:highlight w:val="none"/>
                <w14:textFill>
                  <w14:solidFill>
                    <w14:schemeClr w14:val="tx1"/>
                  </w14:solidFill>
                </w14:textFill>
              </w:rPr>
              <w:t>，</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在《</w:t>
            </w:r>
            <w:r>
              <w:rPr>
                <w:rFonts w:hint="eastAsia" w:ascii="仿宋_GB2312" w:hAnsi="仿宋_GB2312" w:eastAsia="仿宋_GB2312" w:cs="仿宋_GB2312"/>
                <w:bCs/>
                <w:color w:val="000000" w:themeColor="text1"/>
                <w:kern w:val="0"/>
                <w:sz w:val="24"/>
                <w:szCs w:val="24"/>
                <w14:textFill>
                  <w14:solidFill>
                    <w14:schemeClr w14:val="tx1"/>
                  </w14:solidFill>
                </w14:textFill>
              </w:rPr>
              <w:t>发行保荐工作报告</w:t>
            </w:r>
            <w:r>
              <w:rPr>
                <w:rFonts w:hint="eastAsia" w:ascii="仿宋_GB2312" w:hAnsi="仿宋_GB2312" w:eastAsia="仿宋_GB2312" w:cs="仿宋_GB2312"/>
                <w:color w:val="000000" w:themeColor="text1"/>
                <w:kern w:val="0"/>
                <w:sz w:val="24"/>
                <w:lang w:val="en-US" w:eastAsia="zh-CN"/>
                <w14:textFill>
                  <w14:solidFill>
                    <w14:schemeClr w14:val="tx1"/>
                  </w14:solidFill>
                </w14:textFill>
              </w:rPr>
              <w:t>》中说明</w:t>
            </w:r>
            <w:r>
              <w:rPr>
                <w:rFonts w:hint="eastAsia" w:ascii="仿宋_GB2312" w:hAnsi="仿宋_GB2312" w:eastAsia="仿宋_GB2312" w:cs="仿宋_GB2312"/>
                <w:bCs/>
                <w:color w:val="000000" w:themeColor="text1"/>
                <w:highlight w:val="none"/>
                <w14:textFill>
                  <w14:solidFill>
                    <w14:schemeClr w14:val="tx1"/>
                  </w14:solidFill>
                </w14:textFill>
              </w:rPr>
              <w:t>发行人是否符合前</w:t>
            </w:r>
            <w:r>
              <w:rPr>
                <w:rFonts w:hint="eastAsia" w:ascii="仿宋_GB2312" w:hAnsi="仿宋_GB2312" w:eastAsia="仿宋_GB2312" w:cs="仿宋_GB2312"/>
                <w:bCs/>
                <w:color w:val="000000" w:themeColor="text1"/>
                <w:highlight w:val="none"/>
                <w:lang w:eastAsia="zh-CN"/>
                <w14:textFill>
                  <w14:solidFill>
                    <w14:schemeClr w14:val="tx1"/>
                  </w14:solidFill>
                </w14:textFill>
              </w:rPr>
              <w:t>次</w:t>
            </w:r>
            <w:r>
              <w:rPr>
                <w:rFonts w:hint="eastAsia" w:ascii="仿宋_GB2312" w:hAnsi="仿宋_GB2312" w:eastAsia="仿宋_GB2312" w:cs="仿宋_GB2312"/>
                <w:bCs/>
                <w:color w:val="000000" w:themeColor="text1"/>
                <w:highlight w:val="none"/>
                <w14:textFill>
                  <w14:solidFill>
                    <w14:schemeClr w14:val="tx1"/>
                  </w14:solidFill>
                </w14:textFill>
              </w:rPr>
              <w:t>募资金变更的相关监管要求；（</w:t>
            </w:r>
            <w:r>
              <w:rPr>
                <w:rFonts w:hint="eastAsia" w:ascii="仿宋_GB2312" w:hAnsi="仿宋_GB2312" w:eastAsia="仿宋_GB2312" w:cs="仿宋_GB2312"/>
                <w:bCs/>
                <w:color w:val="000000" w:themeColor="text1"/>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highlight w:val="none"/>
                <w14:textFill>
                  <w14:solidFill>
                    <w14:schemeClr w14:val="tx1"/>
                  </w14:solidFill>
                </w14:textFill>
              </w:rPr>
              <w:t>）尚未使用的历次募集资金是否有明确的后续使用计划，</w:t>
            </w:r>
            <w:r>
              <w:rPr>
                <w:rFonts w:hint="eastAsia" w:ascii="仿宋_GB2312" w:hAnsi="仿宋_GB2312" w:eastAsia="仿宋_GB2312" w:cs="仿宋_GB2312"/>
                <w:color w:val="000000" w:themeColor="text1"/>
                <w:sz w:val="24"/>
                <w:szCs w:val="24"/>
                <w:lang w:val="en-US" w:eastAsia="zh-CN" w:bidi="ar"/>
                <w14:textFill>
                  <w14:solidFill>
                    <w14:schemeClr w14:val="tx1"/>
                  </w14:solidFill>
                </w14:textFill>
              </w:rPr>
              <w:t>对于尚未使用完毕的前次募集资金应督促发行人出具承诺按照计划投入，</w:t>
            </w:r>
            <w:r>
              <w:rPr>
                <w:rFonts w:hint="eastAsia" w:ascii="仿宋_GB2312" w:hAnsi="仿宋_GB2312" w:eastAsia="仿宋_GB2312" w:cs="仿宋_GB2312"/>
                <w:bCs/>
                <w:color w:val="000000" w:themeColor="text1"/>
                <w:highlight w:val="none"/>
                <w14:textFill>
                  <w14:solidFill>
                    <w14:schemeClr w14:val="tx1"/>
                  </w14:solidFill>
                </w14:textFill>
              </w:rPr>
              <w:t>并结合公司业务发展中对资金的实际需求，说明本次发行募集资金规模的合理性。此外，督促发行人对历次募集资金的使用或变更履行内部审批流程和信息披露义务，同时在《发行保荐工作报告》中发表明确意见。</w:t>
            </w:r>
          </w:p>
          <w:p w14:paraId="2AD877E4">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会计师应当以积极方式对前次募集资金使用情况报告是否已经按照《监管规则适用指引——发行类第7号》第六条相关规定编制，以及是否如实反映了上市公司前次募集资金使用情况发表鉴证意见。</w:t>
            </w:r>
          </w:p>
        </w:tc>
        <w:tc>
          <w:tcPr>
            <w:tcW w:w="2641" w:type="dxa"/>
          </w:tcPr>
          <w:p w14:paraId="79C7285C">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公开发行证券的公司信息披露内容与格式准则第61号——上市公司向特定对象发行证券募集说明书和发行情况报告书》（以下简称《募集说明书格式准则》）第二十三条，《监管规则适用指引——发行类第7号》第六条</w:t>
            </w:r>
          </w:p>
          <w:p w14:paraId="47F77272">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14:paraId="197FE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6" w:hRule="atLeast"/>
        </w:trPr>
        <w:tc>
          <w:tcPr>
            <w:tcW w:w="700" w:type="dxa"/>
            <w:vAlign w:val="center"/>
          </w:tcPr>
          <w:p w14:paraId="3DDD1683">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1-2</w:t>
            </w:r>
          </w:p>
        </w:tc>
        <w:tc>
          <w:tcPr>
            <w:tcW w:w="1434" w:type="dxa"/>
            <w:vAlign w:val="center"/>
          </w:tcPr>
          <w:p w14:paraId="3543F91C">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融资间隔</w:t>
            </w:r>
          </w:p>
        </w:tc>
        <w:tc>
          <w:tcPr>
            <w:tcW w:w="4738" w:type="dxa"/>
          </w:tcPr>
          <w:p w14:paraId="4F007B70">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r>
              <w:rPr>
                <w:rFonts w:hint="eastAsia" w:ascii="仿宋_GB2312" w:hAnsi="仿宋_GB2312" w:eastAsia="仿宋_GB2312" w:cs="仿宋_GB2312"/>
                <w:color w:val="000000" w:themeColor="text1"/>
                <w:spacing w:val="-2"/>
                <w:highlight w:val="none"/>
                <w:lang w:eastAsia="zh-CN"/>
                <w14:textFill>
                  <w14:solidFill>
                    <w14:schemeClr w14:val="tx1"/>
                  </w14:solidFill>
                </w14:textFill>
              </w:rPr>
              <w:t>本次发行的背景和目的，</w:t>
            </w:r>
            <w:r>
              <w:rPr>
                <w:rFonts w:hint="eastAsia" w:ascii="仿宋_GB2312" w:hAnsi="仿宋_GB2312" w:eastAsia="仿宋_GB2312" w:cs="仿宋_GB2312"/>
                <w:color w:val="000000" w:themeColor="text1"/>
                <w:highlight w:val="none"/>
                <w14:textFill>
                  <w14:solidFill>
                    <w14:schemeClr w14:val="tx1"/>
                  </w14:solidFill>
                </w14:textFill>
              </w:rPr>
              <w:t>本次证券发行数量、融资间隔、募集资金金额及投向</w:t>
            </w:r>
            <w:r>
              <w:rPr>
                <w:rFonts w:hint="eastAsia" w:ascii="仿宋_GB2312" w:hAnsi="仿宋_GB2312" w:eastAsia="仿宋_GB2312" w:cs="仿宋_GB2312"/>
                <w:color w:val="000000" w:themeColor="text1"/>
                <w:highlight w:val="none"/>
                <w:lang w:eastAsia="zh-CN"/>
                <w14:textFill>
                  <w14:solidFill>
                    <w14:schemeClr w14:val="tx1"/>
                  </w14:solidFill>
                </w14:textFill>
              </w:rPr>
              <w:t>等</w:t>
            </w:r>
            <w:r>
              <w:rPr>
                <w:rFonts w:hint="eastAsia" w:ascii="仿宋_GB2312" w:hAnsi="仿宋_GB2312" w:eastAsia="仿宋_GB2312" w:cs="仿宋_GB2312"/>
                <w:color w:val="000000" w:themeColor="text1"/>
                <w:highlight w:val="none"/>
                <w14:textFill>
                  <w14:solidFill>
                    <w14:schemeClr w14:val="tx1"/>
                  </w14:solidFill>
                </w14:textFill>
              </w:rPr>
              <w:t>。</w:t>
            </w:r>
          </w:p>
        </w:tc>
        <w:tc>
          <w:tcPr>
            <w:tcW w:w="4441" w:type="dxa"/>
          </w:tcPr>
          <w:p w14:paraId="6AE6C411">
            <w:pPr>
              <w:numPr>
                <w:ilvl w:val="0"/>
                <w:numId w:val="0"/>
              </w:numPr>
              <w:snapToGrid w:val="0"/>
              <w:jc w:val="both"/>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保荐人应当重点核查说明本次发行是否符合上市公司应当</w:t>
            </w:r>
            <w:r>
              <w:rPr>
                <w:rFonts w:hint="eastAsia" w:ascii="仿宋_GB2312" w:hAnsi="仿宋_GB2312" w:eastAsia="仿宋_GB2312" w:cs="仿宋_GB2312"/>
                <w:bCs/>
                <w:color w:val="000000" w:themeColor="text1"/>
                <w:kern w:val="0"/>
                <w:sz w:val="24"/>
                <w:szCs w:val="24"/>
                <w14:textFill>
                  <w14:solidFill>
                    <w14:schemeClr w14:val="tx1"/>
                  </w14:solidFill>
                </w14:textFill>
              </w:rPr>
              <w:t>理性融资、合理确定融资规模</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等相关要求，并就本次发行与前次发行时间间隔是否符合相关规定发表明确意见。</w:t>
            </w:r>
          </w:p>
          <w:p w14:paraId="2A27A1AC">
            <w:pPr>
              <w:numPr>
                <w:ilvl w:val="0"/>
                <w:numId w:val="0"/>
              </w:numPr>
              <w:snapToGrid w:val="0"/>
              <w:jc w:val="both"/>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发行人存在最近两个会计年度归属于母公司净利润（扣除非经常性损益前后孰低）连续亏损的，保荐人应当按照优化再融资监管安排，核查本次再融资预案董事会决议日距离前次募集资金到位日是否符合融资间隔期不得低于18个月的要求；董事会确定全部发行对象的，不适用经营业绩持续亏损相关监管要求。</w:t>
            </w:r>
          </w:p>
          <w:p w14:paraId="12974DB8">
            <w:pPr>
              <w:pBdr>
                <w:bottom w:val="none" w:color="auto" w:sz="0" w:space="0"/>
              </w:pBd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会计师应当就前述事项发表核查意见。</w:t>
            </w:r>
          </w:p>
        </w:tc>
        <w:tc>
          <w:tcPr>
            <w:tcW w:w="2641" w:type="dxa"/>
          </w:tcPr>
          <w:p w14:paraId="6DD622B4">
            <w:pPr>
              <w:autoSpaceDE w:val="0"/>
              <w:autoSpaceDN w:val="0"/>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《上市公司证券发行注册管理办法》第四十条，《募集说明书格式准则》第</w:t>
            </w:r>
            <w:r>
              <w:rPr>
                <w:rFonts w:hint="eastAsia" w:ascii="仿宋_GB2312" w:hAnsi="仿宋_GB2312" w:eastAsia="仿宋_GB2312" w:cs="仿宋_GB2312"/>
                <w:color w:val="000000" w:themeColor="text1"/>
                <w:highlight w:val="none"/>
                <w:lang w:eastAsia="zh-CN"/>
                <w14:textFill>
                  <w14:solidFill>
                    <w14:schemeClr w14:val="tx1"/>
                  </w14:solidFill>
                </w14:textFill>
              </w:rPr>
              <w:t>九</w:t>
            </w:r>
            <w:r>
              <w:rPr>
                <w:rFonts w:hint="eastAsia" w:ascii="仿宋_GB2312" w:hAnsi="仿宋_GB2312" w:eastAsia="仿宋_GB2312" w:cs="仿宋_GB2312"/>
                <w:color w:val="000000" w:themeColor="text1"/>
                <w:highlight w:val="none"/>
                <w14:textFill>
                  <w14:solidFill>
                    <w14:schemeClr w14:val="tx1"/>
                  </w14:solidFill>
                </w14:textFill>
              </w:rPr>
              <w:t>条，《&lt;上市公司证券发行注册管理办法&gt;第九条、第十条、第十一条、第十三条、第四十条、第五十七条、第六十条有关规定的适用意见——证券期货法律适用意见第18号》（以下简称《证券期货法律适用意见第18号》）第四条</w:t>
            </w:r>
          </w:p>
        </w:tc>
      </w:tr>
      <w:tr w14:paraId="420E5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14:paraId="5E41DE7D">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1-3</w:t>
            </w:r>
          </w:p>
        </w:tc>
        <w:tc>
          <w:tcPr>
            <w:tcW w:w="1434" w:type="dxa"/>
            <w:vAlign w:val="center"/>
          </w:tcPr>
          <w:p w14:paraId="3E8889EA">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募投项目与既有业务关系</w:t>
            </w:r>
          </w:p>
        </w:tc>
        <w:tc>
          <w:tcPr>
            <w:tcW w:w="4738" w:type="dxa"/>
          </w:tcPr>
          <w:p w14:paraId="3866ECF1">
            <w:pPr>
              <w:widowControl w:val="0"/>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发行人应披露：</w:t>
            </w:r>
          </w:p>
          <w:p w14:paraId="3DA3DB57">
            <w:pPr>
              <w:widowControl w:val="0"/>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w:t>
            </w:r>
            <w:r>
              <w:rPr>
                <w:rFonts w:hint="eastAsia" w:ascii="仿宋_GB2312" w:hAnsi="仿宋_GB2312" w:eastAsia="仿宋_GB2312" w:cs="仿宋_GB2312"/>
                <w:bCs/>
                <w:color w:val="000000" w:themeColor="text1"/>
                <w:highlight w:val="none"/>
                <w14:textFill>
                  <w14:solidFill>
                    <w14:schemeClr w14:val="tx1"/>
                  </w14:solidFill>
                </w14:textFill>
              </w:rPr>
              <w:t>本次募集资金投资项目的基本情况和经营前景，与现有业务或发展战略的关系，项目的实施准备和进展情况，预计实施时间，整体进度安排，发行人的实施能力及资金缺口的解决方式；</w:t>
            </w:r>
          </w:p>
          <w:p w14:paraId="7E95DAEA">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w:t>
            </w:r>
            <w:r>
              <w:rPr>
                <w:rFonts w:hint="eastAsia" w:ascii="仿宋_GB2312" w:hAnsi="仿宋_GB2312" w:eastAsia="仿宋_GB2312" w:cs="仿宋_GB2312"/>
                <w:bCs/>
                <w:color w:val="000000" w:themeColor="text1"/>
                <w:highlight w:val="none"/>
                <w14:textFill>
                  <w14:solidFill>
                    <w14:schemeClr w14:val="tx1"/>
                  </w14:solidFill>
                </w14:textFill>
              </w:rPr>
              <w:t>募集资金用于扩大既有业务的，发行人应披露既有业务的发展概况，并结合市场需求及未来发展预期，披露扩大业务规模的必要性，新增产能规模的合理性。</w:t>
            </w:r>
          </w:p>
        </w:tc>
        <w:tc>
          <w:tcPr>
            <w:tcW w:w="4441" w:type="dxa"/>
          </w:tcPr>
          <w:p w14:paraId="7C0048B4">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本次募集资金主要投向主业，原则上</w:t>
            </w:r>
            <w:r>
              <w:rPr>
                <w:rFonts w:hint="eastAsia" w:ascii="仿宋_GB2312" w:hAnsi="仿宋_GB2312" w:eastAsia="仿宋_GB2312" w:cs="仿宋_GB2312"/>
                <w:bCs/>
                <w:i w:val="0"/>
                <w:iCs w:val="0"/>
                <w:caps w:val="0"/>
                <w:color w:val="000000" w:themeColor="text1"/>
                <w:spacing w:val="0"/>
                <w:kern w:val="0"/>
                <w:sz w:val="24"/>
                <w:szCs w:val="24"/>
                <w:shd w:val="clear" w:fill="auto"/>
                <w14:textFill>
                  <w14:solidFill>
                    <w14:schemeClr w14:val="tx1"/>
                  </w14:solidFill>
                </w14:textFill>
              </w:rPr>
              <w:t>以上市公司披露再融资方案时点为主营业务认定时点的基准</w:t>
            </w:r>
            <w:r>
              <w:rPr>
                <w:rFonts w:hint="eastAsia" w:ascii="仿宋_GB2312" w:hAnsi="仿宋_GB2312" w:eastAsia="仿宋_GB2312" w:cs="仿宋_GB2312"/>
                <w:bCs/>
                <w:i w:val="0"/>
                <w:iCs w:val="0"/>
                <w:caps w:val="0"/>
                <w:color w:val="000000" w:themeColor="text1"/>
                <w:spacing w:val="0"/>
                <w:kern w:val="0"/>
                <w:sz w:val="24"/>
                <w:szCs w:val="24"/>
                <w:shd w:val="clear"/>
                <w:lang w:eastAsia="zh-CN"/>
                <w14:textFill>
                  <w14:solidFill>
                    <w14:schemeClr w14:val="tx1"/>
                  </w14:solidFill>
                </w14:textFill>
              </w:rPr>
              <w:t>。</w:t>
            </w:r>
          </w:p>
          <w:p w14:paraId="32B03CF3">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当核查本次募投项目与公司既有业务、前次募投项目的区别和联系，是否符合募集资金主要投向主业的相关要求、是否符合国家产业政策；结合行业发展情况、客户储备情况、在手订单、本次募投项目相关产品的产能利用率情况、现有及本次发行拟新增产能情况等，对本次募投项目的必要性、是否有足够的市场空间消化新增产能等事项进行核查并在《发行保荐工作报告》中发表明确意见，同时督促发行人对上述事项进行风险提示。</w:t>
            </w:r>
          </w:p>
          <w:p w14:paraId="04E86844">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募集资金用于发展现有业务（如技术路线升级等）或募投项目与现有业务为产业链上下游的，保荐人应当结合再融资预案披露时点的业务经营情况、募投项目所涉业务运行情况、相关业务是否具有协同性，发行人是否具备相关业务运营能力，在人员、技术、市场等方面的储备及可行性，公司发展战略及项目实施前景，发展现有业务或向产业链上下游拓展的原因和必要性，本次募投项目的具体内容、建成之后的营运模式、盈利模式，是否需要持续的大额资金投入，是否存在短期内无法盈利的风险等，就本次募集资金是否主要投向主业发表明确意见，</w:t>
            </w:r>
            <w:r>
              <w:rPr>
                <w:rFonts w:hint="eastAsia" w:ascii="仿宋_GB2312" w:hAnsi="仿宋_GB2312" w:eastAsia="仿宋_GB2312" w:cs="仿宋_GB2312"/>
                <w:bCs/>
                <w:color w:val="000000" w:themeColor="text1"/>
                <w:kern w:val="0"/>
                <w:sz w:val="24"/>
                <w:szCs w:val="24"/>
                <w14:textFill>
                  <w14:solidFill>
                    <w14:schemeClr w14:val="tx1"/>
                  </w14:solidFill>
                </w14:textFill>
              </w:rPr>
              <w:t>同时督促发行人对上述事项进行风险提示。</w:t>
            </w:r>
          </w:p>
          <w:p w14:paraId="2E2BD92A">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发行人律师应当对募投项目是否符合国家产业政策进行核查并在《律师工作报告》中发表明确意见。</w:t>
            </w:r>
          </w:p>
        </w:tc>
        <w:tc>
          <w:tcPr>
            <w:tcW w:w="2641" w:type="dxa"/>
          </w:tcPr>
          <w:p w14:paraId="121F7573">
            <w:pPr>
              <w:snapToGrid w:val="0"/>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《上市公司证券发行注册管理办法》第四十条，《募集说明书格式准则》第十二条，《证券期货法律适用意见第 18 号》第五条</w:t>
            </w:r>
          </w:p>
        </w:tc>
      </w:tr>
      <w:tr w14:paraId="1EE5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14:paraId="09D335CB">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1-4</w:t>
            </w:r>
          </w:p>
        </w:tc>
        <w:tc>
          <w:tcPr>
            <w:tcW w:w="1434" w:type="dxa"/>
            <w:vAlign w:val="center"/>
          </w:tcPr>
          <w:p w14:paraId="089881D2">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募集资金用于拓展新业务、新产品情况</w:t>
            </w:r>
          </w:p>
        </w:tc>
        <w:tc>
          <w:tcPr>
            <w:tcW w:w="4738" w:type="dxa"/>
          </w:tcPr>
          <w:p w14:paraId="2C1375EA">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发行人应结合公司发展战略及项目实施前景，披露拓展新业务的考虑以及未来新业务与既有业务的发展安排，新业务在人员、技术、市场等方面的储备及可行性。</w:t>
            </w:r>
          </w:p>
        </w:tc>
        <w:tc>
          <w:tcPr>
            <w:tcW w:w="4441" w:type="dxa"/>
          </w:tcPr>
          <w:p w14:paraId="6281D805">
            <w:pPr>
              <w:snapToGrid w:val="0"/>
              <w:jc w:val="both"/>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保荐人应重点就募投项目是否符合募集资金主要投向主业的相关要求、是否符合国家产业政策，本次募投项目的具体内容，是否具备开展本次募投项目所需的技术、人员、专利储备，建成之后的营运模式、盈利模式，是否需要持续的大额资金投入，是否存在重大不确定性或重大风险，是否存在短期内无法盈利的风险以及对发行人的影响等进行详细核查，并在《发行保荐工作报告》中发表明确意见，同时督促发行人对上述事项进行风险提示。</w:t>
            </w:r>
            <w:r>
              <w:rPr>
                <w:rFonts w:ascii="Times New Roman" w:hAnsi="Times New Roman" w:eastAsia="仿宋_GB2312" w:cs="Times New Roman"/>
                <w:bCs/>
                <w:i w:val="0"/>
                <w:iCs w:val="0"/>
                <w:caps w:val="0"/>
                <w:color w:val="000000" w:themeColor="text1"/>
                <w:spacing w:val="0"/>
                <w:kern w:val="0"/>
                <w:sz w:val="24"/>
                <w:szCs w:val="24"/>
                <w:highlight w:val="none"/>
                <w:shd w:val="clear"/>
                <w14:textFill>
                  <w14:solidFill>
                    <w14:schemeClr w14:val="tx1"/>
                  </w14:solidFill>
                </w14:textFill>
              </w:rPr>
              <w:t>新产品有试生产程序的，原则上应当中试完成或达到同等状态，同时对项目最终能否获得客户认证等相关风险进行重大风险提示。</w:t>
            </w:r>
          </w:p>
        </w:tc>
        <w:tc>
          <w:tcPr>
            <w:tcW w:w="2641" w:type="dxa"/>
          </w:tcPr>
          <w:p w14:paraId="0EF10463">
            <w:pPr>
              <w:snapToGrid w:val="0"/>
              <w:rPr>
                <w:rFonts w:hint="eastAsia" w:ascii="仿宋_GB2312" w:hAnsi="仿宋_GB2312" w:eastAsia="仿宋_GB2312" w:cs="仿宋_GB2312"/>
                <w:bCs/>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《上市公司证券发行注册管理办法》第四十条，《募集说明书格式准则》第十二条，</w:t>
            </w:r>
            <w:r>
              <w:rPr>
                <w:rFonts w:hint="eastAsia" w:ascii="仿宋_GB2312" w:hAnsi="仿宋_GB2312" w:eastAsia="仿宋_GB2312" w:cs="仿宋_GB2312"/>
                <w:bCs/>
                <w:color w:val="000000" w:themeColor="text1"/>
                <w:highlight w:val="none"/>
                <w14:textFill>
                  <w14:solidFill>
                    <w14:schemeClr w14:val="tx1"/>
                  </w14:solidFill>
                </w14:textFill>
              </w:rPr>
              <w:t>《监管规则适用指引——发行类第6号》第七条，《证券期货法律适用意见第 18 号》第五条</w:t>
            </w:r>
          </w:p>
          <w:p w14:paraId="230CB9FA">
            <w:pPr>
              <w:snapToGrid w:val="0"/>
              <w:rPr>
                <w:rFonts w:hint="eastAsia" w:ascii="仿宋_GB2312" w:hAnsi="仿宋_GB2312" w:eastAsia="仿宋_GB2312" w:cs="仿宋_GB2312"/>
                <w:bCs/>
                <w:color w:val="000000" w:themeColor="text1"/>
                <w:highlight w:val="none"/>
                <w14:textFill>
                  <w14:solidFill>
                    <w14:schemeClr w14:val="tx1"/>
                  </w14:solidFill>
                </w14:textFill>
              </w:rPr>
            </w:pPr>
          </w:p>
        </w:tc>
      </w:tr>
      <w:tr w14:paraId="7658E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14:paraId="764E5022">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1-5</w:t>
            </w:r>
          </w:p>
        </w:tc>
        <w:tc>
          <w:tcPr>
            <w:tcW w:w="1434" w:type="dxa"/>
            <w:vAlign w:val="center"/>
          </w:tcPr>
          <w:p w14:paraId="1D5380DE">
            <w:pPr>
              <w:pStyle w:val="44"/>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w:t>
            </w:r>
            <w:r>
              <w:rPr>
                <w:rFonts w:hint="eastAsia" w:ascii="仿宋_GB2312" w:hAnsi="仿宋_GB2312" w:eastAsia="仿宋_GB2312" w:cs="仿宋_GB2312"/>
                <w:b/>
                <w:bCs/>
                <w:color w:val="000000" w:themeColor="text1"/>
                <w:highlight w:val="none"/>
                <w14:textFill>
                  <w14:solidFill>
                    <w14:schemeClr w14:val="tx1"/>
                  </w14:solidFill>
                </w14:textFill>
              </w:rPr>
              <w:t>使用规划</w:t>
            </w:r>
          </w:p>
        </w:tc>
        <w:tc>
          <w:tcPr>
            <w:tcW w:w="4738" w:type="dxa"/>
          </w:tcPr>
          <w:p w14:paraId="09B41515">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发行人应披露：</w:t>
            </w:r>
          </w:p>
          <w:p w14:paraId="3CE0C63A">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bCs/>
                <w:color w:val="000000" w:themeColor="text1"/>
                <w:highlight w:val="none"/>
                <w14:textFill>
                  <w14:solidFill>
                    <w14:schemeClr w14:val="tx1"/>
                  </w14:solidFill>
                </w14:textFill>
              </w:rPr>
              <w:t>（1）本次募集资金投资项目的基本情况和经营前景，与现有业务或发展战略的关系，项目的实施准备和进展情况，预计实施时间，整体进度安排，发行人的实施能力及资金缺口的解决方式；</w:t>
            </w:r>
          </w:p>
          <w:p w14:paraId="2A00B3D1">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（2）募集资金投资项目的准备和进展情况、实施募投项目的能力储备情况、预计实施时间、整体进度计划以及募投项目的实施障碍或风险等；</w:t>
            </w:r>
          </w:p>
          <w:p w14:paraId="4497D40E">
            <w:pPr>
              <w:snapToGrid w:val="0"/>
              <w:jc w:val="both"/>
              <w:rPr>
                <w:rFonts w:hint="eastAsia" w:ascii="仿宋_GB2312" w:hAnsi="仿宋_GB2312" w:eastAsia="仿宋_GB2312" w:cs="仿宋_GB2312"/>
                <w:color w:val="000000" w:themeColor="text1"/>
                <w:highlight w:val="none"/>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（3）科创板上市公司应披露本次募集资金投资于科技创新领域的主营业务的说明，以及募投项目实施促进公司科技创新水平提升的方式</w:t>
            </w:r>
            <w:r>
              <w:rPr>
                <w:rFonts w:hint="eastAsia" w:ascii="仿宋_GB2312" w:hAnsi="仿宋_GB2312" w:eastAsia="仿宋_GB2312" w:cs="仿宋_GB2312"/>
                <w:color w:val="000000" w:themeColor="text1"/>
                <w:highlight w:val="none"/>
                <w:lang w:eastAsia="zh-CN"/>
                <w14:textFill>
                  <w14:solidFill>
                    <w14:schemeClr w14:val="tx1"/>
                  </w14:solidFill>
                </w14:textFill>
              </w:rPr>
              <w:t>；</w:t>
            </w:r>
          </w:p>
          <w:p w14:paraId="2810CE5D">
            <w:pPr>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4</w:t>
            </w: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）募集资金拟投资于</w:t>
            </w:r>
            <w:r>
              <w:rPr>
                <w:rFonts w:hint="eastAsia" w:ascii="Times New Roman" w:hAnsi="Times New Roman" w:eastAsia="仿宋_GB2312" w:cs="Times New Roman"/>
                <w:bCs/>
                <w:color w:val="000000" w:themeColor="text1"/>
                <w:kern w:val="0"/>
                <w:sz w:val="24"/>
                <w:szCs w:val="24"/>
                <w:lang w:val="en-US" w:eastAsia="zh-CN"/>
                <w14:textFill>
                  <w14:solidFill>
                    <w14:schemeClr w14:val="tx1"/>
                  </w14:solidFill>
                </w14:textFill>
              </w:rPr>
              <w:t>PPP项目的，应披露是否履行了有权机关立项、环评、土地管理、安全、能源管理等方面的审批、备案程序，项目涉及用地是否合法合规；如涉及政府出资或付费的，应当披露已履行或未来需履行的政府审批手续，是否存在法律障碍，并充分揭示风险；如不涉及政府出资或付费的，应当披露作为PPP项目的原因，是否符合法律法规的规定，是否存在潜在风险。</w:t>
            </w:r>
          </w:p>
        </w:tc>
        <w:tc>
          <w:tcPr>
            <w:tcW w:w="4441" w:type="dxa"/>
          </w:tcPr>
          <w:p w14:paraId="2ECE39D1">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保荐人应当结合各募投项目的实际情况，说明各项投资测算的合理性、</w:t>
            </w:r>
            <w:r>
              <w:rPr>
                <w:rFonts w:hint="eastAsia" w:ascii="仿宋_GB2312" w:hAnsi="仿宋_GB2312" w:eastAsia="仿宋_GB2312" w:cs="仿宋_GB2312"/>
                <w:color w:val="000000" w:themeColor="text1"/>
                <w:spacing w:val="-10"/>
                <w:highlight w:val="none"/>
                <w14:textFill>
                  <w14:solidFill>
                    <w14:schemeClr w14:val="tx1"/>
                  </w14:solidFill>
                </w14:textFill>
              </w:rPr>
              <w:t>必要性，募投项目是否存在重大不确</w:t>
            </w:r>
            <w:r>
              <w:rPr>
                <w:rFonts w:hint="eastAsia" w:ascii="仿宋_GB2312" w:hAnsi="仿宋_GB2312" w:eastAsia="仿宋_GB2312" w:cs="仿宋_GB2312"/>
                <w:color w:val="000000" w:themeColor="text1"/>
                <w:spacing w:val="-1"/>
                <w:highlight w:val="none"/>
                <w14:textFill>
                  <w14:solidFill>
                    <w14:schemeClr w14:val="tx1"/>
                  </w14:solidFill>
                </w14:textFill>
              </w:rPr>
              <w:t>定性风险，</w:t>
            </w:r>
            <w:r>
              <w:rPr>
                <w:rFonts w:hint="eastAsia" w:ascii="仿宋_GB2312" w:hAnsi="仿宋_GB2312" w:eastAsia="仿宋_GB2312" w:cs="仿宋_GB2312"/>
                <w:bCs/>
                <w:color w:val="000000" w:themeColor="text1"/>
                <w:highlight w:val="none"/>
                <w14:textFill>
                  <w14:solidFill>
                    <w14:schemeClr w14:val="tx1"/>
                  </w14:solidFill>
                </w14:textFill>
              </w:rPr>
              <w:t>募集资金的预计使用进度，是否包含董事会前投入的资金，</w:t>
            </w:r>
            <w:r>
              <w:rPr>
                <w:rFonts w:hint="eastAsia" w:ascii="仿宋_GB2312" w:hAnsi="仿宋_GB2312" w:eastAsia="仿宋_GB2312" w:cs="仿宋_GB2312"/>
                <w:color w:val="000000" w:themeColor="text1"/>
                <w:spacing w:val="-1"/>
                <w:highlight w:val="none"/>
                <w14:textFill>
                  <w14:solidFill>
                    <w14:schemeClr w14:val="tx1"/>
                  </w14:solidFill>
                </w14:textFill>
              </w:rPr>
              <w:t>是否符合</w:t>
            </w:r>
            <w:r>
              <w:rPr>
                <w:rFonts w:hint="eastAsia" w:ascii="仿宋_GB2312" w:hAnsi="仿宋_GB2312" w:eastAsia="仿宋_GB2312" w:cs="仿宋_GB2312"/>
                <w:color w:val="000000" w:themeColor="text1"/>
                <w:highlight w:val="none"/>
                <w14:textFill>
                  <w14:solidFill>
                    <w14:schemeClr w14:val="tx1"/>
                  </w14:solidFill>
                </w14:textFill>
              </w:rPr>
              <w:t>《监管规则适用指引——发行类第7号》第四条的</w:t>
            </w:r>
            <w:r>
              <w:rPr>
                <w:rFonts w:hint="eastAsia" w:ascii="仿宋_GB2312" w:hAnsi="仿宋_GB2312" w:eastAsia="仿宋_GB2312" w:cs="仿宋_GB2312"/>
                <w:color w:val="000000" w:themeColor="text1"/>
                <w:spacing w:val="-21"/>
                <w:highlight w:val="none"/>
                <w14:textFill>
                  <w14:solidFill>
                    <w14:schemeClr w14:val="tx1"/>
                  </w14:solidFill>
                </w14:textFill>
              </w:rPr>
              <w:t>相</w:t>
            </w:r>
            <w:r>
              <w:rPr>
                <w:rFonts w:hint="eastAsia" w:ascii="仿宋_GB2312" w:hAnsi="仿宋_GB2312" w:eastAsia="仿宋_GB2312" w:cs="仿宋_GB2312"/>
                <w:color w:val="000000" w:themeColor="text1"/>
                <w:highlight w:val="none"/>
                <w14:textFill>
                  <w14:solidFill>
                    <w14:schemeClr w14:val="tx1"/>
                  </w14:solidFill>
                </w14:textFill>
              </w:rPr>
              <w:t>关规定</w:t>
            </w:r>
            <w:r>
              <w:rPr>
                <w:rFonts w:hint="eastAsia" w:ascii="仿宋_GB2312" w:hAnsi="仿宋_GB2312" w:eastAsia="仿宋_GB2312" w:cs="仿宋_GB2312"/>
                <w:color w:val="000000" w:themeColor="text1"/>
                <w:spacing w:val="-10"/>
                <w:highlight w:val="none"/>
                <w14:textFill>
                  <w14:solidFill>
                    <w14:schemeClr w14:val="tx1"/>
                  </w14:solidFill>
                </w14:textFill>
              </w:rPr>
              <w:t>，</w:t>
            </w:r>
            <w:r>
              <w:rPr>
                <w:rFonts w:hint="eastAsia" w:ascii="仿宋_GB2312" w:hAnsi="仿宋_GB2312" w:eastAsia="仿宋_GB2312" w:cs="仿宋_GB2312"/>
                <w:color w:val="000000" w:themeColor="text1"/>
                <w:spacing w:val="-1"/>
                <w:highlight w:val="none"/>
                <w14:textFill>
                  <w14:solidFill>
                    <w14:schemeClr w14:val="tx1"/>
                  </w14:solidFill>
                </w14:textFill>
              </w:rPr>
              <w:t>并在《发行保荐工作报告》中发表明</w:t>
            </w:r>
            <w:r>
              <w:rPr>
                <w:rFonts w:hint="eastAsia" w:ascii="仿宋_GB2312" w:hAnsi="仿宋_GB2312" w:eastAsia="仿宋_GB2312" w:cs="仿宋_GB2312"/>
                <w:color w:val="000000" w:themeColor="text1"/>
                <w:highlight w:val="none"/>
                <w14:textFill>
                  <w14:solidFill>
                    <w14:schemeClr w14:val="tx1"/>
                  </w14:solidFill>
                </w14:textFill>
              </w:rPr>
              <w:t>确意见。</w:t>
            </w:r>
          </w:p>
        </w:tc>
        <w:tc>
          <w:tcPr>
            <w:tcW w:w="2641" w:type="dxa"/>
          </w:tcPr>
          <w:p w14:paraId="10D8D8E6">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t>《监管规则适用指引——发行类第6号》第</w:t>
            </w:r>
            <w:r>
              <w:rPr>
                <w:rFonts w:hint="eastAsia" w:ascii="Times New Roman" w:hAnsi="Times New Roman" w:eastAsia="仿宋_GB2312" w:cs="Times New Roman"/>
                <w:bCs/>
                <w:color w:val="000000" w:themeColor="text1"/>
                <w:kern w:val="0"/>
                <w:sz w:val="24"/>
                <w:szCs w:val="24"/>
                <w:highlight w:val="none"/>
                <w:lang w:val="en-US" w:eastAsia="zh-CN"/>
                <w14:textFill>
                  <w14:solidFill>
                    <w14:schemeClr w14:val="tx1"/>
                  </w14:solidFill>
                </w14:textFill>
              </w:rPr>
              <w:t>十二</w:t>
            </w:r>
            <w:r>
              <w:rPr>
                <w:rFonts w:hint="default" w:ascii="Times New Roman" w:hAnsi="Times New Roman" w:eastAsia="仿宋_GB2312" w:cs="Times New Roman"/>
                <w:bCs/>
                <w:color w:val="000000" w:themeColor="text1"/>
                <w:kern w:val="0"/>
                <w:sz w:val="24"/>
                <w:szCs w:val="24"/>
                <w:highlight w:val="none"/>
                <w14:textFill>
                  <w14:solidFill>
                    <w14:schemeClr w14:val="tx1"/>
                  </w14:solidFill>
                </w14:textFill>
              </w:rPr>
              <w:t>条</w:t>
            </w:r>
            <w:r>
              <w:rPr>
                <w:rFonts w:hint="eastAsia" w:ascii="Times New Roman" w:hAnsi="Times New Roman" w:eastAsia="仿宋_GB2312" w:cs="Times New Roman"/>
                <w:bCs/>
                <w:color w:val="000000" w:themeColor="text1"/>
                <w:kern w:val="0"/>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highlight w:val="none"/>
                <w14:textFill>
                  <w14:solidFill>
                    <w14:schemeClr w14:val="tx1"/>
                  </w14:solidFill>
                </w14:textFill>
              </w:rPr>
              <w:t>《监管规则适用指引——发行类第7号》第四条</w:t>
            </w:r>
          </w:p>
          <w:p w14:paraId="6E48106A">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p w14:paraId="49F5949A">
            <w:pPr>
              <w:pStyle w:val="44"/>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14:paraId="66B2A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0" w:type="dxa"/>
            <w:vAlign w:val="center"/>
          </w:tcPr>
          <w:p w14:paraId="7EF15CD9">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1-6</w:t>
            </w:r>
          </w:p>
        </w:tc>
        <w:tc>
          <w:tcPr>
            <w:tcW w:w="1434" w:type="dxa"/>
            <w:vAlign w:val="center"/>
          </w:tcPr>
          <w:p w14:paraId="0242B580">
            <w:pPr>
              <w:snapToGrid w:val="0"/>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补充流动资金的情形</w:t>
            </w:r>
          </w:p>
        </w:tc>
        <w:tc>
          <w:tcPr>
            <w:tcW w:w="4738" w:type="dxa"/>
          </w:tcPr>
          <w:p w14:paraId="70E216F1">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发行人应披露：</w:t>
            </w:r>
          </w:p>
          <w:p w14:paraId="6C757FFC">
            <w:pPr>
              <w:pStyle w:val="44"/>
              <w:autoSpaceDE w:val="0"/>
              <w:autoSpaceDN w:val="0"/>
              <w:snapToGrid w:val="0"/>
              <w:ind w:right="0"/>
              <w:jc w:val="both"/>
              <w:rPr>
                <w:rFonts w:hint="eastAsia" w:ascii="仿宋_GB2312" w:hAnsi="仿宋_GB2312" w:eastAsia="仿宋_GB2312" w:cs="仿宋_GB2312"/>
                <w:color w:val="000000" w:themeColor="text1"/>
                <w:spacing w:val="0"/>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（1）公司经营情况，本次融资的原因及融资规模的合理性；</w:t>
            </w:r>
          </w:p>
          <w:p w14:paraId="294E93EF">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（2）本次募集资金中资本性支出、非资本性支出构成以及补充流动资金占募集资金的比例。</w:t>
            </w:r>
          </w:p>
        </w:tc>
        <w:tc>
          <w:tcPr>
            <w:tcW w:w="4441" w:type="dxa"/>
          </w:tcPr>
          <w:p w14:paraId="09714363">
            <w:pPr>
              <w:pStyle w:val="44"/>
              <w:snapToGrid w:val="0"/>
              <w:jc w:val="both"/>
              <w:rPr>
                <w:rFonts w:hint="eastAsia" w:ascii="仿宋_GB2312" w:hAnsi="仿宋_GB2312" w:eastAsia="仿宋_GB2312" w:cs="仿宋_GB2312"/>
                <w:color w:val="000000" w:themeColor="text1"/>
                <w:spacing w:val="0"/>
                <w:highlight w:val="none"/>
                <w14:textFill>
                  <w14:solidFill>
                    <w14:schemeClr w14:val="tx1"/>
                  </w14:solidFill>
                </w14:textFill>
              </w:rPr>
            </w:pPr>
            <w:r>
              <w:rPr>
                <w:rFonts w:hint="eastAsia" w:ascii="仿宋_GB2312" w:hAnsi="仿宋_GB2312" w:eastAsia="仿宋_GB2312" w:cs="仿宋_GB2312"/>
                <w:color w:val="000000" w:themeColor="text1"/>
                <w:spacing w:val="0"/>
                <w:highlight w:val="none"/>
                <w14:textFill>
                  <w14:solidFill>
                    <w14:schemeClr w14:val="tx1"/>
                  </w14:solidFill>
                </w14:textFill>
              </w:rPr>
              <w:t>保荐人应当就发行人募集资金投资构成是否属于资本性支出发表核查意见，并结合公司业务规模、业务增长情况、现金流状况、资产构成及资金占用情况，论证说明本次补充流动资金的原因及规模的合理性，是否符合《证券期货法律适用意见第18号》第五条的相关要求；对于补充流动资金或者偿还债务规模明显超过企业实际经营情况且缺乏合理理由的，保荐人应当就本次募集资金的合理性审慎发表意见。</w:t>
            </w:r>
          </w:p>
          <w:p w14:paraId="6CFA8513">
            <w:pPr>
              <w:pStyle w:val="44"/>
              <w:snapToGrid w:val="0"/>
              <w:jc w:val="both"/>
              <w:rPr>
                <w:rFonts w:hint="eastAsia" w:ascii="仿宋_GB2312" w:hAnsi="仿宋_GB2312" w:eastAsia="仿宋_GB2312" w:cs="仿宋_GB2312"/>
                <w:color w:val="000000" w:themeColor="text1"/>
                <w:spacing w:val="-11"/>
                <w:highlight w:val="none"/>
                <w14:textFill>
                  <w14:solidFill>
                    <w14:schemeClr w14:val="tx1"/>
                  </w14:solidFill>
                </w14:textFill>
              </w:rPr>
            </w:pPr>
            <w:r>
              <w:rPr>
                <w:rFonts w:hint="default" w:ascii="Times New Roman" w:hAnsi="Times New Roman" w:eastAsia="仿宋_GB2312" w:cs="Times New Roman"/>
                <w:bCs/>
                <w:color w:val="000000" w:themeColor="text1"/>
                <w:kern w:val="0"/>
                <w:sz w:val="24"/>
                <w:szCs w:val="24"/>
                <w:lang w:val="en-US" w:eastAsia="zh-CN"/>
                <w14:textFill>
                  <w14:solidFill>
                    <w14:schemeClr w14:val="tx1"/>
                  </w14:solidFill>
                </w14:textFill>
              </w:rPr>
              <w:t>对于具有轻资产、高研发投入特点的企业，再融资募集资金用于补充流动资金和偿还债务的比例超过募集资金总额30%的，应当充分论证其合理性，且超过部分原则上应当用于主营业务相关的研发投入。</w:t>
            </w:r>
          </w:p>
        </w:tc>
        <w:tc>
          <w:tcPr>
            <w:tcW w:w="2641" w:type="dxa"/>
          </w:tcPr>
          <w:p w14:paraId="782BB90E">
            <w:pPr>
              <w:pStyle w:val="44"/>
              <w:snapToGrid w:val="0"/>
              <w:spacing w:line="240" w:lineRule="auto"/>
              <w:jc w:val="both"/>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r>
              <w:rPr>
                <w:rFonts w:hint="eastAsia" w:ascii="仿宋_GB2312" w:hAnsi="仿宋_GB2312" w:eastAsia="仿宋_GB2312" w:cs="仿宋_GB2312"/>
                <w:color w:val="000000" w:themeColor="text1"/>
                <w:spacing w:val="-1"/>
                <w:highlight w:val="none"/>
                <w14:textFill>
                  <w14:solidFill>
                    <w14:schemeClr w14:val="tx1"/>
                  </w14:solidFill>
                </w14:textFill>
              </w:rPr>
              <w:t>《证券期货法律适用意见第18号》第五条</w:t>
            </w:r>
            <w:r>
              <w:rPr>
                <w:rFonts w:hint="eastAsia" w:ascii="仿宋_GB2312" w:hAnsi="仿宋_GB2312" w:eastAsia="仿宋_GB2312" w:cs="仿宋_GB2312"/>
                <w:color w:val="000000" w:themeColor="text1"/>
                <w:spacing w:val="-1"/>
                <w:highlight w:val="none"/>
                <w:lang w:eastAsia="zh-CN"/>
                <w14:textFill>
                  <w14:solidFill>
                    <w14:schemeClr w14:val="tx1"/>
                  </w14:solidFill>
                </w14:textFill>
              </w:rPr>
              <w:t>，</w:t>
            </w:r>
            <w:r>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000000" w:themeColor="text1"/>
                <w:spacing w:val="0"/>
                <w:sz w:val="24"/>
                <w:szCs w:val="24"/>
                <w14:textFill>
                  <w14:solidFill>
                    <w14:schemeClr w14:val="tx1"/>
                  </w14:solidFill>
                </w14:textFill>
              </w:rPr>
              <w:t>上海证券交易所发行上市审核规则适用指引第6号——轻资产、高研发投入认定标准（试行）</w:t>
            </w:r>
            <w:r>
              <w:rPr>
                <w:rFonts w:hint="default" w:ascii="Times New Roman" w:hAnsi="Times New Roman" w:eastAsia="仿宋_GB2312" w:cs="Times New Roman"/>
                <w:bCs w:val="0"/>
                <w:color w:val="000000" w:themeColor="text1"/>
                <w:kern w:val="2"/>
                <w:sz w:val="24"/>
                <w:szCs w:val="24"/>
                <w:lang w:eastAsia="zh-CN"/>
                <w14:textFill>
                  <w14:solidFill>
                    <w14:schemeClr w14:val="tx1"/>
                  </w14:solidFill>
                </w14:textFill>
              </w:rPr>
              <w:t>》</w:t>
            </w:r>
          </w:p>
          <w:p w14:paraId="4BCC1216">
            <w:pPr>
              <w:autoSpaceDE w:val="0"/>
              <w:autoSpaceDN w:val="0"/>
              <w:snapToGrid w:val="0"/>
              <w:rPr>
                <w:rFonts w:hint="eastAsia" w:ascii="仿宋_GB2312" w:hAnsi="仿宋_GB2312" w:eastAsia="仿宋_GB2312" w:cs="仿宋_GB2312"/>
                <w:color w:val="000000" w:themeColor="text1"/>
                <w:highlight w:val="none"/>
                <w:lang w:eastAsia="zh-CN"/>
                <w14:textFill>
                  <w14:solidFill>
                    <w14:schemeClr w14:val="tx1"/>
                  </w14:solidFill>
                </w14:textFill>
              </w:rPr>
            </w:pPr>
          </w:p>
        </w:tc>
      </w:tr>
      <w:tr w14:paraId="65622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BC7E544">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1-7</w:t>
            </w:r>
          </w:p>
        </w:tc>
        <w:tc>
          <w:tcPr>
            <w:tcW w:w="1434" w:type="dxa"/>
            <w:vAlign w:val="center"/>
          </w:tcPr>
          <w:p w14:paraId="7B4DAA14">
            <w:pPr>
              <w:snapToGrid w:val="0"/>
              <w:jc w:val="both"/>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募投项目效益测算</w:t>
            </w:r>
          </w:p>
        </w:tc>
        <w:tc>
          <w:tcPr>
            <w:tcW w:w="4738" w:type="dxa"/>
            <w:vAlign w:val="center"/>
          </w:tcPr>
          <w:p w14:paraId="635A4725">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p>
          <w:p w14:paraId="08757A30">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（1）对于披露预计效益的募投项目，发行人应结合可研报告、内部决策文件或其他同类文件的内容，披露效益预测的假设条件、计算基础及计算过程；</w:t>
            </w:r>
          </w:p>
          <w:p w14:paraId="1E18A966">
            <w:pPr>
              <w:pStyle w:val="44"/>
              <w:tabs>
                <w:tab w:val="left" w:pos="709"/>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（2）发行人披露的效益指标为内部收益率或投资回收期的，应明确内部收益率或投资回收期的测算过程以及所使用的收益数据，并分析募投项目实施后预计对公司经营的影响。</w:t>
            </w:r>
          </w:p>
        </w:tc>
        <w:tc>
          <w:tcPr>
            <w:tcW w:w="4441" w:type="dxa"/>
          </w:tcPr>
          <w:p w14:paraId="1495529F">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保荐人应结合发行人现有业务或同</w:t>
            </w:r>
            <w:r>
              <w:rPr>
                <w:rFonts w:hint="eastAsia" w:ascii="仿宋_GB2312" w:hAnsi="仿宋_GB2312" w:eastAsia="仿宋_GB2312" w:cs="仿宋_GB2312"/>
                <w:color w:val="000000" w:themeColor="text1"/>
                <w:spacing w:val="-7"/>
                <w:highlight w:val="none"/>
                <w14:textFill>
                  <w14:solidFill>
                    <w14:schemeClr w14:val="tx1"/>
                  </w14:solidFill>
                </w14:textFill>
              </w:rPr>
              <w:t>行业上市公司业务开展情况，对效益</w:t>
            </w:r>
            <w:r>
              <w:rPr>
                <w:rFonts w:hint="eastAsia" w:ascii="仿宋_GB2312" w:hAnsi="仿宋_GB2312" w:eastAsia="仿宋_GB2312" w:cs="仿宋_GB2312"/>
                <w:color w:val="000000" w:themeColor="text1"/>
                <w:highlight w:val="none"/>
                <w14:textFill>
                  <w14:solidFill>
                    <w14:schemeClr w14:val="tx1"/>
                  </w14:solidFill>
                </w14:textFill>
              </w:rPr>
              <w:t>预测的计算方式、计算基础进行核</w:t>
            </w:r>
            <w:r>
              <w:rPr>
                <w:rFonts w:hint="eastAsia" w:ascii="仿宋_GB2312" w:hAnsi="仿宋_GB2312" w:eastAsia="仿宋_GB2312" w:cs="仿宋_GB2312"/>
                <w:color w:val="000000" w:themeColor="text1"/>
                <w:spacing w:val="-1"/>
                <w:highlight w:val="none"/>
                <w14:textFill>
                  <w14:solidFill>
                    <w14:schemeClr w14:val="tx1"/>
                  </w14:solidFill>
                </w14:textFill>
              </w:rPr>
              <w:t>查，在预计效益测算的基础上，与现有业务的经营情况进行纵向对比，说明增长率、毛利率、预测净利率等收益指标的合理性，或与同行业可比公司的经营情况进行横向比较，说明增长率、毛利率等收益指标的合理性，并在《发行保荐工作报告》中发表意见。发行前可研报告超过一年的，保荐人应督促发行人就预计效益的计算基础是否发生变化、变化的具体内容及对效益测算的影响进行补充说明。若效益预测基础或经营环境发生变化的，保荐人应督促发行人在发行前更新披露本次募投项目的预计效益。</w:t>
            </w:r>
          </w:p>
        </w:tc>
        <w:tc>
          <w:tcPr>
            <w:tcW w:w="2641" w:type="dxa"/>
          </w:tcPr>
          <w:p w14:paraId="7B4CA17C">
            <w:pPr>
              <w:pStyle w:val="44"/>
              <w:tabs>
                <w:tab w:val="left" w:pos="381"/>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《募集说明书格式准则》第十二条，《监管规则适用指引——发行类第7号》第五条</w:t>
            </w:r>
          </w:p>
          <w:p w14:paraId="48F27706">
            <w:pPr>
              <w:pStyle w:val="44"/>
              <w:tabs>
                <w:tab w:val="left" w:pos="381"/>
              </w:tabs>
              <w:snapToGrid w:val="0"/>
              <w:rPr>
                <w:rFonts w:hint="eastAsia" w:ascii="仿宋_GB2312" w:hAnsi="仿宋_GB2312" w:eastAsia="仿宋_GB2312" w:cs="仿宋_GB2312"/>
                <w:color w:val="000000" w:themeColor="text1"/>
                <w:highlight w:val="none"/>
                <w14:textFill>
                  <w14:solidFill>
                    <w14:schemeClr w14:val="tx1"/>
                  </w14:solidFill>
                </w14:textFill>
              </w:rPr>
            </w:pPr>
          </w:p>
        </w:tc>
      </w:tr>
      <w:tr w14:paraId="0E5FC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5A30B902">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1-8</w:t>
            </w:r>
          </w:p>
        </w:tc>
        <w:tc>
          <w:tcPr>
            <w:tcW w:w="1434" w:type="dxa"/>
            <w:vAlign w:val="center"/>
          </w:tcPr>
          <w:p w14:paraId="3B29B30D">
            <w:pPr>
              <w:snapToGrid w:val="0"/>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募投项目备案或审批情况</w:t>
            </w:r>
          </w:p>
        </w:tc>
        <w:tc>
          <w:tcPr>
            <w:tcW w:w="4738" w:type="dxa"/>
          </w:tcPr>
          <w:p w14:paraId="728443BF">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w:t>
            </w:r>
            <w:r>
              <w:rPr>
                <w:rFonts w:hint="eastAsia" w:ascii="仿宋_GB2312" w:hAnsi="仿宋_GB2312" w:eastAsia="仿宋_GB2312" w:cs="仿宋_GB2312"/>
                <w:color w:val="000000" w:themeColor="text1"/>
                <w:highlight w:val="none"/>
                <w14:textFill>
                  <w14:solidFill>
                    <w14:schemeClr w14:val="tx1"/>
                  </w14:solidFill>
                </w14:textFill>
              </w:rPr>
              <w:t>露：</w:t>
            </w:r>
          </w:p>
          <w:p w14:paraId="2FFF3992">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（1）本次募集资金投资项目涉及立项、土地、环保等有关审批、批准或备案事项的进展、尚需履行的程序及是否存在重大不确定性；</w:t>
            </w:r>
          </w:p>
          <w:p w14:paraId="7AA9B7D4">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（2）</w:t>
            </w:r>
            <w:r>
              <w:rPr>
                <w:rFonts w:hint="eastAsia" w:ascii="仿宋_GB2312" w:hAnsi="仿宋_GB2312" w:eastAsia="仿宋_GB2312" w:cs="仿宋_GB2312"/>
                <w:color w:val="000000" w:themeColor="text1"/>
                <w:highlight w:val="none"/>
                <w14:textFill>
                  <w14:solidFill>
                    <w14:schemeClr w14:val="tx1"/>
                  </w14:solidFill>
                </w14:textFill>
              </w:rPr>
              <w:t>募投项目用地尚未取得的，发行人应当披露募投项目用地的计划、取得土地的具体安排、进度,是否符合土地政策、城市规划,募投项目用地落实的风险；如无法取得募投项目用地拟采取的替代措施以及对募投项目实施的影响等；</w:t>
            </w:r>
          </w:p>
          <w:p w14:paraId="67E6F6C2">
            <w:pPr>
              <w:pStyle w:val="44"/>
              <w:widowControl w:val="0"/>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（3）</w:t>
            </w:r>
            <w:r>
              <w:rPr>
                <w:rFonts w:hint="eastAsia" w:ascii="仿宋_GB2312" w:hAnsi="仿宋_GB2312" w:eastAsia="仿宋_GB2312" w:cs="仿宋_GB2312"/>
                <w:color w:val="000000" w:themeColor="text1"/>
                <w:highlight w:val="none"/>
                <w14:textFill>
                  <w14:solidFill>
                    <w14:schemeClr w14:val="tx1"/>
                  </w14:solidFill>
                </w14:textFill>
              </w:rPr>
              <w:t>如涉及特殊政策允许进行境外投资的，充分披露风险。</w:t>
            </w:r>
          </w:p>
          <w:p w14:paraId="68BDCE62">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p>
          <w:p w14:paraId="6B97676B">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p>
        </w:tc>
        <w:tc>
          <w:tcPr>
            <w:tcW w:w="4441" w:type="dxa"/>
            <w:vAlign w:val="center"/>
          </w:tcPr>
          <w:p w14:paraId="39276C37">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保荐人应当对相关事项进行核</w:t>
            </w:r>
            <w:r>
              <w:rPr>
                <w:rFonts w:hint="eastAsia" w:ascii="仿宋_GB2312" w:hAnsi="仿宋_GB2312" w:eastAsia="仿宋_GB2312" w:cs="仿宋_GB2312"/>
                <w:color w:val="000000" w:themeColor="text1"/>
                <w:spacing w:val="-1"/>
                <w:highlight w:val="none"/>
                <w14:textFill>
                  <w14:solidFill>
                    <w14:schemeClr w14:val="tx1"/>
                  </w14:solidFill>
                </w14:textFill>
              </w:rPr>
              <w:t>查，</w:t>
            </w:r>
            <w:r>
              <w:rPr>
                <w:rFonts w:hint="eastAsia" w:ascii="仿宋_GB2312" w:hAnsi="仿宋_GB2312" w:eastAsia="仿宋_GB2312" w:cs="仿宋_GB2312"/>
                <w:color w:val="000000" w:themeColor="text1"/>
                <w:highlight w:val="none"/>
                <w14:textFill>
                  <w14:solidFill>
                    <w14:schemeClr w14:val="tx1"/>
                  </w14:solidFill>
                </w14:textFill>
              </w:rPr>
              <w:t>若涉及特殊政策允许进行境外投资的，应当提供有权机关对项目是否符合特殊政策的说明；</w:t>
            </w:r>
            <w:r>
              <w:rPr>
                <w:rFonts w:hint="eastAsia" w:ascii="仿宋_GB2312" w:hAnsi="仿宋_GB2312" w:eastAsia="仿宋_GB2312" w:cs="仿宋_GB2312"/>
                <w:color w:val="000000" w:themeColor="text1"/>
                <w:spacing w:val="-1"/>
                <w:highlight w:val="none"/>
                <w14:textFill>
                  <w14:solidFill>
                    <w14:schemeClr w14:val="tx1"/>
                  </w14:solidFill>
                </w14:textFill>
              </w:rPr>
              <w:t>若发行人尚未完成相关审批、批准、备案或有效期即将届满的，</w:t>
            </w:r>
            <w:r>
              <w:rPr>
                <w:rFonts w:hint="eastAsia" w:ascii="仿宋_GB2312" w:hAnsi="仿宋_GB2312" w:eastAsia="仿宋_GB2312" w:cs="仿宋_GB2312"/>
                <w:color w:val="000000" w:themeColor="text1"/>
                <w:highlight w:val="none"/>
                <w14:textFill>
                  <w14:solidFill>
                    <w14:schemeClr w14:val="tx1"/>
                  </w14:solidFill>
                </w14:textFill>
              </w:rPr>
              <w:t>应说明募投项目的实施是否存在重大不确定性、是否对本次发行构成实质性障碍；</w:t>
            </w:r>
            <w:r>
              <w:rPr>
                <w:rFonts w:hint="eastAsia" w:ascii="仿宋_GB2312" w:hAnsi="仿宋_GB2312" w:eastAsia="仿宋_GB2312" w:cs="仿宋_GB2312"/>
                <w:i w:val="0"/>
                <w:iCs w:val="0"/>
                <w:caps w:val="0"/>
                <w:color w:val="000000" w:themeColor="text1"/>
                <w:spacing w:val="0"/>
                <w:sz w:val="24"/>
                <w:szCs w:val="24"/>
                <w:highlight w:val="none"/>
                <w:shd w:val="clear"/>
                <w14:textFill>
                  <w14:solidFill>
                    <w14:schemeClr w14:val="tx1"/>
                  </w14:solidFill>
                </w14:textFill>
              </w:rPr>
              <w:t>原则上，发行人应在申报时提交</w:t>
            </w:r>
            <w:r>
              <w:rPr>
                <w:rFonts w:hint="eastAsia" w:ascii="仿宋_GB2312" w:hAnsi="仿宋_GB2312" w:eastAsia="仿宋_GB2312" w:cs="仿宋_GB2312"/>
                <w:i w:val="0"/>
                <w:iCs w:val="0"/>
                <w:caps w:val="0"/>
                <w:color w:val="000000" w:themeColor="text1"/>
                <w:spacing w:val="0"/>
                <w:sz w:val="24"/>
                <w:szCs w:val="24"/>
                <w:highlight w:val="none"/>
                <w:shd w:val="clear"/>
                <w:lang w:eastAsia="zh-CN"/>
                <w14:textFill>
                  <w14:solidFill>
                    <w14:schemeClr w14:val="tx1"/>
                  </w14:solidFill>
                </w14:textFill>
              </w:rPr>
              <w:t>募投项目环境影响评价</w:t>
            </w:r>
            <w:r>
              <w:rPr>
                <w:rFonts w:hint="eastAsia" w:ascii="仿宋_GB2312" w:hAnsi="仿宋_GB2312" w:eastAsia="仿宋_GB2312" w:cs="仿宋_GB2312"/>
                <w:i w:val="0"/>
                <w:iCs w:val="0"/>
                <w:caps w:val="0"/>
                <w:color w:val="000000" w:themeColor="text1"/>
                <w:spacing w:val="0"/>
                <w:sz w:val="24"/>
                <w:szCs w:val="24"/>
                <w:highlight w:val="none"/>
                <w:shd w:val="clear"/>
                <w14:textFill>
                  <w14:solidFill>
                    <w14:schemeClr w14:val="tx1"/>
                  </w14:solidFill>
                </w14:textFill>
              </w:rPr>
              <w:t>批复文件</w:t>
            </w:r>
            <w:r>
              <w:rPr>
                <w:rFonts w:hint="eastAsia" w:ascii="仿宋_GB2312" w:hAnsi="仿宋_GB2312" w:eastAsia="仿宋_GB2312" w:cs="仿宋_GB2312"/>
                <w:i w:val="0"/>
                <w:iCs w:val="0"/>
                <w:caps w:val="0"/>
                <w:color w:val="000000" w:themeColor="text1"/>
                <w:spacing w:val="0"/>
                <w:sz w:val="24"/>
                <w:szCs w:val="24"/>
                <w:highlight w:val="none"/>
                <w:shd w:val="clear"/>
                <w:lang w:eastAsia="zh-CN"/>
                <w14:textFill>
                  <w14:solidFill>
                    <w14:schemeClr w14:val="tx1"/>
                  </w14:solidFill>
                </w14:textFill>
              </w:rPr>
              <w:t>，如由于客观原因未能及时取得的，应说明原因、是否存在障碍问题、预计取得时间，并督促发行人出具关于在问询回复时限内及时取得批复文件的承诺；</w:t>
            </w:r>
            <w:r>
              <w:rPr>
                <w:rFonts w:hint="eastAsia" w:ascii="仿宋_GB2312" w:hAnsi="仿宋_GB2312" w:eastAsia="仿宋_GB2312" w:cs="仿宋_GB2312"/>
                <w:color w:val="000000" w:themeColor="text1"/>
                <w:highlight w:val="none"/>
                <w14:textFill>
                  <w14:solidFill>
                    <w14:schemeClr w14:val="tx1"/>
                  </w14:solidFill>
                </w14:textFill>
              </w:rPr>
              <w:t>对募投用地是否符合国家土地法律法规政策，境外投资的境内审批是否已全部取得以及本次对外投资项目是否符合国家法律法规政策的规定等进行核查并在《发行保荐工作报告》中发表明确意见。</w:t>
            </w:r>
          </w:p>
          <w:p w14:paraId="08AE9CF0">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发行人律师应对相关事项进行核查，并在《律师工作报告》中发</w:t>
            </w:r>
            <w:r>
              <w:rPr>
                <w:rFonts w:hint="eastAsia" w:ascii="仿宋_GB2312" w:hAnsi="仿宋_GB2312" w:eastAsia="仿宋_GB2312" w:cs="仿宋_GB2312"/>
                <w:color w:val="000000" w:themeColor="text1"/>
                <w:highlight w:val="none"/>
                <w14:textFill>
                  <w14:solidFill>
                    <w14:schemeClr w14:val="tx1"/>
                  </w14:solidFill>
                </w14:textFill>
              </w:rPr>
              <w:t>表明确意见。</w:t>
            </w:r>
          </w:p>
        </w:tc>
        <w:tc>
          <w:tcPr>
            <w:tcW w:w="2641" w:type="dxa"/>
          </w:tcPr>
          <w:p w14:paraId="5C660031">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《募集说明书格式准则》第十二条，《监管规则适用指引——发行类第6号》第四条、第七条</w:t>
            </w:r>
          </w:p>
        </w:tc>
      </w:tr>
      <w:tr w14:paraId="1C711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0C576F9">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1-9</w:t>
            </w:r>
          </w:p>
        </w:tc>
        <w:tc>
          <w:tcPr>
            <w:tcW w:w="1434" w:type="dxa"/>
            <w:vAlign w:val="center"/>
          </w:tcPr>
          <w:p w14:paraId="1D09529D">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募集资金研发投入情况</w:t>
            </w:r>
          </w:p>
        </w:tc>
        <w:tc>
          <w:tcPr>
            <w:tcW w:w="4738" w:type="dxa"/>
          </w:tcPr>
          <w:p w14:paraId="7834A60D">
            <w:pPr>
              <w:pStyle w:val="44"/>
              <w:tabs>
                <w:tab w:val="left" w:pos="709"/>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发行人应披露：研发投入的主要内容、技术可行性、研发预算及时间安排、目前研发投入及进展、预计未来研发费用资本化情况、已取得及预计取得的研发成果等。</w:t>
            </w:r>
          </w:p>
        </w:tc>
        <w:tc>
          <w:tcPr>
            <w:tcW w:w="4441" w:type="dxa"/>
          </w:tcPr>
          <w:p w14:paraId="7F6E9B63">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应对上述事项进行核查，说明研发投入中资本化的部分是否符合项目实际情况、是否符合《企业会计准则》的相关规定；结合报告期内发行人同类项目、同行业公司可比项目的资本化情况，说明本次募投项目总拟资本化金额的合理性，并在《发行保荐工作报告》中发表明确意见。</w:t>
            </w:r>
          </w:p>
          <w:p w14:paraId="47E60E4D">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会计师应当按照上述要求出具专项说明文件并发表明确意见。</w:t>
            </w:r>
          </w:p>
        </w:tc>
        <w:tc>
          <w:tcPr>
            <w:tcW w:w="2641" w:type="dxa"/>
          </w:tcPr>
          <w:p w14:paraId="023A724E">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w:t>
            </w:r>
          </w:p>
        </w:tc>
      </w:tr>
      <w:tr w14:paraId="6DC01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728A7BB6">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1-10</w:t>
            </w:r>
          </w:p>
        </w:tc>
        <w:tc>
          <w:tcPr>
            <w:tcW w:w="1434" w:type="dxa"/>
            <w:vAlign w:val="center"/>
          </w:tcPr>
          <w:p w14:paraId="27A33F97">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发行人是否通过控股公司或参股公司实施募投项目</w:t>
            </w:r>
          </w:p>
        </w:tc>
        <w:tc>
          <w:tcPr>
            <w:tcW w:w="4738" w:type="dxa"/>
            <w:vAlign w:val="center"/>
          </w:tcPr>
          <w:p w14:paraId="50A85CED">
            <w:pPr>
              <w:pStyle w:val="44"/>
              <w:snapToGrid w:val="0"/>
              <w:jc w:val="both"/>
              <w:rPr>
                <w:rFonts w:hint="eastAsia" w:ascii="仿宋_GB2312" w:hAnsi="仿宋_GB2312" w:eastAsia="仿宋_GB2312" w:cs="仿宋_GB2312"/>
                <w:color w:val="000000" w:themeColor="text1"/>
                <w:spacing w:val="-2"/>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发行人应披露：</w:t>
            </w:r>
          </w:p>
          <w:p w14:paraId="46DDB724">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（1</w:t>
            </w:r>
            <w:r>
              <w:rPr>
                <w:rFonts w:hint="eastAsia" w:ascii="仿宋_GB2312" w:hAnsi="仿宋_GB2312" w:eastAsia="仿宋_GB2312" w:cs="仿宋_GB2312"/>
                <w:color w:val="000000" w:themeColor="text1"/>
                <w:spacing w:val="-1"/>
                <w:highlight w:val="none"/>
                <w14:textFill>
                  <w14:solidFill>
                    <w14:schemeClr w14:val="tx1"/>
                  </w14:solidFill>
                </w14:textFill>
              </w:rPr>
              <w:t>）本次募集资金投资项目的实施准备和进展情况，预计实施时间，整体进度安排，发行人的实施能力及资金缺口的解决方式；</w:t>
            </w:r>
          </w:p>
          <w:p w14:paraId="0BDEF992">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2"/>
                <w:highlight w:val="none"/>
                <w14:textFill>
                  <w14:solidFill>
                    <w14:schemeClr w14:val="tx1"/>
                  </w14:solidFill>
                </w14:textFill>
              </w:rPr>
              <w:t>（2</w:t>
            </w:r>
            <w:r>
              <w:rPr>
                <w:rFonts w:hint="eastAsia" w:ascii="仿宋_GB2312" w:hAnsi="仿宋_GB2312" w:eastAsia="仿宋_GB2312" w:cs="仿宋_GB2312"/>
                <w:color w:val="000000" w:themeColor="text1"/>
                <w:spacing w:val="-1"/>
                <w:highlight w:val="none"/>
                <w14:textFill>
                  <w14:solidFill>
                    <w14:schemeClr w14:val="tx1"/>
                  </w14:solidFill>
                </w14:textFill>
              </w:rPr>
              <w:t>）通过与控股股东、实际控制人、董事、高级管理人员及其亲属共同出资设立的公司实施募投项目的，应当披露该公司的基本情况,共同设立公司的原因、背景、必要性和合规性、相关利益冲突的防范措施；通过该公司实施募投项目的原因、必要性和合理性；共同投资行为是否履行了关联交易的相关程序及其合法合规性。</w:t>
            </w:r>
          </w:p>
        </w:tc>
        <w:tc>
          <w:tcPr>
            <w:tcW w:w="4441" w:type="dxa"/>
          </w:tcPr>
          <w:p w14:paraId="3DE91F19">
            <w:pPr>
              <w:pStyle w:val="44"/>
              <w:snapToGrid w:val="0"/>
              <w:ind w:right="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w:t>
            </w:r>
            <w:r>
              <w:rPr>
                <w:rFonts w:hint="eastAsia" w:ascii="仿宋_GB2312" w:hAnsi="仿宋_GB2312" w:eastAsia="仿宋_GB2312" w:cs="仿宋_GB2312"/>
                <w:color w:val="000000" w:themeColor="text1"/>
                <w:highlight w:val="none"/>
                <w14:textFill>
                  <w14:solidFill>
                    <w14:schemeClr w14:val="tx1"/>
                  </w14:solidFill>
                </w14:textFill>
              </w:rPr>
              <w:t>及发行人律师应对以下事项进行核查：</w:t>
            </w:r>
          </w:p>
          <w:p w14:paraId="6F8A8EFA">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1）原则上要求实施主体为母公司或其拥有控制权的子公司，若发行人通过参股公司实施募投项目，应核查是否基于历史原因导致发行人一直通过该参股公司开展主营业务、是否能对募集资金进行有效监管、能否参与参股公司的重大事项经营决策、参股公司是否有切实可行的分红方案，或是否国家法律法规或政策另有规定，并在《发行保荐工作报告》和《律师工作报告》中发表明确意见。</w:t>
            </w:r>
          </w:p>
          <w:p w14:paraId="623A8825">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2）通过新设非全资控股子公司或参股公司实施募投项目的，应核查与其他股东合作原因、其他股东实力及商业合理性,并就其他股东是否属于关联方、双方出资比例、子公司法人治理结构、设立后发行人是否拥有控制权等进行核查并发表意见。</w:t>
            </w:r>
          </w:p>
          <w:p w14:paraId="5B898C44">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3）通过非全资控股子公司或参股公司实施募投项目的，应当核查中小股东或其他股东是否同比例增资或提供贷款,同时需明确增资价格和借款的主要条款(贷款利率)。保荐人及发行人律师应当结合上述情况核查是否存在损害上市公司利益的情形在《发行保荐工作报告》和《律师工作报告》中发表意见；</w:t>
            </w:r>
          </w:p>
          <w:p w14:paraId="59A89ECA">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（4）通过与控股股东、实际控制人、董事、高级管理人员及其亲属共同出资设立的公司实施募投项目的，在《发行保荐工作报告》和《律师工作报告》中对上述事项及发行人是否符合《公司法》</w:t>
            </w:r>
            <w:r>
              <w:rPr>
                <w:rFonts w:hint="eastAsia" w:ascii="仿宋_GB2312" w:hAnsi="仿宋_GB2312" w:eastAsia="仿宋_GB2312" w:cs="仿宋_GB2312"/>
                <w:color w:val="000000" w:themeColor="text1"/>
                <w:spacing w:val="-1"/>
                <w:highlight w:val="none"/>
                <w:lang w:eastAsia="zh-CN"/>
                <w14:textFill>
                  <w14:solidFill>
                    <w14:schemeClr w14:val="tx1"/>
                  </w14:solidFill>
                </w14:textFill>
              </w:rPr>
              <w:t>相关</w:t>
            </w:r>
            <w:r>
              <w:rPr>
                <w:rFonts w:hint="eastAsia" w:ascii="仿宋_GB2312" w:hAnsi="仿宋_GB2312" w:eastAsia="仿宋_GB2312" w:cs="仿宋_GB2312"/>
                <w:color w:val="000000" w:themeColor="text1"/>
                <w:spacing w:val="-1"/>
                <w:highlight w:val="none"/>
                <w14:textFill>
                  <w14:solidFill>
                    <w14:schemeClr w14:val="tx1"/>
                  </w14:solidFill>
                </w14:textFill>
              </w:rPr>
              <w:t>规定、相关防范措施的有效性发表意见。</w:t>
            </w:r>
          </w:p>
        </w:tc>
        <w:tc>
          <w:tcPr>
            <w:tcW w:w="2641" w:type="dxa"/>
          </w:tcPr>
          <w:p w14:paraId="6CCBE034">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《募集说明书格式准则》第十二条，《监管规则适用指引——发行类第6号》第八条</w:t>
            </w:r>
          </w:p>
        </w:tc>
      </w:tr>
      <w:tr w14:paraId="647A3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1CC58846">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1-11</w:t>
            </w:r>
          </w:p>
        </w:tc>
        <w:tc>
          <w:tcPr>
            <w:tcW w:w="1434" w:type="dxa"/>
            <w:vAlign w:val="center"/>
          </w:tcPr>
          <w:p w14:paraId="5AF8E13F">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发行人主营业务或本次募投项目是否涉及产能过剩行业</w:t>
            </w:r>
            <w:r>
              <w:rPr>
                <w:rFonts w:hint="eastAsia" w:ascii="仿宋_GB2312" w:hAnsi="仿宋_GB2312" w:eastAsia="仿宋_GB2312" w:cs="仿宋_GB2312"/>
                <w:b/>
                <w:bCs/>
                <w:color w:val="000000" w:themeColor="text1"/>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highlight w:val="none"/>
                <w14:textFill>
                  <w14:solidFill>
                    <w14:schemeClr w14:val="tx1"/>
                  </w14:solidFill>
                </w14:textFill>
              </w:rPr>
              <w:t>限制类、淘汰类行业，高耗能高排放行业</w:t>
            </w:r>
          </w:p>
        </w:tc>
        <w:tc>
          <w:tcPr>
            <w:tcW w:w="4738" w:type="dxa"/>
          </w:tcPr>
          <w:p w14:paraId="31C78B82">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发行人应披露符合国家产业政策和有关环境保护、土地管理等法律、行政法规规定。</w:t>
            </w:r>
          </w:p>
        </w:tc>
        <w:tc>
          <w:tcPr>
            <w:tcW w:w="4441" w:type="dxa"/>
          </w:tcPr>
          <w:p w14:paraId="28F466BA">
            <w:pPr>
              <w:pStyle w:val="44"/>
              <w:snapToGrid w:val="0"/>
              <w:ind w:right="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spacing w:val="-1"/>
                <w:highlight w:val="none"/>
                <w14:textFill>
                  <w14:solidFill>
                    <w14:schemeClr w14:val="tx1"/>
                  </w14:solidFill>
                </w14:textFill>
              </w:rPr>
              <w:t>保荐人应当充分关注发行人主营业务或本次募投项目是否涉及产能过剩行业或限制类、淘汰类行业、高耗能、高排放行业，主要能源消耗和污染物排放是否符合国家、行业或协会的相关标准、规定，相关业务或项目是否符合国家产业政策规定，并在保荐工作报告中发表明确意见。</w:t>
            </w:r>
            <w:r>
              <w:rPr>
                <w:rFonts w:hint="eastAsia" w:ascii="仿宋_GB2312" w:hAnsi="仿宋_GB2312" w:eastAsia="仿宋_GB2312" w:cs="仿宋_GB2312"/>
                <w:color w:val="000000" w:themeColor="text1"/>
                <w:spacing w:val="-1"/>
                <w:highlight w:val="none"/>
                <w14:textFill>
                  <w14:solidFill>
                    <w14:schemeClr w14:val="tx1"/>
                  </w14:solidFill>
                </w14:textFill>
              </w:rPr>
              <w:br w:type="textWrapping"/>
            </w:r>
            <w:r>
              <w:rPr>
                <w:rFonts w:hint="eastAsia" w:ascii="仿宋_GB2312" w:hAnsi="仿宋_GB2312" w:eastAsia="仿宋_GB2312" w:cs="仿宋_GB2312"/>
                <w:color w:val="000000" w:themeColor="text1"/>
                <w:spacing w:val="-1"/>
                <w:highlight w:val="none"/>
                <w14:textFill>
                  <w14:solidFill>
                    <w14:schemeClr w14:val="tx1"/>
                  </w14:solidFill>
                </w14:textFill>
              </w:rPr>
              <w:t>原则上募集资金投资后不得新增过剩产能或投资于限制类、淘汰类项目。</w:t>
            </w:r>
            <w:r>
              <w:rPr>
                <w:rFonts w:hint="eastAsia" w:ascii="仿宋_GB2312" w:hAnsi="仿宋_GB2312" w:eastAsia="仿宋_GB2312" w:cs="仿宋_GB2312"/>
                <w:color w:val="000000" w:themeColor="text1"/>
                <w:spacing w:val="-1"/>
                <w:highlight w:val="none"/>
                <w14:textFill>
                  <w14:solidFill>
                    <w14:schemeClr w14:val="tx1"/>
                  </w14:solidFill>
                </w14:textFill>
              </w:rPr>
              <w:br w:type="textWrapping"/>
            </w:r>
            <w:r>
              <w:rPr>
                <w:rFonts w:hint="eastAsia" w:ascii="仿宋_GB2312" w:hAnsi="仿宋_GB2312" w:eastAsia="仿宋_GB2312" w:cs="仿宋_GB2312"/>
                <w:color w:val="000000" w:themeColor="text1"/>
                <w:spacing w:val="-1"/>
                <w:highlight w:val="none"/>
                <w14:textFill>
                  <w14:solidFill>
                    <w14:schemeClr w14:val="tx1"/>
                  </w14:solidFill>
                </w14:textFill>
              </w:rPr>
              <w:t>发行人律师应对上述事项进行核查，并在《律师工作报告》中发表明确意见。</w:t>
            </w:r>
          </w:p>
        </w:tc>
        <w:tc>
          <w:tcPr>
            <w:tcW w:w="2641" w:type="dxa"/>
          </w:tcPr>
          <w:p w14:paraId="50370E0D">
            <w:pPr>
              <w:pStyle w:val="44"/>
              <w:tabs>
                <w:tab w:val="left" w:pos="382"/>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《上市公司证券发行注册管理办法》第十二条，《监管规则适用指引——发行类第6号》第七条</w:t>
            </w:r>
          </w:p>
        </w:tc>
      </w:tr>
      <w:tr w14:paraId="2937A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C6772DE">
            <w:pPr>
              <w:snapToGrid w:val="0"/>
              <w:jc w:val="center"/>
              <w:rPr>
                <w:rFonts w:hint="eastAsia" w:ascii="仿宋_GB2312" w:hAnsi="仿宋_GB2312" w:eastAsia="仿宋_GB2312" w:cs="仿宋_GB2312"/>
                <w:b/>
                <w:bCs/>
                <w:color w:val="000000" w:themeColor="text1"/>
                <w:highlight w:val="none"/>
                <w14:textFill>
                  <w14:solidFill>
                    <w14:schemeClr w14:val="tx1"/>
                  </w14:solidFill>
                </w14:textFill>
              </w:rPr>
            </w:pPr>
            <w:r>
              <w:rPr>
                <w:rFonts w:hint="eastAsia" w:ascii="仿宋_GB2312" w:hAnsi="仿宋_GB2312" w:eastAsia="仿宋_GB2312" w:cs="仿宋_GB2312"/>
                <w:b/>
                <w:bCs/>
                <w:color w:val="000000" w:themeColor="text1"/>
                <w:highlight w:val="none"/>
                <w14:textFill>
                  <w14:solidFill>
                    <w14:schemeClr w14:val="tx1"/>
                  </w14:solidFill>
                </w14:textFill>
              </w:rPr>
              <w:t>1-12</w:t>
            </w:r>
          </w:p>
        </w:tc>
        <w:tc>
          <w:tcPr>
            <w:tcW w:w="1434" w:type="dxa"/>
            <w:vAlign w:val="center"/>
          </w:tcPr>
          <w:p w14:paraId="05BAC135">
            <w:pPr>
              <w:pStyle w:val="44"/>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spacing w:val="-1"/>
                <w:highlight w:val="none"/>
                <w14:textFill>
                  <w14:solidFill>
                    <w14:schemeClr w14:val="tx1"/>
                  </w14:solidFill>
                </w14:textFill>
              </w:rPr>
              <w:t>募集资金投向科创领域</w:t>
            </w:r>
          </w:p>
        </w:tc>
        <w:tc>
          <w:tcPr>
            <w:tcW w:w="4738" w:type="dxa"/>
            <w:vAlign w:val="center"/>
          </w:tcPr>
          <w:p w14:paraId="523BA347">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科创板上市公司应披露：</w:t>
            </w:r>
          </w:p>
          <w:p w14:paraId="348A217B">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（1）本次发行完成后，科创板上市公司科技创新能力的变化；</w:t>
            </w:r>
          </w:p>
          <w:p w14:paraId="46190810">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（2）本次募集资金投资于科技创新领域的主营业务的情况，以及募投项目实施促进公司科技创新水平提升的方式；</w:t>
            </w:r>
          </w:p>
          <w:p w14:paraId="41A865F4">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（3）收购的资产为其他企业股权的（含增资方式收购），应披露股权所在公司的科技创新水平；</w:t>
            </w:r>
          </w:p>
          <w:p w14:paraId="220345F4">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（4）前次募集资金用途发生变更或项目延期的，应披露变更后募投项目是否属于科技创新领域；</w:t>
            </w:r>
          </w:p>
          <w:p w14:paraId="74F5A32E">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（5）前次募集资金使用对发行人科技创新的作用。</w:t>
            </w:r>
          </w:p>
        </w:tc>
        <w:tc>
          <w:tcPr>
            <w:tcW w:w="4441" w:type="dxa"/>
          </w:tcPr>
          <w:p w14:paraId="558C9C9D">
            <w:pPr>
              <w:pStyle w:val="44"/>
              <w:snapToGrid w:val="0"/>
              <w:jc w:val="both"/>
              <w:rPr>
                <w:rFonts w:hint="eastAsia" w:ascii="仿宋_GB2312" w:hAnsi="仿宋_GB2312" w:eastAsia="仿宋_GB2312" w:cs="仿宋_GB2312"/>
                <w:color w:val="000000" w:themeColor="text1"/>
                <w:spacing w:val="-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保荐人应当就科创板上市公司本次募集资金投向是否属于科技创新领域出具专项核查意见。</w:t>
            </w:r>
          </w:p>
        </w:tc>
        <w:tc>
          <w:tcPr>
            <w:tcW w:w="2641" w:type="dxa"/>
          </w:tcPr>
          <w:p w14:paraId="0D1CFAC3">
            <w:pPr>
              <w:pStyle w:val="44"/>
              <w:snapToGrid w:val="0"/>
              <w:jc w:val="both"/>
              <w:rPr>
                <w:rFonts w:hint="eastAsia" w:ascii="仿宋_GB2312" w:hAnsi="仿宋_GB2312" w:eastAsia="仿宋_GB2312" w:cs="仿宋_GB2312"/>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《募集说明书格式准则》第十二条、第十六条、第二十二条、第二十三条，《监管规则适用指引——发行类第7号》第四条</w:t>
            </w:r>
          </w:p>
          <w:p w14:paraId="06B6197F">
            <w:pPr>
              <w:pStyle w:val="44"/>
              <w:tabs>
                <w:tab w:val="left" w:pos="381"/>
              </w:tabs>
              <w:snapToGrid w:val="0"/>
              <w:jc w:val="both"/>
              <w:rPr>
                <w:rFonts w:hint="eastAsia" w:ascii="仿宋_GB2312" w:hAnsi="仿宋_GB2312" w:eastAsia="仿宋_GB2312" w:cs="仿宋_GB2312"/>
                <w:color w:val="000000" w:themeColor="text1"/>
                <w:highlight w:val="none"/>
                <w14:textFill>
                  <w14:solidFill>
                    <w14:schemeClr w14:val="tx1"/>
                  </w14:solidFill>
                </w14:textFill>
              </w:rPr>
            </w:pPr>
          </w:p>
        </w:tc>
      </w:tr>
    </w:tbl>
    <w:p w14:paraId="7F94B451">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1472"/>
        <w:gridCol w:w="4701"/>
        <w:gridCol w:w="4641"/>
        <w:gridCol w:w="2487"/>
      </w:tblGrid>
      <w:tr w14:paraId="44E68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4010" w:type="dxa"/>
            <w:gridSpan w:val="5"/>
            <w:shd w:val="clear" w:color="auto" w:fill="8DB3E2"/>
            <w:vAlign w:val="center"/>
          </w:tcPr>
          <w:p w14:paraId="08C6DC24">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二、关于发行方案的相关问题</w:t>
            </w:r>
          </w:p>
        </w:tc>
      </w:tr>
      <w:tr w14:paraId="2746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9" w:type="dxa"/>
            <w:vAlign w:val="center"/>
          </w:tcPr>
          <w:p w14:paraId="5760A46E">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472" w:type="dxa"/>
            <w:vAlign w:val="center"/>
          </w:tcPr>
          <w:p w14:paraId="0E787BC6">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701" w:type="dxa"/>
            <w:vAlign w:val="center"/>
          </w:tcPr>
          <w:p w14:paraId="3671E5F1">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641" w:type="dxa"/>
            <w:vAlign w:val="center"/>
          </w:tcPr>
          <w:p w14:paraId="6009B79A">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487" w:type="dxa"/>
            <w:vAlign w:val="center"/>
          </w:tcPr>
          <w:p w14:paraId="3EF6B0C0">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14:paraId="37CD4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Align w:val="center"/>
          </w:tcPr>
          <w:p w14:paraId="7BC5113D">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2-1</w:t>
            </w:r>
          </w:p>
        </w:tc>
        <w:tc>
          <w:tcPr>
            <w:tcW w:w="1472" w:type="dxa"/>
            <w:vAlign w:val="center"/>
          </w:tcPr>
          <w:p w14:paraId="642C0D3C">
            <w:pPr>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董事会前确定发行对象的相关事项</w:t>
            </w:r>
          </w:p>
        </w:tc>
        <w:tc>
          <w:tcPr>
            <w:tcW w:w="4701" w:type="dxa"/>
          </w:tcPr>
          <w:p w14:paraId="46A47544">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发行人应披露：</w:t>
            </w:r>
          </w:p>
          <w:p w14:paraId="36E414BB">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（1）认购对象为控股股东、实际控制人</w:t>
            </w:r>
            <w:r>
              <w:rPr>
                <w:rFonts w:hint="eastAsia" w:ascii="仿宋_GB2312" w:hAnsi="仿宋_GB2312" w:eastAsia="仿宋_GB2312" w:cs="仿宋_GB2312"/>
                <w:color w:val="000000" w:themeColor="text1"/>
                <w14:textFill>
                  <w14:solidFill>
                    <w14:schemeClr w14:val="tx1"/>
                  </w14:solidFill>
                </w14:textFill>
              </w:rPr>
              <w:t>所控制的关联方的，控制关系的认定是否合理，是否符合相关规定；</w:t>
            </w:r>
          </w:p>
          <w:p w14:paraId="471659CA">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（2）认购对象的认购资金来源，是否为</w:t>
            </w:r>
            <w:r>
              <w:rPr>
                <w:rFonts w:hint="eastAsia" w:ascii="仿宋_GB2312" w:hAnsi="仿宋_GB2312" w:eastAsia="仿宋_GB2312" w:cs="仿宋_GB2312"/>
                <w:color w:val="000000" w:themeColor="text1"/>
                <w14:textFill>
                  <w14:solidFill>
                    <w14:schemeClr w14:val="tx1"/>
                  </w14:solidFill>
                </w14:textFill>
              </w:rPr>
              <w:t>自有资金，是否存在对外募集、代持、结构化安排或直接、间接使用发行人及其关联方资金用于认购的情形，是否存在发行人及其控股股东或实际控制人、主要股东直接或通过其利益相关方向认购对象</w:t>
            </w:r>
            <w:r>
              <w:rPr>
                <w:rFonts w:hint="eastAsia" w:ascii="仿宋_GB2312" w:hAnsi="仿宋_GB2312" w:eastAsia="仿宋_GB2312" w:cs="仿宋_GB2312"/>
                <w:color w:val="000000" w:themeColor="text1"/>
                <w:highlight w:val="none"/>
                <w14:textFill>
                  <w14:solidFill>
                    <w14:schemeClr w14:val="tx1"/>
                  </w14:solidFill>
                </w14:textFill>
              </w:rPr>
              <w:t>提供财务资助、</w:t>
            </w:r>
            <w:r>
              <w:rPr>
                <w:rFonts w:hint="eastAsia" w:ascii="仿宋_GB2312" w:hAnsi="仿宋_GB2312" w:eastAsia="仿宋_GB2312" w:cs="仿宋_GB2312"/>
                <w:color w:val="000000" w:themeColor="text1"/>
                <w14:textFill>
                  <w14:solidFill>
                    <w14:schemeClr w14:val="tx1"/>
                  </w14:solidFill>
                </w14:textFill>
              </w:rPr>
              <w:t>补偿、承诺收益或其他协议安排的情形；认购资金是否来源于股权质押的，发行完成后控股股东、实际控制人是否存在高比例质押风险以及对公司控制权的影响。</w:t>
            </w:r>
          </w:p>
          <w:p w14:paraId="34F49C72">
            <w:pPr>
              <w:pStyle w:val="44"/>
              <w:tabs>
                <w:tab w:val="left" w:pos="709"/>
              </w:tabs>
              <w:snapToGrid w:val="0"/>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（3）认购对象应当承诺不存在以下情形：法律法规规定禁止持股；本次发行的中介机构或其负责人、高级管理人员、经办人员等违规持股；不当利益输送</w:t>
            </w:r>
            <w:r>
              <w:rPr>
                <w:rFonts w:hint="eastAsia" w:ascii="仿宋_GB2312" w:hAnsi="仿宋_GB2312" w:eastAsia="仿宋_GB2312" w:cs="仿宋_GB2312"/>
                <w:color w:val="000000" w:themeColor="text1"/>
                <w:lang w:eastAsia="zh-CN"/>
                <w14:textFill>
                  <w14:solidFill>
                    <w14:schemeClr w14:val="tx1"/>
                  </w14:solidFill>
                </w14:textFill>
              </w:rPr>
              <w:t>；</w:t>
            </w:r>
          </w:p>
          <w:p w14:paraId="4267AFDD">
            <w:pPr>
              <w:pStyle w:val="44"/>
              <w:tabs>
                <w:tab w:val="left" w:pos="709"/>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highlight w:val="none"/>
                <w14:textFill>
                  <w14:solidFill>
                    <w14:schemeClr w14:val="tx1"/>
                  </w14:solidFill>
                </w14:textFill>
              </w:rPr>
              <w:t>（4）是否存在对本次发行定价具有重大影响的事项。</w:t>
            </w:r>
          </w:p>
        </w:tc>
        <w:tc>
          <w:tcPr>
            <w:tcW w:w="4641" w:type="dxa"/>
          </w:tcPr>
          <w:p w14:paraId="5C1AE8BC">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8"/>
                <w14:textFill>
                  <w14:solidFill>
                    <w14:schemeClr w14:val="tx1"/>
                  </w14:solidFill>
                </w14:textFill>
              </w:rPr>
              <w:t>保荐人应对上述事项进行核查，确认</w:t>
            </w:r>
            <w:r>
              <w:rPr>
                <w:rFonts w:hint="eastAsia" w:ascii="仿宋_GB2312" w:hAnsi="仿宋_GB2312" w:eastAsia="仿宋_GB2312" w:cs="仿宋_GB2312"/>
                <w:color w:val="000000" w:themeColor="text1"/>
                <w14:textFill>
                  <w14:solidFill>
                    <w14:schemeClr w14:val="tx1"/>
                  </w14:solidFill>
                </w14:textFill>
              </w:rPr>
              <w:t>本次认购对象是否在定价基准日前</w:t>
            </w:r>
            <w:r>
              <w:rPr>
                <w:rFonts w:hint="eastAsia" w:ascii="仿宋_GB2312" w:hAnsi="仿宋_GB2312" w:eastAsia="仿宋_GB2312" w:cs="仿宋_GB2312"/>
                <w:color w:val="000000" w:themeColor="text1"/>
                <w:spacing w:val="-8"/>
                <w14:textFill>
                  <w14:solidFill>
                    <w14:schemeClr w14:val="tx1"/>
                  </w14:solidFill>
                </w14:textFill>
              </w:rPr>
              <w:t>六个月内是否减持发行人股份，并出</w:t>
            </w:r>
            <w:r>
              <w:rPr>
                <w:rFonts w:hint="eastAsia" w:ascii="仿宋_GB2312" w:hAnsi="仿宋_GB2312" w:eastAsia="仿宋_GB2312" w:cs="仿宋_GB2312"/>
                <w:color w:val="000000" w:themeColor="text1"/>
                <w:spacing w:val="-10"/>
                <w14:textFill>
                  <w14:solidFill>
                    <w14:schemeClr w14:val="tx1"/>
                  </w14:solidFill>
                </w14:textFill>
              </w:rPr>
              <w:t>具“从定价基准日至本次发行完成后</w:t>
            </w:r>
            <w:r>
              <w:rPr>
                <w:rFonts w:hint="eastAsia" w:ascii="仿宋_GB2312" w:hAnsi="仿宋_GB2312" w:eastAsia="仿宋_GB2312" w:cs="仿宋_GB2312"/>
                <w:color w:val="000000" w:themeColor="text1"/>
                <w14:textFill>
                  <w14:solidFill>
                    <w14:schemeClr w14:val="tx1"/>
                  </w14:solidFill>
                </w14:textFill>
              </w:rPr>
              <w:t>六个月内不减持发行人股份”的承</w:t>
            </w:r>
            <w:r>
              <w:rPr>
                <w:rFonts w:hint="eastAsia" w:ascii="仿宋_GB2312" w:hAnsi="仿宋_GB2312" w:eastAsia="仿宋_GB2312" w:cs="仿宋_GB2312"/>
                <w:color w:val="000000" w:themeColor="text1"/>
                <w:spacing w:val="-6"/>
                <w14:textFill>
                  <w14:solidFill>
                    <w14:schemeClr w14:val="tx1"/>
                  </w14:solidFill>
                </w14:textFill>
              </w:rPr>
              <w:t>诺；</w:t>
            </w:r>
            <w:r>
              <w:rPr>
                <w:rFonts w:hint="eastAsia" w:ascii="仿宋_GB2312" w:hAnsi="仿宋_GB2312" w:eastAsia="仿宋_GB2312" w:cs="仿宋_GB2312"/>
                <w:color w:val="000000" w:themeColor="text1"/>
                <w14:textFill>
                  <w14:solidFill>
                    <w14:schemeClr w14:val="tx1"/>
                  </w14:solidFill>
                </w14:textFill>
              </w:rPr>
              <w:t>认购对象的股权架构为两层以上且为无实际经营业务的公司的，应当穿透核查至最终持有人，说明是否存在违规持股、不当利益输送等情形，</w:t>
            </w:r>
            <w:r>
              <w:rPr>
                <w:rFonts w:hint="eastAsia" w:ascii="仿宋_GB2312" w:hAnsi="仿宋_GB2312" w:eastAsia="仿宋_GB2312" w:cs="仿宋_GB2312"/>
                <w:color w:val="000000" w:themeColor="text1"/>
                <w:spacing w:val="-6"/>
                <w14:textFill>
                  <w14:solidFill>
                    <w14:schemeClr w14:val="tx1"/>
                  </w14:solidFill>
                </w14:textFill>
              </w:rPr>
              <w:t>并就相关信息披露是否真实、准确、完整，是否能够有效维护公司及</w:t>
            </w:r>
            <w:r>
              <w:rPr>
                <w:rFonts w:hint="eastAsia" w:ascii="仿宋_GB2312" w:hAnsi="仿宋_GB2312" w:eastAsia="仿宋_GB2312" w:cs="仿宋_GB2312"/>
                <w:color w:val="000000" w:themeColor="text1"/>
                <w:spacing w:val="-10"/>
                <w14:textFill>
                  <w14:solidFill>
                    <w14:schemeClr w14:val="tx1"/>
                  </w14:solidFill>
                </w14:textFill>
              </w:rPr>
              <w:t>中小股东合法权益，是否符合相关规</w:t>
            </w:r>
            <w:r>
              <w:rPr>
                <w:rFonts w:hint="eastAsia" w:ascii="仿宋_GB2312" w:hAnsi="仿宋_GB2312" w:eastAsia="仿宋_GB2312" w:cs="仿宋_GB2312"/>
                <w:color w:val="000000" w:themeColor="text1"/>
                <w:spacing w:val="-6"/>
                <w14:textFill>
                  <w14:solidFill>
                    <w14:schemeClr w14:val="tx1"/>
                  </w14:solidFill>
                </w14:textFill>
              </w:rPr>
              <w:t>定在《发行保荐工作报告》中发表明</w:t>
            </w:r>
            <w:r>
              <w:rPr>
                <w:rFonts w:hint="eastAsia" w:ascii="仿宋_GB2312" w:hAnsi="仿宋_GB2312" w:eastAsia="仿宋_GB2312" w:cs="仿宋_GB2312"/>
                <w:color w:val="000000" w:themeColor="text1"/>
                <w14:textFill>
                  <w14:solidFill>
                    <w14:schemeClr w14:val="tx1"/>
                  </w14:solidFill>
                </w14:textFill>
              </w:rPr>
              <w:t>确意见。</w:t>
            </w:r>
          </w:p>
          <w:p w14:paraId="1EC03B3E">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发行人律师应对上述事项进行核查，</w:t>
            </w:r>
            <w:r>
              <w:rPr>
                <w:rFonts w:hint="eastAsia" w:ascii="仿宋_GB2312" w:hAnsi="仿宋_GB2312" w:eastAsia="仿宋_GB2312" w:cs="仿宋_GB2312"/>
                <w:color w:val="000000" w:themeColor="text1"/>
                <w:spacing w:val="-2"/>
                <w14:textFill>
                  <w14:solidFill>
                    <w14:schemeClr w14:val="tx1"/>
                  </w14:solidFill>
                </w14:textFill>
              </w:rPr>
              <w:t>并在《律师工作报告》中发表明确意</w:t>
            </w:r>
            <w:r>
              <w:rPr>
                <w:rFonts w:hint="eastAsia" w:ascii="仿宋_GB2312" w:hAnsi="仿宋_GB2312" w:eastAsia="仿宋_GB2312" w:cs="仿宋_GB2312"/>
                <w:color w:val="000000" w:themeColor="text1"/>
                <w14:textFill>
                  <w14:solidFill>
                    <w14:schemeClr w14:val="tx1"/>
                  </w14:solidFill>
                </w14:textFill>
              </w:rPr>
              <w:t>见。</w:t>
            </w:r>
          </w:p>
          <w:p w14:paraId="662C29E3">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中介机构对认购对象进行核查时，应当关注是否涉及证监会系统离职人员入股的情况，是否存在离职人员不当入股的情形，并出具专项说明。</w:t>
            </w:r>
          </w:p>
        </w:tc>
        <w:tc>
          <w:tcPr>
            <w:tcW w:w="2487" w:type="dxa"/>
          </w:tcPr>
          <w:p w14:paraId="0A4A683C">
            <w:pPr>
              <w:pStyle w:val="44"/>
              <w:tabs>
                <w:tab w:val="left" w:pos="382"/>
              </w:tabs>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《上市公司证券发行注册管理办法》第五十七条，《监管规则适用指引——发行类第6号》第九条</w:t>
            </w:r>
          </w:p>
        </w:tc>
      </w:tr>
    </w:tbl>
    <w:p w14:paraId="60F717DC">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1452"/>
        <w:gridCol w:w="4712"/>
        <w:gridCol w:w="4599"/>
        <w:gridCol w:w="2478"/>
      </w:tblGrid>
      <w:tr w14:paraId="70F95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14:paraId="5127CF2D">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三、关于合规性的相关问题</w:t>
            </w:r>
          </w:p>
        </w:tc>
      </w:tr>
      <w:tr w14:paraId="7F36D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08" w:type="dxa"/>
            <w:vAlign w:val="center"/>
          </w:tcPr>
          <w:p w14:paraId="7CBB28E9">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452" w:type="dxa"/>
            <w:vAlign w:val="center"/>
          </w:tcPr>
          <w:p w14:paraId="6DAAE167">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712" w:type="dxa"/>
            <w:vAlign w:val="center"/>
          </w:tcPr>
          <w:p w14:paraId="7542CFA8">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599" w:type="dxa"/>
            <w:vAlign w:val="center"/>
          </w:tcPr>
          <w:p w14:paraId="54864EE5">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478" w:type="dxa"/>
            <w:vAlign w:val="center"/>
          </w:tcPr>
          <w:p w14:paraId="107A0020">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14:paraId="6AE1C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425049C3">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3-1</w:t>
            </w:r>
          </w:p>
        </w:tc>
        <w:tc>
          <w:tcPr>
            <w:tcW w:w="1452" w:type="dxa"/>
            <w:vAlign w:val="center"/>
          </w:tcPr>
          <w:p w14:paraId="120AF733">
            <w:pPr>
              <w:snapToGrid w:val="0"/>
              <w:jc w:val="left"/>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违法行为、资本市场失信惩戒相关信息核查</w:t>
            </w:r>
          </w:p>
        </w:tc>
        <w:tc>
          <w:tcPr>
            <w:tcW w:w="4712" w:type="dxa"/>
          </w:tcPr>
          <w:p w14:paraId="41C123D1">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14:paraId="2CD889A3">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（1）现任董事、高级管理人员最近三年是否受到中国证监会行政处罚，或者最近一年受到证券交易所公开谴责；</w:t>
            </w:r>
          </w:p>
          <w:p w14:paraId="5E1571DE">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（2）发行人或者其现任董事、高级管理人员因涉嫌犯罪正在被司法机关立案侦查或者涉嫌违法违规正在被中国证监会立案调查；</w:t>
            </w:r>
          </w:p>
          <w:p w14:paraId="7E31B28E">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（3）发行人控股股东、实际控制人最近三年存在严重损害上市公司利益或者投资者合法权益的重大违法行为；</w:t>
            </w:r>
          </w:p>
          <w:p w14:paraId="7C9423A4">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（4）发行人最近三年存在严重损害投资者合法权益或者社会公共利益的重大违法行为。</w:t>
            </w:r>
          </w:p>
        </w:tc>
        <w:tc>
          <w:tcPr>
            <w:tcW w:w="4599" w:type="dxa"/>
            <w:vAlign w:val="top"/>
          </w:tcPr>
          <w:p w14:paraId="77E37AC7">
            <w:pPr>
              <w:snapToGrid w:val="0"/>
              <w:ind w:right="0"/>
              <w:jc w:val="both"/>
              <w:rPr>
                <w:rFonts w:ascii="Times New Roman" w:hAnsi="Times New Roman" w:eastAsia="仿宋_GB2312"/>
                <w:color w:val="000000" w:themeColor="text1"/>
                <w:spacing w:val="-1"/>
                <w:sz w:val="24"/>
                <w14:textFill>
                  <w14:solidFill>
                    <w14:schemeClr w14:val="tx1"/>
                  </w14:solidFill>
                </w14:textFill>
              </w:rPr>
            </w:pPr>
            <w:r>
              <w:rPr>
                <w:rFonts w:hint="eastAsia" w:ascii="Times New Roman" w:hAnsi="Times New Roman" w:eastAsia="仿宋_GB2312" w:cs="Times New Roman"/>
                <w:color w:val="000000" w:themeColor="text1"/>
                <w:spacing w:val="-1"/>
                <w:sz w:val="24"/>
                <w:lang w:eastAsia="zh-CN"/>
                <w14:textFill>
                  <w14:solidFill>
                    <w14:schemeClr w14:val="tx1"/>
                  </w14:solidFill>
                </w14:textFill>
              </w:rPr>
              <w:t>（</w:t>
            </w:r>
            <w:r>
              <w:rPr>
                <w:rFonts w:hint="eastAsia" w:ascii="Times New Roman" w:hAnsi="Times New Roman" w:eastAsia="仿宋_GB2312" w:cs="Times New Roman"/>
                <w:color w:val="000000" w:themeColor="text1"/>
                <w:spacing w:val="-1"/>
                <w:sz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1"/>
                <w:sz w:val="24"/>
                <w:lang w:eastAsia="zh-CN"/>
                <w14:textFill>
                  <w14:solidFill>
                    <w14:schemeClr w14:val="tx1"/>
                  </w14:solidFill>
                </w14:textFill>
              </w:rPr>
              <w:t>）</w:t>
            </w:r>
            <w:r>
              <w:rPr>
                <w:rFonts w:ascii="Times New Roman" w:hAnsi="Times New Roman" w:eastAsia="仿宋_GB2312" w:cs="Times New Roman"/>
                <w:color w:val="000000" w:themeColor="text1"/>
                <w:spacing w:val="-1"/>
                <w:sz w:val="24"/>
                <w14:textFill>
                  <w14:solidFill>
                    <w14:schemeClr w14:val="tx1"/>
                  </w14:solidFill>
                </w14:textFill>
              </w:rPr>
              <w:t>保荐人应</w:t>
            </w:r>
            <w:r>
              <w:rPr>
                <w:rFonts w:hint="eastAsia" w:ascii="Times New Roman" w:hAnsi="Times New Roman" w:eastAsia="仿宋_GB2312" w:cs="Times New Roman"/>
                <w:color w:val="000000" w:themeColor="text1"/>
                <w:spacing w:val="-1"/>
                <w:sz w:val="24"/>
                <w14:textFill>
                  <w14:solidFill>
                    <w14:schemeClr w14:val="tx1"/>
                  </w14:solidFill>
                </w14:textFill>
              </w:rPr>
              <w:t>核查</w:t>
            </w:r>
            <w:r>
              <w:rPr>
                <w:rFonts w:ascii="Times New Roman" w:hAnsi="Times New Roman" w:eastAsia="仿宋_GB2312"/>
                <w:color w:val="000000" w:themeColor="text1"/>
                <w:spacing w:val="-1"/>
                <w:sz w:val="24"/>
                <w14:textFill>
                  <w14:solidFill>
                    <w14:schemeClr w14:val="tx1"/>
                  </w14:solidFill>
                </w14:textFill>
              </w:rPr>
              <w:t>相关事项的基本情况、最近进展、对发行人生产经营是否存在重大不利影响，相关行政处罚或其他违法行为是否属于严重损害上市公司利益、投资者合法权益、社会公共利益的重大违法行为</w:t>
            </w:r>
            <w:r>
              <w:rPr>
                <w:rFonts w:hint="eastAsia" w:ascii="Times New Roman" w:hAnsi="Times New Roman" w:eastAsia="仿宋_GB2312"/>
                <w:color w:val="000000" w:themeColor="text1"/>
                <w:spacing w:val="-1"/>
                <w:sz w:val="24"/>
                <w14:textFill>
                  <w14:solidFill>
                    <w14:schemeClr w14:val="tx1"/>
                  </w14:solidFill>
                </w14:textFill>
              </w:rPr>
              <w:t>，</w:t>
            </w:r>
            <w:r>
              <w:rPr>
                <w:rFonts w:ascii="Times New Roman" w:hAnsi="Times New Roman" w:eastAsia="仿宋_GB2312" w:cs="Times New Roman"/>
                <w:color w:val="000000" w:themeColor="text1"/>
                <w:spacing w:val="-1"/>
                <w:sz w:val="24"/>
                <w14:textFill>
                  <w14:solidFill>
                    <w14:schemeClr w14:val="tx1"/>
                  </w14:solidFill>
                </w14:textFill>
              </w:rPr>
              <w:t>并就相关事项是否构成本次发行的实质性障碍在《发行保荐工作报告》中发表明确意见。</w:t>
            </w:r>
            <w:r>
              <w:rPr>
                <w:rFonts w:ascii="Times New Roman" w:hAnsi="Times New Roman" w:eastAsia="仿宋_GB2312"/>
                <w:color w:val="000000" w:themeColor="text1"/>
                <w:spacing w:val="-1"/>
                <w:sz w:val="24"/>
                <w14:textFill>
                  <w14:solidFill>
                    <w14:schemeClr w14:val="tx1"/>
                  </w14:solidFill>
                </w14:textFill>
              </w:rPr>
              <w:t>发行人律师应对上述事项进行核查，并在《律师工作报告》中发表明确意见。</w:t>
            </w:r>
          </w:p>
          <w:p w14:paraId="4AF9ADC2">
            <w:pPr>
              <w:snapToGrid/>
              <w:ind w:right="0"/>
              <w:jc w:val="both"/>
              <w:rPr>
                <w:rFonts w:hint="eastAsia" w:ascii="Times New Roman" w:hAnsi="Times New Roman" w:eastAsia="仿宋_GB2312" w:cs="仿宋"/>
                <w:color w:val="000000" w:themeColor="text1"/>
                <w:spacing w:val="-1"/>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（2）</w:t>
            </w:r>
            <w:r>
              <w:rPr>
                <w:rFonts w:hint="eastAsia" w:eastAsia="仿宋_GB2312"/>
                <w:color w:val="000000" w:themeColor="text1"/>
                <w:spacing w:val="-1"/>
                <w:sz w:val="24"/>
                <w:lang w:eastAsia="zh-CN"/>
                <w14:textFill>
                  <w14:solidFill>
                    <w14:schemeClr w14:val="tx1"/>
                  </w14:solidFill>
                </w14:textFill>
              </w:rPr>
              <w:t>保荐人应当对实际控制人重大违法违规情况、规范运作意识情况、财务风险情况以及其他负面行为进行充分核查，对实际控制人的诚信意识和声誉资信等进行分析研判，并就相关问题是否对发行人控制权稳定性、公司治理规范性、生产经营等产生重大不利影响发表明确意见。在发行上市申请受理后，保荐人应当对实际控制人相关风险保持关注并履行好尽职调查责任，相关事项影响重大的，应当及时向本所报告，并按要求更新发行上市申请文件。</w:t>
            </w:r>
          </w:p>
        </w:tc>
        <w:tc>
          <w:tcPr>
            <w:tcW w:w="2478" w:type="dxa"/>
          </w:tcPr>
          <w:p w14:paraId="71EBB2F5">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《上市公司证券发行注册管理办法》第十一条，《证券期货法律适用意见第18号》第二条</w:t>
            </w:r>
          </w:p>
        </w:tc>
      </w:tr>
      <w:tr w14:paraId="7D203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01931E00">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3-2</w:t>
            </w:r>
          </w:p>
        </w:tc>
        <w:tc>
          <w:tcPr>
            <w:tcW w:w="1452" w:type="dxa"/>
            <w:vAlign w:val="center"/>
          </w:tcPr>
          <w:p w14:paraId="71601D97">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同业竞争</w:t>
            </w:r>
          </w:p>
        </w:tc>
        <w:tc>
          <w:tcPr>
            <w:tcW w:w="4712" w:type="dxa"/>
          </w:tcPr>
          <w:p w14:paraId="6097FE7D">
            <w:pPr>
              <w:numPr>
                <w:ilvl w:val="0"/>
                <w:numId w:val="0"/>
              </w:num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14:paraId="117C922F">
            <w:pPr>
              <w:numPr>
                <w:ilvl w:val="-1"/>
                <w:numId w:val="0"/>
              </w:numPr>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lang w:val="en-US" w:eastAsia="zh-CN"/>
                <w14:textFill>
                  <w14:solidFill>
                    <w14:schemeClr w14:val="tx1"/>
                  </w14:solidFill>
                </w14:textFill>
              </w:rPr>
              <w:t>1</w:t>
            </w:r>
            <w:r>
              <w:rPr>
                <w:rFonts w:hint="eastAsia" w:ascii="仿宋_GB2312" w:hAnsi="仿宋_GB2312" w:eastAsia="仿宋_GB2312" w:cs="仿宋_GB2312"/>
                <w:color w:val="000000" w:themeColor="text1"/>
                <w:lang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是否存在与控股股东、实际控制人及其控制的企业从事相同、相似业务的情况。对存在相同、相似业务的，发行人应当对是否存在同业竞争做出合理解释；</w:t>
            </w:r>
          </w:p>
          <w:p w14:paraId="378B9C6B">
            <w:pPr>
              <w:numPr>
                <w:ilvl w:val="-1"/>
                <w:numId w:val="0"/>
              </w:numPr>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（2）对于已存在或可能存在的构成重大不利影响的同业竞争，发行人应当披露解决同业竞争的具体措施；</w:t>
            </w:r>
          </w:p>
          <w:p w14:paraId="308F98D2">
            <w:pPr>
              <w:numPr>
                <w:ilvl w:val="-1"/>
                <w:numId w:val="0"/>
              </w:numPr>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（3）结合目前经营情况、未来发展战略等，充分披露未来对构成新增同业竞争的资产、业务的安排,以及避免出现重大不利影响同业竞争的措施</w:t>
            </w:r>
            <w:r>
              <w:rPr>
                <w:rFonts w:hint="eastAsia" w:ascii="仿宋_GB2312" w:hAnsi="仿宋_GB2312" w:eastAsia="仿宋_GB2312" w:cs="仿宋_GB2312"/>
                <w:color w:val="000000" w:themeColor="text1"/>
                <w:lang w:eastAsia="zh-CN"/>
                <w14:textFill>
                  <w14:solidFill>
                    <w14:schemeClr w14:val="tx1"/>
                  </w14:solidFill>
                </w14:textFill>
              </w:rPr>
              <w:t>；</w:t>
            </w:r>
          </w:p>
          <w:p w14:paraId="014C5C4A">
            <w:pPr>
              <w:numPr>
                <w:ilvl w:val="0"/>
                <w:numId w:val="0"/>
              </w:num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（4）独立董事对发行人是否存在同业竞争和避免同业竞争措施的有效性所发表的意见。</w:t>
            </w:r>
          </w:p>
        </w:tc>
        <w:tc>
          <w:tcPr>
            <w:tcW w:w="4599" w:type="dxa"/>
          </w:tcPr>
          <w:p w14:paraId="3A7D89F0">
            <w:pPr>
              <w:pStyle w:val="44"/>
              <w:snapToGrid w:val="0"/>
              <w:ind w:right="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核查发行人与控股股东、实际控制人及其控制的企业是否存在同业竞争，已存在的同业竞争是否构成重大不利影响,已存在的构成重大不利影响的同业竞争是否已制定解决方案并明确未来整合时间安排，已做出的关于避免或解决同业竞争承诺的履行情况及是否存在违反承诺的情形，是否损害上市公司利益,并</w:t>
            </w:r>
            <w:r>
              <w:rPr>
                <w:rFonts w:hint="eastAsia" w:ascii="仿宋_GB2312" w:hAnsi="仿宋_GB2312" w:eastAsia="仿宋_GB2312" w:cs="仿宋_GB2312"/>
                <w:color w:val="000000" w:themeColor="text1"/>
                <w:spacing w:val="-13"/>
                <w14:textFill>
                  <w14:solidFill>
                    <w14:schemeClr w14:val="tx1"/>
                  </w14:solidFill>
                </w14:textFill>
              </w:rPr>
              <w:t>在《发</w:t>
            </w:r>
            <w:r>
              <w:rPr>
                <w:rFonts w:hint="eastAsia" w:ascii="仿宋_GB2312" w:hAnsi="仿宋_GB2312" w:eastAsia="仿宋_GB2312" w:cs="仿宋_GB2312"/>
                <w:color w:val="000000" w:themeColor="text1"/>
                <w14:textFill>
                  <w14:solidFill>
                    <w14:schemeClr w14:val="tx1"/>
                  </w14:solidFill>
                </w14:textFill>
              </w:rPr>
              <w:t>行保荐工作报告》和</w:t>
            </w:r>
            <w:r>
              <w:rPr>
                <w:rFonts w:hint="eastAsia" w:ascii="仿宋_GB2312" w:hAnsi="仿宋_GB2312" w:eastAsia="仿宋_GB2312" w:cs="仿宋_GB2312"/>
                <w:color w:val="000000" w:themeColor="text1"/>
                <w:spacing w:val="-1"/>
                <w14:textFill>
                  <w14:solidFill>
                    <w14:schemeClr w14:val="tx1"/>
                  </w14:solidFill>
                </w14:textFill>
              </w:rPr>
              <w:t>《律师工作报告》</w:t>
            </w:r>
            <w:r>
              <w:rPr>
                <w:rFonts w:hint="eastAsia" w:ascii="仿宋_GB2312" w:hAnsi="仿宋_GB2312" w:eastAsia="仿宋_GB2312" w:cs="仿宋_GB2312"/>
                <w:color w:val="000000" w:themeColor="text1"/>
                <w14:textFill>
                  <w14:solidFill>
                    <w14:schemeClr w14:val="tx1"/>
                  </w14:solidFill>
                </w14:textFill>
              </w:rPr>
              <w:t>发表核查意见。</w:t>
            </w:r>
          </w:p>
          <w:p w14:paraId="70D01F90">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保荐人及发行人律师应当核查募投项目实施后是否新增同业竞争,新增同业竞争是否构成重大不利影响，并</w:t>
            </w:r>
            <w:r>
              <w:rPr>
                <w:rFonts w:hint="eastAsia" w:ascii="仿宋_GB2312" w:hAnsi="仿宋_GB2312" w:eastAsia="仿宋_GB2312" w:cs="仿宋_GB2312"/>
                <w:color w:val="000000" w:themeColor="text1"/>
                <w:spacing w:val="-13"/>
                <w14:textFill>
                  <w14:solidFill>
                    <w14:schemeClr w14:val="tx1"/>
                  </w14:solidFill>
                </w14:textFill>
              </w:rPr>
              <w:t>在《发</w:t>
            </w:r>
            <w:r>
              <w:rPr>
                <w:rFonts w:hint="eastAsia" w:ascii="仿宋_GB2312" w:hAnsi="仿宋_GB2312" w:eastAsia="仿宋_GB2312" w:cs="仿宋_GB2312"/>
                <w:color w:val="000000" w:themeColor="text1"/>
                <w14:textFill>
                  <w14:solidFill>
                    <w14:schemeClr w14:val="tx1"/>
                  </w14:solidFill>
                </w14:textFill>
              </w:rPr>
              <w:t>行保荐工作报告》和</w:t>
            </w:r>
            <w:r>
              <w:rPr>
                <w:rFonts w:hint="eastAsia" w:ascii="仿宋_GB2312" w:hAnsi="仿宋_GB2312" w:eastAsia="仿宋_GB2312" w:cs="仿宋_GB2312"/>
                <w:color w:val="000000" w:themeColor="text1"/>
                <w:spacing w:val="-1"/>
                <w14:textFill>
                  <w14:solidFill>
                    <w14:schemeClr w14:val="tx1"/>
                  </w14:solidFill>
                </w14:textFill>
              </w:rPr>
              <w:t>《律师工作报告》</w:t>
            </w:r>
            <w:r>
              <w:rPr>
                <w:rFonts w:hint="eastAsia" w:ascii="仿宋_GB2312" w:hAnsi="仿宋_GB2312" w:eastAsia="仿宋_GB2312" w:cs="仿宋_GB2312"/>
                <w:color w:val="000000" w:themeColor="text1"/>
                <w14:textFill>
                  <w14:solidFill>
                    <w14:schemeClr w14:val="tx1"/>
                  </w14:solidFill>
                </w14:textFill>
              </w:rPr>
              <w:t>发表核查意见。</w:t>
            </w:r>
          </w:p>
        </w:tc>
        <w:tc>
          <w:tcPr>
            <w:tcW w:w="2478" w:type="dxa"/>
          </w:tcPr>
          <w:p w14:paraId="59688114">
            <w:pPr>
              <w:pStyle w:val="44"/>
              <w:tabs>
                <w:tab w:val="left" w:pos="382"/>
              </w:tabs>
              <w:snapToGrid w:val="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《上市公司证券发行注册管理办法》第十二条，《募集说明书格式准则》第二十二、二十九条，《监管规则适用指引——发行类第6号》第一条</w:t>
            </w:r>
          </w:p>
        </w:tc>
      </w:tr>
      <w:tr w14:paraId="21DF9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3DAF2C12">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3-3</w:t>
            </w:r>
          </w:p>
        </w:tc>
        <w:tc>
          <w:tcPr>
            <w:tcW w:w="1452" w:type="dxa"/>
            <w:vAlign w:val="center"/>
          </w:tcPr>
          <w:p w14:paraId="73DE04F6">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关联交易</w:t>
            </w:r>
          </w:p>
        </w:tc>
        <w:tc>
          <w:tcPr>
            <w:tcW w:w="4712" w:type="dxa"/>
          </w:tcPr>
          <w:p w14:paraId="3F4CB88B">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发行人应披露：</w:t>
            </w:r>
          </w:p>
          <w:p w14:paraId="5EAA66B5">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（1）本次发行是否构成关联交易；</w:t>
            </w:r>
          </w:p>
          <w:p w14:paraId="36D97A07">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（2）本次发行完成后，发行人与发行对象及发行对象的控股股东和实际控制人可能存在的关联交易的情况，发行前后关联交易的变动情况。</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p>
          <w:p w14:paraId="7F137C3A">
            <w:pPr>
              <w:pStyle w:val="10"/>
              <w:rPr>
                <w:rFonts w:hint="eastAsia" w:ascii="仿宋_GB2312" w:hAnsi="仿宋_GB2312" w:eastAsia="仿宋_GB2312" w:cs="仿宋_GB2312"/>
                <w:color w:val="000000" w:themeColor="text1"/>
                <w14:textFill>
                  <w14:solidFill>
                    <w14:schemeClr w14:val="tx1"/>
                  </w14:solidFill>
                </w14:textFill>
              </w:rPr>
            </w:pPr>
          </w:p>
          <w:p w14:paraId="6412CC38">
            <w:pPr>
              <w:pStyle w:val="44"/>
              <w:widowControl w:val="0"/>
              <w:snapToGrid w:val="0"/>
              <w:ind w:right="109"/>
              <w:jc w:val="both"/>
              <w:rPr>
                <w:rFonts w:hint="eastAsia" w:ascii="仿宋_GB2312" w:hAnsi="仿宋_GB2312" w:eastAsia="仿宋_GB2312" w:cs="仿宋_GB2312"/>
                <w:bCs/>
                <w:color w:val="000000" w:themeColor="text1"/>
                <w14:textFill>
                  <w14:solidFill>
                    <w14:schemeClr w14:val="tx1"/>
                  </w14:solidFill>
                </w14:textFill>
              </w:rPr>
            </w:pPr>
          </w:p>
        </w:tc>
        <w:tc>
          <w:tcPr>
            <w:tcW w:w="4599" w:type="dxa"/>
          </w:tcPr>
          <w:p w14:paraId="200571A3">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对关联交易存在的必要性、合理性、决策程序的合法性、信息披露的规范性、关联交易价格的公允性、是否存在关联交易非关联化的情况，以及关联交易对发行人独立经营能力的影响等进行核查，并发表核查意见。</w:t>
            </w:r>
          </w:p>
          <w:p w14:paraId="4EF0C4AC">
            <w:pPr>
              <w:pStyle w:val="44"/>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对于募投项目新增关联交易的，保荐人、发行人律师、会计师应当结合新增关联交易的性质、定价依据，总体关联交易对应的收入、成本费用或利润总额占发行人相应指标的比例等论证是否属于显失公平的关联交易,本次募投项目的实施是否严重影响上市公司生产经营的独立性。保荐人和发行人律师应当详细说明其认定的主要事实和依据，并就是否违反发行人、控股股东和实际控制人已作出的关于规范和减少关联交易的承诺发表核查意见。</w:t>
            </w:r>
          </w:p>
        </w:tc>
        <w:tc>
          <w:tcPr>
            <w:tcW w:w="2478" w:type="dxa"/>
          </w:tcPr>
          <w:p w14:paraId="727641DB">
            <w:pPr>
              <w:pStyle w:val="44"/>
              <w:tabs>
                <w:tab w:val="left" w:pos="382"/>
              </w:tabs>
              <w:snapToGrid w:val="0"/>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《上市公司证券发行注册管理办法》第十二条，《募集说明书格式准则》第十三条、二十二条、二十九条，《监管规则适用指引——发行类第6号》第二条</w:t>
            </w:r>
          </w:p>
        </w:tc>
      </w:tr>
      <w:tr w14:paraId="0D106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2B66B39">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3-4</w:t>
            </w:r>
          </w:p>
        </w:tc>
        <w:tc>
          <w:tcPr>
            <w:tcW w:w="1452" w:type="dxa"/>
            <w:vAlign w:val="center"/>
          </w:tcPr>
          <w:p w14:paraId="0446F505">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优先股</w:t>
            </w:r>
          </w:p>
        </w:tc>
        <w:tc>
          <w:tcPr>
            <w:tcW w:w="4712" w:type="dxa"/>
          </w:tcPr>
          <w:p w14:paraId="27C8AC14">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发行人应披露：</w:t>
            </w:r>
          </w:p>
          <w:p w14:paraId="79671E84">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（1）发行人及其附属公司是否存在违规对外提供担保且尚未解除的情形；</w:t>
            </w:r>
          </w:p>
          <w:p w14:paraId="181AD00B">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（2）发行人董事和高级管理人员符合法律、行政法规和规章规定的任职资格情况；</w:t>
            </w:r>
          </w:p>
          <w:p w14:paraId="3DC907B5">
            <w:pPr>
              <w:pStyle w:val="44"/>
              <w:snapToGrid w:val="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（3）是否存在可能严重影响公司持续经营的担保、诉讼、仲裁、市场重大质疑或其他重大事项。</w:t>
            </w:r>
          </w:p>
        </w:tc>
        <w:tc>
          <w:tcPr>
            <w:tcW w:w="4599" w:type="dxa"/>
          </w:tcPr>
          <w:p w14:paraId="0E4FACD6">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保荐人、发行人律师应当按照《优先股试点管理办法》第十七条至第二十五条的要求，对上述事项进行核查并发表明确意见。</w:t>
            </w:r>
          </w:p>
        </w:tc>
        <w:tc>
          <w:tcPr>
            <w:tcW w:w="2478" w:type="dxa"/>
          </w:tcPr>
          <w:p w14:paraId="2619AD74">
            <w:pPr>
              <w:pStyle w:val="44"/>
              <w:tabs>
                <w:tab w:val="left" w:pos="382"/>
              </w:tabs>
              <w:snapToGrid w:val="0"/>
              <w:jc w:val="both"/>
              <w:rPr>
                <w:rFonts w:hint="eastAsia" w:ascii="仿宋_GB2312" w:hAnsi="仿宋_GB2312" w:eastAsia="仿宋_GB2312" w:cs="仿宋_GB2312"/>
                <w:color w:val="000000" w:themeColor="text1"/>
                <w:spacing w:val="-2"/>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《优先股试点管理办法》第十七条至第二十五条</w:t>
            </w:r>
          </w:p>
        </w:tc>
      </w:tr>
      <w:tr w14:paraId="30689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4EDE1B4C">
            <w:pPr>
              <w:snapToGrid w:val="0"/>
              <w:jc w:val="cente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3-5</w:t>
            </w:r>
          </w:p>
        </w:tc>
        <w:tc>
          <w:tcPr>
            <w:tcW w:w="1452" w:type="dxa"/>
            <w:vAlign w:val="center"/>
          </w:tcPr>
          <w:p w14:paraId="7BFBE2B5">
            <w:pPr>
              <w:snapToGrid w:val="0"/>
              <w:jc w:val="both"/>
              <w:rPr>
                <w:rFonts w:hint="eastAsia" w:ascii="仿宋_GB2312" w:hAnsi="仿宋_GB2312" w:eastAsia="仿宋_GB2312" w:cs="仿宋_GB2312"/>
                <w:b/>
                <w:bCs/>
                <w:color w:val="000000" w:themeColor="text1"/>
                <w:spacing w:val="-1"/>
                <w:highlight w:val="none"/>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股东会决议有效期</w:t>
            </w:r>
          </w:p>
        </w:tc>
        <w:tc>
          <w:tcPr>
            <w:tcW w:w="4712" w:type="dxa"/>
            <w:vAlign w:val="top"/>
          </w:tcPr>
          <w:p w14:paraId="36D93E8B">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股东会通过本次发行议案之日起二个工作日内，发行人应当披露股东会决议公告。股东会决议应当包括决议的有效期。</w:t>
            </w:r>
          </w:p>
        </w:tc>
        <w:tc>
          <w:tcPr>
            <w:tcW w:w="4599" w:type="dxa"/>
            <w:vAlign w:val="top"/>
          </w:tcPr>
          <w:p w14:paraId="6D24D9CD">
            <w:pPr>
              <w:pStyle w:val="44"/>
              <w:snapToGrid w:val="0"/>
              <w:ind w:right="0" w:rightChars="0"/>
              <w:rPr>
                <w:rFonts w:hint="eastAsia" w:ascii="仿宋_GB2312" w:hAnsi="仿宋_GB2312" w:eastAsia="仿宋_GB2312" w:cs="仿宋_GB2312"/>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保荐</w:t>
            </w:r>
            <w:r>
              <w:rPr>
                <w:rFonts w:hint="eastAsia" w:ascii="仿宋_GB2312" w:hAnsi="仿宋_GB2312" w:eastAsia="仿宋_GB2312" w:cs="仿宋_GB2312"/>
                <w:color w:val="000000" w:themeColor="text1"/>
                <w:sz w:val="24"/>
                <w:szCs w:val="24"/>
                <w:lang w:eastAsia="zh-CN"/>
                <w14:textFill>
                  <w14:solidFill>
                    <w14:schemeClr w14:val="tx1"/>
                  </w14:solidFill>
                </w14:textFill>
              </w:rPr>
              <w:t>人</w:t>
            </w:r>
            <w:r>
              <w:rPr>
                <w:rFonts w:hint="eastAsia" w:ascii="仿宋_GB2312" w:hAnsi="仿宋_GB2312" w:eastAsia="仿宋_GB2312" w:cs="仿宋_GB2312"/>
                <w:color w:val="000000" w:themeColor="text1"/>
                <w:sz w:val="24"/>
                <w:szCs w:val="24"/>
                <w14:textFill>
                  <w14:solidFill>
                    <w14:schemeClr w14:val="tx1"/>
                  </w14:solidFill>
                </w14:textFill>
              </w:rPr>
              <w:t>及发行人律师应当</w:t>
            </w:r>
            <w:r>
              <w:rPr>
                <w:rFonts w:hint="eastAsia" w:ascii="仿宋_GB2312" w:hAnsi="仿宋_GB2312" w:eastAsia="仿宋_GB2312" w:cs="仿宋_GB2312"/>
                <w:color w:val="000000" w:themeColor="text1"/>
                <w:sz w:val="24"/>
                <w:szCs w:val="24"/>
                <w:lang w:eastAsia="zh-CN"/>
                <w14:textFill>
                  <w14:solidFill>
                    <w14:schemeClr w14:val="tx1"/>
                  </w14:solidFill>
                </w14:textFill>
              </w:rPr>
              <w:t>核查本次再融资的股东会决议内容及其决议的有效期，设置自动延期条款的，应当予以规范。发行人再次召开董事会、股东会对本次再融资的股东会决议进行延期的，保荐人及发行人律师应当</w:t>
            </w:r>
            <w:r>
              <w:rPr>
                <w:rFonts w:hint="eastAsia" w:ascii="仿宋_GB2312" w:hAnsi="仿宋_GB2312" w:eastAsia="仿宋_GB2312" w:cs="仿宋_GB2312"/>
                <w:color w:val="000000" w:themeColor="text1"/>
                <w:sz w:val="24"/>
                <w:szCs w:val="24"/>
                <w14:textFill>
                  <w14:solidFill>
                    <w14:schemeClr w14:val="tx1"/>
                  </w14:solidFill>
                </w14:textFill>
              </w:rPr>
              <w:t>就董事会、</w:t>
            </w:r>
            <w:r>
              <w:rPr>
                <w:rFonts w:hint="eastAsia" w:ascii="仿宋_GB2312" w:hAnsi="仿宋_GB2312" w:eastAsia="仿宋_GB2312" w:cs="仿宋_GB2312"/>
                <w:color w:val="000000" w:themeColor="text1"/>
                <w:sz w:val="24"/>
                <w:szCs w:val="24"/>
                <w:lang w:eastAsia="zh-CN"/>
                <w14:textFill>
                  <w14:solidFill>
                    <w14:schemeClr w14:val="tx1"/>
                  </w14:solidFill>
                </w14:textFill>
              </w:rPr>
              <w:t>股东会履行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程序及</w:t>
            </w:r>
            <w:r>
              <w:rPr>
                <w:rFonts w:hint="eastAsia" w:ascii="仿宋_GB2312" w:hAnsi="仿宋_GB2312" w:eastAsia="仿宋_GB2312" w:cs="仿宋_GB2312"/>
                <w:color w:val="000000" w:themeColor="text1"/>
                <w:sz w:val="24"/>
                <w:szCs w:val="24"/>
                <w14:textFill>
                  <w14:solidFill>
                    <w14:schemeClr w14:val="tx1"/>
                  </w14:solidFill>
                </w14:textFill>
              </w:rPr>
              <w:t>决议时间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新的决议效力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公司有无发生重大变化</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是否损害公众股东利益发表</w:t>
            </w:r>
            <w:r>
              <w:rPr>
                <w:rFonts w:hint="eastAsia" w:ascii="仿宋_GB2312" w:hAnsi="仿宋_GB2312" w:eastAsia="仿宋_GB2312" w:cs="仿宋_GB2312"/>
                <w:color w:val="000000" w:themeColor="text1"/>
                <w:sz w:val="24"/>
                <w:szCs w:val="24"/>
                <w:lang w:eastAsia="zh-CN"/>
                <w14:textFill>
                  <w14:solidFill>
                    <w14:schemeClr w14:val="tx1"/>
                  </w14:solidFill>
                </w14:textFill>
              </w:rPr>
              <w:t>明确</w:t>
            </w:r>
            <w:r>
              <w:rPr>
                <w:rFonts w:hint="eastAsia" w:ascii="仿宋_GB2312" w:hAnsi="仿宋_GB2312" w:eastAsia="仿宋_GB2312" w:cs="仿宋_GB2312"/>
                <w:color w:val="000000" w:themeColor="text1"/>
                <w:sz w:val="24"/>
                <w:szCs w:val="24"/>
                <w14:textFill>
                  <w14:solidFill>
                    <w14:schemeClr w14:val="tx1"/>
                  </w14:solidFill>
                </w14:textFill>
              </w:rPr>
              <w:t>意见。</w:t>
            </w:r>
          </w:p>
        </w:tc>
        <w:tc>
          <w:tcPr>
            <w:tcW w:w="2478" w:type="dxa"/>
            <w:vAlign w:val="top"/>
          </w:tcPr>
          <w:p w14:paraId="68CC6BFD">
            <w:pPr>
              <w:pStyle w:val="44"/>
              <w:tabs>
                <w:tab w:val="left" w:pos="382"/>
              </w:tabs>
              <w:snapToGrid w:val="0"/>
              <w:jc w:val="both"/>
              <w:rPr>
                <w:rFonts w:hint="eastAsia" w:ascii="仿宋_GB2312" w:hAnsi="仿宋_GB2312" w:eastAsia="仿宋_GB2312" w:cs="仿宋_GB2312"/>
                <w:color w:val="000000" w:themeColor="text1"/>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《上市公司证券发行注册管理办法》第十八条、第四十二条，</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14:textFill>
                  <w14:solidFill>
                    <w14:schemeClr w14:val="tx1"/>
                  </w14:solidFill>
                </w14:textFill>
              </w:rPr>
              <w:t>监管规则适用指引——发行类第6号</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szCs w:val="24"/>
                <w:highlight w:val="none"/>
                <w:lang w:val="en-US" w:eastAsia="zh-CN"/>
                <w14:textFill>
                  <w14:solidFill>
                    <w14:schemeClr w14:val="tx1"/>
                  </w14:solidFill>
                </w14:textFill>
              </w:rPr>
              <w:t>第十条</w:t>
            </w:r>
          </w:p>
        </w:tc>
      </w:tr>
      <w:tr w14:paraId="2934C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Align w:val="center"/>
          </w:tcPr>
          <w:p w14:paraId="259650A9">
            <w:pPr>
              <w:snapToGrid w:val="0"/>
              <w:jc w:val="cente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3-6</w:t>
            </w:r>
          </w:p>
        </w:tc>
        <w:tc>
          <w:tcPr>
            <w:tcW w:w="1452" w:type="dxa"/>
            <w:vAlign w:val="center"/>
          </w:tcPr>
          <w:p w14:paraId="5EDCC56E">
            <w:pPr>
              <w:snapToGrid w:val="0"/>
              <w:jc w:val="both"/>
              <w:rPr>
                <w:rFonts w:hint="eastAsia" w:ascii="仿宋_GB2312" w:hAnsi="仿宋_GB2312" w:eastAsia="仿宋_GB2312" w:cs="仿宋_GB2312"/>
                <w:b/>
                <w:bCs/>
                <w:color w:val="000000" w:themeColor="text1"/>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highlight w:val="none"/>
                <w:lang w:val="en-US" w:eastAsia="zh-CN"/>
                <w14:textFill>
                  <w14:solidFill>
                    <w14:schemeClr w14:val="tx1"/>
                  </w14:solidFill>
                </w14:textFill>
              </w:rPr>
              <w:t>股份质押</w:t>
            </w:r>
          </w:p>
        </w:tc>
        <w:tc>
          <w:tcPr>
            <w:tcW w:w="4712" w:type="dxa"/>
            <w:vAlign w:val="top"/>
          </w:tcPr>
          <w:p w14:paraId="2A98C822">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发行人应披露：</w:t>
            </w:r>
          </w:p>
          <w:p w14:paraId="3B478531">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（1）股权结构、控股股东及实际控制人情况；</w:t>
            </w:r>
          </w:p>
          <w:p w14:paraId="400B342B">
            <w:pPr>
              <w:pStyle w:val="44"/>
              <w:snapToGrid w:val="0"/>
              <w:ind w:right="0" w:rightChars="0"/>
              <w:jc w:val="both"/>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pacing w:val="-1"/>
                <w:sz w:val="24"/>
                <w:szCs w:val="24"/>
                <w:highlight w:val="none"/>
                <w:lang w:val="en-US" w:eastAsia="zh-CN"/>
                <w14:textFill>
                  <w14:solidFill>
                    <w14:schemeClr w14:val="tx1"/>
                  </w14:solidFill>
                </w14:textFill>
              </w:rPr>
              <w:t>（2）对公司经营稳定性及未来发展可能产生重大不利影响的因素等。</w:t>
            </w:r>
          </w:p>
        </w:tc>
        <w:tc>
          <w:tcPr>
            <w:tcW w:w="4599" w:type="dxa"/>
            <w:vAlign w:val="top"/>
          </w:tcPr>
          <w:p w14:paraId="35743A08">
            <w:pPr>
              <w:pStyle w:val="44"/>
              <w:numPr>
                <w:ilvl w:val="0"/>
                <w:numId w:val="0"/>
              </w:numPr>
              <w:snapToGrid w:val="0"/>
              <w:ind w:left="0" w:leftChars="0" w:right="0" w:rightChars="0" w:firstLine="0" w:firstLineChars="0"/>
              <w:jc w:val="both"/>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保荐</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人</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及发行人律师应当对控股股东或实际控制人所持发行人股份被质押的情况进行核查并发表意见</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如存在大比例质押情形</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应当结合质押的原因及合理性、质押资金具体用途、约定的质权实现情形、控股股东和实际控制人的财务状况和清偿能力、股价变动情况等,说明是否存在较大的平仓风险</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是否可能导致控股股东、实际控制人发生变更,并说明控股股东、实际控制人维持控制权稳定性的相关措施。如控股股东、实际控制人确实难以维持控制权稳定性的</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应当充分说明控制权可能发生变化(如债务清偿的到期日、债权人已经采取的法律行动等)的时限、可能的处置方案等</w:t>
            </w:r>
            <w:r>
              <w:rPr>
                <w:rFonts w:hint="eastAsia" w:ascii="仿宋_GB2312" w:hAnsi="仿宋_GB2312" w:eastAsia="仿宋_GB2312" w:cs="仿宋_GB2312"/>
                <w:i w:val="0"/>
                <w:iCs w:val="0"/>
                <w:caps w:val="0"/>
                <w:color w:val="000000" w:themeColor="text1"/>
                <w:spacing w:val="0"/>
                <w:sz w:val="24"/>
                <w:szCs w:val="24"/>
                <w:shd w:val="clear" w:color="auto" w:fill="auto"/>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24"/>
                <w:szCs w:val="24"/>
                <w:shd w:val="clear" w:color="auto" w:fill="auto"/>
                <w14:textFill>
                  <w14:solidFill>
                    <w14:schemeClr w14:val="tx1"/>
                  </w14:solidFill>
                </w14:textFill>
              </w:rPr>
              <w:t>以及对发行人持续经营能力的影响。</w:t>
            </w:r>
          </w:p>
        </w:tc>
        <w:tc>
          <w:tcPr>
            <w:tcW w:w="2478" w:type="dxa"/>
            <w:vAlign w:val="top"/>
          </w:tcPr>
          <w:p w14:paraId="60C5E0AD">
            <w:pPr>
              <w:pStyle w:val="44"/>
              <w:tabs>
                <w:tab w:val="left" w:pos="382"/>
              </w:tabs>
              <w:snapToGrid w:val="0"/>
              <w:jc w:val="both"/>
              <w:rPr>
                <w:rFonts w:hint="eastAsia" w:ascii="仿宋_GB2312" w:hAnsi="仿宋_GB2312" w:eastAsia="仿宋_GB2312" w:cs="仿宋_GB2312"/>
                <w:color w:val="000000" w:themeColor="text1"/>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《募集说明书格式准则》</w:t>
            </w:r>
            <w:r>
              <w:rPr>
                <w:rFonts w:hint="eastAsia" w:ascii="仿宋_GB2312" w:hAnsi="仿宋_GB2312" w:eastAsia="仿宋_GB2312" w:cs="仿宋_GB2312"/>
                <w:color w:val="000000" w:themeColor="text1"/>
                <w:sz w:val="24"/>
                <w:lang w:val="en-US" w:eastAsia="zh-CN"/>
                <w14:textFill>
                  <w14:solidFill>
                    <w14:schemeClr w14:val="tx1"/>
                  </w14:solidFill>
                </w14:textFill>
              </w:rPr>
              <w:t>第八条、第二十四条，</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监管规则适用指引——发行类第6号</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第十一条</w:t>
            </w:r>
          </w:p>
        </w:tc>
      </w:tr>
    </w:tbl>
    <w:p w14:paraId="520D00E7">
      <w:pPr>
        <w:adjustRightInd w:val="0"/>
        <w:snapToGrid w:val="0"/>
        <w:rPr>
          <w:rFonts w:hint="eastAsia" w:ascii="仿宋_GB2312" w:hAnsi="仿宋_GB2312" w:eastAsia="仿宋_GB2312" w:cs="仿宋_GB2312"/>
          <w:b/>
          <w:color w:val="000000" w:themeColor="text1"/>
          <w14:textFill>
            <w14:solidFill>
              <w14:schemeClr w14:val="tx1"/>
            </w14:solidFill>
          </w14:textFill>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2"/>
        <w:gridCol w:w="1276"/>
        <w:gridCol w:w="4604"/>
        <w:gridCol w:w="4506"/>
        <w:gridCol w:w="2581"/>
      </w:tblGrid>
      <w:tr w14:paraId="5E9A3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tblHeader/>
        </w:trPr>
        <w:tc>
          <w:tcPr>
            <w:tcW w:w="13949" w:type="dxa"/>
            <w:gridSpan w:val="5"/>
            <w:shd w:val="clear" w:color="auto" w:fill="8DB3E2"/>
            <w:vAlign w:val="center"/>
          </w:tcPr>
          <w:p w14:paraId="4F7D0B36">
            <w:pPr>
              <w:adjustRightInd w:val="0"/>
              <w:snapToGrid w:val="0"/>
              <w:jc w:val="center"/>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四、关于业务及经营情况的相关问题</w:t>
            </w:r>
          </w:p>
        </w:tc>
      </w:tr>
      <w:tr w14:paraId="58114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982" w:type="dxa"/>
            <w:vAlign w:val="center"/>
          </w:tcPr>
          <w:p w14:paraId="5CD8B040">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序号</w:t>
            </w:r>
          </w:p>
        </w:tc>
        <w:tc>
          <w:tcPr>
            <w:tcW w:w="1276" w:type="dxa"/>
            <w:vAlign w:val="center"/>
          </w:tcPr>
          <w:p w14:paraId="6842409A">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问题</w:t>
            </w:r>
          </w:p>
        </w:tc>
        <w:tc>
          <w:tcPr>
            <w:tcW w:w="4604" w:type="dxa"/>
            <w:vAlign w:val="center"/>
          </w:tcPr>
          <w:p w14:paraId="424EB39D">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披露要求</w:t>
            </w:r>
          </w:p>
        </w:tc>
        <w:tc>
          <w:tcPr>
            <w:tcW w:w="4506" w:type="dxa"/>
            <w:vAlign w:val="center"/>
          </w:tcPr>
          <w:p w14:paraId="7B4AD8D8">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核查要求</w:t>
            </w:r>
          </w:p>
        </w:tc>
        <w:tc>
          <w:tcPr>
            <w:tcW w:w="2581" w:type="dxa"/>
            <w:vAlign w:val="center"/>
          </w:tcPr>
          <w:p w14:paraId="0CBA2A3B">
            <w:pPr>
              <w:snapToGrid w:val="0"/>
              <w:jc w:val="center"/>
              <w:rPr>
                <w:rFonts w:hint="eastAsia" w:ascii="仿宋_GB2312" w:hAnsi="仿宋_GB2312" w:eastAsia="仿宋_GB2312" w:cs="仿宋_GB2312"/>
                <w:b/>
                <w:color w:val="000000" w:themeColor="text1"/>
                <w14:textFill>
                  <w14:solidFill>
                    <w14:schemeClr w14:val="tx1"/>
                  </w14:solidFill>
                </w14:textFill>
              </w:rPr>
            </w:pPr>
            <w:r>
              <w:rPr>
                <w:rFonts w:hint="eastAsia" w:ascii="仿宋_GB2312" w:hAnsi="仿宋_GB2312" w:eastAsia="仿宋_GB2312" w:cs="仿宋_GB2312"/>
                <w:b/>
                <w:color w:val="000000" w:themeColor="text1"/>
                <w14:textFill>
                  <w14:solidFill>
                    <w14:schemeClr w14:val="tx1"/>
                  </w14:solidFill>
                </w14:textFill>
              </w:rPr>
              <w:t>参考规范</w:t>
            </w:r>
          </w:p>
        </w:tc>
      </w:tr>
      <w:tr w14:paraId="0556F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749DC121">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4-1</w:t>
            </w:r>
          </w:p>
        </w:tc>
        <w:tc>
          <w:tcPr>
            <w:tcW w:w="1276" w:type="dxa"/>
            <w:vAlign w:val="center"/>
          </w:tcPr>
          <w:p w14:paraId="60621FE8">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业务经营情况</w:t>
            </w:r>
          </w:p>
        </w:tc>
        <w:tc>
          <w:tcPr>
            <w:tcW w:w="4604" w:type="dxa"/>
          </w:tcPr>
          <w:p w14:paraId="7FCB19D9">
            <w:pPr>
              <w:pStyle w:val="44"/>
              <w:widowControl w:val="0"/>
              <w:snapToGrid w:val="0"/>
              <w:ind w:right="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pacing w:val="-2"/>
                <w14:textFill>
                  <w14:solidFill>
                    <w14:schemeClr w14:val="tx1"/>
                  </w14:solidFill>
                </w14:textFill>
              </w:rPr>
              <w:t>发行人应披露：</w:t>
            </w:r>
          </w:p>
          <w:p w14:paraId="6B8B14FE">
            <w:pPr>
              <w:pStyle w:val="44"/>
              <w:widowControl w:val="0"/>
              <w:numPr>
                <w:ilvl w:val="-1"/>
                <w:numId w:val="0"/>
              </w:numPr>
              <w:snapToGrid w:val="0"/>
              <w:ind w:right="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lang w:val="en-US" w:eastAsia="zh-CN"/>
                <w14:textFill>
                  <w14:solidFill>
                    <w14:schemeClr w14:val="tx1"/>
                  </w14:solidFill>
                </w14:textFill>
              </w:rPr>
              <w:t>1</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pacing w:val="-1"/>
                <w14:textFill>
                  <w14:solidFill>
                    <w14:schemeClr w14:val="tx1"/>
                  </w14:solidFill>
                </w14:textFill>
              </w:rPr>
              <w:t>所处行业的</w:t>
            </w:r>
            <w:r>
              <w:rPr>
                <w:rFonts w:hint="eastAsia" w:ascii="仿宋_GB2312" w:hAnsi="仿宋_GB2312" w:eastAsia="仿宋_GB2312" w:cs="仿宋_GB2312"/>
                <w:color w:val="000000" w:themeColor="text1"/>
                <w:spacing w:val="-1"/>
                <w:lang w:eastAsia="zh-CN"/>
                <w14:textFill>
                  <w14:solidFill>
                    <w14:schemeClr w14:val="tx1"/>
                  </w14:solidFill>
                </w14:textFill>
              </w:rPr>
              <w:t>主要特点及行业竞争情况</w:t>
            </w:r>
            <w:r>
              <w:rPr>
                <w:rFonts w:hint="eastAsia" w:ascii="仿宋_GB2312" w:hAnsi="仿宋_GB2312" w:eastAsia="仿宋_GB2312" w:cs="仿宋_GB2312"/>
                <w:color w:val="000000" w:themeColor="text1"/>
                <w:spacing w:val="-1"/>
                <w14:textFill>
                  <w14:solidFill>
                    <w14:schemeClr w14:val="tx1"/>
                  </w14:solidFill>
                </w14:textFill>
              </w:rPr>
              <w:t>；</w:t>
            </w:r>
          </w:p>
          <w:p w14:paraId="45AFBA14">
            <w:pPr>
              <w:pStyle w:val="44"/>
              <w:widowControl w:val="0"/>
              <w:snapToGrid w:val="0"/>
              <w:ind w:right="0"/>
              <w:jc w:val="both"/>
              <w:rPr>
                <w:rFonts w:hint="eastAsia" w:ascii="仿宋_GB2312" w:hAnsi="仿宋_GB2312" w:eastAsia="仿宋_GB2312" w:cs="仿宋_GB2312"/>
                <w:color w:val="000000" w:themeColor="text1"/>
                <w:spacing w:val="-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（2）</w:t>
            </w:r>
            <w:r>
              <w:rPr>
                <w:rFonts w:hint="eastAsia" w:ascii="仿宋_GB2312" w:hAnsi="仿宋_GB2312" w:eastAsia="仿宋_GB2312" w:cs="仿宋_GB2312"/>
                <w:color w:val="000000" w:themeColor="text1"/>
                <w:spacing w:val="-1"/>
                <w:lang w:eastAsia="zh-CN"/>
                <w14:textFill>
                  <w14:solidFill>
                    <w14:schemeClr w14:val="tx1"/>
                  </w14:solidFill>
                </w14:textFill>
              </w:rPr>
              <w:t>主要业务模式、产品或服务的主要内容</w:t>
            </w:r>
            <w:r>
              <w:rPr>
                <w:rFonts w:hint="eastAsia" w:ascii="仿宋_GB2312" w:hAnsi="仿宋_GB2312" w:eastAsia="仿宋_GB2312" w:cs="仿宋_GB2312"/>
                <w:color w:val="000000" w:themeColor="text1"/>
                <w:spacing w:val="-1"/>
                <w14:textFill>
                  <w14:solidFill>
                    <w14:schemeClr w14:val="tx1"/>
                  </w14:solidFill>
                </w14:textFill>
              </w:rPr>
              <w:t>；</w:t>
            </w:r>
          </w:p>
          <w:p w14:paraId="291ACD5A">
            <w:pPr>
              <w:pStyle w:val="44"/>
              <w:widowControl w:val="0"/>
              <w:snapToGrid w:val="0"/>
              <w:ind w:right="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color w:val="000000" w:themeColor="text1"/>
                <w:spacing w:val="-1"/>
                <w14:textFill>
                  <w14:solidFill>
                    <w14:schemeClr w14:val="tx1"/>
                  </w14:solidFill>
                </w14:textFill>
              </w:rPr>
              <w:t>（3）</w:t>
            </w:r>
            <w:r>
              <w:rPr>
                <w:rFonts w:hint="eastAsia" w:ascii="仿宋_GB2312" w:hAnsi="仿宋_GB2312" w:eastAsia="仿宋_GB2312" w:cs="仿宋_GB2312"/>
                <w:color w:val="000000" w:themeColor="text1"/>
                <w:spacing w:val="-1"/>
                <w:lang w:eastAsia="zh-CN"/>
                <w14:textFill>
                  <w14:solidFill>
                    <w14:schemeClr w14:val="tx1"/>
                  </w14:solidFill>
                </w14:textFill>
              </w:rPr>
              <w:t>现有业务发展安排及未来发展战略等。</w:t>
            </w:r>
          </w:p>
        </w:tc>
        <w:tc>
          <w:tcPr>
            <w:tcW w:w="4506" w:type="dxa"/>
          </w:tcPr>
          <w:p w14:paraId="70F5FEB4">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保荐人</w:t>
            </w:r>
            <w:r>
              <w:rPr>
                <w:rFonts w:hint="eastAsia" w:ascii="仿宋_GB2312" w:hAnsi="仿宋_GB2312" w:eastAsia="仿宋_GB2312" w:cs="仿宋_GB2312"/>
                <w:color w:val="000000" w:themeColor="text1"/>
                <w:spacing w:val="-1"/>
                <w14:textFill>
                  <w14:solidFill>
                    <w14:schemeClr w14:val="tx1"/>
                  </w14:solidFill>
                </w14:textFill>
              </w:rPr>
              <w:t>对相关事项进行核查，并</w:t>
            </w:r>
            <w:r>
              <w:rPr>
                <w:rFonts w:hint="eastAsia" w:ascii="仿宋_GB2312" w:hAnsi="仿宋_GB2312" w:eastAsia="仿宋_GB2312" w:cs="仿宋_GB2312"/>
                <w:color w:val="000000" w:themeColor="text1"/>
                <w14:textFill>
                  <w14:solidFill>
                    <w14:schemeClr w14:val="tx1"/>
                  </w14:solidFill>
                </w14:textFill>
              </w:rPr>
              <w:t>督促发行人披露对投资者作出价值判断和投资决策所必</w:t>
            </w:r>
            <w:r>
              <w:rPr>
                <w:rFonts w:hint="eastAsia" w:ascii="仿宋_GB2312" w:hAnsi="仿宋_GB2312" w:eastAsia="仿宋_GB2312" w:cs="仿宋_GB2312"/>
                <w:color w:val="000000" w:themeColor="text1"/>
                <w:spacing w:val="-6"/>
                <w14:textFill>
                  <w14:solidFill>
                    <w14:schemeClr w14:val="tx1"/>
                  </w14:solidFill>
                </w14:textFill>
              </w:rPr>
              <w:t>需的信息，确保相关信息的真实、准确、完整，简明清晰、通俗易懂，不</w:t>
            </w:r>
            <w:r>
              <w:rPr>
                <w:rFonts w:hint="eastAsia" w:ascii="仿宋_GB2312" w:hAnsi="仿宋_GB2312" w:eastAsia="仿宋_GB2312" w:cs="仿宋_GB2312"/>
                <w:color w:val="000000" w:themeColor="text1"/>
                <w:spacing w:val="-10"/>
                <w14:textFill>
                  <w14:solidFill>
                    <w14:schemeClr w14:val="tx1"/>
                  </w14:solidFill>
                </w14:textFill>
              </w:rPr>
              <w:t>得有虚假记载、误导性陈述或者重大</w:t>
            </w:r>
            <w:r>
              <w:rPr>
                <w:rFonts w:hint="eastAsia" w:ascii="仿宋_GB2312" w:hAnsi="仿宋_GB2312" w:eastAsia="仿宋_GB2312" w:cs="仿宋_GB2312"/>
                <w:color w:val="000000" w:themeColor="text1"/>
                <w14:textFill>
                  <w14:solidFill>
                    <w14:schemeClr w14:val="tx1"/>
                  </w14:solidFill>
                </w14:textFill>
              </w:rPr>
              <w:t>遗漏。</w:t>
            </w:r>
          </w:p>
          <w:p w14:paraId="00B7E758">
            <w:pPr>
              <w:pStyle w:val="44"/>
              <w:snapToGrid w:val="0"/>
              <w:rPr>
                <w:rFonts w:hint="eastAsia" w:ascii="仿宋_GB2312" w:hAnsi="仿宋_GB2312" w:eastAsia="仿宋_GB2312" w:cs="仿宋_GB2312"/>
                <w:color w:val="000000" w:themeColor="text1"/>
                <w14:textFill>
                  <w14:solidFill>
                    <w14:schemeClr w14:val="tx1"/>
                  </w14:solidFill>
                </w14:textFill>
              </w:rPr>
            </w:pPr>
          </w:p>
        </w:tc>
        <w:tc>
          <w:tcPr>
            <w:tcW w:w="2581" w:type="dxa"/>
          </w:tcPr>
          <w:p w14:paraId="2818DB80">
            <w:pPr>
              <w:pStyle w:val="44"/>
              <w:tabs>
                <w:tab w:val="left" w:pos="382"/>
              </w:tabs>
              <w:snapToGrid w:val="0"/>
              <w:jc w:val="both"/>
              <w:rPr>
                <w:rFonts w:hint="eastAsia" w:ascii="仿宋_GB2312" w:hAnsi="仿宋_GB2312" w:eastAsia="仿宋_GB2312" w:cs="仿宋_GB2312"/>
                <w:b/>
                <w:bCs/>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《上市公司证券发行注册管理办法》第五条、第六条、第七条、第三十八条、</w:t>
            </w:r>
            <w:r>
              <w:rPr>
                <w:rFonts w:hint="eastAsia" w:ascii="仿宋_GB2312" w:hAnsi="仿宋_GB2312" w:eastAsia="仿宋_GB2312" w:cs="仿宋_GB2312"/>
                <w:color w:val="000000" w:themeColor="text1"/>
                <w:spacing w:val="-1"/>
                <w14:textFill>
                  <w14:solidFill>
                    <w14:schemeClr w14:val="tx1"/>
                  </w14:solidFill>
                </w14:textFill>
              </w:rPr>
              <w:t>第四十条</w:t>
            </w:r>
            <w:r>
              <w:rPr>
                <w:rFonts w:hint="eastAsia" w:ascii="仿宋_GB2312" w:hAnsi="仿宋_GB2312" w:eastAsia="仿宋_GB2312" w:cs="仿宋_GB2312"/>
                <w:color w:val="000000" w:themeColor="text1"/>
                <w:spacing w:val="-1"/>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《募集说明书格式准则》</w:t>
            </w:r>
            <w:r>
              <w:rPr>
                <w:rFonts w:hint="eastAsia" w:ascii="仿宋_GB2312" w:hAnsi="仿宋_GB2312" w:eastAsia="仿宋_GB2312" w:cs="仿宋_GB2312"/>
                <w:color w:val="000000" w:themeColor="text1"/>
                <w:sz w:val="24"/>
                <w:lang w:val="en-US" w:eastAsia="zh-CN"/>
                <w14:textFill>
                  <w14:solidFill>
                    <w14:schemeClr w14:val="tx1"/>
                  </w14:solidFill>
                </w14:textFill>
              </w:rPr>
              <w:t>第八条</w:t>
            </w:r>
          </w:p>
        </w:tc>
      </w:tr>
      <w:tr w14:paraId="5C75A8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5D5B9B95">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4-2</w:t>
            </w:r>
          </w:p>
        </w:tc>
        <w:tc>
          <w:tcPr>
            <w:tcW w:w="1276" w:type="dxa"/>
            <w:vAlign w:val="center"/>
          </w:tcPr>
          <w:p w14:paraId="4F250A79">
            <w:pPr>
              <w:snapToGrid w:val="0"/>
              <w:jc w:val="both"/>
              <w:rPr>
                <w:rFonts w:hint="eastAsia" w:ascii="仿宋_GB2312" w:hAnsi="仿宋_GB2312" w:eastAsia="仿宋_GB2312" w:cs="仿宋_GB2312"/>
                <w:b/>
                <w:bCs/>
                <w:color w:val="000000" w:themeColor="text1"/>
                <w:spacing w:val="-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财务性投资</w:t>
            </w:r>
          </w:p>
        </w:tc>
        <w:tc>
          <w:tcPr>
            <w:tcW w:w="4604" w:type="dxa"/>
          </w:tcPr>
          <w:p w14:paraId="584922C7">
            <w:pPr>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结合财务性投资的认定、本次发行董事会决议日前六个月至本次发行前新投入和拟投入的财务性投资金额及扣除情况，披露截至最近一期末，持有财务性投资余额的具体明细、持有原因及未来处置计划，不存在金额较大的财务性投资的基本情况。</w:t>
            </w:r>
          </w:p>
          <w:p w14:paraId="054E5FA2">
            <w:pPr>
              <w:pStyle w:val="44"/>
              <w:tabs>
                <w:tab w:val="left" w:pos="709"/>
              </w:tabs>
              <w:snapToGrid w:val="0"/>
              <w:rPr>
                <w:rFonts w:hint="eastAsia" w:ascii="仿宋_GB2312" w:hAnsi="仿宋_GB2312" w:eastAsia="仿宋_GB2312" w:cs="仿宋_GB2312"/>
                <w:color w:val="000000" w:themeColor="text1"/>
                <w14:textFill>
                  <w14:solidFill>
                    <w14:schemeClr w14:val="tx1"/>
                  </w14:solidFill>
                </w14:textFill>
              </w:rPr>
            </w:pPr>
          </w:p>
        </w:tc>
        <w:tc>
          <w:tcPr>
            <w:tcW w:w="4506" w:type="dxa"/>
          </w:tcPr>
          <w:p w14:paraId="0082183F">
            <w:p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会计师及发行人律师应结合投资背景、投资目的、投资期限、形成过程、业务协同、投资对象的对外投资情况等，就发行人对外投资是否属于财务性投资以及截至最近一期末是否存在金额较大的财务性投资，本次发行董事会决议日前六个月至本次发行前新投入和拟投入的财务性投资金额及扣除金额及时间，是否符合《证券期货法律适用意见第18号）》第一条的相关要求发表明确意见。</w:t>
            </w:r>
          </w:p>
          <w:p w14:paraId="1289D760">
            <w:pPr>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会计师应当按照上述要求出具专项说明文件并发表明确意见。</w:t>
            </w:r>
          </w:p>
        </w:tc>
        <w:tc>
          <w:tcPr>
            <w:tcW w:w="2581" w:type="dxa"/>
          </w:tcPr>
          <w:p w14:paraId="20783034">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《募集说明书格式准则》第八条，《证券期货法律适用意见第18号》第一条</w:t>
            </w:r>
          </w:p>
        </w:tc>
      </w:tr>
      <w:tr w14:paraId="7D555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5D1978E0">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4-3</w:t>
            </w:r>
          </w:p>
        </w:tc>
        <w:tc>
          <w:tcPr>
            <w:tcW w:w="1276" w:type="dxa"/>
            <w:vAlign w:val="center"/>
          </w:tcPr>
          <w:p w14:paraId="6F1AF1DD">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类金融业务</w:t>
            </w:r>
          </w:p>
        </w:tc>
        <w:tc>
          <w:tcPr>
            <w:tcW w:w="4604" w:type="dxa"/>
          </w:tcPr>
          <w:p w14:paraId="6A62CDAA">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发行人应披露募集资金未直接或变相用于类金融业务的情况。</w:t>
            </w:r>
          </w:p>
        </w:tc>
        <w:tc>
          <w:tcPr>
            <w:tcW w:w="4506" w:type="dxa"/>
          </w:tcPr>
          <w:p w14:paraId="6D5ED2E2">
            <w:pPr>
              <w:tabs>
                <w:tab w:val="left" w:pos="708"/>
              </w:tabs>
              <w:autoSpaceDE/>
              <w:autoSpaceDN/>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就发行人最近一年一期类金融业务的内容、模式、规模等基本情况及相关风险、债务偿付能力及经营合规性进行核查并就类金融业务是否符合《监管规则适用指引——发行类第7号》第一条的相关要求在《发行保荐工作报告》中发表明确意见。若认定类金融业务属于暂不纳入类金融计算口径，但类金融业收入或净利润占比超过30%的，应审慎核查并发表明确意见。</w:t>
            </w:r>
          </w:p>
          <w:p w14:paraId="20A3AB7C">
            <w:pPr>
              <w:tabs>
                <w:tab w:val="left" w:pos="708"/>
              </w:tabs>
              <w:autoSpaceDE w:val="0"/>
              <w:autoSpaceDN w:val="0"/>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发行人律师应就发行人最近一年一期类金融业务的经营合规性进行核查，并在《律师工作报告》中发表明确意见。</w:t>
            </w:r>
          </w:p>
        </w:tc>
        <w:tc>
          <w:tcPr>
            <w:tcW w:w="2581" w:type="dxa"/>
          </w:tcPr>
          <w:p w14:paraId="390CDDAC">
            <w:pPr>
              <w:pStyle w:val="44"/>
              <w:tabs>
                <w:tab w:val="left" w:pos="382"/>
              </w:tabs>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《监管规则适用指引——发行类第7号》第一条</w:t>
            </w:r>
          </w:p>
        </w:tc>
      </w:tr>
      <w:tr w14:paraId="2558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29247C57">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4-4</w:t>
            </w:r>
          </w:p>
        </w:tc>
        <w:tc>
          <w:tcPr>
            <w:tcW w:w="1276" w:type="dxa"/>
            <w:vAlign w:val="center"/>
          </w:tcPr>
          <w:p w14:paraId="1C74A33E">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影响公司核心竞争力、经营稳定性及未来发</w:t>
            </w:r>
            <w:r>
              <w:rPr>
                <w:rFonts w:hint="eastAsia" w:ascii="仿宋_GB2312" w:hAnsi="仿宋_GB2312" w:eastAsia="仿宋_GB2312" w:cs="仿宋_GB2312"/>
                <w:b/>
                <w:bCs/>
                <w:color w:val="000000" w:themeColor="text1"/>
                <w14:textFill>
                  <w14:solidFill>
                    <w14:schemeClr w14:val="tx1"/>
                  </w14:solidFill>
                </w14:textFill>
              </w:rPr>
              <w:t>展的重大风险</w:t>
            </w:r>
          </w:p>
        </w:tc>
        <w:tc>
          <w:tcPr>
            <w:tcW w:w="4604" w:type="dxa"/>
          </w:tcPr>
          <w:p w14:paraId="69B963EF">
            <w:pPr>
              <w:pStyle w:val="44"/>
              <w:snapToGrid w:val="0"/>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发行人应以投资者需求为导向，有针对性地披露业务</w:t>
            </w:r>
            <w:r>
              <w:rPr>
                <w:rFonts w:hint="eastAsia" w:ascii="仿宋_GB2312" w:hAnsi="仿宋_GB2312" w:eastAsia="仿宋_GB2312" w:cs="仿宋_GB2312"/>
                <w:color w:val="000000" w:themeColor="text1"/>
                <w:spacing w:val="-2"/>
                <w14:textFill>
                  <w14:solidFill>
                    <w14:schemeClr w14:val="tx1"/>
                  </w14:solidFill>
                </w14:textFill>
              </w:rPr>
              <w:t>模式、公司治理、发展战略、经营政策、</w:t>
            </w:r>
            <w:r>
              <w:rPr>
                <w:rFonts w:hint="eastAsia" w:ascii="仿宋_GB2312" w:hAnsi="仿宋_GB2312" w:eastAsia="仿宋_GB2312" w:cs="仿宋_GB2312"/>
                <w:color w:val="000000" w:themeColor="text1"/>
                <w14:textFill>
                  <w14:solidFill>
                    <w14:schemeClr w14:val="tx1"/>
                  </w14:solidFill>
                </w14:textFill>
              </w:rPr>
              <w:t>会计政策、财务状况分析等信息，并充分揭示可能对公司产生重大不利影响的风险因素。</w:t>
            </w:r>
          </w:p>
        </w:tc>
        <w:tc>
          <w:tcPr>
            <w:tcW w:w="4506" w:type="dxa"/>
          </w:tcPr>
          <w:p w14:paraId="0FC4F5B4">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保荐人应对相关风险事项进行核</w:t>
            </w:r>
            <w:r>
              <w:rPr>
                <w:rFonts w:hint="eastAsia" w:ascii="仿宋_GB2312" w:hAnsi="仿宋_GB2312" w:eastAsia="仿宋_GB2312" w:cs="仿宋_GB2312"/>
                <w:color w:val="000000" w:themeColor="text1"/>
                <w:spacing w:val="-1"/>
                <w14:textFill>
                  <w14:solidFill>
                    <w14:schemeClr w14:val="tx1"/>
                  </w14:solidFill>
                </w14:textFill>
              </w:rPr>
              <w:t>查，就相关事项对发行人持续经营、</w:t>
            </w:r>
            <w:r>
              <w:rPr>
                <w:rFonts w:hint="eastAsia" w:ascii="仿宋_GB2312" w:hAnsi="仿宋_GB2312" w:eastAsia="仿宋_GB2312" w:cs="仿宋_GB2312"/>
                <w:color w:val="000000" w:themeColor="text1"/>
                <w14:textFill>
                  <w14:solidFill>
                    <w14:schemeClr w14:val="tx1"/>
                  </w14:solidFill>
                </w14:textFill>
              </w:rPr>
              <w:t>本次发行是否构成重大影响发表明确意见。</w:t>
            </w:r>
          </w:p>
          <w:p w14:paraId="7D67F3F0">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保荐人应督促发行人在募集说明书</w:t>
            </w:r>
            <w:r>
              <w:rPr>
                <w:rFonts w:hint="eastAsia" w:ascii="仿宋_GB2312" w:hAnsi="仿宋_GB2312" w:eastAsia="仿宋_GB2312" w:cs="仿宋_GB2312"/>
                <w:color w:val="000000" w:themeColor="text1"/>
                <w:spacing w:val="-9"/>
                <w14:textFill>
                  <w14:solidFill>
                    <w14:schemeClr w14:val="tx1"/>
                  </w14:solidFill>
                </w14:textFill>
              </w:rPr>
              <w:t>扉页重大事项提示中，充分披露与发</w:t>
            </w:r>
            <w:r>
              <w:rPr>
                <w:rFonts w:hint="eastAsia" w:ascii="仿宋_GB2312" w:hAnsi="仿宋_GB2312" w:eastAsia="仿宋_GB2312" w:cs="仿宋_GB2312"/>
                <w:color w:val="000000" w:themeColor="text1"/>
                <w:spacing w:val="-1"/>
                <w14:textFill>
                  <w14:solidFill>
                    <w14:schemeClr w14:val="tx1"/>
                  </w14:solidFill>
                </w14:textFill>
              </w:rPr>
              <w:t>行人自身密切相关的重要风险因素，</w:t>
            </w:r>
            <w:r>
              <w:rPr>
                <w:rFonts w:hint="eastAsia" w:ascii="仿宋_GB2312" w:hAnsi="仿宋_GB2312" w:eastAsia="仿宋_GB2312" w:cs="仿宋_GB2312"/>
                <w:color w:val="000000" w:themeColor="text1"/>
                <w14:textFill>
                  <w14:solidFill>
                    <w14:schemeClr w14:val="tx1"/>
                  </w14:solidFill>
                </w14:textFill>
              </w:rPr>
              <w:t>并按对投资者作出价值判断和投资决策所需信息的重要程度进行梳理排序。</w:t>
            </w:r>
          </w:p>
          <w:p w14:paraId="6067D06A">
            <w:pPr>
              <w:pStyle w:val="44"/>
              <w:snapToGrid w:val="0"/>
              <w:jc w:val="both"/>
              <w:rPr>
                <w:rFonts w:hint="eastAsia"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发行人最近一年（期）业绩下滑的，</w:t>
            </w:r>
            <w:r>
              <w:rPr>
                <w:rFonts w:hint="default" w:ascii="Times New Roman" w:hAnsi="Times New Roman" w:eastAsia="仿宋_GB2312" w:cs="Times New Roman"/>
                <w:bCs/>
                <w:color w:val="000000" w:themeColor="text1"/>
                <w:kern w:val="0"/>
                <w:sz w:val="24"/>
                <w:szCs w:val="24"/>
                <w14:textFill>
                  <w14:solidFill>
                    <w14:schemeClr w14:val="tx1"/>
                  </w14:solidFill>
                </w14:textFill>
              </w:rPr>
              <w:t>比如</w:t>
            </w:r>
            <w:r>
              <w:rPr>
                <w:rFonts w:hint="eastAsia" w:ascii="Times New Roman" w:hAnsi="Times New Roman" w:eastAsia="仿宋_GB2312" w:cs="Times New Roman"/>
                <w:bCs/>
                <w:color w:val="000000" w:themeColor="text1"/>
                <w:kern w:val="0"/>
                <w:sz w:val="24"/>
                <w:szCs w:val="24"/>
                <w:lang w:eastAsia="zh-CN"/>
                <w14:textFill>
                  <w14:solidFill>
                    <w14:schemeClr w14:val="tx1"/>
                  </w14:solidFill>
                </w14:textFill>
              </w:rPr>
              <w:t>扣非前或扣非后合并口径归属于母公司的净利润同比下降</w:t>
            </w:r>
            <w:r>
              <w:rPr>
                <w:rFonts w:hint="default" w:ascii="Times New Roman" w:hAnsi="Times New Roman" w:eastAsia="仿宋_GB2312" w:cs="Times New Roman"/>
                <w:bCs/>
                <w:color w:val="000000" w:themeColor="text1"/>
                <w:kern w:val="0"/>
                <w:sz w:val="24"/>
                <w:szCs w:val="24"/>
                <w14:textFill>
                  <w14:solidFill>
                    <w14:schemeClr w14:val="tx1"/>
                  </w14:solidFill>
                </w14:textFill>
              </w:rPr>
              <w:t>超过30%，</w:t>
            </w:r>
            <w:r>
              <w:rPr>
                <w:rFonts w:hint="eastAsia" w:ascii="仿宋_GB2312" w:hAnsi="仿宋_GB2312" w:eastAsia="仿宋_GB2312" w:cs="仿宋_GB2312"/>
                <w:color w:val="000000" w:themeColor="text1"/>
                <w:lang w:eastAsia="zh-CN"/>
                <w14:textFill>
                  <w14:solidFill>
                    <w14:schemeClr w14:val="tx1"/>
                  </w14:solidFill>
                </w14:textFill>
              </w:rPr>
              <w:t>保荐人应当核查业绩下滑的原因及合理性，是否与同行业可比公司一致，相关不利影响是否持续、是否将形成短期内不可逆转的下滑，并在《发行保荐工作报告》发表明确意见，督促发行人对上述事项进行风险提示；会计师应当按照上述要求核查并发表明确意见。</w:t>
            </w:r>
          </w:p>
        </w:tc>
        <w:tc>
          <w:tcPr>
            <w:tcW w:w="2581" w:type="dxa"/>
          </w:tcPr>
          <w:p w14:paraId="4200EA9E">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《上市公司证券发行注册管理办法》第五条、第四十条，《募集说明书格式准则》第二十四条</w:t>
            </w:r>
          </w:p>
        </w:tc>
      </w:tr>
      <w:tr w14:paraId="1127C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2" w:type="dxa"/>
            <w:vAlign w:val="center"/>
          </w:tcPr>
          <w:p w14:paraId="280C9DA2">
            <w:pPr>
              <w:snapToGrid w:val="0"/>
              <w:jc w:val="center"/>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14:textFill>
                  <w14:solidFill>
                    <w14:schemeClr w14:val="tx1"/>
                  </w14:solidFill>
                </w14:textFill>
              </w:rPr>
              <w:t>4-5</w:t>
            </w:r>
          </w:p>
        </w:tc>
        <w:tc>
          <w:tcPr>
            <w:tcW w:w="1276" w:type="dxa"/>
            <w:vAlign w:val="center"/>
          </w:tcPr>
          <w:p w14:paraId="599D4DD9">
            <w:pPr>
              <w:pStyle w:val="44"/>
              <w:snapToGrid w:val="0"/>
              <w:jc w:val="both"/>
              <w:rPr>
                <w:rFonts w:hint="eastAsia" w:ascii="仿宋_GB2312" w:hAnsi="仿宋_GB2312" w:eastAsia="仿宋_GB2312" w:cs="仿宋_GB2312"/>
                <w:b/>
                <w:bCs/>
                <w:color w:val="000000" w:themeColor="text1"/>
                <w14:textFill>
                  <w14:solidFill>
                    <w14:schemeClr w14:val="tx1"/>
                  </w14:solidFill>
                </w14:textFill>
              </w:rPr>
            </w:pPr>
            <w:r>
              <w:rPr>
                <w:rFonts w:hint="eastAsia" w:ascii="仿宋_GB2312" w:hAnsi="仿宋_GB2312" w:eastAsia="仿宋_GB2312" w:cs="仿宋_GB2312"/>
                <w:b/>
                <w:bCs/>
                <w:color w:val="000000" w:themeColor="text1"/>
                <w:spacing w:val="-1"/>
                <w14:textFill>
                  <w14:solidFill>
                    <w14:schemeClr w14:val="tx1"/>
                  </w14:solidFill>
                </w14:textFill>
              </w:rPr>
              <w:t>舆情情况</w:t>
            </w:r>
          </w:p>
        </w:tc>
        <w:tc>
          <w:tcPr>
            <w:tcW w:w="4604" w:type="dxa"/>
          </w:tcPr>
          <w:p w14:paraId="6F9F554B">
            <w:pPr>
              <w:pStyle w:val="44"/>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发行人应当诚实守信，依法充分披露投资者作出价值判断和投资决策所必需的信息，充分揭示当前及未来可预见对发行人构成重大不利影响的直接和间接风险，所披露信息必须真实、准确、完整，简明清晰、通俗易懂，不得有虚假记载、误导性陈述或者重大遗漏。</w:t>
            </w:r>
          </w:p>
        </w:tc>
        <w:tc>
          <w:tcPr>
            <w:tcW w:w="4506" w:type="dxa"/>
          </w:tcPr>
          <w:p w14:paraId="54F37BE8">
            <w:pPr>
              <w:pStyle w:val="44"/>
              <w:snapToGrid w:val="0"/>
              <w:jc w:val="both"/>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保荐人应当对上述事项进行核查，分析发行人主要舆情情况，就项目是否存在重大舆情</w:t>
            </w:r>
            <w:r>
              <w:rPr>
                <w:rFonts w:hint="eastAsia" w:ascii="仿宋_GB2312" w:hAnsi="仿宋_GB2312" w:eastAsia="仿宋_GB2312" w:cs="仿宋_GB2312"/>
                <w:bCs/>
                <w:color w:val="000000" w:themeColor="text1"/>
                <w:kern w:val="0"/>
                <w:sz w:val="24"/>
                <w:szCs w:val="24"/>
                <w:lang w:eastAsia="zh-CN"/>
                <w14:textFill>
                  <w14:solidFill>
                    <w14:schemeClr w14:val="tx1"/>
                  </w14:solidFill>
                </w14:textFill>
              </w:rPr>
              <w:t>及对本次发行上市条件的影响</w:t>
            </w:r>
            <w:r>
              <w:rPr>
                <w:rFonts w:hint="eastAsia" w:ascii="仿宋_GB2312" w:hAnsi="仿宋_GB2312" w:eastAsia="仿宋_GB2312" w:cs="仿宋_GB2312"/>
                <w:bCs/>
                <w:color w:val="000000" w:themeColor="text1"/>
                <w14:textFill>
                  <w14:solidFill>
                    <w14:schemeClr w14:val="tx1"/>
                  </w14:solidFill>
                </w14:textFill>
              </w:rPr>
              <w:t>出具明确核查意见。</w:t>
            </w:r>
          </w:p>
        </w:tc>
        <w:tc>
          <w:tcPr>
            <w:tcW w:w="2581" w:type="dxa"/>
          </w:tcPr>
          <w:p w14:paraId="1D3A0E88">
            <w:pPr>
              <w:snapToGrid w:val="0"/>
              <w:jc w:val="both"/>
              <w:rPr>
                <w:rFonts w:hint="eastAsia" w:ascii="仿宋_GB2312" w:hAnsi="仿宋_GB2312" w:eastAsia="仿宋_GB2312" w:cs="仿宋_GB2312"/>
                <w:bCs/>
                <w:color w:val="000000" w:themeColor="text1"/>
                <w14:textFill>
                  <w14:solidFill>
                    <w14:schemeClr w14:val="tx1"/>
                  </w14:solidFill>
                </w14:textFill>
              </w:rPr>
            </w:pPr>
            <w:r>
              <w:rPr>
                <w:rFonts w:hint="eastAsia" w:ascii="仿宋_GB2312" w:hAnsi="仿宋_GB2312" w:eastAsia="仿宋_GB2312" w:cs="仿宋_GB2312"/>
                <w:bCs/>
                <w:color w:val="000000" w:themeColor="text1"/>
                <w14:textFill>
                  <w14:solidFill>
                    <w14:schemeClr w14:val="tx1"/>
                  </w14:solidFill>
                </w14:textFill>
              </w:rPr>
              <w:t>《上市公司证券发行注册管理办法》第五条、第六条</w:t>
            </w:r>
          </w:p>
        </w:tc>
      </w:tr>
    </w:tbl>
    <w:p w14:paraId="275D2029">
      <w:pPr>
        <w:adjustRightInd w:val="0"/>
        <w:snapToGrid w:val="0"/>
        <w:ind w:firstLine="360" w:firstLineChars="150"/>
        <w:rPr>
          <w:rFonts w:ascii="Times New Roman" w:hAnsi="Times New Roman" w:eastAsia="仿宋_GB2312"/>
          <w:color w:val="000000" w:themeColor="text1"/>
          <w:szCs w:val="21"/>
          <w14:textFill>
            <w14:solidFill>
              <w14:schemeClr w14:val="tx1"/>
            </w14:solidFill>
          </w14:textFill>
        </w:rPr>
      </w:pPr>
      <w:r>
        <w:rPr>
          <w:rFonts w:hint="eastAsia" w:ascii="仿宋_GB2312" w:hAnsi="仿宋_GB2312" w:eastAsia="仿宋_GB2312" w:cs="仿宋_GB2312"/>
          <w:color w:val="000000" w:themeColor="text1"/>
          <w:szCs w:val="24"/>
          <w14:textFill>
            <w14:solidFill>
              <w14:schemeClr w14:val="tx1"/>
            </w14:solidFill>
          </w14:textFill>
        </w:rPr>
        <w:t>注：为方便发行人填写，上述表格列明了核查要求、披露要求及参考规范，与实际填报的表格格式（正文）略有不同。</w:t>
      </w:r>
    </w:p>
    <w:sectPr>
      <w:footerReference r:id="rId3" w:type="default"/>
      <w:pgSz w:w="16839" w:h="11907"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仿宋">
    <w:altName w:val="宋体"/>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A6611">
    <w:pPr>
      <w:pStyle w:val="8"/>
      <w:jc w:val="center"/>
    </w:pPr>
    <w:r>
      <w:fldChar w:fldCharType="begin"/>
    </w:r>
    <w:r>
      <w:instrText xml:space="preserve"> PAGE   \* MERGEFORMAT </w:instrText>
    </w:r>
    <w:r>
      <w:fldChar w:fldCharType="separate"/>
    </w:r>
    <w:r>
      <w:rPr>
        <w:lang w:val="zh-CN"/>
      </w:rPr>
      <w:t>14</w:t>
    </w:r>
    <w:r>
      <w:rPr>
        <w:lang w:val="zh-CN"/>
      </w:rPr>
      <w:fldChar w:fldCharType="end"/>
    </w:r>
  </w:p>
  <w:p w14:paraId="489BD02D">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RjMmY1YzM1Yzc2M2RiNWU0NTIzYmRmYTI0NmEifQ=="/>
  </w:docVars>
  <w:rsids>
    <w:rsidRoot w:val="00BC710D"/>
    <w:rsid w:val="00002763"/>
    <w:rsid w:val="00002EB1"/>
    <w:rsid w:val="0000461A"/>
    <w:rsid w:val="0000493A"/>
    <w:rsid w:val="00005790"/>
    <w:rsid w:val="00006149"/>
    <w:rsid w:val="000075C5"/>
    <w:rsid w:val="000078B4"/>
    <w:rsid w:val="00007BA3"/>
    <w:rsid w:val="000174BF"/>
    <w:rsid w:val="00017903"/>
    <w:rsid w:val="000203A2"/>
    <w:rsid w:val="00021878"/>
    <w:rsid w:val="00022614"/>
    <w:rsid w:val="000244FA"/>
    <w:rsid w:val="000258A8"/>
    <w:rsid w:val="00025A0F"/>
    <w:rsid w:val="000266CA"/>
    <w:rsid w:val="00032CF0"/>
    <w:rsid w:val="000330B0"/>
    <w:rsid w:val="00036C63"/>
    <w:rsid w:val="000415AD"/>
    <w:rsid w:val="00041A85"/>
    <w:rsid w:val="0004283E"/>
    <w:rsid w:val="0004602F"/>
    <w:rsid w:val="00046068"/>
    <w:rsid w:val="00047B1D"/>
    <w:rsid w:val="00051A03"/>
    <w:rsid w:val="00053A83"/>
    <w:rsid w:val="00054653"/>
    <w:rsid w:val="00056046"/>
    <w:rsid w:val="0005712C"/>
    <w:rsid w:val="0005739F"/>
    <w:rsid w:val="00060626"/>
    <w:rsid w:val="000619BD"/>
    <w:rsid w:val="000619E5"/>
    <w:rsid w:val="000630C0"/>
    <w:rsid w:val="00064314"/>
    <w:rsid w:val="000648BC"/>
    <w:rsid w:val="00065398"/>
    <w:rsid w:val="00065C06"/>
    <w:rsid w:val="00067AFE"/>
    <w:rsid w:val="000722CA"/>
    <w:rsid w:val="00077A66"/>
    <w:rsid w:val="0008040D"/>
    <w:rsid w:val="00080442"/>
    <w:rsid w:val="00082EC5"/>
    <w:rsid w:val="00083FD6"/>
    <w:rsid w:val="000848FD"/>
    <w:rsid w:val="00085D6B"/>
    <w:rsid w:val="00085ED0"/>
    <w:rsid w:val="00087A43"/>
    <w:rsid w:val="00087A9A"/>
    <w:rsid w:val="000929FD"/>
    <w:rsid w:val="0009303B"/>
    <w:rsid w:val="000934B4"/>
    <w:rsid w:val="00093705"/>
    <w:rsid w:val="00093824"/>
    <w:rsid w:val="000939D6"/>
    <w:rsid w:val="00094C98"/>
    <w:rsid w:val="00094F8F"/>
    <w:rsid w:val="0009686A"/>
    <w:rsid w:val="00097051"/>
    <w:rsid w:val="00097143"/>
    <w:rsid w:val="00097154"/>
    <w:rsid w:val="000974EB"/>
    <w:rsid w:val="000A1FF5"/>
    <w:rsid w:val="000A2EFC"/>
    <w:rsid w:val="000A7047"/>
    <w:rsid w:val="000B08D9"/>
    <w:rsid w:val="000B2832"/>
    <w:rsid w:val="000B3556"/>
    <w:rsid w:val="000B4B02"/>
    <w:rsid w:val="000B5684"/>
    <w:rsid w:val="000B5DF2"/>
    <w:rsid w:val="000B66F7"/>
    <w:rsid w:val="000C1ED5"/>
    <w:rsid w:val="000C6024"/>
    <w:rsid w:val="000D1524"/>
    <w:rsid w:val="000D5F1A"/>
    <w:rsid w:val="000D6571"/>
    <w:rsid w:val="000D6D58"/>
    <w:rsid w:val="000D7A76"/>
    <w:rsid w:val="000E10A0"/>
    <w:rsid w:val="000E159C"/>
    <w:rsid w:val="000E72F5"/>
    <w:rsid w:val="000E7C81"/>
    <w:rsid w:val="000F067B"/>
    <w:rsid w:val="000F2352"/>
    <w:rsid w:val="000F28EF"/>
    <w:rsid w:val="000F31B0"/>
    <w:rsid w:val="000F44E3"/>
    <w:rsid w:val="000F4AC6"/>
    <w:rsid w:val="000F4E0E"/>
    <w:rsid w:val="000F5D45"/>
    <w:rsid w:val="000F75D7"/>
    <w:rsid w:val="00100B60"/>
    <w:rsid w:val="001023D4"/>
    <w:rsid w:val="00104356"/>
    <w:rsid w:val="001047F4"/>
    <w:rsid w:val="00105672"/>
    <w:rsid w:val="00105F7E"/>
    <w:rsid w:val="001065CC"/>
    <w:rsid w:val="0011259F"/>
    <w:rsid w:val="00112820"/>
    <w:rsid w:val="00112C37"/>
    <w:rsid w:val="00115A8E"/>
    <w:rsid w:val="00115CAC"/>
    <w:rsid w:val="00116040"/>
    <w:rsid w:val="00116A36"/>
    <w:rsid w:val="001179CE"/>
    <w:rsid w:val="00117AEB"/>
    <w:rsid w:val="00117EF7"/>
    <w:rsid w:val="00120127"/>
    <w:rsid w:val="00120DB4"/>
    <w:rsid w:val="00121CDB"/>
    <w:rsid w:val="00122892"/>
    <w:rsid w:val="00122F57"/>
    <w:rsid w:val="00123A0F"/>
    <w:rsid w:val="00124DF5"/>
    <w:rsid w:val="00124ED4"/>
    <w:rsid w:val="00126D35"/>
    <w:rsid w:val="00127471"/>
    <w:rsid w:val="00127586"/>
    <w:rsid w:val="00130D6E"/>
    <w:rsid w:val="00131137"/>
    <w:rsid w:val="0013141A"/>
    <w:rsid w:val="00131642"/>
    <w:rsid w:val="00133CD6"/>
    <w:rsid w:val="001356A6"/>
    <w:rsid w:val="00135870"/>
    <w:rsid w:val="00135EC3"/>
    <w:rsid w:val="00141EF1"/>
    <w:rsid w:val="001421E2"/>
    <w:rsid w:val="001423F1"/>
    <w:rsid w:val="00142D2F"/>
    <w:rsid w:val="00143480"/>
    <w:rsid w:val="00143B0E"/>
    <w:rsid w:val="0014516D"/>
    <w:rsid w:val="00146717"/>
    <w:rsid w:val="0014729F"/>
    <w:rsid w:val="00147AFA"/>
    <w:rsid w:val="00150180"/>
    <w:rsid w:val="00151AB6"/>
    <w:rsid w:val="00151BBA"/>
    <w:rsid w:val="00152DC2"/>
    <w:rsid w:val="0015337E"/>
    <w:rsid w:val="00153BF0"/>
    <w:rsid w:val="00153F5E"/>
    <w:rsid w:val="001564BE"/>
    <w:rsid w:val="001564EC"/>
    <w:rsid w:val="001638AA"/>
    <w:rsid w:val="00164501"/>
    <w:rsid w:val="00165417"/>
    <w:rsid w:val="00165B97"/>
    <w:rsid w:val="00165CA9"/>
    <w:rsid w:val="00165D4A"/>
    <w:rsid w:val="00166088"/>
    <w:rsid w:val="001671B2"/>
    <w:rsid w:val="00167604"/>
    <w:rsid w:val="00175124"/>
    <w:rsid w:val="00175FF7"/>
    <w:rsid w:val="00177842"/>
    <w:rsid w:val="001779FE"/>
    <w:rsid w:val="00182897"/>
    <w:rsid w:val="00185F54"/>
    <w:rsid w:val="00186EF5"/>
    <w:rsid w:val="00191BE1"/>
    <w:rsid w:val="0019206E"/>
    <w:rsid w:val="001921ED"/>
    <w:rsid w:val="0019406D"/>
    <w:rsid w:val="00196ABA"/>
    <w:rsid w:val="00196D0D"/>
    <w:rsid w:val="001A0D31"/>
    <w:rsid w:val="001A0F5E"/>
    <w:rsid w:val="001A1A2D"/>
    <w:rsid w:val="001A7DBC"/>
    <w:rsid w:val="001B0316"/>
    <w:rsid w:val="001B0E2A"/>
    <w:rsid w:val="001B10F1"/>
    <w:rsid w:val="001B2764"/>
    <w:rsid w:val="001B5D48"/>
    <w:rsid w:val="001B664A"/>
    <w:rsid w:val="001B7195"/>
    <w:rsid w:val="001C356F"/>
    <w:rsid w:val="001C5093"/>
    <w:rsid w:val="001C5A80"/>
    <w:rsid w:val="001C6204"/>
    <w:rsid w:val="001D1080"/>
    <w:rsid w:val="001D1C3D"/>
    <w:rsid w:val="001D63B4"/>
    <w:rsid w:val="001E2985"/>
    <w:rsid w:val="001E3440"/>
    <w:rsid w:val="001E37EA"/>
    <w:rsid w:val="001E41D5"/>
    <w:rsid w:val="001E53D4"/>
    <w:rsid w:val="001F00E6"/>
    <w:rsid w:val="001F120C"/>
    <w:rsid w:val="001F1C86"/>
    <w:rsid w:val="001F46BE"/>
    <w:rsid w:val="001F4B68"/>
    <w:rsid w:val="001F4D6A"/>
    <w:rsid w:val="001F6F89"/>
    <w:rsid w:val="001F77AE"/>
    <w:rsid w:val="001F799F"/>
    <w:rsid w:val="001F7B28"/>
    <w:rsid w:val="001F7EB6"/>
    <w:rsid w:val="002011FF"/>
    <w:rsid w:val="00202AAE"/>
    <w:rsid w:val="0020567E"/>
    <w:rsid w:val="002062B8"/>
    <w:rsid w:val="002065C9"/>
    <w:rsid w:val="00206F94"/>
    <w:rsid w:val="0020707B"/>
    <w:rsid w:val="00211807"/>
    <w:rsid w:val="00213C8B"/>
    <w:rsid w:val="002167DA"/>
    <w:rsid w:val="00217171"/>
    <w:rsid w:val="002176BF"/>
    <w:rsid w:val="00220174"/>
    <w:rsid w:val="00220A01"/>
    <w:rsid w:val="00226084"/>
    <w:rsid w:val="00227F23"/>
    <w:rsid w:val="00232471"/>
    <w:rsid w:val="00233408"/>
    <w:rsid w:val="002432D8"/>
    <w:rsid w:val="00243CEA"/>
    <w:rsid w:val="00243F14"/>
    <w:rsid w:val="0024703F"/>
    <w:rsid w:val="002516AE"/>
    <w:rsid w:val="002543A1"/>
    <w:rsid w:val="00254814"/>
    <w:rsid w:val="0026078E"/>
    <w:rsid w:val="00262E59"/>
    <w:rsid w:val="00265295"/>
    <w:rsid w:val="0027085C"/>
    <w:rsid w:val="00271855"/>
    <w:rsid w:val="002721A5"/>
    <w:rsid w:val="002725DE"/>
    <w:rsid w:val="002744C9"/>
    <w:rsid w:val="00274A28"/>
    <w:rsid w:val="002829CB"/>
    <w:rsid w:val="00282D1E"/>
    <w:rsid w:val="00282D8A"/>
    <w:rsid w:val="00283B8B"/>
    <w:rsid w:val="00291EC2"/>
    <w:rsid w:val="00292DE6"/>
    <w:rsid w:val="0029562B"/>
    <w:rsid w:val="00295E4C"/>
    <w:rsid w:val="00295F79"/>
    <w:rsid w:val="00296059"/>
    <w:rsid w:val="00297F4E"/>
    <w:rsid w:val="002A0247"/>
    <w:rsid w:val="002A29B9"/>
    <w:rsid w:val="002A6DD9"/>
    <w:rsid w:val="002A799B"/>
    <w:rsid w:val="002B1BF9"/>
    <w:rsid w:val="002B1CCC"/>
    <w:rsid w:val="002B1D96"/>
    <w:rsid w:val="002B446C"/>
    <w:rsid w:val="002B5FBD"/>
    <w:rsid w:val="002B73F4"/>
    <w:rsid w:val="002C1BF3"/>
    <w:rsid w:val="002C21A6"/>
    <w:rsid w:val="002C2744"/>
    <w:rsid w:val="002C375E"/>
    <w:rsid w:val="002C38C8"/>
    <w:rsid w:val="002C517E"/>
    <w:rsid w:val="002C7798"/>
    <w:rsid w:val="002D0B87"/>
    <w:rsid w:val="002D1420"/>
    <w:rsid w:val="002D258E"/>
    <w:rsid w:val="002D5711"/>
    <w:rsid w:val="002D7D69"/>
    <w:rsid w:val="002D7FCA"/>
    <w:rsid w:val="002E01E1"/>
    <w:rsid w:val="002E2FA5"/>
    <w:rsid w:val="002E3335"/>
    <w:rsid w:val="002E394D"/>
    <w:rsid w:val="002E3990"/>
    <w:rsid w:val="002E3DFD"/>
    <w:rsid w:val="002E5378"/>
    <w:rsid w:val="002E5E7A"/>
    <w:rsid w:val="002E5F78"/>
    <w:rsid w:val="002E61BF"/>
    <w:rsid w:val="002E68D5"/>
    <w:rsid w:val="002E6E13"/>
    <w:rsid w:val="002E71DE"/>
    <w:rsid w:val="002F3436"/>
    <w:rsid w:val="002F53B3"/>
    <w:rsid w:val="002F6331"/>
    <w:rsid w:val="00300F08"/>
    <w:rsid w:val="00301615"/>
    <w:rsid w:val="00302690"/>
    <w:rsid w:val="00302759"/>
    <w:rsid w:val="00302EF8"/>
    <w:rsid w:val="00303925"/>
    <w:rsid w:val="00304BC1"/>
    <w:rsid w:val="00304EAC"/>
    <w:rsid w:val="00313880"/>
    <w:rsid w:val="003149BF"/>
    <w:rsid w:val="003150F0"/>
    <w:rsid w:val="003161BE"/>
    <w:rsid w:val="00316378"/>
    <w:rsid w:val="003207EE"/>
    <w:rsid w:val="00320D0B"/>
    <w:rsid w:val="00324C47"/>
    <w:rsid w:val="00325540"/>
    <w:rsid w:val="003268C6"/>
    <w:rsid w:val="00326A5C"/>
    <w:rsid w:val="003273C7"/>
    <w:rsid w:val="00327E9B"/>
    <w:rsid w:val="00331AFF"/>
    <w:rsid w:val="003339B5"/>
    <w:rsid w:val="0033519D"/>
    <w:rsid w:val="00335C6A"/>
    <w:rsid w:val="003361F9"/>
    <w:rsid w:val="003362BB"/>
    <w:rsid w:val="003375CE"/>
    <w:rsid w:val="00341351"/>
    <w:rsid w:val="00341493"/>
    <w:rsid w:val="00341EE7"/>
    <w:rsid w:val="00342845"/>
    <w:rsid w:val="00344A8A"/>
    <w:rsid w:val="00344E83"/>
    <w:rsid w:val="00346637"/>
    <w:rsid w:val="00346CF4"/>
    <w:rsid w:val="0035089E"/>
    <w:rsid w:val="00350A99"/>
    <w:rsid w:val="00351568"/>
    <w:rsid w:val="00351B66"/>
    <w:rsid w:val="003520A6"/>
    <w:rsid w:val="003554B8"/>
    <w:rsid w:val="003578C2"/>
    <w:rsid w:val="003604CE"/>
    <w:rsid w:val="00361AD1"/>
    <w:rsid w:val="00363B94"/>
    <w:rsid w:val="00364D72"/>
    <w:rsid w:val="0036557F"/>
    <w:rsid w:val="00365AB3"/>
    <w:rsid w:val="003660E9"/>
    <w:rsid w:val="00367964"/>
    <w:rsid w:val="00371335"/>
    <w:rsid w:val="00371E2E"/>
    <w:rsid w:val="00372516"/>
    <w:rsid w:val="0037526E"/>
    <w:rsid w:val="00376C4C"/>
    <w:rsid w:val="00377249"/>
    <w:rsid w:val="00377474"/>
    <w:rsid w:val="00377749"/>
    <w:rsid w:val="0038198D"/>
    <w:rsid w:val="00382377"/>
    <w:rsid w:val="00382E67"/>
    <w:rsid w:val="00383078"/>
    <w:rsid w:val="003830A0"/>
    <w:rsid w:val="003855B3"/>
    <w:rsid w:val="00385696"/>
    <w:rsid w:val="00386392"/>
    <w:rsid w:val="00390C4C"/>
    <w:rsid w:val="003941F2"/>
    <w:rsid w:val="003A4338"/>
    <w:rsid w:val="003A5AF4"/>
    <w:rsid w:val="003A5BD3"/>
    <w:rsid w:val="003A7872"/>
    <w:rsid w:val="003B1797"/>
    <w:rsid w:val="003B216C"/>
    <w:rsid w:val="003B2A31"/>
    <w:rsid w:val="003B37FE"/>
    <w:rsid w:val="003B3A91"/>
    <w:rsid w:val="003B3D04"/>
    <w:rsid w:val="003B66BD"/>
    <w:rsid w:val="003C0274"/>
    <w:rsid w:val="003C0D71"/>
    <w:rsid w:val="003C136D"/>
    <w:rsid w:val="003C234A"/>
    <w:rsid w:val="003C2E6A"/>
    <w:rsid w:val="003C36EF"/>
    <w:rsid w:val="003C3DDB"/>
    <w:rsid w:val="003C3F84"/>
    <w:rsid w:val="003C47B6"/>
    <w:rsid w:val="003C5A0B"/>
    <w:rsid w:val="003C7890"/>
    <w:rsid w:val="003D1599"/>
    <w:rsid w:val="003D32C3"/>
    <w:rsid w:val="003D39FB"/>
    <w:rsid w:val="003D4133"/>
    <w:rsid w:val="003D5132"/>
    <w:rsid w:val="003D6761"/>
    <w:rsid w:val="003D6E9D"/>
    <w:rsid w:val="003D6EA1"/>
    <w:rsid w:val="003E2587"/>
    <w:rsid w:val="003E2713"/>
    <w:rsid w:val="003E373F"/>
    <w:rsid w:val="003E4D10"/>
    <w:rsid w:val="003E5041"/>
    <w:rsid w:val="003E6DBC"/>
    <w:rsid w:val="003E6ED2"/>
    <w:rsid w:val="003F2986"/>
    <w:rsid w:val="003F299E"/>
    <w:rsid w:val="003F29A4"/>
    <w:rsid w:val="003F3F73"/>
    <w:rsid w:val="003F59D9"/>
    <w:rsid w:val="003F75B0"/>
    <w:rsid w:val="004004BC"/>
    <w:rsid w:val="004017DD"/>
    <w:rsid w:val="004017FC"/>
    <w:rsid w:val="00403A96"/>
    <w:rsid w:val="00403E4C"/>
    <w:rsid w:val="0040496B"/>
    <w:rsid w:val="00410AFE"/>
    <w:rsid w:val="00411FFA"/>
    <w:rsid w:val="004133D5"/>
    <w:rsid w:val="0041383B"/>
    <w:rsid w:val="00413EFD"/>
    <w:rsid w:val="004177C3"/>
    <w:rsid w:val="004202E5"/>
    <w:rsid w:val="00420947"/>
    <w:rsid w:val="004219CF"/>
    <w:rsid w:val="00422A6A"/>
    <w:rsid w:val="00422F9B"/>
    <w:rsid w:val="00424A0C"/>
    <w:rsid w:val="00424C55"/>
    <w:rsid w:val="00425115"/>
    <w:rsid w:val="00430189"/>
    <w:rsid w:val="00430AB9"/>
    <w:rsid w:val="00432C1F"/>
    <w:rsid w:val="00433612"/>
    <w:rsid w:val="00436EC5"/>
    <w:rsid w:val="004412D7"/>
    <w:rsid w:val="004420A6"/>
    <w:rsid w:val="004446ED"/>
    <w:rsid w:val="0044725B"/>
    <w:rsid w:val="0044746D"/>
    <w:rsid w:val="004475E0"/>
    <w:rsid w:val="00447E7B"/>
    <w:rsid w:val="00451224"/>
    <w:rsid w:val="00451305"/>
    <w:rsid w:val="004534EA"/>
    <w:rsid w:val="00463DE5"/>
    <w:rsid w:val="00466EE5"/>
    <w:rsid w:val="00471808"/>
    <w:rsid w:val="00472684"/>
    <w:rsid w:val="00472A67"/>
    <w:rsid w:val="0047370D"/>
    <w:rsid w:val="00475636"/>
    <w:rsid w:val="00475EAA"/>
    <w:rsid w:val="0047787A"/>
    <w:rsid w:val="0048030E"/>
    <w:rsid w:val="004848D4"/>
    <w:rsid w:val="0049055C"/>
    <w:rsid w:val="004906A3"/>
    <w:rsid w:val="00490ED1"/>
    <w:rsid w:val="00492FEF"/>
    <w:rsid w:val="0049344A"/>
    <w:rsid w:val="00493B16"/>
    <w:rsid w:val="0049619D"/>
    <w:rsid w:val="0049765F"/>
    <w:rsid w:val="004A2620"/>
    <w:rsid w:val="004A2C72"/>
    <w:rsid w:val="004A3060"/>
    <w:rsid w:val="004A3C3D"/>
    <w:rsid w:val="004A4D26"/>
    <w:rsid w:val="004A5F76"/>
    <w:rsid w:val="004A64B0"/>
    <w:rsid w:val="004A6E9B"/>
    <w:rsid w:val="004A7ABB"/>
    <w:rsid w:val="004B0288"/>
    <w:rsid w:val="004B0A89"/>
    <w:rsid w:val="004B12C7"/>
    <w:rsid w:val="004B5314"/>
    <w:rsid w:val="004B6E59"/>
    <w:rsid w:val="004C1C35"/>
    <w:rsid w:val="004C2173"/>
    <w:rsid w:val="004C2535"/>
    <w:rsid w:val="004C2A4D"/>
    <w:rsid w:val="004C2FD7"/>
    <w:rsid w:val="004C3008"/>
    <w:rsid w:val="004C3EFC"/>
    <w:rsid w:val="004C4175"/>
    <w:rsid w:val="004C63B4"/>
    <w:rsid w:val="004C6E25"/>
    <w:rsid w:val="004C78B2"/>
    <w:rsid w:val="004C799D"/>
    <w:rsid w:val="004C7ACC"/>
    <w:rsid w:val="004E1014"/>
    <w:rsid w:val="004E2FDB"/>
    <w:rsid w:val="004E3391"/>
    <w:rsid w:val="004E3E82"/>
    <w:rsid w:val="004E4315"/>
    <w:rsid w:val="004E5CC2"/>
    <w:rsid w:val="004E7328"/>
    <w:rsid w:val="004E745C"/>
    <w:rsid w:val="004E7E7E"/>
    <w:rsid w:val="004F055D"/>
    <w:rsid w:val="004F09EA"/>
    <w:rsid w:val="004F0EF8"/>
    <w:rsid w:val="004F22FC"/>
    <w:rsid w:val="004F3882"/>
    <w:rsid w:val="004F45D8"/>
    <w:rsid w:val="004F47BF"/>
    <w:rsid w:val="004F531E"/>
    <w:rsid w:val="004F58CC"/>
    <w:rsid w:val="004F5A69"/>
    <w:rsid w:val="004F5B6D"/>
    <w:rsid w:val="004F6D2D"/>
    <w:rsid w:val="004F6E86"/>
    <w:rsid w:val="004F78D0"/>
    <w:rsid w:val="004F7DCC"/>
    <w:rsid w:val="0050031A"/>
    <w:rsid w:val="0050085B"/>
    <w:rsid w:val="00500DE3"/>
    <w:rsid w:val="00501197"/>
    <w:rsid w:val="005016D2"/>
    <w:rsid w:val="00501CAB"/>
    <w:rsid w:val="00501EFB"/>
    <w:rsid w:val="005021B8"/>
    <w:rsid w:val="00503014"/>
    <w:rsid w:val="005041C9"/>
    <w:rsid w:val="00504329"/>
    <w:rsid w:val="00505CB8"/>
    <w:rsid w:val="00506B61"/>
    <w:rsid w:val="00510332"/>
    <w:rsid w:val="00511846"/>
    <w:rsid w:val="00512C9C"/>
    <w:rsid w:val="00512D1A"/>
    <w:rsid w:val="00513C7C"/>
    <w:rsid w:val="00514DD8"/>
    <w:rsid w:val="00522706"/>
    <w:rsid w:val="005234F7"/>
    <w:rsid w:val="00523AAF"/>
    <w:rsid w:val="005250BB"/>
    <w:rsid w:val="0052556F"/>
    <w:rsid w:val="00525DF9"/>
    <w:rsid w:val="0053018A"/>
    <w:rsid w:val="00530D96"/>
    <w:rsid w:val="00531610"/>
    <w:rsid w:val="0053180C"/>
    <w:rsid w:val="00531D2A"/>
    <w:rsid w:val="00533904"/>
    <w:rsid w:val="005345AD"/>
    <w:rsid w:val="00535C58"/>
    <w:rsid w:val="0053753C"/>
    <w:rsid w:val="0053798D"/>
    <w:rsid w:val="0054153A"/>
    <w:rsid w:val="00542AF5"/>
    <w:rsid w:val="00543149"/>
    <w:rsid w:val="0054754F"/>
    <w:rsid w:val="00547987"/>
    <w:rsid w:val="005501D5"/>
    <w:rsid w:val="00550859"/>
    <w:rsid w:val="00551AA8"/>
    <w:rsid w:val="00552496"/>
    <w:rsid w:val="00552F08"/>
    <w:rsid w:val="005542B8"/>
    <w:rsid w:val="00554FFA"/>
    <w:rsid w:val="00561DAD"/>
    <w:rsid w:val="00562D11"/>
    <w:rsid w:val="00563D98"/>
    <w:rsid w:val="005643D7"/>
    <w:rsid w:val="0056565E"/>
    <w:rsid w:val="00565857"/>
    <w:rsid w:val="00565C3B"/>
    <w:rsid w:val="00565FDB"/>
    <w:rsid w:val="005708B3"/>
    <w:rsid w:val="00570F39"/>
    <w:rsid w:val="0057217C"/>
    <w:rsid w:val="0057267D"/>
    <w:rsid w:val="0057315E"/>
    <w:rsid w:val="0057642E"/>
    <w:rsid w:val="00576C0C"/>
    <w:rsid w:val="00577239"/>
    <w:rsid w:val="00580AE2"/>
    <w:rsid w:val="00581CDE"/>
    <w:rsid w:val="00581DB6"/>
    <w:rsid w:val="005836B0"/>
    <w:rsid w:val="00591223"/>
    <w:rsid w:val="00591FA5"/>
    <w:rsid w:val="005934A8"/>
    <w:rsid w:val="00595DEB"/>
    <w:rsid w:val="00595EC4"/>
    <w:rsid w:val="005977E3"/>
    <w:rsid w:val="005A0065"/>
    <w:rsid w:val="005A0A68"/>
    <w:rsid w:val="005A233B"/>
    <w:rsid w:val="005A2F9C"/>
    <w:rsid w:val="005A5469"/>
    <w:rsid w:val="005B2E99"/>
    <w:rsid w:val="005B2FF5"/>
    <w:rsid w:val="005B3526"/>
    <w:rsid w:val="005B5E8B"/>
    <w:rsid w:val="005B7207"/>
    <w:rsid w:val="005C03F1"/>
    <w:rsid w:val="005C11CB"/>
    <w:rsid w:val="005C1D2E"/>
    <w:rsid w:val="005C2DCC"/>
    <w:rsid w:val="005C3577"/>
    <w:rsid w:val="005C49DE"/>
    <w:rsid w:val="005C6AB8"/>
    <w:rsid w:val="005C718D"/>
    <w:rsid w:val="005D13F3"/>
    <w:rsid w:val="005D18A0"/>
    <w:rsid w:val="005D3D53"/>
    <w:rsid w:val="005D4100"/>
    <w:rsid w:val="005D5ABA"/>
    <w:rsid w:val="005D5E01"/>
    <w:rsid w:val="005D6776"/>
    <w:rsid w:val="005D794F"/>
    <w:rsid w:val="005E1B1B"/>
    <w:rsid w:val="005E30FE"/>
    <w:rsid w:val="005E370F"/>
    <w:rsid w:val="005E6072"/>
    <w:rsid w:val="005F09B5"/>
    <w:rsid w:val="005F1C28"/>
    <w:rsid w:val="005F24ED"/>
    <w:rsid w:val="005F2FD7"/>
    <w:rsid w:val="005F31D0"/>
    <w:rsid w:val="005F675C"/>
    <w:rsid w:val="005F7DB3"/>
    <w:rsid w:val="00600935"/>
    <w:rsid w:val="00602FB4"/>
    <w:rsid w:val="00605B3D"/>
    <w:rsid w:val="00610A7B"/>
    <w:rsid w:val="00612720"/>
    <w:rsid w:val="00613468"/>
    <w:rsid w:val="006167E8"/>
    <w:rsid w:val="00621B1F"/>
    <w:rsid w:val="00622BA6"/>
    <w:rsid w:val="0062343A"/>
    <w:rsid w:val="00626B67"/>
    <w:rsid w:val="00630076"/>
    <w:rsid w:val="00633EAF"/>
    <w:rsid w:val="006340C2"/>
    <w:rsid w:val="00634885"/>
    <w:rsid w:val="00634DED"/>
    <w:rsid w:val="006440D7"/>
    <w:rsid w:val="00644435"/>
    <w:rsid w:val="006446B5"/>
    <w:rsid w:val="00654668"/>
    <w:rsid w:val="00656FC5"/>
    <w:rsid w:val="0066111E"/>
    <w:rsid w:val="006614FC"/>
    <w:rsid w:val="00661CD0"/>
    <w:rsid w:val="00661D30"/>
    <w:rsid w:val="00662781"/>
    <w:rsid w:val="00664E06"/>
    <w:rsid w:val="00665057"/>
    <w:rsid w:val="0066557A"/>
    <w:rsid w:val="00667250"/>
    <w:rsid w:val="00667B35"/>
    <w:rsid w:val="00670FB8"/>
    <w:rsid w:val="0067193B"/>
    <w:rsid w:val="006728E8"/>
    <w:rsid w:val="00675103"/>
    <w:rsid w:val="0067520B"/>
    <w:rsid w:val="00675214"/>
    <w:rsid w:val="00676AEF"/>
    <w:rsid w:val="00677D1F"/>
    <w:rsid w:val="00681D84"/>
    <w:rsid w:val="00682004"/>
    <w:rsid w:val="00684ED7"/>
    <w:rsid w:val="006875E0"/>
    <w:rsid w:val="006910E2"/>
    <w:rsid w:val="00691BD7"/>
    <w:rsid w:val="0069264B"/>
    <w:rsid w:val="00692EF9"/>
    <w:rsid w:val="0069356A"/>
    <w:rsid w:val="00693CE8"/>
    <w:rsid w:val="00694BB2"/>
    <w:rsid w:val="00695AEF"/>
    <w:rsid w:val="00696755"/>
    <w:rsid w:val="006A34DF"/>
    <w:rsid w:val="006A3BDC"/>
    <w:rsid w:val="006B31FE"/>
    <w:rsid w:val="006B32CF"/>
    <w:rsid w:val="006B3F16"/>
    <w:rsid w:val="006B423B"/>
    <w:rsid w:val="006B6E87"/>
    <w:rsid w:val="006C0EE2"/>
    <w:rsid w:val="006C1844"/>
    <w:rsid w:val="006C21BE"/>
    <w:rsid w:val="006C44EE"/>
    <w:rsid w:val="006C55BC"/>
    <w:rsid w:val="006C7AD7"/>
    <w:rsid w:val="006D08D0"/>
    <w:rsid w:val="006D1194"/>
    <w:rsid w:val="006D2A98"/>
    <w:rsid w:val="006D3915"/>
    <w:rsid w:val="006E0410"/>
    <w:rsid w:val="006E0570"/>
    <w:rsid w:val="006E05A4"/>
    <w:rsid w:val="006E267A"/>
    <w:rsid w:val="006E31AF"/>
    <w:rsid w:val="006E436F"/>
    <w:rsid w:val="006E45E7"/>
    <w:rsid w:val="006F05AD"/>
    <w:rsid w:val="006F0763"/>
    <w:rsid w:val="006F1746"/>
    <w:rsid w:val="006F1CE0"/>
    <w:rsid w:val="006F29DE"/>
    <w:rsid w:val="006F4056"/>
    <w:rsid w:val="006F73D6"/>
    <w:rsid w:val="006F7D90"/>
    <w:rsid w:val="00700474"/>
    <w:rsid w:val="00700D31"/>
    <w:rsid w:val="00700E12"/>
    <w:rsid w:val="00700E4F"/>
    <w:rsid w:val="00701891"/>
    <w:rsid w:val="00703500"/>
    <w:rsid w:val="00703548"/>
    <w:rsid w:val="0070545C"/>
    <w:rsid w:val="007072E1"/>
    <w:rsid w:val="00710233"/>
    <w:rsid w:val="00712616"/>
    <w:rsid w:val="007142C0"/>
    <w:rsid w:val="00720AB8"/>
    <w:rsid w:val="00721E3C"/>
    <w:rsid w:val="00722E5F"/>
    <w:rsid w:val="007232D4"/>
    <w:rsid w:val="00724106"/>
    <w:rsid w:val="00726CC3"/>
    <w:rsid w:val="007301EB"/>
    <w:rsid w:val="007308A5"/>
    <w:rsid w:val="00730C2A"/>
    <w:rsid w:val="00733518"/>
    <w:rsid w:val="00735496"/>
    <w:rsid w:val="00736958"/>
    <w:rsid w:val="00737216"/>
    <w:rsid w:val="007403DC"/>
    <w:rsid w:val="007408A2"/>
    <w:rsid w:val="007408A7"/>
    <w:rsid w:val="00741D39"/>
    <w:rsid w:val="00743200"/>
    <w:rsid w:val="00743B0A"/>
    <w:rsid w:val="00745D35"/>
    <w:rsid w:val="00746628"/>
    <w:rsid w:val="00751437"/>
    <w:rsid w:val="00751514"/>
    <w:rsid w:val="00751758"/>
    <w:rsid w:val="007523EB"/>
    <w:rsid w:val="007533EF"/>
    <w:rsid w:val="00754AB3"/>
    <w:rsid w:val="00754BFA"/>
    <w:rsid w:val="00755AAA"/>
    <w:rsid w:val="00755C8E"/>
    <w:rsid w:val="00760CAE"/>
    <w:rsid w:val="00760E08"/>
    <w:rsid w:val="00761656"/>
    <w:rsid w:val="00763A33"/>
    <w:rsid w:val="007641FB"/>
    <w:rsid w:val="00764C96"/>
    <w:rsid w:val="00765BC1"/>
    <w:rsid w:val="00766464"/>
    <w:rsid w:val="007671DE"/>
    <w:rsid w:val="00767CC6"/>
    <w:rsid w:val="00770F9A"/>
    <w:rsid w:val="00773F39"/>
    <w:rsid w:val="0077456B"/>
    <w:rsid w:val="00774750"/>
    <w:rsid w:val="0077586C"/>
    <w:rsid w:val="0077626A"/>
    <w:rsid w:val="00777A11"/>
    <w:rsid w:val="00777E25"/>
    <w:rsid w:val="007802ED"/>
    <w:rsid w:val="00781129"/>
    <w:rsid w:val="007819C1"/>
    <w:rsid w:val="0078487D"/>
    <w:rsid w:val="00784BCE"/>
    <w:rsid w:val="00784CB4"/>
    <w:rsid w:val="0078511F"/>
    <w:rsid w:val="00785175"/>
    <w:rsid w:val="00786A5E"/>
    <w:rsid w:val="00786F3D"/>
    <w:rsid w:val="0079093B"/>
    <w:rsid w:val="00792127"/>
    <w:rsid w:val="007936F5"/>
    <w:rsid w:val="00793D91"/>
    <w:rsid w:val="00794C67"/>
    <w:rsid w:val="00795658"/>
    <w:rsid w:val="007A140B"/>
    <w:rsid w:val="007A20BD"/>
    <w:rsid w:val="007A4B51"/>
    <w:rsid w:val="007A7353"/>
    <w:rsid w:val="007A76F7"/>
    <w:rsid w:val="007A7BE9"/>
    <w:rsid w:val="007B0E0C"/>
    <w:rsid w:val="007B1741"/>
    <w:rsid w:val="007B364C"/>
    <w:rsid w:val="007B4A2F"/>
    <w:rsid w:val="007B5F61"/>
    <w:rsid w:val="007B6E7B"/>
    <w:rsid w:val="007B7711"/>
    <w:rsid w:val="007B7F0A"/>
    <w:rsid w:val="007C24EB"/>
    <w:rsid w:val="007C576E"/>
    <w:rsid w:val="007C7E1C"/>
    <w:rsid w:val="007D1B73"/>
    <w:rsid w:val="007D20CC"/>
    <w:rsid w:val="007D44EF"/>
    <w:rsid w:val="007D46B0"/>
    <w:rsid w:val="007D493D"/>
    <w:rsid w:val="007D6D2E"/>
    <w:rsid w:val="007D79A2"/>
    <w:rsid w:val="007E091D"/>
    <w:rsid w:val="007E0E0B"/>
    <w:rsid w:val="007E6523"/>
    <w:rsid w:val="007F016D"/>
    <w:rsid w:val="007F0FE6"/>
    <w:rsid w:val="007F1577"/>
    <w:rsid w:val="007F3068"/>
    <w:rsid w:val="007F4BFC"/>
    <w:rsid w:val="007F5929"/>
    <w:rsid w:val="007F5D26"/>
    <w:rsid w:val="007F5E5B"/>
    <w:rsid w:val="007F6FB6"/>
    <w:rsid w:val="00800D26"/>
    <w:rsid w:val="00800E7E"/>
    <w:rsid w:val="00803D6A"/>
    <w:rsid w:val="00807546"/>
    <w:rsid w:val="008116BE"/>
    <w:rsid w:val="00811D30"/>
    <w:rsid w:val="008138BB"/>
    <w:rsid w:val="00813990"/>
    <w:rsid w:val="00813E78"/>
    <w:rsid w:val="00813FA0"/>
    <w:rsid w:val="008154D3"/>
    <w:rsid w:val="00817416"/>
    <w:rsid w:val="00817759"/>
    <w:rsid w:val="00817EAC"/>
    <w:rsid w:val="00820EA7"/>
    <w:rsid w:val="00823D73"/>
    <w:rsid w:val="008242B9"/>
    <w:rsid w:val="00831675"/>
    <w:rsid w:val="008324E2"/>
    <w:rsid w:val="00832936"/>
    <w:rsid w:val="008331B5"/>
    <w:rsid w:val="00834588"/>
    <w:rsid w:val="008348A3"/>
    <w:rsid w:val="00834B35"/>
    <w:rsid w:val="00834F8D"/>
    <w:rsid w:val="00836CF8"/>
    <w:rsid w:val="0084042E"/>
    <w:rsid w:val="0084234E"/>
    <w:rsid w:val="0084470A"/>
    <w:rsid w:val="008518B7"/>
    <w:rsid w:val="00851EF7"/>
    <w:rsid w:val="00853C60"/>
    <w:rsid w:val="00854298"/>
    <w:rsid w:val="00854CDF"/>
    <w:rsid w:val="00855F98"/>
    <w:rsid w:val="0086073B"/>
    <w:rsid w:val="008623B2"/>
    <w:rsid w:val="00862659"/>
    <w:rsid w:val="008627FA"/>
    <w:rsid w:val="00862C2A"/>
    <w:rsid w:val="00862FB9"/>
    <w:rsid w:val="00863FBB"/>
    <w:rsid w:val="0086470C"/>
    <w:rsid w:val="00864B28"/>
    <w:rsid w:val="0086527F"/>
    <w:rsid w:val="00866E38"/>
    <w:rsid w:val="00867177"/>
    <w:rsid w:val="00871E5B"/>
    <w:rsid w:val="00873D51"/>
    <w:rsid w:val="00875719"/>
    <w:rsid w:val="00876ABA"/>
    <w:rsid w:val="00876F6D"/>
    <w:rsid w:val="00880745"/>
    <w:rsid w:val="00881B43"/>
    <w:rsid w:val="00883110"/>
    <w:rsid w:val="00883CDC"/>
    <w:rsid w:val="00883DCE"/>
    <w:rsid w:val="00890110"/>
    <w:rsid w:val="00890C1E"/>
    <w:rsid w:val="00892A24"/>
    <w:rsid w:val="00896939"/>
    <w:rsid w:val="00897EC0"/>
    <w:rsid w:val="008A1039"/>
    <w:rsid w:val="008A2F45"/>
    <w:rsid w:val="008A3175"/>
    <w:rsid w:val="008A69D1"/>
    <w:rsid w:val="008A6E16"/>
    <w:rsid w:val="008A7387"/>
    <w:rsid w:val="008B1A50"/>
    <w:rsid w:val="008B2675"/>
    <w:rsid w:val="008B41A9"/>
    <w:rsid w:val="008C03C7"/>
    <w:rsid w:val="008C11B7"/>
    <w:rsid w:val="008C280E"/>
    <w:rsid w:val="008C65C3"/>
    <w:rsid w:val="008C669C"/>
    <w:rsid w:val="008C6BE4"/>
    <w:rsid w:val="008C6CCC"/>
    <w:rsid w:val="008C7303"/>
    <w:rsid w:val="008D1D62"/>
    <w:rsid w:val="008D2E6C"/>
    <w:rsid w:val="008D559F"/>
    <w:rsid w:val="008D61EA"/>
    <w:rsid w:val="008E13C8"/>
    <w:rsid w:val="008E25CD"/>
    <w:rsid w:val="008E37A9"/>
    <w:rsid w:val="008E3981"/>
    <w:rsid w:val="008E5849"/>
    <w:rsid w:val="008E7935"/>
    <w:rsid w:val="008E7955"/>
    <w:rsid w:val="008F0922"/>
    <w:rsid w:val="008F09A2"/>
    <w:rsid w:val="008F221D"/>
    <w:rsid w:val="008F29B0"/>
    <w:rsid w:val="008F2C9B"/>
    <w:rsid w:val="008F2CBD"/>
    <w:rsid w:val="008F2F54"/>
    <w:rsid w:val="008F4D40"/>
    <w:rsid w:val="008F5613"/>
    <w:rsid w:val="008F5F6A"/>
    <w:rsid w:val="008F7058"/>
    <w:rsid w:val="009012CE"/>
    <w:rsid w:val="00901443"/>
    <w:rsid w:val="00904416"/>
    <w:rsid w:val="009072E1"/>
    <w:rsid w:val="00907D19"/>
    <w:rsid w:val="00907EB2"/>
    <w:rsid w:val="009107E1"/>
    <w:rsid w:val="0091307F"/>
    <w:rsid w:val="0091344E"/>
    <w:rsid w:val="009144DE"/>
    <w:rsid w:val="00915DC7"/>
    <w:rsid w:val="009172B4"/>
    <w:rsid w:val="00917546"/>
    <w:rsid w:val="00922D59"/>
    <w:rsid w:val="0092552A"/>
    <w:rsid w:val="00927167"/>
    <w:rsid w:val="0093192F"/>
    <w:rsid w:val="00931962"/>
    <w:rsid w:val="00931F79"/>
    <w:rsid w:val="009324D1"/>
    <w:rsid w:val="009358FA"/>
    <w:rsid w:val="00935A8E"/>
    <w:rsid w:val="00936E6A"/>
    <w:rsid w:val="00942433"/>
    <w:rsid w:val="00945235"/>
    <w:rsid w:val="00947D7B"/>
    <w:rsid w:val="009502CE"/>
    <w:rsid w:val="00950754"/>
    <w:rsid w:val="00955DAF"/>
    <w:rsid w:val="00955FF1"/>
    <w:rsid w:val="00956312"/>
    <w:rsid w:val="00960B05"/>
    <w:rsid w:val="00960F2E"/>
    <w:rsid w:val="00961E49"/>
    <w:rsid w:val="00962BE3"/>
    <w:rsid w:val="0096332F"/>
    <w:rsid w:val="00963FB8"/>
    <w:rsid w:val="009643AE"/>
    <w:rsid w:val="00965289"/>
    <w:rsid w:val="0097041F"/>
    <w:rsid w:val="00970EE3"/>
    <w:rsid w:val="009733A3"/>
    <w:rsid w:val="009758DD"/>
    <w:rsid w:val="00975D05"/>
    <w:rsid w:val="00976717"/>
    <w:rsid w:val="0097780A"/>
    <w:rsid w:val="00982885"/>
    <w:rsid w:val="0098420E"/>
    <w:rsid w:val="009862AD"/>
    <w:rsid w:val="009906C3"/>
    <w:rsid w:val="0099156F"/>
    <w:rsid w:val="0099235A"/>
    <w:rsid w:val="00992CCF"/>
    <w:rsid w:val="009940DD"/>
    <w:rsid w:val="00994837"/>
    <w:rsid w:val="009963B3"/>
    <w:rsid w:val="00996CF0"/>
    <w:rsid w:val="00997037"/>
    <w:rsid w:val="00997322"/>
    <w:rsid w:val="009974A8"/>
    <w:rsid w:val="009979BB"/>
    <w:rsid w:val="009A19A1"/>
    <w:rsid w:val="009A27B5"/>
    <w:rsid w:val="009A3AE6"/>
    <w:rsid w:val="009A44A1"/>
    <w:rsid w:val="009A5C99"/>
    <w:rsid w:val="009A6885"/>
    <w:rsid w:val="009A6A8B"/>
    <w:rsid w:val="009A71BA"/>
    <w:rsid w:val="009A71DB"/>
    <w:rsid w:val="009A751B"/>
    <w:rsid w:val="009B0CC2"/>
    <w:rsid w:val="009B4164"/>
    <w:rsid w:val="009B4B94"/>
    <w:rsid w:val="009C00C9"/>
    <w:rsid w:val="009C2205"/>
    <w:rsid w:val="009C2918"/>
    <w:rsid w:val="009C325B"/>
    <w:rsid w:val="009C3780"/>
    <w:rsid w:val="009C5C7F"/>
    <w:rsid w:val="009C7D2C"/>
    <w:rsid w:val="009D13E1"/>
    <w:rsid w:val="009D252D"/>
    <w:rsid w:val="009D29F3"/>
    <w:rsid w:val="009D6216"/>
    <w:rsid w:val="009D6BD6"/>
    <w:rsid w:val="009E0B13"/>
    <w:rsid w:val="009E14E6"/>
    <w:rsid w:val="009E1973"/>
    <w:rsid w:val="009E207C"/>
    <w:rsid w:val="009E22D8"/>
    <w:rsid w:val="009E34D3"/>
    <w:rsid w:val="009E6126"/>
    <w:rsid w:val="009E6284"/>
    <w:rsid w:val="009F3AED"/>
    <w:rsid w:val="009F3B32"/>
    <w:rsid w:val="009F459B"/>
    <w:rsid w:val="009F5C48"/>
    <w:rsid w:val="00A006DD"/>
    <w:rsid w:val="00A00DDD"/>
    <w:rsid w:val="00A02E83"/>
    <w:rsid w:val="00A047AE"/>
    <w:rsid w:val="00A068B3"/>
    <w:rsid w:val="00A10BDF"/>
    <w:rsid w:val="00A110C8"/>
    <w:rsid w:val="00A1208E"/>
    <w:rsid w:val="00A12938"/>
    <w:rsid w:val="00A13260"/>
    <w:rsid w:val="00A144ED"/>
    <w:rsid w:val="00A2059B"/>
    <w:rsid w:val="00A2173E"/>
    <w:rsid w:val="00A225AB"/>
    <w:rsid w:val="00A23F82"/>
    <w:rsid w:val="00A2419D"/>
    <w:rsid w:val="00A248EC"/>
    <w:rsid w:val="00A2500F"/>
    <w:rsid w:val="00A269F3"/>
    <w:rsid w:val="00A27F2C"/>
    <w:rsid w:val="00A30CB3"/>
    <w:rsid w:val="00A34C5A"/>
    <w:rsid w:val="00A359AF"/>
    <w:rsid w:val="00A41286"/>
    <w:rsid w:val="00A41EFD"/>
    <w:rsid w:val="00A42115"/>
    <w:rsid w:val="00A423A8"/>
    <w:rsid w:val="00A425A9"/>
    <w:rsid w:val="00A441E7"/>
    <w:rsid w:val="00A458EE"/>
    <w:rsid w:val="00A45A4B"/>
    <w:rsid w:val="00A46D35"/>
    <w:rsid w:val="00A46F2A"/>
    <w:rsid w:val="00A50F23"/>
    <w:rsid w:val="00A522C6"/>
    <w:rsid w:val="00A5564C"/>
    <w:rsid w:val="00A55B4B"/>
    <w:rsid w:val="00A55E1A"/>
    <w:rsid w:val="00A567F0"/>
    <w:rsid w:val="00A6109C"/>
    <w:rsid w:val="00A61E9C"/>
    <w:rsid w:val="00A64C94"/>
    <w:rsid w:val="00A6606E"/>
    <w:rsid w:val="00A66473"/>
    <w:rsid w:val="00A70FB5"/>
    <w:rsid w:val="00A72BAD"/>
    <w:rsid w:val="00A7567B"/>
    <w:rsid w:val="00A77131"/>
    <w:rsid w:val="00A772A4"/>
    <w:rsid w:val="00A8041E"/>
    <w:rsid w:val="00A815B8"/>
    <w:rsid w:val="00A84520"/>
    <w:rsid w:val="00A85360"/>
    <w:rsid w:val="00A854FC"/>
    <w:rsid w:val="00A85959"/>
    <w:rsid w:val="00A86CB7"/>
    <w:rsid w:val="00A90378"/>
    <w:rsid w:val="00A907FA"/>
    <w:rsid w:val="00A9145E"/>
    <w:rsid w:val="00A945BA"/>
    <w:rsid w:val="00A95D30"/>
    <w:rsid w:val="00AA019B"/>
    <w:rsid w:val="00AA301A"/>
    <w:rsid w:val="00AA36A1"/>
    <w:rsid w:val="00AA65F0"/>
    <w:rsid w:val="00AB2C93"/>
    <w:rsid w:val="00AB4566"/>
    <w:rsid w:val="00AB4ED5"/>
    <w:rsid w:val="00AB78CF"/>
    <w:rsid w:val="00AC557E"/>
    <w:rsid w:val="00AC581F"/>
    <w:rsid w:val="00AC6F16"/>
    <w:rsid w:val="00AD0209"/>
    <w:rsid w:val="00AD178E"/>
    <w:rsid w:val="00AD2435"/>
    <w:rsid w:val="00AD4106"/>
    <w:rsid w:val="00AD64E3"/>
    <w:rsid w:val="00AD6CB3"/>
    <w:rsid w:val="00AD72FC"/>
    <w:rsid w:val="00AE346D"/>
    <w:rsid w:val="00AE3BF1"/>
    <w:rsid w:val="00AE467A"/>
    <w:rsid w:val="00AE4A71"/>
    <w:rsid w:val="00AE6AAF"/>
    <w:rsid w:val="00AE6B23"/>
    <w:rsid w:val="00AE7757"/>
    <w:rsid w:val="00AF037D"/>
    <w:rsid w:val="00AF1087"/>
    <w:rsid w:val="00AF237C"/>
    <w:rsid w:val="00AF4EF0"/>
    <w:rsid w:val="00AF5460"/>
    <w:rsid w:val="00AF5C2B"/>
    <w:rsid w:val="00AF6EF8"/>
    <w:rsid w:val="00AF72A8"/>
    <w:rsid w:val="00AF7CB5"/>
    <w:rsid w:val="00B0083E"/>
    <w:rsid w:val="00B01921"/>
    <w:rsid w:val="00B02765"/>
    <w:rsid w:val="00B05E42"/>
    <w:rsid w:val="00B05FC2"/>
    <w:rsid w:val="00B063F5"/>
    <w:rsid w:val="00B07B75"/>
    <w:rsid w:val="00B07F81"/>
    <w:rsid w:val="00B1025B"/>
    <w:rsid w:val="00B10800"/>
    <w:rsid w:val="00B11C49"/>
    <w:rsid w:val="00B12774"/>
    <w:rsid w:val="00B12903"/>
    <w:rsid w:val="00B12FBF"/>
    <w:rsid w:val="00B14209"/>
    <w:rsid w:val="00B201ED"/>
    <w:rsid w:val="00B21EDF"/>
    <w:rsid w:val="00B2211B"/>
    <w:rsid w:val="00B2559E"/>
    <w:rsid w:val="00B25A63"/>
    <w:rsid w:val="00B25B35"/>
    <w:rsid w:val="00B25C66"/>
    <w:rsid w:val="00B26941"/>
    <w:rsid w:val="00B27972"/>
    <w:rsid w:val="00B27A99"/>
    <w:rsid w:val="00B27BBF"/>
    <w:rsid w:val="00B305C7"/>
    <w:rsid w:val="00B30957"/>
    <w:rsid w:val="00B30CE2"/>
    <w:rsid w:val="00B30DCC"/>
    <w:rsid w:val="00B312DB"/>
    <w:rsid w:val="00B344D7"/>
    <w:rsid w:val="00B357F8"/>
    <w:rsid w:val="00B37131"/>
    <w:rsid w:val="00B376FF"/>
    <w:rsid w:val="00B42531"/>
    <w:rsid w:val="00B43311"/>
    <w:rsid w:val="00B45C5E"/>
    <w:rsid w:val="00B466E2"/>
    <w:rsid w:val="00B4720C"/>
    <w:rsid w:val="00B474C2"/>
    <w:rsid w:val="00B47CE2"/>
    <w:rsid w:val="00B501E3"/>
    <w:rsid w:val="00B50C8D"/>
    <w:rsid w:val="00B52E22"/>
    <w:rsid w:val="00B52FE0"/>
    <w:rsid w:val="00B540FD"/>
    <w:rsid w:val="00B548C3"/>
    <w:rsid w:val="00B5598E"/>
    <w:rsid w:val="00B5612B"/>
    <w:rsid w:val="00B70F8C"/>
    <w:rsid w:val="00B71F4D"/>
    <w:rsid w:val="00B723E9"/>
    <w:rsid w:val="00B758A9"/>
    <w:rsid w:val="00B75BE4"/>
    <w:rsid w:val="00B77E97"/>
    <w:rsid w:val="00B8040D"/>
    <w:rsid w:val="00B8175D"/>
    <w:rsid w:val="00B81A50"/>
    <w:rsid w:val="00B8286C"/>
    <w:rsid w:val="00B82D66"/>
    <w:rsid w:val="00B849B7"/>
    <w:rsid w:val="00B84D14"/>
    <w:rsid w:val="00B85461"/>
    <w:rsid w:val="00B85C66"/>
    <w:rsid w:val="00B93D89"/>
    <w:rsid w:val="00B95CB5"/>
    <w:rsid w:val="00B97AD8"/>
    <w:rsid w:val="00BA02FA"/>
    <w:rsid w:val="00BA187B"/>
    <w:rsid w:val="00BA3317"/>
    <w:rsid w:val="00BA3AEB"/>
    <w:rsid w:val="00BA55CF"/>
    <w:rsid w:val="00BA5E07"/>
    <w:rsid w:val="00BB0F5B"/>
    <w:rsid w:val="00BB26B7"/>
    <w:rsid w:val="00BB44BD"/>
    <w:rsid w:val="00BB78DE"/>
    <w:rsid w:val="00BC0BDF"/>
    <w:rsid w:val="00BC0C33"/>
    <w:rsid w:val="00BC1404"/>
    <w:rsid w:val="00BC2815"/>
    <w:rsid w:val="00BC626F"/>
    <w:rsid w:val="00BC710D"/>
    <w:rsid w:val="00BC7DCA"/>
    <w:rsid w:val="00BD0ABB"/>
    <w:rsid w:val="00BD14BA"/>
    <w:rsid w:val="00BD4421"/>
    <w:rsid w:val="00BD5397"/>
    <w:rsid w:val="00BD5D1C"/>
    <w:rsid w:val="00BD728F"/>
    <w:rsid w:val="00BD77C3"/>
    <w:rsid w:val="00BE019E"/>
    <w:rsid w:val="00BE02A2"/>
    <w:rsid w:val="00BE0A98"/>
    <w:rsid w:val="00BE21A4"/>
    <w:rsid w:val="00BE2E3A"/>
    <w:rsid w:val="00BE3E14"/>
    <w:rsid w:val="00BE6A2F"/>
    <w:rsid w:val="00BF070F"/>
    <w:rsid w:val="00BF0CA1"/>
    <w:rsid w:val="00BF0F3B"/>
    <w:rsid w:val="00BF133B"/>
    <w:rsid w:val="00BF29AF"/>
    <w:rsid w:val="00BF2A18"/>
    <w:rsid w:val="00BF325B"/>
    <w:rsid w:val="00BF3D7E"/>
    <w:rsid w:val="00BF44B1"/>
    <w:rsid w:val="00BF4C44"/>
    <w:rsid w:val="00BF4F49"/>
    <w:rsid w:val="00BF505F"/>
    <w:rsid w:val="00BF6DA9"/>
    <w:rsid w:val="00C00087"/>
    <w:rsid w:val="00C05279"/>
    <w:rsid w:val="00C05683"/>
    <w:rsid w:val="00C05CB4"/>
    <w:rsid w:val="00C07BB8"/>
    <w:rsid w:val="00C10D22"/>
    <w:rsid w:val="00C11CCA"/>
    <w:rsid w:val="00C12B8B"/>
    <w:rsid w:val="00C12D0C"/>
    <w:rsid w:val="00C23AD1"/>
    <w:rsid w:val="00C25074"/>
    <w:rsid w:val="00C27FB4"/>
    <w:rsid w:val="00C30AB7"/>
    <w:rsid w:val="00C318D1"/>
    <w:rsid w:val="00C324CB"/>
    <w:rsid w:val="00C340A9"/>
    <w:rsid w:val="00C3417C"/>
    <w:rsid w:val="00C34B30"/>
    <w:rsid w:val="00C36232"/>
    <w:rsid w:val="00C37C1D"/>
    <w:rsid w:val="00C40BAE"/>
    <w:rsid w:val="00C40BC3"/>
    <w:rsid w:val="00C40F2E"/>
    <w:rsid w:val="00C41DFE"/>
    <w:rsid w:val="00C41F13"/>
    <w:rsid w:val="00C42E6D"/>
    <w:rsid w:val="00C46EA5"/>
    <w:rsid w:val="00C47268"/>
    <w:rsid w:val="00C47979"/>
    <w:rsid w:val="00C50CD3"/>
    <w:rsid w:val="00C526D2"/>
    <w:rsid w:val="00C52CAF"/>
    <w:rsid w:val="00C5579E"/>
    <w:rsid w:val="00C565C3"/>
    <w:rsid w:val="00C56BBF"/>
    <w:rsid w:val="00C62F74"/>
    <w:rsid w:val="00C63D94"/>
    <w:rsid w:val="00C64D48"/>
    <w:rsid w:val="00C65EE4"/>
    <w:rsid w:val="00C663B5"/>
    <w:rsid w:val="00C6699E"/>
    <w:rsid w:val="00C66AD1"/>
    <w:rsid w:val="00C66DBD"/>
    <w:rsid w:val="00C70AE2"/>
    <w:rsid w:val="00C70E02"/>
    <w:rsid w:val="00C73775"/>
    <w:rsid w:val="00C747BD"/>
    <w:rsid w:val="00C76678"/>
    <w:rsid w:val="00C76894"/>
    <w:rsid w:val="00C81846"/>
    <w:rsid w:val="00C82517"/>
    <w:rsid w:val="00C8500C"/>
    <w:rsid w:val="00C85C68"/>
    <w:rsid w:val="00C85F85"/>
    <w:rsid w:val="00C86392"/>
    <w:rsid w:val="00C87166"/>
    <w:rsid w:val="00C8751F"/>
    <w:rsid w:val="00C91427"/>
    <w:rsid w:val="00C91971"/>
    <w:rsid w:val="00C92369"/>
    <w:rsid w:val="00C92D9C"/>
    <w:rsid w:val="00C93C80"/>
    <w:rsid w:val="00C94787"/>
    <w:rsid w:val="00CA2282"/>
    <w:rsid w:val="00CA283C"/>
    <w:rsid w:val="00CA2ECC"/>
    <w:rsid w:val="00CA54CC"/>
    <w:rsid w:val="00CA6CEE"/>
    <w:rsid w:val="00CA7A5E"/>
    <w:rsid w:val="00CB0A43"/>
    <w:rsid w:val="00CB348B"/>
    <w:rsid w:val="00CB3CB5"/>
    <w:rsid w:val="00CB3DB3"/>
    <w:rsid w:val="00CB4CE3"/>
    <w:rsid w:val="00CB5192"/>
    <w:rsid w:val="00CB75A2"/>
    <w:rsid w:val="00CC07A0"/>
    <w:rsid w:val="00CC0DBC"/>
    <w:rsid w:val="00CC1542"/>
    <w:rsid w:val="00CC3749"/>
    <w:rsid w:val="00CC447D"/>
    <w:rsid w:val="00CC57BE"/>
    <w:rsid w:val="00CC6BFE"/>
    <w:rsid w:val="00CC7578"/>
    <w:rsid w:val="00CD095A"/>
    <w:rsid w:val="00CD2907"/>
    <w:rsid w:val="00CD4A77"/>
    <w:rsid w:val="00CD68A8"/>
    <w:rsid w:val="00CD6AA3"/>
    <w:rsid w:val="00CE12C1"/>
    <w:rsid w:val="00CE5BE9"/>
    <w:rsid w:val="00CE61A4"/>
    <w:rsid w:val="00CE632D"/>
    <w:rsid w:val="00CE6A44"/>
    <w:rsid w:val="00CF0179"/>
    <w:rsid w:val="00CF0A3F"/>
    <w:rsid w:val="00CF31E8"/>
    <w:rsid w:val="00CF56E1"/>
    <w:rsid w:val="00CF5D84"/>
    <w:rsid w:val="00CF5DB4"/>
    <w:rsid w:val="00CF76A4"/>
    <w:rsid w:val="00D00A39"/>
    <w:rsid w:val="00D02710"/>
    <w:rsid w:val="00D02BD8"/>
    <w:rsid w:val="00D0414C"/>
    <w:rsid w:val="00D05182"/>
    <w:rsid w:val="00D053A4"/>
    <w:rsid w:val="00D072B9"/>
    <w:rsid w:val="00D07DCD"/>
    <w:rsid w:val="00D07F0D"/>
    <w:rsid w:val="00D106E8"/>
    <w:rsid w:val="00D10704"/>
    <w:rsid w:val="00D12485"/>
    <w:rsid w:val="00D15278"/>
    <w:rsid w:val="00D175D0"/>
    <w:rsid w:val="00D209E1"/>
    <w:rsid w:val="00D2193A"/>
    <w:rsid w:val="00D22068"/>
    <w:rsid w:val="00D2232F"/>
    <w:rsid w:val="00D22AC7"/>
    <w:rsid w:val="00D231FD"/>
    <w:rsid w:val="00D23C19"/>
    <w:rsid w:val="00D263AE"/>
    <w:rsid w:val="00D26AFE"/>
    <w:rsid w:val="00D27D64"/>
    <w:rsid w:val="00D30C4F"/>
    <w:rsid w:val="00D352B1"/>
    <w:rsid w:val="00D353C4"/>
    <w:rsid w:val="00D3687F"/>
    <w:rsid w:val="00D36B6F"/>
    <w:rsid w:val="00D37475"/>
    <w:rsid w:val="00D416F2"/>
    <w:rsid w:val="00D425F1"/>
    <w:rsid w:val="00D42728"/>
    <w:rsid w:val="00D4319D"/>
    <w:rsid w:val="00D435B9"/>
    <w:rsid w:val="00D4662A"/>
    <w:rsid w:val="00D473CB"/>
    <w:rsid w:val="00D47518"/>
    <w:rsid w:val="00D4790F"/>
    <w:rsid w:val="00D5037B"/>
    <w:rsid w:val="00D51F1D"/>
    <w:rsid w:val="00D534D5"/>
    <w:rsid w:val="00D5384B"/>
    <w:rsid w:val="00D5584A"/>
    <w:rsid w:val="00D562F2"/>
    <w:rsid w:val="00D56EA9"/>
    <w:rsid w:val="00D57308"/>
    <w:rsid w:val="00D57B6F"/>
    <w:rsid w:val="00D6035B"/>
    <w:rsid w:val="00D61B58"/>
    <w:rsid w:val="00D62993"/>
    <w:rsid w:val="00D64685"/>
    <w:rsid w:val="00D646C6"/>
    <w:rsid w:val="00D67B2C"/>
    <w:rsid w:val="00D72AC1"/>
    <w:rsid w:val="00D741F0"/>
    <w:rsid w:val="00D75136"/>
    <w:rsid w:val="00D768B7"/>
    <w:rsid w:val="00D77FDB"/>
    <w:rsid w:val="00D80400"/>
    <w:rsid w:val="00D80B9F"/>
    <w:rsid w:val="00D80E0B"/>
    <w:rsid w:val="00D81AF7"/>
    <w:rsid w:val="00D81D54"/>
    <w:rsid w:val="00D82D1F"/>
    <w:rsid w:val="00D8606B"/>
    <w:rsid w:val="00D865F4"/>
    <w:rsid w:val="00D86CDC"/>
    <w:rsid w:val="00D931F4"/>
    <w:rsid w:val="00D9548A"/>
    <w:rsid w:val="00D967C7"/>
    <w:rsid w:val="00D96B08"/>
    <w:rsid w:val="00DA0558"/>
    <w:rsid w:val="00DA07B1"/>
    <w:rsid w:val="00DA103D"/>
    <w:rsid w:val="00DA1509"/>
    <w:rsid w:val="00DA26F7"/>
    <w:rsid w:val="00DA4757"/>
    <w:rsid w:val="00DA571F"/>
    <w:rsid w:val="00DA5B13"/>
    <w:rsid w:val="00DB05E9"/>
    <w:rsid w:val="00DB0847"/>
    <w:rsid w:val="00DB216D"/>
    <w:rsid w:val="00DB3F80"/>
    <w:rsid w:val="00DB4F8F"/>
    <w:rsid w:val="00DB5E12"/>
    <w:rsid w:val="00DB5FB9"/>
    <w:rsid w:val="00DC01A3"/>
    <w:rsid w:val="00DC13B1"/>
    <w:rsid w:val="00DC14D1"/>
    <w:rsid w:val="00DC289C"/>
    <w:rsid w:val="00DC3D5F"/>
    <w:rsid w:val="00DC61BF"/>
    <w:rsid w:val="00DC62B6"/>
    <w:rsid w:val="00DD0D65"/>
    <w:rsid w:val="00DD43D5"/>
    <w:rsid w:val="00DD5DDF"/>
    <w:rsid w:val="00DD615B"/>
    <w:rsid w:val="00DD65F5"/>
    <w:rsid w:val="00DD6FD1"/>
    <w:rsid w:val="00DE15F7"/>
    <w:rsid w:val="00DE2B32"/>
    <w:rsid w:val="00DE4791"/>
    <w:rsid w:val="00DE50F0"/>
    <w:rsid w:val="00DE57D3"/>
    <w:rsid w:val="00DE66D8"/>
    <w:rsid w:val="00DF13C7"/>
    <w:rsid w:val="00DF16B3"/>
    <w:rsid w:val="00DF3824"/>
    <w:rsid w:val="00DF422B"/>
    <w:rsid w:val="00DF4FE0"/>
    <w:rsid w:val="00DF5119"/>
    <w:rsid w:val="00DF662A"/>
    <w:rsid w:val="00DF6AA8"/>
    <w:rsid w:val="00DF78A0"/>
    <w:rsid w:val="00E02DEE"/>
    <w:rsid w:val="00E04B1E"/>
    <w:rsid w:val="00E063C2"/>
    <w:rsid w:val="00E06A1B"/>
    <w:rsid w:val="00E11EA3"/>
    <w:rsid w:val="00E12B71"/>
    <w:rsid w:val="00E12F30"/>
    <w:rsid w:val="00E130D2"/>
    <w:rsid w:val="00E14922"/>
    <w:rsid w:val="00E14993"/>
    <w:rsid w:val="00E160CE"/>
    <w:rsid w:val="00E16A81"/>
    <w:rsid w:val="00E17168"/>
    <w:rsid w:val="00E21237"/>
    <w:rsid w:val="00E21DCE"/>
    <w:rsid w:val="00E2371F"/>
    <w:rsid w:val="00E249AF"/>
    <w:rsid w:val="00E26AA7"/>
    <w:rsid w:val="00E32046"/>
    <w:rsid w:val="00E33F55"/>
    <w:rsid w:val="00E40212"/>
    <w:rsid w:val="00E403D6"/>
    <w:rsid w:val="00E4048E"/>
    <w:rsid w:val="00E419E6"/>
    <w:rsid w:val="00E45A73"/>
    <w:rsid w:val="00E4600C"/>
    <w:rsid w:val="00E465DC"/>
    <w:rsid w:val="00E52070"/>
    <w:rsid w:val="00E542E6"/>
    <w:rsid w:val="00E5748A"/>
    <w:rsid w:val="00E610C0"/>
    <w:rsid w:val="00E61705"/>
    <w:rsid w:val="00E6226F"/>
    <w:rsid w:val="00E636D8"/>
    <w:rsid w:val="00E6627B"/>
    <w:rsid w:val="00E67F67"/>
    <w:rsid w:val="00E72802"/>
    <w:rsid w:val="00E77B6A"/>
    <w:rsid w:val="00E80E0C"/>
    <w:rsid w:val="00E81B48"/>
    <w:rsid w:val="00E82723"/>
    <w:rsid w:val="00E82D57"/>
    <w:rsid w:val="00E82FCE"/>
    <w:rsid w:val="00E84434"/>
    <w:rsid w:val="00E87705"/>
    <w:rsid w:val="00E87D24"/>
    <w:rsid w:val="00E909D3"/>
    <w:rsid w:val="00E91AA9"/>
    <w:rsid w:val="00E92AF9"/>
    <w:rsid w:val="00E93AD3"/>
    <w:rsid w:val="00E94549"/>
    <w:rsid w:val="00E9474E"/>
    <w:rsid w:val="00E97A63"/>
    <w:rsid w:val="00EA2B83"/>
    <w:rsid w:val="00EA2CD5"/>
    <w:rsid w:val="00EA3F54"/>
    <w:rsid w:val="00EA476B"/>
    <w:rsid w:val="00EA58F6"/>
    <w:rsid w:val="00EA5C37"/>
    <w:rsid w:val="00EA5EEF"/>
    <w:rsid w:val="00EA6055"/>
    <w:rsid w:val="00EA62CF"/>
    <w:rsid w:val="00EA72DC"/>
    <w:rsid w:val="00EA7587"/>
    <w:rsid w:val="00EA7E89"/>
    <w:rsid w:val="00EB3380"/>
    <w:rsid w:val="00EB4A12"/>
    <w:rsid w:val="00EB54A8"/>
    <w:rsid w:val="00EB68A3"/>
    <w:rsid w:val="00EC099D"/>
    <w:rsid w:val="00EC2B4A"/>
    <w:rsid w:val="00EC2C5B"/>
    <w:rsid w:val="00EC6715"/>
    <w:rsid w:val="00EC6AC5"/>
    <w:rsid w:val="00ED132D"/>
    <w:rsid w:val="00ED1F0F"/>
    <w:rsid w:val="00ED6595"/>
    <w:rsid w:val="00EE0D88"/>
    <w:rsid w:val="00EE0EDD"/>
    <w:rsid w:val="00EE0F69"/>
    <w:rsid w:val="00EE1FD4"/>
    <w:rsid w:val="00EE2F72"/>
    <w:rsid w:val="00EE3EC6"/>
    <w:rsid w:val="00EE49C3"/>
    <w:rsid w:val="00EE5F76"/>
    <w:rsid w:val="00EE65E6"/>
    <w:rsid w:val="00EE7D0D"/>
    <w:rsid w:val="00EF1567"/>
    <w:rsid w:val="00EF32AE"/>
    <w:rsid w:val="00EF3BAB"/>
    <w:rsid w:val="00EF4B6A"/>
    <w:rsid w:val="00EF5017"/>
    <w:rsid w:val="00EF5B48"/>
    <w:rsid w:val="00EF68AD"/>
    <w:rsid w:val="00EF7923"/>
    <w:rsid w:val="00F00440"/>
    <w:rsid w:val="00F016C5"/>
    <w:rsid w:val="00F0287C"/>
    <w:rsid w:val="00F037B9"/>
    <w:rsid w:val="00F05EF9"/>
    <w:rsid w:val="00F06E01"/>
    <w:rsid w:val="00F10A34"/>
    <w:rsid w:val="00F135D8"/>
    <w:rsid w:val="00F13947"/>
    <w:rsid w:val="00F14125"/>
    <w:rsid w:val="00F1592F"/>
    <w:rsid w:val="00F15B6E"/>
    <w:rsid w:val="00F20109"/>
    <w:rsid w:val="00F21772"/>
    <w:rsid w:val="00F25C5E"/>
    <w:rsid w:val="00F26737"/>
    <w:rsid w:val="00F347C9"/>
    <w:rsid w:val="00F35296"/>
    <w:rsid w:val="00F37262"/>
    <w:rsid w:val="00F452CA"/>
    <w:rsid w:val="00F470BE"/>
    <w:rsid w:val="00F501D0"/>
    <w:rsid w:val="00F50D32"/>
    <w:rsid w:val="00F52A72"/>
    <w:rsid w:val="00F52E41"/>
    <w:rsid w:val="00F52EA6"/>
    <w:rsid w:val="00F53C0F"/>
    <w:rsid w:val="00F543F9"/>
    <w:rsid w:val="00F54945"/>
    <w:rsid w:val="00F57AC4"/>
    <w:rsid w:val="00F61E20"/>
    <w:rsid w:val="00F6278D"/>
    <w:rsid w:val="00F63886"/>
    <w:rsid w:val="00F67926"/>
    <w:rsid w:val="00F710E0"/>
    <w:rsid w:val="00F720CF"/>
    <w:rsid w:val="00F73CC8"/>
    <w:rsid w:val="00F753D4"/>
    <w:rsid w:val="00F777C1"/>
    <w:rsid w:val="00F81828"/>
    <w:rsid w:val="00F82FE1"/>
    <w:rsid w:val="00F83EA6"/>
    <w:rsid w:val="00F84749"/>
    <w:rsid w:val="00F930AC"/>
    <w:rsid w:val="00F94151"/>
    <w:rsid w:val="00F94D74"/>
    <w:rsid w:val="00F94F64"/>
    <w:rsid w:val="00F951B2"/>
    <w:rsid w:val="00F95415"/>
    <w:rsid w:val="00F95CE5"/>
    <w:rsid w:val="00F95FC2"/>
    <w:rsid w:val="00F96D57"/>
    <w:rsid w:val="00F97034"/>
    <w:rsid w:val="00F97540"/>
    <w:rsid w:val="00FA25D8"/>
    <w:rsid w:val="00FA2C09"/>
    <w:rsid w:val="00FA2E51"/>
    <w:rsid w:val="00FA4A50"/>
    <w:rsid w:val="00FA6B4B"/>
    <w:rsid w:val="00FB1CF5"/>
    <w:rsid w:val="00FB23EC"/>
    <w:rsid w:val="00FB492A"/>
    <w:rsid w:val="00FB4DA8"/>
    <w:rsid w:val="00FC12FF"/>
    <w:rsid w:val="00FC299B"/>
    <w:rsid w:val="00FC4629"/>
    <w:rsid w:val="00FC54BD"/>
    <w:rsid w:val="00FC6127"/>
    <w:rsid w:val="00FC6208"/>
    <w:rsid w:val="00FC6F01"/>
    <w:rsid w:val="00FD36B0"/>
    <w:rsid w:val="00FD4F3C"/>
    <w:rsid w:val="00FD74BB"/>
    <w:rsid w:val="00FD7508"/>
    <w:rsid w:val="00FD7DA5"/>
    <w:rsid w:val="00FE0AE9"/>
    <w:rsid w:val="00FE0E8C"/>
    <w:rsid w:val="00FE247B"/>
    <w:rsid w:val="00FE323F"/>
    <w:rsid w:val="00FE3441"/>
    <w:rsid w:val="00FE3A77"/>
    <w:rsid w:val="00FF0E00"/>
    <w:rsid w:val="00FF0E38"/>
    <w:rsid w:val="00FF22E5"/>
    <w:rsid w:val="00FF2699"/>
    <w:rsid w:val="00FF26E3"/>
    <w:rsid w:val="00FF42D7"/>
    <w:rsid w:val="00FF4C3B"/>
    <w:rsid w:val="00FF7E7D"/>
    <w:rsid w:val="010C2BAB"/>
    <w:rsid w:val="012B5F52"/>
    <w:rsid w:val="01352967"/>
    <w:rsid w:val="01505CFB"/>
    <w:rsid w:val="01535CC4"/>
    <w:rsid w:val="0159301C"/>
    <w:rsid w:val="01673D93"/>
    <w:rsid w:val="01F176F8"/>
    <w:rsid w:val="02080908"/>
    <w:rsid w:val="023128A5"/>
    <w:rsid w:val="02421D02"/>
    <w:rsid w:val="0295339B"/>
    <w:rsid w:val="04180F6C"/>
    <w:rsid w:val="04425FE9"/>
    <w:rsid w:val="0469042F"/>
    <w:rsid w:val="047A1C32"/>
    <w:rsid w:val="04A66578"/>
    <w:rsid w:val="04B035D7"/>
    <w:rsid w:val="04B50EB1"/>
    <w:rsid w:val="051E3AF9"/>
    <w:rsid w:val="05246268"/>
    <w:rsid w:val="05532906"/>
    <w:rsid w:val="056326BB"/>
    <w:rsid w:val="05872721"/>
    <w:rsid w:val="05935E1D"/>
    <w:rsid w:val="05AE788F"/>
    <w:rsid w:val="05BB42A5"/>
    <w:rsid w:val="05E94B07"/>
    <w:rsid w:val="05F70D2B"/>
    <w:rsid w:val="062A142B"/>
    <w:rsid w:val="06413050"/>
    <w:rsid w:val="0659586C"/>
    <w:rsid w:val="06AB5D57"/>
    <w:rsid w:val="06CA7ADA"/>
    <w:rsid w:val="06D97B7D"/>
    <w:rsid w:val="07061550"/>
    <w:rsid w:val="07197A68"/>
    <w:rsid w:val="07F817E1"/>
    <w:rsid w:val="07FE66CB"/>
    <w:rsid w:val="08452820"/>
    <w:rsid w:val="084F79CD"/>
    <w:rsid w:val="08971BA1"/>
    <w:rsid w:val="08E06A0B"/>
    <w:rsid w:val="08E468C7"/>
    <w:rsid w:val="093D5B9C"/>
    <w:rsid w:val="09BC58CD"/>
    <w:rsid w:val="0A06464E"/>
    <w:rsid w:val="0A7B17CC"/>
    <w:rsid w:val="0A9F6781"/>
    <w:rsid w:val="0AC631DE"/>
    <w:rsid w:val="0AC93120"/>
    <w:rsid w:val="0ACF19B1"/>
    <w:rsid w:val="0B4B1C27"/>
    <w:rsid w:val="0B4F5282"/>
    <w:rsid w:val="0B702921"/>
    <w:rsid w:val="0B887BDD"/>
    <w:rsid w:val="0B9C054B"/>
    <w:rsid w:val="0BCB4B6A"/>
    <w:rsid w:val="0BE03D36"/>
    <w:rsid w:val="0BE42B54"/>
    <w:rsid w:val="0C1E6991"/>
    <w:rsid w:val="0C41784F"/>
    <w:rsid w:val="0C621C51"/>
    <w:rsid w:val="0C945850"/>
    <w:rsid w:val="0C9D4705"/>
    <w:rsid w:val="0CC021A1"/>
    <w:rsid w:val="0CD4661D"/>
    <w:rsid w:val="0D8238FA"/>
    <w:rsid w:val="0D82620F"/>
    <w:rsid w:val="0D9901EF"/>
    <w:rsid w:val="0DF054F8"/>
    <w:rsid w:val="0DFD36A2"/>
    <w:rsid w:val="0E3E3CC5"/>
    <w:rsid w:val="0EA24254"/>
    <w:rsid w:val="0EE46C6A"/>
    <w:rsid w:val="0F0C5B71"/>
    <w:rsid w:val="0F0F11BE"/>
    <w:rsid w:val="0F2A03FC"/>
    <w:rsid w:val="0F6323EA"/>
    <w:rsid w:val="0FD3668F"/>
    <w:rsid w:val="0FE34B24"/>
    <w:rsid w:val="0FE443F8"/>
    <w:rsid w:val="0FEE1F35"/>
    <w:rsid w:val="0FF01DCA"/>
    <w:rsid w:val="101557F0"/>
    <w:rsid w:val="1093338A"/>
    <w:rsid w:val="10AD2DF5"/>
    <w:rsid w:val="10B22D39"/>
    <w:rsid w:val="10FD22B3"/>
    <w:rsid w:val="10FD7E68"/>
    <w:rsid w:val="1102722C"/>
    <w:rsid w:val="1107547A"/>
    <w:rsid w:val="11185848"/>
    <w:rsid w:val="1128487D"/>
    <w:rsid w:val="11592226"/>
    <w:rsid w:val="11651569"/>
    <w:rsid w:val="11683F1B"/>
    <w:rsid w:val="11805498"/>
    <w:rsid w:val="118E551D"/>
    <w:rsid w:val="11C84E35"/>
    <w:rsid w:val="11D706B9"/>
    <w:rsid w:val="12136B3F"/>
    <w:rsid w:val="12235CD5"/>
    <w:rsid w:val="12476426"/>
    <w:rsid w:val="128D4355"/>
    <w:rsid w:val="12DF2A5A"/>
    <w:rsid w:val="132C6A5A"/>
    <w:rsid w:val="133A5A81"/>
    <w:rsid w:val="13A754E5"/>
    <w:rsid w:val="14BE1CA3"/>
    <w:rsid w:val="14C447F8"/>
    <w:rsid w:val="14D11E62"/>
    <w:rsid w:val="151632A6"/>
    <w:rsid w:val="15587FB4"/>
    <w:rsid w:val="16494B2F"/>
    <w:rsid w:val="17193A3C"/>
    <w:rsid w:val="17296BCA"/>
    <w:rsid w:val="17546308"/>
    <w:rsid w:val="185C36C6"/>
    <w:rsid w:val="18BF1A54"/>
    <w:rsid w:val="18CE1DEC"/>
    <w:rsid w:val="18ED2570"/>
    <w:rsid w:val="193C6F2A"/>
    <w:rsid w:val="19505FC6"/>
    <w:rsid w:val="19656A32"/>
    <w:rsid w:val="198056E6"/>
    <w:rsid w:val="19BE3676"/>
    <w:rsid w:val="19C172A8"/>
    <w:rsid w:val="19C659EC"/>
    <w:rsid w:val="19D00DAC"/>
    <w:rsid w:val="1A3B555D"/>
    <w:rsid w:val="1A5A06D6"/>
    <w:rsid w:val="1AAA4F67"/>
    <w:rsid w:val="1AAE1E8A"/>
    <w:rsid w:val="1AD00105"/>
    <w:rsid w:val="1AD2506C"/>
    <w:rsid w:val="1AD54864"/>
    <w:rsid w:val="1AEC1FB0"/>
    <w:rsid w:val="1B2E0C1E"/>
    <w:rsid w:val="1B384340"/>
    <w:rsid w:val="1BAD7475"/>
    <w:rsid w:val="1BCA31B2"/>
    <w:rsid w:val="1C0F4EF3"/>
    <w:rsid w:val="1C2437EB"/>
    <w:rsid w:val="1C2A13F3"/>
    <w:rsid w:val="1C376D48"/>
    <w:rsid w:val="1C6422FE"/>
    <w:rsid w:val="1C662D65"/>
    <w:rsid w:val="1C833A38"/>
    <w:rsid w:val="1CA4388D"/>
    <w:rsid w:val="1CA47A0D"/>
    <w:rsid w:val="1CAE64BA"/>
    <w:rsid w:val="1CEF5914"/>
    <w:rsid w:val="1CFF196A"/>
    <w:rsid w:val="1D0205B4"/>
    <w:rsid w:val="1D28626C"/>
    <w:rsid w:val="1D2A34AD"/>
    <w:rsid w:val="1D614730"/>
    <w:rsid w:val="1DC11182"/>
    <w:rsid w:val="1DCD3672"/>
    <w:rsid w:val="1DDB32DF"/>
    <w:rsid w:val="1E340C41"/>
    <w:rsid w:val="1EC10726"/>
    <w:rsid w:val="1EE86EE3"/>
    <w:rsid w:val="1EFB169C"/>
    <w:rsid w:val="1F106FB8"/>
    <w:rsid w:val="1F211466"/>
    <w:rsid w:val="1F9E0BB4"/>
    <w:rsid w:val="1FA151A7"/>
    <w:rsid w:val="1FAA7523"/>
    <w:rsid w:val="2042684B"/>
    <w:rsid w:val="204F5D9B"/>
    <w:rsid w:val="20713A86"/>
    <w:rsid w:val="20CF35EE"/>
    <w:rsid w:val="20E35EDF"/>
    <w:rsid w:val="210332F7"/>
    <w:rsid w:val="21212A22"/>
    <w:rsid w:val="213C4D8C"/>
    <w:rsid w:val="214649B7"/>
    <w:rsid w:val="215D225D"/>
    <w:rsid w:val="217C26E3"/>
    <w:rsid w:val="21B46442"/>
    <w:rsid w:val="21ED1832"/>
    <w:rsid w:val="220B3A67"/>
    <w:rsid w:val="224C6F54"/>
    <w:rsid w:val="2252772C"/>
    <w:rsid w:val="225E44DE"/>
    <w:rsid w:val="227A05E7"/>
    <w:rsid w:val="232F19D7"/>
    <w:rsid w:val="233D5EA2"/>
    <w:rsid w:val="23622525"/>
    <w:rsid w:val="23AB5501"/>
    <w:rsid w:val="23B172F2"/>
    <w:rsid w:val="23BF4A68"/>
    <w:rsid w:val="23FD052A"/>
    <w:rsid w:val="241E2177"/>
    <w:rsid w:val="24244291"/>
    <w:rsid w:val="243523CB"/>
    <w:rsid w:val="24397A54"/>
    <w:rsid w:val="244A1193"/>
    <w:rsid w:val="24860706"/>
    <w:rsid w:val="24B14D99"/>
    <w:rsid w:val="24BB1774"/>
    <w:rsid w:val="24E30B4F"/>
    <w:rsid w:val="25410798"/>
    <w:rsid w:val="265500D6"/>
    <w:rsid w:val="26553E1B"/>
    <w:rsid w:val="271A6261"/>
    <w:rsid w:val="27822A1D"/>
    <w:rsid w:val="27C052F3"/>
    <w:rsid w:val="27D72D69"/>
    <w:rsid w:val="27DC6CF5"/>
    <w:rsid w:val="27FF3ADB"/>
    <w:rsid w:val="2886653D"/>
    <w:rsid w:val="288E0F4E"/>
    <w:rsid w:val="28DE0127"/>
    <w:rsid w:val="28E75EE1"/>
    <w:rsid w:val="28F13D40"/>
    <w:rsid w:val="28F4381E"/>
    <w:rsid w:val="296C74E1"/>
    <w:rsid w:val="297A4743"/>
    <w:rsid w:val="29E05CB3"/>
    <w:rsid w:val="2A0B044C"/>
    <w:rsid w:val="2A306A8E"/>
    <w:rsid w:val="2A4C5876"/>
    <w:rsid w:val="2A750617"/>
    <w:rsid w:val="2A96648E"/>
    <w:rsid w:val="2A9C2048"/>
    <w:rsid w:val="2AFC6642"/>
    <w:rsid w:val="2B0A5203"/>
    <w:rsid w:val="2B6129DA"/>
    <w:rsid w:val="2B763DE1"/>
    <w:rsid w:val="2BA63841"/>
    <w:rsid w:val="2BB971E1"/>
    <w:rsid w:val="2BF35E77"/>
    <w:rsid w:val="2C204F7B"/>
    <w:rsid w:val="2C2675D1"/>
    <w:rsid w:val="2C5A412F"/>
    <w:rsid w:val="2C6646BB"/>
    <w:rsid w:val="2C6B4AC3"/>
    <w:rsid w:val="2CC106CB"/>
    <w:rsid w:val="2CE12A73"/>
    <w:rsid w:val="2D12039F"/>
    <w:rsid w:val="2D597216"/>
    <w:rsid w:val="2D684463"/>
    <w:rsid w:val="2D9622B6"/>
    <w:rsid w:val="2DB25F28"/>
    <w:rsid w:val="2DB87198"/>
    <w:rsid w:val="2DBD1ABE"/>
    <w:rsid w:val="2DD02422"/>
    <w:rsid w:val="2DD55AD9"/>
    <w:rsid w:val="2DE012DA"/>
    <w:rsid w:val="2DE0757D"/>
    <w:rsid w:val="2DE81FA0"/>
    <w:rsid w:val="2DEA16C1"/>
    <w:rsid w:val="2DF31F7F"/>
    <w:rsid w:val="2DFF7E04"/>
    <w:rsid w:val="2E1F55C0"/>
    <w:rsid w:val="2E3003DD"/>
    <w:rsid w:val="2EB55486"/>
    <w:rsid w:val="2EBC62E3"/>
    <w:rsid w:val="2F6E1DEC"/>
    <w:rsid w:val="2F9DB19D"/>
    <w:rsid w:val="2F9E416C"/>
    <w:rsid w:val="2FC8359B"/>
    <w:rsid w:val="2FCC0D61"/>
    <w:rsid w:val="2FEC4FAC"/>
    <w:rsid w:val="30110AE9"/>
    <w:rsid w:val="303F591A"/>
    <w:rsid w:val="304545E8"/>
    <w:rsid w:val="309A7A78"/>
    <w:rsid w:val="30B005FB"/>
    <w:rsid w:val="313D4781"/>
    <w:rsid w:val="317C04DD"/>
    <w:rsid w:val="3184123C"/>
    <w:rsid w:val="32116E77"/>
    <w:rsid w:val="32472899"/>
    <w:rsid w:val="3264169D"/>
    <w:rsid w:val="32AC4DF2"/>
    <w:rsid w:val="332A1ACD"/>
    <w:rsid w:val="33384B15"/>
    <w:rsid w:val="335661A6"/>
    <w:rsid w:val="33606461"/>
    <w:rsid w:val="336B0809"/>
    <w:rsid w:val="33FE6F38"/>
    <w:rsid w:val="340B1178"/>
    <w:rsid w:val="340D18C0"/>
    <w:rsid w:val="3434509F"/>
    <w:rsid w:val="346664F7"/>
    <w:rsid w:val="346911EC"/>
    <w:rsid w:val="346A57D2"/>
    <w:rsid w:val="346F0EE3"/>
    <w:rsid w:val="3474193F"/>
    <w:rsid w:val="34763909"/>
    <w:rsid w:val="34F32686"/>
    <w:rsid w:val="353D00B7"/>
    <w:rsid w:val="355D23D3"/>
    <w:rsid w:val="355F439E"/>
    <w:rsid w:val="35957DBF"/>
    <w:rsid w:val="35973B37"/>
    <w:rsid w:val="36315133"/>
    <w:rsid w:val="364517E5"/>
    <w:rsid w:val="36547A91"/>
    <w:rsid w:val="365A0A03"/>
    <w:rsid w:val="36D1369A"/>
    <w:rsid w:val="36D6115D"/>
    <w:rsid w:val="36DB371A"/>
    <w:rsid w:val="370074BA"/>
    <w:rsid w:val="37016B5B"/>
    <w:rsid w:val="371C0798"/>
    <w:rsid w:val="373E1CFE"/>
    <w:rsid w:val="375C0D63"/>
    <w:rsid w:val="377B53FE"/>
    <w:rsid w:val="37B07AF8"/>
    <w:rsid w:val="38213B8C"/>
    <w:rsid w:val="386325CE"/>
    <w:rsid w:val="38640E25"/>
    <w:rsid w:val="38B14F10"/>
    <w:rsid w:val="38EE7F12"/>
    <w:rsid w:val="38F94718"/>
    <w:rsid w:val="390E5AA4"/>
    <w:rsid w:val="39491472"/>
    <w:rsid w:val="39671CB2"/>
    <w:rsid w:val="399C7D9C"/>
    <w:rsid w:val="39A84565"/>
    <w:rsid w:val="39CC3F57"/>
    <w:rsid w:val="39D517CB"/>
    <w:rsid w:val="39E31FA9"/>
    <w:rsid w:val="39E3734B"/>
    <w:rsid w:val="3A2D5B98"/>
    <w:rsid w:val="3A3B544D"/>
    <w:rsid w:val="3A58789B"/>
    <w:rsid w:val="3A66321F"/>
    <w:rsid w:val="3AA3302B"/>
    <w:rsid w:val="3B246109"/>
    <w:rsid w:val="3B3836C7"/>
    <w:rsid w:val="3B384D23"/>
    <w:rsid w:val="3B5003B8"/>
    <w:rsid w:val="3BEA31E1"/>
    <w:rsid w:val="3C1804B3"/>
    <w:rsid w:val="3C1B0F42"/>
    <w:rsid w:val="3C296441"/>
    <w:rsid w:val="3C66236F"/>
    <w:rsid w:val="3C903088"/>
    <w:rsid w:val="3D5216C0"/>
    <w:rsid w:val="3D5F6052"/>
    <w:rsid w:val="3D6F7148"/>
    <w:rsid w:val="3DA61E89"/>
    <w:rsid w:val="3DC04DE2"/>
    <w:rsid w:val="3DD05E38"/>
    <w:rsid w:val="3E066ACA"/>
    <w:rsid w:val="3E1D2E9B"/>
    <w:rsid w:val="3E5D1C81"/>
    <w:rsid w:val="3EC15C6F"/>
    <w:rsid w:val="3EFA5515"/>
    <w:rsid w:val="3F047D0D"/>
    <w:rsid w:val="3F283A52"/>
    <w:rsid w:val="3F870779"/>
    <w:rsid w:val="3F8D74B1"/>
    <w:rsid w:val="3FA73DAF"/>
    <w:rsid w:val="3FBF7EFA"/>
    <w:rsid w:val="3FF83425"/>
    <w:rsid w:val="40316258"/>
    <w:rsid w:val="40343C85"/>
    <w:rsid w:val="40582115"/>
    <w:rsid w:val="40707630"/>
    <w:rsid w:val="407C5E04"/>
    <w:rsid w:val="40B97058"/>
    <w:rsid w:val="40C94DC1"/>
    <w:rsid w:val="413E3A8A"/>
    <w:rsid w:val="415B010F"/>
    <w:rsid w:val="41AA4BF2"/>
    <w:rsid w:val="41BF6E2B"/>
    <w:rsid w:val="41C37A62"/>
    <w:rsid w:val="42133285"/>
    <w:rsid w:val="421B789E"/>
    <w:rsid w:val="42507825"/>
    <w:rsid w:val="42536505"/>
    <w:rsid w:val="42AB6E74"/>
    <w:rsid w:val="430D5439"/>
    <w:rsid w:val="4311685E"/>
    <w:rsid w:val="438E4E05"/>
    <w:rsid w:val="43A0005B"/>
    <w:rsid w:val="43B43B06"/>
    <w:rsid w:val="4482138B"/>
    <w:rsid w:val="44923C8C"/>
    <w:rsid w:val="44D02BC2"/>
    <w:rsid w:val="44DE6C38"/>
    <w:rsid w:val="454048AB"/>
    <w:rsid w:val="45555209"/>
    <w:rsid w:val="455A22AB"/>
    <w:rsid w:val="456442B5"/>
    <w:rsid w:val="457A48DC"/>
    <w:rsid w:val="463C745C"/>
    <w:rsid w:val="465E4DA3"/>
    <w:rsid w:val="468B4FF2"/>
    <w:rsid w:val="46AC5357"/>
    <w:rsid w:val="46BD2A8C"/>
    <w:rsid w:val="46DF0CB9"/>
    <w:rsid w:val="46E75184"/>
    <w:rsid w:val="470D1475"/>
    <w:rsid w:val="473142C2"/>
    <w:rsid w:val="477C493B"/>
    <w:rsid w:val="47882FB5"/>
    <w:rsid w:val="478F7A25"/>
    <w:rsid w:val="47D7511C"/>
    <w:rsid w:val="47DA6FED"/>
    <w:rsid w:val="47E24B7B"/>
    <w:rsid w:val="47E50732"/>
    <w:rsid w:val="48515DC8"/>
    <w:rsid w:val="4864156E"/>
    <w:rsid w:val="48877A3B"/>
    <w:rsid w:val="48D72BAB"/>
    <w:rsid w:val="490270C2"/>
    <w:rsid w:val="49227764"/>
    <w:rsid w:val="49301412"/>
    <w:rsid w:val="495025EB"/>
    <w:rsid w:val="49B3664D"/>
    <w:rsid w:val="49E8275C"/>
    <w:rsid w:val="4A120D07"/>
    <w:rsid w:val="4AA20DCD"/>
    <w:rsid w:val="4AB158A6"/>
    <w:rsid w:val="4AB75150"/>
    <w:rsid w:val="4AC42AFF"/>
    <w:rsid w:val="4AC95EC1"/>
    <w:rsid w:val="4AE47FB2"/>
    <w:rsid w:val="4AFF1B0B"/>
    <w:rsid w:val="4B632B6F"/>
    <w:rsid w:val="4B7517EF"/>
    <w:rsid w:val="4BAA5BDD"/>
    <w:rsid w:val="4BB10FD8"/>
    <w:rsid w:val="4BBC3274"/>
    <w:rsid w:val="4BCE772F"/>
    <w:rsid w:val="4BDE22A6"/>
    <w:rsid w:val="4BEF5479"/>
    <w:rsid w:val="4C0360C1"/>
    <w:rsid w:val="4C07090C"/>
    <w:rsid w:val="4C184539"/>
    <w:rsid w:val="4CDE6E72"/>
    <w:rsid w:val="4CFD3592"/>
    <w:rsid w:val="4D127F16"/>
    <w:rsid w:val="4D210A8C"/>
    <w:rsid w:val="4D715366"/>
    <w:rsid w:val="4DC332C4"/>
    <w:rsid w:val="4DFA0CB0"/>
    <w:rsid w:val="4E265CF2"/>
    <w:rsid w:val="4E3A10AC"/>
    <w:rsid w:val="4E4F6673"/>
    <w:rsid w:val="4E5F7A5E"/>
    <w:rsid w:val="4E617142"/>
    <w:rsid w:val="4E962786"/>
    <w:rsid w:val="4EDB46BD"/>
    <w:rsid w:val="4EDE5709"/>
    <w:rsid w:val="4EE148F4"/>
    <w:rsid w:val="4EFE46BC"/>
    <w:rsid w:val="4F4B5F19"/>
    <w:rsid w:val="4F8A0F43"/>
    <w:rsid w:val="4F9128E7"/>
    <w:rsid w:val="4FD11CE0"/>
    <w:rsid w:val="4FD25A40"/>
    <w:rsid w:val="51444013"/>
    <w:rsid w:val="51561357"/>
    <w:rsid w:val="516157B5"/>
    <w:rsid w:val="518E1E3B"/>
    <w:rsid w:val="51A65CD9"/>
    <w:rsid w:val="51C846B8"/>
    <w:rsid w:val="51EE4687"/>
    <w:rsid w:val="520F75A8"/>
    <w:rsid w:val="521B74FF"/>
    <w:rsid w:val="524173DF"/>
    <w:rsid w:val="52713A94"/>
    <w:rsid w:val="52B4767F"/>
    <w:rsid w:val="52F62B54"/>
    <w:rsid w:val="52FD39DF"/>
    <w:rsid w:val="532E13F5"/>
    <w:rsid w:val="53436CB1"/>
    <w:rsid w:val="53437F61"/>
    <w:rsid w:val="539D76E1"/>
    <w:rsid w:val="53D64E84"/>
    <w:rsid w:val="53DB0C3B"/>
    <w:rsid w:val="53E37B97"/>
    <w:rsid w:val="543A3BB4"/>
    <w:rsid w:val="543F151A"/>
    <w:rsid w:val="5449029B"/>
    <w:rsid w:val="545729B8"/>
    <w:rsid w:val="54B5148C"/>
    <w:rsid w:val="54B90DDB"/>
    <w:rsid w:val="54C066CF"/>
    <w:rsid w:val="54D30705"/>
    <w:rsid w:val="54E6126B"/>
    <w:rsid w:val="54EA311E"/>
    <w:rsid w:val="555A44C1"/>
    <w:rsid w:val="55763F84"/>
    <w:rsid w:val="558B2585"/>
    <w:rsid w:val="560A6185"/>
    <w:rsid w:val="56257BD3"/>
    <w:rsid w:val="568F2266"/>
    <w:rsid w:val="569E2BA7"/>
    <w:rsid w:val="56A27288"/>
    <w:rsid w:val="56AD4451"/>
    <w:rsid w:val="56C65BD3"/>
    <w:rsid w:val="56CB4F97"/>
    <w:rsid w:val="56E878F7"/>
    <w:rsid w:val="570108EB"/>
    <w:rsid w:val="570C4F8A"/>
    <w:rsid w:val="572D20CC"/>
    <w:rsid w:val="57662666"/>
    <w:rsid w:val="58093FC9"/>
    <w:rsid w:val="580E1EEE"/>
    <w:rsid w:val="58346B6C"/>
    <w:rsid w:val="585A59C4"/>
    <w:rsid w:val="586F67F3"/>
    <w:rsid w:val="58931AE5"/>
    <w:rsid w:val="58AD3D6E"/>
    <w:rsid w:val="58B25C30"/>
    <w:rsid w:val="58ED6699"/>
    <w:rsid w:val="593F24A5"/>
    <w:rsid w:val="59DE00CD"/>
    <w:rsid w:val="59E4505B"/>
    <w:rsid w:val="5ACF7EDE"/>
    <w:rsid w:val="5ADC1FCA"/>
    <w:rsid w:val="5B4FFB25"/>
    <w:rsid w:val="5B8F499A"/>
    <w:rsid w:val="5BDC5751"/>
    <w:rsid w:val="5C4F0418"/>
    <w:rsid w:val="5C58551F"/>
    <w:rsid w:val="5C61314A"/>
    <w:rsid w:val="5C78796F"/>
    <w:rsid w:val="5D357F0B"/>
    <w:rsid w:val="5D55732C"/>
    <w:rsid w:val="5D9D39E9"/>
    <w:rsid w:val="5DD67CB5"/>
    <w:rsid w:val="5DE0264B"/>
    <w:rsid w:val="5E1B2DF8"/>
    <w:rsid w:val="5E70397C"/>
    <w:rsid w:val="5E7215F1"/>
    <w:rsid w:val="5E8720EC"/>
    <w:rsid w:val="5ECB4CC4"/>
    <w:rsid w:val="5EDD7F5D"/>
    <w:rsid w:val="5EF0369D"/>
    <w:rsid w:val="5F0F1B3E"/>
    <w:rsid w:val="5F44415B"/>
    <w:rsid w:val="5F5554F7"/>
    <w:rsid w:val="5F7F698F"/>
    <w:rsid w:val="5FAB5605"/>
    <w:rsid w:val="5FD274FA"/>
    <w:rsid w:val="602A5424"/>
    <w:rsid w:val="60524605"/>
    <w:rsid w:val="606C77EB"/>
    <w:rsid w:val="60B66CB8"/>
    <w:rsid w:val="60DE31DC"/>
    <w:rsid w:val="61031E60"/>
    <w:rsid w:val="6117739C"/>
    <w:rsid w:val="613861D2"/>
    <w:rsid w:val="613A1697"/>
    <w:rsid w:val="61710DEE"/>
    <w:rsid w:val="617F354E"/>
    <w:rsid w:val="6189617B"/>
    <w:rsid w:val="61BA27D8"/>
    <w:rsid w:val="61D225E7"/>
    <w:rsid w:val="62086F99"/>
    <w:rsid w:val="622D4D58"/>
    <w:rsid w:val="62464C86"/>
    <w:rsid w:val="625A2DFD"/>
    <w:rsid w:val="625C563D"/>
    <w:rsid w:val="628D44BB"/>
    <w:rsid w:val="629A5CD0"/>
    <w:rsid w:val="62AC7970"/>
    <w:rsid w:val="62B41426"/>
    <w:rsid w:val="62C76F5B"/>
    <w:rsid w:val="62F44622"/>
    <w:rsid w:val="63224191"/>
    <w:rsid w:val="63371F27"/>
    <w:rsid w:val="63737AA4"/>
    <w:rsid w:val="638E5CCA"/>
    <w:rsid w:val="63CB614E"/>
    <w:rsid w:val="63CC234F"/>
    <w:rsid w:val="63E5596E"/>
    <w:rsid w:val="644E18FA"/>
    <w:rsid w:val="6474329C"/>
    <w:rsid w:val="64A07A63"/>
    <w:rsid w:val="64E577E9"/>
    <w:rsid w:val="64F0230E"/>
    <w:rsid w:val="6564208E"/>
    <w:rsid w:val="65821C5A"/>
    <w:rsid w:val="65AB728F"/>
    <w:rsid w:val="65D976D1"/>
    <w:rsid w:val="65E93BD9"/>
    <w:rsid w:val="6656415A"/>
    <w:rsid w:val="667E4482"/>
    <w:rsid w:val="671A6C35"/>
    <w:rsid w:val="672A7AB8"/>
    <w:rsid w:val="67323B99"/>
    <w:rsid w:val="67437282"/>
    <w:rsid w:val="67A03E32"/>
    <w:rsid w:val="67AE2497"/>
    <w:rsid w:val="67B3338F"/>
    <w:rsid w:val="67EE3E86"/>
    <w:rsid w:val="682C160E"/>
    <w:rsid w:val="68752292"/>
    <w:rsid w:val="6889764A"/>
    <w:rsid w:val="68A5389A"/>
    <w:rsid w:val="68BC4A27"/>
    <w:rsid w:val="68F75FCA"/>
    <w:rsid w:val="68F91152"/>
    <w:rsid w:val="690A7BA1"/>
    <w:rsid w:val="691D5B26"/>
    <w:rsid w:val="692D26C6"/>
    <w:rsid w:val="69863032"/>
    <w:rsid w:val="698910DE"/>
    <w:rsid w:val="699A7177"/>
    <w:rsid w:val="69B21625"/>
    <w:rsid w:val="69EC54F9"/>
    <w:rsid w:val="69F234FE"/>
    <w:rsid w:val="69FB06EF"/>
    <w:rsid w:val="6A953FED"/>
    <w:rsid w:val="6AA00549"/>
    <w:rsid w:val="6AAA142F"/>
    <w:rsid w:val="6AD16513"/>
    <w:rsid w:val="6B380425"/>
    <w:rsid w:val="6B574BF4"/>
    <w:rsid w:val="6B8E437F"/>
    <w:rsid w:val="6BF3565B"/>
    <w:rsid w:val="6C2E004A"/>
    <w:rsid w:val="6C3F6B0F"/>
    <w:rsid w:val="6C517895"/>
    <w:rsid w:val="6C56076F"/>
    <w:rsid w:val="6CD36E77"/>
    <w:rsid w:val="6CE20F96"/>
    <w:rsid w:val="6D22376C"/>
    <w:rsid w:val="6D273C89"/>
    <w:rsid w:val="6D27515F"/>
    <w:rsid w:val="6D2E0DC6"/>
    <w:rsid w:val="6D7170C0"/>
    <w:rsid w:val="6D8D0DA1"/>
    <w:rsid w:val="6DE10F7A"/>
    <w:rsid w:val="6DF35192"/>
    <w:rsid w:val="6E055C03"/>
    <w:rsid w:val="6E1A20BD"/>
    <w:rsid w:val="6E25798F"/>
    <w:rsid w:val="6E2D1B28"/>
    <w:rsid w:val="6E43783C"/>
    <w:rsid w:val="6E6B54D0"/>
    <w:rsid w:val="6E923579"/>
    <w:rsid w:val="6ED50C51"/>
    <w:rsid w:val="6EE81335"/>
    <w:rsid w:val="6EF54E4F"/>
    <w:rsid w:val="6F00394E"/>
    <w:rsid w:val="6F011750"/>
    <w:rsid w:val="6F795A80"/>
    <w:rsid w:val="6F983FBB"/>
    <w:rsid w:val="6F9929FB"/>
    <w:rsid w:val="6FA23C43"/>
    <w:rsid w:val="6FBE159C"/>
    <w:rsid w:val="6FD607DD"/>
    <w:rsid w:val="6FDD5496"/>
    <w:rsid w:val="6FFF9510"/>
    <w:rsid w:val="701666D1"/>
    <w:rsid w:val="70297555"/>
    <w:rsid w:val="705F6A24"/>
    <w:rsid w:val="7161216A"/>
    <w:rsid w:val="71816E6E"/>
    <w:rsid w:val="721675B7"/>
    <w:rsid w:val="722C2129"/>
    <w:rsid w:val="723675B5"/>
    <w:rsid w:val="727849AC"/>
    <w:rsid w:val="72BD57FC"/>
    <w:rsid w:val="72ED2C65"/>
    <w:rsid w:val="73047CAA"/>
    <w:rsid w:val="733C6AD6"/>
    <w:rsid w:val="734D617B"/>
    <w:rsid w:val="73532145"/>
    <w:rsid w:val="73AD5CF9"/>
    <w:rsid w:val="73C848E1"/>
    <w:rsid w:val="73E007D8"/>
    <w:rsid w:val="73EB05CF"/>
    <w:rsid w:val="74413A93"/>
    <w:rsid w:val="745C4105"/>
    <w:rsid w:val="748051BB"/>
    <w:rsid w:val="748E78D8"/>
    <w:rsid w:val="74FE34B8"/>
    <w:rsid w:val="75024A79"/>
    <w:rsid w:val="7537F9A8"/>
    <w:rsid w:val="753C2EB5"/>
    <w:rsid w:val="75795BA8"/>
    <w:rsid w:val="76024EB7"/>
    <w:rsid w:val="766A677C"/>
    <w:rsid w:val="76A258BD"/>
    <w:rsid w:val="76C849B9"/>
    <w:rsid w:val="76D11704"/>
    <w:rsid w:val="76EE465E"/>
    <w:rsid w:val="77AA4CAB"/>
    <w:rsid w:val="77B5517C"/>
    <w:rsid w:val="77FFA479"/>
    <w:rsid w:val="780103C1"/>
    <w:rsid w:val="781D3A2F"/>
    <w:rsid w:val="786728F7"/>
    <w:rsid w:val="78AD2C12"/>
    <w:rsid w:val="78BE4504"/>
    <w:rsid w:val="790A14F7"/>
    <w:rsid w:val="79382508"/>
    <w:rsid w:val="793F3242"/>
    <w:rsid w:val="797846B3"/>
    <w:rsid w:val="7981365D"/>
    <w:rsid w:val="79AD0439"/>
    <w:rsid w:val="79F5578E"/>
    <w:rsid w:val="7A270797"/>
    <w:rsid w:val="7A276E16"/>
    <w:rsid w:val="7A300B10"/>
    <w:rsid w:val="7AB91DEA"/>
    <w:rsid w:val="7B355345"/>
    <w:rsid w:val="7B7B61C8"/>
    <w:rsid w:val="7B8FFF0B"/>
    <w:rsid w:val="7BC938EC"/>
    <w:rsid w:val="7BD521C2"/>
    <w:rsid w:val="7BDA7BBE"/>
    <w:rsid w:val="7BF54C90"/>
    <w:rsid w:val="7C27086C"/>
    <w:rsid w:val="7C28645C"/>
    <w:rsid w:val="7C404B81"/>
    <w:rsid w:val="7C496587"/>
    <w:rsid w:val="7C4E5B9F"/>
    <w:rsid w:val="7CF2415B"/>
    <w:rsid w:val="7D2C68F3"/>
    <w:rsid w:val="7D5B0573"/>
    <w:rsid w:val="7D6A4613"/>
    <w:rsid w:val="7D717D97"/>
    <w:rsid w:val="7DA63EE4"/>
    <w:rsid w:val="7DA77C5D"/>
    <w:rsid w:val="7DAD5556"/>
    <w:rsid w:val="7DC80E2E"/>
    <w:rsid w:val="7DFD162B"/>
    <w:rsid w:val="7E0E706F"/>
    <w:rsid w:val="7E244E09"/>
    <w:rsid w:val="7E9B0EF6"/>
    <w:rsid w:val="7EA1193A"/>
    <w:rsid w:val="7EE12CFA"/>
    <w:rsid w:val="7F2A28F3"/>
    <w:rsid w:val="7F6A2CF0"/>
    <w:rsid w:val="7FAD2728"/>
    <w:rsid w:val="7FBA7737"/>
    <w:rsid w:val="7FBB60DA"/>
    <w:rsid w:val="7FF77D2A"/>
    <w:rsid w:val="9FF6D5C8"/>
    <w:rsid w:val="B9EE0534"/>
    <w:rsid w:val="BDFB039C"/>
    <w:rsid w:val="BFBF10B3"/>
    <w:rsid w:val="D77ABA1E"/>
    <w:rsid w:val="F7DF2A21"/>
    <w:rsid w:val="FBFFF7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9"/>
    <w:pPr>
      <w:spacing w:before="100" w:beforeAutospacing="1" w:after="100" w:afterAutospacing="1"/>
      <w:outlineLvl w:val="1"/>
    </w:pPr>
    <w:rPr>
      <w:rFonts w:hint="eastAsia" w:cs="Times New Roman"/>
      <w:b/>
      <w:bCs/>
      <w:sz w:val="36"/>
      <w:szCs w:val="36"/>
    </w:rPr>
  </w:style>
  <w:style w:type="paragraph" w:styleId="3">
    <w:name w:val="heading 3"/>
    <w:basedOn w:val="1"/>
    <w:next w:val="1"/>
    <w:link w:val="17"/>
    <w:qFormat/>
    <w:uiPriority w:val="9"/>
    <w:pPr>
      <w:keepNext/>
      <w:keepLines/>
      <w:contextualSpacing/>
      <w:outlineLvl w:val="2"/>
    </w:pPr>
    <w:rPr>
      <w:rFonts w:eastAsia="黑体"/>
      <w:b/>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8"/>
    <w:unhideWhenUsed/>
    <w:qFormat/>
    <w:uiPriority w:val="99"/>
    <w:rPr>
      <w:rFonts w:hAnsi="Times New Roman"/>
      <w:sz w:val="18"/>
      <w:szCs w:val="18"/>
    </w:rPr>
  </w:style>
  <w:style w:type="paragraph" w:styleId="5">
    <w:name w:val="annotation text"/>
    <w:basedOn w:val="1"/>
    <w:link w:val="19"/>
    <w:unhideWhenUsed/>
    <w:qFormat/>
    <w:uiPriority w:val="99"/>
  </w:style>
  <w:style w:type="paragraph" w:styleId="6">
    <w:name w:val="Body Text"/>
    <w:basedOn w:val="1"/>
    <w:qFormat/>
    <w:uiPriority w:val="1"/>
    <w:rPr>
      <w:sz w:val="32"/>
      <w:szCs w:val="32"/>
    </w:rPr>
  </w:style>
  <w:style w:type="paragraph" w:styleId="7">
    <w:name w:val="Balloon Text"/>
    <w:basedOn w:val="1"/>
    <w:link w:val="20"/>
    <w:unhideWhenUsed/>
    <w:qFormat/>
    <w:uiPriority w:val="99"/>
    <w:rPr>
      <w:rFonts w:ascii="Times New Roman" w:hAnsi="Times New Roman"/>
      <w:sz w:val="18"/>
      <w:szCs w:val="18"/>
    </w:rPr>
  </w:style>
  <w:style w:type="paragraph" w:styleId="8">
    <w:name w:val="footer"/>
    <w:basedOn w:val="1"/>
    <w:link w:val="21"/>
    <w:unhideWhenUsed/>
    <w:qFormat/>
    <w:uiPriority w:val="99"/>
    <w:pPr>
      <w:tabs>
        <w:tab w:val="center" w:pos="4153"/>
        <w:tab w:val="right" w:pos="8306"/>
      </w:tabs>
      <w:snapToGrid w:val="0"/>
    </w:pPr>
    <w:rPr>
      <w:rFonts w:ascii="Times New Roman" w:hAnsi="Times New Roman"/>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0">
    <w:name w:val="Normal (Web)"/>
    <w:basedOn w:val="1"/>
    <w:unhideWhenUsed/>
    <w:qFormat/>
    <w:uiPriority w:val="99"/>
    <w:pPr>
      <w:spacing w:before="100" w:beforeAutospacing="1" w:after="100" w:afterAutospacing="1"/>
    </w:pPr>
  </w:style>
  <w:style w:type="paragraph" w:styleId="11">
    <w:name w:val="annotation subject"/>
    <w:basedOn w:val="5"/>
    <w:next w:val="5"/>
    <w:link w:val="23"/>
    <w:unhideWhenUsed/>
    <w:qFormat/>
    <w:uiPriority w:val="99"/>
    <w:rPr>
      <w:rFonts w:ascii="Times New Roman" w:hAnsi="Times New Roman"/>
      <w:b/>
      <w:bCs/>
      <w:sz w:val="20"/>
      <w:szCs w:val="20"/>
    </w:rPr>
  </w:style>
  <w:style w:type="table" w:styleId="13">
    <w:name w:val="Table Grid"/>
    <w:basedOn w:val="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5">
    <w:name w:val="Hyperlink"/>
    <w:unhideWhenUsed/>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标题 3 Char"/>
    <w:link w:val="3"/>
    <w:qFormat/>
    <w:uiPriority w:val="9"/>
    <w:rPr>
      <w:rFonts w:ascii="Calibri" w:hAnsi="Calibri" w:eastAsia="黑体"/>
      <w:b/>
      <w:bCs/>
      <w:kern w:val="2"/>
      <w:sz w:val="28"/>
      <w:szCs w:val="32"/>
    </w:rPr>
  </w:style>
  <w:style w:type="character" w:customStyle="1" w:styleId="18">
    <w:name w:val="文档结构图 Char"/>
    <w:link w:val="4"/>
    <w:qFormat/>
    <w:uiPriority w:val="99"/>
    <w:rPr>
      <w:rFonts w:ascii="宋体" w:eastAsia="宋体"/>
      <w:sz w:val="18"/>
      <w:szCs w:val="18"/>
    </w:rPr>
  </w:style>
  <w:style w:type="character" w:customStyle="1" w:styleId="19">
    <w:name w:val="批注文字 Char"/>
    <w:link w:val="5"/>
    <w:semiHidden/>
    <w:qFormat/>
    <w:uiPriority w:val="99"/>
  </w:style>
  <w:style w:type="character" w:customStyle="1" w:styleId="20">
    <w:name w:val="批注框文本 Char"/>
    <w:link w:val="7"/>
    <w:semiHidden/>
    <w:qFormat/>
    <w:uiPriority w:val="99"/>
    <w:rPr>
      <w:sz w:val="18"/>
      <w:szCs w:val="18"/>
    </w:rPr>
  </w:style>
  <w:style w:type="character" w:customStyle="1" w:styleId="21">
    <w:name w:val="页脚 Char"/>
    <w:link w:val="8"/>
    <w:qFormat/>
    <w:uiPriority w:val="99"/>
    <w:rPr>
      <w:sz w:val="18"/>
      <w:szCs w:val="18"/>
    </w:rPr>
  </w:style>
  <w:style w:type="character" w:customStyle="1" w:styleId="22">
    <w:name w:val="页眉 Char"/>
    <w:link w:val="9"/>
    <w:qFormat/>
    <w:uiPriority w:val="99"/>
    <w:rPr>
      <w:sz w:val="18"/>
      <w:szCs w:val="18"/>
    </w:rPr>
  </w:style>
  <w:style w:type="character" w:customStyle="1" w:styleId="23">
    <w:name w:val="批注主题 Char"/>
    <w:link w:val="11"/>
    <w:semiHidden/>
    <w:qFormat/>
    <w:uiPriority w:val="99"/>
    <w:rPr>
      <w:b/>
      <w:bCs/>
    </w:rPr>
  </w:style>
  <w:style w:type="character" w:customStyle="1" w:styleId="24">
    <w:name w:val="批注文字 Char1"/>
    <w:semiHidden/>
    <w:qFormat/>
    <w:uiPriority w:val="99"/>
  </w:style>
  <w:style w:type="paragraph" w:customStyle="1" w:styleId="2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6">
    <w:name w:val="font41"/>
    <w:qFormat/>
    <w:uiPriority w:val="0"/>
    <w:rPr>
      <w:rFonts w:hint="eastAsia" w:ascii="宋体" w:hAnsi="宋体" w:eastAsia="宋体"/>
      <w:color w:val="000000"/>
      <w:sz w:val="22"/>
      <w:szCs w:val="22"/>
      <w:u w:val="none"/>
    </w:rPr>
  </w:style>
  <w:style w:type="character" w:customStyle="1" w:styleId="27">
    <w:name w:val="font01"/>
    <w:qFormat/>
    <w:uiPriority w:val="0"/>
    <w:rPr>
      <w:rFonts w:hint="eastAsia" w:ascii="宋体" w:hAnsi="宋体" w:eastAsia="宋体"/>
      <w:color w:val="FF0000"/>
      <w:sz w:val="22"/>
      <w:szCs w:val="22"/>
      <w:u w:val="none"/>
    </w:rPr>
  </w:style>
  <w:style w:type="paragraph" w:customStyle="1" w:styleId="28">
    <w:name w:val="列出段落1"/>
    <w:basedOn w:val="1"/>
    <w:qFormat/>
    <w:uiPriority w:val="34"/>
    <w:pPr>
      <w:ind w:firstLine="420" w:firstLineChars="200"/>
    </w:pPr>
  </w:style>
  <w:style w:type="paragraph" w:customStyle="1" w:styleId="29">
    <w:name w:val="列出段落2"/>
    <w:basedOn w:val="1"/>
    <w:unhideWhenUsed/>
    <w:qFormat/>
    <w:uiPriority w:val="99"/>
    <w:pPr>
      <w:ind w:firstLine="420" w:firstLineChars="200"/>
    </w:pPr>
  </w:style>
  <w:style w:type="paragraph" w:customStyle="1" w:styleId="30">
    <w:name w:val="005正文"/>
    <w:basedOn w:val="1"/>
    <w:link w:val="31"/>
    <w:qFormat/>
    <w:uiPriority w:val="0"/>
    <w:pPr>
      <w:spacing w:beforeLines="50" w:line="360" w:lineRule="auto"/>
      <w:ind w:firstLine="200" w:firstLineChars="200"/>
    </w:pPr>
    <w:rPr>
      <w:rFonts w:ascii="Times New Roman" w:hAnsi="Times New Roman"/>
      <w:szCs w:val="20"/>
    </w:rPr>
  </w:style>
  <w:style w:type="character" w:customStyle="1" w:styleId="31">
    <w:name w:val="005正文 Char"/>
    <w:link w:val="30"/>
    <w:qFormat/>
    <w:uiPriority w:val="0"/>
    <w:rPr>
      <w:rFonts w:ascii="Times New Roman" w:hAnsi="Times New Roman" w:eastAsia="宋体" w:cs="Times New Roman"/>
      <w:sz w:val="24"/>
    </w:rPr>
  </w:style>
  <w:style w:type="paragraph" w:customStyle="1" w:styleId="32">
    <w:name w:val="列出段落3"/>
    <w:basedOn w:val="1"/>
    <w:link w:val="33"/>
    <w:qFormat/>
    <w:uiPriority w:val="34"/>
    <w:pPr>
      <w:ind w:firstLine="420" w:firstLineChars="200"/>
    </w:pPr>
  </w:style>
  <w:style w:type="character" w:customStyle="1" w:styleId="33">
    <w:name w:val="列出段落 Char"/>
    <w:link w:val="32"/>
    <w:qFormat/>
    <w:uiPriority w:val="34"/>
  </w:style>
  <w:style w:type="paragraph" w:customStyle="1" w:styleId="34">
    <w:name w:val="修订1"/>
    <w:unhideWhenUsed/>
    <w:qFormat/>
    <w:uiPriority w:val="99"/>
    <w:rPr>
      <w:rFonts w:ascii="Calibri" w:hAnsi="Calibri" w:eastAsia="宋体" w:cs="Times New Roman"/>
      <w:kern w:val="2"/>
      <w:sz w:val="21"/>
      <w:szCs w:val="22"/>
      <w:lang w:val="en-US" w:eastAsia="zh-CN" w:bidi="ar-SA"/>
    </w:rPr>
  </w:style>
  <w:style w:type="paragraph" w:customStyle="1" w:styleId="35">
    <w:name w:val="正文（标题）"/>
    <w:basedOn w:val="1"/>
    <w:qFormat/>
    <w:uiPriority w:val="0"/>
    <w:pPr>
      <w:spacing w:line="600" w:lineRule="exact"/>
      <w:ind w:firstLine="200" w:firstLineChars="200"/>
      <w:outlineLvl w:val="2"/>
    </w:pPr>
    <w:rPr>
      <w:rFonts w:ascii="Times New Roman" w:hAnsi="Times New Roman" w:eastAsia="仿宋_GB2312"/>
      <w:sz w:val="30"/>
      <w:szCs w:val="21"/>
    </w:rPr>
  </w:style>
  <w:style w:type="paragraph" w:customStyle="1" w:styleId="36">
    <w:name w:val="列表段落1"/>
    <w:basedOn w:val="1"/>
    <w:unhideWhenUsed/>
    <w:qFormat/>
    <w:uiPriority w:val="34"/>
    <w:pPr>
      <w:ind w:firstLine="420" w:firstLineChars="200"/>
    </w:pPr>
  </w:style>
  <w:style w:type="paragraph" w:customStyle="1" w:styleId="37">
    <w:name w:val="修订2"/>
    <w:semiHidden/>
    <w:qFormat/>
    <w:uiPriority w:val="99"/>
    <w:rPr>
      <w:rFonts w:ascii="Calibri" w:hAnsi="Calibri" w:eastAsia="宋体" w:cs="Times New Roman"/>
      <w:kern w:val="2"/>
      <w:sz w:val="21"/>
      <w:szCs w:val="22"/>
      <w:lang w:val="en-US" w:eastAsia="zh-CN" w:bidi="ar-SA"/>
    </w:rPr>
  </w:style>
  <w:style w:type="paragraph" w:customStyle="1" w:styleId="38">
    <w:name w:val="修订3"/>
    <w:unhideWhenUsed/>
    <w:qFormat/>
    <w:uiPriority w:val="99"/>
    <w:rPr>
      <w:rFonts w:ascii="Calibri" w:hAnsi="Calibri" w:eastAsia="宋体" w:cs="Times New Roman"/>
      <w:kern w:val="2"/>
      <w:sz w:val="21"/>
      <w:szCs w:val="22"/>
      <w:lang w:val="en-US" w:eastAsia="zh-CN" w:bidi="ar-SA"/>
    </w:rPr>
  </w:style>
  <w:style w:type="paragraph" w:customStyle="1" w:styleId="39">
    <w:name w:val="修订4"/>
    <w:unhideWhenUsed/>
    <w:qFormat/>
    <w:uiPriority w:val="99"/>
    <w:rPr>
      <w:rFonts w:ascii="Calibri" w:hAnsi="Calibri" w:eastAsia="宋体" w:cs="Times New Roman"/>
      <w:kern w:val="2"/>
      <w:sz w:val="21"/>
      <w:szCs w:val="22"/>
      <w:lang w:val="en-US" w:eastAsia="zh-CN" w:bidi="ar-SA"/>
    </w:rPr>
  </w:style>
  <w:style w:type="paragraph" w:customStyle="1" w:styleId="40">
    <w:name w:val="修订5"/>
    <w:unhideWhenUsed/>
    <w:qFormat/>
    <w:uiPriority w:val="99"/>
    <w:rPr>
      <w:rFonts w:ascii="Calibri" w:hAnsi="Calibri" w:eastAsia="宋体" w:cs="Times New Roman"/>
      <w:kern w:val="2"/>
      <w:sz w:val="21"/>
      <w:szCs w:val="22"/>
      <w:lang w:val="en-US" w:eastAsia="zh-CN" w:bidi="ar-SA"/>
    </w:rPr>
  </w:style>
  <w:style w:type="paragraph" w:customStyle="1" w:styleId="41">
    <w:name w:val="修订6"/>
    <w:semiHidden/>
    <w:qFormat/>
    <w:uiPriority w:val="99"/>
    <w:rPr>
      <w:rFonts w:ascii="Calibri" w:hAnsi="Calibri" w:eastAsia="宋体" w:cs="Times New Roman"/>
      <w:kern w:val="2"/>
      <w:sz w:val="21"/>
      <w:szCs w:val="22"/>
      <w:lang w:val="en-US" w:eastAsia="zh-CN" w:bidi="ar-SA"/>
    </w:rPr>
  </w:style>
  <w:style w:type="paragraph" w:customStyle="1" w:styleId="42">
    <w:name w:val="修订7"/>
    <w:semiHidden/>
    <w:qFormat/>
    <w:uiPriority w:val="99"/>
    <w:rPr>
      <w:rFonts w:ascii="Calibri" w:hAnsi="Calibri" w:eastAsia="宋体" w:cs="Times New Roman"/>
      <w:kern w:val="2"/>
      <w:sz w:val="21"/>
      <w:szCs w:val="22"/>
      <w:lang w:val="en-US" w:eastAsia="zh-CN" w:bidi="ar-SA"/>
    </w:rPr>
  </w:style>
  <w:style w:type="paragraph" w:customStyle="1" w:styleId="43">
    <w:name w:val="修订8"/>
    <w:unhideWhenUsed/>
    <w:qFormat/>
    <w:uiPriority w:val="99"/>
    <w:rPr>
      <w:rFonts w:ascii="Calibri" w:hAnsi="Calibri" w:eastAsia="宋体" w:cs="Times New Roman"/>
      <w:kern w:val="2"/>
      <w:sz w:val="21"/>
      <w:szCs w:val="22"/>
      <w:lang w:val="en-US" w:eastAsia="zh-CN" w:bidi="ar-SA"/>
    </w:rPr>
  </w:style>
  <w:style w:type="paragraph" w:customStyle="1" w:styleId="44">
    <w:name w:val="Table Paragraph"/>
    <w:basedOn w:val="1"/>
    <w:qFormat/>
    <w:uiPriority w:val="1"/>
    <w:rPr>
      <w:rFonts w:ascii="仿宋" w:hAnsi="仿宋" w:eastAsia="仿宋" w:cs="仿宋"/>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pqcao/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24</Pages>
  <Words>12827</Words>
  <Characters>13009</Characters>
  <Lines>83</Lines>
  <Paragraphs>23</Paragraphs>
  <TotalTime>2</TotalTime>
  <ScaleCrop>false</ScaleCrop>
  <LinksUpToDate>false</LinksUpToDate>
  <CharactersWithSpaces>13015</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2023-03-04T19:26:00Z</dcterms:created>
  <dc:creator>sse</dc:creator>
  <cp:lastModifiedBy>whxu</cp:lastModifiedBy>
  <cp:lastPrinted>2021-02-04T09:11:00Z</cp:lastPrinted>
  <dcterms:modified xsi:type="dcterms:W3CDTF">2025-04-25T18:38:27Z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4C871DBE91DBF3F7555A0B68E072E2E7_43</vt:lpwstr>
  </property>
</Properties>
</file>