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pStyle w:val="16"/>
        <w:spacing w:before="0" w:after="0" w:line="560" w:lineRule="exact"/>
        <w:ind w:firstLine="1"/>
        <w:jc w:val="both"/>
        <w:rPr>
          <w:rFonts w:ascii="Times New Roman" w:eastAsia="方正黑体_GBK" w:hAnsi="Times New Roman"/>
          <w:b w:val="0"/>
          <w:color w:val="000000"/>
        </w:rPr>
      </w:pPr>
      <w:bookmarkStart w:id="0" w:name="_GoBack"/>
      <w:bookmarkEnd w:id="0"/>
      <w:r>
        <w:rPr>
          <w:rFonts w:ascii="Times New Roman" w:eastAsia="方正黑体_GBK" w:hAnsi="Times New Roman"/>
          <w:b w:val="0"/>
          <w:color w:val="000000"/>
        </w:rPr>
        <w:t>附件</w:t>
      </w:r>
      <w:r>
        <w:rPr>
          <w:rFonts w:ascii="Times New Roman" w:eastAsia="方正黑体_GBK" w:hAnsi="Times New Roman" w:hint="eastAsia"/>
          <w:b w:val="0"/>
          <w:color w:val="000000"/>
        </w:rPr>
        <w:t>1</w:t>
      </w:r>
    </w:p>
    <w:p>
      <w:pPr>
        <w:spacing w:before="0" w:after="0" w:line="560" w:lineRule="exact"/>
        <w:ind w:firstLine="1"/>
        <w:jc w:val="both"/>
      </w:pPr>
    </w:p>
    <w:p>
      <w:pPr>
        <w:spacing w:line="560" w:lineRule="exact"/>
        <w:jc w:val="center"/>
        <w:rPr>
          <w:rFonts w:eastAsia="方正小标宋_GBK" w:hint="eastAsia"/>
          <w:sz w:val="44"/>
          <w:szCs w:val="44"/>
        </w:rPr>
      </w:pPr>
      <w:r>
        <w:rPr>
          <w:rFonts w:eastAsia="方正小标宋_GBK" w:hint="eastAsia"/>
          <w:sz w:val="44"/>
          <w:szCs w:val="44"/>
        </w:rPr>
        <w:t>出口前冷处理操作程序</w:t>
      </w:r>
    </w:p>
    <w:p>
      <w:pPr>
        <w:spacing w:line="560" w:lineRule="exact"/>
        <w:jc w:val="center"/>
        <w:rPr>
          <w:rFonts w:eastAsia="方正小标宋_GBK" w:hint="eastAsia"/>
          <w:szCs w:val="32"/>
        </w:rPr>
      </w:pPr>
    </w:p>
    <w:p>
      <w:pPr>
        <w:spacing w:line="560" w:lineRule="exact"/>
        <w:ind w:firstLineChars="200" w:firstLine="640"/>
        <w:rPr>
          <w:rFonts w:eastAsia="方正黑体_GBK" w:hint="eastAsia"/>
          <w:szCs w:val="32"/>
        </w:rPr>
      </w:pPr>
      <w:r>
        <w:rPr>
          <w:rFonts w:eastAsia="方正黑体_GBK" w:hint="eastAsia"/>
          <w:szCs w:val="32"/>
        </w:rPr>
        <w:t>一、冷处理设施类型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1．出口前冷处理只能在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批准的冷藏室内进行，包括在</w:t>
      </w:r>
      <w:r>
        <w:rPr>
          <w:rFonts w:hint="eastAsia"/>
          <w:szCs w:val="32"/>
        </w:rPr>
        <w:t>中方</w:t>
      </w:r>
      <w:r>
        <w:rPr>
          <w:rFonts w:eastAsia="方正仿宋_GBK" w:hint="eastAsia"/>
          <w:szCs w:val="32"/>
        </w:rPr>
        <w:t>批准的西班牙输华樱桃注册企业名单中（果园、包装厂和冷处理设施）。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2．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须确保出口商使用的冷藏室符合适当标准，且具有能使果实达到和维持所需温度的制冷设备。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3．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须保留批准用于输华水果出口前冷处理的冷藏室注册文件。该文件应包含以下内容：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（1）所有设施的位置及构建计划，包括所有者／操作者的详细联系方式；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（2）设施的尺寸及容量；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（3）墙壁、地板和天花板的隔热类型；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（4）制冷压缩机、蒸发器和空气循环系统的牌子、样式、类型和容量；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（5）设备的温度范围，除霜循环控制和任何集成的温度记录设备的规格及详细资料等。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4．输华樱桃冷处理设施须经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注册，并由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和</w:t>
      </w:r>
      <w:r>
        <w:rPr>
          <w:rFonts w:hint="eastAsia"/>
          <w:szCs w:val="32"/>
        </w:rPr>
        <w:t>中方</w:t>
      </w:r>
      <w:r>
        <w:rPr>
          <w:rFonts w:eastAsia="方正仿宋_GBK" w:hint="eastAsia"/>
          <w:szCs w:val="32"/>
        </w:rPr>
        <w:t>共同批准。在樱桃出口季节开始之前，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需向</w:t>
      </w:r>
      <w:r>
        <w:rPr>
          <w:rFonts w:hint="eastAsia"/>
          <w:szCs w:val="32"/>
        </w:rPr>
        <w:t>中方</w:t>
      </w:r>
      <w:r>
        <w:rPr>
          <w:rFonts w:eastAsia="方正仿宋_GBK" w:hint="eastAsia"/>
          <w:szCs w:val="32"/>
        </w:rPr>
        <w:t>提交当前注册的冷处理设施名单。</w:t>
      </w:r>
    </w:p>
    <w:p>
      <w:pPr>
        <w:spacing w:line="560" w:lineRule="exact"/>
        <w:ind w:firstLineChars="200" w:firstLine="640"/>
        <w:rPr>
          <w:rFonts w:eastAsia="方正黑体_GBK" w:hint="eastAsia"/>
          <w:szCs w:val="32"/>
        </w:rPr>
      </w:pPr>
      <w:r>
        <w:rPr>
          <w:rFonts w:eastAsia="方正黑体_GBK" w:hint="eastAsia"/>
          <w:szCs w:val="32"/>
        </w:rPr>
        <w:t>二、记录仪类型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须确保探针和温度记录仪满足以下条件：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1．探针温度应在-3.0</w:t>
      </w:r>
      <w:r>
        <w:rPr>
          <w:rFonts w:ascii="宋体" w:eastAsia="宋体" w:hint="eastAsia"/>
          <w:szCs w:val="32"/>
        </w:rPr>
        <w:t>℃</w:t>
      </w:r>
      <w:r>
        <w:rPr>
          <w:rFonts w:eastAsia="方正仿宋_GBK" w:hint="eastAsia"/>
          <w:szCs w:val="32"/>
        </w:rPr>
        <w:t>到+3.0</w:t>
      </w:r>
      <w:r>
        <w:rPr>
          <w:rFonts w:ascii="宋体" w:eastAsia="宋体" w:hint="eastAsia"/>
          <w:szCs w:val="32"/>
        </w:rPr>
        <w:t>℃</w:t>
      </w:r>
      <w:r>
        <w:rPr>
          <w:rFonts w:eastAsia="方正仿宋_GBK" w:hint="eastAsia"/>
          <w:szCs w:val="32"/>
        </w:rPr>
        <w:t>之间，精确到±0.15</w:t>
      </w:r>
      <w:r>
        <w:rPr>
          <w:rFonts w:ascii="宋体" w:eastAsia="宋体" w:hint="eastAsia"/>
          <w:szCs w:val="32"/>
        </w:rPr>
        <w:t>℃</w:t>
      </w:r>
      <w:r>
        <w:rPr>
          <w:rFonts w:eastAsia="方正仿宋_GBK" w:hint="eastAsia"/>
          <w:szCs w:val="32"/>
        </w:rPr>
        <w:t>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2．能够容纳所需数量的探针；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3．能够记录并贮存处理过程的数据，直至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查验；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4．能够每小时至少记录所有探针温度一次，且达到对探针温度所要求的精度；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eastAsia="方正仿宋_GBK" w:hint="eastAsia"/>
          <w:szCs w:val="32"/>
        </w:rPr>
        <w:t>5．能够打印输出识别每个探针、时间和温度并注明记录仪型号和集装箱号码的结果。</w:t>
      </w:r>
    </w:p>
    <w:p>
      <w:pPr>
        <w:spacing w:line="560" w:lineRule="exact"/>
        <w:ind w:firstLineChars="200" w:firstLine="640"/>
        <w:rPr>
          <w:rFonts w:eastAsia="方正黑体_GBK" w:hint="eastAsia"/>
          <w:szCs w:val="32"/>
        </w:rPr>
      </w:pPr>
      <w:r>
        <w:rPr>
          <w:rFonts w:eastAsia="方正黑体_GBK" w:hint="eastAsia"/>
          <w:szCs w:val="32"/>
        </w:rPr>
        <w:t>三、探针校正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校正须用由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批准的标准温度计在碎冰和蒸馏水混合物中进行：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1．任何读数超出0</w:t>
      </w:r>
      <w:r>
        <w:rPr>
          <w:rFonts w:ascii="宋体" w:eastAsia="宋体" w:hint="eastAsia"/>
          <w:szCs w:val="32"/>
        </w:rPr>
        <w:t>℃</w:t>
      </w:r>
      <w:r>
        <w:rPr>
          <w:rFonts w:eastAsia="方正仿宋_GBK" w:hint="eastAsia"/>
          <w:szCs w:val="32"/>
        </w:rPr>
        <w:t>±0.3</w:t>
      </w:r>
      <w:r>
        <w:rPr>
          <w:rFonts w:ascii="宋体" w:eastAsia="宋体" w:hint="eastAsia"/>
          <w:szCs w:val="32"/>
        </w:rPr>
        <w:t>℃</w:t>
      </w:r>
      <w:r>
        <w:rPr>
          <w:rFonts w:eastAsia="方正仿宋_GBK" w:hint="eastAsia"/>
          <w:szCs w:val="32"/>
        </w:rPr>
        <w:t>的探针都须用其他符合该标准的探针更换；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2．在处理完成时，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须用提及的校正方法验证果温探针的校正值。</w:t>
      </w:r>
    </w:p>
    <w:p>
      <w:pPr>
        <w:spacing w:line="560" w:lineRule="exact"/>
        <w:ind w:firstLineChars="200" w:firstLine="640"/>
        <w:rPr>
          <w:rFonts w:eastAsia="方正黑体_GBK" w:hint="eastAsia"/>
          <w:szCs w:val="32"/>
        </w:rPr>
      </w:pPr>
      <w:r>
        <w:rPr>
          <w:rFonts w:eastAsia="方正黑体_GBK" w:hint="eastAsia"/>
          <w:szCs w:val="32"/>
        </w:rPr>
        <w:t>四、探针安插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1．上托盘的水果须在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监管下预冷并装入冷处理室。预冷可由出口商自行完成。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2．至少用2个探针分别在出风口和回风口处测量室温，至少安插以下3个探针测量果实温度：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（1）一个位于冷处理室中部所装水果的中心；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（2）一个位于冷处理室中部所装水果顶层的边角；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（3）一个位于所装水果中部近回风口处。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3．探针的安插和与记录仪的连接须在</w:t>
      </w:r>
      <w:r>
        <w:rPr>
          <w:rFonts w:hint="eastAsia"/>
          <w:szCs w:val="32"/>
        </w:rPr>
        <w:t>西方</w:t>
      </w:r>
      <w:r>
        <w:rPr>
          <w:rFonts w:eastAsia="方正仿宋_GBK" w:hint="eastAsia"/>
          <w:szCs w:val="32"/>
        </w:rPr>
        <w:t>监管和指导下完成。</w:t>
      </w:r>
    </w:p>
    <w:p>
      <w:pPr>
        <w:spacing w:line="560" w:lineRule="exact"/>
        <w:ind w:firstLineChars="200" w:firstLine="640"/>
        <w:rPr>
          <w:rFonts w:eastAsia="方正仿宋_GBK" w:hint="eastAsia"/>
          <w:szCs w:val="32"/>
        </w:rPr>
      </w:pPr>
      <w:r>
        <w:rPr>
          <w:rFonts w:eastAsia="方正仿宋_GBK" w:hint="eastAsia"/>
          <w:szCs w:val="32"/>
        </w:rPr>
        <w:t>4．记录仪可以在任何时间启动，然而只有所有果温探针都达到指定温度时才能开始计算处理时间。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eastAsia="方正仿宋_GBK" w:hint="eastAsia"/>
          <w:szCs w:val="32"/>
        </w:rPr>
        <w:t>5．当只用最小数量的探针时，如果有任何探针连续超出4小时失效，则该处理无效，须重新开始。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五、处理结果审核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如果处理记录表明各处理参数已符合要求，西方官员可以授权结束处理，并对探针进行校正；如果探针校正结果符合第三条规定，则可认为该处理已成功完成。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六、处理结果确认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1．西方须保留完成处理后的探针校正记录，并按要求提供给中方审核。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2．如果在处理完成之后的探针校正读数比开始时设定的校正读数高，则其读数</w:t>
      </w:r>
      <w:r>
        <w:rPr>
          <w:szCs w:val="32"/>
        </w:rPr>
        <w:t>记录仪</w:t>
      </w:r>
      <w:r>
        <w:rPr>
          <w:rFonts w:hint="eastAsia"/>
          <w:szCs w:val="32"/>
        </w:rPr>
        <w:t>须作相应调整。如果调整结果表明其未能符合指定的处理要求，则该处理须被判定为无效。西方与出口商须一起确定是否重新处理该批水果。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3．打印输出的冷处理温度记录须含有与处理参数相匹配的统计数据，以证明冷处理已完成。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4．西方须在确认该处理成功之后背书上述冷处理温度记录，并按要求提供给中方审核。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5．如果处理未能达到所需的冷处理要求，在符合以下条件之一的，可以重新连接记录仪，并继续处理：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（1）西方确认第六条第三款所要求的条件仍满足</w:t>
      </w:r>
      <w:r>
        <w:rPr>
          <w:szCs w:val="32"/>
        </w:rPr>
        <w:t>；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（2）停止的时间与重新开始的时间间隔在24小时之内。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上述两种情况下，可从记录仪重新连接时起继续采集数据。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七、装入集装箱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1．装货前集装箱须经西方官员检查，以确保不带有害生物，并在入口处加以遮挡以防害虫进入。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2．水果须在具有防虫措施的建筑物内装箱；或者冷藏室出口和集装箱入口间用防虫材料连接。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八、集装箱的封识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1．装载水果的集装箱须用编码的封条封识，其封条号码需在植物检疫证书上注明。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2．封条只能在进境口岸由中国海关开启。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九、未立即装箱的水果贮存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处理过的水果如果未立即装箱，则可以在西方监管下暂时贮存。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1．如果水果贮存在冷处理室内，则冷处理室的门须封闭；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2．如果水果需转移到其他贮存室贮存，则其转移方式须经西方批准，而且该贮存室内不得贮存其他水果；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3．水果须在西方监管下按照第七条规定装箱。</w:t>
      </w:r>
    </w:p>
    <w:p>
      <w:pPr>
        <w:spacing w:line="560" w:lineRule="exact"/>
        <w:ind w:firstLineChars="200" w:firstLine="640"/>
        <w:rPr>
          <w:rFonts w:eastAsia="方正黑体_GBK"/>
          <w:szCs w:val="32"/>
        </w:rPr>
      </w:pPr>
      <w:r>
        <w:rPr>
          <w:rFonts w:eastAsia="方正黑体_GBK"/>
          <w:szCs w:val="32"/>
        </w:rPr>
        <w:t>十、植物检疫证书</w:t>
      </w:r>
    </w:p>
    <w:p>
      <w:pPr>
        <w:spacing w:line="560" w:lineRule="exact"/>
        <w:ind w:firstLineChars="200" w:firstLine="640"/>
        <w:rPr>
          <w:rFonts w:hint="eastAsia"/>
          <w:szCs w:val="32"/>
        </w:rPr>
      </w:pPr>
      <w:r>
        <w:rPr>
          <w:rFonts w:hint="eastAsia"/>
          <w:szCs w:val="32"/>
        </w:rPr>
        <w:t>1．出口前冷处理的温度、持续时间、冷处理设施名称或其注册号码，须在植物检疫证书中注明。</w:t>
      </w:r>
    </w:p>
    <w:p>
      <w:pPr>
        <w:spacing w:line="560" w:lineRule="exact"/>
        <w:ind w:firstLineChars="200" w:firstLine="640"/>
        <w:rPr>
          <w:szCs w:val="32"/>
        </w:rPr>
      </w:pPr>
      <w:r>
        <w:rPr>
          <w:rFonts w:hint="eastAsia"/>
          <w:szCs w:val="32"/>
        </w:rPr>
        <w:t>2．水果进境时，需向中国海关提供植物检疫证书、冷处理结果报告（附有由西方签字确认的冷处理温度记录）、果温探针校正记录。</w:t>
      </w:r>
    </w:p>
    <w:p/>
    <w:sectPr>
      <w:footerReference w:type="default" r:id="rId2"/>
      <w:footerReference w:type="even" r:id="rId3"/>
      <w:pgSz w:w="11906" w:h="16838"/>
      <w:pgMar w:top="1440" w:right="1800" w:bottom="1440" w:left="1800" w:header="851" w:footer="992" w:gutter="0"/>
      <w:pgNumType/>
      <w:docGrid w:type="lines" w:linePitch="312" w:charSpace="-655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方正黑体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宋体">
    <w:altName w:val="华文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方正黑体_GBK"/>
    <w:panose1 w:val="02000000000000000000"/>
    <w:charset w:val="86"/>
    <w:family w:val="script"/>
    <w:pitch w:val="variable"/>
    <w:sig w:usb0="A00002BF" w:usb1="38CF7CFA" w:usb2="00082016" w:usb3="00000000" w:csb0="00040001" w:csb1="00000000"/>
  </w:font>
  <w:font w:name="Cambria">
    <w:altName w:val="DejaVu Sans"/>
    <w:panose1 w:val="020B0603030804020204"/>
    <w:charset w:val="00"/>
    <w:family w:val="auto"/>
    <w:pitch w:val="variable"/>
    <w:sig w:usb0="E7006EFF" w:usb1="D200FDFF" w:usb2="0A246029" w:usb3="0400200C" w:csb0="600001FF" w:csb1="DFFF0000"/>
  </w:font>
  <w:font w:name="Calibri">
    <w:altName w:val="Times New Roman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3"/>
      </w:rPr>
      <w:fldChar w:fldCharType="begin"/>
    </w:r>
    <w:r>
      <w:rPr>
        <w:rStyle w:val="33"/>
      </w:rPr>
      <w:instrText>Page</w:instrText>
    </w:r>
    <w:r>
      <w:rPr>
        <w:rStyle w:val="33"/>
      </w:rPr>
      <w:fldChar w:fldCharType="separate"/>
    </w:r>
    <w:r>
      <w:rPr>
        <w:rStyle w:val="33"/>
      </w:rPr>
      <w:t>1</w:t>
    </w:r>
    <w:r>
      <w:rPr>
        <w:rStyle w:val="33"/>
      </w:rPr>
      <w:fldChar w:fldCharType="end"/>
    </w:r>
  </w:p>
  <w:p>
    <w:pPr>
      <w:pStyle w:val="32"/>
      <w:tabs>
        <w:tab w:val="center" w:pos="4153"/>
        <w:tab w:val="right" w:pos="8307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32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7"/>
      </w:tabs>
    </w:pPr>
    <w:r>
      <w:rPr>
        <w:rStyle w:val="33"/>
      </w:rPr>
      <w:fldChar w:fldCharType="begin"/>
    </w:r>
    <w:r>
      <w:rPr>
        <w:rStyle w:val="33"/>
      </w:rPr>
      <w:instrText>Page</w:instrText>
    </w:r>
    <w:r>
      <w:rPr>
        <w:rStyle w:val="33"/>
      </w:rPr>
      <w:fldChar w:fldCharType="separate"/>
    </w:r>
    <w:r>
      <w:rPr>
        <w:rStyle w:val="33"/>
      </w:rPr>
      <w:t>1</w:t>
    </w:r>
    <w:r>
      <w:rPr>
        <w:rStyle w:val="33"/>
      </w:rPr>
      <w:fldChar w:fldCharType="end"/>
    </w:r>
  </w:p>
  <w:p>
    <w:pPr>
      <w:pStyle w:val="32"/>
      <w:tabs>
        <w:tab w:val="center" w:pos="4153"/>
        <w:tab w:val="right" w:pos="8307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val="fullPage" w:percent="100"/>
  <w:doNotDisplayPageBoundaries/>
  <w:displayBackgroundShape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noPunctuationKerning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7"/>
      </w:tabs>
      <w:snapToGrid w:val="0"/>
      <w:jc w:val="center"/>
    </w:pPr>
    <w:rPr>
      <w:sz w:val="18"/>
      <w:szCs w:val="18"/>
    </w:rPr>
  </w:style>
  <w:style w:type="paragraph" w:styleId="16">
    <w:name w:val="Title"/>
    <w:basedOn w:val="0"/>
    <w:next w:val="0"/>
    <w:pPr>
      <w:widowControl w:val="0"/>
      <w:spacing w:before="240" w:after="60"/>
      <w:jc w:val="center"/>
      <w:outlineLvl w:val="0"/>
    </w:pPr>
    <w:rPr>
      <w:rFonts w:ascii="Cambria" w:eastAsia="宋体" w:cs="Times New Roman" w:hAnsi="Cambria"/>
      <w:b/>
      <w:bCs/>
      <w:kern w:val="2"/>
      <w:sz w:val="32"/>
      <w:szCs w:val="32"/>
      <w:lang w:val="en-US" w:eastAsia="zh-CN" w:bidi="ug-CN"/>
    </w:rPr>
  </w:style>
  <w:style w:type="paragraph" w:customStyle="1" w:styleId="17">
    <w:name w:val="样式 10 11 磅"/>
    <w:pPr>
      <w:widowControl w:val="0"/>
      <w:spacing w:after="200" w:line="276" w:lineRule="auto"/>
    </w:pPr>
    <w:rPr>
      <w:rFonts w:ascii="Calibri" w:eastAsia="宋体" w:cs="Calibri" w:hAnsi="Calibri"/>
      <w:sz w:val="22"/>
      <w:szCs w:val="22"/>
      <w:lang w:val="en-US" w:eastAsia="zh-CN" w:bidi="ar-SA"/>
    </w:rPr>
  </w:style>
  <w:style w:type="paragraph" w:customStyle="1" w:styleId="18">
    <w:name w:val="样式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19">
    <w:name w:val="样式 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0">
    <w:name w:val="样式 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1">
    <w:name w:val="样式 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2">
    <w:name w:val="样式 4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3">
    <w:name w:val="样式 5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4">
    <w:name w:val="样式 6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5">
    <w:name w:val="样式 7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6">
    <w:name w:val="样式 8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7">
    <w:name w:val="样式 9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8">
    <w:name w:val="样式 10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29">
    <w:name w:val="样式 11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0">
    <w:name w:val="样式 12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customStyle="1" w:styleId="31">
    <w:name w:val="样式 13 三号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szCs w:val="20"/>
      <w:lang w:val="en-US" w:eastAsia="zh-CN" w:bidi="ar-SA"/>
    </w:rPr>
  </w:style>
  <w:style w:type="paragraph" w:styleId="32">
    <w:name w:val="footer"/>
    <w:basedOn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character" w:styleId="33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15</TotalTime>
  <Application>Yozo_Office</Application>
  <Pages>5</Pages>
  <Words>1704</Words>
  <Characters>1718</Characters>
  <Lines>100</Lines>
  <Paragraphs>57</Paragraphs>
  <CharactersWithSpaces>1718</CharactersWithSpaces>
  <Company>Yozosoft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User274</dc:creator>
  <cp:lastModifiedBy>刘玮娜</cp:lastModifiedBy>
  <cp:revision>1</cp:revision>
  <dcterms:created xsi:type="dcterms:W3CDTF">2021-05-08T07:28:00Z</dcterms:created>
  <dcterms:modified xsi:type="dcterms:W3CDTF">2025-04-23T10:22:09Z</dcterms:modified>
</cp:coreProperties>
</file>