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FF07">
      <w:pPr>
        <w:spacing w:line="560" w:lineRule="exact"/>
        <w:ind w:right="210" w:rightChars="100"/>
        <w:jc w:val="center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</w:p>
    <w:p w14:paraId="3F0D0E96">
      <w:pPr>
        <w:spacing w:line="560" w:lineRule="exact"/>
        <w:ind w:right="210" w:rightChars="10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上海证券交易所发行上市审核业务指南</w:t>
      </w:r>
    </w:p>
    <w:p w14:paraId="7B976C15">
      <w:pPr>
        <w:spacing w:line="560" w:lineRule="exact"/>
        <w:ind w:right="210" w:rightChars="10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第</w:t>
      </w:r>
      <w:r>
        <w:rPr>
          <w:rFonts w:hint="default" w:ascii="Times New Roman" w:hAnsi="Times New Roman" w:eastAsia="方正大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号——常见问题的信息披露和核查</w:t>
      </w:r>
    </w:p>
    <w:p w14:paraId="3FA23DF8">
      <w:pPr>
        <w:spacing w:line="560" w:lineRule="exact"/>
        <w:ind w:right="210" w:rightChars="100"/>
        <w:jc w:val="center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要求自查表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大标宋简体" w:cs="Times New Roman"/>
          <w:b w:val="0"/>
          <w:bCs/>
          <w:sz w:val="44"/>
          <w:szCs w:val="44"/>
          <w:lang w:val="en-US" w:eastAsia="zh-CN"/>
        </w:rPr>
        <w:t>2025年4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月修订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eastAsia="zh-CN"/>
        </w:rPr>
        <w:t>）</w:t>
      </w:r>
    </w:p>
    <w:p w14:paraId="4F904A5B">
      <w:pPr>
        <w:spacing w:line="560" w:lineRule="exact"/>
        <w:ind w:right="210" w:rightChars="100"/>
        <w:rPr>
          <w:rFonts w:ascii="Times New Roman" w:hAnsi="Times New Roman" w:eastAsia="仿宋_GB2312" w:cs="Times New Roman"/>
          <w:sz w:val="30"/>
          <w:szCs w:val="30"/>
        </w:rPr>
      </w:pPr>
    </w:p>
    <w:p w14:paraId="5434E9C0">
      <w:pPr>
        <w:spacing w:line="60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第一条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为深入贯彻落实新“国九条”以及资本市场“1+N”政策体系，进一步压实发行人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、上市公司（以下统称发行人）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的信息披露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责任和中介机构的</w:t>
      </w:r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看门人”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责任，提高审核问询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性，</w:t>
      </w:r>
      <w:r>
        <w:rPr>
          <w:rFonts w:hint="default" w:ascii="Times New Roman" w:hAnsi="Times New Roman" w:eastAsia="仿宋_GB2312" w:cs="Times New Roman"/>
          <w:sz w:val="30"/>
          <w:szCs w:val="30"/>
          <w:lang w:bidi="ar"/>
        </w:rPr>
        <w:t>上海证券交易所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 w:bidi="ar"/>
        </w:rPr>
        <w:t>（以下简称本所）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发行上市审核相关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制度规则，对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沪市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主板和科创板首发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、再融资、重大资产重组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申报文件中的常见问题进行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梳理，制定本指南。</w:t>
      </w:r>
    </w:p>
    <w:p w14:paraId="10CD18CD">
      <w:pPr>
        <w:spacing w:line="56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  <w:lang w:val="en-US" w:eastAsia="zh-CN"/>
        </w:rPr>
        <w:t>本指南适用于本所所有主板和科创板发行人，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相关事项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注明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适用于主板或者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科创板的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除外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07C7D0CB">
      <w:pPr>
        <w:spacing w:line="56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保荐人（独立财务顾问）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、律师事务所、会计师事务所等中介机构可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参考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本指南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的填写要求，在提交申请文件的同时或受理后</w:t>
      </w:r>
      <w:r>
        <w:rPr>
          <w:rFonts w:ascii="Times New Roman" w:hAnsi="Times New Roman" w:eastAsia="仿宋_GB2312" w:cs="Times New Roman"/>
          <w:sz w:val="30"/>
          <w:szCs w:val="30"/>
        </w:rPr>
        <w:t>3个工作日内提交表格及相关专项报告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（如有）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0BF11AFC">
      <w:pPr>
        <w:spacing w:line="60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本指南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仅列示常见申报问题供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中介机构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参考。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机构应当按照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首发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、再融资、重大资产重组等业务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规则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规定并结合发行人实际情况，全面履行核查义务。</w:t>
      </w:r>
    </w:p>
    <w:p w14:paraId="4069A8F5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发行人存在其他影响发行上市条件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、重组条件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的重大事项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，或者相关事项系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根据最新监管要求进行披露及核查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，本指南未作规定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机构可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对自查表进行必要的增补。</w:t>
      </w:r>
    </w:p>
    <w:p w14:paraId="541B6287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本指南具体填写内容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对发行人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确实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不适用的，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中介机构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原则上无需在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报告中进行说明，但需在自查表“备注”一栏中写明理由。有其他需要特别说明的事项，亦在“备注”一栏中填写。</w:t>
      </w:r>
    </w:p>
    <w:p w14:paraId="306B8807">
      <w:pPr>
        <w:spacing w:line="56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自查表应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当</w:t>
      </w:r>
      <w:r>
        <w:rPr>
          <w:rFonts w:ascii="Times New Roman" w:hAnsi="Times New Roman" w:eastAsia="仿宋_GB2312" w:cs="Times New Roman"/>
          <w:sz w:val="30"/>
          <w:szCs w:val="30"/>
        </w:rPr>
        <w:t>由保荐业务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（独立财务顾问重组业务）</w:t>
      </w:r>
      <w:r>
        <w:rPr>
          <w:rFonts w:ascii="Times New Roman" w:hAnsi="Times New Roman" w:eastAsia="仿宋_GB2312" w:cs="Times New Roman"/>
          <w:sz w:val="30"/>
          <w:szCs w:val="30"/>
        </w:rPr>
        <w:t>负责人、内核负责人、投行质控负责人、保荐代表人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项目主办</w:t>
      </w:r>
      <w:r>
        <w:rPr>
          <w:rFonts w:ascii="Times New Roman" w:hAnsi="Times New Roman" w:eastAsia="仿宋_GB2312" w:cs="Times New Roman"/>
          <w:sz w:val="30"/>
          <w:szCs w:val="30"/>
        </w:rPr>
        <w:t>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szCs w:val="30"/>
        </w:rPr>
        <w:t>、签字会计师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签字律师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等</w:t>
      </w:r>
      <w:r>
        <w:rPr>
          <w:rFonts w:ascii="Times New Roman" w:hAnsi="Times New Roman" w:eastAsia="仿宋_GB2312" w:cs="Times New Roman"/>
          <w:sz w:val="30"/>
          <w:szCs w:val="30"/>
        </w:rPr>
        <w:t>签字，加盖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保荐人（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独立财务顾问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szCs w:val="30"/>
        </w:rPr>
        <w:t>、会计师事务所、律师事务所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等机构</w:t>
      </w:r>
      <w:r>
        <w:rPr>
          <w:rFonts w:ascii="Times New Roman" w:hAnsi="Times New Roman" w:eastAsia="仿宋_GB2312" w:cs="Times New Roman"/>
          <w:sz w:val="30"/>
          <w:szCs w:val="30"/>
        </w:rPr>
        <w:t>公章并注明签署日期。会计师专项核查报告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（如有）</w:t>
      </w:r>
      <w:r>
        <w:rPr>
          <w:rFonts w:ascii="Times New Roman" w:hAnsi="Times New Roman" w:eastAsia="仿宋_GB2312" w:cs="Times New Roman"/>
          <w:sz w:val="30"/>
          <w:szCs w:val="30"/>
        </w:rPr>
        <w:t>应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当</w:t>
      </w:r>
      <w:r>
        <w:rPr>
          <w:rFonts w:ascii="Times New Roman" w:hAnsi="Times New Roman" w:eastAsia="仿宋_GB2312" w:cs="Times New Roman"/>
          <w:sz w:val="30"/>
          <w:szCs w:val="30"/>
        </w:rPr>
        <w:t>由签字会计师签字，加盖会计师事务所公章并注明签署日期。</w:t>
      </w:r>
    </w:p>
    <w:p w14:paraId="24C560F3">
      <w:pPr>
        <w:topLinePunct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第六条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各中介机构应当高度重视，认真落实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并回应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信息披露及核查要求。对于已经按照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本指南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充分核查、披露的问题，本所将根据实际情况相应简化问询；对于未落实相关信息披露及核查要求，导致发行上市申请文件内容存在重大缺陷，严重影响投资者理解和上市审核的，本所将根据《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证券交易所股票发行上市审核规则》《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证券交易所上市公司证券发行上市审核规则》《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证券交易所上市公司重大资产重组审核规则》等有关规定，终止发行上市审核。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本指南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的填报质量将作为中介机构执业质量评价的参考依据。</w:t>
      </w:r>
    </w:p>
    <w:p w14:paraId="35AE13FE">
      <w:pPr>
        <w:spacing w:line="600" w:lineRule="exact"/>
        <w:ind w:left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第七条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本指南由本所负责解释。</w:t>
      </w:r>
    </w:p>
    <w:p w14:paraId="648D9415">
      <w:pPr>
        <w:spacing w:line="600" w:lineRule="exact"/>
        <w:ind w:left="0"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本指南自发布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日起施行。本所于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日发布的《上海证券交易所发行上市审核业务指南第4号——常见问题的信息披露和核查要求自查表（2024年12月修订）》（上证函〔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〕3670号）同时废止。</w:t>
      </w:r>
    </w:p>
    <w:p w14:paraId="1B436E8D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9D68885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第一号 首次公开发行（2024年12月修订）</w:t>
      </w:r>
    </w:p>
    <w:p w14:paraId="59AC7E5B">
      <w:pPr>
        <w:spacing w:line="600" w:lineRule="exact"/>
        <w:ind w:left="1491" w:leftChars="710" w:firstLine="0" w:firstLineChars="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第二号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上市公司向不特定对象发行证券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2025年4月修订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</w:p>
    <w:p w14:paraId="19F3F63B">
      <w:pPr>
        <w:spacing w:line="600" w:lineRule="exact"/>
        <w:ind w:left="1491" w:leftChars="710" w:firstLine="0" w:firstLineChars="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第三号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上市公司向特定对象发行证券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2025年4月修订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</w:p>
    <w:p w14:paraId="025860E3">
      <w:pPr>
        <w:spacing w:line="600" w:lineRule="exact"/>
        <w:ind w:left="1491" w:leftChars="710" w:firstLine="0" w:firstLineChars="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第四号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上市公司以简易程序向特定对象发行证券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2025年4月修订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</w:p>
    <w:p w14:paraId="4B619FBA">
      <w:pPr>
        <w:spacing w:line="600" w:lineRule="exact"/>
        <w:ind w:left="1491" w:leftChars="710" w:firstLine="0" w:firstLineChars="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第五号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上市公司重大资产重组</w:t>
      </w:r>
    </w:p>
    <w:p w14:paraId="32A6A045">
      <w:pPr>
        <w:spacing w:line="600" w:lineRule="exact"/>
        <w:ind w:firstLine="1500" w:firstLineChars="5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 w14:paraId="63DB4755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5D732DB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CBC762A"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PMingLiU">
    <w:altName w:val="Droid Sans Fallback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046F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15339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115339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F4E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OWRjMmY1YzM1Yzc2M2RiNWU0NTIzYmRmYTI0NmEifQ=="/>
  </w:docVars>
  <w:rsids>
    <w:rsidRoot w:val="26BC6A22"/>
    <w:rsid w:val="0098388D"/>
    <w:rsid w:val="01D17056"/>
    <w:rsid w:val="02BF3353"/>
    <w:rsid w:val="03283F14"/>
    <w:rsid w:val="03681C3C"/>
    <w:rsid w:val="056E61A6"/>
    <w:rsid w:val="092D2B24"/>
    <w:rsid w:val="0AB92A93"/>
    <w:rsid w:val="0AD90D79"/>
    <w:rsid w:val="0B04049C"/>
    <w:rsid w:val="0B4F4B5A"/>
    <w:rsid w:val="0B520F81"/>
    <w:rsid w:val="0C0B7609"/>
    <w:rsid w:val="0C1739E5"/>
    <w:rsid w:val="0C5B2127"/>
    <w:rsid w:val="0CA86E36"/>
    <w:rsid w:val="0CB90E13"/>
    <w:rsid w:val="0CF32EF4"/>
    <w:rsid w:val="0D18022F"/>
    <w:rsid w:val="0DF77077"/>
    <w:rsid w:val="0E7B0CEB"/>
    <w:rsid w:val="0F0C5B71"/>
    <w:rsid w:val="0FF50367"/>
    <w:rsid w:val="13775F46"/>
    <w:rsid w:val="193C7053"/>
    <w:rsid w:val="1B6603B7"/>
    <w:rsid w:val="1BD57C5E"/>
    <w:rsid w:val="1C112A19"/>
    <w:rsid w:val="1E120F87"/>
    <w:rsid w:val="1ED34D68"/>
    <w:rsid w:val="201E74D2"/>
    <w:rsid w:val="20B227FE"/>
    <w:rsid w:val="22E569AE"/>
    <w:rsid w:val="24942439"/>
    <w:rsid w:val="24D82326"/>
    <w:rsid w:val="26BC6A22"/>
    <w:rsid w:val="2BB3460A"/>
    <w:rsid w:val="2D3E4B41"/>
    <w:rsid w:val="2E731311"/>
    <w:rsid w:val="2EA05DB7"/>
    <w:rsid w:val="30696F72"/>
    <w:rsid w:val="311846E7"/>
    <w:rsid w:val="31B71E5C"/>
    <w:rsid w:val="330D498C"/>
    <w:rsid w:val="34A24DFE"/>
    <w:rsid w:val="38237904"/>
    <w:rsid w:val="38567A7E"/>
    <w:rsid w:val="3A12378C"/>
    <w:rsid w:val="3C1E74CE"/>
    <w:rsid w:val="3D600CB3"/>
    <w:rsid w:val="3D6E29A3"/>
    <w:rsid w:val="3DFFC00E"/>
    <w:rsid w:val="3EDAAE3B"/>
    <w:rsid w:val="3FFAEA60"/>
    <w:rsid w:val="42D0481F"/>
    <w:rsid w:val="45846CF4"/>
    <w:rsid w:val="45B420F0"/>
    <w:rsid w:val="4832149E"/>
    <w:rsid w:val="495F4514"/>
    <w:rsid w:val="499A298C"/>
    <w:rsid w:val="4A217B77"/>
    <w:rsid w:val="4C570CE7"/>
    <w:rsid w:val="5302488E"/>
    <w:rsid w:val="53A25BC0"/>
    <w:rsid w:val="551D275C"/>
    <w:rsid w:val="57CA4A1A"/>
    <w:rsid w:val="58A91308"/>
    <w:rsid w:val="5B626E43"/>
    <w:rsid w:val="5BDE6302"/>
    <w:rsid w:val="5BE5CF20"/>
    <w:rsid w:val="5C0C22DA"/>
    <w:rsid w:val="5C2C297C"/>
    <w:rsid w:val="5C645C72"/>
    <w:rsid w:val="5CE90CEB"/>
    <w:rsid w:val="5D4B6E32"/>
    <w:rsid w:val="5F406A36"/>
    <w:rsid w:val="5F6E15DA"/>
    <w:rsid w:val="5F7789FB"/>
    <w:rsid w:val="610619ED"/>
    <w:rsid w:val="61995E6F"/>
    <w:rsid w:val="65916C99"/>
    <w:rsid w:val="69E72AF3"/>
    <w:rsid w:val="6BCF0C2E"/>
    <w:rsid w:val="6D262B70"/>
    <w:rsid w:val="6D392803"/>
    <w:rsid w:val="70871AD7"/>
    <w:rsid w:val="70A02B99"/>
    <w:rsid w:val="74FE9E2D"/>
    <w:rsid w:val="75071439"/>
    <w:rsid w:val="75632F53"/>
    <w:rsid w:val="75F79DA9"/>
    <w:rsid w:val="774424D0"/>
    <w:rsid w:val="77F5E707"/>
    <w:rsid w:val="78370287"/>
    <w:rsid w:val="798412AA"/>
    <w:rsid w:val="7D5D0F33"/>
    <w:rsid w:val="7E0D1885"/>
    <w:rsid w:val="7E9D3FBA"/>
    <w:rsid w:val="7EFB200E"/>
    <w:rsid w:val="7F7F79C4"/>
    <w:rsid w:val="7FAA7590"/>
    <w:rsid w:val="7FED7BDD"/>
    <w:rsid w:val="7FF7281C"/>
    <w:rsid w:val="B7FF8FB3"/>
    <w:rsid w:val="F7FD35E9"/>
    <w:rsid w:val="FABEE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3" w:firstLineChars="200"/>
    </w:pPr>
    <w:rPr>
      <w:rFonts w:cstheme="minorBidi"/>
      <w:lang w:val="en-US"/>
    </w:rPr>
  </w:style>
  <w:style w:type="paragraph" w:styleId="3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0"/>
      <w:szCs w:val="20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1161</Words>
  <Characters>1197</Characters>
  <Lines>0</Lines>
  <Paragraphs>0</Paragraphs>
  <TotalTime>7</TotalTime>
  <ScaleCrop>false</ScaleCrop>
  <LinksUpToDate>false</LinksUpToDate>
  <CharactersWithSpaces>1210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2023-03-03T11:50:00Z</dcterms:created>
  <dc:creator>sse</dc:creator>
  <cp:lastModifiedBy>whxu</cp:lastModifiedBy>
  <dcterms:modified xsi:type="dcterms:W3CDTF">2025-04-25T18:35:14Z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3EE4A4E3BA743811495A0B6835A0F558_43</vt:lpwstr>
  </property>
  <property fmtid="{D5CDD505-2E9C-101B-9397-08002B2CF9AE}" pid="4" name="KSOTemplateDocerSaveRecord">
    <vt:lpwstr>eyJoZGlkIjoiYTlmOWRjMmY1YzM1Yzc2M2RiNWU0NTIzYmRmYTI0NmEiLCJ1c2VySWQiOiIxMzQ4MjcwNDg4In0=</vt:lpwstr>
  </property>
</Properties>
</file>