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360" w:lineRule="auto"/>
        <w:rPr>
          <w:rFonts w:ascii="黑体" w:hAnsi="黑体" w:eastAsia="黑体"/>
          <w:b/>
          <w:bCs/>
          <w:kern w:val="0"/>
          <w:sz w:val="36"/>
          <w:szCs w:val="36"/>
        </w:rPr>
      </w:pPr>
      <w:r>
        <w:rPr>
          <w:rFonts w:hint="eastAsia" w:ascii="黑体" w:hAnsi="黑体" w:eastAsia="黑体"/>
          <w:kern w:val="0"/>
          <w:sz w:val="32"/>
          <w:szCs w:val="32"/>
        </w:rPr>
        <w:t>附件3</w:t>
      </w:r>
    </w:p>
    <w:p>
      <w:pPr>
        <w:tabs>
          <w:tab w:val="left" w:pos="0"/>
        </w:tabs>
        <w:spacing w:line="360" w:lineRule="auto"/>
        <w:ind w:left="71" w:leftChars="-67" w:hanging="212" w:hangingChars="59"/>
        <w:jc w:val="center"/>
        <w:outlineLvl w:val="0"/>
        <w:rPr>
          <w:rFonts w:ascii="仿宋" w:hAnsi="仿宋" w:eastAsia="仿宋"/>
          <w:b/>
          <w:bCs/>
          <w:kern w:val="0"/>
          <w:sz w:val="36"/>
          <w:szCs w:val="36"/>
        </w:rPr>
      </w:pPr>
      <w:bookmarkStart w:id="1" w:name="_GoBack"/>
      <w:r>
        <w:rPr>
          <w:rFonts w:hint="eastAsia" w:ascii="方正小标宋简体" w:hAnsi="方正小标宋简体" w:eastAsia="方正小标宋简体" w:cs="方正小标宋简体"/>
          <w:b w:val="0"/>
          <w:bCs w:val="0"/>
          <w:kern w:val="0"/>
          <w:sz w:val="36"/>
          <w:szCs w:val="36"/>
        </w:rPr>
        <w:t>2023年度执业质量检查提供资料清单</w:t>
      </w:r>
    </w:p>
    <w:bookmarkEnd w:id="1"/>
    <w:tbl>
      <w:tblPr>
        <w:tblStyle w:val="3"/>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379"/>
        <w:gridCol w:w="851"/>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blHeader/>
          <w:jc w:val="center"/>
        </w:trPr>
        <w:tc>
          <w:tcPr>
            <w:tcW w:w="649" w:type="dxa"/>
            <w:vAlign w:val="center"/>
          </w:tcPr>
          <w:p>
            <w:pPr>
              <w:adjustRightInd w:val="0"/>
              <w:snapToGrid w:val="0"/>
              <w:jc w:val="center"/>
              <w:rPr>
                <w:rFonts w:ascii="宋体" w:hAnsi="宋体" w:cs="宋体"/>
                <w:b/>
                <w:bCs/>
                <w:color w:val="000000"/>
                <w:szCs w:val="21"/>
              </w:rPr>
            </w:pPr>
            <w:r>
              <w:rPr>
                <w:rFonts w:hint="eastAsia" w:ascii="宋体" w:hAnsi="宋体" w:cs="宋体"/>
                <w:b/>
                <w:bCs/>
                <w:color w:val="000000"/>
                <w:szCs w:val="21"/>
              </w:rPr>
              <w:t>序号</w:t>
            </w:r>
          </w:p>
        </w:tc>
        <w:tc>
          <w:tcPr>
            <w:tcW w:w="6379" w:type="dxa"/>
            <w:vAlign w:val="center"/>
          </w:tcPr>
          <w:p>
            <w:pPr>
              <w:adjustRightInd w:val="0"/>
              <w:snapToGrid w:val="0"/>
              <w:jc w:val="center"/>
              <w:rPr>
                <w:rFonts w:ascii="宋体" w:hAnsi="宋体" w:cs="宋体"/>
                <w:b/>
                <w:bCs/>
                <w:color w:val="000000"/>
                <w:szCs w:val="21"/>
              </w:rPr>
            </w:pPr>
            <w:r>
              <w:rPr>
                <w:rFonts w:hint="eastAsia" w:ascii="宋体" w:hAnsi="宋体" w:cs="宋体"/>
                <w:b/>
                <w:bCs/>
                <w:color w:val="000000"/>
                <w:szCs w:val="21"/>
              </w:rPr>
              <w:t>资料名称</w:t>
            </w:r>
          </w:p>
        </w:tc>
        <w:tc>
          <w:tcPr>
            <w:tcW w:w="851" w:type="dxa"/>
            <w:vAlign w:val="center"/>
          </w:tcPr>
          <w:p>
            <w:pPr>
              <w:adjustRightInd w:val="0"/>
              <w:snapToGrid w:val="0"/>
              <w:rPr>
                <w:rFonts w:ascii="宋体" w:hAnsi="宋体" w:cs="宋体"/>
                <w:b/>
                <w:bCs/>
                <w:color w:val="000000"/>
                <w:szCs w:val="21"/>
              </w:rPr>
            </w:pPr>
            <w:r>
              <w:rPr>
                <w:rFonts w:hint="eastAsia" w:ascii="宋体" w:hAnsi="宋体" w:cs="宋体"/>
                <w:b/>
                <w:bCs/>
                <w:color w:val="000000"/>
                <w:szCs w:val="21"/>
              </w:rPr>
              <w:t xml:space="preserve"> 提供</w:t>
            </w:r>
          </w:p>
          <w:p>
            <w:pPr>
              <w:adjustRightInd w:val="0"/>
              <w:snapToGrid w:val="0"/>
              <w:rPr>
                <w:rFonts w:ascii="宋体" w:hAnsi="宋体" w:cs="宋体"/>
                <w:b/>
                <w:bCs/>
                <w:color w:val="000000"/>
                <w:szCs w:val="21"/>
              </w:rPr>
            </w:pPr>
            <w:r>
              <w:rPr>
                <w:rFonts w:hint="eastAsia" w:ascii="宋体" w:hAnsi="宋体" w:cs="宋体"/>
                <w:b/>
                <w:bCs/>
                <w:color w:val="000000"/>
                <w:szCs w:val="21"/>
              </w:rPr>
              <w:t xml:space="preserve"> 情况</w:t>
            </w:r>
          </w:p>
          <w:p>
            <w:pPr>
              <w:adjustRightInd w:val="0"/>
              <w:snapToGrid w:val="0"/>
              <w:rPr>
                <w:rFonts w:ascii="宋体" w:hAnsi="宋体" w:cs="宋体"/>
                <w:b/>
                <w:bCs/>
                <w:color w:val="000000"/>
                <w:szCs w:val="21"/>
              </w:rPr>
            </w:pPr>
            <w:r>
              <w:rPr>
                <w:rFonts w:hint="eastAsia" w:ascii="宋体" w:hAnsi="宋体" w:cs="宋体"/>
                <w:b/>
                <w:bCs/>
                <w:color w:val="000000"/>
                <w:szCs w:val="21"/>
              </w:rPr>
              <w:t>（Y/N）</w:t>
            </w:r>
          </w:p>
        </w:tc>
        <w:tc>
          <w:tcPr>
            <w:tcW w:w="2014" w:type="dxa"/>
            <w:vAlign w:val="center"/>
          </w:tcPr>
          <w:p>
            <w:pPr>
              <w:adjustRightInd w:val="0"/>
              <w:snapToGrid w:val="0"/>
              <w:jc w:val="center"/>
              <w:rPr>
                <w:rFonts w:ascii="宋体" w:hAns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1</w:t>
            </w:r>
          </w:p>
        </w:tc>
        <w:tc>
          <w:tcPr>
            <w:tcW w:w="6379" w:type="dxa"/>
            <w:vAlign w:val="center"/>
          </w:tcPr>
          <w:p>
            <w:pPr>
              <w:adjustRightInd w:val="0"/>
              <w:snapToGrid w:val="0"/>
              <w:spacing w:line="240" w:lineRule="atLeast"/>
              <w:rPr>
                <w:rFonts w:ascii="宋体" w:hAnsi="宋体"/>
                <w:color w:val="000000"/>
                <w:sz w:val="24"/>
                <w:szCs w:val="24"/>
              </w:rPr>
            </w:pPr>
            <w:r>
              <w:rPr>
                <w:rFonts w:hint="eastAsia" w:ascii="宋体" w:hAnsi="宋体" w:cs="仿宋_GB2312"/>
                <w:color w:val="000000"/>
                <w:sz w:val="24"/>
                <w:szCs w:val="24"/>
              </w:rPr>
              <w:t>被</w:t>
            </w:r>
            <w:bookmarkStart w:id="0" w:name="OLE_LINK2"/>
            <w:r>
              <w:rPr>
                <w:rFonts w:hint="eastAsia" w:ascii="宋体" w:hAnsi="宋体" w:cs="仿宋_GB2312"/>
                <w:color w:val="000000"/>
                <w:sz w:val="24"/>
                <w:szCs w:val="24"/>
              </w:rPr>
              <w:t>检查会计师事务所</w:t>
            </w:r>
            <w:bookmarkEnd w:id="0"/>
            <w:r>
              <w:rPr>
                <w:rFonts w:hint="eastAsia" w:ascii="宋体" w:hAnsi="宋体" w:cs="仿宋_GB2312"/>
                <w:color w:val="000000"/>
                <w:sz w:val="24"/>
                <w:szCs w:val="24"/>
              </w:rPr>
              <w:t>自查报告、会计师事务所基本信息表、声明书</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Align w:val="center"/>
          </w:tcPr>
          <w:p>
            <w:pPr>
              <w:adjustRightInd w:val="0"/>
              <w:snapToGrid w:val="0"/>
              <w:spacing w:line="240" w:lineRule="atLeast"/>
              <w:rPr>
                <w:rFonts w:ascii="宋体" w:hAnsi="宋体"/>
                <w:color w:val="000000"/>
                <w:sz w:val="24"/>
                <w:szCs w:val="24"/>
              </w:rPr>
            </w:pPr>
            <w:r>
              <w:rPr>
                <w:rFonts w:hint="eastAsia" w:ascii="宋体" w:hAnsi="宋体"/>
                <w:color w:val="000000"/>
                <w:sz w:val="24"/>
                <w:szCs w:val="24"/>
              </w:rPr>
              <w:t>提供盖公章纸质版及电子版（附件4、5、6）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2</w:t>
            </w:r>
          </w:p>
        </w:tc>
        <w:tc>
          <w:tcPr>
            <w:tcW w:w="6379" w:type="dxa"/>
            <w:vAlign w:val="center"/>
          </w:tcPr>
          <w:p>
            <w:pPr>
              <w:adjustRightInd w:val="0"/>
              <w:snapToGrid w:val="0"/>
              <w:spacing w:line="240" w:lineRule="atLeast"/>
              <w:rPr>
                <w:rFonts w:ascii="宋体" w:hAnsi="宋体" w:cs="仿宋_GB2312"/>
                <w:color w:val="000000"/>
                <w:sz w:val="24"/>
                <w:szCs w:val="24"/>
              </w:rPr>
            </w:pPr>
            <w:r>
              <w:rPr>
                <w:rFonts w:hint="eastAsia" w:ascii="宋体" w:hAnsi="宋体" w:cs="仿宋_GB2312"/>
                <w:color w:val="000000"/>
                <w:sz w:val="24"/>
                <w:szCs w:val="24"/>
              </w:rPr>
              <w:t>事务所资质证书及法律文书，包括但不限于：营业执照、执业证书、其他兼营资质证书；事务所住所（或办公场所）产权证书或使用权证书（或租赁协议）；事务所章程或合伙协议；事务所名称、办公场所变更的批准文件及相关材料</w:t>
            </w:r>
          </w:p>
        </w:tc>
        <w:tc>
          <w:tcPr>
            <w:tcW w:w="851" w:type="dxa"/>
            <w:vAlign w:val="center"/>
          </w:tcPr>
          <w:p>
            <w:pPr>
              <w:adjustRightInd w:val="0"/>
              <w:snapToGrid w:val="0"/>
              <w:spacing w:line="240" w:lineRule="atLeast"/>
              <w:rPr>
                <w:rFonts w:ascii="宋体" w:hAnsi="宋体" w:cs="仿宋_GB2312"/>
                <w:color w:val="000000"/>
                <w:sz w:val="24"/>
                <w:szCs w:val="24"/>
              </w:rPr>
            </w:pPr>
          </w:p>
        </w:tc>
        <w:tc>
          <w:tcPr>
            <w:tcW w:w="2014" w:type="dxa"/>
            <w:vMerge w:val="restart"/>
            <w:vAlign w:val="center"/>
          </w:tcPr>
          <w:p>
            <w:pPr>
              <w:adjustRightInd w:val="0"/>
              <w:snapToGrid w:val="0"/>
              <w:spacing w:line="240" w:lineRule="atLeast"/>
              <w:rPr>
                <w:rFonts w:ascii="宋体" w:hAnsi="宋体"/>
                <w:color w:val="000000"/>
                <w:sz w:val="24"/>
                <w:szCs w:val="24"/>
              </w:rPr>
            </w:pPr>
            <w:r>
              <w:rPr>
                <w:rFonts w:hint="eastAsia" w:ascii="宋体" w:hAnsi="宋体" w:cs="仿宋_GB2312"/>
                <w:color w:val="000000"/>
                <w:sz w:val="24"/>
                <w:szCs w:val="24"/>
              </w:rPr>
              <w:t>整理好纸质复印件，勿装订，盖骑缝章，按要求时间上报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3</w:t>
            </w:r>
          </w:p>
        </w:tc>
        <w:tc>
          <w:tcPr>
            <w:tcW w:w="6379" w:type="dxa"/>
            <w:vAlign w:val="center"/>
          </w:tcPr>
          <w:p>
            <w:pPr>
              <w:adjustRightInd w:val="0"/>
              <w:snapToGrid w:val="0"/>
              <w:spacing w:line="240" w:lineRule="atLeast"/>
              <w:rPr>
                <w:rFonts w:ascii="宋体" w:hAnsi="宋体" w:cs="仿宋_GB2312"/>
                <w:color w:val="000000"/>
                <w:sz w:val="24"/>
                <w:szCs w:val="24"/>
              </w:rPr>
            </w:pPr>
            <w:r>
              <w:rPr>
                <w:rFonts w:hint="eastAsia" w:ascii="宋体" w:hAnsi="宋体" w:cs="仿宋_GB2312"/>
                <w:color w:val="000000"/>
                <w:sz w:val="24"/>
                <w:szCs w:val="24"/>
              </w:rPr>
              <w:t>事务所组织架构图</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4</w:t>
            </w:r>
          </w:p>
        </w:tc>
        <w:tc>
          <w:tcPr>
            <w:tcW w:w="6379" w:type="dxa"/>
            <w:vAlign w:val="center"/>
          </w:tcPr>
          <w:p>
            <w:pPr>
              <w:adjustRightInd w:val="0"/>
              <w:snapToGrid w:val="0"/>
              <w:spacing w:line="240" w:lineRule="atLeast"/>
              <w:rPr>
                <w:rFonts w:ascii="宋体" w:hAnsi="宋体"/>
                <w:color w:val="000000"/>
                <w:sz w:val="24"/>
                <w:szCs w:val="24"/>
              </w:rPr>
            </w:pPr>
            <w:r>
              <w:rPr>
                <w:rFonts w:hint="eastAsia" w:ascii="宋体" w:hAnsi="宋体" w:cs="仿宋_GB2312"/>
                <w:color w:val="000000"/>
                <w:sz w:val="24"/>
                <w:szCs w:val="24"/>
              </w:rPr>
              <w:t>事务所近3年的合伙人会议和管理委员会或股东会和董事会等治理层组成及会议决议、会议纪要、会议记录</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5</w:t>
            </w:r>
          </w:p>
        </w:tc>
        <w:tc>
          <w:tcPr>
            <w:tcW w:w="6379" w:type="dxa"/>
            <w:vAlign w:val="center"/>
          </w:tcPr>
          <w:p>
            <w:pPr>
              <w:adjustRightInd w:val="0"/>
              <w:snapToGrid w:val="0"/>
              <w:spacing w:line="240" w:lineRule="atLeast"/>
              <w:rPr>
                <w:rFonts w:ascii="宋体" w:hAnsi="宋体" w:cs="仿宋_GB2312"/>
                <w:color w:val="000000"/>
                <w:sz w:val="24"/>
                <w:szCs w:val="24"/>
              </w:rPr>
            </w:pPr>
            <w:r>
              <w:rPr>
                <w:rFonts w:hint="eastAsia" w:ascii="宋体" w:hAnsi="宋体" w:cs="仿宋_GB2312"/>
                <w:color w:val="000000"/>
                <w:sz w:val="24"/>
                <w:szCs w:val="24"/>
              </w:rPr>
              <w:t>事务所内控文件及清单（提供纸质、电子版）包括事务所风险评估程序相关制度、质量管理制度、质量管理体系评价制度、职业道德（包括独立性）制度或职业道德守则等</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6</w:t>
            </w:r>
          </w:p>
        </w:tc>
        <w:tc>
          <w:tcPr>
            <w:tcW w:w="6379" w:type="dxa"/>
            <w:vAlign w:val="center"/>
          </w:tcPr>
          <w:p>
            <w:pPr>
              <w:adjustRightInd w:val="0"/>
              <w:snapToGrid w:val="0"/>
              <w:spacing w:line="240" w:lineRule="atLeast"/>
              <w:rPr>
                <w:rFonts w:ascii="宋体" w:hAnsi="宋体"/>
                <w:color w:val="000000"/>
                <w:sz w:val="24"/>
                <w:szCs w:val="24"/>
              </w:rPr>
            </w:pPr>
            <w:r>
              <w:rPr>
                <w:rFonts w:hint="eastAsia" w:ascii="宋体" w:hAnsi="宋体" w:cs="仿宋_GB2312"/>
                <w:color w:val="000000"/>
                <w:sz w:val="24"/>
                <w:szCs w:val="24"/>
              </w:rPr>
              <w:t>事务所近3年主任会计师（所长）、副主任会计师（副所长）或合伙人变更情况说明及相关证明文件</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7</w:t>
            </w:r>
          </w:p>
        </w:tc>
        <w:tc>
          <w:tcPr>
            <w:tcW w:w="6379" w:type="dxa"/>
            <w:vAlign w:val="center"/>
          </w:tcPr>
          <w:p>
            <w:pPr>
              <w:adjustRightInd w:val="0"/>
              <w:snapToGrid w:val="0"/>
              <w:spacing w:line="240" w:lineRule="atLeast"/>
              <w:rPr>
                <w:rFonts w:ascii="宋体" w:hAnsi="宋体" w:cs="宋体"/>
                <w:color w:val="000000"/>
                <w:sz w:val="24"/>
                <w:szCs w:val="24"/>
              </w:rPr>
            </w:pPr>
            <w:r>
              <w:rPr>
                <w:rFonts w:hint="eastAsia" w:ascii="宋体" w:hAnsi="宋体" w:cs="宋体"/>
                <w:sz w:val="24"/>
                <w:szCs w:val="24"/>
              </w:rPr>
              <w:t>事务所业务培训情况明细表（2023年1月1日-2024年6月30日）</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8</w:t>
            </w:r>
          </w:p>
        </w:tc>
        <w:tc>
          <w:tcPr>
            <w:tcW w:w="6379" w:type="dxa"/>
            <w:vAlign w:val="center"/>
          </w:tcPr>
          <w:p>
            <w:pPr>
              <w:adjustRightInd w:val="0"/>
              <w:snapToGrid w:val="0"/>
              <w:spacing w:line="240" w:lineRule="atLeast"/>
              <w:rPr>
                <w:rFonts w:ascii="宋体" w:hAnsi="宋体"/>
                <w:color w:val="000000"/>
                <w:sz w:val="24"/>
                <w:szCs w:val="24"/>
              </w:rPr>
            </w:pPr>
            <w:r>
              <w:rPr>
                <w:rFonts w:hint="eastAsia" w:ascii="宋体" w:hAnsi="宋体" w:cs="仿宋_GB2312"/>
                <w:color w:val="000000"/>
                <w:sz w:val="24"/>
                <w:szCs w:val="24"/>
              </w:rPr>
              <w:t>事务所从业人员晋升情况说明或明细表（2023年1月1日-2024年6月30日）</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9</w:t>
            </w:r>
          </w:p>
        </w:tc>
        <w:tc>
          <w:tcPr>
            <w:tcW w:w="6379" w:type="dxa"/>
            <w:vAlign w:val="center"/>
          </w:tcPr>
          <w:p>
            <w:pPr>
              <w:adjustRightInd w:val="0"/>
              <w:snapToGrid w:val="0"/>
              <w:spacing w:line="240" w:lineRule="atLeast"/>
              <w:rPr>
                <w:rFonts w:ascii="宋体" w:hAnsi="宋体"/>
                <w:color w:val="000000"/>
                <w:sz w:val="24"/>
                <w:szCs w:val="24"/>
              </w:rPr>
            </w:pPr>
            <w:r>
              <w:rPr>
                <w:rFonts w:hint="eastAsia" w:ascii="宋体" w:hAnsi="宋体" w:cs="仿宋_GB2312"/>
                <w:color w:val="000000"/>
                <w:sz w:val="24"/>
                <w:szCs w:val="24"/>
              </w:rPr>
              <w:t>事务所对员工的业绩评价考评指标及事务所2023年度的全体人员年度考核计划、考核情况表以及年度考核评价结果</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10</w:t>
            </w:r>
          </w:p>
        </w:tc>
        <w:tc>
          <w:tcPr>
            <w:tcW w:w="6379" w:type="dxa"/>
            <w:vAlign w:val="center"/>
          </w:tcPr>
          <w:p>
            <w:pPr>
              <w:adjustRightInd w:val="0"/>
              <w:snapToGrid w:val="0"/>
              <w:spacing w:line="240" w:lineRule="atLeast"/>
              <w:rPr>
                <w:rFonts w:ascii="宋体" w:hAnsi="宋体"/>
                <w:color w:val="000000"/>
                <w:sz w:val="24"/>
                <w:szCs w:val="24"/>
              </w:rPr>
            </w:pPr>
            <w:r>
              <w:rPr>
                <w:rFonts w:hint="eastAsia" w:ascii="宋体" w:hAnsi="宋体" w:cs="仿宋_GB2312"/>
                <w:color w:val="000000"/>
                <w:sz w:val="24"/>
                <w:szCs w:val="24"/>
              </w:rPr>
              <w:t>202</w:t>
            </w:r>
            <w:r>
              <w:rPr>
                <w:rFonts w:ascii="宋体" w:hAnsi="宋体" w:cs="仿宋_GB2312"/>
                <w:color w:val="000000"/>
                <w:sz w:val="24"/>
                <w:szCs w:val="24"/>
              </w:rPr>
              <w:t>3</w:t>
            </w:r>
            <w:r>
              <w:rPr>
                <w:rFonts w:hint="eastAsia" w:ascii="宋体" w:hAnsi="宋体" w:cs="仿宋_GB2312"/>
                <w:color w:val="000000"/>
                <w:sz w:val="24"/>
                <w:szCs w:val="24"/>
              </w:rPr>
              <w:t>年度职业保险单或202</w:t>
            </w:r>
            <w:r>
              <w:rPr>
                <w:rFonts w:ascii="宋体" w:hAnsi="宋体" w:cs="仿宋_GB2312"/>
                <w:color w:val="000000"/>
                <w:sz w:val="24"/>
                <w:szCs w:val="24"/>
              </w:rPr>
              <w:t>3</w:t>
            </w:r>
            <w:r>
              <w:rPr>
                <w:rFonts w:hint="eastAsia" w:ascii="宋体" w:hAnsi="宋体" w:cs="仿宋_GB2312"/>
                <w:color w:val="000000"/>
                <w:sz w:val="24"/>
                <w:szCs w:val="24"/>
              </w:rPr>
              <w:t>年度风险基金提取明细账</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11</w:t>
            </w:r>
          </w:p>
        </w:tc>
        <w:tc>
          <w:tcPr>
            <w:tcW w:w="6379" w:type="dxa"/>
            <w:vAlign w:val="center"/>
          </w:tcPr>
          <w:p>
            <w:pPr>
              <w:adjustRightInd w:val="0"/>
              <w:snapToGrid w:val="0"/>
              <w:spacing w:line="240" w:lineRule="atLeast"/>
              <w:rPr>
                <w:rFonts w:ascii="宋体" w:hAnsi="宋体" w:cs="宋体"/>
                <w:color w:val="000000"/>
                <w:sz w:val="24"/>
                <w:szCs w:val="24"/>
              </w:rPr>
            </w:pPr>
            <w:r>
              <w:rPr>
                <w:rFonts w:hint="eastAsia" w:ascii="宋体" w:hAnsi="宋体" w:cs="宋体"/>
                <w:sz w:val="24"/>
                <w:szCs w:val="24"/>
              </w:rPr>
              <w:t>事务所业务收费标准</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12</w:t>
            </w:r>
          </w:p>
        </w:tc>
        <w:tc>
          <w:tcPr>
            <w:tcW w:w="6379" w:type="dxa"/>
            <w:vAlign w:val="center"/>
          </w:tcPr>
          <w:p>
            <w:pPr>
              <w:adjustRightInd w:val="0"/>
              <w:snapToGrid w:val="0"/>
              <w:spacing w:line="240" w:lineRule="atLeast"/>
              <w:rPr>
                <w:rFonts w:ascii="宋体" w:hAnsi="宋体" w:cs="宋体"/>
                <w:color w:val="000000"/>
                <w:sz w:val="24"/>
                <w:szCs w:val="24"/>
              </w:rPr>
            </w:pPr>
            <w:r>
              <w:rPr>
                <w:rFonts w:hint="eastAsia" w:ascii="宋体" w:hAnsi="宋体" w:cs="宋体"/>
                <w:color w:val="000000"/>
                <w:sz w:val="24"/>
                <w:szCs w:val="24"/>
              </w:rPr>
              <w:t>事务所2023年1月1日-2024年4月30日业务报告发文登记簿、</w:t>
            </w:r>
            <w:r>
              <w:rPr>
                <w:rFonts w:hint="eastAsia" w:ascii="宋体" w:hAnsi="宋体" w:cs="宋体"/>
                <w:sz w:val="24"/>
                <w:szCs w:val="24"/>
              </w:rPr>
              <w:t>业务报告统计表（通过统一监管平台导出，同时备注连续服务年限、工作底稿册数）</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13</w:t>
            </w:r>
          </w:p>
        </w:tc>
        <w:tc>
          <w:tcPr>
            <w:tcW w:w="6379" w:type="dxa"/>
            <w:vAlign w:val="center"/>
          </w:tcPr>
          <w:p>
            <w:pPr>
              <w:adjustRightInd w:val="0"/>
              <w:snapToGrid w:val="0"/>
              <w:spacing w:line="240" w:lineRule="atLeast"/>
              <w:rPr>
                <w:rFonts w:ascii="宋体" w:hAnsi="宋体"/>
                <w:color w:val="000000"/>
                <w:sz w:val="24"/>
                <w:szCs w:val="24"/>
              </w:rPr>
            </w:pPr>
            <w:r>
              <w:rPr>
                <w:rFonts w:hint="eastAsia" w:ascii="宋体" w:hAnsi="宋体" w:cs="仿宋_GB2312"/>
                <w:color w:val="000000"/>
                <w:sz w:val="24"/>
                <w:szCs w:val="24"/>
              </w:rPr>
              <w:t>事务所业务档案登记簿及工作底稿借阅登记簿（2023年1月1日-2024年6月30日）</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14</w:t>
            </w:r>
          </w:p>
        </w:tc>
        <w:tc>
          <w:tcPr>
            <w:tcW w:w="6379" w:type="dxa"/>
            <w:vAlign w:val="center"/>
          </w:tcPr>
          <w:p>
            <w:pPr>
              <w:adjustRightInd w:val="0"/>
              <w:snapToGrid w:val="0"/>
              <w:spacing w:line="240" w:lineRule="atLeast"/>
              <w:rPr>
                <w:rFonts w:ascii="宋体" w:hAnsi="宋体"/>
                <w:color w:val="000000"/>
                <w:sz w:val="24"/>
                <w:szCs w:val="24"/>
              </w:rPr>
            </w:pPr>
            <w:r>
              <w:rPr>
                <w:rFonts w:hint="eastAsia" w:ascii="宋体" w:hAnsi="宋体" w:cs="仿宋_GB2312"/>
                <w:color w:val="000000"/>
                <w:sz w:val="24"/>
                <w:szCs w:val="24"/>
              </w:rPr>
              <w:t>审计软件供应商、购置或开发记录；事务所管理系统及相关情况</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Merge w:val="continue"/>
            <w:vAlign w:val="center"/>
          </w:tcPr>
          <w:p>
            <w:pPr>
              <w:adjustRightInd w:val="0"/>
              <w:snapToGrid w:val="0"/>
              <w:spacing w:line="24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15</w:t>
            </w:r>
          </w:p>
        </w:tc>
        <w:tc>
          <w:tcPr>
            <w:tcW w:w="6379" w:type="dxa"/>
            <w:vAlign w:val="center"/>
          </w:tcPr>
          <w:p>
            <w:pPr>
              <w:adjustRightInd w:val="0"/>
              <w:snapToGrid w:val="0"/>
              <w:spacing w:line="240" w:lineRule="atLeast"/>
              <w:rPr>
                <w:rFonts w:ascii="仿宋_GB2312" w:hAnsi="仿宋_GB2312" w:eastAsia="仿宋_GB2312" w:cs="仿宋_GB2312"/>
                <w:sz w:val="32"/>
                <w:szCs w:val="32"/>
              </w:rPr>
            </w:pPr>
            <w:r>
              <w:rPr>
                <w:rFonts w:hint="eastAsia" w:ascii="宋体" w:hAnsi="宋体" w:cs="仿宋_GB2312"/>
                <w:color w:val="000000"/>
                <w:sz w:val="24"/>
                <w:szCs w:val="24"/>
              </w:rPr>
              <w:t>事务所2023年度、2024年1-6月的财务报表及会计账簿、凭证等相关会计资料</w:t>
            </w:r>
          </w:p>
        </w:tc>
        <w:tc>
          <w:tcPr>
            <w:tcW w:w="851" w:type="dxa"/>
            <w:vAlign w:val="center"/>
          </w:tcPr>
          <w:p>
            <w:pPr>
              <w:adjustRightInd w:val="0"/>
              <w:snapToGrid w:val="0"/>
              <w:spacing w:line="240" w:lineRule="atLeast"/>
              <w:rPr>
                <w:rFonts w:ascii="宋体" w:hAnsi="宋体"/>
                <w:color w:val="000000"/>
                <w:sz w:val="24"/>
                <w:szCs w:val="24"/>
              </w:rPr>
            </w:pPr>
          </w:p>
        </w:tc>
        <w:tc>
          <w:tcPr>
            <w:tcW w:w="2014" w:type="dxa"/>
            <w:vAlign w:val="center"/>
          </w:tcPr>
          <w:p>
            <w:pPr>
              <w:adjustRightInd w:val="0"/>
              <w:snapToGrid w:val="0"/>
              <w:spacing w:line="240" w:lineRule="atLeast"/>
              <w:rPr>
                <w:rFonts w:ascii="宋体" w:hAnsi="宋体" w:cs="仿宋_GB2312"/>
                <w:color w:val="000000"/>
                <w:sz w:val="24"/>
                <w:szCs w:val="24"/>
              </w:rPr>
            </w:pPr>
            <w:r>
              <w:rPr>
                <w:rFonts w:hint="eastAsia" w:ascii="宋体" w:hAnsi="宋体" w:cs="仿宋_GB2312"/>
                <w:color w:val="000000"/>
                <w:sz w:val="24"/>
                <w:szCs w:val="24"/>
              </w:rPr>
              <w:t>按要求时间报送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adjustRightInd w:val="0"/>
              <w:snapToGrid w:val="0"/>
              <w:spacing w:line="240" w:lineRule="atLeast"/>
              <w:jc w:val="center"/>
              <w:rPr>
                <w:rFonts w:ascii="宋体" w:hAnsi="宋体" w:cs="仿宋_GB2312"/>
                <w:color w:val="000000"/>
                <w:sz w:val="24"/>
                <w:szCs w:val="24"/>
              </w:rPr>
            </w:pPr>
            <w:r>
              <w:rPr>
                <w:rFonts w:hint="eastAsia" w:ascii="宋体" w:hAnsi="宋体" w:cs="仿宋_GB2312"/>
                <w:color w:val="000000"/>
                <w:sz w:val="24"/>
                <w:szCs w:val="24"/>
              </w:rPr>
              <w:t>16</w:t>
            </w:r>
          </w:p>
        </w:tc>
        <w:tc>
          <w:tcPr>
            <w:tcW w:w="6379" w:type="dxa"/>
            <w:vAlign w:val="center"/>
          </w:tcPr>
          <w:p>
            <w:pPr>
              <w:adjustRightInd w:val="0"/>
              <w:snapToGrid w:val="0"/>
              <w:spacing w:line="240" w:lineRule="atLeast"/>
              <w:rPr>
                <w:rFonts w:ascii="宋体" w:hAnsi="宋体" w:cs="仿宋_GB2312"/>
                <w:color w:val="000000"/>
                <w:sz w:val="24"/>
                <w:szCs w:val="24"/>
              </w:rPr>
            </w:pPr>
            <w:r>
              <w:rPr>
                <w:rFonts w:hint="eastAsia" w:ascii="宋体" w:hAnsi="宋体" w:cs="宋体"/>
                <w:sz w:val="24"/>
                <w:szCs w:val="24"/>
              </w:rPr>
              <w:t>上一次检查的检查意见书和事务所的整改报告、事务所自查自纠报告、一体化管理自评报告等相关资料</w:t>
            </w:r>
          </w:p>
        </w:tc>
        <w:tc>
          <w:tcPr>
            <w:tcW w:w="851" w:type="dxa"/>
            <w:vAlign w:val="center"/>
          </w:tcPr>
          <w:p>
            <w:pPr>
              <w:adjustRightInd w:val="0"/>
              <w:snapToGrid w:val="0"/>
              <w:spacing w:line="240" w:lineRule="atLeast"/>
              <w:jc w:val="center"/>
              <w:rPr>
                <w:rFonts w:ascii="宋体" w:hAnsi="宋体" w:cs="仿宋_GB2312"/>
                <w:color w:val="000000"/>
                <w:sz w:val="24"/>
                <w:szCs w:val="24"/>
              </w:rPr>
            </w:pPr>
          </w:p>
        </w:tc>
        <w:tc>
          <w:tcPr>
            <w:tcW w:w="2014" w:type="dxa"/>
            <w:vAlign w:val="center"/>
          </w:tcPr>
          <w:p>
            <w:pPr>
              <w:adjustRightInd w:val="0"/>
              <w:snapToGrid w:val="0"/>
              <w:spacing w:line="240" w:lineRule="atLeast"/>
              <w:jc w:val="left"/>
              <w:rPr>
                <w:rFonts w:ascii="宋体" w:hAnsi="宋体" w:cs="仿宋_GB2312"/>
                <w:color w:val="000000"/>
                <w:sz w:val="24"/>
                <w:szCs w:val="24"/>
              </w:rPr>
            </w:pPr>
            <w:r>
              <w:rPr>
                <w:rFonts w:hint="eastAsia" w:ascii="宋体" w:hAnsi="宋体"/>
                <w:color w:val="000000"/>
                <w:sz w:val="24"/>
                <w:szCs w:val="24"/>
              </w:rPr>
              <w:t>上报纸质材料</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WFkYjNhZGE2NWQzNTVkNjg2Y2UzNjcxMDc3ZmUifQ=="/>
  </w:docVars>
  <w:rsids>
    <w:rsidRoot w:val="02826544"/>
    <w:rsid w:val="0282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2024-07-04T08:30:00Z</dcterms:created>
  <dc:creator>杨建丽</dc:creator>
  <cp:lastModifiedBy>杨建丽</cp:lastModifiedBy>
  <dcterms:modified xsi:type="dcterms:W3CDTF">2024-07-04T08:31:56Z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89CF45C7DE1B415A8909B27184874661_11</vt:lpwstr>
  </property>
</Properties>
</file>